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572C" w:rsidRPr="00032B9D" w:rsidRDefault="00BF572C" w:rsidP="00294F0E">
      <w:pPr>
        <w:spacing w:after="0" w:line="360" w:lineRule="auto"/>
        <w:jc w:val="center"/>
        <w:rPr>
          <w:rFonts w:ascii="Arial" w:hAnsi="Arial" w:cs="Arial"/>
          <w:b/>
          <w:sz w:val="24"/>
          <w:szCs w:val="24"/>
        </w:rPr>
      </w:pPr>
      <w:r w:rsidRPr="00032B9D">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195D7653" wp14:editId="31910D2B">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352FC2" w:rsidRPr="000A0FD8" w:rsidRDefault="00352FC2" w:rsidP="00BF572C">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D7653"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352FC2" w:rsidRPr="000A0FD8" w:rsidRDefault="00352FC2" w:rsidP="00BF572C">
                      <w:pPr>
                        <w:jc w:val="right"/>
                        <w:rPr>
                          <w:rFonts w:ascii="Arial" w:hAnsi="Arial" w:cs="Arial"/>
                          <w:b/>
                          <w:sz w:val="24"/>
                          <w:szCs w:val="24"/>
                        </w:rPr>
                      </w:pPr>
                    </w:p>
                  </w:txbxContent>
                </v:textbox>
                <w10:wrap anchorx="margin"/>
              </v:shape>
            </w:pict>
          </mc:Fallback>
        </mc:AlternateContent>
      </w:r>
      <w:r w:rsidRPr="00032B9D">
        <w:rPr>
          <w:rFonts w:ascii="Arial" w:hAnsi="Arial" w:cs="Arial"/>
          <w:b/>
          <w:sz w:val="24"/>
          <w:szCs w:val="24"/>
        </w:rPr>
        <w:t>REPUBLIC OF NAMIBIA</w:t>
      </w:r>
    </w:p>
    <w:p w:rsidR="006D060A" w:rsidRDefault="006D060A" w:rsidP="00294F0E">
      <w:pPr>
        <w:spacing w:after="0" w:line="360" w:lineRule="auto"/>
        <w:rPr>
          <w:rFonts w:ascii="Arial" w:hAnsi="Arial" w:cs="Arial"/>
          <w:b/>
          <w:sz w:val="24"/>
          <w:szCs w:val="24"/>
        </w:rPr>
      </w:pPr>
    </w:p>
    <w:p w:rsidR="00BF572C" w:rsidRPr="00032B9D" w:rsidRDefault="00BF572C" w:rsidP="00294F0E">
      <w:pPr>
        <w:spacing w:after="0" w:line="360" w:lineRule="auto"/>
        <w:rPr>
          <w:rFonts w:ascii="Arial" w:hAnsi="Arial" w:cs="Arial"/>
          <w:b/>
          <w:sz w:val="24"/>
          <w:szCs w:val="24"/>
        </w:rPr>
      </w:pPr>
      <w:r w:rsidRPr="00032B9D">
        <w:rPr>
          <w:rFonts w:ascii="Arial" w:hAnsi="Arial" w:cs="Arial"/>
          <w:b/>
          <w:noProof/>
          <w:sz w:val="24"/>
          <w:szCs w:val="24"/>
          <w:lang w:val="en-GB" w:eastAsia="en-GB"/>
        </w:rPr>
        <w:drawing>
          <wp:anchor distT="0" distB="0" distL="114300" distR="114300" simplePos="0" relativeHeight="251660288" behindDoc="0" locked="0" layoutInCell="1" allowOverlap="1" wp14:anchorId="24B2FB3F" wp14:editId="015D6473">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BF572C" w:rsidRPr="00032B9D" w:rsidRDefault="00BF572C" w:rsidP="00294F0E">
      <w:pPr>
        <w:spacing w:after="0" w:line="360" w:lineRule="auto"/>
        <w:rPr>
          <w:rFonts w:ascii="Arial" w:hAnsi="Arial" w:cs="Arial"/>
          <w:b/>
          <w:sz w:val="24"/>
          <w:szCs w:val="24"/>
        </w:rPr>
      </w:pPr>
    </w:p>
    <w:p w:rsidR="00BF572C" w:rsidRPr="00032B9D" w:rsidRDefault="00BF572C" w:rsidP="00294F0E">
      <w:pPr>
        <w:spacing w:after="0" w:line="360" w:lineRule="auto"/>
        <w:rPr>
          <w:rFonts w:ascii="Arial" w:hAnsi="Arial" w:cs="Arial"/>
          <w:b/>
          <w:sz w:val="24"/>
          <w:szCs w:val="24"/>
        </w:rPr>
      </w:pPr>
    </w:p>
    <w:p w:rsidR="00BF572C" w:rsidRPr="00032B9D" w:rsidRDefault="00BF572C" w:rsidP="00294F0E">
      <w:pPr>
        <w:spacing w:after="0" w:line="360" w:lineRule="auto"/>
        <w:rPr>
          <w:rFonts w:ascii="Arial" w:hAnsi="Arial" w:cs="Arial"/>
          <w:b/>
          <w:sz w:val="24"/>
          <w:szCs w:val="24"/>
        </w:rPr>
      </w:pPr>
    </w:p>
    <w:p w:rsidR="00BF572C" w:rsidRPr="00032B9D" w:rsidRDefault="00BF572C" w:rsidP="00294F0E">
      <w:pPr>
        <w:spacing w:after="0" w:line="360" w:lineRule="auto"/>
        <w:rPr>
          <w:rFonts w:ascii="Arial" w:hAnsi="Arial" w:cs="Arial"/>
          <w:b/>
          <w:sz w:val="24"/>
          <w:szCs w:val="24"/>
        </w:rPr>
      </w:pPr>
    </w:p>
    <w:p w:rsidR="00BF572C" w:rsidRPr="00032B9D" w:rsidRDefault="00BF572C" w:rsidP="00294F0E">
      <w:pPr>
        <w:spacing w:after="0" w:line="360" w:lineRule="auto"/>
        <w:jc w:val="center"/>
        <w:rPr>
          <w:rFonts w:ascii="Arial" w:hAnsi="Arial" w:cs="Arial"/>
          <w:b/>
          <w:sz w:val="24"/>
          <w:szCs w:val="24"/>
        </w:rPr>
      </w:pPr>
    </w:p>
    <w:p w:rsidR="00BF572C" w:rsidRPr="00032B9D" w:rsidRDefault="00BF572C" w:rsidP="00294F0E">
      <w:pPr>
        <w:spacing w:after="0" w:line="360" w:lineRule="auto"/>
        <w:jc w:val="center"/>
        <w:rPr>
          <w:rFonts w:ascii="Arial" w:hAnsi="Arial" w:cs="Arial"/>
          <w:b/>
          <w:sz w:val="24"/>
          <w:szCs w:val="24"/>
        </w:rPr>
      </w:pPr>
    </w:p>
    <w:p w:rsidR="006D060A" w:rsidRDefault="006D060A" w:rsidP="00294F0E">
      <w:pPr>
        <w:spacing w:after="0" w:line="360" w:lineRule="auto"/>
        <w:jc w:val="center"/>
        <w:rPr>
          <w:rFonts w:ascii="Arial" w:hAnsi="Arial" w:cs="Arial"/>
          <w:b/>
          <w:sz w:val="24"/>
          <w:szCs w:val="24"/>
        </w:rPr>
      </w:pPr>
    </w:p>
    <w:p w:rsidR="00BF572C" w:rsidRPr="00032B9D" w:rsidRDefault="00BF572C" w:rsidP="00294F0E">
      <w:pPr>
        <w:spacing w:after="0" w:line="360" w:lineRule="auto"/>
        <w:jc w:val="center"/>
        <w:rPr>
          <w:rFonts w:ascii="Arial" w:hAnsi="Arial" w:cs="Arial"/>
          <w:b/>
          <w:sz w:val="24"/>
          <w:szCs w:val="24"/>
        </w:rPr>
      </w:pPr>
      <w:r w:rsidRPr="00032B9D">
        <w:rPr>
          <w:rFonts w:ascii="Arial" w:hAnsi="Arial" w:cs="Arial"/>
          <w:b/>
          <w:sz w:val="24"/>
          <w:szCs w:val="24"/>
        </w:rPr>
        <w:t>HIGH COURT OF NAMIBIA, MAIN DIVISION, WINDHOEK</w:t>
      </w:r>
    </w:p>
    <w:p w:rsidR="00BF572C" w:rsidRPr="00032B9D" w:rsidRDefault="00BF572C" w:rsidP="00294F0E">
      <w:pPr>
        <w:spacing w:after="0" w:line="360" w:lineRule="auto"/>
        <w:rPr>
          <w:rFonts w:ascii="Arial" w:hAnsi="Arial" w:cs="Arial"/>
          <w:b/>
          <w:sz w:val="24"/>
          <w:szCs w:val="24"/>
        </w:rPr>
      </w:pPr>
    </w:p>
    <w:p w:rsidR="00BF572C" w:rsidRPr="00032B9D" w:rsidRDefault="00BF572C" w:rsidP="00294F0E">
      <w:pPr>
        <w:spacing w:after="0" w:line="360" w:lineRule="auto"/>
        <w:jc w:val="center"/>
        <w:rPr>
          <w:rFonts w:ascii="Arial" w:hAnsi="Arial" w:cs="Arial"/>
          <w:sz w:val="24"/>
          <w:szCs w:val="24"/>
        </w:rPr>
      </w:pPr>
      <w:r w:rsidRPr="00032B9D">
        <w:rPr>
          <w:rFonts w:ascii="Arial" w:hAnsi="Arial" w:cs="Arial"/>
          <w:b/>
          <w:sz w:val="24"/>
          <w:szCs w:val="24"/>
        </w:rPr>
        <w:t xml:space="preserve">RULING ON </w:t>
      </w:r>
      <w:r w:rsidR="00032B9D">
        <w:rPr>
          <w:rFonts w:ascii="Arial" w:hAnsi="Arial" w:cs="Arial"/>
          <w:b/>
          <w:sz w:val="24"/>
          <w:szCs w:val="24"/>
        </w:rPr>
        <w:t>ABSOLUTION FROM INSTANCE</w:t>
      </w:r>
      <w:r w:rsidRPr="00032B9D">
        <w:rPr>
          <w:rFonts w:ascii="Arial" w:hAnsi="Arial" w:cs="Arial"/>
          <w:b/>
          <w:sz w:val="24"/>
          <w:szCs w:val="24"/>
        </w:rPr>
        <w:t xml:space="preserve"> </w:t>
      </w:r>
    </w:p>
    <w:p w:rsidR="00BF572C" w:rsidRPr="00032B9D" w:rsidRDefault="00BF572C" w:rsidP="00294F0E">
      <w:pPr>
        <w:spacing w:after="0" w:line="360" w:lineRule="auto"/>
        <w:jc w:val="right"/>
        <w:rPr>
          <w:rFonts w:ascii="Arial" w:hAnsi="Arial" w:cs="Arial"/>
          <w:sz w:val="24"/>
          <w:szCs w:val="24"/>
        </w:rPr>
      </w:pPr>
    </w:p>
    <w:p w:rsidR="00BF572C" w:rsidRPr="00032B9D" w:rsidRDefault="00032B9D" w:rsidP="00294F0E">
      <w:pPr>
        <w:spacing w:after="0" w:line="360" w:lineRule="auto"/>
        <w:jc w:val="right"/>
        <w:rPr>
          <w:rFonts w:ascii="Arial" w:hAnsi="Arial" w:cs="Arial"/>
          <w:b/>
          <w:sz w:val="24"/>
          <w:szCs w:val="24"/>
        </w:rPr>
      </w:pPr>
      <w:r w:rsidRPr="00032B9D">
        <w:rPr>
          <w:rFonts w:ascii="Arial" w:hAnsi="Arial" w:cs="Arial"/>
          <w:b/>
          <w:sz w:val="24"/>
          <w:szCs w:val="24"/>
        </w:rPr>
        <w:t xml:space="preserve">CASE NO: </w:t>
      </w:r>
      <w:r w:rsidRPr="00032B9D">
        <w:rPr>
          <w:rFonts w:ascii="Arial" w:hAnsi="Arial" w:cs="Arial"/>
          <w:b/>
          <w:sz w:val="24"/>
          <w:szCs w:val="24"/>
          <w:shd w:val="clear" w:color="auto" w:fill="FFFFFF"/>
        </w:rPr>
        <w:t>HC-MD-CIV-ACT-CON-2017/00635</w:t>
      </w:r>
    </w:p>
    <w:p w:rsidR="00BF572C" w:rsidRPr="00032B9D" w:rsidRDefault="00BF572C" w:rsidP="00294F0E">
      <w:pPr>
        <w:spacing w:after="0" w:line="360" w:lineRule="auto"/>
        <w:rPr>
          <w:rFonts w:ascii="Arial" w:hAnsi="Arial" w:cs="Arial"/>
          <w:sz w:val="24"/>
          <w:szCs w:val="24"/>
        </w:rPr>
      </w:pPr>
      <w:r w:rsidRPr="00032B9D">
        <w:rPr>
          <w:rFonts w:ascii="Arial" w:hAnsi="Arial" w:cs="Arial"/>
          <w:sz w:val="24"/>
          <w:szCs w:val="24"/>
        </w:rPr>
        <w:t>In the matter between:</w:t>
      </w:r>
    </w:p>
    <w:p w:rsidR="00BF572C" w:rsidRPr="00032B9D" w:rsidRDefault="00BF572C" w:rsidP="00294F0E">
      <w:pPr>
        <w:spacing w:after="0" w:line="360" w:lineRule="auto"/>
        <w:rPr>
          <w:rFonts w:ascii="Arial" w:hAnsi="Arial" w:cs="Arial"/>
          <w:sz w:val="24"/>
          <w:szCs w:val="24"/>
        </w:rPr>
      </w:pPr>
    </w:p>
    <w:p w:rsidR="00BF572C" w:rsidRPr="00032B9D" w:rsidRDefault="00503934" w:rsidP="00294F0E">
      <w:pPr>
        <w:tabs>
          <w:tab w:val="right" w:pos="9356"/>
        </w:tabs>
        <w:spacing w:after="0" w:line="360" w:lineRule="auto"/>
        <w:rPr>
          <w:rFonts w:ascii="Arial" w:hAnsi="Arial" w:cs="Arial"/>
          <w:b/>
          <w:sz w:val="24"/>
          <w:szCs w:val="24"/>
        </w:rPr>
      </w:pPr>
      <w:r w:rsidRPr="00032B9D">
        <w:rPr>
          <w:rFonts w:ascii="Arial" w:hAnsi="Arial" w:cs="Arial"/>
          <w:b/>
          <w:sz w:val="24"/>
          <w:szCs w:val="24"/>
          <w:shd w:val="clear" w:color="auto" w:fill="FFFFFF"/>
        </w:rPr>
        <w:t>EA MOUTON BUILDERS CC</w:t>
      </w:r>
      <w:r w:rsidR="008B4D6C" w:rsidRPr="00032B9D">
        <w:rPr>
          <w:rFonts w:ascii="Arial" w:hAnsi="Arial" w:cs="Arial"/>
          <w:b/>
          <w:sz w:val="24"/>
          <w:szCs w:val="24"/>
        </w:rPr>
        <w:tab/>
      </w:r>
      <w:r w:rsidR="00BF572C" w:rsidRPr="00032B9D">
        <w:rPr>
          <w:rFonts w:ascii="Arial" w:hAnsi="Arial" w:cs="Arial"/>
          <w:b/>
          <w:sz w:val="24"/>
          <w:szCs w:val="24"/>
        </w:rPr>
        <w:t xml:space="preserve">PLAINTIFF                                                      </w:t>
      </w:r>
    </w:p>
    <w:p w:rsidR="00BF572C" w:rsidRPr="00032B9D" w:rsidRDefault="00BF572C" w:rsidP="00294F0E">
      <w:pPr>
        <w:tabs>
          <w:tab w:val="right" w:pos="9356"/>
        </w:tabs>
        <w:spacing w:after="0" w:line="360" w:lineRule="auto"/>
        <w:rPr>
          <w:rFonts w:ascii="Arial" w:hAnsi="Arial" w:cs="Arial"/>
          <w:b/>
          <w:sz w:val="24"/>
          <w:szCs w:val="24"/>
        </w:rPr>
      </w:pPr>
    </w:p>
    <w:p w:rsidR="00BF572C" w:rsidRPr="00032B9D" w:rsidRDefault="00BF572C" w:rsidP="00294F0E">
      <w:pPr>
        <w:spacing w:after="0" w:line="360" w:lineRule="auto"/>
        <w:rPr>
          <w:rFonts w:ascii="Arial" w:hAnsi="Arial" w:cs="Arial"/>
          <w:sz w:val="24"/>
          <w:szCs w:val="24"/>
        </w:rPr>
      </w:pPr>
      <w:r w:rsidRPr="00032B9D">
        <w:rPr>
          <w:rFonts w:ascii="Arial" w:hAnsi="Arial" w:cs="Arial"/>
          <w:sz w:val="24"/>
          <w:szCs w:val="24"/>
        </w:rPr>
        <w:t>and</w:t>
      </w:r>
    </w:p>
    <w:p w:rsidR="00BF572C" w:rsidRPr="00032B9D" w:rsidRDefault="00BF572C" w:rsidP="00294F0E">
      <w:pPr>
        <w:spacing w:after="0" w:line="360" w:lineRule="auto"/>
        <w:rPr>
          <w:rFonts w:ascii="Arial" w:hAnsi="Arial" w:cs="Arial"/>
          <w:b/>
          <w:sz w:val="24"/>
          <w:szCs w:val="24"/>
        </w:rPr>
      </w:pPr>
    </w:p>
    <w:p w:rsidR="00BF572C" w:rsidRPr="00722D11" w:rsidRDefault="00503934" w:rsidP="00294F0E">
      <w:pPr>
        <w:tabs>
          <w:tab w:val="right" w:pos="9356"/>
        </w:tabs>
        <w:spacing w:after="0" w:line="360" w:lineRule="auto"/>
        <w:rPr>
          <w:rFonts w:ascii="Arial" w:hAnsi="Arial" w:cs="Arial"/>
          <w:b/>
          <w:sz w:val="24"/>
          <w:szCs w:val="24"/>
        </w:rPr>
      </w:pPr>
      <w:r w:rsidRPr="00722D11">
        <w:rPr>
          <w:rFonts w:ascii="Arial" w:hAnsi="Arial" w:cs="Arial"/>
          <w:b/>
          <w:sz w:val="24"/>
          <w:szCs w:val="24"/>
          <w:shd w:val="clear" w:color="auto" w:fill="FFFFFF"/>
        </w:rPr>
        <w:t>SANTAM NAMIBIA</w:t>
      </w:r>
      <w:r w:rsidR="008B4D6C" w:rsidRPr="00722D11">
        <w:rPr>
          <w:rFonts w:ascii="Arial" w:hAnsi="Arial" w:cs="Arial"/>
          <w:b/>
          <w:sz w:val="24"/>
          <w:szCs w:val="24"/>
        </w:rPr>
        <w:tab/>
      </w:r>
      <w:r w:rsidR="00BF572C" w:rsidRPr="00722D11">
        <w:rPr>
          <w:rFonts w:ascii="Arial" w:hAnsi="Arial" w:cs="Arial"/>
          <w:b/>
          <w:sz w:val="24"/>
          <w:szCs w:val="24"/>
        </w:rPr>
        <w:t>DEFENDANT</w:t>
      </w:r>
    </w:p>
    <w:p w:rsidR="00BF572C" w:rsidRPr="00722D11" w:rsidRDefault="00BF572C" w:rsidP="00294F0E">
      <w:pPr>
        <w:tabs>
          <w:tab w:val="right" w:pos="9356"/>
        </w:tabs>
        <w:spacing w:after="0" w:line="360" w:lineRule="auto"/>
        <w:rPr>
          <w:rFonts w:ascii="Arial" w:hAnsi="Arial" w:cs="Arial"/>
          <w:b/>
          <w:sz w:val="24"/>
          <w:szCs w:val="24"/>
        </w:rPr>
      </w:pPr>
      <w:r w:rsidRPr="00722D11">
        <w:rPr>
          <w:rFonts w:ascii="Arial" w:hAnsi="Arial" w:cs="Arial"/>
          <w:b/>
          <w:sz w:val="24"/>
          <w:szCs w:val="24"/>
        </w:rPr>
        <w:tab/>
      </w:r>
    </w:p>
    <w:p w:rsidR="00BF572C" w:rsidRPr="00722D11" w:rsidRDefault="00BF572C" w:rsidP="00294F0E">
      <w:pPr>
        <w:tabs>
          <w:tab w:val="right" w:pos="9356"/>
        </w:tabs>
        <w:spacing w:after="0" w:line="360" w:lineRule="auto"/>
        <w:jc w:val="both"/>
        <w:rPr>
          <w:rFonts w:ascii="Arial" w:hAnsi="Arial" w:cs="Arial"/>
          <w:sz w:val="24"/>
          <w:szCs w:val="24"/>
        </w:rPr>
      </w:pPr>
      <w:r w:rsidRPr="00722D11">
        <w:rPr>
          <w:rFonts w:ascii="Arial" w:hAnsi="Arial" w:cs="Arial"/>
          <w:b/>
          <w:sz w:val="24"/>
          <w:szCs w:val="24"/>
        </w:rPr>
        <w:t>Neutral Citation</w:t>
      </w:r>
      <w:r w:rsidRPr="00722D11">
        <w:rPr>
          <w:rFonts w:ascii="Arial" w:hAnsi="Arial" w:cs="Arial"/>
          <w:i/>
          <w:sz w:val="24"/>
          <w:szCs w:val="24"/>
        </w:rPr>
        <w:t xml:space="preserve">: </w:t>
      </w:r>
      <w:r w:rsidR="00522E09" w:rsidRPr="00722D11">
        <w:rPr>
          <w:rFonts w:ascii="Arial" w:hAnsi="Arial" w:cs="Arial"/>
          <w:i/>
          <w:sz w:val="24"/>
          <w:szCs w:val="24"/>
        </w:rPr>
        <w:t>EA Mouton Builders CC v Santam Namibia (</w:t>
      </w:r>
      <w:r w:rsidR="00522E09" w:rsidRPr="00722D11">
        <w:rPr>
          <w:rFonts w:ascii="Arial" w:hAnsi="Arial" w:cs="Arial"/>
          <w:sz w:val="24"/>
          <w:szCs w:val="24"/>
        </w:rPr>
        <w:t xml:space="preserve">HC-MD-CIV-ACT-CON-2017/00635) [2019] </w:t>
      </w:r>
      <w:r w:rsidR="00522E09" w:rsidRPr="00C24BAC">
        <w:rPr>
          <w:rFonts w:ascii="Arial" w:hAnsi="Arial" w:cs="Arial"/>
          <w:color w:val="000000" w:themeColor="text1"/>
          <w:sz w:val="24"/>
          <w:szCs w:val="24"/>
        </w:rPr>
        <w:t xml:space="preserve">NAHCMD </w:t>
      </w:r>
      <w:r w:rsidR="007E348E" w:rsidRPr="00C24BAC">
        <w:rPr>
          <w:rFonts w:ascii="Arial" w:hAnsi="Arial" w:cs="Arial"/>
          <w:color w:val="000000" w:themeColor="text1"/>
          <w:sz w:val="24"/>
          <w:szCs w:val="24"/>
        </w:rPr>
        <w:t>179</w:t>
      </w:r>
      <w:r w:rsidR="00522E09" w:rsidRPr="00C24BAC">
        <w:rPr>
          <w:rFonts w:ascii="Arial" w:hAnsi="Arial" w:cs="Arial"/>
          <w:color w:val="000000" w:themeColor="text1"/>
          <w:sz w:val="24"/>
          <w:szCs w:val="24"/>
        </w:rPr>
        <w:t xml:space="preserve"> (07 </w:t>
      </w:r>
      <w:r w:rsidR="00522E09" w:rsidRPr="00722D11">
        <w:rPr>
          <w:rFonts w:ascii="Arial" w:hAnsi="Arial" w:cs="Arial"/>
          <w:sz w:val="24"/>
          <w:szCs w:val="24"/>
        </w:rPr>
        <w:t>June 2019)</w:t>
      </w:r>
    </w:p>
    <w:p w:rsidR="00032B9D" w:rsidRPr="00032B9D" w:rsidRDefault="00032B9D" w:rsidP="00294F0E">
      <w:pPr>
        <w:tabs>
          <w:tab w:val="right" w:pos="9356"/>
        </w:tabs>
        <w:spacing w:after="0" w:line="360" w:lineRule="auto"/>
        <w:jc w:val="both"/>
        <w:rPr>
          <w:rFonts w:ascii="Arial" w:hAnsi="Arial" w:cs="Arial"/>
        </w:rPr>
      </w:pPr>
    </w:p>
    <w:p w:rsidR="00BF572C" w:rsidRPr="00032B9D" w:rsidRDefault="00032B9D" w:rsidP="00294F0E">
      <w:pPr>
        <w:spacing w:after="0" w:line="360" w:lineRule="auto"/>
        <w:rPr>
          <w:rFonts w:ascii="Arial" w:hAnsi="Arial" w:cs="Arial"/>
          <w:sz w:val="24"/>
          <w:szCs w:val="24"/>
        </w:rPr>
      </w:pPr>
      <w:r>
        <w:rPr>
          <w:rFonts w:ascii="Arial" w:hAnsi="Arial" w:cs="Arial"/>
          <w:sz w:val="24"/>
          <w:szCs w:val="24"/>
        </w:rPr>
        <w:t>CORAM:</w:t>
      </w:r>
      <w:r>
        <w:rPr>
          <w:rFonts w:ascii="Arial" w:hAnsi="Arial" w:cs="Arial"/>
          <w:sz w:val="24"/>
          <w:szCs w:val="24"/>
        </w:rPr>
        <w:tab/>
      </w:r>
      <w:r w:rsidR="00BF572C" w:rsidRPr="00032B9D">
        <w:rPr>
          <w:rFonts w:ascii="Arial" w:hAnsi="Arial" w:cs="Arial"/>
          <w:b/>
          <w:sz w:val="24"/>
          <w:szCs w:val="24"/>
        </w:rPr>
        <w:t>PRINSLOO J</w:t>
      </w:r>
    </w:p>
    <w:p w:rsidR="00BF572C" w:rsidRPr="00032B9D" w:rsidRDefault="00032B9D" w:rsidP="00294F0E">
      <w:pPr>
        <w:spacing w:after="0" w:line="360" w:lineRule="auto"/>
        <w:rPr>
          <w:rFonts w:ascii="Arial" w:hAnsi="Arial" w:cs="Arial"/>
          <w:sz w:val="24"/>
          <w:szCs w:val="24"/>
        </w:rPr>
      </w:pPr>
      <w:r>
        <w:rPr>
          <w:rFonts w:ascii="Arial" w:hAnsi="Arial" w:cs="Arial"/>
          <w:sz w:val="24"/>
          <w:szCs w:val="24"/>
        </w:rPr>
        <w:t xml:space="preserve">Heard: </w:t>
      </w:r>
      <w:r>
        <w:rPr>
          <w:rFonts w:ascii="Arial" w:hAnsi="Arial" w:cs="Arial"/>
          <w:sz w:val="24"/>
          <w:szCs w:val="24"/>
        </w:rPr>
        <w:tab/>
      </w:r>
      <w:r w:rsidR="00503934" w:rsidRPr="00032B9D">
        <w:rPr>
          <w:rFonts w:ascii="Arial" w:hAnsi="Arial" w:cs="Arial"/>
          <w:sz w:val="24"/>
          <w:szCs w:val="24"/>
        </w:rPr>
        <w:t>05</w:t>
      </w:r>
      <w:r w:rsidR="00DD2819" w:rsidRPr="00032B9D">
        <w:rPr>
          <w:rFonts w:ascii="Arial" w:hAnsi="Arial" w:cs="Arial"/>
          <w:sz w:val="24"/>
          <w:szCs w:val="24"/>
        </w:rPr>
        <w:t xml:space="preserve"> </w:t>
      </w:r>
      <w:r w:rsidR="00503934" w:rsidRPr="00032B9D">
        <w:rPr>
          <w:rFonts w:ascii="Arial" w:hAnsi="Arial" w:cs="Arial"/>
          <w:sz w:val="24"/>
          <w:szCs w:val="24"/>
        </w:rPr>
        <w:t>April</w:t>
      </w:r>
      <w:r w:rsidR="00DD2819" w:rsidRPr="00032B9D">
        <w:rPr>
          <w:rFonts w:ascii="Arial" w:hAnsi="Arial" w:cs="Arial"/>
          <w:sz w:val="24"/>
          <w:szCs w:val="24"/>
        </w:rPr>
        <w:t xml:space="preserve"> 201</w:t>
      </w:r>
      <w:r w:rsidR="00503934" w:rsidRPr="00032B9D">
        <w:rPr>
          <w:rFonts w:ascii="Arial" w:hAnsi="Arial" w:cs="Arial"/>
          <w:sz w:val="24"/>
          <w:szCs w:val="24"/>
        </w:rPr>
        <w:t>9</w:t>
      </w:r>
    </w:p>
    <w:p w:rsidR="00BF572C" w:rsidRPr="00032B9D" w:rsidRDefault="00032B9D" w:rsidP="00294F0E">
      <w:pPr>
        <w:spacing w:after="0" w:line="360" w:lineRule="auto"/>
        <w:rPr>
          <w:rFonts w:ascii="Arial" w:hAnsi="Arial" w:cs="Arial"/>
          <w:sz w:val="24"/>
          <w:szCs w:val="24"/>
        </w:rPr>
      </w:pPr>
      <w:r>
        <w:rPr>
          <w:rFonts w:ascii="Arial" w:hAnsi="Arial" w:cs="Arial"/>
          <w:sz w:val="24"/>
          <w:szCs w:val="24"/>
        </w:rPr>
        <w:t>Delivered:</w:t>
      </w:r>
      <w:r>
        <w:rPr>
          <w:rFonts w:ascii="Arial" w:hAnsi="Arial" w:cs="Arial"/>
          <w:sz w:val="24"/>
          <w:szCs w:val="24"/>
        </w:rPr>
        <w:tab/>
      </w:r>
      <w:r w:rsidR="00503934" w:rsidRPr="00032B9D">
        <w:rPr>
          <w:rFonts w:ascii="Arial" w:hAnsi="Arial" w:cs="Arial"/>
          <w:sz w:val="24"/>
          <w:szCs w:val="24"/>
        </w:rPr>
        <w:t>07</w:t>
      </w:r>
      <w:r w:rsidR="00DD2819" w:rsidRPr="00032B9D">
        <w:rPr>
          <w:rFonts w:ascii="Arial" w:hAnsi="Arial" w:cs="Arial"/>
          <w:sz w:val="24"/>
          <w:szCs w:val="24"/>
        </w:rPr>
        <w:t xml:space="preserve"> </w:t>
      </w:r>
      <w:r w:rsidR="00503934" w:rsidRPr="00032B9D">
        <w:rPr>
          <w:rFonts w:ascii="Arial" w:hAnsi="Arial" w:cs="Arial"/>
          <w:sz w:val="24"/>
          <w:szCs w:val="24"/>
        </w:rPr>
        <w:t>June</w:t>
      </w:r>
      <w:r w:rsidR="00DD2819" w:rsidRPr="00032B9D">
        <w:rPr>
          <w:rFonts w:ascii="Arial" w:hAnsi="Arial" w:cs="Arial"/>
          <w:sz w:val="24"/>
          <w:szCs w:val="24"/>
        </w:rPr>
        <w:t xml:space="preserve"> 201</w:t>
      </w:r>
      <w:r w:rsidR="00503934" w:rsidRPr="00032B9D">
        <w:rPr>
          <w:rFonts w:ascii="Arial" w:hAnsi="Arial" w:cs="Arial"/>
          <w:sz w:val="24"/>
          <w:szCs w:val="24"/>
        </w:rPr>
        <w:t>9</w:t>
      </w:r>
    </w:p>
    <w:p w:rsidR="00154FA3" w:rsidRDefault="00032B9D" w:rsidP="00294F0E">
      <w:pPr>
        <w:spacing w:after="0" w:line="360" w:lineRule="auto"/>
        <w:rPr>
          <w:rFonts w:ascii="Arial" w:hAnsi="Arial" w:cs="Arial"/>
          <w:sz w:val="24"/>
          <w:szCs w:val="24"/>
        </w:rPr>
      </w:pPr>
      <w:r>
        <w:rPr>
          <w:rFonts w:ascii="Arial" w:hAnsi="Arial" w:cs="Arial"/>
          <w:sz w:val="24"/>
          <w:szCs w:val="24"/>
        </w:rPr>
        <w:t>Reasons:</w:t>
      </w:r>
      <w:r>
        <w:rPr>
          <w:rFonts w:ascii="Arial" w:hAnsi="Arial" w:cs="Arial"/>
          <w:sz w:val="24"/>
          <w:szCs w:val="24"/>
        </w:rPr>
        <w:tab/>
      </w:r>
      <w:r w:rsidR="009E65AF">
        <w:rPr>
          <w:rFonts w:ascii="Arial" w:hAnsi="Arial" w:cs="Arial"/>
          <w:sz w:val="24"/>
          <w:szCs w:val="24"/>
        </w:rPr>
        <w:t>10</w:t>
      </w:r>
      <w:r w:rsidR="00503934" w:rsidRPr="00032B9D">
        <w:rPr>
          <w:rFonts w:ascii="Arial" w:hAnsi="Arial" w:cs="Arial"/>
          <w:sz w:val="24"/>
          <w:szCs w:val="24"/>
        </w:rPr>
        <w:t xml:space="preserve"> June</w:t>
      </w:r>
      <w:r w:rsidR="00DD2819" w:rsidRPr="00032B9D">
        <w:rPr>
          <w:rFonts w:ascii="Arial" w:hAnsi="Arial" w:cs="Arial"/>
          <w:sz w:val="24"/>
          <w:szCs w:val="24"/>
        </w:rPr>
        <w:t xml:space="preserve"> 201</w:t>
      </w:r>
      <w:r w:rsidR="00503934" w:rsidRPr="00032B9D">
        <w:rPr>
          <w:rFonts w:ascii="Arial" w:hAnsi="Arial" w:cs="Arial"/>
          <w:sz w:val="24"/>
          <w:szCs w:val="24"/>
        </w:rPr>
        <w:t>9</w:t>
      </w:r>
    </w:p>
    <w:p w:rsidR="006D060A" w:rsidRPr="00294F0E" w:rsidRDefault="006D060A" w:rsidP="00294F0E">
      <w:pPr>
        <w:spacing w:after="0" w:line="360" w:lineRule="auto"/>
        <w:rPr>
          <w:rFonts w:ascii="Arial" w:hAnsi="Arial" w:cs="Arial"/>
          <w:sz w:val="24"/>
          <w:szCs w:val="24"/>
        </w:rPr>
      </w:pPr>
    </w:p>
    <w:p w:rsidR="00522E09" w:rsidRPr="00032B9D" w:rsidRDefault="00522E09" w:rsidP="006B630B">
      <w:pPr>
        <w:spacing w:before="120" w:after="0" w:line="360" w:lineRule="auto"/>
        <w:jc w:val="both"/>
      </w:pPr>
      <w:r w:rsidRPr="00032B9D">
        <w:lastRenderedPageBreak/>
        <w:t>_____________________________________________________________________________________</w:t>
      </w:r>
    </w:p>
    <w:p w:rsidR="00522E09" w:rsidRPr="00032B9D" w:rsidRDefault="00522E09" w:rsidP="006B630B">
      <w:pPr>
        <w:spacing w:before="120" w:after="0" w:line="360" w:lineRule="auto"/>
        <w:jc w:val="center"/>
        <w:rPr>
          <w:rFonts w:ascii="Arial" w:hAnsi="Arial" w:cs="Arial"/>
          <w:b/>
          <w:sz w:val="24"/>
          <w:szCs w:val="24"/>
        </w:rPr>
      </w:pPr>
      <w:r>
        <w:rPr>
          <w:rFonts w:ascii="Arial" w:hAnsi="Arial" w:cs="Arial"/>
          <w:b/>
          <w:sz w:val="24"/>
          <w:szCs w:val="24"/>
        </w:rPr>
        <w:t>ORDER</w:t>
      </w:r>
    </w:p>
    <w:p w:rsidR="00BF572C" w:rsidRPr="00522E09" w:rsidRDefault="00522E09" w:rsidP="00522E09">
      <w:pPr>
        <w:spacing w:after="0" w:line="360" w:lineRule="auto"/>
        <w:jc w:val="both"/>
      </w:pPr>
      <w:r w:rsidRPr="00032B9D">
        <w:t>_____________________________________________________________________________________</w:t>
      </w:r>
    </w:p>
    <w:p w:rsidR="00BF572C" w:rsidRPr="00032B9D" w:rsidRDefault="00BF572C" w:rsidP="00522E09">
      <w:pPr>
        <w:spacing w:after="0" w:line="360" w:lineRule="auto"/>
        <w:jc w:val="both"/>
        <w:rPr>
          <w:rFonts w:ascii="Arial" w:hAnsi="Arial" w:cs="Arial"/>
          <w:b/>
          <w:sz w:val="24"/>
          <w:szCs w:val="24"/>
        </w:rPr>
      </w:pPr>
    </w:p>
    <w:p w:rsidR="00503934" w:rsidRPr="00294F0E" w:rsidRDefault="00503934" w:rsidP="00522E09">
      <w:pPr>
        <w:pStyle w:val="ListParagraph"/>
        <w:numPr>
          <w:ilvl w:val="0"/>
          <w:numId w:val="4"/>
        </w:numPr>
        <w:spacing w:after="0" w:line="360" w:lineRule="auto"/>
        <w:ind w:left="720" w:hanging="720"/>
        <w:jc w:val="both"/>
        <w:rPr>
          <w:rFonts w:ascii="Arial" w:eastAsia="Calibri" w:hAnsi="Arial" w:cs="Arial"/>
          <w:sz w:val="24"/>
          <w:szCs w:val="24"/>
          <w:lang w:val="en-US"/>
        </w:rPr>
      </w:pPr>
      <w:r w:rsidRPr="00032B9D">
        <w:rPr>
          <w:rFonts w:ascii="Arial" w:eastAsia="Calibri" w:hAnsi="Arial" w:cs="Arial"/>
          <w:sz w:val="24"/>
          <w:szCs w:val="24"/>
          <w:lang w:val="en-US"/>
        </w:rPr>
        <w:t>The application for absolution from the instance is dismissed.</w:t>
      </w:r>
    </w:p>
    <w:p w:rsidR="00503934" w:rsidRPr="00294F0E" w:rsidRDefault="00503934" w:rsidP="00522E09">
      <w:pPr>
        <w:pStyle w:val="ListParagraph"/>
        <w:numPr>
          <w:ilvl w:val="0"/>
          <w:numId w:val="4"/>
        </w:numPr>
        <w:spacing w:after="0" w:line="360" w:lineRule="auto"/>
        <w:ind w:left="720" w:hanging="720"/>
        <w:jc w:val="both"/>
        <w:rPr>
          <w:rFonts w:ascii="Arial" w:eastAsia="Calibri" w:hAnsi="Arial" w:cs="Arial"/>
          <w:sz w:val="24"/>
          <w:szCs w:val="24"/>
          <w:lang w:val="en-US"/>
        </w:rPr>
      </w:pPr>
      <w:r w:rsidRPr="00032B9D">
        <w:rPr>
          <w:rFonts w:ascii="Arial" w:eastAsia="Calibri" w:hAnsi="Arial" w:cs="Arial"/>
          <w:sz w:val="24"/>
          <w:szCs w:val="24"/>
          <w:lang w:val="en-US"/>
        </w:rPr>
        <w:t>The Defendant is ordered to pay the Plaintiff’s costs.</w:t>
      </w:r>
    </w:p>
    <w:p w:rsidR="00A4387B" w:rsidRDefault="00503934" w:rsidP="00A4387B">
      <w:pPr>
        <w:pStyle w:val="ListParagraph"/>
        <w:numPr>
          <w:ilvl w:val="0"/>
          <w:numId w:val="4"/>
        </w:numPr>
        <w:spacing w:after="0" w:line="360" w:lineRule="auto"/>
        <w:ind w:left="720" w:hanging="720"/>
        <w:jc w:val="both"/>
        <w:rPr>
          <w:rFonts w:ascii="Arial" w:eastAsia="Calibri" w:hAnsi="Arial" w:cs="Arial"/>
          <w:sz w:val="24"/>
          <w:szCs w:val="24"/>
          <w:lang w:val="en-US"/>
        </w:rPr>
      </w:pPr>
      <w:r w:rsidRPr="00A4387B">
        <w:rPr>
          <w:rFonts w:ascii="Arial" w:eastAsia="Calibri" w:hAnsi="Arial" w:cs="Arial"/>
          <w:sz w:val="24"/>
          <w:szCs w:val="24"/>
          <w:lang w:val="en-US"/>
        </w:rPr>
        <w:t xml:space="preserve">The matter is postponed to </w:t>
      </w:r>
      <w:r w:rsidRPr="00A4387B">
        <w:rPr>
          <w:rFonts w:ascii="Arial" w:eastAsia="Calibri" w:hAnsi="Arial" w:cs="Arial"/>
          <w:b/>
          <w:sz w:val="24"/>
          <w:szCs w:val="24"/>
          <w:lang w:val="en-US"/>
        </w:rPr>
        <w:t>11 June 2019</w:t>
      </w:r>
      <w:r w:rsidRPr="00A4387B">
        <w:rPr>
          <w:rFonts w:ascii="Arial" w:eastAsia="Calibri" w:hAnsi="Arial" w:cs="Arial"/>
          <w:sz w:val="24"/>
          <w:szCs w:val="24"/>
          <w:lang w:val="en-US"/>
        </w:rPr>
        <w:t xml:space="preserve"> at </w:t>
      </w:r>
      <w:r w:rsidRPr="00A4387B">
        <w:rPr>
          <w:rFonts w:ascii="Arial" w:eastAsia="Calibri" w:hAnsi="Arial" w:cs="Arial"/>
          <w:b/>
          <w:sz w:val="24"/>
          <w:szCs w:val="24"/>
          <w:lang w:val="en-US"/>
        </w:rPr>
        <w:t>08:30</w:t>
      </w:r>
      <w:r w:rsidRPr="00A4387B">
        <w:rPr>
          <w:rFonts w:ascii="Arial" w:eastAsia="Calibri" w:hAnsi="Arial" w:cs="Arial"/>
          <w:sz w:val="24"/>
          <w:szCs w:val="24"/>
          <w:lang w:val="en-US"/>
        </w:rPr>
        <w:t xml:space="preserve"> in chambers for allocating dates for the continuation of the trial.</w:t>
      </w:r>
    </w:p>
    <w:p w:rsidR="00A4387B" w:rsidRPr="00A4387B" w:rsidRDefault="00A4387B" w:rsidP="00A4387B">
      <w:pPr>
        <w:pStyle w:val="ListParagraph"/>
        <w:spacing w:after="0" w:line="360" w:lineRule="auto"/>
        <w:ind w:left="930"/>
        <w:jc w:val="both"/>
        <w:rPr>
          <w:rFonts w:ascii="Arial" w:eastAsia="Calibri" w:hAnsi="Arial" w:cs="Arial"/>
          <w:sz w:val="24"/>
          <w:szCs w:val="24"/>
          <w:lang w:val="en-US"/>
        </w:rPr>
      </w:pPr>
    </w:p>
    <w:p w:rsidR="00BF572C" w:rsidRPr="00032B9D" w:rsidRDefault="00BF572C" w:rsidP="006B630B">
      <w:pPr>
        <w:spacing w:before="120" w:after="0" w:line="360" w:lineRule="auto"/>
        <w:jc w:val="both"/>
      </w:pPr>
      <w:r w:rsidRPr="00032B9D">
        <w:t>_____________________________________________________________________________________</w:t>
      </w:r>
    </w:p>
    <w:p w:rsidR="00BF572C" w:rsidRPr="00032B9D" w:rsidRDefault="00BF572C" w:rsidP="006B630B">
      <w:pPr>
        <w:spacing w:before="120" w:after="0" w:line="360" w:lineRule="auto"/>
        <w:jc w:val="center"/>
        <w:rPr>
          <w:rFonts w:ascii="Arial" w:hAnsi="Arial" w:cs="Arial"/>
          <w:b/>
          <w:sz w:val="24"/>
          <w:szCs w:val="24"/>
        </w:rPr>
      </w:pPr>
      <w:r w:rsidRPr="00032B9D">
        <w:rPr>
          <w:rFonts w:ascii="Arial" w:hAnsi="Arial" w:cs="Arial"/>
          <w:b/>
          <w:sz w:val="24"/>
          <w:szCs w:val="24"/>
        </w:rPr>
        <w:t>RULING IN TERMS OF PD 61</w:t>
      </w:r>
      <w:r w:rsidR="00503934" w:rsidRPr="00032B9D">
        <w:rPr>
          <w:rFonts w:ascii="Arial" w:eastAsia="Calibri" w:hAnsi="Arial" w:cs="Arial"/>
          <w:b/>
          <w:bCs/>
          <w:sz w:val="24"/>
          <w:szCs w:val="24"/>
          <w:lang w:val="en-US"/>
        </w:rPr>
        <w:t>(9)</w:t>
      </w:r>
      <w:r w:rsidRPr="00032B9D">
        <w:rPr>
          <w:rFonts w:ascii="Arial" w:hAnsi="Arial" w:cs="Arial"/>
          <w:b/>
          <w:sz w:val="24"/>
          <w:szCs w:val="24"/>
        </w:rPr>
        <w:t xml:space="preserve"> OF THE PRACTICE DIRECTIVES</w:t>
      </w:r>
    </w:p>
    <w:p w:rsidR="00BF572C" w:rsidRPr="00032B9D" w:rsidRDefault="00BF572C" w:rsidP="00522E09">
      <w:pPr>
        <w:spacing w:after="0" w:line="360" w:lineRule="auto"/>
        <w:jc w:val="both"/>
      </w:pPr>
      <w:r w:rsidRPr="00032B9D">
        <w:t>_____________________________________________________________________________________</w:t>
      </w:r>
    </w:p>
    <w:p w:rsidR="00522E09" w:rsidRDefault="00522E09" w:rsidP="00522E09">
      <w:pPr>
        <w:spacing w:after="0" w:line="360" w:lineRule="auto"/>
        <w:jc w:val="both"/>
        <w:rPr>
          <w:rFonts w:ascii="Arial" w:hAnsi="Arial" w:cs="Arial"/>
          <w:sz w:val="24"/>
          <w:szCs w:val="24"/>
        </w:rPr>
      </w:pPr>
    </w:p>
    <w:p w:rsidR="008B765A" w:rsidRDefault="008B765A" w:rsidP="00522E09">
      <w:pPr>
        <w:spacing w:after="0" w:line="360" w:lineRule="auto"/>
        <w:jc w:val="both"/>
        <w:rPr>
          <w:rFonts w:ascii="Arial" w:hAnsi="Arial" w:cs="Arial"/>
          <w:sz w:val="24"/>
          <w:szCs w:val="24"/>
        </w:rPr>
      </w:pPr>
    </w:p>
    <w:p w:rsidR="00BF572C" w:rsidRDefault="00BC0736" w:rsidP="00522E09">
      <w:pPr>
        <w:spacing w:after="0" w:line="360" w:lineRule="auto"/>
        <w:jc w:val="both"/>
        <w:rPr>
          <w:rFonts w:ascii="Arial" w:hAnsi="Arial" w:cs="Arial"/>
          <w:sz w:val="24"/>
          <w:szCs w:val="24"/>
        </w:rPr>
      </w:pPr>
      <w:r w:rsidRPr="00032B9D">
        <w:rPr>
          <w:rFonts w:ascii="Arial" w:hAnsi="Arial" w:cs="Arial"/>
          <w:sz w:val="24"/>
          <w:szCs w:val="24"/>
        </w:rPr>
        <w:t>PRINSLOO J</w:t>
      </w:r>
    </w:p>
    <w:p w:rsidR="00E522F8" w:rsidRPr="00032B9D" w:rsidRDefault="00E522F8" w:rsidP="00522E09">
      <w:pPr>
        <w:spacing w:after="0" w:line="360" w:lineRule="auto"/>
        <w:jc w:val="both"/>
        <w:rPr>
          <w:rFonts w:ascii="Arial" w:hAnsi="Arial" w:cs="Arial"/>
          <w:sz w:val="24"/>
          <w:szCs w:val="24"/>
        </w:rPr>
      </w:pPr>
    </w:p>
    <w:p w:rsidR="0041376B" w:rsidRDefault="00BF572C" w:rsidP="00522E09">
      <w:pPr>
        <w:spacing w:after="0" w:line="360" w:lineRule="auto"/>
        <w:jc w:val="both"/>
        <w:rPr>
          <w:rFonts w:ascii="Arial" w:hAnsi="Arial" w:cs="Arial"/>
          <w:sz w:val="24"/>
        </w:rPr>
      </w:pPr>
      <w:r w:rsidRPr="00032B9D">
        <w:rPr>
          <w:rFonts w:ascii="Arial" w:hAnsi="Arial" w:cs="Arial"/>
          <w:sz w:val="24"/>
        </w:rPr>
        <w:t>[1]</w:t>
      </w:r>
      <w:r w:rsidRPr="00032B9D">
        <w:rPr>
          <w:rFonts w:ascii="Arial" w:hAnsi="Arial" w:cs="Arial"/>
          <w:sz w:val="24"/>
        </w:rPr>
        <w:tab/>
      </w:r>
      <w:r w:rsidR="0041376B" w:rsidRPr="00032B9D">
        <w:rPr>
          <w:rFonts w:ascii="Arial" w:hAnsi="Arial" w:cs="Arial"/>
          <w:sz w:val="24"/>
        </w:rPr>
        <w:t xml:space="preserve">The plaintiff in this matter is EA Mouton Builders CC, a close corporation registered in terms of the laws of </w:t>
      </w:r>
      <w:r w:rsidR="0086441B">
        <w:rPr>
          <w:rFonts w:ascii="Arial" w:hAnsi="Arial" w:cs="Arial"/>
          <w:sz w:val="24"/>
        </w:rPr>
        <w:t xml:space="preserve">the Republic of </w:t>
      </w:r>
      <w:r w:rsidR="0041376B" w:rsidRPr="00032B9D">
        <w:rPr>
          <w:rFonts w:ascii="Arial" w:hAnsi="Arial" w:cs="Arial"/>
          <w:sz w:val="24"/>
        </w:rPr>
        <w:t xml:space="preserve">Namibia. The sole member of the plaintiff is Mr E A Mouton. </w:t>
      </w:r>
    </w:p>
    <w:p w:rsidR="00E522F8" w:rsidRPr="00032B9D" w:rsidRDefault="00E522F8" w:rsidP="00522E09">
      <w:pPr>
        <w:spacing w:after="0" w:line="360" w:lineRule="auto"/>
        <w:jc w:val="both"/>
        <w:rPr>
          <w:rFonts w:ascii="Arial" w:hAnsi="Arial" w:cs="Arial"/>
          <w:sz w:val="24"/>
        </w:rPr>
      </w:pPr>
    </w:p>
    <w:p w:rsidR="0041376B" w:rsidRDefault="0041376B" w:rsidP="00522E09">
      <w:pPr>
        <w:spacing w:after="0" w:line="360" w:lineRule="auto"/>
        <w:jc w:val="both"/>
        <w:rPr>
          <w:rFonts w:ascii="Arial" w:hAnsi="Arial" w:cs="Arial"/>
          <w:sz w:val="24"/>
        </w:rPr>
      </w:pPr>
      <w:r w:rsidRPr="00032B9D">
        <w:rPr>
          <w:rFonts w:ascii="Arial" w:hAnsi="Arial" w:cs="Arial"/>
          <w:sz w:val="24"/>
        </w:rPr>
        <w:t>[2]</w:t>
      </w:r>
      <w:r w:rsidRPr="00032B9D">
        <w:rPr>
          <w:rFonts w:ascii="Arial" w:hAnsi="Arial" w:cs="Arial"/>
          <w:sz w:val="24"/>
        </w:rPr>
        <w:tab/>
        <w:t>The defendant is Santam</w:t>
      </w:r>
      <w:r w:rsidR="00770534">
        <w:rPr>
          <w:rFonts w:ascii="Arial" w:hAnsi="Arial" w:cs="Arial"/>
          <w:sz w:val="24"/>
        </w:rPr>
        <w:t xml:space="preserve"> </w:t>
      </w:r>
      <w:r w:rsidR="00770534" w:rsidRPr="007E5E06">
        <w:rPr>
          <w:rFonts w:ascii="Arial" w:hAnsi="Arial" w:cs="Arial"/>
          <w:sz w:val="24"/>
        </w:rPr>
        <w:t>Namibia</w:t>
      </w:r>
      <w:r w:rsidRPr="00032B9D">
        <w:rPr>
          <w:rFonts w:ascii="Arial" w:hAnsi="Arial" w:cs="Arial"/>
          <w:sz w:val="24"/>
        </w:rPr>
        <w:t>, a private company incorporated in terms of the Companies Act</w:t>
      </w:r>
      <w:r w:rsidR="00770534">
        <w:rPr>
          <w:rFonts w:ascii="Arial" w:hAnsi="Arial" w:cs="Arial"/>
          <w:sz w:val="24"/>
        </w:rPr>
        <w:t xml:space="preserve"> </w:t>
      </w:r>
      <w:r w:rsidR="00770534" w:rsidRPr="007E5E06">
        <w:rPr>
          <w:rFonts w:ascii="Arial" w:hAnsi="Arial" w:cs="Arial"/>
          <w:sz w:val="24"/>
        </w:rPr>
        <w:t>of</w:t>
      </w:r>
      <w:r w:rsidRPr="00032B9D">
        <w:rPr>
          <w:rFonts w:ascii="Arial" w:hAnsi="Arial" w:cs="Arial"/>
          <w:sz w:val="24"/>
        </w:rPr>
        <w:t xml:space="preserve"> the Republic of Namibia and which carries on insurance business in Namibia. </w:t>
      </w:r>
    </w:p>
    <w:p w:rsidR="00E522F8" w:rsidRPr="00032B9D" w:rsidRDefault="00E522F8" w:rsidP="00522E09">
      <w:pPr>
        <w:spacing w:after="0" w:line="360" w:lineRule="auto"/>
        <w:jc w:val="both"/>
        <w:rPr>
          <w:rFonts w:ascii="Arial" w:hAnsi="Arial" w:cs="Arial"/>
          <w:sz w:val="24"/>
        </w:rPr>
      </w:pPr>
    </w:p>
    <w:p w:rsidR="0041376B" w:rsidRDefault="0041376B" w:rsidP="00522E09">
      <w:pPr>
        <w:spacing w:after="0" w:line="360" w:lineRule="auto"/>
        <w:jc w:val="both"/>
        <w:rPr>
          <w:rFonts w:ascii="Arial" w:hAnsi="Arial" w:cs="Arial"/>
          <w:sz w:val="24"/>
        </w:rPr>
      </w:pPr>
      <w:r w:rsidRPr="00032B9D">
        <w:rPr>
          <w:rFonts w:ascii="Arial" w:hAnsi="Arial" w:cs="Arial"/>
          <w:sz w:val="24"/>
        </w:rPr>
        <w:t>[</w:t>
      </w:r>
      <w:r w:rsidR="00522E09">
        <w:rPr>
          <w:rFonts w:ascii="Arial" w:hAnsi="Arial" w:cs="Arial"/>
          <w:sz w:val="24"/>
        </w:rPr>
        <w:t>3</w:t>
      </w:r>
      <w:r w:rsidRPr="00032B9D">
        <w:rPr>
          <w:rFonts w:ascii="Arial" w:hAnsi="Arial" w:cs="Arial"/>
          <w:sz w:val="24"/>
        </w:rPr>
        <w:t>]</w:t>
      </w:r>
      <w:r w:rsidRPr="00032B9D">
        <w:rPr>
          <w:rFonts w:ascii="Arial" w:hAnsi="Arial" w:cs="Arial"/>
          <w:sz w:val="24"/>
        </w:rPr>
        <w:tab/>
        <w:t xml:space="preserve">The plaintiff and the defendant entered into and concluded an insurance contract (indemnity contract) in terms of which </w:t>
      </w:r>
      <w:r w:rsidR="00770534" w:rsidRPr="007E5E06">
        <w:rPr>
          <w:rFonts w:ascii="Arial" w:hAnsi="Arial" w:cs="Arial"/>
          <w:sz w:val="24"/>
        </w:rPr>
        <w:t>d</w:t>
      </w:r>
      <w:r w:rsidRPr="00032B9D">
        <w:rPr>
          <w:rFonts w:ascii="Arial" w:hAnsi="Arial" w:cs="Arial"/>
          <w:sz w:val="24"/>
        </w:rPr>
        <w:t>efendant undertook to indemnify the plaintiff in the event</w:t>
      </w:r>
      <w:r w:rsidR="00324FC4" w:rsidRPr="00032B9D">
        <w:rPr>
          <w:rFonts w:ascii="Arial" w:hAnsi="Arial" w:cs="Arial"/>
          <w:sz w:val="24"/>
        </w:rPr>
        <w:t xml:space="preserve"> that one of its motor vehicles, but more specifically in the matter </w:t>
      </w:r>
      <w:r w:rsidR="00324FC4" w:rsidRPr="00032B9D">
        <w:rPr>
          <w:rFonts w:ascii="Arial" w:hAnsi="Arial" w:cs="Arial"/>
          <w:i/>
          <w:sz w:val="24"/>
        </w:rPr>
        <w:t>in casu</w:t>
      </w:r>
      <w:r w:rsidR="00324FC4" w:rsidRPr="00032B9D">
        <w:rPr>
          <w:rFonts w:ascii="Arial" w:hAnsi="Arial" w:cs="Arial"/>
          <w:sz w:val="24"/>
        </w:rPr>
        <w:t>, a Ford Ranger registration number N 525-525 R</w:t>
      </w:r>
      <w:r w:rsidR="00770534">
        <w:rPr>
          <w:rFonts w:ascii="Arial" w:hAnsi="Arial" w:cs="Arial"/>
          <w:sz w:val="24"/>
        </w:rPr>
        <w:t xml:space="preserve">, </w:t>
      </w:r>
      <w:r w:rsidR="00634A21">
        <w:rPr>
          <w:rFonts w:ascii="Arial" w:hAnsi="Arial" w:cs="Arial"/>
          <w:sz w:val="24"/>
        </w:rPr>
        <w:t>is</w:t>
      </w:r>
      <w:r w:rsidR="00770534" w:rsidRPr="007E5E06">
        <w:rPr>
          <w:rFonts w:ascii="Arial" w:hAnsi="Arial" w:cs="Arial"/>
          <w:sz w:val="24"/>
        </w:rPr>
        <w:t xml:space="preserve"> involved in an accident</w:t>
      </w:r>
      <w:r w:rsidR="00324FC4" w:rsidRPr="00032B9D">
        <w:rPr>
          <w:rFonts w:ascii="Arial" w:hAnsi="Arial" w:cs="Arial"/>
          <w:sz w:val="24"/>
        </w:rPr>
        <w:t>.</w:t>
      </w:r>
    </w:p>
    <w:p w:rsidR="00522E09" w:rsidRPr="00032B9D" w:rsidRDefault="00522E09" w:rsidP="00522E09">
      <w:pPr>
        <w:spacing w:after="0" w:line="360" w:lineRule="auto"/>
        <w:jc w:val="both"/>
        <w:rPr>
          <w:rFonts w:ascii="Arial" w:hAnsi="Arial" w:cs="Arial"/>
          <w:sz w:val="24"/>
        </w:rPr>
      </w:pPr>
    </w:p>
    <w:p w:rsidR="00174696" w:rsidRDefault="00174696" w:rsidP="00522E09">
      <w:pPr>
        <w:spacing w:after="0" w:line="360" w:lineRule="auto"/>
        <w:jc w:val="both"/>
        <w:rPr>
          <w:rFonts w:ascii="Arial" w:hAnsi="Arial" w:cs="Arial"/>
          <w:sz w:val="24"/>
          <w:u w:val="single"/>
        </w:rPr>
      </w:pPr>
    </w:p>
    <w:p w:rsidR="00BF572C" w:rsidRDefault="00BF572C" w:rsidP="00522E09">
      <w:pPr>
        <w:spacing w:after="0" w:line="360" w:lineRule="auto"/>
        <w:jc w:val="both"/>
        <w:rPr>
          <w:rFonts w:ascii="Arial" w:hAnsi="Arial" w:cs="Arial"/>
          <w:sz w:val="24"/>
          <w:u w:val="single"/>
        </w:rPr>
      </w:pPr>
      <w:r w:rsidRPr="00032B9D">
        <w:rPr>
          <w:rFonts w:ascii="Arial" w:hAnsi="Arial" w:cs="Arial"/>
          <w:sz w:val="24"/>
          <w:u w:val="single"/>
        </w:rPr>
        <w:lastRenderedPageBreak/>
        <w:t>Factual Background</w:t>
      </w:r>
    </w:p>
    <w:p w:rsidR="00522E09" w:rsidRPr="00032B9D" w:rsidRDefault="00522E09" w:rsidP="00522E09">
      <w:pPr>
        <w:spacing w:after="0" w:line="360" w:lineRule="auto"/>
        <w:jc w:val="both"/>
        <w:rPr>
          <w:rFonts w:ascii="Arial" w:hAnsi="Arial" w:cs="Arial"/>
          <w:sz w:val="24"/>
          <w:u w:val="single"/>
        </w:rPr>
      </w:pPr>
    </w:p>
    <w:p w:rsidR="001E1D75" w:rsidRDefault="00B024F6" w:rsidP="00522E09">
      <w:pPr>
        <w:spacing w:after="0" w:line="360" w:lineRule="auto"/>
        <w:jc w:val="both"/>
        <w:rPr>
          <w:rFonts w:ascii="Arial" w:hAnsi="Arial" w:cs="Arial"/>
          <w:sz w:val="24"/>
        </w:rPr>
      </w:pPr>
      <w:r w:rsidRPr="00032B9D">
        <w:rPr>
          <w:rFonts w:ascii="Arial" w:hAnsi="Arial" w:cs="Arial"/>
          <w:sz w:val="24"/>
        </w:rPr>
        <w:t>[</w:t>
      </w:r>
      <w:r w:rsidR="00522E09">
        <w:rPr>
          <w:rFonts w:ascii="Arial" w:hAnsi="Arial" w:cs="Arial"/>
          <w:sz w:val="24"/>
        </w:rPr>
        <w:t>4</w:t>
      </w:r>
      <w:r w:rsidR="008B4D6C" w:rsidRPr="00032B9D">
        <w:rPr>
          <w:rFonts w:ascii="Arial" w:hAnsi="Arial" w:cs="Arial"/>
          <w:sz w:val="24"/>
        </w:rPr>
        <w:t>]</w:t>
      </w:r>
      <w:r w:rsidR="008B4D6C" w:rsidRPr="00032B9D">
        <w:rPr>
          <w:rFonts w:ascii="Arial" w:hAnsi="Arial" w:cs="Arial"/>
          <w:sz w:val="24"/>
        </w:rPr>
        <w:tab/>
      </w:r>
      <w:r w:rsidR="00324FC4" w:rsidRPr="00032B9D">
        <w:rPr>
          <w:rFonts w:ascii="Arial" w:hAnsi="Arial" w:cs="Arial"/>
          <w:sz w:val="24"/>
        </w:rPr>
        <w:t xml:space="preserve">On 19 September 2016 Mr Mouton was on his way to Oshivelo with the aforementioned vehicle </w:t>
      </w:r>
      <w:r w:rsidR="00527FC2" w:rsidRPr="007E5E06">
        <w:rPr>
          <w:rFonts w:ascii="Arial" w:hAnsi="Arial" w:cs="Arial"/>
          <w:sz w:val="24"/>
        </w:rPr>
        <w:t xml:space="preserve">on the B1 road </w:t>
      </w:r>
      <w:r w:rsidR="00324FC4" w:rsidRPr="00032B9D">
        <w:rPr>
          <w:rFonts w:ascii="Arial" w:hAnsi="Arial" w:cs="Arial"/>
          <w:sz w:val="24"/>
        </w:rPr>
        <w:t xml:space="preserve">when he struck a guinea fowl causing damage to the bonnet, the grill and the intercooler of the vehicle. </w:t>
      </w:r>
    </w:p>
    <w:p w:rsidR="00522E09" w:rsidRPr="00032B9D" w:rsidRDefault="00522E09" w:rsidP="00522E09">
      <w:pPr>
        <w:spacing w:after="0" w:line="360" w:lineRule="auto"/>
        <w:jc w:val="both"/>
        <w:rPr>
          <w:rFonts w:ascii="Arial" w:hAnsi="Arial" w:cs="Arial"/>
          <w:sz w:val="24"/>
        </w:rPr>
      </w:pPr>
    </w:p>
    <w:p w:rsidR="00D4594F" w:rsidRDefault="00324FC4" w:rsidP="00522E09">
      <w:pPr>
        <w:spacing w:after="0" w:line="360" w:lineRule="auto"/>
        <w:jc w:val="both"/>
        <w:rPr>
          <w:rFonts w:ascii="Arial" w:hAnsi="Arial" w:cs="Arial"/>
          <w:sz w:val="24"/>
        </w:rPr>
      </w:pPr>
      <w:r w:rsidRPr="00032B9D">
        <w:rPr>
          <w:rFonts w:ascii="Arial" w:hAnsi="Arial" w:cs="Arial"/>
          <w:sz w:val="24"/>
        </w:rPr>
        <w:t>[</w:t>
      </w:r>
      <w:r w:rsidR="00522E09">
        <w:rPr>
          <w:rFonts w:ascii="Arial" w:hAnsi="Arial" w:cs="Arial"/>
          <w:sz w:val="24"/>
        </w:rPr>
        <w:t>5</w:t>
      </w:r>
      <w:r w:rsidRPr="00032B9D">
        <w:rPr>
          <w:rFonts w:ascii="Arial" w:hAnsi="Arial" w:cs="Arial"/>
          <w:sz w:val="24"/>
        </w:rPr>
        <w:t>]</w:t>
      </w:r>
      <w:r w:rsidRPr="00032B9D">
        <w:rPr>
          <w:rFonts w:ascii="Arial" w:hAnsi="Arial" w:cs="Arial"/>
          <w:sz w:val="24"/>
        </w:rPr>
        <w:tab/>
        <w:t xml:space="preserve">The defendant had, in terms of the policy, elected to repair the damage to the vehicle. </w:t>
      </w:r>
      <w:r w:rsidR="00D4594F" w:rsidRPr="00032B9D">
        <w:rPr>
          <w:rFonts w:ascii="Arial" w:hAnsi="Arial" w:cs="Arial"/>
          <w:sz w:val="24"/>
        </w:rPr>
        <w:t xml:space="preserve">The defendant </w:t>
      </w:r>
      <w:r w:rsidRPr="00032B9D">
        <w:rPr>
          <w:rFonts w:ascii="Arial" w:hAnsi="Arial" w:cs="Arial"/>
          <w:sz w:val="24"/>
        </w:rPr>
        <w:t xml:space="preserve">instructed </w:t>
      </w:r>
      <w:r w:rsidR="00D4594F" w:rsidRPr="00032B9D">
        <w:rPr>
          <w:rFonts w:ascii="Arial" w:hAnsi="Arial" w:cs="Arial"/>
          <w:sz w:val="24"/>
        </w:rPr>
        <w:t xml:space="preserve">Hot Rod Panel Beaters and Spray Painters (‘Hot Rod Panel Beaters’) in </w:t>
      </w:r>
      <w:r w:rsidR="00D57D4B" w:rsidRPr="00032B9D">
        <w:rPr>
          <w:rFonts w:ascii="Arial" w:hAnsi="Arial" w:cs="Arial"/>
          <w:sz w:val="24"/>
        </w:rPr>
        <w:t>Oshakati</w:t>
      </w:r>
      <w:r w:rsidR="00D4594F" w:rsidRPr="00032B9D">
        <w:rPr>
          <w:rFonts w:ascii="Arial" w:hAnsi="Arial" w:cs="Arial"/>
          <w:sz w:val="24"/>
        </w:rPr>
        <w:t xml:space="preserve"> </w:t>
      </w:r>
      <w:r w:rsidRPr="00032B9D">
        <w:rPr>
          <w:rFonts w:ascii="Arial" w:hAnsi="Arial" w:cs="Arial"/>
          <w:sz w:val="24"/>
        </w:rPr>
        <w:t>to effect the repairs to the vehicle</w:t>
      </w:r>
      <w:r w:rsidR="00D4594F" w:rsidRPr="00032B9D">
        <w:rPr>
          <w:rFonts w:ascii="Arial" w:hAnsi="Arial" w:cs="Arial"/>
          <w:sz w:val="24"/>
        </w:rPr>
        <w:t xml:space="preserve"> and defendant</w:t>
      </w:r>
      <w:r w:rsidR="00C17AA1">
        <w:rPr>
          <w:rFonts w:ascii="Arial" w:hAnsi="Arial" w:cs="Arial"/>
          <w:sz w:val="24"/>
        </w:rPr>
        <w:t>,</w:t>
      </w:r>
      <w:r w:rsidR="00D4594F" w:rsidRPr="00032B9D">
        <w:rPr>
          <w:rFonts w:ascii="Arial" w:hAnsi="Arial" w:cs="Arial"/>
          <w:sz w:val="24"/>
        </w:rPr>
        <w:t xml:space="preserve"> subsequent to the repairing of the vehicle</w:t>
      </w:r>
      <w:r w:rsidR="00C17AA1">
        <w:rPr>
          <w:rFonts w:ascii="Arial" w:hAnsi="Arial" w:cs="Arial"/>
          <w:sz w:val="24"/>
        </w:rPr>
        <w:t>,</w:t>
      </w:r>
      <w:r w:rsidR="00D4594F" w:rsidRPr="00032B9D">
        <w:rPr>
          <w:rFonts w:ascii="Arial" w:hAnsi="Arial" w:cs="Arial"/>
          <w:sz w:val="24"/>
        </w:rPr>
        <w:t xml:space="preserve"> paid the cost of the repairs to Hot Rod Panel</w:t>
      </w:r>
      <w:r w:rsidR="00C17AA1">
        <w:rPr>
          <w:rFonts w:ascii="Arial" w:hAnsi="Arial" w:cs="Arial"/>
          <w:sz w:val="24"/>
        </w:rPr>
        <w:t xml:space="preserve"> </w:t>
      </w:r>
      <w:r w:rsidR="00C17AA1" w:rsidRPr="007E5E06">
        <w:rPr>
          <w:rFonts w:ascii="Arial" w:hAnsi="Arial" w:cs="Arial"/>
          <w:sz w:val="24"/>
        </w:rPr>
        <w:t>B</w:t>
      </w:r>
      <w:r w:rsidR="00D4594F" w:rsidRPr="00032B9D">
        <w:rPr>
          <w:rFonts w:ascii="Arial" w:hAnsi="Arial" w:cs="Arial"/>
          <w:sz w:val="24"/>
        </w:rPr>
        <w:t>eater</w:t>
      </w:r>
      <w:r w:rsidR="00C17AA1" w:rsidRPr="007E5E06">
        <w:rPr>
          <w:rFonts w:ascii="Arial" w:hAnsi="Arial" w:cs="Arial"/>
          <w:sz w:val="24"/>
        </w:rPr>
        <w:t>s</w:t>
      </w:r>
      <w:r w:rsidRPr="00032B9D">
        <w:rPr>
          <w:rFonts w:ascii="Arial" w:hAnsi="Arial" w:cs="Arial"/>
          <w:sz w:val="24"/>
        </w:rPr>
        <w:t xml:space="preserve">. </w:t>
      </w:r>
    </w:p>
    <w:p w:rsidR="00522E09" w:rsidRPr="00032B9D" w:rsidRDefault="00522E09" w:rsidP="00522E09">
      <w:pPr>
        <w:spacing w:after="0" w:line="360" w:lineRule="auto"/>
        <w:jc w:val="both"/>
        <w:rPr>
          <w:rFonts w:ascii="Arial" w:hAnsi="Arial" w:cs="Arial"/>
          <w:sz w:val="24"/>
        </w:rPr>
      </w:pPr>
    </w:p>
    <w:p w:rsidR="00D4594F" w:rsidRDefault="00D4594F" w:rsidP="00522E09">
      <w:pPr>
        <w:spacing w:after="0" w:line="360" w:lineRule="auto"/>
        <w:jc w:val="both"/>
        <w:rPr>
          <w:rFonts w:ascii="Arial" w:hAnsi="Arial" w:cs="Arial"/>
          <w:sz w:val="24"/>
        </w:rPr>
      </w:pPr>
      <w:r w:rsidRPr="00032B9D">
        <w:rPr>
          <w:rFonts w:ascii="Arial" w:hAnsi="Arial" w:cs="Arial"/>
          <w:sz w:val="24"/>
        </w:rPr>
        <w:t>[</w:t>
      </w:r>
      <w:r w:rsidR="00522E09">
        <w:rPr>
          <w:rFonts w:ascii="Arial" w:hAnsi="Arial" w:cs="Arial"/>
          <w:sz w:val="24"/>
        </w:rPr>
        <w:t>6</w:t>
      </w:r>
      <w:r w:rsidRPr="00032B9D">
        <w:rPr>
          <w:rFonts w:ascii="Arial" w:hAnsi="Arial" w:cs="Arial"/>
          <w:sz w:val="24"/>
        </w:rPr>
        <w:t>]</w:t>
      </w:r>
      <w:r w:rsidRPr="00032B9D">
        <w:rPr>
          <w:rFonts w:ascii="Arial" w:hAnsi="Arial" w:cs="Arial"/>
          <w:sz w:val="24"/>
        </w:rPr>
        <w:tab/>
        <w:t xml:space="preserve">Hot Rod Panel Beaters returned the vehicle to the plaintiff </w:t>
      </w:r>
      <w:r w:rsidR="00C17AA1" w:rsidRPr="007E5E06">
        <w:rPr>
          <w:rFonts w:ascii="Arial" w:hAnsi="Arial" w:cs="Arial"/>
          <w:sz w:val="24"/>
        </w:rPr>
        <w:t>after repairing the said vehicle</w:t>
      </w:r>
      <w:r w:rsidR="00C17AA1">
        <w:rPr>
          <w:rFonts w:ascii="Arial" w:hAnsi="Arial" w:cs="Arial"/>
          <w:color w:val="FF0000"/>
          <w:sz w:val="24"/>
        </w:rPr>
        <w:t xml:space="preserve"> </w:t>
      </w:r>
      <w:r w:rsidRPr="00032B9D">
        <w:rPr>
          <w:rFonts w:ascii="Arial" w:hAnsi="Arial" w:cs="Arial"/>
          <w:sz w:val="24"/>
        </w:rPr>
        <w:t xml:space="preserve">and during the first journey from </w:t>
      </w:r>
      <w:r w:rsidR="00D57D4B" w:rsidRPr="00032B9D">
        <w:rPr>
          <w:rFonts w:ascii="Arial" w:hAnsi="Arial" w:cs="Arial"/>
          <w:sz w:val="24"/>
        </w:rPr>
        <w:t xml:space="preserve">Oshakati </w:t>
      </w:r>
      <w:r w:rsidRPr="00032B9D">
        <w:rPr>
          <w:rFonts w:ascii="Arial" w:hAnsi="Arial" w:cs="Arial"/>
          <w:sz w:val="24"/>
        </w:rPr>
        <w:t xml:space="preserve">to </w:t>
      </w:r>
      <w:r w:rsidR="00D57D4B" w:rsidRPr="00032B9D">
        <w:rPr>
          <w:rFonts w:ascii="Arial" w:hAnsi="Arial" w:cs="Arial"/>
          <w:sz w:val="24"/>
        </w:rPr>
        <w:t xml:space="preserve">Ondangwa </w:t>
      </w:r>
      <w:r w:rsidRPr="00032B9D">
        <w:rPr>
          <w:rFonts w:ascii="Arial" w:hAnsi="Arial" w:cs="Arial"/>
          <w:sz w:val="24"/>
        </w:rPr>
        <w:t xml:space="preserve">the vehicle overheated. The vehicle was returned to Hot Rod Panel Beaters, who subsequently informed the plaintiff that the vehicle </w:t>
      </w:r>
      <w:r w:rsidR="00C00908" w:rsidRPr="00032B9D">
        <w:rPr>
          <w:rFonts w:ascii="Arial" w:hAnsi="Arial" w:cs="Arial"/>
          <w:sz w:val="24"/>
        </w:rPr>
        <w:t>had a knock in the engine.</w:t>
      </w:r>
    </w:p>
    <w:p w:rsidR="00522E09" w:rsidRPr="00032B9D" w:rsidRDefault="00522E09" w:rsidP="00522E09">
      <w:pPr>
        <w:spacing w:after="0" w:line="360" w:lineRule="auto"/>
        <w:jc w:val="both"/>
        <w:rPr>
          <w:rFonts w:ascii="Arial" w:hAnsi="Arial" w:cs="Arial"/>
          <w:sz w:val="24"/>
        </w:rPr>
      </w:pPr>
    </w:p>
    <w:p w:rsidR="00C00908" w:rsidRPr="007E5E06" w:rsidRDefault="00C00908" w:rsidP="00522E09">
      <w:pPr>
        <w:spacing w:after="0" w:line="360" w:lineRule="auto"/>
        <w:jc w:val="both"/>
        <w:rPr>
          <w:rFonts w:ascii="Arial" w:hAnsi="Arial" w:cs="Arial"/>
          <w:sz w:val="24"/>
        </w:rPr>
      </w:pPr>
      <w:r w:rsidRPr="00032B9D">
        <w:rPr>
          <w:rFonts w:ascii="Arial" w:hAnsi="Arial" w:cs="Arial"/>
          <w:sz w:val="24"/>
        </w:rPr>
        <w:t>[</w:t>
      </w:r>
      <w:r w:rsidR="00522E09">
        <w:rPr>
          <w:rFonts w:ascii="Arial" w:hAnsi="Arial" w:cs="Arial"/>
          <w:sz w:val="24"/>
        </w:rPr>
        <w:t>7</w:t>
      </w:r>
      <w:r w:rsidRPr="00032B9D">
        <w:rPr>
          <w:rFonts w:ascii="Arial" w:hAnsi="Arial" w:cs="Arial"/>
          <w:sz w:val="24"/>
        </w:rPr>
        <w:t>]</w:t>
      </w:r>
      <w:r w:rsidRPr="00032B9D">
        <w:rPr>
          <w:rFonts w:ascii="Arial" w:hAnsi="Arial" w:cs="Arial"/>
          <w:sz w:val="24"/>
        </w:rPr>
        <w:tab/>
        <w:t>The plaintiff lodged a subsequent claim with the defendant, however this claim was rejected, which then gave rise to the plaintiff instituting action in this matter</w:t>
      </w:r>
      <w:r w:rsidR="000E51D1">
        <w:rPr>
          <w:rFonts w:ascii="Arial" w:hAnsi="Arial" w:cs="Arial"/>
          <w:sz w:val="24"/>
        </w:rPr>
        <w:t xml:space="preserve"> </w:t>
      </w:r>
      <w:r w:rsidR="000E51D1" w:rsidRPr="007E5E06">
        <w:rPr>
          <w:rFonts w:ascii="Arial" w:hAnsi="Arial" w:cs="Arial"/>
          <w:sz w:val="24"/>
        </w:rPr>
        <w:t xml:space="preserve">for specific performance in terms of which </w:t>
      </w:r>
      <w:r w:rsidR="00D81AAA" w:rsidRPr="007E348E">
        <w:rPr>
          <w:rFonts w:ascii="Arial" w:hAnsi="Arial" w:cs="Arial"/>
          <w:sz w:val="24"/>
        </w:rPr>
        <w:t>it</w:t>
      </w:r>
      <w:r w:rsidR="00D81AAA">
        <w:rPr>
          <w:rFonts w:ascii="Arial" w:hAnsi="Arial" w:cs="Arial"/>
          <w:color w:val="FF0000"/>
          <w:sz w:val="24"/>
        </w:rPr>
        <w:t xml:space="preserve"> </w:t>
      </w:r>
      <w:r w:rsidR="000E51D1" w:rsidRPr="007E5E06">
        <w:rPr>
          <w:rFonts w:ascii="Arial" w:hAnsi="Arial" w:cs="Arial"/>
          <w:sz w:val="24"/>
        </w:rPr>
        <w:t xml:space="preserve">seeks the defendant to be ordered to indemnify </w:t>
      </w:r>
      <w:r w:rsidR="00D81AAA" w:rsidRPr="007E348E">
        <w:rPr>
          <w:rFonts w:ascii="Arial" w:hAnsi="Arial" w:cs="Arial"/>
          <w:sz w:val="24"/>
        </w:rPr>
        <w:t>it</w:t>
      </w:r>
      <w:r w:rsidR="00D81AAA">
        <w:rPr>
          <w:rFonts w:ascii="Arial" w:hAnsi="Arial" w:cs="Arial"/>
          <w:color w:val="FF0000"/>
          <w:sz w:val="24"/>
        </w:rPr>
        <w:t xml:space="preserve"> </w:t>
      </w:r>
      <w:r w:rsidR="000E51D1" w:rsidRPr="007E5E06">
        <w:rPr>
          <w:rFonts w:ascii="Arial" w:hAnsi="Arial" w:cs="Arial"/>
          <w:sz w:val="24"/>
        </w:rPr>
        <w:t>by repairing the damage caused to the engine</w:t>
      </w:r>
      <w:r w:rsidR="00B31EED">
        <w:rPr>
          <w:rFonts w:ascii="Arial" w:hAnsi="Arial" w:cs="Arial"/>
          <w:sz w:val="24"/>
        </w:rPr>
        <w:t xml:space="preserve"> </w:t>
      </w:r>
      <w:r w:rsidR="00B31EED" w:rsidRPr="007E348E">
        <w:rPr>
          <w:rFonts w:ascii="Arial" w:hAnsi="Arial" w:cs="Arial"/>
          <w:sz w:val="24"/>
        </w:rPr>
        <w:t>of the Ford Ranger</w:t>
      </w:r>
      <w:r w:rsidRPr="007E5E06">
        <w:rPr>
          <w:rFonts w:ascii="Arial" w:hAnsi="Arial" w:cs="Arial"/>
          <w:sz w:val="24"/>
        </w:rPr>
        <w:t xml:space="preserve">. </w:t>
      </w:r>
    </w:p>
    <w:p w:rsidR="00522E09" w:rsidRPr="00032B9D" w:rsidRDefault="00522E09" w:rsidP="00522E09">
      <w:pPr>
        <w:spacing w:after="0" w:line="360" w:lineRule="auto"/>
        <w:jc w:val="both"/>
        <w:rPr>
          <w:rFonts w:ascii="Arial" w:hAnsi="Arial" w:cs="Arial"/>
          <w:sz w:val="24"/>
        </w:rPr>
      </w:pPr>
    </w:p>
    <w:p w:rsidR="00C00908" w:rsidRDefault="00C00908" w:rsidP="00522E09">
      <w:pPr>
        <w:spacing w:after="0" w:line="360" w:lineRule="auto"/>
        <w:jc w:val="both"/>
        <w:rPr>
          <w:rFonts w:ascii="Arial" w:hAnsi="Arial" w:cs="Arial"/>
          <w:sz w:val="24"/>
          <w:u w:val="single"/>
        </w:rPr>
      </w:pPr>
      <w:r w:rsidRPr="00032B9D">
        <w:rPr>
          <w:rFonts w:ascii="Arial" w:hAnsi="Arial" w:cs="Arial"/>
          <w:sz w:val="24"/>
          <w:u w:val="single"/>
        </w:rPr>
        <w:t>Current application</w:t>
      </w:r>
    </w:p>
    <w:p w:rsidR="00522E09" w:rsidRPr="00032B9D" w:rsidRDefault="00522E09" w:rsidP="00522E09">
      <w:pPr>
        <w:spacing w:after="0" w:line="360" w:lineRule="auto"/>
        <w:jc w:val="both"/>
        <w:rPr>
          <w:rFonts w:ascii="Arial" w:hAnsi="Arial" w:cs="Arial"/>
          <w:sz w:val="24"/>
          <w:u w:val="single"/>
        </w:rPr>
      </w:pPr>
    </w:p>
    <w:p w:rsidR="00C00908" w:rsidRDefault="00C00908" w:rsidP="00522E09">
      <w:pPr>
        <w:spacing w:after="0" w:line="360" w:lineRule="auto"/>
        <w:jc w:val="both"/>
        <w:rPr>
          <w:rFonts w:ascii="Arial" w:hAnsi="Arial" w:cs="Arial"/>
          <w:sz w:val="24"/>
          <w:szCs w:val="24"/>
        </w:rPr>
      </w:pPr>
      <w:r w:rsidRPr="00032B9D">
        <w:rPr>
          <w:rFonts w:ascii="Arial" w:hAnsi="Arial" w:cs="Arial"/>
          <w:sz w:val="24"/>
        </w:rPr>
        <w:t>[</w:t>
      </w:r>
      <w:r w:rsidR="00522E09">
        <w:rPr>
          <w:rFonts w:ascii="Arial" w:hAnsi="Arial" w:cs="Arial"/>
          <w:sz w:val="24"/>
        </w:rPr>
        <w:t>8</w:t>
      </w:r>
      <w:r w:rsidRPr="00032B9D">
        <w:rPr>
          <w:rFonts w:ascii="Arial" w:hAnsi="Arial" w:cs="Arial"/>
          <w:sz w:val="24"/>
        </w:rPr>
        <w:t>]</w:t>
      </w:r>
      <w:r w:rsidRPr="00032B9D">
        <w:rPr>
          <w:rFonts w:ascii="Arial" w:hAnsi="Arial" w:cs="Arial"/>
          <w:sz w:val="24"/>
        </w:rPr>
        <w:tab/>
        <w:t xml:space="preserve">After the close of the plaintiff’s case the </w:t>
      </w:r>
      <w:r w:rsidRPr="00032B9D">
        <w:rPr>
          <w:rFonts w:ascii="Arial" w:hAnsi="Arial" w:cs="Arial"/>
          <w:sz w:val="24"/>
          <w:szCs w:val="24"/>
        </w:rPr>
        <w:t>defendant applied for an absolution from the instance.</w:t>
      </w:r>
    </w:p>
    <w:p w:rsidR="00522E09" w:rsidRPr="00032B9D" w:rsidRDefault="00522E09" w:rsidP="00522E09">
      <w:pPr>
        <w:spacing w:after="0" w:line="360" w:lineRule="auto"/>
        <w:jc w:val="both"/>
        <w:rPr>
          <w:rFonts w:ascii="Arial" w:hAnsi="Arial" w:cs="Arial"/>
          <w:sz w:val="24"/>
          <w:szCs w:val="24"/>
        </w:rPr>
      </w:pPr>
    </w:p>
    <w:p w:rsidR="00C00908" w:rsidRDefault="00C00908" w:rsidP="00522E09">
      <w:pPr>
        <w:spacing w:after="0" w:line="360" w:lineRule="auto"/>
        <w:jc w:val="both"/>
        <w:rPr>
          <w:rFonts w:ascii="Arial" w:hAnsi="Arial" w:cs="Arial"/>
          <w:sz w:val="24"/>
          <w:szCs w:val="24"/>
        </w:rPr>
      </w:pPr>
      <w:r w:rsidRPr="00032B9D">
        <w:rPr>
          <w:rFonts w:ascii="Arial" w:hAnsi="Arial" w:cs="Arial"/>
          <w:sz w:val="24"/>
          <w:szCs w:val="24"/>
        </w:rPr>
        <w:t>[</w:t>
      </w:r>
      <w:r w:rsidR="00522E09">
        <w:rPr>
          <w:rFonts w:ascii="Arial" w:hAnsi="Arial" w:cs="Arial"/>
          <w:sz w:val="24"/>
          <w:szCs w:val="24"/>
        </w:rPr>
        <w:t>9</w:t>
      </w:r>
      <w:r w:rsidRPr="00032B9D">
        <w:rPr>
          <w:rFonts w:ascii="Arial" w:hAnsi="Arial" w:cs="Arial"/>
          <w:sz w:val="24"/>
          <w:szCs w:val="24"/>
        </w:rPr>
        <w:t>]</w:t>
      </w:r>
      <w:r w:rsidRPr="00032B9D">
        <w:rPr>
          <w:rFonts w:ascii="Arial" w:hAnsi="Arial" w:cs="Arial"/>
          <w:sz w:val="24"/>
          <w:szCs w:val="24"/>
        </w:rPr>
        <w:tab/>
        <w:t>The application for absolution is founded in four grounds, namely:</w:t>
      </w:r>
    </w:p>
    <w:p w:rsidR="00522E09" w:rsidRPr="00032B9D" w:rsidRDefault="00522E09" w:rsidP="00522E09">
      <w:pPr>
        <w:spacing w:after="0" w:line="360" w:lineRule="auto"/>
        <w:jc w:val="both"/>
        <w:rPr>
          <w:rFonts w:ascii="Arial" w:hAnsi="Arial" w:cs="Arial"/>
          <w:sz w:val="24"/>
          <w:szCs w:val="24"/>
        </w:rPr>
      </w:pPr>
    </w:p>
    <w:p w:rsidR="00C00908" w:rsidRPr="00032B9D" w:rsidRDefault="00C00908" w:rsidP="00D42B7B">
      <w:pPr>
        <w:pStyle w:val="ListParagraph"/>
        <w:numPr>
          <w:ilvl w:val="0"/>
          <w:numId w:val="5"/>
        </w:numPr>
        <w:spacing w:after="0" w:line="360" w:lineRule="auto"/>
        <w:ind w:left="1440" w:hanging="660"/>
        <w:jc w:val="both"/>
        <w:rPr>
          <w:rFonts w:ascii="Arial" w:hAnsi="Arial" w:cs="Arial"/>
          <w:sz w:val="24"/>
          <w:u w:val="single"/>
        </w:rPr>
      </w:pPr>
      <w:r w:rsidRPr="00032B9D">
        <w:rPr>
          <w:rFonts w:ascii="Arial" w:hAnsi="Arial" w:cs="Arial"/>
          <w:sz w:val="24"/>
        </w:rPr>
        <w:t>that the plaintiff has not proven its incorporation and registration as a close corporation;</w:t>
      </w:r>
    </w:p>
    <w:p w:rsidR="00C00908" w:rsidRPr="00032B9D" w:rsidRDefault="00C00908" w:rsidP="00D42B7B">
      <w:pPr>
        <w:pStyle w:val="ListParagraph"/>
        <w:numPr>
          <w:ilvl w:val="0"/>
          <w:numId w:val="5"/>
        </w:numPr>
        <w:spacing w:after="0" w:line="360" w:lineRule="auto"/>
        <w:ind w:left="1440" w:hanging="660"/>
        <w:jc w:val="both"/>
        <w:rPr>
          <w:rFonts w:ascii="Arial" w:hAnsi="Arial" w:cs="Arial"/>
          <w:sz w:val="24"/>
          <w:u w:val="single"/>
        </w:rPr>
      </w:pPr>
      <w:r w:rsidRPr="00032B9D">
        <w:rPr>
          <w:rFonts w:ascii="Arial" w:hAnsi="Arial" w:cs="Arial"/>
          <w:sz w:val="24"/>
        </w:rPr>
        <w:t xml:space="preserve">that the plaintiff failed to lead any monetary damages; </w:t>
      </w:r>
    </w:p>
    <w:p w:rsidR="00C00908" w:rsidRPr="00032B9D" w:rsidRDefault="00C00908" w:rsidP="00D42B7B">
      <w:pPr>
        <w:pStyle w:val="ListParagraph"/>
        <w:numPr>
          <w:ilvl w:val="0"/>
          <w:numId w:val="5"/>
        </w:numPr>
        <w:spacing w:after="0" w:line="360" w:lineRule="auto"/>
        <w:ind w:left="1440" w:hanging="660"/>
        <w:jc w:val="both"/>
        <w:rPr>
          <w:rFonts w:ascii="Arial" w:hAnsi="Arial" w:cs="Arial"/>
          <w:sz w:val="24"/>
          <w:u w:val="single"/>
        </w:rPr>
      </w:pPr>
      <w:r w:rsidRPr="00032B9D">
        <w:rPr>
          <w:rFonts w:ascii="Arial" w:hAnsi="Arial" w:cs="Arial"/>
          <w:sz w:val="24"/>
        </w:rPr>
        <w:lastRenderedPageBreak/>
        <w:t xml:space="preserve">that the plaintiff failed to establish an agency relationship between the </w:t>
      </w:r>
      <w:r w:rsidR="00FD45BB" w:rsidRPr="00032B9D">
        <w:rPr>
          <w:rFonts w:ascii="Arial" w:hAnsi="Arial" w:cs="Arial"/>
          <w:sz w:val="24"/>
        </w:rPr>
        <w:t xml:space="preserve">defendant and Hot Rod Panel Beaters; and </w:t>
      </w:r>
    </w:p>
    <w:p w:rsidR="00FD45BB" w:rsidRPr="00032B9D" w:rsidRDefault="00FD45BB" w:rsidP="004851AA">
      <w:pPr>
        <w:pStyle w:val="ListParagraph"/>
        <w:numPr>
          <w:ilvl w:val="0"/>
          <w:numId w:val="5"/>
        </w:numPr>
        <w:spacing w:after="0" w:line="360" w:lineRule="auto"/>
        <w:ind w:left="1440" w:hanging="660"/>
        <w:jc w:val="both"/>
        <w:rPr>
          <w:rFonts w:ascii="Arial" w:hAnsi="Arial" w:cs="Arial"/>
          <w:sz w:val="24"/>
          <w:u w:val="single"/>
        </w:rPr>
      </w:pPr>
      <w:r w:rsidRPr="00032B9D">
        <w:rPr>
          <w:rFonts w:ascii="Arial" w:hAnsi="Arial" w:cs="Arial"/>
          <w:sz w:val="24"/>
        </w:rPr>
        <w:t xml:space="preserve">that the claim was consequential and/or mechanical loss/damage which is excluded by an exclusion clause in the defendant’s commercial policy. </w:t>
      </w:r>
    </w:p>
    <w:p w:rsidR="00C00908" w:rsidRPr="00032B9D" w:rsidRDefault="00C00908" w:rsidP="00522E09">
      <w:pPr>
        <w:spacing w:after="0" w:line="360" w:lineRule="auto"/>
        <w:jc w:val="both"/>
        <w:rPr>
          <w:rFonts w:ascii="Arial" w:hAnsi="Arial" w:cs="Arial"/>
          <w:sz w:val="24"/>
          <w:u w:val="single"/>
        </w:rPr>
      </w:pPr>
    </w:p>
    <w:p w:rsidR="00FD45BB" w:rsidRDefault="00FD45BB" w:rsidP="00522E09">
      <w:pPr>
        <w:spacing w:after="0" w:line="360" w:lineRule="auto"/>
        <w:jc w:val="both"/>
        <w:rPr>
          <w:rFonts w:ascii="Arial" w:hAnsi="Arial" w:cs="Arial"/>
          <w:sz w:val="24"/>
          <w:szCs w:val="24"/>
          <w:u w:val="single"/>
        </w:rPr>
      </w:pPr>
      <w:r w:rsidRPr="00032B9D">
        <w:rPr>
          <w:rFonts w:ascii="Arial" w:hAnsi="Arial" w:cs="Arial"/>
          <w:sz w:val="24"/>
          <w:szCs w:val="24"/>
          <w:u w:val="single"/>
        </w:rPr>
        <w:t xml:space="preserve">The legal principles relating to application for absolution from the instance </w:t>
      </w:r>
    </w:p>
    <w:p w:rsidR="00522E09" w:rsidRPr="00032B9D" w:rsidRDefault="00522E09" w:rsidP="00522E09">
      <w:pPr>
        <w:spacing w:after="0" w:line="360" w:lineRule="auto"/>
        <w:jc w:val="both"/>
        <w:rPr>
          <w:rFonts w:ascii="Arial" w:hAnsi="Arial" w:cs="Arial"/>
          <w:sz w:val="24"/>
          <w:szCs w:val="24"/>
          <w:u w:val="single"/>
        </w:rPr>
      </w:pPr>
    </w:p>
    <w:p w:rsidR="00FD45BB" w:rsidRPr="00032B9D" w:rsidRDefault="00FD45BB" w:rsidP="00522E09">
      <w:pPr>
        <w:spacing w:after="0" w:line="360" w:lineRule="auto"/>
        <w:jc w:val="both"/>
        <w:rPr>
          <w:rFonts w:ascii="Arial" w:hAnsi="Arial" w:cs="Arial"/>
          <w:bCs/>
          <w:sz w:val="24"/>
          <w:szCs w:val="24"/>
        </w:rPr>
      </w:pPr>
      <w:r w:rsidRPr="00032B9D">
        <w:rPr>
          <w:rFonts w:ascii="Arial" w:hAnsi="Arial" w:cs="Arial"/>
          <w:sz w:val="24"/>
          <w:szCs w:val="24"/>
        </w:rPr>
        <w:t>[</w:t>
      </w:r>
      <w:r w:rsidR="00522E09">
        <w:rPr>
          <w:rFonts w:ascii="Arial" w:hAnsi="Arial" w:cs="Arial"/>
          <w:sz w:val="24"/>
          <w:szCs w:val="24"/>
        </w:rPr>
        <w:t>10</w:t>
      </w:r>
      <w:r w:rsidRPr="00032B9D">
        <w:rPr>
          <w:rFonts w:ascii="Arial" w:hAnsi="Arial" w:cs="Arial"/>
          <w:sz w:val="24"/>
          <w:szCs w:val="24"/>
        </w:rPr>
        <w:t>]</w:t>
      </w:r>
      <w:r w:rsidRPr="00032B9D">
        <w:rPr>
          <w:rFonts w:ascii="Arial" w:hAnsi="Arial" w:cs="Arial"/>
          <w:sz w:val="24"/>
          <w:szCs w:val="24"/>
        </w:rPr>
        <w:tab/>
        <w:t xml:space="preserve">The reasoning in an application for absolution from the instance at the closing of the plaintiff’s case is different from that applicable when the court comes to consider, after having heard the evidence for the plaintiff and that of the defendant, </w:t>
      </w:r>
      <w:r w:rsidR="006D420C" w:rsidRPr="007E5E06">
        <w:rPr>
          <w:rFonts w:ascii="Arial" w:hAnsi="Arial" w:cs="Arial"/>
          <w:sz w:val="24"/>
          <w:szCs w:val="24"/>
        </w:rPr>
        <w:t>the merits of the case</w:t>
      </w:r>
      <w:r w:rsidR="00960BCD" w:rsidRPr="007E5E06">
        <w:rPr>
          <w:rFonts w:ascii="Arial" w:hAnsi="Arial" w:cs="Arial"/>
          <w:sz w:val="24"/>
          <w:szCs w:val="24"/>
        </w:rPr>
        <w:t>,</w:t>
      </w:r>
      <w:r w:rsidR="006D420C" w:rsidRPr="007E5E06">
        <w:rPr>
          <w:rFonts w:ascii="Arial" w:hAnsi="Arial" w:cs="Arial"/>
          <w:sz w:val="24"/>
          <w:szCs w:val="24"/>
        </w:rPr>
        <w:t xml:space="preserve"> </w:t>
      </w:r>
      <w:r w:rsidRPr="00032B9D">
        <w:rPr>
          <w:rFonts w:ascii="Arial" w:hAnsi="Arial" w:cs="Arial"/>
          <w:sz w:val="24"/>
          <w:szCs w:val="24"/>
        </w:rPr>
        <w:t>which is: ‘Is there evidence upon which a Court ought to give judgment in favour of the plaintiff?’</w:t>
      </w:r>
      <w:r w:rsidRPr="00032B9D">
        <w:rPr>
          <w:rStyle w:val="FootnoteReference"/>
          <w:rFonts w:ascii="Arial" w:hAnsi="Arial" w:cs="Arial"/>
          <w:sz w:val="24"/>
          <w:szCs w:val="24"/>
        </w:rPr>
        <w:footnoteReference w:id="1"/>
      </w:r>
      <w:r w:rsidRPr="00032B9D">
        <w:rPr>
          <w:rFonts w:ascii="Arial" w:hAnsi="Arial" w:cs="Arial"/>
          <w:bCs/>
          <w:sz w:val="24"/>
          <w:szCs w:val="24"/>
        </w:rPr>
        <w:t xml:space="preserve"> </w:t>
      </w:r>
    </w:p>
    <w:p w:rsidR="00FD45BB" w:rsidRPr="00032B9D" w:rsidRDefault="00FD45BB" w:rsidP="00522E09">
      <w:pPr>
        <w:spacing w:after="0" w:line="360" w:lineRule="auto"/>
        <w:jc w:val="both"/>
        <w:rPr>
          <w:rFonts w:ascii="Arial" w:hAnsi="Arial" w:cs="Arial"/>
          <w:bCs/>
          <w:sz w:val="24"/>
          <w:szCs w:val="24"/>
        </w:rPr>
      </w:pPr>
    </w:p>
    <w:p w:rsidR="00FD45BB" w:rsidRPr="00032B9D" w:rsidRDefault="00FD45BB" w:rsidP="00522E09">
      <w:pPr>
        <w:spacing w:after="0" w:line="360" w:lineRule="auto"/>
        <w:jc w:val="both"/>
        <w:rPr>
          <w:rFonts w:ascii="Arial" w:hAnsi="Arial" w:cs="Arial"/>
          <w:sz w:val="24"/>
          <w:szCs w:val="24"/>
        </w:rPr>
      </w:pPr>
      <w:r w:rsidRPr="00032B9D">
        <w:rPr>
          <w:rFonts w:ascii="Arial" w:hAnsi="Arial" w:cs="Arial"/>
          <w:bCs/>
          <w:sz w:val="24"/>
          <w:szCs w:val="24"/>
        </w:rPr>
        <w:t>[</w:t>
      </w:r>
      <w:r w:rsidR="00522E09">
        <w:rPr>
          <w:rFonts w:ascii="Arial" w:hAnsi="Arial" w:cs="Arial"/>
          <w:bCs/>
          <w:sz w:val="24"/>
          <w:szCs w:val="24"/>
        </w:rPr>
        <w:t>11</w:t>
      </w:r>
      <w:r w:rsidRPr="00032B9D">
        <w:rPr>
          <w:rFonts w:ascii="Arial" w:hAnsi="Arial" w:cs="Arial"/>
          <w:bCs/>
          <w:sz w:val="24"/>
          <w:szCs w:val="24"/>
        </w:rPr>
        <w:t>]</w:t>
      </w:r>
      <w:r w:rsidRPr="00032B9D">
        <w:rPr>
          <w:rFonts w:ascii="Arial" w:hAnsi="Arial" w:cs="Arial"/>
          <w:bCs/>
          <w:sz w:val="24"/>
          <w:szCs w:val="24"/>
        </w:rPr>
        <w:tab/>
        <w:t>T</w:t>
      </w:r>
      <w:r w:rsidRPr="00032B9D">
        <w:rPr>
          <w:rFonts w:ascii="Arial" w:hAnsi="Arial" w:cs="Arial"/>
          <w:sz w:val="24"/>
          <w:szCs w:val="24"/>
        </w:rPr>
        <w:t>he relevant test is not whether the evidence led by the plaintiff established what would finally be required to be established, but whether there is evidence upon which a court, applying its mind reasonably to such evidence, could or might (not should or ought to) find for the plaintiff.</w:t>
      </w:r>
      <w:r w:rsidRPr="00032B9D">
        <w:rPr>
          <w:rStyle w:val="FootnoteReference"/>
          <w:rFonts w:ascii="Arial" w:hAnsi="Arial" w:cs="Arial"/>
          <w:sz w:val="24"/>
          <w:szCs w:val="24"/>
        </w:rPr>
        <w:footnoteReference w:id="2"/>
      </w:r>
      <w:r w:rsidRPr="00032B9D">
        <w:rPr>
          <w:rFonts w:ascii="Arial" w:hAnsi="Arial" w:cs="Arial"/>
          <w:sz w:val="24"/>
          <w:szCs w:val="24"/>
        </w:rPr>
        <w:t xml:space="preserve"> </w:t>
      </w:r>
    </w:p>
    <w:p w:rsidR="00FD45BB" w:rsidRPr="00032B9D" w:rsidRDefault="00FD45BB" w:rsidP="00522E09">
      <w:pPr>
        <w:spacing w:after="0" w:line="360" w:lineRule="auto"/>
        <w:jc w:val="both"/>
        <w:rPr>
          <w:rFonts w:ascii="Arial" w:hAnsi="Arial" w:cs="Arial"/>
          <w:sz w:val="24"/>
          <w:u w:val="single"/>
        </w:rPr>
      </w:pPr>
    </w:p>
    <w:p w:rsidR="000A686A" w:rsidRPr="00032B9D" w:rsidRDefault="000A686A" w:rsidP="00522E09">
      <w:pPr>
        <w:spacing w:after="0" w:line="360" w:lineRule="auto"/>
        <w:jc w:val="both"/>
        <w:rPr>
          <w:rFonts w:ascii="Arial" w:hAnsi="Arial" w:cs="Arial"/>
          <w:sz w:val="24"/>
          <w:szCs w:val="24"/>
        </w:rPr>
      </w:pPr>
      <w:r w:rsidRPr="00032B9D">
        <w:rPr>
          <w:rFonts w:ascii="Arial" w:hAnsi="Arial" w:cs="Arial"/>
          <w:sz w:val="24"/>
          <w:szCs w:val="24"/>
        </w:rPr>
        <w:t>[</w:t>
      </w:r>
      <w:r w:rsidR="00522E09">
        <w:rPr>
          <w:rFonts w:ascii="Arial" w:hAnsi="Arial" w:cs="Arial"/>
          <w:sz w:val="24"/>
          <w:szCs w:val="24"/>
        </w:rPr>
        <w:t>12</w:t>
      </w:r>
      <w:r w:rsidRPr="00032B9D">
        <w:rPr>
          <w:rFonts w:ascii="Arial" w:hAnsi="Arial" w:cs="Arial"/>
          <w:sz w:val="24"/>
          <w:szCs w:val="24"/>
        </w:rPr>
        <w:t>]</w:t>
      </w:r>
      <w:r w:rsidRPr="00032B9D">
        <w:rPr>
          <w:rFonts w:ascii="Arial" w:hAnsi="Arial" w:cs="Arial"/>
          <w:sz w:val="24"/>
          <w:szCs w:val="24"/>
        </w:rPr>
        <w:tab/>
        <w:t>The test which the court applies for such applications has been authoritatively stated in various judgments and adopted by this court and our Supreme Court</w:t>
      </w:r>
      <w:r w:rsidRPr="00032B9D">
        <w:rPr>
          <w:rStyle w:val="FootnoteReference"/>
          <w:rFonts w:ascii="Arial" w:hAnsi="Arial" w:cs="Arial"/>
          <w:sz w:val="24"/>
          <w:szCs w:val="24"/>
        </w:rPr>
        <w:footnoteReference w:id="3"/>
      </w:r>
      <w:r w:rsidRPr="00032B9D">
        <w:rPr>
          <w:rFonts w:ascii="Arial" w:hAnsi="Arial" w:cs="Arial"/>
          <w:sz w:val="24"/>
          <w:szCs w:val="24"/>
        </w:rPr>
        <w:t xml:space="preserve">. The leading case normally referred to in this regard is </w:t>
      </w:r>
      <w:r w:rsidRPr="00032B9D">
        <w:rPr>
          <w:rFonts w:ascii="Arial" w:hAnsi="Arial" w:cs="Arial"/>
          <w:i/>
          <w:sz w:val="24"/>
          <w:szCs w:val="24"/>
        </w:rPr>
        <w:t>Claude Neon Lights (SA) Ltd v Daniel</w:t>
      </w:r>
      <w:r w:rsidRPr="00032B9D">
        <w:rPr>
          <w:rStyle w:val="FootnoteReference"/>
          <w:rFonts w:ascii="Arial" w:hAnsi="Arial" w:cs="Arial"/>
          <w:i/>
          <w:sz w:val="24"/>
          <w:szCs w:val="24"/>
        </w:rPr>
        <w:footnoteReference w:id="4"/>
      </w:r>
      <w:r w:rsidRPr="00032B9D">
        <w:rPr>
          <w:rFonts w:ascii="Arial" w:hAnsi="Arial" w:cs="Arial"/>
          <w:sz w:val="24"/>
          <w:szCs w:val="24"/>
        </w:rPr>
        <w:t xml:space="preserve">   where Miller AJA propound the applicable test in the following terms —</w:t>
      </w:r>
    </w:p>
    <w:p w:rsidR="000A686A" w:rsidRPr="00032B9D" w:rsidRDefault="000A686A" w:rsidP="00522E09">
      <w:pPr>
        <w:spacing w:after="0" w:line="360" w:lineRule="auto"/>
        <w:jc w:val="both"/>
        <w:rPr>
          <w:rFonts w:ascii="Arial" w:hAnsi="Arial" w:cs="Arial"/>
          <w:sz w:val="24"/>
          <w:szCs w:val="24"/>
        </w:rPr>
      </w:pPr>
    </w:p>
    <w:p w:rsidR="000A686A" w:rsidRPr="00032B9D" w:rsidRDefault="000A686A" w:rsidP="00522E09">
      <w:pPr>
        <w:spacing w:after="0" w:line="360" w:lineRule="auto"/>
        <w:ind w:firstLine="720"/>
        <w:jc w:val="both"/>
        <w:rPr>
          <w:rFonts w:ascii="Arial" w:hAnsi="Arial" w:cs="Arial"/>
        </w:rPr>
      </w:pPr>
      <w:r w:rsidRPr="00032B9D">
        <w:rPr>
          <w:rFonts w:ascii="Arial" w:hAnsi="Arial" w:cs="Arial"/>
        </w:rPr>
        <w:t>'when absolution from the instance is sought at the close of plaintiff's case, the test to be applied is not whether the evidence led by plaintiff establishes what would finally be required to be established, but whether there is evidence upon which a Court, applying its mind reasonably to such evidence, could or might (not should nor ought to) find for the plaintiff'.</w:t>
      </w:r>
    </w:p>
    <w:p w:rsidR="003D18E3" w:rsidRPr="00032B9D" w:rsidRDefault="003D18E3" w:rsidP="00522E09">
      <w:pPr>
        <w:spacing w:after="0" w:line="360" w:lineRule="auto"/>
        <w:jc w:val="both"/>
        <w:rPr>
          <w:rFonts w:ascii="Arial" w:hAnsi="Arial" w:cs="Arial"/>
          <w:sz w:val="24"/>
        </w:rPr>
      </w:pPr>
    </w:p>
    <w:p w:rsidR="00670A72" w:rsidRDefault="00670A72" w:rsidP="00522E09">
      <w:pPr>
        <w:pStyle w:val="BodyText"/>
        <w:spacing w:line="360" w:lineRule="auto"/>
        <w:jc w:val="both"/>
        <w:rPr>
          <w:rFonts w:ascii="Arial" w:hAnsi="Arial" w:cs="Arial"/>
        </w:rPr>
      </w:pPr>
      <w:r w:rsidRPr="00032B9D">
        <w:rPr>
          <w:rFonts w:ascii="Arial" w:hAnsi="Arial" w:cs="Arial"/>
        </w:rPr>
        <w:t>[</w:t>
      </w:r>
      <w:r w:rsidR="00522E09">
        <w:rPr>
          <w:rFonts w:ascii="Arial" w:hAnsi="Arial" w:cs="Arial"/>
        </w:rPr>
        <w:t>13</w:t>
      </w:r>
      <w:r w:rsidRPr="00032B9D">
        <w:rPr>
          <w:rFonts w:ascii="Arial" w:hAnsi="Arial" w:cs="Arial"/>
        </w:rPr>
        <w:t>]</w:t>
      </w:r>
      <w:r w:rsidRPr="00032B9D">
        <w:rPr>
          <w:rFonts w:ascii="Arial" w:hAnsi="Arial" w:cs="Arial"/>
        </w:rPr>
        <w:tab/>
      </w:r>
      <w:r w:rsidR="00352FC2" w:rsidRPr="00032B9D">
        <w:rPr>
          <w:rFonts w:ascii="Arial" w:hAnsi="Arial" w:cs="Arial"/>
        </w:rPr>
        <w:t xml:space="preserve">Applying the principles set out in the </w:t>
      </w:r>
      <w:r w:rsidRPr="00032B9D">
        <w:rPr>
          <w:rFonts w:ascii="Arial" w:hAnsi="Arial" w:cs="Arial"/>
        </w:rPr>
        <w:t>aforesaid</w:t>
      </w:r>
      <w:r w:rsidR="00352FC2" w:rsidRPr="00032B9D">
        <w:rPr>
          <w:rFonts w:ascii="Arial" w:hAnsi="Arial" w:cs="Arial"/>
        </w:rPr>
        <w:t xml:space="preserve"> paragraph</w:t>
      </w:r>
      <w:r w:rsidRPr="00032B9D">
        <w:rPr>
          <w:rFonts w:ascii="Arial" w:hAnsi="Arial" w:cs="Arial"/>
        </w:rPr>
        <w:t>s</w:t>
      </w:r>
      <w:r w:rsidR="00352FC2" w:rsidRPr="00032B9D">
        <w:rPr>
          <w:rFonts w:ascii="Arial" w:hAnsi="Arial" w:cs="Arial"/>
        </w:rPr>
        <w:t xml:space="preserve"> to the facts of the instant case, I </w:t>
      </w:r>
      <w:r w:rsidRPr="00032B9D">
        <w:rPr>
          <w:rFonts w:ascii="Arial" w:hAnsi="Arial" w:cs="Arial"/>
        </w:rPr>
        <w:t xml:space="preserve">heed </w:t>
      </w:r>
      <w:r w:rsidR="00E47501" w:rsidRPr="007E5E06">
        <w:rPr>
          <w:rFonts w:ascii="Arial" w:hAnsi="Arial" w:cs="Arial"/>
        </w:rPr>
        <w:t>to</w:t>
      </w:r>
      <w:r w:rsidR="00E47501">
        <w:rPr>
          <w:rFonts w:ascii="Arial" w:hAnsi="Arial" w:cs="Arial"/>
          <w:color w:val="FF0000"/>
        </w:rPr>
        <w:t xml:space="preserve"> </w:t>
      </w:r>
      <w:r w:rsidRPr="00032B9D">
        <w:rPr>
          <w:rFonts w:ascii="Arial" w:hAnsi="Arial" w:cs="Arial"/>
        </w:rPr>
        <w:t xml:space="preserve">the words of Parker AJ in </w:t>
      </w:r>
      <w:r w:rsidRPr="00032B9D">
        <w:rPr>
          <w:rFonts w:ascii="Arial" w:hAnsi="Arial" w:cs="Arial"/>
          <w:i/>
        </w:rPr>
        <w:t>Erasmus v Wiechmann</w:t>
      </w:r>
      <w:r w:rsidR="001211CB">
        <w:rPr>
          <w:rStyle w:val="FootnoteReference"/>
          <w:rFonts w:ascii="Arial" w:hAnsi="Arial" w:cs="Arial"/>
          <w:i/>
        </w:rPr>
        <w:footnoteReference w:id="5"/>
      </w:r>
      <w:r w:rsidRPr="00032B9D">
        <w:rPr>
          <w:rFonts w:ascii="Arial" w:hAnsi="Arial" w:cs="Arial"/>
        </w:rPr>
        <w:t xml:space="preserve"> where he stated the following:</w:t>
      </w:r>
    </w:p>
    <w:p w:rsidR="00522E09" w:rsidRPr="00032B9D" w:rsidRDefault="00522E09" w:rsidP="00522E09">
      <w:pPr>
        <w:pStyle w:val="BodyText"/>
        <w:spacing w:line="360" w:lineRule="auto"/>
        <w:jc w:val="both"/>
        <w:rPr>
          <w:rFonts w:ascii="Arial" w:hAnsi="Arial" w:cs="Arial"/>
        </w:rPr>
      </w:pPr>
    </w:p>
    <w:p w:rsidR="000A686A" w:rsidRDefault="00670A72" w:rsidP="00522E09">
      <w:pPr>
        <w:spacing w:after="0" w:line="360" w:lineRule="auto"/>
        <w:ind w:firstLine="720"/>
        <w:jc w:val="both"/>
        <w:rPr>
          <w:rFonts w:ascii="Arial" w:hAnsi="Arial" w:cs="Arial"/>
        </w:rPr>
      </w:pPr>
      <w:r w:rsidRPr="00032B9D">
        <w:rPr>
          <w:rFonts w:ascii="Arial" w:hAnsi="Arial" w:cs="Arial"/>
        </w:rPr>
        <w:t>‘[20]</w:t>
      </w:r>
      <w:r w:rsidRPr="00032B9D">
        <w:rPr>
          <w:rFonts w:ascii="Arial" w:hAnsi="Arial" w:cs="Arial"/>
        </w:rPr>
        <w:tab/>
        <w:t xml:space="preserve">I am alive to the principled judicial </w:t>
      </w:r>
      <w:r w:rsidRPr="007E5E06">
        <w:rPr>
          <w:rFonts w:ascii="Arial" w:hAnsi="Arial" w:cs="Arial"/>
        </w:rPr>
        <w:t xml:space="preserve">counsel </w:t>
      </w:r>
      <w:r w:rsidRPr="00032B9D">
        <w:rPr>
          <w:rFonts w:ascii="Arial" w:hAnsi="Arial" w:cs="Arial"/>
        </w:rPr>
        <w:t>that a court ought to be chary in granting an order of absolution from the instance at the close of the plaintiff case unless the occasion arises. In that event the court should order it in the interest of justice.’</w:t>
      </w:r>
    </w:p>
    <w:p w:rsidR="00522E09" w:rsidRPr="00032B9D" w:rsidRDefault="00522E09" w:rsidP="00522E09">
      <w:pPr>
        <w:spacing w:after="0" w:line="360" w:lineRule="auto"/>
        <w:ind w:firstLine="720"/>
        <w:jc w:val="both"/>
        <w:rPr>
          <w:rFonts w:ascii="Arial" w:hAnsi="Arial" w:cs="Arial"/>
        </w:rPr>
      </w:pPr>
    </w:p>
    <w:p w:rsidR="007E5E06" w:rsidRDefault="00670A72" w:rsidP="00522E09">
      <w:pPr>
        <w:spacing w:after="0" w:line="360" w:lineRule="auto"/>
        <w:jc w:val="both"/>
        <w:rPr>
          <w:rFonts w:ascii="Arial" w:hAnsi="Arial" w:cs="Arial"/>
          <w:sz w:val="24"/>
        </w:rPr>
      </w:pPr>
      <w:r w:rsidRPr="00032B9D">
        <w:rPr>
          <w:rFonts w:ascii="Arial" w:hAnsi="Arial" w:cs="Arial"/>
          <w:sz w:val="24"/>
        </w:rPr>
        <w:t>[</w:t>
      </w:r>
      <w:r w:rsidR="00522E09">
        <w:rPr>
          <w:rFonts w:ascii="Arial" w:hAnsi="Arial" w:cs="Arial"/>
          <w:sz w:val="24"/>
        </w:rPr>
        <w:t>14</w:t>
      </w:r>
      <w:r w:rsidRPr="00032B9D">
        <w:rPr>
          <w:rFonts w:ascii="Arial" w:hAnsi="Arial" w:cs="Arial"/>
          <w:sz w:val="24"/>
        </w:rPr>
        <w:t>]</w:t>
      </w:r>
      <w:r w:rsidR="004F412B" w:rsidRPr="00032B9D">
        <w:rPr>
          <w:rFonts w:ascii="Arial" w:hAnsi="Arial" w:cs="Arial"/>
          <w:sz w:val="24"/>
        </w:rPr>
        <w:tab/>
      </w:r>
      <w:r w:rsidR="007E5E06" w:rsidRPr="00032B9D">
        <w:rPr>
          <w:rFonts w:ascii="Arial" w:hAnsi="Arial" w:cs="Arial"/>
          <w:sz w:val="24"/>
        </w:rPr>
        <w:t>On behalf of the defendant a detailed argument was advance</w:t>
      </w:r>
      <w:r w:rsidR="007E5E06">
        <w:rPr>
          <w:rFonts w:ascii="Arial" w:hAnsi="Arial" w:cs="Arial"/>
          <w:sz w:val="24"/>
        </w:rPr>
        <w:t xml:space="preserve">d in support of its application for absolution. The defendant addressed its grounds for the current application and a </w:t>
      </w:r>
      <w:r w:rsidR="007E5E06" w:rsidRPr="00032B9D">
        <w:rPr>
          <w:rFonts w:ascii="Arial" w:hAnsi="Arial" w:cs="Arial"/>
          <w:sz w:val="24"/>
        </w:rPr>
        <w:t xml:space="preserve">firm argument was advanced that the </w:t>
      </w:r>
      <w:r w:rsidR="007E5E06">
        <w:rPr>
          <w:rFonts w:ascii="Arial" w:hAnsi="Arial" w:cs="Arial"/>
          <w:sz w:val="24"/>
        </w:rPr>
        <w:t xml:space="preserve">claim is for mechanical damages within the exception clause and that the defendant had discharged all its obligations of indemnifying the plaintiff against the collision event. The defendant further maintained that the defendant failed to demonstrate that it suffered damages, the extent of the damages and who caused the damages. </w:t>
      </w:r>
    </w:p>
    <w:p w:rsidR="007E5E06" w:rsidRPr="00032B9D" w:rsidRDefault="007E5E06" w:rsidP="00522E09">
      <w:pPr>
        <w:spacing w:after="0" w:line="360" w:lineRule="auto"/>
        <w:jc w:val="both"/>
        <w:rPr>
          <w:rFonts w:ascii="Arial" w:hAnsi="Arial" w:cs="Arial"/>
          <w:sz w:val="24"/>
        </w:rPr>
      </w:pPr>
    </w:p>
    <w:p w:rsidR="00994BED" w:rsidRPr="00455E32" w:rsidRDefault="00EA7379" w:rsidP="00522E09">
      <w:pPr>
        <w:spacing w:after="0" w:line="360" w:lineRule="auto"/>
        <w:jc w:val="both"/>
        <w:rPr>
          <w:rFonts w:ascii="Arial" w:hAnsi="Arial" w:cs="Arial"/>
          <w:sz w:val="24"/>
        </w:rPr>
      </w:pPr>
      <w:r w:rsidRPr="00032B9D">
        <w:rPr>
          <w:rFonts w:ascii="Arial" w:hAnsi="Arial" w:cs="Arial"/>
          <w:sz w:val="24"/>
        </w:rPr>
        <w:t>[</w:t>
      </w:r>
      <w:r w:rsidR="00522E09">
        <w:rPr>
          <w:rFonts w:ascii="Arial" w:hAnsi="Arial" w:cs="Arial"/>
          <w:sz w:val="24"/>
        </w:rPr>
        <w:t>15</w:t>
      </w:r>
      <w:r w:rsidRPr="00032B9D">
        <w:rPr>
          <w:rFonts w:ascii="Arial" w:hAnsi="Arial" w:cs="Arial"/>
          <w:sz w:val="24"/>
        </w:rPr>
        <w:t>]</w:t>
      </w:r>
      <w:r w:rsidRPr="00032B9D">
        <w:rPr>
          <w:rFonts w:ascii="Arial" w:hAnsi="Arial" w:cs="Arial"/>
          <w:sz w:val="24"/>
        </w:rPr>
        <w:tab/>
      </w:r>
      <w:r w:rsidR="007E5E06">
        <w:rPr>
          <w:rFonts w:ascii="Arial" w:hAnsi="Arial" w:cs="Arial"/>
          <w:sz w:val="24"/>
        </w:rPr>
        <w:t xml:space="preserve"> </w:t>
      </w:r>
      <w:r w:rsidR="007E5E06" w:rsidRPr="00032B9D">
        <w:rPr>
          <w:rFonts w:ascii="Arial" w:hAnsi="Arial" w:cs="Arial"/>
          <w:sz w:val="24"/>
        </w:rPr>
        <w:t>It is the plaintiff’s case that the damage which occurred after the repair of the vehicle by the defendant’s agent is not consequential in nature. It was argued further that the defendant cannot be relieved from liability and that the damage suffered was direct damage which falls</w:t>
      </w:r>
      <w:r w:rsidR="007E5E06">
        <w:rPr>
          <w:rFonts w:ascii="Arial" w:hAnsi="Arial" w:cs="Arial"/>
          <w:sz w:val="24"/>
        </w:rPr>
        <w:t xml:space="preserve"> under the risk co</w:t>
      </w:r>
      <w:r w:rsidR="007E5E06" w:rsidRPr="00032B9D">
        <w:rPr>
          <w:rFonts w:ascii="Arial" w:hAnsi="Arial" w:cs="Arial"/>
          <w:sz w:val="24"/>
        </w:rPr>
        <w:t>ver and therefor the defendant is liable.</w:t>
      </w:r>
      <w:r w:rsidR="007E5E06">
        <w:rPr>
          <w:rFonts w:ascii="Arial" w:hAnsi="Arial" w:cs="Arial"/>
          <w:sz w:val="24"/>
        </w:rPr>
        <w:t xml:space="preserve"> It is further </w:t>
      </w:r>
      <w:r w:rsidR="00CA725A" w:rsidRPr="007E348E">
        <w:rPr>
          <w:rFonts w:ascii="Arial" w:hAnsi="Arial" w:cs="Arial"/>
          <w:sz w:val="24"/>
        </w:rPr>
        <w:t xml:space="preserve">the </w:t>
      </w:r>
      <w:r w:rsidR="007E5E06">
        <w:rPr>
          <w:rFonts w:ascii="Arial" w:hAnsi="Arial" w:cs="Arial"/>
          <w:sz w:val="24"/>
        </w:rPr>
        <w:t>plaintiff’s case that the panel beaters acted as an agent of the defendant as the defendant did not only instruct Hot Rod Panel Beaters but also paid for the repair services rendered.</w:t>
      </w:r>
    </w:p>
    <w:p w:rsidR="00994BED" w:rsidRPr="00032B9D" w:rsidRDefault="00994BED" w:rsidP="00522E09">
      <w:pPr>
        <w:spacing w:after="0" w:line="360" w:lineRule="auto"/>
        <w:jc w:val="both"/>
        <w:rPr>
          <w:rFonts w:ascii="Arial" w:hAnsi="Arial" w:cs="Arial"/>
          <w:sz w:val="24"/>
        </w:rPr>
      </w:pPr>
    </w:p>
    <w:p w:rsidR="004F412B" w:rsidRDefault="00522E09" w:rsidP="00522E0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r>
      <w:r w:rsidR="004F412B" w:rsidRPr="00032B9D">
        <w:rPr>
          <w:rFonts w:ascii="Arial" w:eastAsia="Calibri" w:hAnsi="Arial" w:cs="Arial"/>
          <w:sz w:val="24"/>
          <w:szCs w:val="24"/>
          <w:lang w:val="en-US"/>
        </w:rPr>
        <w:t xml:space="preserve">Having considered the evidence adduced by the </w:t>
      </w:r>
      <w:r w:rsidR="00635418" w:rsidRPr="007E5E06">
        <w:rPr>
          <w:rFonts w:ascii="Arial" w:eastAsia="Calibri" w:hAnsi="Arial" w:cs="Arial"/>
          <w:sz w:val="24"/>
          <w:szCs w:val="24"/>
          <w:lang w:val="en-US"/>
        </w:rPr>
        <w:t>p</w:t>
      </w:r>
      <w:r w:rsidR="004F412B" w:rsidRPr="00032B9D">
        <w:rPr>
          <w:rFonts w:ascii="Arial" w:eastAsia="Calibri" w:hAnsi="Arial" w:cs="Arial"/>
          <w:sz w:val="24"/>
          <w:szCs w:val="24"/>
          <w:lang w:val="en-US"/>
        </w:rPr>
        <w:t>laintiff, I am of the opinion that a court exercising its mind reasonably could find for the Plaintiff in his claim.</w:t>
      </w:r>
    </w:p>
    <w:p w:rsidR="00635418" w:rsidRPr="007E5E06" w:rsidRDefault="00635418" w:rsidP="00522E09">
      <w:pPr>
        <w:spacing w:after="0" w:line="360" w:lineRule="auto"/>
        <w:jc w:val="both"/>
        <w:rPr>
          <w:rFonts w:ascii="Arial" w:eastAsia="Calibri" w:hAnsi="Arial" w:cs="Arial"/>
          <w:sz w:val="24"/>
          <w:szCs w:val="24"/>
          <w:lang w:val="en-US"/>
        </w:rPr>
      </w:pPr>
    </w:p>
    <w:p w:rsidR="00635418" w:rsidRPr="007E5E06" w:rsidRDefault="00635418" w:rsidP="00522E09">
      <w:pPr>
        <w:spacing w:after="0" w:line="360" w:lineRule="auto"/>
        <w:jc w:val="both"/>
        <w:rPr>
          <w:rFonts w:ascii="Arial" w:eastAsia="Calibri" w:hAnsi="Arial" w:cs="Arial"/>
          <w:sz w:val="24"/>
          <w:szCs w:val="24"/>
          <w:lang w:val="en-US"/>
        </w:rPr>
      </w:pPr>
      <w:r w:rsidRPr="007E5E06">
        <w:rPr>
          <w:rFonts w:ascii="Arial" w:eastAsia="Calibri" w:hAnsi="Arial" w:cs="Arial"/>
          <w:sz w:val="24"/>
          <w:szCs w:val="24"/>
          <w:lang w:val="en-US"/>
        </w:rPr>
        <w:t>[17]</w:t>
      </w:r>
      <w:r w:rsidRPr="007E5E06">
        <w:rPr>
          <w:rFonts w:ascii="Arial" w:eastAsia="Calibri" w:hAnsi="Arial" w:cs="Arial"/>
          <w:sz w:val="24"/>
          <w:szCs w:val="24"/>
          <w:lang w:val="en-US"/>
        </w:rPr>
        <w:tab/>
        <w:t>My order is there as follows:</w:t>
      </w:r>
    </w:p>
    <w:p w:rsidR="00635418" w:rsidRPr="00455E32" w:rsidRDefault="00635418" w:rsidP="00522E09">
      <w:pPr>
        <w:spacing w:after="0" w:line="360" w:lineRule="auto"/>
        <w:jc w:val="both"/>
        <w:rPr>
          <w:rFonts w:ascii="Arial" w:eastAsia="Calibri" w:hAnsi="Arial" w:cs="Arial"/>
          <w:sz w:val="24"/>
          <w:szCs w:val="24"/>
          <w:lang w:val="en-US"/>
        </w:rPr>
      </w:pPr>
    </w:p>
    <w:p w:rsidR="00635418" w:rsidRDefault="00635418" w:rsidP="00635418">
      <w:pPr>
        <w:pStyle w:val="ListParagraph"/>
        <w:numPr>
          <w:ilvl w:val="0"/>
          <w:numId w:val="6"/>
        </w:numPr>
        <w:spacing w:after="0" w:line="360" w:lineRule="auto"/>
        <w:ind w:hanging="720"/>
        <w:jc w:val="both"/>
        <w:rPr>
          <w:rFonts w:ascii="Arial" w:hAnsi="Arial" w:cs="Arial"/>
          <w:sz w:val="24"/>
        </w:rPr>
      </w:pPr>
      <w:r w:rsidRPr="00635418">
        <w:rPr>
          <w:rFonts w:ascii="Arial" w:hAnsi="Arial" w:cs="Arial"/>
          <w:sz w:val="24"/>
        </w:rPr>
        <w:lastRenderedPageBreak/>
        <w:t>The application for absolution from the instance is dismissed.</w:t>
      </w:r>
    </w:p>
    <w:p w:rsidR="00635418" w:rsidRDefault="00635418" w:rsidP="00635418">
      <w:pPr>
        <w:pStyle w:val="ListParagraph"/>
        <w:numPr>
          <w:ilvl w:val="0"/>
          <w:numId w:val="6"/>
        </w:numPr>
        <w:spacing w:after="0" w:line="360" w:lineRule="auto"/>
        <w:ind w:hanging="720"/>
        <w:jc w:val="both"/>
        <w:rPr>
          <w:rFonts w:ascii="Arial" w:hAnsi="Arial" w:cs="Arial"/>
          <w:sz w:val="24"/>
        </w:rPr>
      </w:pPr>
      <w:r w:rsidRPr="00635418">
        <w:rPr>
          <w:rFonts w:ascii="Arial" w:hAnsi="Arial" w:cs="Arial"/>
          <w:sz w:val="24"/>
        </w:rPr>
        <w:t>The Defendant is ordered to pay the Plaintiff’s costs.</w:t>
      </w:r>
    </w:p>
    <w:p w:rsidR="000A686A" w:rsidRPr="00635418" w:rsidRDefault="00635418" w:rsidP="00635418">
      <w:pPr>
        <w:pStyle w:val="ListParagraph"/>
        <w:numPr>
          <w:ilvl w:val="0"/>
          <w:numId w:val="6"/>
        </w:numPr>
        <w:spacing w:after="0" w:line="360" w:lineRule="auto"/>
        <w:ind w:hanging="720"/>
        <w:jc w:val="both"/>
        <w:rPr>
          <w:rFonts w:ascii="Arial" w:hAnsi="Arial" w:cs="Arial"/>
          <w:sz w:val="24"/>
        </w:rPr>
      </w:pPr>
      <w:r w:rsidRPr="00635418">
        <w:rPr>
          <w:rFonts w:ascii="Arial" w:hAnsi="Arial" w:cs="Arial"/>
          <w:sz w:val="24"/>
        </w:rPr>
        <w:t xml:space="preserve">The matter is postponed to </w:t>
      </w:r>
      <w:r w:rsidRPr="00CA725A">
        <w:rPr>
          <w:rFonts w:ascii="Arial" w:hAnsi="Arial" w:cs="Arial"/>
          <w:b/>
          <w:sz w:val="24"/>
        </w:rPr>
        <w:t>11 June 2019</w:t>
      </w:r>
      <w:r w:rsidRPr="00635418">
        <w:rPr>
          <w:rFonts w:ascii="Arial" w:hAnsi="Arial" w:cs="Arial"/>
          <w:sz w:val="24"/>
        </w:rPr>
        <w:t xml:space="preserve"> at </w:t>
      </w:r>
      <w:r w:rsidRPr="00CA725A">
        <w:rPr>
          <w:rFonts w:ascii="Arial" w:hAnsi="Arial" w:cs="Arial"/>
          <w:b/>
          <w:sz w:val="24"/>
        </w:rPr>
        <w:t>08:30</w:t>
      </w:r>
      <w:r w:rsidRPr="00635418">
        <w:rPr>
          <w:rFonts w:ascii="Arial" w:hAnsi="Arial" w:cs="Arial"/>
          <w:sz w:val="24"/>
        </w:rPr>
        <w:t xml:space="preserve"> in chambers for allocating dates for the continuation of the trial.</w:t>
      </w:r>
    </w:p>
    <w:p w:rsidR="00522E09" w:rsidRDefault="00522E09"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BF572C" w:rsidRPr="00032B9D" w:rsidRDefault="00522E09" w:rsidP="00522E09">
      <w:pPr>
        <w:spacing w:after="0" w:line="360" w:lineRule="auto"/>
        <w:ind w:left="5040"/>
        <w:jc w:val="both"/>
        <w:rPr>
          <w:rFonts w:ascii="Arial" w:hAnsi="Arial" w:cs="Arial"/>
          <w:sz w:val="24"/>
        </w:rPr>
      </w:pPr>
      <w:r>
        <w:rPr>
          <w:rFonts w:ascii="Arial" w:hAnsi="Arial" w:cs="Arial"/>
          <w:sz w:val="24"/>
        </w:rPr>
        <w:t xml:space="preserve">        _____________</w:t>
      </w:r>
      <w:r w:rsidR="003D18E3" w:rsidRPr="00032B9D">
        <w:rPr>
          <w:rFonts w:ascii="Arial" w:hAnsi="Arial" w:cs="Arial"/>
          <w:sz w:val="24"/>
        </w:rPr>
        <w:t>____</w:t>
      </w:r>
      <w:r>
        <w:rPr>
          <w:rFonts w:ascii="Arial" w:hAnsi="Arial" w:cs="Arial"/>
          <w:sz w:val="24"/>
        </w:rPr>
        <w:t>___________</w:t>
      </w:r>
    </w:p>
    <w:p w:rsidR="00522E09" w:rsidRPr="00522E09" w:rsidRDefault="00522E09" w:rsidP="00635418">
      <w:pPr>
        <w:spacing w:after="0" w:line="360" w:lineRule="auto"/>
        <w:jc w:val="right"/>
        <w:rPr>
          <w:rFonts w:ascii="Arial" w:hAnsi="Arial" w:cs="Arial"/>
          <w:sz w:val="24"/>
          <w:szCs w:val="24"/>
        </w:rPr>
      </w:pPr>
      <w:r>
        <w:rPr>
          <w:rFonts w:ascii="Arial" w:hAnsi="Arial" w:cs="Arial"/>
          <w:sz w:val="24"/>
          <w:szCs w:val="24"/>
        </w:rPr>
        <w:t>JS Prinsloo</w:t>
      </w:r>
    </w:p>
    <w:p w:rsidR="00BF572C" w:rsidRPr="00032B9D" w:rsidRDefault="00BF572C" w:rsidP="00635418">
      <w:pPr>
        <w:spacing w:after="0" w:line="360" w:lineRule="auto"/>
        <w:jc w:val="right"/>
        <w:rPr>
          <w:rFonts w:ascii="Arial" w:hAnsi="Arial" w:cs="Arial"/>
          <w:sz w:val="24"/>
        </w:rPr>
      </w:pPr>
      <w:r w:rsidRPr="00032B9D">
        <w:rPr>
          <w:rFonts w:ascii="Arial" w:hAnsi="Arial" w:cs="Arial"/>
          <w:sz w:val="24"/>
        </w:rPr>
        <w:t>Judge</w:t>
      </w:r>
    </w:p>
    <w:p w:rsidR="008B4D6C" w:rsidRPr="00032B9D" w:rsidRDefault="008B4D6C" w:rsidP="00522E09">
      <w:pPr>
        <w:spacing w:after="0" w:line="360" w:lineRule="auto"/>
        <w:jc w:val="both"/>
        <w:rPr>
          <w:rFonts w:ascii="Arial" w:hAnsi="Arial" w:cs="Arial"/>
          <w:sz w:val="24"/>
        </w:rPr>
      </w:pPr>
    </w:p>
    <w:p w:rsidR="00635418" w:rsidRDefault="00635418"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7E348E" w:rsidRDefault="007E348E" w:rsidP="00522E09">
      <w:pPr>
        <w:spacing w:after="0" w:line="360" w:lineRule="auto"/>
        <w:jc w:val="both"/>
        <w:rPr>
          <w:rFonts w:ascii="Arial" w:hAnsi="Arial" w:cs="Arial"/>
          <w:sz w:val="24"/>
        </w:rPr>
      </w:pPr>
    </w:p>
    <w:p w:rsidR="007E348E" w:rsidRDefault="007E348E" w:rsidP="00522E09">
      <w:pPr>
        <w:spacing w:after="0" w:line="360" w:lineRule="auto"/>
        <w:jc w:val="both"/>
        <w:rPr>
          <w:rFonts w:ascii="Arial" w:hAnsi="Arial" w:cs="Arial"/>
          <w:sz w:val="24"/>
        </w:rPr>
      </w:pPr>
    </w:p>
    <w:p w:rsidR="00CA725A" w:rsidRDefault="00CA725A" w:rsidP="00522E09">
      <w:pPr>
        <w:spacing w:after="0" w:line="360" w:lineRule="auto"/>
        <w:jc w:val="both"/>
        <w:rPr>
          <w:rFonts w:ascii="Arial" w:hAnsi="Arial" w:cs="Arial"/>
          <w:sz w:val="24"/>
        </w:rPr>
      </w:pPr>
    </w:p>
    <w:p w:rsidR="00BF572C" w:rsidRDefault="00BF572C" w:rsidP="00522E09">
      <w:pPr>
        <w:spacing w:after="0" w:line="360" w:lineRule="auto"/>
        <w:jc w:val="both"/>
        <w:rPr>
          <w:rFonts w:ascii="Arial" w:hAnsi="Arial" w:cs="Arial"/>
          <w:sz w:val="24"/>
        </w:rPr>
      </w:pPr>
      <w:r w:rsidRPr="00032B9D">
        <w:rPr>
          <w:rFonts w:ascii="Arial" w:hAnsi="Arial" w:cs="Arial"/>
          <w:sz w:val="24"/>
        </w:rPr>
        <w:lastRenderedPageBreak/>
        <w:t>APPEARANCES:</w:t>
      </w:r>
    </w:p>
    <w:p w:rsidR="00522E09" w:rsidRPr="00032B9D" w:rsidRDefault="00522E09" w:rsidP="00522E09">
      <w:pPr>
        <w:spacing w:after="0" w:line="360" w:lineRule="auto"/>
        <w:jc w:val="both"/>
        <w:rPr>
          <w:rFonts w:ascii="Arial" w:hAnsi="Arial" w:cs="Arial"/>
          <w:sz w:val="24"/>
        </w:rPr>
      </w:pPr>
    </w:p>
    <w:p w:rsidR="00386BBA" w:rsidRDefault="00BF572C" w:rsidP="00522E09">
      <w:pPr>
        <w:spacing w:after="0" w:line="360" w:lineRule="auto"/>
        <w:jc w:val="both"/>
        <w:rPr>
          <w:rFonts w:ascii="Arial" w:hAnsi="Arial" w:cs="Arial"/>
          <w:sz w:val="24"/>
        </w:rPr>
      </w:pPr>
      <w:r w:rsidRPr="00032B9D">
        <w:rPr>
          <w:rFonts w:ascii="Arial" w:hAnsi="Arial" w:cs="Arial"/>
          <w:sz w:val="24"/>
        </w:rPr>
        <w:t>FOR THE PLAINTIFF:</w:t>
      </w:r>
      <w:r w:rsidRPr="00032B9D">
        <w:rPr>
          <w:rFonts w:ascii="Arial" w:hAnsi="Arial" w:cs="Arial"/>
          <w:sz w:val="24"/>
        </w:rPr>
        <w:tab/>
      </w:r>
      <w:r w:rsidRPr="00032B9D">
        <w:rPr>
          <w:rFonts w:ascii="Arial" w:hAnsi="Arial" w:cs="Arial"/>
          <w:sz w:val="24"/>
        </w:rPr>
        <w:tab/>
      </w:r>
      <w:r w:rsidRPr="00032B9D">
        <w:rPr>
          <w:rFonts w:ascii="Arial" w:hAnsi="Arial" w:cs="Arial"/>
          <w:sz w:val="24"/>
        </w:rPr>
        <w:tab/>
      </w:r>
      <w:r w:rsidR="00386BBA">
        <w:rPr>
          <w:rFonts w:ascii="Arial" w:hAnsi="Arial" w:cs="Arial"/>
          <w:sz w:val="24"/>
        </w:rPr>
        <w:tab/>
      </w:r>
      <w:r w:rsidR="00386BBA">
        <w:rPr>
          <w:rFonts w:ascii="Arial" w:hAnsi="Arial" w:cs="Arial"/>
          <w:sz w:val="24"/>
        </w:rPr>
        <w:tab/>
      </w:r>
      <w:r w:rsidR="00386BBA">
        <w:rPr>
          <w:rFonts w:ascii="Arial" w:hAnsi="Arial" w:cs="Arial"/>
          <w:sz w:val="24"/>
        </w:rPr>
        <w:tab/>
      </w:r>
      <w:r w:rsidR="00386BBA">
        <w:rPr>
          <w:rFonts w:ascii="Arial" w:hAnsi="Arial" w:cs="Arial"/>
          <w:sz w:val="24"/>
        </w:rPr>
        <w:tab/>
        <w:t xml:space="preserve">       F</w:t>
      </w:r>
      <w:r w:rsidR="00386BBA" w:rsidRPr="00386BBA">
        <w:rPr>
          <w:rFonts w:ascii="Arial" w:hAnsi="Arial" w:cs="Arial"/>
          <w:sz w:val="24"/>
        </w:rPr>
        <w:t xml:space="preserve"> </w:t>
      </w:r>
      <w:r w:rsidR="00386BBA">
        <w:rPr>
          <w:rFonts w:ascii="Arial" w:hAnsi="Arial" w:cs="Arial"/>
          <w:sz w:val="24"/>
        </w:rPr>
        <w:t>B</w:t>
      </w:r>
      <w:r w:rsidR="00386BBA" w:rsidRPr="00386BBA">
        <w:rPr>
          <w:rFonts w:ascii="Arial" w:hAnsi="Arial" w:cs="Arial"/>
          <w:sz w:val="24"/>
        </w:rPr>
        <w:t>angamwabo</w:t>
      </w:r>
      <w:r w:rsidRPr="00032B9D">
        <w:rPr>
          <w:rFonts w:ascii="Arial" w:hAnsi="Arial" w:cs="Arial"/>
          <w:sz w:val="24"/>
        </w:rPr>
        <w:tab/>
      </w:r>
    </w:p>
    <w:p w:rsidR="00BF572C" w:rsidRPr="00032B9D" w:rsidRDefault="00386BBA" w:rsidP="00386BBA">
      <w:pPr>
        <w:spacing w:after="0"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For </w:t>
      </w:r>
      <w:r w:rsidRPr="00386BBA">
        <w:rPr>
          <w:rFonts w:ascii="Arial" w:hAnsi="Arial" w:cs="Arial"/>
          <w:sz w:val="24"/>
        </w:rPr>
        <w:t>FB Law Chambers</w:t>
      </w:r>
      <w:r w:rsidRPr="00032B9D">
        <w:rPr>
          <w:rFonts w:ascii="Arial" w:hAnsi="Arial" w:cs="Arial"/>
          <w:sz w:val="24"/>
        </w:rPr>
        <w:t xml:space="preserve"> </w:t>
      </w:r>
      <w:r w:rsidR="00BF572C" w:rsidRPr="00032B9D">
        <w:rPr>
          <w:rFonts w:ascii="Arial" w:hAnsi="Arial" w:cs="Arial"/>
          <w:sz w:val="24"/>
        </w:rPr>
        <w:t xml:space="preserve">                </w:t>
      </w:r>
    </w:p>
    <w:p w:rsidR="00BF572C" w:rsidRPr="00032B9D" w:rsidRDefault="00BF572C" w:rsidP="00294F0E">
      <w:pPr>
        <w:spacing w:after="0" w:line="360" w:lineRule="auto"/>
        <w:rPr>
          <w:rFonts w:ascii="Arial" w:hAnsi="Arial" w:cs="Arial"/>
          <w:sz w:val="24"/>
        </w:rPr>
      </w:pPr>
    </w:p>
    <w:p w:rsidR="00386BBA" w:rsidRDefault="00BF572C" w:rsidP="00294F0E">
      <w:pPr>
        <w:spacing w:after="0" w:line="360" w:lineRule="auto"/>
        <w:rPr>
          <w:rFonts w:ascii="Arial" w:hAnsi="Arial" w:cs="Arial"/>
          <w:sz w:val="24"/>
        </w:rPr>
      </w:pPr>
      <w:r w:rsidRPr="00032B9D">
        <w:rPr>
          <w:rFonts w:ascii="Arial" w:hAnsi="Arial" w:cs="Arial"/>
          <w:sz w:val="24"/>
        </w:rPr>
        <w:t>FOR THE DEFENDANT:</w:t>
      </w:r>
      <w:r w:rsidRPr="00032B9D">
        <w:rPr>
          <w:rFonts w:ascii="Arial" w:hAnsi="Arial" w:cs="Arial"/>
          <w:sz w:val="24"/>
        </w:rPr>
        <w:tab/>
      </w:r>
      <w:r w:rsidRPr="00032B9D">
        <w:rPr>
          <w:rFonts w:ascii="Arial" w:hAnsi="Arial" w:cs="Arial"/>
          <w:sz w:val="24"/>
        </w:rPr>
        <w:tab/>
      </w:r>
      <w:r w:rsidRPr="00032B9D">
        <w:rPr>
          <w:rFonts w:ascii="Arial" w:hAnsi="Arial" w:cs="Arial"/>
          <w:sz w:val="24"/>
        </w:rPr>
        <w:tab/>
      </w:r>
      <w:r w:rsidRPr="00032B9D">
        <w:rPr>
          <w:rFonts w:ascii="Arial" w:hAnsi="Arial" w:cs="Arial"/>
          <w:sz w:val="24"/>
        </w:rPr>
        <w:tab/>
      </w:r>
      <w:r w:rsidRPr="00032B9D">
        <w:rPr>
          <w:rFonts w:ascii="Arial" w:hAnsi="Arial" w:cs="Arial"/>
          <w:sz w:val="24"/>
        </w:rPr>
        <w:tab/>
      </w:r>
      <w:r w:rsidR="00386BBA">
        <w:rPr>
          <w:rFonts w:ascii="Arial" w:hAnsi="Arial" w:cs="Arial"/>
          <w:sz w:val="24"/>
        </w:rPr>
        <w:t xml:space="preserve">                                     J-P Jones</w:t>
      </w:r>
    </w:p>
    <w:p w:rsidR="00BF572C" w:rsidRPr="00032B9D" w:rsidRDefault="00386BBA" w:rsidP="00294F0E">
      <w:pPr>
        <w:spacing w:after="0" w:line="360" w:lineRule="auto"/>
        <w:rPr>
          <w:rFonts w:ascii="Arial" w:hAnsi="Arial" w:cs="Arial"/>
          <w:sz w:val="24"/>
        </w:rPr>
      </w:pPr>
      <w:r>
        <w:rPr>
          <w:rFonts w:ascii="Arial" w:hAnsi="Arial" w:cs="Arial"/>
          <w:sz w:val="24"/>
        </w:rPr>
        <w:t xml:space="preserve">                                                                                      Instructed by </w:t>
      </w:r>
      <w:r w:rsidRPr="00386BBA">
        <w:rPr>
          <w:rFonts w:ascii="Arial" w:hAnsi="Arial" w:cs="Arial"/>
          <w:sz w:val="24"/>
        </w:rPr>
        <w:t>Viljoen &amp; Associates</w:t>
      </w:r>
      <w:r w:rsidR="00BF572C" w:rsidRPr="00032B9D">
        <w:rPr>
          <w:rFonts w:ascii="Arial" w:hAnsi="Arial" w:cs="Arial"/>
          <w:sz w:val="24"/>
        </w:rPr>
        <w:tab/>
        <w:t xml:space="preserve"> </w:t>
      </w:r>
      <w:r w:rsidR="00BF572C" w:rsidRPr="00032B9D">
        <w:rPr>
          <w:rFonts w:ascii="Arial" w:hAnsi="Arial" w:cs="Arial"/>
          <w:sz w:val="24"/>
        </w:rPr>
        <w:tab/>
        <w:t xml:space="preserve"> </w:t>
      </w:r>
    </w:p>
    <w:p w:rsidR="00BF572C" w:rsidRPr="00032B9D" w:rsidRDefault="00BF572C" w:rsidP="00294F0E">
      <w:pPr>
        <w:spacing w:after="0" w:line="360" w:lineRule="auto"/>
        <w:jc w:val="both"/>
        <w:rPr>
          <w:rFonts w:ascii="Arial" w:hAnsi="Arial" w:cs="Arial"/>
          <w:sz w:val="24"/>
        </w:rPr>
      </w:pPr>
    </w:p>
    <w:p w:rsidR="00BF572C" w:rsidRPr="00032B9D" w:rsidRDefault="00BF572C" w:rsidP="00294F0E">
      <w:pPr>
        <w:spacing w:after="0" w:line="360" w:lineRule="auto"/>
      </w:pPr>
    </w:p>
    <w:p w:rsidR="007E348E" w:rsidRPr="007E348E" w:rsidRDefault="007E348E" w:rsidP="007E348E">
      <w:pPr>
        <w:spacing w:after="0" w:line="240" w:lineRule="auto"/>
        <w:outlineLvl w:val="0"/>
        <w:rPr>
          <w:rFonts w:ascii="Helvetica" w:eastAsia="Times New Roman" w:hAnsi="Helvetica" w:cs="Times New Roman"/>
          <w:kern w:val="36"/>
          <w:sz w:val="36"/>
          <w:szCs w:val="36"/>
          <w:lang w:val="en-US"/>
        </w:rPr>
      </w:pPr>
    </w:p>
    <w:p w:rsidR="00352FC2" w:rsidRPr="00032B9D" w:rsidRDefault="00352FC2" w:rsidP="00294F0E">
      <w:pPr>
        <w:spacing w:after="0" w:line="360" w:lineRule="auto"/>
      </w:pPr>
    </w:p>
    <w:sectPr w:rsidR="00352FC2" w:rsidRPr="00032B9D" w:rsidSect="00154FA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29" w:rsidRDefault="00083529" w:rsidP="00BF572C">
      <w:pPr>
        <w:spacing w:after="0" w:line="240" w:lineRule="auto"/>
      </w:pPr>
      <w:r>
        <w:separator/>
      </w:r>
    </w:p>
  </w:endnote>
  <w:endnote w:type="continuationSeparator" w:id="0">
    <w:p w:rsidR="00083529" w:rsidRDefault="00083529" w:rsidP="00BF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29" w:rsidRDefault="00083529" w:rsidP="00BF572C">
      <w:pPr>
        <w:spacing w:after="0" w:line="240" w:lineRule="auto"/>
      </w:pPr>
      <w:r>
        <w:separator/>
      </w:r>
    </w:p>
  </w:footnote>
  <w:footnote w:type="continuationSeparator" w:id="0">
    <w:p w:rsidR="00083529" w:rsidRDefault="00083529" w:rsidP="00BF572C">
      <w:pPr>
        <w:spacing w:after="0" w:line="240" w:lineRule="auto"/>
      </w:pPr>
      <w:r>
        <w:continuationSeparator/>
      </w:r>
    </w:p>
  </w:footnote>
  <w:footnote w:id="1">
    <w:p w:rsidR="00352FC2" w:rsidRPr="00072D23" w:rsidRDefault="00352FC2" w:rsidP="006D420C">
      <w:pPr>
        <w:spacing w:after="0" w:line="240" w:lineRule="auto"/>
        <w:jc w:val="both"/>
        <w:rPr>
          <w:rFonts w:ascii="Arial" w:hAnsi="Arial" w:cs="Arial"/>
          <w:sz w:val="20"/>
          <w:szCs w:val="20"/>
        </w:rPr>
      </w:pPr>
      <w:r w:rsidRPr="00072D23">
        <w:rPr>
          <w:rStyle w:val="FootnoteReference"/>
          <w:rFonts w:ascii="Arial" w:hAnsi="Arial" w:cs="Arial"/>
          <w:sz w:val="20"/>
          <w:szCs w:val="20"/>
        </w:rPr>
        <w:footnoteRef/>
      </w:r>
      <w:r w:rsidRPr="00072D23">
        <w:rPr>
          <w:rFonts w:ascii="Arial" w:hAnsi="Arial" w:cs="Arial"/>
          <w:sz w:val="20"/>
          <w:szCs w:val="20"/>
        </w:rPr>
        <w:t xml:space="preserve"> </w:t>
      </w:r>
      <w:r w:rsidRPr="00072D23">
        <w:rPr>
          <w:rFonts w:ascii="Arial" w:hAnsi="Arial" w:cs="Arial"/>
          <w:i/>
          <w:sz w:val="20"/>
          <w:szCs w:val="20"/>
        </w:rPr>
        <w:t>Gordon Lloyd Page &amp; Associates v Rivera and Another</w:t>
      </w:r>
      <w:r w:rsidRPr="00072D23">
        <w:rPr>
          <w:rFonts w:ascii="Arial" w:hAnsi="Arial" w:cs="Arial"/>
          <w:sz w:val="20"/>
          <w:szCs w:val="20"/>
        </w:rPr>
        <w:t xml:space="preserve"> 2001 (1) SA 88 (SCA) at 92-93</w:t>
      </w:r>
      <w:r w:rsidR="00E47501">
        <w:rPr>
          <w:rFonts w:ascii="Arial" w:hAnsi="Arial" w:cs="Arial"/>
          <w:sz w:val="20"/>
          <w:szCs w:val="20"/>
        </w:rPr>
        <w:t>.</w:t>
      </w:r>
    </w:p>
  </w:footnote>
  <w:footnote w:id="2">
    <w:p w:rsidR="00352FC2" w:rsidRPr="00D6125A" w:rsidRDefault="00352FC2" w:rsidP="006D420C">
      <w:pPr>
        <w:pStyle w:val="FootnoteText"/>
        <w:jc w:val="both"/>
        <w:rPr>
          <w:rFonts w:ascii="Arial" w:hAnsi="Arial" w:cs="Arial"/>
        </w:rPr>
      </w:pPr>
      <w:r w:rsidRPr="00072D23">
        <w:rPr>
          <w:rStyle w:val="FootnoteReference"/>
          <w:rFonts w:ascii="Arial" w:hAnsi="Arial" w:cs="Arial"/>
        </w:rPr>
        <w:footnoteRef/>
      </w:r>
      <w:r w:rsidRPr="00072D23">
        <w:rPr>
          <w:rFonts w:ascii="Arial" w:hAnsi="Arial" w:cs="Arial"/>
        </w:rPr>
        <w:t xml:space="preserve"> </w:t>
      </w:r>
      <w:r w:rsidRPr="00072D23">
        <w:rPr>
          <w:rFonts w:ascii="Arial" w:hAnsi="Arial" w:cs="Arial"/>
          <w:i/>
        </w:rPr>
        <w:t>Labuschagne v Namib Allied Meat Company (Pty) Ltd</w:t>
      </w:r>
      <w:r w:rsidRPr="00072D23">
        <w:rPr>
          <w:rFonts w:ascii="Arial" w:hAnsi="Arial" w:cs="Arial"/>
        </w:rPr>
        <w:t xml:space="preserve"> (I 1-2009) [2014] NAHC</w:t>
      </w:r>
      <w:r w:rsidR="00E47501">
        <w:rPr>
          <w:rFonts w:ascii="Arial" w:hAnsi="Arial" w:cs="Arial"/>
        </w:rPr>
        <w:t>MD 369 (1 December 2014), para 7</w:t>
      </w:r>
      <w:r w:rsidRPr="00072D23">
        <w:rPr>
          <w:rFonts w:ascii="Arial" w:hAnsi="Arial" w:cs="Arial"/>
        </w:rPr>
        <w:t xml:space="preserve">; </w:t>
      </w:r>
      <w:r w:rsidRPr="00225A1A">
        <w:rPr>
          <w:rFonts w:ascii="Arial" w:hAnsi="Arial" w:cs="Arial"/>
          <w:i/>
        </w:rPr>
        <w:t>Stier and Another v Hanke</w:t>
      </w:r>
      <w:r w:rsidRPr="00072D23">
        <w:rPr>
          <w:rFonts w:ascii="Arial" w:hAnsi="Arial" w:cs="Arial"/>
        </w:rPr>
        <w:t xml:space="preserve"> 2012 (1) NR 370 (SC).</w:t>
      </w:r>
    </w:p>
  </w:footnote>
  <w:footnote w:id="3">
    <w:p w:rsidR="00352FC2" w:rsidRPr="001F48DD" w:rsidRDefault="00352FC2" w:rsidP="006D420C">
      <w:pPr>
        <w:pStyle w:val="FootnoteText"/>
        <w:jc w:val="both"/>
        <w:rPr>
          <w:rFonts w:ascii="Arial" w:eastAsia="Dotum" w:hAnsi="Arial" w:cs="Arial"/>
        </w:rPr>
      </w:pPr>
      <w:r w:rsidRPr="00953A0D">
        <w:rPr>
          <w:rStyle w:val="FootnoteReference"/>
          <w:rFonts w:ascii="Arial" w:eastAsia="Dotum" w:hAnsi="Arial" w:cs="Arial"/>
        </w:rPr>
        <w:footnoteRef/>
      </w:r>
      <w:r w:rsidRPr="00953A0D">
        <w:rPr>
          <w:rFonts w:ascii="Arial" w:eastAsia="Dotum" w:hAnsi="Arial" w:cs="Arial"/>
        </w:rPr>
        <w:t xml:space="preserve"> </w:t>
      </w:r>
      <w:r w:rsidRPr="00953A0D">
        <w:rPr>
          <w:rFonts w:ascii="Arial" w:hAnsi="Arial" w:cs="Arial"/>
        </w:rPr>
        <w:t xml:space="preserve">The approach has been followed in Namibia in a number of cases; see, for example, </w:t>
      </w:r>
      <w:r w:rsidRPr="00953A0D">
        <w:rPr>
          <w:rFonts w:ascii="Arial" w:hAnsi="Arial" w:cs="Arial"/>
          <w:i/>
        </w:rPr>
        <w:t>Stier and Another v Hanke</w:t>
      </w:r>
      <w:r w:rsidRPr="00953A0D">
        <w:rPr>
          <w:rFonts w:ascii="Arial" w:hAnsi="Arial" w:cs="Arial"/>
        </w:rPr>
        <w:t xml:space="preserve"> 2012 (1) NR 370 SC); </w:t>
      </w:r>
      <w:r w:rsidRPr="00953A0D">
        <w:rPr>
          <w:rFonts w:ascii="Arial" w:hAnsi="Arial" w:cs="Arial"/>
          <w:i/>
        </w:rPr>
        <w:t>Aluminium City CC v Scandia Kitchens &amp; Joinery (Pty) Ltd</w:t>
      </w:r>
      <w:r w:rsidRPr="00953A0D">
        <w:rPr>
          <w:rFonts w:ascii="Arial" w:hAnsi="Arial" w:cs="Arial"/>
        </w:rPr>
        <w:t xml:space="preserve"> 2007 (2) NR</w:t>
      </w:r>
      <w:r w:rsidR="00273CCD">
        <w:rPr>
          <w:rFonts w:ascii="Arial" w:hAnsi="Arial" w:cs="Arial"/>
          <w:color w:val="FF0000"/>
        </w:rPr>
        <w:t xml:space="preserve"> </w:t>
      </w:r>
      <w:r w:rsidR="007E348E" w:rsidRPr="007E348E">
        <w:rPr>
          <w:rFonts w:ascii="Arial" w:hAnsi="Arial" w:cs="Arial"/>
        </w:rPr>
        <w:t>494</w:t>
      </w:r>
      <w:r w:rsidR="007E348E">
        <w:rPr>
          <w:rFonts w:ascii="Arial" w:hAnsi="Arial" w:cs="Arial"/>
        </w:rPr>
        <w:t xml:space="preserve"> (HC)</w:t>
      </w:r>
      <w:r>
        <w:rPr>
          <w:rFonts w:ascii="Arial" w:hAnsi="Arial" w:cs="Arial"/>
        </w:rPr>
        <w:t>.</w:t>
      </w:r>
      <w:r w:rsidR="00E47501">
        <w:rPr>
          <w:rFonts w:ascii="Arial" w:hAnsi="Arial" w:cs="Arial"/>
        </w:rPr>
        <w:t xml:space="preserve"> </w:t>
      </w:r>
      <w:r w:rsidR="007E5E06" w:rsidRPr="007E5E06">
        <w:rPr>
          <w:rFonts w:ascii="Arial" w:hAnsi="Arial" w:cs="Arial"/>
          <w:i/>
        </w:rPr>
        <w:t>Absolut Corporate Services (Pty) Ltd</w:t>
      </w:r>
      <w:r w:rsidR="007E5E06" w:rsidRPr="007E5E06">
        <w:rPr>
          <w:rFonts w:ascii="Arial" w:hAnsi="Arial" w:cs="Arial"/>
        </w:rPr>
        <w:t xml:space="preserve"> </w:t>
      </w:r>
      <w:r w:rsidRPr="001F48DD">
        <w:rPr>
          <w:rFonts w:ascii="Arial" w:hAnsi="Arial" w:cs="Arial"/>
          <w:i/>
        </w:rPr>
        <w:t>v Tsumeb Municipal Council</w:t>
      </w:r>
      <w:r w:rsidRPr="001F48DD">
        <w:rPr>
          <w:rFonts w:ascii="Arial" w:hAnsi="Arial" w:cs="Arial"/>
        </w:rPr>
        <w:t xml:space="preserve"> 2008 (1) NR 372 (HC)</w:t>
      </w:r>
      <w:r w:rsidR="00E47501">
        <w:rPr>
          <w:rFonts w:ascii="Arial" w:hAnsi="Arial" w:cs="Arial"/>
        </w:rPr>
        <w:t>.</w:t>
      </w:r>
    </w:p>
  </w:footnote>
  <w:footnote w:id="4">
    <w:p w:rsidR="00352FC2" w:rsidRPr="00623D59" w:rsidRDefault="00352FC2" w:rsidP="006D420C">
      <w:pPr>
        <w:pStyle w:val="FootnoteText"/>
        <w:jc w:val="both"/>
      </w:pPr>
      <w:r w:rsidRPr="001F48DD">
        <w:rPr>
          <w:rStyle w:val="FootnoteReference"/>
          <w:rFonts w:ascii="Arial" w:eastAsia="Dotum" w:hAnsi="Arial" w:cs="Arial"/>
        </w:rPr>
        <w:footnoteRef/>
      </w:r>
      <w:r w:rsidRPr="001F48DD">
        <w:rPr>
          <w:rFonts w:ascii="Arial" w:eastAsia="Dotum" w:hAnsi="Arial" w:cs="Arial"/>
        </w:rPr>
        <w:t xml:space="preserve"> 1976 (4) SA 403 (A) at 409G – H.</w:t>
      </w:r>
      <w:r>
        <w:rPr>
          <w:rFonts w:ascii="Arial" w:eastAsia="Dotum" w:hAnsi="Arial" w:cs="Arial"/>
        </w:rPr>
        <w:t xml:space="preserve"> </w:t>
      </w:r>
    </w:p>
  </w:footnote>
  <w:footnote w:id="5">
    <w:p w:rsidR="001211CB" w:rsidRPr="001211CB" w:rsidRDefault="001211CB">
      <w:pPr>
        <w:pStyle w:val="FootnoteText"/>
        <w:rPr>
          <w:lang w:val="en-US"/>
        </w:rPr>
      </w:pPr>
      <w:r>
        <w:rPr>
          <w:rStyle w:val="FootnoteReference"/>
        </w:rPr>
        <w:footnoteRef/>
      </w:r>
      <w:r>
        <w:t xml:space="preserve"> </w:t>
      </w:r>
      <w:r w:rsidRPr="001211CB">
        <w:t>(I 1084/2011) [2013] NAHCMD 214 (24 July 2013)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61149"/>
      <w:docPartObj>
        <w:docPartGallery w:val="Page Numbers (Top of Page)"/>
        <w:docPartUnique/>
      </w:docPartObj>
    </w:sdtPr>
    <w:sdtEndPr>
      <w:rPr>
        <w:noProof/>
      </w:rPr>
    </w:sdtEndPr>
    <w:sdtContent>
      <w:p w:rsidR="00352FC2" w:rsidRDefault="00352FC2">
        <w:pPr>
          <w:pStyle w:val="Header"/>
          <w:jc w:val="right"/>
        </w:pPr>
        <w:r>
          <w:fldChar w:fldCharType="begin"/>
        </w:r>
        <w:r>
          <w:instrText xml:space="preserve"> PAGE   \* MERGEFORMAT </w:instrText>
        </w:r>
        <w:r>
          <w:fldChar w:fldCharType="separate"/>
        </w:r>
        <w:r w:rsidR="005C74B9">
          <w:rPr>
            <w:noProof/>
          </w:rPr>
          <w:t>3</w:t>
        </w:r>
        <w:r>
          <w:rPr>
            <w:noProof/>
          </w:rPr>
          <w:fldChar w:fldCharType="end"/>
        </w:r>
      </w:p>
    </w:sdtContent>
  </w:sdt>
  <w:p w:rsidR="00352FC2" w:rsidRDefault="00352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06D2"/>
    <w:multiLevelType w:val="hybridMultilevel"/>
    <w:tmpl w:val="C0E8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4160D"/>
    <w:multiLevelType w:val="hybridMultilevel"/>
    <w:tmpl w:val="20641A70"/>
    <w:lvl w:ilvl="0" w:tplc="8702C2F8">
      <w:start w:val="1"/>
      <w:numFmt w:val="lowerLetter"/>
      <w:lvlText w:val="(%1)"/>
      <w:lvlJc w:val="left"/>
      <w:pPr>
        <w:ind w:left="1140" w:hanging="360"/>
      </w:pPr>
      <w:rPr>
        <w:rFonts w:hint="default"/>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579D5C23"/>
    <w:multiLevelType w:val="hybridMultilevel"/>
    <w:tmpl w:val="939C39FC"/>
    <w:lvl w:ilvl="0" w:tplc="17EAF0C0">
      <w:start w:val="1"/>
      <w:numFmt w:val="decimal"/>
      <w:lvlText w:val="%1."/>
      <w:lvlJc w:val="left"/>
      <w:pPr>
        <w:ind w:left="930" w:hanging="570"/>
      </w:pPr>
      <w:rPr>
        <w:rFonts w:eastAsia="MS Mincho"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A4148"/>
    <w:multiLevelType w:val="hybridMultilevel"/>
    <w:tmpl w:val="C0E8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2016C"/>
    <w:multiLevelType w:val="hybridMultilevel"/>
    <w:tmpl w:val="6FD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52982"/>
    <w:multiLevelType w:val="hybridMultilevel"/>
    <w:tmpl w:val="3E5A5C0A"/>
    <w:lvl w:ilvl="0" w:tplc="A5DA4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2C"/>
    <w:rsid w:val="00032B9D"/>
    <w:rsid w:val="00073F9B"/>
    <w:rsid w:val="00076436"/>
    <w:rsid w:val="00083529"/>
    <w:rsid w:val="0009113E"/>
    <w:rsid w:val="000A686A"/>
    <w:rsid w:val="000B0D45"/>
    <w:rsid w:val="000B413F"/>
    <w:rsid w:val="000E51D1"/>
    <w:rsid w:val="00101399"/>
    <w:rsid w:val="00106CCB"/>
    <w:rsid w:val="0011070B"/>
    <w:rsid w:val="001154F9"/>
    <w:rsid w:val="001211CB"/>
    <w:rsid w:val="00154FA3"/>
    <w:rsid w:val="00155D03"/>
    <w:rsid w:val="00173C17"/>
    <w:rsid w:val="00174696"/>
    <w:rsid w:val="00175884"/>
    <w:rsid w:val="001B03CC"/>
    <w:rsid w:val="001B649E"/>
    <w:rsid w:val="001B7BE6"/>
    <w:rsid w:val="001E1D75"/>
    <w:rsid w:val="00244936"/>
    <w:rsid w:val="00273CCD"/>
    <w:rsid w:val="00287F0F"/>
    <w:rsid w:val="00294F0E"/>
    <w:rsid w:val="002A20A2"/>
    <w:rsid w:val="002E1E6F"/>
    <w:rsid w:val="0032147E"/>
    <w:rsid w:val="00324FC4"/>
    <w:rsid w:val="00347FB7"/>
    <w:rsid w:val="00352FC2"/>
    <w:rsid w:val="003604E7"/>
    <w:rsid w:val="00386BBA"/>
    <w:rsid w:val="003D0708"/>
    <w:rsid w:val="003D18E3"/>
    <w:rsid w:val="003E2277"/>
    <w:rsid w:val="0041376B"/>
    <w:rsid w:val="00455AE0"/>
    <w:rsid w:val="00455E32"/>
    <w:rsid w:val="00460A4E"/>
    <w:rsid w:val="004851AA"/>
    <w:rsid w:val="004B38C8"/>
    <w:rsid w:val="004F412B"/>
    <w:rsid w:val="004F44FA"/>
    <w:rsid w:val="00503934"/>
    <w:rsid w:val="00522E09"/>
    <w:rsid w:val="00527FC2"/>
    <w:rsid w:val="00544710"/>
    <w:rsid w:val="005704AA"/>
    <w:rsid w:val="00583B53"/>
    <w:rsid w:val="005C74B9"/>
    <w:rsid w:val="005D4A90"/>
    <w:rsid w:val="005F2C63"/>
    <w:rsid w:val="005F78A2"/>
    <w:rsid w:val="00615C01"/>
    <w:rsid w:val="00617620"/>
    <w:rsid w:val="00634A21"/>
    <w:rsid w:val="00635418"/>
    <w:rsid w:val="0063794A"/>
    <w:rsid w:val="006569C0"/>
    <w:rsid w:val="00670A72"/>
    <w:rsid w:val="00670B2B"/>
    <w:rsid w:val="00673C0D"/>
    <w:rsid w:val="006B630B"/>
    <w:rsid w:val="006C2E83"/>
    <w:rsid w:val="006C5C73"/>
    <w:rsid w:val="006D060A"/>
    <w:rsid w:val="006D420C"/>
    <w:rsid w:val="006E3DC4"/>
    <w:rsid w:val="006F3483"/>
    <w:rsid w:val="006F6A6F"/>
    <w:rsid w:val="007073BC"/>
    <w:rsid w:val="00722D11"/>
    <w:rsid w:val="00770534"/>
    <w:rsid w:val="007731C0"/>
    <w:rsid w:val="007C3E35"/>
    <w:rsid w:val="007E348E"/>
    <w:rsid w:val="007E5E06"/>
    <w:rsid w:val="00801385"/>
    <w:rsid w:val="0086441B"/>
    <w:rsid w:val="008B4D6C"/>
    <w:rsid w:val="008B765A"/>
    <w:rsid w:val="008C0A66"/>
    <w:rsid w:val="008F3689"/>
    <w:rsid w:val="00912981"/>
    <w:rsid w:val="00913BE0"/>
    <w:rsid w:val="00915A9C"/>
    <w:rsid w:val="00916D6C"/>
    <w:rsid w:val="009227C2"/>
    <w:rsid w:val="00960BCD"/>
    <w:rsid w:val="009805DC"/>
    <w:rsid w:val="009809D8"/>
    <w:rsid w:val="00987A9F"/>
    <w:rsid w:val="0099272A"/>
    <w:rsid w:val="00994BED"/>
    <w:rsid w:val="009C6E2A"/>
    <w:rsid w:val="009D50C6"/>
    <w:rsid w:val="009E65AF"/>
    <w:rsid w:val="00A4387B"/>
    <w:rsid w:val="00A65C99"/>
    <w:rsid w:val="00A66286"/>
    <w:rsid w:val="00A7268B"/>
    <w:rsid w:val="00A9737D"/>
    <w:rsid w:val="00AE1CCC"/>
    <w:rsid w:val="00B024F6"/>
    <w:rsid w:val="00B073D9"/>
    <w:rsid w:val="00B20339"/>
    <w:rsid w:val="00B31EED"/>
    <w:rsid w:val="00B80007"/>
    <w:rsid w:val="00BC0736"/>
    <w:rsid w:val="00BE052D"/>
    <w:rsid w:val="00BF4D19"/>
    <w:rsid w:val="00BF572C"/>
    <w:rsid w:val="00C00908"/>
    <w:rsid w:val="00C17AA1"/>
    <w:rsid w:val="00C24BAC"/>
    <w:rsid w:val="00C66C55"/>
    <w:rsid w:val="00CA725A"/>
    <w:rsid w:val="00CC7C4D"/>
    <w:rsid w:val="00CE6021"/>
    <w:rsid w:val="00D1776C"/>
    <w:rsid w:val="00D42B7B"/>
    <w:rsid w:val="00D4594F"/>
    <w:rsid w:val="00D57D4B"/>
    <w:rsid w:val="00D7517B"/>
    <w:rsid w:val="00D80CDF"/>
    <w:rsid w:val="00D81AAA"/>
    <w:rsid w:val="00DD2819"/>
    <w:rsid w:val="00DD54C9"/>
    <w:rsid w:val="00E3060B"/>
    <w:rsid w:val="00E34FAA"/>
    <w:rsid w:val="00E47501"/>
    <w:rsid w:val="00E522F8"/>
    <w:rsid w:val="00E53272"/>
    <w:rsid w:val="00E93775"/>
    <w:rsid w:val="00E953BF"/>
    <w:rsid w:val="00EA2E7F"/>
    <w:rsid w:val="00EA7379"/>
    <w:rsid w:val="00EB58F9"/>
    <w:rsid w:val="00ED2299"/>
    <w:rsid w:val="00ED4F2E"/>
    <w:rsid w:val="00EE259A"/>
    <w:rsid w:val="00EF0E8F"/>
    <w:rsid w:val="00EF529B"/>
    <w:rsid w:val="00F070EA"/>
    <w:rsid w:val="00F23F37"/>
    <w:rsid w:val="00F260D7"/>
    <w:rsid w:val="00F33112"/>
    <w:rsid w:val="00F47FD8"/>
    <w:rsid w:val="00F5294D"/>
    <w:rsid w:val="00F5427B"/>
    <w:rsid w:val="00F622FA"/>
    <w:rsid w:val="00F62323"/>
    <w:rsid w:val="00F747CE"/>
    <w:rsid w:val="00FA1C4A"/>
    <w:rsid w:val="00FA5FF4"/>
    <w:rsid w:val="00FD45BB"/>
    <w:rsid w:val="00FD5F30"/>
    <w:rsid w:val="00FE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2763D-84C3-4389-A289-B5863599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E09"/>
    <w:rPr>
      <w:lang w:val="en-ZA"/>
    </w:rPr>
  </w:style>
  <w:style w:type="paragraph" w:styleId="Heading1">
    <w:name w:val="heading 1"/>
    <w:basedOn w:val="Normal"/>
    <w:link w:val="Heading1Char"/>
    <w:uiPriority w:val="9"/>
    <w:qFormat/>
    <w:rsid w:val="007E348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57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72C"/>
    <w:rPr>
      <w:sz w:val="20"/>
      <w:szCs w:val="20"/>
      <w:lang w:val="en-ZA"/>
    </w:rPr>
  </w:style>
  <w:style w:type="character" w:styleId="FootnoteReference">
    <w:name w:val="footnote reference"/>
    <w:basedOn w:val="DefaultParagraphFont"/>
    <w:uiPriority w:val="99"/>
    <w:semiHidden/>
    <w:unhideWhenUsed/>
    <w:rsid w:val="00BF572C"/>
    <w:rPr>
      <w:vertAlign w:val="superscript"/>
    </w:rPr>
  </w:style>
  <w:style w:type="paragraph" w:styleId="ListParagraph">
    <w:name w:val="List Paragraph"/>
    <w:basedOn w:val="Normal"/>
    <w:uiPriority w:val="34"/>
    <w:qFormat/>
    <w:rsid w:val="00BF572C"/>
    <w:pPr>
      <w:ind w:left="720"/>
      <w:contextualSpacing/>
    </w:pPr>
  </w:style>
  <w:style w:type="paragraph" w:styleId="Header">
    <w:name w:val="header"/>
    <w:basedOn w:val="Normal"/>
    <w:link w:val="HeaderChar"/>
    <w:uiPriority w:val="99"/>
    <w:unhideWhenUsed/>
    <w:rsid w:val="00154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A3"/>
    <w:rPr>
      <w:lang w:val="en-ZA"/>
    </w:rPr>
  </w:style>
  <w:style w:type="paragraph" w:styleId="Footer">
    <w:name w:val="footer"/>
    <w:basedOn w:val="Normal"/>
    <w:link w:val="FooterChar"/>
    <w:uiPriority w:val="99"/>
    <w:unhideWhenUsed/>
    <w:rsid w:val="00154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A3"/>
    <w:rPr>
      <w:lang w:val="en-ZA"/>
    </w:rPr>
  </w:style>
  <w:style w:type="paragraph" w:styleId="BalloonText">
    <w:name w:val="Balloon Text"/>
    <w:basedOn w:val="Normal"/>
    <w:link w:val="BalloonTextChar"/>
    <w:uiPriority w:val="99"/>
    <w:semiHidden/>
    <w:unhideWhenUsed/>
    <w:rsid w:val="00E53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272"/>
    <w:rPr>
      <w:rFonts w:ascii="Segoe UI" w:hAnsi="Segoe UI" w:cs="Segoe UI"/>
      <w:sz w:val="18"/>
      <w:szCs w:val="18"/>
      <w:lang w:val="en-ZA"/>
    </w:rPr>
  </w:style>
  <w:style w:type="paragraph" w:styleId="BodyText">
    <w:name w:val="Body Text"/>
    <w:basedOn w:val="Normal"/>
    <w:link w:val="BodyTextChar"/>
    <w:rsid w:val="00352FC2"/>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52FC2"/>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7E348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48887">
      <w:bodyDiv w:val="1"/>
      <w:marLeft w:val="0"/>
      <w:marRight w:val="0"/>
      <w:marTop w:val="0"/>
      <w:marBottom w:val="0"/>
      <w:divBdr>
        <w:top w:val="none" w:sz="0" w:space="0" w:color="auto"/>
        <w:left w:val="none" w:sz="0" w:space="0" w:color="auto"/>
        <w:bottom w:val="none" w:sz="0" w:space="0" w:color="auto"/>
        <w:right w:val="none" w:sz="0" w:space="0" w:color="auto"/>
      </w:divBdr>
    </w:div>
    <w:div w:id="15871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2019-06-06T18:30:00+00:00</Judgment_x0020_Date>
    <Year xmlns="c1afb1bd-f2fb-40fd-9abb-aea55b4d7662">2019</Year>
  </documentManagement>
</p:properties>
</file>

<file path=customXml/itemProps1.xml><?xml version="1.0" encoding="utf-8"?>
<ds:datastoreItem xmlns:ds="http://schemas.openxmlformats.org/officeDocument/2006/customXml" ds:itemID="{9623BAEE-A9FF-4EBF-BDBE-3C4F01C73F97}"/>
</file>

<file path=customXml/itemProps2.xml><?xml version="1.0" encoding="utf-8"?>
<ds:datastoreItem xmlns:ds="http://schemas.openxmlformats.org/officeDocument/2006/customXml" ds:itemID="{81ECF8A4-CA15-4108-A1FF-C30143EB6F98}"/>
</file>

<file path=customXml/itemProps3.xml><?xml version="1.0" encoding="utf-8"?>
<ds:datastoreItem xmlns:ds="http://schemas.openxmlformats.org/officeDocument/2006/customXml" ds:itemID="{377E7153-EE38-4ADC-9134-3B2A3EE93AD5}"/>
</file>

<file path=customXml/itemProps4.xml><?xml version="1.0" encoding="utf-8"?>
<ds:datastoreItem xmlns:ds="http://schemas.openxmlformats.org/officeDocument/2006/customXml" ds:itemID="{FE5D9167-85F4-4146-B32D-37D095388D8A}"/>
</file>

<file path=docProps/app.xml><?xml version="1.0" encoding="utf-8"?>
<Properties xmlns="http://schemas.openxmlformats.org/officeDocument/2006/extended-properties" xmlns:vt="http://schemas.openxmlformats.org/officeDocument/2006/docPropsVTypes">
  <Template>Normal</Template>
  <TotalTime>0</TotalTime>
  <Pages>7</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Nande</dc:creator>
  <cp:keywords/>
  <dc:description/>
  <cp:lastModifiedBy>Lotta N. Ambunda</cp:lastModifiedBy>
  <cp:revision>2</cp:revision>
  <cp:lastPrinted>2019-06-07T07:01:00Z</cp:lastPrinted>
  <dcterms:created xsi:type="dcterms:W3CDTF">2019-06-10T14:57:00Z</dcterms:created>
  <dcterms:modified xsi:type="dcterms:W3CDTF">2019-06-10T14:57:00Z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