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C9" w:rsidRPr="00001627" w:rsidRDefault="000F40C9" w:rsidP="00FD42FF">
      <w:pPr>
        <w:spacing w:line="360" w:lineRule="auto"/>
        <w:jc w:val="center"/>
        <w:rPr>
          <w:rFonts w:ascii="Arial" w:hAnsi="Arial" w:cs="Arial"/>
          <w:b/>
          <w:color w:val="000000" w:themeColor="text1"/>
        </w:rPr>
      </w:pPr>
      <w:r w:rsidRPr="00001627">
        <w:rPr>
          <w:rFonts w:ascii="Arial" w:hAnsi="Arial" w:cs="Arial"/>
          <w:b/>
          <w:noProof/>
          <w:color w:val="000000" w:themeColor="text1"/>
          <w:lang w:val="en-GB" w:eastAsia="en-GB"/>
        </w:rPr>
        <mc:AlternateContent>
          <mc:Choice Requires="wps">
            <w:drawing>
              <wp:anchor distT="0" distB="0" distL="114300" distR="114300" simplePos="0" relativeHeight="251657216" behindDoc="0" locked="0" layoutInCell="1" allowOverlap="1" wp14:anchorId="78FDE9A9" wp14:editId="3FF9DE72">
                <wp:simplePos x="0" y="0"/>
                <wp:positionH relativeFrom="column">
                  <wp:posOffset>4552950</wp:posOffset>
                </wp:positionH>
                <wp:positionV relativeFrom="paragraph">
                  <wp:posOffset>-57150</wp:posOffset>
                </wp:positionV>
                <wp:extent cx="1562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FFFFFF"/>
                          </a:solidFill>
                          <a:miter lim="800000"/>
                          <a:headEnd/>
                          <a:tailEnd/>
                        </a:ln>
                      </wps:spPr>
                      <wps:txbx>
                        <w:txbxContent>
                          <w:p w:rsidR="009B6A41" w:rsidRPr="00CA3185" w:rsidRDefault="00320A06" w:rsidP="00FF1412">
                            <w:pPr>
                              <w:rPr>
                                <w:rFonts w:ascii="Arial" w:hAnsi="Arial" w:cs="Arial"/>
                                <w:b/>
                              </w:rPr>
                            </w:pPr>
                            <w:r>
                              <w:rPr>
                                <w:rFonts w:ascii="Arial" w:hAnsi="Arial" w:cs="Arial"/>
                                <w:b/>
                              </w:rPr>
                              <w:t xml:space="preserve">Non </w:t>
                            </w:r>
                            <w:r w:rsidR="009B6A41">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DE9A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" strokecolor="white">
                <v:textbox>
                  <w:txbxContent>
                    <w:p w:rsidR="009B6A41" w:rsidRPr="00CA3185" w:rsidRDefault="00320A06" w:rsidP="00FF1412">
                      <w:pPr>
                        <w:rPr>
                          <w:rFonts w:ascii="Arial" w:hAnsi="Arial" w:cs="Arial"/>
                          <w:b/>
                        </w:rPr>
                      </w:pPr>
                      <w:r>
                        <w:rPr>
                          <w:rFonts w:ascii="Arial" w:hAnsi="Arial" w:cs="Arial"/>
                          <w:b/>
                        </w:rPr>
                        <w:t xml:space="preserve">Non </w:t>
                      </w:r>
                      <w:r w:rsidR="009B6A41">
                        <w:rPr>
                          <w:rFonts w:ascii="Arial" w:hAnsi="Arial" w:cs="Arial"/>
                          <w:b/>
                        </w:rPr>
                        <w:t>Reportable</w:t>
                      </w:r>
                    </w:p>
                  </w:txbxContent>
                </v:textbox>
              </v:shape>
            </w:pict>
          </mc:Fallback>
        </mc:AlternateContent>
      </w:r>
      <w:r w:rsidRPr="00001627">
        <w:rPr>
          <w:rFonts w:ascii="Arial" w:hAnsi="Arial" w:cs="Arial"/>
          <w:b/>
          <w:color w:val="000000" w:themeColor="text1"/>
        </w:rPr>
        <w:t xml:space="preserve">REPUBLIC OF NAMIBIA                                                    </w:t>
      </w:r>
    </w:p>
    <w:p w:rsidR="000F40C9" w:rsidRPr="00001627" w:rsidRDefault="000F40C9" w:rsidP="00FD42FF">
      <w:pPr>
        <w:spacing w:line="360" w:lineRule="auto"/>
        <w:jc w:val="center"/>
        <w:rPr>
          <w:rFonts w:ascii="Arial" w:hAnsi="Arial" w:cs="Arial"/>
          <w:b/>
          <w:color w:val="000000" w:themeColor="text1"/>
          <w:sz w:val="32"/>
          <w:szCs w:val="32"/>
        </w:rPr>
      </w:pPr>
      <w:r w:rsidRPr="00001627">
        <w:rPr>
          <w:rFonts w:ascii="Arial" w:hAnsi="Arial" w:cs="Arial"/>
          <w:b/>
          <w:noProof/>
          <w:color w:val="000000" w:themeColor="text1"/>
          <w:sz w:val="32"/>
          <w:szCs w:val="32"/>
          <w:lang w:val="en-GB" w:eastAsia="en-GB"/>
        </w:rPr>
        <w:drawing>
          <wp:inline distT="0" distB="0" distL="0" distR="0" wp14:anchorId="6122B366" wp14:editId="0B494911">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rsidR="000F40C9" w:rsidRPr="00001627" w:rsidRDefault="00C60305" w:rsidP="005B193D">
      <w:pPr>
        <w:spacing w:line="360" w:lineRule="auto"/>
        <w:jc w:val="center"/>
        <w:rPr>
          <w:rFonts w:ascii="Arial" w:hAnsi="Arial" w:cs="Arial"/>
          <w:b/>
          <w:color w:val="000000" w:themeColor="text1"/>
        </w:rPr>
      </w:pPr>
      <w:r w:rsidRPr="00001627">
        <w:rPr>
          <w:rFonts w:ascii="Arial" w:hAnsi="Arial" w:cs="Arial"/>
          <w:b/>
          <w:color w:val="000000" w:themeColor="text1"/>
        </w:rPr>
        <w:t>HIGH COURT</w:t>
      </w:r>
      <w:r w:rsidR="000F40C9" w:rsidRPr="00001627">
        <w:rPr>
          <w:rFonts w:ascii="Arial" w:hAnsi="Arial" w:cs="Arial"/>
          <w:b/>
          <w:color w:val="000000" w:themeColor="text1"/>
        </w:rPr>
        <w:t xml:space="preserve"> OF NAMIBIA MAIN DIVISION, WINDHOEK</w:t>
      </w:r>
      <w:r w:rsidR="000F40C9" w:rsidRPr="00001627">
        <w:rPr>
          <w:rFonts w:ascii="Arial" w:hAnsi="Arial" w:cs="Arial"/>
          <w:color w:val="000000" w:themeColor="text1"/>
        </w:rPr>
        <w:t xml:space="preserve">  </w:t>
      </w:r>
    </w:p>
    <w:p w:rsidR="000F40C9" w:rsidRPr="00001627" w:rsidRDefault="000F40C9" w:rsidP="00FD42FF">
      <w:pPr>
        <w:spacing w:line="360" w:lineRule="auto"/>
        <w:rPr>
          <w:rFonts w:ascii="Arial" w:hAnsi="Arial" w:cs="Arial"/>
          <w:color w:val="000000" w:themeColor="text1"/>
        </w:rPr>
      </w:pPr>
    </w:p>
    <w:p w:rsidR="000F40C9" w:rsidRPr="00001627" w:rsidRDefault="00202890" w:rsidP="00FD42FF">
      <w:pPr>
        <w:spacing w:line="360" w:lineRule="auto"/>
        <w:rPr>
          <w:rFonts w:ascii="Arial" w:hAnsi="Arial" w:cs="Arial"/>
          <w:color w:val="000000" w:themeColor="text1"/>
        </w:rPr>
      </w:pPr>
      <w:r w:rsidRPr="00001627">
        <w:rPr>
          <w:rFonts w:ascii="Arial" w:hAnsi="Arial" w:cs="Arial"/>
          <w:color w:val="000000" w:themeColor="text1"/>
        </w:rPr>
        <w:tab/>
      </w:r>
      <w:r w:rsidRPr="00001627">
        <w:rPr>
          <w:rFonts w:ascii="Arial" w:hAnsi="Arial" w:cs="Arial"/>
          <w:color w:val="000000" w:themeColor="text1"/>
        </w:rPr>
        <w:tab/>
      </w:r>
      <w:r w:rsidRPr="00001627">
        <w:rPr>
          <w:rFonts w:ascii="Arial" w:hAnsi="Arial" w:cs="Arial"/>
          <w:color w:val="000000" w:themeColor="text1"/>
        </w:rPr>
        <w:tab/>
      </w:r>
      <w:r w:rsidR="0057258E" w:rsidRPr="00001627">
        <w:rPr>
          <w:rFonts w:ascii="Arial" w:hAnsi="Arial" w:cs="Arial"/>
          <w:color w:val="000000" w:themeColor="text1"/>
        </w:rPr>
        <w:tab/>
      </w:r>
      <w:r w:rsidR="0057258E" w:rsidRPr="00001627">
        <w:rPr>
          <w:rFonts w:ascii="Arial" w:hAnsi="Arial" w:cs="Arial"/>
          <w:color w:val="000000" w:themeColor="text1"/>
        </w:rPr>
        <w:tab/>
      </w:r>
      <w:r w:rsidR="0057258E" w:rsidRPr="00001627">
        <w:rPr>
          <w:rFonts w:ascii="Arial" w:hAnsi="Arial" w:cs="Arial"/>
          <w:color w:val="000000" w:themeColor="text1"/>
        </w:rPr>
        <w:tab/>
      </w:r>
      <w:r w:rsidR="0057258E" w:rsidRPr="00001627">
        <w:rPr>
          <w:rFonts w:ascii="Arial" w:hAnsi="Arial" w:cs="Arial"/>
          <w:color w:val="000000" w:themeColor="text1"/>
        </w:rPr>
        <w:tab/>
      </w:r>
      <w:r w:rsidR="0057258E" w:rsidRPr="00001627">
        <w:rPr>
          <w:rFonts w:ascii="Arial" w:hAnsi="Arial" w:cs="Arial"/>
          <w:color w:val="000000" w:themeColor="text1"/>
        </w:rPr>
        <w:tab/>
        <w:t xml:space="preserve">   </w:t>
      </w:r>
      <w:r w:rsidR="003E678B" w:rsidRPr="00001627">
        <w:rPr>
          <w:rFonts w:ascii="Arial" w:hAnsi="Arial" w:cs="Arial"/>
          <w:color w:val="000000" w:themeColor="text1"/>
        </w:rPr>
        <w:t xml:space="preserve">Case </w:t>
      </w:r>
      <w:r w:rsidR="0057258E" w:rsidRPr="00001627">
        <w:rPr>
          <w:rFonts w:ascii="Arial" w:hAnsi="Arial" w:cs="Arial"/>
          <w:color w:val="000000" w:themeColor="text1"/>
        </w:rPr>
        <w:t>no: I 347/2013</w:t>
      </w:r>
    </w:p>
    <w:p w:rsidR="000F40C9" w:rsidRPr="00001627" w:rsidRDefault="000F40C9" w:rsidP="00FD42FF">
      <w:pPr>
        <w:spacing w:line="360" w:lineRule="auto"/>
        <w:rPr>
          <w:rFonts w:ascii="Arial" w:hAnsi="Arial" w:cs="Arial"/>
          <w:color w:val="000000" w:themeColor="text1"/>
        </w:rPr>
      </w:pPr>
    </w:p>
    <w:p w:rsidR="00202890" w:rsidRPr="00001627" w:rsidRDefault="00202890" w:rsidP="00FD42FF">
      <w:pPr>
        <w:spacing w:line="360" w:lineRule="auto"/>
        <w:rPr>
          <w:rFonts w:ascii="Arial" w:hAnsi="Arial" w:cs="Arial"/>
          <w:color w:val="000000" w:themeColor="text1"/>
        </w:rPr>
      </w:pPr>
    </w:p>
    <w:p w:rsidR="00202890" w:rsidRPr="00001627" w:rsidRDefault="00202890" w:rsidP="00FD42FF">
      <w:pPr>
        <w:spacing w:line="360" w:lineRule="auto"/>
        <w:rPr>
          <w:rFonts w:ascii="Arial" w:hAnsi="Arial" w:cs="Arial"/>
          <w:color w:val="000000" w:themeColor="text1"/>
        </w:rPr>
      </w:pPr>
      <w:r w:rsidRPr="00001627">
        <w:rPr>
          <w:rFonts w:ascii="Arial" w:hAnsi="Arial" w:cs="Arial"/>
          <w:color w:val="000000" w:themeColor="text1"/>
        </w:rPr>
        <w:t>In the matter between:</w:t>
      </w:r>
    </w:p>
    <w:p w:rsidR="00202890" w:rsidRPr="00001627" w:rsidRDefault="00202890" w:rsidP="00FD42FF">
      <w:pPr>
        <w:spacing w:line="360" w:lineRule="auto"/>
        <w:rPr>
          <w:rFonts w:ascii="Arial" w:hAnsi="Arial" w:cs="Arial"/>
          <w:color w:val="000000" w:themeColor="text1"/>
        </w:rPr>
      </w:pPr>
    </w:p>
    <w:p w:rsidR="000F40C9" w:rsidRPr="00001627" w:rsidRDefault="0057258E" w:rsidP="00FD42FF">
      <w:pPr>
        <w:tabs>
          <w:tab w:val="right" w:pos="9000"/>
        </w:tabs>
        <w:spacing w:line="360" w:lineRule="auto"/>
        <w:rPr>
          <w:rFonts w:ascii="Arial" w:hAnsi="Arial" w:cs="Arial"/>
          <w:b/>
          <w:color w:val="000000" w:themeColor="text1"/>
          <w:lang w:val="en-GB" w:eastAsia="x-none"/>
        </w:rPr>
      </w:pPr>
      <w:r w:rsidRPr="00001627">
        <w:rPr>
          <w:rFonts w:ascii="Arial" w:hAnsi="Arial" w:cs="Arial"/>
          <w:b/>
          <w:color w:val="000000" w:themeColor="text1"/>
          <w:lang w:val="en-GB" w:eastAsia="x-none"/>
        </w:rPr>
        <w:t>RA</w:t>
      </w:r>
      <w:r w:rsidR="00320A06" w:rsidRPr="00001627">
        <w:rPr>
          <w:rFonts w:ascii="Arial" w:hAnsi="Arial" w:cs="Arial"/>
          <w:b/>
          <w:color w:val="000000" w:themeColor="text1"/>
          <w:lang w:val="en-GB" w:eastAsia="x-none"/>
        </w:rPr>
        <w:t>I</w:t>
      </w:r>
      <w:r w:rsidRPr="00001627">
        <w:rPr>
          <w:rFonts w:ascii="Arial" w:hAnsi="Arial" w:cs="Arial"/>
          <w:b/>
          <w:color w:val="000000" w:themeColor="text1"/>
          <w:lang w:val="en-GB" w:eastAsia="x-none"/>
        </w:rPr>
        <w:t>NIER ARANGIES</w:t>
      </w:r>
      <w:r w:rsidR="000F40C9" w:rsidRPr="00001627">
        <w:rPr>
          <w:rFonts w:ascii="Arial" w:hAnsi="Arial" w:cs="Arial"/>
          <w:b/>
          <w:color w:val="000000" w:themeColor="text1"/>
          <w:lang w:val="en-GB" w:eastAsia="x-none"/>
        </w:rPr>
        <w:t xml:space="preserve">   </w:t>
      </w:r>
      <w:r w:rsidR="000F40C9" w:rsidRPr="00001627">
        <w:rPr>
          <w:rFonts w:ascii="Arial" w:hAnsi="Arial" w:cs="Arial"/>
          <w:b/>
          <w:color w:val="000000" w:themeColor="text1"/>
          <w:lang w:val="en-GB" w:eastAsia="x-none"/>
        </w:rPr>
        <w:tab/>
      </w:r>
      <w:r w:rsidRPr="00001627">
        <w:rPr>
          <w:rFonts w:ascii="Arial" w:hAnsi="Arial" w:cs="Arial"/>
          <w:b/>
          <w:color w:val="000000" w:themeColor="text1"/>
          <w:lang w:val="en-GB" w:eastAsia="x-none"/>
        </w:rPr>
        <w:t>FIRST PLAINTIFF</w:t>
      </w:r>
    </w:p>
    <w:p w:rsidR="00276FDB" w:rsidRPr="00001627" w:rsidRDefault="0057258E" w:rsidP="00FD42FF">
      <w:pPr>
        <w:tabs>
          <w:tab w:val="right" w:pos="9000"/>
        </w:tabs>
        <w:spacing w:line="360" w:lineRule="auto"/>
        <w:rPr>
          <w:rFonts w:ascii="Arial" w:hAnsi="Arial" w:cs="Arial"/>
          <w:b/>
          <w:color w:val="000000" w:themeColor="text1"/>
          <w:lang w:val="en-GB" w:eastAsia="x-none"/>
        </w:rPr>
      </w:pPr>
      <w:r w:rsidRPr="00001627">
        <w:rPr>
          <w:rFonts w:ascii="Arial" w:hAnsi="Arial" w:cs="Arial"/>
          <w:b/>
          <w:color w:val="000000" w:themeColor="text1"/>
          <w:lang w:val="en-GB" w:eastAsia="x-none"/>
        </w:rPr>
        <w:t>AUTO TECH TRUCK AND COACH CC</w:t>
      </w:r>
      <w:r w:rsidRPr="00001627">
        <w:rPr>
          <w:rFonts w:ascii="Arial" w:hAnsi="Arial" w:cs="Arial"/>
          <w:b/>
          <w:color w:val="000000" w:themeColor="text1"/>
          <w:lang w:val="en-GB" w:eastAsia="x-none"/>
        </w:rPr>
        <w:tab/>
        <w:t>SECOND PLAINTIFF</w:t>
      </w:r>
    </w:p>
    <w:p w:rsidR="0057258E" w:rsidRPr="00001627" w:rsidRDefault="0057258E" w:rsidP="00FD42FF">
      <w:pPr>
        <w:tabs>
          <w:tab w:val="right" w:pos="9000"/>
        </w:tabs>
        <w:spacing w:line="360" w:lineRule="auto"/>
        <w:rPr>
          <w:rFonts w:ascii="Arial" w:hAnsi="Arial" w:cs="Arial"/>
          <w:b/>
          <w:color w:val="000000" w:themeColor="text1"/>
          <w:lang w:val="en-GB" w:eastAsia="x-none"/>
        </w:rPr>
      </w:pPr>
    </w:p>
    <w:p w:rsidR="000F40C9" w:rsidRPr="00001627" w:rsidRDefault="000F40C9" w:rsidP="00FD42FF">
      <w:pPr>
        <w:spacing w:line="360" w:lineRule="auto"/>
        <w:rPr>
          <w:rFonts w:ascii="Arial" w:hAnsi="Arial" w:cs="Arial"/>
          <w:color w:val="000000" w:themeColor="text1"/>
        </w:rPr>
      </w:pPr>
      <w:proofErr w:type="gramStart"/>
      <w:r w:rsidRPr="00001627">
        <w:rPr>
          <w:rFonts w:ascii="Arial" w:hAnsi="Arial" w:cs="Arial"/>
          <w:color w:val="000000" w:themeColor="text1"/>
        </w:rPr>
        <w:t>and</w:t>
      </w:r>
      <w:proofErr w:type="gramEnd"/>
    </w:p>
    <w:p w:rsidR="000F40C9" w:rsidRPr="00001627" w:rsidRDefault="000F40C9" w:rsidP="00FD42FF">
      <w:pPr>
        <w:spacing w:line="360" w:lineRule="auto"/>
        <w:rPr>
          <w:rFonts w:ascii="Arial" w:hAnsi="Arial" w:cs="Arial"/>
          <w:color w:val="000000" w:themeColor="text1"/>
          <w:sz w:val="16"/>
          <w:szCs w:val="16"/>
        </w:rPr>
      </w:pPr>
    </w:p>
    <w:p w:rsidR="000F40C9" w:rsidRPr="00001627" w:rsidRDefault="0057258E" w:rsidP="00FD42FF">
      <w:pPr>
        <w:tabs>
          <w:tab w:val="right" w:pos="9000"/>
        </w:tabs>
        <w:spacing w:line="360" w:lineRule="auto"/>
        <w:ind w:left="567" w:hanging="567"/>
        <w:rPr>
          <w:rFonts w:ascii="Arial" w:hAnsi="Arial" w:cs="Arial"/>
          <w:b/>
          <w:color w:val="000000" w:themeColor="text1"/>
        </w:rPr>
      </w:pPr>
      <w:r w:rsidRPr="00001627">
        <w:rPr>
          <w:rFonts w:ascii="Arial" w:hAnsi="Arial" w:cs="Arial"/>
          <w:b/>
          <w:color w:val="000000" w:themeColor="text1"/>
        </w:rPr>
        <w:t>UNITRANS NAMIBIA (PTY) LTD</w:t>
      </w:r>
      <w:r w:rsidR="000F40C9" w:rsidRPr="00001627">
        <w:rPr>
          <w:rFonts w:ascii="Arial" w:hAnsi="Arial" w:cs="Arial"/>
          <w:b/>
          <w:color w:val="000000" w:themeColor="text1"/>
        </w:rPr>
        <w:t xml:space="preserve">                                   </w:t>
      </w:r>
      <w:r w:rsidR="00276FDB" w:rsidRPr="00001627">
        <w:rPr>
          <w:rFonts w:ascii="Arial" w:hAnsi="Arial" w:cs="Arial"/>
          <w:b/>
          <w:color w:val="000000" w:themeColor="text1"/>
        </w:rPr>
        <w:tab/>
      </w:r>
      <w:r w:rsidRPr="00001627">
        <w:rPr>
          <w:rFonts w:ascii="Arial" w:hAnsi="Arial" w:cs="Arial"/>
          <w:b/>
          <w:color w:val="000000" w:themeColor="text1"/>
        </w:rPr>
        <w:t>FIRST DEFENDANT</w:t>
      </w:r>
    </w:p>
    <w:p w:rsidR="00401CC4" w:rsidRPr="00001627" w:rsidRDefault="0057258E" w:rsidP="00FD42FF">
      <w:pPr>
        <w:tabs>
          <w:tab w:val="right" w:pos="9000"/>
        </w:tabs>
        <w:spacing w:line="360" w:lineRule="auto"/>
        <w:ind w:left="567" w:hanging="567"/>
        <w:rPr>
          <w:rFonts w:ascii="Arial" w:hAnsi="Arial" w:cs="Arial"/>
          <w:b/>
          <w:color w:val="000000" w:themeColor="text1"/>
        </w:rPr>
      </w:pPr>
      <w:r w:rsidRPr="00001627">
        <w:rPr>
          <w:rFonts w:ascii="Arial" w:hAnsi="Arial" w:cs="Arial"/>
          <w:b/>
          <w:color w:val="000000" w:themeColor="text1"/>
        </w:rPr>
        <w:t>PAULUS SHIMI</w:t>
      </w:r>
      <w:r w:rsidRPr="00001627">
        <w:rPr>
          <w:rFonts w:ascii="Arial" w:hAnsi="Arial" w:cs="Arial"/>
          <w:b/>
          <w:color w:val="000000" w:themeColor="text1"/>
        </w:rPr>
        <w:tab/>
        <w:t>SECOND</w:t>
      </w:r>
      <w:r w:rsidR="00401CC4" w:rsidRPr="00001627">
        <w:rPr>
          <w:rFonts w:ascii="Arial" w:hAnsi="Arial" w:cs="Arial"/>
          <w:b/>
          <w:color w:val="000000" w:themeColor="text1"/>
        </w:rPr>
        <w:t xml:space="preserve"> </w:t>
      </w:r>
      <w:r w:rsidRPr="00001627">
        <w:rPr>
          <w:rFonts w:ascii="Arial" w:hAnsi="Arial" w:cs="Arial"/>
          <w:b/>
          <w:color w:val="000000" w:themeColor="text1"/>
        </w:rPr>
        <w:t>DEFENDANT</w:t>
      </w:r>
    </w:p>
    <w:p w:rsidR="00202890" w:rsidRPr="00001627" w:rsidRDefault="00202890" w:rsidP="00FD42FF">
      <w:pPr>
        <w:spacing w:line="360" w:lineRule="auto"/>
        <w:ind w:left="2160" w:hanging="2160"/>
        <w:rPr>
          <w:rFonts w:ascii="Arial" w:hAnsi="Arial" w:cs="Arial"/>
          <w:b/>
          <w:color w:val="000000" w:themeColor="text1"/>
        </w:rPr>
      </w:pPr>
    </w:p>
    <w:p w:rsidR="000F40C9" w:rsidRPr="00001627" w:rsidRDefault="000F40C9" w:rsidP="00FD42FF">
      <w:pPr>
        <w:spacing w:line="360" w:lineRule="auto"/>
        <w:ind w:left="2160" w:hanging="2160"/>
        <w:rPr>
          <w:rFonts w:ascii="Arial" w:hAnsi="Arial" w:cs="Arial"/>
          <w:color w:val="000000" w:themeColor="text1"/>
        </w:rPr>
      </w:pPr>
      <w:r w:rsidRPr="00001627">
        <w:rPr>
          <w:rFonts w:ascii="Arial" w:hAnsi="Arial" w:cs="Arial"/>
          <w:b/>
          <w:color w:val="000000" w:themeColor="text1"/>
        </w:rPr>
        <w:t>Neutral citation:</w:t>
      </w:r>
      <w:r w:rsidRPr="00001627">
        <w:rPr>
          <w:rFonts w:ascii="Arial" w:hAnsi="Arial" w:cs="Arial"/>
          <w:b/>
          <w:color w:val="000000" w:themeColor="text1"/>
        </w:rPr>
        <w:tab/>
      </w:r>
      <w:r w:rsidR="005B193D" w:rsidRPr="00001627">
        <w:rPr>
          <w:rFonts w:ascii="Arial" w:hAnsi="Arial" w:cs="Arial"/>
          <w:i/>
          <w:color w:val="000000" w:themeColor="text1"/>
        </w:rPr>
        <w:t>Arangies v Unitrans Namibia</w:t>
      </w:r>
      <w:r w:rsidR="005B193D" w:rsidRPr="00001627">
        <w:rPr>
          <w:rFonts w:ascii="Arial" w:hAnsi="Arial" w:cs="Arial"/>
          <w:color w:val="000000" w:themeColor="text1"/>
        </w:rPr>
        <w:t xml:space="preserve"> (Pty) Ltd (</w:t>
      </w:r>
      <w:r w:rsidR="0070338F">
        <w:rPr>
          <w:rFonts w:ascii="Arial" w:hAnsi="Arial" w:cs="Arial"/>
          <w:color w:val="000000" w:themeColor="text1"/>
        </w:rPr>
        <w:t>I</w:t>
      </w:r>
      <w:r w:rsidR="005B193D" w:rsidRPr="00001627">
        <w:rPr>
          <w:rFonts w:ascii="Arial" w:hAnsi="Arial" w:cs="Arial"/>
          <w:color w:val="000000" w:themeColor="text1"/>
        </w:rPr>
        <w:t xml:space="preserve"> 347/2013</w:t>
      </w:r>
      <w:proofErr w:type="gramStart"/>
      <w:r w:rsidR="005B193D" w:rsidRPr="00001627">
        <w:rPr>
          <w:rFonts w:ascii="Arial" w:hAnsi="Arial" w:cs="Arial"/>
          <w:color w:val="000000" w:themeColor="text1"/>
        </w:rPr>
        <w:t>)[</w:t>
      </w:r>
      <w:proofErr w:type="gramEnd"/>
      <w:r w:rsidR="005B193D" w:rsidRPr="00001627">
        <w:rPr>
          <w:rFonts w:ascii="Arial" w:hAnsi="Arial" w:cs="Arial"/>
          <w:color w:val="000000" w:themeColor="text1"/>
        </w:rPr>
        <w:t>2019] NA</w:t>
      </w:r>
      <w:r w:rsidR="0070338F">
        <w:rPr>
          <w:rFonts w:ascii="Arial" w:hAnsi="Arial" w:cs="Arial"/>
          <w:color w:val="000000" w:themeColor="text1"/>
        </w:rPr>
        <w:t>HC</w:t>
      </w:r>
      <w:r w:rsidR="005B193D" w:rsidRPr="00001627">
        <w:rPr>
          <w:rFonts w:ascii="Arial" w:hAnsi="Arial" w:cs="Arial"/>
          <w:color w:val="000000" w:themeColor="text1"/>
        </w:rPr>
        <w:t xml:space="preserve">MD </w:t>
      </w:r>
      <w:r w:rsidR="0070338F">
        <w:rPr>
          <w:rFonts w:ascii="Arial" w:hAnsi="Arial" w:cs="Arial"/>
          <w:color w:val="000000" w:themeColor="text1"/>
        </w:rPr>
        <w:t>196</w:t>
      </w:r>
      <w:r w:rsidR="005B193D" w:rsidRPr="00001627">
        <w:rPr>
          <w:rFonts w:ascii="Arial" w:hAnsi="Arial" w:cs="Arial"/>
          <w:color w:val="000000" w:themeColor="text1"/>
        </w:rPr>
        <w:t xml:space="preserve"> (18 June 2019)</w:t>
      </w:r>
    </w:p>
    <w:p w:rsidR="000F40C9" w:rsidRPr="00001627" w:rsidRDefault="000F40C9" w:rsidP="00FD42FF">
      <w:pPr>
        <w:spacing w:line="360" w:lineRule="auto"/>
        <w:rPr>
          <w:rFonts w:ascii="Arial" w:hAnsi="Arial" w:cs="Arial"/>
          <w:b/>
          <w:color w:val="000000" w:themeColor="text1"/>
        </w:rPr>
      </w:pPr>
    </w:p>
    <w:p w:rsidR="002C0128" w:rsidRPr="00001627" w:rsidRDefault="000F40C9" w:rsidP="00FD42FF">
      <w:pPr>
        <w:spacing w:line="360" w:lineRule="auto"/>
        <w:ind w:left="1440" w:hanging="1440"/>
        <w:rPr>
          <w:rFonts w:ascii="Arial" w:hAnsi="Arial" w:cs="Arial"/>
          <w:b/>
          <w:color w:val="000000" w:themeColor="text1"/>
        </w:rPr>
      </w:pPr>
      <w:r w:rsidRPr="00001627">
        <w:rPr>
          <w:rFonts w:ascii="Arial" w:hAnsi="Arial" w:cs="Arial"/>
          <w:b/>
          <w:color w:val="000000" w:themeColor="text1"/>
        </w:rPr>
        <w:t>Coram:</w:t>
      </w:r>
      <w:r w:rsidRPr="00001627">
        <w:rPr>
          <w:rFonts w:ascii="Arial" w:hAnsi="Arial" w:cs="Arial"/>
          <w:color w:val="000000" w:themeColor="text1"/>
        </w:rPr>
        <w:tab/>
      </w:r>
      <w:r w:rsidR="00FF1412" w:rsidRPr="00001627">
        <w:rPr>
          <w:rFonts w:ascii="Arial" w:hAnsi="Arial" w:cs="Arial"/>
          <w:b/>
          <w:color w:val="000000" w:themeColor="text1"/>
        </w:rPr>
        <w:t>NARIB</w:t>
      </w:r>
      <w:r w:rsidRPr="00001627">
        <w:rPr>
          <w:rFonts w:ascii="Arial" w:hAnsi="Arial" w:cs="Arial"/>
          <w:b/>
          <w:color w:val="000000" w:themeColor="text1"/>
        </w:rPr>
        <w:t xml:space="preserve"> AJ</w:t>
      </w:r>
    </w:p>
    <w:p w:rsidR="000F40C9" w:rsidRPr="00001627" w:rsidRDefault="000F40C9" w:rsidP="00FD42FF">
      <w:pPr>
        <w:spacing w:line="360" w:lineRule="auto"/>
        <w:ind w:left="1440" w:hanging="1440"/>
        <w:rPr>
          <w:rFonts w:ascii="Arial" w:hAnsi="Arial" w:cs="Arial"/>
          <w:b/>
          <w:color w:val="000000" w:themeColor="text1"/>
        </w:rPr>
      </w:pPr>
      <w:r w:rsidRPr="00001627">
        <w:rPr>
          <w:rFonts w:ascii="Arial" w:hAnsi="Arial" w:cs="Arial"/>
          <w:b/>
          <w:bCs/>
          <w:color w:val="000000" w:themeColor="text1"/>
        </w:rPr>
        <w:t>Heard</w:t>
      </w:r>
      <w:r w:rsidRPr="00001627">
        <w:rPr>
          <w:rFonts w:ascii="Arial" w:hAnsi="Arial" w:cs="Arial"/>
          <w:color w:val="000000" w:themeColor="text1"/>
        </w:rPr>
        <w:t>:</w:t>
      </w:r>
      <w:r w:rsidR="00AB78B0" w:rsidRPr="00001627">
        <w:rPr>
          <w:rFonts w:ascii="Arial" w:hAnsi="Arial" w:cs="Arial"/>
          <w:color w:val="000000" w:themeColor="text1"/>
        </w:rPr>
        <w:tab/>
        <w:t>20, 21, 22, 23, 24 and 28 May 2019</w:t>
      </w:r>
      <w:r w:rsidRPr="00001627">
        <w:rPr>
          <w:rFonts w:ascii="Arial" w:hAnsi="Arial" w:cs="Arial"/>
          <w:color w:val="000000" w:themeColor="text1"/>
        </w:rPr>
        <w:tab/>
      </w:r>
      <w:r w:rsidRPr="00001627">
        <w:rPr>
          <w:rFonts w:ascii="Arial" w:hAnsi="Arial" w:cs="Arial"/>
          <w:color w:val="000000" w:themeColor="text1"/>
        </w:rPr>
        <w:tab/>
      </w:r>
    </w:p>
    <w:p w:rsidR="00AB78B0" w:rsidRPr="00001627" w:rsidRDefault="00AB78B0" w:rsidP="00FD42FF">
      <w:pPr>
        <w:spacing w:line="360" w:lineRule="auto"/>
        <w:rPr>
          <w:rFonts w:ascii="Arial" w:hAnsi="Arial" w:cs="Arial"/>
          <w:bCs/>
          <w:color w:val="000000" w:themeColor="text1"/>
        </w:rPr>
      </w:pPr>
      <w:r w:rsidRPr="00001627">
        <w:rPr>
          <w:rFonts w:ascii="Arial" w:hAnsi="Arial" w:cs="Arial"/>
          <w:b/>
          <w:bCs/>
          <w:color w:val="000000" w:themeColor="text1"/>
        </w:rPr>
        <w:t>Rulings:</w:t>
      </w:r>
      <w:r w:rsidRPr="00001627">
        <w:rPr>
          <w:rFonts w:ascii="Arial" w:hAnsi="Arial" w:cs="Arial"/>
          <w:b/>
          <w:bCs/>
          <w:color w:val="000000" w:themeColor="text1"/>
        </w:rPr>
        <w:tab/>
      </w:r>
      <w:r w:rsidRPr="00001627">
        <w:rPr>
          <w:rFonts w:ascii="Arial" w:hAnsi="Arial" w:cs="Arial"/>
          <w:bCs/>
          <w:color w:val="000000" w:themeColor="text1"/>
        </w:rPr>
        <w:t>23 and 28 May 2019</w:t>
      </w:r>
    </w:p>
    <w:p w:rsidR="000F40C9" w:rsidRPr="00001627" w:rsidRDefault="00AB78B0" w:rsidP="00FD42FF">
      <w:pPr>
        <w:spacing w:line="360" w:lineRule="auto"/>
        <w:rPr>
          <w:rFonts w:ascii="Arial" w:hAnsi="Arial" w:cs="Arial"/>
          <w:b/>
          <w:color w:val="000000" w:themeColor="text1"/>
        </w:rPr>
      </w:pPr>
      <w:r w:rsidRPr="00001627">
        <w:rPr>
          <w:rFonts w:ascii="Arial" w:hAnsi="Arial" w:cs="Arial"/>
          <w:b/>
          <w:bCs/>
          <w:color w:val="000000" w:themeColor="text1"/>
        </w:rPr>
        <w:t>Reasons</w:t>
      </w:r>
      <w:r w:rsidR="000F40C9" w:rsidRPr="00001627">
        <w:rPr>
          <w:rFonts w:ascii="Arial" w:hAnsi="Arial" w:cs="Arial"/>
          <w:color w:val="000000" w:themeColor="text1"/>
        </w:rPr>
        <w:t>:</w:t>
      </w:r>
      <w:r w:rsidRPr="00001627">
        <w:rPr>
          <w:rFonts w:ascii="Arial" w:hAnsi="Arial" w:cs="Arial"/>
          <w:color w:val="000000" w:themeColor="text1"/>
        </w:rPr>
        <w:t xml:space="preserve"> </w:t>
      </w:r>
      <w:r w:rsidR="008D68DF">
        <w:rPr>
          <w:rFonts w:ascii="Arial" w:hAnsi="Arial" w:cs="Arial"/>
          <w:color w:val="000000" w:themeColor="text1"/>
        </w:rPr>
        <w:tab/>
      </w:r>
      <w:r w:rsidRPr="00001627">
        <w:rPr>
          <w:rFonts w:ascii="Arial" w:hAnsi="Arial" w:cs="Arial"/>
          <w:color w:val="000000" w:themeColor="text1"/>
        </w:rPr>
        <w:t>18 June 2019</w:t>
      </w:r>
      <w:r w:rsidR="000F40C9" w:rsidRPr="00001627">
        <w:rPr>
          <w:rFonts w:ascii="Arial" w:hAnsi="Arial" w:cs="Arial"/>
          <w:color w:val="000000" w:themeColor="text1"/>
        </w:rPr>
        <w:tab/>
      </w:r>
      <w:r w:rsidR="000F40C9" w:rsidRPr="00001627">
        <w:rPr>
          <w:rFonts w:ascii="Arial" w:hAnsi="Arial" w:cs="Arial"/>
          <w:b/>
          <w:color w:val="000000" w:themeColor="text1"/>
        </w:rPr>
        <w:t xml:space="preserve"> </w:t>
      </w:r>
    </w:p>
    <w:p w:rsidR="00E84B44" w:rsidRPr="00001627" w:rsidRDefault="00E84B44" w:rsidP="00FD42FF">
      <w:pPr>
        <w:spacing w:line="360" w:lineRule="auto"/>
        <w:rPr>
          <w:rFonts w:ascii="Arial" w:hAnsi="Arial" w:cs="Arial"/>
          <w:color w:val="000000" w:themeColor="text1"/>
        </w:rPr>
      </w:pPr>
    </w:p>
    <w:p w:rsidR="00E456D9" w:rsidRPr="00001627" w:rsidRDefault="00E456D9" w:rsidP="00FD42FF">
      <w:pPr>
        <w:spacing w:line="360" w:lineRule="auto"/>
        <w:rPr>
          <w:rFonts w:ascii="Arial" w:hAnsi="Arial" w:cs="Arial"/>
          <w:color w:val="000000" w:themeColor="text1"/>
        </w:rPr>
      </w:pPr>
    </w:p>
    <w:p w:rsidR="000F40C9" w:rsidRPr="00001627" w:rsidRDefault="00F128A4" w:rsidP="00FD42FF">
      <w:pPr>
        <w:spacing w:line="360" w:lineRule="auto"/>
        <w:rPr>
          <w:rFonts w:ascii="Arial" w:hAnsi="Arial" w:cs="Arial"/>
          <w:color w:val="000000" w:themeColor="text1"/>
        </w:rPr>
      </w:pPr>
      <w:r w:rsidRPr="00001627">
        <w:rPr>
          <w:rFonts w:ascii="Arial" w:hAnsi="Arial" w:cs="Arial"/>
          <w:bCs/>
          <w:color w:val="000000" w:themeColor="text1"/>
        </w:rPr>
        <w:pict>
          <v:rect id="_x0000_i1025" style="width:0;height:1.5pt" o:hralign="center" o:hrstd="t" o:hr="t" fillcolor="#a0a0a0" stroked="f"/>
        </w:pict>
      </w:r>
    </w:p>
    <w:p w:rsidR="00276FDB" w:rsidRPr="00001627" w:rsidRDefault="007C4CB1" w:rsidP="00FD42FF">
      <w:pPr>
        <w:spacing w:line="360" w:lineRule="auto"/>
        <w:jc w:val="center"/>
        <w:rPr>
          <w:rFonts w:ascii="Arial" w:hAnsi="Arial" w:cs="Arial"/>
          <w:b/>
          <w:color w:val="000000" w:themeColor="text1"/>
        </w:rPr>
      </w:pPr>
      <w:r w:rsidRPr="00001627">
        <w:rPr>
          <w:rFonts w:ascii="Arial" w:hAnsi="Arial" w:cs="Arial"/>
          <w:b/>
          <w:color w:val="000000" w:themeColor="text1"/>
        </w:rPr>
        <w:t>REASONS</w:t>
      </w:r>
    </w:p>
    <w:p w:rsidR="00276FDB" w:rsidRPr="00001627" w:rsidRDefault="00F128A4" w:rsidP="00FD42FF">
      <w:pPr>
        <w:spacing w:line="360" w:lineRule="auto"/>
        <w:jc w:val="center"/>
        <w:rPr>
          <w:rFonts w:ascii="Arial" w:hAnsi="Arial" w:cs="Arial"/>
          <w:b/>
          <w:color w:val="000000" w:themeColor="text1"/>
        </w:rPr>
      </w:pPr>
      <w:r w:rsidRPr="00001627">
        <w:rPr>
          <w:rFonts w:ascii="Arial" w:hAnsi="Arial" w:cs="Arial"/>
          <w:bCs/>
          <w:color w:val="000000" w:themeColor="text1"/>
        </w:rPr>
        <w:pict>
          <v:rect id="_x0000_i1026" style="width:0;height:1.5pt" o:hralign="center" o:hrstd="t" o:hr="t" fillcolor="#a0a0a0" stroked="f"/>
        </w:pict>
      </w:r>
    </w:p>
    <w:p w:rsidR="00276FDB" w:rsidRPr="00001627" w:rsidRDefault="00276FDB" w:rsidP="00FD42FF">
      <w:pPr>
        <w:spacing w:line="360" w:lineRule="auto"/>
        <w:rPr>
          <w:rFonts w:ascii="Arial" w:hAnsi="Arial" w:cs="Arial"/>
          <w:color w:val="000000" w:themeColor="text1"/>
        </w:rPr>
      </w:pPr>
    </w:p>
    <w:p w:rsidR="00276FDB" w:rsidRPr="00001627" w:rsidRDefault="003C5775" w:rsidP="00FD42FF">
      <w:pPr>
        <w:spacing w:line="360" w:lineRule="auto"/>
        <w:rPr>
          <w:rFonts w:ascii="Arial" w:hAnsi="Arial" w:cs="Arial"/>
          <w:color w:val="000000" w:themeColor="text1"/>
        </w:rPr>
      </w:pPr>
      <w:r w:rsidRPr="00001627">
        <w:rPr>
          <w:rFonts w:ascii="Arial" w:hAnsi="Arial" w:cs="Arial"/>
          <w:color w:val="000000" w:themeColor="text1"/>
        </w:rPr>
        <w:t>NARIB</w:t>
      </w:r>
      <w:r w:rsidR="00276FDB" w:rsidRPr="00001627">
        <w:rPr>
          <w:rFonts w:ascii="Arial" w:hAnsi="Arial" w:cs="Arial"/>
          <w:color w:val="000000" w:themeColor="text1"/>
        </w:rPr>
        <w:t xml:space="preserve"> AJ:</w:t>
      </w:r>
      <w:r w:rsidR="00276FDB" w:rsidRPr="00001627">
        <w:rPr>
          <w:rFonts w:ascii="Arial" w:hAnsi="Arial" w:cs="Arial"/>
          <w:color w:val="000000" w:themeColor="text1"/>
        </w:rPr>
        <w:tab/>
      </w:r>
    </w:p>
    <w:p w:rsidR="00202890" w:rsidRPr="00001627" w:rsidRDefault="00202890" w:rsidP="00FD42FF">
      <w:pPr>
        <w:spacing w:line="360" w:lineRule="auto"/>
        <w:rPr>
          <w:rFonts w:ascii="Arial" w:hAnsi="Arial" w:cs="Arial"/>
          <w:color w:val="000000" w:themeColor="text1"/>
        </w:rPr>
      </w:pPr>
    </w:p>
    <w:p w:rsidR="00CD611C" w:rsidRPr="00001627" w:rsidRDefault="00276FDB" w:rsidP="00FD42FF">
      <w:pPr>
        <w:spacing w:line="360" w:lineRule="auto"/>
        <w:rPr>
          <w:rFonts w:ascii="Arial" w:hAnsi="Arial" w:cs="Arial"/>
          <w:color w:val="000000" w:themeColor="text1"/>
        </w:rPr>
      </w:pPr>
      <w:r w:rsidRPr="00001627">
        <w:rPr>
          <w:rFonts w:ascii="Arial" w:hAnsi="Arial" w:cs="Arial"/>
          <w:color w:val="000000" w:themeColor="text1"/>
        </w:rPr>
        <w:t>[1]</w:t>
      </w:r>
      <w:r w:rsidRPr="00001627">
        <w:rPr>
          <w:rFonts w:ascii="Arial" w:hAnsi="Arial" w:cs="Arial"/>
          <w:color w:val="000000" w:themeColor="text1"/>
        </w:rPr>
        <w:tab/>
      </w:r>
      <w:r w:rsidR="008B087F" w:rsidRPr="00001627">
        <w:rPr>
          <w:rFonts w:ascii="Arial" w:hAnsi="Arial" w:cs="Arial"/>
          <w:color w:val="000000" w:themeColor="text1"/>
        </w:rPr>
        <w:t xml:space="preserve">On 23 May 2019, I made a ruling on admissibility of certain </w:t>
      </w:r>
      <w:r w:rsidR="004D5421" w:rsidRPr="00001627">
        <w:rPr>
          <w:rFonts w:ascii="Arial" w:hAnsi="Arial" w:cs="Arial"/>
          <w:color w:val="000000" w:themeColor="text1"/>
        </w:rPr>
        <w:t xml:space="preserve">evidence, which it was common cause between the parties, was </w:t>
      </w:r>
      <w:r w:rsidR="008B087F" w:rsidRPr="00001627">
        <w:rPr>
          <w:rFonts w:ascii="Arial" w:hAnsi="Arial" w:cs="Arial"/>
          <w:color w:val="000000" w:themeColor="text1"/>
        </w:rPr>
        <w:t>computer generated</w:t>
      </w:r>
      <w:r w:rsidR="004D5421" w:rsidRPr="00001627">
        <w:rPr>
          <w:rFonts w:ascii="Arial" w:hAnsi="Arial" w:cs="Arial"/>
          <w:color w:val="000000" w:themeColor="text1"/>
        </w:rPr>
        <w:t>, and which</w:t>
      </w:r>
      <w:r w:rsidR="008B087F" w:rsidRPr="00001627">
        <w:rPr>
          <w:rFonts w:ascii="Arial" w:hAnsi="Arial" w:cs="Arial"/>
          <w:color w:val="000000" w:themeColor="text1"/>
        </w:rPr>
        <w:t xml:space="preserve"> plaintiff wanted to present in Court.  I, then indicated that my reasons for that ruling will be given</w:t>
      </w:r>
      <w:r w:rsidR="00FD42FF" w:rsidRPr="00001627">
        <w:rPr>
          <w:rFonts w:ascii="Arial" w:hAnsi="Arial" w:cs="Arial"/>
          <w:color w:val="000000" w:themeColor="text1"/>
        </w:rPr>
        <w:t>,</w:t>
      </w:r>
      <w:r w:rsidR="008B087F" w:rsidRPr="00001627">
        <w:rPr>
          <w:rFonts w:ascii="Arial" w:hAnsi="Arial" w:cs="Arial"/>
          <w:color w:val="000000" w:themeColor="text1"/>
        </w:rPr>
        <w:t xml:space="preserve"> if requested by the parties, or will be delivered together with my final judgment in the matter.</w:t>
      </w:r>
    </w:p>
    <w:p w:rsidR="008B087F" w:rsidRPr="00001627" w:rsidRDefault="008B087F" w:rsidP="00FD42FF">
      <w:pPr>
        <w:spacing w:line="360" w:lineRule="auto"/>
        <w:rPr>
          <w:rFonts w:ascii="Arial" w:hAnsi="Arial" w:cs="Arial"/>
          <w:color w:val="000000" w:themeColor="text1"/>
        </w:rPr>
      </w:pPr>
    </w:p>
    <w:p w:rsidR="008B087F" w:rsidRPr="00001627" w:rsidRDefault="008B087F" w:rsidP="00FD42FF">
      <w:pPr>
        <w:spacing w:line="360" w:lineRule="auto"/>
        <w:rPr>
          <w:rFonts w:ascii="Arial" w:hAnsi="Arial" w:cs="Arial"/>
          <w:color w:val="000000" w:themeColor="text1"/>
        </w:rPr>
      </w:pPr>
      <w:r w:rsidRPr="00001627">
        <w:rPr>
          <w:rFonts w:ascii="Arial" w:hAnsi="Arial" w:cs="Arial"/>
          <w:color w:val="000000" w:themeColor="text1"/>
        </w:rPr>
        <w:t>[</w:t>
      </w:r>
      <w:r w:rsidR="004602A5" w:rsidRPr="00001627">
        <w:rPr>
          <w:rFonts w:ascii="Arial" w:hAnsi="Arial" w:cs="Arial"/>
          <w:color w:val="000000" w:themeColor="text1"/>
        </w:rPr>
        <w:t>2</w:t>
      </w:r>
      <w:r w:rsidRPr="00001627">
        <w:rPr>
          <w:rFonts w:ascii="Arial" w:hAnsi="Arial" w:cs="Arial"/>
          <w:color w:val="000000" w:themeColor="text1"/>
        </w:rPr>
        <w:t>]</w:t>
      </w:r>
      <w:r w:rsidRPr="00001627">
        <w:rPr>
          <w:rFonts w:ascii="Arial" w:hAnsi="Arial" w:cs="Arial"/>
          <w:color w:val="000000" w:themeColor="text1"/>
        </w:rPr>
        <w:tab/>
        <w:t>On 28 May 2019, I recused myself from this matter.  I then indicated that my reasons for the recusal as well as the reasons for my earlier ruling on a</w:t>
      </w:r>
      <w:r w:rsidR="00FD42FF" w:rsidRPr="00001627">
        <w:rPr>
          <w:rFonts w:ascii="Arial" w:hAnsi="Arial" w:cs="Arial"/>
          <w:color w:val="000000" w:themeColor="text1"/>
        </w:rPr>
        <w:t>dmissibility of computer generated</w:t>
      </w:r>
      <w:r w:rsidRPr="00001627">
        <w:rPr>
          <w:rFonts w:ascii="Arial" w:hAnsi="Arial" w:cs="Arial"/>
          <w:color w:val="000000" w:themeColor="text1"/>
        </w:rPr>
        <w:t xml:space="preserve"> evidence will be given on 18 June 2019. </w:t>
      </w:r>
      <w:r w:rsidR="00D965CA" w:rsidRPr="00001627">
        <w:rPr>
          <w:rFonts w:ascii="Arial" w:hAnsi="Arial" w:cs="Arial"/>
          <w:color w:val="000000" w:themeColor="text1"/>
        </w:rPr>
        <w:t xml:space="preserve">I believe that the parties are entitled to reasons for my ruling related to admissibility of evidence, </w:t>
      </w:r>
      <w:r w:rsidR="00AB78B0" w:rsidRPr="00001627">
        <w:rPr>
          <w:rFonts w:ascii="Arial" w:hAnsi="Arial" w:cs="Arial"/>
          <w:color w:val="000000" w:themeColor="text1"/>
        </w:rPr>
        <w:t xml:space="preserve">even if my ruling is not binding on account of my subsequent recusal, </w:t>
      </w:r>
      <w:r w:rsidR="00D965CA" w:rsidRPr="00001627">
        <w:rPr>
          <w:rFonts w:ascii="Arial" w:hAnsi="Arial" w:cs="Arial"/>
          <w:color w:val="000000" w:themeColor="text1"/>
        </w:rPr>
        <w:t>as same issues might arise</w:t>
      </w:r>
      <w:r w:rsidR="00AB78B0" w:rsidRPr="00001627">
        <w:rPr>
          <w:rFonts w:ascii="Arial" w:hAnsi="Arial" w:cs="Arial"/>
          <w:color w:val="000000" w:themeColor="text1"/>
        </w:rPr>
        <w:t xml:space="preserve"> in the future</w:t>
      </w:r>
      <w:r w:rsidR="00D965CA" w:rsidRPr="00001627">
        <w:rPr>
          <w:rFonts w:ascii="Arial" w:hAnsi="Arial" w:cs="Arial"/>
          <w:color w:val="000000" w:themeColor="text1"/>
        </w:rPr>
        <w:t>.</w:t>
      </w:r>
      <w:r w:rsidR="00AB78B0" w:rsidRPr="00001627">
        <w:rPr>
          <w:rFonts w:ascii="Arial" w:hAnsi="Arial" w:cs="Arial"/>
          <w:color w:val="000000" w:themeColor="text1"/>
        </w:rPr>
        <w:t xml:space="preserve">  These are the reasons.</w:t>
      </w:r>
    </w:p>
    <w:p w:rsidR="008B087F" w:rsidRPr="00001627" w:rsidRDefault="008B087F" w:rsidP="00FD42FF">
      <w:pPr>
        <w:spacing w:line="360" w:lineRule="auto"/>
        <w:rPr>
          <w:rFonts w:ascii="Arial" w:hAnsi="Arial" w:cs="Arial"/>
          <w:color w:val="000000" w:themeColor="text1"/>
        </w:rPr>
      </w:pPr>
    </w:p>
    <w:p w:rsidR="008B087F" w:rsidRPr="00001627" w:rsidRDefault="008B087F" w:rsidP="00FD42FF">
      <w:pPr>
        <w:spacing w:line="360" w:lineRule="auto"/>
        <w:rPr>
          <w:rFonts w:ascii="Arial" w:hAnsi="Arial" w:cs="Arial"/>
          <w:color w:val="000000" w:themeColor="text1"/>
          <w:u w:val="single"/>
        </w:rPr>
      </w:pPr>
      <w:r w:rsidRPr="00001627">
        <w:rPr>
          <w:rFonts w:ascii="Arial" w:hAnsi="Arial" w:cs="Arial"/>
          <w:color w:val="000000" w:themeColor="text1"/>
          <w:u w:val="single"/>
        </w:rPr>
        <w:t>Computer Evidence</w:t>
      </w:r>
    </w:p>
    <w:p w:rsidR="008B087F" w:rsidRPr="00001627" w:rsidRDefault="008B087F" w:rsidP="00FD42FF">
      <w:pPr>
        <w:spacing w:line="360" w:lineRule="auto"/>
        <w:rPr>
          <w:rFonts w:ascii="Arial" w:hAnsi="Arial" w:cs="Arial"/>
          <w:color w:val="000000" w:themeColor="text1"/>
        </w:rPr>
      </w:pPr>
    </w:p>
    <w:p w:rsidR="00541FBB" w:rsidRPr="00001627" w:rsidRDefault="008B087F" w:rsidP="00FD42FF">
      <w:pPr>
        <w:spacing w:line="360" w:lineRule="auto"/>
        <w:rPr>
          <w:rFonts w:ascii="Arial" w:hAnsi="Arial" w:cs="Arial"/>
          <w:color w:val="000000" w:themeColor="text1"/>
        </w:rPr>
      </w:pPr>
      <w:r w:rsidRPr="00001627">
        <w:rPr>
          <w:rFonts w:ascii="Arial" w:hAnsi="Arial" w:cs="Arial"/>
          <w:color w:val="000000" w:themeColor="text1"/>
        </w:rPr>
        <w:t>[3]</w:t>
      </w:r>
      <w:r w:rsidRPr="00001627">
        <w:rPr>
          <w:rFonts w:ascii="Arial" w:hAnsi="Arial" w:cs="Arial"/>
          <w:color w:val="000000" w:themeColor="text1"/>
        </w:rPr>
        <w:tab/>
      </w:r>
      <w:r w:rsidR="007D7394" w:rsidRPr="00001627">
        <w:rPr>
          <w:rFonts w:ascii="Arial" w:hAnsi="Arial" w:cs="Arial"/>
          <w:color w:val="000000" w:themeColor="text1"/>
        </w:rPr>
        <w:t xml:space="preserve">It is </w:t>
      </w:r>
      <w:r w:rsidRPr="00001627">
        <w:rPr>
          <w:rFonts w:ascii="Arial" w:hAnsi="Arial" w:cs="Arial"/>
          <w:color w:val="000000" w:themeColor="text1"/>
        </w:rPr>
        <w:t xml:space="preserve">said that we are presently in the age of </w:t>
      </w:r>
      <w:r w:rsidR="007D7394" w:rsidRPr="00001627">
        <w:rPr>
          <w:rFonts w:ascii="Arial" w:hAnsi="Arial" w:cs="Arial"/>
          <w:color w:val="000000" w:themeColor="text1"/>
        </w:rPr>
        <w:t>the fo</w:t>
      </w:r>
      <w:r w:rsidR="0023008E" w:rsidRPr="00001627">
        <w:rPr>
          <w:rFonts w:ascii="Arial" w:hAnsi="Arial" w:cs="Arial"/>
          <w:color w:val="000000" w:themeColor="text1"/>
        </w:rPr>
        <w:t>u</w:t>
      </w:r>
      <w:r w:rsidRPr="00001627">
        <w:rPr>
          <w:rFonts w:ascii="Arial" w:hAnsi="Arial" w:cs="Arial"/>
          <w:color w:val="000000" w:themeColor="text1"/>
        </w:rPr>
        <w:t xml:space="preserve">rth industrial revolution, </w:t>
      </w:r>
      <w:r w:rsidR="004602A5" w:rsidRPr="00001627">
        <w:rPr>
          <w:rFonts w:ascii="Arial" w:hAnsi="Arial" w:cs="Arial"/>
          <w:color w:val="000000" w:themeColor="text1"/>
        </w:rPr>
        <w:t xml:space="preserve">that is, </w:t>
      </w:r>
      <w:r w:rsidRPr="00001627">
        <w:rPr>
          <w:rFonts w:ascii="Arial" w:hAnsi="Arial" w:cs="Arial"/>
          <w:color w:val="000000" w:themeColor="text1"/>
        </w:rPr>
        <w:t>the age of artificial intelligence</w:t>
      </w:r>
      <w:r w:rsidR="00033E0A" w:rsidRPr="00001627">
        <w:rPr>
          <w:rFonts w:ascii="Arial" w:hAnsi="Arial" w:cs="Arial"/>
          <w:color w:val="000000" w:themeColor="text1"/>
        </w:rPr>
        <w:t xml:space="preserve"> and information and communication technology</w:t>
      </w:r>
      <w:r w:rsidRPr="00001627">
        <w:rPr>
          <w:rFonts w:ascii="Arial" w:hAnsi="Arial" w:cs="Arial"/>
          <w:color w:val="000000" w:themeColor="text1"/>
        </w:rPr>
        <w:t xml:space="preserve">. </w:t>
      </w:r>
      <w:r w:rsidR="00541FBB" w:rsidRPr="00001627">
        <w:rPr>
          <w:rFonts w:ascii="Arial" w:hAnsi="Arial" w:cs="Arial"/>
          <w:color w:val="000000" w:themeColor="text1"/>
        </w:rPr>
        <w:t>A computer, as a tool</w:t>
      </w:r>
      <w:r w:rsidR="005B193D" w:rsidRPr="00001627">
        <w:rPr>
          <w:rFonts w:ascii="Arial" w:hAnsi="Arial" w:cs="Arial"/>
          <w:color w:val="000000" w:themeColor="text1"/>
        </w:rPr>
        <w:t>,</w:t>
      </w:r>
      <w:r w:rsidR="00541FBB" w:rsidRPr="00001627">
        <w:rPr>
          <w:rFonts w:ascii="Arial" w:hAnsi="Arial" w:cs="Arial"/>
          <w:color w:val="000000" w:themeColor="text1"/>
        </w:rPr>
        <w:t xml:space="preserve"> has become</w:t>
      </w:r>
      <w:r w:rsidR="004602A5" w:rsidRPr="00001627">
        <w:rPr>
          <w:rFonts w:ascii="Arial" w:hAnsi="Arial" w:cs="Arial"/>
          <w:color w:val="000000" w:themeColor="text1"/>
        </w:rPr>
        <w:t xml:space="preserve"> an</w:t>
      </w:r>
      <w:r w:rsidR="00541FBB" w:rsidRPr="00001627">
        <w:rPr>
          <w:rFonts w:ascii="Arial" w:hAnsi="Arial" w:cs="Arial"/>
          <w:color w:val="000000" w:themeColor="text1"/>
        </w:rPr>
        <w:t xml:space="preserve"> indispensable part of the human endeavour. The processing power of microchip is now legendary, </w:t>
      </w:r>
      <w:r w:rsidR="00FD42FF" w:rsidRPr="00001627">
        <w:rPr>
          <w:rFonts w:ascii="Arial" w:hAnsi="Arial" w:cs="Arial"/>
          <w:color w:val="000000" w:themeColor="text1"/>
        </w:rPr>
        <w:t xml:space="preserve">that, </w:t>
      </w:r>
      <w:r w:rsidR="00541FBB" w:rsidRPr="00001627">
        <w:rPr>
          <w:rFonts w:ascii="Arial" w:hAnsi="Arial" w:cs="Arial"/>
          <w:color w:val="000000" w:themeColor="text1"/>
        </w:rPr>
        <w:t xml:space="preserve">no doubt, Courts will more and more be confronted with </w:t>
      </w:r>
      <w:r w:rsidR="004602A5" w:rsidRPr="00001627">
        <w:rPr>
          <w:rFonts w:ascii="Arial" w:hAnsi="Arial" w:cs="Arial"/>
          <w:color w:val="000000" w:themeColor="text1"/>
        </w:rPr>
        <w:t>evidence generated by computers and other electronic devices.</w:t>
      </w:r>
      <w:r w:rsidR="00FD42FF" w:rsidRPr="00001627">
        <w:rPr>
          <w:rFonts w:ascii="Arial" w:hAnsi="Arial" w:cs="Arial"/>
          <w:color w:val="000000" w:themeColor="text1"/>
        </w:rPr>
        <w:t xml:space="preserve">  Perhaps</w:t>
      </w:r>
      <w:r w:rsidR="00B3000D" w:rsidRPr="00001627">
        <w:rPr>
          <w:rFonts w:ascii="Arial" w:hAnsi="Arial" w:cs="Arial"/>
          <w:color w:val="000000" w:themeColor="text1"/>
        </w:rPr>
        <w:t>,</w:t>
      </w:r>
      <w:r w:rsidR="00FD42FF" w:rsidRPr="00001627">
        <w:rPr>
          <w:rFonts w:ascii="Arial" w:hAnsi="Arial" w:cs="Arial"/>
          <w:color w:val="000000" w:themeColor="text1"/>
        </w:rPr>
        <w:t xml:space="preserve"> it is time for the legislature to review the provisions of the Computer Evidence Act, 1985 (the Act) or to enact new legislation more suitable</w:t>
      </w:r>
      <w:r w:rsidR="00B3000D" w:rsidRPr="00001627">
        <w:rPr>
          <w:rFonts w:ascii="Arial" w:hAnsi="Arial" w:cs="Arial"/>
          <w:color w:val="000000" w:themeColor="text1"/>
        </w:rPr>
        <w:t xml:space="preserve"> </w:t>
      </w:r>
      <w:r w:rsidR="00FD42FF" w:rsidRPr="00001627">
        <w:rPr>
          <w:rFonts w:ascii="Arial" w:hAnsi="Arial" w:cs="Arial"/>
          <w:color w:val="000000" w:themeColor="text1"/>
        </w:rPr>
        <w:t>for what has doubtless been exponential and unprecedented developments since th</w:t>
      </w:r>
      <w:r w:rsidR="00AB78B0" w:rsidRPr="00001627">
        <w:rPr>
          <w:rFonts w:ascii="Arial" w:hAnsi="Arial" w:cs="Arial"/>
          <w:color w:val="000000" w:themeColor="text1"/>
        </w:rPr>
        <w:t>e</w:t>
      </w:r>
      <w:r w:rsidR="00FD42FF" w:rsidRPr="00001627">
        <w:rPr>
          <w:rFonts w:ascii="Arial" w:hAnsi="Arial" w:cs="Arial"/>
          <w:color w:val="000000" w:themeColor="text1"/>
        </w:rPr>
        <w:t xml:space="preserve"> Act was enacted.   </w:t>
      </w:r>
      <w:r w:rsidR="004602A5" w:rsidRPr="00001627">
        <w:rPr>
          <w:rFonts w:ascii="Arial" w:hAnsi="Arial" w:cs="Arial"/>
          <w:color w:val="000000" w:themeColor="text1"/>
        </w:rPr>
        <w:t xml:space="preserve">  </w:t>
      </w:r>
    </w:p>
    <w:p w:rsidR="00220F1E" w:rsidRPr="00001627" w:rsidRDefault="00220F1E" w:rsidP="00FD42FF">
      <w:pPr>
        <w:spacing w:line="360" w:lineRule="auto"/>
        <w:rPr>
          <w:rFonts w:ascii="Arial" w:hAnsi="Arial" w:cs="Arial"/>
          <w:color w:val="000000" w:themeColor="text1"/>
        </w:rPr>
      </w:pPr>
    </w:p>
    <w:p w:rsidR="00220F1E" w:rsidRPr="00001627" w:rsidRDefault="0023008E" w:rsidP="00FD42FF">
      <w:pPr>
        <w:spacing w:line="360" w:lineRule="auto"/>
        <w:rPr>
          <w:rFonts w:ascii="Arial" w:hAnsi="Arial" w:cs="Arial"/>
          <w:color w:val="000000" w:themeColor="text1"/>
        </w:rPr>
      </w:pPr>
      <w:r w:rsidRPr="00001627">
        <w:rPr>
          <w:rFonts w:ascii="Arial" w:hAnsi="Arial" w:cs="Arial"/>
          <w:color w:val="000000" w:themeColor="text1"/>
        </w:rPr>
        <w:t>[</w:t>
      </w:r>
      <w:r w:rsidR="0057258E" w:rsidRPr="00001627">
        <w:rPr>
          <w:rFonts w:ascii="Arial" w:hAnsi="Arial" w:cs="Arial"/>
          <w:color w:val="000000" w:themeColor="text1"/>
        </w:rPr>
        <w:t>4</w:t>
      </w:r>
      <w:r w:rsidRPr="00001627">
        <w:rPr>
          <w:rFonts w:ascii="Arial" w:hAnsi="Arial" w:cs="Arial"/>
          <w:color w:val="000000" w:themeColor="text1"/>
        </w:rPr>
        <w:t>]</w:t>
      </w:r>
      <w:r w:rsidRPr="00001627">
        <w:rPr>
          <w:rFonts w:ascii="Arial" w:hAnsi="Arial" w:cs="Arial"/>
          <w:color w:val="000000" w:themeColor="text1"/>
        </w:rPr>
        <w:tab/>
      </w:r>
      <w:r w:rsidR="00220F1E" w:rsidRPr="00001627">
        <w:rPr>
          <w:rFonts w:ascii="Arial" w:hAnsi="Arial" w:cs="Arial"/>
          <w:color w:val="000000" w:themeColor="text1"/>
        </w:rPr>
        <w:t>However prolific our use of computers might be,</w:t>
      </w:r>
      <w:r w:rsidR="004602A5" w:rsidRPr="00001627">
        <w:rPr>
          <w:rFonts w:ascii="Arial" w:hAnsi="Arial" w:cs="Arial"/>
          <w:color w:val="000000" w:themeColor="text1"/>
        </w:rPr>
        <w:t xml:space="preserve"> a</w:t>
      </w:r>
      <w:r w:rsidR="00220F1E" w:rsidRPr="00001627">
        <w:rPr>
          <w:rFonts w:ascii="Arial" w:hAnsi="Arial" w:cs="Arial"/>
          <w:color w:val="000000" w:themeColor="text1"/>
        </w:rPr>
        <w:t xml:space="preserve"> c</w:t>
      </w:r>
      <w:r w:rsidRPr="00001627">
        <w:rPr>
          <w:rFonts w:ascii="Arial" w:hAnsi="Arial" w:cs="Arial"/>
          <w:color w:val="000000" w:themeColor="text1"/>
        </w:rPr>
        <w:t xml:space="preserve">omputer is not a person.  A computer cannot take an oath and subject itself to cross-examination, or realise its mistake </w:t>
      </w:r>
      <w:r w:rsidR="00A029B0" w:rsidRPr="00001627">
        <w:rPr>
          <w:rFonts w:ascii="Arial" w:hAnsi="Arial" w:cs="Arial"/>
          <w:color w:val="000000" w:themeColor="text1"/>
        </w:rPr>
        <w:t xml:space="preserve">mid-evidence </w:t>
      </w:r>
      <w:r w:rsidRPr="00001627">
        <w:rPr>
          <w:rFonts w:ascii="Arial" w:hAnsi="Arial" w:cs="Arial"/>
          <w:color w:val="000000" w:themeColor="text1"/>
        </w:rPr>
        <w:t xml:space="preserve">and correct itself.  </w:t>
      </w:r>
      <w:r w:rsidR="00220F1E" w:rsidRPr="00001627">
        <w:rPr>
          <w:rFonts w:ascii="Arial" w:hAnsi="Arial" w:cs="Arial"/>
          <w:color w:val="000000" w:themeColor="text1"/>
        </w:rPr>
        <w:t xml:space="preserve">It does not know right </w:t>
      </w:r>
      <w:r w:rsidR="0057258E" w:rsidRPr="00001627">
        <w:rPr>
          <w:rFonts w:ascii="Arial" w:hAnsi="Arial" w:cs="Arial"/>
          <w:color w:val="000000" w:themeColor="text1"/>
        </w:rPr>
        <w:t>from</w:t>
      </w:r>
      <w:r w:rsidR="00220F1E" w:rsidRPr="00001627">
        <w:rPr>
          <w:rFonts w:ascii="Arial" w:hAnsi="Arial" w:cs="Arial"/>
          <w:color w:val="000000" w:themeColor="text1"/>
        </w:rPr>
        <w:t xml:space="preserve"> wrong and cannot act in </w:t>
      </w:r>
      <w:r w:rsidR="005B193D" w:rsidRPr="00001627">
        <w:rPr>
          <w:rFonts w:ascii="Arial" w:hAnsi="Arial" w:cs="Arial"/>
          <w:color w:val="000000" w:themeColor="text1"/>
        </w:rPr>
        <w:t xml:space="preserve">appreciation of such knowledge. </w:t>
      </w:r>
      <w:r w:rsidR="00A029B0" w:rsidRPr="00001627">
        <w:rPr>
          <w:rFonts w:ascii="Arial" w:hAnsi="Arial" w:cs="Arial"/>
          <w:color w:val="000000" w:themeColor="text1"/>
        </w:rPr>
        <w:t>It is not a comp</w:t>
      </w:r>
      <w:r w:rsidR="005B193D" w:rsidRPr="00001627">
        <w:rPr>
          <w:rFonts w:ascii="Arial" w:hAnsi="Arial" w:cs="Arial"/>
          <w:color w:val="000000" w:themeColor="text1"/>
        </w:rPr>
        <w:t xml:space="preserve">etent and compellable witness. </w:t>
      </w:r>
      <w:r w:rsidRPr="00001627">
        <w:rPr>
          <w:rFonts w:ascii="Arial" w:hAnsi="Arial" w:cs="Arial"/>
          <w:color w:val="000000" w:themeColor="text1"/>
        </w:rPr>
        <w:t xml:space="preserve">The outcomes of its processes are fixed and immutable.  </w:t>
      </w:r>
      <w:r w:rsidR="00541FBB" w:rsidRPr="00001627">
        <w:rPr>
          <w:rFonts w:ascii="Arial" w:hAnsi="Arial" w:cs="Arial"/>
          <w:color w:val="000000" w:themeColor="text1"/>
        </w:rPr>
        <w:t>Computer generated evidence which is not properly authenticated</w:t>
      </w:r>
      <w:r w:rsidR="007C4CB1" w:rsidRPr="00001627">
        <w:rPr>
          <w:rFonts w:ascii="Arial" w:hAnsi="Arial" w:cs="Arial"/>
          <w:color w:val="000000" w:themeColor="text1"/>
        </w:rPr>
        <w:t xml:space="preserve"> suffers</w:t>
      </w:r>
      <w:r w:rsidR="00541FBB" w:rsidRPr="00001627">
        <w:rPr>
          <w:rFonts w:ascii="Arial" w:hAnsi="Arial" w:cs="Arial"/>
          <w:color w:val="000000" w:themeColor="text1"/>
        </w:rPr>
        <w:t xml:space="preserve"> the </w:t>
      </w:r>
      <w:r w:rsidR="007C4CB1" w:rsidRPr="00001627">
        <w:rPr>
          <w:rFonts w:ascii="Arial" w:hAnsi="Arial" w:cs="Arial"/>
          <w:color w:val="000000" w:themeColor="text1"/>
        </w:rPr>
        <w:t xml:space="preserve">same </w:t>
      </w:r>
      <w:r w:rsidR="007C4CB1" w:rsidRPr="00001627">
        <w:rPr>
          <w:rFonts w:ascii="Arial" w:hAnsi="Arial" w:cs="Arial"/>
          <w:color w:val="000000" w:themeColor="text1"/>
        </w:rPr>
        <w:lastRenderedPageBreak/>
        <w:t xml:space="preserve">impediment which was </w:t>
      </w:r>
      <w:r w:rsidR="00541FBB" w:rsidRPr="00001627">
        <w:rPr>
          <w:rFonts w:ascii="Arial" w:hAnsi="Arial" w:cs="Arial"/>
          <w:color w:val="000000" w:themeColor="text1"/>
        </w:rPr>
        <w:t xml:space="preserve">pointed out in the matter of </w:t>
      </w:r>
      <w:r w:rsidR="00541FBB" w:rsidRPr="00001627">
        <w:rPr>
          <w:rFonts w:ascii="Arial" w:hAnsi="Arial" w:cs="Arial"/>
          <w:i/>
          <w:color w:val="000000" w:themeColor="text1"/>
        </w:rPr>
        <w:t>Rex v. Trupedo 1920</w:t>
      </w:r>
      <w:r w:rsidR="007C4CB1" w:rsidRPr="00001627">
        <w:rPr>
          <w:rFonts w:ascii="Arial" w:hAnsi="Arial" w:cs="Arial"/>
          <w:i/>
          <w:color w:val="000000" w:themeColor="text1"/>
        </w:rPr>
        <w:t xml:space="preserve"> </w:t>
      </w:r>
      <w:r w:rsidR="00541FBB" w:rsidRPr="00001627">
        <w:rPr>
          <w:rFonts w:ascii="Arial" w:hAnsi="Arial" w:cs="Arial"/>
          <w:i/>
          <w:color w:val="000000" w:themeColor="text1"/>
        </w:rPr>
        <w:t>AD 58</w:t>
      </w:r>
      <w:r w:rsidR="000E26DD" w:rsidRPr="00001627">
        <w:rPr>
          <w:rStyle w:val="FootnoteReference"/>
          <w:rFonts w:ascii="Arial" w:hAnsi="Arial" w:cs="Arial"/>
          <w:color w:val="000000" w:themeColor="text1"/>
        </w:rPr>
        <w:footnoteReference w:id="1"/>
      </w:r>
      <w:r w:rsidR="00541FBB" w:rsidRPr="00001627">
        <w:rPr>
          <w:rFonts w:ascii="Arial" w:hAnsi="Arial" w:cs="Arial"/>
          <w:color w:val="000000" w:themeColor="text1"/>
        </w:rPr>
        <w:t xml:space="preserve">, in that it </w:t>
      </w:r>
      <w:r w:rsidR="007C4CB1" w:rsidRPr="00001627">
        <w:rPr>
          <w:rFonts w:ascii="Arial" w:hAnsi="Arial" w:cs="Arial"/>
          <w:color w:val="000000" w:themeColor="text1"/>
        </w:rPr>
        <w:t>is analogous to hearsay</w:t>
      </w:r>
      <w:r w:rsidR="007C4CB1" w:rsidRPr="00001627">
        <w:rPr>
          <w:rStyle w:val="FootnoteReference"/>
          <w:rFonts w:ascii="Arial" w:hAnsi="Arial" w:cs="Arial"/>
          <w:color w:val="000000" w:themeColor="text1"/>
        </w:rPr>
        <w:footnoteReference w:id="2"/>
      </w:r>
      <w:r w:rsidR="007C4CB1" w:rsidRPr="00001627">
        <w:rPr>
          <w:rFonts w:ascii="Arial" w:hAnsi="Arial" w:cs="Arial"/>
          <w:color w:val="000000" w:themeColor="text1"/>
        </w:rPr>
        <w:t xml:space="preserve">, thus offends the rule against hearsay.  </w:t>
      </w:r>
    </w:p>
    <w:p w:rsidR="00FD42FF" w:rsidRPr="00001627" w:rsidRDefault="00FD42FF" w:rsidP="00FD42FF">
      <w:pPr>
        <w:spacing w:line="360" w:lineRule="auto"/>
        <w:rPr>
          <w:rFonts w:ascii="Arial" w:hAnsi="Arial" w:cs="Arial"/>
          <w:color w:val="000000" w:themeColor="text1"/>
        </w:rPr>
      </w:pPr>
    </w:p>
    <w:p w:rsidR="0023008E" w:rsidRPr="00001627" w:rsidRDefault="00220F1E" w:rsidP="00FD42FF">
      <w:pPr>
        <w:spacing w:line="360" w:lineRule="auto"/>
        <w:rPr>
          <w:rFonts w:ascii="Arial" w:hAnsi="Arial" w:cs="Arial"/>
          <w:color w:val="000000" w:themeColor="text1"/>
        </w:rPr>
      </w:pPr>
      <w:r w:rsidRPr="00001627">
        <w:rPr>
          <w:rFonts w:ascii="Arial" w:hAnsi="Arial" w:cs="Arial"/>
          <w:color w:val="000000" w:themeColor="text1"/>
        </w:rPr>
        <w:t>[</w:t>
      </w:r>
      <w:r w:rsidR="0057258E" w:rsidRPr="00001627">
        <w:rPr>
          <w:rFonts w:ascii="Arial" w:hAnsi="Arial" w:cs="Arial"/>
          <w:color w:val="000000" w:themeColor="text1"/>
        </w:rPr>
        <w:t>5</w:t>
      </w:r>
      <w:r w:rsidRPr="00001627">
        <w:rPr>
          <w:rFonts w:ascii="Arial" w:hAnsi="Arial" w:cs="Arial"/>
          <w:color w:val="000000" w:themeColor="text1"/>
        </w:rPr>
        <w:t>]</w:t>
      </w:r>
      <w:r w:rsidRPr="00001627">
        <w:rPr>
          <w:rFonts w:ascii="Arial" w:hAnsi="Arial" w:cs="Arial"/>
          <w:color w:val="000000" w:themeColor="text1"/>
        </w:rPr>
        <w:tab/>
      </w:r>
      <w:r w:rsidR="007C4CB1" w:rsidRPr="00001627">
        <w:rPr>
          <w:rFonts w:ascii="Arial" w:hAnsi="Arial" w:cs="Arial"/>
          <w:color w:val="000000" w:themeColor="text1"/>
        </w:rPr>
        <w:t>For such evidence to be admissible there must be compliance with various requisites of the</w:t>
      </w:r>
      <w:r w:rsidR="00B3000D" w:rsidRPr="00001627">
        <w:rPr>
          <w:rFonts w:ascii="Arial" w:hAnsi="Arial" w:cs="Arial"/>
          <w:color w:val="000000" w:themeColor="text1"/>
        </w:rPr>
        <w:t xml:space="preserve"> </w:t>
      </w:r>
      <w:r w:rsidR="0057258E" w:rsidRPr="00001627">
        <w:rPr>
          <w:rFonts w:ascii="Arial" w:hAnsi="Arial" w:cs="Arial"/>
          <w:color w:val="000000" w:themeColor="text1"/>
        </w:rPr>
        <w:t>Act</w:t>
      </w:r>
      <w:r w:rsidR="00B3000D" w:rsidRPr="00001627">
        <w:rPr>
          <w:rFonts w:ascii="Arial" w:hAnsi="Arial" w:cs="Arial"/>
          <w:color w:val="000000" w:themeColor="text1"/>
        </w:rPr>
        <w:t>.  Such evidence mu</w:t>
      </w:r>
      <w:r w:rsidR="00AB78B0" w:rsidRPr="00001627">
        <w:rPr>
          <w:rFonts w:ascii="Arial" w:hAnsi="Arial" w:cs="Arial"/>
          <w:color w:val="000000" w:themeColor="text1"/>
        </w:rPr>
        <w:t xml:space="preserve">st </w:t>
      </w:r>
      <w:r w:rsidR="00B3000D" w:rsidRPr="00001627">
        <w:rPr>
          <w:rFonts w:ascii="Arial" w:hAnsi="Arial" w:cs="Arial"/>
          <w:color w:val="000000" w:themeColor="text1"/>
        </w:rPr>
        <w:t>be authenticated by affidavit from a duly qualified and experienced person.</w:t>
      </w:r>
      <w:r w:rsidR="005B193D" w:rsidRPr="00001627">
        <w:rPr>
          <w:rFonts w:ascii="Arial" w:hAnsi="Arial" w:cs="Arial"/>
          <w:color w:val="000000" w:themeColor="text1"/>
        </w:rPr>
        <w:t xml:space="preserve"> </w:t>
      </w:r>
      <w:r w:rsidR="007C4CB1" w:rsidRPr="00001627">
        <w:rPr>
          <w:rFonts w:ascii="Arial" w:hAnsi="Arial" w:cs="Arial"/>
          <w:color w:val="000000" w:themeColor="text1"/>
        </w:rPr>
        <w:t xml:space="preserve">Since my ruling was confined to non-compliance with sections </w:t>
      </w:r>
      <w:r w:rsidR="00E77DD0" w:rsidRPr="00001627">
        <w:rPr>
          <w:rFonts w:ascii="Arial" w:hAnsi="Arial" w:cs="Arial"/>
          <w:color w:val="000000" w:themeColor="text1"/>
        </w:rPr>
        <w:t>2(3</w:t>
      </w:r>
      <w:proofErr w:type="gramStart"/>
      <w:r w:rsidR="00E77DD0" w:rsidRPr="00001627">
        <w:rPr>
          <w:rFonts w:ascii="Arial" w:hAnsi="Arial" w:cs="Arial"/>
          <w:color w:val="000000" w:themeColor="text1"/>
        </w:rPr>
        <w:t>)(</w:t>
      </w:r>
      <w:proofErr w:type="gramEnd"/>
      <w:r w:rsidR="00E77DD0" w:rsidRPr="00001627">
        <w:rPr>
          <w:rFonts w:ascii="Arial" w:hAnsi="Arial" w:cs="Arial"/>
          <w:i/>
          <w:color w:val="000000" w:themeColor="text1"/>
        </w:rPr>
        <w:t>a</w:t>
      </w:r>
      <w:r w:rsidR="00E77DD0" w:rsidRPr="00001627">
        <w:rPr>
          <w:rFonts w:ascii="Arial" w:hAnsi="Arial" w:cs="Arial"/>
          <w:color w:val="000000" w:themeColor="text1"/>
        </w:rPr>
        <w:t xml:space="preserve">) of the Act, I shall </w:t>
      </w:r>
      <w:r w:rsidR="004602A5" w:rsidRPr="00001627">
        <w:rPr>
          <w:rFonts w:ascii="Arial" w:hAnsi="Arial" w:cs="Arial"/>
          <w:color w:val="000000" w:themeColor="text1"/>
        </w:rPr>
        <w:t>similarly confine myself to</w:t>
      </w:r>
      <w:r w:rsidR="00E77DD0" w:rsidRPr="00001627">
        <w:rPr>
          <w:rFonts w:ascii="Arial" w:hAnsi="Arial" w:cs="Arial"/>
          <w:color w:val="000000" w:themeColor="text1"/>
        </w:rPr>
        <w:t xml:space="preserve"> this aspect.</w:t>
      </w:r>
    </w:p>
    <w:p w:rsidR="00E77DD0" w:rsidRPr="00001627" w:rsidRDefault="00E77DD0" w:rsidP="00FD42FF">
      <w:pPr>
        <w:spacing w:line="360" w:lineRule="auto"/>
        <w:rPr>
          <w:rFonts w:ascii="Arial" w:hAnsi="Arial" w:cs="Arial"/>
          <w:color w:val="000000" w:themeColor="text1"/>
        </w:rPr>
      </w:pPr>
    </w:p>
    <w:p w:rsidR="00E77DD0" w:rsidRPr="00001627" w:rsidRDefault="00E77DD0" w:rsidP="00FD42FF">
      <w:pPr>
        <w:spacing w:line="360" w:lineRule="auto"/>
        <w:rPr>
          <w:rFonts w:ascii="Arial" w:hAnsi="Arial" w:cs="Arial"/>
          <w:color w:val="000000" w:themeColor="text1"/>
        </w:rPr>
      </w:pPr>
      <w:r w:rsidRPr="00001627">
        <w:rPr>
          <w:rFonts w:ascii="Arial" w:hAnsi="Arial" w:cs="Arial"/>
          <w:color w:val="000000" w:themeColor="text1"/>
        </w:rPr>
        <w:t>[6]</w:t>
      </w:r>
      <w:r w:rsidRPr="00001627">
        <w:rPr>
          <w:rFonts w:ascii="Arial" w:hAnsi="Arial" w:cs="Arial"/>
          <w:color w:val="000000" w:themeColor="text1"/>
        </w:rPr>
        <w:tab/>
        <w:t>That section provides as follows:</w:t>
      </w:r>
    </w:p>
    <w:p w:rsidR="00E77DD0" w:rsidRPr="00001627" w:rsidRDefault="00E77DD0" w:rsidP="00FD42FF">
      <w:pPr>
        <w:spacing w:line="360" w:lineRule="auto"/>
        <w:rPr>
          <w:rFonts w:ascii="Arial" w:hAnsi="Arial" w:cs="Arial"/>
          <w:color w:val="000000" w:themeColor="text1"/>
        </w:rPr>
      </w:pPr>
    </w:p>
    <w:p w:rsidR="00FD42FF" w:rsidRPr="00001627" w:rsidRDefault="00F60CB5" w:rsidP="00F60CB5">
      <w:pPr>
        <w:autoSpaceDE w:val="0"/>
        <w:autoSpaceDN w:val="0"/>
        <w:adjustRightInd w:val="0"/>
        <w:spacing w:line="360" w:lineRule="auto"/>
        <w:ind w:firstLine="720"/>
        <w:jc w:val="left"/>
        <w:rPr>
          <w:rFonts w:ascii="TimesNewRomanPSMT" w:hAnsi="TimesNewRomanPSMT" w:cs="TimesNewRomanPSMT"/>
          <w:color w:val="000000" w:themeColor="text1"/>
          <w:sz w:val="22"/>
          <w:szCs w:val="22"/>
        </w:rPr>
      </w:pPr>
      <w:r w:rsidRPr="00001627">
        <w:rPr>
          <w:rFonts w:ascii="TimesNewRomanPSMT" w:hAnsi="TimesNewRomanPSMT" w:cs="TimesNewRomanPSMT"/>
          <w:color w:val="000000" w:themeColor="text1"/>
          <w:sz w:val="22"/>
          <w:szCs w:val="22"/>
        </w:rPr>
        <w:t>‘</w:t>
      </w:r>
      <w:r w:rsidR="00FD42FF" w:rsidRPr="00001627">
        <w:rPr>
          <w:rFonts w:ascii="TimesNewRomanPSMT" w:hAnsi="TimesNewRomanPSMT" w:cs="TimesNewRomanPSMT"/>
          <w:color w:val="000000" w:themeColor="text1"/>
          <w:sz w:val="22"/>
          <w:szCs w:val="22"/>
        </w:rPr>
        <w:t>(3) The deponent to an authenticating affidavit shall be some person who is qualified</w:t>
      </w:r>
      <w:r w:rsidRPr="00001627">
        <w:rPr>
          <w:rFonts w:ascii="TimesNewRomanPSMT" w:hAnsi="TimesNewRomanPSMT" w:cs="TimesNewRomanPSMT"/>
          <w:color w:val="000000" w:themeColor="text1"/>
          <w:sz w:val="22"/>
          <w:szCs w:val="22"/>
        </w:rPr>
        <w:t xml:space="preserve"> </w:t>
      </w:r>
      <w:r w:rsidR="00FD42FF" w:rsidRPr="00001627">
        <w:rPr>
          <w:rFonts w:ascii="TimesNewRomanPSMT" w:hAnsi="TimesNewRomanPSMT" w:cs="TimesNewRomanPSMT"/>
          <w:color w:val="000000" w:themeColor="text1"/>
          <w:sz w:val="22"/>
          <w:szCs w:val="22"/>
        </w:rPr>
        <w:t xml:space="preserve">to give the testimony it contains by reason of </w:t>
      </w:r>
      <w:r w:rsidRPr="00001627">
        <w:rPr>
          <w:rFonts w:ascii="TimesNewRomanPSMT" w:hAnsi="TimesNewRomanPSMT" w:cs="TimesNewRomanPSMT"/>
          <w:color w:val="000000" w:themeColor="text1"/>
          <w:sz w:val="22"/>
          <w:szCs w:val="22"/>
        </w:rPr>
        <w:t>–</w:t>
      </w:r>
    </w:p>
    <w:p w:rsidR="00F60CB5" w:rsidRPr="00001627" w:rsidRDefault="00F60CB5" w:rsidP="00F60CB5">
      <w:pPr>
        <w:autoSpaceDE w:val="0"/>
        <w:autoSpaceDN w:val="0"/>
        <w:adjustRightInd w:val="0"/>
        <w:spacing w:line="360" w:lineRule="auto"/>
        <w:ind w:firstLine="720"/>
        <w:jc w:val="left"/>
        <w:rPr>
          <w:rFonts w:ascii="TimesNewRomanPSMT" w:hAnsi="TimesNewRomanPSMT" w:cs="TimesNewRomanPSMT"/>
          <w:color w:val="000000" w:themeColor="text1"/>
          <w:sz w:val="22"/>
          <w:szCs w:val="22"/>
        </w:rPr>
      </w:pPr>
    </w:p>
    <w:p w:rsidR="00E77DD0" w:rsidRPr="00001627" w:rsidRDefault="00FD42FF" w:rsidP="00F60CB5">
      <w:pPr>
        <w:autoSpaceDE w:val="0"/>
        <w:autoSpaceDN w:val="0"/>
        <w:adjustRightInd w:val="0"/>
        <w:spacing w:line="360" w:lineRule="auto"/>
        <w:ind w:left="720"/>
        <w:jc w:val="left"/>
        <w:rPr>
          <w:rFonts w:ascii="TimesNewRomanPSMT" w:hAnsi="TimesNewRomanPSMT" w:cs="TimesNewRomanPSMT"/>
          <w:color w:val="000000" w:themeColor="text1"/>
          <w:sz w:val="22"/>
          <w:szCs w:val="22"/>
        </w:rPr>
      </w:pPr>
      <w:r w:rsidRPr="00001627">
        <w:rPr>
          <w:rFonts w:ascii="TimesNewRomanPSMT" w:hAnsi="TimesNewRomanPSMT" w:cs="TimesNewRomanPSMT"/>
          <w:color w:val="000000" w:themeColor="text1"/>
          <w:sz w:val="22"/>
          <w:szCs w:val="22"/>
        </w:rPr>
        <w:t>(a) his knowledge and experience of computers and of the particular system by which</w:t>
      </w:r>
      <w:r w:rsidR="00F60CB5" w:rsidRPr="00001627">
        <w:rPr>
          <w:rFonts w:ascii="TimesNewRomanPSMT" w:hAnsi="TimesNewRomanPSMT" w:cs="TimesNewRomanPSMT"/>
          <w:color w:val="000000" w:themeColor="text1"/>
          <w:sz w:val="22"/>
          <w:szCs w:val="22"/>
        </w:rPr>
        <w:t xml:space="preserve"> </w:t>
      </w:r>
      <w:r w:rsidRPr="00001627">
        <w:rPr>
          <w:rFonts w:ascii="TimesNewRomanPSMT" w:hAnsi="TimesNewRomanPSMT" w:cs="TimesNewRomanPSMT"/>
          <w:color w:val="000000" w:themeColor="text1"/>
          <w:sz w:val="22"/>
          <w:szCs w:val="22"/>
        </w:rPr>
        <w:t xml:space="preserve">the computer in question was </w:t>
      </w:r>
      <w:r w:rsidR="00F60CB5" w:rsidRPr="00001627">
        <w:rPr>
          <w:rFonts w:ascii="TimesNewRomanPSMT" w:hAnsi="TimesNewRomanPSMT" w:cs="TimesNewRomanPSMT"/>
          <w:color w:val="000000" w:themeColor="text1"/>
          <w:sz w:val="22"/>
          <w:szCs w:val="22"/>
        </w:rPr>
        <w:t>operated at all relevant times;’</w:t>
      </w:r>
    </w:p>
    <w:p w:rsidR="00FD42FF" w:rsidRPr="00001627" w:rsidRDefault="00FD42FF" w:rsidP="00FD42FF">
      <w:pPr>
        <w:spacing w:line="360" w:lineRule="auto"/>
        <w:rPr>
          <w:rFonts w:ascii="TimesNewRomanPSMT" w:hAnsi="TimesNewRomanPSMT" w:cs="TimesNewRomanPSMT"/>
          <w:color w:val="000000" w:themeColor="text1"/>
          <w:sz w:val="22"/>
          <w:szCs w:val="22"/>
        </w:rPr>
      </w:pPr>
    </w:p>
    <w:p w:rsidR="00FD42FF" w:rsidRPr="00001627" w:rsidRDefault="00FD42FF" w:rsidP="00FD42FF">
      <w:pPr>
        <w:spacing w:line="360" w:lineRule="auto"/>
        <w:rPr>
          <w:rFonts w:ascii="Arial" w:hAnsi="Arial" w:cs="Arial"/>
          <w:color w:val="000000" w:themeColor="text1"/>
        </w:rPr>
      </w:pPr>
    </w:p>
    <w:p w:rsidR="00E77DD0" w:rsidRPr="00001627" w:rsidRDefault="00F6665C" w:rsidP="00FD42FF">
      <w:pPr>
        <w:spacing w:line="360" w:lineRule="auto"/>
        <w:rPr>
          <w:rFonts w:ascii="Arial" w:hAnsi="Arial" w:cs="Arial"/>
          <w:color w:val="000000" w:themeColor="text1"/>
        </w:rPr>
      </w:pPr>
      <w:r w:rsidRPr="00001627">
        <w:rPr>
          <w:rFonts w:ascii="Arial" w:hAnsi="Arial" w:cs="Arial"/>
          <w:color w:val="000000" w:themeColor="text1"/>
        </w:rPr>
        <w:t>[7]</w:t>
      </w:r>
      <w:r w:rsidRPr="00001627">
        <w:rPr>
          <w:rFonts w:ascii="Arial" w:hAnsi="Arial" w:cs="Arial"/>
          <w:color w:val="000000" w:themeColor="text1"/>
        </w:rPr>
        <w:tab/>
        <w:t>S</w:t>
      </w:r>
      <w:r w:rsidR="00E77DD0" w:rsidRPr="00001627">
        <w:rPr>
          <w:rFonts w:ascii="Arial" w:hAnsi="Arial" w:cs="Arial"/>
          <w:color w:val="000000" w:themeColor="text1"/>
        </w:rPr>
        <w:t>ection</w:t>
      </w:r>
      <w:r w:rsidR="00B3000D" w:rsidRPr="00001627">
        <w:rPr>
          <w:rFonts w:ascii="Arial" w:hAnsi="Arial" w:cs="Arial"/>
          <w:color w:val="000000" w:themeColor="text1"/>
        </w:rPr>
        <w:t xml:space="preserve"> </w:t>
      </w:r>
      <w:r w:rsidRPr="00001627">
        <w:rPr>
          <w:rFonts w:ascii="Arial" w:hAnsi="Arial" w:cs="Arial"/>
          <w:color w:val="000000" w:themeColor="text1"/>
        </w:rPr>
        <w:t>2(3)(</w:t>
      </w:r>
      <w:r w:rsidRPr="00001627">
        <w:rPr>
          <w:rFonts w:ascii="Arial" w:hAnsi="Arial" w:cs="Arial"/>
          <w:i/>
          <w:color w:val="000000" w:themeColor="text1"/>
        </w:rPr>
        <w:t>a</w:t>
      </w:r>
      <w:r w:rsidRPr="00001627">
        <w:rPr>
          <w:rFonts w:ascii="Arial" w:hAnsi="Arial" w:cs="Arial"/>
          <w:color w:val="000000" w:themeColor="text1"/>
        </w:rPr>
        <w:t>) thus</w:t>
      </w:r>
      <w:r w:rsidR="00E77DD0" w:rsidRPr="00001627">
        <w:rPr>
          <w:rFonts w:ascii="Arial" w:hAnsi="Arial" w:cs="Arial"/>
          <w:color w:val="000000" w:themeColor="text1"/>
        </w:rPr>
        <w:t xml:space="preserve"> requires pro</w:t>
      </w:r>
      <w:r w:rsidR="00F60CB5" w:rsidRPr="00001627">
        <w:rPr>
          <w:rFonts w:ascii="Arial" w:hAnsi="Arial" w:cs="Arial"/>
          <w:color w:val="000000" w:themeColor="text1"/>
        </w:rPr>
        <w:t>of</w:t>
      </w:r>
      <w:r w:rsidR="00E77DD0" w:rsidRPr="00001627">
        <w:rPr>
          <w:rFonts w:ascii="Arial" w:hAnsi="Arial" w:cs="Arial"/>
          <w:color w:val="000000" w:themeColor="text1"/>
        </w:rPr>
        <w:t xml:space="preserve"> that the deponent to the authenticating affidavit is duly qualified</w:t>
      </w:r>
      <w:r w:rsidR="00C2787A" w:rsidRPr="00001627">
        <w:rPr>
          <w:rFonts w:ascii="Arial" w:hAnsi="Arial" w:cs="Arial"/>
          <w:color w:val="000000" w:themeColor="text1"/>
        </w:rPr>
        <w:t>,</w:t>
      </w:r>
      <w:r w:rsidR="00E77DD0" w:rsidRPr="00001627">
        <w:rPr>
          <w:rFonts w:ascii="Arial" w:hAnsi="Arial" w:cs="Arial"/>
          <w:color w:val="000000" w:themeColor="text1"/>
        </w:rPr>
        <w:t xml:space="preserve"> by reason of his knowledge and experience, not only of computers</w:t>
      </w:r>
      <w:r w:rsidR="00C2787A" w:rsidRPr="00001627">
        <w:rPr>
          <w:rFonts w:ascii="Arial" w:hAnsi="Arial" w:cs="Arial"/>
          <w:color w:val="000000" w:themeColor="text1"/>
        </w:rPr>
        <w:t xml:space="preserve"> in general</w:t>
      </w:r>
      <w:r w:rsidR="00E77DD0" w:rsidRPr="00001627">
        <w:rPr>
          <w:rFonts w:ascii="Arial" w:hAnsi="Arial" w:cs="Arial"/>
          <w:color w:val="000000" w:themeColor="text1"/>
        </w:rPr>
        <w:t>, but also of the particular system by which the computer was operated at all relevant times, to give the testimony as set out in the authenticating affidavit</w:t>
      </w:r>
      <w:r w:rsidR="00C2787A" w:rsidRPr="00001627">
        <w:rPr>
          <w:rFonts w:ascii="Arial" w:hAnsi="Arial" w:cs="Arial"/>
          <w:color w:val="000000" w:themeColor="text1"/>
        </w:rPr>
        <w:t>.</w:t>
      </w:r>
    </w:p>
    <w:p w:rsidR="00C2787A" w:rsidRPr="00001627" w:rsidRDefault="00C2787A" w:rsidP="00FD42FF">
      <w:pPr>
        <w:spacing w:line="360" w:lineRule="auto"/>
        <w:rPr>
          <w:rFonts w:ascii="Arial" w:hAnsi="Arial" w:cs="Arial"/>
          <w:color w:val="000000" w:themeColor="text1"/>
        </w:rPr>
      </w:pPr>
    </w:p>
    <w:p w:rsidR="00C2787A" w:rsidRPr="00001627" w:rsidRDefault="00C2787A" w:rsidP="00FD42FF">
      <w:pPr>
        <w:spacing w:line="360" w:lineRule="auto"/>
        <w:rPr>
          <w:rFonts w:ascii="Arial" w:hAnsi="Arial" w:cs="Arial"/>
          <w:color w:val="000000" w:themeColor="text1"/>
        </w:rPr>
      </w:pPr>
      <w:r w:rsidRPr="00001627">
        <w:rPr>
          <w:rFonts w:ascii="Arial" w:hAnsi="Arial" w:cs="Arial"/>
          <w:color w:val="000000" w:themeColor="text1"/>
        </w:rPr>
        <w:t>[8]</w:t>
      </w:r>
      <w:r w:rsidRPr="00001627">
        <w:rPr>
          <w:rFonts w:ascii="Arial" w:hAnsi="Arial" w:cs="Arial"/>
          <w:color w:val="000000" w:themeColor="text1"/>
        </w:rPr>
        <w:tab/>
      </w:r>
      <w:r w:rsidR="004D5421" w:rsidRPr="00001627">
        <w:rPr>
          <w:rFonts w:ascii="Arial" w:hAnsi="Arial" w:cs="Arial"/>
          <w:color w:val="000000" w:themeColor="text1"/>
        </w:rPr>
        <w:t>Section 2(1</w:t>
      </w:r>
      <w:proofErr w:type="gramStart"/>
      <w:r w:rsidR="004D5421" w:rsidRPr="00001627">
        <w:rPr>
          <w:rFonts w:ascii="Arial" w:hAnsi="Arial" w:cs="Arial"/>
          <w:color w:val="000000" w:themeColor="text1"/>
        </w:rPr>
        <w:t>)(</w:t>
      </w:r>
      <w:proofErr w:type="gramEnd"/>
      <w:r w:rsidR="004D5421" w:rsidRPr="00001627">
        <w:rPr>
          <w:rFonts w:ascii="Arial" w:hAnsi="Arial" w:cs="Arial"/>
          <w:i/>
          <w:color w:val="000000" w:themeColor="text1"/>
        </w:rPr>
        <w:t>d</w:t>
      </w:r>
      <w:r w:rsidR="004D5421" w:rsidRPr="00001627">
        <w:rPr>
          <w:rFonts w:ascii="Arial" w:hAnsi="Arial" w:cs="Arial"/>
          <w:color w:val="000000" w:themeColor="text1"/>
        </w:rPr>
        <w:t>)(ii) requires that the deponent to the authenticating affidavit must</w:t>
      </w:r>
      <w:r w:rsidR="00F60CB5" w:rsidRPr="00001627">
        <w:rPr>
          <w:rFonts w:ascii="Arial" w:hAnsi="Arial" w:cs="Arial"/>
          <w:color w:val="000000" w:themeColor="text1"/>
        </w:rPr>
        <w:t>,</w:t>
      </w:r>
      <w:r w:rsidR="004D5421" w:rsidRPr="00001627">
        <w:rPr>
          <w:rFonts w:ascii="Arial" w:hAnsi="Arial" w:cs="Arial"/>
          <w:color w:val="000000" w:themeColor="text1"/>
        </w:rPr>
        <w:t xml:space="preserve"> in that affidavit</w:t>
      </w:r>
      <w:r w:rsidR="00F60CB5" w:rsidRPr="00001627">
        <w:rPr>
          <w:rFonts w:ascii="Arial" w:hAnsi="Arial" w:cs="Arial"/>
          <w:color w:val="000000" w:themeColor="text1"/>
        </w:rPr>
        <w:t>,</w:t>
      </w:r>
      <w:r w:rsidR="004D5421" w:rsidRPr="00001627">
        <w:rPr>
          <w:rFonts w:ascii="Arial" w:hAnsi="Arial" w:cs="Arial"/>
          <w:color w:val="000000" w:themeColor="text1"/>
        </w:rPr>
        <w:t xml:space="preserve"> certify that the computer was unaffected in its operation by any malfunction, interference, disturbance or interruption which might have had a bearing on the computer generated evidence or on the reliability of such evidence.</w:t>
      </w:r>
    </w:p>
    <w:p w:rsidR="004D5421" w:rsidRPr="00001627" w:rsidRDefault="004D5421" w:rsidP="00FD42FF">
      <w:pPr>
        <w:spacing w:line="360" w:lineRule="auto"/>
        <w:rPr>
          <w:rFonts w:ascii="Arial" w:hAnsi="Arial" w:cs="Arial"/>
          <w:color w:val="000000" w:themeColor="text1"/>
        </w:rPr>
      </w:pPr>
    </w:p>
    <w:p w:rsidR="004D5421" w:rsidRPr="00001627" w:rsidRDefault="004D5421" w:rsidP="00FD42FF">
      <w:pPr>
        <w:spacing w:line="360" w:lineRule="auto"/>
        <w:rPr>
          <w:rFonts w:ascii="Arial" w:hAnsi="Arial" w:cs="Arial"/>
          <w:color w:val="000000" w:themeColor="text1"/>
        </w:rPr>
      </w:pPr>
      <w:r w:rsidRPr="00001627">
        <w:rPr>
          <w:rFonts w:ascii="Arial" w:hAnsi="Arial" w:cs="Arial"/>
          <w:color w:val="000000" w:themeColor="text1"/>
        </w:rPr>
        <w:t>[9]</w:t>
      </w:r>
      <w:r w:rsidRPr="00001627">
        <w:rPr>
          <w:rFonts w:ascii="Arial" w:hAnsi="Arial" w:cs="Arial"/>
          <w:color w:val="000000" w:themeColor="text1"/>
        </w:rPr>
        <w:tab/>
        <w:t>Section (2)(1)(</w:t>
      </w:r>
      <w:r w:rsidRPr="00001627">
        <w:rPr>
          <w:rFonts w:ascii="Arial" w:hAnsi="Arial" w:cs="Arial"/>
          <w:i/>
          <w:color w:val="000000" w:themeColor="text1"/>
        </w:rPr>
        <w:t>e</w:t>
      </w:r>
      <w:r w:rsidRPr="00001627">
        <w:rPr>
          <w:rFonts w:ascii="Arial" w:hAnsi="Arial" w:cs="Arial"/>
          <w:color w:val="000000" w:themeColor="text1"/>
        </w:rPr>
        <w:t>), further requires that the deponent to the authenticating affidavit must</w:t>
      </w:r>
      <w:r w:rsidR="00F60CB5" w:rsidRPr="00001627">
        <w:rPr>
          <w:rFonts w:ascii="Arial" w:hAnsi="Arial" w:cs="Arial"/>
          <w:color w:val="000000" w:themeColor="text1"/>
        </w:rPr>
        <w:t>,</w:t>
      </w:r>
      <w:r w:rsidRPr="00001627">
        <w:rPr>
          <w:rFonts w:ascii="Arial" w:hAnsi="Arial" w:cs="Arial"/>
          <w:color w:val="000000" w:themeColor="text1"/>
        </w:rPr>
        <w:t xml:space="preserve"> in that affidavit</w:t>
      </w:r>
      <w:r w:rsidR="00F60CB5" w:rsidRPr="00001627">
        <w:rPr>
          <w:rFonts w:ascii="Arial" w:hAnsi="Arial" w:cs="Arial"/>
          <w:color w:val="000000" w:themeColor="text1"/>
        </w:rPr>
        <w:t>,</w:t>
      </w:r>
      <w:r w:rsidRPr="00001627">
        <w:rPr>
          <w:rFonts w:ascii="Arial" w:hAnsi="Arial" w:cs="Arial"/>
          <w:color w:val="000000" w:themeColor="text1"/>
        </w:rPr>
        <w:t xml:space="preserve"> certify that no reason exists to doubt </w:t>
      </w:r>
      <w:r w:rsidR="00931EDE" w:rsidRPr="00001627">
        <w:rPr>
          <w:rFonts w:ascii="Arial" w:hAnsi="Arial" w:cs="Arial"/>
          <w:color w:val="000000" w:themeColor="text1"/>
        </w:rPr>
        <w:t xml:space="preserve">or suspect the </w:t>
      </w:r>
      <w:r w:rsidR="00931EDE" w:rsidRPr="00001627">
        <w:rPr>
          <w:rFonts w:ascii="Arial" w:hAnsi="Arial" w:cs="Arial"/>
          <w:color w:val="000000" w:themeColor="text1"/>
        </w:rPr>
        <w:lastRenderedPageBreak/>
        <w:t>truth or reliability of any information recorded in or result reflected by the computer print-out.</w:t>
      </w:r>
    </w:p>
    <w:p w:rsidR="00931EDE" w:rsidRPr="00001627" w:rsidRDefault="00931EDE" w:rsidP="00FD42FF">
      <w:pPr>
        <w:spacing w:line="360" w:lineRule="auto"/>
        <w:rPr>
          <w:rFonts w:ascii="Arial" w:hAnsi="Arial" w:cs="Arial"/>
          <w:color w:val="000000" w:themeColor="text1"/>
        </w:rPr>
      </w:pPr>
    </w:p>
    <w:p w:rsidR="00931EDE"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931EDE" w:rsidRPr="00001627">
        <w:rPr>
          <w:rFonts w:ascii="Arial" w:hAnsi="Arial" w:cs="Arial"/>
          <w:color w:val="000000" w:themeColor="text1"/>
        </w:rPr>
        <w:t>10</w:t>
      </w:r>
      <w:r w:rsidRPr="00001627">
        <w:rPr>
          <w:rFonts w:ascii="Arial" w:hAnsi="Arial" w:cs="Arial"/>
          <w:color w:val="000000" w:themeColor="text1"/>
        </w:rPr>
        <w:t>]</w:t>
      </w:r>
      <w:r w:rsidRPr="00001627">
        <w:rPr>
          <w:rFonts w:ascii="Arial" w:hAnsi="Arial" w:cs="Arial"/>
          <w:color w:val="000000" w:themeColor="text1"/>
        </w:rPr>
        <w:tab/>
      </w:r>
      <w:r w:rsidR="00931EDE" w:rsidRPr="00001627">
        <w:rPr>
          <w:rFonts w:ascii="Arial" w:hAnsi="Arial" w:cs="Arial"/>
          <w:color w:val="000000" w:themeColor="text1"/>
        </w:rPr>
        <w:t>Mr Van Der Kolff deposed to the authenticating affidavit on 22 May 2019.  He described himself as a sales and technical consultant employed by Y.E.S.-Your Equipment Supplier, Wy</w:t>
      </w:r>
      <w:r w:rsidR="00F60CB5" w:rsidRPr="00001627">
        <w:rPr>
          <w:rFonts w:ascii="Arial" w:hAnsi="Arial" w:cs="Arial"/>
          <w:color w:val="000000" w:themeColor="text1"/>
        </w:rPr>
        <w:t>nberg, Johannesburg, South Afric</w:t>
      </w:r>
      <w:r w:rsidR="00931EDE" w:rsidRPr="00001627">
        <w:rPr>
          <w:rFonts w:ascii="Arial" w:hAnsi="Arial" w:cs="Arial"/>
          <w:color w:val="000000" w:themeColor="text1"/>
        </w:rPr>
        <w:t>a.</w:t>
      </w:r>
      <w:r w:rsidR="00F60CB5" w:rsidRPr="00001627">
        <w:rPr>
          <w:rFonts w:ascii="Arial" w:hAnsi="Arial" w:cs="Arial"/>
          <w:color w:val="000000" w:themeColor="text1"/>
        </w:rPr>
        <w:t xml:space="preserve"> </w:t>
      </w:r>
      <w:r w:rsidR="00931EDE" w:rsidRPr="00001627">
        <w:rPr>
          <w:rFonts w:ascii="Arial" w:hAnsi="Arial" w:cs="Arial"/>
          <w:color w:val="000000" w:themeColor="text1"/>
        </w:rPr>
        <w:t>In paragraph 11 of his affidavit and in dealing with the requirements of qualifications and experience referred to in section 2(3) of the Act, the sum total of his allegations was the following:</w:t>
      </w:r>
    </w:p>
    <w:p w:rsidR="00931EDE" w:rsidRPr="00001627" w:rsidRDefault="00931EDE" w:rsidP="00FD42FF">
      <w:pPr>
        <w:spacing w:line="360" w:lineRule="auto"/>
        <w:rPr>
          <w:rFonts w:ascii="Arial" w:hAnsi="Arial" w:cs="Arial"/>
          <w:color w:val="000000" w:themeColor="text1"/>
        </w:rPr>
      </w:pPr>
    </w:p>
    <w:p w:rsidR="00931EDE" w:rsidRPr="00001627" w:rsidRDefault="00F60CB5" w:rsidP="00FD42FF">
      <w:pPr>
        <w:spacing w:line="360" w:lineRule="auto"/>
        <w:rPr>
          <w:rFonts w:ascii="Arial" w:hAnsi="Arial" w:cs="Arial"/>
          <w:color w:val="000000" w:themeColor="text1"/>
          <w:sz w:val="22"/>
          <w:szCs w:val="22"/>
        </w:rPr>
      </w:pPr>
      <w:r w:rsidRPr="00001627">
        <w:rPr>
          <w:rFonts w:ascii="Arial" w:hAnsi="Arial" w:cs="Arial"/>
          <w:color w:val="000000" w:themeColor="text1"/>
          <w:sz w:val="22"/>
          <w:szCs w:val="22"/>
        </w:rPr>
        <w:t>‘</w:t>
      </w:r>
      <w:r w:rsidR="00931EDE" w:rsidRPr="00001627">
        <w:rPr>
          <w:rFonts w:ascii="Arial" w:hAnsi="Arial" w:cs="Arial"/>
          <w:color w:val="000000" w:themeColor="text1"/>
          <w:sz w:val="22"/>
          <w:szCs w:val="22"/>
        </w:rPr>
        <w:t>11.</w:t>
      </w:r>
      <w:r w:rsidR="00931EDE" w:rsidRPr="00001627">
        <w:rPr>
          <w:rFonts w:ascii="Arial" w:hAnsi="Arial" w:cs="Arial"/>
          <w:color w:val="000000" w:themeColor="text1"/>
          <w:sz w:val="22"/>
          <w:szCs w:val="22"/>
        </w:rPr>
        <w:tab/>
        <w:t>Ad section 2(3) of the Act</w:t>
      </w:r>
    </w:p>
    <w:p w:rsidR="00931EDE" w:rsidRPr="00001627" w:rsidRDefault="00931EDE" w:rsidP="00FD42FF">
      <w:pPr>
        <w:spacing w:line="360" w:lineRule="auto"/>
        <w:rPr>
          <w:rFonts w:ascii="Arial" w:hAnsi="Arial" w:cs="Arial"/>
          <w:color w:val="000000" w:themeColor="text1"/>
          <w:sz w:val="22"/>
          <w:szCs w:val="22"/>
        </w:rPr>
      </w:pPr>
    </w:p>
    <w:p w:rsidR="00931EDE" w:rsidRPr="00001627" w:rsidRDefault="00931EDE" w:rsidP="00FD42FF">
      <w:pPr>
        <w:spacing w:line="360" w:lineRule="auto"/>
        <w:ind w:left="720"/>
        <w:rPr>
          <w:rFonts w:ascii="Arial" w:hAnsi="Arial" w:cs="Arial"/>
          <w:color w:val="000000" w:themeColor="text1"/>
          <w:sz w:val="22"/>
          <w:szCs w:val="22"/>
        </w:rPr>
      </w:pPr>
      <w:r w:rsidRPr="00001627">
        <w:rPr>
          <w:rFonts w:ascii="Arial" w:hAnsi="Arial" w:cs="Arial"/>
          <w:color w:val="000000" w:themeColor="text1"/>
          <w:sz w:val="22"/>
          <w:szCs w:val="22"/>
        </w:rPr>
        <w:t>11.1</w:t>
      </w:r>
      <w:r w:rsidRPr="00001627">
        <w:rPr>
          <w:rFonts w:ascii="Arial" w:hAnsi="Arial" w:cs="Arial"/>
          <w:color w:val="000000" w:themeColor="text1"/>
          <w:sz w:val="22"/>
          <w:szCs w:val="22"/>
        </w:rPr>
        <w:tab/>
        <w:t xml:space="preserve">I respectfully verify and confirm that I am duly qualified to give the testimony contained herein by reason of my knowledge and experience </w:t>
      </w:r>
      <w:r w:rsidR="00E93FFF" w:rsidRPr="00001627">
        <w:rPr>
          <w:rFonts w:ascii="Arial" w:hAnsi="Arial" w:cs="Arial"/>
          <w:color w:val="000000" w:themeColor="text1"/>
          <w:sz w:val="22"/>
          <w:szCs w:val="22"/>
        </w:rPr>
        <w:t>of computers and the particular system by which my computer in question was operated at all times, and by reason of my examination and knowledge of the relevant and required records and facts which are to be had concerning the operation of my computer and data and instructions supplied to it.</w:t>
      </w:r>
      <w:r w:rsidRPr="00001627">
        <w:rPr>
          <w:rFonts w:ascii="Arial" w:hAnsi="Arial" w:cs="Arial"/>
          <w:color w:val="000000" w:themeColor="text1"/>
          <w:sz w:val="22"/>
          <w:szCs w:val="22"/>
        </w:rPr>
        <w:t xml:space="preserve"> </w:t>
      </w:r>
    </w:p>
    <w:p w:rsidR="00E93FFF" w:rsidRPr="00001627" w:rsidRDefault="00E93FFF" w:rsidP="00FD42FF">
      <w:pPr>
        <w:spacing w:line="360" w:lineRule="auto"/>
        <w:rPr>
          <w:rFonts w:ascii="Arial" w:hAnsi="Arial" w:cs="Arial"/>
          <w:color w:val="000000" w:themeColor="text1"/>
          <w:sz w:val="22"/>
          <w:szCs w:val="22"/>
        </w:rPr>
      </w:pPr>
    </w:p>
    <w:p w:rsidR="00E93FFF" w:rsidRPr="00001627" w:rsidRDefault="00E93FFF" w:rsidP="00FD42FF">
      <w:pPr>
        <w:spacing w:line="360" w:lineRule="auto"/>
        <w:ind w:left="720"/>
        <w:rPr>
          <w:rFonts w:ascii="Arial" w:hAnsi="Arial" w:cs="Arial"/>
          <w:color w:val="000000" w:themeColor="text1"/>
          <w:sz w:val="22"/>
          <w:szCs w:val="22"/>
        </w:rPr>
      </w:pPr>
      <w:r w:rsidRPr="00001627">
        <w:rPr>
          <w:rFonts w:ascii="Arial" w:hAnsi="Arial" w:cs="Arial"/>
          <w:color w:val="000000" w:themeColor="text1"/>
          <w:sz w:val="22"/>
          <w:szCs w:val="22"/>
        </w:rPr>
        <w:t>11.2</w:t>
      </w:r>
      <w:r w:rsidRPr="00001627">
        <w:rPr>
          <w:rFonts w:ascii="Arial" w:hAnsi="Arial" w:cs="Arial"/>
          <w:color w:val="000000" w:themeColor="text1"/>
          <w:sz w:val="22"/>
          <w:szCs w:val="22"/>
        </w:rPr>
        <w:tab/>
        <w:t>I have had extensive training on the applicable electronic measuring system in Nebraska, USA, at the Chief Training Facility for such system, and also had follow-up training with Genesis staff in the Republic of South Africa.</w:t>
      </w:r>
    </w:p>
    <w:p w:rsidR="00E93FFF" w:rsidRPr="00001627" w:rsidRDefault="00E93FFF" w:rsidP="00FD42FF">
      <w:pPr>
        <w:spacing w:line="360" w:lineRule="auto"/>
        <w:rPr>
          <w:rFonts w:ascii="Arial" w:hAnsi="Arial" w:cs="Arial"/>
          <w:color w:val="000000" w:themeColor="text1"/>
        </w:rPr>
      </w:pPr>
    </w:p>
    <w:p w:rsidR="00E93FFF" w:rsidRPr="00001627" w:rsidRDefault="00E93FFF" w:rsidP="00FD42FF">
      <w:pPr>
        <w:spacing w:line="360" w:lineRule="auto"/>
        <w:ind w:left="720"/>
        <w:rPr>
          <w:rFonts w:ascii="Arial" w:hAnsi="Arial" w:cs="Arial"/>
          <w:color w:val="000000" w:themeColor="text1"/>
          <w:sz w:val="22"/>
          <w:szCs w:val="22"/>
        </w:rPr>
      </w:pPr>
      <w:r w:rsidRPr="00001627">
        <w:rPr>
          <w:rFonts w:ascii="Arial" w:hAnsi="Arial" w:cs="Arial"/>
          <w:color w:val="000000" w:themeColor="text1"/>
          <w:sz w:val="22"/>
          <w:szCs w:val="22"/>
        </w:rPr>
        <w:t>11.3</w:t>
      </w:r>
      <w:r w:rsidRPr="00001627">
        <w:rPr>
          <w:rFonts w:ascii="Arial" w:hAnsi="Arial" w:cs="Arial"/>
          <w:color w:val="000000" w:themeColor="text1"/>
          <w:sz w:val="22"/>
          <w:szCs w:val="22"/>
        </w:rPr>
        <w:tab/>
        <w:t>I have experience of more than 20 years in performing measurement</w:t>
      </w:r>
      <w:r w:rsidR="00F60CB5" w:rsidRPr="00001627">
        <w:rPr>
          <w:rFonts w:ascii="Arial" w:hAnsi="Arial" w:cs="Arial"/>
          <w:color w:val="000000" w:themeColor="text1"/>
          <w:sz w:val="22"/>
          <w:szCs w:val="22"/>
        </w:rPr>
        <w:t>s of the kind as set out above.’</w:t>
      </w:r>
    </w:p>
    <w:p w:rsidR="00931EDE" w:rsidRPr="00001627" w:rsidRDefault="00931EDE" w:rsidP="00FD42FF">
      <w:pPr>
        <w:spacing w:line="360" w:lineRule="auto"/>
        <w:rPr>
          <w:rFonts w:ascii="Arial" w:hAnsi="Arial" w:cs="Arial"/>
          <w:color w:val="000000" w:themeColor="text1"/>
        </w:rPr>
      </w:pPr>
    </w:p>
    <w:p w:rsidR="00E93FFF" w:rsidRPr="00001627" w:rsidRDefault="00E93FFF" w:rsidP="00FD42FF">
      <w:pPr>
        <w:spacing w:line="360" w:lineRule="auto"/>
        <w:rPr>
          <w:rFonts w:ascii="Arial" w:hAnsi="Arial" w:cs="Arial"/>
          <w:color w:val="000000" w:themeColor="text1"/>
        </w:rPr>
      </w:pPr>
    </w:p>
    <w:p w:rsidR="00E93FFF"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F6665C" w:rsidRPr="00001627">
        <w:rPr>
          <w:rFonts w:ascii="Arial" w:hAnsi="Arial" w:cs="Arial"/>
          <w:color w:val="000000" w:themeColor="text1"/>
        </w:rPr>
        <w:t>11</w:t>
      </w:r>
      <w:r w:rsidRPr="00001627">
        <w:rPr>
          <w:rFonts w:ascii="Arial" w:hAnsi="Arial" w:cs="Arial"/>
          <w:color w:val="000000" w:themeColor="text1"/>
        </w:rPr>
        <w:t>]</w:t>
      </w:r>
      <w:r w:rsidR="00F6665C" w:rsidRPr="00001627">
        <w:rPr>
          <w:rFonts w:ascii="Arial" w:hAnsi="Arial" w:cs="Arial"/>
          <w:color w:val="000000" w:themeColor="text1"/>
        </w:rPr>
        <w:tab/>
        <w:t>It is clear that paragraph 11.1 is merely a paraphrasing of the provisions of subsections (a) and (b) of s</w:t>
      </w:r>
      <w:r w:rsidR="00B3000D" w:rsidRPr="00001627">
        <w:rPr>
          <w:rFonts w:ascii="Arial" w:hAnsi="Arial" w:cs="Arial"/>
          <w:color w:val="000000" w:themeColor="text1"/>
        </w:rPr>
        <w:t>.</w:t>
      </w:r>
      <w:r w:rsidR="00F6665C" w:rsidRPr="00001627">
        <w:rPr>
          <w:rFonts w:ascii="Arial" w:hAnsi="Arial" w:cs="Arial"/>
          <w:color w:val="000000" w:themeColor="text1"/>
        </w:rPr>
        <w:t xml:space="preserve"> 2(3) of the Act.  Paragraphs 11.2 and 11.3 simply contain conclusions, and no evidence of primary or secondary fact is presented for the court to reach these conclusions</w:t>
      </w:r>
      <w:r w:rsidR="008E1264" w:rsidRPr="00001627">
        <w:rPr>
          <w:rFonts w:ascii="Arial" w:hAnsi="Arial" w:cs="Arial"/>
          <w:color w:val="000000" w:themeColor="text1"/>
        </w:rPr>
        <w:t>.</w:t>
      </w:r>
      <w:r w:rsidR="004476A4" w:rsidRPr="00001627">
        <w:rPr>
          <w:rFonts w:ascii="Arial" w:hAnsi="Arial" w:cs="Arial"/>
          <w:color w:val="000000" w:themeColor="text1"/>
        </w:rPr>
        <w:t xml:space="preserve"> </w:t>
      </w:r>
      <w:r w:rsidR="008E1264" w:rsidRPr="00001627">
        <w:rPr>
          <w:rFonts w:ascii="Arial" w:hAnsi="Arial" w:cs="Arial"/>
          <w:color w:val="000000" w:themeColor="text1"/>
        </w:rPr>
        <w:t xml:space="preserve">There is no evidence of the alleged extensive training, the nature of such training, the qualifications received and the like. Also, there is no </w:t>
      </w:r>
      <w:r w:rsidR="001B4AFD" w:rsidRPr="00001627">
        <w:rPr>
          <w:rFonts w:ascii="Arial" w:hAnsi="Arial" w:cs="Arial"/>
          <w:color w:val="000000" w:themeColor="text1"/>
        </w:rPr>
        <w:t>evidence</w:t>
      </w:r>
      <w:r w:rsidR="008E1264" w:rsidRPr="00001627">
        <w:rPr>
          <w:rFonts w:ascii="Arial" w:hAnsi="Arial" w:cs="Arial"/>
          <w:color w:val="000000" w:themeColor="text1"/>
        </w:rPr>
        <w:t xml:space="preserve"> regarding the alleged experience of 20 years.</w:t>
      </w:r>
      <w:r w:rsidR="001B4AFD" w:rsidRPr="00001627">
        <w:rPr>
          <w:rFonts w:ascii="Arial" w:hAnsi="Arial" w:cs="Arial"/>
          <w:color w:val="000000" w:themeColor="text1"/>
        </w:rPr>
        <w:t xml:space="preserve">  Where and how that experience was obtained and how relevant it is to the requisites of the Act, are not stated.</w:t>
      </w:r>
    </w:p>
    <w:p w:rsidR="008E1264" w:rsidRPr="00001627" w:rsidRDefault="008E1264" w:rsidP="00FD42FF">
      <w:pPr>
        <w:spacing w:line="360" w:lineRule="auto"/>
        <w:rPr>
          <w:rFonts w:ascii="Arial" w:hAnsi="Arial" w:cs="Arial"/>
          <w:color w:val="000000" w:themeColor="text1"/>
        </w:rPr>
      </w:pPr>
    </w:p>
    <w:p w:rsidR="00DE3F61"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8E1264" w:rsidRPr="00001627">
        <w:rPr>
          <w:rFonts w:ascii="Arial" w:hAnsi="Arial" w:cs="Arial"/>
          <w:color w:val="000000" w:themeColor="text1"/>
        </w:rPr>
        <w:t>12</w:t>
      </w:r>
      <w:r w:rsidRPr="00001627">
        <w:rPr>
          <w:rFonts w:ascii="Arial" w:hAnsi="Arial" w:cs="Arial"/>
          <w:color w:val="000000" w:themeColor="text1"/>
        </w:rPr>
        <w:t>]</w:t>
      </w:r>
      <w:r w:rsidR="001B4AFD" w:rsidRPr="00001627">
        <w:rPr>
          <w:rFonts w:ascii="Arial" w:hAnsi="Arial" w:cs="Arial"/>
          <w:color w:val="000000" w:themeColor="text1"/>
        </w:rPr>
        <w:tab/>
        <w:t xml:space="preserve">It is for the above reasons that I, on </w:t>
      </w:r>
      <w:r w:rsidR="00DE3F61" w:rsidRPr="00001627">
        <w:rPr>
          <w:rFonts w:ascii="Arial" w:hAnsi="Arial" w:cs="Arial"/>
          <w:color w:val="000000" w:themeColor="text1"/>
        </w:rPr>
        <w:t>23 May 2019 ruled that:</w:t>
      </w:r>
    </w:p>
    <w:p w:rsidR="00DE3F61" w:rsidRPr="00001627" w:rsidRDefault="00DE3F61" w:rsidP="00FD42FF">
      <w:pPr>
        <w:spacing w:line="360" w:lineRule="auto"/>
        <w:rPr>
          <w:rFonts w:ascii="Arial" w:hAnsi="Arial" w:cs="Arial"/>
          <w:color w:val="000000" w:themeColor="text1"/>
        </w:rPr>
      </w:pPr>
    </w:p>
    <w:p w:rsidR="000F1E64" w:rsidRPr="00001627" w:rsidRDefault="004476A4" w:rsidP="004476A4">
      <w:pPr>
        <w:spacing w:line="360" w:lineRule="auto"/>
        <w:ind w:firstLine="720"/>
        <w:rPr>
          <w:rFonts w:ascii="Arial" w:hAnsi="Arial" w:cs="Arial"/>
          <w:color w:val="000000" w:themeColor="text1"/>
          <w:sz w:val="22"/>
          <w:szCs w:val="22"/>
        </w:rPr>
      </w:pPr>
      <w:r w:rsidRPr="00001627">
        <w:rPr>
          <w:rFonts w:ascii="Arial" w:hAnsi="Arial" w:cs="Arial"/>
          <w:color w:val="000000" w:themeColor="text1"/>
          <w:sz w:val="22"/>
          <w:szCs w:val="22"/>
        </w:rPr>
        <w:t>‘</w:t>
      </w:r>
      <w:r w:rsidR="000F1E64" w:rsidRPr="00001627">
        <w:rPr>
          <w:rFonts w:ascii="Arial" w:hAnsi="Arial" w:cs="Arial"/>
          <w:color w:val="000000" w:themeColor="text1"/>
          <w:sz w:val="22"/>
          <w:szCs w:val="22"/>
        </w:rPr>
        <w:t xml:space="preserve">I am not satisfied that the deponent to the authenticating affidavit, Mr. </w:t>
      </w:r>
      <w:r w:rsidR="00C60305" w:rsidRPr="00001627">
        <w:rPr>
          <w:rFonts w:ascii="Arial" w:hAnsi="Arial" w:cs="Arial"/>
          <w:color w:val="000000" w:themeColor="text1"/>
          <w:sz w:val="22"/>
          <w:szCs w:val="22"/>
        </w:rPr>
        <w:t>Van Der Kolf</w:t>
      </w:r>
      <w:r w:rsidR="00DE3F61" w:rsidRPr="00001627">
        <w:rPr>
          <w:rFonts w:ascii="Arial" w:hAnsi="Arial" w:cs="Arial"/>
          <w:color w:val="000000" w:themeColor="text1"/>
          <w:sz w:val="22"/>
          <w:szCs w:val="22"/>
        </w:rPr>
        <w:t>f</w:t>
      </w:r>
      <w:r w:rsidR="00EC5127" w:rsidRPr="00001627">
        <w:rPr>
          <w:rStyle w:val="FootnoteReference"/>
          <w:rFonts w:ascii="Arial" w:hAnsi="Arial" w:cs="Arial"/>
          <w:color w:val="000000" w:themeColor="text1"/>
          <w:sz w:val="22"/>
          <w:szCs w:val="22"/>
        </w:rPr>
        <w:footnoteReference w:id="3"/>
      </w:r>
      <w:r w:rsidR="000F1E64" w:rsidRPr="00001627">
        <w:rPr>
          <w:rFonts w:ascii="Arial" w:hAnsi="Arial" w:cs="Arial"/>
          <w:color w:val="000000" w:themeColor="text1"/>
          <w:sz w:val="22"/>
          <w:szCs w:val="22"/>
        </w:rPr>
        <w:t xml:space="preserve"> has by evidence of primary and secondary facts and not conclusions </w:t>
      </w:r>
      <w:r w:rsidR="00E651FE" w:rsidRPr="00001627">
        <w:rPr>
          <w:rFonts w:ascii="Arial" w:hAnsi="Arial" w:cs="Arial"/>
          <w:color w:val="000000" w:themeColor="text1"/>
          <w:sz w:val="22"/>
          <w:szCs w:val="22"/>
        </w:rPr>
        <w:t>and surmise, brought himself within the purview of the provisions of section 2(3)(a) of the Comput</w:t>
      </w:r>
      <w:r w:rsidR="00A2109B" w:rsidRPr="00001627">
        <w:rPr>
          <w:rFonts w:ascii="Arial" w:hAnsi="Arial" w:cs="Arial"/>
          <w:color w:val="000000" w:themeColor="text1"/>
          <w:sz w:val="22"/>
          <w:szCs w:val="22"/>
        </w:rPr>
        <w:t>er Evidence Act, No. 23 of 1985 for him to be able to certify as required by:</w:t>
      </w:r>
    </w:p>
    <w:p w:rsidR="00A2109B" w:rsidRPr="00001627" w:rsidRDefault="00A2109B" w:rsidP="00FD42FF">
      <w:pPr>
        <w:spacing w:line="360" w:lineRule="auto"/>
        <w:rPr>
          <w:rFonts w:ascii="Arial" w:hAnsi="Arial" w:cs="Arial"/>
          <w:color w:val="000000" w:themeColor="text1"/>
          <w:sz w:val="22"/>
          <w:szCs w:val="22"/>
        </w:rPr>
      </w:pPr>
    </w:p>
    <w:p w:rsidR="00A2109B" w:rsidRPr="00001627" w:rsidRDefault="00A2109B" w:rsidP="004476A4">
      <w:pPr>
        <w:pStyle w:val="ListParagraph"/>
        <w:numPr>
          <w:ilvl w:val="0"/>
          <w:numId w:val="16"/>
        </w:numPr>
        <w:spacing w:line="360" w:lineRule="auto"/>
        <w:rPr>
          <w:rFonts w:ascii="Arial" w:hAnsi="Arial" w:cs="Arial"/>
          <w:color w:val="000000" w:themeColor="text1"/>
          <w:sz w:val="22"/>
          <w:szCs w:val="22"/>
        </w:rPr>
      </w:pPr>
      <w:r w:rsidRPr="00001627">
        <w:rPr>
          <w:rFonts w:ascii="Arial" w:hAnsi="Arial" w:cs="Arial"/>
          <w:color w:val="000000" w:themeColor="text1"/>
          <w:sz w:val="22"/>
          <w:szCs w:val="22"/>
        </w:rPr>
        <w:t>Section 2(1)(d)(ii) that the computer was unaffected in its operation by any malfunction interference, disturbance or interruption which might have had a bearing on the information derived from it or on reliability of such information; and</w:t>
      </w:r>
    </w:p>
    <w:p w:rsidR="00A2109B" w:rsidRPr="00001627" w:rsidRDefault="00A2109B" w:rsidP="00FD42FF">
      <w:pPr>
        <w:spacing w:line="360" w:lineRule="auto"/>
        <w:rPr>
          <w:rFonts w:ascii="Arial" w:hAnsi="Arial" w:cs="Arial"/>
          <w:color w:val="000000" w:themeColor="text1"/>
          <w:sz w:val="22"/>
          <w:szCs w:val="22"/>
        </w:rPr>
      </w:pPr>
    </w:p>
    <w:p w:rsidR="00A2109B" w:rsidRPr="00001627" w:rsidRDefault="00A2109B" w:rsidP="004476A4">
      <w:pPr>
        <w:pStyle w:val="ListParagraph"/>
        <w:numPr>
          <w:ilvl w:val="0"/>
          <w:numId w:val="16"/>
        </w:numPr>
        <w:spacing w:line="360" w:lineRule="auto"/>
        <w:rPr>
          <w:rFonts w:ascii="Arial" w:hAnsi="Arial" w:cs="Arial"/>
          <w:color w:val="000000" w:themeColor="text1"/>
          <w:sz w:val="22"/>
          <w:szCs w:val="22"/>
        </w:rPr>
      </w:pPr>
      <w:r w:rsidRPr="00001627">
        <w:rPr>
          <w:rFonts w:ascii="Arial" w:hAnsi="Arial" w:cs="Arial"/>
          <w:color w:val="000000" w:themeColor="text1"/>
          <w:sz w:val="22"/>
          <w:szCs w:val="22"/>
        </w:rPr>
        <w:t>Section 2(1</w:t>
      </w:r>
      <w:proofErr w:type="gramStart"/>
      <w:r w:rsidRPr="00001627">
        <w:rPr>
          <w:rFonts w:ascii="Arial" w:hAnsi="Arial" w:cs="Arial"/>
          <w:color w:val="000000" w:themeColor="text1"/>
          <w:sz w:val="22"/>
          <w:szCs w:val="22"/>
        </w:rPr>
        <w:t>)(</w:t>
      </w:r>
      <w:proofErr w:type="gramEnd"/>
      <w:r w:rsidRPr="00001627">
        <w:rPr>
          <w:rFonts w:ascii="Arial" w:hAnsi="Arial" w:cs="Arial"/>
          <w:color w:val="000000" w:themeColor="text1"/>
          <w:sz w:val="22"/>
          <w:szCs w:val="22"/>
        </w:rPr>
        <w:t>e) that no reason exists to doubt or suspect the truth or reliability of any information recorded in or result reflected by the computer.</w:t>
      </w:r>
    </w:p>
    <w:p w:rsidR="00A2109B" w:rsidRPr="00001627" w:rsidRDefault="00A2109B" w:rsidP="00FD42FF">
      <w:pPr>
        <w:spacing w:line="360" w:lineRule="auto"/>
        <w:ind w:left="720"/>
        <w:rPr>
          <w:rFonts w:ascii="Arial" w:hAnsi="Arial" w:cs="Arial"/>
          <w:color w:val="000000" w:themeColor="text1"/>
          <w:sz w:val="22"/>
          <w:szCs w:val="22"/>
        </w:rPr>
      </w:pPr>
    </w:p>
    <w:p w:rsidR="00A2109B" w:rsidRPr="00001627" w:rsidRDefault="00A2109B" w:rsidP="00FD42FF">
      <w:pPr>
        <w:spacing w:line="360" w:lineRule="auto"/>
        <w:rPr>
          <w:rFonts w:ascii="Arial" w:hAnsi="Arial" w:cs="Arial"/>
          <w:color w:val="000000" w:themeColor="text1"/>
          <w:sz w:val="22"/>
          <w:szCs w:val="22"/>
        </w:rPr>
      </w:pPr>
      <w:r w:rsidRPr="00001627">
        <w:rPr>
          <w:rFonts w:ascii="Arial" w:hAnsi="Arial" w:cs="Arial"/>
          <w:color w:val="000000" w:themeColor="text1"/>
          <w:sz w:val="22"/>
          <w:szCs w:val="22"/>
        </w:rPr>
        <w:t xml:space="preserve">In the result, no </w:t>
      </w:r>
      <w:r w:rsidR="00320A06" w:rsidRPr="00001627">
        <w:rPr>
          <w:rFonts w:ascii="Arial" w:hAnsi="Arial" w:cs="Arial"/>
          <w:color w:val="000000" w:themeColor="text1"/>
          <w:sz w:val="22"/>
          <w:szCs w:val="22"/>
        </w:rPr>
        <w:t>reliance</w:t>
      </w:r>
      <w:r w:rsidRPr="00001627">
        <w:rPr>
          <w:rFonts w:ascii="Arial" w:hAnsi="Arial" w:cs="Arial"/>
          <w:color w:val="000000" w:themeColor="text1"/>
          <w:sz w:val="22"/>
          <w:szCs w:val="22"/>
        </w:rPr>
        <w:t xml:space="preserve"> can be placed in these proceedings on the computer generated</w:t>
      </w:r>
      <w:r w:rsidR="00DE3F61" w:rsidRPr="00001627">
        <w:rPr>
          <w:rFonts w:ascii="Arial" w:hAnsi="Arial" w:cs="Arial"/>
          <w:color w:val="000000" w:themeColor="text1"/>
          <w:sz w:val="22"/>
          <w:szCs w:val="22"/>
        </w:rPr>
        <w:t xml:space="preserve"> evidence, copies of which are attached as </w:t>
      </w:r>
      <w:r w:rsidRPr="00001627">
        <w:rPr>
          <w:rFonts w:ascii="Arial" w:hAnsi="Arial" w:cs="Arial"/>
          <w:color w:val="000000" w:themeColor="text1"/>
          <w:sz w:val="22"/>
          <w:szCs w:val="22"/>
        </w:rPr>
        <w:t xml:space="preserve">annexures D1, D2 and </w:t>
      </w:r>
      <w:r w:rsidR="00DE3F61" w:rsidRPr="00001627">
        <w:rPr>
          <w:rFonts w:ascii="Arial" w:hAnsi="Arial" w:cs="Arial"/>
          <w:color w:val="000000" w:themeColor="text1"/>
          <w:sz w:val="22"/>
          <w:szCs w:val="22"/>
        </w:rPr>
        <w:t>D3</w:t>
      </w:r>
      <w:r w:rsidRPr="00001627">
        <w:rPr>
          <w:rFonts w:ascii="Arial" w:hAnsi="Arial" w:cs="Arial"/>
          <w:color w:val="000000" w:themeColor="text1"/>
          <w:sz w:val="22"/>
          <w:szCs w:val="22"/>
        </w:rPr>
        <w:t xml:space="preserve"> to the affidavit of Mr. </w:t>
      </w:r>
      <w:r w:rsidR="00C60305" w:rsidRPr="00001627">
        <w:rPr>
          <w:rFonts w:ascii="Arial" w:hAnsi="Arial" w:cs="Arial"/>
          <w:color w:val="000000" w:themeColor="text1"/>
          <w:sz w:val="22"/>
          <w:szCs w:val="22"/>
        </w:rPr>
        <w:t>Van Der Kol</w:t>
      </w:r>
      <w:r w:rsidR="00DE3F61" w:rsidRPr="00001627">
        <w:rPr>
          <w:rFonts w:ascii="Arial" w:hAnsi="Arial" w:cs="Arial"/>
          <w:color w:val="000000" w:themeColor="text1"/>
          <w:sz w:val="22"/>
          <w:szCs w:val="22"/>
        </w:rPr>
        <w:t>f</w:t>
      </w:r>
      <w:r w:rsidR="00C60305" w:rsidRPr="00001627">
        <w:rPr>
          <w:rFonts w:ascii="Arial" w:hAnsi="Arial" w:cs="Arial"/>
          <w:color w:val="000000" w:themeColor="text1"/>
          <w:sz w:val="22"/>
          <w:szCs w:val="22"/>
        </w:rPr>
        <w:t>f</w:t>
      </w:r>
      <w:r w:rsidRPr="00001627">
        <w:rPr>
          <w:rFonts w:ascii="Arial" w:hAnsi="Arial" w:cs="Arial"/>
          <w:color w:val="000000" w:themeColor="text1"/>
          <w:sz w:val="22"/>
          <w:szCs w:val="22"/>
        </w:rPr>
        <w:t>,</w:t>
      </w:r>
      <w:r w:rsidR="00DE3F61" w:rsidRPr="00001627">
        <w:rPr>
          <w:rFonts w:ascii="Arial" w:hAnsi="Arial" w:cs="Arial"/>
          <w:color w:val="000000" w:themeColor="text1"/>
          <w:sz w:val="22"/>
          <w:szCs w:val="22"/>
        </w:rPr>
        <w:t xml:space="preserve"> dated 22 May 2019 or their equivalents in the witness statement of Mr Van Der Kolff</w:t>
      </w:r>
      <w:r w:rsidRPr="00001627">
        <w:rPr>
          <w:rFonts w:ascii="Arial" w:hAnsi="Arial" w:cs="Arial"/>
          <w:color w:val="000000" w:themeColor="text1"/>
          <w:sz w:val="22"/>
          <w:szCs w:val="22"/>
        </w:rPr>
        <w:t xml:space="preserve"> and no reliance can further be placed on the information derived from such computer generated evidence</w:t>
      </w:r>
      <w:r w:rsidR="004476A4" w:rsidRPr="00001627">
        <w:rPr>
          <w:rFonts w:ascii="Arial" w:hAnsi="Arial" w:cs="Arial"/>
          <w:color w:val="000000" w:themeColor="text1"/>
          <w:sz w:val="22"/>
          <w:szCs w:val="22"/>
        </w:rPr>
        <w:t>’.</w:t>
      </w:r>
    </w:p>
    <w:p w:rsidR="00DE3F61" w:rsidRPr="00001627" w:rsidRDefault="00DE3F61" w:rsidP="00FD42FF">
      <w:pPr>
        <w:spacing w:line="360" w:lineRule="auto"/>
        <w:rPr>
          <w:rFonts w:ascii="Arial" w:hAnsi="Arial" w:cs="Arial"/>
          <w:color w:val="000000" w:themeColor="text1"/>
        </w:rPr>
      </w:pPr>
    </w:p>
    <w:p w:rsidR="00DE3F61" w:rsidRPr="00001627" w:rsidRDefault="00DE3F61" w:rsidP="00FD42FF">
      <w:pPr>
        <w:spacing w:line="360" w:lineRule="auto"/>
        <w:rPr>
          <w:rFonts w:ascii="Arial" w:hAnsi="Arial" w:cs="Arial"/>
          <w:color w:val="000000" w:themeColor="text1"/>
          <w:u w:val="single"/>
        </w:rPr>
      </w:pPr>
      <w:r w:rsidRPr="00001627">
        <w:rPr>
          <w:rFonts w:ascii="Arial" w:hAnsi="Arial" w:cs="Arial"/>
          <w:color w:val="000000" w:themeColor="text1"/>
          <w:u w:val="single"/>
        </w:rPr>
        <w:t>Recusal</w:t>
      </w:r>
    </w:p>
    <w:p w:rsidR="00DE3F61" w:rsidRPr="00001627" w:rsidRDefault="00DE3F61" w:rsidP="00FD42FF">
      <w:pPr>
        <w:spacing w:line="360" w:lineRule="auto"/>
        <w:rPr>
          <w:rFonts w:ascii="Arial" w:hAnsi="Arial" w:cs="Arial"/>
          <w:color w:val="000000" w:themeColor="text1"/>
        </w:rPr>
      </w:pPr>
    </w:p>
    <w:p w:rsidR="00DE3F61"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49799A" w:rsidRPr="00001627">
        <w:rPr>
          <w:rFonts w:ascii="Arial" w:hAnsi="Arial" w:cs="Arial"/>
          <w:color w:val="000000" w:themeColor="text1"/>
        </w:rPr>
        <w:t>1</w:t>
      </w:r>
      <w:r w:rsidR="00D965CA" w:rsidRPr="00001627">
        <w:rPr>
          <w:rFonts w:ascii="Arial" w:hAnsi="Arial" w:cs="Arial"/>
          <w:color w:val="000000" w:themeColor="text1"/>
        </w:rPr>
        <w:t>3</w:t>
      </w:r>
      <w:r w:rsidRPr="00001627">
        <w:rPr>
          <w:rFonts w:ascii="Arial" w:hAnsi="Arial" w:cs="Arial"/>
          <w:color w:val="000000" w:themeColor="text1"/>
        </w:rPr>
        <w:t>]</w:t>
      </w:r>
      <w:r w:rsidR="0049799A" w:rsidRPr="00001627">
        <w:rPr>
          <w:rFonts w:ascii="Arial" w:hAnsi="Arial" w:cs="Arial"/>
          <w:color w:val="000000" w:themeColor="text1"/>
        </w:rPr>
        <w:tab/>
      </w:r>
      <w:r w:rsidR="00DE3F61" w:rsidRPr="00001627">
        <w:rPr>
          <w:rFonts w:ascii="Arial" w:hAnsi="Arial" w:cs="Arial"/>
          <w:color w:val="000000" w:themeColor="text1"/>
        </w:rPr>
        <w:t>After my ruling on 23 May 2019, the plaintiff</w:t>
      </w:r>
      <w:r w:rsidR="00AE3828" w:rsidRPr="00001627">
        <w:rPr>
          <w:rFonts w:ascii="Arial" w:hAnsi="Arial" w:cs="Arial"/>
          <w:color w:val="000000" w:themeColor="text1"/>
        </w:rPr>
        <w:t>s</w:t>
      </w:r>
      <w:r w:rsidR="00DE3F61" w:rsidRPr="00001627">
        <w:rPr>
          <w:rFonts w:ascii="Arial" w:hAnsi="Arial" w:cs="Arial"/>
          <w:color w:val="000000" w:themeColor="text1"/>
        </w:rPr>
        <w:t xml:space="preserve"> </w:t>
      </w:r>
      <w:r w:rsidR="00AE3828" w:rsidRPr="00001627">
        <w:rPr>
          <w:rFonts w:ascii="Arial" w:hAnsi="Arial" w:cs="Arial"/>
          <w:color w:val="000000" w:themeColor="text1"/>
        </w:rPr>
        <w:t xml:space="preserve">indicated that they wanted to apply </w:t>
      </w:r>
      <w:r w:rsidR="00DE3F61" w:rsidRPr="00001627">
        <w:rPr>
          <w:rFonts w:ascii="Arial" w:hAnsi="Arial" w:cs="Arial"/>
          <w:color w:val="000000" w:themeColor="text1"/>
        </w:rPr>
        <w:t xml:space="preserve">for leave </w:t>
      </w:r>
      <w:r w:rsidR="00AE3828" w:rsidRPr="00001627">
        <w:rPr>
          <w:rFonts w:ascii="Arial" w:hAnsi="Arial" w:cs="Arial"/>
          <w:color w:val="000000" w:themeColor="text1"/>
        </w:rPr>
        <w:t xml:space="preserve">in terms of rule 93(3) of the rules of court </w:t>
      </w:r>
      <w:r w:rsidR="00DE3F61" w:rsidRPr="00001627">
        <w:rPr>
          <w:rFonts w:ascii="Arial" w:hAnsi="Arial" w:cs="Arial"/>
          <w:color w:val="000000" w:themeColor="text1"/>
        </w:rPr>
        <w:t>to supplement the witness statement of Mr Van Der Kolff</w:t>
      </w:r>
      <w:r w:rsidR="00AE3828" w:rsidRPr="00001627">
        <w:rPr>
          <w:rFonts w:ascii="Arial" w:hAnsi="Arial" w:cs="Arial"/>
          <w:color w:val="000000" w:themeColor="text1"/>
        </w:rPr>
        <w:t>,</w:t>
      </w:r>
      <w:r w:rsidR="00DE3F61" w:rsidRPr="00001627">
        <w:rPr>
          <w:rFonts w:ascii="Arial" w:hAnsi="Arial" w:cs="Arial"/>
          <w:color w:val="000000" w:themeColor="text1"/>
        </w:rPr>
        <w:t xml:space="preserve"> as substantial part of his evidence was ruled inadmissible.  </w:t>
      </w:r>
      <w:r w:rsidR="00AE3828" w:rsidRPr="00001627">
        <w:rPr>
          <w:rFonts w:ascii="Arial" w:hAnsi="Arial" w:cs="Arial"/>
          <w:color w:val="000000" w:themeColor="text1"/>
        </w:rPr>
        <w:t>I granted leave to plaintiff to file the application by 14h00 and for defendants to file answering papers for the parties to be in position to make submissions the next day at 10h00.</w:t>
      </w:r>
    </w:p>
    <w:p w:rsidR="00AE3828" w:rsidRPr="00001627" w:rsidRDefault="00AE3828" w:rsidP="00FD42FF">
      <w:pPr>
        <w:spacing w:line="360" w:lineRule="auto"/>
        <w:rPr>
          <w:rFonts w:ascii="Arial" w:hAnsi="Arial" w:cs="Arial"/>
          <w:color w:val="000000" w:themeColor="text1"/>
        </w:rPr>
      </w:pPr>
    </w:p>
    <w:p w:rsidR="00AE3828"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lastRenderedPageBreak/>
        <w:t>[1</w:t>
      </w:r>
      <w:r w:rsidR="00D965CA" w:rsidRPr="00001627">
        <w:rPr>
          <w:rFonts w:ascii="Arial" w:hAnsi="Arial" w:cs="Arial"/>
          <w:color w:val="000000" w:themeColor="text1"/>
        </w:rPr>
        <w:t>4</w:t>
      </w:r>
      <w:r w:rsidRPr="00001627">
        <w:rPr>
          <w:rFonts w:ascii="Arial" w:hAnsi="Arial" w:cs="Arial"/>
          <w:color w:val="000000" w:themeColor="text1"/>
        </w:rPr>
        <w:t>]</w:t>
      </w:r>
      <w:r w:rsidR="0049799A" w:rsidRPr="00001627">
        <w:rPr>
          <w:rFonts w:ascii="Arial" w:hAnsi="Arial" w:cs="Arial"/>
          <w:color w:val="000000" w:themeColor="text1"/>
        </w:rPr>
        <w:tab/>
      </w:r>
      <w:r w:rsidR="00AE3828" w:rsidRPr="00001627">
        <w:rPr>
          <w:rFonts w:ascii="Arial" w:hAnsi="Arial" w:cs="Arial"/>
          <w:color w:val="000000" w:themeColor="text1"/>
        </w:rPr>
        <w:t>Mr Obbes</w:t>
      </w:r>
      <w:r w:rsidR="0051396E" w:rsidRPr="00001627">
        <w:rPr>
          <w:rFonts w:ascii="Arial" w:hAnsi="Arial" w:cs="Arial"/>
          <w:color w:val="000000" w:themeColor="text1"/>
        </w:rPr>
        <w:t>, who appeared on behalf of the defendants,</w:t>
      </w:r>
      <w:r w:rsidR="00AE3828" w:rsidRPr="00001627">
        <w:rPr>
          <w:rFonts w:ascii="Arial" w:hAnsi="Arial" w:cs="Arial"/>
          <w:color w:val="000000" w:themeColor="text1"/>
        </w:rPr>
        <w:t xml:space="preserve"> indicated that the defendant’s may not be in position to file answering papers in time for argument the next day, but due to turn of events, it became unnecessary for</w:t>
      </w:r>
      <w:r w:rsidR="00320A06" w:rsidRPr="00001627">
        <w:rPr>
          <w:rFonts w:ascii="Arial" w:hAnsi="Arial" w:cs="Arial"/>
          <w:color w:val="000000" w:themeColor="text1"/>
        </w:rPr>
        <w:t xml:space="preserve"> me to have regard to the defendants’</w:t>
      </w:r>
      <w:r w:rsidR="00AE3828" w:rsidRPr="00001627">
        <w:rPr>
          <w:rFonts w:ascii="Arial" w:hAnsi="Arial" w:cs="Arial"/>
          <w:color w:val="000000" w:themeColor="text1"/>
        </w:rPr>
        <w:t xml:space="preserve"> answering papers.</w:t>
      </w:r>
    </w:p>
    <w:p w:rsidR="00AE3828" w:rsidRPr="00001627" w:rsidRDefault="00AE3828" w:rsidP="00FD42FF">
      <w:pPr>
        <w:spacing w:line="360" w:lineRule="auto"/>
        <w:rPr>
          <w:rFonts w:ascii="Arial" w:hAnsi="Arial" w:cs="Arial"/>
          <w:color w:val="000000" w:themeColor="text1"/>
        </w:rPr>
      </w:pPr>
    </w:p>
    <w:p w:rsidR="0051396E"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[1</w:t>
      </w:r>
      <w:r w:rsidR="00D965CA" w:rsidRPr="00001627">
        <w:rPr>
          <w:rFonts w:ascii="Arial" w:hAnsi="Arial" w:cs="Arial"/>
          <w:color w:val="000000" w:themeColor="text1"/>
        </w:rPr>
        <w:t>5</w:t>
      </w:r>
      <w:r w:rsidRPr="00001627">
        <w:rPr>
          <w:rFonts w:ascii="Arial" w:hAnsi="Arial" w:cs="Arial"/>
          <w:color w:val="000000" w:themeColor="text1"/>
        </w:rPr>
        <w:t xml:space="preserve">] </w:t>
      </w:r>
      <w:r w:rsidR="0049799A" w:rsidRPr="00001627">
        <w:rPr>
          <w:rFonts w:ascii="Arial" w:hAnsi="Arial" w:cs="Arial"/>
          <w:color w:val="000000" w:themeColor="text1"/>
        </w:rPr>
        <w:tab/>
      </w:r>
      <w:r w:rsidR="00AE3828" w:rsidRPr="00001627">
        <w:rPr>
          <w:rFonts w:ascii="Arial" w:hAnsi="Arial" w:cs="Arial"/>
          <w:color w:val="000000" w:themeColor="text1"/>
        </w:rPr>
        <w:t>The plaintiff filed the application in terms of rule 93(3) on 23 May 2019.    On 24 May 2019 plaintiffs filed another application seeking declaratory orders</w:t>
      </w:r>
      <w:r w:rsidR="0051396E" w:rsidRPr="00001627">
        <w:rPr>
          <w:rFonts w:ascii="Arial" w:hAnsi="Arial" w:cs="Arial"/>
          <w:color w:val="000000" w:themeColor="text1"/>
        </w:rPr>
        <w:t>, to declare</w:t>
      </w:r>
      <w:r w:rsidR="00AE3828" w:rsidRPr="00001627">
        <w:rPr>
          <w:rFonts w:ascii="Arial" w:hAnsi="Arial" w:cs="Arial"/>
          <w:color w:val="000000" w:themeColor="text1"/>
        </w:rPr>
        <w:t xml:space="preserve"> certain evidence </w:t>
      </w:r>
      <w:r w:rsidR="0051396E" w:rsidRPr="00001627">
        <w:rPr>
          <w:rFonts w:ascii="Arial" w:hAnsi="Arial" w:cs="Arial"/>
          <w:color w:val="000000" w:themeColor="text1"/>
        </w:rPr>
        <w:t xml:space="preserve">which was identified as per the notice of motion and the supporting affidavit, and which was contained in the </w:t>
      </w:r>
      <w:r w:rsidR="00AE3828" w:rsidRPr="00001627">
        <w:rPr>
          <w:rFonts w:ascii="Arial" w:hAnsi="Arial" w:cs="Arial"/>
          <w:color w:val="000000" w:themeColor="text1"/>
        </w:rPr>
        <w:t>witness statements of the defendants</w:t>
      </w:r>
      <w:r w:rsidR="0051396E" w:rsidRPr="00001627">
        <w:rPr>
          <w:rFonts w:ascii="Arial" w:hAnsi="Arial" w:cs="Arial"/>
          <w:color w:val="000000" w:themeColor="text1"/>
        </w:rPr>
        <w:t>, inadmissible.</w:t>
      </w:r>
      <w:r w:rsidR="00AE3828" w:rsidRPr="00001627">
        <w:rPr>
          <w:rFonts w:ascii="Arial" w:hAnsi="Arial" w:cs="Arial"/>
          <w:color w:val="000000" w:themeColor="text1"/>
        </w:rPr>
        <w:t xml:space="preserve"> </w:t>
      </w:r>
      <w:r w:rsidR="0051396E" w:rsidRPr="00001627">
        <w:rPr>
          <w:rFonts w:ascii="Arial" w:hAnsi="Arial" w:cs="Arial"/>
          <w:color w:val="000000" w:themeColor="text1"/>
        </w:rPr>
        <w:t xml:space="preserve">This was a strange application, as by that time, plaintiffs’ case had not been closed and the defendants’ case not opened.  </w:t>
      </w:r>
    </w:p>
    <w:p w:rsidR="0051396E" w:rsidRPr="00001627" w:rsidRDefault="0051396E" w:rsidP="00FD42FF">
      <w:pPr>
        <w:spacing w:line="360" w:lineRule="auto"/>
        <w:rPr>
          <w:rFonts w:ascii="Arial" w:hAnsi="Arial" w:cs="Arial"/>
          <w:color w:val="000000" w:themeColor="text1"/>
        </w:rPr>
      </w:pPr>
    </w:p>
    <w:p w:rsidR="00AE3828"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[1</w:t>
      </w:r>
      <w:r w:rsidR="00D965CA" w:rsidRPr="00001627">
        <w:rPr>
          <w:rFonts w:ascii="Arial" w:hAnsi="Arial" w:cs="Arial"/>
          <w:color w:val="000000" w:themeColor="text1"/>
        </w:rPr>
        <w:t>6</w:t>
      </w:r>
      <w:r w:rsidRPr="00001627">
        <w:rPr>
          <w:rFonts w:ascii="Arial" w:hAnsi="Arial" w:cs="Arial"/>
          <w:color w:val="000000" w:themeColor="text1"/>
        </w:rPr>
        <w:t>]</w:t>
      </w:r>
      <w:r w:rsidR="0049799A" w:rsidRPr="00001627">
        <w:rPr>
          <w:rFonts w:ascii="Arial" w:hAnsi="Arial" w:cs="Arial"/>
          <w:color w:val="000000" w:themeColor="text1"/>
        </w:rPr>
        <w:tab/>
      </w:r>
      <w:r w:rsidR="0051396E" w:rsidRPr="00001627">
        <w:rPr>
          <w:rFonts w:ascii="Arial" w:hAnsi="Arial" w:cs="Arial"/>
          <w:color w:val="000000" w:themeColor="text1"/>
        </w:rPr>
        <w:t xml:space="preserve">Therefore, when the matter was called on 24 May 2019, I requested the parties, in particular, Mr Barnard who was acting for the plaintiffs to prepare </w:t>
      </w:r>
      <w:r w:rsidR="00320A06" w:rsidRPr="00001627">
        <w:rPr>
          <w:rFonts w:ascii="Arial" w:hAnsi="Arial" w:cs="Arial"/>
          <w:color w:val="000000" w:themeColor="text1"/>
        </w:rPr>
        <w:t xml:space="preserve">and </w:t>
      </w:r>
      <w:r w:rsidR="0051396E" w:rsidRPr="00001627">
        <w:rPr>
          <w:rFonts w:ascii="Arial" w:hAnsi="Arial" w:cs="Arial"/>
          <w:color w:val="000000" w:themeColor="text1"/>
        </w:rPr>
        <w:t>to address me on this specific aspect and the matter was adjourned to 14h30 on Tuesday, 28 May 2019. The postponement was also necessary for the defendants to put up answering papers.</w:t>
      </w:r>
    </w:p>
    <w:p w:rsidR="0051396E" w:rsidRPr="00001627" w:rsidRDefault="0051396E" w:rsidP="00FD42FF">
      <w:pPr>
        <w:spacing w:line="360" w:lineRule="auto"/>
        <w:rPr>
          <w:rFonts w:ascii="Arial" w:hAnsi="Arial" w:cs="Arial"/>
          <w:color w:val="000000" w:themeColor="text1"/>
        </w:rPr>
      </w:pPr>
    </w:p>
    <w:p w:rsidR="0051396E"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D965CA" w:rsidRPr="00001627">
        <w:rPr>
          <w:rFonts w:ascii="Arial" w:hAnsi="Arial" w:cs="Arial"/>
          <w:color w:val="000000" w:themeColor="text1"/>
        </w:rPr>
        <w:t>17</w:t>
      </w:r>
      <w:r w:rsidRPr="00001627">
        <w:rPr>
          <w:rFonts w:ascii="Arial" w:hAnsi="Arial" w:cs="Arial"/>
          <w:color w:val="000000" w:themeColor="text1"/>
        </w:rPr>
        <w:t>]</w:t>
      </w:r>
      <w:r w:rsidR="0049799A" w:rsidRPr="00001627">
        <w:rPr>
          <w:rFonts w:ascii="Arial" w:hAnsi="Arial" w:cs="Arial"/>
          <w:color w:val="000000" w:themeColor="text1"/>
        </w:rPr>
        <w:tab/>
      </w:r>
      <w:r w:rsidR="005C0AA6" w:rsidRPr="00001627">
        <w:rPr>
          <w:rFonts w:ascii="Arial" w:hAnsi="Arial" w:cs="Arial"/>
          <w:color w:val="000000" w:themeColor="text1"/>
        </w:rPr>
        <w:t>Over the weekend, it dawned on me that the expert witness whom the defendants intended to call was Stan Bezuidenhout, and he was referred to in prayer 1.1 of the plaintiff’s notice of application for declaratory orders. This is the same expert whom I had consulted before, as counsel in a matter in which I had been briefed.  That matter had been set down for hearing during the week of 03 to 07 June 2019, and I would have had to attend to it almost immediately after coming off the Bench in this matter. That also meant that I would have had to consult with Mr Bezuidenhout prior to commencement of the trial in which I had been briefed.</w:t>
      </w:r>
    </w:p>
    <w:p w:rsidR="005C0AA6" w:rsidRPr="00001627" w:rsidRDefault="005C0AA6" w:rsidP="00FD42FF">
      <w:pPr>
        <w:spacing w:line="360" w:lineRule="auto"/>
        <w:rPr>
          <w:rFonts w:ascii="Arial" w:hAnsi="Arial" w:cs="Arial"/>
          <w:color w:val="000000" w:themeColor="text1"/>
        </w:rPr>
      </w:pPr>
    </w:p>
    <w:p w:rsidR="00135A3A"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D965CA" w:rsidRPr="00001627">
        <w:rPr>
          <w:rFonts w:ascii="Arial" w:hAnsi="Arial" w:cs="Arial"/>
          <w:color w:val="000000" w:themeColor="text1"/>
        </w:rPr>
        <w:t>18</w:t>
      </w:r>
      <w:r w:rsidRPr="00001627">
        <w:rPr>
          <w:rFonts w:ascii="Arial" w:hAnsi="Arial" w:cs="Arial"/>
          <w:color w:val="000000" w:themeColor="text1"/>
        </w:rPr>
        <w:t>]</w:t>
      </w:r>
      <w:r w:rsidR="0049799A" w:rsidRPr="00001627">
        <w:rPr>
          <w:rFonts w:ascii="Arial" w:hAnsi="Arial" w:cs="Arial"/>
          <w:color w:val="000000" w:themeColor="text1"/>
        </w:rPr>
        <w:tab/>
      </w:r>
      <w:r w:rsidR="005C0AA6" w:rsidRPr="00001627">
        <w:rPr>
          <w:rFonts w:ascii="Arial" w:hAnsi="Arial" w:cs="Arial"/>
          <w:color w:val="000000" w:themeColor="text1"/>
        </w:rPr>
        <w:t xml:space="preserve">In the matter in which I was briefed, Mr </w:t>
      </w:r>
      <w:r w:rsidR="00135A3A" w:rsidRPr="00001627">
        <w:rPr>
          <w:rFonts w:ascii="Arial" w:hAnsi="Arial" w:cs="Arial"/>
          <w:color w:val="000000" w:themeColor="text1"/>
        </w:rPr>
        <w:t xml:space="preserve">Stan </w:t>
      </w:r>
      <w:r w:rsidR="005C0AA6" w:rsidRPr="00001627">
        <w:rPr>
          <w:rFonts w:ascii="Arial" w:hAnsi="Arial" w:cs="Arial"/>
          <w:color w:val="000000" w:themeColor="text1"/>
        </w:rPr>
        <w:t>Bezuidenhout was retained as an accident reconstruction expert, and it was apparent from the affidavit of Mr Rain</w:t>
      </w:r>
      <w:r w:rsidR="00320A06" w:rsidRPr="00001627">
        <w:rPr>
          <w:rFonts w:ascii="Arial" w:hAnsi="Arial" w:cs="Arial"/>
          <w:color w:val="000000" w:themeColor="text1"/>
        </w:rPr>
        <w:t>i</w:t>
      </w:r>
      <w:r w:rsidR="005C0AA6" w:rsidRPr="00001627">
        <w:rPr>
          <w:rFonts w:ascii="Arial" w:hAnsi="Arial" w:cs="Arial"/>
          <w:color w:val="000000" w:themeColor="text1"/>
        </w:rPr>
        <w:t>er Arangies in the application for</w:t>
      </w:r>
      <w:r w:rsidR="00135A3A" w:rsidRPr="00001627">
        <w:rPr>
          <w:rFonts w:ascii="Arial" w:hAnsi="Arial" w:cs="Arial"/>
          <w:color w:val="000000" w:themeColor="text1"/>
        </w:rPr>
        <w:t xml:space="preserve"> declaratory orders, in particular paragraphs 8  and 13 thereof</w:t>
      </w:r>
      <w:r w:rsidR="005C0AA6" w:rsidRPr="00001627">
        <w:rPr>
          <w:rFonts w:ascii="Arial" w:hAnsi="Arial" w:cs="Arial"/>
          <w:color w:val="000000" w:themeColor="text1"/>
        </w:rPr>
        <w:t xml:space="preserve">, that </w:t>
      </w:r>
      <w:r w:rsidR="00135A3A" w:rsidRPr="00001627">
        <w:rPr>
          <w:rFonts w:ascii="Arial" w:hAnsi="Arial" w:cs="Arial"/>
          <w:color w:val="000000" w:themeColor="text1"/>
        </w:rPr>
        <w:t xml:space="preserve">the impartiality, reliability and </w:t>
      </w:r>
      <w:r w:rsidR="0070338F">
        <w:rPr>
          <w:rFonts w:ascii="Arial" w:hAnsi="Arial" w:cs="Arial"/>
          <w:color w:val="000000" w:themeColor="text1"/>
        </w:rPr>
        <w:t>credibility of Mr Stan Bezuiden</w:t>
      </w:r>
      <w:r w:rsidR="00135A3A" w:rsidRPr="00001627">
        <w:rPr>
          <w:rFonts w:ascii="Arial" w:hAnsi="Arial" w:cs="Arial"/>
          <w:color w:val="000000" w:themeColor="text1"/>
        </w:rPr>
        <w:t>hout would be challenged in this proceedings. This was with reference to certain judgments which had been passed by the court</w:t>
      </w:r>
      <w:r w:rsidR="00320A06" w:rsidRPr="00001627">
        <w:rPr>
          <w:rFonts w:ascii="Arial" w:hAnsi="Arial" w:cs="Arial"/>
          <w:color w:val="000000" w:themeColor="text1"/>
        </w:rPr>
        <w:t>s in the R</w:t>
      </w:r>
      <w:r w:rsidR="00135A3A" w:rsidRPr="00001627">
        <w:rPr>
          <w:rFonts w:ascii="Arial" w:hAnsi="Arial" w:cs="Arial"/>
          <w:color w:val="000000" w:themeColor="text1"/>
        </w:rPr>
        <w:t xml:space="preserve">epublic of South </w:t>
      </w:r>
      <w:r w:rsidR="00135A3A" w:rsidRPr="00001627">
        <w:rPr>
          <w:rFonts w:ascii="Arial" w:hAnsi="Arial" w:cs="Arial"/>
          <w:color w:val="000000" w:themeColor="text1"/>
        </w:rPr>
        <w:lastRenderedPageBreak/>
        <w:t xml:space="preserve">Africa. </w:t>
      </w:r>
      <w:r w:rsidR="00320A06" w:rsidRPr="00001627">
        <w:rPr>
          <w:rFonts w:ascii="Arial" w:hAnsi="Arial" w:cs="Arial"/>
          <w:color w:val="000000" w:themeColor="text1"/>
        </w:rPr>
        <w:t xml:space="preserve"> This aspect related directly to</w:t>
      </w:r>
      <w:r w:rsidR="00135A3A" w:rsidRPr="00001627">
        <w:rPr>
          <w:rFonts w:ascii="Arial" w:hAnsi="Arial" w:cs="Arial"/>
          <w:color w:val="000000" w:themeColor="text1"/>
        </w:rPr>
        <w:t xml:space="preserve"> the area of expertise of Mr Bezuidenhout,</w:t>
      </w:r>
      <w:r w:rsidR="00320A06" w:rsidRPr="00001627">
        <w:rPr>
          <w:rFonts w:ascii="Arial" w:hAnsi="Arial" w:cs="Arial"/>
          <w:color w:val="000000" w:themeColor="text1"/>
        </w:rPr>
        <w:t xml:space="preserve"> </w:t>
      </w:r>
      <w:r w:rsidR="00135A3A" w:rsidRPr="00001627">
        <w:rPr>
          <w:rFonts w:ascii="Arial" w:hAnsi="Arial" w:cs="Arial"/>
          <w:color w:val="000000" w:themeColor="text1"/>
        </w:rPr>
        <w:t>on which I would rely as counsel in the matter in which I had been briefed.</w:t>
      </w:r>
    </w:p>
    <w:p w:rsidR="00135A3A" w:rsidRPr="00001627" w:rsidRDefault="00135A3A" w:rsidP="00FD42FF">
      <w:pPr>
        <w:spacing w:line="360" w:lineRule="auto"/>
        <w:rPr>
          <w:rFonts w:ascii="Arial" w:hAnsi="Arial" w:cs="Arial"/>
          <w:color w:val="000000" w:themeColor="text1"/>
        </w:rPr>
      </w:pPr>
    </w:p>
    <w:p w:rsidR="00135A3A"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D965CA" w:rsidRPr="00001627">
        <w:rPr>
          <w:rFonts w:ascii="Arial" w:hAnsi="Arial" w:cs="Arial"/>
          <w:color w:val="000000" w:themeColor="text1"/>
        </w:rPr>
        <w:t>19</w:t>
      </w:r>
      <w:r w:rsidRPr="00001627">
        <w:rPr>
          <w:rFonts w:ascii="Arial" w:hAnsi="Arial" w:cs="Arial"/>
          <w:color w:val="000000" w:themeColor="text1"/>
        </w:rPr>
        <w:t>]</w:t>
      </w:r>
      <w:r w:rsidR="0049799A" w:rsidRPr="00001627">
        <w:rPr>
          <w:rFonts w:ascii="Arial" w:hAnsi="Arial" w:cs="Arial"/>
          <w:color w:val="000000" w:themeColor="text1"/>
        </w:rPr>
        <w:tab/>
      </w:r>
      <w:r w:rsidR="00135A3A" w:rsidRPr="00001627">
        <w:rPr>
          <w:rFonts w:ascii="Arial" w:hAnsi="Arial" w:cs="Arial"/>
          <w:color w:val="000000" w:themeColor="text1"/>
        </w:rPr>
        <w:t xml:space="preserve">I, accordingly requested the parties on 28 May 2019, in chambers to address me </w:t>
      </w:r>
      <w:r w:rsidR="00320A06" w:rsidRPr="00001627">
        <w:rPr>
          <w:rFonts w:ascii="Arial" w:hAnsi="Arial" w:cs="Arial"/>
          <w:color w:val="000000" w:themeColor="text1"/>
        </w:rPr>
        <w:t xml:space="preserve">in open court </w:t>
      </w:r>
      <w:r w:rsidR="00135A3A" w:rsidRPr="00001627">
        <w:rPr>
          <w:rFonts w:ascii="Arial" w:hAnsi="Arial" w:cs="Arial"/>
          <w:color w:val="000000" w:themeColor="text1"/>
        </w:rPr>
        <w:t>on my fitness to further preside over this matter, as there was, to my mind a clear conflict of interest.</w:t>
      </w:r>
    </w:p>
    <w:p w:rsidR="00135A3A" w:rsidRPr="00001627" w:rsidRDefault="00135A3A" w:rsidP="00FD42FF">
      <w:pPr>
        <w:spacing w:line="360" w:lineRule="auto"/>
        <w:rPr>
          <w:rFonts w:ascii="Arial" w:hAnsi="Arial" w:cs="Arial"/>
          <w:color w:val="000000" w:themeColor="text1"/>
        </w:rPr>
      </w:pPr>
    </w:p>
    <w:p w:rsidR="00135A3A"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49799A" w:rsidRPr="00001627">
        <w:rPr>
          <w:rFonts w:ascii="Arial" w:hAnsi="Arial" w:cs="Arial"/>
          <w:color w:val="000000" w:themeColor="text1"/>
        </w:rPr>
        <w:t>2</w:t>
      </w:r>
      <w:r w:rsidR="00D965CA" w:rsidRPr="00001627">
        <w:rPr>
          <w:rFonts w:ascii="Arial" w:hAnsi="Arial" w:cs="Arial"/>
          <w:color w:val="000000" w:themeColor="text1"/>
        </w:rPr>
        <w:t>0</w:t>
      </w:r>
      <w:r w:rsidRPr="00001627">
        <w:rPr>
          <w:rFonts w:ascii="Arial" w:hAnsi="Arial" w:cs="Arial"/>
          <w:color w:val="000000" w:themeColor="text1"/>
        </w:rPr>
        <w:t>]</w:t>
      </w:r>
      <w:r w:rsidR="0049799A" w:rsidRPr="00001627">
        <w:rPr>
          <w:rFonts w:ascii="Arial" w:hAnsi="Arial" w:cs="Arial"/>
          <w:color w:val="000000" w:themeColor="text1"/>
        </w:rPr>
        <w:tab/>
      </w:r>
      <w:r w:rsidR="00135A3A" w:rsidRPr="00001627">
        <w:rPr>
          <w:rFonts w:ascii="Arial" w:hAnsi="Arial" w:cs="Arial"/>
          <w:color w:val="000000" w:themeColor="text1"/>
        </w:rPr>
        <w:t>When the matter was called, Mr Barnard’s position, as it was to be expected</w:t>
      </w:r>
      <w:r w:rsidR="00320A06" w:rsidRPr="00001627">
        <w:rPr>
          <w:rFonts w:ascii="Arial" w:hAnsi="Arial" w:cs="Arial"/>
          <w:color w:val="000000" w:themeColor="text1"/>
        </w:rPr>
        <w:t>,</w:t>
      </w:r>
      <w:r w:rsidR="00135A3A" w:rsidRPr="00001627">
        <w:rPr>
          <w:rFonts w:ascii="Arial" w:hAnsi="Arial" w:cs="Arial"/>
          <w:color w:val="000000" w:themeColor="text1"/>
        </w:rPr>
        <w:t xml:space="preserve"> was that I should recuse myself.  My Obbes said that he left the aspect of recusal in the hands of the court, particularly in view of the little time he had to consider the matter.  As I have indicated, this aspect was drawn to their attention only during the morning of 28 </w:t>
      </w:r>
      <w:r w:rsidR="00504B20" w:rsidRPr="00001627">
        <w:rPr>
          <w:rFonts w:ascii="Arial" w:hAnsi="Arial" w:cs="Arial"/>
          <w:color w:val="000000" w:themeColor="text1"/>
        </w:rPr>
        <w:t>May 2018.</w:t>
      </w:r>
    </w:p>
    <w:p w:rsidR="00504B20" w:rsidRPr="00001627" w:rsidRDefault="00504B20" w:rsidP="00FD42FF">
      <w:pPr>
        <w:spacing w:line="360" w:lineRule="auto"/>
        <w:rPr>
          <w:rFonts w:ascii="Arial" w:hAnsi="Arial" w:cs="Arial"/>
          <w:color w:val="000000" w:themeColor="text1"/>
        </w:rPr>
      </w:pPr>
    </w:p>
    <w:p w:rsidR="00504B20"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D965CA" w:rsidRPr="00001627">
        <w:rPr>
          <w:rFonts w:ascii="Arial" w:hAnsi="Arial" w:cs="Arial"/>
          <w:color w:val="000000" w:themeColor="text1"/>
        </w:rPr>
        <w:t>21</w:t>
      </w:r>
      <w:r w:rsidRPr="00001627">
        <w:rPr>
          <w:rFonts w:ascii="Arial" w:hAnsi="Arial" w:cs="Arial"/>
          <w:color w:val="000000" w:themeColor="text1"/>
        </w:rPr>
        <w:t>]</w:t>
      </w:r>
      <w:r w:rsidR="0049799A" w:rsidRPr="00001627">
        <w:rPr>
          <w:rFonts w:ascii="Arial" w:hAnsi="Arial" w:cs="Arial"/>
          <w:color w:val="000000" w:themeColor="text1"/>
        </w:rPr>
        <w:tab/>
      </w:r>
      <w:r w:rsidR="00504B20" w:rsidRPr="00001627">
        <w:rPr>
          <w:rFonts w:ascii="Arial" w:hAnsi="Arial" w:cs="Arial"/>
          <w:color w:val="000000" w:themeColor="text1"/>
        </w:rPr>
        <w:t>In view of the submissions of the parties, and my previously held view that I should recuse myself, I t</w:t>
      </w:r>
      <w:r w:rsidR="00320A06" w:rsidRPr="00001627">
        <w:rPr>
          <w:rFonts w:ascii="Arial" w:hAnsi="Arial" w:cs="Arial"/>
          <w:color w:val="000000" w:themeColor="text1"/>
        </w:rPr>
        <w:t>h</w:t>
      </w:r>
      <w:r w:rsidR="00504B20" w:rsidRPr="00001627">
        <w:rPr>
          <w:rFonts w:ascii="Arial" w:hAnsi="Arial" w:cs="Arial"/>
          <w:color w:val="000000" w:themeColor="text1"/>
        </w:rPr>
        <w:t xml:space="preserve">en recused myself from the matter.  </w:t>
      </w:r>
    </w:p>
    <w:p w:rsidR="00504B20" w:rsidRPr="00001627" w:rsidRDefault="00504B20" w:rsidP="00FD42FF">
      <w:pPr>
        <w:spacing w:line="360" w:lineRule="auto"/>
        <w:rPr>
          <w:rFonts w:ascii="Arial" w:hAnsi="Arial" w:cs="Arial"/>
          <w:color w:val="000000" w:themeColor="text1"/>
        </w:rPr>
      </w:pPr>
    </w:p>
    <w:p w:rsidR="00001627" w:rsidRDefault="004602A5" w:rsidP="00FD42FF">
      <w:pPr>
        <w:spacing w:line="360" w:lineRule="auto"/>
        <w:rPr>
          <w:rFonts w:ascii="Arial" w:hAnsi="Arial" w:cs="Arial"/>
          <w:i/>
          <w:color w:val="000000" w:themeColor="text1"/>
        </w:rPr>
      </w:pPr>
      <w:r w:rsidRPr="00001627">
        <w:rPr>
          <w:rFonts w:ascii="Arial" w:hAnsi="Arial" w:cs="Arial"/>
          <w:color w:val="000000" w:themeColor="text1"/>
        </w:rPr>
        <w:t>[</w:t>
      </w:r>
      <w:r w:rsidR="00D965CA" w:rsidRPr="00001627">
        <w:rPr>
          <w:rFonts w:ascii="Arial" w:hAnsi="Arial" w:cs="Arial"/>
          <w:color w:val="000000" w:themeColor="text1"/>
        </w:rPr>
        <w:t>22</w:t>
      </w:r>
      <w:r w:rsidRPr="00001627">
        <w:rPr>
          <w:rFonts w:ascii="Arial" w:hAnsi="Arial" w:cs="Arial"/>
          <w:color w:val="000000" w:themeColor="text1"/>
        </w:rPr>
        <w:t>]</w:t>
      </w:r>
      <w:r w:rsidR="0049799A" w:rsidRPr="00001627">
        <w:rPr>
          <w:rFonts w:ascii="Arial" w:hAnsi="Arial" w:cs="Arial"/>
          <w:color w:val="000000" w:themeColor="text1"/>
        </w:rPr>
        <w:tab/>
      </w:r>
      <w:r w:rsidR="00504B20" w:rsidRPr="00001627">
        <w:rPr>
          <w:rFonts w:ascii="Arial" w:hAnsi="Arial" w:cs="Arial"/>
          <w:color w:val="000000" w:themeColor="text1"/>
        </w:rPr>
        <w:t xml:space="preserve">The decision to recuse myself was not taken lightly. I am aware of the </w:t>
      </w:r>
      <w:r w:rsidR="00614DD5" w:rsidRPr="00001627">
        <w:rPr>
          <w:rFonts w:ascii="Arial" w:hAnsi="Arial" w:cs="Arial"/>
          <w:color w:val="000000" w:themeColor="text1"/>
        </w:rPr>
        <w:t xml:space="preserve">following </w:t>
      </w:r>
      <w:r w:rsidR="005B0A69" w:rsidRPr="00001627">
        <w:rPr>
          <w:rFonts w:ascii="Arial" w:hAnsi="Arial" w:cs="Arial"/>
          <w:color w:val="000000" w:themeColor="text1"/>
        </w:rPr>
        <w:t xml:space="preserve">dictum in the matter of </w:t>
      </w:r>
      <w:r w:rsidR="005B0A69" w:rsidRPr="00001627">
        <w:rPr>
          <w:rFonts w:ascii="Arial" w:hAnsi="Arial" w:cs="Arial"/>
          <w:i/>
          <w:color w:val="000000" w:themeColor="text1"/>
        </w:rPr>
        <w:t>S v Stewe</w:t>
      </w:r>
      <w:r w:rsidR="00001627">
        <w:rPr>
          <w:rStyle w:val="FootnoteReference"/>
          <w:rFonts w:ascii="Arial" w:hAnsi="Arial" w:cs="Arial"/>
          <w:i/>
          <w:color w:val="000000" w:themeColor="text1"/>
        </w:rPr>
        <w:footnoteReference w:id="4"/>
      </w:r>
      <w:r w:rsidR="005B0A69" w:rsidRPr="00001627">
        <w:rPr>
          <w:rFonts w:ascii="Arial" w:hAnsi="Arial" w:cs="Arial"/>
          <w:i/>
          <w:color w:val="000000" w:themeColor="text1"/>
        </w:rPr>
        <w:t xml:space="preserve"> </w:t>
      </w:r>
      <w:r w:rsidR="00001627">
        <w:rPr>
          <w:rFonts w:ascii="Arial" w:hAnsi="Arial" w:cs="Arial"/>
          <w:i/>
          <w:color w:val="000000" w:themeColor="text1"/>
        </w:rPr>
        <w:t>:</w:t>
      </w:r>
    </w:p>
    <w:p w:rsidR="00001627" w:rsidRPr="00001627" w:rsidRDefault="00001627" w:rsidP="00FD42FF">
      <w:pPr>
        <w:spacing w:line="360" w:lineRule="auto"/>
        <w:rPr>
          <w:rFonts w:ascii="Arial" w:hAnsi="Arial" w:cs="Arial"/>
          <w:i/>
          <w:color w:val="000000" w:themeColor="text1"/>
        </w:rPr>
      </w:pPr>
    </w:p>
    <w:p w:rsidR="005B0A69" w:rsidRPr="00001627" w:rsidRDefault="00001627" w:rsidP="00001627">
      <w:pPr>
        <w:spacing w:line="360" w:lineRule="auto"/>
        <w:ind w:firstLine="720"/>
        <w:rPr>
          <w:rFonts w:ascii="Arial" w:hAnsi="Arial" w:cs="Arial"/>
          <w:color w:val="000000" w:themeColor="text1"/>
          <w:sz w:val="21"/>
          <w:szCs w:val="21"/>
          <w:lang w:val="en"/>
        </w:rPr>
      </w:pPr>
      <w:r w:rsidRPr="00001627">
        <w:rPr>
          <w:rFonts w:ascii="Arial" w:hAnsi="Arial" w:cs="Arial"/>
          <w:color w:val="000000" w:themeColor="text1"/>
          <w:sz w:val="21"/>
          <w:szCs w:val="21"/>
          <w:lang w:val="en"/>
        </w:rPr>
        <w:t>‘</w:t>
      </w:r>
      <w:r w:rsidR="005B0A69" w:rsidRPr="00001627">
        <w:rPr>
          <w:rFonts w:ascii="Arial" w:hAnsi="Arial" w:cs="Arial"/>
          <w:color w:val="000000" w:themeColor="text1"/>
          <w:sz w:val="21"/>
          <w:szCs w:val="21"/>
          <w:lang w:val="en"/>
        </w:rPr>
        <w:t xml:space="preserve">But whenever it occurs the applicant or the judicial officer who raises recusal should cross the high threshold needed to satisfy the test for recusal. The application for recusal or where it is raised </w:t>
      </w:r>
      <w:r w:rsidR="005B0A69" w:rsidRPr="00001627">
        <w:rPr>
          <w:rStyle w:val="Emphasis"/>
          <w:rFonts w:ascii="Arial" w:hAnsi="Arial" w:cs="Arial"/>
          <w:color w:val="000000" w:themeColor="text1"/>
          <w:sz w:val="21"/>
          <w:szCs w:val="21"/>
          <w:lang w:val="en"/>
        </w:rPr>
        <w:t xml:space="preserve">mero motu </w:t>
      </w:r>
      <w:r w:rsidR="005B0A69" w:rsidRPr="00001627">
        <w:rPr>
          <w:rFonts w:ascii="Arial" w:hAnsi="Arial" w:cs="Arial"/>
          <w:color w:val="000000" w:themeColor="text1"/>
          <w:sz w:val="21"/>
          <w:szCs w:val="21"/>
          <w:lang w:val="en"/>
        </w:rPr>
        <w:t xml:space="preserve">by a judicial officer, cannot be done in vacuo or on the judicial officer’s predilections, preconceived, unreasonable personal views or ill-informed apprehensions. To do so would be to cast the administration of justice in anarchy where judicial officers would be at liberty to make choices of which cases to preside over and which not/or applicants to go on a judge forum shopping hoping to get the one who might be favourable to their cases. Judicial officers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 ‘Embodied in the test above are two further consequences ‘on the one hand, it is the applicant for recusal who bears the onus of </w:t>
      </w:r>
      <w:r w:rsidR="005B0A69" w:rsidRPr="00001627">
        <w:rPr>
          <w:rFonts w:ascii="Arial" w:hAnsi="Arial" w:cs="Arial"/>
          <w:color w:val="000000" w:themeColor="text1"/>
          <w:sz w:val="21"/>
          <w:szCs w:val="21"/>
          <w:lang w:val="en"/>
        </w:rPr>
        <w:lastRenderedPageBreak/>
        <w:t>rebutting the presumption of judicial impartiality. On the other, the presumption is not easily dislodged. It requires ‘cogent’ or ‘convincing’ evidence to be rebutted.</w:t>
      </w:r>
      <w:r w:rsidR="00FD27B0" w:rsidRPr="00001627">
        <w:rPr>
          <w:rStyle w:val="FootnoteReference"/>
          <w:rFonts w:ascii="Arial" w:hAnsi="Arial" w:cs="Arial"/>
          <w:color w:val="000000" w:themeColor="text1"/>
          <w:sz w:val="21"/>
          <w:szCs w:val="21"/>
          <w:lang w:val="en"/>
        </w:rPr>
        <w:footnoteReference w:id="5"/>
      </w:r>
      <w:r>
        <w:rPr>
          <w:rFonts w:ascii="Arial" w:hAnsi="Arial" w:cs="Arial"/>
          <w:color w:val="000000" w:themeColor="text1"/>
          <w:sz w:val="21"/>
          <w:szCs w:val="21"/>
          <w:lang w:val="en"/>
        </w:rPr>
        <w:t>’</w:t>
      </w:r>
    </w:p>
    <w:p w:rsidR="005B0A69" w:rsidRPr="00001627" w:rsidRDefault="005B0A69" w:rsidP="00FD42FF">
      <w:pPr>
        <w:spacing w:line="360" w:lineRule="auto"/>
        <w:rPr>
          <w:rFonts w:ascii="Arial" w:hAnsi="Arial" w:cs="Arial"/>
          <w:color w:val="000000" w:themeColor="text1"/>
          <w:sz w:val="21"/>
          <w:szCs w:val="21"/>
          <w:lang w:val="en"/>
        </w:rPr>
      </w:pPr>
    </w:p>
    <w:p w:rsidR="005B0A69"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lang w:val="en"/>
        </w:rPr>
        <w:t>[</w:t>
      </w:r>
      <w:r w:rsidR="00D965CA" w:rsidRPr="00001627">
        <w:rPr>
          <w:rFonts w:ascii="Arial" w:hAnsi="Arial" w:cs="Arial"/>
          <w:color w:val="000000" w:themeColor="text1"/>
          <w:lang w:val="en"/>
        </w:rPr>
        <w:t>23</w:t>
      </w:r>
      <w:r w:rsidRPr="00001627">
        <w:rPr>
          <w:rFonts w:ascii="Arial" w:hAnsi="Arial" w:cs="Arial"/>
          <w:color w:val="000000" w:themeColor="text1"/>
          <w:lang w:val="en"/>
        </w:rPr>
        <w:t>]</w:t>
      </w:r>
      <w:r w:rsidR="0049799A" w:rsidRPr="00001627">
        <w:rPr>
          <w:rFonts w:ascii="Arial" w:hAnsi="Arial" w:cs="Arial"/>
          <w:color w:val="000000" w:themeColor="text1"/>
          <w:lang w:val="en"/>
        </w:rPr>
        <w:tab/>
      </w:r>
      <w:r w:rsidR="005B0A69" w:rsidRPr="00001627">
        <w:rPr>
          <w:rFonts w:ascii="Arial" w:hAnsi="Arial" w:cs="Arial"/>
          <w:color w:val="000000" w:themeColor="text1"/>
          <w:lang w:val="en"/>
        </w:rPr>
        <w:t>I am also aware that the test for recusal is whether a reasonable objective and informed person would on the correct facts reasonably apprehend that the judge has not or will not bring an impartial mind to bear on the adjudication of the case</w:t>
      </w:r>
      <w:r w:rsidR="000829ED">
        <w:rPr>
          <w:rFonts w:ascii="Arial" w:hAnsi="Arial" w:cs="Arial"/>
          <w:color w:val="000000" w:themeColor="text1"/>
          <w:lang w:val="en"/>
        </w:rPr>
        <w:t>.</w:t>
      </w:r>
      <w:r w:rsidR="00FD27B0" w:rsidRPr="00001627">
        <w:rPr>
          <w:rStyle w:val="FootnoteReference"/>
          <w:rFonts w:ascii="Arial" w:hAnsi="Arial" w:cs="Arial"/>
          <w:color w:val="000000" w:themeColor="text1"/>
          <w:lang w:val="en"/>
        </w:rPr>
        <w:footnoteReference w:id="6"/>
      </w:r>
    </w:p>
    <w:p w:rsidR="00614DD5" w:rsidRPr="000829ED" w:rsidRDefault="00614DD5" w:rsidP="00FD42FF">
      <w:pPr>
        <w:spacing w:line="360" w:lineRule="auto"/>
        <w:rPr>
          <w:rFonts w:ascii="Arial" w:hAnsi="Arial" w:cs="Arial"/>
          <w:color w:val="000000" w:themeColor="text1"/>
        </w:rPr>
      </w:pPr>
    </w:p>
    <w:p w:rsidR="007911BD" w:rsidRPr="00001627" w:rsidRDefault="004602A5" w:rsidP="00FD42FF">
      <w:pPr>
        <w:spacing w:line="360" w:lineRule="auto"/>
        <w:rPr>
          <w:rFonts w:ascii="Arial" w:hAnsi="Arial" w:cs="Arial"/>
          <w:color w:val="000000" w:themeColor="text1"/>
        </w:rPr>
      </w:pPr>
      <w:r w:rsidRPr="000829ED">
        <w:rPr>
          <w:rFonts w:ascii="Arial" w:hAnsi="Arial" w:cs="Arial"/>
          <w:color w:val="000000" w:themeColor="text1"/>
        </w:rPr>
        <w:t>[</w:t>
      </w:r>
      <w:r w:rsidR="00D965CA" w:rsidRPr="000829ED">
        <w:rPr>
          <w:rFonts w:ascii="Arial" w:hAnsi="Arial" w:cs="Arial"/>
          <w:color w:val="000000" w:themeColor="text1"/>
        </w:rPr>
        <w:t>24</w:t>
      </w:r>
      <w:r w:rsidRPr="000829ED">
        <w:rPr>
          <w:rFonts w:ascii="Arial" w:hAnsi="Arial" w:cs="Arial"/>
          <w:color w:val="000000" w:themeColor="text1"/>
        </w:rPr>
        <w:t>]</w:t>
      </w:r>
      <w:r w:rsidR="0049799A" w:rsidRPr="000829ED">
        <w:rPr>
          <w:rFonts w:ascii="Arial" w:hAnsi="Arial" w:cs="Arial"/>
          <w:color w:val="000000" w:themeColor="text1"/>
        </w:rPr>
        <w:tab/>
      </w:r>
      <w:r w:rsidR="007911BD" w:rsidRPr="000829ED">
        <w:rPr>
          <w:rFonts w:ascii="Arial" w:hAnsi="Arial" w:cs="Arial"/>
          <w:color w:val="000000" w:themeColor="text1"/>
        </w:rPr>
        <w:t xml:space="preserve">To the above must be added what was </w:t>
      </w:r>
      <w:r w:rsidR="00F10022" w:rsidRPr="000829ED">
        <w:rPr>
          <w:rFonts w:ascii="Arial" w:hAnsi="Arial" w:cs="Arial"/>
          <w:color w:val="000000" w:themeColor="text1"/>
        </w:rPr>
        <w:t xml:space="preserve">said in </w:t>
      </w:r>
      <w:r w:rsidR="00F10022" w:rsidRPr="000829ED">
        <w:rPr>
          <w:rFonts w:ascii="Arial" w:hAnsi="Arial" w:cs="Arial"/>
          <w:i/>
          <w:color w:val="000000" w:themeColor="text1"/>
        </w:rPr>
        <w:t xml:space="preserve">Minister of Finance </w:t>
      </w:r>
      <w:r w:rsidR="000829ED" w:rsidRPr="000829ED">
        <w:rPr>
          <w:rFonts w:ascii="Arial" w:hAnsi="Arial" w:cs="Arial"/>
          <w:i/>
          <w:color w:val="000000" w:themeColor="text1"/>
        </w:rPr>
        <w:t>a</w:t>
      </w:r>
      <w:r w:rsidR="00E71444" w:rsidRPr="000829ED">
        <w:rPr>
          <w:rFonts w:ascii="Arial" w:hAnsi="Arial" w:cs="Arial"/>
          <w:i/>
          <w:color w:val="000000" w:themeColor="text1"/>
        </w:rPr>
        <w:t>nd Another v Hollard Insurance Company and Others</w:t>
      </w:r>
      <w:r w:rsidR="000829ED" w:rsidRPr="000829ED">
        <w:rPr>
          <w:rStyle w:val="FootnoteReference"/>
          <w:rFonts w:ascii="Arial" w:hAnsi="Arial" w:cs="Arial"/>
          <w:color w:val="000000" w:themeColor="text1"/>
        </w:rPr>
        <w:footnoteReference w:id="7"/>
      </w:r>
      <w:r w:rsidR="00E71444" w:rsidRPr="000829ED">
        <w:rPr>
          <w:rFonts w:ascii="Arial" w:hAnsi="Arial" w:cs="Arial"/>
          <w:color w:val="000000" w:themeColor="text1"/>
        </w:rPr>
        <w:t xml:space="preserve"> at parag</w:t>
      </w:r>
      <w:r w:rsidR="00E71444" w:rsidRPr="00001627">
        <w:rPr>
          <w:rFonts w:ascii="Arial" w:hAnsi="Arial" w:cs="Arial"/>
          <w:color w:val="000000" w:themeColor="text1"/>
        </w:rPr>
        <w:t>raphs [62] to [64] as follows:</w:t>
      </w:r>
    </w:p>
    <w:p w:rsidR="00E71444" w:rsidRPr="00001627" w:rsidRDefault="00E71444" w:rsidP="00FD42FF">
      <w:pPr>
        <w:spacing w:line="360" w:lineRule="auto"/>
        <w:rPr>
          <w:rFonts w:ascii="Arial" w:hAnsi="Arial" w:cs="Arial"/>
          <w:color w:val="000000" w:themeColor="text1"/>
        </w:rPr>
      </w:pPr>
    </w:p>
    <w:p w:rsidR="00E71444" w:rsidRPr="000829ED" w:rsidRDefault="000829ED" w:rsidP="000829ED">
      <w:pPr>
        <w:tabs>
          <w:tab w:val="left" w:pos="851"/>
        </w:tabs>
        <w:spacing w:line="360" w:lineRule="auto"/>
        <w:contextualSpacing/>
        <w:rPr>
          <w:rFonts w:ascii="Arial" w:hAnsi="Arial" w:cs="Arial"/>
          <w:color w:val="000000" w:themeColor="text1"/>
          <w:sz w:val="22"/>
          <w:szCs w:val="22"/>
          <w:lang w:val="en-GB"/>
        </w:rPr>
      </w:pPr>
      <w:r>
        <w:rPr>
          <w:rFonts w:ascii="Arial" w:hAnsi="Arial" w:cs="Arial"/>
          <w:color w:val="000000" w:themeColor="text1"/>
        </w:rPr>
        <w:tab/>
        <w:t>‘</w:t>
      </w:r>
      <w:r w:rsidR="00E71444" w:rsidRPr="000829ED">
        <w:rPr>
          <w:rFonts w:ascii="Arial" w:hAnsi="Arial" w:cs="Arial"/>
          <w:color w:val="000000" w:themeColor="text1"/>
          <w:sz w:val="22"/>
          <w:szCs w:val="22"/>
        </w:rPr>
        <w:t>[62]</w:t>
      </w:r>
      <w:r w:rsidR="00E71444" w:rsidRPr="000829ED">
        <w:rPr>
          <w:rFonts w:ascii="Arial" w:hAnsi="Arial" w:cs="Arial"/>
          <w:color w:val="000000" w:themeColor="text1"/>
          <w:sz w:val="22"/>
          <w:szCs w:val="22"/>
        </w:rPr>
        <w:tab/>
        <w:t>It must be apparent from the authorities cited above that the law on recusal serves three objectives. The first is that the court system must not be paralysed by frivolous claims for recusal - hence the presumption of impartiality and the duty to hear matters. The second is that those who sit in judgment over others must not promote their own or others’ interests or causes. The third is that everything possible must be done to not leave a nagging feeling in the public’s mind that one party to a dispute did not get a fair hearing because of who the judge is or was.</w:t>
      </w:r>
    </w:p>
    <w:p w:rsidR="00E71444" w:rsidRPr="000829ED" w:rsidRDefault="00E71444" w:rsidP="000829ED">
      <w:pPr>
        <w:tabs>
          <w:tab w:val="left" w:pos="851"/>
        </w:tabs>
        <w:spacing w:line="360" w:lineRule="auto"/>
        <w:ind w:left="567" w:firstLine="567"/>
        <w:contextualSpacing/>
        <w:rPr>
          <w:rFonts w:ascii="Arial" w:hAnsi="Arial" w:cs="Arial"/>
          <w:color w:val="000000" w:themeColor="text1"/>
          <w:sz w:val="22"/>
          <w:szCs w:val="22"/>
          <w:lang w:val="en-GB"/>
        </w:rPr>
      </w:pPr>
    </w:p>
    <w:p w:rsidR="00E71444" w:rsidRPr="000829ED" w:rsidRDefault="00E71444" w:rsidP="000829ED">
      <w:pPr>
        <w:tabs>
          <w:tab w:val="left" w:pos="851"/>
        </w:tabs>
        <w:spacing w:line="360" w:lineRule="auto"/>
        <w:contextualSpacing/>
        <w:rPr>
          <w:rFonts w:ascii="Arial" w:hAnsi="Arial" w:cs="Arial"/>
          <w:color w:val="000000" w:themeColor="text1"/>
          <w:sz w:val="22"/>
          <w:szCs w:val="22"/>
          <w:lang w:val="en-GB"/>
        </w:rPr>
      </w:pPr>
      <w:r w:rsidRPr="000829ED">
        <w:rPr>
          <w:rFonts w:ascii="Arial" w:hAnsi="Arial" w:cs="Arial"/>
          <w:color w:val="000000" w:themeColor="text1"/>
          <w:sz w:val="22"/>
          <w:szCs w:val="22"/>
        </w:rPr>
        <w:t>[63]</w:t>
      </w:r>
      <w:r w:rsidRPr="000829ED">
        <w:rPr>
          <w:rFonts w:ascii="Arial" w:hAnsi="Arial" w:cs="Arial"/>
          <w:color w:val="000000" w:themeColor="text1"/>
          <w:sz w:val="22"/>
          <w:szCs w:val="22"/>
        </w:rPr>
        <w:tab/>
        <w:t>All three objectives serve to promote confidence in the administration of justice. No one objective is less important than the other although there are different ways in which they can be given effect to – either through open ventilation or through administrative arrangements for which the head of jurisdiction is responsible.</w:t>
      </w:r>
      <w:r w:rsidR="00A814A0" w:rsidRPr="000829ED">
        <w:rPr>
          <w:rFonts w:ascii="Arial" w:hAnsi="Arial" w:cs="Arial"/>
          <w:color w:val="000000" w:themeColor="text1"/>
          <w:sz w:val="22"/>
          <w:szCs w:val="22"/>
        </w:rPr>
        <w:t xml:space="preserve"> </w:t>
      </w:r>
      <w:r w:rsidRPr="000829ED">
        <w:rPr>
          <w:rFonts w:ascii="Arial" w:hAnsi="Arial" w:cs="Arial"/>
          <w:color w:val="000000" w:themeColor="text1"/>
          <w:sz w:val="22"/>
          <w:szCs w:val="22"/>
        </w:rPr>
        <w:t xml:space="preserve"> </w:t>
      </w:r>
    </w:p>
    <w:p w:rsidR="00E71444" w:rsidRPr="000829ED" w:rsidRDefault="00E71444" w:rsidP="000829ED">
      <w:pPr>
        <w:pStyle w:val="ListParagraph"/>
        <w:spacing w:line="360" w:lineRule="auto"/>
        <w:ind w:left="567" w:firstLine="567"/>
        <w:rPr>
          <w:rFonts w:ascii="Arial" w:hAnsi="Arial" w:cs="Arial"/>
          <w:color w:val="000000" w:themeColor="text1"/>
          <w:sz w:val="22"/>
          <w:szCs w:val="22"/>
        </w:rPr>
      </w:pPr>
    </w:p>
    <w:p w:rsidR="00E71444" w:rsidRPr="000829ED" w:rsidRDefault="00E71444" w:rsidP="000829ED">
      <w:pPr>
        <w:tabs>
          <w:tab w:val="left" w:pos="851"/>
        </w:tabs>
        <w:spacing w:line="360" w:lineRule="auto"/>
        <w:contextualSpacing/>
        <w:rPr>
          <w:rFonts w:ascii="Arial" w:hAnsi="Arial" w:cs="Arial"/>
          <w:color w:val="000000" w:themeColor="text1"/>
          <w:sz w:val="22"/>
          <w:szCs w:val="22"/>
          <w:lang w:val="en-GB"/>
        </w:rPr>
      </w:pPr>
      <w:r w:rsidRPr="000829ED">
        <w:rPr>
          <w:rFonts w:ascii="Arial" w:hAnsi="Arial" w:cs="Arial"/>
          <w:color w:val="000000" w:themeColor="text1"/>
          <w:sz w:val="22"/>
          <w:szCs w:val="22"/>
        </w:rPr>
        <w:t>[64]</w:t>
      </w:r>
      <w:r w:rsidRPr="000829ED">
        <w:rPr>
          <w:rFonts w:ascii="Arial" w:hAnsi="Arial" w:cs="Arial"/>
          <w:color w:val="000000" w:themeColor="text1"/>
          <w:sz w:val="22"/>
          <w:szCs w:val="22"/>
        </w:rPr>
        <w:tab/>
        <w:t>The last objective presents a peculiar problem in that the facts giving rise to its application are not easy to prove and is based on perception and value judgment and in some way the thought processes of an affected judicial officer. It therefore highlights the importance of the judicial officer making full disclosure and to err on the side of caution if in doubt as explained in para [85] below.</w:t>
      </w:r>
      <w:r w:rsidR="000829ED">
        <w:rPr>
          <w:rFonts w:ascii="Arial" w:hAnsi="Arial" w:cs="Arial"/>
          <w:color w:val="000000" w:themeColor="text1"/>
          <w:sz w:val="22"/>
          <w:szCs w:val="22"/>
        </w:rPr>
        <w:t>’</w:t>
      </w:r>
    </w:p>
    <w:p w:rsidR="00E71444" w:rsidRPr="000829ED" w:rsidRDefault="00E71444" w:rsidP="000829ED">
      <w:pPr>
        <w:spacing w:line="360" w:lineRule="auto"/>
        <w:ind w:left="567" w:firstLine="567"/>
        <w:rPr>
          <w:rFonts w:ascii="Arial" w:hAnsi="Arial" w:cs="Arial"/>
          <w:color w:val="000000" w:themeColor="text1"/>
          <w:sz w:val="22"/>
          <w:szCs w:val="22"/>
        </w:rPr>
      </w:pPr>
    </w:p>
    <w:p w:rsidR="0049799A" w:rsidRPr="00001627"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49799A" w:rsidRPr="00001627">
        <w:rPr>
          <w:rFonts w:ascii="Arial" w:hAnsi="Arial" w:cs="Arial"/>
          <w:color w:val="000000" w:themeColor="text1"/>
        </w:rPr>
        <w:t>2</w:t>
      </w:r>
      <w:r w:rsidR="00D965CA" w:rsidRPr="00001627">
        <w:rPr>
          <w:rFonts w:ascii="Arial" w:hAnsi="Arial" w:cs="Arial"/>
          <w:color w:val="000000" w:themeColor="text1"/>
        </w:rPr>
        <w:t>5</w:t>
      </w:r>
      <w:r w:rsidRPr="00001627">
        <w:rPr>
          <w:rFonts w:ascii="Arial" w:hAnsi="Arial" w:cs="Arial"/>
          <w:color w:val="000000" w:themeColor="text1"/>
        </w:rPr>
        <w:t>]</w:t>
      </w:r>
      <w:r w:rsidR="0049799A" w:rsidRPr="00001627">
        <w:rPr>
          <w:rFonts w:ascii="Arial" w:hAnsi="Arial" w:cs="Arial"/>
          <w:color w:val="000000" w:themeColor="text1"/>
        </w:rPr>
        <w:tab/>
      </w:r>
      <w:r w:rsidR="00E71444" w:rsidRPr="00001627">
        <w:rPr>
          <w:rFonts w:ascii="Arial" w:hAnsi="Arial" w:cs="Arial"/>
          <w:color w:val="000000" w:themeColor="text1"/>
        </w:rPr>
        <w:t xml:space="preserve">Even if I considered </w:t>
      </w:r>
      <w:r w:rsidR="0049799A" w:rsidRPr="00001627">
        <w:rPr>
          <w:rFonts w:ascii="Arial" w:hAnsi="Arial" w:cs="Arial"/>
          <w:color w:val="000000" w:themeColor="text1"/>
        </w:rPr>
        <w:t>giving</w:t>
      </w:r>
      <w:r w:rsidR="00E71444" w:rsidRPr="00001627">
        <w:rPr>
          <w:rFonts w:ascii="Arial" w:hAnsi="Arial" w:cs="Arial"/>
          <w:color w:val="000000" w:themeColor="text1"/>
        </w:rPr>
        <w:t xml:space="preserve"> up the brief in the other matter, </w:t>
      </w:r>
      <w:r w:rsidR="00A814A0" w:rsidRPr="00001627">
        <w:rPr>
          <w:rFonts w:ascii="Arial" w:hAnsi="Arial" w:cs="Arial"/>
          <w:color w:val="000000" w:themeColor="text1"/>
        </w:rPr>
        <w:t xml:space="preserve">(which I did), </w:t>
      </w:r>
      <w:r w:rsidR="00E71444" w:rsidRPr="00001627">
        <w:rPr>
          <w:rFonts w:ascii="Arial" w:hAnsi="Arial" w:cs="Arial"/>
          <w:color w:val="000000" w:themeColor="text1"/>
        </w:rPr>
        <w:t xml:space="preserve">the fact remained that I had </w:t>
      </w:r>
      <w:r w:rsidR="0049799A" w:rsidRPr="00001627">
        <w:rPr>
          <w:rFonts w:ascii="Arial" w:hAnsi="Arial" w:cs="Arial"/>
          <w:color w:val="000000" w:themeColor="text1"/>
        </w:rPr>
        <w:t xml:space="preserve">previously </w:t>
      </w:r>
      <w:r w:rsidR="00E71444" w:rsidRPr="00001627">
        <w:rPr>
          <w:rFonts w:ascii="Arial" w:hAnsi="Arial" w:cs="Arial"/>
          <w:color w:val="000000" w:themeColor="text1"/>
        </w:rPr>
        <w:t>consulted with Mr Bezuidenhout</w:t>
      </w:r>
      <w:r w:rsidR="0049799A" w:rsidRPr="00001627">
        <w:rPr>
          <w:rFonts w:ascii="Arial" w:hAnsi="Arial" w:cs="Arial"/>
          <w:color w:val="000000" w:themeColor="text1"/>
        </w:rPr>
        <w:t>, and</w:t>
      </w:r>
      <w:r w:rsidR="00A814A0" w:rsidRPr="00001627">
        <w:rPr>
          <w:rFonts w:ascii="Arial" w:hAnsi="Arial" w:cs="Arial"/>
          <w:color w:val="000000" w:themeColor="text1"/>
        </w:rPr>
        <w:t xml:space="preserve"> then</w:t>
      </w:r>
      <w:r w:rsidR="0049799A" w:rsidRPr="00001627">
        <w:rPr>
          <w:rFonts w:ascii="Arial" w:hAnsi="Arial" w:cs="Arial"/>
          <w:color w:val="000000" w:themeColor="text1"/>
        </w:rPr>
        <w:t xml:space="preserve"> indented to call him as an expert witness. The problem of the nagging feeling in the </w:t>
      </w:r>
      <w:r w:rsidR="0049799A" w:rsidRPr="00001627">
        <w:rPr>
          <w:rFonts w:ascii="Arial" w:hAnsi="Arial" w:cs="Arial"/>
          <w:color w:val="000000" w:themeColor="text1"/>
        </w:rPr>
        <w:lastRenderedPageBreak/>
        <w:t>public’s mind that one party to a dispute did not get a fair hearing because of who the judge is or was, would thus always remain.  This coupled with the interest I had, or might be perceived to have had in preserving the credibility of Mr Bezuidenhout, raised clear issues of conflict of i</w:t>
      </w:r>
      <w:bookmarkStart w:id="0" w:name="_GoBack"/>
      <w:bookmarkEnd w:id="0"/>
      <w:r w:rsidR="0049799A" w:rsidRPr="00001627">
        <w:rPr>
          <w:rFonts w:ascii="Arial" w:hAnsi="Arial" w:cs="Arial"/>
          <w:color w:val="000000" w:themeColor="text1"/>
        </w:rPr>
        <w:t>nterest.</w:t>
      </w:r>
    </w:p>
    <w:p w:rsidR="0049799A" w:rsidRPr="00001627" w:rsidRDefault="0049799A" w:rsidP="00FD42FF">
      <w:pPr>
        <w:spacing w:line="360" w:lineRule="auto"/>
        <w:rPr>
          <w:rFonts w:ascii="Arial" w:hAnsi="Arial" w:cs="Arial"/>
          <w:color w:val="000000" w:themeColor="text1"/>
        </w:rPr>
      </w:pPr>
    </w:p>
    <w:p w:rsidR="00E71444" w:rsidRDefault="004602A5" w:rsidP="00FD42FF">
      <w:pPr>
        <w:spacing w:line="360" w:lineRule="auto"/>
        <w:rPr>
          <w:rFonts w:ascii="Arial" w:hAnsi="Arial" w:cs="Arial"/>
          <w:color w:val="000000" w:themeColor="text1"/>
        </w:rPr>
      </w:pPr>
      <w:r w:rsidRPr="00001627">
        <w:rPr>
          <w:rFonts w:ascii="Arial" w:hAnsi="Arial" w:cs="Arial"/>
          <w:color w:val="000000" w:themeColor="text1"/>
        </w:rPr>
        <w:t>[</w:t>
      </w:r>
      <w:r w:rsidR="0049799A" w:rsidRPr="00001627">
        <w:rPr>
          <w:rFonts w:ascii="Arial" w:hAnsi="Arial" w:cs="Arial"/>
          <w:color w:val="000000" w:themeColor="text1"/>
        </w:rPr>
        <w:t>2</w:t>
      </w:r>
      <w:r w:rsidR="00D965CA" w:rsidRPr="00001627">
        <w:rPr>
          <w:rFonts w:ascii="Arial" w:hAnsi="Arial" w:cs="Arial"/>
          <w:color w:val="000000" w:themeColor="text1"/>
        </w:rPr>
        <w:t>6</w:t>
      </w:r>
      <w:r w:rsidRPr="00001627">
        <w:rPr>
          <w:rFonts w:ascii="Arial" w:hAnsi="Arial" w:cs="Arial"/>
          <w:color w:val="000000" w:themeColor="text1"/>
        </w:rPr>
        <w:t>]</w:t>
      </w:r>
      <w:r w:rsidR="0049799A" w:rsidRPr="00001627">
        <w:rPr>
          <w:rFonts w:ascii="Arial" w:hAnsi="Arial" w:cs="Arial"/>
          <w:color w:val="000000" w:themeColor="text1"/>
        </w:rPr>
        <w:tab/>
        <w:t xml:space="preserve">It is for these reasons that I </w:t>
      </w:r>
      <w:r w:rsidR="00A814A0" w:rsidRPr="00001627">
        <w:rPr>
          <w:rFonts w:ascii="Arial" w:hAnsi="Arial" w:cs="Arial"/>
          <w:color w:val="000000" w:themeColor="text1"/>
        </w:rPr>
        <w:t xml:space="preserve">on 28 May 2019 </w:t>
      </w:r>
      <w:r w:rsidR="0049799A" w:rsidRPr="00001627">
        <w:rPr>
          <w:rFonts w:ascii="Arial" w:hAnsi="Arial" w:cs="Arial"/>
          <w:color w:val="000000" w:themeColor="text1"/>
        </w:rPr>
        <w:t>recuse</w:t>
      </w:r>
      <w:r w:rsidR="00D965CA" w:rsidRPr="00001627">
        <w:rPr>
          <w:rFonts w:ascii="Arial" w:hAnsi="Arial" w:cs="Arial"/>
          <w:color w:val="000000" w:themeColor="text1"/>
        </w:rPr>
        <w:t>d</w:t>
      </w:r>
      <w:r w:rsidR="0049799A" w:rsidRPr="00001627">
        <w:rPr>
          <w:rFonts w:ascii="Arial" w:hAnsi="Arial" w:cs="Arial"/>
          <w:color w:val="000000" w:themeColor="text1"/>
        </w:rPr>
        <w:t xml:space="preserve"> myself </w:t>
      </w:r>
      <w:r w:rsidR="00D965CA" w:rsidRPr="00001627">
        <w:rPr>
          <w:rFonts w:ascii="Arial" w:hAnsi="Arial" w:cs="Arial"/>
          <w:color w:val="000000" w:themeColor="text1"/>
        </w:rPr>
        <w:t>from this</w:t>
      </w:r>
      <w:r w:rsidR="0049799A" w:rsidRPr="00001627">
        <w:rPr>
          <w:rFonts w:ascii="Arial" w:hAnsi="Arial" w:cs="Arial"/>
          <w:color w:val="000000" w:themeColor="text1"/>
        </w:rPr>
        <w:t xml:space="preserve"> matter. The matter should thus be returned to the Registrar for allocation </w:t>
      </w:r>
      <w:r w:rsidR="000829ED">
        <w:rPr>
          <w:rFonts w:ascii="Arial" w:hAnsi="Arial" w:cs="Arial"/>
          <w:color w:val="000000" w:themeColor="text1"/>
        </w:rPr>
        <w:t>to a different managing judge.</w:t>
      </w:r>
    </w:p>
    <w:p w:rsidR="0056741D" w:rsidRDefault="0056741D" w:rsidP="00FD42FF">
      <w:pPr>
        <w:spacing w:line="360" w:lineRule="auto"/>
        <w:rPr>
          <w:rFonts w:ascii="Arial" w:hAnsi="Arial" w:cs="Arial"/>
          <w:color w:val="000000" w:themeColor="text1"/>
        </w:rPr>
      </w:pPr>
    </w:p>
    <w:p w:rsidR="0056741D" w:rsidRDefault="0056741D" w:rsidP="0056741D">
      <w:pPr>
        <w:spacing w:line="360" w:lineRule="auto"/>
        <w:jc w:val="right"/>
        <w:rPr>
          <w:rFonts w:ascii="Arial" w:hAnsi="Arial" w:cs="Arial"/>
          <w:color w:val="000000" w:themeColor="text1"/>
        </w:rPr>
      </w:pPr>
      <w:r>
        <w:rPr>
          <w:rFonts w:ascii="Arial" w:hAnsi="Arial" w:cs="Arial"/>
          <w:color w:val="000000" w:themeColor="text1"/>
        </w:rPr>
        <w:t>____________________</w:t>
      </w:r>
    </w:p>
    <w:p w:rsidR="0056741D" w:rsidRDefault="0056741D" w:rsidP="0056741D">
      <w:pPr>
        <w:spacing w:line="360" w:lineRule="auto"/>
        <w:jc w:val="right"/>
        <w:rPr>
          <w:rFonts w:ascii="Arial" w:hAnsi="Arial" w:cs="Arial"/>
          <w:b/>
          <w:color w:val="000000" w:themeColor="text1"/>
        </w:rPr>
      </w:pPr>
      <w:r w:rsidRPr="0056741D">
        <w:rPr>
          <w:rFonts w:ascii="Arial" w:hAnsi="Arial" w:cs="Arial"/>
          <w:b/>
          <w:color w:val="000000" w:themeColor="text1"/>
        </w:rPr>
        <w:t>G Narib AJ</w:t>
      </w:r>
    </w:p>
    <w:p w:rsidR="0056741D" w:rsidRDefault="0056741D" w:rsidP="0056741D">
      <w:pPr>
        <w:spacing w:line="360" w:lineRule="auto"/>
        <w:jc w:val="right"/>
        <w:rPr>
          <w:rFonts w:ascii="Arial" w:hAnsi="Arial" w:cs="Arial"/>
          <w:b/>
          <w:color w:val="000000" w:themeColor="text1"/>
        </w:rPr>
      </w:pPr>
    </w:p>
    <w:p w:rsidR="00204E87" w:rsidRDefault="00204E87">
      <w:pPr>
        <w:spacing w:after="160" w:line="259" w:lineRule="auto"/>
        <w:jc w:val="left"/>
        <w:rPr>
          <w:rFonts w:ascii="Arial" w:hAnsi="Arial" w:cs="Arial"/>
          <w:b/>
          <w:color w:val="000000" w:themeColor="text1"/>
        </w:rPr>
      </w:pPr>
      <w:r>
        <w:rPr>
          <w:rFonts w:ascii="Arial" w:hAnsi="Arial" w:cs="Arial"/>
          <w:b/>
          <w:color w:val="000000" w:themeColor="text1"/>
        </w:rPr>
        <w:br w:type="page"/>
      </w:r>
    </w:p>
    <w:p w:rsidR="0056741D" w:rsidRDefault="0056741D" w:rsidP="0056741D">
      <w:pPr>
        <w:spacing w:line="360" w:lineRule="auto"/>
        <w:rPr>
          <w:rFonts w:ascii="Arial" w:hAnsi="Arial" w:cs="Arial"/>
          <w:b/>
          <w:color w:val="000000" w:themeColor="text1"/>
        </w:rPr>
      </w:pPr>
      <w:r>
        <w:rPr>
          <w:rFonts w:ascii="Arial" w:hAnsi="Arial" w:cs="Arial"/>
          <w:b/>
          <w:color w:val="000000" w:themeColor="text1"/>
        </w:rPr>
        <w:lastRenderedPageBreak/>
        <w:t>APPEARANCE</w:t>
      </w:r>
    </w:p>
    <w:p w:rsidR="0056741D" w:rsidRDefault="0056741D" w:rsidP="0056741D">
      <w:pPr>
        <w:spacing w:line="360" w:lineRule="auto"/>
        <w:rPr>
          <w:rFonts w:ascii="Arial" w:hAnsi="Arial" w:cs="Arial"/>
          <w:b/>
          <w:color w:val="000000" w:themeColor="text1"/>
        </w:rPr>
      </w:pPr>
    </w:p>
    <w:p w:rsidR="0056741D" w:rsidRDefault="0056741D" w:rsidP="0056741D">
      <w:pPr>
        <w:spacing w:line="360" w:lineRule="auto"/>
        <w:rPr>
          <w:rFonts w:ascii="Arial" w:hAnsi="Arial" w:cs="Arial"/>
          <w:color w:val="000000" w:themeColor="text1"/>
        </w:rPr>
      </w:pPr>
      <w:r w:rsidRPr="00172381">
        <w:rPr>
          <w:rFonts w:ascii="Arial" w:hAnsi="Arial" w:cs="Arial"/>
          <w:color w:val="000000" w:themeColor="text1"/>
        </w:rPr>
        <w:t>FOR THE PLAINTIFFS:</w:t>
      </w:r>
      <w:r w:rsidRPr="00172381">
        <w:rPr>
          <w:rFonts w:ascii="Arial" w:hAnsi="Arial" w:cs="Arial"/>
          <w:b/>
          <w:color w:val="000000" w:themeColor="text1"/>
        </w:rPr>
        <w:t xml:space="preserve">      </w:t>
      </w:r>
      <w:r w:rsidR="00172381">
        <w:rPr>
          <w:rFonts w:ascii="Arial" w:hAnsi="Arial" w:cs="Arial"/>
          <w:b/>
          <w:color w:val="000000" w:themeColor="text1"/>
        </w:rPr>
        <w:tab/>
        <w:t xml:space="preserve">         </w:t>
      </w:r>
      <w:r w:rsidR="00172381">
        <w:rPr>
          <w:rFonts w:ascii="Arial" w:hAnsi="Arial" w:cs="Arial"/>
          <w:color w:val="000000" w:themeColor="text1"/>
        </w:rPr>
        <w:t>P C I Barnard</w:t>
      </w:r>
    </w:p>
    <w:p w:rsidR="00172381" w:rsidRPr="00172381" w:rsidRDefault="00172381" w:rsidP="0056741D">
      <w:pPr>
        <w:spacing w:line="360" w:lineRule="auto"/>
        <w:rPr>
          <w:rFonts w:ascii="Arial" w:hAnsi="Arial" w:cs="Arial"/>
          <w:color w:val="000000" w:themeColor="text1"/>
        </w:rPr>
      </w:pPr>
      <w:r>
        <w:rPr>
          <w:rFonts w:ascii="Arial" w:hAnsi="Arial" w:cs="Arial"/>
          <w:color w:val="000000" w:themeColor="text1"/>
        </w:rPr>
        <w:t xml:space="preserve">On instructions of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De Klerk Horn and Coetzee Inc, Windhoek</w:t>
      </w:r>
    </w:p>
    <w:p w:rsidR="0056741D" w:rsidRDefault="0056741D" w:rsidP="0056741D">
      <w:pPr>
        <w:spacing w:line="360" w:lineRule="auto"/>
        <w:rPr>
          <w:rFonts w:ascii="Arial" w:hAnsi="Arial" w:cs="Arial"/>
          <w:b/>
          <w:color w:val="000000" w:themeColor="text1"/>
        </w:rPr>
      </w:pPr>
    </w:p>
    <w:p w:rsidR="0056741D" w:rsidRDefault="0056741D" w:rsidP="0056741D">
      <w:pPr>
        <w:spacing w:line="360" w:lineRule="auto"/>
        <w:rPr>
          <w:rFonts w:ascii="Arial" w:hAnsi="Arial" w:cs="Arial"/>
          <w:b/>
          <w:color w:val="000000" w:themeColor="text1"/>
        </w:rPr>
      </w:pPr>
    </w:p>
    <w:p w:rsidR="0056741D" w:rsidRDefault="0056741D" w:rsidP="0056741D">
      <w:pPr>
        <w:spacing w:line="360" w:lineRule="auto"/>
        <w:rPr>
          <w:rFonts w:ascii="Arial" w:hAnsi="Arial" w:cs="Arial"/>
          <w:color w:val="000000" w:themeColor="text1"/>
        </w:rPr>
      </w:pPr>
      <w:r w:rsidRPr="00172381">
        <w:rPr>
          <w:rFonts w:ascii="Arial" w:hAnsi="Arial" w:cs="Arial"/>
          <w:color w:val="000000" w:themeColor="text1"/>
        </w:rPr>
        <w:t xml:space="preserve">FOR THE DEFENDANTS: </w:t>
      </w:r>
      <w:r w:rsidR="00172381">
        <w:rPr>
          <w:rFonts w:ascii="Arial" w:hAnsi="Arial" w:cs="Arial"/>
          <w:color w:val="000000" w:themeColor="text1"/>
        </w:rPr>
        <w:tab/>
        <w:t xml:space="preserve">         D Obbes</w:t>
      </w:r>
    </w:p>
    <w:p w:rsidR="00172381" w:rsidRPr="00172381" w:rsidRDefault="00172381" w:rsidP="0056741D">
      <w:pPr>
        <w:spacing w:line="360" w:lineRule="auto"/>
        <w:rPr>
          <w:rFonts w:ascii="Arial" w:hAnsi="Arial" w:cs="Arial"/>
          <w:color w:val="000000" w:themeColor="text1"/>
        </w:rPr>
      </w:pPr>
      <w:r>
        <w:rPr>
          <w:rFonts w:ascii="Arial" w:hAnsi="Arial" w:cs="Arial"/>
          <w:color w:val="000000" w:themeColor="text1"/>
        </w:rPr>
        <w:t xml:space="preserve">On instructions of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Francois Erasmus and partners, Windhoek</w:t>
      </w:r>
    </w:p>
    <w:sectPr w:rsidR="00172381" w:rsidRPr="00172381" w:rsidSect="0089114D">
      <w:headerReference w:type="default" r:id="rId12"/>
      <w:pgSz w:w="11906" w:h="16838"/>
      <w:pgMar w:top="1440" w:right="1558"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A4" w:rsidRDefault="00F128A4" w:rsidP="00291830">
      <w:pPr>
        <w:spacing w:line="240" w:lineRule="auto"/>
      </w:pPr>
      <w:r>
        <w:separator/>
      </w:r>
    </w:p>
  </w:endnote>
  <w:endnote w:type="continuationSeparator" w:id="0">
    <w:p w:rsidR="00F128A4" w:rsidRDefault="00F128A4" w:rsidP="0029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A4" w:rsidRDefault="00F128A4" w:rsidP="00291830">
      <w:pPr>
        <w:spacing w:line="240" w:lineRule="auto"/>
      </w:pPr>
      <w:r>
        <w:separator/>
      </w:r>
    </w:p>
  </w:footnote>
  <w:footnote w:type="continuationSeparator" w:id="0">
    <w:p w:rsidR="00F128A4" w:rsidRDefault="00F128A4" w:rsidP="00291830">
      <w:pPr>
        <w:spacing w:line="240" w:lineRule="auto"/>
      </w:pPr>
      <w:r>
        <w:continuationSeparator/>
      </w:r>
    </w:p>
  </w:footnote>
  <w:footnote w:id="1">
    <w:p w:rsidR="000E26DD" w:rsidRPr="0070338F" w:rsidRDefault="000E26DD" w:rsidP="0070338F">
      <w:pPr>
        <w:pStyle w:val="FootnoteText"/>
        <w:rPr>
          <w:rFonts w:ascii="Arial" w:hAnsi="Arial" w:cs="Arial"/>
        </w:rPr>
      </w:pPr>
      <w:r w:rsidRPr="0070338F">
        <w:rPr>
          <w:rStyle w:val="FootnoteReference"/>
          <w:rFonts w:ascii="Arial" w:hAnsi="Arial" w:cs="Arial"/>
        </w:rPr>
        <w:footnoteRef/>
      </w:r>
      <w:r w:rsidRPr="0070338F">
        <w:rPr>
          <w:rFonts w:ascii="Arial" w:hAnsi="Arial" w:cs="Arial"/>
        </w:rPr>
        <w:t xml:space="preserve"> The effect of this decision was later ameliorated in </w:t>
      </w:r>
      <w:r w:rsidRPr="0070338F">
        <w:rPr>
          <w:rFonts w:ascii="Arial" w:hAnsi="Arial" w:cs="Arial"/>
          <w:i/>
        </w:rPr>
        <w:t>S v Shabalala</w:t>
      </w:r>
      <w:r w:rsidRPr="0070338F">
        <w:rPr>
          <w:rFonts w:ascii="Arial" w:hAnsi="Arial" w:cs="Arial"/>
        </w:rPr>
        <w:t xml:space="preserve"> 1986 (4) SA 734 (A), where the court also considered admissibility of evidence of behaviour of police dog in identifying </w:t>
      </w:r>
      <w:r w:rsidR="00FC0CF7" w:rsidRPr="0070338F">
        <w:rPr>
          <w:rFonts w:ascii="Arial" w:hAnsi="Arial" w:cs="Arial"/>
        </w:rPr>
        <w:t>scent of an accused.</w:t>
      </w:r>
    </w:p>
  </w:footnote>
  <w:footnote w:id="2">
    <w:p w:rsidR="007C4CB1" w:rsidRPr="0070338F" w:rsidRDefault="007C4CB1" w:rsidP="0070338F">
      <w:pPr>
        <w:pStyle w:val="FootnoteText"/>
        <w:rPr>
          <w:rFonts w:ascii="Arial" w:hAnsi="Arial" w:cs="Arial"/>
        </w:rPr>
      </w:pPr>
      <w:r w:rsidRPr="0070338F">
        <w:rPr>
          <w:rStyle w:val="FootnoteReference"/>
          <w:rFonts w:ascii="Arial" w:hAnsi="Arial" w:cs="Arial"/>
        </w:rPr>
        <w:footnoteRef/>
      </w:r>
      <w:r w:rsidRPr="0070338F">
        <w:rPr>
          <w:rFonts w:ascii="Arial" w:hAnsi="Arial" w:cs="Arial"/>
        </w:rPr>
        <w:t xml:space="preserve"> At p 63.</w:t>
      </w:r>
    </w:p>
  </w:footnote>
  <w:footnote w:id="3">
    <w:p w:rsidR="00EC5127" w:rsidRPr="0070338F" w:rsidRDefault="00EC5127" w:rsidP="0070338F">
      <w:pPr>
        <w:pStyle w:val="FootnoteText"/>
        <w:rPr>
          <w:rFonts w:ascii="Arial" w:hAnsi="Arial" w:cs="Arial"/>
        </w:rPr>
      </w:pPr>
      <w:r w:rsidRPr="0070338F">
        <w:rPr>
          <w:rStyle w:val="FootnoteReference"/>
          <w:rFonts w:ascii="Arial" w:hAnsi="Arial" w:cs="Arial"/>
        </w:rPr>
        <w:footnoteRef/>
      </w:r>
      <w:r w:rsidRPr="0070338F">
        <w:rPr>
          <w:rFonts w:ascii="Arial" w:hAnsi="Arial" w:cs="Arial"/>
        </w:rPr>
        <w:t xml:space="preserve"> In my ruling on 23 May 2019, I referred to Mr. Engelbrecht, but it was correctly brought to my attention by Mr. Barnard on behalf of the plaintiff that the deponent was in fact Mr. Van Der Kol</w:t>
      </w:r>
      <w:r w:rsidR="00320A06" w:rsidRPr="0070338F">
        <w:rPr>
          <w:rFonts w:ascii="Arial" w:hAnsi="Arial" w:cs="Arial"/>
        </w:rPr>
        <w:t>f</w:t>
      </w:r>
      <w:r w:rsidRPr="0070338F">
        <w:rPr>
          <w:rFonts w:ascii="Arial" w:hAnsi="Arial" w:cs="Arial"/>
        </w:rPr>
        <w:t>f.  This much is apparent from the affidavit dated 22 May 2019</w:t>
      </w:r>
      <w:r w:rsidR="00320A06" w:rsidRPr="0070338F">
        <w:rPr>
          <w:rFonts w:ascii="Arial" w:hAnsi="Arial" w:cs="Arial"/>
        </w:rPr>
        <w:t xml:space="preserve"> and the court order was subsequently corrected to this effect.</w:t>
      </w:r>
    </w:p>
  </w:footnote>
  <w:footnote w:id="4">
    <w:p w:rsidR="00001627" w:rsidRPr="0070338F" w:rsidRDefault="00001627" w:rsidP="0070338F">
      <w:pPr>
        <w:spacing w:line="240" w:lineRule="auto"/>
        <w:rPr>
          <w:rFonts w:ascii="Arial" w:hAnsi="Arial" w:cs="Arial"/>
          <w:color w:val="000000" w:themeColor="text1"/>
          <w:sz w:val="20"/>
          <w:szCs w:val="20"/>
        </w:rPr>
      </w:pPr>
      <w:r w:rsidRPr="0070338F">
        <w:rPr>
          <w:rStyle w:val="FootnoteReference"/>
          <w:rFonts w:ascii="Arial" w:hAnsi="Arial" w:cs="Arial"/>
          <w:sz w:val="20"/>
          <w:szCs w:val="20"/>
        </w:rPr>
        <w:footnoteRef/>
      </w:r>
      <w:r w:rsidRPr="0070338F">
        <w:rPr>
          <w:rFonts w:ascii="Arial" w:hAnsi="Arial" w:cs="Arial"/>
          <w:sz w:val="20"/>
          <w:szCs w:val="20"/>
        </w:rPr>
        <w:t xml:space="preserve"> </w:t>
      </w:r>
      <w:r w:rsidRPr="0070338F">
        <w:rPr>
          <w:rFonts w:ascii="Arial" w:hAnsi="Arial" w:cs="Arial"/>
          <w:i/>
          <w:color w:val="000000" w:themeColor="text1"/>
          <w:sz w:val="20"/>
          <w:szCs w:val="20"/>
        </w:rPr>
        <w:t>(</w:t>
      </w:r>
      <w:r w:rsidRPr="0070338F">
        <w:rPr>
          <w:rFonts w:ascii="Arial" w:hAnsi="Arial" w:cs="Arial"/>
          <w:color w:val="000000" w:themeColor="text1"/>
          <w:sz w:val="20"/>
          <w:szCs w:val="20"/>
        </w:rPr>
        <w:t>SA 2/2018) [2019] NASC (15 March 2019)</w:t>
      </w:r>
      <w:r w:rsidRPr="0070338F">
        <w:rPr>
          <w:rFonts w:ascii="Arial" w:hAnsi="Arial" w:cs="Arial"/>
          <w:color w:val="000000" w:themeColor="text1"/>
          <w:sz w:val="20"/>
          <w:szCs w:val="20"/>
        </w:rPr>
        <w:t>, para 14.</w:t>
      </w:r>
    </w:p>
    <w:p w:rsidR="00001627" w:rsidRPr="0070338F" w:rsidRDefault="00001627" w:rsidP="0070338F">
      <w:pPr>
        <w:pStyle w:val="FootnoteText"/>
        <w:rPr>
          <w:rFonts w:ascii="Arial" w:hAnsi="Arial" w:cs="Arial"/>
          <w:lang w:val="en-US"/>
        </w:rPr>
      </w:pPr>
    </w:p>
  </w:footnote>
  <w:footnote w:id="5">
    <w:p w:rsidR="00FD27B0" w:rsidRPr="0070338F" w:rsidRDefault="00FD27B0" w:rsidP="0070338F">
      <w:pPr>
        <w:pStyle w:val="FootnoteText"/>
        <w:rPr>
          <w:rFonts w:ascii="Arial" w:hAnsi="Arial" w:cs="Arial"/>
        </w:rPr>
      </w:pPr>
      <w:r w:rsidRPr="0070338F">
        <w:rPr>
          <w:rStyle w:val="FootnoteReference"/>
          <w:rFonts w:ascii="Arial" w:hAnsi="Arial" w:cs="Arial"/>
        </w:rPr>
        <w:footnoteRef/>
      </w:r>
      <w:r w:rsidRPr="0070338F">
        <w:rPr>
          <w:rFonts w:ascii="Arial" w:hAnsi="Arial" w:cs="Arial"/>
        </w:rPr>
        <w:t xml:space="preserve"> At para 14.  </w:t>
      </w:r>
    </w:p>
  </w:footnote>
  <w:footnote w:id="6">
    <w:p w:rsidR="00FD27B0" w:rsidRPr="0070338F" w:rsidRDefault="00FD27B0" w:rsidP="0070338F">
      <w:pPr>
        <w:pStyle w:val="FootnoteText"/>
        <w:rPr>
          <w:rFonts w:ascii="Arial" w:hAnsi="Arial" w:cs="Arial"/>
        </w:rPr>
      </w:pPr>
      <w:r w:rsidRPr="0070338F">
        <w:rPr>
          <w:rStyle w:val="FootnoteReference"/>
          <w:rFonts w:ascii="Arial" w:hAnsi="Arial" w:cs="Arial"/>
        </w:rPr>
        <w:footnoteRef/>
      </w:r>
      <w:r w:rsidRPr="0070338F">
        <w:rPr>
          <w:rFonts w:ascii="Arial" w:hAnsi="Arial" w:cs="Arial"/>
        </w:rPr>
        <w:t xml:space="preserve"> This was restated in </w:t>
      </w:r>
      <w:r w:rsidRPr="0070338F">
        <w:rPr>
          <w:rFonts w:ascii="Arial" w:hAnsi="Arial" w:cs="Arial"/>
          <w:i/>
        </w:rPr>
        <w:t>S v S</w:t>
      </w:r>
      <w:r w:rsidR="000829ED" w:rsidRPr="0070338F">
        <w:rPr>
          <w:rFonts w:ascii="Arial" w:hAnsi="Arial" w:cs="Arial"/>
          <w:i/>
        </w:rPr>
        <w:t>t</w:t>
      </w:r>
      <w:r w:rsidRPr="0070338F">
        <w:rPr>
          <w:rFonts w:ascii="Arial" w:hAnsi="Arial" w:cs="Arial"/>
          <w:i/>
        </w:rPr>
        <w:t>ewe</w:t>
      </w:r>
      <w:r w:rsidRPr="0070338F">
        <w:rPr>
          <w:rFonts w:ascii="Arial" w:hAnsi="Arial" w:cs="Arial"/>
        </w:rPr>
        <w:t>, supra, at para 12</w:t>
      </w:r>
      <w:r w:rsidR="007911BD" w:rsidRPr="0070338F">
        <w:rPr>
          <w:rFonts w:ascii="Arial" w:hAnsi="Arial" w:cs="Arial"/>
        </w:rPr>
        <w:t>.</w:t>
      </w:r>
    </w:p>
  </w:footnote>
  <w:footnote w:id="7">
    <w:p w:rsidR="000829ED" w:rsidRPr="0070338F" w:rsidRDefault="000829ED" w:rsidP="0070338F">
      <w:pPr>
        <w:pStyle w:val="FootnoteText"/>
        <w:rPr>
          <w:rFonts w:ascii="Arial" w:hAnsi="Arial" w:cs="Arial"/>
          <w:lang w:val="en-US"/>
        </w:rPr>
      </w:pPr>
      <w:r w:rsidRPr="0070338F">
        <w:rPr>
          <w:rStyle w:val="FootnoteReference"/>
          <w:rFonts w:ascii="Arial" w:hAnsi="Arial" w:cs="Arial"/>
        </w:rPr>
        <w:footnoteRef/>
      </w:r>
      <w:r w:rsidRPr="0070338F">
        <w:rPr>
          <w:rFonts w:ascii="Arial" w:hAnsi="Arial" w:cs="Arial"/>
        </w:rPr>
        <w:t xml:space="preserve"> </w:t>
      </w:r>
      <w:r w:rsidRPr="0070338F">
        <w:rPr>
          <w:rFonts w:ascii="Arial" w:hAnsi="Arial" w:cs="Arial"/>
          <w:color w:val="000000" w:themeColor="text1"/>
        </w:rPr>
        <w:t>(P8/2018) [2019] NASC (28 May 2019)</w:t>
      </w:r>
      <w:r w:rsidRPr="0070338F">
        <w:rPr>
          <w:rFonts w:ascii="Arial" w:hAnsi="Arial" w:cs="Arial"/>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91244849"/>
      <w:docPartObj>
        <w:docPartGallery w:val="Page Numbers (Top of Page)"/>
        <w:docPartUnique/>
      </w:docPartObj>
    </w:sdtPr>
    <w:sdtEndPr>
      <w:rPr>
        <w:noProof/>
      </w:rPr>
    </w:sdtEndPr>
    <w:sdtContent>
      <w:p w:rsidR="009B6A41" w:rsidRPr="005B193D" w:rsidRDefault="009B6A41">
        <w:pPr>
          <w:pStyle w:val="Header"/>
          <w:jc w:val="right"/>
          <w:rPr>
            <w:rFonts w:ascii="Arial" w:hAnsi="Arial" w:cs="Arial"/>
          </w:rPr>
        </w:pPr>
        <w:r w:rsidRPr="005B193D">
          <w:rPr>
            <w:rFonts w:ascii="Arial" w:hAnsi="Arial" w:cs="Arial"/>
          </w:rPr>
          <w:fldChar w:fldCharType="begin"/>
        </w:r>
        <w:r w:rsidRPr="005B193D">
          <w:rPr>
            <w:rFonts w:ascii="Arial" w:hAnsi="Arial" w:cs="Arial"/>
          </w:rPr>
          <w:instrText xml:space="preserve"> PAGE   \* MERGEFORMAT </w:instrText>
        </w:r>
        <w:r w:rsidRPr="005B193D">
          <w:rPr>
            <w:rFonts w:ascii="Arial" w:hAnsi="Arial" w:cs="Arial"/>
          </w:rPr>
          <w:fldChar w:fldCharType="separate"/>
        </w:r>
        <w:r w:rsidR="005C0969">
          <w:rPr>
            <w:rFonts w:ascii="Arial" w:hAnsi="Arial" w:cs="Arial"/>
            <w:noProof/>
          </w:rPr>
          <w:t>9</w:t>
        </w:r>
        <w:r w:rsidRPr="005B193D">
          <w:rPr>
            <w:rFonts w:ascii="Arial" w:hAnsi="Arial" w:cs="Arial"/>
            <w:noProof/>
          </w:rPr>
          <w:fldChar w:fldCharType="end"/>
        </w:r>
      </w:p>
    </w:sdtContent>
  </w:sdt>
  <w:p w:rsidR="009B6A41" w:rsidRPr="005B193D" w:rsidRDefault="009B6A4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F2E"/>
    <w:multiLevelType w:val="hybridMultilevel"/>
    <w:tmpl w:val="55BC5E7C"/>
    <w:lvl w:ilvl="0" w:tplc="B3D0ADC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3406950"/>
    <w:multiLevelType w:val="hybridMultilevel"/>
    <w:tmpl w:val="DAB2659C"/>
    <w:lvl w:ilvl="0" w:tplc="D58031FC">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15:restartNumberingAfterBreak="0">
    <w:nsid w:val="0B503C9D"/>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0C4E2B"/>
    <w:multiLevelType w:val="hybridMultilevel"/>
    <w:tmpl w:val="0B921F80"/>
    <w:lvl w:ilvl="0" w:tplc="E384E044">
      <w:start w:val="1"/>
      <w:numFmt w:val="decimal"/>
      <w:lvlText w:val="[%1]"/>
      <w:lvlJc w:val="left"/>
      <w:pPr>
        <w:ind w:left="644"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4" w15:restartNumberingAfterBreak="0">
    <w:nsid w:val="2472555E"/>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6E098F"/>
    <w:multiLevelType w:val="hybridMultilevel"/>
    <w:tmpl w:val="38B027BE"/>
    <w:lvl w:ilvl="0" w:tplc="6A98CD94">
      <w:start w:val="1"/>
      <w:numFmt w:val="lowerLetter"/>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53E43FC"/>
    <w:multiLevelType w:val="hybridMultilevel"/>
    <w:tmpl w:val="9080FDE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8A563D3"/>
    <w:multiLevelType w:val="hybridMultilevel"/>
    <w:tmpl w:val="1AAC7D24"/>
    <w:lvl w:ilvl="0" w:tplc="47D073B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2840CC3"/>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502990"/>
    <w:multiLevelType w:val="hybridMultilevel"/>
    <w:tmpl w:val="BFC45C5A"/>
    <w:lvl w:ilvl="0" w:tplc="000C0B8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549060DF"/>
    <w:multiLevelType w:val="hybridMultilevel"/>
    <w:tmpl w:val="78BAFB7A"/>
    <w:lvl w:ilvl="0" w:tplc="D4B6CD5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5A31AB4"/>
    <w:multiLevelType w:val="hybridMultilevel"/>
    <w:tmpl w:val="6FEAC8F4"/>
    <w:lvl w:ilvl="0" w:tplc="B074DEE0">
      <w:start w:val="1"/>
      <w:numFmt w:val="decimal"/>
      <w:lvlText w:val="%1."/>
      <w:lvlJc w:val="left"/>
      <w:pPr>
        <w:ind w:left="1530" w:hanging="360"/>
      </w:pPr>
      <w:rPr>
        <w:rFonts w:ascii="Arial" w:eastAsiaTheme="minorHAnsi" w:hAnsi="Arial" w:cs="Arial"/>
        <w:i w:val="0"/>
        <w:u w:val="none"/>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 w15:restartNumberingAfterBreak="0">
    <w:nsid w:val="67C12BF6"/>
    <w:multiLevelType w:val="hybridMultilevel"/>
    <w:tmpl w:val="88A236EA"/>
    <w:lvl w:ilvl="0" w:tplc="8E445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0F0091"/>
    <w:multiLevelType w:val="hybridMultilevel"/>
    <w:tmpl w:val="60340808"/>
    <w:lvl w:ilvl="0" w:tplc="0AA2343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73C527F0"/>
    <w:multiLevelType w:val="hybridMultilevel"/>
    <w:tmpl w:val="2644663E"/>
    <w:lvl w:ilvl="0" w:tplc="542CAE3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3E03364"/>
    <w:multiLevelType w:val="hybridMultilevel"/>
    <w:tmpl w:val="149853F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1"/>
  </w:num>
  <w:num w:numId="3">
    <w:abstractNumId w:val="8"/>
  </w:num>
  <w:num w:numId="4">
    <w:abstractNumId w:val="6"/>
  </w:num>
  <w:num w:numId="5">
    <w:abstractNumId w:val="14"/>
  </w:num>
  <w:num w:numId="6">
    <w:abstractNumId w:val="15"/>
  </w:num>
  <w:num w:numId="7">
    <w:abstractNumId w:val="4"/>
  </w:num>
  <w:num w:numId="8">
    <w:abstractNumId w:val="0"/>
  </w:num>
  <w:num w:numId="9">
    <w:abstractNumId w:val="13"/>
  </w:num>
  <w:num w:numId="10">
    <w:abstractNumId w:val="9"/>
  </w:num>
  <w:num w:numId="11">
    <w:abstractNumId w:val="10"/>
  </w:num>
  <w:num w:numId="12">
    <w:abstractNumId w:val="1"/>
  </w:num>
  <w:num w:numId="13">
    <w:abstractNumId w:val="5"/>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9"/>
    <w:rsid w:val="00001627"/>
    <w:rsid w:val="00013BA5"/>
    <w:rsid w:val="00033E0A"/>
    <w:rsid w:val="0005791C"/>
    <w:rsid w:val="00064830"/>
    <w:rsid w:val="00075C26"/>
    <w:rsid w:val="000829ED"/>
    <w:rsid w:val="0009386D"/>
    <w:rsid w:val="000B5BF7"/>
    <w:rsid w:val="000B695A"/>
    <w:rsid w:val="000C27D7"/>
    <w:rsid w:val="000C64C8"/>
    <w:rsid w:val="000E182B"/>
    <w:rsid w:val="000E26DD"/>
    <w:rsid w:val="000E7373"/>
    <w:rsid w:val="000E77D5"/>
    <w:rsid w:val="000F1E64"/>
    <w:rsid w:val="000F40C9"/>
    <w:rsid w:val="0010180D"/>
    <w:rsid w:val="00116D95"/>
    <w:rsid w:val="00121AD4"/>
    <w:rsid w:val="0012315C"/>
    <w:rsid w:val="00131281"/>
    <w:rsid w:val="001328A7"/>
    <w:rsid w:val="00135610"/>
    <w:rsid w:val="00135A3A"/>
    <w:rsid w:val="00152295"/>
    <w:rsid w:val="00172381"/>
    <w:rsid w:val="00175AD8"/>
    <w:rsid w:val="00186716"/>
    <w:rsid w:val="001B0093"/>
    <w:rsid w:val="001B4AFD"/>
    <w:rsid w:val="001B5644"/>
    <w:rsid w:val="001B6557"/>
    <w:rsid w:val="001C5F4E"/>
    <w:rsid w:val="001D12FB"/>
    <w:rsid w:val="001D56CC"/>
    <w:rsid w:val="001D6214"/>
    <w:rsid w:val="001F71EC"/>
    <w:rsid w:val="00202890"/>
    <w:rsid w:val="0020439F"/>
    <w:rsid w:val="00204E87"/>
    <w:rsid w:val="002071E7"/>
    <w:rsid w:val="002145A3"/>
    <w:rsid w:val="00220F1E"/>
    <w:rsid w:val="002248DE"/>
    <w:rsid w:val="0023008E"/>
    <w:rsid w:val="00233B99"/>
    <w:rsid w:val="002450D3"/>
    <w:rsid w:val="002623DC"/>
    <w:rsid w:val="002748B7"/>
    <w:rsid w:val="00276FDB"/>
    <w:rsid w:val="0028457E"/>
    <w:rsid w:val="0029025E"/>
    <w:rsid w:val="00291830"/>
    <w:rsid w:val="002A51D1"/>
    <w:rsid w:val="002B2DD1"/>
    <w:rsid w:val="002C0128"/>
    <w:rsid w:val="002C0CEE"/>
    <w:rsid w:val="002D0B89"/>
    <w:rsid w:val="002D0DCF"/>
    <w:rsid w:val="002F7533"/>
    <w:rsid w:val="00311C10"/>
    <w:rsid w:val="00316EAD"/>
    <w:rsid w:val="00320A06"/>
    <w:rsid w:val="00324150"/>
    <w:rsid w:val="0035456C"/>
    <w:rsid w:val="0035519A"/>
    <w:rsid w:val="0036340C"/>
    <w:rsid w:val="00365FDD"/>
    <w:rsid w:val="00372614"/>
    <w:rsid w:val="003801F4"/>
    <w:rsid w:val="00391411"/>
    <w:rsid w:val="003A2279"/>
    <w:rsid w:val="003C4633"/>
    <w:rsid w:val="003C5775"/>
    <w:rsid w:val="003C6D48"/>
    <w:rsid w:val="003E678B"/>
    <w:rsid w:val="003F6BF6"/>
    <w:rsid w:val="00401CC4"/>
    <w:rsid w:val="00411B47"/>
    <w:rsid w:val="004223B9"/>
    <w:rsid w:val="004237FB"/>
    <w:rsid w:val="00436BDC"/>
    <w:rsid w:val="00437DFE"/>
    <w:rsid w:val="004476A4"/>
    <w:rsid w:val="004602A5"/>
    <w:rsid w:val="00474D09"/>
    <w:rsid w:val="0047541D"/>
    <w:rsid w:val="004759A8"/>
    <w:rsid w:val="00476E42"/>
    <w:rsid w:val="00493503"/>
    <w:rsid w:val="00494F1B"/>
    <w:rsid w:val="0049799A"/>
    <w:rsid w:val="004C4533"/>
    <w:rsid w:val="004C4CD9"/>
    <w:rsid w:val="004C76EF"/>
    <w:rsid w:val="004D5421"/>
    <w:rsid w:val="004E25B3"/>
    <w:rsid w:val="004E5DF9"/>
    <w:rsid w:val="004F6B83"/>
    <w:rsid w:val="00504B20"/>
    <w:rsid w:val="00506B0E"/>
    <w:rsid w:val="00513176"/>
    <w:rsid w:val="0051396E"/>
    <w:rsid w:val="00516C2B"/>
    <w:rsid w:val="00522F7A"/>
    <w:rsid w:val="00541FBB"/>
    <w:rsid w:val="0055736F"/>
    <w:rsid w:val="00560355"/>
    <w:rsid w:val="0056741D"/>
    <w:rsid w:val="0057258E"/>
    <w:rsid w:val="00580099"/>
    <w:rsid w:val="005A75AC"/>
    <w:rsid w:val="005B0A69"/>
    <w:rsid w:val="005B193D"/>
    <w:rsid w:val="005B7E9D"/>
    <w:rsid w:val="005C0969"/>
    <w:rsid w:val="005C0AA6"/>
    <w:rsid w:val="005C6A48"/>
    <w:rsid w:val="005D13C5"/>
    <w:rsid w:val="005E0BDF"/>
    <w:rsid w:val="005E6666"/>
    <w:rsid w:val="00614DD5"/>
    <w:rsid w:val="006220DC"/>
    <w:rsid w:val="00650BD6"/>
    <w:rsid w:val="0065615F"/>
    <w:rsid w:val="006727F7"/>
    <w:rsid w:val="00681AF4"/>
    <w:rsid w:val="006851FE"/>
    <w:rsid w:val="006918E9"/>
    <w:rsid w:val="00694A21"/>
    <w:rsid w:val="006B2502"/>
    <w:rsid w:val="006D0EF9"/>
    <w:rsid w:val="006E491A"/>
    <w:rsid w:val="0070338F"/>
    <w:rsid w:val="00707DC2"/>
    <w:rsid w:val="00730497"/>
    <w:rsid w:val="00731F63"/>
    <w:rsid w:val="007373A7"/>
    <w:rsid w:val="00737C64"/>
    <w:rsid w:val="00746703"/>
    <w:rsid w:val="00762677"/>
    <w:rsid w:val="0076376C"/>
    <w:rsid w:val="007707B5"/>
    <w:rsid w:val="007911BD"/>
    <w:rsid w:val="00794862"/>
    <w:rsid w:val="00794FCA"/>
    <w:rsid w:val="007A014D"/>
    <w:rsid w:val="007C4CB1"/>
    <w:rsid w:val="007D2DD8"/>
    <w:rsid w:val="007D633B"/>
    <w:rsid w:val="007D7394"/>
    <w:rsid w:val="007E3548"/>
    <w:rsid w:val="007F79B7"/>
    <w:rsid w:val="008129E9"/>
    <w:rsid w:val="00832E3E"/>
    <w:rsid w:val="0084483C"/>
    <w:rsid w:val="00844BBC"/>
    <w:rsid w:val="00854B86"/>
    <w:rsid w:val="008550B7"/>
    <w:rsid w:val="00876833"/>
    <w:rsid w:val="00880088"/>
    <w:rsid w:val="00886944"/>
    <w:rsid w:val="0089071D"/>
    <w:rsid w:val="0089114D"/>
    <w:rsid w:val="00893AA8"/>
    <w:rsid w:val="008979E8"/>
    <w:rsid w:val="00897B3E"/>
    <w:rsid w:val="008B087F"/>
    <w:rsid w:val="008B73C3"/>
    <w:rsid w:val="008C1BFF"/>
    <w:rsid w:val="008D0682"/>
    <w:rsid w:val="008D397A"/>
    <w:rsid w:val="008D68DF"/>
    <w:rsid w:val="008E1264"/>
    <w:rsid w:val="008E4F8B"/>
    <w:rsid w:val="008F113C"/>
    <w:rsid w:val="009238D4"/>
    <w:rsid w:val="009319D5"/>
    <w:rsid w:val="00931EDE"/>
    <w:rsid w:val="009370A9"/>
    <w:rsid w:val="009400ED"/>
    <w:rsid w:val="00951C32"/>
    <w:rsid w:val="00953951"/>
    <w:rsid w:val="00962928"/>
    <w:rsid w:val="00970782"/>
    <w:rsid w:val="00970CE8"/>
    <w:rsid w:val="00990BCA"/>
    <w:rsid w:val="009A1E2B"/>
    <w:rsid w:val="009B4378"/>
    <w:rsid w:val="009B47CA"/>
    <w:rsid w:val="009B6A41"/>
    <w:rsid w:val="009C4017"/>
    <w:rsid w:val="009C6274"/>
    <w:rsid w:val="009D759C"/>
    <w:rsid w:val="009E065A"/>
    <w:rsid w:val="009F74AF"/>
    <w:rsid w:val="00A029B0"/>
    <w:rsid w:val="00A03AFC"/>
    <w:rsid w:val="00A075D1"/>
    <w:rsid w:val="00A14151"/>
    <w:rsid w:val="00A2109B"/>
    <w:rsid w:val="00A22EB1"/>
    <w:rsid w:val="00A321B8"/>
    <w:rsid w:val="00A32BAB"/>
    <w:rsid w:val="00A62BEC"/>
    <w:rsid w:val="00A63494"/>
    <w:rsid w:val="00A72B6C"/>
    <w:rsid w:val="00A76D1C"/>
    <w:rsid w:val="00A814A0"/>
    <w:rsid w:val="00A87D90"/>
    <w:rsid w:val="00A973EF"/>
    <w:rsid w:val="00AA68D8"/>
    <w:rsid w:val="00AB78B0"/>
    <w:rsid w:val="00AC6D04"/>
    <w:rsid w:val="00AD65CC"/>
    <w:rsid w:val="00AE1327"/>
    <w:rsid w:val="00AE3828"/>
    <w:rsid w:val="00AF355B"/>
    <w:rsid w:val="00B02C4D"/>
    <w:rsid w:val="00B14115"/>
    <w:rsid w:val="00B17AE1"/>
    <w:rsid w:val="00B24FC2"/>
    <w:rsid w:val="00B25A7F"/>
    <w:rsid w:val="00B2652C"/>
    <w:rsid w:val="00B3000D"/>
    <w:rsid w:val="00B309EE"/>
    <w:rsid w:val="00B3356A"/>
    <w:rsid w:val="00B47FCF"/>
    <w:rsid w:val="00B64FC4"/>
    <w:rsid w:val="00B65FAE"/>
    <w:rsid w:val="00B66907"/>
    <w:rsid w:val="00B676F0"/>
    <w:rsid w:val="00B70650"/>
    <w:rsid w:val="00B74CED"/>
    <w:rsid w:val="00B97197"/>
    <w:rsid w:val="00BA3D74"/>
    <w:rsid w:val="00BB2AA3"/>
    <w:rsid w:val="00BB2ABA"/>
    <w:rsid w:val="00BF3C47"/>
    <w:rsid w:val="00BF68D7"/>
    <w:rsid w:val="00BF6CFB"/>
    <w:rsid w:val="00C03C6F"/>
    <w:rsid w:val="00C07AC6"/>
    <w:rsid w:val="00C109D2"/>
    <w:rsid w:val="00C246F3"/>
    <w:rsid w:val="00C2787A"/>
    <w:rsid w:val="00C37D17"/>
    <w:rsid w:val="00C40573"/>
    <w:rsid w:val="00C50A32"/>
    <w:rsid w:val="00C53113"/>
    <w:rsid w:val="00C56556"/>
    <w:rsid w:val="00C60305"/>
    <w:rsid w:val="00C62907"/>
    <w:rsid w:val="00C638A8"/>
    <w:rsid w:val="00C75D10"/>
    <w:rsid w:val="00CA11FE"/>
    <w:rsid w:val="00CA3185"/>
    <w:rsid w:val="00CA3BFF"/>
    <w:rsid w:val="00CB276E"/>
    <w:rsid w:val="00CC0FEF"/>
    <w:rsid w:val="00CC6347"/>
    <w:rsid w:val="00CD611C"/>
    <w:rsid w:val="00CE072D"/>
    <w:rsid w:val="00CF1203"/>
    <w:rsid w:val="00CF449B"/>
    <w:rsid w:val="00D06C78"/>
    <w:rsid w:val="00D13A38"/>
    <w:rsid w:val="00D14F00"/>
    <w:rsid w:val="00D205E9"/>
    <w:rsid w:val="00D230C2"/>
    <w:rsid w:val="00D3683A"/>
    <w:rsid w:val="00D36F3A"/>
    <w:rsid w:val="00D54FD1"/>
    <w:rsid w:val="00D568C6"/>
    <w:rsid w:val="00D57E1B"/>
    <w:rsid w:val="00D75F0D"/>
    <w:rsid w:val="00D76376"/>
    <w:rsid w:val="00D82804"/>
    <w:rsid w:val="00D87611"/>
    <w:rsid w:val="00D93EF0"/>
    <w:rsid w:val="00D965CA"/>
    <w:rsid w:val="00DA7DF0"/>
    <w:rsid w:val="00DC3DD0"/>
    <w:rsid w:val="00DD0744"/>
    <w:rsid w:val="00DE3ADE"/>
    <w:rsid w:val="00DE3C7C"/>
    <w:rsid w:val="00DE3F61"/>
    <w:rsid w:val="00DE72A5"/>
    <w:rsid w:val="00DF0809"/>
    <w:rsid w:val="00E12B45"/>
    <w:rsid w:val="00E15826"/>
    <w:rsid w:val="00E172F5"/>
    <w:rsid w:val="00E206DD"/>
    <w:rsid w:val="00E23E41"/>
    <w:rsid w:val="00E24FD7"/>
    <w:rsid w:val="00E456D9"/>
    <w:rsid w:val="00E50D7A"/>
    <w:rsid w:val="00E5287B"/>
    <w:rsid w:val="00E53812"/>
    <w:rsid w:val="00E62805"/>
    <w:rsid w:val="00E651FE"/>
    <w:rsid w:val="00E67F02"/>
    <w:rsid w:val="00E71444"/>
    <w:rsid w:val="00E77DD0"/>
    <w:rsid w:val="00E80392"/>
    <w:rsid w:val="00E81483"/>
    <w:rsid w:val="00E84B44"/>
    <w:rsid w:val="00E87FD8"/>
    <w:rsid w:val="00E93FFF"/>
    <w:rsid w:val="00EC5127"/>
    <w:rsid w:val="00ED5FDA"/>
    <w:rsid w:val="00EE63A9"/>
    <w:rsid w:val="00EE6D34"/>
    <w:rsid w:val="00EF7E10"/>
    <w:rsid w:val="00F01793"/>
    <w:rsid w:val="00F01C1D"/>
    <w:rsid w:val="00F10022"/>
    <w:rsid w:val="00F128A4"/>
    <w:rsid w:val="00F20685"/>
    <w:rsid w:val="00F2376C"/>
    <w:rsid w:val="00F24305"/>
    <w:rsid w:val="00F41B5F"/>
    <w:rsid w:val="00F43CD5"/>
    <w:rsid w:val="00F60CB5"/>
    <w:rsid w:val="00F62367"/>
    <w:rsid w:val="00F6665C"/>
    <w:rsid w:val="00F70F67"/>
    <w:rsid w:val="00F902AA"/>
    <w:rsid w:val="00F907EF"/>
    <w:rsid w:val="00F93A39"/>
    <w:rsid w:val="00FB4040"/>
    <w:rsid w:val="00FC076B"/>
    <w:rsid w:val="00FC0CF7"/>
    <w:rsid w:val="00FC57CA"/>
    <w:rsid w:val="00FD27B0"/>
    <w:rsid w:val="00FD33A1"/>
    <w:rsid w:val="00FD42FF"/>
    <w:rsid w:val="00FF1412"/>
    <w:rsid w:val="00FF54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20B53-78BC-4DEA-8BAB-5657589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9"/>
    <w:pPr>
      <w:spacing w:after="0" w:line="400" w:lineRule="atLeast"/>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8D0682"/>
    <w:pPr>
      <w:ind w:left="720"/>
      <w:contextualSpacing/>
    </w:pPr>
  </w:style>
  <w:style w:type="paragraph" w:styleId="BalloonText">
    <w:name w:val="Balloon Text"/>
    <w:basedOn w:val="Normal"/>
    <w:link w:val="BalloonTextChar"/>
    <w:uiPriority w:val="99"/>
    <w:semiHidden/>
    <w:unhideWhenUsed/>
    <w:rsid w:val="00DE3C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7C"/>
    <w:rPr>
      <w:rFonts w:ascii="Segoe UI" w:hAnsi="Segoe UI" w:cs="Segoe UI"/>
      <w:sz w:val="18"/>
      <w:szCs w:val="18"/>
    </w:rPr>
  </w:style>
  <w:style w:type="paragraph" w:styleId="Header">
    <w:name w:val="header"/>
    <w:basedOn w:val="Normal"/>
    <w:link w:val="HeaderChar"/>
    <w:uiPriority w:val="99"/>
    <w:unhideWhenUsed/>
    <w:rsid w:val="00291830"/>
    <w:pPr>
      <w:tabs>
        <w:tab w:val="center" w:pos="4513"/>
        <w:tab w:val="right" w:pos="9026"/>
      </w:tabs>
      <w:spacing w:line="240" w:lineRule="auto"/>
    </w:pPr>
  </w:style>
  <w:style w:type="character" w:customStyle="1" w:styleId="HeaderChar">
    <w:name w:val="Header Char"/>
    <w:basedOn w:val="DefaultParagraphFont"/>
    <w:link w:val="Header"/>
    <w:uiPriority w:val="99"/>
    <w:rsid w:val="00291830"/>
    <w:rPr>
      <w:rFonts w:ascii="Courier New" w:hAnsi="Courier New" w:cs="Courier New"/>
      <w:sz w:val="24"/>
      <w:szCs w:val="24"/>
    </w:rPr>
  </w:style>
  <w:style w:type="paragraph" w:styleId="Footer">
    <w:name w:val="footer"/>
    <w:basedOn w:val="Normal"/>
    <w:link w:val="FooterChar"/>
    <w:uiPriority w:val="99"/>
    <w:unhideWhenUsed/>
    <w:rsid w:val="00291830"/>
    <w:pPr>
      <w:tabs>
        <w:tab w:val="center" w:pos="4513"/>
        <w:tab w:val="right" w:pos="9026"/>
      </w:tabs>
      <w:spacing w:line="240" w:lineRule="auto"/>
    </w:pPr>
  </w:style>
  <w:style w:type="character" w:customStyle="1" w:styleId="FooterChar">
    <w:name w:val="Footer Char"/>
    <w:basedOn w:val="DefaultParagraphFont"/>
    <w:link w:val="Footer"/>
    <w:uiPriority w:val="99"/>
    <w:rsid w:val="00291830"/>
    <w:rPr>
      <w:rFonts w:ascii="Courier New" w:hAnsi="Courier New" w:cs="Courier New"/>
      <w:sz w:val="24"/>
      <w:szCs w:val="24"/>
    </w:rPr>
  </w:style>
  <w:style w:type="character" w:customStyle="1" w:styleId="tgc">
    <w:name w:val="_tgc"/>
    <w:basedOn w:val="DefaultParagraphFont"/>
    <w:rsid w:val="00C109D2"/>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FC57CA"/>
    <w:pPr>
      <w:spacing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FC57CA"/>
    <w:rPr>
      <w:rFonts w:ascii="Courier New" w:hAnsi="Courier New" w:cs="Courier New"/>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FC57CA"/>
    <w:rPr>
      <w:vertAlign w:val="superscript"/>
    </w:rPr>
  </w:style>
  <w:style w:type="character" w:styleId="Hyperlink">
    <w:name w:val="Hyperlink"/>
    <w:basedOn w:val="DefaultParagraphFont"/>
    <w:uiPriority w:val="99"/>
    <w:semiHidden/>
    <w:unhideWhenUsed/>
    <w:rsid w:val="005B0A69"/>
    <w:rPr>
      <w:strike w:val="0"/>
      <w:dstrike w:val="0"/>
      <w:color w:val="3B6000"/>
      <w:u w:val="none"/>
      <w:effect w:val="none"/>
      <w:shd w:val="clear" w:color="auto" w:fill="auto"/>
    </w:rPr>
  </w:style>
  <w:style w:type="character" w:styleId="Emphasis">
    <w:name w:val="Emphasis"/>
    <w:basedOn w:val="DefaultParagraphFont"/>
    <w:uiPriority w:val="20"/>
    <w:qFormat/>
    <w:rsid w:val="005B0A69"/>
    <w:rPr>
      <w:i/>
      <w:iCs/>
    </w:rPr>
  </w:style>
  <w:style w:type="character" w:customStyle="1" w:styleId="ListParagraphChar">
    <w:name w:val="List Paragraph Char"/>
    <w:aliases w:val="Bullet Main Char"/>
    <w:link w:val="ListParagraph"/>
    <w:uiPriority w:val="34"/>
    <w:locked/>
    <w:rsid w:val="00E7144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2019-06-17T18:30:00+00:00</Judgment_x0020_Date>
    <Year xmlns="c1afb1bd-f2fb-40fd-9abb-aea55b4d7662">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D268-6B97-4428-AD20-893267F5C524}"/>
</file>

<file path=customXml/itemProps2.xml><?xml version="1.0" encoding="utf-8"?>
<ds:datastoreItem xmlns:ds="http://schemas.openxmlformats.org/officeDocument/2006/customXml" ds:itemID="{B2C3AFD6-0A4E-4B57-A664-C67A3A56BDB1}"/>
</file>

<file path=customXml/itemProps3.xml><?xml version="1.0" encoding="utf-8"?>
<ds:datastoreItem xmlns:ds="http://schemas.openxmlformats.org/officeDocument/2006/customXml" ds:itemID="{0829191C-231C-42A7-A61A-033B95EC5DAD}"/>
</file>

<file path=customXml/itemProps4.xml><?xml version="1.0" encoding="utf-8"?>
<ds:datastoreItem xmlns:ds="http://schemas.openxmlformats.org/officeDocument/2006/customXml" ds:itemID="{935DC770-6F6F-4C1D-9073-5FC2661BF99A}"/>
</file>

<file path=docProps/app.xml><?xml version="1.0" encoding="utf-8"?>
<Properties xmlns="http://schemas.openxmlformats.org/officeDocument/2006/extended-properties" xmlns:vt="http://schemas.openxmlformats.org/officeDocument/2006/docPropsVTypes">
  <Template>Normal</Template>
  <TotalTime>6</TotalTime>
  <Pages>10</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4</cp:revision>
  <cp:lastPrinted>2019-06-18T13:15:00Z</cp:lastPrinted>
  <dcterms:created xsi:type="dcterms:W3CDTF">2019-06-18T13:04:00Z</dcterms:created>
  <dcterms:modified xsi:type="dcterms:W3CDTF">2019-06-18T13:52:00Z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