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4C" w:rsidRPr="003D5FF3" w:rsidRDefault="000D4F4C" w:rsidP="000D4F4C">
      <w:pPr>
        <w:spacing w:after="0" w:line="360" w:lineRule="auto"/>
        <w:jc w:val="both"/>
        <w:rPr>
          <w:rFonts w:ascii="Arial Narrow" w:hAnsi="Arial Narrow"/>
          <w:sz w:val="16"/>
          <w:szCs w:val="16"/>
        </w:rPr>
      </w:pPr>
    </w:p>
    <w:p w:rsidR="000D4F4C" w:rsidRPr="009B096F" w:rsidRDefault="000D4F4C" w:rsidP="000D4F4C">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0D4F4C" w:rsidRPr="006475B1" w:rsidRDefault="000D4F4C" w:rsidP="000D4F4C">
      <w:pPr>
        <w:spacing w:after="0" w:line="360" w:lineRule="auto"/>
        <w:jc w:val="both"/>
        <w:rPr>
          <w:rFonts w:ascii="Arial Narrow" w:hAnsi="Arial Narrow"/>
          <w:sz w:val="20"/>
          <w:szCs w:val="20"/>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0D4F4C" w:rsidRPr="00080AF7" w:rsidTr="00986567">
        <w:trPr>
          <w:trHeight w:val="744"/>
        </w:trPr>
        <w:tc>
          <w:tcPr>
            <w:tcW w:w="5397" w:type="dxa"/>
            <w:gridSpan w:val="2"/>
            <w:vMerge w:val="restart"/>
            <w:shd w:val="clear" w:color="auto" w:fill="auto"/>
          </w:tcPr>
          <w:p w:rsidR="000D4F4C" w:rsidRPr="00080AF7" w:rsidRDefault="000D4F4C" w:rsidP="00986567">
            <w:pPr>
              <w:spacing w:after="0" w:line="360" w:lineRule="auto"/>
              <w:jc w:val="both"/>
              <w:rPr>
                <w:rFonts w:ascii="Arial Narrow" w:hAnsi="Arial Narrow" w:cs="Arial"/>
                <w:sz w:val="24"/>
                <w:szCs w:val="24"/>
              </w:rPr>
            </w:pPr>
            <w:r w:rsidRPr="00080AF7">
              <w:rPr>
                <w:rFonts w:ascii="Arial Narrow" w:hAnsi="Arial Narrow" w:cs="Arial"/>
                <w:b/>
                <w:sz w:val="24"/>
                <w:szCs w:val="24"/>
              </w:rPr>
              <w:t>Case Title:</w:t>
            </w:r>
            <w:r>
              <w:rPr>
                <w:rFonts w:ascii="Arial Narrow" w:hAnsi="Arial Narrow" w:cs="Arial"/>
                <w:b/>
                <w:sz w:val="24"/>
                <w:szCs w:val="24"/>
              </w:rPr>
              <w:t xml:space="preserve"> S v Kosmos Kouyuni Sikongo and Simon Kanyewa Sikongo</w:t>
            </w:r>
          </w:p>
          <w:p w:rsidR="000D4F4C" w:rsidRPr="00080AF7" w:rsidRDefault="000D4F4C" w:rsidP="00986567">
            <w:pPr>
              <w:spacing w:after="0" w:line="360" w:lineRule="auto"/>
              <w:jc w:val="both"/>
              <w:rPr>
                <w:rFonts w:ascii="Arial Narrow" w:hAnsi="Arial Narrow" w:cs="Arial"/>
                <w:sz w:val="24"/>
                <w:szCs w:val="24"/>
              </w:rPr>
            </w:pPr>
          </w:p>
        </w:tc>
        <w:tc>
          <w:tcPr>
            <w:tcW w:w="4323" w:type="dxa"/>
            <w:shd w:val="clear" w:color="auto" w:fill="auto"/>
          </w:tcPr>
          <w:p w:rsidR="000D4F4C" w:rsidRPr="00080AF7" w:rsidRDefault="000D4F4C" w:rsidP="00986567">
            <w:pPr>
              <w:spacing w:after="0" w:line="360" w:lineRule="auto"/>
              <w:jc w:val="both"/>
              <w:rPr>
                <w:rFonts w:ascii="Arial Narrow" w:hAnsi="Arial Narrow"/>
                <w:b/>
                <w:sz w:val="24"/>
                <w:szCs w:val="24"/>
              </w:rPr>
            </w:pPr>
            <w:r w:rsidRPr="00080AF7">
              <w:rPr>
                <w:rFonts w:ascii="Arial Narrow" w:hAnsi="Arial Narrow"/>
                <w:b/>
                <w:sz w:val="24"/>
                <w:szCs w:val="24"/>
              </w:rPr>
              <w:t>Case No:</w:t>
            </w:r>
            <w:r>
              <w:rPr>
                <w:rFonts w:ascii="Arial Narrow" w:hAnsi="Arial Narrow"/>
                <w:b/>
                <w:sz w:val="24"/>
                <w:szCs w:val="24"/>
              </w:rPr>
              <w:t xml:space="preserve"> CC 19/2018</w:t>
            </w:r>
          </w:p>
          <w:p w:rsidR="000D4F4C" w:rsidRPr="00080AF7" w:rsidRDefault="000D4F4C" w:rsidP="00986567">
            <w:pPr>
              <w:spacing w:after="0" w:line="360" w:lineRule="auto"/>
              <w:jc w:val="both"/>
              <w:rPr>
                <w:rFonts w:ascii="Arial Narrow" w:hAnsi="Arial Narrow"/>
                <w:sz w:val="24"/>
                <w:szCs w:val="24"/>
              </w:rPr>
            </w:pPr>
          </w:p>
        </w:tc>
      </w:tr>
      <w:tr w:rsidR="000D4F4C" w:rsidRPr="00080AF7" w:rsidTr="00986567">
        <w:trPr>
          <w:trHeight w:val="844"/>
        </w:trPr>
        <w:tc>
          <w:tcPr>
            <w:tcW w:w="5397" w:type="dxa"/>
            <w:gridSpan w:val="2"/>
            <w:vMerge/>
            <w:shd w:val="clear" w:color="auto" w:fill="auto"/>
          </w:tcPr>
          <w:p w:rsidR="000D4F4C" w:rsidRPr="00080AF7" w:rsidRDefault="000D4F4C" w:rsidP="00986567">
            <w:pPr>
              <w:spacing w:after="0" w:line="360" w:lineRule="auto"/>
              <w:jc w:val="both"/>
              <w:rPr>
                <w:rFonts w:ascii="Arial Narrow" w:hAnsi="Arial Narrow" w:cs="Arial"/>
                <w:sz w:val="24"/>
                <w:szCs w:val="24"/>
              </w:rPr>
            </w:pPr>
          </w:p>
        </w:tc>
        <w:tc>
          <w:tcPr>
            <w:tcW w:w="4323" w:type="dxa"/>
            <w:shd w:val="clear" w:color="auto" w:fill="auto"/>
          </w:tcPr>
          <w:p w:rsidR="000D4F4C" w:rsidRPr="00080AF7" w:rsidRDefault="000D4F4C" w:rsidP="00986567">
            <w:pPr>
              <w:spacing w:after="0" w:line="360" w:lineRule="auto"/>
              <w:jc w:val="both"/>
              <w:rPr>
                <w:rFonts w:ascii="Arial Narrow" w:hAnsi="Arial Narrow"/>
                <w:sz w:val="24"/>
                <w:szCs w:val="24"/>
              </w:rPr>
            </w:pPr>
            <w:r w:rsidRPr="00080AF7">
              <w:rPr>
                <w:rFonts w:ascii="Arial Narrow" w:hAnsi="Arial Narrow"/>
                <w:b/>
                <w:sz w:val="24"/>
                <w:szCs w:val="24"/>
              </w:rPr>
              <w:t>Division of Court:</w:t>
            </w:r>
            <w:r>
              <w:rPr>
                <w:rFonts w:ascii="Arial Narrow" w:hAnsi="Arial Narrow"/>
                <w:b/>
                <w:sz w:val="24"/>
                <w:szCs w:val="24"/>
              </w:rPr>
              <w:t xml:space="preserve"> HIGH COURT</w:t>
            </w:r>
          </w:p>
          <w:p w:rsidR="000D4F4C" w:rsidRPr="00080AF7" w:rsidRDefault="000D4F4C" w:rsidP="00986567">
            <w:pPr>
              <w:spacing w:after="0" w:line="360" w:lineRule="auto"/>
              <w:jc w:val="both"/>
              <w:rPr>
                <w:rFonts w:ascii="Arial Narrow" w:hAnsi="Arial Narrow"/>
                <w:sz w:val="24"/>
                <w:szCs w:val="24"/>
              </w:rPr>
            </w:pPr>
          </w:p>
        </w:tc>
      </w:tr>
      <w:tr w:rsidR="000D4F4C" w:rsidRPr="00080AF7" w:rsidTr="00986567">
        <w:trPr>
          <w:trHeight w:val="1662"/>
        </w:trPr>
        <w:tc>
          <w:tcPr>
            <w:tcW w:w="5397" w:type="dxa"/>
            <w:gridSpan w:val="2"/>
            <w:shd w:val="clear" w:color="auto" w:fill="auto"/>
          </w:tcPr>
          <w:p w:rsidR="000D4F4C" w:rsidRDefault="000D4F4C" w:rsidP="00986567">
            <w:pPr>
              <w:spacing w:after="0" w:line="360" w:lineRule="auto"/>
              <w:jc w:val="both"/>
              <w:rPr>
                <w:rFonts w:ascii="Arial Narrow" w:hAnsi="Arial Narrow" w:cs="Arial"/>
                <w:b/>
                <w:sz w:val="24"/>
                <w:szCs w:val="24"/>
              </w:rPr>
            </w:pPr>
            <w:r w:rsidRPr="00080AF7">
              <w:rPr>
                <w:rFonts w:ascii="Arial Narrow" w:hAnsi="Arial Narrow" w:cs="Arial"/>
                <w:b/>
                <w:sz w:val="24"/>
                <w:szCs w:val="24"/>
              </w:rPr>
              <w:t>Heard before:</w:t>
            </w:r>
            <w:r w:rsidR="00F95148">
              <w:rPr>
                <w:rFonts w:ascii="Arial Narrow" w:hAnsi="Arial Narrow" w:cs="Arial"/>
                <w:b/>
                <w:sz w:val="24"/>
                <w:szCs w:val="24"/>
              </w:rPr>
              <w:t xml:space="preserve"> SHIVUTE J</w:t>
            </w:r>
          </w:p>
          <w:p w:rsidR="0093740D" w:rsidRDefault="0093740D" w:rsidP="00986567">
            <w:pPr>
              <w:spacing w:after="0" w:line="360" w:lineRule="auto"/>
              <w:jc w:val="both"/>
              <w:rPr>
                <w:rFonts w:ascii="Arial Narrow" w:hAnsi="Arial Narrow" w:cs="Arial"/>
                <w:b/>
                <w:sz w:val="24"/>
                <w:szCs w:val="24"/>
              </w:rPr>
            </w:pPr>
          </w:p>
          <w:p w:rsidR="0093740D" w:rsidRDefault="0093740D" w:rsidP="00986567">
            <w:pPr>
              <w:spacing w:after="0" w:line="360" w:lineRule="auto"/>
              <w:jc w:val="both"/>
              <w:rPr>
                <w:rFonts w:ascii="Arial Narrow" w:hAnsi="Arial Narrow" w:cs="Arial"/>
                <w:b/>
                <w:sz w:val="24"/>
                <w:szCs w:val="24"/>
              </w:rPr>
            </w:pPr>
            <w:r>
              <w:rPr>
                <w:rFonts w:ascii="Arial Narrow" w:hAnsi="Arial Narrow" w:cs="Arial"/>
                <w:b/>
                <w:sz w:val="24"/>
                <w:szCs w:val="24"/>
              </w:rPr>
              <w:t>Heard on: 19 JUNE 2019</w:t>
            </w:r>
          </w:p>
          <w:p w:rsidR="000D4F4C" w:rsidRPr="00080AF7" w:rsidRDefault="000D4F4C" w:rsidP="00986567">
            <w:pPr>
              <w:spacing w:after="0" w:line="360" w:lineRule="auto"/>
              <w:jc w:val="both"/>
              <w:rPr>
                <w:rFonts w:ascii="Arial Narrow" w:hAnsi="Arial Narrow" w:cs="Arial"/>
                <w:sz w:val="24"/>
                <w:szCs w:val="24"/>
              </w:rPr>
            </w:pPr>
          </w:p>
        </w:tc>
        <w:tc>
          <w:tcPr>
            <w:tcW w:w="4323" w:type="dxa"/>
            <w:shd w:val="clear" w:color="auto" w:fill="auto"/>
          </w:tcPr>
          <w:p w:rsidR="000D4F4C" w:rsidRPr="00080AF7" w:rsidRDefault="000D4F4C" w:rsidP="00986567">
            <w:pPr>
              <w:spacing w:after="0" w:line="360" w:lineRule="auto"/>
              <w:jc w:val="both"/>
              <w:rPr>
                <w:rFonts w:ascii="Arial Narrow" w:hAnsi="Arial Narrow"/>
                <w:b/>
                <w:sz w:val="24"/>
                <w:szCs w:val="24"/>
              </w:rPr>
            </w:pPr>
            <w:r w:rsidRPr="00080AF7">
              <w:rPr>
                <w:rFonts w:ascii="Arial Narrow" w:hAnsi="Arial Narrow"/>
                <w:b/>
                <w:sz w:val="24"/>
                <w:szCs w:val="24"/>
              </w:rPr>
              <w:t>Delivered on:</w:t>
            </w:r>
            <w:r>
              <w:rPr>
                <w:rFonts w:ascii="Arial Narrow" w:hAnsi="Arial Narrow"/>
                <w:b/>
                <w:sz w:val="24"/>
                <w:szCs w:val="24"/>
              </w:rPr>
              <w:t xml:space="preserve"> 20 JUNE 2019</w:t>
            </w:r>
          </w:p>
          <w:p w:rsidR="000D4F4C" w:rsidRPr="00080AF7" w:rsidRDefault="000D4F4C" w:rsidP="00986567">
            <w:pPr>
              <w:spacing w:after="0" w:line="360" w:lineRule="auto"/>
              <w:jc w:val="both"/>
              <w:rPr>
                <w:rFonts w:ascii="Arial Narrow" w:hAnsi="Arial Narrow"/>
                <w:sz w:val="24"/>
                <w:szCs w:val="24"/>
              </w:rPr>
            </w:pPr>
          </w:p>
        </w:tc>
      </w:tr>
      <w:tr w:rsidR="000D4F4C" w:rsidRPr="00080AF7" w:rsidTr="00986567">
        <w:tc>
          <w:tcPr>
            <w:tcW w:w="9720" w:type="dxa"/>
            <w:gridSpan w:val="3"/>
            <w:shd w:val="clear" w:color="auto" w:fill="auto"/>
          </w:tcPr>
          <w:p w:rsidR="000D4F4C" w:rsidRPr="00080AF7" w:rsidRDefault="000D4F4C" w:rsidP="00986567">
            <w:pPr>
              <w:spacing w:after="0" w:line="360" w:lineRule="auto"/>
              <w:jc w:val="both"/>
              <w:rPr>
                <w:rFonts w:ascii="Arial Narrow" w:hAnsi="Arial Narrow" w:cs="Arial"/>
                <w:b/>
                <w:sz w:val="24"/>
                <w:szCs w:val="24"/>
              </w:rPr>
            </w:pPr>
            <w:r w:rsidRPr="00080AF7">
              <w:rPr>
                <w:rFonts w:ascii="Arial Narrow" w:hAnsi="Arial Narrow" w:cs="Arial"/>
                <w:b/>
                <w:sz w:val="24"/>
                <w:szCs w:val="24"/>
              </w:rPr>
              <w:t xml:space="preserve">Neutral citation: </w:t>
            </w:r>
            <w:r w:rsidR="00DF3EC5">
              <w:rPr>
                <w:rFonts w:ascii="Arial Narrow" w:hAnsi="Arial Narrow" w:cs="Arial"/>
                <w:b/>
                <w:sz w:val="24"/>
                <w:szCs w:val="24"/>
              </w:rPr>
              <w:t xml:space="preserve">: </w:t>
            </w:r>
            <w:r w:rsidR="00DF3EC5">
              <w:rPr>
                <w:rFonts w:ascii="Arial Narrow" w:hAnsi="Arial Narrow" w:cs="Arial"/>
                <w:i/>
                <w:sz w:val="24"/>
                <w:szCs w:val="24"/>
              </w:rPr>
              <w:t>S v Sikongo (</w:t>
            </w:r>
            <w:r w:rsidR="00DF3EC5">
              <w:rPr>
                <w:rFonts w:ascii="Arial Narrow" w:hAnsi="Arial Narrow" w:cs="Arial"/>
                <w:sz w:val="24"/>
                <w:szCs w:val="24"/>
              </w:rPr>
              <w:t>CC19</w:t>
            </w:r>
            <w:r w:rsidR="00DF3EC5">
              <w:rPr>
                <w:rFonts w:ascii="Arial Narrow" w:hAnsi="Arial Narrow"/>
                <w:sz w:val="24"/>
                <w:szCs w:val="24"/>
              </w:rPr>
              <w:t>/2018</w:t>
            </w:r>
            <w:r w:rsidR="00DF3EC5">
              <w:rPr>
                <w:rFonts w:ascii="Arial Narrow" w:hAnsi="Arial Narrow" w:cs="Arial"/>
                <w:sz w:val="24"/>
                <w:szCs w:val="24"/>
              </w:rPr>
              <w:t xml:space="preserve">) [2019] NAHCMD </w:t>
            </w:r>
            <w:r w:rsidR="00E84F64">
              <w:rPr>
                <w:rFonts w:ascii="Arial Narrow" w:hAnsi="Arial Narrow" w:cs="Arial"/>
                <w:sz w:val="24"/>
                <w:szCs w:val="24"/>
              </w:rPr>
              <w:t xml:space="preserve">199 </w:t>
            </w:r>
            <w:r w:rsidR="00DF3EC5">
              <w:rPr>
                <w:rFonts w:ascii="Arial Narrow" w:hAnsi="Arial Narrow" w:cs="Arial"/>
                <w:sz w:val="24"/>
                <w:szCs w:val="24"/>
              </w:rPr>
              <w:t xml:space="preserve"> (20 JUNE 2019)</w:t>
            </w:r>
          </w:p>
        </w:tc>
      </w:tr>
      <w:tr w:rsidR="000D4F4C" w:rsidRPr="00080AF7" w:rsidTr="00986567">
        <w:tc>
          <w:tcPr>
            <w:tcW w:w="9720" w:type="dxa"/>
            <w:gridSpan w:val="3"/>
            <w:shd w:val="clear" w:color="auto" w:fill="auto"/>
          </w:tcPr>
          <w:p w:rsidR="00C31C41" w:rsidRDefault="00C31C41" w:rsidP="00986567">
            <w:pPr>
              <w:spacing w:after="0" w:line="360" w:lineRule="auto"/>
              <w:jc w:val="both"/>
              <w:rPr>
                <w:rFonts w:ascii="Arial Narrow" w:hAnsi="Arial Narrow" w:cs="Arial"/>
                <w:b/>
                <w:sz w:val="24"/>
                <w:szCs w:val="24"/>
              </w:rPr>
            </w:pPr>
          </w:p>
          <w:p w:rsidR="00C31C41" w:rsidRDefault="00AE2AE6" w:rsidP="00724E5D">
            <w:pPr>
              <w:pBdr>
                <w:top w:val="single" w:sz="4" w:space="1" w:color="auto"/>
                <w:bottom w:val="single" w:sz="4" w:space="1" w:color="auto"/>
              </w:pBdr>
              <w:spacing w:after="0" w:line="360" w:lineRule="auto"/>
              <w:jc w:val="both"/>
              <w:rPr>
                <w:rFonts w:ascii="Arial Narrow" w:hAnsi="Arial Narrow" w:cs="Arial"/>
                <w:b/>
                <w:sz w:val="24"/>
                <w:szCs w:val="24"/>
              </w:rPr>
            </w:pPr>
            <w:r w:rsidRPr="009E1ADD">
              <w:rPr>
                <w:rFonts w:ascii="Arial Narrow" w:hAnsi="Arial Narrow" w:cs="Arial"/>
                <w:b/>
                <w:sz w:val="24"/>
                <w:szCs w:val="24"/>
              </w:rPr>
              <w:t>RULING ON APPLICATION TO</w:t>
            </w:r>
            <w:r>
              <w:rPr>
                <w:rFonts w:ascii="Arial Narrow" w:hAnsi="Arial Narrow" w:cs="Arial"/>
                <w:b/>
                <w:sz w:val="24"/>
                <w:szCs w:val="24"/>
              </w:rPr>
              <w:t xml:space="preserve"> </w:t>
            </w:r>
            <w:r w:rsidR="001A1BF2">
              <w:rPr>
                <w:rFonts w:ascii="Arial Narrow" w:hAnsi="Arial Narrow" w:cs="Arial"/>
                <w:b/>
                <w:sz w:val="24"/>
                <w:szCs w:val="24"/>
              </w:rPr>
              <w:t>RE-CALL</w:t>
            </w:r>
            <w:r>
              <w:rPr>
                <w:rFonts w:ascii="Arial Narrow" w:hAnsi="Arial Narrow" w:cs="Arial"/>
                <w:b/>
                <w:sz w:val="24"/>
                <w:szCs w:val="24"/>
              </w:rPr>
              <w:t xml:space="preserve"> A WITNESS</w:t>
            </w:r>
          </w:p>
          <w:p w:rsidR="00AE2AE6" w:rsidRDefault="00AE2AE6" w:rsidP="00986567">
            <w:pPr>
              <w:spacing w:after="0" w:line="360" w:lineRule="auto"/>
              <w:jc w:val="both"/>
              <w:rPr>
                <w:rFonts w:ascii="Arial Narrow" w:hAnsi="Arial Narrow" w:cs="Arial"/>
                <w:b/>
                <w:sz w:val="24"/>
                <w:szCs w:val="24"/>
              </w:rPr>
            </w:pPr>
          </w:p>
          <w:p w:rsidR="000D4F4C" w:rsidRPr="00080AF7" w:rsidRDefault="000D4F4C" w:rsidP="00986567">
            <w:pPr>
              <w:spacing w:after="0" w:line="360" w:lineRule="auto"/>
              <w:jc w:val="both"/>
              <w:rPr>
                <w:rFonts w:ascii="Arial Narrow" w:hAnsi="Arial Narrow" w:cs="Arial"/>
                <w:b/>
                <w:sz w:val="24"/>
                <w:szCs w:val="24"/>
              </w:rPr>
            </w:pPr>
            <w:r w:rsidRPr="00080AF7">
              <w:rPr>
                <w:rFonts w:ascii="Arial Narrow" w:hAnsi="Arial Narrow" w:cs="Arial"/>
                <w:b/>
                <w:sz w:val="24"/>
                <w:szCs w:val="24"/>
              </w:rPr>
              <w:t>The order:</w:t>
            </w:r>
          </w:p>
          <w:p w:rsidR="000D4F4C" w:rsidRPr="00080AF7" w:rsidRDefault="000D4F4C" w:rsidP="00986567">
            <w:pPr>
              <w:spacing w:after="0" w:line="360" w:lineRule="auto"/>
              <w:jc w:val="both"/>
              <w:rPr>
                <w:rFonts w:ascii="Arial Narrow" w:hAnsi="Arial Narrow" w:cs="Arial"/>
                <w:sz w:val="10"/>
                <w:szCs w:val="10"/>
              </w:rPr>
            </w:pPr>
          </w:p>
          <w:p w:rsidR="00534F20" w:rsidRPr="0022406D" w:rsidRDefault="00534F20" w:rsidP="0022406D">
            <w:pPr>
              <w:jc w:val="both"/>
              <w:rPr>
                <w:rFonts w:ascii="Arial" w:hAnsi="Arial" w:cs="Arial"/>
                <w:sz w:val="24"/>
                <w:szCs w:val="24"/>
              </w:rPr>
            </w:pPr>
            <w:r w:rsidRPr="0022406D">
              <w:rPr>
                <w:rFonts w:ascii="Arial" w:hAnsi="Arial" w:cs="Arial"/>
                <w:sz w:val="24"/>
                <w:szCs w:val="24"/>
              </w:rPr>
              <w:t>In the result the following order is made:</w:t>
            </w:r>
          </w:p>
          <w:p w:rsidR="00534F20" w:rsidRPr="000F5E4D" w:rsidRDefault="00534F20" w:rsidP="00534F20">
            <w:pPr>
              <w:pStyle w:val="ListParagraph"/>
              <w:rPr>
                <w:rFonts w:ascii="Arial" w:hAnsi="Arial" w:cs="Arial"/>
                <w:sz w:val="24"/>
                <w:szCs w:val="24"/>
              </w:rPr>
            </w:pPr>
          </w:p>
          <w:p w:rsidR="00534F20" w:rsidRPr="0022406D" w:rsidRDefault="00534F20" w:rsidP="0022406D">
            <w:pPr>
              <w:jc w:val="both"/>
              <w:rPr>
                <w:rFonts w:ascii="Arial" w:hAnsi="Arial" w:cs="Arial"/>
                <w:sz w:val="24"/>
                <w:szCs w:val="24"/>
              </w:rPr>
            </w:pPr>
            <w:r w:rsidRPr="0022406D">
              <w:rPr>
                <w:rFonts w:ascii="Arial" w:hAnsi="Arial" w:cs="Arial"/>
                <w:sz w:val="24"/>
                <w:szCs w:val="24"/>
              </w:rPr>
              <w:t xml:space="preserve">The application is </w:t>
            </w:r>
            <w:r w:rsidR="0093740D">
              <w:rPr>
                <w:rFonts w:ascii="Arial" w:hAnsi="Arial" w:cs="Arial"/>
                <w:sz w:val="24"/>
                <w:szCs w:val="24"/>
              </w:rPr>
              <w:t>refused</w:t>
            </w:r>
            <w:r w:rsidRPr="0022406D">
              <w:rPr>
                <w:rFonts w:ascii="Arial" w:hAnsi="Arial" w:cs="Arial"/>
                <w:sz w:val="24"/>
                <w:szCs w:val="24"/>
              </w:rPr>
              <w:t>.</w:t>
            </w:r>
          </w:p>
          <w:p w:rsidR="000D4F4C" w:rsidRPr="00080AF7" w:rsidRDefault="000D4F4C" w:rsidP="00986567">
            <w:pPr>
              <w:spacing w:after="0" w:line="360" w:lineRule="auto"/>
              <w:jc w:val="both"/>
              <w:rPr>
                <w:rFonts w:ascii="Arial Narrow" w:hAnsi="Arial Narrow" w:cs="Arial"/>
                <w:sz w:val="20"/>
                <w:szCs w:val="20"/>
              </w:rPr>
            </w:pPr>
          </w:p>
        </w:tc>
      </w:tr>
      <w:tr w:rsidR="000D4F4C" w:rsidRPr="00080AF7" w:rsidTr="00986567">
        <w:tc>
          <w:tcPr>
            <w:tcW w:w="9720" w:type="dxa"/>
            <w:gridSpan w:val="3"/>
            <w:shd w:val="clear" w:color="auto" w:fill="auto"/>
          </w:tcPr>
          <w:p w:rsidR="000D4F4C" w:rsidRPr="00080AF7" w:rsidRDefault="000D4F4C" w:rsidP="00986567">
            <w:pPr>
              <w:spacing w:after="0" w:line="360" w:lineRule="auto"/>
              <w:jc w:val="both"/>
              <w:rPr>
                <w:rFonts w:ascii="Arial Narrow" w:hAnsi="Arial Narrow" w:cs="Arial"/>
                <w:b/>
                <w:sz w:val="24"/>
                <w:szCs w:val="24"/>
              </w:rPr>
            </w:pPr>
            <w:r w:rsidRPr="00080AF7">
              <w:rPr>
                <w:rFonts w:ascii="Arial Narrow" w:hAnsi="Arial Narrow" w:cs="Arial"/>
                <w:b/>
                <w:sz w:val="24"/>
                <w:szCs w:val="24"/>
              </w:rPr>
              <w:t>Reasons for order:</w:t>
            </w:r>
          </w:p>
        </w:tc>
      </w:tr>
      <w:tr w:rsidR="000D4F4C" w:rsidRPr="00080AF7" w:rsidTr="00986567">
        <w:tc>
          <w:tcPr>
            <w:tcW w:w="9720" w:type="dxa"/>
            <w:gridSpan w:val="3"/>
            <w:shd w:val="clear" w:color="auto" w:fill="auto"/>
          </w:tcPr>
          <w:p w:rsidR="000D4F4C" w:rsidRPr="00080AF7" w:rsidRDefault="00D479A6" w:rsidP="00986567">
            <w:pPr>
              <w:spacing w:after="0" w:line="360" w:lineRule="auto"/>
              <w:jc w:val="both"/>
              <w:rPr>
                <w:rFonts w:ascii="Arial Narrow" w:hAnsi="Arial Narrow" w:cs="Arial"/>
                <w:sz w:val="24"/>
                <w:szCs w:val="24"/>
              </w:rPr>
            </w:pPr>
            <w:r>
              <w:rPr>
                <w:rFonts w:ascii="Arial Narrow" w:hAnsi="Arial Narrow" w:cs="Arial"/>
                <w:sz w:val="24"/>
                <w:szCs w:val="24"/>
              </w:rPr>
              <w:t xml:space="preserve"> (</w:t>
            </w:r>
            <w:r w:rsidR="000D4F4C" w:rsidRPr="00080AF7">
              <w:rPr>
                <w:rFonts w:ascii="Arial Narrow" w:hAnsi="Arial Narrow" w:cs="Arial"/>
                <w:sz w:val="24"/>
                <w:szCs w:val="24"/>
              </w:rPr>
              <w:t xml:space="preserve"> SHIVUTE J)</w:t>
            </w:r>
          </w:p>
          <w:p w:rsidR="000D4F4C" w:rsidRPr="00080AF7" w:rsidRDefault="000D4F4C" w:rsidP="00986567">
            <w:pPr>
              <w:spacing w:after="0" w:line="360" w:lineRule="auto"/>
              <w:jc w:val="both"/>
              <w:rPr>
                <w:rFonts w:ascii="Arial Narrow" w:hAnsi="Arial Narrow"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The accused persons appear on indictment containing several counts of rape in contravention</w:t>
            </w:r>
            <w:r w:rsidR="001F33B0">
              <w:rPr>
                <w:rFonts w:ascii="Arial" w:hAnsi="Arial" w:cs="Arial"/>
                <w:sz w:val="24"/>
                <w:szCs w:val="24"/>
              </w:rPr>
              <w:t xml:space="preserve"> of s 2 (1) (a</w:t>
            </w:r>
            <w:r>
              <w:rPr>
                <w:rFonts w:ascii="Arial" w:hAnsi="Arial" w:cs="Arial"/>
                <w:sz w:val="24"/>
                <w:szCs w:val="24"/>
              </w:rPr>
              <w:t>) of the Combating of rape Act</w:t>
            </w:r>
            <w:r w:rsidR="00E328C8">
              <w:rPr>
                <w:rFonts w:ascii="Arial" w:hAnsi="Arial" w:cs="Arial"/>
                <w:sz w:val="24"/>
                <w:szCs w:val="24"/>
              </w:rPr>
              <w:t>,</w:t>
            </w:r>
            <w:r>
              <w:rPr>
                <w:rFonts w:ascii="Arial" w:hAnsi="Arial" w:cs="Arial"/>
                <w:sz w:val="24"/>
                <w:szCs w:val="24"/>
              </w:rPr>
              <w:t xml:space="preserve"> 8 of 2000 and alternative count</w:t>
            </w:r>
            <w:r w:rsidR="00E328C8">
              <w:rPr>
                <w:rFonts w:ascii="Arial" w:hAnsi="Arial" w:cs="Arial"/>
                <w:sz w:val="24"/>
                <w:szCs w:val="24"/>
              </w:rPr>
              <w:t>s</w:t>
            </w:r>
            <w:r>
              <w:rPr>
                <w:rFonts w:ascii="Arial" w:hAnsi="Arial" w:cs="Arial"/>
                <w:sz w:val="24"/>
                <w:szCs w:val="24"/>
              </w:rPr>
              <w:t xml:space="preserve"> of contravening s 14 (a) of the Combating of Immoral practices Act 21 of 1980 – Committing or an attempt to commit a sexual act with a child under the age of sixteen years, read with sections1, 3 and 21 of the Combating of Domestic Violence Act, 4 of 2004.</w:t>
            </w:r>
          </w:p>
          <w:p w:rsidR="00A55D68" w:rsidRPr="00DE70C2" w:rsidRDefault="00A55D68" w:rsidP="00A55D68">
            <w:pPr>
              <w:ind w:left="360"/>
              <w:jc w:val="bot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The state called its last witness doctor Manhando who testified that he examined the victim and he found that the victim’s hymen was still intact. No fresh tears were observed</w:t>
            </w:r>
            <w:r w:rsidR="00E328C8">
              <w:rPr>
                <w:rFonts w:ascii="Arial" w:hAnsi="Arial" w:cs="Arial"/>
                <w:sz w:val="24"/>
                <w:szCs w:val="24"/>
              </w:rPr>
              <w:t>.</w:t>
            </w:r>
            <w:r>
              <w:rPr>
                <w:rFonts w:ascii="Arial" w:hAnsi="Arial" w:cs="Arial"/>
                <w:sz w:val="24"/>
                <w:szCs w:val="24"/>
              </w:rPr>
              <w:t xml:space="preserve"> 2’ o’clock + 10 o’clock position of the clefts which are consistent with the normal position of clefts. The doctor was </w:t>
            </w:r>
            <w:r w:rsidR="001F33B0">
              <w:rPr>
                <w:rFonts w:ascii="Arial" w:hAnsi="Arial" w:cs="Arial"/>
                <w:sz w:val="24"/>
                <w:szCs w:val="24"/>
              </w:rPr>
              <w:t>able to insert his two fingers</w:t>
            </w:r>
            <w:r w:rsidR="005F29BF">
              <w:rPr>
                <w:rFonts w:ascii="Arial" w:hAnsi="Arial" w:cs="Arial"/>
                <w:sz w:val="24"/>
                <w:szCs w:val="24"/>
              </w:rPr>
              <w:t xml:space="preserve"> easily</w:t>
            </w:r>
            <w:r w:rsidR="001F33B0">
              <w:rPr>
                <w:rFonts w:ascii="Arial" w:hAnsi="Arial" w:cs="Arial"/>
                <w:sz w:val="24"/>
                <w:szCs w:val="24"/>
              </w:rPr>
              <w:t xml:space="preserve"> in</w:t>
            </w:r>
            <w:r>
              <w:rPr>
                <w:rFonts w:ascii="Arial" w:hAnsi="Arial" w:cs="Arial"/>
                <w:sz w:val="24"/>
                <w:szCs w:val="24"/>
              </w:rPr>
              <w:t xml:space="preserve"> t</w:t>
            </w:r>
            <w:r w:rsidR="005F29BF">
              <w:rPr>
                <w:rFonts w:ascii="Arial" w:hAnsi="Arial" w:cs="Arial"/>
                <w:sz w:val="24"/>
                <w:szCs w:val="24"/>
              </w:rPr>
              <w:t>he child’s vagina</w:t>
            </w:r>
            <w:r>
              <w:rPr>
                <w:rFonts w:ascii="Arial" w:hAnsi="Arial" w:cs="Arial"/>
                <w:sz w:val="24"/>
                <w:szCs w:val="24"/>
              </w:rPr>
              <w:t>. He further testified that the clefts that are at 2</w:t>
            </w:r>
            <w:r w:rsidR="001F33B0">
              <w:rPr>
                <w:rFonts w:ascii="Arial" w:hAnsi="Arial" w:cs="Arial"/>
                <w:sz w:val="24"/>
                <w:szCs w:val="24"/>
              </w:rPr>
              <w:t xml:space="preserve"> o’clock and 10 o’clock were</w:t>
            </w:r>
            <w:r>
              <w:rPr>
                <w:rFonts w:ascii="Arial" w:hAnsi="Arial" w:cs="Arial"/>
                <w:sz w:val="24"/>
                <w:szCs w:val="24"/>
              </w:rPr>
              <w:t xml:space="preserve"> less suspicious. In his conclusion he testified that previous sexual penetration cannot be ruled out. The doctor again in his explanatory notes testified that no actual bleeding and no discharge</w:t>
            </w:r>
            <w:r w:rsidR="009A5504">
              <w:rPr>
                <w:rFonts w:ascii="Arial" w:hAnsi="Arial" w:cs="Arial"/>
                <w:sz w:val="24"/>
                <w:szCs w:val="24"/>
              </w:rPr>
              <w:t xml:space="preserve"> were</w:t>
            </w:r>
            <w:r>
              <w:rPr>
                <w:rFonts w:ascii="Arial" w:hAnsi="Arial" w:cs="Arial"/>
                <w:sz w:val="24"/>
                <w:szCs w:val="24"/>
              </w:rPr>
              <w:t xml:space="preserve"> found. He did not find any bruising. He further </w:t>
            </w:r>
            <w:r>
              <w:rPr>
                <w:rFonts w:ascii="Arial" w:hAnsi="Arial" w:cs="Arial"/>
                <w:sz w:val="24"/>
                <w:szCs w:val="24"/>
              </w:rPr>
              <w:lastRenderedPageBreak/>
              <w:t>testified t</w:t>
            </w:r>
            <w:r w:rsidR="00EB79E8">
              <w:rPr>
                <w:rFonts w:ascii="Arial" w:hAnsi="Arial" w:cs="Arial"/>
                <w:sz w:val="24"/>
                <w:szCs w:val="24"/>
              </w:rPr>
              <w:t>hat there was a possibility</w:t>
            </w:r>
            <w:r>
              <w:rPr>
                <w:rFonts w:ascii="Arial" w:hAnsi="Arial" w:cs="Arial"/>
                <w:sz w:val="24"/>
                <w:szCs w:val="24"/>
              </w:rPr>
              <w:t xml:space="preserve"> of old genital trauma and that penetration </w:t>
            </w:r>
            <w:r w:rsidR="00EB79E8">
              <w:rPr>
                <w:rFonts w:ascii="Arial" w:hAnsi="Arial" w:cs="Arial"/>
                <w:sz w:val="24"/>
                <w:szCs w:val="24"/>
              </w:rPr>
              <w:t>can</w:t>
            </w:r>
            <w:r>
              <w:rPr>
                <w:rFonts w:ascii="Arial" w:hAnsi="Arial" w:cs="Arial"/>
                <w:sz w:val="24"/>
                <w:szCs w:val="24"/>
              </w:rPr>
              <w:t>not</w:t>
            </w:r>
            <w:r w:rsidR="00EB79E8">
              <w:rPr>
                <w:rFonts w:ascii="Arial" w:hAnsi="Arial" w:cs="Arial"/>
                <w:sz w:val="24"/>
                <w:szCs w:val="24"/>
              </w:rPr>
              <w:t xml:space="preserve"> be</w:t>
            </w:r>
            <w:r>
              <w:rPr>
                <w:rFonts w:ascii="Arial" w:hAnsi="Arial" w:cs="Arial"/>
                <w:sz w:val="24"/>
                <w:szCs w:val="24"/>
              </w:rPr>
              <w:t xml:space="preserve"> ruled out. When he was asked to explain as to what he meant by penetration </w:t>
            </w:r>
            <w:r w:rsidR="00D66684">
              <w:rPr>
                <w:rFonts w:ascii="Arial" w:hAnsi="Arial" w:cs="Arial"/>
                <w:sz w:val="24"/>
                <w:szCs w:val="24"/>
              </w:rPr>
              <w:t>can</w:t>
            </w:r>
            <w:r>
              <w:rPr>
                <w:rFonts w:ascii="Arial" w:hAnsi="Arial" w:cs="Arial"/>
                <w:sz w:val="24"/>
                <w:szCs w:val="24"/>
              </w:rPr>
              <w:t>not</w:t>
            </w:r>
            <w:r w:rsidR="00D66684">
              <w:rPr>
                <w:rFonts w:ascii="Arial" w:hAnsi="Arial" w:cs="Arial"/>
                <w:sz w:val="24"/>
                <w:szCs w:val="24"/>
              </w:rPr>
              <w:t xml:space="preserve"> be ruled out, h</w:t>
            </w:r>
            <w:r>
              <w:rPr>
                <w:rFonts w:ascii="Arial" w:hAnsi="Arial" w:cs="Arial"/>
                <w:sz w:val="24"/>
                <w:szCs w:val="24"/>
              </w:rPr>
              <w:t>e explained that he could not say with certainty that penetration took place or not and that his findings were inconclusive.</w:t>
            </w:r>
          </w:p>
          <w:p w:rsidR="00A55D68" w:rsidRPr="000008A3" w:rsidRDefault="00A55D68" w:rsidP="00A55D68">
            <w:pPr>
              <w:pStyle w:val="ListParagrap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Due to the doctor’s findings</w:t>
            </w:r>
            <w:r w:rsidR="00650197">
              <w:rPr>
                <w:rFonts w:ascii="Arial" w:hAnsi="Arial" w:cs="Arial"/>
                <w:sz w:val="24"/>
                <w:szCs w:val="24"/>
              </w:rPr>
              <w:t>,</w:t>
            </w:r>
            <w:r>
              <w:rPr>
                <w:rFonts w:ascii="Arial" w:hAnsi="Arial" w:cs="Arial"/>
                <w:sz w:val="24"/>
                <w:szCs w:val="24"/>
              </w:rPr>
              <w:t xml:space="preserve"> counsel for accused 1 made an application for the court to re-call the victim in terms of s186 of the Criminal Procedure Act</w:t>
            </w:r>
            <w:r w:rsidR="00650197">
              <w:rPr>
                <w:rFonts w:ascii="Arial" w:hAnsi="Arial" w:cs="Arial"/>
                <w:sz w:val="24"/>
                <w:szCs w:val="24"/>
              </w:rPr>
              <w:t>,</w:t>
            </w:r>
            <w:r>
              <w:rPr>
                <w:rFonts w:ascii="Arial" w:hAnsi="Arial" w:cs="Arial"/>
                <w:sz w:val="24"/>
                <w:szCs w:val="24"/>
              </w:rPr>
              <w:t xml:space="preserve"> 51 of 1977</w:t>
            </w:r>
            <w:r w:rsidR="00D66684">
              <w:rPr>
                <w:rFonts w:ascii="Arial" w:hAnsi="Arial" w:cs="Arial"/>
                <w:sz w:val="24"/>
                <w:szCs w:val="24"/>
              </w:rPr>
              <w:t>,</w:t>
            </w:r>
            <w:r>
              <w:rPr>
                <w:rFonts w:ascii="Arial" w:hAnsi="Arial" w:cs="Arial"/>
                <w:sz w:val="24"/>
                <w:szCs w:val="24"/>
              </w:rPr>
              <w:t xml:space="preserve"> for the court to inquire from the victim to explain the degree of the alleged penetration</w:t>
            </w:r>
            <w:r w:rsidR="00AD3F05">
              <w:rPr>
                <w:rFonts w:ascii="Arial" w:hAnsi="Arial" w:cs="Arial"/>
                <w:sz w:val="24"/>
                <w:szCs w:val="24"/>
              </w:rPr>
              <w:t xml:space="preserve"> of the penis into her vagina</w:t>
            </w:r>
            <w:r>
              <w:rPr>
                <w:rFonts w:ascii="Arial" w:hAnsi="Arial" w:cs="Arial"/>
                <w:sz w:val="24"/>
                <w:szCs w:val="24"/>
              </w:rPr>
              <w:t xml:space="preserve"> and further to explain the size of the accused’</w:t>
            </w:r>
            <w:r w:rsidR="00AD3F05">
              <w:rPr>
                <w:rFonts w:ascii="Arial" w:hAnsi="Arial" w:cs="Arial"/>
                <w:sz w:val="24"/>
                <w:szCs w:val="24"/>
              </w:rPr>
              <w:t>s penis. Counsel was</w:t>
            </w:r>
            <w:r>
              <w:rPr>
                <w:rFonts w:ascii="Arial" w:hAnsi="Arial" w:cs="Arial"/>
                <w:sz w:val="24"/>
                <w:szCs w:val="24"/>
              </w:rPr>
              <w:t xml:space="preserve"> of the opinion that</w:t>
            </w:r>
            <w:r w:rsidR="00650197">
              <w:rPr>
                <w:rFonts w:ascii="Arial" w:hAnsi="Arial" w:cs="Arial"/>
                <w:sz w:val="24"/>
                <w:szCs w:val="24"/>
              </w:rPr>
              <w:t>,</w:t>
            </w:r>
            <w:r>
              <w:rPr>
                <w:rFonts w:ascii="Arial" w:hAnsi="Arial" w:cs="Arial"/>
                <w:sz w:val="24"/>
                <w:szCs w:val="24"/>
              </w:rPr>
              <w:t xml:space="preserve"> the evidence of the child to that effect</w:t>
            </w:r>
            <w:r w:rsidR="0093234E">
              <w:rPr>
                <w:rFonts w:ascii="Arial" w:hAnsi="Arial" w:cs="Arial"/>
                <w:sz w:val="24"/>
                <w:szCs w:val="24"/>
              </w:rPr>
              <w:t xml:space="preserve"> is essential</w:t>
            </w:r>
            <w:r>
              <w:rPr>
                <w:rFonts w:ascii="Arial" w:hAnsi="Arial" w:cs="Arial"/>
                <w:sz w:val="24"/>
                <w:szCs w:val="24"/>
              </w:rPr>
              <w:t xml:space="preserve"> </w:t>
            </w:r>
            <w:r w:rsidR="0093234E">
              <w:rPr>
                <w:rFonts w:ascii="Arial" w:hAnsi="Arial" w:cs="Arial"/>
                <w:sz w:val="24"/>
                <w:szCs w:val="24"/>
              </w:rPr>
              <w:t>to</w:t>
            </w:r>
            <w:r>
              <w:rPr>
                <w:rFonts w:ascii="Arial" w:hAnsi="Arial" w:cs="Arial"/>
                <w:sz w:val="24"/>
                <w:szCs w:val="24"/>
              </w:rPr>
              <w:t xml:space="preserve"> assist the court to arrive at the just conclusion.</w:t>
            </w:r>
          </w:p>
          <w:p w:rsidR="00A55D68" w:rsidRPr="001C4A01" w:rsidRDefault="00A55D68" w:rsidP="00A55D68">
            <w:pPr>
              <w:pStyle w:val="ListParagrap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S 186 reads as follows</w:t>
            </w:r>
            <w:r w:rsidR="00927344">
              <w:rPr>
                <w:rFonts w:ascii="Arial" w:hAnsi="Arial" w:cs="Arial"/>
                <w:sz w:val="24"/>
                <w:szCs w:val="24"/>
              </w:rPr>
              <w:t>:</w:t>
            </w:r>
          </w:p>
          <w:p w:rsidR="0093234E" w:rsidRDefault="0093234E" w:rsidP="0093234E">
            <w:pPr>
              <w:pStyle w:val="ListParagraph"/>
              <w:jc w:val="both"/>
              <w:rPr>
                <w:rFonts w:ascii="Arial" w:hAnsi="Arial" w:cs="Arial"/>
                <w:sz w:val="24"/>
                <w:szCs w:val="24"/>
              </w:rPr>
            </w:pPr>
          </w:p>
          <w:p w:rsidR="00A55D68" w:rsidRDefault="00A55D68" w:rsidP="00A55D68">
            <w:pPr>
              <w:pStyle w:val="ListParagraph"/>
              <w:jc w:val="both"/>
              <w:rPr>
                <w:rFonts w:ascii="Arial" w:hAnsi="Arial" w:cs="Arial"/>
                <w:sz w:val="24"/>
                <w:szCs w:val="24"/>
              </w:rPr>
            </w:pPr>
            <w:r>
              <w:rPr>
                <w:rFonts w:ascii="Arial" w:hAnsi="Arial" w:cs="Arial"/>
                <w:sz w:val="24"/>
                <w:szCs w:val="24"/>
              </w:rPr>
              <w:t>‘</w:t>
            </w:r>
            <w:r w:rsidR="00D504C9">
              <w:rPr>
                <w:rFonts w:ascii="Arial" w:hAnsi="Arial" w:cs="Arial"/>
              </w:rPr>
              <w:t>The court may at any stag</w:t>
            </w:r>
            <w:r w:rsidRPr="00F84CE0">
              <w:rPr>
                <w:rFonts w:ascii="Arial" w:hAnsi="Arial" w:cs="Arial"/>
              </w:rPr>
              <w:t>e of criminal proceedings subpoena or cause to be subpoenaed any person as a witness at such proceedings and the court shall so subpoena a witness or so cause a witness to be subpoenaed if the evidence of such witness appears to the court essential to the just decision of the court</w:t>
            </w:r>
            <w:r>
              <w:rPr>
                <w:rFonts w:ascii="Arial" w:hAnsi="Arial" w:cs="Arial"/>
                <w:sz w:val="24"/>
                <w:szCs w:val="24"/>
              </w:rPr>
              <w:t>.’</w:t>
            </w:r>
          </w:p>
          <w:p w:rsidR="00A55D68" w:rsidRDefault="00A55D68" w:rsidP="00A55D68">
            <w:pPr>
              <w:pStyle w:val="ListParagraph"/>
              <w:jc w:val="bot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 xml:space="preserve">The court has a duty to </w:t>
            </w:r>
            <w:bookmarkStart w:id="0" w:name="_GoBack"/>
            <w:bookmarkEnd w:id="0"/>
            <w:r>
              <w:rPr>
                <w:rFonts w:ascii="Arial" w:hAnsi="Arial" w:cs="Arial"/>
                <w:sz w:val="24"/>
                <w:szCs w:val="24"/>
              </w:rPr>
              <w:t xml:space="preserve">exercise the power to call a witness where it is necessary to attempt to discover the truth in order that substantial justice is done between the accused and the prosecution. </w:t>
            </w:r>
            <w:r w:rsidRPr="00D504C9">
              <w:rPr>
                <w:rFonts w:ascii="Arial" w:hAnsi="Arial" w:cs="Arial"/>
                <w:i/>
                <w:sz w:val="24"/>
                <w:szCs w:val="24"/>
              </w:rPr>
              <w:t>S v Van den Berg 1996</w:t>
            </w:r>
            <w:r>
              <w:rPr>
                <w:rFonts w:ascii="Arial" w:hAnsi="Arial" w:cs="Arial"/>
                <w:sz w:val="24"/>
                <w:szCs w:val="24"/>
              </w:rPr>
              <w:t xml:space="preserve"> (1) SACR 19 (NM).</w:t>
            </w:r>
          </w:p>
          <w:p w:rsidR="00A55D68" w:rsidRDefault="00A55D68" w:rsidP="00A55D68">
            <w:pPr>
              <w:pStyle w:val="ListParagraph"/>
              <w:jc w:val="bot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Section 186 does not refer to the court to have a discretion</w:t>
            </w:r>
            <w:r w:rsidR="004B7A44">
              <w:rPr>
                <w:rFonts w:ascii="Arial" w:hAnsi="Arial" w:cs="Arial"/>
                <w:sz w:val="24"/>
                <w:szCs w:val="24"/>
              </w:rPr>
              <w:t xml:space="preserve"> to re-</w:t>
            </w:r>
            <w:r>
              <w:rPr>
                <w:rFonts w:ascii="Arial" w:hAnsi="Arial" w:cs="Arial"/>
                <w:sz w:val="24"/>
                <w:szCs w:val="24"/>
              </w:rPr>
              <w:t>call witnesses. It refers to the court having a discretion to subpoena any witness if the evidence of such witness appears to the court essential during such proceedings to assist the court to arrive at the just decision of the case.</w:t>
            </w:r>
          </w:p>
          <w:p w:rsidR="00A55D68" w:rsidRPr="00B07EEC" w:rsidRDefault="00A55D68" w:rsidP="00A55D68">
            <w:pPr>
              <w:pStyle w:val="ListParagrap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However, in terms of s 167 of the Act</w:t>
            </w:r>
            <w:r w:rsidR="00D504C9">
              <w:rPr>
                <w:rFonts w:ascii="Arial" w:hAnsi="Arial" w:cs="Arial"/>
                <w:sz w:val="24"/>
                <w:szCs w:val="24"/>
              </w:rPr>
              <w:t>,</w:t>
            </w:r>
            <w:r>
              <w:rPr>
                <w:rFonts w:ascii="Arial" w:hAnsi="Arial" w:cs="Arial"/>
                <w:sz w:val="24"/>
                <w:szCs w:val="24"/>
              </w:rPr>
              <w:t xml:space="preserve"> the court may examine witness or a person in attendance. S 167 reads as follows:</w:t>
            </w:r>
          </w:p>
          <w:p w:rsidR="00D504C9" w:rsidRPr="00D504C9" w:rsidRDefault="00D504C9" w:rsidP="00D504C9">
            <w:pPr>
              <w:pStyle w:val="ListParagraph"/>
              <w:rPr>
                <w:rFonts w:ascii="Arial" w:hAnsi="Arial" w:cs="Arial"/>
                <w:sz w:val="24"/>
                <w:szCs w:val="24"/>
              </w:rPr>
            </w:pPr>
          </w:p>
          <w:p w:rsidR="00A55D68" w:rsidRDefault="00A55D68" w:rsidP="00A55D68">
            <w:pPr>
              <w:pStyle w:val="ListParagraph"/>
              <w:jc w:val="both"/>
              <w:rPr>
                <w:rFonts w:ascii="Arial" w:hAnsi="Arial" w:cs="Arial"/>
              </w:rPr>
            </w:pPr>
            <w:r>
              <w:rPr>
                <w:rFonts w:ascii="Arial" w:hAnsi="Arial" w:cs="Arial"/>
                <w:sz w:val="24"/>
                <w:szCs w:val="24"/>
              </w:rPr>
              <w:t>‘</w:t>
            </w:r>
            <w:r w:rsidRPr="006E34D0">
              <w:rPr>
                <w:rFonts w:ascii="Arial" w:hAnsi="Arial" w:cs="Arial"/>
              </w:rPr>
              <w:t xml:space="preserve">The court may at any stage of criminal proceedings examine any person, other than an accused, who has been subpoenaed to attend such proceedings or who is in attendance at such proceedings, and may </w:t>
            </w:r>
            <w:r w:rsidR="001A1BF2">
              <w:rPr>
                <w:rFonts w:ascii="Arial" w:hAnsi="Arial" w:cs="Arial"/>
              </w:rPr>
              <w:t>re-call</w:t>
            </w:r>
            <w:r w:rsidRPr="006E34D0">
              <w:rPr>
                <w:rFonts w:ascii="Arial" w:hAnsi="Arial" w:cs="Arial"/>
              </w:rPr>
              <w:t xml:space="preserve"> and re-examine any person, including an accused, already examined at the proceedings, and the court shall examine, or </w:t>
            </w:r>
            <w:r w:rsidR="001A1BF2">
              <w:rPr>
                <w:rFonts w:ascii="Arial" w:hAnsi="Arial" w:cs="Arial"/>
              </w:rPr>
              <w:t>re-call</w:t>
            </w:r>
            <w:r w:rsidRPr="006E34D0">
              <w:rPr>
                <w:rFonts w:ascii="Arial" w:hAnsi="Arial" w:cs="Arial"/>
              </w:rPr>
              <w:t xml:space="preserve"> and re-examine, the person concerned if his evidence</w:t>
            </w:r>
            <w:r>
              <w:rPr>
                <w:rFonts w:ascii="Arial" w:hAnsi="Arial" w:cs="Arial"/>
              </w:rPr>
              <w:t xml:space="preserve"> appears to the court essential to the just decision of the case.’</w:t>
            </w:r>
          </w:p>
          <w:p w:rsidR="00A55D68" w:rsidRDefault="00A55D68" w:rsidP="00A55D68">
            <w:pPr>
              <w:pStyle w:val="ListParagraph"/>
              <w:jc w:val="both"/>
              <w:rPr>
                <w:rFonts w:ascii="Arial" w:hAnsi="Arial" w:cs="Arial"/>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The court is given</w:t>
            </w:r>
            <w:r w:rsidR="008722A2">
              <w:rPr>
                <w:rFonts w:ascii="Arial" w:hAnsi="Arial" w:cs="Arial"/>
                <w:sz w:val="24"/>
                <w:szCs w:val="24"/>
              </w:rPr>
              <w:t xml:space="preserve"> a discretion</w:t>
            </w:r>
            <w:r>
              <w:rPr>
                <w:rFonts w:ascii="Arial" w:hAnsi="Arial" w:cs="Arial"/>
                <w:sz w:val="24"/>
                <w:szCs w:val="24"/>
              </w:rPr>
              <w:t xml:space="preserve"> to </w:t>
            </w:r>
            <w:r w:rsidR="001A1BF2">
              <w:rPr>
                <w:rFonts w:ascii="Arial" w:hAnsi="Arial" w:cs="Arial"/>
                <w:sz w:val="24"/>
                <w:szCs w:val="24"/>
              </w:rPr>
              <w:t>re-call</w:t>
            </w:r>
            <w:r>
              <w:rPr>
                <w:rFonts w:ascii="Arial" w:hAnsi="Arial" w:cs="Arial"/>
                <w:sz w:val="24"/>
                <w:szCs w:val="24"/>
              </w:rPr>
              <w:t xml:space="preserve"> witnesses. It is not obliged to do so. However, such a discretion should be exercised judiciously. In most cases the court acts mero motu. However, counsel for the defence or state may suggest to the court to re-call a witness.</w:t>
            </w:r>
          </w:p>
          <w:p w:rsidR="00A55D68" w:rsidRDefault="00A55D68" w:rsidP="00A55D68">
            <w:pPr>
              <w:pStyle w:val="ListParagraph"/>
              <w:jc w:val="bot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It would be an irregularity by the court if the evidenc</w:t>
            </w:r>
            <w:r w:rsidR="00C841CF">
              <w:rPr>
                <w:rFonts w:ascii="Arial" w:hAnsi="Arial" w:cs="Arial"/>
                <w:sz w:val="24"/>
                <w:szCs w:val="24"/>
              </w:rPr>
              <w:t>e of the witness to be called appears to be</w:t>
            </w:r>
            <w:r>
              <w:rPr>
                <w:rFonts w:ascii="Arial" w:hAnsi="Arial" w:cs="Arial"/>
                <w:sz w:val="24"/>
                <w:szCs w:val="24"/>
              </w:rPr>
              <w:t xml:space="preserve"> essential to the court for it to arrive at a just decision</w:t>
            </w:r>
            <w:r w:rsidR="00C841CF">
              <w:rPr>
                <w:rFonts w:ascii="Arial" w:hAnsi="Arial" w:cs="Arial"/>
                <w:sz w:val="24"/>
                <w:szCs w:val="24"/>
              </w:rPr>
              <w:t>,</w:t>
            </w:r>
            <w:r>
              <w:rPr>
                <w:rFonts w:ascii="Arial" w:hAnsi="Arial" w:cs="Arial"/>
                <w:sz w:val="24"/>
                <w:szCs w:val="24"/>
              </w:rPr>
              <w:t xml:space="preserve"> if the cour</w:t>
            </w:r>
            <w:r w:rsidR="00C841CF">
              <w:rPr>
                <w:rFonts w:ascii="Arial" w:hAnsi="Arial" w:cs="Arial"/>
                <w:sz w:val="24"/>
                <w:szCs w:val="24"/>
              </w:rPr>
              <w:t>t fails to re-call such witness</w:t>
            </w:r>
            <w:r>
              <w:rPr>
                <w:rFonts w:ascii="Arial" w:hAnsi="Arial" w:cs="Arial"/>
                <w:sz w:val="24"/>
                <w:szCs w:val="24"/>
              </w:rPr>
              <w:t>.</w:t>
            </w:r>
          </w:p>
          <w:p w:rsidR="00A55D68" w:rsidRPr="00655971" w:rsidRDefault="00A55D68" w:rsidP="00A55D68">
            <w:pPr>
              <w:pStyle w:val="ListParagrap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 xml:space="preserve">This court is called upon to re-call the witness (victim) </w:t>
            </w:r>
            <w:r w:rsidR="00C841CF">
              <w:rPr>
                <w:rFonts w:ascii="Arial" w:hAnsi="Arial" w:cs="Arial"/>
                <w:sz w:val="24"/>
                <w:szCs w:val="24"/>
              </w:rPr>
              <w:t>for her</w:t>
            </w:r>
            <w:r>
              <w:rPr>
                <w:rFonts w:ascii="Arial" w:hAnsi="Arial" w:cs="Arial"/>
                <w:sz w:val="24"/>
                <w:szCs w:val="24"/>
              </w:rPr>
              <w:t xml:space="preserve"> to come and testify about the degree of penetration of the penis</w:t>
            </w:r>
            <w:r w:rsidR="00FF7A47">
              <w:rPr>
                <w:rFonts w:ascii="Arial" w:hAnsi="Arial" w:cs="Arial"/>
                <w:sz w:val="24"/>
                <w:szCs w:val="24"/>
              </w:rPr>
              <w:t xml:space="preserve"> into her vagina and to establish the size of the penis.</w:t>
            </w:r>
          </w:p>
          <w:p w:rsidR="00A55D68" w:rsidRPr="00346B88" w:rsidRDefault="00A55D68" w:rsidP="00A55D68">
            <w:pPr>
              <w:pStyle w:val="ListParagraph"/>
              <w:rPr>
                <w:rFonts w:ascii="Arial" w:hAnsi="Arial" w:cs="Arial"/>
                <w:sz w:val="24"/>
                <w:szCs w:val="24"/>
              </w:rPr>
            </w:pPr>
          </w:p>
          <w:p w:rsidR="00A55D68" w:rsidRDefault="00A55D68" w:rsidP="00A55D68">
            <w:pPr>
              <w:pStyle w:val="ListParagraph"/>
              <w:numPr>
                <w:ilvl w:val="0"/>
                <w:numId w:val="2"/>
              </w:numPr>
              <w:jc w:val="both"/>
              <w:rPr>
                <w:rFonts w:ascii="Arial" w:hAnsi="Arial" w:cs="Arial"/>
                <w:sz w:val="24"/>
                <w:szCs w:val="24"/>
              </w:rPr>
            </w:pPr>
            <w:r>
              <w:rPr>
                <w:rFonts w:ascii="Arial" w:hAnsi="Arial" w:cs="Arial"/>
                <w:sz w:val="24"/>
                <w:szCs w:val="24"/>
              </w:rPr>
              <w:t>In terms of s (1) (1) of the Combating of Rape Act 8 of 2000 a ‘</w:t>
            </w:r>
            <w:r w:rsidRPr="00311411">
              <w:rPr>
                <w:rFonts w:ascii="Arial" w:hAnsi="Arial" w:cs="Arial"/>
              </w:rPr>
              <w:t>sexual act’</w:t>
            </w:r>
            <w:r>
              <w:rPr>
                <w:rFonts w:ascii="Arial" w:hAnsi="Arial" w:cs="Arial"/>
                <w:sz w:val="24"/>
                <w:szCs w:val="24"/>
              </w:rPr>
              <w:t xml:space="preserve"> is defined to mean:</w:t>
            </w:r>
          </w:p>
          <w:p w:rsidR="00A55D68" w:rsidRPr="00311411" w:rsidRDefault="00A55D68" w:rsidP="00A55D68">
            <w:pPr>
              <w:pStyle w:val="ListParagraph"/>
              <w:rPr>
                <w:rFonts w:ascii="Arial" w:hAnsi="Arial" w:cs="Arial"/>
                <w:sz w:val="24"/>
                <w:szCs w:val="24"/>
              </w:rPr>
            </w:pPr>
          </w:p>
          <w:p w:rsidR="00A55D68" w:rsidRPr="00F4233A" w:rsidRDefault="00A55D68" w:rsidP="00A55D68">
            <w:pPr>
              <w:pStyle w:val="ListParagraph"/>
              <w:jc w:val="both"/>
              <w:rPr>
                <w:rFonts w:ascii="Arial" w:hAnsi="Arial" w:cs="Arial"/>
              </w:rPr>
            </w:pPr>
            <w:r w:rsidRPr="00F4233A">
              <w:rPr>
                <w:rFonts w:ascii="Arial" w:hAnsi="Arial" w:cs="Arial"/>
              </w:rPr>
              <w:t>‘(a)</w:t>
            </w:r>
            <w:r w:rsidRPr="00F4233A">
              <w:rPr>
                <w:rFonts w:ascii="Arial" w:hAnsi="Arial" w:cs="Arial"/>
              </w:rPr>
              <w:tab/>
              <w:t>the insertion (to even the slightest degree) of the penis of a person into the vagina or anus or mouth of another person; or</w:t>
            </w:r>
          </w:p>
          <w:p w:rsidR="00A55D68" w:rsidRPr="00F4233A" w:rsidRDefault="00A55D68" w:rsidP="00A55D68">
            <w:pPr>
              <w:pStyle w:val="ListParagraph"/>
              <w:jc w:val="both"/>
              <w:rPr>
                <w:rFonts w:ascii="Arial" w:hAnsi="Arial" w:cs="Arial"/>
              </w:rPr>
            </w:pPr>
          </w:p>
          <w:p w:rsidR="00A55D68" w:rsidRPr="00F4233A" w:rsidRDefault="00A55D68" w:rsidP="00A55D68">
            <w:pPr>
              <w:pStyle w:val="ListParagraph"/>
              <w:jc w:val="both"/>
              <w:rPr>
                <w:rFonts w:ascii="Arial" w:hAnsi="Arial" w:cs="Arial"/>
              </w:rPr>
            </w:pPr>
            <w:r w:rsidRPr="00F4233A">
              <w:rPr>
                <w:rFonts w:ascii="Arial" w:hAnsi="Arial" w:cs="Arial"/>
              </w:rPr>
              <w:t>(b)</w:t>
            </w:r>
            <w:r w:rsidRPr="00F4233A">
              <w:rPr>
                <w:rFonts w:ascii="Arial" w:hAnsi="Arial" w:cs="Arial"/>
              </w:rPr>
              <w:tab/>
              <w:t>the insertion of any other part of the body of a person or of any part of the body of an animal or of any object into the vagina or anus of another person, except where such insertion of any part of the body (other than the penis) of a person or of any object into the vagina or anus of another person is, consistent with sound medical practices, carried out for proper medical purposes; or</w:t>
            </w:r>
          </w:p>
          <w:p w:rsidR="00A55D68" w:rsidRPr="00F4233A" w:rsidRDefault="00A55D68" w:rsidP="00A55D68">
            <w:pPr>
              <w:pStyle w:val="ListParagraph"/>
              <w:jc w:val="both"/>
              <w:rPr>
                <w:rFonts w:ascii="Arial" w:hAnsi="Arial" w:cs="Arial"/>
              </w:rPr>
            </w:pPr>
          </w:p>
          <w:p w:rsidR="00A55D68" w:rsidRDefault="00A55D68" w:rsidP="00A55D68">
            <w:pPr>
              <w:pStyle w:val="ListParagraph"/>
              <w:jc w:val="both"/>
              <w:rPr>
                <w:rFonts w:ascii="Arial" w:hAnsi="Arial" w:cs="Arial"/>
              </w:rPr>
            </w:pPr>
            <w:r w:rsidRPr="00F4233A">
              <w:rPr>
                <w:rFonts w:ascii="Arial" w:hAnsi="Arial" w:cs="Arial"/>
              </w:rPr>
              <w:t>(c)</w:t>
            </w:r>
            <w:r w:rsidRPr="00F4233A">
              <w:rPr>
                <w:rFonts w:ascii="Arial" w:hAnsi="Arial" w:cs="Arial"/>
              </w:rPr>
              <w:tab/>
              <w:t>cunnilingus or any other form of genital stimulation;</w:t>
            </w:r>
          </w:p>
          <w:p w:rsidR="00FF7A47" w:rsidRPr="00F4233A" w:rsidRDefault="00FF7A47" w:rsidP="00A55D68">
            <w:pPr>
              <w:pStyle w:val="ListParagraph"/>
              <w:jc w:val="both"/>
              <w:rPr>
                <w:rFonts w:ascii="Arial" w:hAnsi="Arial" w:cs="Arial"/>
              </w:rPr>
            </w:pPr>
          </w:p>
          <w:p w:rsidR="00A55D68" w:rsidRDefault="00A55D68" w:rsidP="00A55D68">
            <w:pPr>
              <w:pStyle w:val="ListParagraph"/>
              <w:jc w:val="both"/>
              <w:rPr>
                <w:rFonts w:ascii="Arial" w:hAnsi="Arial" w:cs="Arial"/>
              </w:rPr>
            </w:pPr>
            <w:r w:rsidRPr="00F4233A">
              <w:rPr>
                <w:rFonts w:ascii="Arial" w:hAnsi="Arial" w:cs="Arial"/>
              </w:rPr>
              <w:t>‘vagina’ includes any part of the female genital organ.</w:t>
            </w:r>
          </w:p>
          <w:p w:rsidR="00A55D68" w:rsidRDefault="00A55D68" w:rsidP="00A55D68">
            <w:pPr>
              <w:pStyle w:val="ListParagraph"/>
              <w:jc w:val="both"/>
              <w:rPr>
                <w:rFonts w:ascii="Arial" w:hAnsi="Arial" w:cs="Arial"/>
              </w:rPr>
            </w:pPr>
          </w:p>
          <w:p w:rsidR="00A55D68" w:rsidRDefault="00FF7A47" w:rsidP="00A55D68">
            <w:pPr>
              <w:pStyle w:val="ListParagraph"/>
              <w:numPr>
                <w:ilvl w:val="0"/>
                <w:numId w:val="2"/>
              </w:numPr>
              <w:jc w:val="both"/>
              <w:rPr>
                <w:rFonts w:ascii="Arial" w:hAnsi="Arial" w:cs="Arial"/>
                <w:sz w:val="24"/>
                <w:szCs w:val="24"/>
              </w:rPr>
            </w:pPr>
            <w:r>
              <w:rPr>
                <w:rFonts w:ascii="Arial" w:hAnsi="Arial" w:cs="Arial"/>
                <w:sz w:val="24"/>
                <w:szCs w:val="24"/>
              </w:rPr>
              <w:t>The court having had regard</w:t>
            </w:r>
            <w:r w:rsidR="00A55D68">
              <w:rPr>
                <w:rFonts w:ascii="Arial" w:hAnsi="Arial" w:cs="Arial"/>
                <w:sz w:val="24"/>
                <w:szCs w:val="24"/>
              </w:rPr>
              <w:t xml:space="preserve"> to the provisions of s 186 read with s 167 of the Criminal Procedure Act, as well as the definition of a ‘sexual act’ and ‘vagina’ as provided for in the Combating of rape Act, this court is of the opinion that re-calling the victim or witness to come and testify about the degre</w:t>
            </w:r>
            <w:r w:rsidR="0000388A">
              <w:rPr>
                <w:rFonts w:ascii="Arial" w:hAnsi="Arial" w:cs="Arial"/>
                <w:sz w:val="24"/>
                <w:szCs w:val="24"/>
              </w:rPr>
              <w:t>e of penetration of the penis into her vagina and the size</w:t>
            </w:r>
            <w:r w:rsidR="00A55D68">
              <w:rPr>
                <w:rFonts w:ascii="Arial" w:hAnsi="Arial" w:cs="Arial"/>
                <w:sz w:val="24"/>
                <w:szCs w:val="24"/>
              </w:rPr>
              <w:t xml:space="preserve"> will not be essential to assist the court to arrive at the just decision of the case. The size and degree of penetration are not determining factors whether a sexual act took place or not.</w:t>
            </w:r>
          </w:p>
          <w:p w:rsidR="000D4F4C" w:rsidRDefault="000D4F4C" w:rsidP="00986567">
            <w:pPr>
              <w:pStyle w:val="ListParagraph"/>
              <w:spacing w:after="0" w:line="360" w:lineRule="auto"/>
              <w:ind w:left="446"/>
              <w:jc w:val="both"/>
              <w:rPr>
                <w:rFonts w:ascii="Arial Narrow" w:hAnsi="Arial Narrow" w:cs="Arial"/>
                <w:sz w:val="24"/>
                <w:szCs w:val="24"/>
              </w:rPr>
            </w:pPr>
          </w:p>
          <w:p w:rsidR="000D4F4C" w:rsidRPr="00080AF7" w:rsidRDefault="000D4F4C" w:rsidP="00986567">
            <w:pPr>
              <w:spacing w:after="0" w:line="360" w:lineRule="auto"/>
              <w:jc w:val="both"/>
              <w:rPr>
                <w:rFonts w:ascii="Arial Narrow" w:hAnsi="Arial Narrow" w:cs="Arial"/>
                <w:sz w:val="24"/>
                <w:szCs w:val="24"/>
              </w:rPr>
            </w:pPr>
          </w:p>
        </w:tc>
      </w:tr>
      <w:tr w:rsidR="000D4F4C" w:rsidRPr="00080AF7" w:rsidTr="00986567">
        <w:tc>
          <w:tcPr>
            <w:tcW w:w="4770" w:type="dxa"/>
            <w:shd w:val="clear" w:color="auto" w:fill="auto"/>
          </w:tcPr>
          <w:p w:rsidR="000D4F4C" w:rsidRDefault="000D4F4C" w:rsidP="00986567">
            <w:pPr>
              <w:spacing w:after="0" w:line="360" w:lineRule="auto"/>
              <w:jc w:val="center"/>
              <w:rPr>
                <w:rFonts w:ascii="Arial Narrow" w:hAnsi="Arial Narrow" w:cs="Arial"/>
                <w:b/>
                <w:sz w:val="24"/>
                <w:szCs w:val="24"/>
              </w:rPr>
            </w:pPr>
          </w:p>
          <w:p w:rsidR="000D4F4C" w:rsidRPr="00080AF7" w:rsidRDefault="000D4F4C" w:rsidP="00986567">
            <w:pPr>
              <w:spacing w:after="0" w:line="360" w:lineRule="auto"/>
              <w:jc w:val="center"/>
              <w:rPr>
                <w:rFonts w:ascii="Arial Narrow" w:hAnsi="Arial Narrow" w:cs="Arial"/>
                <w:b/>
                <w:sz w:val="24"/>
                <w:szCs w:val="24"/>
              </w:rPr>
            </w:pPr>
          </w:p>
        </w:tc>
        <w:tc>
          <w:tcPr>
            <w:tcW w:w="4950" w:type="dxa"/>
            <w:gridSpan w:val="2"/>
            <w:shd w:val="clear" w:color="auto" w:fill="auto"/>
          </w:tcPr>
          <w:p w:rsidR="000D4F4C" w:rsidRPr="00080AF7" w:rsidRDefault="000D4F4C" w:rsidP="00986567">
            <w:pPr>
              <w:spacing w:after="0" w:line="360" w:lineRule="auto"/>
              <w:jc w:val="center"/>
              <w:rPr>
                <w:rFonts w:ascii="Arial Narrow" w:hAnsi="Arial Narrow" w:cs="Arial"/>
                <w:b/>
                <w:sz w:val="24"/>
                <w:szCs w:val="24"/>
              </w:rPr>
            </w:pPr>
          </w:p>
        </w:tc>
      </w:tr>
      <w:tr w:rsidR="000D4F4C" w:rsidRPr="00080AF7" w:rsidTr="00986567">
        <w:trPr>
          <w:trHeight w:val="1114"/>
        </w:trPr>
        <w:tc>
          <w:tcPr>
            <w:tcW w:w="4770" w:type="dxa"/>
            <w:shd w:val="clear" w:color="auto" w:fill="auto"/>
          </w:tcPr>
          <w:p w:rsidR="0022406D" w:rsidRPr="00080AF7" w:rsidRDefault="0022406D" w:rsidP="0022406D">
            <w:pPr>
              <w:spacing w:after="0" w:line="360" w:lineRule="auto"/>
              <w:rPr>
                <w:rFonts w:ascii="Arial Narrow" w:hAnsi="Arial Narrow" w:cs="Arial"/>
                <w:b/>
                <w:sz w:val="24"/>
                <w:szCs w:val="24"/>
              </w:rPr>
            </w:pPr>
            <w:r w:rsidRPr="00080AF7">
              <w:rPr>
                <w:rFonts w:ascii="Arial Narrow" w:hAnsi="Arial Narrow" w:cs="Arial"/>
                <w:b/>
                <w:sz w:val="24"/>
                <w:szCs w:val="24"/>
              </w:rPr>
              <w:t>N N SHIVUTE</w:t>
            </w:r>
          </w:p>
          <w:p w:rsidR="000D4F4C" w:rsidRPr="00080AF7" w:rsidRDefault="000D4F4C" w:rsidP="00986567">
            <w:pPr>
              <w:spacing w:after="0" w:line="360" w:lineRule="auto"/>
              <w:jc w:val="both"/>
              <w:rPr>
                <w:rFonts w:ascii="Arial Narrow" w:hAnsi="Arial Narrow" w:cs="Arial"/>
                <w:sz w:val="24"/>
                <w:szCs w:val="24"/>
              </w:rPr>
            </w:pPr>
            <w:r w:rsidRPr="00080AF7">
              <w:rPr>
                <w:rFonts w:ascii="Arial Narrow" w:hAnsi="Arial Narrow" w:cs="Arial"/>
                <w:b/>
                <w:sz w:val="24"/>
                <w:szCs w:val="24"/>
              </w:rPr>
              <w:t>JUDGE</w:t>
            </w:r>
          </w:p>
          <w:p w:rsidR="000D4F4C" w:rsidRPr="00080AF7" w:rsidRDefault="000D4F4C" w:rsidP="00986567">
            <w:pPr>
              <w:spacing w:after="0" w:line="360" w:lineRule="auto"/>
              <w:jc w:val="both"/>
              <w:rPr>
                <w:rFonts w:ascii="Arial Narrow" w:hAnsi="Arial Narrow" w:cs="Arial"/>
                <w:sz w:val="24"/>
                <w:szCs w:val="24"/>
              </w:rPr>
            </w:pPr>
          </w:p>
        </w:tc>
        <w:tc>
          <w:tcPr>
            <w:tcW w:w="4950" w:type="dxa"/>
            <w:gridSpan w:val="2"/>
            <w:shd w:val="clear" w:color="auto" w:fill="auto"/>
          </w:tcPr>
          <w:p w:rsidR="000D4F4C" w:rsidRPr="00080AF7" w:rsidRDefault="000D4F4C" w:rsidP="00986567">
            <w:pPr>
              <w:spacing w:after="0" w:line="360" w:lineRule="auto"/>
              <w:jc w:val="both"/>
              <w:rPr>
                <w:rFonts w:ascii="Arial Narrow" w:hAnsi="Arial Narrow" w:cs="Arial"/>
                <w:sz w:val="24"/>
                <w:szCs w:val="24"/>
              </w:rPr>
            </w:pPr>
          </w:p>
        </w:tc>
      </w:tr>
    </w:tbl>
    <w:p w:rsidR="000D4F4C" w:rsidRDefault="000D4F4C" w:rsidP="000D4F4C">
      <w:pPr>
        <w:spacing w:after="0" w:line="360" w:lineRule="auto"/>
        <w:jc w:val="both"/>
        <w:rPr>
          <w:rFonts w:ascii="Arial Narrow" w:hAnsi="Arial Narrow"/>
          <w:sz w:val="24"/>
          <w:szCs w:val="24"/>
        </w:rPr>
      </w:pPr>
    </w:p>
    <w:p w:rsidR="000D4F4C" w:rsidRDefault="000D4F4C" w:rsidP="000D4F4C"/>
    <w:p w:rsidR="004520A3" w:rsidRDefault="000279A8"/>
    <w:sectPr w:rsidR="004520A3" w:rsidSect="00080AF7">
      <w:headerReference w:type="even" r:id="rId7"/>
      <w:headerReference w:type="default" r:id="rId8"/>
      <w:footerReference w:type="even" r:id="rId9"/>
      <w:footerReference w:type="default" r:id="rId10"/>
      <w:headerReference w:type="first" r:id="rId11"/>
      <w:footerReference w:type="first" r:id="rId12"/>
      <w:pgSz w:w="11906" w:h="16838"/>
      <w:pgMar w:top="1080" w:right="1440" w:bottom="993"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A8" w:rsidRDefault="000279A8" w:rsidP="00332F4C">
      <w:pPr>
        <w:spacing w:after="0" w:line="240" w:lineRule="auto"/>
      </w:pPr>
      <w:r>
        <w:separator/>
      </w:r>
    </w:p>
  </w:endnote>
  <w:endnote w:type="continuationSeparator" w:id="0">
    <w:p w:rsidR="000279A8" w:rsidRDefault="000279A8" w:rsidP="0033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4C" w:rsidRDefault="00332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F7" w:rsidRDefault="005A730F">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BE63EF">
      <w:rPr>
        <w:rFonts w:ascii="Arial Narrow" w:hAnsi="Arial Narrow"/>
        <w:noProof/>
        <w:sz w:val="18"/>
        <w:szCs w:val="18"/>
      </w:rPr>
      <w:t>3</w:t>
    </w:r>
    <w:r w:rsidRPr="00A23F8A">
      <w:rPr>
        <w:rFonts w:ascii="Arial Narrow" w:hAnsi="Arial Narrow"/>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4C" w:rsidRDefault="0033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A8" w:rsidRDefault="000279A8" w:rsidP="00332F4C">
      <w:pPr>
        <w:spacing w:after="0" w:line="240" w:lineRule="auto"/>
      </w:pPr>
      <w:r>
        <w:separator/>
      </w:r>
    </w:p>
  </w:footnote>
  <w:footnote w:type="continuationSeparator" w:id="0">
    <w:p w:rsidR="000279A8" w:rsidRDefault="000279A8" w:rsidP="00332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4C" w:rsidRDefault="00332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4C" w:rsidRDefault="00332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4C" w:rsidRDefault="00332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9E3"/>
    <w:multiLevelType w:val="hybridMultilevel"/>
    <w:tmpl w:val="F21CA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46618"/>
    <w:multiLevelType w:val="hybridMultilevel"/>
    <w:tmpl w:val="F21CA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4C"/>
    <w:rsid w:val="0000388A"/>
    <w:rsid w:val="000134D9"/>
    <w:rsid w:val="000279A8"/>
    <w:rsid w:val="000D4F4C"/>
    <w:rsid w:val="001A1BF2"/>
    <w:rsid w:val="001E6C98"/>
    <w:rsid w:val="001F33B0"/>
    <w:rsid w:val="0022406D"/>
    <w:rsid w:val="00332F4C"/>
    <w:rsid w:val="003658C7"/>
    <w:rsid w:val="00463841"/>
    <w:rsid w:val="004B7A44"/>
    <w:rsid w:val="00534F20"/>
    <w:rsid w:val="005A730F"/>
    <w:rsid w:val="005F29BF"/>
    <w:rsid w:val="00650197"/>
    <w:rsid w:val="006E5190"/>
    <w:rsid w:val="00707EEA"/>
    <w:rsid w:val="00724E5D"/>
    <w:rsid w:val="008722A2"/>
    <w:rsid w:val="00883143"/>
    <w:rsid w:val="00927344"/>
    <w:rsid w:val="0093234E"/>
    <w:rsid w:val="0093740D"/>
    <w:rsid w:val="009A5504"/>
    <w:rsid w:val="009E1ADD"/>
    <w:rsid w:val="00A55D68"/>
    <w:rsid w:val="00AD3F05"/>
    <w:rsid w:val="00AE2AE6"/>
    <w:rsid w:val="00BE63EF"/>
    <w:rsid w:val="00C31C41"/>
    <w:rsid w:val="00C841CF"/>
    <w:rsid w:val="00D479A6"/>
    <w:rsid w:val="00D504C9"/>
    <w:rsid w:val="00D66684"/>
    <w:rsid w:val="00DF3EC5"/>
    <w:rsid w:val="00E328C8"/>
    <w:rsid w:val="00E46C21"/>
    <w:rsid w:val="00E84F64"/>
    <w:rsid w:val="00EB79E8"/>
    <w:rsid w:val="00EC1881"/>
    <w:rsid w:val="00F9514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9B78-5461-41C6-BEB6-EB01DF07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4C"/>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4C"/>
    <w:rPr>
      <w:rFonts w:ascii="Calibri" w:eastAsia="Calibri" w:hAnsi="Calibri" w:cs="Times New Roman"/>
      <w:lang w:val="en-ZA"/>
    </w:rPr>
  </w:style>
  <w:style w:type="paragraph" w:styleId="ListParagraph">
    <w:name w:val="List Paragraph"/>
    <w:basedOn w:val="Normal"/>
    <w:uiPriority w:val="34"/>
    <w:qFormat/>
    <w:rsid w:val="000D4F4C"/>
    <w:pPr>
      <w:ind w:left="720"/>
      <w:contextualSpacing/>
    </w:pPr>
  </w:style>
  <w:style w:type="paragraph" w:styleId="BalloonText">
    <w:name w:val="Balloon Text"/>
    <w:basedOn w:val="Normal"/>
    <w:link w:val="BalloonTextChar"/>
    <w:uiPriority w:val="99"/>
    <w:semiHidden/>
    <w:unhideWhenUsed/>
    <w:rsid w:val="004B7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44"/>
    <w:rPr>
      <w:rFonts w:ascii="Segoe UI" w:eastAsia="Calibri" w:hAnsi="Segoe UI" w:cs="Segoe UI"/>
      <w:sz w:val="18"/>
      <w:szCs w:val="18"/>
      <w:lang w:val="en-ZA"/>
    </w:rPr>
  </w:style>
  <w:style w:type="paragraph" w:styleId="Header">
    <w:name w:val="header"/>
    <w:basedOn w:val="Normal"/>
    <w:link w:val="HeaderChar"/>
    <w:uiPriority w:val="99"/>
    <w:unhideWhenUsed/>
    <w:rsid w:val="0033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4C"/>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2019-06-19T18:30:00+00:00</Judgment_x0020_Date>
  </documentManagement>
</p:properties>
</file>

<file path=customXml/itemProps1.xml><?xml version="1.0" encoding="utf-8"?>
<ds:datastoreItem xmlns:ds="http://schemas.openxmlformats.org/officeDocument/2006/customXml" ds:itemID="{68D4998A-3A1A-49EF-93C3-8385415DE438}"/>
</file>

<file path=customXml/itemProps2.xml><?xml version="1.0" encoding="utf-8"?>
<ds:datastoreItem xmlns:ds="http://schemas.openxmlformats.org/officeDocument/2006/customXml" ds:itemID="{1FC73CD0-DB0D-4B11-BCC9-F74608951F9C}"/>
</file>

<file path=customXml/itemProps3.xml><?xml version="1.0" encoding="utf-8"?>
<ds:datastoreItem xmlns:ds="http://schemas.openxmlformats.org/officeDocument/2006/customXml" ds:itemID="{E02A8333-8DD1-4933-8BEE-4D1B4EB8657F}"/>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2019-06-20T07:48:00Z</cp:lastPrinted>
  <dcterms:created xsi:type="dcterms:W3CDTF">2019-06-20T14:54:00Z</dcterms:created>
  <dcterms:modified xsi:type="dcterms:W3CDTF">2019-06-20T14:54:00Z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