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903" w:rsidRPr="00564903" w:rsidRDefault="00564903" w:rsidP="00564903">
      <w:pPr>
        <w:spacing w:after="0" w:line="360" w:lineRule="auto"/>
        <w:jc w:val="center"/>
        <w:rPr>
          <w:rFonts w:ascii="Arial" w:eastAsia="Calibri" w:hAnsi="Arial" w:cs="Arial"/>
          <w:b/>
          <w:sz w:val="24"/>
          <w:szCs w:val="24"/>
        </w:rPr>
      </w:pPr>
      <w:r w:rsidRPr="00564903">
        <w:rPr>
          <w:rFonts w:ascii="Arial" w:eastAsia="Calibri" w:hAnsi="Arial" w:cs="Arial"/>
          <w:b/>
          <w:sz w:val="24"/>
          <w:szCs w:val="24"/>
        </w:rPr>
        <w:t xml:space="preserve">REPUBLIC OF NAMIBIA </w:t>
      </w:r>
    </w:p>
    <w:p w:rsidR="00564903" w:rsidRPr="00564903" w:rsidRDefault="00564903" w:rsidP="00564903">
      <w:pPr>
        <w:spacing w:after="0" w:line="360" w:lineRule="auto"/>
        <w:jc w:val="center"/>
        <w:rPr>
          <w:rFonts w:ascii="Arial" w:eastAsia="Calibri" w:hAnsi="Arial" w:cs="Arial"/>
          <w:b/>
          <w:sz w:val="32"/>
          <w:szCs w:val="32"/>
        </w:rPr>
      </w:pPr>
      <w:r w:rsidRPr="00564903">
        <w:rPr>
          <w:rFonts w:ascii="Arial" w:eastAsia="Calibri" w:hAnsi="Arial" w:cs="Arial"/>
          <w:b/>
          <w:noProof/>
          <w:sz w:val="32"/>
          <w:szCs w:val="32"/>
          <w:lang w:val="en-GB" w:eastAsia="en-GB"/>
        </w:rPr>
        <w:drawing>
          <wp:inline distT="0" distB="0" distL="0" distR="0" wp14:anchorId="3B5DE908" wp14:editId="1CC1A29D">
            <wp:extent cx="1274445" cy="1324610"/>
            <wp:effectExtent l="0" t="0" r="1905" b="889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4445" cy="1324610"/>
                    </a:xfrm>
                    <a:prstGeom prst="rect">
                      <a:avLst/>
                    </a:prstGeom>
                    <a:noFill/>
                    <a:ln>
                      <a:noFill/>
                    </a:ln>
                  </pic:spPr>
                </pic:pic>
              </a:graphicData>
            </a:graphic>
          </wp:inline>
        </w:drawing>
      </w:r>
    </w:p>
    <w:p w:rsidR="00564903" w:rsidRPr="00564903" w:rsidRDefault="00564903" w:rsidP="00564903">
      <w:pPr>
        <w:spacing w:after="0" w:line="360" w:lineRule="auto"/>
        <w:jc w:val="center"/>
        <w:rPr>
          <w:rFonts w:ascii="Arial" w:eastAsia="Calibri" w:hAnsi="Arial" w:cs="Arial"/>
          <w:b/>
          <w:sz w:val="24"/>
          <w:szCs w:val="24"/>
        </w:rPr>
      </w:pPr>
      <w:r w:rsidRPr="00564903">
        <w:rPr>
          <w:rFonts w:ascii="Arial" w:eastAsia="Calibri" w:hAnsi="Arial" w:cs="Arial"/>
          <w:b/>
          <w:sz w:val="24"/>
          <w:szCs w:val="24"/>
        </w:rPr>
        <w:t>HIGH COURT OF NAMIBIA MAIN DIVISION, WINDHOEK</w:t>
      </w:r>
    </w:p>
    <w:p w:rsidR="00564903" w:rsidRPr="00564903" w:rsidRDefault="00564903" w:rsidP="00564903">
      <w:pPr>
        <w:spacing w:after="0" w:line="360" w:lineRule="auto"/>
        <w:jc w:val="center"/>
        <w:rPr>
          <w:rFonts w:ascii="Arial" w:eastAsia="Calibri" w:hAnsi="Arial" w:cs="Arial"/>
          <w:b/>
          <w:sz w:val="24"/>
          <w:szCs w:val="24"/>
        </w:rPr>
      </w:pPr>
      <w:r w:rsidRPr="00564903">
        <w:rPr>
          <w:rFonts w:ascii="Arial" w:eastAsia="Calibri" w:hAnsi="Arial" w:cs="Arial"/>
          <w:b/>
          <w:sz w:val="24"/>
          <w:szCs w:val="24"/>
        </w:rPr>
        <w:t>JUDGMENT</w:t>
      </w:r>
    </w:p>
    <w:p w:rsidR="00564903" w:rsidRPr="00564903" w:rsidRDefault="00564903" w:rsidP="00564903">
      <w:pPr>
        <w:tabs>
          <w:tab w:val="right" w:pos="9000"/>
        </w:tabs>
        <w:spacing w:after="0" w:line="360" w:lineRule="auto"/>
        <w:jc w:val="center"/>
        <w:rPr>
          <w:rFonts w:ascii="Arial" w:eastAsia="Calibri" w:hAnsi="Arial" w:cs="Arial"/>
          <w:b/>
          <w:sz w:val="24"/>
          <w:szCs w:val="24"/>
        </w:rPr>
      </w:pPr>
      <w:r w:rsidRPr="00564903">
        <w:rPr>
          <w:rFonts w:ascii="Arial" w:eastAsia="Calibri" w:hAnsi="Arial" w:cs="Arial"/>
          <w:b/>
          <w:sz w:val="24"/>
          <w:szCs w:val="24"/>
        </w:rPr>
        <w:tab/>
      </w:r>
      <w:r w:rsidRPr="00564903">
        <w:rPr>
          <w:rFonts w:ascii="Arial" w:eastAsia="Calibri" w:hAnsi="Arial" w:cs="Arial"/>
          <w:sz w:val="24"/>
          <w:szCs w:val="24"/>
        </w:rPr>
        <w:t xml:space="preserve">  </w:t>
      </w:r>
    </w:p>
    <w:p w:rsidR="00564903" w:rsidRPr="00564903" w:rsidRDefault="00867D0C" w:rsidP="00867D0C">
      <w:pPr>
        <w:spacing w:after="0" w:line="360" w:lineRule="auto"/>
        <w:jc w:val="right"/>
        <w:rPr>
          <w:rFonts w:ascii="Arial" w:eastAsia="Calibri" w:hAnsi="Arial" w:cs="Arial"/>
          <w:sz w:val="24"/>
          <w:szCs w:val="24"/>
        </w:rPr>
      </w:pPr>
      <w:r w:rsidRPr="00564903">
        <w:rPr>
          <w:rFonts w:ascii="Arial" w:eastAsia="Calibri" w:hAnsi="Arial" w:cs="Arial"/>
          <w:sz w:val="24"/>
          <w:szCs w:val="24"/>
        </w:rPr>
        <w:t xml:space="preserve">Case no: I </w:t>
      </w:r>
      <w:r>
        <w:rPr>
          <w:rFonts w:ascii="Arial" w:eastAsia="Calibri" w:hAnsi="Arial" w:cs="Arial"/>
          <w:sz w:val="24"/>
          <w:szCs w:val="24"/>
        </w:rPr>
        <w:t>114</w:t>
      </w:r>
      <w:r w:rsidRPr="00564903">
        <w:rPr>
          <w:rFonts w:ascii="Arial" w:eastAsia="Calibri" w:hAnsi="Arial" w:cs="Arial"/>
          <w:sz w:val="24"/>
          <w:szCs w:val="24"/>
        </w:rPr>
        <w:t>/2014</w:t>
      </w:r>
    </w:p>
    <w:p w:rsidR="00867D0C" w:rsidRDefault="00867D0C" w:rsidP="00564903">
      <w:pPr>
        <w:spacing w:after="0" w:line="360" w:lineRule="auto"/>
        <w:rPr>
          <w:rFonts w:ascii="Arial" w:eastAsia="Calibri" w:hAnsi="Arial" w:cs="Arial"/>
          <w:sz w:val="24"/>
          <w:szCs w:val="24"/>
        </w:rPr>
      </w:pPr>
    </w:p>
    <w:p w:rsidR="00564903" w:rsidRPr="00564903" w:rsidRDefault="00564903" w:rsidP="00564903">
      <w:pPr>
        <w:spacing w:after="0" w:line="360" w:lineRule="auto"/>
        <w:rPr>
          <w:rFonts w:ascii="Arial" w:eastAsia="Calibri" w:hAnsi="Arial" w:cs="Arial"/>
          <w:sz w:val="24"/>
          <w:szCs w:val="24"/>
        </w:rPr>
      </w:pPr>
      <w:r w:rsidRPr="00564903">
        <w:rPr>
          <w:rFonts w:ascii="Arial" w:eastAsia="Calibri" w:hAnsi="Arial" w:cs="Arial"/>
          <w:sz w:val="24"/>
          <w:szCs w:val="24"/>
        </w:rPr>
        <w:t>In the matter between:</w:t>
      </w:r>
      <w:r w:rsidRPr="00564903">
        <w:rPr>
          <w:rFonts w:ascii="Arial" w:eastAsia="Calibri" w:hAnsi="Arial" w:cs="Arial"/>
          <w:sz w:val="24"/>
          <w:szCs w:val="24"/>
        </w:rPr>
        <w:tab/>
      </w:r>
      <w:r w:rsidRPr="00564903">
        <w:rPr>
          <w:rFonts w:ascii="Arial" w:eastAsia="Calibri" w:hAnsi="Arial" w:cs="Arial"/>
          <w:sz w:val="24"/>
          <w:szCs w:val="24"/>
        </w:rPr>
        <w:tab/>
      </w:r>
      <w:r w:rsidRPr="00564903">
        <w:rPr>
          <w:rFonts w:ascii="Arial" w:eastAsia="Calibri" w:hAnsi="Arial" w:cs="Arial"/>
          <w:sz w:val="24"/>
          <w:szCs w:val="24"/>
        </w:rPr>
        <w:tab/>
      </w:r>
      <w:r w:rsidRPr="00564903">
        <w:rPr>
          <w:rFonts w:ascii="Arial" w:eastAsia="Calibri" w:hAnsi="Arial" w:cs="Arial"/>
          <w:sz w:val="24"/>
          <w:szCs w:val="24"/>
        </w:rPr>
        <w:tab/>
      </w:r>
      <w:r w:rsidRPr="00564903">
        <w:rPr>
          <w:rFonts w:ascii="Arial" w:eastAsia="Calibri" w:hAnsi="Arial" w:cs="Arial"/>
          <w:sz w:val="24"/>
          <w:szCs w:val="24"/>
        </w:rPr>
        <w:tab/>
        <w:t xml:space="preserve">            </w:t>
      </w:r>
    </w:p>
    <w:p w:rsidR="00564903" w:rsidRPr="00564903" w:rsidRDefault="00564903" w:rsidP="00564903">
      <w:pPr>
        <w:spacing w:after="0" w:line="360" w:lineRule="auto"/>
        <w:rPr>
          <w:rFonts w:ascii="Arial" w:eastAsia="Calibri" w:hAnsi="Arial" w:cs="Arial"/>
          <w:sz w:val="24"/>
          <w:szCs w:val="24"/>
        </w:rPr>
      </w:pPr>
    </w:p>
    <w:p w:rsidR="00564903" w:rsidRPr="00564903" w:rsidRDefault="00564903" w:rsidP="00564903">
      <w:pPr>
        <w:tabs>
          <w:tab w:val="right" w:pos="9360"/>
        </w:tabs>
        <w:rPr>
          <w:rFonts w:ascii="Arial" w:eastAsia="Calibri" w:hAnsi="Arial" w:cs="Arial"/>
          <w:b/>
          <w:sz w:val="24"/>
          <w:szCs w:val="24"/>
          <w:lang w:val="en-GB" w:eastAsia="x-none"/>
        </w:rPr>
      </w:pPr>
      <w:r w:rsidRPr="00564903">
        <w:rPr>
          <w:rFonts w:ascii="Arial" w:eastAsia="Calibri" w:hAnsi="Arial" w:cs="Arial"/>
          <w:b/>
          <w:sz w:val="24"/>
          <w:szCs w:val="24"/>
          <w:lang w:val="en-GB" w:eastAsia="x-none"/>
        </w:rPr>
        <w:t xml:space="preserve">STANDARD BANK NAMIBIA LIMITED   </w:t>
      </w:r>
      <w:r w:rsidRPr="00564903">
        <w:rPr>
          <w:rFonts w:ascii="Arial" w:eastAsia="Calibri" w:hAnsi="Arial" w:cs="Arial"/>
          <w:b/>
          <w:sz w:val="24"/>
          <w:szCs w:val="24"/>
          <w:lang w:val="en-GB" w:eastAsia="x-none"/>
        </w:rPr>
        <w:tab/>
      </w:r>
      <w:r>
        <w:rPr>
          <w:rFonts w:ascii="Arial" w:eastAsia="Calibri" w:hAnsi="Arial" w:cs="Arial"/>
          <w:b/>
          <w:sz w:val="24"/>
          <w:szCs w:val="24"/>
          <w:lang w:val="en-GB" w:eastAsia="x-none"/>
        </w:rPr>
        <w:t>PLAINTIFF</w:t>
      </w:r>
    </w:p>
    <w:p w:rsidR="00517F19" w:rsidRDefault="00517F19" w:rsidP="00564903">
      <w:pPr>
        <w:spacing w:after="0" w:line="360" w:lineRule="auto"/>
        <w:jc w:val="both"/>
        <w:rPr>
          <w:rFonts w:ascii="Arial" w:eastAsia="Calibri" w:hAnsi="Arial" w:cs="Arial"/>
          <w:sz w:val="24"/>
          <w:szCs w:val="24"/>
        </w:rPr>
      </w:pPr>
    </w:p>
    <w:p w:rsidR="00564903" w:rsidRPr="00564903" w:rsidRDefault="00564903" w:rsidP="00564903">
      <w:pPr>
        <w:spacing w:after="0" w:line="360" w:lineRule="auto"/>
        <w:jc w:val="both"/>
        <w:rPr>
          <w:rFonts w:ascii="Arial" w:eastAsia="Calibri" w:hAnsi="Arial" w:cs="Arial"/>
          <w:sz w:val="24"/>
          <w:szCs w:val="24"/>
        </w:rPr>
      </w:pPr>
      <w:r w:rsidRPr="00564903">
        <w:rPr>
          <w:rFonts w:ascii="Arial" w:eastAsia="Calibri" w:hAnsi="Arial" w:cs="Arial"/>
          <w:sz w:val="24"/>
          <w:szCs w:val="24"/>
        </w:rPr>
        <w:t>and</w:t>
      </w:r>
    </w:p>
    <w:p w:rsidR="00564903" w:rsidRPr="00517F19" w:rsidRDefault="00564903" w:rsidP="00564903">
      <w:pPr>
        <w:spacing w:after="0" w:line="360" w:lineRule="auto"/>
        <w:jc w:val="both"/>
        <w:rPr>
          <w:rFonts w:ascii="Arial" w:eastAsia="Calibri" w:hAnsi="Arial" w:cs="Arial"/>
          <w:sz w:val="24"/>
          <w:szCs w:val="24"/>
        </w:rPr>
      </w:pPr>
    </w:p>
    <w:p w:rsidR="00564903" w:rsidRPr="00564903" w:rsidRDefault="00564903" w:rsidP="00564903">
      <w:pPr>
        <w:tabs>
          <w:tab w:val="right" w:pos="9360"/>
        </w:tabs>
        <w:spacing w:after="0" w:line="360" w:lineRule="auto"/>
        <w:jc w:val="both"/>
        <w:rPr>
          <w:rFonts w:ascii="Arial" w:eastAsia="Calibri" w:hAnsi="Arial" w:cs="Arial"/>
          <w:b/>
          <w:sz w:val="24"/>
          <w:szCs w:val="24"/>
        </w:rPr>
      </w:pPr>
      <w:r>
        <w:rPr>
          <w:rFonts w:ascii="Arial" w:eastAsia="Calibri" w:hAnsi="Arial" w:cs="Arial"/>
          <w:b/>
          <w:sz w:val="24"/>
          <w:szCs w:val="24"/>
        </w:rPr>
        <w:t>AUGUST NDJWAKI AUGUSTO</w:t>
      </w:r>
      <w:r w:rsidRPr="00564903">
        <w:rPr>
          <w:rFonts w:ascii="Arial" w:eastAsia="Calibri" w:hAnsi="Arial" w:cs="Arial"/>
          <w:b/>
          <w:sz w:val="24"/>
          <w:szCs w:val="24"/>
        </w:rPr>
        <w:t xml:space="preserve">       </w:t>
      </w:r>
      <w:r w:rsidRPr="00564903">
        <w:rPr>
          <w:rFonts w:ascii="Arial" w:eastAsia="Calibri" w:hAnsi="Arial" w:cs="Arial"/>
          <w:b/>
          <w:sz w:val="24"/>
          <w:szCs w:val="24"/>
        </w:rPr>
        <w:tab/>
      </w:r>
      <w:r>
        <w:rPr>
          <w:rFonts w:ascii="Arial" w:eastAsia="Calibri" w:hAnsi="Arial" w:cs="Arial"/>
          <w:b/>
          <w:sz w:val="24"/>
          <w:szCs w:val="24"/>
        </w:rPr>
        <w:t>FIRST DEFENDANT</w:t>
      </w:r>
    </w:p>
    <w:p w:rsidR="00564903" w:rsidRPr="00564903" w:rsidRDefault="00564903" w:rsidP="00564903">
      <w:pPr>
        <w:tabs>
          <w:tab w:val="right" w:pos="9360"/>
        </w:tabs>
        <w:spacing w:after="0" w:line="360" w:lineRule="auto"/>
        <w:jc w:val="both"/>
        <w:rPr>
          <w:rFonts w:ascii="Arial" w:eastAsia="Calibri" w:hAnsi="Arial" w:cs="Arial"/>
          <w:b/>
          <w:sz w:val="24"/>
          <w:szCs w:val="24"/>
        </w:rPr>
      </w:pPr>
      <w:r>
        <w:rPr>
          <w:rFonts w:ascii="Arial" w:eastAsia="Calibri" w:hAnsi="Arial" w:cs="Arial"/>
          <w:b/>
          <w:sz w:val="24"/>
          <w:szCs w:val="24"/>
        </w:rPr>
        <w:t xml:space="preserve">ZIITA AUGUSTO </w:t>
      </w:r>
      <w:r w:rsidRPr="00564903">
        <w:rPr>
          <w:rFonts w:ascii="Arial" w:eastAsia="Calibri" w:hAnsi="Arial" w:cs="Arial"/>
          <w:b/>
          <w:sz w:val="24"/>
          <w:szCs w:val="24"/>
        </w:rPr>
        <w:t xml:space="preserve"> </w:t>
      </w:r>
      <w:r w:rsidRPr="00564903">
        <w:rPr>
          <w:rFonts w:ascii="Arial" w:eastAsia="Calibri" w:hAnsi="Arial" w:cs="Arial"/>
          <w:b/>
          <w:sz w:val="24"/>
          <w:szCs w:val="24"/>
        </w:rPr>
        <w:tab/>
      </w:r>
      <w:r>
        <w:rPr>
          <w:rFonts w:ascii="Arial" w:eastAsia="Calibri" w:hAnsi="Arial" w:cs="Arial"/>
          <w:b/>
          <w:sz w:val="24"/>
          <w:szCs w:val="24"/>
        </w:rPr>
        <w:t>SECOND DEFENDANT</w:t>
      </w:r>
    </w:p>
    <w:p w:rsidR="00564903" w:rsidRPr="00564903" w:rsidRDefault="00564903" w:rsidP="00564903">
      <w:pPr>
        <w:tabs>
          <w:tab w:val="right" w:pos="9360"/>
        </w:tabs>
        <w:spacing w:after="0" w:line="360" w:lineRule="auto"/>
        <w:jc w:val="both"/>
        <w:rPr>
          <w:rFonts w:ascii="Arial" w:eastAsia="Calibri" w:hAnsi="Arial" w:cs="Arial"/>
          <w:b/>
          <w:sz w:val="24"/>
          <w:szCs w:val="24"/>
        </w:rPr>
      </w:pPr>
      <w:r>
        <w:rPr>
          <w:rFonts w:ascii="Arial" w:eastAsia="Calibri" w:hAnsi="Arial" w:cs="Arial"/>
          <w:b/>
          <w:sz w:val="24"/>
          <w:szCs w:val="24"/>
        </w:rPr>
        <w:t>AUGI INVESTMENTS CC</w:t>
      </w:r>
      <w:r w:rsidRPr="00564903">
        <w:rPr>
          <w:rFonts w:ascii="Arial" w:eastAsia="Calibri" w:hAnsi="Arial" w:cs="Arial"/>
          <w:b/>
          <w:sz w:val="24"/>
          <w:szCs w:val="24"/>
        </w:rPr>
        <w:t xml:space="preserve"> </w:t>
      </w:r>
      <w:r w:rsidRPr="00564903">
        <w:rPr>
          <w:rFonts w:ascii="Arial" w:eastAsia="Calibri" w:hAnsi="Arial" w:cs="Arial"/>
          <w:b/>
          <w:sz w:val="24"/>
          <w:szCs w:val="24"/>
        </w:rPr>
        <w:tab/>
      </w:r>
      <w:r>
        <w:rPr>
          <w:rFonts w:ascii="Arial" w:eastAsia="Calibri" w:hAnsi="Arial" w:cs="Arial"/>
          <w:b/>
          <w:sz w:val="24"/>
          <w:szCs w:val="24"/>
        </w:rPr>
        <w:t>THIRD DEFENDANT</w:t>
      </w:r>
    </w:p>
    <w:p w:rsidR="00564903" w:rsidRDefault="00564903" w:rsidP="00564903">
      <w:pPr>
        <w:tabs>
          <w:tab w:val="right" w:pos="9360"/>
        </w:tabs>
        <w:spacing w:after="0" w:line="360" w:lineRule="auto"/>
        <w:jc w:val="both"/>
        <w:rPr>
          <w:rFonts w:ascii="Arial" w:eastAsia="Calibri" w:hAnsi="Arial" w:cs="Arial"/>
          <w:b/>
          <w:sz w:val="24"/>
          <w:szCs w:val="24"/>
        </w:rPr>
      </w:pPr>
      <w:r>
        <w:rPr>
          <w:rFonts w:ascii="Arial" w:eastAsia="Calibri" w:hAnsi="Arial" w:cs="Arial"/>
          <w:b/>
          <w:sz w:val="24"/>
          <w:szCs w:val="24"/>
        </w:rPr>
        <w:t>HOME LAND SECURITY SERVICES</w:t>
      </w:r>
      <w:r>
        <w:rPr>
          <w:rFonts w:ascii="Arial" w:eastAsia="Calibri" w:hAnsi="Arial" w:cs="Arial"/>
          <w:b/>
          <w:sz w:val="24"/>
          <w:szCs w:val="24"/>
        </w:rPr>
        <w:tab/>
        <w:t>FOURTH DEFENDANT</w:t>
      </w:r>
    </w:p>
    <w:p w:rsidR="00564903" w:rsidRPr="00564903" w:rsidRDefault="00564903" w:rsidP="00564903">
      <w:pPr>
        <w:tabs>
          <w:tab w:val="right" w:pos="9360"/>
        </w:tabs>
        <w:spacing w:after="0" w:line="360" w:lineRule="auto"/>
        <w:jc w:val="both"/>
        <w:rPr>
          <w:rFonts w:ascii="Arial" w:eastAsia="Calibri" w:hAnsi="Arial" w:cs="Arial"/>
          <w:b/>
          <w:sz w:val="24"/>
          <w:szCs w:val="24"/>
          <w:u w:val="single"/>
        </w:rPr>
      </w:pPr>
    </w:p>
    <w:p w:rsidR="00564903" w:rsidRPr="00564903" w:rsidRDefault="00564903" w:rsidP="000968A8">
      <w:pPr>
        <w:spacing w:after="0" w:line="360" w:lineRule="auto"/>
        <w:jc w:val="both"/>
        <w:rPr>
          <w:rFonts w:ascii="Arial" w:eastAsia="Calibri" w:hAnsi="Arial" w:cs="Arial"/>
          <w:sz w:val="24"/>
          <w:szCs w:val="24"/>
        </w:rPr>
      </w:pPr>
      <w:r w:rsidRPr="00564903">
        <w:rPr>
          <w:rFonts w:ascii="Arial" w:eastAsia="Calibri" w:hAnsi="Arial" w:cs="Arial"/>
          <w:b/>
          <w:sz w:val="24"/>
          <w:szCs w:val="24"/>
        </w:rPr>
        <w:t>Neutral citation:</w:t>
      </w:r>
      <w:r w:rsidRPr="00564903">
        <w:rPr>
          <w:rFonts w:ascii="Arial" w:eastAsia="Calibri" w:hAnsi="Arial" w:cs="Arial"/>
          <w:b/>
          <w:sz w:val="24"/>
          <w:szCs w:val="24"/>
        </w:rPr>
        <w:tab/>
      </w:r>
      <w:bookmarkStart w:id="0" w:name="_GoBack"/>
      <w:r w:rsidRPr="00564903">
        <w:rPr>
          <w:rFonts w:ascii="Arial" w:eastAsia="Calibri" w:hAnsi="Arial" w:cs="Arial"/>
          <w:i/>
          <w:sz w:val="24"/>
          <w:szCs w:val="24"/>
        </w:rPr>
        <w:t xml:space="preserve">Standard Bank Namibia Ltd v </w:t>
      </w:r>
      <w:r>
        <w:rPr>
          <w:rFonts w:ascii="Arial" w:eastAsia="Calibri" w:hAnsi="Arial" w:cs="Arial"/>
          <w:i/>
          <w:sz w:val="24"/>
          <w:szCs w:val="24"/>
        </w:rPr>
        <w:t>Augusto</w:t>
      </w:r>
      <w:r w:rsidRPr="00564903">
        <w:rPr>
          <w:rFonts w:ascii="Arial" w:eastAsia="Calibri" w:hAnsi="Arial" w:cs="Arial"/>
          <w:i/>
          <w:sz w:val="24"/>
          <w:szCs w:val="24"/>
        </w:rPr>
        <w:t xml:space="preserve"> </w:t>
      </w:r>
      <w:r w:rsidRPr="00564903">
        <w:rPr>
          <w:rFonts w:ascii="Arial" w:eastAsia="Calibri" w:hAnsi="Arial" w:cs="Arial"/>
          <w:sz w:val="24"/>
          <w:szCs w:val="24"/>
        </w:rPr>
        <w:t xml:space="preserve">(I </w:t>
      </w:r>
      <w:r>
        <w:rPr>
          <w:rFonts w:ascii="Arial" w:eastAsia="Calibri" w:hAnsi="Arial" w:cs="Arial"/>
          <w:sz w:val="24"/>
          <w:szCs w:val="24"/>
        </w:rPr>
        <w:t>114/</w:t>
      </w:r>
      <w:r w:rsidRPr="00564903">
        <w:rPr>
          <w:rFonts w:ascii="Arial" w:eastAsia="Calibri" w:hAnsi="Arial" w:cs="Arial"/>
          <w:sz w:val="24"/>
          <w:szCs w:val="24"/>
        </w:rPr>
        <w:t>2014)</w:t>
      </w:r>
      <w:r>
        <w:rPr>
          <w:rFonts w:ascii="Arial" w:eastAsia="Calibri" w:hAnsi="Arial" w:cs="Arial"/>
          <w:sz w:val="24"/>
          <w:szCs w:val="24"/>
        </w:rPr>
        <w:t xml:space="preserve"> </w:t>
      </w:r>
      <w:r w:rsidRPr="00564903">
        <w:rPr>
          <w:rFonts w:ascii="Arial" w:eastAsia="Calibri" w:hAnsi="Arial" w:cs="Arial"/>
          <w:sz w:val="24"/>
          <w:szCs w:val="24"/>
        </w:rPr>
        <w:t>[201</w:t>
      </w:r>
      <w:r>
        <w:rPr>
          <w:rFonts w:ascii="Arial" w:eastAsia="Calibri" w:hAnsi="Arial" w:cs="Arial"/>
          <w:sz w:val="24"/>
          <w:szCs w:val="24"/>
        </w:rPr>
        <w:t>9</w:t>
      </w:r>
      <w:r w:rsidRPr="00564903">
        <w:rPr>
          <w:rFonts w:ascii="Arial" w:eastAsia="Calibri" w:hAnsi="Arial" w:cs="Arial"/>
          <w:sz w:val="24"/>
          <w:szCs w:val="24"/>
        </w:rPr>
        <w:t xml:space="preserve">] NAHCMD </w:t>
      </w:r>
      <w:r w:rsidR="001A64DD">
        <w:rPr>
          <w:rFonts w:ascii="Arial" w:eastAsia="Calibri" w:hAnsi="Arial" w:cs="Arial"/>
          <w:sz w:val="24"/>
          <w:szCs w:val="24"/>
        </w:rPr>
        <w:t>208</w:t>
      </w:r>
      <w:r w:rsidR="00867D0C">
        <w:rPr>
          <w:rFonts w:ascii="Arial" w:eastAsia="Calibri" w:hAnsi="Arial" w:cs="Arial"/>
          <w:sz w:val="24"/>
          <w:szCs w:val="24"/>
        </w:rPr>
        <w:t xml:space="preserve"> </w:t>
      </w:r>
      <w:r w:rsidRPr="00564903">
        <w:rPr>
          <w:rFonts w:ascii="Arial" w:eastAsia="Calibri" w:hAnsi="Arial" w:cs="Arial"/>
          <w:sz w:val="24"/>
          <w:szCs w:val="24"/>
        </w:rPr>
        <w:t>(</w:t>
      </w:r>
      <w:r w:rsidR="001A64DD">
        <w:rPr>
          <w:rFonts w:ascii="Arial" w:eastAsia="Calibri" w:hAnsi="Arial" w:cs="Arial"/>
          <w:sz w:val="24"/>
          <w:szCs w:val="24"/>
        </w:rPr>
        <w:t>25</w:t>
      </w:r>
      <w:r w:rsidR="00867D0C">
        <w:rPr>
          <w:rFonts w:ascii="Arial" w:eastAsia="Calibri" w:hAnsi="Arial" w:cs="Arial"/>
          <w:sz w:val="24"/>
          <w:szCs w:val="24"/>
        </w:rPr>
        <w:t xml:space="preserve"> June 2019</w:t>
      </w:r>
      <w:r w:rsidRPr="00564903">
        <w:rPr>
          <w:rFonts w:ascii="Arial" w:eastAsia="Calibri" w:hAnsi="Arial" w:cs="Arial"/>
          <w:sz w:val="24"/>
          <w:szCs w:val="24"/>
        </w:rPr>
        <w:t>)</w:t>
      </w:r>
      <w:bookmarkEnd w:id="0"/>
    </w:p>
    <w:p w:rsidR="00564903" w:rsidRPr="00564903" w:rsidRDefault="00564903" w:rsidP="00564903">
      <w:pPr>
        <w:spacing w:after="0" w:line="360" w:lineRule="auto"/>
        <w:jc w:val="both"/>
        <w:rPr>
          <w:rFonts w:ascii="Arial" w:eastAsia="Calibri" w:hAnsi="Arial" w:cs="Arial"/>
          <w:b/>
          <w:sz w:val="24"/>
          <w:szCs w:val="24"/>
        </w:rPr>
      </w:pPr>
    </w:p>
    <w:p w:rsidR="00564903" w:rsidRPr="00564903" w:rsidRDefault="00564903" w:rsidP="00517F19">
      <w:pPr>
        <w:spacing w:after="0" w:line="480" w:lineRule="auto"/>
        <w:ind w:left="1440" w:hanging="1440"/>
        <w:jc w:val="both"/>
        <w:rPr>
          <w:rFonts w:ascii="Arial" w:eastAsia="Calibri" w:hAnsi="Arial" w:cs="Arial"/>
          <w:b/>
          <w:i/>
          <w:sz w:val="24"/>
          <w:szCs w:val="24"/>
        </w:rPr>
      </w:pPr>
      <w:r w:rsidRPr="00564903">
        <w:rPr>
          <w:rFonts w:ascii="Arial" w:eastAsia="Calibri" w:hAnsi="Arial" w:cs="Arial"/>
          <w:b/>
          <w:sz w:val="24"/>
          <w:szCs w:val="24"/>
        </w:rPr>
        <w:t>Coram:</w:t>
      </w:r>
      <w:r w:rsidR="00F551FA">
        <w:rPr>
          <w:rFonts w:ascii="Arial" w:eastAsia="Calibri" w:hAnsi="Arial" w:cs="Arial"/>
          <w:b/>
          <w:sz w:val="24"/>
          <w:szCs w:val="24"/>
        </w:rPr>
        <w:tab/>
      </w:r>
      <w:r w:rsidR="0043021D">
        <w:rPr>
          <w:rFonts w:ascii="Arial" w:eastAsia="Calibri" w:hAnsi="Arial" w:cs="Arial"/>
          <w:b/>
          <w:sz w:val="24"/>
          <w:szCs w:val="24"/>
        </w:rPr>
        <w:tab/>
      </w:r>
      <w:r w:rsidR="0043021D">
        <w:rPr>
          <w:rFonts w:ascii="Arial" w:eastAsia="Calibri" w:hAnsi="Arial" w:cs="Arial"/>
          <w:b/>
          <w:sz w:val="24"/>
          <w:szCs w:val="24"/>
        </w:rPr>
        <w:tab/>
      </w:r>
      <w:r>
        <w:rPr>
          <w:rFonts w:ascii="Arial" w:eastAsia="Calibri" w:hAnsi="Arial" w:cs="Arial"/>
          <w:sz w:val="24"/>
          <w:szCs w:val="24"/>
        </w:rPr>
        <w:t>UEITELE J</w:t>
      </w:r>
    </w:p>
    <w:p w:rsidR="00564903" w:rsidRDefault="00564903" w:rsidP="00517F19">
      <w:pPr>
        <w:spacing w:after="0" w:line="480" w:lineRule="auto"/>
        <w:jc w:val="both"/>
        <w:rPr>
          <w:rFonts w:ascii="Arial" w:eastAsia="Calibri" w:hAnsi="Arial" w:cs="Arial"/>
          <w:b/>
          <w:sz w:val="24"/>
          <w:szCs w:val="24"/>
        </w:rPr>
      </w:pPr>
      <w:r w:rsidRPr="00564903">
        <w:rPr>
          <w:rFonts w:ascii="Arial" w:eastAsia="Calibri" w:hAnsi="Arial" w:cs="Arial"/>
          <w:b/>
          <w:bCs/>
          <w:sz w:val="24"/>
          <w:szCs w:val="24"/>
        </w:rPr>
        <w:t>Heard</w:t>
      </w:r>
      <w:r w:rsidRPr="00564903">
        <w:rPr>
          <w:rFonts w:ascii="Arial" w:eastAsia="Calibri" w:hAnsi="Arial" w:cs="Arial"/>
          <w:sz w:val="24"/>
          <w:szCs w:val="24"/>
        </w:rPr>
        <w:t>:</w:t>
      </w:r>
      <w:r w:rsidR="00F551FA">
        <w:rPr>
          <w:rFonts w:ascii="Arial" w:eastAsia="Calibri" w:hAnsi="Arial" w:cs="Arial"/>
          <w:sz w:val="24"/>
          <w:szCs w:val="24"/>
        </w:rPr>
        <w:tab/>
      </w:r>
      <w:r w:rsidR="0043021D">
        <w:rPr>
          <w:rFonts w:ascii="Arial" w:eastAsia="Calibri" w:hAnsi="Arial" w:cs="Arial"/>
          <w:sz w:val="24"/>
          <w:szCs w:val="24"/>
        </w:rPr>
        <w:tab/>
      </w:r>
      <w:r w:rsidR="0043021D">
        <w:rPr>
          <w:rFonts w:ascii="Arial" w:eastAsia="Calibri" w:hAnsi="Arial" w:cs="Arial"/>
          <w:sz w:val="24"/>
          <w:szCs w:val="24"/>
        </w:rPr>
        <w:tab/>
      </w:r>
      <w:r w:rsidR="00F551FA">
        <w:rPr>
          <w:rFonts w:ascii="Arial" w:eastAsia="Calibri" w:hAnsi="Arial" w:cs="Arial"/>
          <w:sz w:val="24"/>
          <w:szCs w:val="24"/>
        </w:rPr>
        <w:t>2</w:t>
      </w:r>
      <w:r w:rsidR="00B85A11">
        <w:rPr>
          <w:rFonts w:ascii="Arial" w:eastAsia="Calibri" w:hAnsi="Arial" w:cs="Arial"/>
          <w:sz w:val="24"/>
          <w:szCs w:val="24"/>
        </w:rPr>
        <w:t>9 June</w:t>
      </w:r>
      <w:r w:rsidR="00F551FA">
        <w:rPr>
          <w:rFonts w:ascii="Arial" w:eastAsia="Calibri" w:hAnsi="Arial" w:cs="Arial"/>
          <w:sz w:val="24"/>
          <w:szCs w:val="24"/>
        </w:rPr>
        <w:t xml:space="preserve"> 2017</w:t>
      </w:r>
    </w:p>
    <w:p w:rsidR="00564903" w:rsidRPr="0043021D" w:rsidRDefault="00564903" w:rsidP="00517F19">
      <w:pPr>
        <w:spacing w:after="0" w:line="480" w:lineRule="auto"/>
        <w:jc w:val="both"/>
        <w:rPr>
          <w:rFonts w:ascii="Arial" w:eastAsia="Calibri" w:hAnsi="Arial" w:cs="Arial"/>
          <w:sz w:val="24"/>
          <w:szCs w:val="24"/>
        </w:rPr>
      </w:pPr>
      <w:r w:rsidRPr="00564903">
        <w:rPr>
          <w:rFonts w:ascii="Arial" w:eastAsia="Calibri" w:hAnsi="Arial" w:cs="Arial"/>
          <w:b/>
          <w:bCs/>
          <w:sz w:val="24"/>
          <w:szCs w:val="24"/>
        </w:rPr>
        <w:t>Delivered</w:t>
      </w:r>
      <w:r w:rsidRPr="00564903">
        <w:rPr>
          <w:rFonts w:ascii="Arial" w:eastAsia="Calibri" w:hAnsi="Arial" w:cs="Arial"/>
          <w:sz w:val="24"/>
          <w:szCs w:val="24"/>
        </w:rPr>
        <w:t>:</w:t>
      </w:r>
      <w:r w:rsidRPr="00564903">
        <w:rPr>
          <w:rFonts w:ascii="Arial" w:eastAsia="Calibri" w:hAnsi="Arial" w:cs="Arial"/>
          <w:sz w:val="24"/>
          <w:szCs w:val="24"/>
        </w:rPr>
        <w:tab/>
      </w:r>
      <w:r w:rsidR="0043021D">
        <w:rPr>
          <w:rFonts w:ascii="Arial" w:eastAsia="Calibri" w:hAnsi="Arial" w:cs="Arial"/>
          <w:sz w:val="24"/>
          <w:szCs w:val="24"/>
        </w:rPr>
        <w:tab/>
      </w:r>
      <w:r w:rsidR="0043021D">
        <w:rPr>
          <w:rFonts w:ascii="Arial" w:eastAsia="Calibri" w:hAnsi="Arial" w:cs="Arial"/>
          <w:sz w:val="24"/>
          <w:szCs w:val="24"/>
        </w:rPr>
        <w:tab/>
      </w:r>
      <w:r w:rsidR="00517F19">
        <w:rPr>
          <w:rFonts w:ascii="Arial" w:eastAsia="Calibri" w:hAnsi="Arial" w:cs="Arial"/>
          <w:sz w:val="24"/>
          <w:szCs w:val="24"/>
        </w:rPr>
        <w:t>30 November</w:t>
      </w:r>
      <w:r w:rsidR="0043021D" w:rsidRPr="0043021D">
        <w:rPr>
          <w:rFonts w:ascii="Arial" w:eastAsia="Calibri" w:hAnsi="Arial" w:cs="Arial"/>
          <w:sz w:val="24"/>
          <w:szCs w:val="24"/>
        </w:rPr>
        <w:t xml:space="preserve"> 2018</w:t>
      </w:r>
    </w:p>
    <w:p w:rsidR="00564903" w:rsidRPr="0043021D" w:rsidRDefault="0043021D" w:rsidP="00517F19">
      <w:pPr>
        <w:spacing w:after="0" w:line="360" w:lineRule="auto"/>
        <w:jc w:val="both"/>
        <w:rPr>
          <w:rFonts w:ascii="Arial" w:eastAsia="Calibri" w:hAnsi="Arial" w:cs="Arial"/>
          <w:b/>
          <w:sz w:val="24"/>
          <w:szCs w:val="24"/>
        </w:rPr>
      </w:pPr>
      <w:r w:rsidRPr="0043021D">
        <w:rPr>
          <w:rFonts w:ascii="Arial" w:eastAsia="Calibri" w:hAnsi="Arial" w:cs="Arial"/>
          <w:b/>
          <w:sz w:val="24"/>
          <w:szCs w:val="24"/>
        </w:rPr>
        <w:t xml:space="preserve">Reasons released </w:t>
      </w:r>
      <w:r w:rsidR="00517F19">
        <w:rPr>
          <w:rFonts w:ascii="Arial" w:eastAsia="Calibri" w:hAnsi="Arial" w:cs="Arial"/>
          <w:b/>
          <w:sz w:val="24"/>
          <w:szCs w:val="24"/>
        </w:rPr>
        <w:tab/>
      </w:r>
      <w:r w:rsidR="00517F19">
        <w:rPr>
          <w:rFonts w:ascii="Arial" w:eastAsia="Calibri" w:hAnsi="Arial" w:cs="Arial"/>
          <w:b/>
          <w:sz w:val="24"/>
          <w:szCs w:val="24"/>
        </w:rPr>
        <w:tab/>
      </w:r>
      <w:r w:rsidR="001A64DD">
        <w:rPr>
          <w:rFonts w:ascii="Arial" w:eastAsia="Calibri" w:hAnsi="Arial" w:cs="Arial"/>
          <w:sz w:val="24"/>
          <w:szCs w:val="24"/>
        </w:rPr>
        <w:t>25 June</w:t>
      </w:r>
      <w:r w:rsidR="00CC523A">
        <w:rPr>
          <w:rFonts w:ascii="Arial" w:eastAsia="Calibri" w:hAnsi="Arial" w:cs="Arial"/>
          <w:sz w:val="24"/>
          <w:szCs w:val="24"/>
        </w:rPr>
        <w:t xml:space="preserve"> 2019</w:t>
      </w:r>
    </w:p>
    <w:p w:rsidR="0043021D" w:rsidRDefault="0043021D" w:rsidP="006305A0">
      <w:pPr>
        <w:autoSpaceDE w:val="0"/>
        <w:autoSpaceDN w:val="0"/>
        <w:adjustRightInd w:val="0"/>
        <w:spacing w:after="0" w:line="360" w:lineRule="auto"/>
        <w:jc w:val="both"/>
        <w:rPr>
          <w:rFonts w:ascii="Arial" w:eastAsia="Calibri" w:hAnsi="Arial" w:cs="Arial"/>
          <w:b/>
          <w:sz w:val="24"/>
          <w:szCs w:val="24"/>
        </w:rPr>
      </w:pPr>
    </w:p>
    <w:p w:rsidR="006305A0" w:rsidRDefault="00564903" w:rsidP="006305A0">
      <w:pPr>
        <w:autoSpaceDE w:val="0"/>
        <w:autoSpaceDN w:val="0"/>
        <w:adjustRightInd w:val="0"/>
        <w:spacing w:after="0" w:line="360" w:lineRule="auto"/>
        <w:jc w:val="both"/>
        <w:rPr>
          <w:rFonts w:ascii="Arial" w:eastAsia="Calibri" w:hAnsi="Arial" w:cs="Arial"/>
          <w:sz w:val="24"/>
          <w:szCs w:val="24"/>
        </w:rPr>
      </w:pPr>
      <w:r w:rsidRPr="00564903">
        <w:rPr>
          <w:rFonts w:ascii="Arial" w:eastAsia="Calibri" w:hAnsi="Arial" w:cs="Arial"/>
          <w:b/>
          <w:sz w:val="24"/>
          <w:szCs w:val="24"/>
        </w:rPr>
        <w:t>Flynote:</w:t>
      </w:r>
      <w:r w:rsidRPr="00564903">
        <w:rPr>
          <w:rFonts w:ascii="Arial" w:eastAsia="Calibri" w:hAnsi="Arial" w:cs="Arial"/>
          <w:sz w:val="24"/>
          <w:szCs w:val="24"/>
        </w:rPr>
        <w:t xml:space="preserve"> </w:t>
      </w:r>
      <w:r w:rsidR="006305A0" w:rsidRPr="006305A0">
        <w:rPr>
          <w:rFonts w:ascii="Arial" w:eastAsia="Calibri" w:hAnsi="Arial" w:cs="Arial"/>
          <w:sz w:val="24"/>
          <w:szCs w:val="24"/>
        </w:rPr>
        <w:t>Application and Mot</w:t>
      </w:r>
      <w:r w:rsidR="00F92EA4">
        <w:rPr>
          <w:rFonts w:ascii="Arial" w:eastAsia="Calibri" w:hAnsi="Arial" w:cs="Arial"/>
          <w:sz w:val="24"/>
          <w:szCs w:val="24"/>
        </w:rPr>
        <w:t>ions – Application in terms of r</w:t>
      </w:r>
      <w:r w:rsidR="006305A0" w:rsidRPr="006305A0">
        <w:rPr>
          <w:rFonts w:ascii="Arial" w:eastAsia="Calibri" w:hAnsi="Arial" w:cs="Arial"/>
          <w:sz w:val="24"/>
          <w:szCs w:val="24"/>
        </w:rPr>
        <w:t>ule 108</w:t>
      </w:r>
      <w:r w:rsidR="00867D0C">
        <w:rPr>
          <w:rFonts w:ascii="Arial" w:eastAsia="Calibri" w:hAnsi="Arial" w:cs="Arial"/>
          <w:sz w:val="24"/>
          <w:szCs w:val="24"/>
        </w:rPr>
        <w:t xml:space="preserve"> </w:t>
      </w:r>
      <w:r w:rsidR="006305A0" w:rsidRPr="006305A0">
        <w:rPr>
          <w:rFonts w:ascii="Arial" w:eastAsia="Calibri" w:hAnsi="Arial" w:cs="Arial"/>
          <w:sz w:val="24"/>
          <w:szCs w:val="24"/>
        </w:rPr>
        <w:t>(1)</w:t>
      </w:r>
      <w:r w:rsidR="00867D0C">
        <w:rPr>
          <w:rFonts w:ascii="Arial" w:eastAsia="Calibri" w:hAnsi="Arial" w:cs="Arial"/>
          <w:sz w:val="24"/>
          <w:szCs w:val="24"/>
        </w:rPr>
        <w:t xml:space="preserve"> </w:t>
      </w:r>
      <w:r w:rsidR="006305A0" w:rsidRPr="006305A0">
        <w:rPr>
          <w:rFonts w:ascii="Arial" w:eastAsia="Calibri" w:hAnsi="Arial" w:cs="Arial"/>
          <w:sz w:val="24"/>
          <w:szCs w:val="24"/>
        </w:rPr>
        <w:t>(</w:t>
      </w:r>
      <w:r w:rsidR="006305A0" w:rsidRPr="006305A0">
        <w:rPr>
          <w:rFonts w:ascii="Arial" w:eastAsia="Calibri" w:hAnsi="Arial" w:cs="Arial"/>
          <w:i/>
          <w:sz w:val="24"/>
          <w:szCs w:val="24"/>
        </w:rPr>
        <w:t>b</w:t>
      </w:r>
      <w:r w:rsidR="006305A0" w:rsidRPr="006305A0">
        <w:rPr>
          <w:rFonts w:ascii="Arial" w:eastAsia="Calibri" w:hAnsi="Arial" w:cs="Arial"/>
          <w:sz w:val="24"/>
          <w:szCs w:val="24"/>
        </w:rPr>
        <w:t xml:space="preserve">) of the High Court Rules </w:t>
      </w:r>
      <w:r w:rsidRPr="00564903">
        <w:rPr>
          <w:rFonts w:ascii="Arial" w:eastAsia="Calibri" w:hAnsi="Arial" w:cs="Arial"/>
          <w:sz w:val="24"/>
          <w:szCs w:val="24"/>
        </w:rPr>
        <w:t xml:space="preserve">– </w:t>
      </w:r>
      <w:r w:rsidR="006305A0">
        <w:rPr>
          <w:rFonts w:ascii="Arial" w:eastAsia="Calibri" w:hAnsi="Arial" w:cs="Arial"/>
          <w:sz w:val="24"/>
          <w:szCs w:val="24"/>
        </w:rPr>
        <w:t xml:space="preserve">Opposition </w:t>
      </w:r>
      <w:r w:rsidR="0043021D">
        <w:rPr>
          <w:rFonts w:ascii="Arial" w:eastAsia="Calibri" w:hAnsi="Arial" w:cs="Arial"/>
          <w:sz w:val="24"/>
          <w:szCs w:val="24"/>
        </w:rPr>
        <w:t xml:space="preserve">to </w:t>
      </w:r>
      <w:r w:rsidR="00F92EA4">
        <w:rPr>
          <w:rFonts w:ascii="Arial" w:eastAsia="Calibri" w:hAnsi="Arial" w:cs="Arial"/>
          <w:sz w:val="24"/>
          <w:szCs w:val="24"/>
        </w:rPr>
        <w:t>r</w:t>
      </w:r>
      <w:r w:rsidR="006305A0" w:rsidRPr="006305A0">
        <w:rPr>
          <w:rFonts w:ascii="Arial" w:eastAsia="Calibri" w:hAnsi="Arial" w:cs="Arial"/>
          <w:sz w:val="24"/>
          <w:szCs w:val="24"/>
        </w:rPr>
        <w:t xml:space="preserve">ule 108 Application </w:t>
      </w:r>
      <w:r w:rsidRPr="00564903">
        <w:rPr>
          <w:rFonts w:ascii="Arial" w:eastAsia="Calibri" w:hAnsi="Arial" w:cs="Arial"/>
          <w:sz w:val="24"/>
          <w:szCs w:val="24"/>
        </w:rPr>
        <w:t>– Application by Mortgagee to declare an immovable property, placed under a mortgage bond specially executable</w:t>
      </w:r>
      <w:r w:rsidR="00867D0C">
        <w:rPr>
          <w:rFonts w:ascii="Arial" w:eastAsia="Calibri" w:hAnsi="Arial" w:cs="Arial"/>
          <w:sz w:val="24"/>
          <w:szCs w:val="24"/>
        </w:rPr>
        <w:t xml:space="preserve"> </w:t>
      </w:r>
      <w:r w:rsidR="00867D0C" w:rsidRPr="006305A0">
        <w:rPr>
          <w:rFonts w:ascii="Arial" w:eastAsia="Calibri" w:hAnsi="Arial" w:cs="Arial"/>
          <w:sz w:val="24"/>
          <w:szCs w:val="24"/>
        </w:rPr>
        <w:t>–</w:t>
      </w:r>
      <w:r>
        <w:rPr>
          <w:rFonts w:ascii="Arial" w:eastAsia="Calibri" w:hAnsi="Arial" w:cs="Arial"/>
          <w:sz w:val="24"/>
          <w:szCs w:val="24"/>
        </w:rPr>
        <w:t xml:space="preserve"> Immovable property being </w:t>
      </w:r>
      <w:r w:rsidR="006305A0">
        <w:rPr>
          <w:rFonts w:ascii="Arial" w:eastAsia="Calibri" w:hAnsi="Arial" w:cs="Arial"/>
          <w:sz w:val="24"/>
          <w:szCs w:val="24"/>
        </w:rPr>
        <w:t xml:space="preserve">the primary home </w:t>
      </w:r>
      <w:r w:rsidR="006305A0" w:rsidRPr="006305A0">
        <w:rPr>
          <w:rFonts w:ascii="Arial" w:eastAsia="Calibri" w:hAnsi="Arial" w:cs="Arial"/>
          <w:sz w:val="24"/>
          <w:szCs w:val="24"/>
        </w:rPr>
        <w:t xml:space="preserve">– </w:t>
      </w:r>
      <w:r w:rsidR="00566C75">
        <w:rPr>
          <w:rFonts w:ascii="Arial" w:eastAsia="Calibri" w:hAnsi="Arial" w:cs="Arial"/>
          <w:sz w:val="24"/>
          <w:szCs w:val="24"/>
        </w:rPr>
        <w:t xml:space="preserve">Judgment Debtor seeks the </w:t>
      </w:r>
      <w:r w:rsidR="00FE5177">
        <w:rPr>
          <w:rFonts w:ascii="Arial" w:eastAsia="Calibri" w:hAnsi="Arial" w:cs="Arial"/>
          <w:sz w:val="24"/>
          <w:szCs w:val="24"/>
        </w:rPr>
        <w:t xml:space="preserve">courts indulgence to stay the Rule 108 </w:t>
      </w:r>
      <w:r w:rsidR="006305A0" w:rsidRPr="006305A0">
        <w:rPr>
          <w:rFonts w:ascii="Arial" w:eastAsia="Calibri" w:hAnsi="Arial" w:cs="Arial"/>
          <w:sz w:val="24"/>
          <w:szCs w:val="24"/>
        </w:rPr>
        <w:t>Application</w:t>
      </w:r>
      <w:r w:rsidR="00FE5177">
        <w:rPr>
          <w:rFonts w:ascii="Arial" w:eastAsia="Calibri" w:hAnsi="Arial" w:cs="Arial"/>
          <w:sz w:val="24"/>
          <w:szCs w:val="24"/>
        </w:rPr>
        <w:t>.</w:t>
      </w:r>
    </w:p>
    <w:p w:rsidR="00095F75" w:rsidRDefault="00095F75" w:rsidP="006305A0">
      <w:pPr>
        <w:autoSpaceDE w:val="0"/>
        <w:autoSpaceDN w:val="0"/>
        <w:adjustRightInd w:val="0"/>
        <w:spacing w:after="0" w:line="360" w:lineRule="auto"/>
        <w:jc w:val="both"/>
        <w:rPr>
          <w:rFonts w:ascii="Arial" w:eastAsia="Calibri" w:hAnsi="Arial" w:cs="Arial"/>
          <w:sz w:val="24"/>
          <w:szCs w:val="24"/>
        </w:rPr>
      </w:pPr>
    </w:p>
    <w:p w:rsidR="002543E0" w:rsidRDefault="00095F75" w:rsidP="002543E0">
      <w:pPr>
        <w:spacing w:after="0" w:line="360" w:lineRule="auto"/>
        <w:jc w:val="both"/>
        <w:rPr>
          <w:rFonts w:ascii="Arial" w:eastAsia="Calibri" w:hAnsi="Arial" w:cs="Arial"/>
          <w:sz w:val="24"/>
          <w:szCs w:val="24"/>
        </w:rPr>
      </w:pPr>
      <w:r w:rsidRPr="00095F75">
        <w:rPr>
          <w:rFonts w:ascii="Arial" w:eastAsia="Calibri" w:hAnsi="Arial" w:cs="Arial"/>
          <w:b/>
          <w:sz w:val="24"/>
          <w:szCs w:val="24"/>
        </w:rPr>
        <w:t>Summary:</w:t>
      </w:r>
      <w:r>
        <w:rPr>
          <w:rFonts w:ascii="Arial" w:eastAsia="Calibri" w:hAnsi="Arial" w:cs="Arial"/>
          <w:sz w:val="24"/>
          <w:szCs w:val="24"/>
        </w:rPr>
        <w:t xml:space="preserve"> </w:t>
      </w:r>
      <w:r w:rsidR="002543E0">
        <w:rPr>
          <w:rFonts w:ascii="Arial" w:eastAsia="Calibri" w:hAnsi="Arial" w:cs="Arial"/>
          <w:sz w:val="24"/>
          <w:szCs w:val="24"/>
        </w:rPr>
        <w:t>Applicant/plaintiff advanced a loan of N$846 761.77 to respondent/defendant which she failed to repay resulting in summons being issued against her and subsequently a default judgment was entered against her. A writ was obtained and upon service on the judgment debtor</w:t>
      </w:r>
      <w:r w:rsidR="00867D0C">
        <w:rPr>
          <w:rFonts w:ascii="Arial" w:eastAsia="Calibri" w:hAnsi="Arial" w:cs="Arial"/>
          <w:sz w:val="24"/>
          <w:szCs w:val="24"/>
        </w:rPr>
        <w:t>,</w:t>
      </w:r>
      <w:r w:rsidR="002543E0">
        <w:rPr>
          <w:rFonts w:ascii="Arial" w:eastAsia="Calibri" w:hAnsi="Arial" w:cs="Arial"/>
          <w:sz w:val="24"/>
          <w:szCs w:val="24"/>
        </w:rPr>
        <w:t xml:space="preserve"> it was found that she did not have any attachable movable assets hence a </w:t>
      </w:r>
      <w:r w:rsidR="002543E0" w:rsidRPr="00825E49">
        <w:rPr>
          <w:rFonts w:ascii="Arial" w:eastAsia="Calibri" w:hAnsi="Arial" w:cs="Arial"/>
          <w:i/>
          <w:sz w:val="24"/>
          <w:szCs w:val="24"/>
        </w:rPr>
        <w:t>nulla bona</w:t>
      </w:r>
      <w:r w:rsidR="002543E0">
        <w:rPr>
          <w:rFonts w:ascii="Arial" w:eastAsia="Calibri" w:hAnsi="Arial" w:cs="Arial"/>
          <w:sz w:val="24"/>
          <w:szCs w:val="24"/>
        </w:rPr>
        <w:t xml:space="preserve"> return of service was issued by the Deputy Sherriff.</w:t>
      </w:r>
    </w:p>
    <w:p w:rsidR="002543E0" w:rsidRDefault="002543E0" w:rsidP="002543E0">
      <w:pPr>
        <w:spacing w:after="0" w:line="360" w:lineRule="auto"/>
        <w:jc w:val="both"/>
        <w:rPr>
          <w:rFonts w:ascii="Arial" w:eastAsia="Calibri" w:hAnsi="Arial" w:cs="Arial"/>
          <w:sz w:val="24"/>
          <w:szCs w:val="24"/>
        </w:rPr>
      </w:pPr>
    </w:p>
    <w:p w:rsidR="00095F75" w:rsidRPr="006305A0" w:rsidRDefault="00867D0C" w:rsidP="006305A0">
      <w:pPr>
        <w:autoSpaceDE w:val="0"/>
        <w:autoSpaceDN w:val="0"/>
        <w:adjustRightInd w:val="0"/>
        <w:spacing w:after="0" w:line="360" w:lineRule="auto"/>
        <w:jc w:val="both"/>
        <w:rPr>
          <w:rFonts w:ascii="Arial" w:eastAsia="Calibri" w:hAnsi="Arial" w:cs="Arial"/>
          <w:sz w:val="24"/>
          <w:szCs w:val="24"/>
        </w:rPr>
      </w:pPr>
      <w:r>
        <w:rPr>
          <w:rFonts w:ascii="Arial" w:eastAsia="Calibri" w:hAnsi="Arial" w:cs="Arial"/>
          <w:i/>
          <w:sz w:val="24"/>
          <w:szCs w:val="24"/>
        </w:rPr>
        <w:t>Held</w:t>
      </w:r>
      <w:r w:rsidR="002543E0" w:rsidRPr="002543E0">
        <w:rPr>
          <w:rFonts w:ascii="Arial" w:eastAsia="Calibri" w:hAnsi="Arial" w:cs="Arial"/>
          <w:sz w:val="24"/>
          <w:szCs w:val="24"/>
        </w:rPr>
        <w:t xml:space="preserve"> that factors that a court might consider, but to which a court was not limited, were: The circumstances in which the debt was incurred; any attempts made by the debtor to pay off the debt; the financial situation of the parties; the amount of the debt; whether the debtor is employed or has a source</w:t>
      </w:r>
      <w:r w:rsidR="002543E0">
        <w:rPr>
          <w:rFonts w:ascii="Arial" w:eastAsia="Calibri" w:hAnsi="Arial" w:cs="Arial"/>
          <w:sz w:val="24"/>
          <w:szCs w:val="24"/>
        </w:rPr>
        <w:t xml:space="preserve"> of income to pay off the debt</w:t>
      </w:r>
      <w:r w:rsidR="002543E0" w:rsidRPr="002543E0">
        <w:rPr>
          <w:rFonts w:ascii="Arial" w:eastAsia="Calibri" w:hAnsi="Arial" w:cs="Arial"/>
          <w:sz w:val="24"/>
          <w:szCs w:val="24"/>
        </w:rPr>
        <w:t xml:space="preserve"> and any other factor relevant to the particular facts of the case before the court. </w:t>
      </w:r>
    </w:p>
    <w:p w:rsidR="00564903" w:rsidRPr="00564903" w:rsidRDefault="00564903" w:rsidP="00564903">
      <w:pPr>
        <w:autoSpaceDE w:val="0"/>
        <w:autoSpaceDN w:val="0"/>
        <w:adjustRightInd w:val="0"/>
        <w:spacing w:after="0" w:line="360" w:lineRule="auto"/>
        <w:jc w:val="both"/>
        <w:rPr>
          <w:rFonts w:ascii="Arial" w:eastAsia="Calibri" w:hAnsi="Arial" w:cs="Arial"/>
          <w:sz w:val="24"/>
          <w:szCs w:val="24"/>
        </w:rPr>
      </w:pPr>
    </w:p>
    <w:p w:rsidR="00564903" w:rsidRPr="00564903" w:rsidRDefault="007F7FB6" w:rsidP="00564903">
      <w:pPr>
        <w:spacing w:after="0" w:line="360" w:lineRule="auto"/>
        <w:jc w:val="both"/>
        <w:rPr>
          <w:rFonts w:ascii="Arial" w:eastAsia="Calibri" w:hAnsi="Arial" w:cs="Arial"/>
          <w:bCs/>
          <w:sz w:val="24"/>
          <w:szCs w:val="24"/>
        </w:rPr>
      </w:pPr>
      <w:r>
        <w:rPr>
          <w:rFonts w:ascii="Arial" w:eastAsia="Calibri" w:hAnsi="Arial" w:cs="Arial"/>
          <w:bCs/>
          <w:sz w:val="24"/>
          <w:szCs w:val="24"/>
        </w:rPr>
        <w:pict>
          <v:rect id="_x0000_i1025" style="width:0;height:1.5pt" o:hralign="center" o:hrstd="t" o:hr="t" fillcolor="#a0a0a0" stroked="f"/>
        </w:pict>
      </w:r>
    </w:p>
    <w:p w:rsidR="00564903" w:rsidRPr="00564903" w:rsidRDefault="00564903" w:rsidP="00564903">
      <w:pPr>
        <w:spacing w:after="0" w:line="360" w:lineRule="auto"/>
        <w:jc w:val="center"/>
        <w:rPr>
          <w:rFonts w:ascii="Arial" w:eastAsia="Calibri" w:hAnsi="Arial" w:cs="Arial"/>
          <w:b/>
          <w:bCs/>
          <w:sz w:val="24"/>
          <w:szCs w:val="24"/>
        </w:rPr>
      </w:pPr>
      <w:r w:rsidRPr="00564903">
        <w:rPr>
          <w:rFonts w:ascii="Arial" w:eastAsia="Calibri" w:hAnsi="Arial" w:cs="Arial"/>
          <w:b/>
          <w:bCs/>
          <w:sz w:val="24"/>
          <w:szCs w:val="24"/>
        </w:rPr>
        <w:t>ORDER</w:t>
      </w:r>
    </w:p>
    <w:p w:rsidR="00564903" w:rsidRDefault="007F7FB6" w:rsidP="00564903">
      <w:pPr>
        <w:spacing w:after="0" w:line="360" w:lineRule="auto"/>
        <w:jc w:val="center"/>
        <w:rPr>
          <w:rFonts w:ascii="Arial" w:eastAsia="Calibri" w:hAnsi="Arial" w:cs="Arial"/>
          <w:b/>
          <w:bCs/>
          <w:sz w:val="24"/>
          <w:szCs w:val="24"/>
        </w:rPr>
      </w:pPr>
      <w:r>
        <w:rPr>
          <w:rFonts w:ascii="Arial" w:eastAsia="Calibri" w:hAnsi="Arial" w:cs="Arial"/>
          <w:bCs/>
          <w:sz w:val="24"/>
          <w:szCs w:val="24"/>
        </w:rPr>
        <w:pict>
          <v:rect id="_x0000_i1026" style="width:0;height:1.5pt" o:hralign="center" o:hrstd="t" o:hr="t" fillcolor="#a0a0a0" stroked="f"/>
        </w:pict>
      </w:r>
    </w:p>
    <w:p w:rsidR="005D0D65" w:rsidRPr="00867D0C" w:rsidRDefault="005D0D65" w:rsidP="00867D0C">
      <w:pPr>
        <w:pStyle w:val="ListParagraph"/>
        <w:numPr>
          <w:ilvl w:val="0"/>
          <w:numId w:val="10"/>
        </w:numPr>
        <w:spacing w:line="360" w:lineRule="auto"/>
        <w:ind w:hanging="720"/>
        <w:jc w:val="both"/>
        <w:rPr>
          <w:rFonts w:ascii="Arial" w:eastAsia="MS Mincho" w:hAnsi="Arial" w:cs="Arial"/>
          <w:sz w:val="24"/>
          <w:szCs w:val="24"/>
        </w:rPr>
      </w:pPr>
      <w:r w:rsidRPr="00867D0C">
        <w:rPr>
          <w:rFonts w:ascii="Arial" w:eastAsia="MS Mincho" w:hAnsi="Arial" w:cs="Arial"/>
          <w:sz w:val="24"/>
          <w:szCs w:val="24"/>
        </w:rPr>
        <w:t>The following property namely:</w:t>
      </w:r>
    </w:p>
    <w:p w:rsidR="00867D0C" w:rsidRDefault="005D0D65" w:rsidP="00867D0C">
      <w:pPr>
        <w:pStyle w:val="ListParagraph"/>
        <w:numPr>
          <w:ilvl w:val="0"/>
          <w:numId w:val="12"/>
        </w:numPr>
        <w:tabs>
          <w:tab w:val="left" w:pos="720"/>
        </w:tabs>
        <w:spacing w:after="0" w:line="360" w:lineRule="auto"/>
        <w:jc w:val="both"/>
        <w:rPr>
          <w:rFonts w:ascii="Arial" w:eastAsia="MS Mincho" w:hAnsi="Arial" w:cs="Arial"/>
          <w:sz w:val="24"/>
          <w:szCs w:val="24"/>
        </w:rPr>
      </w:pPr>
      <w:r w:rsidRPr="00867D0C">
        <w:rPr>
          <w:rFonts w:ascii="Arial" w:eastAsia="MS Mincho" w:hAnsi="Arial" w:cs="Arial"/>
          <w:sz w:val="24"/>
          <w:szCs w:val="24"/>
        </w:rPr>
        <w:t>A Unit consisting of –</w:t>
      </w:r>
    </w:p>
    <w:p w:rsidR="005D0D65" w:rsidRPr="00867D0C" w:rsidRDefault="005D0D65" w:rsidP="00867D0C">
      <w:pPr>
        <w:pStyle w:val="ListParagraph"/>
        <w:numPr>
          <w:ilvl w:val="1"/>
          <w:numId w:val="12"/>
        </w:numPr>
        <w:tabs>
          <w:tab w:val="left" w:pos="720"/>
        </w:tabs>
        <w:spacing w:after="0" w:line="360" w:lineRule="auto"/>
        <w:jc w:val="both"/>
        <w:rPr>
          <w:rFonts w:ascii="Arial" w:eastAsia="MS Mincho" w:hAnsi="Arial" w:cs="Arial"/>
          <w:sz w:val="24"/>
          <w:szCs w:val="24"/>
        </w:rPr>
      </w:pPr>
      <w:r w:rsidRPr="00867D0C">
        <w:rPr>
          <w:rFonts w:ascii="Arial" w:eastAsia="MS Mincho" w:hAnsi="Arial" w:cs="Arial"/>
          <w:sz w:val="24"/>
          <w:szCs w:val="24"/>
        </w:rPr>
        <w:t xml:space="preserve">Section No. 2 as shown and more fully described on Sectional Plan No. SS 87/1995 in the development scheme known as LOFT-ES COURT, in respect of the land and building or buildings situated at ERF NO. 1370, PIONIERSPARK, EXTENSION NO.1 in the Municipality of Windhoek, Registration Division “K”, KHOMAS REGION of which the floor area according to the said Sectional Plan , is 245 ( TWO FOUR FIVE) SQUARE METRES in extent; and </w:t>
      </w:r>
    </w:p>
    <w:p w:rsidR="002543E0" w:rsidRPr="002543E0" w:rsidRDefault="002543E0" w:rsidP="002543E0">
      <w:pPr>
        <w:tabs>
          <w:tab w:val="left" w:pos="720"/>
        </w:tabs>
        <w:spacing w:after="0" w:line="360" w:lineRule="auto"/>
        <w:jc w:val="both"/>
        <w:rPr>
          <w:rFonts w:ascii="Arial" w:eastAsia="MS Mincho" w:hAnsi="Arial" w:cs="Arial"/>
          <w:sz w:val="24"/>
          <w:szCs w:val="24"/>
        </w:rPr>
      </w:pPr>
    </w:p>
    <w:p w:rsidR="005D0D65" w:rsidRDefault="00867D0C" w:rsidP="00867D0C">
      <w:pPr>
        <w:spacing w:after="0" w:line="360" w:lineRule="auto"/>
        <w:jc w:val="both"/>
        <w:rPr>
          <w:rFonts w:ascii="Arial" w:eastAsia="MS Mincho" w:hAnsi="Arial" w:cs="Arial"/>
          <w:sz w:val="24"/>
          <w:szCs w:val="24"/>
        </w:rPr>
      </w:pPr>
      <w:r>
        <w:rPr>
          <w:rFonts w:ascii="Arial" w:eastAsia="MS Mincho" w:hAnsi="Arial" w:cs="Arial"/>
          <w:sz w:val="24"/>
          <w:szCs w:val="24"/>
        </w:rPr>
        <w:t>ii)</w:t>
      </w:r>
      <w:r w:rsidR="005D0D65">
        <w:rPr>
          <w:rFonts w:ascii="Arial" w:eastAsia="MS Mincho" w:hAnsi="Arial" w:cs="Arial"/>
          <w:sz w:val="24"/>
          <w:szCs w:val="24"/>
        </w:rPr>
        <w:tab/>
        <w:t>An undivided share in the common property in the development scheme apportioned to that section in accordance with the participation quota and endorsed on the sectional plan.</w:t>
      </w:r>
    </w:p>
    <w:p w:rsidR="00867D0C" w:rsidRDefault="00867D0C" w:rsidP="00867D0C">
      <w:pPr>
        <w:spacing w:after="0" w:line="360" w:lineRule="auto"/>
        <w:jc w:val="both"/>
        <w:rPr>
          <w:rFonts w:ascii="Arial" w:eastAsia="MS Mincho" w:hAnsi="Arial" w:cs="Arial"/>
          <w:sz w:val="24"/>
          <w:szCs w:val="24"/>
        </w:rPr>
      </w:pPr>
    </w:p>
    <w:p w:rsidR="005D0D65" w:rsidRDefault="005D0D65" w:rsidP="00867D0C">
      <w:pPr>
        <w:spacing w:after="0" w:line="360" w:lineRule="auto"/>
        <w:jc w:val="both"/>
        <w:rPr>
          <w:rFonts w:ascii="Arial" w:eastAsia="MS Mincho" w:hAnsi="Arial" w:cs="Arial"/>
          <w:sz w:val="24"/>
          <w:szCs w:val="24"/>
        </w:rPr>
      </w:pPr>
      <w:r>
        <w:rPr>
          <w:rFonts w:ascii="Arial" w:eastAsia="MS Mincho" w:hAnsi="Arial" w:cs="Arial"/>
          <w:sz w:val="24"/>
          <w:szCs w:val="24"/>
        </w:rPr>
        <w:t>HELD UNDER DEED OF TRANSFER NO. ST 1131/2015.</w:t>
      </w:r>
    </w:p>
    <w:p w:rsidR="00867D0C" w:rsidRDefault="00867D0C" w:rsidP="002543E0">
      <w:pPr>
        <w:spacing w:after="0" w:line="360" w:lineRule="auto"/>
        <w:ind w:left="720" w:hanging="720"/>
        <w:jc w:val="both"/>
        <w:rPr>
          <w:rFonts w:ascii="Arial" w:eastAsia="MS Mincho" w:hAnsi="Arial" w:cs="Arial"/>
          <w:sz w:val="24"/>
          <w:szCs w:val="24"/>
        </w:rPr>
      </w:pPr>
    </w:p>
    <w:p w:rsidR="005D0D65" w:rsidRDefault="005D0D65" w:rsidP="002543E0">
      <w:pPr>
        <w:spacing w:after="0" w:line="360" w:lineRule="auto"/>
        <w:ind w:left="720" w:hanging="720"/>
        <w:jc w:val="both"/>
        <w:rPr>
          <w:rFonts w:ascii="Arial" w:eastAsia="MS Mincho" w:hAnsi="Arial" w:cs="Arial"/>
          <w:sz w:val="24"/>
          <w:szCs w:val="24"/>
        </w:rPr>
      </w:pPr>
      <w:r>
        <w:rPr>
          <w:rFonts w:ascii="Arial" w:eastAsia="MS Mincho" w:hAnsi="Arial" w:cs="Arial"/>
          <w:sz w:val="24"/>
          <w:szCs w:val="24"/>
        </w:rPr>
        <w:t>AND</w:t>
      </w:r>
    </w:p>
    <w:p w:rsidR="002543E0" w:rsidRDefault="002543E0" w:rsidP="002543E0">
      <w:pPr>
        <w:spacing w:after="0" w:line="360" w:lineRule="auto"/>
        <w:ind w:left="720" w:hanging="720"/>
        <w:jc w:val="both"/>
        <w:rPr>
          <w:rFonts w:ascii="Arial" w:eastAsia="MS Mincho" w:hAnsi="Arial" w:cs="Arial"/>
          <w:sz w:val="24"/>
          <w:szCs w:val="24"/>
        </w:rPr>
      </w:pPr>
    </w:p>
    <w:p w:rsidR="005D0D65" w:rsidRDefault="00867D0C" w:rsidP="002543E0">
      <w:pPr>
        <w:tabs>
          <w:tab w:val="left" w:pos="720"/>
        </w:tabs>
        <w:spacing w:after="0" w:line="360" w:lineRule="auto"/>
        <w:jc w:val="both"/>
        <w:rPr>
          <w:rFonts w:ascii="Arial" w:eastAsia="MS Mincho" w:hAnsi="Arial" w:cs="Arial"/>
          <w:sz w:val="24"/>
          <w:szCs w:val="24"/>
        </w:rPr>
      </w:pPr>
      <w:r>
        <w:rPr>
          <w:rFonts w:ascii="Arial" w:eastAsia="MS Mincho" w:hAnsi="Arial" w:cs="Arial"/>
          <w:sz w:val="24"/>
          <w:szCs w:val="24"/>
        </w:rPr>
        <w:t>b)</w:t>
      </w:r>
      <w:r w:rsidR="005D0D65">
        <w:rPr>
          <w:rFonts w:ascii="Arial" w:eastAsia="MS Mincho" w:hAnsi="Arial" w:cs="Arial"/>
          <w:sz w:val="24"/>
          <w:szCs w:val="24"/>
        </w:rPr>
        <w:t xml:space="preserve">  A Unit consisting of –</w:t>
      </w:r>
    </w:p>
    <w:p w:rsidR="00867D0C" w:rsidRDefault="005D0D65" w:rsidP="00867D0C">
      <w:pPr>
        <w:pStyle w:val="ListParagraph"/>
        <w:numPr>
          <w:ilvl w:val="0"/>
          <w:numId w:val="9"/>
        </w:numPr>
        <w:tabs>
          <w:tab w:val="left" w:pos="720"/>
        </w:tabs>
        <w:spacing w:after="0" w:line="360" w:lineRule="auto"/>
        <w:ind w:hanging="720"/>
        <w:jc w:val="both"/>
        <w:rPr>
          <w:rFonts w:ascii="Arial" w:eastAsia="MS Mincho" w:hAnsi="Arial" w:cs="Arial"/>
          <w:sz w:val="24"/>
          <w:szCs w:val="24"/>
        </w:rPr>
      </w:pPr>
      <w:r w:rsidRPr="005D0D65">
        <w:rPr>
          <w:rFonts w:ascii="Arial" w:eastAsia="MS Mincho" w:hAnsi="Arial" w:cs="Arial"/>
          <w:sz w:val="24"/>
          <w:szCs w:val="24"/>
        </w:rPr>
        <w:t xml:space="preserve">Section No. </w:t>
      </w:r>
      <w:r>
        <w:rPr>
          <w:rFonts w:ascii="Arial" w:eastAsia="MS Mincho" w:hAnsi="Arial" w:cs="Arial"/>
          <w:sz w:val="24"/>
          <w:szCs w:val="24"/>
        </w:rPr>
        <w:t>4</w:t>
      </w:r>
      <w:r w:rsidRPr="005D0D65">
        <w:rPr>
          <w:rFonts w:ascii="Arial" w:eastAsia="MS Mincho" w:hAnsi="Arial" w:cs="Arial"/>
          <w:sz w:val="24"/>
          <w:szCs w:val="24"/>
        </w:rPr>
        <w:t xml:space="preserve"> as shown and more fully described on Sectional Plan No. SS 87/1995 in the development scheme known as LOFT-ES COURT, in respect of the land and building or buildings situated </w:t>
      </w:r>
      <w:r>
        <w:rPr>
          <w:rFonts w:ascii="Arial" w:eastAsia="MS Mincho" w:hAnsi="Arial" w:cs="Arial"/>
          <w:sz w:val="24"/>
          <w:szCs w:val="24"/>
        </w:rPr>
        <w:t>at</w:t>
      </w:r>
      <w:r w:rsidRPr="005D0D65">
        <w:rPr>
          <w:rFonts w:ascii="Arial" w:eastAsia="MS Mincho" w:hAnsi="Arial" w:cs="Arial"/>
          <w:sz w:val="24"/>
          <w:szCs w:val="24"/>
        </w:rPr>
        <w:t xml:space="preserve"> ERF NO. 1370, PIONIERSPARK, EXTENSION NO.1 in the Municipality of Windhoek, Registration Division “K”, KHOMAS REGION of which the floor area according to the said Sectional Plan , is </w:t>
      </w:r>
      <w:r>
        <w:rPr>
          <w:rFonts w:ascii="Arial" w:eastAsia="MS Mincho" w:hAnsi="Arial" w:cs="Arial"/>
          <w:sz w:val="24"/>
          <w:szCs w:val="24"/>
        </w:rPr>
        <w:t>17</w:t>
      </w:r>
      <w:r w:rsidRPr="005D0D65">
        <w:rPr>
          <w:rFonts w:ascii="Arial" w:eastAsia="MS Mincho" w:hAnsi="Arial" w:cs="Arial"/>
          <w:sz w:val="24"/>
          <w:szCs w:val="24"/>
        </w:rPr>
        <w:t xml:space="preserve"> </w:t>
      </w:r>
      <w:r>
        <w:rPr>
          <w:rFonts w:ascii="Arial" w:eastAsia="MS Mincho" w:hAnsi="Arial" w:cs="Arial"/>
          <w:sz w:val="24"/>
          <w:szCs w:val="24"/>
        </w:rPr>
        <w:t xml:space="preserve">(ONE SEVEN) </w:t>
      </w:r>
      <w:r w:rsidRPr="005D0D65">
        <w:rPr>
          <w:rFonts w:ascii="Arial" w:eastAsia="MS Mincho" w:hAnsi="Arial" w:cs="Arial"/>
          <w:sz w:val="24"/>
          <w:szCs w:val="24"/>
        </w:rPr>
        <w:t>SQUARE METRES</w:t>
      </w:r>
      <w:r>
        <w:rPr>
          <w:rFonts w:ascii="Arial" w:eastAsia="MS Mincho" w:hAnsi="Arial" w:cs="Arial"/>
          <w:sz w:val="24"/>
          <w:szCs w:val="24"/>
        </w:rPr>
        <w:t xml:space="preserve"> in extent; and </w:t>
      </w:r>
    </w:p>
    <w:p w:rsidR="00867D0C" w:rsidRDefault="00867D0C" w:rsidP="00867D0C">
      <w:pPr>
        <w:pStyle w:val="ListParagraph"/>
        <w:tabs>
          <w:tab w:val="left" w:pos="720"/>
        </w:tabs>
        <w:spacing w:after="0" w:line="360" w:lineRule="auto"/>
        <w:ind w:left="2160"/>
        <w:jc w:val="both"/>
        <w:rPr>
          <w:rFonts w:ascii="Arial" w:eastAsia="MS Mincho" w:hAnsi="Arial" w:cs="Arial"/>
          <w:sz w:val="24"/>
          <w:szCs w:val="24"/>
        </w:rPr>
      </w:pPr>
    </w:p>
    <w:p w:rsidR="005D0D65" w:rsidRDefault="00867D0C" w:rsidP="00867D0C">
      <w:pPr>
        <w:pStyle w:val="ListParagraph"/>
        <w:numPr>
          <w:ilvl w:val="0"/>
          <w:numId w:val="9"/>
        </w:numPr>
        <w:tabs>
          <w:tab w:val="left" w:pos="720"/>
        </w:tabs>
        <w:spacing w:after="0" w:line="360" w:lineRule="auto"/>
        <w:ind w:hanging="720"/>
        <w:jc w:val="both"/>
        <w:rPr>
          <w:rFonts w:ascii="Arial" w:eastAsia="MS Mincho" w:hAnsi="Arial" w:cs="Arial"/>
          <w:sz w:val="24"/>
          <w:szCs w:val="24"/>
        </w:rPr>
      </w:pPr>
      <w:r>
        <w:rPr>
          <w:rFonts w:ascii="Arial" w:eastAsia="MS Mincho" w:hAnsi="Arial" w:cs="Arial"/>
          <w:sz w:val="24"/>
          <w:szCs w:val="24"/>
        </w:rPr>
        <w:t>A</w:t>
      </w:r>
      <w:r w:rsidR="005D0D65" w:rsidRPr="00867D0C">
        <w:rPr>
          <w:rFonts w:ascii="Arial" w:eastAsia="MS Mincho" w:hAnsi="Arial" w:cs="Arial"/>
          <w:sz w:val="24"/>
          <w:szCs w:val="24"/>
        </w:rPr>
        <w:t>n undivided share in the common property in the development scheme apportioned to that section in accordance with the participation quota and endorsed on the sectional plan.</w:t>
      </w:r>
    </w:p>
    <w:p w:rsidR="00867D0C" w:rsidRPr="00867D0C" w:rsidRDefault="00867D0C" w:rsidP="00867D0C">
      <w:pPr>
        <w:pStyle w:val="ListParagraph"/>
        <w:tabs>
          <w:tab w:val="left" w:pos="720"/>
        </w:tabs>
        <w:spacing w:after="0" w:line="360" w:lineRule="auto"/>
        <w:ind w:left="2160"/>
        <w:jc w:val="both"/>
        <w:rPr>
          <w:rFonts w:ascii="Arial" w:eastAsia="MS Mincho" w:hAnsi="Arial" w:cs="Arial"/>
          <w:sz w:val="24"/>
          <w:szCs w:val="24"/>
        </w:rPr>
      </w:pPr>
    </w:p>
    <w:p w:rsidR="005D0D65" w:rsidRDefault="005D0D65" w:rsidP="002543E0">
      <w:pPr>
        <w:spacing w:after="0" w:line="360" w:lineRule="auto"/>
        <w:ind w:left="720" w:hanging="720"/>
        <w:jc w:val="both"/>
        <w:rPr>
          <w:rFonts w:ascii="Arial" w:eastAsia="MS Mincho" w:hAnsi="Arial" w:cs="Arial"/>
          <w:sz w:val="24"/>
          <w:szCs w:val="24"/>
        </w:rPr>
      </w:pPr>
      <w:r>
        <w:rPr>
          <w:rFonts w:ascii="Arial" w:eastAsia="MS Mincho" w:hAnsi="Arial" w:cs="Arial"/>
          <w:sz w:val="24"/>
          <w:szCs w:val="24"/>
        </w:rPr>
        <w:t>HELD UNDER DE</w:t>
      </w:r>
      <w:r w:rsidR="00867D0C">
        <w:rPr>
          <w:rFonts w:ascii="Arial" w:eastAsia="MS Mincho" w:hAnsi="Arial" w:cs="Arial"/>
          <w:sz w:val="24"/>
          <w:szCs w:val="24"/>
        </w:rPr>
        <w:t>ED OF TRANSFER NO. ST 1131/2015</w:t>
      </w:r>
    </w:p>
    <w:p w:rsidR="00867D0C" w:rsidRDefault="00867D0C" w:rsidP="002543E0">
      <w:pPr>
        <w:spacing w:after="0" w:line="360" w:lineRule="auto"/>
        <w:ind w:left="720" w:hanging="720"/>
        <w:jc w:val="both"/>
        <w:rPr>
          <w:rFonts w:ascii="Arial" w:eastAsia="MS Mincho" w:hAnsi="Arial" w:cs="Arial"/>
          <w:sz w:val="24"/>
          <w:szCs w:val="24"/>
        </w:rPr>
      </w:pPr>
    </w:p>
    <w:p w:rsidR="005D0D65" w:rsidRDefault="005D0D65" w:rsidP="002543E0">
      <w:pPr>
        <w:spacing w:after="0" w:line="360" w:lineRule="auto"/>
        <w:ind w:left="720" w:hanging="720"/>
        <w:jc w:val="both"/>
        <w:rPr>
          <w:rFonts w:ascii="Arial" w:eastAsia="MS Mincho" w:hAnsi="Arial" w:cs="Arial"/>
          <w:sz w:val="24"/>
          <w:szCs w:val="24"/>
        </w:rPr>
      </w:pPr>
      <w:r>
        <w:rPr>
          <w:rFonts w:ascii="Arial" w:eastAsia="MS Mincho" w:hAnsi="Arial" w:cs="Arial"/>
          <w:sz w:val="24"/>
          <w:szCs w:val="24"/>
        </w:rPr>
        <w:t>is declared specially executable.</w:t>
      </w:r>
    </w:p>
    <w:p w:rsidR="005D0D65" w:rsidRDefault="005D0D65" w:rsidP="002543E0">
      <w:pPr>
        <w:spacing w:after="0" w:line="360" w:lineRule="auto"/>
        <w:ind w:left="720" w:hanging="720"/>
        <w:jc w:val="both"/>
        <w:rPr>
          <w:rFonts w:ascii="Arial" w:eastAsia="MS Mincho" w:hAnsi="Arial" w:cs="Arial"/>
          <w:sz w:val="24"/>
          <w:szCs w:val="24"/>
        </w:rPr>
      </w:pPr>
    </w:p>
    <w:p w:rsidR="005D0D65" w:rsidRDefault="00867D0C" w:rsidP="002543E0">
      <w:pPr>
        <w:tabs>
          <w:tab w:val="left" w:pos="720"/>
        </w:tabs>
        <w:spacing w:after="0" w:line="360" w:lineRule="auto"/>
        <w:jc w:val="both"/>
        <w:rPr>
          <w:rFonts w:ascii="Arial" w:eastAsia="MS Mincho" w:hAnsi="Arial" w:cs="Arial"/>
          <w:sz w:val="24"/>
          <w:szCs w:val="24"/>
        </w:rPr>
      </w:pPr>
      <w:r>
        <w:rPr>
          <w:rFonts w:ascii="Arial" w:eastAsia="MS Mincho" w:hAnsi="Arial" w:cs="Arial"/>
          <w:sz w:val="24"/>
          <w:szCs w:val="24"/>
        </w:rPr>
        <w:t>c)</w:t>
      </w:r>
      <w:r w:rsidR="005D0D65">
        <w:rPr>
          <w:rFonts w:ascii="Arial" w:eastAsia="MS Mincho" w:hAnsi="Arial" w:cs="Arial"/>
          <w:sz w:val="24"/>
          <w:szCs w:val="24"/>
        </w:rPr>
        <w:tab/>
        <w:t>The defendants must, jointly and severally the one paying the other to be absolved, pay the plaintiff’s costs of this application.</w:t>
      </w:r>
    </w:p>
    <w:p w:rsidR="00867D0C" w:rsidRDefault="00867D0C" w:rsidP="002543E0">
      <w:pPr>
        <w:tabs>
          <w:tab w:val="left" w:pos="720"/>
        </w:tabs>
        <w:spacing w:after="0" w:line="360" w:lineRule="auto"/>
        <w:jc w:val="both"/>
        <w:rPr>
          <w:rFonts w:ascii="Arial" w:eastAsia="MS Mincho" w:hAnsi="Arial" w:cs="Arial"/>
          <w:sz w:val="24"/>
          <w:szCs w:val="24"/>
        </w:rPr>
      </w:pPr>
    </w:p>
    <w:p w:rsidR="00564903" w:rsidRPr="00564903" w:rsidRDefault="007F7FB6" w:rsidP="007A2A26">
      <w:pPr>
        <w:spacing w:after="0" w:line="360" w:lineRule="auto"/>
        <w:rPr>
          <w:rFonts w:ascii="Arial" w:eastAsia="Calibri" w:hAnsi="Arial" w:cs="Arial"/>
          <w:b/>
          <w:bCs/>
          <w:sz w:val="24"/>
          <w:szCs w:val="24"/>
        </w:rPr>
      </w:pPr>
      <w:r>
        <w:rPr>
          <w:rFonts w:ascii="Arial" w:eastAsia="Calibri" w:hAnsi="Arial" w:cs="Arial"/>
          <w:bCs/>
          <w:sz w:val="24"/>
          <w:szCs w:val="24"/>
        </w:rPr>
        <w:pict>
          <v:rect id="_x0000_i1027" style="width:0;height:1.5pt" o:hralign="center" o:hrstd="t" o:hr="t" fillcolor="#a0a0a0" stroked="f"/>
        </w:pict>
      </w:r>
    </w:p>
    <w:p w:rsidR="00564903" w:rsidRPr="00564903" w:rsidRDefault="00564903" w:rsidP="00564903">
      <w:pPr>
        <w:spacing w:after="0" w:line="360" w:lineRule="auto"/>
        <w:jc w:val="center"/>
        <w:rPr>
          <w:rFonts w:ascii="Arial" w:eastAsia="Calibri" w:hAnsi="Arial" w:cs="Arial"/>
          <w:b/>
          <w:sz w:val="24"/>
          <w:szCs w:val="24"/>
        </w:rPr>
      </w:pPr>
      <w:r w:rsidRPr="00564903">
        <w:rPr>
          <w:rFonts w:ascii="Arial" w:eastAsia="Calibri" w:hAnsi="Arial" w:cs="Arial"/>
          <w:b/>
          <w:sz w:val="24"/>
          <w:szCs w:val="24"/>
        </w:rPr>
        <w:t>JUDGMENT</w:t>
      </w:r>
    </w:p>
    <w:p w:rsidR="00564903" w:rsidRPr="00564903" w:rsidRDefault="007F7FB6" w:rsidP="00564903">
      <w:pPr>
        <w:spacing w:after="0" w:line="360" w:lineRule="auto"/>
        <w:jc w:val="center"/>
        <w:rPr>
          <w:rFonts w:ascii="Arial" w:eastAsia="Calibri" w:hAnsi="Arial" w:cs="Arial"/>
          <w:b/>
          <w:sz w:val="24"/>
          <w:szCs w:val="24"/>
        </w:rPr>
      </w:pPr>
      <w:r>
        <w:rPr>
          <w:rFonts w:ascii="Arial" w:eastAsia="Calibri" w:hAnsi="Arial" w:cs="Arial"/>
          <w:bCs/>
          <w:sz w:val="24"/>
          <w:szCs w:val="24"/>
        </w:rPr>
        <w:lastRenderedPageBreak/>
        <w:pict>
          <v:rect id="_x0000_i1028" style="width:0;height:1.5pt" o:hralign="center" o:hrstd="t" o:hr="t" fillcolor="#a0a0a0" stroked="f"/>
        </w:pict>
      </w:r>
    </w:p>
    <w:p w:rsidR="00564903" w:rsidRPr="00B4135C" w:rsidRDefault="00564903" w:rsidP="00571964">
      <w:pPr>
        <w:spacing w:line="360" w:lineRule="auto"/>
        <w:jc w:val="both"/>
        <w:rPr>
          <w:rFonts w:ascii="Arial" w:eastAsia="Calibri" w:hAnsi="Arial" w:cs="Arial"/>
          <w:b/>
          <w:sz w:val="24"/>
          <w:szCs w:val="24"/>
        </w:rPr>
      </w:pPr>
      <w:r w:rsidRPr="00B4135C">
        <w:rPr>
          <w:rFonts w:ascii="Arial" w:eastAsia="Calibri" w:hAnsi="Arial" w:cs="Arial"/>
          <w:b/>
          <w:sz w:val="24"/>
          <w:szCs w:val="24"/>
        </w:rPr>
        <w:t xml:space="preserve">UEITELE </w:t>
      </w:r>
      <w:r w:rsidR="0043021D" w:rsidRPr="00B4135C">
        <w:rPr>
          <w:rFonts w:ascii="Arial" w:eastAsia="Calibri" w:hAnsi="Arial" w:cs="Arial"/>
          <w:b/>
          <w:sz w:val="24"/>
          <w:szCs w:val="24"/>
        </w:rPr>
        <w:t>J:</w:t>
      </w:r>
    </w:p>
    <w:p w:rsidR="00B8569A" w:rsidRPr="00B4135C" w:rsidRDefault="00564903" w:rsidP="00B8569A">
      <w:pPr>
        <w:spacing w:after="0" w:line="360" w:lineRule="auto"/>
        <w:jc w:val="both"/>
        <w:rPr>
          <w:rFonts w:ascii="Arial" w:eastAsia="Calibri" w:hAnsi="Arial" w:cs="Arial"/>
          <w:sz w:val="24"/>
          <w:szCs w:val="24"/>
        </w:rPr>
      </w:pPr>
      <w:r w:rsidRPr="00B4135C">
        <w:rPr>
          <w:rFonts w:ascii="Arial" w:hAnsi="Arial" w:cs="Arial"/>
          <w:sz w:val="24"/>
          <w:szCs w:val="24"/>
        </w:rPr>
        <w:t>[1]</w:t>
      </w:r>
      <w:r w:rsidRPr="00B4135C">
        <w:rPr>
          <w:rFonts w:ascii="Arial" w:hAnsi="Arial" w:cs="Arial"/>
          <w:sz w:val="24"/>
          <w:szCs w:val="24"/>
        </w:rPr>
        <w:tab/>
      </w:r>
      <w:r w:rsidR="00B8569A" w:rsidRPr="00B4135C">
        <w:rPr>
          <w:rFonts w:ascii="Arial" w:eastAsia="Calibri" w:hAnsi="Arial" w:cs="Arial"/>
          <w:sz w:val="24"/>
          <w:szCs w:val="24"/>
        </w:rPr>
        <w:t>This is an application in terms of rule 108 of the High Court Rules in term</w:t>
      </w:r>
      <w:r w:rsidR="0043021D" w:rsidRPr="00B4135C">
        <w:rPr>
          <w:rFonts w:ascii="Arial" w:eastAsia="Calibri" w:hAnsi="Arial" w:cs="Arial"/>
          <w:sz w:val="24"/>
          <w:szCs w:val="24"/>
        </w:rPr>
        <w:t>s</w:t>
      </w:r>
      <w:r w:rsidR="00B8569A" w:rsidRPr="00B4135C">
        <w:rPr>
          <w:rFonts w:ascii="Arial" w:eastAsia="Calibri" w:hAnsi="Arial" w:cs="Arial"/>
          <w:sz w:val="24"/>
          <w:szCs w:val="24"/>
        </w:rPr>
        <w:t xml:space="preserve"> of which the plaintiff, (Standard Bank of Namibia) seeks an order declaring the first and second defendants</w:t>
      </w:r>
      <w:r w:rsidR="0043021D" w:rsidRPr="00B4135C">
        <w:rPr>
          <w:rFonts w:ascii="Arial" w:eastAsia="Calibri" w:hAnsi="Arial" w:cs="Arial"/>
          <w:sz w:val="24"/>
          <w:szCs w:val="24"/>
        </w:rPr>
        <w:t>’</w:t>
      </w:r>
      <w:r w:rsidR="00B8569A" w:rsidRPr="00B4135C">
        <w:rPr>
          <w:rFonts w:ascii="Arial" w:eastAsia="Calibri" w:hAnsi="Arial" w:cs="Arial"/>
          <w:sz w:val="24"/>
          <w:szCs w:val="24"/>
        </w:rPr>
        <w:t xml:space="preserve"> immovable property specially executable.</w:t>
      </w:r>
    </w:p>
    <w:p w:rsidR="00B8569A" w:rsidRPr="00B4135C" w:rsidRDefault="00B8569A" w:rsidP="00B8569A">
      <w:pPr>
        <w:spacing w:after="0" w:line="360" w:lineRule="auto"/>
        <w:jc w:val="both"/>
        <w:rPr>
          <w:rFonts w:ascii="Arial" w:hAnsi="Arial" w:cs="Arial"/>
          <w:sz w:val="24"/>
          <w:szCs w:val="24"/>
        </w:rPr>
      </w:pPr>
    </w:p>
    <w:p w:rsidR="00B8569A" w:rsidRPr="00B4135C" w:rsidRDefault="00B8569A" w:rsidP="00B8569A">
      <w:pPr>
        <w:pStyle w:val="NormalWeb"/>
        <w:shd w:val="clear" w:color="auto" w:fill="FFFFFF"/>
        <w:spacing w:before="0" w:beforeAutospacing="0" w:after="0" w:afterAutospacing="0" w:line="360" w:lineRule="auto"/>
        <w:rPr>
          <w:rFonts w:ascii="Arial" w:hAnsi="Arial" w:cs="Arial"/>
          <w:u w:val="single"/>
        </w:rPr>
      </w:pPr>
      <w:r w:rsidRPr="00B4135C">
        <w:rPr>
          <w:rFonts w:ascii="Arial" w:hAnsi="Arial" w:cs="Arial"/>
          <w:u w:val="single"/>
        </w:rPr>
        <w:t xml:space="preserve">Factual background: </w:t>
      </w:r>
    </w:p>
    <w:p w:rsidR="00B8569A" w:rsidRPr="00B4135C" w:rsidRDefault="00B8569A" w:rsidP="00B8569A">
      <w:pPr>
        <w:pStyle w:val="NormalWeb"/>
        <w:shd w:val="clear" w:color="auto" w:fill="FFFFFF"/>
        <w:spacing w:before="0" w:beforeAutospacing="0" w:after="0" w:afterAutospacing="0" w:line="360" w:lineRule="auto"/>
        <w:rPr>
          <w:rFonts w:ascii="Arial" w:hAnsi="Arial" w:cs="Arial"/>
        </w:rPr>
      </w:pPr>
    </w:p>
    <w:p w:rsidR="00B8569A" w:rsidRPr="00B4135C" w:rsidRDefault="00B8569A" w:rsidP="008077E6">
      <w:pPr>
        <w:pStyle w:val="NormalWeb"/>
        <w:shd w:val="clear" w:color="auto" w:fill="FFFFFF"/>
        <w:spacing w:before="0" w:beforeAutospacing="0" w:after="0" w:afterAutospacing="0" w:line="360" w:lineRule="auto"/>
        <w:jc w:val="both"/>
        <w:rPr>
          <w:rFonts w:ascii="Arial" w:hAnsi="Arial" w:cs="Arial"/>
        </w:rPr>
      </w:pPr>
      <w:r w:rsidRPr="00B4135C">
        <w:rPr>
          <w:rFonts w:ascii="Arial" w:hAnsi="Arial" w:cs="Arial"/>
        </w:rPr>
        <w:t>[2]</w:t>
      </w:r>
      <w:r w:rsidRPr="00B4135C">
        <w:rPr>
          <w:rFonts w:ascii="Arial" w:hAnsi="Arial" w:cs="Arial"/>
        </w:rPr>
        <w:tab/>
      </w:r>
      <w:r w:rsidR="00CF5397" w:rsidRPr="00B4135C">
        <w:rPr>
          <w:rFonts w:ascii="Arial" w:hAnsi="Arial" w:cs="Arial"/>
        </w:rPr>
        <w:t>On 18 June</w:t>
      </w:r>
      <w:r w:rsidR="008077E6" w:rsidRPr="00B4135C">
        <w:rPr>
          <w:rFonts w:ascii="Arial" w:hAnsi="Arial" w:cs="Arial"/>
        </w:rPr>
        <w:t xml:space="preserve"> 2015 t</w:t>
      </w:r>
      <w:r w:rsidRPr="00B4135C">
        <w:rPr>
          <w:rFonts w:ascii="Arial" w:hAnsi="Arial" w:cs="Arial"/>
        </w:rPr>
        <w:t xml:space="preserve">he plaintiff approved a home loan application of the </w:t>
      </w:r>
      <w:r w:rsidR="008077E6" w:rsidRPr="00B4135C">
        <w:rPr>
          <w:rFonts w:ascii="Arial" w:hAnsi="Arial" w:cs="Arial"/>
        </w:rPr>
        <w:t xml:space="preserve">first and second </w:t>
      </w:r>
      <w:r w:rsidRPr="00B4135C">
        <w:rPr>
          <w:rFonts w:ascii="Arial" w:hAnsi="Arial" w:cs="Arial"/>
        </w:rPr>
        <w:t>defendant</w:t>
      </w:r>
      <w:r w:rsidR="008077E6" w:rsidRPr="00B4135C">
        <w:rPr>
          <w:rFonts w:ascii="Arial" w:hAnsi="Arial" w:cs="Arial"/>
        </w:rPr>
        <w:t xml:space="preserve">s. The first and second defendants </w:t>
      </w:r>
      <w:r w:rsidRPr="00B4135C">
        <w:rPr>
          <w:rFonts w:ascii="Arial" w:hAnsi="Arial" w:cs="Arial"/>
        </w:rPr>
        <w:t xml:space="preserve">bound </w:t>
      </w:r>
      <w:r w:rsidR="008077E6" w:rsidRPr="00B4135C">
        <w:rPr>
          <w:rFonts w:ascii="Arial" w:hAnsi="Arial" w:cs="Arial"/>
        </w:rPr>
        <w:t xml:space="preserve">themselves </w:t>
      </w:r>
      <w:r w:rsidRPr="00B4135C">
        <w:rPr>
          <w:rFonts w:ascii="Arial" w:hAnsi="Arial" w:cs="Arial"/>
        </w:rPr>
        <w:t xml:space="preserve">in favour of the plaintiff in the amounts of </w:t>
      </w:r>
      <w:r w:rsidR="008077E6" w:rsidRPr="00B4135C">
        <w:rPr>
          <w:rFonts w:ascii="Arial" w:hAnsi="Arial" w:cs="Arial"/>
        </w:rPr>
        <w:t>N$ 3 380 000</w:t>
      </w:r>
      <w:r w:rsidRPr="00B4135C">
        <w:rPr>
          <w:rFonts w:ascii="Arial" w:hAnsi="Arial" w:cs="Arial"/>
        </w:rPr>
        <w:t xml:space="preserve">. As security for the monies </w:t>
      </w:r>
      <w:r w:rsidR="0043021D" w:rsidRPr="00B4135C">
        <w:rPr>
          <w:rFonts w:ascii="Arial" w:hAnsi="Arial" w:cs="Arial"/>
        </w:rPr>
        <w:t xml:space="preserve">lent and </w:t>
      </w:r>
      <w:r w:rsidRPr="00B4135C">
        <w:rPr>
          <w:rFonts w:ascii="Arial" w:hAnsi="Arial" w:cs="Arial"/>
        </w:rPr>
        <w:t xml:space="preserve">advanced, </w:t>
      </w:r>
      <w:r w:rsidR="008077E6" w:rsidRPr="00B4135C">
        <w:rPr>
          <w:rFonts w:ascii="Arial" w:hAnsi="Arial" w:cs="Arial"/>
        </w:rPr>
        <w:t xml:space="preserve">the defendants registered </w:t>
      </w:r>
      <w:r w:rsidRPr="00B4135C">
        <w:rPr>
          <w:rFonts w:ascii="Arial" w:hAnsi="Arial" w:cs="Arial"/>
        </w:rPr>
        <w:t xml:space="preserve">a continuing covering mortgage bond </w:t>
      </w:r>
      <w:r w:rsidR="0043021D" w:rsidRPr="00B4135C">
        <w:rPr>
          <w:rFonts w:ascii="Arial" w:hAnsi="Arial" w:cs="Arial"/>
        </w:rPr>
        <w:t>over the</w:t>
      </w:r>
      <w:r w:rsidR="008077E6" w:rsidRPr="00B4135C">
        <w:rPr>
          <w:rFonts w:ascii="Arial" w:hAnsi="Arial" w:cs="Arial"/>
        </w:rPr>
        <w:t xml:space="preserve"> </w:t>
      </w:r>
      <w:r w:rsidRPr="00B4135C">
        <w:rPr>
          <w:rFonts w:ascii="Arial" w:hAnsi="Arial" w:cs="Arial"/>
        </w:rPr>
        <w:t xml:space="preserve">immovable property </w:t>
      </w:r>
      <w:r w:rsidR="008077E6" w:rsidRPr="00B4135C">
        <w:rPr>
          <w:rFonts w:ascii="Arial" w:hAnsi="Arial" w:cs="Arial"/>
        </w:rPr>
        <w:t>which belongs to them.</w:t>
      </w:r>
    </w:p>
    <w:p w:rsidR="008077E6" w:rsidRPr="00B4135C" w:rsidRDefault="008077E6" w:rsidP="008077E6">
      <w:pPr>
        <w:pStyle w:val="NormalWeb"/>
        <w:shd w:val="clear" w:color="auto" w:fill="FFFFFF"/>
        <w:spacing w:before="0" w:beforeAutospacing="0" w:after="0" w:afterAutospacing="0" w:line="360" w:lineRule="auto"/>
        <w:jc w:val="both"/>
        <w:rPr>
          <w:rFonts w:ascii="Arial" w:hAnsi="Arial" w:cs="Arial"/>
        </w:rPr>
      </w:pPr>
    </w:p>
    <w:p w:rsidR="00CF5397" w:rsidRPr="00B4135C" w:rsidRDefault="00B8569A" w:rsidP="00CF5397">
      <w:pPr>
        <w:pStyle w:val="NormalWeb"/>
        <w:shd w:val="clear" w:color="auto" w:fill="FFFFFF"/>
        <w:spacing w:before="0" w:beforeAutospacing="0" w:after="0" w:afterAutospacing="0" w:line="360" w:lineRule="auto"/>
        <w:jc w:val="both"/>
        <w:rPr>
          <w:rFonts w:ascii="Arial" w:hAnsi="Arial" w:cs="Arial"/>
        </w:rPr>
      </w:pPr>
      <w:r w:rsidRPr="00B4135C">
        <w:rPr>
          <w:rFonts w:ascii="Arial" w:hAnsi="Arial" w:cs="Arial"/>
        </w:rPr>
        <w:t>[3]</w:t>
      </w:r>
      <w:r w:rsidR="008077E6" w:rsidRPr="00B4135C">
        <w:rPr>
          <w:rFonts w:ascii="Arial" w:hAnsi="Arial" w:cs="Arial"/>
        </w:rPr>
        <w:tab/>
      </w:r>
      <w:r w:rsidRPr="00B4135C">
        <w:rPr>
          <w:rFonts w:ascii="Arial" w:hAnsi="Arial" w:cs="Arial"/>
        </w:rPr>
        <w:t xml:space="preserve">The </w:t>
      </w:r>
      <w:r w:rsidR="00CF5397" w:rsidRPr="00B4135C">
        <w:rPr>
          <w:rFonts w:ascii="Arial" w:hAnsi="Arial" w:cs="Arial"/>
        </w:rPr>
        <w:t xml:space="preserve">first and second </w:t>
      </w:r>
      <w:r w:rsidRPr="00B4135C">
        <w:rPr>
          <w:rFonts w:ascii="Arial" w:hAnsi="Arial" w:cs="Arial"/>
        </w:rPr>
        <w:t>defendant</w:t>
      </w:r>
      <w:r w:rsidR="00CF5397" w:rsidRPr="00B4135C">
        <w:rPr>
          <w:rFonts w:ascii="Arial" w:hAnsi="Arial" w:cs="Arial"/>
        </w:rPr>
        <w:t>s</w:t>
      </w:r>
      <w:r w:rsidRPr="00B4135C">
        <w:rPr>
          <w:rFonts w:ascii="Arial" w:hAnsi="Arial" w:cs="Arial"/>
        </w:rPr>
        <w:t xml:space="preserve"> defaulted in </w:t>
      </w:r>
      <w:r w:rsidR="00CF5397" w:rsidRPr="00B4135C">
        <w:rPr>
          <w:rFonts w:ascii="Arial" w:hAnsi="Arial" w:cs="Arial"/>
        </w:rPr>
        <w:t>their</w:t>
      </w:r>
      <w:r w:rsidRPr="00B4135C">
        <w:rPr>
          <w:rFonts w:ascii="Arial" w:hAnsi="Arial" w:cs="Arial"/>
        </w:rPr>
        <w:t xml:space="preserve"> monthly instalments to the plaintiff and w</w:t>
      </w:r>
      <w:r w:rsidR="00CF5397" w:rsidRPr="00B4135C">
        <w:rPr>
          <w:rFonts w:ascii="Arial" w:hAnsi="Arial" w:cs="Arial"/>
        </w:rPr>
        <w:t>ere</w:t>
      </w:r>
      <w:r w:rsidRPr="00B4135C">
        <w:rPr>
          <w:rFonts w:ascii="Arial" w:hAnsi="Arial" w:cs="Arial"/>
        </w:rPr>
        <w:t xml:space="preserve">, according to the certificate of </w:t>
      </w:r>
      <w:r w:rsidR="00CF5397" w:rsidRPr="00B4135C">
        <w:rPr>
          <w:rFonts w:ascii="Arial" w:hAnsi="Arial" w:cs="Arial"/>
        </w:rPr>
        <w:t>i</w:t>
      </w:r>
      <w:r w:rsidRPr="00B4135C">
        <w:rPr>
          <w:rFonts w:ascii="Arial" w:hAnsi="Arial" w:cs="Arial"/>
        </w:rPr>
        <w:t>ndebtedness</w:t>
      </w:r>
      <w:r w:rsidR="0043021D" w:rsidRPr="00B4135C">
        <w:rPr>
          <w:rFonts w:ascii="Arial" w:hAnsi="Arial" w:cs="Arial"/>
        </w:rPr>
        <w:t xml:space="preserve"> issued on behalf of the plaintiff</w:t>
      </w:r>
      <w:r w:rsidRPr="00B4135C">
        <w:rPr>
          <w:rFonts w:ascii="Arial" w:hAnsi="Arial" w:cs="Arial"/>
        </w:rPr>
        <w:t xml:space="preserve">, as at </w:t>
      </w:r>
      <w:r w:rsidR="00CF5397" w:rsidRPr="00B4135C">
        <w:rPr>
          <w:rFonts w:ascii="Arial" w:hAnsi="Arial" w:cs="Arial"/>
        </w:rPr>
        <w:t>01 March 2016</w:t>
      </w:r>
      <w:r w:rsidR="0043021D" w:rsidRPr="00B4135C">
        <w:rPr>
          <w:rFonts w:ascii="Arial" w:hAnsi="Arial" w:cs="Arial"/>
        </w:rPr>
        <w:t>,</w:t>
      </w:r>
      <w:r w:rsidRPr="00B4135C">
        <w:rPr>
          <w:rFonts w:ascii="Arial" w:hAnsi="Arial" w:cs="Arial"/>
        </w:rPr>
        <w:t xml:space="preserve"> indebted to the plaintiff in the amount of N$ </w:t>
      </w:r>
      <w:r w:rsidR="00CF5397" w:rsidRPr="00B4135C">
        <w:rPr>
          <w:rFonts w:ascii="Arial" w:hAnsi="Arial" w:cs="Arial"/>
        </w:rPr>
        <w:t>3 564 414-90</w:t>
      </w:r>
      <w:r w:rsidRPr="00B4135C">
        <w:rPr>
          <w:rFonts w:ascii="Arial" w:hAnsi="Arial" w:cs="Arial"/>
        </w:rPr>
        <w:t>. After several demands, the plaintiff instituted legal action for the recovery of the debt</w:t>
      </w:r>
      <w:r w:rsidR="00CF5397" w:rsidRPr="00B4135C">
        <w:rPr>
          <w:rFonts w:ascii="Arial" w:hAnsi="Arial" w:cs="Arial"/>
        </w:rPr>
        <w:t>. The summons instituting the action was</w:t>
      </w:r>
      <w:r w:rsidR="005C5595" w:rsidRPr="00B4135C">
        <w:rPr>
          <w:rFonts w:ascii="Arial" w:hAnsi="Arial" w:cs="Arial"/>
        </w:rPr>
        <w:t xml:space="preserve"> served on the </w:t>
      </w:r>
      <w:r w:rsidR="00CF5397" w:rsidRPr="00B4135C">
        <w:rPr>
          <w:rFonts w:ascii="Arial" w:hAnsi="Arial" w:cs="Arial"/>
        </w:rPr>
        <w:t>d</w:t>
      </w:r>
      <w:r w:rsidR="005C5595" w:rsidRPr="00B4135C">
        <w:rPr>
          <w:rFonts w:ascii="Arial" w:hAnsi="Arial" w:cs="Arial"/>
        </w:rPr>
        <w:t xml:space="preserve">efendants on 14 May 2016. On 24 May 2016 the </w:t>
      </w:r>
      <w:r w:rsidR="00CF5397" w:rsidRPr="00B4135C">
        <w:rPr>
          <w:rFonts w:ascii="Arial" w:hAnsi="Arial" w:cs="Arial"/>
        </w:rPr>
        <w:t>d</w:t>
      </w:r>
      <w:r w:rsidR="005C5595" w:rsidRPr="00B4135C">
        <w:rPr>
          <w:rFonts w:ascii="Arial" w:hAnsi="Arial" w:cs="Arial"/>
        </w:rPr>
        <w:t xml:space="preserve">efendants </w:t>
      </w:r>
      <w:r w:rsidR="0043021D" w:rsidRPr="00B4135C">
        <w:rPr>
          <w:rFonts w:ascii="Arial" w:hAnsi="Arial" w:cs="Arial"/>
        </w:rPr>
        <w:t>gave notice of their intention</w:t>
      </w:r>
      <w:r w:rsidR="005C5595" w:rsidRPr="00B4135C">
        <w:rPr>
          <w:rFonts w:ascii="Arial" w:hAnsi="Arial" w:cs="Arial"/>
        </w:rPr>
        <w:t xml:space="preserve"> to defend</w:t>
      </w:r>
      <w:r w:rsidR="00CF5397" w:rsidRPr="00B4135C">
        <w:rPr>
          <w:rFonts w:ascii="Arial" w:hAnsi="Arial" w:cs="Arial"/>
        </w:rPr>
        <w:t xml:space="preserve"> the action instituted against them.</w:t>
      </w:r>
    </w:p>
    <w:p w:rsidR="00CF5397" w:rsidRPr="00B4135C" w:rsidRDefault="00CF5397" w:rsidP="00CF5397">
      <w:pPr>
        <w:pStyle w:val="NormalWeb"/>
        <w:shd w:val="clear" w:color="auto" w:fill="FFFFFF"/>
        <w:spacing w:before="0" w:beforeAutospacing="0" w:after="0" w:afterAutospacing="0" w:line="360" w:lineRule="auto"/>
        <w:jc w:val="both"/>
        <w:rPr>
          <w:rFonts w:ascii="Arial" w:hAnsi="Arial" w:cs="Arial"/>
        </w:rPr>
      </w:pPr>
    </w:p>
    <w:p w:rsidR="003648CF" w:rsidRPr="00B4135C" w:rsidRDefault="005C5595" w:rsidP="00CF5397">
      <w:pPr>
        <w:pStyle w:val="NormalWeb"/>
        <w:shd w:val="clear" w:color="auto" w:fill="FFFFFF"/>
        <w:spacing w:before="0" w:beforeAutospacing="0" w:after="0" w:afterAutospacing="0" w:line="360" w:lineRule="auto"/>
        <w:jc w:val="both"/>
        <w:rPr>
          <w:rFonts w:ascii="Arial" w:hAnsi="Arial" w:cs="Arial"/>
        </w:rPr>
      </w:pPr>
      <w:r w:rsidRPr="00B4135C">
        <w:rPr>
          <w:rFonts w:ascii="Arial" w:hAnsi="Arial" w:cs="Arial"/>
        </w:rPr>
        <w:t>[</w:t>
      </w:r>
      <w:r w:rsidR="00CA69C1" w:rsidRPr="00B4135C">
        <w:rPr>
          <w:rFonts w:ascii="Arial" w:hAnsi="Arial" w:cs="Arial"/>
        </w:rPr>
        <w:t>4</w:t>
      </w:r>
      <w:r w:rsidRPr="00B4135C">
        <w:rPr>
          <w:rFonts w:ascii="Arial" w:hAnsi="Arial" w:cs="Arial"/>
        </w:rPr>
        <w:t>]</w:t>
      </w:r>
      <w:r w:rsidRPr="00B4135C">
        <w:rPr>
          <w:rFonts w:ascii="Arial" w:hAnsi="Arial" w:cs="Arial"/>
        </w:rPr>
        <w:tab/>
        <w:t xml:space="preserve">The plaintiff </w:t>
      </w:r>
      <w:r w:rsidR="00CF5397" w:rsidRPr="00B4135C">
        <w:rPr>
          <w:rFonts w:ascii="Arial" w:hAnsi="Arial" w:cs="Arial"/>
        </w:rPr>
        <w:t xml:space="preserve">alleging that the defendants entered notice to defend the action solely for the purposes of delaying its claim </w:t>
      </w:r>
      <w:r w:rsidRPr="00B4135C">
        <w:rPr>
          <w:rFonts w:ascii="Arial" w:hAnsi="Arial" w:cs="Arial"/>
        </w:rPr>
        <w:t xml:space="preserve">sought summary judgment </w:t>
      </w:r>
      <w:r w:rsidR="00CF5397" w:rsidRPr="00B4135C">
        <w:rPr>
          <w:rFonts w:ascii="Arial" w:hAnsi="Arial" w:cs="Arial"/>
        </w:rPr>
        <w:t xml:space="preserve">against the defendants. The plaintiff’s application for summary judgement succeeded and </w:t>
      </w:r>
      <w:r w:rsidRPr="00B4135C">
        <w:rPr>
          <w:rFonts w:ascii="Arial" w:hAnsi="Arial" w:cs="Arial"/>
        </w:rPr>
        <w:t>on 2 August 2016,</w:t>
      </w:r>
      <w:r w:rsidR="002A6F1E">
        <w:rPr>
          <w:rFonts w:ascii="Arial" w:hAnsi="Arial" w:cs="Arial"/>
        </w:rPr>
        <w:t xml:space="preserve"> this c</w:t>
      </w:r>
      <w:r w:rsidR="003648CF" w:rsidRPr="00B4135C">
        <w:rPr>
          <w:rFonts w:ascii="Arial" w:hAnsi="Arial" w:cs="Arial"/>
        </w:rPr>
        <w:t>ourt ordered the defendants to pay to the plaintiff the amount of N$ 3 564 414-90 plus compound interest calculated daily and capitalized monthly on the amount of N$ 3 564 414-90 at the rate of 11.50% per year as from</w:t>
      </w:r>
      <w:r w:rsidR="00DB441B" w:rsidRPr="00B4135C">
        <w:rPr>
          <w:rFonts w:ascii="Arial" w:hAnsi="Arial" w:cs="Arial"/>
        </w:rPr>
        <w:t xml:space="preserve"> </w:t>
      </w:r>
      <w:r w:rsidR="003648CF" w:rsidRPr="00B4135C">
        <w:rPr>
          <w:rFonts w:ascii="Arial" w:hAnsi="Arial" w:cs="Arial"/>
        </w:rPr>
        <w:t>01 March 2016 to date of payment.</w:t>
      </w:r>
    </w:p>
    <w:p w:rsidR="003648CF" w:rsidRPr="00B4135C" w:rsidRDefault="003648CF" w:rsidP="003648CF">
      <w:pPr>
        <w:pStyle w:val="NormalWeb"/>
        <w:shd w:val="clear" w:color="auto" w:fill="FFFFFF"/>
        <w:spacing w:before="0" w:beforeAutospacing="0" w:after="0" w:afterAutospacing="0" w:line="360" w:lineRule="auto"/>
        <w:jc w:val="both"/>
        <w:rPr>
          <w:rFonts w:ascii="Arial" w:hAnsi="Arial" w:cs="Arial"/>
        </w:rPr>
      </w:pPr>
      <w:r w:rsidRPr="00B4135C">
        <w:rPr>
          <w:rFonts w:ascii="Arial" w:hAnsi="Arial" w:cs="Arial"/>
        </w:rPr>
        <w:t>[5]</w:t>
      </w:r>
      <w:r w:rsidRPr="00B4135C">
        <w:rPr>
          <w:rFonts w:ascii="Arial" w:hAnsi="Arial" w:cs="Arial"/>
        </w:rPr>
        <w:tab/>
        <w:t>The plaintiff</w:t>
      </w:r>
      <w:r w:rsidR="002A6F1E">
        <w:rPr>
          <w:rFonts w:ascii="Arial" w:hAnsi="Arial" w:cs="Arial"/>
        </w:rPr>
        <w:t>,</w:t>
      </w:r>
      <w:r w:rsidRPr="00B4135C">
        <w:rPr>
          <w:rFonts w:ascii="Arial" w:hAnsi="Arial" w:cs="Arial"/>
        </w:rPr>
        <w:t xml:space="preserve"> in pursuit </w:t>
      </w:r>
      <w:r w:rsidR="002A6F1E">
        <w:rPr>
          <w:rFonts w:ascii="Arial" w:hAnsi="Arial" w:cs="Arial"/>
        </w:rPr>
        <w:t>of the satisfaction of the judg</w:t>
      </w:r>
      <w:r w:rsidRPr="00B4135C">
        <w:rPr>
          <w:rFonts w:ascii="Arial" w:hAnsi="Arial" w:cs="Arial"/>
        </w:rPr>
        <w:t>ment in its favour</w:t>
      </w:r>
      <w:r w:rsidR="002A6F1E">
        <w:rPr>
          <w:rFonts w:ascii="Arial" w:hAnsi="Arial" w:cs="Arial"/>
        </w:rPr>
        <w:t>,</w:t>
      </w:r>
      <w:r w:rsidRPr="00B4135C">
        <w:rPr>
          <w:rFonts w:ascii="Arial" w:hAnsi="Arial" w:cs="Arial"/>
        </w:rPr>
        <w:t xml:space="preserve"> sued out</w:t>
      </w:r>
      <w:r w:rsidR="002A6F1E">
        <w:rPr>
          <w:rFonts w:ascii="Arial" w:hAnsi="Arial" w:cs="Arial"/>
        </w:rPr>
        <w:t xml:space="preserve"> a</w:t>
      </w:r>
      <w:r w:rsidRPr="00B4135C">
        <w:rPr>
          <w:rFonts w:ascii="Arial" w:hAnsi="Arial" w:cs="Arial"/>
        </w:rPr>
        <w:t xml:space="preserve"> writ of execution. During</w:t>
      </w:r>
      <w:r w:rsidR="005C5595" w:rsidRPr="00B4135C">
        <w:rPr>
          <w:rFonts w:ascii="Arial" w:hAnsi="Arial" w:cs="Arial"/>
        </w:rPr>
        <w:t xml:space="preserve"> September 2016</w:t>
      </w:r>
      <w:r w:rsidR="002A6F1E">
        <w:rPr>
          <w:rFonts w:ascii="Arial" w:hAnsi="Arial" w:cs="Arial"/>
        </w:rPr>
        <w:t>,</w:t>
      </w:r>
      <w:r w:rsidR="005C5595" w:rsidRPr="00B4135C">
        <w:rPr>
          <w:rFonts w:ascii="Arial" w:hAnsi="Arial" w:cs="Arial"/>
        </w:rPr>
        <w:t xml:space="preserve"> the </w:t>
      </w:r>
      <w:r w:rsidRPr="00B4135C">
        <w:rPr>
          <w:rFonts w:ascii="Arial" w:hAnsi="Arial" w:cs="Arial"/>
        </w:rPr>
        <w:t xml:space="preserve">Deputy Sherriff returned a </w:t>
      </w:r>
      <w:r w:rsidRPr="00B4135C">
        <w:rPr>
          <w:rFonts w:ascii="Arial" w:hAnsi="Arial" w:cs="Arial"/>
          <w:i/>
        </w:rPr>
        <w:t>nulla bona</w:t>
      </w:r>
      <w:r w:rsidRPr="00B4135C">
        <w:rPr>
          <w:rFonts w:ascii="Arial" w:hAnsi="Arial" w:cs="Arial"/>
        </w:rPr>
        <w:t xml:space="preserve"> </w:t>
      </w:r>
      <w:r w:rsidR="00DB441B" w:rsidRPr="00B4135C">
        <w:rPr>
          <w:rFonts w:ascii="Arial" w:hAnsi="Arial" w:cs="Arial"/>
        </w:rPr>
        <w:t xml:space="preserve">certificate </w:t>
      </w:r>
      <w:r w:rsidRPr="00B4135C">
        <w:rPr>
          <w:rFonts w:ascii="Arial" w:hAnsi="Arial" w:cs="Arial"/>
        </w:rPr>
        <w:t xml:space="preserve">indicating that he could not find sufficient movable property belonging to </w:t>
      </w:r>
      <w:r w:rsidRPr="00B4135C">
        <w:rPr>
          <w:rFonts w:ascii="Arial" w:hAnsi="Arial" w:cs="Arial"/>
        </w:rPr>
        <w:lastRenderedPageBreak/>
        <w:t>defendant</w:t>
      </w:r>
      <w:r w:rsidR="00DB441B" w:rsidRPr="00B4135C">
        <w:rPr>
          <w:rFonts w:ascii="Arial" w:hAnsi="Arial" w:cs="Arial"/>
        </w:rPr>
        <w:t>s</w:t>
      </w:r>
      <w:r w:rsidRPr="00B4135C">
        <w:rPr>
          <w:rFonts w:ascii="Arial" w:hAnsi="Arial" w:cs="Arial"/>
        </w:rPr>
        <w:t xml:space="preserve"> to satisfy the judgment granted in favour of the plaintiff.</w:t>
      </w:r>
      <w:r w:rsidR="00F7454B" w:rsidRPr="00B4135C">
        <w:rPr>
          <w:rFonts w:ascii="Arial" w:hAnsi="Arial" w:cs="Arial"/>
        </w:rPr>
        <w:t xml:space="preserve"> The plaintiff’s reaction to the </w:t>
      </w:r>
      <w:r w:rsidR="00F7454B" w:rsidRPr="00B4135C">
        <w:rPr>
          <w:rFonts w:ascii="Arial" w:hAnsi="Arial" w:cs="Arial"/>
          <w:i/>
        </w:rPr>
        <w:t xml:space="preserve">nulla bona </w:t>
      </w:r>
      <w:r w:rsidR="00F7454B" w:rsidRPr="00B4135C">
        <w:rPr>
          <w:rFonts w:ascii="Arial" w:hAnsi="Arial" w:cs="Arial"/>
        </w:rPr>
        <w:t xml:space="preserve">return was to </w:t>
      </w:r>
      <w:r w:rsidR="00DB441B" w:rsidRPr="00B4135C">
        <w:rPr>
          <w:rFonts w:ascii="Arial" w:hAnsi="Arial" w:cs="Arial"/>
        </w:rPr>
        <w:t>apply,</w:t>
      </w:r>
      <w:r w:rsidR="002A6F1E">
        <w:rPr>
          <w:rFonts w:ascii="Arial" w:hAnsi="Arial" w:cs="Arial"/>
        </w:rPr>
        <w:t xml:space="preserve"> in terms of r</w:t>
      </w:r>
      <w:r w:rsidR="00F7454B" w:rsidRPr="00B4135C">
        <w:rPr>
          <w:rFonts w:ascii="Arial" w:hAnsi="Arial" w:cs="Arial"/>
        </w:rPr>
        <w:t>ule 108</w:t>
      </w:r>
      <w:r w:rsidR="002A6F1E">
        <w:rPr>
          <w:rFonts w:ascii="Arial" w:hAnsi="Arial" w:cs="Arial"/>
        </w:rPr>
        <w:t>, to this c</w:t>
      </w:r>
      <w:r w:rsidR="00DB441B" w:rsidRPr="00B4135C">
        <w:rPr>
          <w:rFonts w:ascii="Arial" w:hAnsi="Arial" w:cs="Arial"/>
        </w:rPr>
        <w:t>ourt</w:t>
      </w:r>
      <w:r w:rsidR="00F7454B" w:rsidRPr="00B4135C">
        <w:rPr>
          <w:rFonts w:ascii="Arial" w:hAnsi="Arial" w:cs="Arial"/>
        </w:rPr>
        <w:t xml:space="preserve"> </w:t>
      </w:r>
      <w:r w:rsidR="00DB441B" w:rsidRPr="00B4135C">
        <w:rPr>
          <w:rFonts w:ascii="Arial" w:hAnsi="Arial" w:cs="Arial"/>
        </w:rPr>
        <w:t>seeking</w:t>
      </w:r>
      <w:r w:rsidR="00F7454B" w:rsidRPr="00B4135C">
        <w:rPr>
          <w:rFonts w:ascii="Arial" w:hAnsi="Arial" w:cs="Arial"/>
        </w:rPr>
        <w:t xml:space="preserve"> an order declaring the defendant’s immovable property specially executable.</w:t>
      </w:r>
      <w:r w:rsidR="00517F19" w:rsidRPr="00B4135C">
        <w:rPr>
          <w:rFonts w:ascii="Arial" w:hAnsi="Arial" w:cs="Arial"/>
        </w:rPr>
        <w:t xml:space="preserve"> The first defendant, on 27 April 2017, filed an affidavit in which he provides reasons why the mortgaged immovable property must not be declared specially executable. I will in the next paragraphs briefly outline the basis on which the plaintiff </w:t>
      </w:r>
      <w:r w:rsidR="003F2339" w:rsidRPr="00B4135C">
        <w:rPr>
          <w:rFonts w:ascii="Arial" w:hAnsi="Arial" w:cs="Arial"/>
        </w:rPr>
        <w:t>seeks</w:t>
      </w:r>
      <w:r w:rsidR="00517F19" w:rsidRPr="00B4135C">
        <w:rPr>
          <w:rFonts w:ascii="Arial" w:hAnsi="Arial" w:cs="Arial"/>
        </w:rPr>
        <w:t xml:space="preserve"> the order that the </w:t>
      </w:r>
      <w:r w:rsidR="003F2339" w:rsidRPr="00B4135C">
        <w:rPr>
          <w:rFonts w:ascii="Arial" w:hAnsi="Arial" w:cs="Arial"/>
        </w:rPr>
        <w:t>defendants</w:t>
      </w:r>
      <w:r w:rsidR="00D03BF1" w:rsidRPr="00B4135C">
        <w:rPr>
          <w:rFonts w:ascii="Arial" w:hAnsi="Arial" w:cs="Arial"/>
        </w:rPr>
        <w:t>’</w:t>
      </w:r>
      <w:r w:rsidR="003F2339" w:rsidRPr="00B4135C">
        <w:rPr>
          <w:rFonts w:ascii="Arial" w:hAnsi="Arial" w:cs="Arial"/>
        </w:rPr>
        <w:t xml:space="preserve"> </w:t>
      </w:r>
      <w:r w:rsidR="00517F19" w:rsidRPr="00B4135C">
        <w:rPr>
          <w:rFonts w:ascii="Arial" w:hAnsi="Arial" w:cs="Arial"/>
        </w:rPr>
        <w:t>mortgage</w:t>
      </w:r>
      <w:r w:rsidR="003F2339" w:rsidRPr="00B4135C">
        <w:rPr>
          <w:rFonts w:ascii="Arial" w:hAnsi="Arial" w:cs="Arial"/>
        </w:rPr>
        <w:t>d</w:t>
      </w:r>
      <w:r w:rsidR="00517F19" w:rsidRPr="00B4135C">
        <w:rPr>
          <w:rFonts w:ascii="Arial" w:hAnsi="Arial" w:cs="Arial"/>
        </w:rPr>
        <w:t xml:space="preserve"> i</w:t>
      </w:r>
      <w:r w:rsidR="003F2339" w:rsidRPr="00B4135C">
        <w:rPr>
          <w:rFonts w:ascii="Arial" w:hAnsi="Arial" w:cs="Arial"/>
        </w:rPr>
        <w:t xml:space="preserve">mmovable property be declared executable and the basis on which the defendants implore this court not to declare their mortgaged immovable property not executable. </w:t>
      </w:r>
    </w:p>
    <w:p w:rsidR="003648CF" w:rsidRPr="00B4135C" w:rsidRDefault="003648CF" w:rsidP="003648CF">
      <w:pPr>
        <w:pStyle w:val="NormalWeb"/>
        <w:shd w:val="clear" w:color="auto" w:fill="FFFFFF"/>
        <w:spacing w:before="0" w:beforeAutospacing="0" w:after="0" w:afterAutospacing="0" w:line="360" w:lineRule="auto"/>
        <w:jc w:val="both"/>
        <w:rPr>
          <w:rFonts w:ascii="Arial" w:hAnsi="Arial" w:cs="Arial"/>
        </w:rPr>
      </w:pPr>
    </w:p>
    <w:p w:rsidR="003F2339" w:rsidRPr="00B4135C" w:rsidRDefault="003F2339" w:rsidP="003F2339">
      <w:pPr>
        <w:pStyle w:val="NormalWeb"/>
        <w:shd w:val="clear" w:color="auto" w:fill="FFFFFF"/>
        <w:spacing w:before="0" w:beforeAutospacing="0" w:after="0" w:afterAutospacing="0" w:line="360" w:lineRule="auto"/>
        <w:jc w:val="both"/>
        <w:rPr>
          <w:rFonts w:ascii="Arial" w:hAnsi="Arial" w:cs="Arial"/>
          <w:u w:val="single"/>
        </w:rPr>
      </w:pPr>
      <w:r w:rsidRPr="00B4135C">
        <w:rPr>
          <w:rFonts w:ascii="Arial" w:hAnsi="Arial" w:cs="Arial"/>
          <w:u w:val="single"/>
        </w:rPr>
        <w:t>The basis of the application</w:t>
      </w:r>
      <w:r w:rsidR="002F2D7C" w:rsidRPr="00B4135C">
        <w:rPr>
          <w:rFonts w:ascii="Arial" w:hAnsi="Arial" w:cs="Arial"/>
          <w:u w:val="single"/>
        </w:rPr>
        <w:t xml:space="preserve"> </w:t>
      </w:r>
    </w:p>
    <w:p w:rsidR="003F2339" w:rsidRPr="00B4135C" w:rsidRDefault="003F2339" w:rsidP="003F2339">
      <w:pPr>
        <w:pStyle w:val="NormalWeb"/>
        <w:shd w:val="clear" w:color="auto" w:fill="FFFFFF"/>
        <w:spacing w:before="0" w:beforeAutospacing="0" w:after="0" w:afterAutospacing="0" w:line="360" w:lineRule="auto"/>
        <w:jc w:val="both"/>
        <w:rPr>
          <w:rFonts w:ascii="Arial" w:hAnsi="Arial" w:cs="Arial"/>
        </w:rPr>
      </w:pPr>
    </w:p>
    <w:p w:rsidR="002F2D7C" w:rsidRPr="00B4135C" w:rsidRDefault="003F2339" w:rsidP="003F2339">
      <w:pPr>
        <w:pStyle w:val="NormalWeb"/>
        <w:shd w:val="clear" w:color="auto" w:fill="FFFFFF"/>
        <w:spacing w:before="0" w:beforeAutospacing="0" w:after="0" w:afterAutospacing="0" w:line="360" w:lineRule="auto"/>
        <w:jc w:val="both"/>
        <w:rPr>
          <w:rFonts w:ascii="Arial" w:hAnsi="Arial" w:cs="Arial"/>
        </w:rPr>
      </w:pPr>
      <w:r w:rsidRPr="00B4135C">
        <w:rPr>
          <w:rFonts w:ascii="Arial" w:hAnsi="Arial" w:cs="Arial"/>
        </w:rPr>
        <w:t>[</w:t>
      </w:r>
      <w:r w:rsidR="00B64587" w:rsidRPr="00B4135C">
        <w:rPr>
          <w:rFonts w:ascii="Arial" w:hAnsi="Arial" w:cs="Arial"/>
        </w:rPr>
        <w:t>6</w:t>
      </w:r>
      <w:r w:rsidRPr="00B4135C">
        <w:rPr>
          <w:rFonts w:ascii="Arial" w:hAnsi="Arial" w:cs="Arial"/>
        </w:rPr>
        <w:t>]</w:t>
      </w:r>
      <w:r w:rsidRPr="00B4135C">
        <w:rPr>
          <w:rFonts w:ascii="Arial" w:hAnsi="Arial" w:cs="Arial"/>
        </w:rPr>
        <w:tab/>
      </w:r>
      <w:r w:rsidR="00B64587" w:rsidRPr="00B4135C">
        <w:rPr>
          <w:rFonts w:ascii="Arial" w:hAnsi="Arial" w:cs="Arial"/>
        </w:rPr>
        <w:t xml:space="preserve">The plaintiff indicates that </w:t>
      </w:r>
      <w:r w:rsidR="00D03BF1" w:rsidRPr="00B4135C">
        <w:rPr>
          <w:rFonts w:ascii="Arial" w:hAnsi="Arial" w:cs="Arial"/>
        </w:rPr>
        <w:t xml:space="preserve">it </w:t>
      </w:r>
      <w:r w:rsidR="00B64587" w:rsidRPr="00B4135C">
        <w:rPr>
          <w:rFonts w:ascii="Arial" w:hAnsi="Arial" w:cs="Arial"/>
        </w:rPr>
        <w:t xml:space="preserve">provided a loan to the first and second defendants. </w:t>
      </w:r>
      <w:r w:rsidR="00D03BF1" w:rsidRPr="00B4135C">
        <w:rPr>
          <w:rFonts w:ascii="Arial" w:hAnsi="Arial" w:cs="Arial"/>
        </w:rPr>
        <w:t>I indicated above that the plaintiff obtained summary judgment against the defendants</w:t>
      </w:r>
      <w:r w:rsidR="002A6F1E">
        <w:rPr>
          <w:rFonts w:ascii="Arial" w:hAnsi="Arial" w:cs="Arial"/>
        </w:rPr>
        <w:t>.</w:t>
      </w:r>
      <w:r w:rsidR="00AD6C8C" w:rsidRPr="00B4135C">
        <w:rPr>
          <w:rFonts w:ascii="Arial" w:hAnsi="Arial" w:cs="Arial"/>
        </w:rPr>
        <w:t xml:space="preserve"> I al</w:t>
      </w:r>
      <w:r w:rsidR="002A6F1E">
        <w:rPr>
          <w:rFonts w:ascii="Arial" w:hAnsi="Arial" w:cs="Arial"/>
        </w:rPr>
        <w:t>so indicated that when the judg</w:t>
      </w:r>
      <w:r w:rsidR="00AD6C8C" w:rsidRPr="00B4135C">
        <w:rPr>
          <w:rFonts w:ascii="Arial" w:hAnsi="Arial" w:cs="Arial"/>
        </w:rPr>
        <w:t>ment remained unsatisfied the</w:t>
      </w:r>
      <w:r w:rsidR="002A6F1E">
        <w:rPr>
          <w:rFonts w:ascii="Arial" w:hAnsi="Arial" w:cs="Arial"/>
        </w:rPr>
        <w:t xml:space="preserve"> plaintiff applied in terms of r</w:t>
      </w:r>
      <w:r w:rsidR="00AD6C8C" w:rsidRPr="00B4135C">
        <w:rPr>
          <w:rFonts w:ascii="Arial" w:hAnsi="Arial" w:cs="Arial"/>
        </w:rPr>
        <w:t xml:space="preserve">ule 108 for the mortgaged property to be declared executable. The plaintiff </w:t>
      </w:r>
      <w:r w:rsidR="002F2D7C" w:rsidRPr="00B4135C">
        <w:rPr>
          <w:rFonts w:ascii="Arial" w:hAnsi="Arial" w:cs="Arial"/>
        </w:rPr>
        <w:t xml:space="preserve">further </w:t>
      </w:r>
      <w:r w:rsidR="00AD6C8C" w:rsidRPr="00B4135C">
        <w:rPr>
          <w:rFonts w:ascii="Arial" w:hAnsi="Arial" w:cs="Arial"/>
        </w:rPr>
        <w:t>contends that it has, on the prescribed form and in the prescribed manner applied for the mortgaged property to be declared executable</w:t>
      </w:r>
      <w:r w:rsidR="002F2D7C" w:rsidRPr="00B4135C">
        <w:rPr>
          <w:rFonts w:ascii="Arial" w:hAnsi="Arial" w:cs="Arial"/>
        </w:rPr>
        <w:t>. The plaintiff further contends that it caused the application to declare the mortgaged property executable to be served personally on the defendants.</w:t>
      </w:r>
    </w:p>
    <w:p w:rsidR="002F2D7C" w:rsidRPr="00B4135C" w:rsidRDefault="002F2D7C" w:rsidP="003F2339">
      <w:pPr>
        <w:pStyle w:val="NormalWeb"/>
        <w:shd w:val="clear" w:color="auto" w:fill="FFFFFF"/>
        <w:spacing w:before="0" w:beforeAutospacing="0" w:after="0" w:afterAutospacing="0" w:line="360" w:lineRule="auto"/>
        <w:jc w:val="both"/>
        <w:rPr>
          <w:rFonts w:ascii="Arial" w:hAnsi="Arial" w:cs="Arial"/>
        </w:rPr>
      </w:pPr>
    </w:p>
    <w:p w:rsidR="007F4D71" w:rsidRPr="00B4135C" w:rsidRDefault="002F2D7C" w:rsidP="003F2339">
      <w:pPr>
        <w:pStyle w:val="NormalWeb"/>
        <w:shd w:val="clear" w:color="auto" w:fill="FFFFFF"/>
        <w:spacing w:before="0" w:beforeAutospacing="0" w:after="0" w:afterAutospacing="0" w:line="360" w:lineRule="auto"/>
        <w:jc w:val="both"/>
        <w:rPr>
          <w:rFonts w:ascii="Arial" w:hAnsi="Arial" w:cs="Arial"/>
        </w:rPr>
      </w:pPr>
      <w:r w:rsidRPr="00B4135C">
        <w:rPr>
          <w:rFonts w:ascii="Arial" w:hAnsi="Arial" w:cs="Arial"/>
        </w:rPr>
        <w:t>[7]</w:t>
      </w:r>
      <w:r w:rsidRPr="00B4135C">
        <w:rPr>
          <w:rFonts w:ascii="Arial" w:hAnsi="Arial" w:cs="Arial"/>
        </w:rPr>
        <w:tab/>
        <w:t xml:space="preserve">The plaintiff further contends that conscious of the fact that the mortgaged </w:t>
      </w:r>
      <w:r w:rsidR="007F4D71" w:rsidRPr="00B4135C">
        <w:rPr>
          <w:rFonts w:ascii="Arial" w:hAnsi="Arial" w:cs="Arial"/>
        </w:rPr>
        <w:t>property may</w:t>
      </w:r>
      <w:r w:rsidRPr="00B4135C">
        <w:rPr>
          <w:rFonts w:ascii="Arial" w:hAnsi="Arial" w:cs="Arial"/>
        </w:rPr>
        <w:t xml:space="preserve"> be the defendants’ primary home, the defendants were afforded the opportunity to show cause why the mortgaged property must not be declared executable</w:t>
      </w:r>
      <w:r w:rsidR="007F4D71" w:rsidRPr="00B4135C">
        <w:rPr>
          <w:rFonts w:ascii="Arial" w:hAnsi="Arial" w:cs="Arial"/>
        </w:rPr>
        <w:t>. The plaintiff furthermore contend that from explanation provided by the defendants</w:t>
      </w:r>
      <w:r w:rsidR="002A6F1E">
        <w:rPr>
          <w:rFonts w:ascii="Arial" w:hAnsi="Arial" w:cs="Arial"/>
        </w:rPr>
        <w:t>,</w:t>
      </w:r>
      <w:r w:rsidR="007F4D71" w:rsidRPr="00B4135C">
        <w:rPr>
          <w:rFonts w:ascii="Arial" w:hAnsi="Arial" w:cs="Arial"/>
        </w:rPr>
        <w:t xml:space="preserve"> it becomes apparent that the defendants will not be rendered homeless and destitute if the mortgaged property were to be declared executable. The plaintiff thus concludes by submitting that having complied with all the proc</w:t>
      </w:r>
      <w:r w:rsidR="002A6F1E">
        <w:rPr>
          <w:rFonts w:ascii="Arial" w:hAnsi="Arial" w:cs="Arial"/>
        </w:rPr>
        <w:t>edural steps as required under r</w:t>
      </w:r>
      <w:r w:rsidR="007F4D71" w:rsidRPr="00B4135C">
        <w:rPr>
          <w:rFonts w:ascii="Arial" w:hAnsi="Arial" w:cs="Arial"/>
        </w:rPr>
        <w:t>ule 108</w:t>
      </w:r>
      <w:r w:rsidR="002A6F1E">
        <w:rPr>
          <w:rFonts w:ascii="Arial" w:hAnsi="Arial" w:cs="Arial"/>
        </w:rPr>
        <w:t>,</w:t>
      </w:r>
      <w:r w:rsidR="007F4D71" w:rsidRPr="00B4135C">
        <w:rPr>
          <w:rFonts w:ascii="Arial" w:hAnsi="Arial" w:cs="Arial"/>
        </w:rPr>
        <w:t xml:space="preserve"> it is entitled to call upon its security in order to satisfy the judgment debt.</w:t>
      </w:r>
    </w:p>
    <w:p w:rsidR="007F4D71" w:rsidRPr="00B4135C" w:rsidRDefault="007F4D71" w:rsidP="003F2339">
      <w:pPr>
        <w:pStyle w:val="NormalWeb"/>
        <w:shd w:val="clear" w:color="auto" w:fill="FFFFFF"/>
        <w:spacing w:before="0" w:beforeAutospacing="0" w:after="0" w:afterAutospacing="0" w:line="360" w:lineRule="auto"/>
        <w:jc w:val="both"/>
        <w:rPr>
          <w:rFonts w:ascii="Arial" w:hAnsi="Arial" w:cs="Arial"/>
        </w:rPr>
      </w:pPr>
    </w:p>
    <w:p w:rsidR="0043021D" w:rsidRPr="00B4135C" w:rsidRDefault="007F4D71" w:rsidP="007F4D71">
      <w:pPr>
        <w:pStyle w:val="NormalWeb"/>
        <w:shd w:val="clear" w:color="auto" w:fill="FFFFFF"/>
        <w:spacing w:before="0" w:beforeAutospacing="0" w:after="0" w:afterAutospacing="0" w:line="360" w:lineRule="auto"/>
        <w:jc w:val="both"/>
        <w:rPr>
          <w:rFonts w:ascii="Arial" w:hAnsi="Arial" w:cs="Arial"/>
          <w:u w:val="single"/>
        </w:rPr>
      </w:pPr>
      <w:r w:rsidRPr="00B4135C">
        <w:rPr>
          <w:rFonts w:ascii="Arial" w:hAnsi="Arial" w:cs="Arial"/>
          <w:u w:val="single"/>
        </w:rPr>
        <w:t>The basis of the opposition of the application.</w:t>
      </w:r>
    </w:p>
    <w:p w:rsidR="002D7B11" w:rsidRPr="00B4135C" w:rsidRDefault="002D7B11" w:rsidP="007F4D71">
      <w:pPr>
        <w:pStyle w:val="NormalWeb"/>
        <w:shd w:val="clear" w:color="auto" w:fill="FFFFFF"/>
        <w:spacing w:before="0" w:beforeAutospacing="0" w:after="0" w:afterAutospacing="0" w:line="360" w:lineRule="auto"/>
        <w:jc w:val="both"/>
        <w:rPr>
          <w:rFonts w:ascii="Arial" w:hAnsi="Arial" w:cs="Arial"/>
        </w:rPr>
      </w:pPr>
    </w:p>
    <w:p w:rsidR="00A86016" w:rsidRPr="00B4135C" w:rsidRDefault="0043021D" w:rsidP="007F4D71">
      <w:pPr>
        <w:pStyle w:val="NormalWeb"/>
        <w:shd w:val="clear" w:color="auto" w:fill="FFFFFF"/>
        <w:spacing w:before="0" w:beforeAutospacing="0" w:after="0" w:afterAutospacing="0" w:line="360" w:lineRule="auto"/>
        <w:jc w:val="both"/>
        <w:rPr>
          <w:rFonts w:ascii="Arial" w:hAnsi="Arial" w:cs="Arial"/>
        </w:rPr>
      </w:pPr>
      <w:r w:rsidRPr="00B4135C">
        <w:rPr>
          <w:rFonts w:ascii="Arial" w:hAnsi="Arial" w:cs="Arial"/>
        </w:rPr>
        <w:t>[</w:t>
      </w:r>
      <w:r w:rsidR="002D7B11" w:rsidRPr="00B4135C">
        <w:rPr>
          <w:rFonts w:ascii="Arial" w:hAnsi="Arial" w:cs="Arial"/>
        </w:rPr>
        <w:t>8]</w:t>
      </w:r>
      <w:r w:rsidR="002D7B11" w:rsidRPr="00B4135C">
        <w:rPr>
          <w:rFonts w:ascii="Arial" w:hAnsi="Arial" w:cs="Arial"/>
        </w:rPr>
        <w:tab/>
      </w:r>
      <w:r w:rsidRPr="00B4135C">
        <w:rPr>
          <w:rFonts w:ascii="Arial" w:hAnsi="Arial" w:cs="Arial"/>
        </w:rPr>
        <w:t xml:space="preserve">The </w:t>
      </w:r>
      <w:r w:rsidR="002D7B11" w:rsidRPr="00B4135C">
        <w:rPr>
          <w:rFonts w:ascii="Arial" w:hAnsi="Arial" w:cs="Arial"/>
        </w:rPr>
        <w:t>defendants implore this court not to declare the mortgaged property executable on the basis that the mortgaged property is the first defendant’s house and primary residence. Augusto</w:t>
      </w:r>
      <w:r w:rsidR="002A6F1E">
        <w:rPr>
          <w:rFonts w:ascii="Arial" w:hAnsi="Arial" w:cs="Arial"/>
        </w:rPr>
        <w:t>,</w:t>
      </w:r>
      <w:r w:rsidR="002D7B11" w:rsidRPr="00B4135C">
        <w:rPr>
          <w:rFonts w:ascii="Arial" w:hAnsi="Arial" w:cs="Arial"/>
        </w:rPr>
        <w:t xml:space="preserve"> who deposed to the affidavit on behalf of the defendants states that he, his wif</w:t>
      </w:r>
      <w:r w:rsidR="00A86016" w:rsidRPr="00B4135C">
        <w:rPr>
          <w:rFonts w:ascii="Arial" w:hAnsi="Arial" w:cs="Arial"/>
        </w:rPr>
        <w:t>e and five of his children aged</w:t>
      </w:r>
      <w:r w:rsidR="002D7B11" w:rsidRPr="00B4135C">
        <w:rPr>
          <w:rFonts w:ascii="Arial" w:hAnsi="Arial" w:cs="Arial"/>
        </w:rPr>
        <w:t xml:space="preserve"> 22, 19, 13 , 12 and 9 live with him at the mortgaged property. He thus deposed </w:t>
      </w:r>
      <w:r w:rsidR="00A86016" w:rsidRPr="00B4135C">
        <w:rPr>
          <w:rFonts w:ascii="Arial" w:hAnsi="Arial" w:cs="Arial"/>
        </w:rPr>
        <w:t>that if</w:t>
      </w:r>
      <w:r w:rsidR="002D7B11" w:rsidRPr="00B4135C">
        <w:rPr>
          <w:rFonts w:ascii="Arial" w:hAnsi="Arial" w:cs="Arial"/>
        </w:rPr>
        <w:t xml:space="preserve"> the property were to be declared executable and </w:t>
      </w:r>
      <w:r w:rsidR="00A86016" w:rsidRPr="00B4135C">
        <w:rPr>
          <w:rFonts w:ascii="Arial" w:hAnsi="Arial" w:cs="Arial"/>
        </w:rPr>
        <w:t>ultimately sold</w:t>
      </w:r>
      <w:r w:rsidR="002D7B11" w:rsidRPr="00B4135C">
        <w:rPr>
          <w:rFonts w:ascii="Arial" w:hAnsi="Arial" w:cs="Arial"/>
        </w:rPr>
        <w:t xml:space="preserve"> </w:t>
      </w:r>
      <w:r w:rsidR="00A86016" w:rsidRPr="00B4135C">
        <w:rPr>
          <w:rFonts w:ascii="Arial" w:hAnsi="Arial" w:cs="Arial"/>
        </w:rPr>
        <w:t>in execution</w:t>
      </w:r>
      <w:r w:rsidR="002A6F1E">
        <w:rPr>
          <w:rFonts w:ascii="Arial" w:hAnsi="Arial" w:cs="Arial"/>
        </w:rPr>
        <w:t>,</w:t>
      </w:r>
      <w:r w:rsidR="002D7B11" w:rsidRPr="00B4135C">
        <w:rPr>
          <w:rFonts w:ascii="Arial" w:hAnsi="Arial" w:cs="Arial"/>
        </w:rPr>
        <w:t xml:space="preserve"> </w:t>
      </w:r>
      <w:r w:rsidR="00A86016" w:rsidRPr="00B4135C">
        <w:rPr>
          <w:rFonts w:ascii="Arial" w:hAnsi="Arial" w:cs="Arial"/>
        </w:rPr>
        <w:t>it would render him and his family homeless and that would also be an injury to his dignity. He states that his wife and his five children will survive with extreme difficulty particularly in view of the fact that four of the children are minors.</w:t>
      </w:r>
    </w:p>
    <w:p w:rsidR="00A86016" w:rsidRPr="00B4135C" w:rsidRDefault="00A86016" w:rsidP="007F4D71">
      <w:pPr>
        <w:pStyle w:val="NormalWeb"/>
        <w:shd w:val="clear" w:color="auto" w:fill="FFFFFF"/>
        <w:spacing w:before="0" w:beforeAutospacing="0" w:after="0" w:afterAutospacing="0" w:line="360" w:lineRule="auto"/>
        <w:jc w:val="both"/>
        <w:rPr>
          <w:rFonts w:ascii="Arial" w:hAnsi="Arial" w:cs="Arial"/>
        </w:rPr>
      </w:pPr>
    </w:p>
    <w:p w:rsidR="00597876" w:rsidRPr="00B4135C" w:rsidRDefault="00A86016" w:rsidP="00597876">
      <w:pPr>
        <w:pStyle w:val="NormalWeb"/>
        <w:shd w:val="clear" w:color="auto" w:fill="FFFFFF"/>
        <w:spacing w:before="0" w:beforeAutospacing="0" w:after="0" w:afterAutospacing="0" w:line="360" w:lineRule="auto"/>
        <w:jc w:val="both"/>
        <w:rPr>
          <w:rFonts w:ascii="Arial" w:hAnsi="Arial" w:cs="Arial"/>
        </w:rPr>
      </w:pPr>
      <w:r w:rsidRPr="00B4135C">
        <w:rPr>
          <w:rFonts w:ascii="Arial" w:hAnsi="Arial" w:cs="Arial"/>
        </w:rPr>
        <w:t>[9]</w:t>
      </w:r>
      <w:r w:rsidRPr="00B4135C">
        <w:rPr>
          <w:rFonts w:ascii="Arial" w:hAnsi="Arial" w:cs="Arial"/>
        </w:rPr>
        <w:tab/>
        <w:t xml:space="preserve">The defendants admit their liability and indebtedness to the plaintiff. The first defendant states his business position significantly improved as he is now working on a new project in Rundu. He states </w:t>
      </w:r>
      <w:r w:rsidR="0043021D" w:rsidRPr="00B4135C">
        <w:rPr>
          <w:rFonts w:ascii="Arial" w:hAnsi="Arial" w:cs="Arial"/>
        </w:rPr>
        <w:t xml:space="preserve">that </w:t>
      </w:r>
      <w:r w:rsidR="00597876" w:rsidRPr="00B4135C">
        <w:rPr>
          <w:rFonts w:ascii="Arial" w:hAnsi="Arial" w:cs="Arial"/>
        </w:rPr>
        <w:t xml:space="preserve">he will make </w:t>
      </w:r>
      <w:r w:rsidR="0043021D" w:rsidRPr="00B4135C">
        <w:rPr>
          <w:rFonts w:ascii="Arial" w:hAnsi="Arial" w:cs="Arial"/>
        </w:rPr>
        <w:t>arrangements to repay the</w:t>
      </w:r>
      <w:r w:rsidR="00597876" w:rsidRPr="00B4135C">
        <w:rPr>
          <w:rFonts w:ascii="Arial" w:hAnsi="Arial" w:cs="Arial"/>
        </w:rPr>
        <w:t xml:space="preserve"> amounts owed to the plaintiff.</w:t>
      </w:r>
    </w:p>
    <w:p w:rsidR="00597876" w:rsidRPr="00B4135C" w:rsidRDefault="00597876" w:rsidP="00597876">
      <w:pPr>
        <w:pStyle w:val="NormalWeb"/>
        <w:shd w:val="clear" w:color="auto" w:fill="FFFFFF"/>
        <w:spacing w:before="0" w:beforeAutospacing="0" w:after="0" w:afterAutospacing="0" w:line="360" w:lineRule="auto"/>
        <w:jc w:val="both"/>
        <w:rPr>
          <w:rFonts w:ascii="Arial" w:hAnsi="Arial" w:cs="Arial"/>
        </w:rPr>
      </w:pPr>
    </w:p>
    <w:p w:rsidR="0043021D" w:rsidRPr="00B4135C" w:rsidRDefault="00597876" w:rsidP="00597876">
      <w:pPr>
        <w:pStyle w:val="NormalWeb"/>
        <w:shd w:val="clear" w:color="auto" w:fill="FFFFFF"/>
        <w:spacing w:before="0" w:beforeAutospacing="0" w:after="0" w:afterAutospacing="0" w:line="360" w:lineRule="auto"/>
        <w:jc w:val="both"/>
        <w:rPr>
          <w:rFonts w:ascii="Arial" w:hAnsi="Arial" w:cs="Arial"/>
        </w:rPr>
      </w:pPr>
      <w:r w:rsidRPr="00B4135C">
        <w:rPr>
          <w:rFonts w:ascii="Arial" w:hAnsi="Arial" w:cs="Arial"/>
        </w:rPr>
        <w:t>[10]</w:t>
      </w:r>
      <w:r w:rsidRPr="00B4135C">
        <w:rPr>
          <w:rFonts w:ascii="Arial" w:hAnsi="Arial" w:cs="Arial"/>
        </w:rPr>
        <w:tab/>
        <w:t>The question that I am required to answer is, whether on the basis of the competing contentions by the plaintiff and the defendants</w:t>
      </w:r>
      <w:r w:rsidR="00FB4837">
        <w:rPr>
          <w:rFonts w:ascii="Arial" w:hAnsi="Arial" w:cs="Arial"/>
        </w:rPr>
        <w:t>,</w:t>
      </w:r>
      <w:r w:rsidRPr="00B4135C">
        <w:rPr>
          <w:rFonts w:ascii="Arial" w:hAnsi="Arial" w:cs="Arial"/>
        </w:rPr>
        <w:t xml:space="preserve"> the court can </w:t>
      </w:r>
      <w:r w:rsidR="0043021D" w:rsidRPr="00B4135C">
        <w:rPr>
          <w:rFonts w:ascii="Arial" w:hAnsi="Arial" w:cs="Arial"/>
        </w:rPr>
        <w:t xml:space="preserve">declare the </w:t>
      </w:r>
      <w:r w:rsidRPr="00B4135C">
        <w:rPr>
          <w:rFonts w:ascii="Arial" w:hAnsi="Arial" w:cs="Arial"/>
        </w:rPr>
        <w:t xml:space="preserve">mortgaged property </w:t>
      </w:r>
      <w:r w:rsidR="0043021D" w:rsidRPr="00B4135C">
        <w:rPr>
          <w:rFonts w:ascii="Arial" w:hAnsi="Arial" w:cs="Arial"/>
        </w:rPr>
        <w:t xml:space="preserve">executable. </w:t>
      </w:r>
      <w:r w:rsidRPr="00B4135C">
        <w:rPr>
          <w:rFonts w:ascii="Arial" w:hAnsi="Arial" w:cs="Arial"/>
        </w:rPr>
        <w:t xml:space="preserve"> I will</w:t>
      </w:r>
      <w:r w:rsidR="00FB4837">
        <w:rPr>
          <w:rFonts w:ascii="Arial" w:hAnsi="Arial" w:cs="Arial"/>
        </w:rPr>
        <w:t>,</w:t>
      </w:r>
      <w:r w:rsidRPr="00B4135C">
        <w:rPr>
          <w:rFonts w:ascii="Arial" w:hAnsi="Arial" w:cs="Arial"/>
        </w:rPr>
        <w:t xml:space="preserve"> before I deal with that question</w:t>
      </w:r>
      <w:r w:rsidR="00FB4837">
        <w:rPr>
          <w:rFonts w:ascii="Arial" w:hAnsi="Arial" w:cs="Arial"/>
        </w:rPr>
        <w:t>,</w:t>
      </w:r>
      <w:r w:rsidRPr="00B4135C">
        <w:rPr>
          <w:rFonts w:ascii="Arial" w:hAnsi="Arial" w:cs="Arial"/>
        </w:rPr>
        <w:t xml:space="preserve"> briefly set out the applicable legal principles.</w:t>
      </w:r>
    </w:p>
    <w:p w:rsidR="00F02D13" w:rsidRPr="00B4135C" w:rsidRDefault="00F02D13" w:rsidP="00FB4837">
      <w:pPr>
        <w:spacing w:after="0" w:line="360" w:lineRule="auto"/>
        <w:jc w:val="both"/>
        <w:rPr>
          <w:rFonts w:ascii="Arial" w:hAnsi="Arial" w:cs="Arial"/>
          <w:sz w:val="24"/>
          <w:szCs w:val="24"/>
          <w:u w:val="single"/>
        </w:rPr>
      </w:pPr>
    </w:p>
    <w:p w:rsidR="000C1D72" w:rsidRPr="00B4135C" w:rsidRDefault="000C1D72" w:rsidP="00FB4837">
      <w:pPr>
        <w:spacing w:after="0" w:line="360" w:lineRule="auto"/>
        <w:jc w:val="both"/>
        <w:rPr>
          <w:rFonts w:ascii="Arial" w:hAnsi="Arial" w:cs="Arial"/>
          <w:sz w:val="24"/>
          <w:szCs w:val="24"/>
          <w:u w:val="single"/>
        </w:rPr>
      </w:pPr>
      <w:r w:rsidRPr="00B4135C">
        <w:rPr>
          <w:rFonts w:ascii="Arial" w:hAnsi="Arial" w:cs="Arial"/>
          <w:sz w:val="24"/>
          <w:szCs w:val="24"/>
          <w:u w:val="single"/>
        </w:rPr>
        <w:t xml:space="preserve">The </w:t>
      </w:r>
      <w:r w:rsidR="00597876" w:rsidRPr="00B4135C">
        <w:rPr>
          <w:rFonts w:ascii="Arial" w:hAnsi="Arial" w:cs="Arial"/>
          <w:sz w:val="24"/>
          <w:szCs w:val="24"/>
          <w:u w:val="single"/>
        </w:rPr>
        <w:t>applicable legal principles</w:t>
      </w:r>
    </w:p>
    <w:p w:rsidR="009A2458" w:rsidRPr="00B4135C" w:rsidRDefault="009A2458" w:rsidP="00FB4837">
      <w:pPr>
        <w:spacing w:after="0" w:line="360" w:lineRule="auto"/>
        <w:jc w:val="both"/>
        <w:rPr>
          <w:rFonts w:ascii="Arial" w:hAnsi="Arial" w:cs="Arial"/>
          <w:sz w:val="24"/>
          <w:szCs w:val="24"/>
          <w:u w:val="single"/>
        </w:rPr>
      </w:pPr>
    </w:p>
    <w:p w:rsidR="008E2EEE" w:rsidRDefault="000C1D72" w:rsidP="00FB4837">
      <w:pPr>
        <w:spacing w:after="0" w:line="360" w:lineRule="auto"/>
        <w:jc w:val="both"/>
        <w:rPr>
          <w:rFonts w:ascii="Arial" w:hAnsi="Arial" w:cs="Arial"/>
          <w:sz w:val="24"/>
          <w:szCs w:val="24"/>
        </w:rPr>
      </w:pPr>
      <w:r w:rsidRPr="00B4135C">
        <w:rPr>
          <w:rFonts w:ascii="Arial" w:hAnsi="Arial" w:cs="Arial"/>
          <w:sz w:val="24"/>
          <w:szCs w:val="24"/>
        </w:rPr>
        <w:t>[1</w:t>
      </w:r>
      <w:r w:rsidR="001D6B39" w:rsidRPr="00B4135C">
        <w:rPr>
          <w:rFonts w:ascii="Arial" w:hAnsi="Arial" w:cs="Arial"/>
          <w:sz w:val="24"/>
          <w:szCs w:val="24"/>
        </w:rPr>
        <w:t>1</w:t>
      </w:r>
      <w:r w:rsidR="00806A2C" w:rsidRPr="00B4135C">
        <w:rPr>
          <w:rFonts w:ascii="Arial" w:hAnsi="Arial" w:cs="Arial"/>
          <w:sz w:val="24"/>
          <w:szCs w:val="24"/>
        </w:rPr>
        <w:t>]</w:t>
      </w:r>
      <w:r w:rsidR="00806A2C" w:rsidRPr="00B4135C">
        <w:rPr>
          <w:rFonts w:ascii="Arial" w:hAnsi="Arial" w:cs="Arial"/>
          <w:sz w:val="24"/>
          <w:szCs w:val="24"/>
        </w:rPr>
        <w:tab/>
      </w:r>
      <w:r w:rsidR="008E2EEE" w:rsidRPr="00B4135C">
        <w:rPr>
          <w:rFonts w:ascii="Arial" w:hAnsi="Arial" w:cs="Arial"/>
          <w:sz w:val="24"/>
          <w:szCs w:val="24"/>
        </w:rPr>
        <w:t>At common law, a mortgagee plaintiff has a substantive right to realise the immovable property of the judgment debtor in cases where the said judgment creditor duly registered the mortgage bond for the very purpose of securing the debt which is the subject matter of the claim</w:t>
      </w:r>
      <w:r w:rsidR="00FB4837">
        <w:rPr>
          <w:rFonts w:ascii="Arial" w:hAnsi="Arial" w:cs="Arial"/>
          <w:sz w:val="24"/>
          <w:szCs w:val="24"/>
        </w:rPr>
        <w:t>.</w:t>
      </w:r>
      <w:r w:rsidR="008E2EEE" w:rsidRPr="00B4135C">
        <w:rPr>
          <w:rStyle w:val="FootnoteReference"/>
          <w:rFonts w:ascii="Arial" w:hAnsi="Arial" w:cs="Arial"/>
          <w:sz w:val="24"/>
          <w:szCs w:val="24"/>
        </w:rPr>
        <w:footnoteReference w:id="1"/>
      </w:r>
      <w:r w:rsidR="008E2EEE" w:rsidRPr="00B4135C">
        <w:rPr>
          <w:rFonts w:ascii="Arial" w:hAnsi="Arial" w:cs="Arial"/>
          <w:sz w:val="24"/>
          <w:szCs w:val="24"/>
        </w:rPr>
        <w:t xml:space="preserve">  See the </w:t>
      </w:r>
      <w:r w:rsidR="009A2458" w:rsidRPr="00B4135C">
        <w:rPr>
          <w:rFonts w:ascii="Arial" w:hAnsi="Arial" w:cs="Arial"/>
          <w:sz w:val="24"/>
          <w:szCs w:val="24"/>
        </w:rPr>
        <w:t>case</w:t>
      </w:r>
      <w:r w:rsidR="008E2EEE" w:rsidRPr="00B4135C">
        <w:rPr>
          <w:rFonts w:ascii="Arial" w:hAnsi="Arial" w:cs="Arial"/>
          <w:sz w:val="24"/>
          <w:szCs w:val="24"/>
        </w:rPr>
        <w:t xml:space="preserve"> of </w:t>
      </w:r>
      <w:r w:rsidR="009A2458" w:rsidRPr="00B4135C">
        <w:rPr>
          <w:rFonts w:ascii="Arial" w:hAnsi="Arial" w:cs="Arial"/>
          <w:i/>
          <w:sz w:val="24"/>
          <w:szCs w:val="24"/>
        </w:rPr>
        <w:t>Namib Building Society v Du Plessis</w:t>
      </w:r>
      <w:r w:rsidR="009A2458" w:rsidRPr="00B4135C">
        <w:rPr>
          <w:rStyle w:val="FootnoteReference"/>
          <w:rFonts w:ascii="Arial" w:hAnsi="Arial" w:cs="Arial"/>
          <w:i/>
          <w:sz w:val="24"/>
          <w:szCs w:val="24"/>
        </w:rPr>
        <w:footnoteReference w:id="2"/>
      </w:r>
      <w:r w:rsidR="009A2458" w:rsidRPr="00B4135C">
        <w:rPr>
          <w:rFonts w:ascii="Arial" w:hAnsi="Arial" w:cs="Arial"/>
          <w:sz w:val="24"/>
          <w:szCs w:val="24"/>
        </w:rPr>
        <w:t xml:space="preserve"> where this Court said:</w:t>
      </w:r>
    </w:p>
    <w:p w:rsidR="00FB4837" w:rsidRPr="00B4135C" w:rsidRDefault="00FB4837" w:rsidP="00FB4837">
      <w:pPr>
        <w:spacing w:after="0" w:line="360" w:lineRule="auto"/>
        <w:jc w:val="both"/>
        <w:rPr>
          <w:rFonts w:ascii="Arial" w:hAnsi="Arial" w:cs="Arial"/>
          <w:sz w:val="24"/>
          <w:szCs w:val="24"/>
        </w:rPr>
      </w:pPr>
    </w:p>
    <w:p w:rsidR="008E2EEE" w:rsidRPr="00B4135C" w:rsidRDefault="009A2458" w:rsidP="00B4135C">
      <w:pPr>
        <w:spacing w:after="0" w:line="360" w:lineRule="auto"/>
        <w:jc w:val="both"/>
        <w:rPr>
          <w:rFonts w:ascii="Arial" w:hAnsi="Arial" w:cs="Arial"/>
          <w:sz w:val="24"/>
          <w:szCs w:val="24"/>
        </w:rPr>
      </w:pPr>
      <w:r w:rsidRPr="00B4135C">
        <w:rPr>
          <w:rFonts w:ascii="Arial" w:hAnsi="Arial" w:cs="Arial"/>
        </w:rPr>
        <w:lastRenderedPageBreak/>
        <w:t>‘A mortgagee plaintiff should in principle be entitled to realise the property over which a mortgage bond was registered for the very purpose of securing the debt on which he sues.  Such a plaintiff has advanced money on the understanding that he can preferentially look to the proceeds of the mortgaged property.  Unless some compelling reason exists to require such a plaintiff first to execute against movables, no reason occurs to me why he should not be given the benefit of his bargain.  If some such compelling reason exists, the duty surely lies on the mortgagor defendant to persuade the Court why the property should not be declared executable.</w:t>
      </w:r>
      <w:r w:rsidRPr="00B4135C">
        <w:rPr>
          <w:rFonts w:ascii="Arial" w:hAnsi="Arial" w:cs="Arial"/>
          <w:sz w:val="24"/>
          <w:szCs w:val="24"/>
        </w:rPr>
        <w:t>’</w:t>
      </w:r>
    </w:p>
    <w:p w:rsidR="009A2458" w:rsidRPr="00B4135C" w:rsidRDefault="009A2458" w:rsidP="00B4135C">
      <w:pPr>
        <w:spacing w:after="0" w:line="360" w:lineRule="auto"/>
        <w:jc w:val="both"/>
        <w:rPr>
          <w:rFonts w:ascii="Arial" w:hAnsi="Arial" w:cs="Arial"/>
          <w:sz w:val="24"/>
          <w:szCs w:val="24"/>
        </w:rPr>
      </w:pPr>
    </w:p>
    <w:p w:rsidR="009E3289" w:rsidRPr="00B4135C" w:rsidRDefault="009A2458" w:rsidP="00B4135C">
      <w:pPr>
        <w:spacing w:after="0" w:line="360" w:lineRule="auto"/>
        <w:jc w:val="both"/>
        <w:rPr>
          <w:rFonts w:ascii="Arial" w:hAnsi="Arial" w:cs="Arial"/>
          <w:sz w:val="24"/>
          <w:szCs w:val="24"/>
        </w:rPr>
      </w:pPr>
      <w:r w:rsidRPr="00B4135C">
        <w:rPr>
          <w:rFonts w:ascii="Arial" w:hAnsi="Arial" w:cs="Arial"/>
          <w:sz w:val="24"/>
          <w:szCs w:val="24"/>
        </w:rPr>
        <w:t>[12]</w:t>
      </w:r>
      <w:r w:rsidRPr="00B4135C">
        <w:rPr>
          <w:rFonts w:ascii="Arial" w:hAnsi="Arial" w:cs="Arial"/>
          <w:sz w:val="24"/>
          <w:szCs w:val="24"/>
        </w:rPr>
        <w:tab/>
        <w:t xml:space="preserve">In the </w:t>
      </w:r>
      <w:r w:rsidRPr="00B4135C">
        <w:rPr>
          <w:rFonts w:ascii="Arial" w:hAnsi="Arial" w:cs="Arial"/>
          <w:i/>
          <w:sz w:val="24"/>
          <w:szCs w:val="24"/>
        </w:rPr>
        <w:t>Futeni Collection (Pty) Ltd</w:t>
      </w:r>
      <w:r w:rsidR="00FB4837">
        <w:rPr>
          <w:rFonts w:ascii="Arial" w:hAnsi="Arial" w:cs="Arial"/>
          <w:i/>
          <w:sz w:val="24"/>
          <w:szCs w:val="24"/>
        </w:rPr>
        <w:t>,</w:t>
      </w:r>
      <w:r w:rsidRPr="00B4135C">
        <w:rPr>
          <w:rStyle w:val="FootnoteReference"/>
          <w:rFonts w:ascii="Arial" w:hAnsi="Arial" w:cs="Arial"/>
          <w:i/>
          <w:sz w:val="24"/>
          <w:szCs w:val="24"/>
        </w:rPr>
        <w:footnoteReference w:id="3"/>
      </w:r>
      <w:r w:rsidRPr="00B4135C">
        <w:rPr>
          <w:rFonts w:ascii="Arial" w:hAnsi="Arial" w:cs="Arial"/>
          <w:i/>
          <w:sz w:val="24"/>
          <w:szCs w:val="24"/>
        </w:rPr>
        <w:t xml:space="preserve"> </w:t>
      </w:r>
      <w:r w:rsidRPr="00B4135C">
        <w:rPr>
          <w:rFonts w:ascii="Arial" w:hAnsi="Arial" w:cs="Arial"/>
          <w:sz w:val="24"/>
          <w:szCs w:val="24"/>
        </w:rPr>
        <w:t>Masuku J remarked that, and I endorse those remarks, it</w:t>
      </w:r>
      <w:r w:rsidRPr="00B4135C">
        <w:rPr>
          <w:rFonts w:ascii="Arial" w:hAnsi="Arial" w:cs="Arial"/>
          <w:i/>
          <w:sz w:val="24"/>
          <w:szCs w:val="24"/>
        </w:rPr>
        <w:t xml:space="preserve"> </w:t>
      </w:r>
      <w:r w:rsidRPr="00B4135C">
        <w:rPr>
          <w:rFonts w:ascii="Arial" w:hAnsi="Arial" w:cs="Arial"/>
          <w:sz w:val="24"/>
          <w:szCs w:val="24"/>
        </w:rPr>
        <w:t>is</w:t>
      </w:r>
      <w:r w:rsidR="008E2EEE" w:rsidRPr="00B4135C">
        <w:rPr>
          <w:rFonts w:ascii="Arial" w:hAnsi="Arial" w:cs="Arial"/>
          <w:sz w:val="24"/>
          <w:szCs w:val="24"/>
        </w:rPr>
        <w:t xml:space="preserve"> now common cause that the terrain has changed somewhat since the amendment of the rules of court by the Judge President when he introduced the provisions of rule 108</w:t>
      </w:r>
      <w:r w:rsidRPr="00B4135C">
        <w:rPr>
          <w:rFonts w:ascii="Arial" w:hAnsi="Arial" w:cs="Arial"/>
          <w:sz w:val="24"/>
          <w:szCs w:val="24"/>
        </w:rPr>
        <w:t xml:space="preserve">. </w:t>
      </w:r>
      <w:r w:rsidR="00606D9F" w:rsidRPr="00B4135C">
        <w:rPr>
          <w:rFonts w:ascii="Arial" w:hAnsi="Arial" w:cs="Arial"/>
          <w:sz w:val="24"/>
          <w:szCs w:val="24"/>
        </w:rPr>
        <w:t xml:space="preserve">Rule 108 </w:t>
      </w:r>
      <w:r w:rsidRPr="00B4135C">
        <w:rPr>
          <w:rFonts w:ascii="Arial" w:hAnsi="Arial" w:cs="Arial"/>
          <w:sz w:val="24"/>
          <w:szCs w:val="24"/>
        </w:rPr>
        <w:t>has been the sub</w:t>
      </w:r>
      <w:r w:rsidR="00FB4837">
        <w:rPr>
          <w:rFonts w:ascii="Arial" w:hAnsi="Arial" w:cs="Arial"/>
          <w:sz w:val="24"/>
          <w:szCs w:val="24"/>
        </w:rPr>
        <w:t>ject of interpretation by this c</w:t>
      </w:r>
      <w:r w:rsidRPr="00B4135C">
        <w:rPr>
          <w:rFonts w:ascii="Arial" w:hAnsi="Arial" w:cs="Arial"/>
          <w:sz w:val="24"/>
          <w:szCs w:val="24"/>
        </w:rPr>
        <w:t>ourt a number of judgments and I</w:t>
      </w:r>
      <w:r w:rsidR="00B4135C" w:rsidRPr="00B4135C">
        <w:rPr>
          <w:rFonts w:ascii="Arial" w:hAnsi="Arial" w:cs="Arial"/>
          <w:sz w:val="24"/>
          <w:szCs w:val="24"/>
        </w:rPr>
        <w:t xml:space="preserve"> will therefore not repeat quoting it here.</w:t>
      </w:r>
    </w:p>
    <w:p w:rsidR="00B4135C" w:rsidRPr="00B4135C" w:rsidRDefault="00B4135C" w:rsidP="00B4135C">
      <w:pPr>
        <w:spacing w:after="0" w:line="360" w:lineRule="auto"/>
        <w:jc w:val="both"/>
        <w:rPr>
          <w:rFonts w:ascii="Arial" w:hAnsi="Arial" w:cs="Arial"/>
          <w:sz w:val="24"/>
          <w:szCs w:val="24"/>
        </w:rPr>
      </w:pPr>
    </w:p>
    <w:p w:rsidR="00B4135C" w:rsidRDefault="00B4135C" w:rsidP="00B4135C">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The procedure that must be followed by a judgment cre</w:t>
      </w:r>
      <w:r w:rsidR="00FB4837">
        <w:rPr>
          <w:rFonts w:ascii="Arial" w:hAnsi="Arial" w:cs="Arial"/>
          <w:sz w:val="24"/>
          <w:szCs w:val="24"/>
        </w:rPr>
        <w:t xml:space="preserve">ditor </w:t>
      </w:r>
      <w:r>
        <w:rPr>
          <w:rFonts w:ascii="Arial" w:hAnsi="Arial" w:cs="Arial"/>
          <w:sz w:val="24"/>
          <w:szCs w:val="24"/>
        </w:rPr>
        <w:t>w</w:t>
      </w:r>
      <w:r w:rsidR="00FB4837">
        <w:rPr>
          <w:rFonts w:ascii="Arial" w:hAnsi="Arial" w:cs="Arial"/>
          <w:sz w:val="24"/>
          <w:szCs w:val="24"/>
        </w:rPr>
        <w:t>h</w:t>
      </w:r>
      <w:r>
        <w:rPr>
          <w:rFonts w:ascii="Arial" w:hAnsi="Arial" w:cs="Arial"/>
          <w:sz w:val="24"/>
          <w:szCs w:val="24"/>
        </w:rPr>
        <w:t xml:space="preserve">o desires to have a judgment debtor’s immovable property declared executable was stated as follows in the </w:t>
      </w:r>
      <w:r w:rsidRPr="00B4135C">
        <w:rPr>
          <w:rFonts w:ascii="Arial" w:hAnsi="Arial" w:cs="Arial"/>
          <w:i/>
          <w:sz w:val="24"/>
          <w:szCs w:val="24"/>
        </w:rPr>
        <w:t xml:space="preserve">Futeni </w:t>
      </w:r>
      <w:r>
        <w:rPr>
          <w:rFonts w:ascii="Arial" w:hAnsi="Arial" w:cs="Arial"/>
          <w:sz w:val="24"/>
          <w:szCs w:val="24"/>
        </w:rPr>
        <w:t>matter:</w:t>
      </w:r>
    </w:p>
    <w:p w:rsidR="00B4135C" w:rsidRDefault="00B4135C" w:rsidP="00B4135C">
      <w:pPr>
        <w:spacing w:after="0" w:line="360" w:lineRule="auto"/>
        <w:jc w:val="both"/>
        <w:rPr>
          <w:rFonts w:ascii="Arial" w:hAnsi="Arial" w:cs="Arial"/>
          <w:sz w:val="24"/>
          <w:szCs w:val="24"/>
        </w:rPr>
      </w:pPr>
    </w:p>
    <w:p w:rsidR="00B4135C" w:rsidRDefault="00B4135C" w:rsidP="00B4135C">
      <w:pPr>
        <w:spacing w:after="0" w:line="360" w:lineRule="auto"/>
        <w:jc w:val="both"/>
        <w:rPr>
          <w:rFonts w:ascii="Arial" w:hAnsi="Arial" w:cs="Arial"/>
        </w:rPr>
      </w:pPr>
      <w:r>
        <w:rPr>
          <w:rFonts w:ascii="Arial" w:hAnsi="Arial" w:cs="Arial"/>
        </w:rPr>
        <w:t>‘[40]</w:t>
      </w:r>
      <w:r>
        <w:rPr>
          <w:rFonts w:ascii="Arial" w:hAnsi="Arial" w:cs="Arial"/>
        </w:rPr>
        <w:tab/>
        <w:t xml:space="preserve">… </w:t>
      </w:r>
      <w:r w:rsidRPr="00B4135C">
        <w:rPr>
          <w:rFonts w:ascii="Arial" w:hAnsi="Arial" w:cs="Arial"/>
        </w:rPr>
        <w:t>It would appear to me that first and foremost, it is necessary, after the obtaining of a default judgment,</w:t>
      </w:r>
      <w:r>
        <w:rPr>
          <w:rFonts w:ascii="Arial" w:hAnsi="Arial" w:cs="Arial"/>
        </w:rPr>
        <w:t xml:space="preserve"> summary judgment or any other </w:t>
      </w:r>
      <w:r w:rsidRPr="00B4135C">
        <w:rPr>
          <w:rFonts w:ascii="Arial" w:hAnsi="Arial" w:cs="Arial"/>
        </w:rPr>
        <w:t xml:space="preserve">judgment, in which execution is due and may affect the sale of specified immovable property, that a return as stipulated in rule 108(1)(a), is first obtained i.e. what I have referred to as the </w:t>
      </w:r>
      <w:r w:rsidRPr="00B4135C">
        <w:rPr>
          <w:rFonts w:ascii="Arial" w:hAnsi="Arial" w:cs="Arial"/>
          <w:i/>
        </w:rPr>
        <w:t>nulla bona</w:t>
      </w:r>
      <w:r w:rsidRPr="00B4135C">
        <w:rPr>
          <w:rFonts w:ascii="Arial" w:hAnsi="Arial" w:cs="Arial"/>
        </w:rPr>
        <w:t xml:space="preserve"> return above. </w:t>
      </w:r>
      <w:r>
        <w:rPr>
          <w:rFonts w:ascii="Arial" w:hAnsi="Arial" w:cs="Arial"/>
        </w:rPr>
        <w:t>…</w:t>
      </w:r>
      <w:r w:rsidRPr="00B4135C">
        <w:rPr>
          <w:rFonts w:ascii="Arial" w:hAnsi="Arial" w:cs="Arial"/>
        </w:rPr>
        <w:t xml:space="preserve"> It would therefore be necessary that this return be secured first and presented to the registrar before any process for the execution of the property specified in terms of the mortgage bond may follow.</w:t>
      </w:r>
    </w:p>
    <w:p w:rsidR="00B4135C" w:rsidRPr="00B4135C" w:rsidRDefault="00B4135C" w:rsidP="00B4135C">
      <w:pPr>
        <w:spacing w:after="0" w:line="360" w:lineRule="auto"/>
        <w:jc w:val="both"/>
        <w:rPr>
          <w:rFonts w:ascii="Arial" w:hAnsi="Arial" w:cs="Arial"/>
        </w:rPr>
      </w:pPr>
    </w:p>
    <w:p w:rsidR="00F02D13" w:rsidRDefault="00B4135C" w:rsidP="00B4135C">
      <w:pPr>
        <w:spacing w:after="0" w:line="360" w:lineRule="auto"/>
        <w:jc w:val="both"/>
        <w:rPr>
          <w:rFonts w:ascii="Arial" w:hAnsi="Arial" w:cs="Arial"/>
        </w:rPr>
      </w:pPr>
      <w:r w:rsidRPr="00B4135C">
        <w:rPr>
          <w:rFonts w:ascii="Arial" w:hAnsi="Arial" w:cs="Arial"/>
        </w:rPr>
        <w:t>[41]</w:t>
      </w:r>
      <w:r>
        <w:rPr>
          <w:rFonts w:ascii="Arial" w:hAnsi="Arial" w:cs="Arial"/>
        </w:rPr>
        <w:tab/>
      </w:r>
      <w:r w:rsidRPr="00B4135C">
        <w:rPr>
          <w:rFonts w:ascii="Arial" w:hAnsi="Arial" w:cs="Arial"/>
        </w:rPr>
        <w:t>Secondly, it would appear to me that</w:t>
      </w:r>
      <w:r>
        <w:rPr>
          <w:rFonts w:ascii="Arial" w:hAnsi="Arial" w:cs="Arial"/>
        </w:rPr>
        <w:t xml:space="preserve"> once the said return has been </w:t>
      </w:r>
      <w:r w:rsidRPr="00B4135C">
        <w:rPr>
          <w:rFonts w:ascii="Arial" w:hAnsi="Arial" w:cs="Arial"/>
        </w:rPr>
        <w:t xml:space="preserve">obtained, the notice in terms of rule 108(2)(a), is to be prepared and served by the deputy sheriff personally on the judgment debtor or the third party occupying the property, as the case may be. As indicated, the said notice should be given to the said occupant for them to provide reasons within 10 days of receipt of the notice, as to why the property in </w:t>
      </w:r>
      <w:r w:rsidR="00DD4D65" w:rsidRPr="00B4135C">
        <w:rPr>
          <w:rFonts w:ascii="Arial" w:hAnsi="Arial" w:cs="Arial"/>
        </w:rPr>
        <w:t>question</w:t>
      </w:r>
      <w:r w:rsidR="00DD4D65">
        <w:rPr>
          <w:rFonts w:ascii="Arial" w:hAnsi="Arial" w:cs="Arial"/>
        </w:rPr>
        <w:t xml:space="preserve"> … </w:t>
      </w:r>
      <w:r>
        <w:rPr>
          <w:rFonts w:ascii="Arial" w:hAnsi="Arial" w:cs="Arial"/>
        </w:rPr>
        <w:t xml:space="preserve">should not be </w:t>
      </w:r>
      <w:r w:rsidRPr="00B4135C">
        <w:rPr>
          <w:rFonts w:ascii="Arial" w:hAnsi="Arial" w:cs="Arial"/>
        </w:rPr>
        <w:t>declared executable</w:t>
      </w:r>
      <w:r>
        <w:rPr>
          <w:rFonts w:ascii="Arial" w:hAnsi="Arial" w:cs="Arial"/>
        </w:rPr>
        <w:t>…’</w:t>
      </w:r>
    </w:p>
    <w:p w:rsidR="00FB4837" w:rsidRPr="00B4135C" w:rsidRDefault="00FB4837" w:rsidP="00B4135C">
      <w:pPr>
        <w:spacing w:after="0" w:line="360" w:lineRule="auto"/>
        <w:jc w:val="both"/>
        <w:rPr>
          <w:rFonts w:ascii="Arial" w:hAnsi="Arial" w:cs="Arial"/>
          <w:i/>
        </w:rPr>
      </w:pPr>
    </w:p>
    <w:p w:rsidR="00DD4D65" w:rsidRDefault="00DD4D65" w:rsidP="00FB4837">
      <w:pPr>
        <w:spacing w:after="0" w:line="360" w:lineRule="auto"/>
        <w:jc w:val="both"/>
        <w:rPr>
          <w:rFonts w:ascii="Arial" w:eastAsia="MS Mincho" w:hAnsi="Arial" w:cs="Arial"/>
          <w:sz w:val="24"/>
          <w:szCs w:val="24"/>
        </w:rPr>
      </w:pPr>
      <w:r>
        <w:rPr>
          <w:rFonts w:ascii="Arial" w:hAnsi="Arial" w:cs="Arial"/>
          <w:sz w:val="24"/>
          <w:szCs w:val="24"/>
        </w:rPr>
        <w:lastRenderedPageBreak/>
        <w:t>[14</w:t>
      </w:r>
      <w:r w:rsidR="00B77C43">
        <w:rPr>
          <w:rFonts w:ascii="Arial" w:hAnsi="Arial" w:cs="Arial"/>
          <w:sz w:val="24"/>
          <w:szCs w:val="24"/>
        </w:rPr>
        <w:t>]</w:t>
      </w:r>
      <w:r w:rsidR="00B77C43">
        <w:rPr>
          <w:rFonts w:ascii="Arial" w:hAnsi="Arial" w:cs="Arial"/>
          <w:sz w:val="24"/>
          <w:szCs w:val="24"/>
        </w:rPr>
        <w:tab/>
      </w:r>
      <w:r>
        <w:rPr>
          <w:rFonts w:ascii="Arial" w:hAnsi="Arial" w:cs="Arial"/>
          <w:sz w:val="24"/>
          <w:szCs w:val="24"/>
        </w:rPr>
        <w:t>It is furthermore common cause that under the new rules</w:t>
      </w:r>
      <w:r w:rsidR="00FB4837">
        <w:rPr>
          <w:rFonts w:ascii="Arial" w:hAnsi="Arial" w:cs="Arial"/>
          <w:sz w:val="24"/>
          <w:szCs w:val="24"/>
        </w:rPr>
        <w:t>, a c</w:t>
      </w:r>
      <w:r>
        <w:rPr>
          <w:rFonts w:ascii="Arial" w:hAnsi="Arial" w:cs="Arial"/>
          <w:sz w:val="24"/>
          <w:szCs w:val="24"/>
        </w:rPr>
        <w:t xml:space="preserve">ourt must conduct an enquiry before it declares immovable property specially executable. In </w:t>
      </w:r>
      <w:r w:rsidRPr="00B92ABB">
        <w:rPr>
          <w:rFonts w:ascii="Arial" w:eastAsia="MS Mincho" w:hAnsi="Arial" w:cs="Arial"/>
          <w:i/>
          <w:sz w:val="24"/>
          <w:szCs w:val="24"/>
        </w:rPr>
        <w:t>Standard Bank Namibia Limited v Shipila</w:t>
      </w:r>
      <w:r>
        <w:rPr>
          <w:rStyle w:val="FootnoteReference"/>
          <w:rFonts w:ascii="Arial" w:eastAsia="MS Mincho" w:hAnsi="Arial" w:cs="Arial"/>
          <w:i/>
          <w:sz w:val="24"/>
          <w:szCs w:val="24"/>
        </w:rPr>
        <w:footnoteReference w:id="4"/>
      </w:r>
      <w:r w:rsidRPr="00B92ABB">
        <w:rPr>
          <w:rFonts w:ascii="Arial" w:eastAsia="MS Mincho" w:hAnsi="Arial" w:cs="Arial"/>
          <w:i/>
          <w:sz w:val="24"/>
          <w:szCs w:val="24"/>
        </w:rPr>
        <w:t xml:space="preserve"> </w:t>
      </w:r>
      <w:r>
        <w:rPr>
          <w:rFonts w:ascii="Arial" w:eastAsia="MS Mincho" w:hAnsi="Arial" w:cs="Arial"/>
          <w:i/>
          <w:sz w:val="24"/>
          <w:szCs w:val="24"/>
        </w:rPr>
        <w:t xml:space="preserve"> </w:t>
      </w:r>
      <w:r w:rsidRPr="00DD4D65">
        <w:rPr>
          <w:rFonts w:ascii="Arial" w:eastAsia="MS Mincho" w:hAnsi="Arial" w:cs="Arial"/>
          <w:sz w:val="24"/>
          <w:szCs w:val="24"/>
        </w:rPr>
        <w:t>this court said:</w:t>
      </w:r>
    </w:p>
    <w:p w:rsidR="00FB4837" w:rsidRPr="00B92ABB" w:rsidRDefault="00FB4837" w:rsidP="00FB4837">
      <w:pPr>
        <w:spacing w:after="0" w:line="360" w:lineRule="auto"/>
        <w:jc w:val="both"/>
        <w:rPr>
          <w:rFonts w:ascii="Arial" w:eastAsia="MS Mincho" w:hAnsi="Arial" w:cs="Arial"/>
          <w:sz w:val="24"/>
          <w:szCs w:val="24"/>
        </w:rPr>
      </w:pPr>
    </w:p>
    <w:p w:rsidR="00675440" w:rsidRDefault="00DD4D65" w:rsidP="00DD4D65">
      <w:pPr>
        <w:spacing w:after="0" w:line="360" w:lineRule="auto"/>
        <w:jc w:val="both"/>
        <w:rPr>
          <w:rFonts w:ascii="Arial" w:eastAsia="MS Mincho" w:hAnsi="Arial" w:cs="Arial"/>
        </w:rPr>
      </w:pPr>
      <w:r w:rsidRPr="00B92ABB">
        <w:rPr>
          <w:rFonts w:ascii="Arial" w:eastAsia="MS Mincho" w:hAnsi="Arial" w:cs="Arial"/>
        </w:rPr>
        <w:t>‘[26]</w:t>
      </w:r>
      <w:r>
        <w:rPr>
          <w:rFonts w:ascii="Arial" w:eastAsia="MS Mincho" w:hAnsi="Arial" w:cs="Arial"/>
        </w:rPr>
        <w:tab/>
      </w:r>
      <w:r w:rsidRPr="00B92ABB">
        <w:rPr>
          <w:rFonts w:ascii="Arial" w:eastAsia="MS Mincho" w:hAnsi="Arial" w:cs="Arial"/>
        </w:rPr>
        <w:t>Rule 108(2)</w:t>
      </w:r>
      <w:r w:rsidRPr="00B92ABB">
        <w:rPr>
          <w:rFonts w:ascii="Arial" w:eastAsia="MS Mincho" w:hAnsi="Arial" w:cs="Arial"/>
          <w:i/>
        </w:rPr>
        <w:t>(c)</w:t>
      </w:r>
      <w:r w:rsidRPr="00B92ABB">
        <w:rPr>
          <w:rFonts w:ascii="Arial" w:eastAsia="MS Mincho" w:hAnsi="Arial" w:cs="Arial"/>
        </w:rPr>
        <w:t xml:space="preserve"> is primarily made to protect home owners or third parties residing in homes from unbridled loss of homes by declarations of executability of landed Property by court orders and over which the courts simply had no control and considerations in respect of other remedies less drastic than the sale of a home. Relevant circumstances and less drastic measures would in this case be an execution against the movables that may be able to satisfy the judgment. Although these considerations do not change the common-law principle that a judgment creditor is entitled to execute against the assets of a judgment debtor in satisfaction of a judgment debt sounding in money, this is a caution to the courts that in allowing execution against immovable property, due regard should be taken of the impact that this may have on judgment debtors who are poor and at the risk of losing their homes. </w:t>
      </w:r>
      <w:r w:rsidRPr="00675440">
        <w:rPr>
          <w:rFonts w:ascii="Arial" w:eastAsia="MS Mincho" w:hAnsi="Arial" w:cs="Arial"/>
          <w:i/>
          <w:u w:val="single"/>
        </w:rPr>
        <w:t>If the judgment debt can be satisfied in a reasonable manner, without involving those drastic consequences, an alternative course should be considered judicially before granting execution orders</w:t>
      </w:r>
      <w:r w:rsidRPr="00B92ABB">
        <w:rPr>
          <w:rFonts w:ascii="Arial" w:eastAsia="MS Mincho" w:hAnsi="Arial" w:cs="Arial"/>
        </w:rPr>
        <w:t>.’</w:t>
      </w:r>
      <w:r w:rsidRPr="00675440">
        <w:rPr>
          <w:rFonts w:ascii="Arial" w:eastAsia="MS Mincho" w:hAnsi="Arial" w:cs="Arial"/>
          <w:sz w:val="24"/>
          <w:szCs w:val="24"/>
        </w:rPr>
        <w:t>(</w:t>
      </w:r>
      <w:r w:rsidR="00675440">
        <w:rPr>
          <w:rFonts w:ascii="Arial" w:eastAsia="MS Mincho" w:hAnsi="Arial" w:cs="Arial"/>
          <w:sz w:val="24"/>
          <w:szCs w:val="24"/>
        </w:rPr>
        <w:t xml:space="preserve">Italicized and underlined for </w:t>
      </w:r>
      <w:r w:rsidRPr="00675440">
        <w:rPr>
          <w:rFonts w:ascii="Arial" w:eastAsia="MS Mincho" w:hAnsi="Arial" w:cs="Arial"/>
          <w:sz w:val="24"/>
          <w:szCs w:val="24"/>
        </w:rPr>
        <w:t>emphasis</w:t>
      </w:r>
      <w:r w:rsidRPr="00B92ABB">
        <w:rPr>
          <w:rFonts w:ascii="Arial" w:eastAsia="MS Mincho" w:hAnsi="Arial" w:cs="Arial"/>
        </w:rPr>
        <w:t>)</w:t>
      </w:r>
      <w:r>
        <w:rPr>
          <w:rFonts w:ascii="Arial" w:eastAsia="MS Mincho" w:hAnsi="Arial" w:cs="Arial"/>
        </w:rPr>
        <w:t xml:space="preserve">. </w:t>
      </w:r>
    </w:p>
    <w:p w:rsidR="00675440" w:rsidRDefault="00675440" w:rsidP="00DD4D65">
      <w:pPr>
        <w:spacing w:after="0" w:line="360" w:lineRule="auto"/>
        <w:jc w:val="both"/>
        <w:rPr>
          <w:rFonts w:ascii="Arial" w:eastAsia="MS Mincho" w:hAnsi="Arial" w:cs="Arial"/>
        </w:rPr>
      </w:pPr>
    </w:p>
    <w:p w:rsidR="005E5D8D" w:rsidRDefault="00675440" w:rsidP="00675440">
      <w:pPr>
        <w:spacing w:after="0" w:line="360" w:lineRule="auto"/>
        <w:jc w:val="both"/>
        <w:rPr>
          <w:rFonts w:ascii="Arial" w:eastAsia="MS Mincho" w:hAnsi="Arial" w:cs="Arial"/>
          <w:sz w:val="24"/>
          <w:szCs w:val="24"/>
        </w:rPr>
      </w:pPr>
      <w:r w:rsidRPr="00675440">
        <w:rPr>
          <w:rFonts w:ascii="Arial" w:hAnsi="Arial" w:cs="Arial"/>
          <w:sz w:val="24"/>
          <w:szCs w:val="24"/>
        </w:rPr>
        <w:t>[15]</w:t>
      </w:r>
      <w:r w:rsidRPr="00675440">
        <w:rPr>
          <w:rFonts w:ascii="Arial" w:hAnsi="Arial" w:cs="Arial"/>
          <w:sz w:val="24"/>
          <w:szCs w:val="24"/>
        </w:rPr>
        <w:tab/>
        <w:t xml:space="preserve">I now proceed to consider whether the defendants have satisfactorily answered the question whether </w:t>
      </w:r>
      <w:r w:rsidRPr="00675440">
        <w:rPr>
          <w:rFonts w:ascii="Arial" w:eastAsia="MS Mincho" w:hAnsi="Arial" w:cs="Arial"/>
          <w:sz w:val="24"/>
          <w:szCs w:val="24"/>
        </w:rPr>
        <w:t>the judgment debt can be satisfied in a reasonable manner, without involving those drastic consequences</w:t>
      </w:r>
      <w:r>
        <w:rPr>
          <w:rFonts w:ascii="Arial" w:eastAsia="MS Mincho" w:hAnsi="Arial" w:cs="Arial"/>
          <w:sz w:val="24"/>
          <w:szCs w:val="24"/>
        </w:rPr>
        <w:t xml:space="preserve"> declaring the immovable property executable.</w:t>
      </w:r>
    </w:p>
    <w:p w:rsidR="00675440" w:rsidRDefault="00675440" w:rsidP="00675440">
      <w:pPr>
        <w:spacing w:after="0" w:line="360" w:lineRule="auto"/>
        <w:jc w:val="both"/>
        <w:rPr>
          <w:rFonts w:ascii="Arial" w:hAnsi="Arial" w:cs="Arial"/>
          <w:sz w:val="24"/>
          <w:szCs w:val="24"/>
        </w:rPr>
      </w:pPr>
    </w:p>
    <w:p w:rsidR="00FB4837" w:rsidRDefault="00FB4837" w:rsidP="00675440">
      <w:pPr>
        <w:spacing w:after="0" w:line="360" w:lineRule="auto"/>
        <w:jc w:val="both"/>
        <w:rPr>
          <w:rFonts w:ascii="Arial" w:hAnsi="Arial" w:cs="Arial"/>
          <w:sz w:val="24"/>
          <w:szCs w:val="24"/>
        </w:rPr>
      </w:pPr>
    </w:p>
    <w:p w:rsidR="00FB4837" w:rsidRPr="00675440" w:rsidRDefault="00FB4837" w:rsidP="00675440">
      <w:pPr>
        <w:spacing w:after="0" w:line="360" w:lineRule="auto"/>
        <w:jc w:val="both"/>
        <w:rPr>
          <w:rFonts w:ascii="Arial" w:hAnsi="Arial" w:cs="Arial"/>
          <w:sz w:val="24"/>
          <w:szCs w:val="24"/>
        </w:rPr>
      </w:pPr>
    </w:p>
    <w:p w:rsidR="005E5D8D" w:rsidRPr="00675440" w:rsidRDefault="00675440" w:rsidP="00FB4837">
      <w:pPr>
        <w:spacing w:after="0"/>
        <w:rPr>
          <w:rFonts w:ascii="Arial" w:hAnsi="Arial" w:cs="Arial"/>
          <w:sz w:val="24"/>
          <w:szCs w:val="24"/>
          <w:u w:val="single"/>
        </w:rPr>
      </w:pPr>
      <w:r>
        <w:rPr>
          <w:rFonts w:ascii="Arial" w:hAnsi="Arial" w:cs="Arial"/>
          <w:sz w:val="24"/>
          <w:szCs w:val="24"/>
          <w:u w:val="single"/>
        </w:rPr>
        <w:t>Can the judgment debt be satisfied in a reasonable manner?</w:t>
      </w:r>
    </w:p>
    <w:p w:rsidR="005E5D8D" w:rsidRDefault="005E5D8D" w:rsidP="00FB4837">
      <w:pPr>
        <w:spacing w:after="0"/>
        <w:rPr>
          <w:rFonts w:ascii="Arial" w:hAnsi="Arial" w:cs="Arial"/>
          <w:sz w:val="24"/>
          <w:szCs w:val="24"/>
          <w:u w:val="single"/>
        </w:rPr>
      </w:pPr>
    </w:p>
    <w:p w:rsidR="000F47F2" w:rsidRDefault="001D6B39" w:rsidP="003C49CD">
      <w:pPr>
        <w:spacing w:after="0" w:line="360" w:lineRule="auto"/>
        <w:jc w:val="both"/>
        <w:rPr>
          <w:rFonts w:ascii="Arial" w:hAnsi="Arial" w:cs="Arial"/>
          <w:sz w:val="24"/>
          <w:szCs w:val="24"/>
        </w:rPr>
      </w:pPr>
      <w:r>
        <w:rPr>
          <w:rFonts w:ascii="Arial" w:hAnsi="Arial" w:cs="Arial"/>
          <w:sz w:val="24"/>
          <w:szCs w:val="24"/>
        </w:rPr>
        <w:t>[1</w:t>
      </w:r>
      <w:r w:rsidR="003C49CD">
        <w:rPr>
          <w:rFonts w:ascii="Arial" w:hAnsi="Arial" w:cs="Arial"/>
          <w:sz w:val="24"/>
          <w:szCs w:val="24"/>
        </w:rPr>
        <w:t>6</w:t>
      </w:r>
      <w:r w:rsidR="005E5D8D">
        <w:rPr>
          <w:rFonts w:ascii="Arial" w:hAnsi="Arial" w:cs="Arial"/>
          <w:sz w:val="24"/>
          <w:szCs w:val="24"/>
        </w:rPr>
        <w:t>]</w:t>
      </w:r>
      <w:r w:rsidR="005E5D8D">
        <w:rPr>
          <w:rFonts w:ascii="Arial" w:hAnsi="Arial" w:cs="Arial"/>
          <w:sz w:val="24"/>
          <w:szCs w:val="24"/>
        </w:rPr>
        <w:tab/>
      </w:r>
      <w:r w:rsidR="00675440">
        <w:rPr>
          <w:rFonts w:ascii="Arial" w:hAnsi="Arial" w:cs="Arial"/>
          <w:sz w:val="24"/>
          <w:szCs w:val="24"/>
        </w:rPr>
        <w:t>The facts that are not in dispute between the parties are the following:</w:t>
      </w:r>
      <w:r w:rsidR="005F2B8B">
        <w:rPr>
          <w:rFonts w:ascii="Arial" w:hAnsi="Arial" w:cs="Arial"/>
          <w:sz w:val="24"/>
          <w:szCs w:val="24"/>
        </w:rPr>
        <w:t xml:space="preserve"> </w:t>
      </w:r>
      <w:r w:rsidR="00675440">
        <w:rPr>
          <w:rFonts w:ascii="Arial" w:hAnsi="Arial" w:cs="Arial"/>
          <w:sz w:val="24"/>
          <w:szCs w:val="24"/>
        </w:rPr>
        <w:t>the defendants obtained a home loan from the plaintiff. T</w:t>
      </w:r>
      <w:r w:rsidR="005F2B8B">
        <w:rPr>
          <w:rFonts w:ascii="Arial" w:hAnsi="Arial" w:cs="Arial"/>
          <w:sz w:val="24"/>
          <w:szCs w:val="24"/>
        </w:rPr>
        <w:t xml:space="preserve">he </w:t>
      </w:r>
      <w:r w:rsidR="00675440">
        <w:rPr>
          <w:rFonts w:ascii="Arial" w:hAnsi="Arial" w:cs="Arial"/>
          <w:sz w:val="24"/>
          <w:szCs w:val="24"/>
        </w:rPr>
        <w:t xml:space="preserve">defendants are in default with the payment of the monthly </w:t>
      </w:r>
      <w:r w:rsidR="005F2B8B">
        <w:rPr>
          <w:rFonts w:ascii="Arial" w:hAnsi="Arial" w:cs="Arial"/>
          <w:sz w:val="24"/>
          <w:szCs w:val="24"/>
        </w:rPr>
        <w:t>instalments as per their home loan agreement</w:t>
      </w:r>
      <w:r w:rsidR="00675440">
        <w:rPr>
          <w:rFonts w:ascii="Arial" w:hAnsi="Arial" w:cs="Arial"/>
          <w:sz w:val="24"/>
          <w:szCs w:val="24"/>
        </w:rPr>
        <w:t xml:space="preserve">. </w:t>
      </w:r>
      <w:r w:rsidR="00FC197D">
        <w:rPr>
          <w:rFonts w:ascii="Arial" w:hAnsi="Arial" w:cs="Arial"/>
          <w:sz w:val="24"/>
          <w:szCs w:val="24"/>
        </w:rPr>
        <w:t>The</w:t>
      </w:r>
      <w:r w:rsidR="005F2B8B">
        <w:rPr>
          <w:rFonts w:ascii="Arial" w:hAnsi="Arial" w:cs="Arial"/>
          <w:sz w:val="24"/>
          <w:szCs w:val="24"/>
        </w:rPr>
        <w:t xml:space="preserve"> home loan agreement was consequently cancel</w:t>
      </w:r>
      <w:r w:rsidR="00FC197D">
        <w:rPr>
          <w:rFonts w:ascii="Arial" w:hAnsi="Arial" w:cs="Arial"/>
          <w:sz w:val="24"/>
          <w:szCs w:val="24"/>
        </w:rPr>
        <w:t>led</w:t>
      </w:r>
      <w:r w:rsidR="005F2B8B">
        <w:rPr>
          <w:rFonts w:ascii="Arial" w:hAnsi="Arial" w:cs="Arial"/>
          <w:sz w:val="24"/>
          <w:szCs w:val="24"/>
        </w:rPr>
        <w:t xml:space="preserve"> after a letter of demand was sent out by the </w:t>
      </w:r>
      <w:r w:rsidR="00675440">
        <w:rPr>
          <w:rFonts w:ascii="Arial" w:hAnsi="Arial" w:cs="Arial"/>
          <w:sz w:val="24"/>
          <w:szCs w:val="24"/>
        </w:rPr>
        <w:t>p</w:t>
      </w:r>
      <w:r w:rsidR="005F2B8B">
        <w:rPr>
          <w:rFonts w:ascii="Arial" w:hAnsi="Arial" w:cs="Arial"/>
          <w:sz w:val="24"/>
          <w:szCs w:val="24"/>
        </w:rPr>
        <w:t xml:space="preserve">laintiff to the </w:t>
      </w:r>
      <w:r w:rsidR="00675440">
        <w:rPr>
          <w:rFonts w:ascii="Arial" w:hAnsi="Arial" w:cs="Arial"/>
          <w:sz w:val="24"/>
          <w:szCs w:val="24"/>
        </w:rPr>
        <w:t>d</w:t>
      </w:r>
      <w:r w:rsidR="005F2B8B">
        <w:rPr>
          <w:rFonts w:ascii="Arial" w:hAnsi="Arial" w:cs="Arial"/>
          <w:sz w:val="24"/>
          <w:szCs w:val="24"/>
        </w:rPr>
        <w:t>efendants</w:t>
      </w:r>
      <w:r w:rsidR="00675440">
        <w:rPr>
          <w:rFonts w:ascii="Arial" w:hAnsi="Arial" w:cs="Arial"/>
          <w:sz w:val="24"/>
          <w:szCs w:val="24"/>
        </w:rPr>
        <w:t>. The d</w:t>
      </w:r>
      <w:r w:rsidR="009F19EB">
        <w:rPr>
          <w:rFonts w:ascii="Arial" w:hAnsi="Arial" w:cs="Arial"/>
          <w:sz w:val="24"/>
          <w:szCs w:val="24"/>
        </w:rPr>
        <w:t xml:space="preserve">efendants are indebted to the </w:t>
      </w:r>
      <w:r w:rsidR="00675440">
        <w:rPr>
          <w:rFonts w:ascii="Arial" w:hAnsi="Arial" w:cs="Arial"/>
          <w:sz w:val="24"/>
          <w:szCs w:val="24"/>
        </w:rPr>
        <w:t>p</w:t>
      </w:r>
      <w:r w:rsidR="009F19EB">
        <w:rPr>
          <w:rFonts w:ascii="Arial" w:hAnsi="Arial" w:cs="Arial"/>
          <w:sz w:val="24"/>
          <w:szCs w:val="24"/>
        </w:rPr>
        <w:t xml:space="preserve">laintiff in the amount of N$ 3 </w:t>
      </w:r>
      <w:r w:rsidR="009F19EB" w:rsidRPr="009F19EB">
        <w:rPr>
          <w:rFonts w:ascii="Arial" w:hAnsi="Arial" w:cs="Arial"/>
          <w:sz w:val="24"/>
          <w:szCs w:val="24"/>
        </w:rPr>
        <w:t>564 414</w:t>
      </w:r>
      <w:r w:rsidR="003C49CD">
        <w:rPr>
          <w:rFonts w:ascii="Arial" w:hAnsi="Arial" w:cs="Arial"/>
          <w:sz w:val="24"/>
          <w:szCs w:val="24"/>
        </w:rPr>
        <w:t>-</w:t>
      </w:r>
      <w:r w:rsidR="009F19EB" w:rsidRPr="009F19EB">
        <w:rPr>
          <w:rFonts w:ascii="Arial" w:hAnsi="Arial" w:cs="Arial"/>
          <w:sz w:val="24"/>
          <w:szCs w:val="24"/>
        </w:rPr>
        <w:t>90</w:t>
      </w:r>
      <w:r w:rsidR="00DE189F">
        <w:rPr>
          <w:rFonts w:ascii="Arial" w:hAnsi="Arial" w:cs="Arial"/>
          <w:sz w:val="24"/>
          <w:szCs w:val="24"/>
        </w:rPr>
        <w:t>, which amount remains due and payable</w:t>
      </w:r>
      <w:r w:rsidR="003C49CD">
        <w:rPr>
          <w:rFonts w:ascii="Arial" w:hAnsi="Arial" w:cs="Arial"/>
          <w:sz w:val="24"/>
          <w:szCs w:val="24"/>
        </w:rPr>
        <w:t>.</w:t>
      </w:r>
    </w:p>
    <w:p w:rsidR="003C49CD" w:rsidRPr="000F47F2" w:rsidRDefault="003C49CD" w:rsidP="003C49CD">
      <w:pPr>
        <w:spacing w:after="0" w:line="360" w:lineRule="auto"/>
        <w:jc w:val="both"/>
        <w:rPr>
          <w:rFonts w:ascii="Arial" w:hAnsi="Arial" w:cs="Arial"/>
          <w:sz w:val="24"/>
          <w:szCs w:val="24"/>
        </w:rPr>
      </w:pPr>
    </w:p>
    <w:p w:rsidR="003C49CD" w:rsidRDefault="001D6B39" w:rsidP="00B31EFE">
      <w:pPr>
        <w:spacing w:after="0" w:line="360" w:lineRule="auto"/>
        <w:jc w:val="both"/>
        <w:rPr>
          <w:rFonts w:ascii="Arial" w:hAnsi="Arial" w:cs="Arial"/>
          <w:sz w:val="24"/>
          <w:szCs w:val="24"/>
          <w:shd w:val="clear" w:color="auto" w:fill="FFFFFF"/>
        </w:rPr>
      </w:pPr>
      <w:r w:rsidRPr="003C49CD">
        <w:rPr>
          <w:rFonts w:ascii="Arial" w:hAnsi="Arial" w:cs="Arial"/>
          <w:sz w:val="24"/>
          <w:szCs w:val="24"/>
        </w:rPr>
        <w:t>[1</w:t>
      </w:r>
      <w:r w:rsidR="003C49CD" w:rsidRPr="003C49CD">
        <w:rPr>
          <w:rFonts w:ascii="Arial" w:hAnsi="Arial" w:cs="Arial"/>
          <w:sz w:val="24"/>
          <w:szCs w:val="24"/>
        </w:rPr>
        <w:t>7</w:t>
      </w:r>
      <w:r w:rsidR="000F47F2" w:rsidRPr="003C49CD">
        <w:rPr>
          <w:rFonts w:ascii="Arial" w:hAnsi="Arial" w:cs="Arial"/>
          <w:sz w:val="24"/>
          <w:szCs w:val="24"/>
        </w:rPr>
        <w:t>]</w:t>
      </w:r>
      <w:r w:rsidR="000F47F2" w:rsidRPr="003C49CD">
        <w:rPr>
          <w:rFonts w:ascii="Arial" w:hAnsi="Arial" w:cs="Arial"/>
          <w:sz w:val="24"/>
          <w:szCs w:val="24"/>
        </w:rPr>
        <w:tab/>
      </w:r>
      <w:r w:rsidR="003C49CD" w:rsidRPr="003C49CD">
        <w:rPr>
          <w:rFonts w:ascii="Arial" w:hAnsi="Arial" w:cs="Arial"/>
          <w:sz w:val="24"/>
          <w:szCs w:val="24"/>
          <w:shd w:val="clear" w:color="auto" w:fill="FFFFFF"/>
        </w:rPr>
        <w:t xml:space="preserve">The plaintiff’s takes the stance that it has </w:t>
      </w:r>
      <w:r w:rsidR="005C0FC5" w:rsidRPr="003C49CD">
        <w:rPr>
          <w:rFonts w:ascii="Arial" w:hAnsi="Arial" w:cs="Arial"/>
          <w:sz w:val="24"/>
          <w:szCs w:val="24"/>
        </w:rPr>
        <w:t xml:space="preserve">complied </w:t>
      </w:r>
      <w:r w:rsidR="003159CD" w:rsidRPr="003C49CD">
        <w:rPr>
          <w:rFonts w:ascii="Arial" w:hAnsi="Arial" w:cs="Arial"/>
          <w:sz w:val="24"/>
          <w:szCs w:val="24"/>
        </w:rPr>
        <w:t>with the law to the latter</w:t>
      </w:r>
      <w:r w:rsidR="003C49CD" w:rsidRPr="003C49CD">
        <w:rPr>
          <w:rFonts w:ascii="Arial" w:hAnsi="Arial" w:cs="Arial"/>
          <w:sz w:val="24"/>
          <w:szCs w:val="24"/>
        </w:rPr>
        <w:t xml:space="preserve"> and </w:t>
      </w:r>
      <w:r w:rsidR="003C49CD" w:rsidRPr="003C49CD">
        <w:rPr>
          <w:rFonts w:ascii="Arial" w:hAnsi="Arial" w:cs="Arial"/>
          <w:sz w:val="24"/>
          <w:szCs w:val="24"/>
          <w:shd w:val="clear" w:color="auto" w:fill="FFFFFF"/>
        </w:rPr>
        <w:t>there is no guarantee that the</w:t>
      </w:r>
      <w:r w:rsidR="003C49CD">
        <w:rPr>
          <w:rFonts w:ascii="Arial" w:hAnsi="Arial" w:cs="Arial"/>
          <w:sz w:val="24"/>
          <w:szCs w:val="24"/>
          <w:shd w:val="clear" w:color="auto" w:fill="FFFFFF"/>
        </w:rPr>
        <w:t xml:space="preserve"> debt will be paid in full if the request to pay the debt in installments as </w:t>
      </w:r>
      <w:r w:rsidR="003C49CD" w:rsidRPr="003C49CD">
        <w:rPr>
          <w:rFonts w:ascii="Arial" w:hAnsi="Arial" w:cs="Arial"/>
          <w:sz w:val="24"/>
          <w:szCs w:val="24"/>
          <w:shd w:val="clear" w:color="auto" w:fill="FFFFFF"/>
        </w:rPr>
        <w:t xml:space="preserve">requested by the plaintiff, is granted, more so because the defendant is unemployed </w:t>
      </w:r>
      <w:r w:rsidR="003C49CD">
        <w:rPr>
          <w:rFonts w:ascii="Arial" w:hAnsi="Arial" w:cs="Arial"/>
          <w:sz w:val="24"/>
          <w:szCs w:val="24"/>
          <w:shd w:val="clear" w:color="auto" w:fill="FFFFFF"/>
        </w:rPr>
        <w:t>.</w:t>
      </w:r>
    </w:p>
    <w:p w:rsidR="003C49CD" w:rsidRDefault="003C49CD" w:rsidP="00B31EFE">
      <w:pPr>
        <w:spacing w:after="0" w:line="360" w:lineRule="auto"/>
        <w:jc w:val="both"/>
        <w:rPr>
          <w:rFonts w:ascii="Arial" w:hAnsi="Arial" w:cs="Arial"/>
          <w:sz w:val="24"/>
          <w:szCs w:val="24"/>
          <w:shd w:val="clear" w:color="auto" w:fill="FFFFFF"/>
        </w:rPr>
      </w:pPr>
    </w:p>
    <w:p w:rsidR="00E77BEB" w:rsidRDefault="001D6B39" w:rsidP="00B31EFE">
      <w:pPr>
        <w:spacing w:after="0" w:line="360" w:lineRule="auto"/>
        <w:jc w:val="both"/>
        <w:rPr>
          <w:rFonts w:ascii="Arial" w:eastAsia="MS Mincho" w:hAnsi="Arial" w:cs="Arial"/>
          <w:sz w:val="24"/>
          <w:szCs w:val="24"/>
        </w:rPr>
      </w:pPr>
      <w:r>
        <w:rPr>
          <w:rFonts w:ascii="Arial" w:eastAsia="MS Mincho" w:hAnsi="Arial" w:cs="Arial"/>
          <w:sz w:val="24"/>
          <w:szCs w:val="24"/>
        </w:rPr>
        <w:t>[1</w:t>
      </w:r>
      <w:r w:rsidR="00B31EFE">
        <w:rPr>
          <w:rFonts w:ascii="Arial" w:eastAsia="MS Mincho" w:hAnsi="Arial" w:cs="Arial"/>
          <w:sz w:val="24"/>
          <w:szCs w:val="24"/>
        </w:rPr>
        <w:t>8</w:t>
      </w:r>
      <w:r w:rsidR="007F4774" w:rsidRPr="007F4774">
        <w:rPr>
          <w:rFonts w:ascii="Arial" w:eastAsia="MS Mincho" w:hAnsi="Arial" w:cs="Arial"/>
          <w:sz w:val="24"/>
          <w:szCs w:val="24"/>
        </w:rPr>
        <w:t>]</w:t>
      </w:r>
      <w:r w:rsidR="00695C5D">
        <w:rPr>
          <w:rFonts w:ascii="Arial" w:eastAsia="MS Mincho" w:hAnsi="Arial" w:cs="Arial"/>
          <w:sz w:val="24"/>
          <w:szCs w:val="24"/>
        </w:rPr>
        <w:t xml:space="preserve"> </w:t>
      </w:r>
      <w:r w:rsidR="00695C5D">
        <w:rPr>
          <w:rFonts w:ascii="Arial" w:eastAsia="MS Mincho" w:hAnsi="Arial" w:cs="Arial"/>
          <w:sz w:val="24"/>
          <w:szCs w:val="24"/>
        </w:rPr>
        <w:tab/>
      </w:r>
      <w:r w:rsidR="0008321D">
        <w:rPr>
          <w:rFonts w:ascii="Arial" w:eastAsia="MS Mincho" w:hAnsi="Arial" w:cs="Arial"/>
          <w:sz w:val="24"/>
          <w:szCs w:val="24"/>
        </w:rPr>
        <w:t xml:space="preserve">The </w:t>
      </w:r>
      <w:r w:rsidR="003C49CD">
        <w:rPr>
          <w:rFonts w:ascii="Arial" w:eastAsia="MS Mincho" w:hAnsi="Arial" w:cs="Arial"/>
          <w:sz w:val="24"/>
          <w:szCs w:val="24"/>
        </w:rPr>
        <w:t>d</w:t>
      </w:r>
      <w:r w:rsidR="0008321D">
        <w:rPr>
          <w:rFonts w:ascii="Arial" w:eastAsia="MS Mincho" w:hAnsi="Arial" w:cs="Arial"/>
          <w:sz w:val="24"/>
          <w:szCs w:val="24"/>
        </w:rPr>
        <w:t xml:space="preserve">efendants </w:t>
      </w:r>
      <w:r w:rsidR="003C49CD">
        <w:rPr>
          <w:rFonts w:ascii="Arial" w:eastAsia="MS Mincho" w:hAnsi="Arial" w:cs="Arial"/>
          <w:sz w:val="24"/>
          <w:szCs w:val="24"/>
        </w:rPr>
        <w:t>stance is simply that they did not willingly or deliberately defaulted to pay the moneys that they owe the plaintiff. The defendants furthermore take the</w:t>
      </w:r>
      <w:r w:rsidR="00A6269B">
        <w:rPr>
          <w:rFonts w:ascii="Arial" w:eastAsia="MS Mincho" w:hAnsi="Arial" w:cs="Arial"/>
          <w:sz w:val="24"/>
          <w:szCs w:val="24"/>
        </w:rPr>
        <w:t xml:space="preserve"> stance that</w:t>
      </w:r>
      <w:r w:rsidR="003C49CD">
        <w:rPr>
          <w:rFonts w:ascii="Arial" w:eastAsia="MS Mincho" w:hAnsi="Arial" w:cs="Arial"/>
          <w:sz w:val="24"/>
          <w:szCs w:val="24"/>
        </w:rPr>
        <w:t xml:space="preserve"> the first defendant’</w:t>
      </w:r>
      <w:r w:rsidR="00A6269B">
        <w:rPr>
          <w:rFonts w:ascii="Arial" w:eastAsia="MS Mincho" w:hAnsi="Arial" w:cs="Arial"/>
          <w:sz w:val="24"/>
          <w:szCs w:val="24"/>
        </w:rPr>
        <w:t>s current business position has improved significantly. The first defendant thus states that in view of the improved business position</w:t>
      </w:r>
      <w:r w:rsidR="007D7A46">
        <w:rPr>
          <w:rFonts w:ascii="Arial" w:eastAsia="MS Mincho" w:hAnsi="Arial" w:cs="Arial"/>
          <w:sz w:val="24"/>
          <w:szCs w:val="24"/>
        </w:rPr>
        <w:t>,</w:t>
      </w:r>
      <w:r w:rsidR="00A6269B">
        <w:rPr>
          <w:rFonts w:ascii="Arial" w:eastAsia="MS Mincho" w:hAnsi="Arial" w:cs="Arial"/>
          <w:sz w:val="24"/>
          <w:szCs w:val="24"/>
        </w:rPr>
        <w:t xml:space="preserve"> he is willing and able to pay the judgment creditors debt in instalments if given a chance.</w:t>
      </w:r>
    </w:p>
    <w:p w:rsidR="00B31EFE" w:rsidRDefault="00B31EFE" w:rsidP="00B31EFE">
      <w:pPr>
        <w:spacing w:after="0" w:line="360" w:lineRule="auto"/>
        <w:jc w:val="both"/>
        <w:rPr>
          <w:rFonts w:ascii="Arial" w:eastAsia="MS Mincho" w:hAnsi="Arial" w:cs="Arial"/>
          <w:sz w:val="24"/>
          <w:szCs w:val="24"/>
        </w:rPr>
      </w:pPr>
    </w:p>
    <w:p w:rsidR="00B31EFE" w:rsidRDefault="00B642A9" w:rsidP="00B31EFE">
      <w:pPr>
        <w:spacing w:after="0" w:line="360" w:lineRule="auto"/>
        <w:jc w:val="both"/>
        <w:rPr>
          <w:rFonts w:ascii="Arial" w:eastAsia="MS Mincho" w:hAnsi="Arial" w:cs="Arial"/>
          <w:sz w:val="24"/>
          <w:szCs w:val="24"/>
        </w:rPr>
      </w:pPr>
      <w:r>
        <w:rPr>
          <w:rFonts w:ascii="Arial" w:eastAsia="MS Mincho" w:hAnsi="Arial" w:cs="Arial"/>
          <w:sz w:val="24"/>
          <w:szCs w:val="24"/>
        </w:rPr>
        <w:t>[</w:t>
      </w:r>
      <w:r w:rsidR="00B31EFE">
        <w:rPr>
          <w:rFonts w:ascii="Arial" w:eastAsia="MS Mincho" w:hAnsi="Arial" w:cs="Arial"/>
          <w:sz w:val="24"/>
          <w:szCs w:val="24"/>
        </w:rPr>
        <w:t>19</w:t>
      </w:r>
      <w:r w:rsidRPr="00A6269B">
        <w:rPr>
          <w:rFonts w:ascii="Arial" w:eastAsia="MS Mincho" w:hAnsi="Arial" w:cs="Arial"/>
          <w:sz w:val="24"/>
          <w:szCs w:val="24"/>
        </w:rPr>
        <w:t>]</w:t>
      </w:r>
      <w:r w:rsidRPr="00A6269B">
        <w:rPr>
          <w:rFonts w:ascii="Arial" w:eastAsia="MS Mincho" w:hAnsi="Arial" w:cs="Arial"/>
          <w:sz w:val="24"/>
          <w:szCs w:val="24"/>
        </w:rPr>
        <w:tab/>
      </w:r>
      <w:r w:rsidR="00B31EFE" w:rsidRPr="00C24FD7">
        <w:rPr>
          <w:rFonts w:ascii="Arial" w:eastAsia="MS Mincho" w:hAnsi="Arial" w:cs="Arial"/>
          <w:sz w:val="24"/>
          <w:szCs w:val="24"/>
        </w:rPr>
        <w:t>Mokgoro J</w:t>
      </w:r>
      <w:r w:rsidR="007D7A46">
        <w:rPr>
          <w:rFonts w:ascii="Arial" w:eastAsia="MS Mincho" w:hAnsi="Arial" w:cs="Arial"/>
          <w:sz w:val="24"/>
          <w:szCs w:val="24"/>
        </w:rPr>
        <w:t xml:space="preserve"> in</w:t>
      </w:r>
      <w:r w:rsidR="00B31EFE">
        <w:rPr>
          <w:rFonts w:ascii="Arial" w:eastAsia="MS Mincho" w:hAnsi="Arial" w:cs="Arial"/>
          <w:sz w:val="24"/>
          <w:szCs w:val="24"/>
        </w:rPr>
        <w:t xml:space="preserve"> </w:t>
      </w:r>
      <w:r w:rsidR="00B31EFE" w:rsidRPr="00C24FD7">
        <w:rPr>
          <w:rFonts w:ascii="Arial" w:eastAsia="MS Mincho" w:hAnsi="Arial" w:cs="Arial"/>
          <w:i/>
          <w:sz w:val="24"/>
          <w:szCs w:val="24"/>
        </w:rPr>
        <w:t>Jaftha v Schoeman and Others; Van Rooyen v Stoltz and Others</w:t>
      </w:r>
      <w:r w:rsidR="00B31EFE">
        <w:rPr>
          <w:rStyle w:val="FootnoteReference"/>
          <w:rFonts w:ascii="Arial" w:eastAsia="MS Mincho" w:hAnsi="Arial" w:cs="Arial"/>
          <w:i/>
          <w:sz w:val="24"/>
          <w:szCs w:val="24"/>
        </w:rPr>
        <w:footnoteReference w:id="5"/>
      </w:r>
      <w:r w:rsidR="00B31EFE">
        <w:rPr>
          <w:rFonts w:ascii="Arial" w:eastAsia="MS Mincho" w:hAnsi="Arial" w:cs="Arial"/>
          <w:sz w:val="24"/>
          <w:szCs w:val="24"/>
        </w:rPr>
        <w:t xml:space="preserve"> guides that one of the </w:t>
      </w:r>
      <w:r w:rsidR="00B31EFE" w:rsidRPr="00C24FD7">
        <w:rPr>
          <w:rFonts w:ascii="Arial" w:eastAsia="MS Mincho" w:hAnsi="Arial" w:cs="Arial"/>
          <w:sz w:val="24"/>
          <w:szCs w:val="24"/>
        </w:rPr>
        <w:t>available</w:t>
      </w:r>
      <w:r w:rsidR="00B31EFE">
        <w:rPr>
          <w:rFonts w:ascii="Arial" w:eastAsia="MS Mincho" w:hAnsi="Arial" w:cs="Arial"/>
          <w:sz w:val="24"/>
          <w:szCs w:val="24"/>
        </w:rPr>
        <w:t xml:space="preserve"> </w:t>
      </w:r>
      <w:r w:rsidR="00B31EFE" w:rsidRPr="00C24FD7">
        <w:rPr>
          <w:rFonts w:ascii="Arial" w:eastAsia="MS Mincho" w:hAnsi="Arial" w:cs="Arial"/>
          <w:sz w:val="24"/>
          <w:szCs w:val="24"/>
        </w:rPr>
        <w:t xml:space="preserve">alternatives which might allow for the recovery of debt but do not require the sale in </w:t>
      </w:r>
      <w:r w:rsidR="00B31EFE">
        <w:rPr>
          <w:rFonts w:ascii="Arial" w:eastAsia="MS Mincho" w:hAnsi="Arial" w:cs="Arial"/>
          <w:sz w:val="24"/>
          <w:szCs w:val="24"/>
        </w:rPr>
        <w:t xml:space="preserve">execution of the debtor's home is </w:t>
      </w:r>
      <w:r w:rsidR="00B31EFE" w:rsidRPr="00C24FD7">
        <w:rPr>
          <w:rFonts w:ascii="Arial" w:eastAsia="MS Mincho" w:hAnsi="Arial" w:cs="Arial"/>
          <w:sz w:val="24"/>
          <w:szCs w:val="24"/>
        </w:rPr>
        <w:t>for a judgment debtor to approach a court with an offer t</w:t>
      </w:r>
      <w:r w:rsidR="00B31EFE">
        <w:rPr>
          <w:rFonts w:ascii="Arial" w:eastAsia="MS Mincho" w:hAnsi="Arial" w:cs="Arial"/>
          <w:sz w:val="24"/>
          <w:szCs w:val="24"/>
        </w:rPr>
        <w:t xml:space="preserve">o pay off a debt in instalments. The learned judge states that the concept of paying off the </w:t>
      </w:r>
      <w:r w:rsidR="00B31EFE" w:rsidRPr="00C24FD7">
        <w:rPr>
          <w:rFonts w:ascii="Arial" w:eastAsia="MS Mincho" w:hAnsi="Arial" w:cs="Arial"/>
          <w:sz w:val="24"/>
          <w:szCs w:val="24"/>
        </w:rPr>
        <w:t>debt in instalments is important and the practicability of making such an order must be ever present in the mind of the judicial officer when determining whether there is good cause to order execution. The balancing should not be seen as an all or nothing process. It should not be that the execution is either grant</w:t>
      </w:r>
      <w:r w:rsidR="00B31EFE">
        <w:rPr>
          <w:rFonts w:ascii="Arial" w:eastAsia="MS Mincho" w:hAnsi="Arial" w:cs="Arial"/>
          <w:sz w:val="24"/>
          <w:szCs w:val="24"/>
        </w:rPr>
        <w:t>ed or the creditor does not</w:t>
      </w:r>
      <w:r w:rsidR="00B31EFE" w:rsidRPr="00C24FD7">
        <w:rPr>
          <w:rFonts w:ascii="Arial" w:eastAsia="MS Mincho" w:hAnsi="Arial" w:cs="Arial"/>
          <w:sz w:val="24"/>
          <w:szCs w:val="24"/>
        </w:rPr>
        <w:t xml:space="preserve"> recover the money owed. Every effort </w:t>
      </w:r>
      <w:r w:rsidR="00B31EFE">
        <w:rPr>
          <w:rFonts w:ascii="Arial" w:eastAsia="MS Mincho" w:hAnsi="Arial" w:cs="Arial"/>
          <w:sz w:val="24"/>
          <w:szCs w:val="24"/>
        </w:rPr>
        <w:t>must</w:t>
      </w:r>
      <w:r w:rsidR="00B31EFE" w:rsidRPr="00C24FD7">
        <w:rPr>
          <w:rFonts w:ascii="Arial" w:eastAsia="MS Mincho" w:hAnsi="Arial" w:cs="Arial"/>
          <w:sz w:val="24"/>
          <w:szCs w:val="24"/>
        </w:rPr>
        <w:t xml:space="preserve"> be made to find creative alternatives which allow for debt recovery but which use execution only as a last resort.</w:t>
      </w:r>
    </w:p>
    <w:p w:rsidR="00B31EFE" w:rsidRDefault="00B31EFE" w:rsidP="00B31EFE">
      <w:pPr>
        <w:spacing w:after="0" w:line="360" w:lineRule="auto"/>
        <w:jc w:val="both"/>
        <w:rPr>
          <w:rFonts w:ascii="Arial" w:eastAsia="MS Mincho" w:hAnsi="Arial" w:cs="Arial"/>
          <w:sz w:val="24"/>
          <w:szCs w:val="24"/>
        </w:rPr>
      </w:pPr>
    </w:p>
    <w:p w:rsidR="00B642A9" w:rsidRDefault="00B642A9" w:rsidP="00B31EFE">
      <w:pPr>
        <w:spacing w:after="0" w:line="360" w:lineRule="auto"/>
        <w:jc w:val="both"/>
        <w:rPr>
          <w:rFonts w:ascii="Arial" w:eastAsia="MS Mincho" w:hAnsi="Arial" w:cs="Arial"/>
          <w:sz w:val="24"/>
          <w:szCs w:val="24"/>
        </w:rPr>
      </w:pPr>
      <w:r>
        <w:rPr>
          <w:rFonts w:ascii="Arial" w:eastAsia="MS Mincho" w:hAnsi="Arial" w:cs="Arial"/>
          <w:sz w:val="24"/>
          <w:szCs w:val="24"/>
        </w:rPr>
        <w:t>[2</w:t>
      </w:r>
      <w:r w:rsidR="00B31EFE">
        <w:rPr>
          <w:rFonts w:ascii="Arial" w:eastAsia="MS Mincho" w:hAnsi="Arial" w:cs="Arial"/>
          <w:sz w:val="24"/>
          <w:szCs w:val="24"/>
        </w:rPr>
        <w:t>0</w:t>
      </w:r>
      <w:r>
        <w:rPr>
          <w:rFonts w:ascii="Arial" w:eastAsia="MS Mincho" w:hAnsi="Arial" w:cs="Arial"/>
          <w:sz w:val="24"/>
          <w:szCs w:val="24"/>
        </w:rPr>
        <w:t>]</w:t>
      </w:r>
      <w:r>
        <w:rPr>
          <w:rFonts w:ascii="Arial" w:eastAsia="MS Mincho" w:hAnsi="Arial" w:cs="Arial"/>
          <w:sz w:val="24"/>
          <w:szCs w:val="24"/>
        </w:rPr>
        <w:tab/>
      </w:r>
      <w:r w:rsidR="00B31EFE" w:rsidRPr="00A6269B">
        <w:rPr>
          <w:rFonts w:ascii="Arial" w:eastAsia="MS Mincho" w:hAnsi="Arial" w:cs="Arial"/>
          <w:sz w:val="24"/>
          <w:szCs w:val="24"/>
        </w:rPr>
        <w:t>Mr Augusto Ndjwaki Augusto’s affidavit</w:t>
      </w:r>
      <w:r w:rsidR="00B31EFE">
        <w:rPr>
          <w:rFonts w:ascii="Arial" w:eastAsia="MS Mincho" w:hAnsi="Arial" w:cs="Arial"/>
          <w:sz w:val="24"/>
          <w:szCs w:val="24"/>
        </w:rPr>
        <w:t>, in which attempts to give reasons why the mortgaged property must not be declared executable</w:t>
      </w:r>
      <w:r w:rsidR="007D7A46">
        <w:rPr>
          <w:rFonts w:ascii="Arial" w:eastAsia="MS Mincho" w:hAnsi="Arial" w:cs="Arial"/>
          <w:sz w:val="24"/>
          <w:szCs w:val="24"/>
        </w:rPr>
        <w:t>,</w:t>
      </w:r>
      <w:r w:rsidR="00B31EFE">
        <w:rPr>
          <w:rFonts w:ascii="Arial" w:eastAsia="MS Mincho" w:hAnsi="Arial" w:cs="Arial"/>
          <w:sz w:val="24"/>
          <w:szCs w:val="24"/>
        </w:rPr>
        <w:t xml:space="preserve"> </w:t>
      </w:r>
      <w:r w:rsidR="00B31EFE" w:rsidRPr="00A6269B">
        <w:rPr>
          <w:rFonts w:ascii="Arial" w:eastAsia="MS Mincho" w:hAnsi="Arial" w:cs="Arial"/>
          <w:sz w:val="24"/>
          <w:szCs w:val="24"/>
        </w:rPr>
        <w:t xml:space="preserve">is </w:t>
      </w:r>
      <w:r w:rsidR="00B31EFE" w:rsidRPr="00A6269B">
        <w:rPr>
          <w:rFonts w:ascii="Arial" w:hAnsi="Arial" w:cs="Arial"/>
          <w:sz w:val="24"/>
          <w:szCs w:val="24"/>
        </w:rPr>
        <w:t>characterized by a profound absence of detail and specificity</w:t>
      </w:r>
      <w:r w:rsidR="007D7A46">
        <w:rPr>
          <w:rFonts w:ascii="Arial" w:hAnsi="Arial" w:cs="Arial"/>
          <w:sz w:val="24"/>
          <w:szCs w:val="24"/>
        </w:rPr>
        <w:t>. Mr Augusto does not tell the c</w:t>
      </w:r>
      <w:r w:rsidR="00B31EFE" w:rsidRPr="00A6269B">
        <w:rPr>
          <w:rFonts w:ascii="Arial" w:hAnsi="Arial" w:cs="Arial"/>
          <w:sz w:val="24"/>
          <w:szCs w:val="24"/>
        </w:rPr>
        <w:t xml:space="preserve">ourt what he means by stating that his </w:t>
      </w:r>
      <w:r w:rsidR="00B31EFE">
        <w:rPr>
          <w:rFonts w:ascii="Arial" w:eastAsia="MS Mincho" w:hAnsi="Arial" w:cs="Arial"/>
          <w:sz w:val="24"/>
          <w:szCs w:val="24"/>
        </w:rPr>
        <w:t>business position has improved signi</w:t>
      </w:r>
      <w:r w:rsidR="007D7A46">
        <w:rPr>
          <w:rFonts w:ascii="Arial" w:eastAsia="MS Mincho" w:hAnsi="Arial" w:cs="Arial"/>
          <w:sz w:val="24"/>
          <w:szCs w:val="24"/>
        </w:rPr>
        <w:t>ficantly. He does not take the c</w:t>
      </w:r>
      <w:r w:rsidR="00B31EFE">
        <w:rPr>
          <w:rFonts w:ascii="Arial" w:eastAsia="MS Mincho" w:hAnsi="Arial" w:cs="Arial"/>
          <w:sz w:val="24"/>
          <w:szCs w:val="24"/>
        </w:rPr>
        <w:t>ourt into his confidence and state the period over which his business position has ‘significantly improved’.</w:t>
      </w:r>
      <w:r w:rsidR="00B31EFE" w:rsidRPr="00A6269B">
        <w:rPr>
          <w:rFonts w:ascii="Arial" w:hAnsi="Arial" w:cs="Arial"/>
          <w:sz w:val="24"/>
          <w:szCs w:val="24"/>
        </w:rPr>
        <w:t xml:space="preserve"> </w:t>
      </w:r>
      <w:r w:rsidR="00B31EFE">
        <w:rPr>
          <w:rFonts w:ascii="Arial" w:eastAsia="MS Mincho" w:hAnsi="Arial" w:cs="Arial"/>
          <w:sz w:val="24"/>
          <w:szCs w:val="24"/>
        </w:rPr>
        <w:t>The defendants have not, although the first defendant alleges that his ‘business position has significantly improved’, made any pay</w:t>
      </w:r>
      <w:r w:rsidR="007D7A46">
        <w:rPr>
          <w:rFonts w:ascii="Arial" w:eastAsia="MS Mincho" w:hAnsi="Arial" w:cs="Arial"/>
          <w:sz w:val="24"/>
          <w:szCs w:val="24"/>
        </w:rPr>
        <w:t xml:space="preserve">ment let alone approaching </w:t>
      </w:r>
      <w:r w:rsidR="007D7A46">
        <w:rPr>
          <w:rFonts w:ascii="Arial" w:eastAsia="MS Mincho" w:hAnsi="Arial" w:cs="Arial"/>
          <w:sz w:val="24"/>
          <w:szCs w:val="24"/>
        </w:rPr>
        <w:lastRenderedPageBreak/>
        <w:t>the c</w:t>
      </w:r>
      <w:r w:rsidR="00B31EFE">
        <w:rPr>
          <w:rFonts w:ascii="Arial" w:eastAsia="MS Mincho" w:hAnsi="Arial" w:cs="Arial"/>
          <w:sz w:val="24"/>
          <w:szCs w:val="24"/>
        </w:rPr>
        <w:t xml:space="preserve">ourt with a practical offer to pay the plaintiff. The lack of detail and specificity </w:t>
      </w:r>
      <w:r w:rsidR="007D7A46">
        <w:rPr>
          <w:rFonts w:ascii="Arial" w:eastAsia="MS Mincho" w:hAnsi="Arial" w:cs="Arial"/>
          <w:sz w:val="24"/>
          <w:szCs w:val="24"/>
        </w:rPr>
        <w:t>makes it impossible for the c</w:t>
      </w:r>
      <w:r w:rsidR="00B31EFE">
        <w:rPr>
          <w:rFonts w:ascii="Arial" w:eastAsia="MS Mincho" w:hAnsi="Arial" w:cs="Arial"/>
          <w:sz w:val="24"/>
          <w:szCs w:val="24"/>
        </w:rPr>
        <w:t xml:space="preserve">ourt </w:t>
      </w:r>
      <w:r w:rsidR="007D7A46">
        <w:rPr>
          <w:rFonts w:ascii="Arial" w:eastAsia="MS Mincho" w:hAnsi="Arial" w:cs="Arial"/>
          <w:sz w:val="24"/>
          <w:szCs w:val="24"/>
        </w:rPr>
        <w:t xml:space="preserve">to </w:t>
      </w:r>
      <w:r w:rsidR="00B31EFE">
        <w:rPr>
          <w:rFonts w:ascii="Arial" w:eastAsia="MS Mincho" w:hAnsi="Arial" w:cs="Arial"/>
          <w:sz w:val="24"/>
          <w:szCs w:val="24"/>
        </w:rPr>
        <w:t xml:space="preserve">consider </w:t>
      </w:r>
      <w:r w:rsidR="00B31EFE" w:rsidRPr="00C24FD7">
        <w:rPr>
          <w:rFonts w:ascii="Arial" w:eastAsia="MS Mincho" w:hAnsi="Arial" w:cs="Arial"/>
          <w:sz w:val="24"/>
          <w:szCs w:val="24"/>
        </w:rPr>
        <w:t xml:space="preserve">creative alternatives which allow </w:t>
      </w:r>
      <w:r w:rsidR="00B31EFE">
        <w:rPr>
          <w:rFonts w:ascii="Arial" w:eastAsia="MS Mincho" w:hAnsi="Arial" w:cs="Arial"/>
          <w:sz w:val="24"/>
          <w:szCs w:val="24"/>
        </w:rPr>
        <w:t xml:space="preserve">the plaintiff to recover its debt. </w:t>
      </w:r>
    </w:p>
    <w:p w:rsidR="00B31EFE" w:rsidRDefault="00B31EFE" w:rsidP="00B31EFE">
      <w:pPr>
        <w:spacing w:after="0" w:line="360" w:lineRule="auto"/>
        <w:jc w:val="both"/>
        <w:rPr>
          <w:rFonts w:ascii="Arial" w:eastAsia="MS Mincho" w:hAnsi="Arial" w:cs="Arial"/>
          <w:sz w:val="24"/>
          <w:szCs w:val="24"/>
        </w:rPr>
      </w:pPr>
    </w:p>
    <w:p w:rsidR="00644188" w:rsidRPr="00644188" w:rsidRDefault="002E7467" w:rsidP="00B31EFE">
      <w:pPr>
        <w:spacing w:after="0" w:line="360" w:lineRule="auto"/>
        <w:jc w:val="both"/>
        <w:rPr>
          <w:rFonts w:ascii="Arial" w:eastAsia="MS Mincho" w:hAnsi="Arial" w:cs="Arial"/>
          <w:sz w:val="24"/>
          <w:szCs w:val="24"/>
        </w:rPr>
      </w:pPr>
      <w:r w:rsidRPr="00644188">
        <w:rPr>
          <w:rFonts w:ascii="Arial" w:eastAsia="MS Mincho" w:hAnsi="Arial" w:cs="Arial"/>
          <w:sz w:val="24"/>
          <w:szCs w:val="24"/>
        </w:rPr>
        <w:t>[22]</w:t>
      </w:r>
      <w:r w:rsidRPr="00644188">
        <w:rPr>
          <w:rFonts w:ascii="Arial" w:eastAsia="MS Mincho" w:hAnsi="Arial" w:cs="Arial"/>
          <w:sz w:val="24"/>
          <w:szCs w:val="24"/>
        </w:rPr>
        <w:tab/>
        <w:t xml:space="preserve">The </w:t>
      </w:r>
      <w:r w:rsidR="00644188" w:rsidRPr="00644188">
        <w:rPr>
          <w:rFonts w:ascii="Arial" w:eastAsia="MS Mincho" w:hAnsi="Arial" w:cs="Arial"/>
          <w:sz w:val="24"/>
          <w:szCs w:val="24"/>
        </w:rPr>
        <w:t>defendants’</w:t>
      </w:r>
      <w:r w:rsidR="00B31EFE" w:rsidRPr="00644188">
        <w:rPr>
          <w:rFonts w:ascii="Arial" w:eastAsia="MS Mincho" w:hAnsi="Arial" w:cs="Arial"/>
          <w:sz w:val="24"/>
          <w:szCs w:val="24"/>
        </w:rPr>
        <w:t xml:space="preserve"> debt to the plaintiff is substantial and I am satisfied that the defendants have failed </w:t>
      </w:r>
      <w:r w:rsidR="007D7A46">
        <w:rPr>
          <w:rFonts w:ascii="Arial" w:eastAsia="MS Mincho" w:hAnsi="Arial" w:cs="Arial"/>
          <w:sz w:val="24"/>
          <w:szCs w:val="24"/>
        </w:rPr>
        <w:t>to place facts before the c</w:t>
      </w:r>
      <w:r w:rsidR="00644188" w:rsidRPr="00644188">
        <w:rPr>
          <w:rFonts w:ascii="Arial" w:eastAsia="MS Mincho" w:hAnsi="Arial" w:cs="Arial"/>
          <w:sz w:val="24"/>
          <w:szCs w:val="24"/>
        </w:rPr>
        <w:t xml:space="preserve">ourt to indicate that the debt can be satisfied in a reasonable manner, without involving the drastic consequences of declaring the mortgaged property executable. </w:t>
      </w:r>
      <w:r w:rsidR="00644188" w:rsidRPr="00644188">
        <w:rPr>
          <w:rFonts w:ascii="Arial" w:hAnsi="Arial" w:cs="Arial"/>
          <w:sz w:val="24"/>
          <w:szCs w:val="24"/>
        </w:rPr>
        <w:t>This leaves only the question of costs. The general rule is that costs follow the course and that cost</w:t>
      </w:r>
      <w:r w:rsidR="007D7A46">
        <w:rPr>
          <w:rFonts w:ascii="Arial" w:hAnsi="Arial" w:cs="Arial"/>
          <w:sz w:val="24"/>
          <w:szCs w:val="24"/>
        </w:rPr>
        <w:t>s</w:t>
      </w:r>
      <w:r w:rsidR="00644188" w:rsidRPr="00644188">
        <w:rPr>
          <w:rFonts w:ascii="Arial" w:hAnsi="Arial" w:cs="Arial"/>
          <w:sz w:val="24"/>
          <w:szCs w:val="24"/>
        </w:rPr>
        <w:t xml:space="preserve"> are in the discretion of the court.</w:t>
      </w:r>
      <w:r w:rsidR="00644188">
        <w:rPr>
          <w:rFonts w:ascii="Arial" w:hAnsi="Arial" w:cs="Arial"/>
          <w:sz w:val="24"/>
          <w:szCs w:val="24"/>
        </w:rPr>
        <w:t xml:space="preserve"> No</w:t>
      </w:r>
      <w:r w:rsidR="007D7A46">
        <w:rPr>
          <w:rFonts w:ascii="Arial" w:hAnsi="Arial" w:cs="Arial"/>
          <w:sz w:val="24"/>
          <w:szCs w:val="24"/>
        </w:rPr>
        <w:t xml:space="preserve"> </w:t>
      </w:r>
      <w:r w:rsidR="00644188">
        <w:rPr>
          <w:rFonts w:ascii="Arial" w:hAnsi="Arial" w:cs="Arial"/>
          <w:sz w:val="24"/>
          <w:szCs w:val="24"/>
        </w:rPr>
        <w:t>reason</w:t>
      </w:r>
      <w:r w:rsidR="007D7A46">
        <w:rPr>
          <w:rFonts w:ascii="Arial" w:hAnsi="Arial" w:cs="Arial"/>
          <w:sz w:val="24"/>
          <w:szCs w:val="24"/>
        </w:rPr>
        <w:t>s</w:t>
      </w:r>
      <w:r w:rsidR="00644188">
        <w:rPr>
          <w:rFonts w:ascii="Arial" w:hAnsi="Arial" w:cs="Arial"/>
          <w:sz w:val="24"/>
          <w:szCs w:val="24"/>
        </w:rPr>
        <w:t xml:space="preserve"> have been advanced why the general rule must not apply.</w:t>
      </w:r>
    </w:p>
    <w:p w:rsidR="00644188" w:rsidRDefault="00644188" w:rsidP="007D7A46">
      <w:pPr>
        <w:spacing w:after="0" w:line="360" w:lineRule="auto"/>
        <w:jc w:val="both"/>
        <w:rPr>
          <w:rFonts w:ascii="Arial" w:eastAsia="MS Mincho" w:hAnsi="Arial" w:cs="Arial"/>
          <w:sz w:val="24"/>
          <w:szCs w:val="24"/>
        </w:rPr>
      </w:pPr>
    </w:p>
    <w:p w:rsidR="00644188" w:rsidRDefault="00644188" w:rsidP="007D7A46">
      <w:pPr>
        <w:spacing w:after="0" w:line="360" w:lineRule="auto"/>
        <w:jc w:val="both"/>
        <w:rPr>
          <w:rFonts w:ascii="Arial" w:eastAsia="MS Mincho" w:hAnsi="Arial" w:cs="Arial"/>
          <w:sz w:val="24"/>
          <w:szCs w:val="24"/>
        </w:rPr>
      </w:pPr>
      <w:r>
        <w:rPr>
          <w:rFonts w:ascii="Arial" w:eastAsia="MS Mincho" w:hAnsi="Arial" w:cs="Arial"/>
          <w:sz w:val="24"/>
          <w:szCs w:val="24"/>
        </w:rPr>
        <w:t>[23]</w:t>
      </w:r>
      <w:r>
        <w:rPr>
          <w:rFonts w:ascii="Arial" w:eastAsia="MS Mincho" w:hAnsi="Arial" w:cs="Arial"/>
          <w:sz w:val="24"/>
          <w:szCs w:val="24"/>
        </w:rPr>
        <w:tab/>
        <w:t>In the result I make the following order:</w:t>
      </w:r>
    </w:p>
    <w:p w:rsidR="00867D0C" w:rsidRPr="00867D0C" w:rsidRDefault="00867D0C" w:rsidP="00867D0C">
      <w:pPr>
        <w:pStyle w:val="ListParagraph"/>
        <w:numPr>
          <w:ilvl w:val="0"/>
          <w:numId w:val="14"/>
        </w:numPr>
        <w:spacing w:line="360" w:lineRule="auto"/>
        <w:ind w:hanging="720"/>
        <w:jc w:val="both"/>
        <w:rPr>
          <w:rFonts w:ascii="Arial" w:eastAsia="MS Mincho" w:hAnsi="Arial" w:cs="Arial"/>
          <w:sz w:val="24"/>
          <w:szCs w:val="24"/>
        </w:rPr>
      </w:pPr>
      <w:r w:rsidRPr="00867D0C">
        <w:rPr>
          <w:rFonts w:ascii="Arial" w:eastAsia="MS Mincho" w:hAnsi="Arial" w:cs="Arial"/>
          <w:sz w:val="24"/>
          <w:szCs w:val="24"/>
        </w:rPr>
        <w:t>The following property namely:</w:t>
      </w:r>
    </w:p>
    <w:p w:rsidR="00867D0C" w:rsidRDefault="00867D0C" w:rsidP="00867D0C">
      <w:pPr>
        <w:pStyle w:val="ListParagraph"/>
        <w:numPr>
          <w:ilvl w:val="0"/>
          <w:numId w:val="15"/>
        </w:numPr>
        <w:tabs>
          <w:tab w:val="left" w:pos="720"/>
        </w:tabs>
        <w:spacing w:after="0" w:line="360" w:lineRule="auto"/>
        <w:ind w:left="1260" w:hanging="450"/>
        <w:jc w:val="both"/>
        <w:rPr>
          <w:rFonts w:ascii="Arial" w:eastAsia="MS Mincho" w:hAnsi="Arial" w:cs="Arial"/>
          <w:sz w:val="24"/>
          <w:szCs w:val="24"/>
        </w:rPr>
      </w:pPr>
      <w:r w:rsidRPr="00867D0C">
        <w:rPr>
          <w:rFonts w:ascii="Arial" w:eastAsia="MS Mincho" w:hAnsi="Arial" w:cs="Arial"/>
          <w:sz w:val="24"/>
          <w:szCs w:val="24"/>
        </w:rPr>
        <w:t>A Unit consisting of –</w:t>
      </w:r>
    </w:p>
    <w:p w:rsidR="00867D0C" w:rsidRPr="00867D0C" w:rsidRDefault="00867D0C" w:rsidP="00867D0C">
      <w:pPr>
        <w:pStyle w:val="ListParagraph"/>
        <w:numPr>
          <w:ilvl w:val="1"/>
          <w:numId w:val="15"/>
        </w:numPr>
        <w:tabs>
          <w:tab w:val="left" w:pos="720"/>
        </w:tabs>
        <w:spacing w:after="0" w:line="360" w:lineRule="auto"/>
        <w:jc w:val="both"/>
        <w:rPr>
          <w:rFonts w:ascii="Arial" w:eastAsia="MS Mincho" w:hAnsi="Arial" w:cs="Arial"/>
          <w:sz w:val="24"/>
          <w:szCs w:val="24"/>
        </w:rPr>
      </w:pPr>
      <w:r w:rsidRPr="00867D0C">
        <w:rPr>
          <w:rFonts w:ascii="Arial" w:eastAsia="MS Mincho" w:hAnsi="Arial" w:cs="Arial"/>
          <w:sz w:val="24"/>
          <w:szCs w:val="24"/>
        </w:rPr>
        <w:t xml:space="preserve">Section No. 2 as shown and more fully described on Sectional Plan No. SS 87/1995 in the development scheme known as LOFT-ES COURT, in respect of the land and building or buildings situated at ERF NO. 1370, PIONIERSPARK, EXTENSION NO.1 in the Municipality of Windhoek, Registration Division “K”, KHOMAS REGION of which the floor area according to the said Sectional Plan , is 245 ( TWO FOUR FIVE) SQUARE METRES in extent; and </w:t>
      </w:r>
    </w:p>
    <w:p w:rsidR="00867D0C" w:rsidRPr="002543E0" w:rsidRDefault="00867D0C" w:rsidP="00867D0C">
      <w:pPr>
        <w:tabs>
          <w:tab w:val="left" w:pos="720"/>
        </w:tabs>
        <w:spacing w:after="0" w:line="360" w:lineRule="auto"/>
        <w:jc w:val="both"/>
        <w:rPr>
          <w:rFonts w:ascii="Arial" w:eastAsia="MS Mincho" w:hAnsi="Arial" w:cs="Arial"/>
          <w:sz w:val="24"/>
          <w:szCs w:val="24"/>
        </w:rPr>
      </w:pPr>
    </w:p>
    <w:p w:rsidR="00867D0C" w:rsidRDefault="00867D0C" w:rsidP="00867D0C">
      <w:pPr>
        <w:spacing w:after="0" w:line="360" w:lineRule="auto"/>
        <w:jc w:val="both"/>
        <w:rPr>
          <w:rFonts w:ascii="Arial" w:eastAsia="MS Mincho" w:hAnsi="Arial" w:cs="Arial"/>
          <w:sz w:val="24"/>
          <w:szCs w:val="24"/>
        </w:rPr>
      </w:pPr>
      <w:r>
        <w:rPr>
          <w:rFonts w:ascii="Arial" w:eastAsia="MS Mincho" w:hAnsi="Arial" w:cs="Arial"/>
          <w:sz w:val="24"/>
          <w:szCs w:val="24"/>
        </w:rPr>
        <w:t>ii)</w:t>
      </w:r>
      <w:r>
        <w:rPr>
          <w:rFonts w:ascii="Arial" w:eastAsia="MS Mincho" w:hAnsi="Arial" w:cs="Arial"/>
          <w:sz w:val="24"/>
          <w:szCs w:val="24"/>
        </w:rPr>
        <w:tab/>
        <w:t>An undivided share in the common property in the development scheme apportioned to that section in accordance with the participation quota and endorsed on the sectional plan.</w:t>
      </w:r>
    </w:p>
    <w:p w:rsidR="00867D0C" w:rsidRDefault="00867D0C" w:rsidP="00867D0C">
      <w:pPr>
        <w:spacing w:after="0" w:line="360" w:lineRule="auto"/>
        <w:jc w:val="both"/>
        <w:rPr>
          <w:rFonts w:ascii="Arial" w:eastAsia="MS Mincho" w:hAnsi="Arial" w:cs="Arial"/>
          <w:sz w:val="24"/>
          <w:szCs w:val="24"/>
        </w:rPr>
      </w:pPr>
    </w:p>
    <w:p w:rsidR="00867D0C" w:rsidRDefault="00867D0C" w:rsidP="00867D0C">
      <w:pPr>
        <w:spacing w:after="0" w:line="360" w:lineRule="auto"/>
        <w:jc w:val="both"/>
        <w:rPr>
          <w:rFonts w:ascii="Arial" w:eastAsia="MS Mincho" w:hAnsi="Arial" w:cs="Arial"/>
          <w:sz w:val="24"/>
          <w:szCs w:val="24"/>
        </w:rPr>
      </w:pPr>
      <w:r>
        <w:rPr>
          <w:rFonts w:ascii="Arial" w:eastAsia="MS Mincho" w:hAnsi="Arial" w:cs="Arial"/>
          <w:sz w:val="24"/>
          <w:szCs w:val="24"/>
        </w:rPr>
        <w:t>HELD UNDER DEED OF TRANSFER NO. ST 1131/2015.</w:t>
      </w:r>
    </w:p>
    <w:p w:rsidR="00867D0C" w:rsidRDefault="00867D0C" w:rsidP="00867D0C">
      <w:pPr>
        <w:spacing w:after="0" w:line="360" w:lineRule="auto"/>
        <w:ind w:left="720" w:hanging="720"/>
        <w:jc w:val="both"/>
        <w:rPr>
          <w:rFonts w:ascii="Arial" w:eastAsia="MS Mincho" w:hAnsi="Arial" w:cs="Arial"/>
          <w:sz w:val="24"/>
          <w:szCs w:val="24"/>
        </w:rPr>
      </w:pPr>
    </w:p>
    <w:p w:rsidR="00867D0C" w:rsidRDefault="00867D0C" w:rsidP="00867D0C">
      <w:pPr>
        <w:spacing w:after="0" w:line="360" w:lineRule="auto"/>
        <w:ind w:left="720" w:hanging="720"/>
        <w:jc w:val="both"/>
        <w:rPr>
          <w:rFonts w:ascii="Arial" w:eastAsia="MS Mincho" w:hAnsi="Arial" w:cs="Arial"/>
          <w:sz w:val="24"/>
          <w:szCs w:val="24"/>
        </w:rPr>
      </w:pPr>
      <w:r>
        <w:rPr>
          <w:rFonts w:ascii="Arial" w:eastAsia="MS Mincho" w:hAnsi="Arial" w:cs="Arial"/>
          <w:sz w:val="24"/>
          <w:szCs w:val="24"/>
        </w:rPr>
        <w:t>AND</w:t>
      </w:r>
    </w:p>
    <w:p w:rsidR="00867D0C" w:rsidRDefault="00867D0C" w:rsidP="00867D0C">
      <w:pPr>
        <w:spacing w:after="0" w:line="360" w:lineRule="auto"/>
        <w:ind w:left="720" w:hanging="720"/>
        <w:jc w:val="both"/>
        <w:rPr>
          <w:rFonts w:ascii="Arial" w:eastAsia="MS Mincho" w:hAnsi="Arial" w:cs="Arial"/>
          <w:sz w:val="24"/>
          <w:szCs w:val="24"/>
        </w:rPr>
      </w:pPr>
    </w:p>
    <w:p w:rsidR="00867D0C" w:rsidRDefault="00867D0C" w:rsidP="00867D0C">
      <w:pPr>
        <w:tabs>
          <w:tab w:val="left" w:pos="720"/>
        </w:tabs>
        <w:spacing w:after="0" w:line="360" w:lineRule="auto"/>
        <w:jc w:val="both"/>
        <w:rPr>
          <w:rFonts w:ascii="Arial" w:eastAsia="MS Mincho" w:hAnsi="Arial" w:cs="Arial"/>
          <w:sz w:val="24"/>
          <w:szCs w:val="24"/>
        </w:rPr>
      </w:pPr>
      <w:r>
        <w:rPr>
          <w:rFonts w:ascii="Arial" w:eastAsia="MS Mincho" w:hAnsi="Arial" w:cs="Arial"/>
          <w:sz w:val="24"/>
          <w:szCs w:val="24"/>
        </w:rPr>
        <w:t>b)  A Unit consisting of –</w:t>
      </w:r>
    </w:p>
    <w:p w:rsidR="00867D0C" w:rsidRDefault="00DA69EE" w:rsidP="00DA69EE">
      <w:pPr>
        <w:pStyle w:val="ListParagraph"/>
        <w:numPr>
          <w:ilvl w:val="0"/>
          <w:numId w:val="16"/>
        </w:numPr>
        <w:tabs>
          <w:tab w:val="left" w:pos="720"/>
        </w:tabs>
        <w:spacing w:after="0" w:line="360" w:lineRule="auto"/>
        <w:ind w:left="720" w:firstLine="0"/>
        <w:jc w:val="both"/>
        <w:rPr>
          <w:rFonts w:ascii="Arial" w:eastAsia="MS Mincho" w:hAnsi="Arial" w:cs="Arial"/>
          <w:sz w:val="24"/>
          <w:szCs w:val="24"/>
        </w:rPr>
      </w:pPr>
      <w:r>
        <w:rPr>
          <w:rFonts w:ascii="Arial" w:eastAsia="MS Mincho" w:hAnsi="Arial" w:cs="Arial"/>
          <w:sz w:val="24"/>
          <w:szCs w:val="24"/>
        </w:rPr>
        <w:lastRenderedPageBreak/>
        <w:t xml:space="preserve"> </w:t>
      </w:r>
      <w:r w:rsidR="00867D0C" w:rsidRPr="005D0D65">
        <w:rPr>
          <w:rFonts w:ascii="Arial" w:eastAsia="MS Mincho" w:hAnsi="Arial" w:cs="Arial"/>
          <w:sz w:val="24"/>
          <w:szCs w:val="24"/>
        </w:rPr>
        <w:t xml:space="preserve">Section No. </w:t>
      </w:r>
      <w:r w:rsidR="00867D0C">
        <w:rPr>
          <w:rFonts w:ascii="Arial" w:eastAsia="MS Mincho" w:hAnsi="Arial" w:cs="Arial"/>
          <w:sz w:val="24"/>
          <w:szCs w:val="24"/>
        </w:rPr>
        <w:t>4</w:t>
      </w:r>
      <w:r w:rsidR="00867D0C" w:rsidRPr="005D0D65">
        <w:rPr>
          <w:rFonts w:ascii="Arial" w:eastAsia="MS Mincho" w:hAnsi="Arial" w:cs="Arial"/>
          <w:sz w:val="24"/>
          <w:szCs w:val="24"/>
        </w:rPr>
        <w:t xml:space="preserve"> as shown and more fully described on Sectional Plan No. SS 87/1995 in the development scheme known as LOFT-ES COURT, in respect of the land and building or buildings situated </w:t>
      </w:r>
      <w:r w:rsidR="00867D0C">
        <w:rPr>
          <w:rFonts w:ascii="Arial" w:eastAsia="MS Mincho" w:hAnsi="Arial" w:cs="Arial"/>
          <w:sz w:val="24"/>
          <w:szCs w:val="24"/>
        </w:rPr>
        <w:t>at</w:t>
      </w:r>
      <w:r w:rsidR="00867D0C" w:rsidRPr="005D0D65">
        <w:rPr>
          <w:rFonts w:ascii="Arial" w:eastAsia="MS Mincho" w:hAnsi="Arial" w:cs="Arial"/>
          <w:sz w:val="24"/>
          <w:szCs w:val="24"/>
        </w:rPr>
        <w:t xml:space="preserve"> ERF NO. 1370, PIONIERSPARK, EXTENSION NO.1 in the Municipality of Windhoek, Registration Division “K”, KHOMAS REGION of which the floor area according to the said Sectional Plan , is </w:t>
      </w:r>
      <w:r w:rsidR="00867D0C">
        <w:rPr>
          <w:rFonts w:ascii="Arial" w:eastAsia="MS Mincho" w:hAnsi="Arial" w:cs="Arial"/>
          <w:sz w:val="24"/>
          <w:szCs w:val="24"/>
        </w:rPr>
        <w:t>17</w:t>
      </w:r>
      <w:r w:rsidR="00867D0C" w:rsidRPr="005D0D65">
        <w:rPr>
          <w:rFonts w:ascii="Arial" w:eastAsia="MS Mincho" w:hAnsi="Arial" w:cs="Arial"/>
          <w:sz w:val="24"/>
          <w:szCs w:val="24"/>
        </w:rPr>
        <w:t xml:space="preserve"> </w:t>
      </w:r>
      <w:r w:rsidR="00867D0C">
        <w:rPr>
          <w:rFonts w:ascii="Arial" w:eastAsia="MS Mincho" w:hAnsi="Arial" w:cs="Arial"/>
          <w:sz w:val="24"/>
          <w:szCs w:val="24"/>
        </w:rPr>
        <w:t xml:space="preserve">(ONE SEVEN) </w:t>
      </w:r>
      <w:r w:rsidR="00867D0C" w:rsidRPr="005D0D65">
        <w:rPr>
          <w:rFonts w:ascii="Arial" w:eastAsia="MS Mincho" w:hAnsi="Arial" w:cs="Arial"/>
          <w:sz w:val="24"/>
          <w:szCs w:val="24"/>
        </w:rPr>
        <w:t>SQUARE METRES</w:t>
      </w:r>
      <w:r w:rsidR="00867D0C">
        <w:rPr>
          <w:rFonts w:ascii="Arial" w:eastAsia="MS Mincho" w:hAnsi="Arial" w:cs="Arial"/>
          <w:sz w:val="24"/>
          <w:szCs w:val="24"/>
        </w:rPr>
        <w:t xml:space="preserve"> in extent; and </w:t>
      </w:r>
    </w:p>
    <w:p w:rsidR="00867D0C" w:rsidRDefault="00867D0C" w:rsidP="00867D0C">
      <w:pPr>
        <w:pStyle w:val="ListParagraph"/>
        <w:tabs>
          <w:tab w:val="left" w:pos="720"/>
        </w:tabs>
        <w:spacing w:after="0" w:line="360" w:lineRule="auto"/>
        <w:ind w:left="2160"/>
        <w:jc w:val="both"/>
        <w:rPr>
          <w:rFonts w:ascii="Arial" w:eastAsia="MS Mincho" w:hAnsi="Arial" w:cs="Arial"/>
          <w:sz w:val="24"/>
          <w:szCs w:val="24"/>
        </w:rPr>
      </w:pPr>
    </w:p>
    <w:p w:rsidR="00867D0C" w:rsidRDefault="00867D0C" w:rsidP="00DA69EE">
      <w:pPr>
        <w:pStyle w:val="ListParagraph"/>
        <w:numPr>
          <w:ilvl w:val="0"/>
          <w:numId w:val="16"/>
        </w:numPr>
        <w:tabs>
          <w:tab w:val="left" w:pos="720"/>
        </w:tabs>
        <w:spacing w:after="0" w:line="360" w:lineRule="auto"/>
        <w:ind w:left="630" w:firstLine="90"/>
        <w:jc w:val="both"/>
        <w:rPr>
          <w:rFonts w:ascii="Arial" w:eastAsia="MS Mincho" w:hAnsi="Arial" w:cs="Arial"/>
          <w:sz w:val="24"/>
          <w:szCs w:val="24"/>
        </w:rPr>
      </w:pPr>
      <w:r>
        <w:rPr>
          <w:rFonts w:ascii="Arial" w:eastAsia="MS Mincho" w:hAnsi="Arial" w:cs="Arial"/>
          <w:sz w:val="24"/>
          <w:szCs w:val="24"/>
        </w:rPr>
        <w:t>A</w:t>
      </w:r>
      <w:r w:rsidRPr="00867D0C">
        <w:rPr>
          <w:rFonts w:ascii="Arial" w:eastAsia="MS Mincho" w:hAnsi="Arial" w:cs="Arial"/>
          <w:sz w:val="24"/>
          <w:szCs w:val="24"/>
        </w:rPr>
        <w:t>n undivided share in the common property in the development scheme apportioned to that section in accordance with the participation quota and endorsed on the sectional plan.</w:t>
      </w:r>
    </w:p>
    <w:p w:rsidR="00867D0C" w:rsidRPr="00867D0C" w:rsidRDefault="00867D0C" w:rsidP="00867D0C">
      <w:pPr>
        <w:pStyle w:val="ListParagraph"/>
        <w:tabs>
          <w:tab w:val="left" w:pos="720"/>
        </w:tabs>
        <w:spacing w:after="0" w:line="360" w:lineRule="auto"/>
        <w:ind w:left="2160"/>
        <w:jc w:val="both"/>
        <w:rPr>
          <w:rFonts w:ascii="Arial" w:eastAsia="MS Mincho" w:hAnsi="Arial" w:cs="Arial"/>
          <w:sz w:val="24"/>
          <w:szCs w:val="24"/>
        </w:rPr>
      </w:pPr>
    </w:p>
    <w:p w:rsidR="00867D0C" w:rsidRDefault="00867D0C" w:rsidP="00867D0C">
      <w:pPr>
        <w:spacing w:after="0" w:line="360" w:lineRule="auto"/>
        <w:ind w:left="720" w:hanging="720"/>
        <w:jc w:val="both"/>
        <w:rPr>
          <w:rFonts w:ascii="Arial" w:eastAsia="MS Mincho" w:hAnsi="Arial" w:cs="Arial"/>
          <w:sz w:val="24"/>
          <w:szCs w:val="24"/>
        </w:rPr>
      </w:pPr>
      <w:r>
        <w:rPr>
          <w:rFonts w:ascii="Arial" w:eastAsia="MS Mincho" w:hAnsi="Arial" w:cs="Arial"/>
          <w:sz w:val="24"/>
          <w:szCs w:val="24"/>
        </w:rPr>
        <w:t>HELD UNDER DEED OF TRANSFER NO. ST 1131/2015</w:t>
      </w:r>
    </w:p>
    <w:p w:rsidR="00867D0C" w:rsidRDefault="00867D0C" w:rsidP="00867D0C">
      <w:pPr>
        <w:spacing w:after="0" w:line="360" w:lineRule="auto"/>
        <w:ind w:left="720" w:hanging="720"/>
        <w:jc w:val="both"/>
        <w:rPr>
          <w:rFonts w:ascii="Arial" w:eastAsia="MS Mincho" w:hAnsi="Arial" w:cs="Arial"/>
          <w:sz w:val="24"/>
          <w:szCs w:val="24"/>
        </w:rPr>
      </w:pPr>
    </w:p>
    <w:p w:rsidR="00867D0C" w:rsidRDefault="00867D0C" w:rsidP="00867D0C">
      <w:pPr>
        <w:spacing w:after="0" w:line="360" w:lineRule="auto"/>
        <w:ind w:left="720" w:hanging="720"/>
        <w:jc w:val="both"/>
        <w:rPr>
          <w:rFonts w:ascii="Arial" w:eastAsia="MS Mincho" w:hAnsi="Arial" w:cs="Arial"/>
          <w:sz w:val="24"/>
          <w:szCs w:val="24"/>
        </w:rPr>
      </w:pPr>
      <w:r>
        <w:rPr>
          <w:rFonts w:ascii="Arial" w:eastAsia="MS Mincho" w:hAnsi="Arial" w:cs="Arial"/>
          <w:sz w:val="24"/>
          <w:szCs w:val="24"/>
        </w:rPr>
        <w:t>is declared specially executable.</w:t>
      </w:r>
    </w:p>
    <w:p w:rsidR="00867D0C" w:rsidRDefault="00867D0C" w:rsidP="00867D0C">
      <w:pPr>
        <w:spacing w:after="0" w:line="360" w:lineRule="auto"/>
        <w:ind w:left="720" w:hanging="720"/>
        <w:jc w:val="both"/>
        <w:rPr>
          <w:rFonts w:ascii="Arial" w:eastAsia="MS Mincho" w:hAnsi="Arial" w:cs="Arial"/>
          <w:sz w:val="24"/>
          <w:szCs w:val="24"/>
        </w:rPr>
      </w:pPr>
    </w:p>
    <w:p w:rsidR="00867D0C" w:rsidRDefault="00867D0C" w:rsidP="00867D0C">
      <w:pPr>
        <w:tabs>
          <w:tab w:val="left" w:pos="720"/>
        </w:tabs>
        <w:spacing w:after="0" w:line="360" w:lineRule="auto"/>
        <w:jc w:val="both"/>
        <w:rPr>
          <w:rFonts w:ascii="Arial" w:eastAsia="MS Mincho" w:hAnsi="Arial" w:cs="Arial"/>
          <w:sz w:val="24"/>
          <w:szCs w:val="24"/>
        </w:rPr>
      </w:pPr>
      <w:r>
        <w:rPr>
          <w:rFonts w:ascii="Arial" w:eastAsia="MS Mincho" w:hAnsi="Arial" w:cs="Arial"/>
          <w:sz w:val="24"/>
          <w:szCs w:val="24"/>
        </w:rPr>
        <w:t>c)</w:t>
      </w:r>
      <w:r>
        <w:rPr>
          <w:rFonts w:ascii="Arial" w:eastAsia="MS Mincho" w:hAnsi="Arial" w:cs="Arial"/>
          <w:sz w:val="24"/>
          <w:szCs w:val="24"/>
        </w:rPr>
        <w:tab/>
        <w:t>The defendants must, jointly and severally the one paying the other to be absolved, pay the plaintiff’s costs of this application.</w:t>
      </w:r>
    </w:p>
    <w:p w:rsidR="008E4746" w:rsidRPr="002E7467" w:rsidRDefault="008E4746" w:rsidP="007F4774">
      <w:pPr>
        <w:spacing w:line="360" w:lineRule="auto"/>
        <w:jc w:val="both"/>
        <w:rPr>
          <w:rFonts w:ascii="Arial" w:eastAsia="MS Mincho" w:hAnsi="Arial" w:cs="Arial"/>
          <w:sz w:val="24"/>
          <w:szCs w:val="24"/>
        </w:rPr>
      </w:pPr>
    </w:p>
    <w:p w:rsidR="00B642A9" w:rsidRDefault="007D7A46" w:rsidP="007D7A46">
      <w:pPr>
        <w:spacing w:line="360" w:lineRule="auto"/>
        <w:jc w:val="right"/>
        <w:rPr>
          <w:rFonts w:ascii="Arial" w:eastAsia="MS Mincho" w:hAnsi="Arial" w:cs="Arial"/>
          <w:sz w:val="24"/>
          <w:szCs w:val="24"/>
        </w:rPr>
      </w:pPr>
      <w:r>
        <w:rPr>
          <w:rFonts w:ascii="Arial" w:eastAsia="MS Mincho" w:hAnsi="Arial" w:cs="Arial"/>
          <w:sz w:val="24"/>
          <w:szCs w:val="24"/>
        </w:rPr>
        <w:t>_____________</w:t>
      </w:r>
    </w:p>
    <w:p w:rsidR="007D7A46" w:rsidRPr="007F4774" w:rsidRDefault="007D7A46" w:rsidP="007D7A46">
      <w:pPr>
        <w:spacing w:line="360" w:lineRule="auto"/>
        <w:jc w:val="right"/>
        <w:rPr>
          <w:rFonts w:ascii="Arial" w:eastAsia="MS Mincho" w:hAnsi="Arial" w:cs="Arial"/>
          <w:sz w:val="24"/>
          <w:szCs w:val="24"/>
        </w:rPr>
      </w:pPr>
      <w:r>
        <w:rPr>
          <w:rFonts w:ascii="Arial" w:eastAsia="MS Mincho" w:hAnsi="Arial" w:cs="Arial"/>
          <w:sz w:val="24"/>
          <w:szCs w:val="24"/>
        </w:rPr>
        <w:t>S F I UEITELE</w:t>
      </w:r>
    </w:p>
    <w:p w:rsidR="00B92ABB" w:rsidRDefault="007D7A46" w:rsidP="008A6B4F">
      <w:pPr>
        <w:spacing w:line="360" w:lineRule="auto"/>
        <w:jc w:val="both"/>
        <w:rPr>
          <w:rFonts w:ascii="Arial" w:eastAsia="MS Mincho" w:hAnsi="Arial" w:cs="Arial"/>
          <w:sz w:val="24"/>
          <w:szCs w:val="24"/>
        </w:rPr>
      </w:pPr>
      <w:r w:rsidRPr="00FA6C82">
        <w:rPr>
          <w:rFonts w:ascii="Arial" w:eastAsia="MS Mincho" w:hAnsi="Arial" w:cs="Arial"/>
          <w:b/>
          <w:sz w:val="24"/>
          <w:szCs w:val="24"/>
        </w:rPr>
        <w:t>APPEARANCES</w:t>
      </w:r>
      <w:r>
        <w:rPr>
          <w:rFonts w:ascii="Arial" w:eastAsia="MS Mincho" w:hAnsi="Arial" w:cs="Arial"/>
          <w:sz w:val="24"/>
          <w:szCs w:val="24"/>
        </w:rPr>
        <w:t>:</w:t>
      </w:r>
    </w:p>
    <w:p w:rsidR="007D7A46" w:rsidRDefault="007D7A46" w:rsidP="008A6B4F">
      <w:pPr>
        <w:spacing w:line="360" w:lineRule="auto"/>
        <w:jc w:val="both"/>
        <w:rPr>
          <w:rFonts w:ascii="Arial" w:eastAsia="MS Mincho" w:hAnsi="Arial" w:cs="Arial"/>
          <w:sz w:val="24"/>
          <w:szCs w:val="24"/>
        </w:rPr>
      </w:pPr>
    </w:p>
    <w:p w:rsidR="007D7A46" w:rsidRDefault="00C97901" w:rsidP="008A6B4F">
      <w:pPr>
        <w:spacing w:line="360" w:lineRule="auto"/>
        <w:jc w:val="both"/>
        <w:rPr>
          <w:rFonts w:ascii="Arial" w:eastAsia="MS Mincho" w:hAnsi="Arial" w:cs="Arial"/>
          <w:sz w:val="24"/>
          <w:szCs w:val="24"/>
        </w:rPr>
      </w:pPr>
      <w:r>
        <w:rPr>
          <w:rFonts w:ascii="Arial" w:eastAsia="MS Mincho" w:hAnsi="Arial" w:cs="Arial"/>
          <w:sz w:val="24"/>
          <w:szCs w:val="24"/>
        </w:rPr>
        <w:t>PLAINTIFF:</w:t>
      </w:r>
      <w:r w:rsidR="006D5C87">
        <w:rPr>
          <w:rFonts w:ascii="Arial" w:eastAsia="MS Mincho" w:hAnsi="Arial" w:cs="Arial"/>
          <w:sz w:val="24"/>
          <w:szCs w:val="24"/>
        </w:rPr>
        <w:tab/>
      </w:r>
      <w:r w:rsidR="006D5C87">
        <w:rPr>
          <w:rFonts w:ascii="Arial" w:eastAsia="MS Mincho" w:hAnsi="Arial" w:cs="Arial"/>
          <w:sz w:val="24"/>
          <w:szCs w:val="24"/>
        </w:rPr>
        <w:tab/>
      </w:r>
      <w:r w:rsidR="006D5C87">
        <w:rPr>
          <w:rFonts w:ascii="Arial" w:eastAsia="MS Mincho" w:hAnsi="Arial" w:cs="Arial"/>
          <w:sz w:val="24"/>
          <w:szCs w:val="24"/>
        </w:rPr>
        <w:tab/>
      </w:r>
      <w:r w:rsidR="006D5C87">
        <w:rPr>
          <w:rFonts w:ascii="Arial" w:eastAsia="MS Mincho" w:hAnsi="Arial" w:cs="Arial"/>
          <w:sz w:val="24"/>
          <w:szCs w:val="24"/>
        </w:rPr>
        <w:tab/>
      </w:r>
      <w:r w:rsidR="006D5C87">
        <w:rPr>
          <w:rFonts w:ascii="Arial" w:eastAsia="MS Mincho" w:hAnsi="Arial" w:cs="Arial"/>
          <w:sz w:val="24"/>
          <w:szCs w:val="24"/>
        </w:rPr>
        <w:tab/>
      </w:r>
      <w:r w:rsidR="006D5C87">
        <w:rPr>
          <w:rFonts w:ascii="Arial" w:eastAsia="MS Mincho" w:hAnsi="Arial" w:cs="Arial"/>
          <w:sz w:val="24"/>
          <w:szCs w:val="24"/>
        </w:rPr>
        <w:tab/>
      </w:r>
      <w:r w:rsidR="006D5C87">
        <w:rPr>
          <w:rFonts w:ascii="Arial" w:eastAsia="MS Mincho" w:hAnsi="Arial" w:cs="Arial"/>
          <w:sz w:val="24"/>
          <w:szCs w:val="24"/>
        </w:rPr>
        <w:tab/>
      </w:r>
      <w:r w:rsidR="00FA6C82">
        <w:rPr>
          <w:rFonts w:ascii="Arial" w:eastAsia="MS Mincho" w:hAnsi="Arial" w:cs="Arial"/>
          <w:sz w:val="24"/>
          <w:szCs w:val="24"/>
        </w:rPr>
        <w:t>K Angula</w:t>
      </w:r>
    </w:p>
    <w:p w:rsidR="006D5C87" w:rsidRDefault="006D5C87" w:rsidP="008A6B4F">
      <w:pPr>
        <w:spacing w:line="360" w:lineRule="auto"/>
        <w:jc w:val="both"/>
        <w:rPr>
          <w:rFonts w:ascii="Arial" w:eastAsia="MS Mincho" w:hAnsi="Arial" w:cs="Arial"/>
          <w:sz w:val="24"/>
          <w:szCs w:val="24"/>
        </w:rPr>
      </w:pP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Of AngulaCo. Incorporated</w:t>
      </w:r>
    </w:p>
    <w:p w:rsidR="00C97901" w:rsidRDefault="00C97901" w:rsidP="008A6B4F">
      <w:pPr>
        <w:spacing w:line="360" w:lineRule="auto"/>
        <w:jc w:val="both"/>
        <w:rPr>
          <w:rFonts w:ascii="Arial" w:eastAsia="MS Mincho" w:hAnsi="Arial" w:cs="Arial"/>
          <w:sz w:val="24"/>
          <w:szCs w:val="24"/>
        </w:rPr>
      </w:pPr>
    </w:p>
    <w:p w:rsidR="00C97901" w:rsidRDefault="00C97901" w:rsidP="008A6B4F">
      <w:pPr>
        <w:spacing w:line="360" w:lineRule="auto"/>
        <w:jc w:val="both"/>
        <w:rPr>
          <w:rFonts w:ascii="Arial" w:eastAsia="MS Mincho" w:hAnsi="Arial" w:cs="Arial"/>
          <w:sz w:val="24"/>
          <w:szCs w:val="24"/>
        </w:rPr>
      </w:pPr>
    </w:p>
    <w:p w:rsidR="00C97901" w:rsidRDefault="00C97901" w:rsidP="008A6B4F">
      <w:pPr>
        <w:spacing w:line="360" w:lineRule="auto"/>
        <w:jc w:val="both"/>
        <w:rPr>
          <w:rFonts w:ascii="Arial" w:eastAsia="MS Mincho" w:hAnsi="Arial" w:cs="Arial"/>
          <w:sz w:val="24"/>
          <w:szCs w:val="24"/>
        </w:rPr>
      </w:pPr>
      <w:r>
        <w:rPr>
          <w:rFonts w:ascii="Arial" w:eastAsia="MS Mincho" w:hAnsi="Arial" w:cs="Arial"/>
          <w:sz w:val="24"/>
          <w:szCs w:val="24"/>
        </w:rPr>
        <w:t>DEFENDANTS:</w:t>
      </w:r>
      <w:r w:rsidR="006D5C87">
        <w:rPr>
          <w:rFonts w:ascii="Arial" w:eastAsia="MS Mincho" w:hAnsi="Arial" w:cs="Arial"/>
          <w:sz w:val="24"/>
          <w:szCs w:val="24"/>
        </w:rPr>
        <w:tab/>
      </w:r>
      <w:r w:rsidR="006D5C87">
        <w:rPr>
          <w:rFonts w:ascii="Arial" w:eastAsia="MS Mincho" w:hAnsi="Arial" w:cs="Arial"/>
          <w:sz w:val="24"/>
          <w:szCs w:val="24"/>
        </w:rPr>
        <w:tab/>
      </w:r>
      <w:r w:rsidR="006D5C87">
        <w:rPr>
          <w:rFonts w:ascii="Arial" w:eastAsia="MS Mincho" w:hAnsi="Arial" w:cs="Arial"/>
          <w:sz w:val="24"/>
          <w:szCs w:val="24"/>
        </w:rPr>
        <w:tab/>
      </w:r>
      <w:r w:rsidR="006D5C87">
        <w:rPr>
          <w:rFonts w:ascii="Arial" w:eastAsia="MS Mincho" w:hAnsi="Arial" w:cs="Arial"/>
          <w:sz w:val="24"/>
          <w:szCs w:val="24"/>
        </w:rPr>
        <w:tab/>
      </w:r>
      <w:r w:rsidR="006D5C87">
        <w:rPr>
          <w:rFonts w:ascii="Arial" w:eastAsia="MS Mincho" w:hAnsi="Arial" w:cs="Arial"/>
          <w:sz w:val="24"/>
          <w:szCs w:val="24"/>
        </w:rPr>
        <w:tab/>
      </w:r>
      <w:r w:rsidR="006D5C87">
        <w:rPr>
          <w:rFonts w:ascii="Arial" w:eastAsia="MS Mincho" w:hAnsi="Arial" w:cs="Arial"/>
          <w:sz w:val="24"/>
          <w:szCs w:val="24"/>
        </w:rPr>
        <w:tab/>
        <w:t>JR Kaumbi</w:t>
      </w:r>
    </w:p>
    <w:p w:rsidR="006D5C87" w:rsidRDefault="006D5C87" w:rsidP="008A6B4F">
      <w:pPr>
        <w:spacing w:line="360" w:lineRule="auto"/>
        <w:jc w:val="both"/>
        <w:rPr>
          <w:rFonts w:ascii="Arial" w:eastAsia="MS Mincho" w:hAnsi="Arial" w:cs="Arial"/>
          <w:sz w:val="24"/>
          <w:szCs w:val="24"/>
        </w:rPr>
      </w:pPr>
      <w:r>
        <w:rPr>
          <w:rFonts w:ascii="Arial" w:eastAsia="MS Mincho" w:hAnsi="Arial" w:cs="Arial"/>
          <w:sz w:val="24"/>
          <w:szCs w:val="24"/>
        </w:rPr>
        <w:lastRenderedPageBreak/>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Of JR KAUMBI INC.</w:t>
      </w:r>
    </w:p>
    <w:p w:rsidR="00B92ABB" w:rsidRDefault="00B92ABB" w:rsidP="008A6B4F">
      <w:pPr>
        <w:spacing w:line="360" w:lineRule="auto"/>
        <w:jc w:val="both"/>
        <w:rPr>
          <w:rFonts w:ascii="Arial" w:eastAsia="MS Mincho" w:hAnsi="Arial" w:cs="Arial"/>
          <w:sz w:val="24"/>
          <w:szCs w:val="24"/>
        </w:rPr>
      </w:pPr>
    </w:p>
    <w:p w:rsidR="00A62170" w:rsidRPr="00155338" w:rsidRDefault="006059BA" w:rsidP="008A6B4F">
      <w:pPr>
        <w:spacing w:line="360" w:lineRule="auto"/>
        <w:jc w:val="both"/>
        <w:rPr>
          <w:rFonts w:ascii="Arial" w:hAnsi="Arial" w:cs="Arial"/>
          <w:sz w:val="24"/>
          <w:szCs w:val="24"/>
        </w:rPr>
      </w:pPr>
      <w:r>
        <w:rPr>
          <w:rFonts w:ascii="Arial" w:eastAsia="MS Mincho" w:hAnsi="Arial" w:cs="Arial"/>
          <w:sz w:val="24"/>
          <w:szCs w:val="24"/>
        </w:rPr>
        <w:t xml:space="preserve"> </w:t>
      </w:r>
    </w:p>
    <w:sectPr w:rsidR="00A62170" w:rsidRPr="00155338" w:rsidSect="00B142BE">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FB6" w:rsidRDefault="007F7FB6" w:rsidP="000C1D72">
      <w:pPr>
        <w:spacing w:after="0" w:line="240" w:lineRule="auto"/>
      </w:pPr>
      <w:r>
        <w:separator/>
      </w:r>
    </w:p>
  </w:endnote>
  <w:endnote w:type="continuationSeparator" w:id="0">
    <w:p w:rsidR="007F7FB6" w:rsidRDefault="007F7FB6" w:rsidP="000C1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FB6" w:rsidRDefault="007F7FB6" w:rsidP="000C1D72">
      <w:pPr>
        <w:spacing w:after="0" w:line="240" w:lineRule="auto"/>
      </w:pPr>
      <w:r>
        <w:separator/>
      </w:r>
    </w:p>
  </w:footnote>
  <w:footnote w:type="continuationSeparator" w:id="0">
    <w:p w:rsidR="007F7FB6" w:rsidRDefault="007F7FB6" w:rsidP="000C1D72">
      <w:pPr>
        <w:spacing w:after="0" w:line="240" w:lineRule="auto"/>
      </w:pPr>
      <w:r>
        <w:continuationSeparator/>
      </w:r>
    </w:p>
  </w:footnote>
  <w:footnote w:id="1">
    <w:p w:rsidR="00FB4837" w:rsidRPr="009A2458" w:rsidRDefault="00FB4837" w:rsidP="008E2EEE">
      <w:pPr>
        <w:pStyle w:val="FootnoteText"/>
        <w:tabs>
          <w:tab w:val="left" w:pos="360"/>
        </w:tabs>
        <w:rPr>
          <w:rFonts w:ascii="Arial" w:hAnsi="Arial" w:cs="Arial"/>
        </w:rPr>
      </w:pPr>
      <w:r w:rsidRPr="009A2458">
        <w:rPr>
          <w:rStyle w:val="FootnoteReference"/>
          <w:rFonts w:ascii="Arial" w:hAnsi="Arial" w:cs="Arial"/>
        </w:rPr>
        <w:footnoteRef/>
      </w:r>
      <w:r w:rsidRPr="009A2458">
        <w:rPr>
          <w:rFonts w:ascii="Arial" w:hAnsi="Arial" w:cs="Arial"/>
        </w:rPr>
        <w:t xml:space="preserve"> </w:t>
      </w:r>
      <w:r w:rsidRPr="009A2458">
        <w:rPr>
          <w:rFonts w:ascii="Arial" w:hAnsi="Arial" w:cs="Arial"/>
        </w:rPr>
        <w:tab/>
      </w:r>
      <w:r w:rsidRPr="009A2458">
        <w:rPr>
          <w:rFonts w:ascii="Arial" w:hAnsi="Arial" w:cs="Arial"/>
          <w:i/>
        </w:rPr>
        <w:t>Futeni Collection (Pty) Ltd v De Duine (Pty) Ltd</w:t>
      </w:r>
      <w:r w:rsidRPr="009A2458">
        <w:rPr>
          <w:rFonts w:ascii="Arial" w:hAnsi="Arial" w:cs="Arial"/>
        </w:rPr>
        <w:t xml:space="preserve"> 2015 (3) NR 829 (HC). At para [25].</w:t>
      </w:r>
    </w:p>
  </w:footnote>
  <w:footnote w:id="2">
    <w:p w:rsidR="00FB4837" w:rsidRDefault="00FB4837" w:rsidP="009A2458">
      <w:pPr>
        <w:pStyle w:val="FootnoteText"/>
        <w:tabs>
          <w:tab w:val="left" w:pos="360"/>
        </w:tabs>
      </w:pPr>
      <w:r w:rsidRPr="009A2458">
        <w:rPr>
          <w:rStyle w:val="FootnoteReference"/>
          <w:rFonts w:ascii="Arial" w:hAnsi="Arial" w:cs="Arial"/>
        </w:rPr>
        <w:footnoteRef/>
      </w:r>
      <w:r w:rsidRPr="009A2458">
        <w:rPr>
          <w:rFonts w:ascii="Arial" w:hAnsi="Arial" w:cs="Arial"/>
        </w:rPr>
        <w:t xml:space="preserve"> </w:t>
      </w:r>
      <w:r w:rsidRPr="009A2458">
        <w:rPr>
          <w:rFonts w:ascii="Arial" w:hAnsi="Arial" w:cs="Arial"/>
        </w:rPr>
        <w:tab/>
      </w:r>
      <w:r>
        <w:rPr>
          <w:rFonts w:ascii="Arial" w:hAnsi="Arial" w:cs="Arial"/>
        </w:rPr>
        <w:t>1990 NR 161 (HC)</w:t>
      </w:r>
      <w:r w:rsidRPr="009A2458">
        <w:rPr>
          <w:rFonts w:ascii="Arial" w:hAnsi="Arial" w:cs="Arial"/>
        </w:rPr>
        <w:t xml:space="preserve"> at 163J – 164A.</w:t>
      </w:r>
    </w:p>
  </w:footnote>
  <w:footnote w:id="3">
    <w:p w:rsidR="00FB4837" w:rsidRPr="009A2458" w:rsidRDefault="00FB4837" w:rsidP="009A2458">
      <w:pPr>
        <w:pStyle w:val="FootnoteText"/>
        <w:tabs>
          <w:tab w:val="left" w:pos="360"/>
        </w:tabs>
        <w:rPr>
          <w:rFonts w:ascii="Arial" w:hAnsi="Arial" w:cs="Arial"/>
        </w:rPr>
      </w:pPr>
      <w:r w:rsidRPr="009A2458">
        <w:rPr>
          <w:rStyle w:val="FootnoteReference"/>
          <w:rFonts w:ascii="Arial" w:hAnsi="Arial" w:cs="Arial"/>
        </w:rPr>
        <w:footnoteRef/>
      </w:r>
      <w:r w:rsidRPr="009A2458">
        <w:rPr>
          <w:rFonts w:ascii="Arial" w:hAnsi="Arial" w:cs="Arial"/>
        </w:rPr>
        <w:t xml:space="preserve"> </w:t>
      </w:r>
      <w:r w:rsidRPr="009A2458">
        <w:rPr>
          <w:rFonts w:ascii="Arial" w:hAnsi="Arial" w:cs="Arial"/>
        </w:rPr>
        <w:tab/>
      </w:r>
      <w:r w:rsidRPr="00B4135C">
        <w:rPr>
          <w:rFonts w:ascii="Arial" w:hAnsi="Arial" w:cs="Arial"/>
          <w:i/>
        </w:rPr>
        <w:t xml:space="preserve">Supra </w:t>
      </w:r>
      <w:r w:rsidRPr="009A2458">
        <w:rPr>
          <w:rFonts w:ascii="Arial" w:hAnsi="Arial" w:cs="Arial"/>
        </w:rPr>
        <w:t>foot note 1.</w:t>
      </w:r>
    </w:p>
  </w:footnote>
  <w:footnote w:id="4">
    <w:p w:rsidR="00FB4837" w:rsidRPr="00DD4D65" w:rsidRDefault="00FB4837" w:rsidP="00DD4D65">
      <w:pPr>
        <w:pStyle w:val="FootnoteText"/>
        <w:tabs>
          <w:tab w:val="left" w:pos="360"/>
        </w:tabs>
        <w:rPr>
          <w:rFonts w:ascii="Arial" w:hAnsi="Arial" w:cs="Arial"/>
        </w:rPr>
      </w:pPr>
      <w:r w:rsidRPr="00DD4D65">
        <w:rPr>
          <w:rStyle w:val="FootnoteReference"/>
          <w:rFonts w:ascii="Arial" w:hAnsi="Arial" w:cs="Arial"/>
        </w:rPr>
        <w:footnoteRef/>
      </w:r>
      <w:r w:rsidRPr="00DD4D65">
        <w:rPr>
          <w:rFonts w:ascii="Arial" w:hAnsi="Arial" w:cs="Arial"/>
        </w:rPr>
        <w:t xml:space="preserve"> </w:t>
      </w:r>
      <w:r w:rsidRPr="00DD4D65">
        <w:rPr>
          <w:rFonts w:ascii="Arial" w:hAnsi="Arial" w:cs="Arial"/>
        </w:rPr>
        <w:tab/>
      </w:r>
      <w:r w:rsidRPr="00DD4D65">
        <w:rPr>
          <w:rFonts w:ascii="Arial" w:eastAsia="MS Mincho" w:hAnsi="Arial" w:cs="Arial"/>
          <w:i/>
        </w:rPr>
        <w:t>Standard Bank Namibia Limited v Shipila 2</w:t>
      </w:r>
      <w:r w:rsidRPr="00DD4D65">
        <w:rPr>
          <w:rFonts w:ascii="Arial" w:eastAsia="MS Mincho" w:hAnsi="Arial" w:cs="Arial"/>
        </w:rPr>
        <w:t>016 (2) NR 476 HC.</w:t>
      </w:r>
    </w:p>
  </w:footnote>
  <w:footnote w:id="5">
    <w:p w:rsidR="00FB4837" w:rsidRPr="00C24FD7" w:rsidRDefault="00FB4837" w:rsidP="00B31EFE">
      <w:pPr>
        <w:pStyle w:val="FootnoteText"/>
        <w:tabs>
          <w:tab w:val="left" w:pos="360"/>
        </w:tabs>
        <w:rPr>
          <w:rFonts w:ascii="Arial" w:hAnsi="Arial" w:cs="Arial"/>
        </w:rPr>
      </w:pPr>
      <w:r w:rsidRPr="00C24FD7">
        <w:rPr>
          <w:rStyle w:val="FootnoteReference"/>
          <w:rFonts w:ascii="Arial" w:hAnsi="Arial" w:cs="Arial"/>
        </w:rPr>
        <w:footnoteRef/>
      </w:r>
      <w:r w:rsidRPr="00C24FD7">
        <w:rPr>
          <w:rFonts w:ascii="Arial" w:hAnsi="Arial" w:cs="Arial"/>
        </w:rPr>
        <w:t xml:space="preserve"> </w:t>
      </w:r>
      <w:r w:rsidRPr="00C24FD7">
        <w:rPr>
          <w:rFonts w:ascii="Arial" w:hAnsi="Arial" w:cs="Arial"/>
        </w:rPr>
        <w:tab/>
      </w:r>
      <w:r w:rsidRPr="00C24FD7">
        <w:rPr>
          <w:rFonts w:ascii="Arial" w:eastAsia="MS Mincho" w:hAnsi="Arial" w:cs="Arial"/>
          <w:i/>
        </w:rPr>
        <w:t>Jaftha v Schoeman and Others; Van Rooyen v Stoltz and Others</w:t>
      </w:r>
      <w:r>
        <w:rPr>
          <w:rFonts w:ascii="Arial" w:eastAsia="MS Mincho" w:hAnsi="Arial" w:cs="Arial"/>
        </w:rPr>
        <w:t xml:space="preserve"> </w:t>
      </w:r>
      <w:r w:rsidRPr="00C24FD7">
        <w:rPr>
          <w:rFonts w:ascii="Arial" w:eastAsia="MS Mincho" w:hAnsi="Arial" w:cs="Arial"/>
        </w:rPr>
        <w:t>2005 (2) SA 140 (CC)</w:t>
      </w:r>
      <w:r w:rsidR="007D7A46">
        <w:rPr>
          <w:rFonts w:ascii="Arial" w:eastAsia="MS Mincho"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982418"/>
      <w:docPartObj>
        <w:docPartGallery w:val="Page Numbers (Top of Page)"/>
        <w:docPartUnique/>
      </w:docPartObj>
    </w:sdtPr>
    <w:sdtEndPr>
      <w:rPr>
        <w:noProof/>
      </w:rPr>
    </w:sdtEndPr>
    <w:sdtContent>
      <w:p w:rsidR="00FB4837" w:rsidRDefault="00FB4837">
        <w:pPr>
          <w:pStyle w:val="Header"/>
          <w:jc w:val="right"/>
        </w:pPr>
        <w:r>
          <w:fldChar w:fldCharType="begin"/>
        </w:r>
        <w:r>
          <w:instrText xml:space="preserve"> PAGE   \* MERGEFORMAT </w:instrText>
        </w:r>
        <w:r>
          <w:fldChar w:fldCharType="separate"/>
        </w:r>
        <w:r w:rsidR="00836AB9">
          <w:rPr>
            <w:noProof/>
          </w:rPr>
          <w:t>2</w:t>
        </w:r>
        <w:r>
          <w:rPr>
            <w:noProof/>
          </w:rPr>
          <w:fldChar w:fldCharType="end"/>
        </w:r>
      </w:p>
    </w:sdtContent>
  </w:sdt>
  <w:p w:rsidR="00FB4837" w:rsidRDefault="00FB48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2ED4"/>
    <w:multiLevelType w:val="hybridMultilevel"/>
    <w:tmpl w:val="F7BEFEE8"/>
    <w:lvl w:ilvl="0" w:tplc="B6289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A0DAC"/>
    <w:multiLevelType w:val="hybridMultilevel"/>
    <w:tmpl w:val="52504234"/>
    <w:lvl w:ilvl="0" w:tplc="990AAE7A">
      <w:start w:val="1"/>
      <w:numFmt w:val="lowerRoman"/>
      <w:lvlText w:val="%1."/>
      <w:lvlJc w:val="righ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730BC"/>
    <w:multiLevelType w:val="hybridMultilevel"/>
    <w:tmpl w:val="64D269CC"/>
    <w:lvl w:ilvl="0" w:tplc="1F543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397434"/>
    <w:multiLevelType w:val="hybridMultilevel"/>
    <w:tmpl w:val="894EFB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3D629B0"/>
    <w:multiLevelType w:val="hybridMultilevel"/>
    <w:tmpl w:val="B7CA33D4"/>
    <w:lvl w:ilvl="0" w:tplc="AB402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0A4172"/>
    <w:multiLevelType w:val="hybridMultilevel"/>
    <w:tmpl w:val="793E9DA8"/>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D946E79"/>
    <w:multiLevelType w:val="hybridMultilevel"/>
    <w:tmpl w:val="83A253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5858BC"/>
    <w:multiLevelType w:val="hybridMultilevel"/>
    <w:tmpl w:val="AB26415E"/>
    <w:lvl w:ilvl="0" w:tplc="60AE8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685902"/>
    <w:multiLevelType w:val="hybridMultilevel"/>
    <w:tmpl w:val="DA766AEC"/>
    <w:lvl w:ilvl="0" w:tplc="9BFE06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3E4FC4"/>
    <w:multiLevelType w:val="hybridMultilevel"/>
    <w:tmpl w:val="D3026D14"/>
    <w:lvl w:ilvl="0" w:tplc="F00C8A9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370C83"/>
    <w:multiLevelType w:val="hybridMultilevel"/>
    <w:tmpl w:val="8112F2B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71279C"/>
    <w:multiLevelType w:val="hybridMultilevel"/>
    <w:tmpl w:val="A1D282D8"/>
    <w:lvl w:ilvl="0" w:tplc="04090017">
      <w:start w:val="1"/>
      <w:numFmt w:val="lowerLetter"/>
      <w:lvlText w:val="%1)"/>
      <w:lvlJc w:val="left"/>
      <w:pPr>
        <w:ind w:left="1440" w:hanging="360"/>
      </w:pPr>
    </w:lvl>
    <w:lvl w:ilvl="1" w:tplc="1CC412C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AD21D6"/>
    <w:multiLevelType w:val="hybridMultilevel"/>
    <w:tmpl w:val="90A23AA4"/>
    <w:lvl w:ilvl="0" w:tplc="37A8B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5560CA"/>
    <w:multiLevelType w:val="hybridMultilevel"/>
    <w:tmpl w:val="F418049C"/>
    <w:lvl w:ilvl="0" w:tplc="524C93C2">
      <w:start w:val="1"/>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4B35D5"/>
    <w:multiLevelType w:val="hybridMultilevel"/>
    <w:tmpl w:val="DDFC89A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CA62D4D"/>
    <w:multiLevelType w:val="hybridMultilevel"/>
    <w:tmpl w:val="48A41D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4"/>
  </w:num>
  <w:num w:numId="4">
    <w:abstractNumId w:val="3"/>
  </w:num>
  <w:num w:numId="5">
    <w:abstractNumId w:val="6"/>
  </w:num>
  <w:num w:numId="6">
    <w:abstractNumId w:val="0"/>
  </w:num>
  <w:num w:numId="7">
    <w:abstractNumId w:val="7"/>
  </w:num>
  <w:num w:numId="8">
    <w:abstractNumId w:val="2"/>
  </w:num>
  <w:num w:numId="9">
    <w:abstractNumId w:val="5"/>
  </w:num>
  <w:num w:numId="10">
    <w:abstractNumId w:val="15"/>
  </w:num>
  <w:num w:numId="11">
    <w:abstractNumId w:val="9"/>
  </w:num>
  <w:num w:numId="12">
    <w:abstractNumId w:val="10"/>
  </w:num>
  <w:num w:numId="13">
    <w:abstractNumId w:val="8"/>
  </w:num>
  <w:num w:numId="14">
    <w:abstractNumId w:val="12"/>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72"/>
    <w:rsid w:val="00031E9D"/>
    <w:rsid w:val="000569A9"/>
    <w:rsid w:val="0006719E"/>
    <w:rsid w:val="0008321D"/>
    <w:rsid w:val="00095F75"/>
    <w:rsid w:val="000968A8"/>
    <w:rsid w:val="000B13B6"/>
    <w:rsid w:val="000C1101"/>
    <w:rsid w:val="000C1D72"/>
    <w:rsid w:val="000C6A2F"/>
    <w:rsid w:val="000F0B93"/>
    <w:rsid w:val="000F47F2"/>
    <w:rsid w:val="000F5595"/>
    <w:rsid w:val="000F6215"/>
    <w:rsid w:val="000F701B"/>
    <w:rsid w:val="00121A4C"/>
    <w:rsid w:val="00131579"/>
    <w:rsid w:val="0015375D"/>
    <w:rsid w:val="00155338"/>
    <w:rsid w:val="00162F15"/>
    <w:rsid w:val="00187511"/>
    <w:rsid w:val="00191995"/>
    <w:rsid w:val="001A64DD"/>
    <w:rsid w:val="001D0817"/>
    <w:rsid w:val="001D6B39"/>
    <w:rsid w:val="0020015D"/>
    <w:rsid w:val="00247499"/>
    <w:rsid w:val="002543E0"/>
    <w:rsid w:val="0026571D"/>
    <w:rsid w:val="00282F3E"/>
    <w:rsid w:val="00295076"/>
    <w:rsid w:val="002A6F1E"/>
    <w:rsid w:val="002C3338"/>
    <w:rsid w:val="002D7B11"/>
    <w:rsid w:val="002E7467"/>
    <w:rsid w:val="002F2D7C"/>
    <w:rsid w:val="003159CD"/>
    <w:rsid w:val="00332ADA"/>
    <w:rsid w:val="0035153F"/>
    <w:rsid w:val="003648CF"/>
    <w:rsid w:val="003718E5"/>
    <w:rsid w:val="003956E9"/>
    <w:rsid w:val="003C271A"/>
    <w:rsid w:val="003C49CD"/>
    <w:rsid w:val="003E5F36"/>
    <w:rsid w:val="003F2339"/>
    <w:rsid w:val="003F7BC1"/>
    <w:rsid w:val="004023A8"/>
    <w:rsid w:val="004027B0"/>
    <w:rsid w:val="0043021D"/>
    <w:rsid w:val="0043743B"/>
    <w:rsid w:val="004564FA"/>
    <w:rsid w:val="004A1032"/>
    <w:rsid w:val="004B04B6"/>
    <w:rsid w:val="00511B91"/>
    <w:rsid w:val="00517B4F"/>
    <w:rsid w:val="00517F19"/>
    <w:rsid w:val="00521D7B"/>
    <w:rsid w:val="00523F99"/>
    <w:rsid w:val="00527712"/>
    <w:rsid w:val="00564903"/>
    <w:rsid w:val="00566C75"/>
    <w:rsid w:val="00571964"/>
    <w:rsid w:val="0059420E"/>
    <w:rsid w:val="00597876"/>
    <w:rsid w:val="005B478F"/>
    <w:rsid w:val="005C0FC5"/>
    <w:rsid w:val="005C5595"/>
    <w:rsid w:val="005D0D65"/>
    <w:rsid w:val="005D148F"/>
    <w:rsid w:val="005E5D8D"/>
    <w:rsid w:val="005F0F88"/>
    <w:rsid w:val="005F2B8B"/>
    <w:rsid w:val="005F35E4"/>
    <w:rsid w:val="005F6B11"/>
    <w:rsid w:val="006059BA"/>
    <w:rsid w:val="00606D9F"/>
    <w:rsid w:val="006305A0"/>
    <w:rsid w:val="00644188"/>
    <w:rsid w:val="00675440"/>
    <w:rsid w:val="00695C5D"/>
    <w:rsid w:val="006D5C87"/>
    <w:rsid w:val="00725BEB"/>
    <w:rsid w:val="007355C3"/>
    <w:rsid w:val="0076641E"/>
    <w:rsid w:val="00782A8B"/>
    <w:rsid w:val="007A2A26"/>
    <w:rsid w:val="007B0D6B"/>
    <w:rsid w:val="007D7A46"/>
    <w:rsid w:val="007F4774"/>
    <w:rsid w:val="007F4D71"/>
    <w:rsid w:val="007F7FB6"/>
    <w:rsid w:val="00801362"/>
    <w:rsid w:val="00802D72"/>
    <w:rsid w:val="00806A2C"/>
    <w:rsid w:val="008077E6"/>
    <w:rsid w:val="0082487D"/>
    <w:rsid w:val="00826A72"/>
    <w:rsid w:val="00833C85"/>
    <w:rsid w:val="00836AB9"/>
    <w:rsid w:val="00842556"/>
    <w:rsid w:val="00867074"/>
    <w:rsid w:val="00867D0C"/>
    <w:rsid w:val="00873DE1"/>
    <w:rsid w:val="00887822"/>
    <w:rsid w:val="00896F02"/>
    <w:rsid w:val="008A35D6"/>
    <w:rsid w:val="008A6B4F"/>
    <w:rsid w:val="008B10AF"/>
    <w:rsid w:val="008E2EEE"/>
    <w:rsid w:val="008E4746"/>
    <w:rsid w:val="00975FC0"/>
    <w:rsid w:val="00984B19"/>
    <w:rsid w:val="00985B5A"/>
    <w:rsid w:val="009917DD"/>
    <w:rsid w:val="009A2458"/>
    <w:rsid w:val="009B44EA"/>
    <w:rsid w:val="009E3289"/>
    <w:rsid w:val="009E6785"/>
    <w:rsid w:val="009F19EB"/>
    <w:rsid w:val="00A01CA3"/>
    <w:rsid w:val="00A36FF1"/>
    <w:rsid w:val="00A62170"/>
    <w:rsid w:val="00A6269B"/>
    <w:rsid w:val="00A86016"/>
    <w:rsid w:val="00AD6C8C"/>
    <w:rsid w:val="00B142BE"/>
    <w:rsid w:val="00B31EFE"/>
    <w:rsid w:val="00B4135C"/>
    <w:rsid w:val="00B62536"/>
    <w:rsid w:val="00B642A9"/>
    <w:rsid w:val="00B64587"/>
    <w:rsid w:val="00B774EF"/>
    <w:rsid w:val="00B77C43"/>
    <w:rsid w:val="00B802D8"/>
    <w:rsid w:val="00B853B1"/>
    <w:rsid w:val="00B8569A"/>
    <w:rsid w:val="00B85A11"/>
    <w:rsid w:val="00B92ABB"/>
    <w:rsid w:val="00C01944"/>
    <w:rsid w:val="00C11FFD"/>
    <w:rsid w:val="00C24FD7"/>
    <w:rsid w:val="00C30F08"/>
    <w:rsid w:val="00C46A86"/>
    <w:rsid w:val="00C66226"/>
    <w:rsid w:val="00C85E8F"/>
    <w:rsid w:val="00C97901"/>
    <w:rsid w:val="00CA2E53"/>
    <w:rsid w:val="00CA69C1"/>
    <w:rsid w:val="00CA7041"/>
    <w:rsid w:val="00CB7C36"/>
    <w:rsid w:val="00CC523A"/>
    <w:rsid w:val="00CF5397"/>
    <w:rsid w:val="00D03BF1"/>
    <w:rsid w:val="00D73956"/>
    <w:rsid w:val="00D941F0"/>
    <w:rsid w:val="00DA69EE"/>
    <w:rsid w:val="00DB441B"/>
    <w:rsid w:val="00DD4D65"/>
    <w:rsid w:val="00DE189F"/>
    <w:rsid w:val="00E012A2"/>
    <w:rsid w:val="00E72E83"/>
    <w:rsid w:val="00E77BEB"/>
    <w:rsid w:val="00EB4314"/>
    <w:rsid w:val="00EE3044"/>
    <w:rsid w:val="00EF1901"/>
    <w:rsid w:val="00F02D13"/>
    <w:rsid w:val="00F1660B"/>
    <w:rsid w:val="00F551FA"/>
    <w:rsid w:val="00F7454B"/>
    <w:rsid w:val="00F92EA4"/>
    <w:rsid w:val="00FA6C82"/>
    <w:rsid w:val="00FB4837"/>
    <w:rsid w:val="00FC197D"/>
    <w:rsid w:val="00FC2BAD"/>
    <w:rsid w:val="00FE5177"/>
    <w:rsid w:val="00FF2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062EE-1652-4917-A213-D3504EC3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D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C1D72"/>
    <w:pPr>
      <w:spacing w:after="0" w:line="240" w:lineRule="auto"/>
    </w:pPr>
    <w:rPr>
      <w:sz w:val="20"/>
      <w:szCs w:val="20"/>
    </w:rPr>
  </w:style>
  <w:style w:type="character" w:customStyle="1" w:styleId="FootnoteTextChar">
    <w:name w:val="Footnote Text Char"/>
    <w:basedOn w:val="DefaultParagraphFont"/>
    <w:link w:val="FootnoteText"/>
    <w:uiPriority w:val="99"/>
    <w:rsid w:val="000C1D72"/>
    <w:rPr>
      <w:sz w:val="20"/>
      <w:szCs w:val="20"/>
    </w:rPr>
  </w:style>
  <w:style w:type="character" w:styleId="FootnoteReference">
    <w:name w:val="footnote reference"/>
    <w:basedOn w:val="DefaultParagraphFont"/>
    <w:uiPriority w:val="99"/>
    <w:unhideWhenUsed/>
    <w:rsid w:val="000C1D72"/>
    <w:rPr>
      <w:vertAlign w:val="superscript"/>
    </w:rPr>
  </w:style>
  <w:style w:type="paragraph" w:styleId="Header">
    <w:name w:val="header"/>
    <w:basedOn w:val="Normal"/>
    <w:link w:val="HeaderChar"/>
    <w:uiPriority w:val="99"/>
    <w:unhideWhenUsed/>
    <w:rsid w:val="00B14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2BE"/>
  </w:style>
  <w:style w:type="paragraph" w:styleId="Footer">
    <w:name w:val="footer"/>
    <w:basedOn w:val="Normal"/>
    <w:link w:val="FooterChar"/>
    <w:uiPriority w:val="99"/>
    <w:unhideWhenUsed/>
    <w:rsid w:val="00B14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2BE"/>
  </w:style>
  <w:style w:type="paragraph" w:styleId="ListParagraph">
    <w:name w:val="List Paragraph"/>
    <w:basedOn w:val="Normal"/>
    <w:uiPriority w:val="34"/>
    <w:qFormat/>
    <w:rsid w:val="004564FA"/>
    <w:pPr>
      <w:ind w:left="720"/>
      <w:contextualSpacing/>
    </w:pPr>
  </w:style>
  <w:style w:type="paragraph" w:styleId="NormalWeb">
    <w:name w:val="Normal (Web)"/>
    <w:basedOn w:val="Normal"/>
    <w:uiPriority w:val="99"/>
    <w:unhideWhenUsed/>
    <w:rsid w:val="00B8569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7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D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496669">
      <w:bodyDiv w:val="1"/>
      <w:marLeft w:val="0"/>
      <w:marRight w:val="0"/>
      <w:marTop w:val="0"/>
      <w:marBottom w:val="0"/>
      <w:divBdr>
        <w:top w:val="none" w:sz="0" w:space="0" w:color="auto"/>
        <w:left w:val="none" w:sz="0" w:space="0" w:color="auto"/>
        <w:bottom w:val="none" w:sz="0" w:space="0" w:color="auto"/>
        <w:right w:val="none" w:sz="0" w:space="0" w:color="auto"/>
      </w:divBdr>
    </w:div>
    <w:div w:id="139277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2019-06-24T18:30:00+00:00</Judgment_x0020_Date>
    <Year xmlns="c1afb1bd-f2fb-40fd-9abb-aea55b4d7662">2019</Year>
  </documentManagement>
</p:properties>
</file>

<file path=customXml/itemProps1.xml><?xml version="1.0" encoding="utf-8"?>
<ds:datastoreItem xmlns:ds="http://schemas.openxmlformats.org/officeDocument/2006/customXml" ds:itemID="{291C780F-A1B1-4F20-BEB4-1F2BAA9F36A0}"/>
</file>

<file path=customXml/itemProps2.xml><?xml version="1.0" encoding="utf-8"?>
<ds:datastoreItem xmlns:ds="http://schemas.openxmlformats.org/officeDocument/2006/customXml" ds:itemID="{B8890F0A-5E32-4A36-918B-E451C79FE644}"/>
</file>

<file path=customXml/itemProps3.xml><?xml version="1.0" encoding="utf-8"?>
<ds:datastoreItem xmlns:ds="http://schemas.openxmlformats.org/officeDocument/2006/customXml" ds:itemID="{09182B04-EE19-4D62-9005-C7F9950C87E3}"/>
</file>

<file path=customXml/itemProps4.xml><?xml version="1.0" encoding="utf-8"?>
<ds:datastoreItem xmlns:ds="http://schemas.openxmlformats.org/officeDocument/2006/customXml" ds:itemID="{888353DE-F2C9-4CC7-94D6-190D0C444BB0}"/>
</file>

<file path=docProps/app.xml><?xml version="1.0" encoding="utf-8"?>
<Properties xmlns="http://schemas.openxmlformats.org/officeDocument/2006/extended-properties" xmlns:vt="http://schemas.openxmlformats.org/officeDocument/2006/docPropsVTypes">
  <Template>Normal</Template>
  <TotalTime>1</TotalTime>
  <Pages>12</Pages>
  <Words>2723</Words>
  <Characters>15523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Helvi Hilifilwa</dc:creator>
  <cp:keywords/>
  <dc:description/>
  <cp:lastModifiedBy>Lotta N. Ambunda</cp:lastModifiedBy>
  <cp:revision>2</cp:revision>
  <cp:lastPrinted>2019-06-25T13:17:00Z</cp:lastPrinted>
  <dcterms:created xsi:type="dcterms:W3CDTF">2019-06-26T06:45:00Z</dcterms:created>
  <dcterms:modified xsi:type="dcterms:W3CDTF">2019-06-26T06:45:00Z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