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72BD8" w14:textId="77777777" w:rsidR="000153DB" w:rsidRDefault="000153DB" w:rsidP="000153DB">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p>
    <w:p w14:paraId="1379B285" w14:textId="77777777" w:rsidR="000153DB" w:rsidRPr="006E026B" w:rsidRDefault="000153DB" w:rsidP="000153DB">
      <w:pPr>
        <w:tabs>
          <w:tab w:val="center" w:pos="4513"/>
          <w:tab w:val="left" w:pos="8220"/>
        </w:tabs>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03CF67C" wp14:editId="1DC8ED69">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AE54A8B" w14:textId="77777777" w:rsidR="00643EDF" w:rsidRPr="00483760" w:rsidRDefault="00643EDF" w:rsidP="000153D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F67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AE54A8B" w14:textId="77777777" w:rsidR="00643EDF" w:rsidRPr="00483760" w:rsidRDefault="00643EDF" w:rsidP="000153DB">
                      <w:pPr>
                        <w:jc w:val="center"/>
                        <w:rPr>
                          <w:b/>
                        </w:rPr>
                      </w:pPr>
                    </w:p>
                  </w:txbxContent>
                </v:textbox>
              </v:shape>
            </w:pict>
          </mc:Fallback>
        </mc:AlternateContent>
      </w:r>
      <w:r w:rsidRPr="006E026B">
        <w:rPr>
          <w:rFonts w:ascii="Arial" w:hAnsi="Arial" w:cs="Arial"/>
          <w:b/>
          <w:sz w:val="24"/>
          <w:szCs w:val="24"/>
        </w:rPr>
        <w:t>REPUBLIC OF NAMIBIA</w:t>
      </w:r>
    </w:p>
    <w:p w14:paraId="3EC262DF" w14:textId="77777777" w:rsidR="000153DB" w:rsidRDefault="000153DB" w:rsidP="000153DB">
      <w:pPr>
        <w:spacing w:after="0" w:line="360" w:lineRule="auto"/>
        <w:jc w:val="center"/>
        <w:rPr>
          <w:b/>
          <w:sz w:val="32"/>
          <w:szCs w:val="32"/>
        </w:rPr>
      </w:pPr>
      <w:r>
        <w:rPr>
          <w:b/>
          <w:noProof/>
          <w:sz w:val="32"/>
          <w:szCs w:val="32"/>
          <w:lang w:val="en-US"/>
        </w:rPr>
        <w:drawing>
          <wp:inline distT="0" distB="0" distL="0" distR="0" wp14:anchorId="40489103" wp14:editId="3AEFFEF3">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4257D496" w14:textId="77777777" w:rsidR="000153DB" w:rsidRDefault="000153DB" w:rsidP="000153DB">
      <w:pPr>
        <w:spacing w:after="0" w:line="360" w:lineRule="auto"/>
        <w:jc w:val="center"/>
        <w:rPr>
          <w:rFonts w:ascii="Arial" w:hAnsi="Arial" w:cs="Arial"/>
          <w:b/>
          <w:sz w:val="28"/>
          <w:szCs w:val="32"/>
        </w:rPr>
      </w:pPr>
    </w:p>
    <w:p w14:paraId="3E835496" w14:textId="77777777" w:rsidR="000153DB" w:rsidRPr="006E026B" w:rsidRDefault="000153DB" w:rsidP="000153DB">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4F50CD04" w14:textId="77777777" w:rsidR="000153DB" w:rsidRDefault="000153DB" w:rsidP="000153DB">
      <w:pPr>
        <w:spacing w:after="0" w:line="360" w:lineRule="auto"/>
        <w:jc w:val="center"/>
        <w:rPr>
          <w:rFonts w:ascii="Arial" w:hAnsi="Arial" w:cs="Arial"/>
          <w:b/>
          <w:sz w:val="24"/>
          <w:szCs w:val="24"/>
        </w:rPr>
      </w:pPr>
    </w:p>
    <w:p w14:paraId="69D5FA14" w14:textId="77777777" w:rsidR="000153DB" w:rsidRDefault="000153DB" w:rsidP="000153DB">
      <w:pPr>
        <w:spacing w:after="0" w:line="360" w:lineRule="auto"/>
        <w:jc w:val="center"/>
        <w:rPr>
          <w:rFonts w:ascii="Arial" w:hAnsi="Arial" w:cs="Arial"/>
          <w:b/>
          <w:sz w:val="24"/>
          <w:szCs w:val="24"/>
        </w:rPr>
      </w:pPr>
      <w:r>
        <w:rPr>
          <w:rFonts w:ascii="Arial" w:hAnsi="Arial" w:cs="Arial"/>
          <w:b/>
          <w:sz w:val="24"/>
          <w:szCs w:val="24"/>
        </w:rPr>
        <w:t>JUDGMENT</w:t>
      </w:r>
    </w:p>
    <w:p w14:paraId="50E7B31F" w14:textId="77777777" w:rsidR="000153DB" w:rsidRPr="001B7E1F" w:rsidRDefault="000153DB" w:rsidP="000153DB">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14:paraId="63CF8EA4" w14:textId="77777777" w:rsidR="000153DB" w:rsidRPr="006E026B" w:rsidRDefault="000153DB" w:rsidP="000153DB">
      <w:pPr>
        <w:spacing w:after="0" w:line="360" w:lineRule="auto"/>
        <w:rPr>
          <w:rFonts w:ascii="Arial" w:hAnsi="Arial" w:cs="Arial"/>
          <w:sz w:val="24"/>
          <w:szCs w:val="24"/>
        </w:rPr>
      </w:pPr>
    </w:p>
    <w:p w14:paraId="2CA01660" w14:textId="57DC759E" w:rsidR="000153DB" w:rsidRPr="00F601C4" w:rsidRDefault="00F54623" w:rsidP="000153DB">
      <w:pPr>
        <w:spacing w:after="0" w:line="360" w:lineRule="auto"/>
        <w:jc w:val="right"/>
        <w:rPr>
          <w:rFonts w:ascii="Arial" w:hAnsi="Arial" w:cs="Arial"/>
          <w:b/>
          <w:sz w:val="24"/>
          <w:szCs w:val="24"/>
        </w:rPr>
      </w:pPr>
      <w:r>
        <w:rPr>
          <w:rFonts w:ascii="Arial" w:hAnsi="Arial" w:cs="Arial"/>
          <w:sz w:val="24"/>
          <w:szCs w:val="24"/>
        </w:rPr>
        <w:t xml:space="preserve">                              </w:t>
      </w:r>
      <w:r w:rsidR="00BA415D">
        <w:rPr>
          <w:rFonts w:ascii="Arial" w:hAnsi="Arial" w:cs="Arial"/>
          <w:sz w:val="24"/>
          <w:szCs w:val="24"/>
        </w:rPr>
        <w:t xml:space="preserve">                               </w:t>
      </w:r>
      <w:r w:rsidR="00BA415D">
        <w:rPr>
          <w:rFonts w:ascii="Arial" w:hAnsi="Arial" w:cs="Arial"/>
          <w:b/>
          <w:sz w:val="24"/>
          <w:szCs w:val="24"/>
        </w:rPr>
        <w:t>Case N</w:t>
      </w:r>
      <w:r w:rsidR="000153DB" w:rsidRPr="00EC28F2">
        <w:rPr>
          <w:rFonts w:ascii="Arial" w:hAnsi="Arial" w:cs="Arial"/>
          <w:b/>
          <w:sz w:val="24"/>
          <w:szCs w:val="24"/>
        </w:rPr>
        <w:t>o:</w:t>
      </w:r>
      <w:r w:rsidRPr="00EC28F2">
        <w:rPr>
          <w:rFonts w:ascii="Arial" w:hAnsi="Arial" w:cs="Arial"/>
          <w:b/>
          <w:sz w:val="24"/>
          <w:szCs w:val="24"/>
        </w:rPr>
        <w:t xml:space="preserve"> HC-MD-CIV-ACT-OTH-2017/02151</w:t>
      </w:r>
    </w:p>
    <w:p w14:paraId="148730D4" w14:textId="77777777" w:rsidR="000153DB" w:rsidRPr="00E03391" w:rsidRDefault="000153DB" w:rsidP="000153DB">
      <w:pPr>
        <w:spacing w:after="0" w:line="360" w:lineRule="auto"/>
        <w:rPr>
          <w:rFonts w:ascii="Arial" w:hAnsi="Arial" w:cs="Arial"/>
          <w:sz w:val="24"/>
          <w:szCs w:val="24"/>
        </w:rPr>
      </w:pPr>
      <w:r w:rsidRPr="00E03391">
        <w:rPr>
          <w:rFonts w:ascii="Arial" w:hAnsi="Arial" w:cs="Arial"/>
          <w:sz w:val="24"/>
          <w:szCs w:val="24"/>
        </w:rPr>
        <w:t>In the matter between:</w:t>
      </w:r>
    </w:p>
    <w:p w14:paraId="2168E13A" w14:textId="77777777" w:rsidR="000153DB" w:rsidRPr="00E03391" w:rsidRDefault="000153DB" w:rsidP="000153DB">
      <w:pPr>
        <w:spacing w:after="0" w:line="360" w:lineRule="auto"/>
        <w:rPr>
          <w:rFonts w:ascii="Arial" w:hAnsi="Arial" w:cs="Arial"/>
          <w:sz w:val="24"/>
          <w:szCs w:val="24"/>
        </w:rPr>
      </w:pPr>
    </w:p>
    <w:p w14:paraId="4F9527FD" w14:textId="77777777" w:rsidR="000153DB" w:rsidRDefault="00C7330C" w:rsidP="000153DB">
      <w:pPr>
        <w:tabs>
          <w:tab w:val="right" w:pos="9356"/>
        </w:tabs>
        <w:spacing w:after="0" w:line="360" w:lineRule="auto"/>
        <w:rPr>
          <w:rFonts w:ascii="Arial" w:hAnsi="Arial" w:cs="Arial"/>
          <w:b/>
          <w:sz w:val="24"/>
          <w:szCs w:val="24"/>
        </w:rPr>
      </w:pPr>
      <w:r>
        <w:rPr>
          <w:rFonts w:ascii="Arial" w:hAnsi="Arial" w:cs="Arial"/>
          <w:b/>
          <w:sz w:val="24"/>
          <w:szCs w:val="24"/>
        </w:rPr>
        <w:t>AVELINUS ELIA</w:t>
      </w:r>
      <w:r w:rsidR="000153DB">
        <w:rPr>
          <w:rFonts w:ascii="Arial" w:hAnsi="Arial" w:cs="Arial"/>
          <w:b/>
          <w:sz w:val="24"/>
          <w:szCs w:val="24"/>
        </w:rPr>
        <w:tab/>
        <w:t>PLAINTIFF</w:t>
      </w:r>
      <w:r w:rsidR="000153DB" w:rsidRPr="00E03391">
        <w:rPr>
          <w:rFonts w:ascii="Arial" w:hAnsi="Arial" w:cs="Arial"/>
          <w:b/>
          <w:sz w:val="24"/>
          <w:szCs w:val="24"/>
        </w:rPr>
        <w:t xml:space="preserve">                                                </w:t>
      </w:r>
      <w:r w:rsidR="000153DB">
        <w:rPr>
          <w:rFonts w:ascii="Arial" w:hAnsi="Arial" w:cs="Arial"/>
          <w:b/>
          <w:sz w:val="24"/>
          <w:szCs w:val="24"/>
        </w:rPr>
        <w:t xml:space="preserve">     </w:t>
      </w:r>
      <w:r w:rsidR="000153DB" w:rsidRPr="00E03391">
        <w:rPr>
          <w:rFonts w:ascii="Arial" w:hAnsi="Arial" w:cs="Arial"/>
          <w:b/>
          <w:sz w:val="24"/>
          <w:szCs w:val="24"/>
        </w:rPr>
        <w:t xml:space="preserve"> </w:t>
      </w:r>
    </w:p>
    <w:p w14:paraId="282BFE69" w14:textId="77777777" w:rsidR="000153DB" w:rsidRPr="00E03391" w:rsidRDefault="000153DB" w:rsidP="000153DB">
      <w:pPr>
        <w:tabs>
          <w:tab w:val="right" w:pos="9356"/>
        </w:tabs>
        <w:spacing w:after="0" w:line="360" w:lineRule="auto"/>
        <w:rPr>
          <w:rFonts w:ascii="Arial" w:hAnsi="Arial" w:cs="Arial"/>
          <w:b/>
          <w:sz w:val="24"/>
          <w:szCs w:val="24"/>
        </w:rPr>
      </w:pPr>
    </w:p>
    <w:p w14:paraId="3ACBD265" w14:textId="77777777" w:rsidR="000153DB" w:rsidRPr="00E03391" w:rsidRDefault="000153DB" w:rsidP="000153DB">
      <w:pPr>
        <w:spacing w:after="0" w:line="360" w:lineRule="auto"/>
        <w:rPr>
          <w:rFonts w:ascii="Arial" w:hAnsi="Arial" w:cs="Arial"/>
          <w:sz w:val="24"/>
          <w:szCs w:val="24"/>
        </w:rPr>
      </w:pPr>
      <w:r w:rsidRPr="00E03391">
        <w:rPr>
          <w:rFonts w:ascii="Arial" w:hAnsi="Arial" w:cs="Arial"/>
          <w:sz w:val="24"/>
          <w:szCs w:val="24"/>
        </w:rPr>
        <w:t>and</w:t>
      </w:r>
    </w:p>
    <w:p w14:paraId="385334C6" w14:textId="77777777" w:rsidR="000153DB" w:rsidRPr="00E03391" w:rsidRDefault="000153DB" w:rsidP="000153DB">
      <w:pPr>
        <w:spacing w:after="0" w:line="360" w:lineRule="auto"/>
        <w:rPr>
          <w:rFonts w:ascii="Arial" w:hAnsi="Arial" w:cs="Arial"/>
          <w:b/>
          <w:sz w:val="24"/>
          <w:szCs w:val="24"/>
        </w:rPr>
      </w:pPr>
    </w:p>
    <w:p w14:paraId="6B1C5FBA" w14:textId="77777777" w:rsidR="000153DB" w:rsidRDefault="00C7330C" w:rsidP="000153DB">
      <w:pPr>
        <w:tabs>
          <w:tab w:val="right" w:pos="9356"/>
        </w:tabs>
        <w:spacing w:after="0" w:line="360" w:lineRule="auto"/>
        <w:rPr>
          <w:rFonts w:ascii="Arial" w:hAnsi="Arial" w:cs="Arial"/>
          <w:b/>
          <w:sz w:val="24"/>
          <w:szCs w:val="24"/>
        </w:rPr>
      </w:pPr>
      <w:r>
        <w:rPr>
          <w:rFonts w:ascii="Arial" w:hAnsi="Arial" w:cs="Arial"/>
          <w:b/>
          <w:sz w:val="24"/>
          <w:szCs w:val="24"/>
        </w:rPr>
        <w:t xml:space="preserve">MINISTER OF SAFETY AND SECURITY </w:t>
      </w:r>
      <w:r w:rsidR="000153DB">
        <w:rPr>
          <w:rFonts w:ascii="Arial" w:hAnsi="Arial" w:cs="Arial"/>
          <w:b/>
          <w:sz w:val="24"/>
          <w:szCs w:val="24"/>
        </w:rPr>
        <w:tab/>
      </w:r>
      <w:r>
        <w:rPr>
          <w:rFonts w:ascii="Arial" w:hAnsi="Arial" w:cs="Arial"/>
          <w:b/>
          <w:sz w:val="24"/>
          <w:szCs w:val="24"/>
        </w:rPr>
        <w:t>1</w:t>
      </w:r>
      <w:r w:rsidRPr="00C7330C">
        <w:rPr>
          <w:rFonts w:ascii="Arial" w:hAnsi="Arial" w:cs="Arial"/>
          <w:b/>
          <w:sz w:val="24"/>
          <w:szCs w:val="24"/>
          <w:vertAlign w:val="superscript"/>
        </w:rPr>
        <w:t>ST</w:t>
      </w:r>
      <w:r>
        <w:rPr>
          <w:rFonts w:ascii="Arial" w:hAnsi="Arial" w:cs="Arial"/>
          <w:b/>
          <w:sz w:val="24"/>
          <w:szCs w:val="24"/>
        </w:rPr>
        <w:t xml:space="preserve"> </w:t>
      </w:r>
      <w:r w:rsidR="000153DB">
        <w:rPr>
          <w:rFonts w:ascii="Arial" w:hAnsi="Arial" w:cs="Arial"/>
          <w:b/>
          <w:sz w:val="24"/>
          <w:szCs w:val="24"/>
        </w:rPr>
        <w:t>DEFENDANT</w:t>
      </w:r>
    </w:p>
    <w:p w14:paraId="73599C33" w14:textId="77777777" w:rsidR="000153DB" w:rsidRDefault="00C7330C" w:rsidP="00EA07E5">
      <w:pPr>
        <w:tabs>
          <w:tab w:val="right" w:pos="9356"/>
        </w:tabs>
        <w:spacing w:after="0" w:line="240" w:lineRule="auto"/>
        <w:rPr>
          <w:rFonts w:ascii="Arial" w:hAnsi="Arial" w:cs="Arial"/>
          <w:b/>
          <w:sz w:val="24"/>
          <w:szCs w:val="24"/>
        </w:rPr>
      </w:pPr>
      <w:r>
        <w:rPr>
          <w:rFonts w:ascii="Arial" w:hAnsi="Arial" w:cs="Arial"/>
          <w:b/>
          <w:sz w:val="24"/>
          <w:szCs w:val="24"/>
        </w:rPr>
        <w:t xml:space="preserve">COMMISSIONER GENERAL OF THE </w:t>
      </w:r>
    </w:p>
    <w:p w14:paraId="4FCA3947" w14:textId="77777777" w:rsidR="00C7330C" w:rsidRDefault="00C7330C" w:rsidP="00EA07E5">
      <w:pPr>
        <w:tabs>
          <w:tab w:val="right" w:pos="9356"/>
        </w:tabs>
        <w:spacing w:after="0" w:line="360" w:lineRule="auto"/>
        <w:rPr>
          <w:rFonts w:ascii="Arial" w:hAnsi="Arial" w:cs="Arial"/>
          <w:b/>
          <w:sz w:val="24"/>
          <w:szCs w:val="24"/>
        </w:rPr>
      </w:pPr>
      <w:r>
        <w:rPr>
          <w:rFonts w:ascii="Arial" w:hAnsi="Arial" w:cs="Arial"/>
          <w:b/>
          <w:sz w:val="24"/>
          <w:szCs w:val="24"/>
        </w:rPr>
        <w:t>NAMIBIAN CORRECTIONAL SERVICE</w:t>
      </w:r>
      <w:r>
        <w:rPr>
          <w:rFonts w:ascii="Arial" w:hAnsi="Arial" w:cs="Arial"/>
          <w:b/>
          <w:sz w:val="24"/>
          <w:szCs w:val="24"/>
        </w:rPr>
        <w:tab/>
        <w:t>2</w:t>
      </w:r>
      <w:r w:rsidRPr="00C7330C">
        <w:rPr>
          <w:rFonts w:ascii="Arial" w:hAnsi="Arial" w:cs="Arial"/>
          <w:b/>
          <w:sz w:val="24"/>
          <w:szCs w:val="24"/>
          <w:vertAlign w:val="superscript"/>
        </w:rPr>
        <w:t>ND</w:t>
      </w:r>
      <w:r>
        <w:rPr>
          <w:rFonts w:ascii="Arial" w:hAnsi="Arial" w:cs="Arial"/>
          <w:b/>
          <w:sz w:val="24"/>
          <w:szCs w:val="24"/>
        </w:rPr>
        <w:t xml:space="preserve"> DEFENDANT</w:t>
      </w:r>
    </w:p>
    <w:p w14:paraId="67BB46A9" w14:textId="77777777" w:rsidR="00C7330C" w:rsidRDefault="00C7330C" w:rsidP="00EA07E5">
      <w:pPr>
        <w:tabs>
          <w:tab w:val="right" w:pos="9356"/>
        </w:tabs>
        <w:spacing w:after="0" w:line="240" w:lineRule="auto"/>
        <w:rPr>
          <w:rFonts w:ascii="Arial" w:hAnsi="Arial" w:cs="Arial"/>
          <w:b/>
          <w:sz w:val="24"/>
          <w:szCs w:val="24"/>
        </w:rPr>
      </w:pPr>
      <w:r>
        <w:rPr>
          <w:rFonts w:ascii="Arial" w:hAnsi="Arial" w:cs="Arial"/>
          <w:b/>
          <w:sz w:val="24"/>
          <w:szCs w:val="24"/>
        </w:rPr>
        <w:t>SENIOR SUPERINTENDENT OF THE</w:t>
      </w:r>
    </w:p>
    <w:p w14:paraId="1692AB92" w14:textId="77777777" w:rsidR="00C7330C" w:rsidRDefault="00C7330C" w:rsidP="00EA07E5">
      <w:pPr>
        <w:tabs>
          <w:tab w:val="right" w:pos="9356"/>
        </w:tabs>
        <w:spacing w:after="0" w:line="240" w:lineRule="auto"/>
        <w:rPr>
          <w:rFonts w:ascii="Arial" w:hAnsi="Arial" w:cs="Arial"/>
          <w:b/>
          <w:sz w:val="24"/>
          <w:szCs w:val="24"/>
        </w:rPr>
      </w:pPr>
      <w:r>
        <w:rPr>
          <w:rFonts w:ascii="Arial" w:hAnsi="Arial" w:cs="Arial"/>
          <w:b/>
          <w:sz w:val="24"/>
          <w:szCs w:val="24"/>
        </w:rPr>
        <w:t>NAMIBIAN CORRECTIONAL SERVICE</w:t>
      </w:r>
      <w:r>
        <w:rPr>
          <w:rFonts w:ascii="Arial" w:hAnsi="Arial" w:cs="Arial"/>
          <w:b/>
          <w:sz w:val="24"/>
          <w:szCs w:val="24"/>
        </w:rPr>
        <w:tab/>
        <w:t>3</w:t>
      </w:r>
      <w:r w:rsidRPr="00C7330C">
        <w:rPr>
          <w:rFonts w:ascii="Arial" w:hAnsi="Arial" w:cs="Arial"/>
          <w:b/>
          <w:sz w:val="24"/>
          <w:szCs w:val="24"/>
          <w:vertAlign w:val="superscript"/>
        </w:rPr>
        <w:t>RD</w:t>
      </w:r>
      <w:r>
        <w:rPr>
          <w:rFonts w:ascii="Arial" w:hAnsi="Arial" w:cs="Arial"/>
          <w:b/>
          <w:sz w:val="24"/>
          <w:szCs w:val="24"/>
        </w:rPr>
        <w:t xml:space="preserve"> DEFENDANT</w:t>
      </w:r>
    </w:p>
    <w:p w14:paraId="13CCC247" w14:textId="77777777" w:rsidR="00C7330C" w:rsidRDefault="00C7330C" w:rsidP="000153DB">
      <w:pPr>
        <w:tabs>
          <w:tab w:val="right" w:pos="9356"/>
        </w:tabs>
        <w:spacing w:after="0" w:line="360" w:lineRule="auto"/>
        <w:rPr>
          <w:rFonts w:ascii="Arial" w:hAnsi="Arial" w:cs="Arial"/>
          <w:b/>
          <w:sz w:val="24"/>
          <w:szCs w:val="24"/>
        </w:rPr>
      </w:pPr>
    </w:p>
    <w:p w14:paraId="3145E726" w14:textId="3101B716" w:rsidR="00C7330C" w:rsidRPr="00C1752C" w:rsidRDefault="00C7330C" w:rsidP="00C7330C">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Pr>
          <w:rFonts w:ascii="Arial" w:hAnsi="Arial" w:cs="Arial"/>
          <w:i/>
          <w:sz w:val="24"/>
          <w:szCs w:val="24"/>
        </w:rPr>
        <w:t xml:space="preserve"> Elia v M</w:t>
      </w:r>
      <w:r w:rsidR="00F54623">
        <w:rPr>
          <w:rFonts w:ascii="Arial" w:hAnsi="Arial" w:cs="Arial"/>
          <w:i/>
          <w:sz w:val="24"/>
          <w:szCs w:val="24"/>
        </w:rPr>
        <w:t>inister of Safety and Security</w:t>
      </w:r>
      <w:r>
        <w:rPr>
          <w:rFonts w:ascii="Arial" w:hAnsi="Arial" w:cs="Arial"/>
          <w:i/>
          <w:sz w:val="24"/>
          <w:szCs w:val="24"/>
        </w:rPr>
        <w:t xml:space="preserve"> </w:t>
      </w:r>
      <w:r>
        <w:rPr>
          <w:rFonts w:ascii="Arial" w:hAnsi="Arial" w:cs="Arial"/>
          <w:sz w:val="24"/>
          <w:szCs w:val="24"/>
        </w:rPr>
        <w:t>(</w:t>
      </w:r>
      <w:r w:rsidR="00E50141">
        <w:rPr>
          <w:rFonts w:ascii="Arial" w:hAnsi="Arial" w:cs="Arial"/>
          <w:sz w:val="24"/>
          <w:szCs w:val="24"/>
        </w:rPr>
        <w:t>HC-MD-CIV-ACT-OTH-2017/02151</w:t>
      </w:r>
      <w:r w:rsidR="00EA07E5">
        <w:rPr>
          <w:rFonts w:ascii="Arial" w:hAnsi="Arial" w:cs="Arial"/>
          <w:sz w:val="24"/>
          <w:szCs w:val="24"/>
        </w:rPr>
        <w:t>) [2019] NAHCMD 21</w:t>
      </w:r>
      <w:r w:rsidR="00E50141">
        <w:rPr>
          <w:rFonts w:ascii="Arial" w:hAnsi="Arial" w:cs="Arial"/>
          <w:sz w:val="24"/>
          <w:szCs w:val="24"/>
        </w:rPr>
        <w:t xml:space="preserve"> (</w:t>
      </w:r>
      <w:r w:rsidR="00E2189C">
        <w:rPr>
          <w:rFonts w:ascii="Arial" w:hAnsi="Arial" w:cs="Arial"/>
          <w:sz w:val="24"/>
          <w:szCs w:val="24"/>
        </w:rPr>
        <w:t>0</w:t>
      </w:r>
      <w:r w:rsidR="00AF4B7A">
        <w:rPr>
          <w:rFonts w:ascii="Arial" w:hAnsi="Arial" w:cs="Arial"/>
          <w:sz w:val="24"/>
          <w:szCs w:val="24"/>
        </w:rPr>
        <w:t>4 February</w:t>
      </w:r>
      <w:r w:rsidR="00E50141">
        <w:rPr>
          <w:rFonts w:ascii="Arial" w:hAnsi="Arial" w:cs="Arial"/>
          <w:sz w:val="24"/>
          <w:szCs w:val="24"/>
        </w:rPr>
        <w:t xml:space="preserve"> </w:t>
      </w:r>
      <w:r>
        <w:rPr>
          <w:rFonts w:ascii="Arial" w:hAnsi="Arial" w:cs="Arial"/>
          <w:sz w:val="24"/>
          <w:szCs w:val="24"/>
        </w:rPr>
        <w:t xml:space="preserve">2019) </w:t>
      </w:r>
    </w:p>
    <w:p w14:paraId="61C16FF9" w14:textId="77777777" w:rsidR="00C7330C" w:rsidRPr="004425E4" w:rsidRDefault="00C7330C" w:rsidP="000153DB">
      <w:pPr>
        <w:tabs>
          <w:tab w:val="right" w:pos="9356"/>
        </w:tabs>
        <w:spacing w:after="0" w:line="360" w:lineRule="auto"/>
        <w:rPr>
          <w:rFonts w:ascii="Arial" w:hAnsi="Arial" w:cs="Arial"/>
          <w:b/>
          <w:sz w:val="24"/>
          <w:szCs w:val="24"/>
        </w:rPr>
      </w:pPr>
    </w:p>
    <w:p w14:paraId="54F1951F" w14:textId="77777777" w:rsidR="000153DB" w:rsidRPr="00E03391" w:rsidRDefault="000153DB" w:rsidP="000153DB">
      <w:pPr>
        <w:spacing w:after="0" w:line="360" w:lineRule="auto"/>
        <w:rPr>
          <w:rFonts w:ascii="Arial" w:hAnsi="Arial" w:cs="Arial"/>
          <w:b/>
          <w:sz w:val="24"/>
          <w:szCs w:val="24"/>
        </w:rPr>
      </w:pPr>
      <w:r w:rsidRPr="00EC28F2">
        <w:rPr>
          <w:rFonts w:ascii="Arial" w:hAnsi="Arial" w:cs="Arial"/>
          <w:sz w:val="24"/>
          <w:szCs w:val="24"/>
        </w:rPr>
        <w:t>CORAM:</w:t>
      </w:r>
      <w:r w:rsidRPr="00E03391">
        <w:rPr>
          <w:rFonts w:ascii="Arial" w:hAnsi="Arial" w:cs="Arial"/>
          <w:b/>
          <w:sz w:val="24"/>
          <w:szCs w:val="24"/>
        </w:rPr>
        <w:tab/>
        <w:t>PRINSLOO J</w:t>
      </w:r>
    </w:p>
    <w:p w14:paraId="52F2B528" w14:textId="77777777" w:rsidR="000153DB" w:rsidRPr="00EC28F2" w:rsidRDefault="000153DB" w:rsidP="000153DB">
      <w:pPr>
        <w:spacing w:after="0" w:line="360" w:lineRule="auto"/>
        <w:rPr>
          <w:rFonts w:ascii="Arial" w:hAnsi="Arial" w:cs="Arial"/>
          <w:sz w:val="24"/>
          <w:szCs w:val="24"/>
        </w:rPr>
      </w:pPr>
      <w:r w:rsidRPr="00EC28F2">
        <w:rPr>
          <w:rFonts w:ascii="Arial" w:hAnsi="Arial" w:cs="Arial"/>
          <w:sz w:val="24"/>
          <w:szCs w:val="24"/>
        </w:rPr>
        <w:t xml:space="preserve">Heard: </w:t>
      </w:r>
      <w:r w:rsidRPr="00EC28F2">
        <w:rPr>
          <w:rFonts w:ascii="Arial" w:hAnsi="Arial" w:cs="Arial"/>
          <w:sz w:val="24"/>
          <w:szCs w:val="24"/>
        </w:rPr>
        <w:tab/>
      </w:r>
      <w:r w:rsidR="00E62FFD" w:rsidRPr="00EC28F2">
        <w:rPr>
          <w:rFonts w:ascii="Arial" w:hAnsi="Arial" w:cs="Arial"/>
          <w:sz w:val="24"/>
          <w:szCs w:val="24"/>
        </w:rPr>
        <w:t>05 December</w:t>
      </w:r>
      <w:r w:rsidR="00E50141" w:rsidRPr="00EC28F2">
        <w:rPr>
          <w:rFonts w:ascii="Arial" w:hAnsi="Arial" w:cs="Arial"/>
          <w:sz w:val="24"/>
          <w:szCs w:val="24"/>
        </w:rPr>
        <w:t xml:space="preserve"> </w:t>
      </w:r>
      <w:r w:rsidRPr="00EC28F2">
        <w:rPr>
          <w:rFonts w:ascii="Arial" w:hAnsi="Arial" w:cs="Arial"/>
          <w:sz w:val="24"/>
          <w:szCs w:val="24"/>
        </w:rPr>
        <w:t>2018</w:t>
      </w:r>
    </w:p>
    <w:p w14:paraId="441C92C7" w14:textId="77777777" w:rsidR="000153DB" w:rsidRPr="00EC28F2" w:rsidRDefault="000153DB" w:rsidP="000153DB">
      <w:pPr>
        <w:spacing w:after="0" w:line="360" w:lineRule="auto"/>
        <w:rPr>
          <w:rFonts w:ascii="Arial" w:hAnsi="Arial" w:cs="Arial"/>
          <w:sz w:val="24"/>
          <w:szCs w:val="24"/>
        </w:rPr>
      </w:pPr>
      <w:r w:rsidRPr="00EC28F2">
        <w:rPr>
          <w:rFonts w:ascii="Arial" w:hAnsi="Arial" w:cs="Arial"/>
          <w:sz w:val="24"/>
          <w:szCs w:val="24"/>
        </w:rPr>
        <w:t xml:space="preserve">Delivered:  </w:t>
      </w:r>
      <w:r w:rsidRPr="00EC28F2">
        <w:rPr>
          <w:rFonts w:ascii="Arial" w:hAnsi="Arial" w:cs="Arial"/>
          <w:sz w:val="24"/>
          <w:szCs w:val="24"/>
        </w:rPr>
        <w:tab/>
      </w:r>
      <w:r w:rsidR="00E62FFD" w:rsidRPr="00EC28F2">
        <w:rPr>
          <w:rFonts w:ascii="Arial" w:hAnsi="Arial" w:cs="Arial"/>
          <w:sz w:val="24"/>
          <w:szCs w:val="24"/>
        </w:rPr>
        <w:t>04 February</w:t>
      </w:r>
      <w:r w:rsidRPr="00EC28F2">
        <w:rPr>
          <w:rFonts w:ascii="Arial" w:hAnsi="Arial" w:cs="Arial"/>
          <w:sz w:val="24"/>
          <w:szCs w:val="24"/>
        </w:rPr>
        <w:t xml:space="preserve"> 2019</w:t>
      </w:r>
    </w:p>
    <w:p w14:paraId="1737AE91" w14:textId="428BA9A7" w:rsidR="00E62FFD" w:rsidRPr="00EC28F2" w:rsidRDefault="00E62FFD" w:rsidP="000153DB">
      <w:pPr>
        <w:spacing w:after="0" w:line="360" w:lineRule="auto"/>
        <w:rPr>
          <w:rFonts w:ascii="Arial" w:hAnsi="Arial" w:cs="Arial"/>
          <w:sz w:val="24"/>
          <w:szCs w:val="24"/>
        </w:rPr>
      </w:pPr>
      <w:r w:rsidRPr="00EC28F2">
        <w:rPr>
          <w:rFonts w:ascii="Arial" w:hAnsi="Arial" w:cs="Arial"/>
          <w:sz w:val="24"/>
          <w:szCs w:val="24"/>
        </w:rPr>
        <w:t xml:space="preserve">Reasons: </w:t>
      </w:r>
      <w:r w:rsidRPr="00EC28F2">
        <w:rPr>
          <w:rFonts w:ascii="Arial" w:hAnsi="Arial" w:cs="Arial"/>
          <w:sz w:val="24"/>
          <w:szCs w:val="24"/>
        </w:rPr>
        <w:tab/>
      </w:r>
      <w:r w:rsidR="002C7210">
        <w:rPr>
          <w:rFonts w:ascii="Arial" w:hAnsi="Arial" w:cs="Arial"/>
          <w:sz w:val="24"/>
          <w:szCs w:val="24"/>
        </w:rPr>
        <w:t>12</w:t>
      </w:r>
      <w:r w:rsidRPr="00EC28F2">
        <w:rPr>
          <w:rFonts w:ascii="Arial" w:hAnsi="Arial" w:cs="Arial"/>
          <w:sz w:val="24"/>
          <w:szCs w:val="24"/>
        </w:rPr>
        <w:t xml:space="preserve"> February 2019</w:t>
      </w:r>
    </w:p>
    <w:p w14:paraId="4E30B516" w14:textId="77777777" w:rsidR="000153DB" w:rsidRDefault="000153DB" w:rsidP="000153DB">
      <w:pPr>
        <w:spacing w:after="0" w:line="360" w:lineRule="auto"/>
        <w:rPr>
          <w:rFonts w:ascii="Arial" w:hAnsi="Arial" w:cs="Arial"/>
          <w:b/>
          <w:sz w:val="24"/>
          <w:szCs w:val="24"/>
        </w:rPr>
      </w:pPr>
      <w:r>
        <w:rPr>
          <w:rFonts w:ascii="Arial" w:hAnsi="Arial" w:cs="Arial"/>
          <w:b/>
          <w:sz w:val="24"/>
          <w:szCs w:val="24"/>
        </w:rPr>
        <w:t xml:space="preserve">     </w:t>
      </w:r>
    </w:p>
    <w:p w14:paraId="3D9FE09D" w14:textId="77777777" w:rsidR="000153DB" w:rsidRDefault="000153DB" w:rsidP="000153DB">
      <w:pPr>
        <w:spacing w:after="0" w:line="360" w:lineRule="auto"/>
        <w:ind w:left="1440" w:hanging="1440"/>
        <w:jc w:val="both"/>
        <w:rPr>
          <w:rFonts w:ascii="Arial" w:hAnsi="Arial" w:cs="Arial"/>
          <w:b/>
          <w:sz w:val="24"/>
          <w:szCs w:val="24"/>
        </w:rPr>
      </w:pPr>
    </w:p>
    <w:p w14:paraId="3978B5C9" w14:textId="3CF2404D" w:rsidR="000153DB" w:rsidRPr="004D10A0" w:rsidRDefault="000153DB" w:rsidP="000153DB">
      <w:pPr>
        <w:spacing w:after="0" w:line="360" w:lineRule="auto"/>
        <w:jc w:val="both"/>
        <w:rPr>
          <w:rFonts w:ascii="Arial" w:hAnsi="Arial" w:cs="Arial"/>
          <w:strike/>
          <w:sz w:val="24"/>
          <w:szCs w:val="24"/>
        </w:rPr>
      </w:pPr>
      <w:r w:rsidRPr="00D43E68">
        <w:rPr>
          <w:rFonts w:ascii="Arial" w:hAnsi="Arial" w:cs="Arial"/>
          <w:b/>
          <w:sz w:val="24"/>
          <w:szCs w:val="24"/>
        </w:rPr>
        <w:lastRenderedPageBreak/>
        <w:t>Flynote</w:t>
      </w:r>
      <w:r>
        <w:rPr>
          <w:rFonts w:ascii="Arial" w:hAnsi="Arial" w:cs="Arial"/>
          <w:sz w:val="24"/>
          <w:szCs w:val="24"/>
        </w:rPr>
        <w:t xml:space="preserve">: </w:t>
      </w:r>
      <w:r>
        <w:rPr>
          <w:rFonts w:ascii="Arial" w:hAnsi="Arial" w:cs="Arial"/>
          <w:sz w:val="24"/>
          <w:szCs w:val="24"/>
        </w:rPr>
        <w:tab/>
        <w:t xml:space="preserve"> </w:t>
      </w:r>
      <w:r w:rsidR="005D336F">
        <w:rPr>
          <w:rFonts w:ascii="Arial" w:hAnsi="Arial" w:cs="Arial"/>
          <w:sz w:val="24"/>
          <w:szCs w:val="24"/>
        </w:rPr>
        <w:t xml:space="preserve">Civil </w:t>
      </w:r>
      <w:r w:rsidR="00647AC7">
        <w:rPr>
          <w:rFonts w:ascii="Arial" w:hAnsi="Arial" w:cs="Arial"/>
          <w:sz w:val="24"/>
          <w:szCs w:val="24"/>
        </w:rPr>
        <w:t xml:space="preserve">Practice – </w:t>
      </w:r>
      <w:r w:rsidR="005D336F">
        <w:rPr>
          <w:rFonts w:ascii="Arial" w:hAnsi="Arial" w:cs="Arial"/>
          <w:sz w:val="24"/>
          <w:szCs w:val="24"/>
        </w:rPr>
        <w:t>Actions</w:t>
      </w:r>
      <w:r w:rsidR="00E2189C">
        <w:rPr>
          <w:rFonts w:ascii="Arial" w:hAnsi="Arial" w:cs="Arial"/>
          <w:sz w:val="24"/>
          <w:szCs w:val="24"/>
        </w:rPr>
        <w:t xml:space="preserve"> – Correctional </w:t>
      </w:r>
      <w:r w:rsidR="00647AC7">
        <w:rPr>
          <w:rFonts w:ascii="Arial" w:hAnsi="Arial" w:cs="Arial"/>
          <w:sz w:val="24"/>
          <w:szCs w:val="24"/>
        </w:rPr>
        <w:t xml:space="preserve">Services – </w:t>
      </w:r>
      <w:r w:rsidR="005D336F" w:rsidRPr="005D336F">
        <w:rPr>
          <w:rFonts w:ascii="Arial" w:hAnsi="Arial" w:cs="Arial"/>
          <w:sz w:val="24"/>
          <w:szCs w:val="24"/>
        </w:rPr>
        <w:t>Require</w:t>
      </w:r>
      <w:r w:rsidR="005D336F">
        <w:rPr>
          <w:rFonts w:ascii="Arial" w:hAnsi="Arial" w:cs="Arial"/>
          <w:sz w:val="24"/>
          <w:szCs w:val="24"/>
        </w:rPr>
        <w:t xml:space="preserve">ments to be met in terms of s 133 (4) of </w:t>
      </w:r>
      <w:r w:rsidR="0075672B">
        <w:rPr>
          <w:rFonts w:ascii="Arial" w:hAnsi="Arial" w:cs="Arial"/>
          <w:sz w:val="24"/>
          <w:szCs w:val="24"/>
        </w:rPr>
        <w:t xml:space="preserve">the </w:t>
      </w:r>
      <w:r w:rsidR="005D336F">
        <w:rPr>
          <w:rFonts w:ascii="Arial" w:hAnsi="Arial" w:cs="Arial"/>
          <w:sz w:val="24"/>
          <w:szCs w:val="24"/>
        </w:rPr>
        <w:t xml:space="preserve">Correctional Service </w:t>
      </w:r>
      <w:r w:rsidR="00B05F4A">
        <w:rPr>
          <w:rFonts w:ascii="Arial" w:hAnsi="Arial" w:cs="Arial"/>
          <w:sz w:val="24"/>
          <w:szCs w:val="24"/>
        </w:rPr>
        <w:t xml:space="preserve">Act </w:t>
      </w:r>
      <w:r w:rsidR="005D336F">
        <w:rPr>
          <w:rFonts w:ascii="Arial" w:hAnsi="Arial" w:cs="Arial"/>
          <w:sz w:val="24"/>
          <w:szCs w:val="24"/>
        </w:rPr>
        <w:t>9 of</w:t>
      </w:r>
      <w:r w:rsidR="00647AC7">
        <w:rPr>
          <w:rFonts w:ascii="Arial" w:hAnsi="Arial" w:cs="Arial"/>
          <w:sz w:val="24"/>
          <w:szCs w:val="24"/>
        </w:rPr>
        <w:t xml:space="preserve"> 2012 – </w:t>
      </w:r>
      <w:r w:rsidR="005D336F">
        <w:rPr>
          <w:rFonts w:ascii="Arial" w:hAnsi="Arial" w:cs="Arial"/>
          <w:sz w:val="24"/>
          <w:szCs w:val="24"/>
        </w:rPr>
        <w:t>Claimant to give one month notice before instituting legal proceedings against the State – Exception raised by defendants in terms of s 133 (4) of Correctional Service</w:t>
      </w:r>
      <w:r w:rsidR="00B05F4A">
        <w:rPr>
          <w:rFonts w:ascii="Arial" w:hAnsi="Arial" w:cs="Arial"/>
          <w:sz w:val="24"/>
          <w:szCs w:val="24"/>
        </w:rPr>
        <w:t xml:space="preserve"> Act</w:t>
      </w:r>
      <w:r w:rsidR="005D336F">
        <w:rPr>
          <w:rFonts w:ascii="Arial" w:hAnsi="Arial" w:cs="Arial"/>
          <w:sz w:val="24"/>
          <w:szCs w:val="24"/>
        </w:rPr>
        <w:t xml:space="preserve"> 9 of</w:t>
      </w:r>
      <w:r w:rsidR="005D336F" w:rsidRPr="005D336F">
        <w:rPr>
          <w:rFonts w:ascii="Arial" w:hAnsi="Arial" w:cs="Arial"/>
          <w:sz w:val="24"/>
          <w:szCs w:val="24"/>
        </w:rPr>
        <w:t xml:space="preserve"> 2012</w:t>
      </w:r>
      <w:r w:rsidR="008012A1">
        <w:rPr>
          <w:rFonts w:ascii="Arial" w:hAnsi="Arial" w:cs="Arial"/>
          <w:sz w:val="24"/>
          <w:szCs w:val="24"/>
        </w:rPr>
        <w:t xml:space="preserve"> for non-compliance.</w:t>
      </w:r>
    </w:p>
    <w:p w14:paraId="66E2B62F" w14:textId="77777777" w:rsidR="000153DB" w:rsidRDefault="000153DB" w:rsidP="000153DB">
      <w:pPr>
        <w:spacing w:after="0" w:line="360" w:lineRule="auto"/>
        <w:jc w:val="both"/>
        <w:rPr>
          <w:rFonts w:ascii="Arial" w:hAnsi="Arial" w:cs="Arial"/>
          <w:sz w:val="24"/>
          <w:szCs w:val="24"/>
        </w:rPr>
      </w:pPr>
    </w:p>
    <w:p w14:paraId="1DE965F0" w14:textId="6761EA7D" w:rsidR="00326226" w:rsidRDefault="000153DB" w:rsidP="000153DB">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E052AD">
        <w:rPr>
          <w:rFonts w:ascii="Arial" w:hAnsi="Arial" w:cs="Arial"/>
          <w:sz w:val="24"/>
          <w:szCs w:val="24"/>
        </w:rPr>
        <w:t>P</w:t>
      </w:r>
      <w:r w:rsidR="00431D48" w:rsidRPr="00431D48">
        <w:rPr>
          <w:rFonts w:ascii="Arial" w:hAnsi="Arial" w:cs="Arial"/>
          <w:sz w:val="24"/>
          <w:szCs w:val="24"/>
        </w:rPr>
        <w:t>laintiff instituted a claim against the defendants for assault allegedly perpetrated by the members of the second defendant</w:t>
      </w:r>
      <w:r w:rsidR="00E052AD">
        <w:rPr>
          <w:rFonts w:ascii="Arial" w:hAnsi="Arial" w:cs="Arial"/>
          <w:sz w:val="24"/>
          <w:szCs w:val="24"/>
        </w:rPr>
        <w:t>.</w:t>
      </w:r>
      <w:r w:rsidR="00431D48" w:rsidRPr="00431D48">
        <w:rPr>
          <w:rFonts w:ascii="Arial" w:hAnsi="Arial" w:cs="Arial"/>
          <w:sz w:val="24"/>
          <w:szCs w:val="24"/>
        </w:rPr>
        <w:t xml:space="preserve"> </w:t>
      </w:r>
      <w:r w:rsidR="008F69AE" w:rsidRPr="008F69AE">
        <w:rPr>
          <w:rFonts w:ascii="Arial" w:hAnsi="Arial" w:cs="Arial"/>
          <w:sz w:val="24"/>
          <w:szCs w:val="24"/>
        </w:rPr>
        <w:t>The defendants</w:t>
      </w:r>
      <w:r w:rsidR="00710182">
        <w:rPr>
          <w:rFonts w:ascii="Arial" w:hAnsi="Arial" w:cs="Arial"/>
          <w:sz w:val="24"/>
          <w:szCs w:val="24"/>
        </w:rPr>
        <w:t xml:space="preserve"> however</w:t>
      </w:r>
      <w:r w:rsidR="008F69AE" w:rsidRPr="008F69AE">
        <w:rPr>
          <w:rFonts w:ascii="Arial" w:hAnsi="Arial" w:cs="Arial"/>
          <w:sz w:val="24"/>
          <w:szCs w:val="24"/>
        </w:rPr>
        <w:t xml:space="preserve"> raised an exception to the claim filed by the plaintiff </w:t>
      </w:r>
      <w:r w:rsidR="00976ACE">
        <w:rPr>
          <w:rFonts w:ascii="Arial" w:hAnsi="Arial" w:cs="Arial"/>
          <w:sz w:val="24"/>
          <w:szCs w:val="24"/>
        </w:rPr>
        <w:t>in that</w:t>
      </w:r>
      <w:r w:rsidR="00976ACE" w:rsidRPr="00976ACE">
        <w:rPr>
          <w:rFonts w:ascii="Arial" w:hAnsi="Arial" w:cs="Arial"/>
        </w:rPr>
        <w:t xml:space="preserve"> </w:t>
      </w:r>
      <w:r w:rsidR="00976ACE">
        <w:rPr>
          <w:rFonts w:ascii="Arial" w:hAnsi="Arial" w:cs="Arial"/>
          <w:sz w:val="24"/>
          <w:szCs w:val="24"/>
        </w:rPr>
        <w:t>plaintiff failed to provide the</w:t>
      </w:r>
      <w:r w:rsidR="00976ACE" w:rsidRPr="00976ACE">
        <w:rPr>
          <w:rFonts w:ascii="Arial" w:hAnsi="Arial" w:cs="Arial"/>
          <w:sz w:val="24"/>
          <w:szCs w:val="24"/>
        </w:rPr>
        <w:t xml:space="preserve"> statutory notice of 1 month</w:t>
      </w:r>
      <w:r w:rsidR="00976ACE">
        <w:rPr>
          <w:rFonts w:ascii="Arial" w:hAnsi="Arial" w:cs="Arial"/>
          <w:sz w:val="24"/>
          <w:szCs w:val="24"/>
        </w:rPr>
        <w:t xml:space="preserve"> as provided in s 133 (4) of the Act</w:t>
      </w:r>
      <w:r w:rsidR="00976ACE" w:rsidRPr="00976ACE">
        <w:rPr>
          <w:rFonts w:ascii="Arial" w:hAnsi="Arial" w:cs="Arial"/>
          <w:sz w:val="24"/>
          <w:szCs w:val="24"/>
        </w:rPr>
        <w:t xml:space="preserve"> prior to the institution of these proceedings</w:t>
      </w:r>
      <w:r w:rsidR="00C65431">
        <w:rPr>
          <w:rFonts w:ascii="Arial" w:hAnsi="Arial" w:cs="Arial"/>
          <w:sz w:val="24"/>
          <w:szCs w:val="24"/>
        </w:rPr>
        <w:t>.</w:t>
      </w:r>
    </w:p>
    <w:p w14:paraId="5C7113F6" w14:textId="77777777" w:rsidR="00326226" w:rsidRDefault="00326226" w:rsidP="000153DB">
      <w:pPr>
        <w:spacing w:after="0" w:line="360" w:lineRule="auto"/>
        <w:jc w:val="both"/>
        <w:rPr>
          <w:rFonts w:ascii="Arial" w:hAnsi="Arial" w:cs="Arial"/>
          <w:sz w:val="24"/>
          <w:szCs w:val="24"/>
        </w:rPr>
      </w:pPr>
    </w:p>
    <w:p w14:paraId="227424EF" w14:textId="1AF746C6" w:rsidR="000153DB" w:rsidRDefault="007B5576" w:rsidP="000153DB">
      <w:pPr>
        <w:spacing w:after="0" w:line="360" w:lineRule="auto"/>
        <w:jc w:val="both"/>
        <w:rPr>
          <w:rFonts w:ascii="Arial" w:hAnsi="Arial" w:cs="Arial"/>
          <w:sz w:val="24"/>
          <w:szCs w:val="24"/>
        </w:rPr>
      </w:pPr>
      <w:r w:rsidRPr="00431D48">
        <w:rPr>
          <w:rFonts w:ascii="Arial" w:hAnsi="Arial" w:cs="Arial"/>
          <w:sz w:val="24"/>
          <w:szCs w:val="24"/>
        </w:rPr>
        <w:t>Plaintiff</w:t>
      </w:r>
      <w:r w:rsidR="00326226">
        <w:rPr>
          <w:rFonts w:ascii="Arial" w:hAnsi="Arial" w:cs="Arial"/>
          <w:sz w:val="24"/>
          <w:szCs w:val="24"/>
        </w:rPr>
        <w:t xml:space="preserve"> then</w:t>
      </w:r>
      <w:r w:rsidRPr="00431D48">
        <w:rPr>
          <w:rFonts w:ascii="Arial" w:hAnsi="Arial" w:cs="Arial"/>
          <w:sz w:val="24"/>
          <w:szCs w:val="24"/>
        </w:rPr>
        <w:t xml:space="preserve"> challenged the constitutionality of s 133 (4) of the Correctional Service</w:t>
      </w:r>
      <w:r w:rsidR="00EA1177" w:rsidRPr="00431D48">
        <w:rPr>
          <w:rFonts w:ascii="Arial" w:hAnsi="Arial" w:cs="Arial"/>
          <w:sz w:val="24"/>
          <w:szCs w:val="24"/>
        </w:rPr>
        <w:t xml:space="preserve"> Act</w:t>
      </w:r>
      <w:r w:rsidRPr="00431D48">
        <w:rPr>
          <w:rFonts w:ascii="Arial" w:hAnsi="Arial" w:cs="Arial"/>
          <w:sz w:val="24"/>
          <w:szCs w:val="24"/>
        </w:rPr>
        <w:t xml:space="preserve"> in light that it infringed upon his constitutional right in terms of Article</w:t>
      </w:r>
      <w:r>
        <w:rPr>
          <w:rFonts w:ascii="Arial" w:hAnsi="Arial" w:cs="Arial"/>
          <w:sz w:val="24"/>
          <w:szCs w:val="24"/>
        </w:rPr>
        <w:t xml:space="preserve"> 12 to have his claim adjudicated by a court of law. Plaintiff was of the view that dismissing his claim based on s 133 (4) would result in a violation of his entrenched constitutional right to have his matter heard in a court of law.</w:t>
      </w:r>
    </w:p>
    <w:p w14:paraId="5CB9A1F7" w14:textId="77777777" w:rsidR="007B5576" w:rsidRDefault="007B5576" w:rsidP="000153DB">
      <w:pPr>
        <w:spacing w:after="0" w:line="360" w:lineRule="auto"/>
        <w:jc w:val="both"/>
        <w:rPr>
          <w:rFonts w:ascii="Arial" w:hAnsi="Arial" w:cs="Arial"/>
          <w:sz w:val="24"/>
          <w:szCs w:val="24"/>
        </w:rPr>
      </w:pPr>
    </w:p>
    <w:p w14:paraId="588762F6" w14:textId="77777777" w:rsidR="007B5576" w:rsidRPr="007B5576" w:rsidRDefault="007B5576" w:rsidP="000153DB">
      <w:pPr>
        <w:spacing w:after="0" w:line="360" w:lineRule="auto"/>
        <w:jc w:val="both"/>
        <w:rPr>
          <w:rFonts w:ascii="Arial" w:hAnsi="Arial" w:cs="Arial"/>
          <w:sz w:val="24"/>
          <w:szCs w:val="24"/>
        </w:rPr>
      </w:pPr>
      <w:r>
        <w:rPr>
          <w:rFonts w:ascii="Arial" w:hAnsi="Arial" w:cs="Arial"/>
          <w:sz w:val="24"/>
          <w:szCs w:val="24"/>
        </w:rPr>
        <w:t>The defendant, on the other hand, was plainly adamant that the plaintiff’s claim must be dismissed solely on the basis that he did not comply with s 133 (4), which is couched in peremptory terms.</w:t>
      </w:r>
    </w:p>
    <w:p w14:paraId="5CEC563A" w14:textId="77777777" w:rsidR="000153DB" w:rsidRPr="00B23531" w:rsidRDefault="000153DB" w:rsidP="000153DB">
      <w:pPr>
        <w:spacing w:after="0" w:line="360" w:lineRule="auto"/>
        <w:jc w:val="both"/>
        <w:rPr>
          <w:rFonts w:ascii="Arial" w:hAnsi="Arial" w:cs="Arial"/>
          <w:sz w:val="24"/>
          <w:szCs w:val="24"/>
        </w:rPr>
      </w:pPr>
    </w:p>
    <w:p w14:paraId="71B4C742" w14:textId="77777777" w:rsidR="000153DB" w:rsidRPr="00DD19F8" w:rsidRDefault="000153DB" w:rsidP="000153DB">
      <w:pPr>
        <w:spacing w:after="0" w:line="360" w:lineRule="auto"/>
        <w:jc w:val="both"/>
        <w:rPr>
          <w:rFonts w:ascii="Arial" w:hAnsi="Arial" w:cs="Arial"/>
          <w:i/>
          <w:sz w:val="24"/>
          <w:szCs w:val="24"/>
        </w:rPr>
      </w:pPr>
      <w:r w:rsidRPr="00DD19F8">
        <w:rPr>
          <w:rFonts w:ascii="Arial" w:hAnsi="Arial" w:cs="Arial"/>
          <w:i/>
          <w:sz w:val="24"/>
          <w:szCs w:val="24"/>
        </w:rPr>
        <w:t>Held</w:t>
      </w:r>
      <w:r>
        <w:rPr>
          <w:rFonts w:ascii="Arial" w:hAnsi="Arial" w:cs="Arial"/>
          <w:i/>
          <w:sz w:val="24"/>
          <w:szCs w:val="24"/>
        </w:rPr>
        <w:t xml:space="preserve"> </w:t>
      </w:r>
      <w:r w:rsidR="008F58D9">
        <w:rPr>
          <w:rFonts w:ascii="Arial" w:hAnsi="Arial" w:cs="Arial"/>
          <w:sz w:val="24"/>
          <w:szCs w:val="24"/>
        </w:rPr>
        <w:t>that the general view of this court seems to be that statutes imposing limitations is not to prevent parties from executing their claims per say entirely, but to do so in a timeous manner.</w:t>
      </w:r>
    </w:p>
    <w:p w14:paraId="3F4D2729" w14:textId="77777777" w:rsidR="000153DB" w:rsidRDefault="000153DB" w:rsidP="000153DB">
      <w:pPr>
        <w:spacing w:after="0" w:line="360" w:lineRule="auto"/>
        <w:jc w:val="both"/>
        <w:rPr>
          <w:rFonts w:ascii="Arial" w:hAnsi="Arial" w:cs="Arial"/>
          <w:sz w:val="24"/>
          <w:szCs w:val="24"/>
        </w:rPr>
      </w:pPr>
    </w:p>
    <w:p w14:paraId="0DE43739" w14:textId="16ECB18F" w:rsidR="000153DB" w:rsidRDefault="000153DB" w:rsidP="000153DB">
      <w:pPr>
        <w:spacing w:after="0" w:line="360" w:lineRule="auto"/>
        <w:jc w:val="both"/>
        <w:rPr>
          <w:rFonts w:ascii="Arial" w:hAnsi="Arial" w:cs="Arial"/>
          <w:sz w:val="24"/>
          <w:szCs w:val="24"/>
        </w:rPr>
      </w:pPr>
      <w:r w:rsidRPr="00497004">
        <w:rPr>
          <w:rFonts w:ascii="Arial" w:hAnsi="Arial" w:cs="Arial"/>
          <w:i/>
          <w:sz w:val="24"/>
          <w:szCs w:val="24"/>
        </w:rPr>
        <w:t xml:space="preserve">Held </w:t>
      </w:r>
      <w:r>
        <w:rPr>
          <w:rFonts w:ascii="Arial" w:hAnsi="Arial" w:cs="Arial"/>
          <w:i/>
          <w:sz w:val="24"/>
          <w:szCs w:val="24"/>
        </w:rPr>
        <w:t>further</w:t>
      </w:r>
      <w:r>
        <w:rPr>
          <w:rFonts w:ascii="Arial" w:hAnsi="Arial" w:cs="Arial"/>
          <w:sz w:val="24"/>
          <w:szCs w:val="24"/>
        </w:rPr>
        <w:t xml:space="preserve"> that </w:t>
      </w:r>
      <w:r w:rsidR="008F58D9">
        <w:rPr>
          <w:rFonts w:ascii="Arial" w:hAnsi="Arial" w:cs="Arial"/>
          <w:sz w:val="24"/>
          <w:szCs w:val="24"/>
        </w:rPr>
        <w:t xml:space="preserve">looking at the provisions of s 133 (4), the primary intention is to inform </w:t>
      </w:r>
      <w:r w:rsidR="008F58D9" w:rsidRPr="00107C45">
        <w:rPr>
          <w:rFonts w:ascii="Arial" w:hAnsi="Arial" w:cs="Arial"/>
          <w:sz w:val="24"/>
          <w:szCs w:val="24"/>
        </w:rPr>
        <w:t>the State sufficiently of the proposed claim so as to enable it to investigate the matter</w:t>
      </w:r>
      <w:r w:rsidR="008F58D9">
        <w:rPr>
          <w:rFonts w:ascii="Arial" w:hAnsi="Arial" w:cs="Arial"/>
          <w:sz w:val="24"/>
          <w:szCs w:val="24"/>
        </w:rPr>
        <w:t xml:space="preserve"> and consider its options primarily. As was held in </w:t>
      </w:r>
      <w:r w:rsidR="008F58D9">
        <w:rPr>
          <w:rFonts w:ascii="Arial" w:hAnsi="Arial" w:cs="Arial"/>
          <w:i/>
          <w:sz w:val="24"/>
          <w:szCs w:val="24"/>
        </w:rPr>
        <w:t xml:space="preserve">Minister of Home Affairs v Madjiedt and Others, </w:t>
      </w:r>
      <w:r w:rsidR="008F58D9" w:rsidRPr="009F6154">
        <w:rPr>
          <w:rFonts w:ascii="Arial" w:hAnsi="Arial" w:cs="Arial"/>
          <w:sz w:val="24"/>
          <w:szCs w:val="24"/>
        </w:rPr>
        <w:t xml:space="preserve">the </w:t>
      </w:r>
      <w:r w:rsidR="008F58D9">
        <w:rPr>
          <w:rFonts w:ascii="Arial" w:hAnsi="Arial" w:cs="Arial"/>
          <w:sz w:val="24"/>
          <w:szCs w:val="24"/>
        </w:rPr>
        <w:t>requirement of statutory notice is administrative in that it ensures that relevant government ministries and/or agencies prepare adequately for contemplated proceedings</w:t>
      </w:r>
      <w:r w:rsidR="00BB7031">
        <w:rPr>
          <w:rFonts w:ascii="Arial" w:hAnsi="Arial" w:cs="Arial"/>
          <w:sz w:val="24"/>
          <w:szCs w:val="24"/>
        </w:rPr>
        <w:t xml:space="preserve"> or ultimately avoid such </w:t>
      </w:r>
      <w:r w:rsidR="008B5D84">
        <w:rPr>
          <w:rFonts w:ascii="Arial" w:hAnsi="Arial" w:cs="Arial"/>
          <w:sz w:val="24"/>
          <w:szCs w:val="24"/>
        </w:rPr>
        <w:t xml:space="preserve">costly </w:t>
      </w:r>
      <w:r w:rsidR="00BB7031">
        <w:rPr>
          <w:rFonts w:ascii="Arial" w:hAnsi="Arial" w:cs="Arial"/>
          <w:sz w:val="24"/>
          <w:szCs w:val="24"/>
        </w:rPr>
        <w:t>proceedings</w:t>
      </w:r>
      <w:r w:rsidR="008F58D9">
        <w:rPr>
          <w:rFonts w:ascii="Arial" w:hAnsi="Arial" w:cs="Arial"/>
          <w:sz w:val="24"/>
          <w:szCs w:val="24"/>
        </w:rPr>
        <w:t>.</w:t>
      </w:r>
      <w:r w:rsidR="00475881">
        <w:rPr>
          <w:rFonts w:ascii="Arial" w:hAnsi="Arial" w:cs="Arial"/>
          <w:sz w:val="24"/>
          <w:szCs w:val="24"/>
        </w:rPr>
        <w:t xml:space="preserve"> </w:t>
      </w:r>
    </w:p>
    <w:p w14:paraId="286154D9" w14:textId="77777777" w:rsidR="00575257" w:rsidRDefault="00575257" w:rsidP="000153DB">
      <w:pPr>
        <w:spacing w:after="0" w:line="360" w:lineRule="auto"/>
        <w:jc w:val="both"/>
        <w:rPr>
          <w:rFonts w:ascii="Arial" w:hAnsi="Arial" w:cs="Arial"/>
          <w:sz w:val="24"/>
          <w:szCs w:val="24"/>
        </w:rPr>
      </w:pPr>
    </w:p>
    <w:p w14:paraId="07274BB2" w14:textId="76A16D8E" w:rsidR="000153DB" w:rsidRDefault="003951CC" w:rsidP="000153DB">
      <w:pPr>
        <w:spacing w:after="0" w:line="360" w:lineRule="auto"/>
        <w:jc w:val="both"/>
        <w:rPr>
          <w:rFonts w:ascii="Arial" w:hAnsi="Arial" w:cs="Arial"/>
          <w:sz w:val="24"/>
          <w:szCs w:val="24"/>
        </w:rPr>
      </w:pPr>
      <w:r>
        <w:rPr>
          <w:rFonts w:ascii="Arial" w:hAnsi="Arial" w:cs="Arial"/>
          <w:i/>
          <w:sz w:val="24"/>
          <w:szCs w:val="24"/>
        </w:rPr>
        <w:t>Held further</w:t>
      </w:r>
      <w:r>
        <w:rPr>
          <w:rFonts w:ascii="Arial" w:hAnsi="Arial" w:cs="Arial"/>
          <w:sz w:val="24"/>
          <w:szCs w:val="24"/>
        </w:rPr>
        <w:t xml:space="preserve"> that </w:t>
      </w:r>
      <w:r w:rsidR="008406AD">
        <w:rPr>
          <w:rFonts w:ascii="Arial" w:hAnsi="Arial" w:cs="Arial"/>
          <w:sz w:val="24"/>
          <w:szCs w:val="24"/>
        </w:rPr>
        <w:t>i</w:t>
      </w:r>
      <w:r w:rsidR="00D42A8A">
        <w:rPr>
          <w:rFonts w:ascii="Arial" w:hAnsi="Arial" w:cs="Arial"/>
          <w:sz w:val="24"/>
          <w:szCs w:val="24"/>
        </w:rPr>
        <w:t xml:space="preserve">t is </w:t>
      </w:r>
      <w:r w:rsidR="008406AD" w:rsidRPr="008406AD">
        <w:rPr>
          <w:rFonts w:ascii="Arial" w:hAnsi="Arial" w:cs="Arial"/>
          <w:sz w:val="24"/>
          <w:szCs w:val="24"/>
        </w:rPr>
        <w:t>clear that a constitutional challenge cannot be launched for the first time in heads of arguments. To condu</w:t>
      </w:r>
      <w:r w:rsidR="009A6E2C">
        <w:rPr>
          <w:rFonts w:ascii="Arial" w:hAnsi="Arial" w:cs="Arial"/>
          <w:sz w:val="24"/>
          <w:szCs w:val="24"/>
        </w:rPr>
        <w:t xml:space="preserve">ct the matter in this manner </w:t>
      </w:r>
      <w:r w:rsidR="008406AD" w:rsidRPr="008406AD">
        <w:rPr>
          <w:rFonts w:ascii="Arial" w:hAnsi="Arial" w:cs="Arial"/>
          <w:sz w:val="24"/>
          <w:szCs w:val="24"/>
        </w:rPr>
        <w:t xml:space="preserve">puts the </w:t>
      </w:r>
      <w:r w:rsidR="008406AD" w:rsidRPr="008406AD">
        <w:rPr>
          <w:rFonts w:ascii="Arial" w:hAnsi="Arial" w:cs="Arial"/>
          <w:sz w:val="24"/>
          <w:szCs w:val="24"/>
        </w:rPr>
        <w:lastRenderedPageBreak/>
        <w:t>defendants at a di</w:t>
      </w:r>
      <w:r w:rsidR="00D42A8A">
        <w:rPr>
          <w:rFonts w:ascii="Arial" w:hAnsi="Arial" w:cs="Arial"/>
          <w:sz w:val="24"/>
          <w:szCs w:val="24"/>
        </w:rPr>
        <w:t xml:space="preserve">sadvantage, which would </w:t>
      </w:r>
      <w:r w:rsidR="008406AD" w:rsidRPr="008406AD">
        <w:rPr>
          <w:rFonts w:ascii="Arial" w:hAnsi="Arial" w:cs="Arial"/>
          <w:sz w:val="24"/>
          <w:szCs w:val="24"/>
        </w:rPr>
        <w:t xml:space="preserve">be prejudicial </w:t>
      </w:r>
      <w:r w:rsidR="009A6E2C">
        <w:rPr>
          <w:rFonts w:ascii="Arial" w:hAnsi="Arial" w:cs="Arial"/>
          <w:sz w:val="24"/>
          <w:szCs w:val="24"/>
        </w:rPr>
        <w:t xml:space="preserve">to them. </w:t>
      </w:r>
      <w:r w:rsidR="008406AD" w:rsidRPr="008406AD">
        <w:rPr>
          <w:rFonts w:ascii="Arial" w:hAnsi="Arial" w:cs="Arial"/>
          <w:sz w:val="24"/>
          <w:szCs w:val="24"/>
        </w:rPr>
        <w:t>Parties who challenge the constitutionality of a provision in a statute must raise the constitutionality of the pr</w:t>
      </w:r>
      <w:r w:rsidR="00961059">
        <w:rPr>
          <w:rFonts w:ascii="Arial" w:hAnsi="Arial" w:cs="Arial"/>
          <w:sz w:val="24"/>
          <w:szCs w:val="24"/>
        </w:rPr>
        <w:t xml:space="preserve">ovision </w:t>
      </w:r>
      <w:r w:rsidR="008406AD" w:rsidRPr="008406AD">
        <w:rPr>
          <w:rFonts w:ascii="Arial" w:hAnsi="Arial" w:cs="Arial"/>
          <w:sz w:val="24"/>
          <w:szCs w:val="24"/>
        </w:rPr>
        <w:t>at the time they institute legal proceedings</w:t>
      </w:r>
      <w:r w:rsidR="009A6E2C">
        <w:rPr>
          <w:rFonts w:ascii="Arial" w:hAnsi="Arial" w:cs="Arial"/>
          <w:sz w:val="24"/>
          <w:szCs w:val="24"/>
        </w:rPr>
        <w:t>.</w:t>
      </w:r>
    </w:p>
    <w:p w14:paraId="268627A4" w14:textId="77777777" w:rsidR="00EA7942" w:rsidRDefault="00EA7942" w:rsidP="000153DB">
      <w:pPr>
        <w:spacing w:after="0" w:line="360" w:lineRule="auto"/>
        <w:jc w:val="both"/>
        <w:rPr>
          <w:rFonts w:ascii="Arial" w:hAnsi="Arial" w:cs="Arial"/>
          <w:sz w:val="24"/>
          <w:szCs w:val="24"/>
        </w:rPr>
      </w:pPr>
    </w:p>
    <w:p w14:paraId="63D950C5" w14:textId="4E8B0A31" w:rsidR="000153DB" w:rsidRPr="00E12C43" w:rsidRDefault="00EA7942" w:rsidP="000153DB">
      <w:pPr>
        <w:spacing w:after="0" w:line="360" w:lineRule="auto"/>
        <w:jc w:val="both"/>
        <w:rPr>
          <w:rFonts w:ascii="Arial" w:hAnsi="Arial" w:cs="Arial"/>
          <w:sz w:val="24"/>
          <w:szCs w:val="24"/>
        </w:rPr>
      </w:pPr>
      <w:r w:rsidRPr="00F34601">
        <w:rPr>
          <w:rFonts w:ascii="Arial" w:hAnsi="Arial" w:cs="Arial"/>
          <w:i/>
          <w:sz w:val="24"/>
          <w:szCs w:val="24"/>
        </w:rPr>
        <w:t>Held further</w:t>
      </w:r>
      <w:r>
        <w:rPr>
          <w:rFonts w:ascii="Arial" w:hAnsi="Arial" w:cs="Arial"/>
          <w:sz w:val="24"/>
          <w:szCs w:val="24"/>
        </w:rPr>
        <w:t xml:space="preserve"> that </w:t>
      </w:r>
      <w:r w:rsidR="00F34601" w:rsidRPr="00F34601">
        <w:rPr>
          <w:rFonts w:ascii="Arial" w:hAnsi="Arial" w:cs="Arial"/>
          <w:sz w:val="24"/>
          <w:szCs w:val="24"/>
        </w:rPr>
        <w:t xml:space="preserve">a proper and timeous notice of </w:t>
      </w:r>
      <w:r w:rsidR="00F34601">
        <w:rPr>
          <w:rFonts w:ascii="Arial" w:hAnsi="Arial" w:cs="Arial"/>
          <w:sz w:val="24"/>
          <w:szCs w:val="24"/>
        </w:rPr>
        <w:t xml:space="preserve">the </w:t>
      </w:r>
      <w:r w:rsidR="00F34601" w:rsidRPr="00F34601">
        <w:rPr>
          <w:rFonts w:ascii="Arial" w:hAnsi="Arial" w:cs="Arial"/>
          <w:sz w:val="24"/>
          <w:szCs w:val="24"/>
        </w:rPr>
        <w:t>intention to bring</w:t>
      </w:r>
      <w:r w:rsidR="00F34601">
        <w:rPr>
          <w:rFonts w:ascii="Arial" w:hAnsi="Arial" w:cs="Arial"/>
          <w:sz w:val="24"/>
          <w:szCs w:val="24"/>
        </w:rPr>
        <w:t xml:space="preserve"> these</w:t>
      </w:r>
      <w:r w:rsidR="00F34601" w:rsidRPr="00F34601">
        <w:rPr>
          <w:rFonts w:ascii="Arial" w:hAnsi="Arial" w:cs="Arial"/>
          <w:sz w:val="24"/>
          <w:szCs w:val="24"/>
        </w:rPr>
        <w:t xml:space="preserve"> proceedings is a pre-condition for the institution of a </w:t>
      </w:r>
      <w:r w:rsidR="00F34601">
        <w:rPr>
          <w:rFonts w:ascii="Arial" w:hAnsi="Arial" w:cs="Arial"/>
          <w:sz w:val="24"/>
          <w:szCs w:val="24"/>
        </w:rPr>
        <w:t xml:space="preserve">civil action under the Act. </w:t>
      </w:r>
      <w:r w:rsidR="001718F5">
        <w:rPr>
          <w:rFonts w:ascii="Arial" w:hAnsi="Arial" w:cs="Arial"/>
          <w:sz w:val="24"/>
          <w:szCs w:val="24"/>
        </w:rPr>
        <w:t xml:space="preserve">The purpose of such a notice </w:t>
      </w:r>
      <w:r w:rsidR="00F34601" w:rsidRPr="00F34601">
        <w:rPr>
          <w:rFonts w:ascii="Arial" w:hAnsi="Arial" w:cs="Arial"/>
          <w:sz w:val="24"/>
          <w:szCs w:val="24"/>
        </w:rPr>
        <w:t>is</w:t>
      </w:r>
      <w:r w:rsidR="00D402A2">
        <w:rPr>
          <w:rFonts w:ascii="Arial" w:hAnsi="Arial" w:cs="Arial"/>
          <w:sz w:val="24"/>
          <w:szCs w:val="24"/>
        </w:rPr>
        <w:t xml:space="preserve"> to ensure that the State </w:t>
      </w:r>
      <w:r w:rsidR="00F34601" w:rsidRPr="00F34601">
        <w:rPr>
          <w:rFonts w:ascii="Arial" w:hAnsi="Arial" w:cs="Arial"/>
          <w:sz w:val="24"/>
          <w:szCs w:val="24"/>
        </w:rPr>
        <w:t>receives warning of the contemplated action and is given sufficient inform</w:t>
      </w:r>
      <w:r w:rsidR="008026CD">
        <w:rPr>
          <w:rFonts w:ascii="Arial" w:hAnsi="Arial" w:cs="Arial"/>
          <w:sz w:val="24"/>
          <w:szCs w:val="24"/>
        </w:rPr>
        <w:t xml:space="preserve">ation so as to enable it </w:t>
      </w:r>
      <w:r w:rsidR="00F34601" w:rsidRPr="00F34601">
        <w:rPr>
          <w:rFonts w:ascii="Arial" w:hAnsi="Arial" w:cs="Arial"/>
          <w:sz w:val="24"/>
          <w:szCs w:val="24"/>
        </w:rPr>
        <w:t>to ascertain the facts and consider them</w:t>
      </w:r>
      <w:r w:rsidR="008026CD">
        <w:rPr>
          <w:rFonts w:ascii="Arial" w:hAnsi="Arial" w:cs="Arial"/>
          <w:sz w:val="24"/>
          <w:szCs w:val="24"/>
        </w:rPr>
        <w:t>.</w:t>
      </w:r>
      <w:r w:rsidR="00E12C43">
        <w:rPr>
          <w:rFonts w:ascii="Arial" w:hAnsi="Arial" w:cs="Arial"/>
          <w:sz w:val="24"/>
          <w:szCs w:val="24"/>
        </w:rPr>
        <w:t xml:space="preserve"> </w:t>
      </w:r>
      <w:r w:rsidR="00575257">
        <w:rPr>
          <w:rFonts w:ascii="Arial" w:hAnsi="Arial" w:cs="Arial"/>
          <w:sz w:val="24"/>
          <w:szCs w:val="24"/>
        </w:rPr>
        <w:t xml:space="preserve">It was therefore held that </w:t>
      </w:r>
      <w:r w:rsidR="00BD49CD">
        <w:rPr>
          <w:rFonts w:ascii="Arial" w:hAnsi="Arial" w:cs="Arial"/>
          <w:sz w:val="24"/>
          <w:szCs w:val="24"/>
        </w:rPr>
        <w:t>defendants’</w:t>
      </w:r>
      <w:r w:rsidR="00E12C43">
        <w:rPr>
          <w:rFonts w:ascii="Arial" w:hAnsi="Arial" w:cs="Arial"/>
          <w:sz w:val="24"/>
          <w:szCs w:val="24"/>
        </w:rPr>
        <w:t xml:space="preserve"> exceptions are therefore upheld with costs. </w:t>
      </w:r>
    </w:p>
    <w:p w14:paraId="027CF3BF" w14:textId="77777777" w:rsidR="00254EF4" w:rsidRPr="0067773A" w:rsidRDefault="00254EF4" w:rsidP="000153DB">
      <w:pPr>
        <w:spacing w:after="0" w:line="360" w:lineRule="auto"/>
        <w:jc w:val="both"/>
        <w:rPr>
          <w:rFonts w:ascii="Arial" w:hAnsi="Arial" w:cs="Arial"/>
          <w:b/>
          <w:sz w:val="24"/>
          <w:szCs w:val="24"/>
        </w:rPr>
      </w:pPr>
    </w:p>
    <w:p w14:paraId="22FC739A" w14:textId="77777777" w:rsidR="000153DB" w:rsidRPr="006E026B" w:rsidRDefault="000C3B64" w:rsidP="000153DB">
      <w:pPr>
        <w:spacing w:after="0" w:line="360" w:lineRule="auto"/>
        <w:jc w:val="both"/>
        <w:rPr>
          <w:rFonts w:ascii="Arial" w:hAnsi="Arial" w:cs="Arial"/>
          <w:bCs/>
          <w:sz w:val="24"/>
          <w:szCs w:val="24"/>
        </w:rPr>
      </w:pPr>
      <w:r>
        <w:rPr>
          <w:rFonts w:ascii="Arial" w:hAnsi="Arial" w:cs="Arial"/>
          <w:bCs/>
          <w:sz w:val="24"/>
          <w:szCs w:val="24"/>
        </w:rPr>
        <w:pict w14:anchorId="24148878">
          <v:rect id="_x0000_i1025" style="width:0;height:1.5pt" o:hralign="center" o:hrstd="t" o:hr="t" fillcolor="#a0a0a0" stroked="f"/>
        </w:pict>
      </w:r>
    </w:p>
    <w:p w14:paraId="49EBB336" w14:textId="77777777" w:rsidR="000153DB" w:rsidRPr="006E026B" w:rsidRDefault="000153DB" w:rsidP="000153DB">
      <w:pPr>
        <w:spacing w:after="0" w:line="360" w:lineRule="auto"/>
        <w:jc w:val="center"/>
        <w:rPr>
          <w:rFonts w:ascii="Arial" w:hAnsi="Arial" w:cs="Arial"/>
          <w:b/>
          <w:bCs/>
          <w:sz w:val="24"/>
          <w:szCs w:val="24"/>
        </w:rPr>
      </w:pPr>
      <w:r w:rsidRPr="006E026B">
        <w:rPr>
          <w:rFonts w:ascii="Arial" w:hAnsi="Arial" w:cs="Arial"/>
          <w:b/>
          <w:bCs/>
          <w:sz w:val="24"/>
          <w:szCs w:val="24"/>
        </w:rPr>
        <w:t>ORDER</w:t>
      </w:r>
    </w:p>
    <w:p w14:paraId="7246F768" w14:textId="77777777" w:rsidR="000153DB" w:rsidRPr="00890D23" w:rsidRDefault="000C3B64" w:rsidP="000153DB">
      <w:pPr>
        <w:spacing w:after="0" w:line="360" w:lineRule="auto"/>
        <w:jc w:val="center"/>
        <w:rPr>
          <w:rFonts w:ascii="Arial" w:hAnsi="Arial" w:cs="Arial"/>
          <w:b/>
          <w:bCs/>
          <w:sz w:val="24"/>
          <w:szCs w:val="24"/>
        </w:rPr>
      </w:pPr>
      <w:r>
        <w:rPr>
          <w:rFonts w:ascii="Arial" w:hAnsi="Arial" w:cs="Arial"/>
          <w:bCs/>
          <w:sz w:val="24"/>
          <w:szCs w:val="24"/>
        </w:rPr>
        <w:pict w14:anchorId="42C4356A">
          <v:rect id="_x0000_i1026" style="width:0;height:1.5pt" o:hralign="center" o:hrstd="t" o:hr="t" fillcolor="#a0a0a0" stroked="f"/>
        </w:pict>
      </w:r>
    </w:p>
    <w:p w14:paraId="2CC591BA" w14:textId="77777777" w:rsidR="00324E28" w:rsidRDefault="00324E28" w:rsidP="00EC28F2">
      <w:pPr>
        <w:spacing w:after="0" w:line="360" w:lineRule="auto"/>
        <w:ind w:left="720" w:hanging="720"/>
        <w:jc w:val="both"/>
        <w:rPr>
          <w:rFonts w:ascii="Arial" w:hAnsi="Arial" w:cs="Arial"/>
          <w:sz w:val="24"/>
          <w:szCs w:val="24"/>
        </w:rPr>
      </w:pPr>
    </w:p>
    <w:p w14:paraId="156D3745" w14:textId="3A92293E" w:rsidR="00E62FFD" w:rsidRDefault="00E62FFD" w:rsidP="00EC28F2">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exception</w:t>
      </w:r>
      <w:r w:rsidR="00EC28F2">
        <w:rPr>
          <w:rFonts w:ascii="Arial" w:hAnsi="Arial" w:cs="Arial"/>
          <w:sz w:val="24"/>
          <w:szCs w:val="24"/>
        </w:rPr>
        <w:t>s are</w:t>
      </w:r>
      <w:r>
        <w:rPr>
          <w:rFonts w:ascii="Arial" w:hAnsi="Arial" w:cs="Arial"/>
          <w:sz w:val="24"/>
          <w:szCs w:val="24"/>
        </w:rPr>
        <w:t xml:space="preserve"> upheld with costs.</w:t>
      </w:r>
    </w:p>
    <w:p w14:paraId="19EE1B0D" w14:textId="77777777" w:rsidR="00E62FFD" w:rsidRDefault="00E62FFD" w:rsidP="00E62FFD">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is afforded 10 days to amend its particulars of claim, if it so advised, failing which the defendant is granted leave to apply for the dismissal of the plaintiff’s action within 10 days of the expiry of the aforesaid 10 day period afforded to the plaintiff.</w:t>
      </w:r>
    </w:p>
    <w:p w14:paraId="5E90720D" w14:textId="77777777" w:rsidR="00E62FFD" w:rsidRPr="00090E5C" w:rsidRDefault="00E62FFD" w:rsidP="00E62FFD">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postponed to </w:t>
      </w:r>
      <w:r>
        <w:rPr>
          <w:rFonts w:ascii="Arial" w:hAnsi="Arial" w:cs="Arial"/>
          <w:b/>
          <w:sz w:val="24"/>
          <w:szCs w:val="24"/>
        </w:rPr>
        <w:t>14 March</w:t>
      </w:r>
      <w:r w:rsidRPr="00FA4CA8">
        <w:rPr>
          <w:rFonts w:ascii="Arial" w:hAnsi="Arial" w:cs="Arial"/>
          <w:b/>
          <w:sz w:val="24"/>
          <w:szCs w:val="24"/>
        </w:rPr>
        <w:t xml:space="preserve"> 201</w:t>
      </w:r>
      <w:r>
        <w:rPr>
          <w:rFonts w:ascii="Arial" w:hAnsi="Arial" w:cs="Arial"/>
          <w:b/>
          <w:sz w:val="24"/>
          <w:szCs w:val="24"/>
        </w:rPr>
        <w:t>9</w:t>
      </w:r>
      <w:r>
        <w:rPr>
          <w:rFonts w:ascii="Arial" w:hAnsi="Arial" w:cs="Arial"/>
          <w:sz w:val="24"/>
          <w:szCs w:val="24"/>
        </w:rPr>
        <w:t xml:space="preserve"> at </w:t>
      </w:r>
      <w:r>
        <w:rPr>
          <w:rFonts w:ascii="Arial" w:hAnsi="Arial" w:cs="Arial"/>
          <w:b/>
          <w:sz w:val="24"/>
          <w:szCs w:val="24"/>
        </w:rPr>
        <w:t>15:00</w:t>
      </w:r>
      <w:r>
        <w:rPr>
          <w:rFonts w:ascii="Arial" w:hAnsi="Arial" w:cs="Arial"/>
          <w:sz w:val="24"/>
          <w:szCs w:val="24"/>
        </w:rPr>
        <w:t xml:space="preserve"> for a status hearing.</w:t>
      </w:r>
    </w:p>
    <w:p w14:paraId="66743CA1" w14:textId="77777777" w:rsidR="000153DB" w:rsidRPr="00275D38" w:rsidRDefault="000153DB" w:rsidP="000153DB">
      <w:pPr>
        <w:spacing w:after="0" w:line="360" w:lineRule="auto"/>
        <w:jc w:val="both"/>
        <w:rPr>
          <w:rFonts w:ascii="Arial" w:hAnsi="Arial" w:cs="Arial"/>
          <w:sz w:val="24"/>
        </w:rPr>
      </w:pPr>
    </w:p>
    <w:p w14:paraId="1446D983" w14:textId="77777777" w:rsidR="000153DB" w:rsidRPr="006E026B" w:rsidRDefault="000C3B64" w:rsidP="000153DB">
      <w:pPr>
        <w:spacing w:after="0" w:line="360" w:lineRule="auto"/>
        <w:jc w:val="both"/>
        <w:rPr>
          <w:rFonts w:ascii="Arial" w:hAnsi="Arial" w:cs="Arial"/>
          <w:bCs/>
          <w:sz w:val="24"/>
          <w:szCs w:val="24"/>
        </w:rPr>
      </w:pPr>
      <w:r>
        <w:rPr>
          <w:rFonts w:ascii="Arial" w:hAnsi="Arial" w:cs="Arial"/>
          <w:bCs/>
          <w:sz w:val="24"/>
          <w:szCs w:val="24"/>
        </w:rPr>
        <w:pict w14:anchorId="7C420AD5">
          <v:rect id="_x0000_i1027" style="width:0;height:1.5pt" o:hralign="center" o:hrstd="t" o:hr="t" fillcolor="#a0a0a0" stroked="f"/>
        </w:pict>
      </w:r>
    </w:p>
    <w:p w14:paraId="7D133514" w14:textId="77777777" w:rsidR="000153DB" w:rsidRPr="006E026B" w:rsidRDefault="000153DB" w:rsidP="000153DB">
      <w:pPr>
        <w:spacing w:after="0" w:line="360" w:lineRule="auto"/>
        <w:jc w:val="center"/>
        <w:rPr>
          <w:rFonts w:ascii="Arial" w:hAnsi="Arial" w:cs="Arial"/>
          <w:b/>
          <w:sz w:val="24"/>
          <w:szCs w:val="24"/>
        </w:rPr>
      </w:pPr>
      <w:r>
        <w:rPr>
          <w:rFonts w:ascii="Arial" w:hAnsi="Arial" w:cs="Arial"/>
          <w:b/>
          <w:sz w:val="24"/>
          <w:szCs w:val="24"/>
        </w:rPr>
        <w:t>JUDGMENT</w:t>
      </w:r>
    </w:p>
    <w:p w14:paraId="64E82CD6" w14:textId="77777777" w:rsidR="000153DB" w:rsidRPr="006D28B1" w:rsidRDefault="000C3B64" w:rsidP="000153DB">
      <w:pPr>
        <w:spacing w:after="0" w:line="360" w:lineRule="auto"/>
        <w:jc w:val="center"/>
        <w:rPr>
          <w:rFonts w:ascii="Arial" w:hAnsi="Arial" w:cs="Arial"/>
          <w:b/>
          <w:sz w:val="24"/>
          <w:szCs w:val="24"/>
        </w:rPr>
      </w:pPr>
      <w:r>
        <w:rPr>
          <w:rFonts w:ascii="Arial" w:hAnsi="Arial" w:cs="Arial"/>
          <w:bCs/>
          <w:sz w:val="24"/>
          <w:szCs w:val="24"/>
        </w:rPr>
        <w:pict w14:anchorId="0CA679BB">
          <v:rect id="_x0000_i1028" style="width:0;height:1.5pt" o:hralign="center" o:hrstd="t" o:hr="t" fillcolor="#a0a0a0" stroked="f"/>
        </w:pict>
      </w:r>
    </w:p>
    <w:p w14:paraId="3A0CEF39" w14:textId="77777777" w:rsidR="000153DB" w:rsidRPr="006E026B" w:rsidRDefault="000153DB" w:rsidP="000153DB">
      <w:pPr>
        <w:spacing w:after="0" w:line="360" w:lineRule="auto"/>
        <w:ind w:left="1440" w:hanging="1440"/>
        <w:jc w:val="both"/>
        <w:rPr>
          <w:rFonts w:ascii="Arial" w:hAnsi="Arial" w:cs="Arial"/>
          <w:sz w:val="24"/>
          <w:szCs w:val="24"/>
        </w:rPr>
      </w:pPr>
    </w:p>
    <w:p w14:paraId="1D42439D" w14:textId="77777777" w:rsidR="00212D44" w:rsidRDefault="000153DB" w:rsidP="000153DB">
      <w:pPr>
        <w:spacing w:after="0" w:line="360" w:lineRule="auto"/>
        <w:ind w:left="1440" w:hanging="1440"/>
        <w:jc w:val="both"/>
        <w:rPr>
          <w:rFonts w:ascii="Arial" w:hAnsi="Arial" w:cs="Arial"/>
          <w:sz w:val="24"/>
          <w:szCs w:val="24"/>
        </w:rPr>
      </w:pPr>
      <w:r>
        <w:rPr>
          <w:rFonts w:ascii="Arial" w:hAnsi="Arial" w:cs="Arial"/>
          <w:sz w:val="24"/>
          <w:szCs w:val="24"/>
        </w:rPr>
        <w:t>PRINSLOO J</w:t>
      </w:r>
    </w:p>
    <w:p w14:paraId="122892B6" w14:textId="77777777" w:rsidR="00212D44" w:rsidRDefault="00212D44" w:rsidP="000153DB">
      <w:pPr>
        <w:spacing w:after="0" w:line="360" w:lineRule="auto"/>
        <w:ind w:left="1440" w:hanging="1440"/>
        <w:jc w:val="both"/>
        <w:rPr>
          <w:rFonts w:ascii="Arial" w:hAnsi="Arial" w:cs="Arial"/>
          <w:sz w:val="24"/>
          <w:szCs w:val="24"/>
        </w:rPr>
      </w:pPr>
    </w:p>
    <w:p w14:paraId="39911E31" w14:textId="1444F549" w:rsidR="000153DB" w:rsidRPr="00EC28F2" w:rsidRDefault="00212D44" w:rsidP="000153DB">
      <w:pPr>
        <w:spacing w:after="0" w:line="360" w:lineRule="auto"/>
        <w:ind w:left="1440" w:hanging="1440"/>
        <w:jc w:val="both"/>
        <w:rPr>
          <w:rFonts w:ascii="Arial" w:hAnsi="Arial" w:cs="Arial"/>
          <w:b/>
          <w:i/>
          <w:sz w:val="24"/>
          <w:szCs w:val="24"/>
          <w:u w:val="single"/>
        </w:rPr>
      </w:pPr>
      <w:r w:rsidRPr="00EC28F2">
        <w:rPr>
          <w:rFonts w:ascii="Arial" w:hAnsi="Arial" w:cs="Arial"/>
          <w:sz w:val="24"/>
          <w:szCs w:val="24"/>
          <w:u w:val="single"/>
        </w:rPr>
        <w:t xml:space="preserve">Introduction </w:t>
      </w:r>
    </w:p>
    <w:p w14:paraId="0F4021FC" w14:textId="77777777" w:rsidR="000153DB" w:rsidRDefault="000153DB" w:rsidP="000153DB">
      <w:pPr>
        <w:spacing w:after="0" w:line="360" w:lineRule="auto"/>
        <w:jc w:val="both"/>
        <w:rPr>
          <w:rFonts w:ascii="Arial" w:hAnsi="Arial" w:cs="Arial"/>
          <w:sz w:val="24"/>
          <w:szCs w:val="24"/>
        </w:rPr>
      </w:pPr>
      <w:r w:rsidRPr="00E72DA6">
        <w:rPr>
          <w:rFonts w:ascii="Arial" w:hAnsi="Arial" w:cs="Arial"/>
          <w:sz w:val="24"/>
          <w:szCs w:val="24"/>
        </w:rPr>
        <w:t xml:space="preserve">                                                                                                                                                                                                                                                                                                                                                                                                                                                                                                                                                                                                                                                                                                                                                                                                                                                                                                                                                                                                                                                                                                                                                                                                                                                                                                                                                                                                                                                                                                                                                                                                                                                                                                                                                                                                          [1]</w:t>
      </w:r>
      <w:r w:rsidRPr="00E72DA6">
        <w:rPr>
          <w:rFonts w:ascii="Arial" w:hAnsi="Arial" w:cs="Arial"/>
          <w:sz w:val="24"/>
          <w:szCs w:val="24"/>
        </w:rPr>
        <w:tab/>
      </w:r>
      <w:r>
        <w:rPr>
          <w:rFonts w:ascii="Arial" w:hAnsi="Arial" w:cs="Arial"/>
          <w:sz w:val="24"/>
          <w:szCs w:val="24"/>
        </w:rPr>
        <w:t xml:space="preserve"> </w:t>
      </w:r>
      <w:r w:rsidR="001B3856">
        <w:rPr>
          <w:rFonts w:ascii="Arial" w:hAnsi="Arial" w:cs="Arial"/>
          <w:sz w:val="24"/>
          <w:szCs w:val="24"/>
        </w:rPr>
        <w:t xml:space="preserve">The plaintiff instituted a claim against the defendants for assault allegedly perpetrated by the </w:t>
      </w:r>
      <w:r w:rsidR="009420B6">
        <w:rPr>
          <w:rFonts w:ascii="Arial" w:hAnsi="Arial" w:cs="Arial"/>
          <w:sz w:val="24"/>
          <w:szCs w:val="24"/>
        </w:rPr>
        <w:t>members of the second defendant</w:t>
      </w:r>
      <w:r w:rsidR="001B3856">
        <w:rPr>
          <w:rFonts w:ascii="Arial" w:hAnsi="Arial" w:cs="Arial"/>
          <w:sz w:val="24"/>
          <w:szCs w:val="24"/>
        </w:rPr>
        <w:t xml:space="preserve">. The plaintiff is currently serving his sentence in the Namibian Correctional Facility, specifically the Windhoek Central Prison. </w:t>
      </w:r>
    </w:p>
    <w:p w14:paraId="2A646E68" w14:textId="77777777" w:rsidR="00896608" w:rsidRDefault="00896608" w:rsidP="000153DB">
      <w:pPr>
        <w:spacing w:after="0" w:line="360" w:lineRule="auto"/>
        <w:jc w:val="both"/>
        <w:rPr>
          <w:rFonts w:ascii="Arial" w:hAnsi="Arial" w:cs="Arial"/>
          <w:sz w:val="24"/>
          <w:szCs w:val="24"/>
        </w:rPr>
      </w:pPr>
    </w:p>
    <w:p w14:paraId="69EC458C" w14:textId="77777777" w:rsidR="00F77E9E" w:rsidRPr="009D5D17" w:rsidRDefault="00F77E9E" w:rsidP="000153DB">
      <w:pPr>
        <w:spacing w:after="0" w:line="360" w:lineRule="auto"/>
        <w:jc w:val="both"/>
        <w:rPr>
          <w:rFonts w:ascii="Arial" w:hAnsi="Arial" w:cs="Arial"/>
          <w:szCs w:val="24"/>
        </w:rPr>
      </w:pPr>
      <w:r>
        <w:rPr>
          <w:rFonts w:ascii="Arial" w:hAnsi="Arial" w:cs="Arial"/>
          <w:sz w:val="24"/>
          <w:szCs w:val="24"/>
        </w:rPr>
        <w:lastRenderedPageBreak/>
        <w:t>[</w:t>
      </w:r>
      <w:r w:rsidR="00E62FFD">
        <w:rPr>
          <w:rFonts w:ascii="Arial" w:hAnsi="Arial" w:cs="Arial"/>
          <w:sz w:val="24"/>
          <w:szCs w:val="24"/>
        </w:rPr>
        <w:t>2</w:t>
      </w:r>
      <w:r>
        <w:rPr>
          <w:rFonts w:ascii="Arial" w:hAnsi="Arial" w:cs="Arial"/>
          <w:sz w:val="24"/>
          <w:szCs w:val="24"/>
        </w:rPr>
        <w:t>]</w:t>
      </w:r>
      <w:r>
        <w:rPr>
          <w:rFonts w:ascii="Arial" w:hAnsi="Arial" w:cs="Arial"/>
          <w:sz w:val="24"/>
          <w:szCs w:val="24"/>
        </w:rPr>
        <w:tab/>
        <w:t xml:space="preserve">Parties will be referred </w:t>
      </w:r>
      <w:r w:rsidR="00E62FFD">
        <w:rPr>
          <w:rFonts w:ascii="Arial" w:hAnsi="Arial" w:cs="Arial"/>
          <w:sz w:val="24"/>
          <w:szCs w:val="24"/>
        </w:rPr>
        <w:t xml:space="preserve">to </w:t>
      </w:r>
      <w:r>
        <w:rPr>
          <w:rFonts w:ascii="Arial" w:hAnsi="Arial" w:cs="Arial"/>
          <w:sz w:val="24"/>
          <w:szCs w:val="24"/>
        </w:rPr>
        <w:t xml:space="preserve">as they are in the main action. </w:t>
      </w:r>
    </w:p>
    <w:p w14:paraId="28350DC9" w14:textId="77777777" w:rsidR="000153DB" w:rsidRDefault="000153DB" w:rsidP="000153DB">
      <w:pPr>
        <w:spacing w:after="0" w:line="360" w:lineRule="auto"/>
        <w:jc w:val="both"/>
        <w:rPr>
          <w:rFonts w:ascii="Arial" w:hAnsi="Arial" w:cs="Arial"/>
          <w:sz w:val="24"/>
          <w:szCs w:val="24"/>
        </w:rPr>
      </w:pPr>
    </w:p>
    <w:p w14:paraId="165EB083" w14:textId="77777777" w:rsidR="000153DB" w:rsidRDefault="000153DB" w:rsidP="000153DB">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3</w:t>
      </w:r>
      <w:r>
        <w:rPr>
          <w:rFonts w:ascii="Arial" w:hAnsi="Arial" w:cs="Arial"/>
          <w:sz w:val="24"/>
          <w:szCs w:val="24"/>
        </w:rPr>
        <w:t>]</w:t>
      </w:r>
      <w:r>
        <w:rPr>
          <w:rFonts w:ascii="Arial" w:hAnsi="Arial" w:cs="Arial"/>
          <w:sz w:val="24"/>
          <w:szCs w:val="24"/>
        </w:rPr>
        <w:tab/>
      </w:r>
      <w:r w:rsidR="00011595">
        <w:rPr>
          <w:rFonts w:ascii="Arial" w:hAnsi="Arial" w:cs="Arial"/>
          <w:sz w:val="24"/>
          <w:szCs w:val="24"/>
        </w:rPr>
        <w:t>T</w:t>
      </w:r>
      <w:r w:rsidR="009420B6">
        <w:rPr>
          <w:rFonts w:ascii="Arial" w:hAnsi="Arial" w:cs="Arial"/>
          <w:sz w:val="24"/>
          <w:szCs w:val="24"/>
        </w:rPr>
        <w:t xml:space="preserve">he defendants raised an exception </w:t>
      </w:r>
      <w:r w:rsidR="00E62FFD">
        <w:rPr>
          <w:rFonts w:ascii="Arial" w:hAnsi="Arial" w:cs="Arial"/>
          <w:sz w:val="24"/>
          <w:szCs w:val="24"/>
        </w:rPr>
        <w:t>to</w:t>
      </w:r>
      <w:r w:rsidR="009420B6">
        <w:rPr>
          <w:rFonts w:ascii="Arial" w:hAnsi="Arial" w:cs="Arial"/>
          <w:sz w:val="24"/>
          <w:szCs w:val="24"/>
        </w:rPr>
        <w:t xml:space="preserve"> the claim filed by the plaintiff on the following basis:</w:t>
      </w:r>
    </w:p>
    <w:p w14:paraId="49A658EC" w14:textId="77777777" w:rsidR="009420B6" w:rsidRDefault="009420B6" w:rsidP="000153DB">
      <w:pPr>
        <w:spacing w:after="0" w:line="360" w:lineRule="auto"/>
        <w:jc w:val="both"/>
        <w:rPr>
          <w:rFonts w:ascii="Arial" w:hAnsi="Arial" w:cs="Arial"/>
          <w:sz w:val="24"/>
          <w:szCs w:val="24"/>
        </w:rPr>
      </w:pPr>
    </w:p>
    <w:p w14:paraId="0DAE2C94" w14:textId="60C26E70" w:rsidR="009420B6" w:rsidRPr="00011595" w:rsidRDefault="00623198" w:rsidP="00ED0A8A">
      <w:pPr>
        <w:spacing w:after="0" w:line="360" w:lineRule="auto"/>
        <w:jc w:val="both"/>
        <w:rPr>
          <w:rFonts w:ascii="Arial" w:hAnsi="Arial" w:cs="Arial"/>
        </w:rPr>
      </w:pPr>
      <w:r>
        <w:rPr>
          <w:rFonts w:ascii="Arial" w:hAnsi="Arial" w:cs="Arial"/>
        </w:rPr>
        <w:tab/>
      </w:r>
      <w:r w:rsidR="00011595">
        <w:rPr>
          <w:rFonts w:ascii="Arial" w:hAnsi="Arial" w:cs="Arial"/>
        </w:rPr>
        <w:t>‘</w:t>
      </w:r>
      <w:r w:rsidR="009420B6" w:rsidRPr="00011595">
        <w:rPr>
          <w:rFonts w:ascii="Arial" w:hAnsi="Arial" w:cs="Arial"/>
        </w:rPr>
        <w:t>a)</w:t>
      </w:r>
      <w:r w:rsidR="00ED0A8A">
        <w:rPr>
          <w:rFonts w:ascii="Arial" w:hAnsi="Arial" w:cs="Arial"/>
        </w:rPr>
        <w:t xml:space="preserve"> </w:t>
      </w:r>
      <w:r w:rsidR="00011595" w:rsidRPr="00011595">
        <w:rPr>
          <w:rFonts w:ascii="Arial" w:hAnsi="Arial" w:cs="Arial"/>
        </w:rPr>
        <w:t>In terms of Section 133(3)</w:t>
      </w:r>
      <w:r w:rsidR="00B95EAB">
        <w:rPr>
          <w:rStyle w:val="FootnoteReference"/>
          <w:rFonts w:ascii="Arial" w:hAnsi="Arial"/>
        </w:rPr>
        <w:footnoteReference w:id="1"/>
      </w:r>
      <w:r w:rsidR="00011595" w:rsidRPr="00011595">
        <w:rPr>
          <w:rFonts w:ascii="Arial" w:hAnsi="Arial" w:cs="Arial"/>
        </w:rPr>
        <w:t xml:space="preserve"> of the Correctional Services Act 9 of 2012 (the Act) the cause of action has been brought outside the 6 month period.</w:t>
      </w:r>
    </w:p>
    <w:p w14:paraId="6DF0F13F" w14:textId="139EB533" w:rsidR="00B51D1A" w:rsidRPr="00011595" w:rsidRDefault="00B51D1A" w:rsidP="00ED0A8A">
      <w:pPr>
        <w:spacing w:after="0" w:line="360" w:lineRule="auto"/>
        <w:jc w:val="both"/>
        <w:rPr>
          <w:rFonts w:ascii="Arial" w:hAnsi="Arial" w:cs="Arial"/>
        </w:rPr>
      </w:pPr>
      <w:r w:rsidRPr="00011595">
        <w:rPr>
          <w:rFonts w:ascii="Arial" w:hAnsi="Arial" w:cs="Arial"/>
        </w:rPr>
        <w:t>b)</w:t>
      </w:r>
      <w:r w:rsidR="00ED0A8A">
        <w:rPr>
          <w:rFonts w:ascii="Arial" w:hAnsi="Arial" w:cs="Arial"/>
        </w:rPr>
        <w:t xml:space="preserve"> </w:t>
      </w:r>
      <w:r w:rsidR="00011595" w:rsidRPr="00011595">
        <w:rPr>
          <w:rFonts w:ascii="Arial" w:hAnsi="Arial" w:cs="Arial"/>
        </w:rPr>
        <w:t>The plaintiff did not provide statutory notice of 1 month prior to the institution of these proceedings in contravention of Section 133(4)</w:t>
      </w:r>
      <w:r w:rsidR="00B95EAB">
        <w:rPr>
          <w:rStyle w:val="FootnoteReference"/>
          <w:rFonts w:ascii="Arial" w:hAnsi="Arial"/>
        </w:rPr>
        <w:footnoteReference w:id="2"/>
      </w:r>
      <w:r w:rsidR="00011595" w:rsidRPr="00011595">
        <w:rPr>
          <w:rFonts w:ascii="Arial" w:hAnsi="Arial" w:cs="Arial"/>
        </w:rPr>
        <w:t xml:space="preserve"> of the Act</w:t>
      </w:r>
      <w:r w:rsidRPr="00011595">
        <w:rPr>
          <w:rFonts w:ascii="Arial" w:hAnsi="Arial" w:cs="Arial"/>
        </w:rPr>
        <w:t xml:space="preserve">. </w:t>
      </w:r>
    </w:p>
    <w:p w14:paraId="4F63E2AA" w14:textId="4A9A1C13" w:rsidR="00011595" w:rsidRPr="00011595" w:rsidRDefault="00011595" w:rsidP="00ED0A8A">
      <w:pPr>
        <w:spacing w:after="0" w:line="360" w:lineRule="auto"/>
        <w:jc w:val="both"/>
        <w:rPr>
          <w:rFonts w:ascii="Arial" w:hAnsi="Arial" w:cs="Arial"/>
        </w:rPr>
      </w:pPr>
      <w:r w:rsidRPr="00011595">
        <w:rPr>
          <w:rFonts w:ascii="Arial" w:hAnsi="Arial" w:cs="Arial"/>
        </w:rPr>
        <w:t>c)</w:t>
      </w:r>
      <w:r w:rsidR="00ED0A8A">
        <w:rPr>
          <w:rFonts w:ascii="Arial" w:hAnsi="Arial" w:cs="Arial"/>
        </w:rPr>
        <w:t xml:space="preserve"> </w:t>
      </w:r>
      <w:r w:rsidRPr="00011595">
        <w:rPr>
          <w:rFonts w:ascii="Arial" w:hAnsi="Arial" w:cs="Arial"/>
        </w:rPr>
        <w:t>The particulars of claim contains legal definitions of assault and is drafted from heads of argument and does not s</w:t>
      </w:r>
      <w:r>
        <w:rPr>
          <w:rFonts w:ascii="Arial" w:hAnsi="Arial" w:cs="Arial"/>
        </w:rPr>
        <w:t>tate how the quantum is derived.’</w:t>
      </w:r>
    </w:p>
    <w:p w14:paraId="45FB796F" w14:textId="77777777" w:rsidR="000153DB" w:rsidRDefault="000153DB" w:rsidP="000153DB">
      <w:pPr>
        <w:spacing w:after="0" w:line="360" w:lineRule="auto"/>
        <w:jc w:val="both"/>
        <w:rPr>
          <w:rFonts w:ascii="Arial" w:hAnsi="Arial" w:cs="Arial"/>
          <w:i/>
          <w:sz w:val="24"/>
          <w:szCs w:val="24"/>
        </w:rPr>
      </w:pPr>
    </w:p>
    <w:p w14:paraId="5B6E83D2" w14:textId="77777777" w:rsidR="000153DB" w:rsidRDefault="000153DB" w:rsidP="000153DB">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4</w:t>
      </w:r>
      <w:r>
        <w:rPr>
          <w:rFonts w:ascii="Arial" w:hAnsi="Arial" w:cs="Arial"/>
          <w:sz w:val="24"/>
          <w:szCs w:val="24"/>
        </w:rPr>
        <w:t>]</w:t>
      </w:r>
      <w:r w:rsidR="00CC33E7">
        <w:rPr>
          <w:rFonts w:ascii="Arial" w:hAnsi="Arial" w:cs="Arial"/>
          <w:sz w:val="24"/>
          <w:szCs w:val="24"/>
        </w:rPr>
        <w:tab/>
        <w:t xml:space="preserve">In the result, proceedings came to a </w:t>
      </w:r>
      <w:r w:rsidR="00F77E9E">
        <w:rPr>
          <w:rFonts w:ascii="Arial" w:hAnsi="Arial" w:cs="Arial"/>
          <w:sz w:val="24"/>
          <w:szCs w:val="24"/>
        </w:rPr>
        <w:t>halt</w:t>
      </w:r>
      <w:r w:rsidR="00CC33E7">
        <w:rPr>
          <w:rFonts w:ascii="Arial" w:hAnsi="Arial" w:cs="Arial"/>
          <w:sz w:val="24"/>
          <w:szCs w:val="24"/>
        </w:rPr>
        <w:t xml:space="preserve"> pending the determination of the exception</w:t>
      </w:r>
      <w:r w:rsidR="00F77E9E">
        <w:rPr>
          <w:rFonts w:ascii="Arial" w:hAnsi="Arial" w:cs="Arial"/>
          <w:sz w:val="24"/>
          <w:szCs w:val="24"/>
        </w:rPr>
        <w:t>s</w:t>
      </w:r>
      <w:r w:rsidR="00CC33E7">
        <w:rPr>
          <w:rFonts w:ascii="Arial" w:hAnsi="Arial" w:cs="Arial"/>
          <w:sz w:val="24"/>
          <w:szCs w:val="24"/>
        </w:rPr>
        <w:t xml:space="preserve"> raised.</w:t>
      </w:r>
      <w:r>
        <w:rPr>
          <w:rFonts w:ascii="Arial" w:hAnsi="Arial" w:cs="Arial"/>
          <w:sz w:val="24"/>
          <w:szCs w:val="24"/>
        </w:rPr>
        <w:tab/>
        <w:t xml:space="preserve"> </w:t>
      </w:r>
    </w:p>
    <w:p w14:paraId="39C3E9BA" w14:textId="77777777" w:rsidR="00E62FFD" w:rsidRDefault="00E62FFD" w:rsidP="00304342">
      <w:pPr>
        <w:spacing w:after="0" w:line="360" w:lineRule="auto"/>
        <w:jc w:val="both"/>
        <w:rPr>
          <w:rFonts w:ascii="Arial" w:hAnsi="Arial" w:cs="Arial"/>
          <w:sz w:val="24"/>
          <w:szCs w:val="24"/>
        </w:rPr>
      </w:pPr>
    </w:p>
    <w:p w14:paraId="2BEA67A1" w14:textId="77777777" w:rsidR="00304342" w:rsidRDefault="00304342" w:rsidP="00304342">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5</w:t>
      </w:r>
      <w:r>
        <w:rPr>
          <w:rFonts w:ascii="Arial" w:hAnsi="Arial" w:cs="Arial"/>
          <w:sz w:val="24"/>
          <w:szCs w:val="24"/>
        </w:rPr>
        <w:t>]</w:t>
      </w:r>
      <w:r>
        <w:rPr>
          <w:rFonts w:ascii="Arial" w:hAnsi="Arial" w:cs="Arial"/>
          <w:sz w:val="24"/>
          <w:szCs w:val="24"/>
        </w:rPr>
        <w:tab/>
        <w:t xml:space="preserve">The parties were required to file heads of argument in anticipation of the argument herein. </w:t>
      </w:r>
    </w:p>
    <w:p w14:paraId="5A9643E8" w14:textId="77777777" w:rsidR="00F77E9E" w:rsidRDefault="00F77E9E" w:rsidP="000153DB">
      <w:pPr>
        <w:spacing w:after="0" w:line="360" w:lineRule="auto"/>
        <w:jc w:val="both"/>
        <w:rPr>
          <w:rFonts w:ascii="Arial" w:hAnsi="Arial" w:cs="Arial"/>
          <w:sz w:val="24"/>
          <w:szCs w:val="24"/>
        </w:rPr>
      </w:pPr>
    </w:p>
    <w:p w14:paraId="51B812DE" w14:textId="77777777" w:rsidR="00F77E9E" w:rsidRDefault="00F77E9E" w:rsidP="000153DB">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6</w:t>
      </w:r>
      <w:r>
        <w:rPr>
          <w:rFonts w:ascii="Arial" w:hAnsi="Arial" w:cs="Arial"/>
          <w:sz w:val="24"/>
          <w:szCs w:val="24"/>
        </w:rPr>
        <w:t>]</w:t>
      </w:r>
      <w:r>
        <w:rPr>
          <w:rFonts w:ascii="Arial" w:hAnsi="Arial" w:cs="Arial"/>
          <w:sz w:val="24"/>
          <w:szCs w:val="24"/>
        </w:rPr>
        <w:tab/>
        <w:t>Prior to the hearing of the matter</w:t>
      </w:r>
      <w:r w:rsidR="00304342">
        <w:rPr>
          <w:rFonts w:ascii="Arial" w:hAnsi="Arial" w:cs="Arial"/>
          <w:sz w:val="24"/>
          <w:szCs w:val="24"/>
        </w:rPr>
        <w:t xml:space="preserve"> but after the filing of heads of argument</w:t>
      </w:r>
      <w:r>
        <w:rPr>
          <w:rFonts w:ascii="Arial" w:hAnsi="Arial" w:cs="Arial"/>
          <w:sz w:val="24"/>
          <w:szCs w:val="24"/>
        </w:rPr>
        <w:t xml:space="preserve"> the </w:t>
      </w:r>
      <w:r w:rsidR="00D54227">
        <w:rPr>
          <w:rFonts w:ascii="Arial" w:hAnsi="Arial" w:cs="Arial"/>
          <w:sz w:val="24"/>
          <w:szCs w:val="24"/>
        </w:rPr>
        <w:t>plaintiff</w:t>
      </w:r>
      <w:r>
        <w:rPr>
          <w:rFonts w:ascii="Arial" w:hAnsi="Arial" w:cs="Arial"/>
          <w:sz w:val="24"/>
          <w:szCs w:val="24"/>
        </w:rPr>
        <w:t xml:space="preserve"> filed an application for condonation </w:t>
      </w:r>
      <w:r w:rsidR="00304342">
        <w:rPr>
          <w:rFonts w:ascii="Arial" w:hAnsi="Arial" w:cs="Arial"/>
          <w:sz w:val="24"/>
          <w:szCs w:val="24"/>
        </w:rPr>
        <w:t>in the following terms</w:t>
      </w:r>
      <w:r>
        <w:rPr>
          <w:rFonts w:ascii="Arial" w:hAnsi="Arial" w:cs="Arial"/>
          <w:sz w:val="24"/>
          <w:szCs w:val="24"/>
        </w:rPr>
        <w:t xml:space="preserve">: </w:t>
      </w:r>
    </w:p>
    <w:p w14:paraId="1DB8A498" w14:textId="77777777" w:rsidR="00C00E55" w:rsidRDefault="00C00E55" w:rsidP="000153DB">
      <w:pPr>
        <w:spacing w:after="0" w:line="360" w:lineRule="auto"/>
        <w:jc w:val="both"/>
        <w:rPr>
          <w:rFonts w:ascii="Arial" w:hAnsi="Arial" w:cs="Arial"/>
          <w:sz w:val="24"/>
          <w:szCs w:val="24"/>
        </w:rPr>
      </w:pPr>
    </w:p>
    <w:p w14:paraId="5B79807F" w14:textId="77777777" w:rsidR="00C11C6B" w:rsidRDefault="008E6353" w:rsidP="00C11C6B">
      <w:pPr>
        <w:spacing w:after="0" w:line="360" w:lineRule="auto"/>
        <w:jc w:val="both"/>
        <w:rPr>
          <w:rFonts w:ascii="Arial" w:hAnsi="Arial" w:cs="Arial"/>
        </w:rPr>
      </w:pPr>
      <w:r>
        <w:rPr>
          <w:rFonts w:ascii="Arial" w:hAnsi="Arial" w:cs="Arial"/>
          <w:sz w:val="24"/>
          <w:szCs w:val="24"/>
        </w:rPr>
        <w:tab/>
      </w:r>
      <w:r w:rsidR="00F77E9E" w:rsidRPr="00F77E9E">
        <w:rPr>
          <w:rFonts w:ascii="Arial" w:hAnsi="Arial" w:cs="Arial"/>
        </w:rPr>
        <w:t xml:space="preserve">‘1. Condoning non-compliance with section 133(4) of the Correctional Services Act 9 of 2012 on statutory notice; </w:t>
      </w:r>
    </w:p>
    <w:p w14:paraId="402A9DB4" w14:textId="5F43789A" w:rsidR="00F77E9E" w:rsidRPr="00F77E9E" w:rsidRDefault="00F77E9E" w:rsidP="00C11C6B">
      <w:pPr>
        <w:spacing w:after="0" w:line="360" w:lineRule="auto"/>
        <w:jc w:val="both"/>
        <w:rPr>
          <w:rFonts w:ascii="Arial" w:hAnsi="Arial" w:cs="Arial"/>
        </w:rPr>
      </w:pPr>
      <w:r w:rsidRPr="00F77E9E">
        <w:rPr>
          <w:rFonts w:ascii="Arial" w:hAnsi="Arial" w:cs="Arial"/>
        </w:rPr>
        <w:t>2. Granting such further and alternative relief as the above Honorable court may deem fit.’</w:t>
      </w:r>
    </w:p>
    <w:p w14:paraId="3DF0E380" w14:textId="77777777" w:rsidR="004E1C51" w:rsidRDefault="004E1C51" w:rsidP="00CC33E7">
      <w:pPr>
        <w:spacing w:after="0" w:line="360" w:lineRule="auto"/>
        <w:jc w:val="both"/>
        <w:rPr>
          <w:rFonts w:ascii="Arial" w:hAnsi="Arial" w:cs="Arial"/>
          <w:sz w:val="24"/>
          <w:szCs w:val="24"/>
        </w:rPr>
      </w:pPr>
    </w:p>
    <w:p w14:paraId="5D54688F" w14:textId="77777777" w:rsidR="00643EDF" w:rsidRDefault="00304342" w:rsidP="00CC33E7">
      <w:pPr>
        <w:spacing w:after="0" w:line="360" w:lineRule="auto"/>
        <w:jc w:val="both"/>
        <w:rPr>
          <w:rFonts w:ascii="Arial" w:hAnsi="Arial" w:cs="Arial"/>
        </w:rPr>
      </w:pPr>
      <w:r>
        <w:rPr>
          <w:rFonts w:ascii="Arial" w:hAnsi="Arial" w:cs="Arial"/>
          <w:sz w:val="24"/>
          <w:szCs w:val="24"/>
        </w:rPr>
        <w:t xml:space="preserve"> </w:t>
      </w:r>
      <w:r w:rsidR="00643EDF">
        <w:rPr>
          <w:rFonts w:ascii="Arial" w:hAnsi="Arial" w:cs="Arial"/>
          <w:sz w:val="24"/>
          <w:szCs w:val="24"/>
        </w:rPr>
        <w:t>[</w:t>
      </w:r>
      <w:r w:rsidR="00E62FFD">
        <w:rPr>
          <w:rFonts w:ascii="Arial" w:hAnsi="Arial" w:cs="Arial"/>
          <w:sz w:val="24"/>
          <w:szCs w:val="24"/>
        </w:rPr>
        <w:t>7</w:t>
      </w:r>
      <w:r w:rsidR="00643EDF">
        <w:rPr>
          <w:rFonts w:ascii="Arial" w:hAnsi="Arial" w:cs="Arial"/>
          <w:sz w:val="24"/>
          <w:szCs w:val="24"/>
        </w:rPr>
        <w:t>]</w:t>
      </w:r>
      <w:r w:rsidR="00643EDF">
        <w:rPr>
          <w:rFonts w:ascii="Arial" w:hAnsi="Arial" w:cs="Arial"/>
          <w:sz w:val="24"/>
          <w:szCs w:val="24"/>
        </w:rPr>
        <w:tab/>
      </w:r>
      <w:r>
        <w:rPr>
          <w:rFonts w:ascii="Arial" w:hAnsi="Arial" w:cs="Arial"/>
          <w:sz w:val="24"/>
          <w:szCs w:val="24"/>
        </w:rPr>
        <w:t>In addition to the application for condonation the</w:t>
      </w:r>
      <w:r w:rsidR="00643EDF">
        <w:rPr>
          <w:rFonts w:ascii="Arial" w:hAnsi="Arial" w:cs="Arial"/>
          <w:sz w:val="24"/>
          <w:szCs w:val="24"/>
        </w:rPr>
        <w:t xml:space="preserve"> </w:t>
      </w:r>
      <w:r w:rsidR="00D54227">
        <w:rPr>
          <w:rFonts w:ascii="Arial" w:hAnsi="Arial" w:cs="Arial"/>
          <w:sz w:val="24"/>
          <w:szCs w:val="24"/>
        </w:rPr>
        <w:t>plaintiff</w:t>
      </w:r>
      <w:r w:rsidR="00643EDF">
        <w:rPr>
          <w:rFonts w:ascii="Arial" w:hAnsi="Arial" w:cs="Arial"/>
          <w:sz w:val="24"/>
          <w:szCs w:val="24"/>
        </w:rPr>
        <w:t xml:space="preserve"> </w:t>
      </w:r>
      <w:r w:rsidR="00D54227">
        <w:rPr>
          <w:rFonts w:ascii="Arial" w:hAnsi="Arial" w:cs="Arial"/>
          <w:sz w:val="24"/>
          <w:szCs w:val="24"/>
        </w:rPr>
        <w:t>launched a constitutional challenge in respect of</w:t>
      </w:r>
      <w:r>
        <w:rPr>
          <w:rFonts w:ascii="Arial" w:hAnsi="Arial" w:cs="Arial"/>
          <w:sz w:val="24"/>
          <w:szCs w:val="24"/>
        </w:rPr>
        <w:t xml:space="preserve"> s. 133 in his heads of argument. </w:t>
      </w:r>
    </w:p>
    <w:p w14:paraId="0A3C2599" w14:textId="77777777" w:rsidR="00304342" w:rsidRDefault="00304342" w:rsidP="00CC33E7">
      <w:pPr>
        <w:spacing w:after="0" w:line="360" w:lineRule="auto"/>
        <w:jc w:val="both"/>
        <w:rPr>
          <w:rFonts w:ascii="Arial" w:hAnsi="Arial" w:cs="Arial"/>
          <w:sz w:val="24"/>
          <w:szCs w:val="24"/>
          <w:u w:val="single"/>
        </w:rPr>
      </w:pPr>
    </w:p>
    <w:p w14:paraId="407B046C" w14:textId="77777777" w:rsidR="00CC33E7" w:rsidRPr="00123ACF" w:rsidRDefault="00CC33E7" w:rsidP="00CC33E7">
      <w:pPr>
        <w:spacing w:after="0" w:line="360" w:lineRule="auto"/>
        <w:jc w:val="both"/>
        <w:rPr>
          <w:rFonts w:ascii="Arial" w:hAnsi="Arial" w:cs="Arial"/>
          <w:sz w:val="24"/>
          <w:szCs w:val="24"/>
          <w:u w:val="single"/>
        </w:rPr>
      </w:pPr>
      <w:r w:rsidRPr="00123ACF">
        <w:rPr>
          <w:rFonts w:ascii="Arial" w:hAnsi="Arial" w:cs="Arial"/>
          <w:sz w:val="24"/>
          <w:szCs w:val="24"/>
          <w:u w:val="single"/>
        </w:rPr>
        <w:t>Arguments advanced by the parties</w:t>
      </w:r>
    </w:p>
    <w:p w14:paraId="4A6572A8" w14:textId="77777777" w:rsidR="0089632C" w:rsidRDefault="0089632C" w:rsidP="00F77E9E">
      <w:pPr>
        <w:spacing w:after="0" w:line="360" w:lineRule="auto"/>
        <w:jc w:val="both"/>
        <w:rPr>
          <w:rFonts w:ascii="Arial" w:hAnsi="Arial" w:cs="Arial"/>
          <w:i/>
          <w:sz w:val="24"/>
          <w:szCs w:val="24"/>
        </w:rPr>
      </w:pPr>
    </w:p>
    <w:p w14:paraId="30EC858D" w14:textId="77777777" w:rsidR="00F77E9E" w:rsidRPr="007E1152" w:rsidRDefault="00F77E9E" w:rsidP="00F77E9E">
      <w:pPr>
        <w:spacing w:after="0" w:line="360" w:lineRule="auto"/>
        <w:jc w:val="both"/>
        <w:rPr>
          <w:rFonts w:ascii="Arial" w:hAnsi="Arial" w:cs="Arial"/>
          <w:i/>
          <w:sz w:val="24"/>
          <w:szCs w:val="24"/>
        </w:rPr>
      </w:pPr>
      <w:r>
        <w:rPr>
          <w:rFonts w:ascii="Arial" w:hAnsi="Arial" w:cs="Arial"/>
          <w:i/>
          <w:sz w:val="24"/>
          <w:szCs w:val="24"/>
        </w:rPr>
        <w:t>Ex</w:t>
      </w:r>
      <w:r w:rsidR="00E62FFD">
        <w:rPr>
          <w:rFonts w:ascii="Arial" w:hAnsi="Arial" w:cs="Arial"/>
          <w:i/>
          <w:sz w:val="24"/>
          <w:szCs w:val="24"/>
        </w:rPr>
        <w:t>c</w:t>
      </w:r>
      <w:r>
        <w:rPr>
          <w:rFonts w:ascii="Arial" w:hAnsi="Arial" w:cs="Arial"/>
          <w:i/>
          <w:sz w:val="24"/>
          <w:szCs w:val="24"/>
        </w:rPr>
        <w:t>ipient’s</w:t>
      </w:r>
      <w:r w:rsidRPr="00123ACF">
        <w:rPr>
          <w:rFonts w:ascii="Arial" w:hAnsi="Arial" w:cs="Arial"/>
          <w:i/>
          <w:sz w:val="24"/>
          <w:szCs w:val="24"/>
        </w:rPr>
        <w:t xml:space="preserve"> submissions</w:t>
      </w:r>
      <w:r>
        <w:rPr>
          <w:rFonts w:ascii="Arial" w:hAnsi="Arial" w:cs="Arial"/>
          <w:sz w:val="24"/>
          <w:szCs w:val="24"/>
        </w:rPr>
        <w:tab/>
      </w:r>
      <w:r w:rsidRPr="001C1F55">
        <w:rPr>
          <w:rFonts w:ascii="Arial" w:hAnsi="Arial" w:cs="Arial"/>
          <w:color w:val="FF0000"/>
          <w:sz w:val="24"/>
          <w:szCs w:val="24"/>
        </w:rPr>
        <w:t xml:space="preserve"> </w:t>
      </w:r>
    </w:p>
    <w:p w14:paraId="7CCC48FC" w14:textId="77777777" w:rsidR="00F77E9E" w:rsidRDefault="00F77E9E" w:rsidP="00F77E9E">
      <w:pPr>
        <w:spacing w:after="0" w:line="360" w:lineRule="auto"/>
        <w:jc w:val="both"/>
        <w:rPr>
          <w:rFonts w:ascii="Arial" w:hAnsi="Arial" w:cs="Arial"/>
          <w:sz w:val="24"/>
          <w:szCs w:val="24"/>
        </w:rPr>
      </w:pPr>
    </w:p>
    <w:p w14:paraId="4418F8C9" w14:textId="5DC458EE" w:rsidR="00304342" w:rsidRDefault="00F77E9E" w:rsidP="00F77E9E">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8</w:t>
      </w:r>
      <w:r>
        <w:rPr>
          <w:rFonts w:ascii="Arial" w:hAnsi="Arial" w:cs="Arial"/>
          <w:sz w:val="24"/>
          <w:szCs w:val="24"/>
        </w:rPr>
        <w:t>]</w:t>
      </w:r>
      <w:r>
        <w:rPr>
          <w:rFonts w:ascii="Arial" w:hAnsi="Arial" w:cs="Arial"/>
          <w:sz w:val="24"/>
          <w:szCs w:val="24"/>
        </w:rPr>
        <w:tab/>
      </w:r>
      <w:r w:rsidR="00304342">
        <w:rPr>
          <w:rFonts w:ascii="Arial" w:hAnsi="Arial" w:cs="Arial"/>
          <w:sz w:val="24"/>
          <w:szCs w:val="24"/>
        </w:rPr>
        <w:t>During oral argument Mr Ncube addressed</w:t>
      </w:r>
      <w:r w:rsidR="004A566A">
        <w:rPr>
          <w:rFonts w:ascii="Arial" w:hAnsi="Arial" w:cs="Arial"/>
          <w:sz w:val="24"/>
          <w:szCs w:val="24"/>
        </w:rPr>
        <w:t xml:space="preserve"> the belated filing of</w:t>
      </w:r>
      <w:r w:rsidR="00304342">
        <w:rPr>
          <w:rFonts w:ascii="Arial" w:hAnsi="Arial" w:cs="Arial"/>
          <w:sz w:val="24"/>
          <w:szCs w:val="24"/>
        </w:rPr>
        <w:t xml:space="preserve"> the condonation application and the constitutional </w:t>
      </w:r>
      <w:r w:rsidR="00D54227">
        <w:rPr>
          <w:rFonts w:ascii="Arial" w:hAnsi="Arial" w:cs="Arial"/>
          <w:sz w:val="24"/>
          <w:szCs w:val="24"/>
        </w:rPr>
        <w:t>challenge</w:t>
      </w:r>
      <w:r w:rsidR="00304342">
        <w:rPr>
          <w:rFonts w:ascii="Arial" w:hAnsi="Arial" w:cs="Arial"/>
          <w:sz w:val="24"/>
          <w:szCs w:val="24"/>
        </w:rPr>
        <w:t xml:space="preserve"> that was </w:t>
      </w:r>
      <w:r w:rsidR="004A566A">
        <w:rPr>
          <w:rFonts w:ascii="Arial" w:hAnsi="Arial" w:cs="Arial"/>
          <w:sz w:val="24"/>
          <w:szCs w:val="24"/>
        </w:rPr>
        <w:t>raised for the first time in</w:t>
      </w:r>
      <w:r w:rsidR="00D54227">
        <w:rPr>
          <w:rFonts w:ascii="Arial" w:hAnsi="Arial" w:cs="Arial"/>
          <w:sz w:val="24"/>
          <w:szCs w:val="24"/>
        </w:rPr>
        <w:t xml:space="preserve"> plaintiff’s</w:t>
      </w:r>
      <w:r w:rsidR="004A566A">
        <w:rPr>
          <w:rFonts w:ascii="Arial" w:hAnsi="Arial" w:cs="Arial"/>
          <w:sz w:val="24"/>
          <w:szCs w:val="24"/>
        </w:rPr>
        <w:t xml:space="preserve"> heads of argument.</w:t>
      </w:r>
    </w:p>
    <w:p w14:paraId="0D0D1FFF" w14:textId="77777777" w:rsidR="004A566A" w:rsidRDefault="004A566A" w:rsidP="00F77E9E">
      <w:pPr>
        <w:spacing w:after="0" w:line="360" w:lineRule="auto"/>
        <w:jc w:val="both"/>
        <w:rPr>
          <w:rFonts w:ascii="Arial" w:hAnsi="Arial" w:cs="Arial"/>
          <w:sz w:val="24"/>
          <w:szCs w:val="24"/>
        </w:rPr>
      </w:pPr>
    </w:p>
    <w:p w14:paraId="4B913F78" w14:textId="50949DA5" w:rsidR="004A566A" w:rsidRDefault="004A566A" w:rsidP="00F77E9E">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9</w:t>
      </w:r>
      <w:r>
        <w:rPr>
          <w:rFonts w:ascii="Arial" w:hAnsi="Arial" w:cs="Arial"/>
          <w:sz w:val="24"/>
          <w:szCs w:val="24"/>
        </w:rPr>
        <w:t>]</w:t>
      </w:r>
      <w:r>
        <w:rPr>
          <w:rFonts w:ascii="Arial" w:hAnsi="Arial" w:cs="Arial"/>
          <w:sz w:val="24"/>
          <w:szCs w:val="24"/>
        </w:rPr>
        <w:tab/>
        <w:t xml:space="preserve">Mr Ncube took issue with the late filing of the condonation application as the defendants are at a disadvantage not being able to respond to the said application. He argued that the filing of the condonation application amounts to a concession on the part of the respondent that he did not give notice as provided for in the Act. </w:t>
      </w:r>
    </w:p>
    <w:p w14:paraId="1E3CC386" w14:textId="77777777" w:rsidR="004A566A" w:rsidRDefault="004A566A" w:rsidP="00F77E9E">
      <w:pPr>
        <w:spacing w:after="0" w:line="360" w:lineRule="auto"/>
        <w:jc w:val="both"/>
        <w:rPr>
          <w:rFonts w:ascii="Arial" w:hAnsi="Arial" w:cs="Arial"/>
          <w:sz w:val="24"/>
          <w:szCs w:val="24"/>
        </w:rPr>
      </w:pPr>
    </w:p>
    <w:p w14:paraId="1C25B8DC" w14:textId="6BF315BF" w:rsidR="004A566A" w:rsidRDefault="004A566A" w:rsidP="00F77E9E">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10</w:t>
      </w:r>
      <w:r>
        <w:rPr>
          <w:rFonts w:ascii="Arial" w:hAnsi="Arial" w:cs="Arial"/>
          <w:sz w:val="24"/>
          <w:szCs w:val="24"/>
        </w:rPr>
        <w:t>]</w:t>
      </w:r>
      <w:r>
        <w:rPr>
          <w:rFonts w:ascii="Arial" w:hAnsi="Arial" w:cs="Arial"/>
          <w:sz w:val="24"/>
          <w:szCs w:val="24"/>
        </w:rPr>
        <w:tab/>
        <w:t>Mr Ncube</w:t>
      </w:r>
      <w:r w:rsidR="00E62FFD">
        <w:rPr>
          <w:rFonts w:ascii="Arial" w:hAnsi="Arial" w:cs="Arial"/>
          <w:sz w:val="24"/>
          <w:szCs w:val="24"/>
        </w:rPr>
        <w:t xml:space="preserve"> further</w:t>
      </w:r>
      <w:r>
        <w:rPr>
          <w:rFonts w:ascii="Arial" w:hAnsi="Arial" w:cs="Arial"/>
          <w:sz w:val="24"/>
          <w:szCs w:val="24"/>
        </w:rPr>
        <w:t xml:space="preserve"> urged the court not to give any consideration to the condonation application as it is bad in law and not rule compliant. </w:t>
      </w:r>
    </w:p>
    <w:p w14:paraId="6E3186D8" w14:textId="77777777" w:rsidR="004A566A" w:rsidRDefault="004A566A" w:rsidP="00F77E9E">
      <w:pPr>
        <w:spacing w:after="0" w:line="360" w:lineRule="auto"/>
        <w:jc w:val="both"/>
        <w:rPr>
          <w:rFonts w:ascii="Arial" w:hAnsi="Arial" w:cs="Arial"/>
          <w:sz w:val="24"/>
          <w:szCs w:val="24"/>
        </w:rPr>
      </w:pPr>
    </w:p>
    <w:p w14:paraId="7D0EEBC6" w14:textId="77777777" w:rsidR="004A566A" w:rsidRDefault="004A566A" w:rsidP="00F77E9E">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11</w:t>
      </w:r>
      <w:r>
        <w:rPr>
          <w:rFonts w:ascii="Arial" w:hAnsi="Arial" w:cs="Arial"/>
          <w:sz w:val="24"/>
          <w:szCs w:val="24"/>
        </w:rPr>
        <w:t>]</w:t>
      </w:r>
      <w:r>
        <w:rPr>
          <w:rFonts w:ascii="Arial" w:hAnsi="Arial" w:cs="Arial"/>
          <w:sz w:val="24"/>
          <w:szCs w:val="24"/>
        </w:rPr>
        <w:tab/>
        <w:t xml:space="preserve">On the constitutional issue raised in the plaintiff’s heads of argument for the first time the court </w:t>
      </w:r>
      <w:r w:rsidR="00E62FFD">
        <w:rPr>
          <w:rFonts w:ascii="Arial" w:hAnsi="Arial" w:cs="Arial"/>
          <w:sz w:val="24"/>
          <w:szCs w:val="24"/>
        </w:rPr>
        <w:t xml:space="preserve">was referred </w:t>
      </w:r>
      <w:r>
        <w:rPr>
          <w:rFonts w:ascii="Arial" w:hAnsi="Arial" w:cs="Arial"/>
          <w:sz w:val="24"/>
          <w:szCs w:val="24"/>
        </w:rPr>
        <w:t xml:space="preserve">to the matter of </w:t>
      </w:r>
      <w:r w:rsidRPr="00E62FFD">
        <w:rPr>
          <w:rFonts w:ascii="Arial" w:hAnsi="Arial" w:cs="Arial"/>
          <w:i/>
          <w:sz w:val="24"/>
          <w:szCs w:val="24"/>
        </w:rPr>
        <w:t>Lesley Ubiteb v Minister of Education</w:t>
      </w:r>
      <w:r w:rsidR="00E62FFD">
        <w:rPr>
          <w:rStyle w:val="FootnoteReference"/>
          <w:rFonts w:ascii="Arial" w:hAnsi="Arial"/>
          <w:i/>
          <w:sz w:val="24"/>
          <w:szCs w:val="24"/>
        </w:rPr>
        <w:footnoteReference w:id="3"/>
      </w:r>
      <w:r>
        <w:rPr>
          <w:rFonts w:ascii="Arial" w:hAnsi="Arial" w:cs="Arial"/>
          <w:sz w:val="24"/>
          <w:szCs w:val="24"/>
        </w:rPr>
        <w:t xml:space="preserve"> where the court ruled that if a party wish to raise a constitutional issue</w:t>
      </w:r>
      <w:r w:rsidR="00E62FFD">
        <w:rPr>
          <w:rFonts w:ascii="Arial" w:hAnsi="Arial" w:cs="Arial"/>
          <w:sz w:val="24"/>
          <w:szCs w:val="24"/>
        </w:rPr>
        <w:t>,</w:t>
      </w:r>
      <w:r>
        <w:rPr>
          <w:rFonts w:ascii="Arial" w:hAnsi="Arial" w:cs="Arial"/>
          <w:sz w:val="24"/>
          <w:szCs w:val="24"/>
        </w:rPr>
        <w:t xml:space="preserve"> as in the matter </w:t>
      </w:r>
      <w:r w:rsidRPr="00E62FFD">
        <w:rPr>
          <w:rFonts w:ascii="Arial" w:hAnsi="Arial" w:cs="Arial"/>
          <w:i/>
          <w:sz w:val="24"/>
          <w:szCs w:val="24"/>
        </w:rPr>
        <w:t>in casu</w:t>
      </w:r>
      <w:r w:rsidR="00E62FFD" w:rsidRPr="00E62FFD">
        <w:rPr>
          <w:rFonts w:ascii="Arial" w:hAnsi="Arial" w:cs="Arial"/>
          <w:sz w:val="24"/>
          <w:szCs w:val="24"/>
        </w:rPr>
        <w:t>,</w:t>
      </w:r>
      <w:r w:rsidRPr="00E62FFD">
        <w:rPr>
          <w:rFonts w:ascii="Arial" w:hAnsi="Arial" w:cs="Arial"/>
          <w:sz w:val="24"/>
          <w:szCs w:val="24"/>
        </w:rPr>
        <w:t xml:space="preserve"> </w:t>
      </w:r>
      <w:r>
        <w:rPr>
          <w:rFonts w:ascii="Arial" w:hAnsi="Arial" w:cs="Arial"/>
          <w:sz w:val="24"/>
          <w:szCs w:val="24"/>
        </w:rPr>
        <w:t xml:space="preserve">same should be done on a substantial application and </w:t>
      </w:r>
      <w:r w:rsidR="00E62FFD">
        <w:rPr>
          <w:rFonts w:ascii="Arial" w:hAnsi="Arial" w:cs="Arial"/>
          <w:sz w:val="24"/>
          <w:szCs w:val="24"/>
        </w:rPr>
        <w:t xml:space="preserve">not </w:t>
      </w:r>
      <w:r>
        <w:rPr>
          <w:rFonts w:ascii="Arial" w:hAnsi="Arial" w:cs="Arial"/>
          <w:sz w:val="24"/>
          <w:szCs w:val="24"/>
        </w:rPr>
        <w:t xml:space="preserve">in heads of argument. </w:t>
      </w:r>
    </w:p>
    <w:p w14:paraId="40780CEE" w14:textId="77777777" w:rsidR="001E7A1F" w:rsidRDefault="001E7A1F" w:rsidP="00F77E9E">
      <w:pPr>
        <w:spacing w:after="0" w:line="360" w:lineRule="auto"/>
        <w:jc w:val="both"/>
        <w:rPr>
          <w:rFonts w:ascii="Arial" w:hAnsi="Arial" w:cs="Arial"/>
          <w:sz w:val="24"/>
          <w:szCs w:val="24"/>
        </w:rPr>
      </w:pPr>
    </w:p>
    <w:p w14:paraId="5894E5FE" w14:textId="7C402710" w:rsidR="00F77E9E" w:rsidRDefault="00B95EAB" w:rsidP="00F77E9E">
      <w:pPr>
        <w:spacing w:after="0" w:line="360" w:lineRule="auto"/>
        <w:jc w:val="both"/>
        <w:rPr>
          <w:rFonts w:ascii="Arial" w:hAnsi="Arial" w:cs="Arial"/>
          <w:sz w:val="24"/>
          <w:szCs w:val="24"/>
        </w:rPr>
      </w:pPr>
      <w:r>
        <w:rPr>
          <w:rFonts w:ascii="Arial" w:hAnsi="Arial" w:cs="Arial"/>
          <w:sz w:val="24"/>
          <w:szCs w:val="24"/>
        </w:rPr>
        <w:t>[</w:t>
      </w:r>
      <w:r w:rsidR="00E62FFD">
        <w:rPr>
          <w:rFonts w:ascii="Arial" w:hAnsi="Arial" w:cs="Arial"/>
          <w:sz w:val="24"/>
          <w:szCs w:val="24"/>
        </w:rPr>
        <w:t>12</w:t>
      </w:r>
      <w:r>
        <w:rPr>
          <w:rFonts w:ascii="Arial" w:hAnsi="Arial" w:cs="Arial"/>
          <w:sz w:val="24"/>
          <w:szCs w:val="24"/>
        </w:rPr>
        <w:t>]</w:t>
      </w:r>
      <w:r w:rsidR="001E7A1F">
        <w:rPr>
          <w:rFonts w:ascii="Arial" w:hAnsi="Arial" w:cs="Arial"/>
          <w:sz w:val="24"/>
          <w:szCs w:val="24"/>
        </w:rPr>
        <w:t xml:space="preserve">  </w:t>
      </w:r>
      <w:r w:rsidR="001E7A1F">
        <w:rPr>
          <w:rFonts w:ascii="Arial" w:hAnsi="Arial" w:cs="Arial"/>
          <w:sz w:val="24"/>
          <w:szCs w:val="24"/>
        </w:rPr>
        <w:tab/>
      </w:r>
      <w:r w:rsidR="00494E65">
        <w:rPr>
          <w:rFonts w:ascii="Arial" w:hAnsi="Arial" w:cs="Arial"/>
          <w:sz w:val="24"/>
          <w:szCs w:val="24"/>
        </w:rPr>
        <w:t>On the merits of the exception raised by the defendants</w:t>
      </w:r>
      <w:r w:rsidR="003167A8">
        <w:rPr>
          <w:rFonts w:ascii="Arial" w:hAnsi="Arial" w:cs="Arial"/>
          <w:sz w:val="24"/>
          <w:szCs w:val="24"/>
        </w:rPr>
        <w:t>,</w:t>
      </w:r>
      <w:r w:rsidR="001E7A1F">
        <w:rPr>
          <w:rFonts w:ascii="Arial" w:hAnsi="Arial" w:cs="Arial"/>
          <w:sz w:val="24"/>
          <w:szCs w:val="24"/>
        </w:rPr>
        <w:t xml:space="preserve"> Mr Ncube </w:t>
      </w:r>
      <w:r w:rsidR="00494E65">
        <w:rPr>
          <w:rFonts w:ascii="Arial" w:hAnsi="Arial" w:cs="Arial"/>
          <w:sz w:val="24"/>
          <w:szCs w:val="24"/>
        </w:rPr>
        <w:t xml:space="preserve">argued </w:t>
      </w:r>
      <w:r w:rsidR="00F77E9E">
        <w:rPr>
          <w:rFonts w:ascii="Arial" w:hAnsi="Arial" w:cs="Arial"/>
          <w:sz w:val="24"/>
          <w:szCs w:val="24"/>
        </w:rPr>
        <w:t>that the plaintiff should have served the notice on the defendants as envisaged in s 133 (4) of the Correctional Service Act which provide that:</w:t>
      </w:r>
    </w:p>
    <w:p w14:paraId="634831D0" w14:textId="77777777" w:rsidR="00F77E9E" w:rsidRDefault="00F77E9E" w:rsidP="00F77E9E">
      <w:pPr>
        <w:spacing w:after="0" w:line="360" w:lineRule="auto"/>
        <w:jc w:val="both"/>
        <w:rPr>
          <w:rFonts w:ascii="Arial" w:hAnsi="Arial" w:cs="Arial"/>
          <w:sz w:val="24"/>
          <w:szCs w:val="24"/>
        </w:rPr>
      </w:pPr>
    </w:p>
    <w:p w14:paraId="63ABF205" w14:textId="44278E18" w:rsidR="00F77E9E" w:rsidRPr="00500F29" w:rsidRDefault="00161B35" w:rsidP="00F77E9E">
      <w:pPr>
        <w:spacing w:after="0" w:line="360" w:lineRule="auto"/>
        <w:jc w:val="both"/>
        <w:rPr>
          <w:sz w:val="20"/>
        </w:rPr>
      </w:pPr>
      <w:r>
        <w:rPr>
          <w:rFonts w:ascii="Arial" w:hAnsi="Arial" w:cs="Arial"/>
          <w:szCs w:val="24"/>
        </w:rPr>
        <w:tab/>
      </w:r>
      <w:r w:rsidR="00C22788">
        <w:rPr>
          <w:rFonts w:ascii="Arial" w:hAnsi="Arial" w:cs="Arial"/>
          <w:szCs w:val="24"/>
        </w:rPr>
        <w:t>‘</w:t>
      </w:r>
      <w:r w:rsidR="00F77E9E" w:rsidRPr="00500F29">
        <w:rPr>
          <w:rFonts w:ascii="Arial" w:hAnsi="Arial" w:cs="Arial"/>
          <w:szCs w:val="24"/>
        </w:rPr>
        <w:t>(4) Notice in writing of every such action, stating the cause thereof and the details of the claim, must be given to the defendant at least one month before the commencement of the action.</w:t>
      </w:r>
      <w:r w:rsidR="00C22788">
        <w:rPr>
          <w:rFonts w:ascii="Arial" w:hAnsi="Arial" w:cs="Arial"/>
          <w:szCs w:val="24"/>
        </w:rPr>
        <w:t>’</w:t>
      </w:r>
    </w:p>
    <w:p w14:paraId="56709483" w14:textId="77777777" w:rsidR="00F77E9E" w:rsidRDefault="00F77E9E" w:rsidP="00F77E9E">
      <w:pPr>
        <w:spacing w:after="0" w:line="360" w:lineRule="auto"/>
        <w:jc w:val="both"/>
        <w:rPr>
          <w:rFonts w:ascii="Arial" w:hAnsi="Arial" w:cs="Arial"/>
          <w:color w:val="FF0000"/>
          <w:sz w:val="24"/>
          <w:szCs w:val="24"/>
        </w:rPr>
      </w:pPr>
    </w:p>
    <w:p w14:paraId="37FE589B" w14:textId="77777777" w:rsidR="00F77E9E" w:rsidRPr="00494E65" w:rsidRDefault="00F77E9E" w:rsidP="00F77E9E">
      <w:pPr>
        <w:spacing w:after="0" w:line="360" w:lineRule="auto"/>
        <w:jc w:val="both"/>
        <w:rPr>
          <w:rFonts w:ascii="Arial" w:hAnsi="Arial" w:cs="Arial"/>
          <w:sz w:val="24"/>
          <w:szCs w:val="24"/>
        </w:rPr>
      </w:pPr>
      <w:r w:rsidRPr="00494E65">
        <w:rPr>
          <w:rFonts w:ascii="Arial" w:hAnsi="Arial" w:cs="Arial"/>
          <w:sz w:val="24"/>
          <w:szCs w:val="24"/>
        </w:rPr>
        <w:t>[</w:t>
      </w:r>
      <w:r w:rsidR="00E62FFD">
        <w:rPr>
          <w:rFonts w:ascii="Arial" w:hAnsi="Arial" w:cs="Arial"/>
          <w:sz w:val="24"/>
          <w:szCs w:val="24"/>
        </w:rPr>
        <w:t>13</w:t>
      </w:r>
      <w:r w:rsidRPr="00494E65">
        <w:rPr>
          <w:rFonts w:ascii="Arial" w:hAnsi="Arial" w:cs="Arial"/>
          <w:sz w:val="24"/>
          <w:szCs w:val="24"/>
        </w:rPr>
        <w:t>]</w:t>
      </w:r>
      <w:r w:rsidRPr="00494E65">
        <w:rPr>
          <w:rFonts w:ascii="Arial" w:hAnsi="Arial" w:cs="Arial"/>
          <w:sz w:val="24"/>
          <w:szCs w:val="24"/>
        </w:rPr>
        <w:tab/>
      </w:r>
      <w:r w:rsidR="00E62FFD">
        <w:rPr>
          <w:rFonts w:ascii="Arial" w:hAnsi="Arial" w:cs="Arial"/>
          <w:sz w:val="24"/>
          <w:szCs w:val="24"/>
        </w:rPr>
        <w:t>He</w:t>
      </w:r>
      <w:r w:rsidRPr="00494E65">
        <w:rPr>
          <w:rFonts w:ascii="Arial" w:hAnsi="Arial" w:cs="Arial"/>
          <w:sz w:val="24"/>
          <w:szCs w:val="24"/>
        </w:rPr>
        <w:t xml:space="preserve"> further </w:t>
      </w:r>
      <w:r w:rsidR="00E62FFD" w:rsidRPr="00494E65">
        <w:rPr>
          <w:rFonts w:ascii="Arial" w:hAnsi="Arial" w:cs="Arial"/>
          <w:sz w:val="24"/>
          <w:szCs w:val="24"/>
        </w:rPr>
        <w:t>emphasize</w:t>
      </w:r>
      <w:r w:rsidR="00E62FFD">
        <w:rPr>
          <w:rFonts w:ascii="Arial" w:hAnsi="Arial" w:cs="Arial"/>
          <w:sz w:val="24"/>
          <w:szCs w:val="24"/>
        </w:rPr>
        <w:t>d</w:t>
      </w:r>
      <w:r w:rsidRPr="00494E65">
        <w:rPr>
          <w:rFonts w:ascii="Arial" w:hAnsi="Arial" w:cs="Arial"/>
          <w:sz w:val="24"/>
          <w:szCs w:val="24"/>
        </w:rPr>
        <w:t xml:space="preserve"> that the use of the word “must” in the above section is peremptory and further that the court has held that the court or any parties to litigation should follow and apply the mandatory provisions. Counsel further submits that the plaintiff did not serve the notice as required by the Act and as a result, mean</w:t>
      </w:r>
      <w:r w:rsidR="003953AD">
        <w:rPr>
          <w:rFonts w:ascii="Arial" w:hAnsi="Arial" w:cs="Arial"/>
          <w:sz w:val="24"/>
          <w:szCs w:val="24"/>
        </w:rPr>
        <w:t>t</w:t>
      </w:r>
      <w:r w:rsidRPr="00494E65">
        <w:rPr>
          <w:rFonts w:ascii="Arial" w:hAnsi="Arial" w:cs="Arial"/>
          <w:sz w:val="24"/>
          <w:szCs w:val="24"/>
        </w:rPr>
        <w:t xml:space="preserve"> that this matter is </w:t>
      </w:r>
      <w:r w:rsidR="00E62FFD" w:rsidRPr="00494E65">
        <w:rPr>
          <w:rFonts w:ascii="Arial" w:hAnsi="Arial" w:cs="Arial"/>
          <w:sz w:val="24"/>
          <w:szCs w:val="24"/>
        </w:rPr>
        <w:t>procedurally</w:t>
      </w:r>
      <w:r w:rsidRPr="00494E65">
        <w:rPr>
          <w:rFonts w:ascii="Arial" w:hAnsi="Arial" w:cs="Arial"/>
          <w:sz w:val="24"/>
          <w:szCs w:val="24"/>
        </w:rPr>
        <w:t xml:space="preserve"> before court in contravention of the Act.</w:t>
      </w:r>
    </w:p>
    <w:p w14:paraId="339A052E" w14:textId="77777777" w:rsidR="00F77E9E" w:rsidRPr="00152006" w:rsidRDefault="00F77E9E" w:rsidP="00F77E9E">
      <w:pPr>
        <w:spacing w:after="0" w:line="360" w:lineRule="auto"/>
        <w:jc w:val="both"/>
        <w:rPr>
          <w:rFonts w:ascii="Arial" w:hAnsi="Arial" w:cs="Arial"/>
          <w:color w:val="FF0000"/>
          <w:sz w:val="24"/>
          <w:szCs w:val="24"/>
        </w:rPr>
      </w:pPr>
    </w:p>
    <w:p w14:paraId="36C58B81" w14:textId="60F7FD37" w:rsidR="00F77E9E" w:rsidRPr="00494E65" w:rsidRDefault="00F77E9E" w:rsidP="00F77E9E">
      <w:pPr>
        <w:spacing w:after="0" w:line="360" w:lineRule="auto"/>
        <w:jc w:val="both"/>
        <w:rPr>
          <w:rFonts w:ascii="Arial" w:hAnsi="Arial" w:cs="Arial"/>
          <w:sz w:val="24"/>
          <w:szCs w:val="24"/>
        </w:rPr>
      </w:pPr>
      <w:r w:rsidRPr="00494E65">
        <w:rPr>
          <w:rFonts w:ascii="Arial" w:hAnsi="Arial" w:cs="Arial"/>
          <w:sz w:val="24"/>
          <w:szCs w:val="24"/>
        </w:rPr>
        <w:lastRenderedPageBreak/>
        <w:t>[</w:t>
      </w:r>
      <w:r w:rsidR="001F04D4">
        <w:rPr>
          <w:rFonts w:ascii="Arial" w:hAnsi="Arial" w:cs="Arial"/>
          <w:sz w:val="24"/>
          <w:szCs w:val="24"/>
        </w:rPr>
        <w:t>14</w:t>
      </w:r>
      <w:r w:rsidRPr="00494E65">
        <w:rPr>
          <w:rFonts w:ascii="Arial" w:hAnsi="Arial" w:cs="Arial"/>
          <w:sz w:val="24"/>
          <w:szCs w:val="24"/>
        </w:rPr>
        <w:t>]</w:t>
      </w:r>
      <w:r w:rsidRPr="00494E65">
        <w:rPr>
          <w:rFonts w:ascii="Arial" w:hAnsi="Arial" w:cs="Arial"/>
          <w:sz w:val="24"/>
          <w:szCs w:val="24"/>
        </w:rPr>
        <w:tab/>
        <w:t xml:space="preserve">On the issue surrounding the fairness of s 133 (4) of the Correctional Service Act, </w:t>
      </w:r>
      <w:r w:rsidR="00494E65">
        <w:rPr>
          <w:rFonts w:ascii="Arial" w:hAnsi="Arial" w:cs="Arial"/>
          <w:sz w:val="24"/>
          <w:szCs w:val="24"/>
        </w:rPr>
        <w:t>Mr Ncube</w:t>
      </w:r>
      <w:r w:rsidRPr="00494E65">
        <w:rPr>
          <w:rFonts w:ascii="Arial" w:hAnsi="Arial" w:cs="Arial"/>
          <w:sz w:val="24"/>
          <w:szCs w:val="24"/>
        </w:rPr>
        <w:t xml:space="preserve"> submits that the inherent inequality of the section is justified and reasonably so by the need to regulate claims against the State in a way that promotes the speedy, prompt investigation of surrounding circumstances so that where necessary, the State could ensure that it was not engaged in avoidable and costly litigation. Counsel further submits that s 133 (4) ensures that parties do not approach the court carte blanche in the hope that their failure to comply with this provision will be condoned.</w:t>
      </w:r>
    </w:p>
    <w:p w14:paraId="5385ACE1" w14:textId="77777777" w:rsidR="00F77E9E" w:rsidRPr="00094A33" w:rsidRDefault="00F77E9E" w:rsidP="00F77E9E">
      <w:pPr>
        <w:spacing w:after="0" w:line="360" w:lineRule="auto"/>
        <w:jc w:val="both"/>
        <w:rPr>
          <w:rFonts w:ascii="Arial" w:hAnsi="Arial" w:cs="Arial"/>
          <w:color w:val="FF0000"/>
          <w:sz w:val="24"/>
          <w:szCs w:val="24"/>
        </w:rPr>
      </w:pPr>
    </w:p>
    <w:p w14:paraId="4A46057C" w14:textId="108A3546" w:rsidR="00F77E9E" w:rsidRPr="009D0E4A" w:rsidRDefault="00F77E9E" w:rsidP="00F77E9E">
      <w:pPr>
        <w:spacing w:after="0" w:line="360" w:lineRule="auto"/>
        <w:jc w:val="both"/>
        <w:rPr>
          <w:rFonts w:ascii="Arial" w:hAnsi="Arial" w:cs="Arial"/>
          <w:sz w:val="24"/>
          <w:szCs w:val="24"/>
        </w:rPr>
      </w:pPr>
      <w:r>
        <w:rPr>
          <w:rFonts w:ascii="Arial" w:hAnsi="Arial" w:cs="Arial"/>
          <w:sz w:val="24"/>
          <w:szCs w:val="24"/>
        </w:rPr>
        <w:t>[</w:t>
      </w:r>
      <w:r w:rsidR="001F04D4">
        <w:rPr>
          <w:rFonts w:ascii="Arial" w:hAnsi="Arial" w:cs="Arial"/>
          <w:sz w:val="24"/>
          <w:szCs w:val="24"/>
        </w:rPr>
        <w:t>15</w:t>
      </w:r>
      <w:r>
        <w:rPr>
          <w:rFonts w:ascii="Arial" w:hAnsi="Arial" w:cs="Arial"/>
          <w:sz w:val="24"/>
          <w:szCs w:val="24"/>
        </w:rPr>
        <w:t>]</w:t>
      </w:r>
      <w:r>
        <w:rPr>
          <w:rFonts w:ascii="Arial" w:hAnsi="Arial" w:cs="Arial"/>
          <w:sz w:val="24"/>
          <w:szCs w:val="24"/>
        </w:rPr>
        <w:tab/>
        <w:t xml:space="preserve"> On this score, </w:t>
      </w:r>
      <w:r w:rsidR="00494E65">
        <w:rPr>
          <w:rFonts w:ascii="Arial" w:hAnsi="Arial" w:cs="Arial"/>
          <w:sz w:val="24"/>
          <w:szCs w:val="24"/>
        </w:rPr>
        <w:t>Mr Ncube</w:t>
      </w:r>
      <w:r>
        <w:rPr>
          <w:rFonts w:ascii="Arial" w:hAnsi="Arial" w:cs="Arial"/>
          <w:sz w:val="24"/>
          <w:szCs w:val="24"/>
        </w:rPr>
        <w:t xml:space="preserve"> cites </w:t>
      </w:r>
      <w:r>
        <w:rPr>
          <w:rFonts w:ascii="Arial" w:hAnsi="Arial" w:cs="Arial"/>
          <w:i/>
          <w:sz w:val="24"/>
          <w:szCs w:val="24"/>
        </w:rPr>
        <w:t>Legal Aid Board v Singh</w:t>
      </w:r>
      <w:r>
        <w:rPr>
          <w:rStyle w:val="FootnoteReference"/>
          <w:rFonts w:ascii="Arial" w:hAnsi="Arial"/>
          <w:i/>
          <w:sz w:val="24"/>
          <w:szCs w:val="24"/>
        </w:rPr>
        <w:footnoteReference w:id="4"/>
      </w:r>
      <w:r>
        <w:rPr>
          <w:rFonts w:ascii="Arial" w:hAnsi="Arial" w:cs="Arial"/>
          <w:i/>
          <w:sz w:val="24"/>
          <w:szCs w:val="24"/>
        </w:rPr>
        <w:t xml:space="preserve"> </w:t>
      </w:r>
      <w:r>
        <w:rPr>
          <w:rFonts w:ascii="Arial" w:hAnsi="Arial" w:cs="Arial"/>
          <w:sz w:val="24"/>
          <w:szCs w:val="24"/>
        </w:rPr>
        <w:t>wherein a failure to comply with a similar section rendered the claim irrevocable and the matter was dismissed, despite the fact that the defendants were aware of the matter by virtue of the summons served on them.</w:t>
      </w:r>
    </w:p>
    <w:p w14:paraId="7B4D4667" w14:textId="77777777" w:rsidR="00F77E9E" w:rsidRDefault="00F77E9E" w:rsidP="00F77E9E">
      <w:pPr>
        <w:pStyle w:val="ListParagraph"/>
        <w:spacing w:line="360" w:lineRule="auto"/>
        <w:ind w:left="0"/>
        <w:jc w:val="both"/>
        <w:rPr>
          <w:rFonts w:cs="Arial"/>
        </w:rPr>
      </w:pPr>
    </w:p>
    <w:p w14:paraId="5E92CDE2" w14:textId="212A6A44" w:rsidR="00F77E9E" w:rsidRDefault="00F77E9E" w:rsidP="00F77E9E">
      <w:pPr>
        <w:pStyle w:val="ListParagraph"/>
        <w:spacing w:line="360" w:lineRule="auto"/>
        <w:ind w:left="0"/>
        <w:jc w:val="both"/>
        <w:rPr>
          <w:rFonts w:cs="Arial"/>
        </w:rPr>
      </w:pPr>
      <w:r>
        <w:rPr>
          <w:rFonts w:cs="Arial"/>
        </w:rPr>
        <w:t>[</w:t>
      </w:r>
      <w:r w:rsidR="001F04D4">
        <w:rPr>
          <w:rFonts w:cs="Arial"/>
        </w:rPr>
        <w:t>16</w:t>
      </w:r>
      <w:r>
        <w:rPr>
          <w:rFonts w:cs="Arial"/>
        </w:rPr>
        <w:t xml:space="preserve">] </w:t>
      </w:r>
      <w:r>
        <w:rPr>
          <w:rFonts w:cs="Arial"/>
        </w:rPr>
        <w:tab/>
      </w:r>
      <w:r w:rsidR="00E960C0">
        <w:rPr>
          <w:rFonts w:cs="Arial"/>
        </w:rPr>
        <w:t>Regarding</w:t>
      </w:r>
      <w:r>
        <w:rPr>
          <w:rFonts w:cs="Arial"/>
        </w:rPr>
        <w:t xml:space="preserve"> the interpretation to be applied in the current circumstances, </w:t>
      </w:r>
      <w:r w:rsidR="00494E65">
        <w:rPr>
          <w:rFonts w:cs="Arial"/>
        </w:rPr>
        <w:t>Mr Ncube</w:t>
      </w:r>
      <w:r>
        <w:rPr>
          <w:rFonts w:cs="Arial"/>
        </w:rPr>
        <w:t xml:space="preserve"> cites </w:t>
      </w:r>
      <w:r>
        <w:rPr>
          <w:rFonts w:cs="Arial"/>
          <w:i/>
        </w:rPr>
        <w:t>Poswa v Member of the Executive Council f</w:t>
      </w:r>
      <w:r w:rsidRPr="005931D3">
        <w:rPr>
          <w:rFonts w:cs="Arial"/>
          <w:i/>
        </w:rPr>
        <w:t>or</w:t>
      </w:r>
      <w:r>
        <w:rPr>
          <w:rFonts w:cs="Arial"/>
          <w:i/>
        </w:rPr>
        <w:t xml:space="preserve"> Economic Affairs, Environment a</w:t>
      </w:r>
      <w:r w:rsidRPr="005931D3">
        <w:rPr>
          <w:rFonts w:cs="Arial"/>
          <w:i/>
        </w:rPr>
        <w:t>nd Tourism, Eastern Cape</w:t>
      </w:r>
      <w:r>
        <w:rPr>
          <w:rStyle w:val="FootnoteReference"/>
          <w:i/>
        </w:rPr>
        <w:footnoteReference w:id="5"/>
      </w:r>
      <w:r>
        <w:rPr>
          <w:rFonts w:cs="Arial"/>
          <w:i/>
        </w:rPr>
        <w:t xml:space="preserve"> </w:t>
      </w:r>
      <w:r>
        <w:rPr>
          <w:rFonts w:cs="Arial"/>
        </w:rPr>
        <w:t xml:space="preserve">wherein Schultz JA quoted </w:t>
      </w:r>
      <w:r w:rsidRPr="0087278D">
        <w:rPr>
          <w:rFonts w:cs="Arial"/>
        </w:rPr>
        <w:t xml:space="preserve">Stratford JA in </w:t>
      </w:r>
      <w:r w:rsidRPr="0087278D">
        <w:rPr>
          <w:rFonts w:cs="Arial"/>
          <w:i/>
        </w:rPr>
        <w:t>Bhyat v Commissioner for Immigration</w:t>
      </w:r>
      <w:r>
        <w:rPr>
          <w:rFonts w:cs="Arial"/>
        </w:rPr>
        <w:t xml:space="preserve"> 1932 AD 125 at 129 stating that:</w:t>
      </w:r>
    </w:p>
    <w:p w14:paraId="40F149AB" w14:textId="77777777" w:rsidR="00F77E9E" w:rsidRDefault="00F77E9E" w:rsidP="00F77E9E">
      <w:pPr>
        <w:pStyle w:val="ListParagraph"/>
        <w:spacing w:line="360" w:lineRule="auto"/>
        <w:ind w:left="0"/>
        <w:jc w:val="both"/>
        <w:rPr>
          <w:rFonts w:cs="Arial"/>
        </w:rPr>
      </w:pPr>
    </w:p>
    <w:p w14:paraId="03A3F48D" w14:textId="733B7024" w:rsidR="00F77E9E" w:rsidRPr="0087278D" w:rsidRDefault="004A63AE" w:rsidP="00F77E9E">
      <w:pPr>
        <w:pStyle w:val="ListParagraph"/>
        <w:spacing w:line="360" w:lineRule="auto"/>
        <w:ind w:left="0"/>
        <w:jc w:val="both"/>
        <w:rPr>
          <w:rFonts w:cs="Arial"/>
          <w:sz w:val="22"/>
        </w:rPr>
      </w:pPr>
      <w:r>
        <w:rPr>
          <w:rFonts w:cs="Arial"/>
          <w:sz w:val="22"/>
        </w:rPr>
        <w:tab/>
      </w:r>
      <w:r w:rsidR="00F77E9E" w:rsidRPr="0087278D">
        <w:rPr>
          <w:rFonts w:cs="Arial"/>
          <w:sz w:val="22"/>
        </w:rPr>
        <w:t>'The cardinal rule of construction of a statute is to endeavour to arrive at the intention of the lawgiver from the language employed in the enactment . . . in construing a provision of an Act of Parliament the plain meaning of its language must be adopted unless it leads to some absurdity, inconsistency, hardship or anomaly which from a consideration of the enactment as a whole a court of law is satisfied the Legislature could not have intended.'</w:t>
      </w:r>
    </w:p>
    <w:p w14:paraId="43E96704" w14:textId="77777777" w:rsidR="00F77E9E" w:rsidRDefault="00F77E9E" w:rsidP="00F77E9E">
      <w:pPr>
        <w:pStyle w:val="ListParagraph"/>
        <w:spacing w:line="360" w:lineRule="auto"/>
        <w:ind w:left="0"/>
        <w:jc w:val="both"/>
        <w:rPr>
          <w:rFonts w:cs="Arial"/>
        </w:rPr>
      </w:pPr>
    </w:p>
    <w:p w14:paraId="6C21DB38" w14:textId="77777777" w:rsidR="00CC33E7" w:rsidRDefault="00CC33E7" w:rsidP="00CC33E7">
      <w:pPr>
        <w:spacing w:after="0" w:line="360" w:lineRule="auto"/>
        <w:jc w:val="both"/>
        <w:rPr>
          <w:rFonts w:ascii="Arial" w:hAnsi="Arial" w:cs="Arial"/>
          <w:i/>
          <w:sz w:val="24"/>
          <w:szCs w:val="24"/>
        </w:rPr>
      </w:pPr>
      <w:r w:rsidRPr="00123ACF">
        <w:rPr>
          <w:rFonts w:ascii="Arial" w:hAnsi="Arial" w:cs="Arial"/>
          <w:i/>
          <w:sz w:val="24"/>
          <w:szCs w:val="24"/>
        </w:rPr>
        <w:t>Plaintiff’s submissions</w:t>
      </w:r>
    </w:p>
    <w:p w14:paraId="69E3DA38" w14:textId="77777777" w:rsidR="00CC33E7" w:rsidRPr="006E728A" w:rsidRDefault="00CC33E7" w:rsidP="00CC33E7">
      <w:pPr>
        <w:spacing w:after="0" w:line="360" w:lineRule="auto"/>
        <w:jc w:val="both"/>
        <w:rPr>
          <w:rFonts w:ascii="Arial" w:hAnsi="Arial" w:cs="Arial"/>
        </w:rPr>
      </w:pPr>
    </w:p>
    <w:p w14:paraId="65377F51" w14:textId="5F4E7C53" w:rsidR="00702E52" w:rsidRDefault="000153DB" w:rsidP="000153DB">
      <w:pPr>
        <w:spacing w:after="0" w:line="360" w:lineRule="auto"/>
        <w:jc w:val="both"/>
        <w:rPr>
          <w:rFonts w:ascii="Arial" w:hAnsi="Arial" w:cs="Arial"/>
          <w:sz w:val="24"/>
          <w:szCs w:val="24"/>
        </w:rPr>
      </w:pPr>
      <w:r>
        <w:rPr>
          <w:rFonts w:ascii="Arial" w:hAnsi="Arial" w:cs="Arial"/>
          <w:sz w:val="24"/>
          <w:szCs w:val="24"/>
        </w:rPr>
        <w:t>[</w:t>
      </w:r>
      <w:r w:rsidR="00E62EB7">
        <w:rPr>
          <w:rFonts w:ascii="Arial" w:hAnsi="Arial" w:cs="Arial"/>
          <w:sz w:val="24"/>
          <w:szCs w:val="24"/>
        </w:rPr>
        <w:t>17</w:t>
      </w:r>
      <w:r w:rsidR="00702E52">
        <w:rPr>
          <w:rFonts w:ascii="Arial" w:hAnsi="Arial" w:cs="Arial"/>
          <w:sz w:val="24"/>
          <w:szCs w:val="24"/>
        </w:rPr>
        <w:t>]</w:t>
      </w:r>
      <w:r>
        <w:rPr>
          <w:rFonts w:ascii="Arial" w:hAnsi="Arial" w:cs="Arial"/>
          <w:sz w:val="24"/>
          <w:szCs w:val="24"/>
        </w:rPr>
        <w:tab/>
        <w:t xml:space="preserve"> </w:t>
      </w:r>
      <w:r w:rsidR="00702E52">
        <w:rPr>
          <w:rFonts w:ascii="Arial" w:hAnsi="Arial" w:cs="Arial"/>
          <w:sz w:val="24"/>
          <w:szCs w:val="24"/>
        </w:rPr>
        <w:t xml:space="preserve">At the commencement of the argument by Ms Mbaeva on behalf of the plaintiff </w:t>
      </w:r>
      <w:r w:rsidR="00E62EB7">
        <w:rPr>
          <w:rFonts w:ascii="Arial" w:hAnsi="Arial" w:cs="Arial"/>
          <w:sz w:val="24"/>
          <w:szCs w:val="24"/>
        </w:rPr>
        <w:t xml:space="preserve">in essence </w:t>
      </w:r>
      <w:r w:rsidR="00702E52">
        <w:rPr>
          <w:rFonts w:ascii="Arial" w:hAnsi="Arial" w:cs="Arial"/>
          <w:sz w:val="24"/>
          <w:szCs w:val="24"/>
        </w:rPr>
        <w:t>conceded that the plaintiff did not comply with the statutory provisions of s 133 of the Act and that no notice was filed in terms of s 133(4)</w:t>
      </w:r>
      <w:r w:rsidR="001F04D4">
        <w:rPr>
          <w:rFonts w:ascii="Arial" w:hAnsi="Arial" w:cs="Arial"/>
          <w:sz w:val="24"/>
          <w:szCs w:val="24"/>
        </w:rPr>
        <w:t xml:space="preserve"> but submitted that </w:t>
      </w:r>
      <w:r w:rsidR="00E62EB7">
        <w:rPr>
          <w:rFonts w:ascii="Arial" w:hAnsi="Arial" w:cs="Arial"/>
          <w:sz w:val="24"/>
          <w:szCs w:val="24"/>
        </w:rPr>
        <w:t xml:space="preserve">on the notion where an organ of State relies on a plaintiff’s failure to serve a notice as required by the Act, that the plaintiff may apply to court having jurisdiction for condonation of the failure. Ms Mbaeva is of the view that a court may grant such </w:t>
      </w:r>
      <w:r w:rsidR="00E62EB7">
        <w:rPr>
          <w:rFonts w:ascii="Arial" w:hAnsi="Arial" w:cs="Arial"/>
          <w:sz w:val="24"/>
          <w:szCs w:val="24"/>
        </w:rPr>
        <w:lastRenderedPageBreak/>
        <w:t>condonation if it is satisfied that the cause of action has not been extinguished by prescription, and that good cause exists for the failure by the plaintiff and the organ of State was not prejudiced by the failure.</w:t>
      </w:r>
    </w:p>
    <w:p w14:paraId="1D1C32A0" w14:textId="77777777" w:rsidR="004E1C51" w:rsidRDefault="004E1C51" w:rsidP="000153DB">
      <w:pPr>
        <w:spacing w:after="0" w:line="360" w:lineRule="auto"/>
        <w:jc w:val="both"/>
        <w:rPr>
          <w:rFonts w:ascii="Arial" w:hAnsi="Arial" w:cs="Arial"/>
          <w:sz w:val="24"/>
          <w:szCs w:val="24"/>
        </w:rPr>
      </w:pPr>
    </w:p>
    <w:p w14:paraId="5DCEE2B0" w14:textId="6C146859" w:rsidR="00702E52" w:rsidRDefault="00702E52" w:rsidP="000153DB">
      <w:pPr>
        <w:spacing w:after="0" w:line="360" w:lineRule="auto"/>
        <w:jc w:val="both"/>
        <w:rPr>
          <w:rFonts w:ascii="Arial" w:hAnsi="Arial" w:cs="Arial"/>
          <w:sz w:val="24"/>
          <w:szCs w:val="24"/>
        </w:rPr>
      </w:pPr>
      <w:r>
        <w:rPr>
          <w:rFonts w:ascii="Arial" w:hAnsi="Arial" w:cs="Arial"/>
          <w:sz w:val="24"/>
          <w:szCs w:val="24"/>
        </w:rPr>
        <w:t>[</w:t>
      </w:r>
      <w:r w:rsidR="00E62EB7">
        <w:rPr>
          <w:rFonts w:ascii="Arial" w:hAnsi="Arial" w:cs="Arial"/>
          <w:sz w:val="24"/>
          <w:szCs w:val="24"/>
        </w:rPr>
        <w:t>18</w:t>
      </w:r>
      <w:r>
        <w:rPr>
          <w:rFonts w:ascii="Arial" w:hAnsi="Arial" w:cs="Arial"/>
          <w:sz w:val="24"/>
          <w:szCs w:val="24"/>
        </w:rPr>
        <w:t xml:space="preserve">] </w:t>
      </w:r>
      <w:r>
        <w:rPr>
          <w:rFonts w:ascii="Arial" w:hAnsi="Arial" w:cs="Arial"/>
          <w:sz w:val="24"/>
          <w:szCs w:val="24"/>
        </w:rPr>
        <w:tab/>
        <w:t>Ms Mbaeva further conceded that s 133(4) is peremptory but raised the question that what if an explanation exists for the court to condone such non-compliance.</w:t>
      </w:r>
    </w:p>
    <w:p w14:paraId="64DB6D7A" w14:textId="77777777" w:rsidR="00702E52" w:rsidRDefault="00702E52" w:rsidP="000153DB">
      <w:pPr>
        <w:spacing w:after="0" w:line="360" w:lineRule="auto"/>
        <w:jc w:val="both"/>
        <w:rPr>
          <w:rFonts w:ascii="Arial" w:hAnsi="Arial" w:cs="Arial"/>
          <w:sz w:val="24"/>
          <w:szCs w:val="24"/>
        </w:rPr>
      </w:pPr>
    </w:p>
    <w:p w14:paraId="5103BE9B" w14:textId="246DF334" w:rsidR="000153DB" w:rsidRDefault="00DE7F2C" w:rsidP="000153DB">
      <w:pPr>
        <w:spacing w:after="0" w:line="360" w:lineRule="auto"/>
        <w:jc w:val="both"/>
        <w:rPr>
          <w:rFonts w:ascii="Arial" w:hAnsi="Arial" w:cs="Arial"/>
          <w:sz w:val="24"/>
          <w:szCs w:val="24"/>
        </w:rPr>
      </w:pPr>
      <w:r>
        <w:rPr>
          <w:rFonts w:ascii="Arial" w:hAnsi="Arial" w:cs="Arial"/>
          <w:sz w:val="24"/>
          <w:szCs w:val="24"/>
        </w:rPr>
        <w:t>[</w:t>
      </w:r>
      <w:r w:rsidR="00E62EB7">
        <w:rPr>
          <w:rFonts w:ascii="Arial" w:hAnsi="Arial" w:cs="Arial"/>
          <w:sz w:val="24"/>
          <w:szCs w:val="24"/>
        </w:rPr>
        <w:t>19</w:t>
      </w:r>
      <w:r>
        <w:rPr>
          <w:rFonts w:ascii="Arial" w:hAnsi="Arial" w:cs="Arial"/>
          <w:sz w:val="24"/>
          <w:szCs w:val="24"/>
        </w:rPr>
        <w:t>]</w:t>
      </w:r>
      <w:r>
        <w:rPr>
          <w:rFonts w:ascii="Arial" w:hAnsi="Arial" w:cs="Arial"/>
          <w:sz w:val="24"/>
          <w:szCs w:val="24"/>
        </w:rPr>
        <w:tab/>
      </w:r>
      <w:r w:rsidR="005252CC">
        <w:rPr>
          <w:rFonts w:ascii="Arial" w:hAnsi="Arial" w:cs="Arial"/>
          <w:sz w:val="24"/>
          <w:szCs w:val="24"/>
        </w:rPr>
        <w:t xml:space="preserve">On the aspect of the exception raised by the defendants against the plaintiff’s particulars of claim that it does not disclose a cause of action, </w:t>
      </w:r>
      <w:r w:rsidR="00494E65">
        <w:rPr>
          <w:rFonts w:ascii="Arial" w:hAnsi="Arial" w:cs="Arial"/>
          <w:sz w:val="24"/>
          <w:szCs w:val="24"/>
        </w:rPr>
        <w:t>Ms Mbaeva</w:t>
      </w:r>
      <w:r w:rsidR="005252CC">
        <w:rPr>
          <w:rFonts w:ascii="Arial" w:hAnsi="Arial" w:cs="Arial"/>
          <w:sz w:val="24"/>
          <w:szCs w:val="24"/>
        </w:rPr>
        <w:t xml:space="preserve"> concedes that although how the quantum was arrived at could be</w:t>
      </w:r>
      <w:r>
        <w:rPr>
          <w:rFonts w:ascii="Arial" w:hAnsi="Arial" w:cs="Arial"/>
          <w:sz w:val="24"/>
          <w:szCs w:val="24"/>
        </w:rPr>
        <w:t xml:space="preserve"> considered as</w:t>
      </w:r>
      <w:r w:rsidR="005252CC">
        <w:rPr>
          <w:rFonts w:ascii="Arial" w:hAnsi="Arial" w:cs="Arial"/>
          <w:sz w:val="24"/>
          <w:szCs w:val="24"/>
        </w:rPr>
        <w:t xml:space="preserve"> vague in the present circumstances</w:t>
      </w:r>
      <w:r w:rsidR="00CE2DD0">
        <w:rPr>
          <w:rFonts w:ascii="Arial" w:hAnsi="Arial" w:cs="Arial"/>
          <w:sz w:val="24"/>
          <w:szCs w:val="24"/>
        </w:rPr>
        <w:t>,</w:t>
      </w:r>
      <w:r w:rsidR="005252CC">
        <w:rPr>
          <w:rFonts w:ascii="Arial" w:hAnsi="Arial" w:cs="Arial"/>
          <w:sz w:val="24"/>
          <w:szCs w:val="24"/>
        </w:rPr>
        <w:t xml:space="preserve"> this vagueness does not amount to an embarrassment nor does the </w:t>
      </w:r>
      <w:r w:rsidR="005252CC" w:rsidRPr="005252CC">
        <w:rPr>
          <w:rFonts w:ascii="Arial" w:hAnsi="Arial" w:cs="Arial"/>
          <w:sz w:val="24"/>
          <w:szCs w:val="24"/>
        </w:rPr>
        <w:t>embarrassment</w:t>
      </w:r>
      <w:r w:rsidR="005252CC">
        <w:rPr>
          <w:rFonts w:ascii="Arial" w:hAnsi="Arial" w:cs="Arial"/>
          <w:sz w:val="24"/>
          <w:szCs w:val="24"/>
        </w:rPr>
        <w:t xml:space="preserve"> amount to prejudice. </w:t>
      </w:r>
      <w:r w:rsidR="00494E65">
        <w:rPr>
          <w:rFonts w:ascii="Arial" w:hAnsi="Arial" w:cs="Arial"/>
          <w:sz w:val="24"/>
          <w:szCs w:val="24"/>
        </w:rPr>
        <w:t>Ms Mbaeva</w:t>
      </w:r>
      <w:r w:rsidR="005252CC">
        <w:rPr>
          <w:rFonts w:ascii="Arial" w:hAnsi="Arial" w:cs="Arial"/>
          <w:sz w:val="24"/>
          <w:szCs w:val="24"/>
        </w:rPr>
        <w:t xml:space="preserve"> further submits that if indeed the particulars we</w:t>
      </w:r>
      <w:r w:rsidR="00494E65">
        <w:rPr>
          <w:rFonts w:ascii="Arial" w:hAnsi="Arial" w:cs="Arial"/>
          <w:sz w:val="24"/>
          <w:szCs w:val="24"/>
        </w:rPr>
        <w:t xml:space="preserve">re </w:t>
      </w:r>
      <w:r w:rsidR="005252CC">
        <w:rPr>
          <w:rFonts w:ascii="Arial" w:hAnsi="Arial" w:cs="Arial"/>
          <w:sz w:val="24"/>
          <w:szCs w:val="24"/>
        </w:rPr>
        <w:t>excipiable, then the defendants should have given the plaintiff the opportunity to remove the cause of complaint as opposed to raising an exception on the grounds that it does not disclose a cause of action.</w:t>
      </w:r>
    </w:p>
    <w:p w14:paraId="17B41F9F" w14:textId="77777777" w:rsidR="00DE7F2C" w:rsidRDefault="00DE7F2C" w:rsidP="000153DB">
      <w:pPr>
        <w:spacing w:after="0" w:line="360" w:lineRule="auto"/>
        <w:jc w:val="both"/>
        <w:rPr>
          <w:rFonts w:ascii="Arial" w:hAnsi="Arial" w:cs="Arial"/>
          <w:sz w:val="24"/>
          <w:szCs w:val="24"/>
        </w:rPr>
      </w:pPr>
    </w:p>
    <w:p w14:paraId="742DCC08" w14:textId="3FF5DA7E" w:rsidR="000153DB" w:rsidRDefault="000153DB" w:rsidP="00741E59">
      <w:pPr>
        <w:spacing w:after="0" w:line="360" w:lineRule="auto"/>
        <w:jc w:val="both"/>
        <w:rPr>
          <w:rFonts w:ascii="Arial" w:hAnsi="Arial" w:cs="Arial"/>
          <w:sz w:val="24"/>
          <w:szCs w:val="24"/>
        </w:rPr>
      </w:pPr>
      <w:r>
        <w:rPr>
          <w:rFonts w:ascii="Arial" w:hAnsi="Arial" w:cs="Arial"/>
          <w:sz w:val="24"/>
          <w:szCs w:val="24"/>
        </w:rPr>
        <w:t>[</w:t>
      </w:r>
      <w:r w:rsidR="00E62EB7">
        <w:rPr>
          <w:rFonts w:ascii="Arial" w:hAnsi="Arial" w:cs="Arial"/>
          <w:sz w:val="24"/>
          <w:szCs w:val="24"/>
        </w:rPr>
        <w:t>20</w:t>
      </w:r>
      <w:r>
        <w:rPr>
          <w:rFonts w:ascii="Arial" w:hAnsi="Arial" w:cs="Arial"/>
          <w:sz w:val="24"/>
          <w:szCs w:val="24"/>
        </w:rPr>
        <w:t>]</w:t>
      </w:r>
      <w:r>
        <w:rPr>
          <w:rFonts w:ascii="Arial" w:hAnsi="Arial" w:cs="Arial"/>
          <w:sz w:val="24"/>
          <w:szCs w:val="24"/>
        </w:rPr>
        <w:tab/>
      </w:r>
      <w:r w:rsidR="00B54EE2">
        <w:rPr>
          <w:rFonts w:ascii="Arial" w:hAnsi="Arial" w:cs="Arial"/>
          <w:sz w:val="24"/>
          <w:szCs w:val="24"/>
        </w:rPr>
        <w:t xml:space="preserve">On the issue of the notice in terms of s 133 (4) of the Correctional Service Act, </w:t>
      </w:r>
      <w:r w:rsidR="00494E65">
        <w:rPr>
          <w:rFonts w:ascii="Arial" w:hAnsi="Arial" w:cs="Arial"/>
          <w:sz w:val="24"/>
          <w:szCs w:val="24"/>
        </w:rPr>
        <w:t>Ms Mbaeva</w:t>
      </w:r>
      <w:r w:rsidR="00B54EE2">
        <w:rPr>
          <w:rFonts w:ascii="Arial" w:hAnsi="Arial" w:cs="Arial"/>
          <w:sz w:val="24"/>
          <w:szCs w:val="24"/>
        </w:rPr>
        <w:t xml:space="preserve"> submits that the Act is meant not only to bring consistency to procedural requirements for litigating against organs of State but also to render them compliant with the Constitution. </w:t>
      </w:r>
      <w:r w:rsidR="00494E65">
        <w:rPr>
          <w:rFonts w:ascii="Arial" w:hAnsi="Arial" w:cs="Arial"/>
          <w:sz w:val="24"/>
          <w:szCs w:val="24"/>
        </w:rPr>
        <w:t>She was</w:t>
      </w:r>
      <w:r w:rsidR="00BD08BC">
        <w:rPr>
          <w:rFonts w:ascii="Arial" w:hAnsi="Arial" w:cs="Arial"/>
          <w:sz w:val="24"/>
          <w:szCs w:val="24"/>
        </w:rPr>
        <w:t xml:space="preserve"> further of the opinion that the Act seeks to achieve a procedure that is not arbitrary and one that operates efficiently and fairly both for a plaintiff and organ of State by giving the court the power to condone a plaintiff’s non-compliance with procedural requirements in certain circumstances.</w:t>
      </w:r>
      <w:r w:rsidR="00741E59">
        <w:rPr>
          <w:rFonts w:ascii="Arial" w:hAnsi="Arial" w:cs="Arial"/>
          <w:sz w:val="24"/>
          <w:szCs w:val="24"/>
        </w:rPr>
        <w:t xml:space="preserve"> In this regard the court was</w:t>
      </w:r>
      <w:r w:rsidR="00347318">
        <w:rPr>
          <w:rFonts w:ascii="Arial" w:hAnsi="Arial" w:cs="Arial"/>
          <w:sz w:val="24"/>
          <w:szCs w:val="24"/>
        </w:rPr>
        <w:t xml:space="preserve"> referred</w:t>
      </w:r>
      <w:r w:rsidR="00741E59">
        <w:rPr>
          <w:rFonts w:ascii="Arial" w:hAnsi="Arial" w:cs="Arial"/>
          <w:sz w:val="24"/>
          <w:szCs w:val="24"/>
        </w:rPr>
        <w:t xml:space="preserve"> </w:t>
      </w:r>
      <w:r w:rsidR="00494E65">
        <w:rPr>
          <w:rFonts w:ascii="Arial" w:hAnsi="Arial" w:cs="Arial"/>
          <w:sz w:val="24"/>
          <w:szCs w:val="24"/>
        </w:rPr>
        <w:t>to</w:t>
      </w:r>
      <w:r w:rsidR="00BD08BC">
        <w:rPr>
          <w:rFonts w:ascii="Arial" w:hAnsi="Arial" w:cs="Arial"/>
          <w:sz w:val="24"/>
          <w:szCs w:val="24"/>
        </w:rPr>
        <w:t xml:space="preserve"> </w:t>
      </w:r>
      <w:r w:rsidR="00FE439A" w:rsidRPr="00FE439A">
        <w:rPr>
          <w:rFonts w:ascii="Arial" w:hAnsi="Arial" w:cs="Arial"/>
          <w:i/>
          <w:sz w:val="24"/>
          <w:szCs w:val="24"/>
        </w:rPr>
        <w:t>Mohlomi</w:t>
      </w:r>
      <w:r w:rsidR="00FE439A">
        <w:rPr>
          <w:rFonts w:ascii="Arial" w:hAnsi="Arial" w:cs="Arial"/>
          <w:i/>
          <w:sz w:val="24"/>
          <w:szCs w:val="24"/>
        </w:rPr>
        <w:t xml:space="preserve"> v Minister o</w:t>
      </w:r>
      <w:r w:rsidR="00FE439A" w:rsidRPr="00FE439A">
        <w:rPr>
          <w:rFonts w:ascii="Arial" w:hAnsi="Arial" w:cs="Arial"/>
          <w:i/>
          <w:sz w:val="24"/>
          <w:szCs w:val="24"/>
        </w:rPr>
        <w:t>f Defence</w:t>
      </w:r>
      <w:r w:rsidR="00E960C0">
        <w:rPr>
          <w:rStyle w:val="FootnoteReference"/>
          <w:rFonts w:ascii="Arial" w:hAnsi="Arial"/>
          <w:i/>
          <w:sz w:val="24"/>
          <w:szCs w:val="24"/>
        </w:rPr>
        <w:footnoteReference w:id="6"/>
      </w:r>
      <w:r w:rsidR="00741E59">
        <w:rPr>
          <w:rFonts w:ascii="Arial" w:hAnsi="Arial" w:cs="Arial"/>
          <w:sz w:val="24"/>
          <w:szCs w:val="24"/>
        </w:rPr>
        <w:t>.</w:t>
      </w:r>
    </w:p>
    <w:p w14:paraId="1BF954BB" w14:textId="77777777" w:rsidR="000153DB" w:rsidRDefault="000153DB" w:rsidP="000153DB">
      <w:pPr>
        <w:spacing w:after="0" w:line="360" w:lineRule="auto"/>
        <w:jc w:val="both"/>
        <w:rPr>
          <w:rFonts w:ascii="Arial" w:hAnsi="Arial" w:cs="Arial"/>
          <w:sz w:val="24"/>
          <w:szCs w:val="24"/>
        </w:rPr>
      </w:pPr>
    </w:p>
    <w:p w14:paraId="47344D4B" w14:textId="08A45186" w:rsidR="00E52913" w:rsidRDefault="000153DB" w:rsidP="000153DB">
      <w:pPr>
        <w:spacing w:after="0" w:line="360" w:lineRule="auto"/>
        <w:jc w:val="both"/>
        <w:rPr>
          <w:rFonts w:ascii="Arial" w:hAnsi="Arial" w:cs="Arial"/>
          <w:sz w:val="24"/>
          <w:szCs w:val="24"/>
        </w:rPr>
      </w:pPr>
      <w:r>
        <w:rPr>
          <w:rFonts w:ascii="Arial" w:hAnsi="Arial" w:cs="Arial"/>
          <w:sz w:val="24"/>
          <w:szCs w:val="24"/>
        </w:rPr>
        <w:t>[</w:t>
      </w:r>
      <w:r w:rsidR="002E47FE">
        <w:rPr>
          <w:rFonts w:ascii="Arial" w:hAnsi="Arial" w:cs="Arial"/>
          <w:sz w:val="24"/>
          <w:szCs w:val="24"/>
        </w:rPr>
        <w:t>21</w:t>
      </w:r>
      <w:r>
        <w:rPr>
          <w:rFonts w:ascii="Arial" w:hAnsi="Arial" w:cs="Arial"/>
          <w:sz w:val="24"/>
          <w:szCs w:val="24"/>
        </w:rPr>
        <w:t>]</w:t>
      </w:r>
      <w:r>
        <w:rPr>
          <w:rFonts w:ascii="Arial" w:hAnsi="Arial" w:cs="Arial"/>
          <w:sz w:val="24"/>
          <w:szCs w:val="24"/>
        </w:rPr>
        <w:tab/>
      </w:r>
      <w:r w:rsidR="00E960C0">
        <w:rPr>
          <w:rFonts w:ascii="Arial" w:hAnsi="Arial" w:cs="Arial"/>
          <w:sz w:val="24"/>
          <w:szCs w:val="24"/>
        </w:rPr>
        <w:t xml:space="preserve">Ms Mbaeva </w:t>
      </w:r>
      <w:r w:rsidR="00741E59">
        <w:rPr>
          <w:rFonts w:ascii="Arial" w:hAnsi="Arial" w:cs="Arial"/>
          <w:sz w:val="24"/>
          <w:szCs w:val="24"/>
        </w:rPr>
        <w:t xml:space="preserve">further </w:t>
      </w:r>
      <w:r w:rsidR="00E960C0">
        <w:rPr>
          <w:rFonts w:ascii="Arial" w:hAnsi="Arial" w:cs="Arial"/>
          <w:sz w:val="24"/>
          <w:szCs w:val="24"/>
        </w:rPr>
        <w:t>advanced an argument on the cons</w:t>
      </w:r>
      <w:r w:rsidR="00E52913">
        <w:rPr>
          <w:rFonts w:ascii="Arial" w:hAnsi="Arial" w:cs="Arial"/>
          <w:sz w:val="24"/>
          <w:szCs w:val="24"/>
        </w:rPr>
        <w:t>t</w:t>
      </w:r>
      <w:r w:rsidR="00E960C0">
        <w:rPr>
          <w:rFonts w:ascii="Arial" w:hAnsi="Arial" w:cs="Arial"/>
          <w:sz w:val="24"/>
          <w:szCs w:val="24"/>
        </w:rPr>
        <w:t>ituti</w:t>
      </w:r>
      <w:r w:rsidR="00E52913">
        <w:rPr>
          <w:rFonts w:ascii="Arial" w:hAnsi="Arial" w:cs="Arial"/>
          <w:sz w:val="24"/>
          <w:szCs w:val="24"/>
        </w:rPr>
        <w:t>o</w:t>
      </w:r>
      <w:r w:rsidR="00E960C0">
        <w:rPr>
          <w:rFonts w:ascii="Arial" w:hAnsi="Arial" w:cs="Arial"/>
          <w:sz w:val="24"/>
          <w:szCs w:val="24"/>
        </w:rPr>
        <w:t xml:space="preserve">nality </w:t>
      </w:r>
      <w:r w:rsidR="00E52913">
        <w:rPr>
          <w:rFonts w:ascii="Arial" w:hAnsi="Arial" w:cs="Arial"/>
          <w:sz w:val="24"/>
          <w:szCs w:val="24"/>
        </w:rPr>
        <w:t xml:space="preserve"> of </w:t>
      </w:r>
      <w:r w:rsidR="006B7C3D">
        <w:rPr>
          <w:rFonts w:ascii="Arial" w:hAnsi="Arial" w:cs="Arial"/>
          <w:sz w:val="24"/>
          <w:szCs w:val="24"/>
        </w:rPr>
        <w:t xml:space="preserve">s 133 (4) of the Correctional Service Act, </w:t>
      </w:r>
      <w:r w:rsidR="00E52913">
        <w:rPr>
          <w:rFonts w:ascii="Arial" w:hAnsi="Arial" w:cs="Arial"/>
          <w:sz w:val="24"/>
          <w:szCs w:val="24"/>
        </w:rPr>
        <w:t>but also conceded that this argument was advanced for the first time in the plaintiff’s heads of argument and did not reply to the argument of Mr Ncube regarding the prejudice</w:t>
      </w:r>
      <w:r w:rsidR="00741E59">
        <w:rPr>
          <w:rFonts w:ascii="Arial" w:hAnsi="Arial" w:cs="Arial"/>
          <w:sz w:val="24"/>
          <w:szCs w:val="24"/>
        </w:rPr>
        <w:t>.</w:t>
      </w:r>
      <w:r w:rsidR="00E52913">
        <w:rPr>
          <w:rFonts w:ascii="Arial" w:hAnsi="Arial" w:cs="Arial"/>
          <w:sz w:val="24"/>
          <w:szCs w:val="24"/>
        </w:rPr>
        <w:t xml:space="preserve"> </w:t>
      </w:r>
    </w:p>
    <w:p w14:paraId="3C861B66" w14:textId="77777777" w:rsidR="00741E59" w:rsidRDefault="00741E59" w:rsidP="000153DB">
      <w:pPr>
        <w:spacing w:after="0" w:line="360" w:lineRule="auto"/>
        <w:jc w:val="both"/>
        <w:rPr>
          <w:rFonts w:ascii="Arial" w:hAnsi="Arial" w:cs="Arial"/>
          <w:sz w:val="24"/>
          <w:szCs w:val="24"/>
        </w:rPr>
      </w:pPr>
    </w:p>
    <w:p w14:paraId="7FD5FA22" w14:textId="22D8450B" w:rsidR="00E960C0" w:rsidRDefault="001F04D4" w:rsidP="000153DB">
      <w:pPr>
        <w:spacing w:after="0" w:line="360" w:lineRule="auto"/>
        <w:jc w:val="both"/>
        <w:rPr>
          <w:rFonts w:ascii="Arial" w:hAnsi="Arial" w:cs="Arial"/>
          <w:sz w:val="24"/>
          <w:szCs w:val="24"/>
        </w:rPr>
      </w:pPr>
      <w:r>
        <w:rPr>
          <w:rFonts w:ascii="Arial" w:hAnsi="Arial" w:cs="Arial"/>
          <w:sz w:val="24"/>
          <w:szCs w:val="24"/>
        </w:rPr>
        <w:t>[</w:t>
      </w:r>
      <w:r w:rsidR="002E47FE">
        <w:rPr>
          <w:rFonts w:ascii="Arial" w:hAnsi="Arial" w:cs="Arial"/>
          <w:sz w:val="24"/>
          <w:szCs w:val="24"/>
        </w:rPr>
        <w:t>22</w:t>
      </w:r>
      <w:r>
        <w:rPr>
          <w:rFonts w:ascii="Arial" w:hAnsi="Arial" w:cs="Arial"/>
          <w:sz w:val="24"/>
          <w:szCs w:val="24"/>
        </w:rPr>
        <w:t>]</w:t>
      </w:r>
      <w:r>
        <w:rPr>
          <w:rFonts w:ascii="Arial" w:hAnsi="Arial" w:cs="Arial"/>
          <w:sz w:val="24"/>
          <w:szCs w:val="24"/>
        </w:rPr>
        <w:tab/>
      </w:r>
      <w:r w:rsidR="00253E7C">
        <w:rPr>
          <w:rFonts w:ascii="Arial" w:hAnsi="Arial" w:cs="Arial"/>
          <w:sz w:val="24"/>
          <w:szCs w:val="24"/>
        </w:rPr>
        <w:t>Ms Mbaeva</w:t>
      </w:r>
      <w:r w:rsidR="006B7C3D">
        <w:rPr>
          <w:rFonts w:ascii="Arial" w:hAnsi="Arial" w:cs="Arial"/>
          <w:sz w:val="24"/>
          <w:szCs w:val="24"/>
        </w:rPr>
        <w:t xml:space="preserve"> argues that the provision is in actual fact unconstitutional and invalid which does not follow the tradition of constitutionalism and or allow for judicial </w:t>
      </w:r>
      <w:r w:rsidR="006B7C3D">
        <w:rPr>
          <w:rFonts w:ascii="Arial" w:hAnsi="Arial" w:cs="Arial"/>
          <w:sz w:val="24"/>
          <w:szCs w:val="24"/>
        </w:rPr>
        <w:lastRenderedPageBreak/>
        <w:t xml:space="preserve">activism and judicial discretion on the check and balance mechanism of the balancing abuse of power. </w:t>
      </w:r>
    </w:p>
    <w:p w14:paraId="4EE9E1A3" w14:textId="77777777" w:rsidR="00E960C0" w:rsidRDefault="00E960C0" w:rsidP="000153DB">
      <w:pPr>
        <w:spacing w:after="0" w:line="360" w:lineRule="auto"/>
        <w:jc w:val="both"/>
        <w:rPr>
          <w:rFonts w:ascii="Arial" w:hAnsi="Arial" w:cs="Arial"/>
          <w:sz w:val="24"/>
          <w:szCs w:val="24"/>
        </w:rPr>
      </w:pPr>
    </w:p>
    <w:p w14:paraId="7D820AA5" w14:textId="77777777" w:rsidR="000153DB" w:rsidRDefault="00E960C0" w:rsidP="000153DB">
      <w:pPr>
        <w:spacing w:after="0" w:line="360" w:lineRule="auto"/>
        <w:jc w:val="both"/>
        <w:rPr>
          <w:rFonts w:ascii="Arial" w:hAnsi="Arial" w:cs="Arial"/>
          <w:sz w:val="24"/>
          <w:szCs w:val="24"/>
        </w:rPr>
      </w:pPr>
      <w:r>
        <w:rPr>
          <w:rFonts w:ascii="Arial" w:hAnsi="Arial" w:cs="Arial"/>
          <w:sz w:val="24"/>
          <w:szCs w:val="24"/>
        </w:rPr>
        <w:t>[</w:t>
      </w:r>
      <w:r w:rsidR="002E47FE">
        <w:rPr>
          <w:rFonts w:ascii="Arial" w:hAnsi="Arial" w:cs="Arial"/>
          <w:sz w:val="24"/>
          <w:szCs w:val="24"/>
        </w:rPr>
        <w:t>23</w:t>
      </w:r>
      <w:r>
        <w:rPr>
          <w:rFonts w:ascii="Arial" w:hAnsi="Arial" w:cs="Arial"/>
          <w:sz w:val="24"/>
          <w:szCs w:val="24"/>
        </w:rPr>
        <w:t>]</w:t>
      </w:r>
      <w:r>
        <w:rPr>
          <w:rFonts w:ascii="Arial" w:hAnsi="Arial" w:cs="Arial"/>
          <w:sz w:val="24"/>
          <w:szCs w:val="24"/>
        </w:rPr>
        <w:tab/>
      </w:r>
      <w:r w:rsidR="006B7C3D">
        <w:rPr>
          <w:rFonts w:ascii="Arial" w:hAnsi="Arial" w:cs="Arial"/>
          <w:sz w:val="24"/>
          <w:szCs w:val="24"/>
        </w:rPr>
        <w:t>Counsel further submits that the argument that it is peremptory by the legislative use of the word “must” and therefore resulting in the plaintiff’s claim be dismissed without due regard to his circumstances and persuasive arguments, results in the austerity of tabulated legalism.</w:t>
      </w:r>
    </w:p>
    <w:p w14:paraId="00DF5362" w14:textId="77777777" w:rsidR="000153DB" w:rsidRDefault="000153DB" w:rsidP="000153DB">
      <w:pPr>
        <w:spacing w:after="0" w:line="360" w:lineRule="auto"/>
        <w:jc w:val="both"/>
        <w:rPr>
          <w:rFonts w:ascii="Arial" w:hAnsi="Arial" w:cs="Arial"/>
          <w:sz w:val="24"/>
          <w:szCs w:val="24"/>
        </w:rPr>
      </w:pPr>
    </w:p>
    <w:p w14:paraId="128E7866" w14:textId="000BC58D" w:rsidR="00602E46" w:rsidRPr="00B70B90" w:rsidRDefault="00301846" w:rsidP="00CB2779">
      <w:pPr>
        <w:spacing w:after="0" w:line="360" w:lineRule="auto"/>
        <w:ind w:hanging="33"/>
        <w:jc w:val="both"/>
        <w:rPr>
          <w:rFonts w:ascii="Arial" w:hAnsi="Arial" w:cs="Arial"/>
          <w:sz w:val="24"/>
          <w:szCs w:val="24"/>
        </w:rPr>
      </w:pPr>
      <w:r>
        <w:rPr>
          <w:rFonts w:ascii="Arial" w:hAnsi="Arial" w:cs="Arial"/>
          <w:sz w:val="24"/>
          <w:szCs w:val="24"/>
        </w:rPr>
        <w:t>[</w:t>
      </w:r>
      <w:r w:rsidR="002E47FE">
        <w:rPr>
          <w:rFonts w:ascii="Arial" w:hAnsi="Arial" w:cs="Arial"/>
          <w:sz w:val="24"/>
          <w:szCs w:val="24"/>
        </w:rPr>
        <w:t>24</w:t>
      </w:r>
      <w:r>
        <w:rPr>
          <w:rFonts w:ascii="Arial" w:hAnsi="Arial" w:cs="Arial"/>
          <w:sz w:val="24"/>
          <w:szCs w:val="24"/>
        </w:rPr>
        <w:t>]</w:t>
      </w:r>
      <w:r>
        <w:rPr>
          <w:rFonts w:ascii="Arial" w:hAnsi="Arial" w:cs="Arial"/>
          <w:sz w:val="24"/>
          <w:szCs w:val="24"/>
        </w:rPr>
        <w:tab/>
        <w:t>Counsel further addresse</w:t>
      </w:r>
      <w:r w:rsidR="00570044">
        <w:rPr>
          <w:rFonts w:ascii="Arial" w:hAnsi="Arial" w:cs="Arial"/>
          <w:sz w:val="24"/>
          <w:szCs w:val="24"/>
        </w:rPr>
        <w:t>d</w:t>
      </w:r>
      <w:r>
        <w:rPr>
          <w:rFonts w:ascii="Arial" w:hAnsi="Arial" w:cs="Arial"/>
          <w:sz w:val="24"/>
          <w:szCs w:val="24"/>
        </w:rPr>
        <w:t xml:space="preserve"> the argument raised by the defendants that the courts upheld a similar argument in respect of the statutory notice requirement in </w:t>
      </w:r>
      <w:r>
        <w:rPr>
          <w:rFonts w:ascii="Arial" w:hAnsi="Arial" w:cs="Arial"/>
          <w:i/>
          <w:sz w:val="24"/>
          <w:szCs w:val="24"/>
        </w:rPr>
        <w:t>L</w:t>
      </w:r>
      <w:r w:rsidR="00B70B90">
        <w:rPr>
          <w:rFonts w:ascii="Arial" w:hAnsi="Arial" w:cs="Arial"/>
          <w:i/>
          <w:sz w:val="24"/>
          <w:szCs w:val="24"/>
        </w:rPr>
        <w:t>esley Ubiteb v Minister of Education</w:t>
      </w:r>
      <w:r w:rsidR="00BC0F93">
        <w:rPr>
          <w:rFonts w:ascii="Arial" w:hAnsi="Arial" w:cs="Arial"/>
          <w:i/>
          <w:sz w:val="24"/>
          <w:szCs w:val="24"/>
        </w:rPr>
        <w:t xml:space="preserve">. </w:t>
      </w:r>
      <w:r w:rsidR="00BC0F93">
        <w:rPr>
          <w:rFonts w:ascii="Arial" w:hAnsi="Arial" w:cs="Arial"/>
          <w:sz w:val="24"/>
          <w:szCs w:val="24"/>
        </w:rPr>
        <w:t>It was argued that</w:t>
      </w:r>
      <w:r w:rsidR="00B70B90">
        <w:rPr>
          <w:rFonts w:ascii="Arial" w:hAnsi="Arial" w:cs="Arial"/>
          <w:i/>
          <w:sz w:val="24"/>
          <w:szCs w:val="24"/>
        </w:rPr>
        <w:t xml:space="preserve"> </w:t>
      </w:r>
      <w:r w:rsidR="00BC0F93">
        <w:rPr>
          <w:rFonts w:ascii="Arial" w:hAnsi="Arial" w:cs="Arial"/>
          <w:sz w:val="24"/>
          <w:szCs w:val="24"/>
        </w:rPr>
        <w:t xml:space="preserve">defendants’ argument </w:t>
      </w:r>
      <w:r w:rsidR="00B70B90">
        <w:rPr>
          <w:rFonts w:ascii="Arial" w:hAnsi="Arial" w:cs="Arial"/>
          <w:sz w:val="24"/>
          <w:szCs w:val="24"/>
        </w:rPr>
        <w:t>does not hold water in that s 33 of the Public Service Act</w:t>
      </w:r>
      <w:r w:rsidR="00BC0F93">
        <w:rPr>
          <w:rFonts w:ascii="Arial" w:hAnsi="Arial" w:cs="Arial"/>
          <w:sz w:val="24"/>
          <w:szCs w:val="24"/>
        </w:rPr>
        <w:t>,</w:t>
      </w:r>
      <w:r w:rsidR="00B70B90">
        <w:rPr>
          <w:rFonts w:ascii="Arial" w:hAnsi="Arial" w:cs="Arial"/>
          <w:sz w:val="24"/>
          <w:szCs w:val="24"/>
        </w:rPr>
        <w:t xml:space="preserve"> whose interpretation the court was ceased with</w:t>
      </w:r>
      <w:r w:rsidR="00BC0F93">
        <w:rPr>
          <w:rFonts w:ascii="Arial" w:hAnsi="Arial" w:cs="Arial"/>
          <w:sz w:val="24"/>
          <w:szCs w:val="24"/>
        </w:rPr>
        <w:t>,</w:t>
      </w:r>
      <w:r w:rsidR="00B70B90">
        <w:rPr>
          <w:rFonts w:ascii="Arial" w:hAnsi="Arial" w:cs="Arial"/>
          <w:sz w:val="24"/>
          <w:szCs w:val="24"/>
        </w:rPr>
        <w:t xml:space="preserve"> is not valid in law from the moment it came to be in conflict with the Constitution as is the argument in </w:t>
      </w:r>
      <w:r w:rsidR="00B70B90">
        <w:rPr>
          <w:rFonts w:ascii="Arial" w:hAnsi="Arial" w:cs="Arial"/>
          <w:i/>
          <w:sz w:val="24"/>
          <w:szCs w:val="24"/>
        </w:rPr>
        <w:t>Minister of Home Affairs v Madjiedt and Others</w:t>
      </w:r>
      <w:r w:rsidR="00B70B90">
        <w:rPr>
          <w:rStyle w:val="FootnoteReference"/>
          <w:rFonts w:ascii="Arial" w:hAnsi="Arial"/>
          <w:i/>
          <w:sz w:val="24"/>
          <w:szCs w:val="24"/>
        </w:rPr>
        <w:footnoteReference w:id="7"/>
      </w:r>
      <w:r w:rsidR="00B70B90">
        <w:rPr>
          <w:rFonts w:ascii="Arial" w:hAnsi="Arial" w:cs="Arial"/>
          <w:i/>
          <w:sz w:val="24"/>
          <w:szCs w:val="24"/>
        </w:rPr>
        <w:t xml:space="preserve"> </w:t>
      </w:r>
      <w:r w:rsidR="00B70B90">
        <w:rPr>
          <w:rFonts w:ascii="Arial" w:hAnsi="Arial" w:cs="Arial"/>
          <w:sz w:val="24"/>
          <w:szCs w:val="24"/>
        </w:rPr>
        <w:t xml:space="preserve">and </w:t>
      </w:r>
      <w:r w:rsidR="00B70B90">
        <w:rPr>
          <w:rFonts w:ascii="Arial" w:hAnsi="Arial" w:cs="Arial"/>
          <w:i/>
          <w:sz w:val="24"/>
          <w:szCs w:val="24"/>
        </w:rPr>
        <w:t>Indilinga Systems Design &amp; Logistics CC v The Minister of Safety and Security</w:t>
      </w:r>
      <w:r w:rsidR="009A28B0">
        <w:rPr>
          <w:rStyle w:val="FootnoteReference"/>
          <w:rFonts w:ascii="Arial" w:hAnsi="Arial"/>
          <w:i/>
          <w:sz w:val="24"/>
          <w:szCs w:val="24"/>
        </w:rPr>
        <w:footnoteReference w:id="8"/>
      </w:r>
      <w:r w:rsidR="006E6E3E">
        <w:rPr>
          <w:rFonts w:ascii="Arial" w:hAnsi="Arial" w:cs="Arial"/>
          <w:i/>
          <w:sz w:val="24"/>
          <w:szCs w:val="24"/>
        </w:rPr>
        <w:t xml:space="preserve">. </w:t>
      </w:r>
      <w:r w:rsidR="006E6E3E">
        <w:rPr>
          <w:rFonts w:ascii="Arial" w:hAnsi="Arial" w:cs="Arial"/>
          <w:sz w:val="24"/>
          <w:szCs w:val="24"/>
        </w:rPr>
        <w:t>On this score, counsel submits that s 133 (4) of the Correctional Service Act is unconstitutional and invalid as law reform of these statutory non-compliance is called upon in the spirit of transformational constitutionalism as a mode of societal re-engineering contrary to the positivist approach.</w:t>
      </w:r>
    </w:p>
    <w:p w14:paraId="7EAD9175" w14:textId="77777777" w:rsidR="000153DB" w:rsidRDefault="000153DB" w:rsidP="000153DB">
      <w:pPr>
        <w:spacing w:after="0" w:line="360" w:lineRule="auto"/>
        <w:jc w:val="both"/>
        <w:rPr>
          <w:rFonts w:ascii="Arial" w:hAnsi="Arial" w:cs="Arial"/>
          <w:sz w:val="24"/>
          <w:szCs w:val="24"/>
        </w:rPr>
      </w:pPr>
    </w:p>
    <w:p w14:paraId="63B227E1" w14:textId="5EA65164" w:rsidR="000153DB" w:rsidRPr="00D83BDD" w:rsidRDefault="000153DB" w:rsidP="000153DB">
      <w:pPr>
        <w:spacing w:after="0" w:line="360" w:lineRule="auto"/>
        <w:jc w:val="both"/>
        <w:rPr>
          <w:rFonts w:ascii="Arial" w:hAnsi="Arial" w:cs="Arial"/>
        </w:rPr>
      </w:pPr>
      <w:r>
        <w:rPr>
          <w:rFonts w:ascii="Arial" w:hAnsi="Arial" w:cs="Arial"/>
          <w:sz w:val="24"/>
          <w:szCs w:val="24"/>
        </w:rPr>
        <w:t>[</w:t>
      </w:r>
      <w:r w:rsidR="002E47FE">
        <w:rPr>
          <w:rFonts w:ascii="Arial" w:hAnsi="Arial" w:cs="Arial"/>
          <w:sz w:val="24"/>
          <w:szCs w:val="24"/>
        </w:rPr>
        <w:t>25</w:t>
      </w:r>
      <w:r>
        <w:rPr>
          <w:rFonts w:ascii="Arial" w:hAnsi="Arial" w:cs="Arial"/>
          <w:sz w:val="24"/>
          <w:szCs w:val="24"/>
        </w:rPr>
        <w:t>]</w:t>
      </w:r>
      <w:r>
        <w:rPr>
          <w:rFonts w:ascii="Arial" w:hAnsi="Arial" w:cs="Arial"/>
          <w:sz w:val="24"/>
          <w:szCs w:val="24"/>
        </w:rPr>
        <w:tab/>
      </w:r>
      <w:r w:rsidRPr="00E14BDF">
        <w:rPr>
          <w:rFonts w:ascii="Arial" w:hAnsi="Arial" w:cs="Arial"/>
          <w:color w:val="FF0000"/>
          <w:sz w:val="24"/>
          <w:szCs w:val="24"/>
        </w:rPr>
        <w:t xml:space="preserve"> </w:t>
      </w:r>
      <w:r w:rsidR="00F50BF8">
        <w:rPr>
          <w:rFonts w:ascii="Arial" w:hAnsi="Arial" w:cs="Arial"/>
          <w:sz w:val="24"/>
          <w:szCs w:val="24"/>
        </w:rPr>
        <w:t xml:space="preserve">In respect of the quantum of damages, </w:t>
      </w:r>
      <w:r w:rsidR="002E47FE">
        <w:rPr>
          <w:rFonts w:ascii="Arial" w:hAnsi="Arial" w:cs="Arial"/>
          <w:sz w:val="24"/>
          <w:szCs w:val="24"/>
        </w:rPr>
        <w:t>Ms Mbaeva</w:t>
      </w:r>
      <w:r w:rsidR="00F50BF8">
        <w:rPr>
          <w:rFonts w:ascii="Arial" w:hAnsi="Arial" w:cs="Arial"/>
          <w:sz w:val="24"/>
          <w:szCs w:val="24"/>
        </w:rPr>
        <w:t xml:space="preserve"> submits that on numerous occasions, the plaintiff has applied to have access to his medical records to seek a second opinion, supervise his recovery and in order for him to</w:t>
      </w:r>
      <w:r w:rsidR="00CF5625">
        <w:rPr>
          <w:rFonts w:ascii="Arial" w:hAnsi="Arial" w:cs="Arial"/>
          <w:sz w:val="24"/>
          <w:szCs w:val="24"/>
        </w:rPr>
        <w:t>,</w:t>
      </w:r>
      <w:r w:rsidR="00F50BF8">
        <w:rPr>
          <w:rFonts w:ascii="Arial" w:hAnsi="Arial" w:cs="Arial"/>
          <w:sz w:val="24"/>
          <w:szCs w:val="24"/>
        </w:rPr>
        <w:t xml:space="preserve"> with sufficient particularity, lay the quantum of damages in respect of this action. </w:t>
      </w:r>
      <w:r w:rsidR="002E47FE">
        <w:rPr>
          <w:rFonts w:ascii="Arial" w:hAnsi="Arial" w:cs="Arial"/>
          <w:sz w:val="24"/>
          <w:szCs w:val="24"/>
        </w:rPr>
        <w:t>She</w:t>
      </w:r>
      <w:r w:rsidR="00F50BF8">
        <w:rPr>
          <w:rFonts w:ascii="Arial" w:hAnsi="Arial" w:cs="Arial"/>
          <w:sz w:val="24"/>
          <w:szCs w:val="24"/>
        </w:rPr>
        <w:t xml:space="preserve"> submits that the defendants arbitrarily denied his appli</w:t>
      </w:r>
      <w:r w:rsidR="00BC0F93">
        <w:rPr>
          <w:rFonts w:ascii="Arial" w:hAnsi="Arial" w:cs="Arial"/>
          <w:sz w:val="24"/>
          <w:szCs w:val="24"/>
        </w:rPr>
        <w:t>cations without just cause and informed</w:t>
      </w:r>
      <w:r w:rsidR="00F50BF8">
        <w:rPr>
          <w:rFonts w:ascii="Arial" w:hAnsi="Arial" w:cs="Arial"/>
          <w:sz w:val="24"/>
          <w:szCs w:val="24"/>
        </w:rPr>
        <w:t xml:space="preserve"> him that he can only obtain those medical records once he gets a court order to that effect. </w:t>
      </w:r>
    </w:p>
    <w:p w14:paraId="44B0DA66" w14:textId="77777777" w:rsidR="000153DB" w:rsidRDefault="000153DB" w:rsidP="000153DB">
      <w:pPr>
        <w:spacing w:after="0" w:line="360" w:lineRule="auto"/>
        <w:jc w:val="both"/>
        <w:rPr>
          <w:rFonts w:ascii="Arial" w:hAnsi="Arial" w:cs="Arial"/>
          <w:sz w:val="24"/>
          <w:szCs w:val="24"/>
        </w:rPr>
      </w:pPr>
    </w:p>
    <w:p w14:paraId="4FB757F7" w14:textId="79858D16" w:rsidR="00B76909" w:rsidRDefault="000153DB" w:rsidP="000153DB">
      <w:pPr>
        <w:spacing w:after="0" w:line="360" w:lineRule="auto"/>
        <w:jc w:val="both"/>
        <w:rPr>
          <w:rFonts w:ascii="Arial" w:hAnsi="Arial" w:cs="Arial"/>
          <w:sz w:val="24"/>
          <w:szCs w:val="24"/>
        </w:rPr>
      </w:pPr>
      <w:r>
        <w:rPr>
          <w:rFonts w:ascii="Arial" w:hAnsi="Arial" w:cs="Arial"/>
          <w:sz w:val="24"/>
          <w:szCs w:val="24"/>
        </w:rPr>
        <w:t>[</w:t>
      </w:r>
      <w:r w:rsidR="001C2B71">
        <w:rPr>
          <w:rFonts w:ascii="Arial" w:hAnsi="Arial" w:cs="Arial"/>
          <w:sz w:val="24"/>
          <w:szCs w:val="24"/>
        </w:rPr>
        <w:t>26</w:t>
      </w:r>
      <w:r>
        <w:rPr>
          <w:rFonts w:ascii="Arial" w:hAnsi="Arial" w:cs="Arial"/>
          <w:sz w:val="24"/>
          <w:szCs w:val="24"/>
        </w:rPr>
        <w:t>]</w:t>
      </w:r>
      <w:r>
        <w:rPr>
          <w:rFonts w:ascii="Arial" w:hAnsi="Arial" w:cs="Arial"/>
          <w:sz w:val="24"/>
          <w:szCs w:val="24"/>
        </w:rPr>
        <w:tab/>
      </w:r>
      <w:r w:rsidR="00A16FBA">
        <w:rPr>
          <w:rFonts w:ascii="Arial" w:hAnsi="Arial" w:cs="Arial"/>
          <w:sz w:val="24"/>
          <w:szCs w:val="24"/>
        </w:rPr>
        <w:t>On this score, counsel refers to the exception raised by the defendant that the absence of quantum</w:t>
      </w:r>
      <w:r w:rsidR="009662E6">
        <w:rPr>
          <w:rFonts w:ascii="Arial" w:hAnsi="Arial" w:cs="Arial"/>
          <w:sz w:val="24"/>
          <w:szCs w:val="24"/>
        </w:rPr>
        <w:t xml:space="preserve"> which, so she argued,</w:t>
      </w:r>
      <w:r w:rsidR="00A16FBA">
        <w:rPr>
          <w:rFonts w:ascii="Arial" w:hAnsi="Arial" w:cs="Arial"/>
          <w:sz w:val="24"/>
          <w:szCs w:val="24"/>
        </w:rPr>
        <w:t xml:space="preserve"> demonstrates the double jeopardy that the plaintiff suffers, because counsel submits that the third defendants received the plaintiff’s applications for access to his medical records in their custody and they </w:t>
      </w:r>
      <w:r w:rsidR="00A16FBA">
        <w:rPr>
          <w:rFonts w:ascii="Arial" w:hAnsi="Arial" w:cs="Arial"/>
          <w:sz w:val="24"/>
          <w:szCs w:val="24"/>
        </w:rPr>
        <w:lastRenderedPageBreak/>
        <w:t xml:space="preserve">allegedly capriciously and effectively hamper the plaintiff in his endeavour to have his matter heard by the court. </w:t>
      </w:r>
    </w:p>
    <w:p w14:paraId="47B68190" w14:textId="77777777" w:rsidR="00B76909" w:rsidRDefault="00B76909" w:rsidP="000153DB">
      <w:pPr>
        <w:spacing w:after="0" w:line="360" w:lineRule="auto"/>
        <w:jc w:val="both"/>
        <w:rPr>
          <w:rFonts w:ascii="Arial" w:hAnsi="Arial" w:cs="Arial"/>
          <w:sz w:val="24"/>
          <w:szCs w:val="24"/>
        </w:rPr>
      </w:pPr>
    </w:p>
    <w:p w14:paraId="3F953B31" w14:textId="07F47AD5" w:rsidR="000153DB" w:rsidRPr="00D83BDD" w:rsidRDefault="00B76909" w:rsidP="000153DB">
      <w:pPr>
        <w:spacing w:after="0" w:line="360" w:lineRule="auto"/>
        <w:jc w:val="both"/>
        <w:rPr>
          <w:rFonts w:ascii="Arial" w:hAnsi="Arial" w:cs="Arial"/>
        </w:rPr>
      </w:pPr>
      <w:r>
        <w:rPr>
          <w:rFonts w:ascii="Arial" w:hAnsi="Arial" w:cs="Arial"/>
          <w:sz w:val="24"/>
          <w:szCs w:val="24"/>
        </w:rPr>
        <w:t>[</w:t>
      </w:r>
      <w:r w:rsidR="009D1C3C">
        <w:rPr>
          <w:rFonts w:ascii="Arial" w:hAnsi="Arial" w:cs="Arial"/>
          <w:sz w:val="24"/>
          <w:szCs w:val="24"/>
        </w:rPr>
        <w:t>27</w:t>
      </w:r>
      <w:r>
        <w:rPr>
          <w:rFonts w:ascii="Arial" w:hAnsi="Arial" w:cs="Arial"/>
          <w:sz w:val="24"/>
          <w:szCs w:val="24"/>
        </w:rPr>
        <w:t>]</w:t>
      </w:r>
      <w:r>
        <w:rPr>
          <w:rFonts w:ascii="Arial" w:hAnsi="Arial" w:cs="Arial"/>
          <w:sz w:val="24"/>
          <w:szCs w:val="24"/>
        </w:rPr>
        <w:tab/>
        <w:t>In concluding, counsel further submits that the circumstances of this matter are exceptional in that the plaintiff is serving in the custody of the defendants and is seeking redress in respect of the abuse of power by the defendants whilst in their custody and he deserves the consideration and protection of this court, not from the law but from the defendants.</w:t>
      </w:r>
      <w:r w:rsidR="00A16FBA">
        <w:rPr>
          <w:rFonts w:ascii="Arial" w:hAnsi="Arial" w:cs="Arial"/>
          <w:sz w:val="24"/>
          <w:szCs w:val="24"/>
        </w:rPr>
        <w:t xml:space="preserve"> </w:t>
      </w:r>
    </w:p>
    <w:p w14:paraId="5B0CA463" w14:textId="77777777" w:rsidR="000153DB" w:rsidRDefault="000153DB" w:rsidP="000153DB">
      <w:pPr>
        <w:spacing w:after="0" w:line="360" w:lineRule="auto"/>
        <w:jc w:val="both"/>
        <w:rPr>
          <w:rFonts w:ascii="Arial" w:hAnsi="Arial" w:cs="Arial"/>
          <w:sz w:val="24"/>
          <w:szCs w:val="24"/>
        </w:rPr>
      </w:pPr>
    </w:p>
    <w:p w14:paraId="0F0B3EC9" w14:textId="77777777" w:rsidR="000153DB" w:rsidRPr="00FA34CB" w:rsidRDefault="000153DB" w:rsidP="00FA34CB">
      <w:pPr>
        <w:pStyle w:val="ListParagraph"/>
        <w:spacing w:line="360" w:lineRule="auto"/>
        <w:ind w:left="0"/>
        <w:jc w:val="both"/>
        <w:rPr>
          <w:rFonts w:cs="Arial"/>
          <w:u w:val="single"/>
        </w:rPr>
      </w:pPr>
      <w:r w:rsidRPr="00FF50BA">
        <w:rPr>
          <w:rFonts w:cs="Arial"/>
          <w:u w:val="single"/>
        </w:rPr>
        <w:t>Applicable law</w:t>
      </w:r>
    </w:p>
    <w:p w14:paraId="3D74702C" w14:textId="77777777" w:rsidR="0089632C" w:rsidRDefault="0089632C" w:rsidP="001C0729">
      <w:pPr>
        <w:spacing w:after="0" w:line="360" w:lineRule="auto"/>
        <w:jc w:val="both"/>
        <w:rPr>
          <w:rFonts w:ascii="Arial" w:hAnsi="Arial" w:cs="Arial"/>
          <w:i/>
          <w:sz w:val="24"/>
          <w:szCs w:val="24"/>
        </w:rPr>
      </w:pPr>
    </w:p>
    <w:p w14:paraId="370028F1" w14:textId="2D8D58C0" w:rsidR="00FC605D" w:rsidRDefault="001C0729" w:rsidP="001C0729">
      <w:pPr>
        <w:spacing w:after="0" w:line="360" w:lineRule="auto"/>
        <w:jc w:val="both"/>
        <w:rPr>
          <w:rFonts w:ascii="Arial" w:hAnsi="Arial" w:cs="Arial"/>
          <w:i/>
          <w:sz w:val="24"/>
          <w:szCs w:val="24"/>
        </w:rPr>
      </w:pPr>
      <w:r>
        <w:rPr>
          <w:rFonts w:ascii="Arial" w:hAnsi="Arial" w:cs="Arial"/>
          <w:i/>
          <w:sz w:val="24"/>
          <w:szCs w:val="24"/>
        </w:rPr>
        <w:t xml:space="preserve">Constitutional Challenge </w:t>
      </w:r>
    </w:p>
    <w:p w14:paraId="450EDF6D" w14:textId="77777777" w:rsidR="00983B54" w:rsidRDefault="00983B54" w:rsidP="001C0729">
      <w:pPr>
        <w:spacing w:after="0" w:line="360" w:lineRule="auto"/>
        <w:jc w:val="both"/>
        <w:rPr>
          <w:rFonts w:ascii="Arial" w:hAnsi="Arial" w:cs="Arial"/>
          <w:i/>
          <w:sz w:val="24"/>
          <w:szCs w:val="24"/>
        </w:rPr>
      </w:pPr>
    </w:p>
    <w:p w14:paraId="1C2F810A" w14:textId="5BBA804A" w:rsidR="001C0729" w:rsidRDefault="00FC605D" w:rsidP="001C0729">
      <w:pPr>
        <w:spacing w:after="0" w:line="360" w:lineRule="auto"/>
        <w:jc w:val="both"/>
        <w:rPr>
          <w:rFonts w:ascii="Arial" w:hAnsi="Arial" w:cs="Arial"/>
          <w:sz w:val="24"/>
          <w:szCs w:val="24"/>
        </w:rPr>
      </w:pPr>
      <w:r>
        <w:rPr>
          <w:rFonts w:ascii="Arial" w:hAnsi="Arial" w:cs="Arial"/>
          <w:sz w:val="24"/>
          <w:szCs w:val="24"/>
        </w:rPr>
        <w:t>[</w:t>
      </w:r>
      <w:r w:rsidR="009D1C3C">
        <w:rPr>
          <w:rFonts w:ascii="Arial" w:hAnsi="Arial" w:cs="Arial"/>
          <w:sz w:val="24"/>
          <w:szCs w:val="24"/>
        </w:rPr>
        <w:t>28</w:t>
      </w:r>
      <w:r>
        <w:rPr>
          <w:rFonts w:ascii="Arial" w:hAnsi="Arial" w:cs="Arial"/>
          <w:sz w:val="24"/>
          <w:szCs w:val="24"/>
        </w:rPr>
        <w:t>]</w:t>
      </w:r>
      <w:r>
        <w:rPr>
          <w:rFonts w:ascii="Arial" w:hAnsi="Arial" w:cs="Arial"/>
          <w:sz w:val="24"/>
          <w:szCs w:val="24"/>
        </w:rPr>
        <w:tab/>
        <w:t xml:space="preserve">In </w:t>
      </w:r>
      <w:r w:rsidRPr="00B95EAB">
        <w:rPr>
          <w:rFonts w:ascii="Arial" w:hAnsi="Arial" w:cs="Arial"/>
          <w:i/>
          <w:sz w:val="24"/>
          <w:szCs w:val="24"/>
        </w:rPr>
        <w:t>Minister of Land and Resettlement v Dirk Johannes Weidts &amp; Another</w:t>
      </w:r>
      <w:r>
        <w:rPr>
          <w:rStyle w:val="FootnoteReference"/>
          <w:rFonts w:ascii="Arial" w:hAnsi="Arial"/>
          <w:sz w:val="24"/>
          <w:szCs w:val="24"/>
        </w:rPr>
        <w:footnoteReference w:id="9"/>
      </w:r>
      <w:r>
        <w:rPr>
          <w:rFonts w:ascii="Arial" w:hAnsi="Arial" w:cs="Arial"/>
          <w:sz w:val="24"/>
          <w:szCs w:val="24"/>
        </w:rPr>
        <w:t xml:space="preserve"> Masuku discussed the appropriate time to bring a constitutional challenge with reference to </w:t>
      </w:r>
      <w:r w:rsidRPr="00652CDE">
        <w:rPr>
          <w:rFonts w:ascii="Arial" w:hAnsi="Arial" w:cs="Arial"/>
          <w:i/>
          <w:sz w:val="24"/>
          <w:szCs w:val="24"/>
        </w:rPr>
        <w:t>Prince v President, Cape Law Society, And Others</w:t>
      </w:r>
      <w:r>
        <w:rPr>
          <w:rStyle w:val="FootnoteReference"/>
          <w:rFonts w:ascii="Arial" w:hAnsi="Arial"/>
          <w:i/>
          <w:sz w:val="24"/>
          <w:szCs w:val="24"/>
        </w:rPr>
        <w:footnoteReference w:id="10"/>
      </w:r>
      <w:r>
        <w:rPr>
          <w:rFonts w:ascii="Arial" w:hAnsi="Arial" w:cs="Arial"/>
          <w:i/>
          <w:sz w:val="24"/>
          <w:szCs w:val="24"/>
        </w:rPr>
        <w:t xml:space="preserve"> </w:t>
      </w:r>
      <w:r w:rsidR="00D366DC">
        <w:rPr>
          <w:rFonts w:ascii="Arial" w:hAnsi="Arial" w:cs="Arial"/>
          <w:sz w:val="24"/>
          <w:szCs w:val="24"/>
        </w:rPr>
        <w:t xml:space="preserve">at para 46 </w:t>
      </w:r>
      <w:r>
        <w:rPr>
          <w:rFonts w:ascii="Arial" w:hAnsi="Arial" w:cs="Arial"/>
          <w:sz w:val="24"/>
          <w:szCs w:val="24"/>
        </w:rPr>
        <w:t>as follows:</w:t>
      </w:r>
    </w:p>
    <w:p w14:paraId="65762E27" w14:textId="77777777" w:rsidR="001408F0" w:rsidRPr="00FC605D" w:rsidRDefault="001408F0" w:rsidP="001C0729">
      <w:pPr>
        <w:spacing w:after="0" w:line="360" w:lineRule="auto"/>
        <w:jc w:val="both"/>
        <w:rPr>
          <w:rFonts w:ascii="Arial" w:hAnsi="Arial" w:cs="Arial"/>
          <w:sz w:val="24"/>
          <w:szCs w:val="24"/>
        </w:rPr>
      </w:pPr>
    </w:p>
    <w:p w14:paraId="01D57FFD" w14:textId="229282B0" w:rsidR="001C0729" w:rsidRPr="00FC605D" w:rsidRDefault="00523FDB" w:rsidP="001408F0">
      <w:pPr>
        <w:spacing w:after="0" w:line="360" w:lineRule="auto"/>
        <w:jc w:val="both"/>
        <w:rPr>
          <w:rFonts w:ascii="Arial" w:eastAsia="Times New Roman" w:hAnsi="Arial" w:cs="Arial"/>
          <w:lang w:val="en-US"/>
        </w:rPr>
      </w:pPr>
      <w:r>
        <w:rPr>
          <w:rFonts w:ascii="Arial" w:hAnsi="Arial" w:cs="Arial"/>
        </w:rPr>
        <w:tab/>
      </w:r>
      <w:r w:rsidR="00FC605D">
        <w:rPr>
          <w:rFonts w:ascii="Arial" w:hAnsi="Arial" w:cs="Arial"/>
        </w:rPr>
        <w:t>‘</w:t>
      </w:r>
      <w:r w:rsidR="001C0729" w:rsidRPr="00FC605D">
        <w:rPr>
          <w:rFonts w:ascii="Arial" w:hAnsi="Arial" w:cs="Arial"/>
        </w:rPr>
        <w:t>[46]</w:t>
      </w:r>
      <w:r w:rsidR="00AB441D">
        <w:rPr>
          <w:rFonts w:ascii="Arial" w:hAnsi="Arial" w:cs="Arial"/>
        </w:rPr>
        <w:t xml:space="preserve"> </w:t>
      </w:r>
      <w:r w:rsidR="001C0729" w:rsidRPr="00FC605D">
        <w:rPr>
          <w:rFonts w:ascii="Arial" w:hAnsi="Arial" w:cs="Arial"/>
        </w:rPr>
        <w:t>Regarding issues that are relevant in the present proceedings, Ngcobo J,</w:t>
      </w:r>
      <w:r w:rsidR="001C0729" w:rsidRPr="00FC605D">
        <w:rPr>
          <w:rStyle w:val="FootnoteReference"/>
          <w:rFonts w:ascii="Arial" w:hAnsi="Arial" w:cs="Arial"/>
        </w:rPr>
        <w:footnoteReference w:id="11"/>
      </w:r>
      <w:r w:rsidR="001C0729" w:rsidRPr="00FC605D">
        <w:rPr>
          <w:rFonts w:ascii="Arial" w:hAnsi="Arial" w:cs="Arial"/>
        </w:rPr>
        <w:t xml:space="preserve"> writing for the majority of the court had this to say about the proper place and time to bring constitutional challenges:</w:t>
      </w:r>
    </w:p>
    <w:p w14:paraId="769BBD03" w14:textId="77777777" w:rsidR="001C0729" w:rsidRPr="00FC605D" w:rsidRDefault="001C0729" w:rsidP="001C0729">
      <w:pPr>
        <w:spacing w:after="0" w:line="360" w:lineRule="auto"/>
        <w:jc w:val="both"/>
        <w:rPr>
          <w:rFonts w:ascii="Arial" w:hAnsi="Arial" w:cs="Arial"/>
        </w:rPr>
      </w:pPr>
    </w:p>
    <w:p w14:paraId="4FAF0D75" w14:textId="69AC519B" w:rsidR="001C0729" w:rsidRDefault="001C0729" w:rsidP="001C0729">
      <w:pPr>
        <w:spacing w:after="0" w:line="360" w:lineRule="auto"/>
        <w:jc w:val="both"/>
        <w:rPr>
          <w:rFonts w:ascii="Arial" w:hAnsi="Arial" w:cs="Arial"/>
        </w:rPr>
      </w:pPr>
      <w:r w:rsidRPr="00FC605D">
        <w:rPr>
          <w:rFonts w:ascii="Arial" w:hAnsi="Arial" w:cs="Arial"/>
        </w:rPr>
        <w:tab/>
      </w:r>
      <w:r w:rsidR="00BB2E20">
        <w:rPr>
          <w:rFonts w:ascii="Arial" w:hAnsi="Arial" w:cs="Arial"/>
        </w:rPr>
        <w:t>“</w:t>
      </w:r>
      <w:r w:rsidRPr="00FC605D">
        <w:rPr>
          <w:rFonts w:ascii="Arial" w:hAnsi="Arial" w:cs="Arial"/>
        </w:rPr>
        <w:t>Parties who challenge the constitutionality of a provision in a statute must raise the constitutionality of the provision sought to be challenged at the time they institute legal proceedings. In addition, a party must place before Court the information relevant to the determination of the constitutionality of the impugned provisions. . . It is not sufficient for a party to raise the constitutionality of a statute in the heads of argument, without laying a proper foundation for such a challenge in the papers or the pleadings. The other party must be left in no doubt as to the nature or the case that it has to meet and the relief that is sought. Nor can parties hope to supplement and make their case on appeal.</w:t>
      </w:r>
      <w:r w:rsidR="00C11AEF">
        <w:rPr>
          <w:rFonts w:ascii="Arial" w:hAnsi="Arial" w:cs="Arial"/>
        </w:rPr>
        <w:t>”</w:t>
      </w:r>
    </w:p>
    <w:p w14:paraId="09A42B88" w14:textId="77777777" w:rsidR="00DB3697" w:rsidRPr="00DB3697" w:rsidRDefault="00DB3697" w:rsidP="00DB3697">
      <w:pPr>
        <w:spacing w:after="0" w:line="360" w:lineRule="auto"/>
        <w:jc w:val="both"/>
        <w:rPr>
          <w:rFonts w:ascii="Arial" w:hAnsi="Arial" w:cs="Arial"/>
        </w:rPr>
      </w:pPr>
    </w:p>
    <w:p w14:paraId="39EF555A" w14:textId="12C3A5F1" w:rsidR="00DB3697" w:rsidRPr="00DB3697" w:rsidRDefault="00DB3697" w:rsidP="00DB3697">
      <w:pPr>
        <w:spacing w:after="0" w:line="360" w:lineRule="auto"/>
        <w:jc w:val="both"/>
        <w:rPr>
          <w:rFonts w:ascii="Arial" w:hAnsi="Arial" w:cs="Arial"/>
        </w:rPr>
      </w:pPr>
      <w:r w:rsidRPr="00DB3697">
        <w:rPr>
          <w:rFonts w:ascii="Arial" w:hAnsi="Arial" w:cs="Arial"/>
        </w:rPr>
        <w:t>It is accordingly clear that the court made some remarks that are pertinent to this case and are instructive and therefore applicable</w:t>
      </w:r>
      <w:r w:rsidRPr="00652CDE">
        <w:rPr>
          <w:rFonts w:ascii="Arial" w:hAnsi="Arial" w:cs="Arial"/>
          <w:sz w:val="24"/>
          <w:szCs w:val="24"/>
        </w:rPr>
        <w:t>.</w:t>
      </w:r>
      <w:r>
        <w:rPr>
          <w:rFonts w:ascii="Arial" w:hAnsi="Arial" w:cs="Arial"/>
          <w:sz w:val="24"/>
          <w:szCs w:val="24"/>
        </w:rPr>
        <w:t>’</w:t>
      </w:r>
    </w:p>
    <w:p w14:paraId="2DAA3031" w14:textId="77777777" w:rsidR="001C0729" w:rsidRPr="00DB3697" w:rsidRDefault="001C0729" w:rsidP="000153DB">
      <w:pPr>
        <w:spacing w:after="0" w:line="360" w:lineRule="auto"/>
        <w:jc w:val="both"/>
        <w:rPr>
          <w:rFonts w:ascii="Arial" w:hAnsi="Arial" w:cs="Arial"/>
        </w:rPr>
      </w:pPr>
    </w:p>
    <w:p w14:paraId="7507A11D" w14:textId="3B3A6366" w:rsidR="001C0729" w:rsidRDefault="00DB3697" w:rsidP="000153DB">
      <w:pPr>
        <w:spacing w:after="0" w:line="360" w:lineRule="auto"/>
        <w:jc w:val="both"/>
        <w:rPr>
          <w:rFonts w:ascii="Arial" w:hAnsi="Arial" w:cs="Arial"/>
          <w:sz w:val="24"/>
          <w:szCs w:val="24"/>
        </w:rPr>
      </w:pPr>
      <w:r w:rsidRPr="00DB3697">
        <w:rPr>
          <w:rFonts w:ascii="Arial" w:hAnsi="Arial" w:cs="Arial"/>
          <w:sz w:val="24"/>
          <w:szCs w:val="24"/>
        </w:rPr>
        <w:lastRenderedPageBreak/>
        <w:t>[</w:t>
      </w:r>
      <w:r w:rsidR="009D1C3C">
        <w:rPr>
          <w:rFonts w:ascii="Arial" w:hAnsi="Arial" w:cs="Arial"/>
          <w:sz w:val="24"/>
          <w:szCs w:val="24"/>
        </w:rPr>
        <w:t>29</w:t>
      </w:r>
      <w:r w:rsidRPr="00DB3697">
        <w:rPr>
          <w:rFonts w:ascii="Arial" w:hAnsi="Arial" w:cs="Arial"/>
          <w:sz w:val="24"/>
          <w:szCs w:val="24"/>
        </w:rPr>
        <w:t>]</w:t>
      </w:r>
      <w:r w:rsidRPr="00DB3697">
        <w:rPr>
          <w:rFonts w:ascii="Arial" w:hAnsi="Arial" w:cs="Arial"/>
          <w:sz w:val="24"/>
          <w:szCs w:val="24"/>
        </w:rPr>
        <w:tab/>
        <w:t xml:space="preserve">I am </w:t>
      </w:r>
      <w:r>
        <w:rPr>
          <w:rFonts w:ascii="Arial" w:hAnsi="Arial" w:cs="Arial"/>
          <w:sz w:val="24"/>
          <w:szCs w:val="24"/>
        </w:rPr>
        <w:t xml:space="preserve">of the considered view that these remarks also </w:t>
      </w:r>
      <w:r w:rsidR="009E027C">
        <w:rPr>
          <w:rFonts w:ascii="Arial" w:hAnsi="Arial" w:cs="Arial"/>
          <w:sz w:val="24"/>
          <w:szCs w:val="24"/>
        </w:rPr>
        <w:t>applies to the matter before me. It is crystal clear that a constitutional challenge cannot be launc</w:t>
      </w:r>
      <w:r w:rsidR="00AF4B7A">
        <w:rPr>
          <w:rFonts w:ascii="Arial" w:hAnsi="Arial" w:cs="Arial"/>
          <w:sz w:val="24"/>
          <w:szCs w:val="24"/>
        </w:rPr>
        <w:t>h</w:t>
      </w:r>
      <w:r w:rsidR="009E027C">
        <w:rPr>
          <w:rFonts w:ascii="Arial" w:hAnsi="Arial" w:cs="Arial"/>
          <w:sz w:val="24"/>
          <w:szCs w:val="24"/>
        </w:rPr>
        <w:t>e</w:t>
      </w:r>
      <w:r w:rsidR="00E62FFD">
        <w:rPr>
          <w:rFonts w:ascii="Arial" w:hAnsi="Arial" w:cs="Arial"/>
          <w:sz w:val="24"/>
          <w:szCs w:val="24"/>
        </w:rPr>
        <w:t>d</w:t>
      </w:r>
      <w:r w:rsidR="009E027C">
        <w:rPr>
          <w:rFonts w:ascii="Arial" w:hAnsi="Arial" w:cs="Arial"/>
          <w:sz w:val="24"/>
          <w:szCs w:val="24"/>
        </w:rPr>
        <w:t xml:space="preserve"> for the first time in heads of arguments. </w:t>
      </w:r>
      <w:r w:rsidR="00AF4B7A">
        <w:rPr>
          <w:rFonts w:ascii="Arial" w:hAnsi="Arial" w:cs="Arial"/>
          <w:sz w:val="24"/>
          <w:szCs w:val="24"/>
        </w:rPr>
        <w:t xml:space="preserve">To conduct the matter in this manner it puts the defendants at a disadvantage, which would clearly be prejudicial in a matter as the one at hand. </w:t>
      </w:r>
    </w:p>
    <w:p w14:paraId="40BCC328" w14:textId="77777777" w:rsidR="009E27FD" w:rsidRDefault="009E27FD" w:rsidP="000153DB">
      <w:pPr>
        <w:spacing w:after="0" w:line="360" w:lineRule="auto"/>
        <w:jc w:val="both"/>
        <w:rPr>
          <w:rFonts w:ascii="Arial" w:hAnsi="Arial" w:cs="Arial"/>
          <w:sz w:val="24"/>
          <w:szCs w:val="24"/>
        </w:rPr>
      </w:pPr>
    </w:p>
    <w:p w14:paraId="2497A57B" w14:textId="059C8F18" w:rsidR="009E27FD" w:rsidRPr="009E27FD" w:rsidRDefault="009E27FD" w:rsidP="000153DB">
      <w:pPr>
        <w:spacing w:after="0" w:line="360" w:lineRule="auto"/>
        <w:jc w:val="both"/>
        <w:rPr>
          <w:rFonts w:ascii="Arial" w:hAnsi="Arial" w:cs="Arial"/>
          <w:i/>
          <w:sz w:val="24"/>
          <w:szCs w:val="24"/>
        </w:rPr>
      </w:pPr>
      <w:r w:rsidRPr="009E27FD">
        <w:rPr>
          <w:rFonts w:ascii="Arial" w:hAnsi="Arial" w:cs="Arial"/>
          <w:i/>
          <w:sz w:val="24"/>
          <w:szCs w:val="24"/>
        </w:rPr>
        <w:t>Condonation application</w:t>
      </w:r>
    </w:p>
    <w:p w14:paraId="68B43241" w14:textId="77777777" w:rsidR="00AF4B7A" w:rsidRDefault="00AF4B7A" w:rsidP="00DE5BAC">
      <w:pPr>
        <w:spacing w:after="0" w:line="360" w:lineRule="auto"/>
        <w:jc w:val="both"/>
        <w:rPr>
          <w:rFonts w:ascii="Arial" w:hAnsi="Arial" w:cs="Arial"/>
        </w:rPr>
      </w:pPr>
    </w:p>
    <w:p w14:paraId="63F8C7E5" w14:textId="19D55E34" w:rsidR="009E27FD" w:rsidRDefault="009E27FD" w:rsidP="00DE5BAC">
      <w:pPr>
        <w:spacing w:after="0" w:line="360" w:lineRule="auto"/>
        <w:jc w:val="both"/>
        <w:rPr>
          <w:rFonts w:ascii="Arial" w:hAnsi="Arial" w:cs="Arial"/>
          <w:sz w:val="24"/>
          <w:szCs w:val="24"/>
        </w:rPr>
      </w:pPr>
      <w:r w:rsidRPr="002738D6">
        <w:rPr>
          <w:rFonts w:ascii="Arial" w:hAnsi="Arial" w:cs="Arial"/>
          <w:sz w:val="24"/>
          <w:szCs w:val="24"/>
        </w:rPr>
        <w:t>[</w:t>
      </w:r>
      <w:r w:rsidR="009D1C3C">
        <w:rPr>
          <w:rFonts w:ascii="Arial" w:hAnsi="Arial" w:cs="Arial"/>
          <w:sz w:val="24"/>
          <w:szCs w:val="24"/>
        </w:rPr>
        <w:t>30</w:t>
      </w:r>
      <w:r w:rsidRPr="002738D6">
        <w:rPr>
          <w:rFonts w:ascii="Arial" w:hAnsi="Arial" w:cs="Arial"/>
          <w:sz w:val="24"/>
          <w:szCs w:val="24"/>
        </w:rPr>
        <w:t>]</w:t>
      </w:r>
      <w:r>
        <w:rPr>
          <w:rFonts w:ascii="Arial" w:hAnsi="Arial" w:cs="Arial"/>
        </w:rPr>
        <w:tab/>
      </w:r>
      <w:r w:rsidRPr="004F26CA">
        <w:rPr>
          <w:rFonts w:ascii="Arial" w:hAnsi="Arial" w:cs="Arial"/>
          <w:sz w:val="24"/>
          <w:szCs w:val="24"/>
        </w:rPr>
        <w:t>If one have regard to the wording of s 133 of the Act it would not appear that there is any provision made for condonation</w:t>
      </w:r>
      <w:r w:rsidR="004F26CA">
        <w:rPr>
          <w:rFonts w:ascii="Arial" w:hAnsi="Arial" w:cs="Arial"/>
          <w:sz w:val="24"/>
          <w:szCs w:val="24"/>
        </w:rPr>
        <w:t>.</w:t>
      </w:r>
      <w:r w:rsidRPr="004F26CA">
        <w:rPr>
          <w:rFonts w:ascii="Arial" w:hAnsi="Arial" w:cs="Arial"/>
          <w:sz w:val="24"/>
          <w:szCs w:val="24"/>
        </w:rPr>
        <w:t xml:space="preserve"> </w:t>
      </w:r>
    </w:p>
    <w:p w14:paraId="5A1985B0" w14:textId="77777777" w:rsidR="004F26CA" w:rsidRDefault="004F26CA" w:rsidP="00DE5BAC">
      <w:pPr>
        <w:spacing w:after="0" w:line="360" w:lineRule="auto"/>
        <w:jc w:val="both"/>
        <w:rPr>
          <w:rFonts w:ascii="Arial" w:hAnsi="Arial" w:cs="Arial"/>
          <w:sz w:val="24"/>
          <w:szCs w:val="24"/>
        </w:rPr>
      </w:pPr>
    </w:p>
    <w:p w14:paraId="202AA78D" w14:textId="6EA04B22" w:rsidR="004F26CA" w:rsidRPr="009E27FD" w:rsidRDefault="004F26CA" w:rsidP="00A474D2">
      <w:pPr>
        <w:spacing w:after="0" w:line="360" w:lineRule="auto"/>
        <w:jc w:val="both"/>
        <w:rPr>
          <w:rFonts w:ascii="Arial" w:hAnsi="Arial" w:cs="Arial"/>
        </w:rPr>
      </w:pPr>
      <w:r>
        <w:rPr>
          <w:rFonts w:ascii="Arial" w:hAnsi="Arial" w:cs="Arial"/>
          <w:sz w:val="24"/>
          <w:szCs w:val="24"/>
        </w:rPr>
        <w:t>[</w:t>
      </w:r>
      <w:r w:rsidR="009D1C3C">
        <w:rPr>
          <w:rFonts w:ascii="Arial" w:hAnsi="Arial" w:cs="Arial"/>
          <w:sz w:val="24"/>
          <w:szCs w:val="24"/>
        </w:rPr>
        <w:t>31</w:t>
      </w:r>
      <w:r>
        <w:rPr>
          <w:rFonts w:ascii="Arial" w:hAnsi="Arial" w:cs="Arial"/>
          <w:sz w:val="24"/>
          <w:szCs w:val="24"/>
        </w:rPr>
        <w:t>]</w:t>
      </w:r>
      <w:r>
        <w:rPr>
          <w:rFonts w:ascii="Arial" w:hAnsi="Arial" w:cs="Arial"/>
          <w:sz w:val="24"/>
          <w:szCs w:val="24"/>
        </w:rPr>
        <w:tab/>
      </w:r>
      <w:r w:rsidRPr="004F26CA">
        <w:rPr>
          <w:rFonts w:ascii="Arial" w:hAnsi="Arial" w:cs="Arial"/>
          <w:sz w:val="24"/>
          <w:szCs w:val="24"/>
        </w:rPr>
        <w:t xml:space="preserve">The </w:t>
      </w:r>
      <w:r>
        <w:rPr>
          <w:rFonts w:ascii="Arial" w:hAnsi="Arial" w:cs="Arial"/>
          <w:sz w:val="24"/>
          <w:szCs w:val="24"/>
        </w:rPr>
        <w:t xml:space="preserve">relevant </w:t>
      </w:r>
      <w:r w:rsidRPr="004F26CA">
        <w:rPr>
          <w:rFonts w:ascii="Arial" w:hAnsi="Arial" w:cs="Arial"/>
          <w:sz w:val="24"/>
          <w:szCs w:val="24"/>
        </w:rPr>
        <w:t>provision</w:t>
      </w:r>
      <w:r>
        <w:rPr>
          <w:rFonts w:ascii="Arial" w:hAnsi="Arial" w:cs="Arial"/>
          <w:sz w:val="24"/>
          <w:szCs w:val="24"/>
        </w:rPr>
        <w:t xml:space="preserve"> of the Act </w:t>
      </w:r>
      <w:r w:rsidRPr="004F26CA">
        <w:rPr>
          <w:rFonts w:ascii="Arial" w:hAnsi="Arial" w:cs="Arial"/>
          <w:sz w:val="24"/>
          <w:szCs w:val="24"/>
        </w:rPr>
        <w:t xml:space="preserve">is not qualified with clauses </w:t>
      </w:r>
      <w:r>
        <w:rPr>
          <w:rFonts w:ascii="Arial" w:hAnsi="Arial" w:cs="Arial"/>
          <w:sz w:val="24"/>
          <w:szCs w:val="24"/>
        </w:rPr>
        <w:t>t</w:t>
      </w:r>
      <w:r w:rsidRPr="004F26CA">
        <w:rPr>
          <w:rFonts w:ascii="Arial" w:hAnsi="Arial" w:cs="Arial"/>
          <w:sz w:val="24"/>
          <w:szCs w:val="24"/>
        </w:rPr>
        <w:t>hat would have given the court powers to consider an application to extent the time.</w:t>
      </w:r>
      <w:r>
        <w:rPr>
          <w:rFonts w:ascii="Arial" w:hAnsi="Arial" w:cs="Arial"/>
          <w:sz w:val="24"/>
          <w:szCs w:val="24"/>
        </w:rPr>
        <w:t xml:space="preserve"> Unlike the Police Act which provides that ‘</w:t>
      </w:r>
      <w:r w:rsidRPr="004F26CA">
        <w:rPr>
          <w:rFonts w:ascii="Arial" w:hAnsi="Arial" w:cs="Arial"/>
          <w:sz w:val="24"/>
          <w:szCs w:val="24"/>
        </w:rPr>
        <w:t>Provided that the Minister may at any time waive compliance with the provisions of this subsection</w:t>
      </w:r>
      <w:r>
        <w:rPr>
          <w:rFonts w:ascii="Arial" w:hAnsi="Arial" w:cs="Arial"/>
          <w:sz w:val="24"/>
          <w:szCs w:val="24"/>
        </w:rPr>
        <w:t xml:space="preserve">’ the Correctional Services Act does not contain </w:t>
      </w:r>
      <w:r w:rsidR="002738D6">
        <w:rPr>
          <w:rFonts w:ascii="Arial" w:hAnsi="Arial" w:cs="Arial"/>
          <w:sz w:val="24"/>
          <w:szCs w:val="24"/>
        </w:rPr>
        <w:t xml:space="preserve">a similar </w:t>
      </w:r>
      <w:r>
        <w:rPr>
          <w:rFonts w:ascii="Arial" w:hAnsi="Arial" w:cs="Arial"/>
          <w:sz w:val="24"/>
          <w:szCs w:val="24"/>
        </w:rPr>
        <w:t>provision</w:t>
      </w:r>
      <w:r w:rsidR="002738D6">
        <w:rPr>
          <w:rFonts w:ascii="Arial" w:hAnsi="Arial" w:cs="Arial"/>
          <w:sz w:val="24"/>
          <w:szCs w:val="24"/>
        </w:rPr>
        <w:t>.</w:t>
      </w:r>
      <w:r w:rsidR="006F1D1D">
        <w:rPr>
          <w:rFonts w:ascii="Arial" w:hAnsi="Arial" w:cs="Arial"/>
          <w:sz w:val="24"/>
          <w:szCs w:val="24"/>
        </w:rPr>
        <w:t xml:space="preserve"> </w:t>
      </w:r>
      <w:r w:rsidR="002738D6" w:rsidRPr="004F26CA">
        <w:rPr>
          <w:rFonts w:ascii="Arial" w:hAnsi="Arial" w:cs="Arial"/>
          <w:sz w:val="24"/>
          <w:szCs w:val="24"/>
        </w:rPr>
        <w:t>This court can therefore not entertain an application for condonation as no provision is made for such an application in the Act.</w:t>
      </w:r>
    </w:p>
    <w:p w14:paraId="1F6A944E" w14:textId="77777777" w:rsidR="00B3622E" w:rsidRDefault="00B3622E">
      <w:pPr>
        <w:spacing w:after="0" w:line="360" w:lineRule="auto"/>
        <w:jc w:val="both"/>
        <w:rPr>
          <w:rFonts w:ascii="Arial" w:hAnsi="Arial" w:cs="Arial"/>
          <w:i/>
          <w:sz w:val="24"/>
          <w:szCs w:val="24"/>
        </w:rPr>
      </w:pPr>
    </w:p>
    <w:p w14:paraId="56C84422" w14:textId="597D757F" w:rsidR="00AF4B7A" w:rsidRPr="009E27FD" w:rsidRDefault="00AF4B7A">
      <w:pPr>
        <w:spacing w:after="0" w:line="360" w:lineRule="auto"/>
        <w:jc w:val="both"/>
        <w:rPr>
          <w:rFonts w:ascii="Arial" w:hAnsi="Arial" w:cs="Arial"/>
          <w:sz w:val="24"/>
          <w:szCs w:val="24"/>
        </w:rPr>
      </w:pPr>
      <w:r w:rsidRPr="009E27FD">
        <w:rPr>
          <w:rFonts w:ascii="Arial" w:hAnsi="Arial" w:cs="Arial"/>
          <w:i/>
          <w:sz w:val="24"/>
          <w:szCs w:val="24"/>
        </w:rPr>
        <w:t>Statutory notice of 1 month prior to the institution of these proceedings in contravention of Section 133</w:t>
      </w:r>
      <w:r w:rsidR="00973494">
        <w:rPr>
          <w:rFonts w:ascii="Arial" w:hAnsi="Arial" w:cs="Arial"/>
          <w:i/>
          <w:sz w:val="24"/>
          <w:szCs w:val="24"/>
        </w:rPr>
        <w:t xml:space="preserve"> </w:t>
      </w:r>
      <w:r w:rsidRPr="009E27FD">
        <w:rPr>
          <w:rFonts w:ascii="Arial" w:hAnsi="Arial" w:cs="Arial"/>
          <w:i/>
          <w:sz w:val="24"/>
          <w:szCs w:val="24"/>
        </w:rPr>
        <w:t>(4)</w:t>
      </w:r>
      <w:r w:rsidRPr="009E27FD">
        <w:rPr>
          <w:rStyle w:val="FootnoteReference"/>
          <w:rFonts w:ascii="Arial" w:hAnsi="Arial"/>
          <w:i/>
          <w:sz w:val="24"/>
          <w:szCs w:val="24"/>
        </w:rPr>
        <w:footnoteReference w:id="12"/>
      </w:r>
      <w:r w:rsidRPr="009E27FD">
        <w:rPr>
          <w:rFonts w:ascii="Arial" w:hAnsi="Arial" w:cs="Arial"/>
          <w:i/>
          <w:sz w:val="24"/>
          <w:szCs w:val="24"/>
        </w:rPr>
        <w:t xml:space="preserve"> of the Act</w:t>
      </w:r>
      <w:r w:rsidRPr="009E27FD">
        <w:rPr>
          <w:rFonts w:ascii="Arial" w:hAnsi="Arial" w:cs="Arial"/>
          <w:sz w:val="24"/>
          <w:szCs w:val="24"/>
        </w:rPr>
        <w:t xml:space="preserve"> </w:t>
      </w:r>
    </w:p>
    <w:p w14:paraId="5BEAB759" w14:textId="77777777" w:rsidR="00AF4B7A" w:rsidRDefault="00AF4B7A">
      <w:pPr>
        <w:spacing w:after="0" w:line="360" w:lineRule="auto"/>
        <w:jc w:val="both"/>
        <w:rPr>
          <w:rFonts w:ascii="Arial" w:hAnsi="Arial" w:cs="Arial"/>
        </w:rPr>
      </w:pPr>
    </w:p>
    <w:p w14:paraId="5688B9DB" w14:textId="493F4BBE" w:rsidR="000D6A78" w:rsidRPr="000D6A78" w:rsidRDefault="000153DB" w:rsidP="00DE5BAC">
      <w:pPr>
        <w:spacing w:after="0" w:line="360" w:lineRule="auto"/>
        <w:jc w:val="both"/>
        <w:rPr>
          <w:rFonts w:ascii="Arial" w:hAnsi="Arial" w:cs="Arial"/>
          <w:sz w:val="24"/>
          <w:shd w:val="clear" w:color="auto" w:fill="FFFFFF"/>
        </w:rPr>
      </w:pPr>
      <w:r w:rsidRPr="002738D6">
        <w:rPr>
          <w:rFonts w:ascii="Arial" w:hAnsi="Arial" w:cs="Arial"/>
          <w:sz w:val="24"/>
          <w:szCs w:val="24"/>
        </w:rPr>
        <w:t>[</w:t>
      </w:r>
      <w:r w:rsidR="009D1C3C">
        <w:rPr>
          <w:rFonts w:ascii="Arial" w:hAnsi="Arial" w:cs="Arial"/>
          <w:sz w:val="24"/>
          <w:szCs w:val="24"/>
        </w:rPr>
        <w:t>32</w:t>
      </w:r>
      <w:r w:rsidRPr="002738D6">
        <w:rPr>
          <w:rFonts w:ascii="Arial" w:hAnsi="Arial" w:cs="Arial"/>
          <w:sz w:val="24"/>
          <w:szCs w:val="24"/>
        </w:rPr>
        <w:t>]</w:t>
      </w:r>
      <w:r w:rsidRPr="00C11F78">
        <w:rPr>
          <w:rFonts w:ascii="Arial" w:hAnsi="Arial" w:cs="Arial"/>
          <w:sz w:val="24"/>
          <w:szCs w:val="24"/>
        </w:rPr>
        <w:tab/>
      </w:r>
      <w:r w:rsidR="000D6A78" w:rsidRPr="00254EF4">
        <w:rPr>
          <w:rFonts w:ascii="Arial" w:hAnsi="Arial" w:cs="Arial"/>
          <w:sz w:val="24"/>
          <w:szCs w:val="24"/>
          <w:shd w:val="clear" w:color="auto" w:fill="FFFFFF"/>
        </w:rPr>
        <w:t xml:space="preserve">In </w:t>
      </w:r>
      <w:r w:rsidR="000D6A78" w:rsidRPr="00254EF4">
        <w:rPr>
          <w:rFonts w:ascii="Arial" w:hAnsi="Arial" w:cs="Arial"/>
          <w:i/>
          <w:sz w:val="24"/>
          <w:szCs w:val="24"/>
          <w:shd w:val="clear" w:color="auto" w:fill="FFFFFF"/>
        </w:rPr>
        <w:t>Mahupelo v Minister of Safety and Security and Others</w:t>
      </w:r>
      <w:r w:rsidR="00635CD7">
        <w:rPr>
          <w:rStyle w:val="FootnoteReference"/>
          <w:rFonts w:ascii="Arial" w:hAnsi="Arial"/>
          <w:i/>
          <w:sz w:val="24"/>
          <w:szCs w:val="24"/>
          <w:shd w:val="clear" w:color="auto" w:fill="FFFFFF"/>
        </w:rPr>
        <w:footnoteReference w:id="13"/>
      </w:r>
      <w:r w:rsidR="000D6A78" w:rsidRPr="00EC28F2">
        <w:rPr>
          <w:rFonts w:ascii="Arial" w:hAnsi="Arial" w:cs="Arial"/>
          <w:sz w:val="24"/>
          <w:szCs w:val="24"/>
          <w:shd w:val="clear" w:color="auto" w:fill="FFFFFF"/>
        </w:rPr>
        <w:t xml:space="preserve"> </w:t>
      </w:r>
      <w:r w:rsidR="000D6A78" w:rsidRPr="00635CD7">
        <w:rPr>
          <w:rFonts w:ascii="Arial" w:hAnsi="Arial" w:cs="Arial"/>
          <w:sz w:val="24"/>
          <w:szCs w:val="24"/>
          <w:shd w:val="clear" w:color="auto" w:fill="FFFFFF"/>
        </w:rPr>
        <w:t xml:space="preserve"> the court made the following</w:t>
      </w:r>
      <w:r w:rsidR="000D6A78" w:rsidRPr="00EC28F2">
        <w:rPr>
          <w:rFonts w:ascii="Arial" w:hAnsi="Arial" w:cs="Arial"/>
          <w:sz w:val="24"/>
          <w:szCs w:val="24"/>
          <w:shd w:val="clear" w:color="auto" w:fill="FFFFFF"/>
        </w:rPr>
        <w:t xml:space="preserve"> remarks with respect to s 39 of the Police Act, which primarily carries the same intentions imposed</w:t>
      </w:r>
      <w:r w:rsidR="000D6A78">
        <w:rPr>
          <w:rFonts w:ascii="Arial" w:hAnsi="Arial" w:cs="Arial"/>
          <w:sz w:val="24"/>
          <w:shd w:val="clear" w:color="auto" w:fill="FFFFFF"/>
        </w:rPr>
        <w:t xml:space="preserve"> by the Legislature in s 133 (4) of the Correctional Service Act</w:t>
      </w:r>
      <w:r w:rsidR="000D6A78" w:rsidRPr="000D6A78">
        <w:rPr>
          <w:rFonts w:ascii="Arial" w:hAnsi="Arial" w:cs="Arial"/>
          <w:sz w:val="24"/>
          <w:shd w:val="clear" w:color="auto" w:fill="FFFFFF"/>
        </w:rPr>
        <w:t>:</w:t>
      </w:r>
    </w:p>
    <w:p w14:paraId="564EEF4F" w14:textId="77777777" w:rsidR="00DE5BAC" w:rsidRDefault="00DE5BAC" w:rsidP="00DE5BAC">
      <w:pPr>
        <w:spacing w:after="0" w:line="360" w:lineRule="auto"/>
        <w:jc w:val="both"/>
        <w:rPr>
          <w:rFonts w:ascii="Arial" w:hAnsi="Arial" w:cs="Arial"/>
          <w:shd w:val="clear" w:color="auto" w:fill="FFFFFF"/>
        </w:rPr>
      </w:pPr>
    </w:p>
    <w:p w14:paraId="2D3F80FE" w14:textId="77777777" w:rsidR="000D6A78" w:rsidRDefault="00FA7670" w:rsidP="000D16F0">
      <w:pPr>
        <w:spacing w:line="360" w:lineRule="auto"/>
        <w:jc w:val="both"/>
        <w:rPr>
          <w:rFonts w:ascii="Arial" w:hAnsi="Arial" w:cs="Arial"/>
          <w:shd w:val="clear" w:color="auto" w:fill="FFFFFF"/>
        </w:rPr>
      </w:pPr>
      <w:r>
        <w:rPr>
          <w:rFonts w:ascii="Arial" w:hAnsi="Arial" w:cs="Arial"/>
          <w:shd w:val="clear" w:color="auto" w:fill="FFFFFF"/>
        </w:rPr>
        <w:tab/>
      </w:r>
      <w:r w:rsidR="000D6A78" w:rsidRPr="000D244C">
        <w:rPr>
          <w:rFonts w:ascii="Arial" w:hAnsi="Arial" w:cs="Arial"/>
          <w:shd w:val="clear" w:color="auto" w:fill="FFFFFF"/>
        </w:rPr>
        <w:t>‘[16] It is clear from the reading of s 39 of the Police Act that a proper and timeous notice of intention to bring proceedings is a pre-condition for the institution of a civil action under the Police Act. The question that would arise from the reading of this section would point to the purpose of this notice.</w:t>
      </w:r>
    </w:p>
    <w:p w14:paraId="78445B33" w14:textId="77777777" w:rsidR="00363D9C" w:rsidRDefault="00363D9C" w:rsidP="000D16F0">
      <w:pPr>
        <w:spacing w:line="360" w:lineRule="auto"/>
        <w:jc w:val="both"/>
        <w:rPr>
          <w:rFonts w:ascii="Arial" w:hAnsi="Arial" w:cs="Arial"/>
          <w:shd w:val="clear" w:color="auto" w:fill="FFFFFF"/>
        </w:rPr>
      </w:pPr>
      <w:r w:rsidRPr="000D244C">
        <w:rPr>
          <w:rFonts w:ascii="Arial" w:hAnsi="Arial" w:cs="Arial"/>
          <w:shd w:val="clear" w:color="auto" w:fill="FFFFFF"/>
        </w:rPr>
        <w:lastRenderedPageBreak/>
        <w:t xml:space="preserve">[17] The purpose of the notice in terms of s 39 of the Police Act was expounded in a number of judgments in the Namibian and as well as the South African jurisdictions. This is what the courts had to say in the case of </w:t>
      </w:r>
      <w:r w:rsidRPr="00363D9C">
        <w:rPr>
          <w:rFonts w:ascii="Arial" w:hAnsi="Arial" w:cs="Arial"/>
          <w:i/>
          <w:shd w:val="clear" w:color="auto" w:fill="FFFFFF"/>
        </w:rPr>
        <w:t>Simon v Administrator-General, South West Africa</w:t>
      </w:r>
      <w:r w:rsidRPr="000D244C">
        <w:rPr>
          <w:rFonts w:ascii="Arial" w:hAnsi="Arial" w:cs="Arial"/>
          <w:shd w:val="clear" w:color="auto" w:fill="FFFFFF"/>
        </w:rPr>
        <w:t>:</w:t>
      </w:r>
    </w:p>
    <w:p w14:paraId="716BA5F1" w14:textId="77777777" w:rsidR="00363D9C" w:rsidRDefault="00363D9C" w:rsidP="00363D9C">
      <w:pPr>
        <w:spacing w:line="360" w:lineRule="auto"/>
        <w:jc w:val="both"/>
        <w:rPr>
          <w:rFonts w:ascii="Arial" w:hAnsi="Arial" w:cs="Arial"/>
          <w:shd w:val="clear" w:color="auto" w:fill="FFFFFF"/>
        </w:rPr>
      </w:pPr>
      <w:r w:rsidRPr="000D244C">
        <w:rPr>
          <w:rFonts w:ascii="Arial" w:hAnsi="Arial" w:cs="Arial"/>
          <w:shd w:val="clear" w:color="auto" w:fill="FFFFFF"/>
        </w:rPr>
        <w:tab/>
        <w:t>“The object of the notice required under s 32(1) is, as had been said often enough, to inform the State sufficiently of the proposed claim so as to enable it to investigate the matter. See Minister van Polisie en 'n Ander v Gamble en 'n Ander 1979 (4) SA 759 (A) at 769H. The notice need not be as detailed as a pleading.”</w:t>
      </w:r>
    </w:p>
    <w:p w14:paraId="49C9F67A" w14:textId="77777777" w:rsidR="00363D9C" w:rsidRDefault="00363D9C" w:rsidP="000D16F0">
      <w:pPr>
        <w:spacing w:line="360" w:lineRule="auto"/>
        <w:jc w:val="both"/>
        <w:rPr>
          <w:rFonts w:ascii="Arial" w:hAnsi="Arial" w:cs="Arial"/>
          <w:shd w:val="clear" w:color="auto" w:fill="FFFFFF"/>
        </w:rPr>
      </w:pPr>
      <w:r w:rsidRPr="000D244C">
        <w:rPr>
          <w:rFonts w:ascii="Arial" w:hAnsi="Arial" w:cs="Arial"/>
          <w:shd w:val="clear" w:color="auto" w:fill="FFFFFF"/>
        </w:rPr>
        <w:t>[18] It has further been stated:</w:t>
      </w:r>
    </w:p>
    <w:p w14:paraId="64017DC2" w14:textId="77777777" w:rsidR="00363D9C" w:rsidRDefault="00363D9C" w:rsidP="00363D9C">
      <w:pPr>
        <w:spacing w:after="0" w:line="360" w:lineRule="auto"/>
        <w:ind w:firstLine="720"/>
        <w:jc w:val="both"/>
        <w:rPr>
          <w:rFonts w:ascii="Arial" w:hAnsi="Arial" w:cs="Arial"/>
          <w:szCs w:val="24"/>
        </w:rPr>
      </w:pPr>
      <w:r w:rsidRPr="000D244C">
        <w:rPr>
          <w:rFonts w:ascii="Arial" w:hAnsi="Arial" w:cs="Arial"/>
          <w:shd w:val="clear" w:color="auto" w:fill="FFFFFF"/>
        </w:rPr>
        <w:t>“The purpose for which the notice is required to be given is of importance. That purpose is to ensure that the State, or the person to be sued, receives warning of the contemplated action and is given sufficient information so as to enable it or him to ascertain the facts and consider them.”</w:t>
      </w:r>
      <w:r w:rsidR="00281E0C">
        <w:rPr>
          <w:rFonts w:ascii="Arial" w:hAnsi="Arial" w:cs="Arial"/>
          <w:shd w:val="clear" w:color="auto" w:fill="FFFFFF"/>
        </w:rPr>
        <w:t>’</w:t>
      </w:r>
    </w:p>
    <w:p w14:paraId="28427AB5" w14:textId="77777777" w:rsidR="000D6A78" w:rsidRDefault="000D6A78" w:rsidP="000D6A78">
      <w:pPr>
        <w:spacing w:line="360" w:lineRule="auto"/>
        <w:jc w:val="both"/>
        <w:rPr>
          <w:rFonts w:ascii="Arial" w:hAnsi="Arial" w:cs="Arial"/>
          <w:shd w:val="clear" w:color="auto" w:fill="FFFFFF"/>
        </w:rPr>
      </w:pPr>
    </w:p>
    <w:p w14:paraId="196A3591" w14:textId="4E50B2BD" w:rsidR="00FF083C" w:rsidRDefault="00FF083C" w:rsidP="00FF083C">
      <w:pPr>
        <w:spacing w:after="0" w:line="360" w:lineRule="auto"/>
        <w:ind w:hanging="33"/>
        <w:jc w:val="both"/>
        <w:rPr>
          <w:rFonts w:ascii="Arial" w:hAnsi="Arial" w:cs="Arial"/>
          <w:sz w:val="24"/>
          <w:szCs w:val="24"/>
        </w:rPr>
      </w:pPr>
      <w:r w:rsidRPr="002738D6">
        <w:rPr>
          <w:rFonts w:ascii="Arial" w:hAnsi="Arial" w:cs="Arial"/>
          <w:sz w:val="24"/>
          <w:szCs w:val="24"/>
          <w:shd w:val="clear" w:color="auto" w:fill="FFFFFF"/>
        </w:rPr>
        <w:t>[</w:t>
      </w:r>
      <w:r w:rsidR="009D1C3C">
        <w:rPr>
          <w:rFonts w:ascii="Arial" w:hAnsi="Arial" w:cs="Arial"/>
          <w:sz w:val="24"/>
          <w:szCs w:val="24"/>
          <w:shd w:val="clear" w:color="auto" w:fill="FFFFFF"/>
        </w:rPr>
        <w:t>33</w:t>
      </w:r>
      <w:r w:rsidRPr="002738D6">
        <w:rPr>
          <w:rFonts w:ascii="Arial" w:hAnsi="Arial" w:cs="Arial"/>
          <w:sz w:val="24"/>
          <w:szCs w:val="24"/>
          <w:shd w:val="clear" w:color="auto" w:fill="FFFFFF"/>
        </w:rPr>
        <w:t>]</w:t>
      </w:r>
      <w:r w:rsidRPr="002738D6">
        <w:rPr>
          <w:rFonts w:ascii="Arial" w:hAnsi="Arial" w:cs="Arial"/>
          <w:sz w:val="24"/>
          <w:szCs w:val="24"/>
          <w:shd w:val="clear" w:color="auto" w:fill="FFFFFF"/>
        </w:rPr>
        <w:tab/>
        <w:t>In</w:t>
      </w:r>
      <w:r>
        <w:rPr>
          <w:rFonts w:ascii="Arial" w:hAnsi="Arial" w:cs="Arial"/>
          <w:shd w:val="clear" w:color="auto" w:fill="FFFFFF"/>
        </w:rPr>
        <w:t xml:space="preserve"> </w:t>
      </w:r>
      <w:r>
        <w:rPr>
          <w:rFonts w:ascii="Arial" w:hAnsi="Arial" w:cs="Arial"/>
          <w:i/>
          <w:sz w:val="24"/>
          <w:szCs w:val="24"/>
        </w:rPr>
        <w:t>Indilinga Systems Design &amp; Logistics CC v The Minister of Safety and Security</w:t>
      </w:r>
      <w:r>
        <w:rPr>
          <w:rStyle w:val="FootnoteReference"/>
          <w:rFonts w:ascii="Arial" w:hAnsi="Arial"/>
          <w:i/>
          <w:sz w:val="24"/>
          <w:szCs w:val="24"/>
        </w:rPr>
        <w:footnoteReference w:id="14"/>
      </w:r>
      <w:r>
        <w:rPr>
          <w:rFonts w:ascii="Arial" w:hAnsi="Arial" w:cs="Arial"/>
          <w:i/>
          <w:sz w:val="24"/>
          <w:szCs w:val="24"/>
        </w:rPr>
        <w:t xml:space="preserve"> </w:t>
      </w:r>
      <w:r w:rsidR="00363D9C">
        <w:rPr>
          <w:rFonts w:ascii="Arial" w:hAnsi="Arial" w:cs="Arial"/>
          <w:sz w:val="24"/>
          <w:szCs w:val="24"/>
        </w:rPr>
        <w:t>Geier J addressed the non-</w:t>
      </w:r>
      <w:r w:rsidR="00363D9C" w:rsidRPr="002E2AE9">
        <w:rPr>
          <w:rFonts w:ascii="Arial" w:hAnsi="Arial" w:cs="Arial"/>
          <w:sz w:val="24"/>
          <w:szCs w:val="24"/>
        </w:rPr>
        <w:t xml:space="preserve">compliance with </w:t>
      </w:r>
      <w:r w:rsidR="00254EF4">
        <w:rPr>
          <w:rFonts w:ascii="Arial" w:hAnsi="Arial" w:cs="Arial"/>
          <w:sz w:val="24"/>
          <w:szCs w:val="24"/>
        </w:rPr>
        <w:t xml:space="preserve">s </w:t>
      </w:r>
      <w:r w:rsidR="00363D9C">
        <w:rPr>
          <w:rFonts w:ascii="Arial" w:hAnsi="Arial" w:cs="Arial"/>
          <w:sz w:val="24"/>
          <w:szCs w:val="24"/>
        </w:rPr>
        <w:t>39(1) of the Police Act</w:t>
      </w:r>
      <w:r w:rsidR="00363D9C">
        <w:rPr>
          <w:rStyle w:val="FootnoteReference"/>
          <w:rFonts w:ascii="Arial" w:hAnsi="Arial"/>
          <w:sz w:val="24"/>
          <w:szCs w:val="24"/>
        </w:rPr>
        <w:footnoteReference w:id="15"/>
      </w:r>
      <w:r w:rsidR="00363D9C">
        <w:rPr>
          <w:rFonts w:ascii="Arial" w:hAnsi="Arial" w:cs="Arial"/>
          <w:sz w:val="24"/>
          <w:szCs w:val="24"/>
        </w:rPr>
        <w:t xml:space="preserve"> as follows:</w:t>
      </w:r>
    </w:p>
    <w:p w14:paraId="1A95BDEA" w14:textId="77777777" w:rsidR="000D16F0" w:rsidRDefault="000D16F0" w:rsidP="00FF083C">
      <w:pPr>
        <w:spacing w:after="0" w:line="360" w:lineRule="auto"/>
        <w:ind w:hanging="33"/>
        <w:jc w:val="both"/>
        <w:rPr>
          <w:rFonts w:ascii="Arial" w:hAnsi="Arial" w:cs="Arial"/>
          <w:sz w:val="24"/>
          <w:szCs w:val="24"/>
        </w:rPr>
      </w:pPr>
    </w:p>
    <w:p w14:paraId="7DA3835C" w14:textId="77777777" w:rsidR="00FF083C" w:rsidRPr="00363D9C" w:rsidRDefault="00363D9C" w:rsidP="00363D9C">
      <w:pPr>
        <w:spacing w:after="0" w:line="360" w:lineRule="auto"/>
        <w:ind w:hanging="33"/>
        <w:jc w:val="both"/>
        <w:rPr>
          <w:rFonts w:ascii="Arial" w:hAnsi="Arial" w:cs="Arial"/>
        </w:rPr>
      </w:pPr>
      <w:r>
        <w:rPr>
          <w:rFonts w:ascii="Arial" w:hAnsi="Arial" w:cs="Arial"/>
          <w:sz w:val="24"/>
          <w:szCs w:val="24"/>
        </w:rPr>
        <w:tab/>
      </w:r>
      <w:r>
        <w:rPr>
          <w:rFonts w:ascii="Arial" w:hAnsi="Arial" w:cs="Arial"/>
          <w:sz w:val="24"/>
          <w:szCs w:val="24"/>
        </w:rPr>
        <w:tab/>
        <w:t>‘</w:t>
      </w:r>
      <w:r w:rsidR="00FF083C" w:rsidRPr="00363D9C">
        <w:rPr>
          <w:rFonts w:ascii="Arial" w:hAnsi="Arial" w:cs="Arial"/>
        </w:rPr>
        <w:t xml:space="preserve">It immediately emerges that the plaintiff’s particulars of claim do not comply with this fundamental principle of pleading.  Not only has the section relied upon not been pleaded, but also the facts, which would show that the plaintiff has complied with the pre-conditions set by section 39(1) of the Police Act 1990, have not been set out.  </w:t>
      </w:r>
    </w:p>
    <w:p w14:paraId="04F359F6" w14:textId="77777777" w:rsidR="00FF083C" w:rsidRPr="00363D9C" w:rsidRDefault="00FF083C" w:rsidP="00FF083C">
      <w:pPr>
        <w:spacing w:after="0" w:line="360" w:lineRule="auto"/>
        <w:jc w:val="both"/>
        <w:rPr>
          <w:rFonts w:ascii="Arial" w:hAnsi="Arial" w:cs="Arial"/>
        </w:rPr>
      </w:pPr>
    </w:p>
    <w:p w14:paraId="06CED776" w14:textId="77777777" w:rsidR="00FF083C" w:rsidRDefault="00FF083C" w:rsidP="002738D6">
      <w:pPr>
        <w:spacing w:after="0" w:line="360" w:lineRule="auto"/>
        <w:ind w:firstLine="720"/>
        <w:jc w:val="both"/>
        <w:rPr>
          <w:rFonts w:ascii="Arial" w:hAnsi="Arial" w:cs="Arial"/>
          <w:sz w:val="24"/>
          <w:szCs w:val="24"/>
        </w:rPr>
      </w:pPr>
      <w:r w:rsidRPr="00363D9C">
        <w:rPr>
          <w:rFonts w:ascii="Arial" w:hAnsi="Arial" w:cs="Arial"/>
        </w:rPr>
        <w:t>[6]</w:t>
      </w:r>
      <w:r w:rsidRPr="00363D9C">
        <w:rPr>
          <w:rFonts w:ascii="Arial" w:hAnsi="Arial" w:cs="Arial"/>
        </w:rPr>
        <w:tab/>
      </w:r>
      <w:r w:rsidRPr="0078555B">
        <w:rPr>
          <w:rFonts w:ascii="Arial" w:hAnsi="Arial" w:cs="Arial"/>
          <w:u w:val="single"/>
        </w:rPr>
        <w:t>As the plaintiff’s particulars of claim thus do not show that the pre-condition for the civil action against the defendants have been met</w:t>
      </w:r>
      <w:r w:rsidRPr="0078555B">
        <w:rPr>
          <w:rStyle w:val="FootnoteReference"/>
          <w:rFonts w:ascii="Arial" w:hAnsi="Arial"/>
          <w:u w:val="single"/>
        </w:rPr>
        <w:footnoteReference w:id="16"/>
      </w:r>
      <w:r w:rsidRPr="0078555B">
        <w:rPr>
          <w:rFonts w:ascii="Arial" w:hAnsi="Arial" w:cs="Arial"/>
          <w:u w:val="single"/>
        </w:rPr>
        <w:t>, they fail to disclose a cause of action and are thus rendered excipiable thereby</w:t>
      </w:r>
      <w:r w:rsidRPr="002E2AE9">
        <w:rPr>
          <w:rFonts w:ascii="Arial" w:hAnsi="Arial" w:cs="Arial"/>
          <w:sz w:val="24"/>
          <w:szCs w:val="24"/>
        </w:rPr>
        <w:t>.</w:t>
      </w:r>
      <w:r w:rsidR="00363D9C">
        <w:rPr>
          <w:rFonts w:ascii="Arial" w:hAnsi="Arial" w:cs="Arial"/>
          <w:sz w:val="24"/>
          <w:szCs w:val="24"/>
        </w:rPr>
        <w:t>’</w:t>
      </w:r>
      <w:r w:rsidRPr="002E2AE9">
        <w:rPr>
          <w:rFonts w:ascii="Arial" w:hAnsi="Arial" w:cs="Arial"/>
          <w:sz w:val="24"/>
          <w:szCs w:val="24"/>
        </w:rPr>
        <w:t xml:space="preserve">  </w:t>
      </w:r>
      <w:r w:rsidR="0078555B">
        <w:rPr>
          <w:rFonts w:ascii="Arial" w:hAnsi="Arial" w:cs="Arial"/>
          <w:sz w:val="24"/>
          <w:szCs w:val="24"/>
        </w:rPr>
        <w:t>(My underling)</w:t>
      </w:r>
    </w:p>
    <w:p w14:paraId="482C79F9" w14:textId="77777777" w:rsidR="002738D6" w:rsidRDefault="002738D6" w:rsidP="000153DB">
      <w:pPr>
        <w:spacing w:after="0" w:line="360" w:lineRule="auto"/>
        <w:jc w:val="both"/>
        <w:rPr>
          <w:rFonts w:ascii="Arial" w:hAnsi="Arial" w:cs="Arial"/>
          <w:i/>
          <w:sz w:val="24"/>
          <w:szCs w:val="24"/>
        </w:rPr>
      </w:pPr>
    </w:p>
    <w:p w14:paraId="6D501075" w14:textId="77777777" w:rsidR="000153DB" w:rsidRPr="002738D6" w:rsidRDefault="002738D6" w:rsidP="000153DB">
      <w:pPr>
        <w:spacing w:after="0" w:line="360" w:lineRule="auto"/>
        <w:jc w:val="both"/>
        <w:rPr>
          <w:rFonts w:ascii="Arial" w:hAnsi="Arial" w:cs="Arial"/>
          <w:i/>
          <w:sz w:val="24"/>
          <w:szCs w:val="24"/>
        </w:rPr>
      </w:pPr>
      <w:r>
        <w:rPr>
          <w:rFonts w:ascii="Arial" w:hAnsi="Arial" w:cs="Arial"/>
          <w:i/>
          <w:sz w:val="24"/>
          <w:szCs w:val="24"/>
        </w:rPr>
        <w:t>P</w:t>
      </w:r>
      <w:r w:rsidRPr="002738D6">
        <w:rPr>
          <w:rFonts w:ascii="Arial" w:hAnsi="Arial" w:cs="Arial"/>
          <w:i/>
          <w:sz w:val="24"/>
          <w:szCs w:val="24"/>
        </w:rPr>
        <w:t>articulars of claim is vague and embarrassing</w:t>
      </w:r>
    </w:p>
    <w:p w14:paraId="339451E4" w14:textId="77777777" w:rsidR="002738D6" w:rsidRDefault="002738D6" w:rsidP="00AF4B7A">
      <w:pPr>
        <w:spacing w:after="0" w:line="360" w:lineRule="auto"/>
        <w:jc w:val="both"/>
        <w:rPr>
          <w:rFonts w:ascii="Arial" w:hAnsi="Arial" w:cs="Arial"/>
          <w:sz w:val="24"/>
          <w:szCs w:val="24"/>
        </w:rPr>
      </w:pPr>
    </w:p>
    <w:p w14:paraId="5C165531" w14:textId="77457CEF" w:rsidR="00AF4B7A" w:rsidRPr="00AF4B7A" w:rsidRDefault="00363D9C" w:rsidP="00AF4B7A">
      <w:pPr>
        <w:spacing w:after="0" w:line="360" w:lineRule="auto"/>
        <w:jc w:val="both"/>
        <w:rPr>
          <w:rFonts w:ascii="Arial" w:hAnsi="Arial" w:cs="Arial"/>
          <w:sz w:val="24"/>
          <w:szCs w:val="24"/>
        </w:rPr>
      </w:pPr>
      <w:r w:rsidRPr="00AF4B7A">
        <w:rPr>
          <w:rFonts w:ascii="Arial" w:hAnsi="Arial" w:cs="Arial"/>
          <w:sz w:val="24"/>
          <w:szCs w:val="24"/>
        </w:rPr>
        <w:t xml:space="preserve"> </w:t>
      </w:r>
      <w:r w:rsidR="00AF4B7A" w:rsidRPr="00AF4B7A">
        <w:rPr>
          <w:rFonts w:ascii="Arial" w:hAnsi="Arial" w:cs="Arial"/>
          <w:sz w:val="24"/>
          <w:szCs w:val="24"/>
        </w:rPr>
        <w:t>[</w:t>
      </w:r>
      <w:r w:rsidR="009D1C3C">
        <w:rPr>
          <w:rFonts w:ascii="Arial" w:hAnsi="Arial" w:cs="Arial"/>
          <w:sz w:val="24"/>
          <w:szCs w:val="24"/>
        </w:rPr>
        <w:t>34</w:t>
      </w:r>
      <w:r w:rsidR="00AF4B7A" w:rsidRPr="00AF4B7A">
        <w:rPr>
          <w:rFonts w:ascii="Arial" w:hAnsi="Arial" w:cs="Arial"/>
          <w:sz w:val="24"/>
          <w:szCs w:val="24"/>
        </w:rPr>
        <w:t>]</w:t>
      </w:r>
      <w:r w:rsidR="00AF4B7A" w:rsidRPr="00AF4B7A">
        <w:rPr>
          <w:rFonts w:ascii="Arial" w:hAnsi="Arial" w:cs="Arial"/>
          <w:sz w:val="24"/>
          <w:szCs w:val="24"/>
        </w:rPr>
        <w:tab/>
        <w:t xml:space="preserve">There is common cause between the parties that the particulars of claim is vague and embarrassing in respect of the calculation of damages. </w:t>
      </w:r>
    </w:p>
    <w:p w14:paraId="5FCF2FEF" w14:textId="77777777" w:rsidR="000153DB" w:rsidRDefault="000153DB" w:rsidP="000153DB">
      <w:pPr>
        <w:spacing w:after="0" w:line="360" w:lineRule="auto"/>
        <w:jc w:val="both"/>
        <w:rPr>
          <w:rFonts w:ascii="Arial" w:hAnsi="Arial" w:cs="Arial"/>
          <w:sz w:val="24"/>
          <w:szCs w:val="24"/>
        </w:rPr>
      </w:pPr>
    </w:p>
    <w:p w14:paraId="7A14FEE3" w14:textId="2D5AF05D" w:rsidR="000153DB" w:rsidRDefault="002738D6" w:rsidP="000153DB">
      <w:pPr>
        <w:spacing w:after="0" w:line="360" w:lineRule="auto"/>
        <w:jc w:val="both"/>
        <w:rPr>
          <w:rFonts w:ascii="Arial" w:hAnsi="Arial" w:cs="Arial"/>
          <w:sz w:val="24"/>
          <w:szCs w:val="24"/>
        </w:rPr>
      </w:pPr>
      <w:r>
        <w:rPr>
          <w:rFonts w:ascii="Arial" w:hAnsi="Arial" w:cs="Arial"/>
          <w:sz w:val="24"/>
          <w:szCs w:val="24"/>
        </w:rPr>
        <w:t xml:space="preserve"> </w:t>
      </w:r>
      <w:r w:rsidR="000153DB">
        <w:rPr>
          <w:rFonts w:ascii="Arial" w:hAnsi="Arial" w:cs="Arial"/>
          <w:sz w:val="24"/>
          <w:szCs w:val="24"/>
        </w:rPr>
        <w:t>[3</w:t>
      </w:r>
      <w:r w:rsidR="009D1C3C">
        <w:rPr>
          <w:rFonts w:ascii="Arial" w:hAnsi="Arial" w:cs="Arial"/>
          <w:sz w:val="24"/>
          <w:szCs w:val="24"/>
        </w:rPr>
        <w:t>5</w:t>
      </w:r>
      <w:r w:rsidR="000153DB">
        <w:rPr>
          <w:rFonts w:ascii="Arial" w:hAnsi="Arial" w:cs="Arial"/>
          <w:sz w:val="24"/>
          <w:szCs w:val="24"/>
        </w:rPr>
        <w:t>]</w:t>
      </w:r>
      <w:r w:rsidR="000153DB">
        <w:rPr>
          <w:rFonts w:ascii="Arial" w:hAnsi="Arial" w:cs="Arial"/>
          <w:sz w:val="24"/>
          <w:szCs w:val="24"/>
        </w:rPr>
        <w:tab/>
        <w:t>In the result, I order as follows:</w:t>
      </w:r>
    </w:p>
    <w:p w14:paraId="12833817" w14:textId="77777777" w:rsidR="000153DB" w:rsidRDefault="000153DB" w:rsidP="000153DB">
      <w:pPr>
        <w:spacing w:after="0" w:line="360" w:lineRule="auto"/>
        <w:jc w:val="both"/>
        <w:rPr>
          <w:rFonts w:ascii="Arial" w:hAnsi="Arial" w:cs="Arial"/>
          <w:sz w:val="24"/>
          <w:szCs w:val="24"/>
        </w:rPr>
      </w:pPr>
    </w:p>
    <w:p w14:paraId="4F0B73F1" w14:textId="0B69F64E" w:rsidR="00E62FFD" w:rsidRDefault="00E62FFD" w:rsidP="00E62FFD">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exception</w:t>
      </w:r>
      <w:r w:rsidR="00254EF4">
        <w:rPr>
          <w:rFonts w:ascii="Arial" w:hAnsi="Arial" w:cs="Arial"/>
          <w:sz w:val="24"/>
          <w:szCs w:val="24"/>
        </w:rPr>
        <w:t>s</w:t>
      </w:r>
      <w:r>
        <w:rPr>
          <w:rFonts w:ascii="Arial" w:hAnsi="Arial" w:cs="Arial"/>
          <w:sz w:val="24"/>
          <w:szCs w:val="24"/>
        </w:rPr>
        <w:t xml:space="preserve"> </w:t>
      </w:r>
      <w:r w:rsidR="00254EF4">
        <w:rPr>
          <w:rFonts w:ascii="Arial" w:hAnsi="Arial" w:cs="Arial"/>
          <w:sz w:val="24"/>
          <w:szCs w:val="24"/>
        </w:rPr>
        <w:t>are</w:t>
      </w:r>
      <w:r>
        <w:rPr>
          <w:rFonts w:ascii="Arial" w:hAnsi="Arial" w:cs="Arial"/>
          <w:sz w:val="24"/>
          <w:szCs w:val="24"/>
        </w:rPr>
        <w:t xml:space="preserve"> upheld with costs.</w:t>
      </w:r>
    </w:p>
    <w:p w14:paraId="056BB720" w14:textId="77777777" w:rsidR="00E62FFD" w:rsidRDefault="00E62FFD" w:rsidP="00E62FFD">
      <w:pPr>
        <w:spacing w:after="0" w:line="360" w:lineRule="auto"/>
        <w:jc w:val="both"/>
        <w:rPr>
          <w:rFonts w:ascii="Arial" w:hAnsi="Arial" w:cs="Arial"/>
          <w:sz w:val="24"/>
          <w:szCs w:val="24"/>
        </w:rPr>
      </w:pPr>
    </w:p>
    <w:p w14:paraId="105D008C" w14:textId="77777777" w:rsidR="00E62FFD" w:rsidRDefault="00E62FFD" w:rsidP="00E62FFD">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plaintiff is afforded 10 days to amend its particulars of claim, if it so advised, failing which the defendant is granted leave to apply for the dismissal of the plaintiff’s action within 10 days of the expiry of the aforesaid 10 day period afforded to the plaintiff.</w:t>
      </w:r>
    </w:p>
    <w:p w14:paraId="5AEABDFE" w14:textId="77777777" w:rsidR="00E62FFD" w:rsidRDefault="00E62FFD" w:rsidP="00E62FFD">
      <w:pPr>
        <w:spacing w:after="0" w:line="360" w:lineRule="auto"/>
        <w:ind w:left="720" w:hanging="720"/>
        <w:jc w:val="both"/>
        <w:rPr>
          <w:rFonts w:ascii="Arial" w:hAnsi="Arial" w:cs="Arial"/>
          <w:sz w:val="24"/>
          <w:szCs w:val="24"/>
        </w:rPr>
      </w:pPr>
    </w:p>
    <w:p w14:paraId="7A87AFE2" w14:textId="77777777" w:rsidR="00E62FFD" w:rsidRPr="00090E5C" w:rsidRDefault="00E62FFD" w:rsidP="00E62FFD">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postponed to </w:t>
      </w:r>
      <w:r>
        <w:rPr>
          <w:rFonts w:ascii="Arial" w:hAnsi="Arial" w:cs="Arial"/>
          <w:b/>
          <w:sz w:val="24"/>
          <w:szCs w:val="24"/>
        </w:rPr>
        <w:t>14 March</w:t>
      </w:r>
      <w:r w:rsidRPr="00FA4CA8">
        <w:rPr>
          <w:rFonts w:ascii="Arial" w:hAnsi="Arial" w:cs="Arial"/>
          <w:b/>
          <w:sz w:val="24"/>
          <w:szCs w:val="24"/>
        </w:rPr>
        <w:t xml:space="preserve"> 201</w:t>
      </w:r>
      <w:r>
        <w:rPr>
          <w:rFonts w:ascii="Arial" w:hAnsi="Arial" w:cs="Arial"/>
          <w:b/>
          <w:sz w:val="24"/>
          <w:szCs w:val="24"/>
        </w:rPr>
        <w:t>9</w:t>
      </w:r>
      <w:r>
        <w:rPr>
          <w:rFonts w:ascii="Arial" w:hAnsi="Arial" w:cs="Arial"/>
          <w:sz w:val="24"/>
          <w:szCs w:val="24"/>
        </w:rPr>
        <w:t xml:space="preserve"> at </w:t>
      </w:r>
      <w:r>
        <w:rPr>
          <w:rFonts w:ascii="Arial" w:hAnsi="Arial" w:cs="Arial"/>
          <w:b/>
          <w:sz w:val="24"/>
          <w:szCs w:val="24"/>
        </w:rPr>
        <w:t>15:00</w:t>
      </w:r>
      <w:r>
        <w:rPr>
          <w:rFonts w:ascii="Arial" w:hAnsi="Arial" w:cs="Arial"/>
          <w:sz w:val="24"/>
          <w:szCs w:val="24"/>
        </w:rPr>
        <w:t xml:space="preserve"> for a status hearing.</w:t>
      </w:r>
    </w:p>
    <w:p w14:paraId="42735F8C" w14:textId="77777777" w:rsidR="000153DB" w:rsidRDefault="000153DB" w:rsidP="00E62FFD">
      <w:pPr>
        <w:spacing w:after="0" w:line="360" w:lineRule="auto"/>
        <w:jc w:val="both"/>
        <w:rPr>
          <w:rFonts w:ascii="Arial" w:hAnsi="Arial" w:cs="Arial"/>
          <w:sz w:val="24"/>
          <w:szCs w:val="24"/>
        </w:rPr>
      </w:pPr>
    </w:p>
    <w:p w14:paraId="14C3E2C6" w14:textId="77777777" w:rsidR="009D1C3C" w:rsidRDefault="009D1C3C" w:rsidP="00E62FFD">
      <w:pPr>
        <w:spacing w:after="0" w:line="360" w:lineRule="auto"/>
        <w:jc w:val="both"/>
        <w:rPr>
          <w:rFonts w:ascii="Arial" w:hAnsi="Arial" w:cs="Arial"/>
          <w:sz w:val="24"/>
          <w:szCs w:val="24"/>
        </w:rPr>
      </w:pPr>
    </w:p>
    <w:p w14:paraId="39DF883E" w14:textId="77777777" w:rsidR="009D1C3C" w:rsidRDefault="009D1C3C" w:rsidP="00E62FFD">
      <w:pPr>
        <w:spacing w:after="0" w:line="360" w:lineRule="auto"/>
        <w:jc w:val="both"/>
        <w:rPr>
          <w:rFonts w:ascii="Arial" w:hAnsi="Arial" w:cs="Arial"/>
          <w:sz w:val="24"/>
          <w:szCs w:val="24"/>
        </w:rPr>
      </w:pPr>
    </w:p>
    <w:p w14:paraId="2EA238B3" w14:textId="77777777" w:rsidR="00DB070A" w:rsidRDefault="00DB070A" w:rsidP="00E62FFD">
      <w:pPr>
        <w:spacing w:after="0" w:line="360" w:lineRule="auto"/>
        <w:jc w:val="both"/>
        <w:rPr>
          <w:rFonts w:ascii="Arial" w:hAnsi="Arial" w:cs="Arial"/>
          <w:sz w:val="24"/>
          <w:szCs w:val="24"/>
        </w:rPr>
      </w:pPr>
    </w:p>
    <w:p w14:paraId="5F254DCE" w14:textId="1973422A" w:rsidR="000153DB" w:rsidRPr="006E026B" w:rsidRDefault="000D16F0" w:rsidP="000153DB">
      <w:pPr>
        <w:spacing w:after="0" w:line="360" w:lineRule="auto"/>
        <w:jc w:val="right"/>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w:t>
      </w:r>
      <w:r w:rsidR="006147D9">
        <w:rPr>
          <w:rFonts w:ascii="Arial" w:hAnsi="Arial" w:cs="Arial"/>
          <w:sz w:val="24"/>
          <w:szCs w:val="24"/>
        </w:rPr>
        <w:t>__</w:t>
      </w:r>
    </w:p>
    <w:p w14:paraId="4CB2586C" w14:textId="77777777" w:rsidR="00254EF4" w:rsidRDefault="000153DB" w:rsidP="00254EF4">
      <w:pPr>
        <w:spacing w:after="0" w:line="360" w:lineRule="auto"/>
        <w:jc w:val="right"/>
        <w:rPr>
          <w:rFonts w:ascii="Arial" w:hAnsi="Arial" w:cs="Arial"/>
          <w:sz w:val="24"/>
          <w:szCs w:val="24"/>
        </w:rPr>
      </w:pPr>
      <w:r>
        <w:rPr>
          <w:rFonts w:ascii="Arial" w:hAnsi="Arial" w:cs="Arial"/>
          <w:sz w:val="24"/>
          <w:szCs w:val="24"/>
        </w:rPr>
        <w:t>JS Prinsloo</w:t>
      </w:r>
    </w:p>
    <w:p w14:paraId="2D23F5DA" w14:textId="70F713A7" w:rsidR="000153DB" w:rsidRDefault="000153DB" w:rsidP="00254EF4">
      <w:pPr>
        <w:spacing w:after="0" w:line="360" w:lineRule="auto"/>
        <w:jc w:val="right"/>
        <w:rPr>
          <w:rFonts w:ascii="Arial" w:hAnsi="Arial" w:cs="Arial"/>
          <w:sz w:val="24"/>
          <w:szCs w:val="24"/>
        </w:rPr>
      </w:pPr>
      <w:r>
        <w:t xml:space="preserve">        </w:t>
      </w:r>
      <w:r w:rsidRPr="009C3F33">
        <w:rPr>
          <w:rFonts w:ascii="Arial" w:hAnsi="Arial" w:cs="Arial"/>
          <w:sz w:val="24"/>
          <w:szCs w:val="24"/>
        </w:rPr>
        <w:t>Judge</w:t>
      </w:r>
    </w:p>
    <w:p w14:paraId="579B6F54" w14:textId="77777777" w:rsidR="000153DB" w:rsidRDefault="000153DB" w:rsidP="000153DB">
      <w:pPr>
        <w:ind w:left="7920"/>
        <w:rPr>
          <w:rFonts w:ascii="Arial" w:hAnsi="Arial" w:cs="Arial"/>
          <w:sz w:val="24"/>
          <w:szCs w:val="24"/>
        </w:rPr>
      </w:pPr>
    </w:p>
    <w:p w14:paraId="3810ECA1" w14:textId="77777777" w:rsidR="00DB070A" w:rsidRDefault="00DB070A" w:rsidP="000153DB">
      <w:pPr>
        <w:pStyle w:val="BodyText"/>
        <w:autoSpaceDE w:val="0"/>
        <w:autoSpaceDN w:val="0"/>
        <w:adjustRightInd w:val="0"/>
        <w:spacing w:line="360" w:lineRule="auto"/>
        <w:jc w:val="both"/>
        <w:rPr>
          <w:rFonts w:ascii="Arial" w:hAnsi="Arial" w:cs="Arial"/>
        </w:rPr>
      </w:pPr>
    </w:p>
    <w:p w14:paraId="7C52B5A6" w14:textId="77777777" w:rsidR="00DB070A" w:rsidRDefault="00DB070A" w:rsidP="000153DB">
      <w:pPr>
        <w:pStyle w:val="BodyText"/>
        <w:autoSpaceDE w:val="0"/>
        <w:autoSpaceDN w:val="0"/>
        <w:adjustRightInd w:val="0"/>
        <w:spacing w:line="360" w:lineRule="auto"/>
        <w:jc w:val="both"/>
        <w:rPr>
          <w:rFonts w:ascii="Arial" w:hAnsi="Arial" w:cs="Arial"/>
        </w:rPr>
      </w:pPr>
    </w:p>
    <w:p w14:paraId="0C0FA75B" w14:textId="77777777" w:rsidR="00DB070A" w:rsidRDefault="00DB070A" w:rsidP="000153DB">
      <w:pPr>
        <w:pStyle w:val="BodyText"/>
        <w:autoSpaceDE w:val="0"/>
        <w:autoSpaceDN w:val="0"/>
        <w:adjustRightInd w:val="0"/>
        <w:spacing w:line="360" w:lineRule="auto"/>
        <w:jc w:val="both"/>
        <w:rPr>
          <w:rFonts w:ascii="Arial" w:hAnsi="Arial" w:cs="Arial"/>
        </w:rPr>
      </w:pPr>
    </w:p>
    <w:p w14:paraId="4F93FFE3" w14:textId="77777777" w:rsidR="00DB070A" w:rsidRDefault="00DB070A" w:rsidP="000153DB">
      <w:pPr>
        <w:pStyle w:val="BodyText"/>
        <w:autoSpaceDE w:val="0"/>
        <w:autoSpaceDN w:val="0"/>
        <w:adjustRightInd w:val="0"/>
        <w:spacing w:line="360" w:lineRule="auto"/>
        <w:jc w:val="both"/>
        <w:rPr>
          <w:rFonts w:ascii="Arial" w:hAnsi="Arial" w:cs="Arial"/>
        </w:rPr>
      </w:pPr>
    </w:p>
    <w:p w14:paraId="7BCC7949" w14:textId="77777777" w:rsidR="00DB070A" w:rsidRDefault="00DB070A" w:rsidP="000153DB">
      <w:pPr>
        <w:pStyle w:val="BodyText"/>
        <w:autoSpaceDE w:val="0"/>
        <w:autoSpaceDN w:val="0"/>
        <w:adjustRightInd w:val="0"/>
        <w:spacing w:line="360" w:lineRule="auto"/>
        <w:jc w:val="both"/>
        <w:rPr>
          <w:rFonts w:ascii="Arial" w:hAnsi="Arial" w:cs="Arial"/>
        </w:rPr>
      </w:pPr>
    </w:p>
    <w:p w14:paraId="6E55CCD8" w14:textId="77777777" w:rsidR="00DB070A" w:rsidRDefault="00DB070A" w:rsidP="000153DB">
      <w:pPr>
        <w:pStyle w:val="BodyText"/>
        <w:autoSpaceDE w:val="0"/>
        <w:autoSpaceDN w:val="0"/>
        <w:adjustRightInd w:val="0"/>
        <w:spacing w:line="360" w:lineRule="auto"/>
        <w:jc w:val="both"/>
        <w:rPr>
          <w:rFonts w:ascii="Arial" w:hAnsi="Arial" w:cs="Arial"/>
        </w:rPr>
      </w:pPr>
    </w:p>
    <w:p w14:paraId="6CA066E3" w14:textId="77777777" w:rsidR="00DB070A" w:rsidRDefault="00DB070A" w:rsidP="000153DB">
      <w:pPr>
        <w:pStyle w:val="BodyText"/>
        <w:autoSpaceDE w:val="0"/>
        <w:autoSpaceDN w:val="0"/>
        <w:adjustRightInd w:val="0"/>
        <w:spacing w:line="360" w:lineRule="auto"/>
        <w:jc w:val="both"/>
        <w:rPr>
          <w:rFonts w:ascii="Arial" w:hAnsi="Arial" w:cs="Arial"/>
        </w:rPr>
      </w:pPr>
    </w:p>
    <w:p w14:paraId="60980C5F" w14:textId="77777777" w:rsidR="00DB070A" w:rsidRDefault="00DB070A" w:rsidP="000153DB">
      <w:pPr>
        <w:pStyle w:val="BodyText"/>
        <w:autoSpaceDE w:val="0"/>
        <w:autoSpaceDN w:val="0"/>
        <w:adjustRightInd w:val="0"/>
        <w:spacing w:line="360" w:lineRule="auto"/>
        <w:jc w:val="both"/>
        <w:rPr>
          <w:rFonts w:ascii="Arial" w:hAnsi="Arial" w:cs="Arial"/>
        </w:rPr>
      </w:pPr>
    </w:p>
    <w:p w14:paraId="441F86BB" w14:textId="77777777" w:rsidR="00DB070A" w:rsidRDefault="00DB070A" w:rsidP="000153DB">
      <w:pPr>
        <w:pStyle w:val="BodyText"/>
        <w:autoSpaceDE w:val="0"/>
        <w:autoSpaceDN w:val="0"/>
        <w:adjustRightInd w:val="0"/>
        <w:spacing w:line="360" w:lineRule="auto"/>
        <w:jc w:val="both"/>
        <w:rPr>
          <w:rFonts w:ascii="Arial" w:hAnsi="Arial" w:cs="Arial"/>
        </w:rPr>
      </w:pPr>
    </w:p>
    <w:p w14:paraId="08809532" w14:textId="77777777" w:rsidR="00DB070A" w:rsidRDefault="00DB070A" w:rsidP="000153DB">
      <w:pPr>
        <w:pStyle w:val="BodyText"/>
        <w:autoSpaceDE w:val="0"/>
        <w:autoSpaceDN w:val="0"/>
        <w:adjustRightInd w:val="0"/>
        <w:spacing w:line="360" w:lineRule="auto"/>
        <w:jc w:val="both"/>
        <w:rPr>
          <w:rFonts w:ascii="Arial" w:hAnsi="Arial" w:cs="Arial"/>
        </w:rPr>
      </w:pPr>
    </w:p>
    <w:p w14:paraId="47E849CC" w14:textId="77777777" w:rsidR="00DB070A" w:rsidRDefault="00DB070A" w:rsidP="000153DB">
      <w:pPr>
        <w:pStyle w:val="BodyText"/>
        <w:autoSpaceDE w:val="0"/>
        <w:autoSpaceDN w:val="0"/>
        <w:adjustRightInd w:val="0"/>
        <w:spacing w:line="360" w:lineRule="auto"/>
        <w:jc w:val="both"/>
        <w:rPr>
          <w:rFonts w:ascii="Arial" w:hAnsi="Arial" w:cs="Arial"/>
        </w:rPr>
      </w:pPr>
    </w:p>
    <w:p w14:paraId="3563FE83" w14:textId="77777777" w:rsidR="00DB070A" w:rsidRDefault="00DB070A" w:rsidP="000153DB">
      <w:pPr>
        <w:pStyle w:val="BodyText"/>
        <w:autoSpaceDE w:val="0"/>
        <w:autoSpaceDN w:val="0"/>
        <w:adjustRightInd w:val="0"/>
        <w:spacing w:line="360" w:lineRule="auto"/>
        <w:jc w:val="both"/>
        <w:rPr>
          <w:rFonts w:ascii="Arial" w:hAnsi="Arial" w:cs="Arial"/>
        </w:rPr>
      </w:pPr>
    </w:p>
    <w:p w14:paraId="5827B48A" w14:textId="77777777" w:rsidR="00DB070A" w:rsidRDefault="00DB070A" w:rsidP="000153DB">
      <w:pPr>
        <w:pStyle w:val="BodyText"/>
        <w:autoSpaceDE w:val="0"/>
        <w:autoSpaceDN w:val="0"/>
        <w:adjustRightInd w:val="0"/>
        <w:spacing w:line="360" w:lineRule="auto"/>
        <w:jc w:val="both"/>
        <w:rPr>
          <w:rFonts w:ascii="Arial" w:hAnsi="Arial" w:cs="Arial"/>
        </w:rPr>
      </w:pPr>
    </w:p>
    <w:p w14:paraId="064600E1" w14:textId="77777777" w:rsidR="00DB070A" w:rsidRDefault="00DB070A" w:rsidP="000153DB">
      <w:pPr>
        <w:pStyle w:val="BodyText"/>
        <w:autoSpaceDE w:val="0"/>
        <w:autoSpaceDN w:val="0"/>
        <w:adjustRightInd w:val="0"/>
        <w:spacing w:line="360" w:lineRule="auto"/>
        <w:jc w:val="both"/>
        <w:rPr>
          <w:rFonts w:ascii="Arial" w:hAnsi="Arial" w:cs="Arial"/>
        </w:rPr>
      </w:pPr>
    </w:p>
    <w:p w14:paraId="469C7D0C" w14:textId="77777777" w:rsidR="00DB070A" w:rsidRDefault="00DB070A" w:rsidP="000153DB">
      <w:pPr>
        <w:pStyle w:val="BodyText"/>
        <w:autoSpaceDE w:val="0"/>
        <w:autoSpaceDN w:val="0"/>
        <w:adjustRightInd w:val="0"/>
        <w:spacing w:line="360" w:lineRule="auto"/>
        <w:jc w:val="both"/>
        <w:rPr>
          <w:rFonts w:ascii="Arial" w:hAnsi="Arial" w:cs="Arial"/>
        </w:rPr>
      </w:pPr>
    </w:p>
    <w:p w14:paraId="7C760FDF" w14:textId="77777777" w:rsidR="00DB070A" w:rsidRDefault="00DB070A" w:rsidP="000153DB">
      <w:pPr>
        <w:pStyle w:val="BodyText"/>
        <w:autoSpaceDE w:val="0"/>
        <w:autoSpaceDN w:val="0"/>
        <w:adjustRightInd w:val="0"/>
        <w:spacing w:line="360" w:lineRule="auto"/>
        <w:jc w:val="both"/>
        <w:rPr>
          <w:rFonts w:ascii="Arial" w:hAnsi="Arial" w:cs="Arial"/>
        </w:rPr>
      </w:pPr>
    </w:p>
    <w:p w14:paraId="584BC809" w14:textId="77777777" w:rsidR="00DB070A" w:rsidRDefault="00DB070A" w:rsidP="000153DB">
      <w:pPr>
        <w:pStyle w:val="BodyText"/>
        <w:autoSpaceDE w:val="0"/>
        <w:autoSpaceDN w:val="0"/>
        <w:adjustRightInd w:val="0"/>
        <w:spacing w:line="360" w:lineRule="auto"/>
        <w:jc w:val="both"/>
        <w:rPr>
          <w:rFonts w:ascii="Arial" w:hAnsi="Arial" w:cs="Arial"/>
        </w:rPr>
      </w:pPr>
    </w:p>
    <w:p w14:paraId="6E45DC01" w14:textId="77777777" w:rsidR="00DB070A" w:rsidRDefault="00DB070A" w:rsidP="000153DB">
      <w:pPr>
        <w:pStyle w:val="BodyText"/>
        <w:autoSpaceDE w:val="0"/>
        <w:autoSpaceDN w:val="0"/>
        <w:adjustRightInd w:val="0"/>
        <w:spacing w:line="360" w:lineRule="auto"/>
        <w:jc w:val="both"/>
        <w:rPr>
          <w:rFonts w:ascii="Arial" w:hAnsi="Arial" w:cs="Arial"/>
        </w:rPr>
      </w:pPr>
    </w:p>
    <w:p w14:paraId="7E7B7DBD" w14:textId="77777777" w:rsidR="000153DB" w:rsidRPr="00936A1C" w:rsidRDefault="000153DB" w:rsidP="000153DB">
      <w:pPr>
        <w:pStyle w:val="BodyText"/>
        <w:autoSpaceDE w:val="0"/>
        <w:autoSpaceDN w:val="0"/>
        <w:adjustRightInd w:val="0"/>
        <w:spacing w:line="360" w:lineRule="auto"/>
        <w:jc w:val="both"/>
        <w:rPr>
          <w:rFonts w:ascii="Arial" w:hAnsi="Arial" w:cs="Arial"/>
        </w:rPr>
      </w:pPr>
      <w:r>
        <w:rPr>
          <w:rFonts w:ascii="Arial" w:hAnsi="Arial" w:cs="Arial"/>
        </w:rPr>
        <w:lastRenderedPageBreak/>
        <w:t>A</w:t>
      </w:r>
      <w:r w:rsidRPr="00936A1C">
        <w:rPr>
          <w:rFonts w:ascii="Arial" w:hAnsi="Arial" w:cs="Arial"/>
        </w:rPr>
        <w:t>PPEARANCES</w:t>
      </w:r>
    </w:p>
    <w:p w14:paraId="6293B2D5" w14:textId="77777777" w:rsidR="000153DB" w:rsidRPr="000E7777" w:rsidRDefault="000153DB" w:rsidP="000153DB">
      <w:pPr>
        <w:pStyle w:val="BodyText"/>
        <w:autoSpaceDE w:val="0"/>
        <w:autoSpaceDN w:val="0"/>
        <w:adjustRightInd w:val="0"/>
        <w:spacing w:line="360" w:lineRule="auto"/>
        <w:jc w:val="both"/>
        <w:rPr>
          <w:rFonts w:ascii="Arial" w:hAnsi="Arial" w:cs="Arial"/>
        </w:rPr>
      </w:pPr>
    </w:p>
    <w:p w14:paraId="57407EA7" w14:textId="77777777" w:rsidR="000153DB" w:rsidRDefault="000153DB" w:rsidP="000153D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sidRPr="000E7777">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5D336F">
        <w:rPr>
          <w:rFonts w:ascii="Arial" w:hAnsi="Arial" w:cs="Arial"/>
          <w:sz w:val="24"/>
          <w:szCs w:val="24"/>
        </w:rPr>
        <w:t xml:space="preserve">                 </w:t>
      </w:r>
      <w:r w:rsidR="00363D9C">
        <w:rPr>
          <w:rFonts w:ascii="Arial" w:hAnsi="Arial" w:cs="Arial"/>
          <w:sz w:val="24"/>
          <w:szCs w:val="24"/>
        </w:rPr>
        <w:t>L. Mbaeva</w:t>
      </w:r>
    </w:p>
    <w:p w14:paraId="6047AE5F" w14:textId="5D58C214" w:rsidR="000153DB" w:rsidRDefault="000153DB" w:rsidP="000153DB">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 xml:space="preserve">                                         </w:t>
      </w:r>
      <w:r w:rsidR="005D336F">
        <w:rPr>
          <w:rFonts w:ascii="Arial" w:hAnsi="Arial" w:cs="Arial"/>
          <w:sz w:val="24"/>
          <w:szCs w:val="24"/>
        </w:rPr>
        <w:t xml:space="preserve">                    Instructed by Legal Aid Directorate, Windhoek</w:t>
      </w:r>
    </w:p>
    <w:p w14:paraId="38F96D52" w14:textId="77777777" w:rsidR="000153DB" w:rsidRDefault="000153DB" w:rsidP="000153DB">
      <w:pPr>
        <w:tabs>
          <w:tab w:val="left" w:pos="1394"/>
          <w:tab w:val="left" w:pos="2528"/>
          <w:tab w:val="left" w:pos="3780"/>
        </w:tabs>
        <w:spacing w:after="0" w:line="360" w:lineRule="auto"/>
        <w:jc w:val="both"/>
        <w:rPr>
          <w:rFonts w:ascii="Arial" w:hAnsi="Arial" w:cs="Arial"/>
          <w:sz w:val="24"/>
          <w:szCs w:val="24"/>
        </w:rPr>
      </w:pPr>
    </w:p>
    <w:p w14:paraId="53E3B176" w14:textId="77777777" w:rsidR="000153DB" w:rsidRDefault="000153DB" w:rsidP="000153DB">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DEFENDANT</w:t>
      </w:r>
      <w:r w:rsidR="00072F97">
        <w:rPr>
          <w:rFonts w:ascii="Arial" w:hAnsi="Arial" w:cs="Arial"/>
        </w:rPr>
        <w:t>S</w:t>
      </w:r>
      <w:r>
        <w:rPr>
          <w:rFonts w:ascii="Arial" w:hAnsi="Arial" w:cs="Arial"/>
        </w:rPr>
        <w:t>:</w:t>
      </w:r>
      <w:r>
        <w:rPr>
          <w:rFonts w:ascii="Arial" w:hAnsi="Arial" w:cs="Arial"/>
        </w:rPr>
        <w:tab/>
      </w:r>
      <w:r>
        <w:rPr>
          <w:rFonts w:ascii="Arial" w:hAnsi="Arial" w:cs="Arial"/>
        </w:rPr>
        <w:tab/>
        <w:t xml:space="preserve">                                    </w:t>
      </w:r>
      <w:r w:rsidR="005D336F">
        <w:rPr>
          <w:rFonts w:ascii="Arial" w:hAnsi="Arial" w:cs="Arial"/>
        </w:rPr>
        <w:t xml:space="preserve">                             J Ncube</w:t>
      </w:r>
    </w:p>
    <w:p w14:paraId="611BF16E" w14:textId="77777777" w:rsidR="000153DB" w:rsidRDefault="000153DB" w:rsidP="000153DB">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5D336F">
        <w:rPr>
          <w:rFonts w:ascii="Arial" w:hAnsi="Arial" w:cs="Arial"/>
        </w:rPr>
        <w:t xml:space="preserve">            Government Attorneys</w:t>
      </w:r>
    </w:p>
    <w:p w14:paraId="0809E294" w14:textId="77777777" w:rsidR="000153DB" w:rsidRDefault="000153DB" w:rsidP="000153DB">
      <w:pPr>
        <w:pStyle w:val="BodyTextIndent"/>
        <w:tabs>
          <w:tab w:val="left" w:pos="1394"/>
          <w:tab w:val="left" w:pos="2528"/>
          <w:tab w:val="left" w:pos="3780"/>
        </w:tabs>
        <w:spacing w:line="360" w:lineRule="auto"/>
        <w:ind w:left="0"/>
        <w:jc w:val="both"/>
        <w:rPr>
          <w:rFonts w:ascii="Arial" w:hAnsi="Arial" w:cs="Arial"/>
        </w:rPr>
      </w:pPr>
    </w:p>
    <w:p w14:paraId="7E460487" w14:textId="77777777" w:rsidR="000153DB" w:rsidRPr="00FA01DB" w:rsidRDefault="000153DB" w:rsidP="000153DB">
      <w:pPr>
        <w:spacing w:after="0" w:line="360" w:lineRule="auto"/>
        <w:jc w:val="both"/>
        <w:rPr>
          <w:rFonts w:ascii="Arial" w:hAnsi="Arial" w:cs="Arial"/>
          <w:sz w:val="24"/>
          <w:szCs w:val="24"/>
        </w:rPr>
      </w:pPr>
    </w:p>
    <w:p w14:paraId="5F28BB28" w14:textId="77777777" w:rsidR="000153DB" w:rsidRPr="00FA01DB" w:rsidRDefault="000153DB" w:rsidP="000153DB">
      <w:pPr>
        <w:spacing w:after="0" w:line="360" w:lineRule="auto"/>
        <w:rPr>
          <w:sz w:val="24"/>
          <w:szCs w:val="24"/>
        </w:rPr>
      </w:pPr>
    </w:p>
    <w:p w14:paraId="38A0E125" w14:textId="77777777" w:rsidR="000153DB" w:rsidRDefault="000153DB" w:rsidP="000153DB">
      <w:pPr>
        <w:rPr>
          <w:sz w:val="24"/>
          <w:szCs w:val="24"/>
        </w:rPr>
      </w:pPr>
    </w:p>
    <w:p w14:paraId="0EEA2CB3" w14:textId="77777777" w:rsidR="000153DB" w:rsidRDefault="000153DB" w:rsidP="000153DB">
      <w:pPr>
        <w:spacing w:after="0" w:line="360" w:lineRule="auto"/>
        <w:ind w:firstLine="720"/>
        <w:jc w:val="both"/>
        <w:rPr>
          <w:rFonts w:ascii="Arial" w:eastAsia="Times New Roman" w:hAnsi="Arial" w:cs="Arial"/>
          <w:bCs/>
          <w:sz w:val="24"/>
          <w:szCs w:val="24"/>
        </w:rPr>
      </w:pPr>
    </w:p>
    <w:p w14:paraId="48C183DA" w14:textId="77777777" w:rsidR="000153DB" w:rsidRDefault="000153DB" w:rsidP="000153DB">
      <w:pPr>
        <w:spacing w:after="0" w:line="360" w:lineRule="auto"/>
        <w:ind w:firstLine="720"/>
        <w:jc w:val="both"/>
        <w:rPr>
          <w:rFonts w:ascii="Arial" w:eastAsia="Times New Roman" w:hAnsi="Arial" w:cs="Arial"/>
          <w:bCs/>
          <w:sz w:val="24"/>
          <w:szCs w:val="24"/>
        </w:rPr>
      </w:pPr>
    </w:p>
    <w:p w14:paraId="42EC1E35" w14:textId="77777777" w:rsidR="000153DB" w:rsidRPr="00901B03" w:rsidRDefault="000153DB" w:rsidP="000153DB">
      <w:pPr>
        <w:pStyle w:val="NoSpacing"/>
      </w:pPr>
    </w:p>
    <w:p w14:paraId="774FB330" w14:textId="77777777" w:rsidR="000153DB" w:rsidRDefault="000153DB" w:rsidP="000153DB"/>
    <w:p w14:paraId="479A33C5" w14:textId="77777777" w:rsidR="000153DB" w:rsidRDefault="000153DB" w:rsidP="000153DB"/>
    <w:p w14:paraId="01C0E5CF" w14:textId="77777777" w:rsidR="007B5576" w:rsidRDefault="007B5576"/>
    <w:sectPr w:rsidR="007B5576" w:rsidSect="007B5576">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66B8A" w14:textId="77777777" w:rsidR="000C3B64" w:rsidRDefault="000C3B64" w:rsidP="000153DB">
      <w:pPr>
        <w:spacing w:after="0" w:line="240" w:lineRule="auto"/>
      </w:pPr>
      <w:r>
        <w:separator/>
      </w:r>
    </w:p>
  </w:endnote>
  <w:endnote w:type="continuationSeparator" w:id="0">
    <w:p w14:paraId="36C71F77" w14:textId="77777777" w:rsidR="000C3B64" w:rsidRDefault="000C3B64" w:rsidP="0001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0DFF4" w14:textId="77777777" w:rsidR="000C3B64" w:rsidRDefault="000C3B64" w:rsidP="000153DB">
      <w:pPr>
        <w:spacing w:after="0" w:line="240" w:lineRule="auto"/>
      </w:pPr>
      <w:r>
        <w:separator/>
      </w:r>
    </w:p>
  </w:footnote>
  <w:footnote w:type="continuationSeparator" w:id="0">
    <w:p w14:paraId="5C7D5DE6" w14:textId="77777777" w:rsidR="000C3B64" w:rsidRDefault="000C3B64" w:rsidP="000153DB">
      <w:pPr>
        <w:spacing w:after="0" w:line="240" w:lineRule="auto"/>
      </w:pPr>
      <w:r>
        <w:continuationSeparator/>
      </w:r>
    </w:p>
  </w:footnote>
  <w:footnote w:id="1">
    <w:p w14:paraId="5DFA0EE6" w14:textId="77777777" w:rsidR="00B95EAB" w:rsidRPr="00CE2082" w:rsidRDefault="00B95EAB" w:rsidP="00B95EAB">
      <w:pPr>
        <w:pStyle w:val="FootnoteText"/>
        <w:jc w:val="both"/>
        <w:rPr>
          <w:sz w:val="20"/>
          <w:szCs w:val="20"/>
          <w:lang w:val="af-ZA"/>
        </w:rPr>
      </w:pPr>
      <w:r w:rsidRPr="00EC28F2">
        <w:rPr>
          <w:rStyle w:val="FootnoteReference"/>
          <w:sz w:val="20"/>
          <w:szCs w:val="20"/>
        </w:rPr>
        <w:footnoteRef/>
      </w:r>
      <w:r w:rsidRPr="00EC28F2">
        <w:rPr>
          <w:sz w:val="20"/>
          <w:szCs w:val="20"/>
        </w:rPr>
        <w:t xml:space="preserve"> </w:t>
      </w:r>
      <w:r w:rsidRPr="00CE2082">
        <w:rPr>
          <w:sz w:val="20"/>
          <w:szCs w:val="20"/>
        </w:rPr>
        <w:t>(3) No civil action against the State or any person for anything done or omitted in pursuance of any provision of this Act may be entered into after the expiration of six months immediately succeeding the act or omission in question, or in the case of an offender, after the expiration of six months immediately succeeding the date of his or her release from correctional facility, but in no case may any such action be entered into after the expiration of one year from the date of the act or omission in question.</w:t>
      </w:r>
    </w:p>
  </w:footnote>
  <w:footnote w:id="2">
    <w:p w14:paraId="5D1A67D8" w14:textId="77777777" w:rsidR="00B95EAB" w:rsidRPr="00A474D2" w:rsidRDefault="00B95EAB">
      <w:pPr>
        <w:pStyle w:val="FootnoteText"/>
        <w:rPr>
          <w:sz w:val="20"/>
          <w:szCs w:val="20"/>
          <w:lang w:val="af-ZA"/>
        </w:rPr>
      </w:pPr>
      <w:r w:rsidRPr="00A474D2">
        <w:rPr>
          <w:rStyle w:val="FootnoteReference"/>
          <w:sz w:val="20"/>
          <w:szCs w:val="20"/>
        </w:rPr>
        <w:footnoteRef/>
      </w:r>
      <w:r w:rsidRPr="00A474D2">
        <w:rPr>
          <w:sz w:val="20"/>
          <w:szCs w:val="20"/>
        </w:rPr>
        <w:t xml:space="preserve"> </w:t>
      </w:r>
      <w:r w:rsidRPr="00CE2082">
        <w:rPr>
          <w:sz w:val="20"/>
          <w:szCs w:val="20"/>
        </w:rPr>
        <w:t>(4) Notice in writing of every such action, stating the cause thereof and the details</w:t>
      </w:r>
      <w:r w:rsidRPr="00A474D2">
        <w:rPr>
          <w:sz w:val="20"/>
          <w:szCs w:val="20"/>
        </w:rPr>
        <w:t xml:space="preserve"> </w:t>
      </w:r>
      <w:r w:rsidRPr="00CE2082">
        <w:rPr>
          <w:sz w:val="20"/>
          <w:szCs w:val="20"/>
        </w:rPr>
        <w:t>of the claim,</w:t>
      </w:r>
      <w:r w:rsidRPr="00A474D2">
        <w:rPr>
          <w:sz w:val="20"/>
          <w:szCs w:val="20"/>
        </w:rPr>
        <w:t xml:space="preserve"> </w:t>
      </w:r>
      <w:r w:rsidRPr="00CE2082">
        <w:rPr>
          <w:sz w:val="20"/>
          <w:szCs w:val="20"/>
        </w:rPr>
        <w:t>must be given to the defendant at least one month before the commencement of the action.</w:t>
      </w:r>
    </w:p>
  </w:footnote>
  <w:footnote w:id="3">
    <w:p w14:paraId="590E9E96" w14:textId="24BA0CCF" w:rsidR="00E62FFD" w:rsidRPr="00A474D2" w:rsidRDefault="00E62FFD">
      <w:pPr>
        <w:pStyle w:val="FootnoteText"/>
        <w:rPr>
          <w:sz w:val="20"/>
          <w:szCs w:val="20"/>
          <w:lang w:val="af-ZA"/>
        </w:rPr>
      </w:pPr>
      <w:r w:rsidRPr="00A474D2">
        <w:rPr>
          <w:rStyle w:val="FootnoteReference"/>
          <w:sz w:val="20"/>
          <w:szCs w:val="20"/>
        </w:rPr>
        <w:footnoteRef/>
      </w:r>
      <w:r w:rsidRPr="00A474D2">
        <w:rPr>
          <w:sz w:val="20"/>
          <w:szCs w:val="20"/>
        </w:rPr>
        <w:t xml:space="preserve"> </w:t>
      </w:r>
      <w:r w:rsidR="00CE2082" w:rsidRPr="00A474D2">
        <w:rPr>
          <w:i/>
          <w:sz w:val="20"/>
          <w:szCs w:val="20"/>
          <w:lang w:val="en-GB"/>
        </w:rPr>
        <w:t>Lesley Ubiteb v Minister of Education</w:t>
      </w:r>
      <w:r w:rsidR="00CE2082" w:rsidRPr="00A474D2">
        <w:rPr>
          <w:i/>
          <w:sz w:val="20"/>
          <w:szCs w:val="20"/>
          <w:lang w:val="af-ZA"/>
        </w:rPr>
        <w:t xml:space="preserve"> </w:t>
      </w:r>
      <w:r w:rsidR="00CE2082">
        <w:rPr>
          <w:sz w:val="20"/>
          <w:szCs w:val="20"/>
          <w:lang w:val="af-ZA"/>
        </w:rPr>
        <w:t>u</w:t>
      </w:r>
      <w:r w:rsidRPr="00CE2082">
        <w:rPr>
          <w:sz w:val="20"/>
          <w:szCs w:val="20"/>
          <w:lang w:val="af-ZA"/>
        </w:rPr>
        <w:t>nreported judgment by Unengu J, delivered on 12 August 2011.</w:t>
      </w:r>
    </w:p>
  </w:footnote>
  <w:footnote w:id="4">
    <w:p w14:paraId="20E6C785" w14:textId="65F40EA6" w:rsidR="00643EDF" w:rsidRPr="00CE2082" w:rsidRDefault="00643EDF" w:rsidP="00F77E9E">
      <w:pPr>
        <w:pStyle w:val="FootnoteText"/>
        <w:jc w:val="both"/>
        <w:rPr>
          <w:sz w:val="20"/>
          <w:szCs w:val="20"/>
          <w:lang w:val="en-US"/>
        </w:rPr>
      </w:pPr>
      <w:r w:rsidRPr="00CE2082">
        <w:rPr>
          <w:rStyle w:val="FootnoteReference"/>
          <w:sz w:val="20"/>
          <w:szCs w:val="20"/>
        </w:rPr>
        <w:footnoteRef/>
      </w:r>
      <w:r w:rsidRPr="00CE2082">
        <w:rPr>
          <w:sz w:val="20"/>
          <w:szCs w:val="20"/>
        </w:rPr>
        <w:t xml:space="preserve"> </w:t>
      </w:r>
      <w:r w:rsidR="009B1252" w:rsidRPr="00A474D2">
        <w:rPr>
          <w:i/>
          <w:sz w:val="20"/>
          <w:szCs w:val="20"/>
          <w:lang w:val="en-GB"/>
        </w:rPr>
        <w:t>Legal Aid Board v Singh</w:t>
      </w:r>
      <w:r w:rsidR="009B1252" w:rsidRPr="009B1252">
        <w:rPr>
          <w:sz w:val="20"/>
          <w:szCs w:val="20"/>
          <w:lang w:val="en-US"/>
        </w:rPr>
        <w:t xml:space="preserve"> </w:t>
      </w:r>
      <w:r w:rsidRPr="009B1252">
        <w:rPr>
          <w:sz w:val="20"/>
          <w:szCs w:val="20"/>
          <w:lang w:val="en-US"/>
        </w:rPr>
        <w:t xml:space="preserve">2009 (1) SA 184 (N) para 10. </w:t>
      </w:r>
    </w:p>
  </w:footnote>
  <w:footnote w:id="5">
    <w:p w14:paraId="508109CA" w14:textId="77777777" w:rsidR="00643EDF" w:rsidRPr="00CE2082" w:rsidRDefault="00643EDF" w:rsidP="00F77E9E">
      <w:pPr>
        <w:pStyle w:val="FootnoteText"/>
        <w:jc w:val="both"/>
        <w:rPr>
          <w:sz w:val="20"/>
          <w:szCs w:val="20"/>
          <w:lang w:val="en-US"/>
        </w:rPr>
      </w:pPr>
      <w:r w:rsidRPr="00CE2082">
        <w:rPr>
          <w:rStyle w:val="FootnoteReference"/>
          <w:sz w:val="20"/>
          <w:szCs w:val="20"/>
        </w:rPr>
        <w:footnoteRef/>
      </w:r>
      <w:r w:rsidRPr="00CE2082">
        <w:rPr>
          <w:sz w:val="20"/>
          <w:szCs w:val="20"/>
        </w:rPr>
        <w:t xml:space="preserve"> </w:t>
      </w:r>
      <w:r w:rsidR="004B08F7" w:rsidRPr="00A474D2">
        <w:rPr>
          <w:i/>
          <w:sz w:val="20"/>
          <w:szCs w:val="20"/>
          <w:lang w:val="en-GB"/>
        </w:rPr>
        <w:t>Poswa v Member of the Executive Council for Economic Affairs, Environment and Tourism, Eastern Cape</w:t>
      </w:r>
      <w:r w:rsidR="004B08F7" w:rsidRPr="004B08F7">
        <w:rPr>
          <w:sz w:val="20"/>
          <w:szCs w:val="20"/>
          <w:lang w:val="en-GB"/>
        </w:rPr>
        <w:t xml:space="preserve"> </w:t>
      </w:r>
      <w:r w:rsidRPr="004B08F7">
        <w:rPr>
          <w:sz w:val="20"/>
          <w:szCs w:val="20"/>
        </w:rPr>
        <w:t>2001 (3) SA 582 (SCA)</w:t>
      </w:r>
      <w:r w:rsidRPr="004B08F7">
        <w:rPr>
          <w:sz w:val="20"/>
          <w:szCs w:val="20"/>
          <w:lang w:val="en-US"/>
        </w:rPr>
        <w:t>.</w:t>
      </w:r>
    </w:p>
  </w:footnote>
  <w:footnote w:id="6">
    <w:p w14:paraId="0161675F" w14:textId="77777777" w:rsidR="00E960C0" w:rsidRPr="00A474D2" w:rsidRDefault="00E960C0">
      <w:pPr>
        <w:pStyle w:val="FootnoteText"/>
        <w:rPr>
          <w:sz w:val="20"/>
          <w:szCs w:val="20"/>
          <w:lang w:val="en-ZA"/>
        </w:rPr>
      </w:pPr>
      <w:r w:rsidRPr="00A474D2">
        <w:rPr>
          <w:rStyle w:val="FootnoteReference"/>
          <w:sz w:val="20"/>
          <w:szCs w:val="20"/>
        </w:rPr>
        <w:footnoteRef/>
      </w:r>
      <w:r w:rsidRPr="00A474D2">
        <w:rPr>
          <w:sz w:val="20"/>
          <w:szCs w:val="20"/>
        </w:rPr>
        <w:t xml:space="preserve"> </w:t>
      </w:r>
      <w:r w:rsidR="003057B4" w:rsidRPr="00A474D2">
        <w:rPr>
          <w:i/>
          <w:sz w:val="20"/>
          <w:szCs w:val="20"/>
          <w:lang w:val="en-GB"/>
        </w:rPr>
        <w:t>Mohlomi v Minister of Defence</w:t>
      </w:r>
      <w:r w:rsidR="003057B4" w:rsidRPr="003057B4">
        <w:rPr>
          <w:sz w:val="20"/>
          <w:szCs w:val="20"/>
          <w:lang w:val="en-GB"/>
        </w:rPr>
        <w:t xml:space="preserve"> </w:t>
      </w:r>
      <w:r w:rsidRPr="003057B4">
        <w:rPr>
          <w:rFonts w:cs="Arial"/>
          <w:sz w:val="20"/>
          <w:szCs w:val="20"/>
        </w:rPr>
        <w:t>1997 (1) SA 124 (CC)</w:t>
      </w:r>
      <w:r w:rsidR="003057B4">
        <w:rPr>
          <w:rFonts w:cs="Arial"/>
          <w:sz w:val="20"/>
          <w:szCs w:val="20"/>
          <w:lang w:val="en-ZA"/>
        </w:rPr>
        <w:t>.</w:t>
      </w:r>
    </w:p>
  </w:footnote>
  <w:footnote w:id="7">
    <w:p w14:paraId="4D5EB209" w14:textId="77777777" w:rsidR="00643EDF" w:rsidRPr="00CE2082" w:rsidRDefault="00643EDF" w:rsidP="00D17668">
      <w:pPr>
        <w:pStyle w:val="FootnoteText"/>
        <w:jc w:val="both"/>
        <w:rPr>
          <w:sz w:val="20"/>
          <w:szCs w:val="20"/>
          <w:lang w:val="en-US"/>
        </w:rPr>
      </w:pPr>
      <w:r w:rsidRPr="00CE2082">
        <w:rPr>
          <w:rStyle w:val="FootnoteReference"/>
          <w:sz w:val="20"/>
          <w:szCs w:val="20"/>
        </w:rPr>
        <w:footnoteRef/>
      </w:r>
      <w:r w:rsidRPr="00CE2082">
        <w:rPr>
          <w:sz w:val="20"/>
          <w:szCs w:val="20"/>
        </w:rPr>
        <w:t xml:space="preserve"> </w:t>
      </w:r>
      <w:r w:rsidR="000F4DFD" w:rsidRPr="00A474D2">
        <w:rPr>
          <w:i/>
          <w:sz w:val="20"/>
          <w:szCs w:val="20"/>
          <w:lang w:val="en-GB"/>
        </w:rPr>
        <w:t>Minister of Home Affairs v Madjiedt and Others</w:t>
      </w:r>
      <w:r w:rsidR="000F4DFD" w:rsidRPr="000F4DFD">
        <w:rPr>
          <w:sz w:val="20"/>
          <w:szCs w:val="20"/>
          <w:lang w:val="en-GB"/>
        </w:rPr>
        <w:t xml:space="preserve"> </w:t>
      </w:r>
      <w:r w:rsidRPr="000F4DFD">
        <w:rPr>
          <w:sz w:val="20"/>
          <w:szCs w:val="20"/>
        </w:rPr>
        <w:t>2007 (2) NR 475 (SC)</w:t>
      </w:r>
      <w:r w:rsidRPr="00CE2082">
        <w:rPr>
          <w:sz w:val="20"/>
          <w:szCs w:val="20"/>
          <w:lang w:val="en-US"/>
        </w:rPr>
        <w:t>.</w:t>
      </w:r>
    </w:p>
  </w:footnote>
  <w:footnote w:id="8">
    <w:p w14:paraId="44E0ECBB" w14:textId="77777777" w:rsidR="00643EDF" w:rsidRPr="00CE2082" w:rsidRDefault="00643EDF" w:rsidP="00D17668">
      <w:pPr>
        <w:pStyle w:val="FootnoteText"/>
        <w:jc w:val="both"/>
        <w:rPr>
          <w:sz w:val="20"/>
          <w:szCs w:val="20"/>
          <w:lang w:val="en-GB"/>
        </w:rPr>
      </w:pPr>
      <w:r w:rsidRPr="00CE2082">
        <w:rPr>
          <w:rStyle w:val="FootnoteReference"/>
          <w:sz w:val="20"/>
          <w:szCs w:val="20"/>
        </w:rPr>
        <w:footnoteRef/>
      </w:r>
      <w:r w:rsidRPr="00CE2082">
        <w:rPr>
          <w:sz w:val="20"/>
          <w:szCs w:val="20"/>
        </w:rPr>
        <w:t xml:space="preserve"> </w:t>
      </w:r>
      <w:r w:rsidR="000F4DFD" w:rsidRPr="00A474D2">
        <w:rPr>
          <w:i/>
          <w:sz w:val="20"/>
          <w:szCs w:val="20"/>
          <w:lang w:val="en-GB"/>
        </w:rPr>
        <w:t>Indilinga Systems Design &amp; Logistics CC v The Minister of Safety and Security</w:t>
      </w:r>
      <w:r w:rsidR="000F4DFD" w:rsidRPr="000F4DFD">
        <w:rPr>
          <w:sz w:val="20"/>
          <w:szCs w:val="20"/>
          <w:lang w:val="en-GB"/>
        </w:rPr>
        <w:t xml:space="preserve"> </w:t>
      </w:r>
      <w:r w:rsidRPr="000F4DFD">
        <w:rPr>
          <w:sz w:val="20"/>
          <w:szCs w:val="20"/>
          <w:lang w:val="en-GB"/>
        </w:rPr>
        <w:t>(I 209/2013) [2014] NAHCMD 264 (20 May 2014).</w:t>
      </w:r>
    </w:p>
    <w:p w14:paraId="03E6A1D9" w14:textId="77777777" w:rsidR="00643EDF" w:rsidRPr="00CE2082" w:rsidRDefault="00643EDF" w:rsidP="00D17668">
      <w:pPr>
        <w:pStyle w:val="FootnoteText"/>
        <w:jc w:val="both"/>
        <w:rPr>
          <w:sz w:val="20"/>
          <w:szCs w:val="20"/>
          <w:lang w:val="en-US"/>
        </w:rPr>
      </w:pPr>
    </w:p>
  </w:footnote>
  <w:footnote w:id="9">
    <w:p w14:paraId="41DBA220" w14:textId="77777777" w:rsidR="00FC605D" w:rsidRPr="00A474D2" w:rsidRDefault="00FC605D">
      <w:pPr>
        <w:pStyle w:val="FootnoteText"/>
        <w:rPr>
          <w:sz w:val="20"/>
          <w:szCs w:val="20"/>
          <w:lang w:val="en-ZA"/>
        </w:rPr>
      </w:pPr>
      <w:r w:rsidRPr="00CE2082">
        <w:rPr>
          <w:rStyle w:val="FootnoteReference"/>
          <w:sz w:val="20"/>
          <w:szCs w:val="20"/>
        </w:rPr>
        <w:footnoteRef/>
      </w:r>
      <w:r w:rsidRPr="00CE2082">
        <w:rPr>
          <w:sz w:val="20"/>
          <w:szCs w:val="20"/>
        </w:rPr>
        <w:t xml:space="preserve"> </w:t>
      </w:r>
      <w:r w:rsidR="009B2D9F" w:rsidRPr="00A474D2">
        <w:rPr>
          <w:i/>
          <w:sz w:val="20"/>
          <w:szCs w:val="20"/>
          <w:lang w:val="en-GB"/>
        </w:rPr>
        <w:t>Weidts &amp; Another</w:t>
      </w:r>
      <w:r w:rsidR="009B2D9F" w:rsidRPr="00A474D2">
        <w:rPr>
          <w:sz w:val="20"/>
          <w:szCs w:val="20"/>
          <w:lang w:val="en-GB"/>
        </w:rPr>
        <w:t xml:space="preserve"> </w:t>
      </w:r>
      <w:r w:rsidRPr="00A474D2">
        <w:rPr>
          <w:rFonts w:cs="Arial"/>
          <w:sz w:val="20"/>
          <w:szCs w:val="20"/>
        </w:rPr>
        <w:t>(1852/2007) [2016] NAHCMD 7 (22 January 2016)</w:t>
      </w:r>
      <w:r w:rsidR="009B2D9F" w:rsidRPr="00A474D2">
        <w:rPr>
          <w:rFonts w:cs="Arial"/>
          <w:sz w:val="20"/>
          <w:szCs w:val="20"/>
          <w:lang w:val="en-ZA"/>
        </w:rPr>
        <w:t>.</w:t>
      </w:r>
    </w:p>
  </w:footnote>
  <w:footnote w:id="10">
    <w:p w14:paraId="21E78A7B" w14:textId="77777777" w:rsidR="00FC605D" w:rsidRPr="00A474D2" w:rsidRDefault="00FC605D">
      <w:pPr>
        <w:pStyle w:val="FootnoteText"/>
        <w:rPr>
          <w:sz w:val="20"/>
          <w:szCs w:val="20"/>
          <w:lang w:val="en-ZA"/>
        </w:rPr>
      </w:pPr>
      <w:r w:rsidRPr="00A474D2">
        <w:rPr>
          <w:rStyle w:val="FootnoteReference"/>
          <w:sz w:val="20"/>
          <w:szCs w:val="20"/>
        </w:rPr>
        <w:footnoteRef/>
      </w:r>
      <w:r w:rsidRPr="00A474D2">
        <w:rPr>
          <w:sz w:val="20"/>
          <w:szCs w:val="20"/>
        </w:rPr>
        <w:t xml:space="preserve"> </w:t>
      </w:r>
      <w:r w:rsidR="00DC6EBF" w:rsidRPr="00A474D2">
        <w:rPr>
          <w:i/>
          <w:sz w:val="20"/>
          <w:szCs w:val="20"/>
          <w:lang w:val="en-GB"/>
        </w:rPr>
        <w:t>Prince v President, Cape Law Society, And Others</w:t>
      </w:r>
      <w:r w:rsidR="00DC6EBF" w:rsidRPr="00DC6EBF">
        <w:rPr>
          <w:sz w:val="20"/>
          <w:szCs w:val="20"/>
          <w:lang w:val="en-GB"/>
        </w:rPr>
        <w:t xml:space="preserve"> </w:t>
      </w:r>
      <w:r w:rsidRPr="00DC6EBF">
        <w:rPr>
          <w:rFonts w:cs="Arial"/>
          <w:sz w:val="20"/>
          <w:szCs w:val="20"/>
        </w:rPr>
        <w:t>2001 (2) SA 388 (CC)</w:t>
      </w:r>
      <w:r w:rsidR="00DC6EBF" w:rsidRPr="00DC6EBF">
        <w:rPr>
          <w:rFonts w:cs="Arial"/>
          <w:sz w:val="20"/>
          <w:szCs w:val="20"/>
          <w:lang w:val="en-ZA"/>
        </w:rPr>
        <w:t>.</w:t>
      </w:r>
    </w:p>
  </w:footnote>
  <w:footnote w:id="11">
    <w:p w14:paraId="4AB856E4" w14:textId="2298D632" w:rsidR="001C0729" w:rsidRPr="00CE2082" w:rsidRDefault="001C0729" w:rsidP="001C0729">
      <w:pPr>
        <w:pStyle w:val="FootnoteText"/>
        <w:rPr>
          <w:rFonts w:asciiTheme="minorHAnsi" w:hAnsiTheme="minorHAnsi"/>
          <w:sz w:val="20"/>
          <w:szCs w:val="20"/>
        </w:rPr>
      </w:pPr>
      <w:r w:rsidRPr="00CE2082">
        <w:rPr>
          <w:rStyle w:val="FootnoteReference"/>
          <w:rFonts w:cs="Arial"/>
          <w:sz w:val="20"/>
          <w:szCs w:val="20"/>
        </w:rPr>
        <w:footnoteRef/>
      </w:r>
      <w:r w:rsidRPr="00CE2082">
        <w:rPr>
          <w:rFonts w:cs="Arial"/>
          <w:sz w:val="20"/>
          <w:szCs w:val="20"/>
        </w:rPr>
        <w:t xml:space="preserve"> </w:t>
      </w:r>
      <w:r w:rsidR="00FC605D" w:rsidRPr="00CE2082">
        <w:rPr>
          <w:rFonts w:cs="Arial"/>
          <w:sz w:val="20"/>
          <w:szCs w:val="20"/>
          <w:lang w:val="af-ZA"/>
        </w:rPr>
        <w:t xml:space="preserve"> </w:t>
      </w:r>
      <w:r w:rsidR="00FC605D" w:rsidRPr="00CE2082">
        <w:rPr>
          <w:rFonts w:cs="Arial"/>
          <w:i/>
          <w:sz w:val="20"/>
          <w:szCs w:val="20"/>
          <w:lang w:val="af-ZA"/>
        </w:rPr>
        <w:t>Ibid</w:t>
      </w:r>
      <w:r w:rsidR="00FC605D" w:rsidRPr="00CE2082">
        <w:rPr>
          <w:rFonts w:cs="Arial"/>
          <w:sz w:val="20"/>
          <w:szCs w:val="20"/>
          <w:lang w:val="af-ZA"/>
        </w:rPr>
        <w:t xml:space="preserve"> </w:t>
      </w:r>
      <w:r w:rsidRPr="00CE2082">
        <w:rPr>
          <w:rFonts w:cs="Arial"/>
          <w:sz w:val="20"/>
          <w:szCs w:val="20"/>
        </w:rPr>
        <w:t>para 22.</w:t>
      </w:r>
    </w:p>
  </w:footnote>
  <w:footnote w:id="12">
    <w:p w14:paraId="1CEA4A3D" w14:textId="77777777" w:rsidR="00AF4B7A" w:rsidRPr="00254EF4" w:rsidRDefault="00AF4B7A" w:rsidP="00AF4B7A">
      <w:pPr>
        <w:pStyle w:val="FootnoteText"/>
        <w:rPr>
          <w:sz w:val="20"/>
          <w:szCs w:val="20"/>
          <w:lang w:val="af-ZA"/>
        </w:rPr>
      </w:pPr>
      <w:r w:rsidRPr="00254EF4">
        <w:rPr>
          <w:rStyle w:val="FootnoteReference"/>
          <w:sz w:val="20"/>
          <w:szCs w:val="20"/>
        </w:rPr>
        <w:footnoteRef/>
      </w:r>
      <w:r w:rsidRPr="00254EF4">
        <w:rPr>
          <w:sz w:val="20"/>
          <w:szCs w:val="20"/>
        </w:rPr>
        <w:t xml:space="preserve"> </w:t>
      </w:r>
      <w:r w:rsidRPr="00CE2082">
        <w:rPr>
          <w:sz w:val="20"/>
          <w:szCs w:val="20"/>
        </w:rPr>
        <w:t>(4) Notice in writing of every such action, stating the cause thereof and the details</w:t>
      </w:r>
      <w:r w:rsidRPr="00254EF4">
        <w:rPr>
          <w:sz w:val="20"/>
          <w:szCs w:val="20"/>
        </w:rPr>
        <w:t xml:space="preserve"> </w:t>
      </w:r>
      <w:r w:rsidRPr="00CE2082">
        <w:rPr>
          <w:sz w:val="20"/>
          <w:szCs w:val="20"/>
        </w:rPr>
        <w:t>of the claim,</w:t>
      </w:r>
      <w:r w:rsidRPr="00254EF4">
        <w:rPr>
          <w:sz w:val="20"/>
          <w:szCs w:val="20"/>
        </w:rPr>
        <w:t xml:space="preserve"> </w:t>
      </w:r>
      <w:r w:rsidRPr="00CE2082">
        <w:rPr>
          <w:sz w:val="20"/>
          <w:szCs w:val="20"/>
        </w:rPr>
        <w:t>must be given to the defendant at least one month before the commencement of the action.</w:t>
      </w:r>
    </w:p>
  </w:footnote>
  <w:footnote w:id="13">
    <w:p w14:paraId="632EBEBB" w14:textId="77777777" w:rsidR="00635CD7" w:rsidRPr="00254EF4" w:rsidRDefault="00635CD7">
      <w:pPr>
        <w:pStyle w:val="FootnoteText"/>
        <w:rPr>
          <w:lang w:val="en-ZA"/>
        </w:rPr>
      </w:pPr>
      <w:r>
        <w:rPr>
          <w:rStyle w:val="FootnoteReference"/>
        </w:rPr>
        <w:footnoteRef/>
      </w:r>
      <w:r>
        <w:t xml:space="preserve"> </w:t>
      </w:r>
      <w:r w:rsidRPr="00254EF4">
        <w:rPr>
          <w:sz w:val="20"/>
          <w:szCs w:val="20"/>
          <w:lang w:val="en-GB"/>
        </w:rPr>
        <w:t>2017 (1) NR 275 (HC).</w:t>
      </w:r>
    </w:p>
  </w:footnote>
  <w:footnote w:id="14">
    <w:p w14:paraId="1357EB18" w14:textId="77777777" w:rsidR="00FF083C" w:rsidRPr="00254EF4" w:rsidRDefault="00FF083C">
      <w:pPr>
        <w:pStyle w:val="FootnoteText"/>
        <w:rPr>
          <w:sz w:val="20"/>
          <w:szCs w:val="20"/>
          <w:lang w:val="en-ZA"/>
        </w:rPr>
      </w:pPr>
      <w:r w:rsidRPr="00254EF4">
        <w:rPr>
          <w:rStyle w:val="FootnoteReference"/>
          <w:sz w:val="20"/>
          <w:szCs w:val="20"/>
        </w:rPr>
        <w:footnoteRef/>
      </w:r>
      <w:r w:rsidRPr="00254EF4">
        <w:rPr>
          <w:sz w:val="20"/>
          <w:szCs w:val="20"/>
          <w:lang w:val="en-ZA"/>
        </w:rPr>
        <w:t xml:space="preserve"> </w:t>
      </w:r>
      <w:r w:rsidRPr="00CE2082">
        <w:rPr>
          <w:rFonts w:cs="Arial"/>
          <w:sz w:val="20"/>
          <w:szCs w:val="20"/>
        </w:rPr>
        <w:t>(I 209/2013) [2014] NAHCMD 264 (20 May 2014)</w:t>
      </w:r>
    </w:p>
  </w:footnote>
  <w:footnote w:id="15">
    <w:p w14:paraId="2EE2C56C" w14:textId="77777777" w:rsidR="00363D9C" w:rsidRPr="00254EF4" w:rsidRDefault="00363D9C">
      <w:pPr>
        <w:pStyle w:val="FootnoteText"/>
        <w:rPr>
          <w:sz w:val="20"/>
          <w:szCs w:val="20"/>
          <w:lang w:val="en-ZA"/>
        </w:rPr>
      </w:pPr>
      <w:r w:rsidRPr="00254EF4">
        <w:rPr>
          <w:rStyle w:val="FootnoteReference"/>
          <w:sz w:val="20"/>
          <w:szCs w:val="20"/>
        </w:rPr>
        <w:footnoteRef/>
      </w:r>
      <w:r w:rsidRPr="00254EF4">
        <w:rPr>
          <w:sz w:val="20"/>
          <w:szCs w:val="20"/>
        </w:rPr>
        <w:t xml:space="preserve"> </w:t>
      </w:r>
      <w:r w:rsidRPr="00CE2082">
        <w:rPr>
          <w:rFonts w:cs="Arial"/>
          <w:sz w:val="20"/>
          <w:szCs w:val="20"/>
        </w:rPr>
        <w:t>Act 19 of 1990</w:t>
      </w:r>
    </w:p>
  </w:footnote>
  <w:footnote w:id="16">
    <w:p w14:paraId="4CBC8192" w14:textId="77777777" w:rsidR="00FF083C" w:rsidRPr="00CE2082" w:rsidRDefault="00FF083C" w:rsidP="00FF083C">
      <w:pPr>
        <w:pStyle w:val="FootnoteText"/>
        <w:rPr>
          <w:sz w:val="20"/>
          <w:szCs w:val="20"/>
          <w:lang w:val="en-ZA"/>
        </w:rPr>
      </w:pPr>
      <w:r w:rsidRPr="00CE2082">
        <w:rPr>
          <w:rStyle w:val="FootnoteReference"/>
          <w:sz w:val="20"/>
          <w:szCs w:val="20"/>
        </w:rPr>
        <w:footnoteRef/>
      </w:r>
      <w:r w:rsidRPr="00CE2082">
        <w:rPr>
          <w:sz w:val="20"/>
          <w:szCs w:val="20"/>
        </w:rPr>
        <w:t xml:space="preserve"> </w:t>
      </w:r>
      <w:r w:rsidRPr="00CE2082">
        <w:rPr>
          <w:rFonts w:cs="Arial"/>
          <w:i/>
          <w:sz w:val="20"/>
          <w:szCs w:val="20"/>
        </w:rPr>
        <w:t>Simon vs The Administrator General South West Africa</w:t>
      </w:r>
      <w:r w:rsidR="00363D9C" w:rsidRPr="00CE2082">
        <w:rPr>
          <w:rFonts w:cs="Arial"/>
          <w:i/>
          <w:sz w:val="20"/>
          <w:szCs w:val="20"/>
          <w:lang w:val="en-ZA"/>
        </w:rPr>
        <w:t xml:space="preserve"> </w:t>
      </w:r>
      <w:r w:rsidR="00363D9C" w:rsidRPr="00CE2082">
        <w:rPr>
          <w:sz w:val="20"/>
          <w:szCs w:val="20"/>
        </w:rPr>
        <w:t>1991 NR 151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3A98D" w14:textId="77777777" w:rsidR="00643EDF" w:rsidRDefault="00643EDF">
    <w:pPr>
      <w:pStyle w:val="Header"/>
      <w:jc w:val="right"/>
    </w:pPr>
    <w:r>
      <w:fldChar w:fldCharType="begin"/>
    </w:r>
    <w:r>
      <w:instrText xml:space="preserve"> PAGE   \* MERGEFORMAT </w:instrText>
    </w:r>
    <w:r>
      <w:fldChar w:fldCharType="separate"/>
    </w:r>
    <w:r w:rsidR="00B51441">
      <w:rPr>
        <w:noProof/>
      </w:rPr>
      <w:t>13</w:t>
    </w:r>
    <w:r>
      <w:fldChar w:fldCharType="end"/>
    </w:r>
  </w:p>
  <w:p w14:paraId="758C4F6D" w14:textId="77777777" w:rsidR="00643EDF" w:rsidRDefault="00643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01BC0"/>
    <w:multiLevelType w:val="hybridMultilevel"/>
    <w:tmpl w:val="76FC3A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A44AA"/>
    <w:multiLevelType w:val="hybridMultilevel"/>
    <w:tmpl w:val="99A85EB2"/>
    <w:lvl w:ilvl="0" w:tplc="A8A8A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C20CAF"/>
    <w:multiLevelType w:val="hybridMultilevel"/>
    <w:tmpl w:val="F7C858AA"/>
    <w:lvl w:ilvl="0" w:tplc="5566B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14878"/>
    <w:multiLevelType w:val="hybridMultilevel"/>
    <w:tmpl w:val="DCAEA9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4503E"/>
    <w:multiLevelType w:val="hybridMultilevel"/>
    <w:tmpl w:val="60F03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DB"/>
    <w:rsid w:val="00011595"/>
    <w:rsid w:val="000153DB"/>
    <w:rsid w:val="00017739"/>
    <w:rsid w:val="00020555"/>
    <w:rsid w:val="00052DC0"/>
    <w:rsid w:val="00072F97"/>
    <w:rsid w:val="00083C31"/>
    <w:rsid w:val="000863AF"/>
    <w:rsid w:val="000A4D26"/>
    <w:rsid w:val="000A7253"/>
    <w:rsid w:val="000B393A"/>
    <w:rsid w:val="000C3B64"/>
    <w:rsid w:val="000D16F0"/>
    <w:rsid w:val="000D6A78"/>
    <w:rsid w:val="000D7933"/>
    <w:rsid w:val="000E12F3"/>
    <w:rsid w:val="000E4C36"/>
    <w:rsid w:val="000E548D"/>
    <w:rsid w:val="000F4C76"/>
    <w:rsid w:val="000F4DFD"/>
    <w:rsid w:val="000F5B02"/>
    <w:rsid w:val="000F6CC7"/>
    <w:rsid w:val="00107C45"/>
    <w:rsid w:val="00126008"/>
    <w:rsid w:val="001408F0"/>
    <w:rsid w:val="0014711E"/>
    <w:rsid w:val="00161B35"/>
    <w:rsid w:val="001718F5"/>
    <w:rsid w:val="00187BED"/>
    <w:rsid w:val="001947CD"/>
    <w:rsid w:val="001B3856"/>
    <w:rsid w:val="001C0729"/>
    <w:rsid w:val="001C236C"/>
    <w:rsid w:val="001C2B71"/>
    <w:rsid w:val="001E19B9"/>
    <w:rsid w:val="001E7A1F"/>
    <w:rsid w:val="001F02B4"/>
    <w:rsid w:val="001F04D4"/>
    <w:rsid w:val="001F1CD9"/>
    <w:rsid w:val="00212D44"/>
    <w:rsid w:val="0021456F"/>
    <w:rsid w:val="002440AB"/>
    <w:rsid w:val="00253E7C"/>
    <w:rsid w:val="00254EF4"/>
    <w:rsid w:val="002730E1"/>
    <w:rsid w:val="002738D6"/>
    <w:rsid w:val="00281E0C"/>
    <w:rsid w:val="00282E91"/>
    <w:rsid w:val="002C7210"/>
    <w:rsid w:val="002E47FE"/>
    <w:rsid w:val="002F7526"/>
    <w:rsid w:val="00301846"/>
    <w:rsid w:val="00304342"/>
    <w:rsid w:val="003057B4"/>
    <w:rsid w:val="003167A8"/>
    <w:rsid w:val="00321B86"/>
    <w:rsid w:val="00324E28"/>
    <w:rsid w:val="00326226"/>
    <w:rsid w:val="0034486B"/>
    <w:rsid w:val="0034645A"/>
    <w:rsid w:val="00347318"/>
    <w:rsid w:val="00363D9C"/>
    <w:rsid w:val="00367351"/>
    <w:rsid w:val="00376674"/>
    <w:rsid w:val="003951CC"/>
    <w:rsid w:val="003953AD"/>
    <w:rsid w:val="00397C68"/>
    <w:rsid w:val="003A34B1"/>
    <w:rsid w:val="003B1F24"/>
    <w:rsid w:val="003B59B0"/>
    <w:rsid w:val="003D596B"/>
    <w:rsid w:val="003E1D92"/>
    <w:rsid w:val="003F0E95"/>
    <w:rsid w:val="00402E7D"/>
    <w:rsid w:val="004132A9"/>
    <w:rsid w:val="00414DF4"/>
    <w:rsid w:val="00431D48"/>
    <w:rsid w:val="004363EF"/>
    <w:rsid w:val="0043688E"/>
    <w:rsid w:val="0044555D"/>
    <w:rsid w:val="0045371A"/>
    <w:rsid w:val="00461723"/>
    <w:rsid w:val="004741F7"/>
    <w:rsid w:val="00475881"/>
    <w:rsid w:val="00475C3B"/>
    <w:rsid w:val="00482DC2"/>
    <w:rsid w:val="00484C33"/>
    <w:rsid w:val="00494E65"/>
    <w:rsid w:val="0049514F"/>
    <w:rsid w:val="004A566A"/>
    <w:rsid w:val="004A63AE"/>
    <w:rsid w:val="004A6E1E"/>
    <w:rsid w:val="004B08F7"/>
    <w:rsid w:val="004C1154"/>
    <w:rsid w:val="004C7697"/>
    <w:rsid w:val="004D10A0"/>
    <w:rsid w:val="004D6421"/>
    <w:rsid w:val="004E1C51"/>
    <w:rsid w:val="004E5CAB"/>
    <w:rsid w:val="004F26CA"/>
    <w:rsid w:val="004F6946"/>
    <w:rsid w:val="00500F29"/>
    <w:rsid w:val="00501416"/>
    <w:rsid w:val="005205CF"/>
    <w:rsid w:val="00523BB1"/>
    <w:rsid w:val="00523FDB"/>
    <w:rsid w:val="005252CC"/>
    <w:rsid w:val="00566079"/>
    <w:rsid w:val="00570044"/>
    <w:rsid w:val="00572D3A"/>
    <w:rsid w:val="00575257"/>
    <w:rsid w:val="005777A3"/>
    <w:rsid w:val="00581498"/>
    <w:rsid w:val="0058403C"/>
    <w:rsid w:val="005931D3"/>
    <w:rsid w:val="00594EF4"/>
    <w:rsid w:val="005967E8"/>
    <w:rsid w:val="005A5C67"/>
    <w:rsid w:val="005B1981"/>
    <w:rsid w:val="005C59C7"/>
    <w:rsid w:val="005D336F"/>
    <w:rsid w:val="005D4831"/>
    <w:rsid w:val="005E2E92"/>
    <w:rsid w:val="00601A44"/>
    <w:rsid w:val="00602E46"/>
    <w:rsid w:val="00603184"/>
    <w:rsid w:val="00611604"/>
    <w:rsid w:val="006147D9"/>
    <w:rsid w:val="00623198"/>
    <w:rsid w:val="00635CD7"/>
    <w:rsid w:val="00642C97"/>
    <w:rsid w:val="00643EDF"/>
    <w:rsid w:val="00647AC7"/>
    <w:rsid w:val="006525D0"/>
    <w:rsid w:val="00663F93"/>
    <w:rsid w:val="006964F4"/>
    <w:rsid w:val="006B7C3D"/>
    <w:rsid w:val="006C0BF9"/>
    <w:rsid w:val="006C1232"/>
    <w:rsid w:val="006C42D0"/>
    <w:rsid w:val="006D2208"/>
    <w:rsid w:val="006D5143"/>
    <w:rsid w:val="006E43F0"/>
    <w:rsid w:val="006E6E3E"/>
    <w:rsid w:val="006F1D1D"/>
    <w:rsid w:val="00702E52"/>
    <w:rsid w:val="00705D11"/>
    <w:rsid w:val="00710182"/>
    <w:rsid w:val="00741E59"/>
    <w:rsid w:val="0075672B"/>
    <w:rsid w:val="00762E75"/>
    <w:rsid w:val="0077456C"/>
    <w:rsid w:val="0078555B"/>
    <w:rsid w:val="00790DE9"/>
    <w:rsid w:val="00791FE3"/>
    <w:rsid w:val="00793079"/>
    <w:rsid w:val="007B4DE1"/>
    <w:rsid w:val="007B5576"/>
    <w:rsid w:val="007C27CC"/>
    <w:rsid w:val="007C38C5"/>
    <w:rsid w:val="007C766C"/>
    <w:rsid w:val="007E0CBF"/>
    <w:rsid w:val="007E1152"/>
    <w:rsid w:val="007F0CFE"/>
    <w:rsid w:val="007F5EEB"/>
    <w:rsid w:val="008012A1"/>
    <w:rsid w:val="008015B2"/>
    <w:rsid w:val="008026CD"/>
    <w:rsid w:val="00834695"/>
    <w:rsid w:val="0083775E"/>
    <w:rsid w:val="008406AD"/>
    <w:rsid w:val="0084413F"/>
    <w:rsid w:val="00855B8E"/>
    <w:rsid w:val="00862432"/>
    <w:rsid w:val="00870532"/>
    <w:rsid w:val="0087278D"/>
    <w:rsid w:val="0088582E"/>
    <w:rsid w:val="00895947"/>
    <w:rsid w:val="0089632C"/>
    <w:rsid w:val="00896608"/>
    <w:rsid w:val="008B4642"/>
    <w:rsid w:val="008B5D84"/>
    <w:rsid w:val="008C2CD7"/>
    <w:rsid w:val="008E5665"/>
    <w:rsid w:val="008E6353"/>
    <w:rsid w:val="008F58D9"/>
    <w:rsid w:val="008F69AE"/>
    <w:rsid w:val="00901AED"/>
    <w:rsid w:val="00935338"/>
    <w:rsid w:val="009420B6"/>
    <w:rsid w:val="00961059"/>
    <w:rsid w:val="009662E6"/>
    <w:rsid w:val="00972F6F"/>
    <w:rsid w:val="00973494"/>
    <w:rsid w:val="00974027"/>
    <w:rsid w:val="00976ACE"/>
    <w:rsid w:val="00983B54"/>
    <w:rsid w:val="00996399"/>
    <w:rsid w:val="009A28B0"/>
    <w:rsid w:val="009A6E2C"/>
    <w:rsid w:val="009B1252"/>
    <w:rsid w:val="009B2D9F"/>
    <w:rsid w:val="009C1781"/>
    <w:rsid w:val="009D0E4A"/>
    <w:rsid w:val="009D1C3C"/>
    <w:rsid w:val="009E027C"/>
    <w:rsid w:val="009E0A5B"/>
    <w:rsid w:val="009E27FD"/>
    <w:rsid w:val="009E7864"/>
    <w:rsid w:val="009F2E98"/>
    <w:rsid w:val="009F6154"/>
    <w:rsid w:val="00A06506"/>
    <w:rsid w:val="00A10480"/>
    <w:rsid w:val="00A16FBA"/>
    <w:rsid w:val="00A31AE6"/>
    <w:rsid w:val="00A40199"/>
    <w:rsid w:val="00A474D2"/>
    <w:rsid w:val="00A568FE"/>
    <w:rsid w:val="00A612F7"/>
    <w:rsid w:val="00A833D9"/>
    <w:rsid w:val="00AA2D6F"/>
    <w:rsid w:val="00AA50BE"/>
    <w:rsid w:val="00AA7A9E"/>
    <w:rsid w:val="00AB441D"/>
    <w:rsid w:val="00AD428D"/>
    <w:rsid w:val="00AE28F8"/>
    <w:rsid w:val="00AF248D"/>
    <w:rsid w:val="00AF4B7A"/>
    <w:rsid w:val="00AF5EFB"/>
    <w:rsid w:val="00B0043B"/>
    <w:rsid w:val="00B011FE"/>
    <w:rsid w:val="00B05F4A"/>
    <w:rsid w:val="00B3622E"/>
    <w:rsid w:val="00B50927"/>
    <w:rsid w:val="00B51441"/>
    <w:rsid w:val="00B51D1A"/>
    <w:rsid w:val="00B54EE2"/>
    <w:rsid w:val="00B6507F"/>
    <w:rsid w:val="00B66F1F"/>
    <w:rsid w:val="00B70B90"/>
    <w:rsid w:val="00B76909"/>
    <w:rsid w:val="00B8084E"/>
    <w:rsid w:val="00B838D1"/>
    <w:rsid w:val="00B95EAB"/>
    <w:rsid w:val="00BA415D"/>
    <w:rsid w:val="00BA5BF0"/>
    <w:rsid w:val="00BA7D01"/>
    <w:rsid w:val="00BB2E20"/>
    <w:rsid w:val="00BB7031"/>
    <w:rsid w:val="00BC0F93"/>
    <w:rsid w:val="00BD08BC"/>
    <w:rsid w:val="00BD49CD"/>
    <w:rsid w:val="00BE25FC"/>
    <w:rsid w:val="00C00E55"/>
    <w:rsid w:val="00C11AEF"/>
    <w:rsid w:val="00C11C6B"/>
    <w:rsid w:val="00C11F78"/>
    <w:rsid w:val="00C14EC8"/>
    <w:rsid w:val="00C20343"/>
    <w:rsid w:val="00C22788"/>
    <w:rsid w:val="00C32AFC"/>
    <w:rsid w:val="00C4494B"/>
    <w:rsid w:val="00C6256F"/>
    <w:rsid w:val="00C65431"/>
    <w:rsid w:val="00C70A96"/>
    <w:rsid w:val="00C7330C"/>
    <w:rsid w:val="00C75779"/>
    <w:rsid w:val="00C91C45"/>
    <w:rsid w:val="00C95491"/>
    <w:rsid w:val="00CB2779"/>
    <w:rsid w:val="00CB6D7B"/>
    <w:rsid w:val="00CC33E7"/>
    <w:rsid w:val="00CC59C6"/>
    <w:rsid w:val="00CE2082"/>
    <w:rsid w:val="00CE2DD0"/>
    <w:rsid w:val="00CF5625"/>
    <w:rsid w:val="00D126EF"/>
    <w:rsid w:val="00D12997"/>
    <w:rsid w:val="00D15FB0"/>
    <w:rsid w:val="00D17668"/>
    <w:rsid w:val="00D23070"/>
    <w:rsid w:val="00D35CB3"/>
    <w:rsid w:val="00D364FF"/>
    <w:rsid w:val="00D366DC"/>
    <w:rsid w:val="00D402A2"/>
    <w:rsid w:val="00D42A8A"/>
    <w:rsid w:val="00D45DCF"/>
    <w:rsid w:val="00D47880"/>
    <w:rsid w:val="00D54227"/>
    <w:rsid w:val="00D60D28"/>
    <w:rsid w:val="00D70F0D"/>
    <w:rsid w:val="00D86C64"/>
    <w:rsid w:val="00DB070A"/>
    <w:rsid w:val="00DB3697"/>
    <w:rsid w:val="00DC0ED4"/>
    <w:rsid w:val="00DC604E"/>
    <w:rsid w:val="00DC6EBF"/>
    <w:rsid w:val="00DD737C"/>
    <w:rsid w:val="00DE36F2"/>
    <w:rsid w:val="00DE5BAC"/>
    <w:rsid w:val="00DE7F2C"/>
    <w:rsid w:val="00DF1EAD"/>
    <w:rsid w:val="00DF36D6"/>
    <w:rsid w:val="00DF5CF4"/>
    <w:rsid w:val="00E052AD"/>
    <w:rsid w:val="00E12C43"/>
    <w:rsid w:val="00E133A2"/>
    <w:rsid w:val="00E2189C"/>
    <w:rsid w:val="00E21FBC"/>
    <w:rsid w:val="00E30C6D"/>
    <w:rsid w:val="00E41226"/>
    <w:rsid w:val="00E50141"/>
    <w:rsid w:val="00E52913"/>
    <w:rsid w:val="00E62EB7"/>
    <w:rsid w:val="00E62FFD"/>
    <w:rsid w:val="00E960C0"/>
    <w:rsid w:val="00EA07E5"/>
    <w:rsid w:val="00EA1177"/>
    <w:rsid w:val="00EA533A"/>
    <w:rsid w:val="00EA7942"/>
    <w:rsid w:val="00EB536A"/>
    <w:rsid w:val="00EB5518"/>
    <w:rsid w:val="00EC28F2"/>
    <w:rsid w:val="00ED0A8A"/>
    <w:rsid w:val="00F009D8"/>
    <w:rsid w:val="00F0594E"/>
    <w:rsid w:val="00F22012"/>
    <w:rsid w:val="00F22C43"/>
    <w:rsid w:val="00F31C25"/>
    <w:rsid w:val="00F34601"/>
    <w:rsid w:val="00F35F38"/>
    <w:rsid w:val="00F374C9"/>
    <w:rsid w:val="00F50BF8"/>
    <w:rsid w:val="00F54623"/>
    <w:rsid w:val="00F601C4"/>
    <w:rsid w:val="00F77BE6"/>
    <w:rsid w:val="00F77E9E"/>
    <w:rsid w:val="00F81B4A"/>
    <w:rsid w:val="00F82354"/>
    <w:rsid w:val="00F924FB"/>
    <w:rsid w:val="00F956B5"/>
    <w:rsid w:val="00FA34CB"/>
    <w:rsid w:val="00FA7670"/>
    <w:rsid w:val="00FB1887"/>
    <w:rsid w:val="00FC2D5B"/>
    <w:rsid w:val="00FC605D"/>
    <w:rsid w:val="00FE439A"/>
    <w:rsid w:val="00FE6F88"/>
    <w:rsid w:val="00FE7BE6"/>
    <w:rsid w:val="00FF083C"/>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A06F"/>
  <w15:docId w15:val="{6DA44CFE-BD17-4C31-BE15-1E0432D3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3D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53DB"/>
    <w:pPr>
      <w:spacing w:after="0" w:line="240" w:lineRule="auto"/>
      <w:jc w:val="center"/>
    </w:pPr>
    <w:rPr>
      <w:rFonts w:ascii="Times New Roman" w:eastAsia="Times New Roman" w:hAnsi="Times New Roman"/>
      <w:sz w:val="24"/>
      <w:szCs w:val="24"/>
      <w:lang w:eastAsia="x-none"/>
    </w:rPr>
  </w:style>
  <w:style w:type="character" w:customStyle="1" w:styleId="BodyTextChar">
    <w:name w:val="Body Text Char"/>
    <w:basedOn w:val="DefaultParagraphFont"/>
    <w:link w:val="BodyText"/>
    <w:rsid w:val="000153DB"/>
    <w:rPr>
      <w:rFonts w:ascii="Times New Roman" w:eastAsia="Times New Roman" w:hAnsi="Times New Roman" w:cs="Times New Roman"/>
      <w:sz w:val="24"/>
      <w:szCs w:val="24"/>
      <w:lang w:val="en-GB" w:eastAsia="x-none"/>
    </w:rPr>
  </w:style>
  <w:style w:type="paragraph" w:styleId="BodyTextIndent">
    <w:name w:val="Body Text Indent"/>
    <w:basedOn w:val="Normal"/>
    <w:link w:val="BodyTextIndentChar"/>
    <w:rsid w:val="000153DB"/>
    <w:pPr>
      <w:spacing w:after="0" w:line="240" w:lineRule="auto"/>
      <w:ind w:left="1440"/>
    </w:pPr>
    <w:rPr>
      <w:rFonts w:ascii="Times New Roman" w:eastAsia="Times New Roman" w:hAnsi="Times New Roman"/>
      <w:sz w:val="24"/>
      <w:szCs w:val="24"/>
      <w:lang w:eastAsia="x-none"/>
    </w:rPr>
  </w:style>
  <w:style w:type="character" w:customStyle="1" w:styleId="BodyTextIndentChar">
    <w:name w:val="Body Text Indent Char"/>
    <w:basedOn w:val="DefaultParagraphFont"/>
    <w:link w:val="BodyTextIndent"/>
    <w:rsid w:val="000153DB"/>
    <w:rPr>
      <w:rFonts w:ascii="Times New Roman" w:eastAsia="Times New Roman" w:hAnsi="Times New Roman" w:cs="Times New Roman"/>
      <w:sz w:val="24"/>
      <w:szCs w:val="24"/>
      <w:lang w:val="en-GB" w:eastAsia="x-none"/>
    </w:rPr>
  </w:style>
  <w:style w:type="paragraph" w:styleId="Header">
    <w:name w:val="header"/>
    <w:basedOn w:val="Normal"/>
    <w:link w:val="HeaderChar"/>
    <w:uiPriority w:val="99"/>
    <w:unhideWhenUsed/>
    <w:rsid w:val="0001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3DB"/>
    <w:rPr>
      <w:rFonts w:ascii="Calibri" w:eastAsia="Calibri" w:hAnsi="Calibri" w:cs="Times New Roman"/>
    </w:rPr>
  </w:style>
  <w:style w:type="paragraph" w:styleId="FootnoteText">
    <w:name w:val="footnote text"/>
    <w:basedOn w:val="Normal"/>
    <w:link w:val="FootnoteTextChar"/>
    <w:uiPriority w:val="99"/>
    <w:unhideWhenUsed/>
    <w:rsid w:val="000153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basedOn w:val="DefaultParagraphFont"/>
    <w:link w:val="FootnoteText"/>
    <w:uiPriority w:val="99"/>
    <w:rsid w:val="000153DB"/>
    <w:rPr>
      <w:rFonts w:ascii="Arial" w:eastAsia="Times New Roman" w:hAnsi="Arial" w:cs="Times New Roman"/>
      <w:sz w:val="24"/>
      <w:szCs w:val="24"/>
      <w:lang w:val="x-none" w:eastAsia="x-none"/>
    </w:rPr>
  </w:style>
  <w:style w:type="character" w:styleId="FootnoteReference">
    <w:name w:val="footnote reference"/>
    <w:uiPriority w:val="99"/>
    <w:unhideWhenUsed/>
    <w:rsid w:val="000153DB"/>
    <w:rPr>
      <w:rFonts w:cs="Times New Roman"/>
      <w:vertAlign w:val="superscript"/>
    </w:rPr>
  </w:style>
  <w:style w:type="paragraph" w:styleId="ListParagraph">
    <w:name w:val="List Paragraph"/>
    <w:basedOn w:val="Normal"/>
    <w:uiPriority w:val="34"/>
    <w:qFormat/>
    <w:rsid w:val="000153DB"/>
    <w:pPr>
      <w:widowControl w:val="0"/>
      <w:autoSpaceDE w:val="0"/>
      <w:autoSpaceDN w:val="0"/>
      <w:adjustRightInd w:val="0"/>
      <w:spacing w:after="0" w:line="240" w:lineRule="auto"/>
      <w:ind w:left="720"/>
    </w:pPr>
    <w:rPr>
      <w:rFonts w:ascii="Arial" w:eastAsia="Times New Roman" w:hAnsi="Arial"/>
      <w:sz w:val="24"/>
      <w:szCs w:val="24"/>
    </w:rPr>
  </w:style>
  <w:style w:type="paragraph" w:styleId="NoSpacing">
    <w:name w:val="No Spacing"/>
    <w:uiPriority w:val="1"/>
    <w:qFormat/>
    <w:rsid w:val="000153D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DB"/>
    <w:rPr>
      <w:rFonts w:ascii="Tahoma" w:eastAsia="Calibri" w:hAnsi="Tahoma" w:cs="Tahoma"/>
      <w:sz w:val="16"/>
      <w:szCs w:val="16"/>
    </w:rPr>
  </w:style>
  <w:style w:type="character" w:styleId="CommentReference">
    <w:name w:val="annotation reference"/>
    <w:basedOn w:val="DefaultParagraphFont"/>
    <w:uiPriority w:val="99"/>
    <w:semiHidden/>
    <w:unhideWhenUsed/>
    <w:rsid w:val="000F4C76"/>
    <w:rPr>
      <w:sz w:val="16"/>
      <w:szCs w:val="16"/>
    </w:rPr>
  </w:style>
  <w:style w:type="paragraph" w:styleId="CommentText">
    <w:name w:val="annotation text"/>
    <w:basedOn w:val="Normal"/>
    <w:link w:val="CommentTextChar"/>
    <w:uiPriority w:val="99"/>
    <w:semiHidden/>
    <w:unhideWhenUsed/>
    <w:rsid w:val="000F4C76"/>
    <w:pPr>
      <w:spacing w:line="240" w:lineRule="auto"/>
    </w:pPr>
    <w:rPr>
      <w:sz w:val="20"/>
      <w:szCs w:val="20"/>
    </w:rPr>
  </w:style>
  <w:style w:type="character" w:customStyle="1" w:styleId="CommentTextChar">
    <w:name w:val="Comment Text Char"/>
    <w:basedOn w:val="DefaultParagraphFont"/>
    <w:link w:val="CommentText"/>
    <w:uiPriority w:val="99"/>
    <w:semiHidden/>
    <w:rsid w:val="000F4C7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4C76"/>
    <w:rPr>
      <w:b/>
      <w:bCs/>
    </w:rPr>
  </w:style>
  <w:style w:type="character" w:customStyle="1" w:styleId="CommentSubjectChar">
    <w:name w:val="Comment Subject Char"/>
    <w:basedOn w:val="CommentTextChar"/>
    <w:link w:val="CommentSubject"/>
    <w:uiPriority w:val="99"/>
    <w:semiHidden/>
    <w:rsid w:val="000F4C76"/>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35713">
      <w:bodyDiv w:val="1"/>
      <w:marLeft w:val="0"/>
      <w:marRight w:val="0"/>
      <w:marTop w:val="0"/>
      <w:marBottom w:val="0"/>
      <w:divBdr>
        <w:top w:val="none" w:sz="0" w:space="0" w:color="auto"/>
        <w:left w:val="none" w:sz="0" w:space="0" w:color="auto"/>
        <w:bottom w:val="none" w:sz="0" w:space="0" w:color="auto"/>
        <w:right w:val="none" w:sz="0" w:space="0" w:color="auto"/>
      </w:divBdr>
    </w:div>
    <w:div w:id="1609048242">
      <w:bodyDiv w:val="1"/>
      <w:marLeft w:val="0"/>
      <w:marRight w:val="0"/>
      <w:marTop w:val="0"/>
      <w:marBottom w:val="0"/>
      <w:divBdr>
        <w:top w:val="none" w:sz="0" w:space="0" w:color="auto"/>
        <w:left w:val="none" w:sz="0" w:space="0" w:color="auto"/>
        <w:bottom w:val="none" w:sz="0" w:space="0" w:color="auto"/>
        <w:right w:val="none" w:sz="0" w:space="0" w:color="auto"/>
      </w:divBdr>
    </w:div>
    <w:div w:id="174968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2019-02-03T18:30:00+00:00</Judgment_x0020_Date>
    <Year xmlns="c1afb1bd-f2fb-40fd-9abb-aea55b4d7662">2019</Year>
  </documentManagement>
</p:properties>
</file>

<file path=customXml/itemProps1.xml><?xml version="1.0" encoding="utf-8"?>
<ds:datastoreItem xmlns:ds="http://schemas.openxmlformats.org/officeDocument/2006/customXml" ds:itemID="{1BB5BCA6-F3C9-4B19-9261-A346BD576708}"/>
</file>

<file path=customXml/itemProps2.xml><?xml version="1.0" encoding="utf-8"?>
<ds:datastoreItem xmlns:ds="http://schemas.openxmlformats.org/officeDocument/2006/customXml" ds:itemID="{20656166-92A3-4149-86FF-E835AF5335B3}"/>
</file>

<file path=customXml/itemProps3.xml><?xml version="1.0" encoding="utf-8"?>
<ds:datastoreItem xmlns:ds="http://schemas.openxmlformats.org/officeDocument/2006/customXml" ds:itemID="{176FE7CB-014D-434B-88B0-60A8B78CCE0C}"/>
</file>

<file path=customXml/itemProps4.xml><?xml version="1.0" encoding="utf-8"?>
<ds:datastoreItem xmlns:ds="http://schemas.openxmlformats.org/officeDocument/2006/customXml" ds:itemID="{E83B347D-E7B8-4472-901E-E986AA0B32EC}"/>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nande</dc:creator>
  <cp:keywords/>
  <dc:description/>
  <cp:lastModifiedBy>Lotta N. Ambunda</cp:lastModifiedBy>
  <cp:revision>2</cp:revision>
  <cp:lastPrinted>2019-01-18T13:18:00Z</cp:lastPrinted>
  <dcterms:created xsi:type="dcterms:W3CDTF">2019-02-14T13:36:00Z</dcterms:created>
  <dcterms:modified xsi:type="dcterms:W3CDTF">2019-02-14T13:36:00Z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