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B5" w:rsidRPr="00FF436F" w:rsidRDefault="00D26CB5" w:rsidP="0028231F">
      <w:pPr>
        <w:spacing w:after="0" w:line="360" w:lineRule="auto"/>
        <w:jc w:val="center"/>
        <w:rPr>
          <w:rFonts w:ascii="Arial Narrow" w:hAnsi="Arial Narrow"/>
          <w:sz w:val="24"/>
          <w:szCs w:val="24"/>
        </w:rPr>
      </w:pPr>
      <w:bookmarkStart w:id="0" w:name="_GoBack"/>
      <w:bookmarkEnd w:id="0"/>
      <w:r w:rsidRPr="00FF436F">
        <w:rPr>
          <w:rFonts w:ascii="Arial Narrow" w:hAnsi="Arial Narrow"/>
          <w:sz w:val="24"/>
          <w:szCs w:val="24"/>
        </w:rPr>
        <w:t>Practice Directive 61</w:t>
      </w:r>
    </w:p>
    <w:p w:rsidR="00D26CB5" w:rsidRPr="00FF436F" w:rsidRDefault="00D26CB5" w:rsidP="0028231F">
      <w:pPr>
        <w:spacing w:after="0" w:line="360" w:lineRule="auto"/>
        <w:jc w:val="both"/>
        <w:rPr>
          <w:rFonts w:ascii="Arial Narrow" w:hAnsi="Arial Narrow"/>
          <w:sz w:val="24"/>
          <w:szCs w:val="24"/>
        </w:rPr>
      </w:pPr>
    </w:p>
    <w:p w:rsidR="00D26CB5" w:rsidRPr="00FF436F" w:rsidRDefault="00D26CB5" w:rsidP="0028231F">
      <w:pPr>
        <w:spacing w:after="0" w:line="360" w:lineRule="auto"/>
        <w:jc w:val="center"/>
        <w:rPr>
          <w:rFonts w:ascii="Arial Narrow" w:hAnsi="Arial Narrow"/>
          <w:b/>
          <w:sz w:val="24"/>
          <w:szCs w:val="24"/>
        </w:rPr>
      </w:pPr>
      <w:r w:rsidRPr="00FF436F">
        <w:rPr>
          <w:rFonts w:ascii="Arial Narrow" w:hAnsi="Arial Narrow"/>
          <w:b/>
          <w:sz w:val="24"/>
          <w:szCs w:val="24"/>
        </w:rPr>
        <w:t>IN THE HIGH COURT OF NAMIBIA</w:t>
      </w:r>
    </w:p>
    <w:p w:rsidR="00D26CB5" w:rsidRPr="00FF436F" w:rsidRDefault="00D26CB5" w:rsidP="0028231F">
      <w:pPr>
        <w:spacing w:after="0" w:line="360" w:lineRule="auto"/>
        <w:jc w:val="both"/>
        <w:rPr>
          <w:rFonts w:ascii="Arial Narrow" w:hAnsi="Arial Narrow"/>
          <w:sz w:val="24"/>
          <w:szCs w:val="24"/>
        </w:rPr>
      </w:pPr>
    </w:p>
    <w:tbl>
      <w:tblPr>
        <w:tblStyle w:val="TableGrid"/>
        <w:tblW w:w="9720" w:type="dxa"/>
        <w:tblInd w:w="-275" w:type="dxa"/>
        <w:tblLook w:val="04A0" w:firstRow="1" w:lastRow="0" w:firstColumn="1" w:lastColumn="0" w:noHBand="0" w:noVBand="1"/>
      </w:tblPr>
      <w:tblGrid>
        <w:gridCol w:w="4770"/>
        <w:gridCol w:w="627"/>
        <w:gridCol w:w="4323"/>
      </w:tblGrid>
      <w:tr w:rsidR="00D26CB5" w:rsidRPr="00FF436F" w:rsidTr="0092129C">
        <w:trPr>
          <w:trHeight w:val="744"/>
        </w:trPr>
        <w:tc>
          <w:tcPr>
            <w:tcW w:w="5397" w:type="dxa"/>
            <w:gridSpan w:val="2"/>
            <w:vMerge w:val="restart"/>
          </w:tcPr>
          <w:p w:rsidR="00D26CB5" w:rsidRPr="00FF436F" w:rsidRDefault="00D26CB5" w:rsidP="0028231F">
            <w:pPr>
              <w:spacing w:line="360" w:lineRule="auto"/>
              <w:jc w:val="both"/>
              <w:rPr>
                <w:rFonts w:ascii="Arial Narrow" w:hAnsi="Arial Narrow" w:cs="Arial"/>
                <w:sz w:val="24"/>
                <w:szCs w:val="24"/>
              </w:rPr>
            </w:pPr>
            <w:r w:rsidRPr="00FF436F">
              <w:rPr>
                <w:rFonts w:ascii="Arial Narrow" w:hAnsi="Arial Narrow" w:cs="Arial"/>
                <w:b/>
                <w:sz w:val="24"/>
                <w:szCs w:val="24"/>
              </w:rPr>
              <w:t>Case Title:</w:t>
            </w:r>
          </w:p>
          <w:p w:rsidR="004A779D" w:rsidRPr="00FF436F" w:rsidRDefault="004A779D" w:rsidP="0028231F">
            <w:pPr>
              <w:tabs>
                <w:tab w:val="left" w:pos="6750"/>
              </w:tabs>
              <w:spacing w:line="360" w:lineRule="auto"/>
              <w:jc w:val="both"/>
              <w:rPr>
                <w:rFonts w:ascii="Arial Narrow" w:eastAsia="Times New Roman" w:hAnsi="Arial Narrow" w:cs="Arial"/>
                <w:sz w:val="24"/>
                <w:szCs w:val="24"/>
                <w:lang w:val="en-GB"/>
              </w:rPr>
            </w:pPr>
            <w:r w:rsidRPr="00FF436F">
              <w:rPr>
                <w:rFonts w:ascii="Arial Narrow" w:eastAsia="Times New Roman" w:hAnsi="Arial Narrow" w:cs="Arial"/>
                <w:sz w:val="24"/>
                <w:szCs w:val="24"/>
                <w:lang w:val="en-GB"/>
              </w:rPr>
              <w:t>ISSASKAR KAUNE</w:t>
            </w:r>
            <w:r w:rsidR="00C81998" w:rsidRPr="00FF436F">
              <w:rPr>
                <w:rFonts w:ascii="Arial Narrow" w:eastAsia="Times New Roman" w:hAnsi="Arial Narrow" w:cs="Arial"/>
                <w:sz w:val="24"/>
                <w:szCs w:val="24"/>
                <w:lang w:val="en-GB"/>
              </w:rPr>
              <w:t xml:space="preserve"> </w:t>
            </w:r>
            <w:r w:rsidRPr="00FF436F">
              <w:rPr>
                <w:rFonts w:ascii="Arial Narrow" w:eastAsia="Times New Roman" w:hAnsi="Arial Narrow" w:cs="Arial"/>
                <w:sz w:val="24"/>
                <w:szCs w:val="24"/>
                <w:lang w:val="en-GB"/>
              </w:rPr>
              <w:t>V</w:t>
            </w:r>
            <w:r w:rsidR="00C81998" w:rsidRPr="00FF436F">
              <w:rPr>
                <w:rFonts w:ascii="Arial Narrow" w:eastAsia="Times New Roman" w:hAnsi="Arial Narrow" w:cs="Arial"/>
                <w:sz w:val="24"/>
                <w:szCs w:val="24"/>
                <w:lang w:val="en-GB"/>
              </w:rPr>
              <w:t xml:space="preserve"> </w:t>
            </w:r>
            <w:r w:rsidRPr="00FF436F">
              <w:rPr>
                <w:rFonts w:ascii="Arial Narrow" w:eastAsia="Times New Roman" w:hAnsi="Arial Narrow" w:cs="Arial"/>
                <w:sz w:val="24"/>
                <w:szCs w:val="24"/>
                <w:lang w:val="en-GB"/>
              </w:rPr>
              <w:t>NDJOURA HOPHNY TJOZONGORO</w:t>
            </w:r>
          </w:p>
          <w:p w:rsidR="00D26CB5" w:rsidRPr="00FF436F" w:rsidRDefault="00D26CB5" w:rsidP="0028231F">
            <w:pPr>
              <w:spacing w:line="360" w:lineRule="auto"/>
              <w:jc w:val="both"/>
              <w:rPr>
                <w:rFonts w:ascii="Arial Narrow" w:hAnsi="Arial Narrow" w:cs="Arial"/>
                <w:sz w:val="24"/>
                <w:szCs w:val="24"/>
              </w:rPr>
            </w:pPr>
          </w:p>
        </w:tc>
        <w:tc>
          <w:tcPr>
            <w:tcW w:w="4323" w:type="dxa"/>
          </w:tcPr>
          <w:p w:rsidR="00D26CB5" w:rsidRPr="00FF436F" w:rsidRDefault="00D26CB5" w:rsidP="0028231F">
            <w:pPr>
              <w:spacing w:line="360" w:lineRule="auto"/>
              <w:jc w:val="both"/>
              <w:rPr>
                <w:rFonts w:ascii="Arial Narrow" w:hAnsi="Arial Narrow" w:cs="Arial"/>
                <w:sz w:val="24"/>
                <w:szCs w:val="24"/>
              </w:rPr>
            </w:pPr>
            <w:r w:rsidRPr="00FF436F">
              <w:rPr>
                <w:rFonts w:ascii="Arial Narrow" w:hAnsi="Arial Narrow" w:cs="Arial"/>
                <w:b/>
                <w:sz w:val="24"/>
                <w:szCs w:val="24"/>
              </w:rPr>
              <w:t>Case No:</w:t>
            </w:r>
          </w:p>
          <w:p w:rsidR="00D26CB5" w:rsidRPr="00FF436F" w:rsidRDefault="00696267" w:rsidP="0028231F">
            <w:pPr>
              <w:spacing w:line="360" w:lineRule="auto"/>
              <w:jc w:val="both"/>
              <w:rPr>
                <w:rFonts w:ascii="Arial Narrow" w:hAnsi="Arial Narrow" w:cs="Arial"/>
                <w:b/>
                <w:sz w:val="24"/>
                <w:szCs w:val="24"/>
              </w:rPr>
            </w:pPr>
            <w:r w:rsidRPr="00FF436F">
              <w:rPr>
                <w:rFonts w:ascii="Arial Narrow" w:hAnsi="Arial Narrow" w:cs="Arial"/>
                <w:color w:val="333333"/>
                <w:sz w:val="24"/>
                <w:szCs w:val="24"/>
                <w:shd w:val="clear" w:color="auto" w:fill="FFFFFF"/>
              </w:rPr>
              <w:t>HC-MD-CIV-ACT-CON-2018/0</w:t>
            </w:r>
            <w:r w:rsidR="004A779D" w:rsidRPr="00FF436F">
              <w:rPr>
                <w:rFonts w:ascii="Arial Narrow" w:hAnsi="Arial Narrow" w:cs="Arial"/>
                <w:color w:val="333333"/>
                <w:sz w:val="24"/>
                <w:szCs w:val="24"/>
                <w:shd w:val="clear" w:color="auto" w:fill="FFFFFF"/>
              </w:rPr>
              <w:t>1674</w:t>
            </w:r>
          </w:p>
        </w:tc>
      </w:tr>
      <w:tr w:rsidR="00D26CB5" w:rsidRPr="00FF436F" w:rsidTr="0092129C">
        <w:trPr>
          <w:trHeight w:val="844"/>
        </w:trPr>
        <w:tc>
          <w:tcPr>
            <w:tcW w:w="5397" w:type="dxa"/>
            <w:gridSpan w:val="2"/>
            <w:vMerge/>
          </w:tcPr>
          <w:p w:rsidR="00D26CB5" w:rsidRPr="00FF436F" w:rsidRDefault="00D26CB5" w:rsidP="0028231F">
            <w:pPr>
              <w:spacing w:line="360" w:lineRule="auto"/>
              <w:jc w:val="both"/>
              <w:rPr>
                <w:rFonts w:ascii="Arial Narrow" w:hAnsi="Arial Narrow" w:cs="Arial"/>
                <w:sz w:val="24"/>
                <w:szCs w:val="24"/>
              </w:rPr>
            </w:pPr>
          </w:p>
        </w:tc>
        <w:tc>
          <w:tcPr>
            <w:tcW w:w="4323" w:type="dxa"/>
          </w:tcPr>
          <w:p w:rsidR="00D26CB5" w:rsidRPr="00FF436F" w:rsidRDefault="00D26CB5" w:rsidP="0028231F">
            <w:pPr>
              <w:spacing w:line="360" w:lineRule="auto"/>
              <w:jc w:val="both"/>
              <w:rPr>
                <w:rFonts w:ascii="Arial Narrow" w:hAnsi="Arial Narrow" w:cs="Arial"/>
                <w:sz w:val="24"/>
                <w:szCs w:val="24"/>
              </w:rPr>
            </w:pPr>
            <w:r w:rsidRPr="00FF436F">
              <w:rPr>
                <w:rFonts w:ascii="Arial Narrow" w:hAnsi="Arial Narrow" w:cs="Arial"/>
                <w:b/>
                <w:sz w:val="24"/>
                <w:szCs w:val="24"/>
              </w:rPr>
              <w:t>Division of Court:</w:t>
            </w:r>
          </w:p>
          <w:p w:rsidR="00D26CB5" w:rsidRPr="00FF436F" w:rsidRDefault="005A43DF" w:rsidP="0028231F">
            <w:pPr>
              <w:spacing w:line="360" w:lineRule="auto"/>
              <w:jc w:val="both"/>
              <w:rPr>
                <w:rFonts w:ascii="Arial Narrow" w:hAnsi="Arial Narrow" w:cs="Arial"/>
                <w:sz w:val="24"/>
                <w:szCs w:val="24"/>
              </w:rPr>
            </w:pPr>
            <w:r w:rsidRPr="00FF436F">
              <w:rPr>
                <w:rFonts w:ascii="Arial Narrow" w:hAnsi="Arial Narrow" w:cs="Arial"/>
                <w:sz w:val="24"/>
                <w:szCs w:val="24"/>
              </w:rPr>
              <w:t>HIGH COURT</w:t>
            </w:r>
            <w:r w:rsidR="00D26CB5" w:rsidRPr="00FF436F">
              <w:rPr>
                <w:rFonts w:ascii="Arial Narrow" w:hAnsi="Arial Narrow" w:cs="Arial"/>
                <w:sz w:val="24"/>
                <w:szCs w:val="24"/>
              </w:rPr>
              <w:t>(MAIN DIVISION)</w:t>
            </w:r>
          </w:p>
        </w:tc>
      </w:tr>
      <w:tr w:rsidR="00D26CB5" w:rsidRPr="00FF436F" w:rsidTr="0092129C">
        <w:trPr>
          <w:trHeight w:val="645"/>
        </w:trPr>
        <w:tc>
          <w:tcPr>
            <w:tcW w:w="5397" w:type="dxa"/>
            <w:gridSpan w:val="2"/>
            <w:vMerge w:val="restart"/>
          </w:tcPr>
          <w:p w:rsidR="00D26CB5" w:rsidRPr="00FF436F" w:rsidRDefault="00D26CB5" w:rsidP="0028231F">
            <w:pPr>
              <w:spacing w:line="360" w:lineRule="auto"/>
              <w:jc w:val="both"/>
              <w:rPr>
                <w:rFonts w:ascii="Arial Narrow" w:hAnsi="Arial Narrow" w:cs="Arial"/>
                <w:b/>
                <w:sz w:val="24"/>
                <w:szCs w:val="24"/>
              </w:rPr>
            </w:pPr>
            <w:r w:rsidRPr="00FF436F">
              <w:rPr>
                <w:rFonts w:ascii="Arial Narrow" w:hAnsi="Arial Narrow" w:cs="Arial"/>
                <w:b/>
                <w:sz w:val="24"/>
                <w:szCs w:val="24"/>
              </w:rPr>
              <w:t>Heard before:</w:t>
            </w:r>
          </w:p>
          <w:p w:rsidR="00D26CB5" w:rsidRPr="00FF436F" w:rsidRDefault="005A43DF" w:rsidP="0028231F">
            <w:pPr>
              <w:spacing w:line="360" w:lineRule="auto"/>
              <w:jc w:val="both"/>
              <w:rPr>
                <w:rFonts w:ascii="Arial Narrow" w:hAnsi="Arial Narrow" w:cs="Arial"/>
                <w:sz w:val="24"/>
                <w:szCs w:val="24"/>
              </w:rPr>
            </w:pPr>
            <w:r w:rsidRPr="00FF436F">
              <w:rPr>
                <w:rFonts w:ascii="Arial Narrow" w:hAnsi="Arial Narrow" w:cs="Arial"/>
                <w:sz w:val="24"/>
                <w:szCs w:val="24"/>
              </w:rPr>
              <w:t>HONOURABLE LADY JUSTICE PRINSLOO, JUDGE</w:t>
            </w:r>
          </w:p>
        </w:tc>
        <w:tc>
          <w:tcPr>
            <w:tcW w:w="4323" w:type="dxa"/>
          </w:tcPr>
          <w:p w:rsidR="00D26CB5" w:rsidRPr="00FF436F" w:rsidRDefault="00D26CB5" w:rsidP="0028231F">
            <w:pPr>
              <w:spacing w:line="360" w:lineRule="auto"/>
              <w:jc w:val="both"/>
              <w:rPr>
                <w:rFonts w:ascii="Arial Narrow" w:hAnsi="Arial Narrow" w:cs="Arial"/>
                <w:b/>
                <w:sz w:val="24"/>
                <w:szCs w:val="24"/>
              </w:rPr>
            </w:pPr>
            <w:r w:rsidRPr="00FF436F">
              <w:rPr>
                <w:rFonts w:ascii="Arial Narrow" w:hAnsi="Arial Narrow" w:cs="Arial"/>
                <w:b/>
                <w:sz w:val="24"/>
                <w:szCs w:val="24"/>
              </w:rPr>
              <w:t>Date of hearing:</w:t>
            </w:r>
          </w:p>
          <w:p w:rsidR="00D26CB5" w:rsidRPr="00FF436F" w:rsidRDefault="00C81998" w:rsidP="0028231F">
            <w:pPr>
              <w:spacing w:line="360" w:lineRule="auto"/>
              <w:rPr>
                <w:rFonts w:ascii="Arial Narrow" w:hAnsi="Arial Narrow" w:cs="Arial"/>
                <w:sz w:val="24"/>
                <w:szCs w:val="24"/>
              </w:rPr>
            </w:pPr>
            <w:r w:rsidRPr="00FF436F">
              <w:rPr>
                <w:rFonts w:ascii="Arial Narrow" w:hAnsi="Arial Narrow" w:cs="Arial"/>
                <w:sz w:val="24"/>
                <w:szCs w:val="24"/>
              </w:rPr>
              <w:t>26 JULY</w:t>
            </w:r>
            <w:r w:rsidR="00696267" w:rsidRPr="00FF436F">
              <w:rPr>
                <w:rFonts w:ascii="Arial Narrow" w:hAnsi="Arial Narrow" w:cs="Arial"/>
                <w:sz w:val="24"/>
                <w:szCs w:val="24"/>
              </w:rPr>
              <w:t xml:space="preserve"> </w:t>
            </w:r>
            <w:r w:rsidR="000501B3" w:rsidRPr="00FF436F">
              <w:rPr>
                <w:rFonts w:ascii="Arial Narrow" w:hAnsi="Arial Narrow" w:cs="Arial"/>
                <w:sz w:val="24"/>
                <w:szCs w:val="24"/>
              </w:rPr>
              <w:t>2019</w:t>
            </w:r>
          </w:p>
        </w:tc>
      </w:tr>
      <w:tr w:rsidR="00D26CB5" w:rsidRPr="00FF436F" w:rsidTr="0092129C">
        <w:trPr>
          <w:trHeight w:val="588"/>
        </w:trPr>
        <w:tc>
          <w:tcPr>
            <w:tcW w:w="5397" w:type="dxa"/>
            <w:gridSpan w:val="2"/>
            <w:vMerge/>
          </w:tcPr>
          <w:p w:rsidR="00D26CB5" w:rsidRPr="00FF436F" w:rsidRDefault="00D26CB5" w:rsidP="0028231F">
            <w:pPr>
              <w:spacing w:line="360" w:lineRule="auto"/>
              <w:jc w:val="both"/>
              <w:rPr>
                <w:rFonts w:ascii="Arial Narrow" w:hAnsi="Arial Narrow" w:cs="Arial"/>
                <w:b/>
                <w:sz w:val="24"/>
                <w:szCs w:val="24"/>
              </w:rPr>
            </w:pPr>
          </w:p>
        </w:tc>
        <w:tc>
          <w:tcPr>
            <w:tcW w:w="4323" w:type="dxa"/>
          </w:tcPr>
          <w:p w:rsidR="00D26CB5" w:rsidRPr="00FF436F" w:rsidRDefault="0042554E" w:rsidP="0028231F">
            <w:pPr>
              <w:spacing w:line="360" w:lineRule="auto"/>
              <w:jc w:val="both"/>
              <w:rPr>
                <w:rFonts w:ascii="Arial Narrow" w:hAnsi="Arial Narrow" w:cs="Arial"/>
                <w:b/>
                <w:sz w:val="24"/>
                <w:szCs w:val="24"/>
              </w:rPr>
            </w:pPr>
            <w:r w:rsidRPr="00FF436F">
              <w:rPr>
                <w:rFonts w:ascii="Arial Narrow" w:hAnsi="Arial Narrow" w:cs="Arial"/>
                <w:b/>
                <w:sz w:val="24"/>
                <w:szCs w:val="24"/>
              </w:rPr>
              <w:t>Date of order</w:t>
            </w:r>
            <w:r w:rsidR="00D26CB5" w:rsidRPr="00FF436F">
              <w:rPr>
                <w:rFonts w:ascii="Arial Narrow" w:hAnsi="Arial Narrow" w:cs="Arial"/>
                <w:b/>
                <w:sz w:val="24"/>
                <w:szCs w:val="24"/>
              </w:rPr>
              <w:t>:</w:t>
            </w:r>
          </w:p>
          <w:p w:rsidR="00C81998" w:rsidRPr="00FF436F" w:rsidRDefault="00C81998" w:rsidP="0028231F">
            <w:pPr>
              <w:spacing w:line="360" w:lineRule="auto"/>
              <w:jc w:val="both"/>
              <w:rPr>
                <w:rFonts w:ascii="Arial Narrow" w:hAnsi="Arial Narrow" w:cs="Arial"/>
                <w:sz w:val="24"/>
                <w:szCs w:val="24"/>
              </w:rPr>
            </w:pPr>
            <w:r w:rsidRPr="00FF436F">
              <w:rPr>
                <w:rFonts w:ascii="Arial Narrow" w:hAnsi="Arial Narrow" w:cs="Arial"/>
                <w:sz w:val="24"/>
                <w:szCs w:val="24"/>
              </w:rPr>
              <w:t>26 JULY 2019</w:t>
            </w:r>
          </w:p>
          <w:p w:rsidR="00890FD4" w:rsidRPr="00FF436F" w:rsidRDefault="00890FD4" w:rsidP="0028231F">
            <w:pPr>
              <w:spacing w:line="360" w:lineRule="auto"/>
              <w:jc w:val="both"/>
              <w:rPr>
                <w:rFonts w:ascii="Arial Narrow" w:hAnsi="Arial Narrow" w:cs="Arial"/>
                <w:b/>
                <w:sz w:val="24"/>
                <w:szCs w:val="24"/>
              </w:rPr>
            </w:pPr>
            <w:r w:rsidRPr="00FF436F">
              <w:rPr>
                <w:rFonts w:ascii="Arial Narrow" w:hAnsi="Arial Narrow" w:cs="Arial"/>
                <w:b/>
                <w:sz w:val="24"/>
                <w:szCs w:val="24"/>
              </w:rPr>
              <w:t>Reasons delivered on:</w:t>
            </w:r>
          </w:p>
          <w:p w:rsidR="00890FD4" w:rsidRPr="00FF436F" w:rsidRDefault="00C81998" w:rsidP="0028231F">
            <w:pPr>
              <w:spacing w:line="360" w:lineRule="auto"/>
              <w:jc w:val="both"/>
              <w:rPr>
                <w:rFonts w:ascii="Arial Narrow" w:hAnsi="Arial Narrow" w:cs="Arial"/>
                <w:sz w:val="24"/>
                <w:szCs w:val="24"/>
              </w:rPr>
            </w:pPr>
            <w:r w:rsidRPr="00FF436F">
              <w:rPr>
                <w:rFonts w:ascii="Arial Narrow" w:hAnsi="Arial Narrow" w:cs="Arial"/>
                <w:sz w:val="24"/>
                <w:szCs w:val="24"/>
              </w:rPr>
              <w:t>26 JULY 2019</w:t>
            </w:r>
          </w:p>
        </w:tc>
      </w:tr>
      <w:tr w:rsidR="00D26CB5" w:rsidRPr="00FF436F" w:rsidTr="00C81998">
        <w:trPr>
          <w:trHeight w:val="422"/>
        </w:trPr>
        <w:tc>
          <w:tcPr>
            <w:tcW w:w="9720" w:type="dxa"/>
            <w:gridSpan w:val="3"/>
          </w:tcPr>
          <w:p w:rsidR="00D26CB5" w:rsidRPr="00FF436F" w:rsidRDefault="00D26CB5" w:rsidP="00273840">
            <w:pPr>
              <w:pStyle w:val="form-control-static"/>
              <w:shd w:val="clear" w:color="auto" w:fill="FFFFFF"/>
              <w:spacing w:before="0" w:beforeAutospacing="0" w:after="0" w:afterAutospacing="0" w:line="360" w:lineRule="auto"/>
              <w:rPr>
                <w:rFonts w:ascii="Arial Narrow" w:hAnsi="Arial Narrow" w:cs="Arial"/>
                <w:color w:val="333333"/>
              </w:rPr>
            </w:pPr>
            <w:r w:rsidRPr="00FF436F">
              <w:rPr>
                <w:rFonts w:ascii="Arial Narrow" w:hAnsi="Arial Narrow" w:cs="Arial"/>
                <w:b/>
              </w:rPr>
              <w:t xml:space="preserve">Neutral </w:t>
            </w:r>
            <w:r w:rsidR="00C81998" w:rsidRPr="00FF436F">
              <w:rPr>
                <w:rFonts w:ascii="Arial Narrow" w:hAnsi="Arial Narrow" w:cs="Arial"/>
                <w:b/>
              </w:rPr>
              <w:t>citation:</w:t>
            </w:r>
            <w:r w:rsidR="00C81998" w:rsidRPr="00FF436F">
              <w:rPr>
                <w:rFonts w:ascii="Arial Narrow" w:hAnsi="Arial Narrow" w:cs="Arial"/>
              </w:rPr>
              <w:t xml:space="preserve"> </w:t>
            </w:r>
            <w:r w:rsidR="00C81998" w:rsidRPr="006901D1">
              <w:rPr>
                <w:rFonts w:ascii="Arial Narrow" w:hAnsi="Arial Narrow" w:cs="Arial"/>
                <w:i/>
              </w:rPr>
              <w:t>Kaune v Tjozongoro</w:t>
            </w:r>
            <w:r w:rsidR="00C81998" w:rsidRPr="00FF436F">
              <w:rPr>
                <w:rFonts w:ascii="Arial Narrow" w:hAnsi="Arial Narrow" w:cs="Arial"/>
              </w:rPr>
              <w:t xml:space="preserve"> (</w:t>
            </w:r>
            <w:r w:rsidR="00C81998" w:rsidRPr="00FF436F">
              <w:rPr>
                <w:rFonts w:ascii="Arial Narrow" w:hAnsi="Arial Narrow" w:cs="Arial"/>
                <w:color w:val="333333"/>
                <w:shd w:val="clear" w:color="auto" w:fill="FFFFFF"/>
              </w:rPr>
              <w:t xml:space="preserve">HC-MD-CIV-ACT-CON-2018/01674) [2019]  NAHCMD </w:t>
            </w:r>
            <w:r w:rsidR="006376E7">
              <w:rPr>
                <w:rFonts w:ascii="Arial Narrow" w:hAnsi="Arial Narrow" w:cs="Arial"/>
                <w:shd w:val="clear" w:color="auto" w:fill="FFFFFF"/>
              </w:rPr>
              <w:t>257</w:t>
            </w:r>
            <w:r w:rsidR="00C81998" w:rsidRPr="00FF436F">
              <w:rPr>
                <w:rFonts w:ascii="Arial Narrow" w:hAnsi="Arial Narrow" w:cs="Arial"/>
                <w:color w:val="FF0000"/>
                <w:shd w:val="clear" w:color="auto" w:fill="FFFFFF"/>
              </w:rPr>
              <w:t xml:space="preserve"> </w:t>
            </w:r>
            <w:r w:rsidR="00C81998" w:rsidRPr="00FF436F">
              <w:rPr>
                <w:rFonts w:ascii="Arial Narrow" w:hAnsi="Arial Narrow" w:cs="Arial"/>
                <w:shd w:val="clear" w:color="auto" w:fill="FFFFFF"/>
              </w:rPr>
              <w:t>(26 July 2019)</w:t>
            </w:r>
            <w:r w:rsidR="00C81998" w:rsidRPr="00FF436F">
              <w:rPr>
                <w:rFonts w:ascii="Arial Narrow" w:hAnsi="Arial Narrow" w:cs="Arial"/>
                <w:color w:val="333333"/>
                <w:shd w:val="clear" w:color="auto" w:fill="FFFFFF"/>
              </w:rPr>
              <w:t xml:space="preserve"> </w:t>
            </w:r>
          </w:p>
        </w:tc>
      </w:tr>
      <w:tr w:rsidR="00D26CB5" w:rsidRPr="00FF436F" w:rsidTr="0092129C">
        <w:tc>
          <w:tcPr>
            <w:tcW w:w="9720" w:type="dxa"/>
            <w:gridSpan w:val="3"/>
          </w:tcPr>
          <w:p w:rsidR="00D26CB5" w:rsidRPr="00FF436F" w:rsidRDefault="00D26CB5" w:rsidP="0028231F">
            <w:pPr>
              <w:pStyle w:val="form-control-static"/>
              <w:shd w:val="clear" w:color="auto" w:fill="FFFFFF"/>
              <w:spacing w:before="0" w:beforeAutospacing="0" w:after="0" w:afterAutospacing="0" w:line="360" w:lineRule="auto"/>
              <w:rPr>
                <w:rFonts w:ascii="Arial Narrow" w:hAnsi="Arial Narrow" w:cs="Arial"/>
                <w:b/>
              </w:rPr>
            </w:pPr>
            <w:r w:rsidRPr="00FF436F">
              <w:rPr>
                <w:rFonts w:ascii="Arial Narrow" w:hAnsi="Arial Narrow" w:cs="Arial"/>
                <w:b/>
              </w:rPr>
              <w:t>Results on merits:</w:t>
            </w:r>
          </w:p>
          <w:p w:rsidR="00D26CB5" w:rsidRPr="00FF436F" w:rsidRDefault="00C81998" w:rsidP="0028231F">
            <w:pPr>
              <w:pStyle w:val="form-control-static"/>
              <w:shd w:val="clear" w:color="auto" w:fill="FFFFFF"/>
              <w:spacing w:before="0" w:beforeAutospacing="0" w:after="0" w:afterAutospacing="0" w:line="360" w:lineRule="auto"/>
              <w:rPr>
                <w:rFonts w:ascii="Arial Narrow" w:hAnsi="Arial Narrow" w:cs="Arial"/>
              </w:rPr>
            </w:pPr>
            <w:r w:rsidRPr="00FF436F">
              <w:rPr>
                <w:rFonts w:ascii="Arial Narrow" w:hAnsi="Arial Narrow" w:cs="Arial"/>
              </w:rPr>
              <w:t>Application for costs in terms of Rule</w:t>
            </w:r>
            <w:r w:rsidR="00E87F04" w:rsidRPr="00FF436F">
              <w:rPr>
                <w:rFonts w:ascii="Arial Narrow" w:hAnsi="Arial Narrow" w:cs="Arial"/>
              </w:rPr>
              <w:t xml:space="preserve"> 97 (3)</w:t>
            </w:r>
            <w:r w:rsidRPr="00FF436F">
              <w:rPr>
                <w:rFonts w:ascii="Arial Narrow" w:hAnsi="Arial Narrow" w:cs="Arial"/>
              </w:rPr>
              <w:t>.</w:t>
            </w:r>
            <w:r w:rsidR="00E87F04" w:rsidRPr="00FF436F">
              <w:rPr>
                <w:rFonts w:ascii="Arial Narrow" w:hAnsi="Arial Narrow" w:cs="Arial"/>
              </w:rPr>
              <w:t xml:space="preserve"> </w:t>
            </w:r>
            <w:r w:rsidR="00696267" w:rsidRPr="00FF436F">
              <w:rPr>
                <w:rFonts w:ascii="Arial Narrow" w:hAnsi="Arial Narrow" w:cs="Arial"/>
              </w:rPr>
              <w:t>Merits not considered</w:t>
            </w:r>
            <w:r w:rsidR="00D26CB5" w:rsidRPr="00FF436F">
              <w:rPr>
                <w:rFonts w:ascii="Arial Narrow" w:hAnsi="Arial Narrow" w:cs="Arial"/>
              </w:rPr>
              <w:t>.</w:t>
            </w:r>
          </w:p>
        </w:tc>
      </w:tr>
      <w:tr w:rsidR="00D26CB5" w:rsidRPr="00FF436F" w:rsidTr="0092129C">
        <w:tc>
          <w:tcPr>
            <w:tcW w:w="9720" w:type="dxa"/>
            <w:gridSpan w:val="3"/>
          </w:tcPr>
          <w:p w:rsidR="00D26CB5" w:rsidRPr="00FF436F" w:rsidRDefault="00D26CB5" w:rsidP="0028231F">
            <w:pPr>
              <w:spacing w:line="360" w:lineRule="auto"/>
              <w:jc w:val="both"/>
              <w:rPr>
                <w:rFonts w:ascii="Arial Narrow" w:hAnsi="Arial Narrow" w:cs="Arial"/>
                <w:b/>
                <w:sz w:val="24"/>
                <w:szCs w:val="24"/>
              </w:rPr>
            </w:pPr>
            <w:r w:rsidRPr="00FF436F">
              <w:rPr>
                <w:rFonts w:ascii="Arial Narrow" w:hAnsi="Arial Narrow" w:cs="Arial"/>
                <w:b/>
                <w:sz w:val="24"/>
                <w:szCs w:val="24"/>
              </w:rPr>
              <w:t>The order:</w:t>
            </w:r>
          </w:p>
          <w:p w:rsidR="004A779D" w:rsidRPr="00FF436F" w:rsidRDefault="00536B8D" w:rsidP="0028231F">
            <w:pPr>
              <w:spacing w:line="360" w:lineRule="auto"/>
              <w:jc w:val="both"/>
              <w:rPr>
                <w:rFonts w:ascii="Arial Narrow" w:hAnsi="Arial Narrow" w:cs="Arial"/>
                <w:sz w:val="24"/>
                <w:szCs w:val="24"/>
              </w:rPr>
            </w:pPr>
            <w:r w:rsidRPr="00FF436F">
              <w:rPr>
                <w:rFonts w:ascii="Arial Narrow" w:hAnsi="Arial Narrow" w:cs="Arial"/>
                <w:sz w:val="24"/>
                <w:szCs w:val="24"/>
              </w:rPr>
              <w:t xml:space="preserve">Having heard </w:t>
            </w:r>
            <w:r w:rsidR="00E96532" w:rsidRPr="006901D1">
              <w:rPr>
                <w:rFonts w:ascii="Arial Narrow" w:hAnsi="Arial Narrow" w:cs="Arial"/>
                <w:b/>
                <w:sz w:val="24"/>
                <w:szCs w:val="24"/>
              </w:rPr>
              <w:t>KATUNA KAMUHANGA</w:t>
            </w:r>
            <w:r w:rsidRPr="00FF436F">
              <w:rPr>
                <w:rFonts w:ascii="Arial Narrow" w:hAnsi="Arial Narrow" w:cs="Arial"/>
                <w:sz w:val="24"/>
                <w:szCs w:val="24"/>
              </w:rPr>
              <w:t xml:space="preserve">, for the Plaintiff and </w:t>
            </w:r>
            <w:r w:rsidR="00E96532" w:rsidRPr="006901D1">
              <w:rPr>
                <w:rFonts w:ascii="Arial Narrow" w:hAnsi="Arial Narrow" w:cs="Arial"/>
                <w:b/>
                <w:sz w:val="24"/>
                <w:szCs w:val="24"/>
              </w:rPr>
              <w:t>JAPIE JACOBS</w:t>
            </w:r>
            <w:r w:rsidR="00E96532">
              <w:rPr>
                <w:rFonts w:ascii="Arial Narrow" w:hAnsi="Arial Narrow" w:cs="Arial"/>
                <w:sz w:val="24"/>
                <w:szCs w:val="24"/>
              </w:rPr>
              <w:t>,</w:t>
            </w:r>
            <w:r w:rsidR="00A51068" w:rsidRPr="00FF436F">
              <w:rPr>
                <w:rFonts w:ascii="Arial Narrow" w:hAnsi="Arial Narrow" w:cs="Arial"/>
                <w:sz w:val="24"/>
                <w:szCs w:val="24"/>
              </w:rPr>
              <w:t xml:space="preserve"> for the Defendant </w:t>
            </w:r>
            <w:r w:rsidRPr="00FF436F">
              <w:rPr>
                <w:rFonts w:ascii="Arial Narrow" w:hAnsi="Arial Narrow" w:cs="Arial"/>
                <w:sz w:val="24"/>
                <w:szCs w:val="24"/>
              </w:rPr>
              <w:t>and having read the documentation filed of record:</w:t>
            </w:r>
          </w:p>
          <w:p w:rsidR="00C81998" w:rsidRPr="00FF436F" w:rsidRDefault="00C81998" w:rsidP="0028231F">
            <w:pPr>
              <w:spacing w:line="360" w:lineRule="auto"/>
              <w:jc w:val="both"/>
              <w:rPr>
                <w:rFonts w:ascii="Arial Narrow" w:hAnsi="Arial Narrow" w:cs="Arial"/>
                <w:b/>
                <w:sz w:val="24"/>
                <w:szCs w:val="24"/>
              </w:rPr>
            </w:pPr>
          </w:p>
          <w:p w:rsidR="00D26CB5" w:rsidRPr="00FF436F" w:rsidRDefault="00D26CB5" w:rsidP="0028231F">
            <w:pPr>
              <w:spacing w:line="360" w:lineRule="auto"/>
              <w:jc w:val="both"/>
              <w:rPr>
                <w:rFonts w:ascii="Arial Narrow" w:hAnsi="Arial Narrow" w:cs="Arial"/>
                <w:b/>
                <w:sz w:val="24"/>
                <w:szCs w:val="24"/>
              </w:rPr>
            </w:pPr>
            <w:r w:rsidRPr="00FF436F">
              <w:rPr>
                <w:rFonts w:ascii="Arial Narrow" w:hAnsi="Arial Narrow" w:cs="Arial"/>
                <w:b/>
                <w:sz w:val="24"/>
                <w:szCs w:val="24"/>
              </w:rPr>
              <w:t xml:space="preserve">IT IS </w:t>
            </w:r>
            <w:r w:rsidR="005A43DF" w:rsidRPr="00FF436F">
              <w:rPr>
                <w:rFonts w:ascii="Arial Narrow" w:hAnsi="Arial Narrow" w:cs="Arial"/>
                <w:b/>
                <w:sz w:val="24"/>
                <w:szCs w:val="24"/>
              </w:rPr>
              <w:t xml:space="preserve">HEREBY </w:t>
            </w:r>
            <w:r w:rsidRPr="00FF436F">
              <w:rPr>
                <w:rFonts w:ascii="Arial Narrow" w:hAnsi="Arial Narrow" w:cs="Arial"/>
                <w:b/>
                <w:sz w:val="24"/>
                <w:szCs w:val="24"/>
              </w:rPr>
              <w:t>ORDERED THAT:</w:t>
            </w:r>
          </w:p>
          <w:p w:rsidR="00A51068" w:rsidRPr="00FF436F" w:rsidRDefault="00A51068" w:rsidP="0028231F">
            <w:pPr>
              <w:pStyle w:val="ListParagraph"/>
              <w:numPr>
                <w:ilvl w:val="0"/>
                <w:numId w:val="11"/>
              </w:numPr>
              <w:spacing w:line="360" w:lineRule="auto"/>
              <w:jc w:val="both"/>
              <w:rPr>
                <w:rFonts w:ascii="Arial Narrow" w:hAnsi="Arial Narrow"/>
                <w:bCs/>
                <w:sz w:val="24"/>
                <w:szCs w:val="24"/>
              </w:rPr>
            </w:pPr>
            <w:r w:rsidRPr="00FF436F">
              <w:rPr>
                <w:rFonts w:ascii="Arial Narrow" w:eastAsia="Times New Roman" w:hAnsi="Arial Narrow" w:cs="Arial"/>
                <w:sz w:val="24"/>
                <w:szCs w:val="24"/>
              </w:rPr>
              <w:t xml:space="preserve">The defendant is entitled to the costs </w:t>
            </w:r>
            <w:r w:rsidRPr="00FF436F">
              <w:rPr>
                <w:rFonts w:ascii="Arial Narrow" w:eastAsia="Times New Roman" w:hAnsi="Arial Narrow"/>
                <w:sz w:val="24"/>
                <w:szCs w:val="24"/>
              </w:rPr>
              <w:t>occasioned</w:t>
            </w:r>
            <w:r w:rsidRPr="00FF436F">
              <w:rPr>
                <w:rFonts w:ascii="Arial Narrow" w:eastAsia="Times New Roman" w:hAnsi="Arial Narrow" w:cs="Arial"/>
                <w:sz w:val="24"/>
                <w:szCs w:val="24"/>
              </w:rPr>
              <w:t xml:space="preserve"> in the proceedings withdrawn against him by the plaintiff on a party and party scale</w:t>
            </w:r>
            <w:r w:rsidR="00E87F04" w:rsidRPr="00FF436F">
              <w:rPr>
                <w:rFonts w:ascii="Arial Narrow" w:eastAsia="Times New Roman" w:hAnsi="Arial Narrow" w:cs="Arial"/>
                <w:sz w:val="24"/>
                <w:szCs w:val="24"/>
              </w:rPr>
              <w:t>.</w:t>
            </w:r>
          </w:p>
          <w:p w:rsidR="00A51068" w:rsidRPr="00FF436F" w:rsidRDefault="00A51068" w:rsidP="0028231F">
            <w:pPr>
              <w:pStyle w:val="ListParagraph"/>
              <w:numPr>
                <w:ilvl w:val="0"/>
                <w:numId w:val="11"/>
              </w:numPr>
              <w:spacing w:line="360" w:lineRule="auto"/>
              <w:jc w:val="both"/>
              <w:rPr>
                <w:rFonts w:ascii="Arial Narrow" w:hAnsi="Arial Narrow"/>
                <w:bCs/>
                <w:sz w:val="24"/>
                <w:szCs w:val="24"/>
              </w:rPr>
            </w:pPr>
            <w:r w:rsidRPr="00FF436F">
              <w:rPr>
                <w:rFonts w:ascii="Arial Narrow" w:hAnsi="Arial Narrow"/>
                <w:bCs/>
                <w:sz w:val="24"/>
                <w:szCs w:val="24"/>
              </w:rPr>
              <w:t xml:space="preserve">The applicant is ordered to pay the </w:t>
            </w:r>
            <w:r w:rsidR="00604D7B" w:rsidRPr="00E96532">
              <w:rPr>
                <w:rFonts w:ascii="Arial Narrow" w:hAnsi="Arial Narrow"/>
                <w:bCs/>
                <w:sz w:val="24"/>
                <w:szCs w:val="24"/>
              </w:rPr>
              <w:t xml:space="preserve">defendant’s </w:t>
            </w:r>
            <w:r w:rsidRPr="00FF436F">
              <w:rPr>
                <w:rFonts w:ascii="Arial Narrow" w:hAnsi="Arial Narrow"/>
                <w:bCs/>
                <w:sz w:val="24"/>
                <w:szCs w:val="24"/>
              </w:rPr>
              <w:t>costs occasioned by the application made in terms of rule 97(3) on a party and party scale, such costs to include the costs of one instructed and one instructing counsel</w:t>
            </w:r>
            <w:r w:rsidR="00273840">
              <w:rPr>
                <w:rFonts w:ascii="Arial Narrow" w:hAnsi="Arial Narrow"/>
                <w:bCs/>
                <w:sz w:val="24"/>
                <w:szCs w:val="24"/>
              </w:rPr>
              <w:t>.</w:t>
            </w:r>
          </w:p>
          <w:p w:rsidR="00556F1A" w:rsidRPr="00FF436F" w:rsidRDefault="00556F1A" w:rsidP="0028231F">
            <w:pPr>
              <w:pStyle w:val="NormalWeb"/>
              <w:shd w:val="clear" w:color="auto" w:fill="FFFFFF"/>
              <w:spacing w:before="0" w:beforeAutospacing="0" w:after="0" w:afterAutospacing="0" w:line="360" w:lineRule="auto"/>
              <w:jc w:val="both"/>
              <w:rPr>
                <w:rFonts w:ascii="Helvetica" w:hAnsi="Helvetica" w:cs="Helvetica"/>
                <w:color w:val="333333"/>
              </w:rPr>
            </w:pPr>
          </w:p>
        </w:tc>
      </w:tr>
      <w:tr w:rsidR="00D26CB5" w:rsidRPr="00FF436F" w:rsidTr="0092129C">
        <w:tc>
          <w:tcPr>
            <w:tcW w:w="9720" w:type="dxa"/>
            <w:gridSpan w:val="3"/>
          </w:tcPr>
          <w:p w:rsidR="00D26CB5" w:rsidRPr="00FF436F" w:rsidRDefault="00D26CB5" w:rsidP="0028231F">
            <w:pPr>
              <w:spacing w:line="360" w:lineRule="auto"/>
              <w:jc w:val="both"/>
              <w:rPr>
                <w:rFonts w:ascii="Arial Narrow" w:hAnsi="Arial Narrow" w:cs="Arial"/>
                <w:b/>
                <w:sz w:val="24"/>
                <w:szCs w:val="24"/>
              </w:rPr>
            </w:pPr>
            <w:r w:rsidRPr="00FF436F">
              <w:rPr>
                <w:rFonts w:ascii="Arial Narrow" w:hAnsi="Arial Narrow" w:cs="Arial"/>
                <w:b/>
                <w:sz w:val="24"/>
                <w:szCs w:val="24"/>
              </w:rPr>
              <w:t>Reasons for orders:</w:t>
            </w:r>
          </w:p>
        </w:tc>
      </w:tr>
      <w:tr w:rsidR="00D26CB5" w:rsidRPr="00FF436F" w:rsidTr="0092129C">
        <w:tc>
          <w:tcPr>
            <w:tcW w:w="9720" w:type="dxa"/>
            <w:gridSpan w:val="3"/>
          </w:tcPr>
          <w:p w:rsidR="004A779D" w:rsidRPr="00FF436F" w:rsidRDefault="004A779D" w:rsidP="0028231F">
            <w:pPr>
              <w:tabs>
                <w:tab w:val="left" w:pos="1440"/>
              </w:tabs>
              <w:spacing w:line="360" w:lineRule="auto"/>
              <w:rPr>
                <w:rFonts w:ascii="Arial Narrow" w:hAnsi="Arial Narrow"/>
                <w:sz w:val="24"/>
                <w:szCs w:val="24"/>
                <w:lang w:val="af-ZA"/>
              </w:rPr>
            </w:pPr>
            <w:r w:rsidRPr="00FF436F">
              <w:rPr>
                <w:rFonts w:ascii="Arial Narrow" w:hAnsi="Arial Narrow"/>
                <w:sz w:val="24"/>
                <w:szCs w:val="24"/>
                <w:u w:val="single"/>
                <w:lang w:val="af-ZA"/>
              </w:rPr>
              <w:t>Background</w:t>
            </w:r>
            <w:r w:rsidR="00604D7B" w:rsidRPr="00FF436F">
              <w:rPr>
                <w:rFonts w:ascii="Arial Narrow" w:hAnsi="Arial Narrow"/>
                <w:sz w:val="24"/>
                <w:szCs w:val="24"/>
                <w:lang w:val="af-ZA"/>
              </w:rPr>
              <w:tab/>
            </w:r>
          </w:p>
          <w:p w:rsidR="00604D7B" w:rsidRPr="00FF436F" w:rsidRDefault="00604D7B" w:rsidP="0028231F">
            <w:pPr>
              <w:tabs>
                <w:tab w:val="left" w:pos="1440"/>
              </w:tabs>
              <w:spacing w:line="360" w:lineRule="auto"/>
              <w:rPr>
                <w:rFonts w:ascii="Arial Narrow" w:hAnsi="Arial Narrow"/>
                <w:sz w:val="24"/>
                <w:szCs w:val="24"/>
                <w:u w:val="single"/>
                <w:lang w:val="af-ZA"/>
              </w:rPr>
            </w:pPr>
          </w:p>
          <w:p w:rsidR="004A779D" w:rsidRPr="00FF436F" w:rsidRDefault="004A779D" w:rsidP="0028231F">
            <w:pPr>
              <w:spacing w:line="360" w:lineRule="auto"/>
              <w:jc w:val="both"/>
              <w:rPr>
                <w:rFonts w:ascii="Arial Narrow" w:hAnsi="Arial Narrow"/>
                <w:sz w:val="24"/>
                <w:szCs w:val="24"/>
                <w:lang w:val="af-ZA"/>
              </w:rPr>
            </w:pPr>
            <w:r w:rsidRPr="00FF436F">
              <w:rPr>
                <w:rFonts w:ascii="Arial Narrow" w:hAnsi="Arial Narrow"/>
                <w:sz w:val="24"/>
                <w:szCs w:val="24"/>
                <w:lang w:val="af-ZA"/>
              </w:rPr>
              <w:t xml:space="preserve">[1]     The plaintiff issued summons on 27 April 2018 instituting </w:t>
            </w:r>
            <w:r w:rsidR="00440965" w:rsidRPr="00E96532">
              <w:rPr>
                <w:rFonts w:ascii="Arial Narrow" w:hAnsi="Arial Narrow"/>
                <w:sz w:val="24"/>
                <w:szCs w:val="24"/>
                <w:lang w:val="af-ZA"/>
              </w:rPr>
              <w:t>the proceedings under which this applicatioon is emanating from</w:t>
            </w:r>
            <w:r w:rsidRPr="00E96532">
              <w:rPr>
                <w:rFonts w:ascii="Arial Narrow" w:hAnsi="Arial Narrow"/>
                <w:sz w:val="24"/>
                <w:szCs w:val="24"/>
                <w:lang w:val="af-ZA"/>
              </w:rPr>
              <w:t>.</w:t>
            </w:r>
            <w:r w:rsidRPr="00FF436F">
              <w:rPr>
                <w:rFonts w:ascii="Arial Narrow" w:hAnsi="Arial Narrow"/>
                <w:sz w:val="24"/>
                <w:szCs w:val="24"/>
                <w:lang w:val="af-ZA"/>
              </w:rPr>
              <w:t xml:space="preserve"> The defendant defended the matter on 4 June 2018. The parties were issued with a case planning conference order on 7 June 2018. In the joint case plan filed on </w:t>
            </w:r>
            <w:r w:rsidR="00440965" w:rsidRPr="00E96532">
              <w:rPr>
                <w:rFonts w:ascii="Arial Narrow" w:hAnsi="Arial Narrow"/>
                <w:sz w:val="24"/>
                <w:szCs w:val="24"/>
                <w:lang w:val="af-ZA"/>
              </w:rPr>
              <w:t>25</w:t>
            </w:r>
            <w:r w:rsidR="00440965" w:rsidRPr="00FF436F">
              <w:rPr>
                <w:rFonts w:ascii="Arial Narrow" w:hAnsi="Arial Narrow"/>
                <w:color w:val="FF0000"/>
                <w:sz w:val="24"/>
                <w:szCs w:val="24"/>
                <w:lang w:val="af-ZA"/>
              </w:rPr>
              <w:t xml:space="preserve"> </w:t>
            </w:r>
            <w:r w:rsidRPr="00FF436F">
              <w:rPr>
                <w:rFonts w:ascii="Arial Narrow" w:hAnsi="Arial Narrow"/>
                <w:sz w:val="24"/>
                <w:szCs w:val="24"/>
                <w:lang w:val="af-ZA"/>
              </w:rPr>
              <w:t xml:space="preserve">June 2016 the plaintiff indicated </w:t>
            </w:r>
            <w:r w:rsidRPr="00FF436F">
              <w:rPr>
                <w:rFonts w:ascii="Arial Narrow" w:hAnsi="Arial Narrow"/>
                <w:sz w:val="24"/>
                <w:szCs w:val="24"/>
                <w:lang w:val="af-ZA"/>
              </w:rPr>
              <w:lastRenderedPageBreak/>
              <w:t xml:space="preserve">that he </w:t>
            </w:r>
            <w:r w:rsidRPr="00E96532">
              <w:rPr>
                <w:rFonts w:ascii="Arial Narrow" w:hAnsi="Arial Narrow"/>
                <w:sz w:val="24"/>
                <w:szCs w:val="24"/>
                <w:lang w:val="af-ZA"/>
              </w:rPr>
              <w:t>wish</w:t>
            </w:r>
            <w:r w:rsidR="00BD3D6E" w:rsidRPr="00E96532">
              <w:rPr>
                <w:rFonts w:ascii="Arial Narrow" w:hAnsi="Arial Narrow"/>
                <w:sz w:val="24"/>
                <w:szCs w:val="24"/>
                <w:lang w:val="af-ZA"/>
              </w:rPr>
              <w:t>es</w:t>
            </w:r>
            <w:r w:rsidRPr="00E96532">
              <w:rPr>
                <w:rFonts w:ascii="Arial Narrow" w:hAnsi="Arial Narrow"/>
                <w:sz w:val="24"/>
                <w:szCs w:val="24"/>
                <w:lang w:val="af-ZA"/>
              </w:rPr>
              <w:t xml:space="preserve"> to </w:t>
            </w:r>
            <w:r w:rsidRPr="00FF436F">
              <w:rPr>
                <w:rFonts w:ascii="Arial Narrow" w:hAnsi="Arial Narrow"/>
                <w:sz w:val="24"/>
                <w:szCs w:val="24"/>
                <w:lang w:val="af-ZA"/>
              </w:rPr>
              <w:t xml:space="preserve">apply for summary judgment against the defendant. In terms of the case plan order the parties were directed to file the application for summary judgment and the answering affidavit opposing </w:t>
            </w:r>
            <w:r w:rsidR="003D59A1" w:rsidRPr="00E96532">
              <w:rPr>
                <w:rFonts w:ascii="Arial Narrow" w:hAnsi="Arial Narrow"/>
                <w:sz w:val="24"/>
                <w:szCs w:val="24"/>
                <w:lang w:val="af-ZA"/>
              </w:rPr>
              <w:t>the</w:t>
            </w:r>
            <w:r w:rsidR="003D59A1" w:rsidRPr="00FF436F">
              <w:rPr>
                <w:rFonts w:ascii="Arial Narrow" w:hAnsi="Arial Narrow"/>
                <w:color w:val="FF0000"/>
                <w:sz w:val="24"/>
                <w:szCs w:val="24"/>
                <w:lang w:val="af-ZA"/>
              </w:rPr>
              <w:t xml:space="preserve"> </w:t>
            </w:r>
            <w:r w:rsidRPr="00FF436F">
              <w:rPr>
                <w:rFonts w:ascii="Arial Narrow" w:hAnsi="Arial Narrow"/>
                <w:sz w:val="24"/>
                <w:szCs w:val="24"/>
                <w:lang w:val="af-ZA"/>
              </w:rPr>
              <w:t xml:space="preserve">application and return to court on 23 August 2018 for a status hearing during which the court would then direct the parties to file their heads of arguments and also set a date for hearing of the summary judgment application. </w:t>
            </w:r>
          </w:p>
          <w:p w:rsidR="00BD3D6E" w:rsidRPr="00FF436F" w:rsidRDefault="00BD3D6E" w:rsidP="0028231F">
            <w:pPr>
              <w:spacing w:line="360" w:lineRule="auto"/>
              <w:jc w:val="both"/>
              <w:rPr>
                <w:rFonts w:ascii="Arial Narrow" w:hAnsi="Arial Narrow"/>
                <w:sz w:val="24"/>
                <w:szCs w:val="24"/>
                <w:lang w:val="af-ZA"/>
              </w:rPr>
            </w:pPr>
          </w:p>
          <w:p w:rsidR="004A779D" w:rsidRPr="00FF436F" w:rsidRDefault="004A779D" w:rsidP="0028231F">
            <w:pPr>
              <w:spacing w:line="360" w:lineRule="auto"/>
              <w:jc w:val="both"/>
              <w:rPr>
                <w:rFonts w:ascii="Arial Narrow" w:hAnsi="Arial Narrow"/>
                <w:sz w:val="24"/>
                <w:szCs w:val="24"/>
                <w:lang w:val="af-ZA"/>
              </w:rPr>
            </w:pPr>
            <w:r w:rsidRPr="00FF436F">
              <w:rPr>
                <w:rFonts w:ascii="Arial Narrow" w:hAnsi="Arial Narrow"/>
                <w:sz w:val="24"/>
                <w:szCs w:val="24"/>
                <w:lang w:val="af-ZA"/>
              </w:rPr>
              <w:t>[2]     Subsequent to the plaintiff filing its application for summary judgment and founding affidavit on 13 July 2018 the defendant proceeded to file his answering affid</w:t>
            </w:r>
            <w:r w:rsidR="00235791" w:rsidRPr="00FF436F">
              <w:rPr>
                <w:rFonts w:ascii="Arial Narrow" w:hAnsi="Arial Narrow"/>
                <w:sz w:val="24"/>
                <w:szCs w:val="24"/>
                <w:lang w:val="af-ZA"/>
              </w:rPr>
              <w:t xml:space="preserve">avit resisting summary judment </w:t>
            </w:r>
            <w:r w:rsidRPr="00FF436F">
              <w:rPr>
                <w:rFonts w:ascii="Arial Narrow" w:hAnsi="Arial Narrow"/>
                <w:sz w:val="24"/>
                <w:szCs w:val="24"/>
                <w:lang w:val="af-ZA"/>
              </w:rPr>
              <w:t>13 August 2018.</w:t>
            </w:r>
          </w:p>
          <w:p w:rsidR="00BD3D6E" w:rsidRPr="00FF436F" w:rsidRDefault="00BD3D6E" w:rsidP="0028231F">
            <w:pPr>
              <w:spacing w:line="360" w:lineRule="auto"/>
              <w:jc w:val="both"/>
              <w:rPr>
                <w:rFonts w:ascii="Arial Narrow" w:hAnsi="Arial Narrow"/>
                <w:sz w:val="24"/>
                <w:szCs w:val="24"/>
                <w:lang w:val="af-ZA"/>
              </w:rPr>
            </w:pPr>
          </w:p>
          <w:p w:rsidR="004A779D" w:rsidRPr="00FF436F" w:rsidRDefault="004A779D" w:rsidP="0028231F">
            <w:pPr>
              <w:spacing w:line="360" w:lineRule="auto"/>
              <w:jc w:val="both"/>
              <w:rPr>
                <w:rFonts w:ascii="Arial Narrow" w:hAnsi="Arial Narrow"/>
                <w:sz w:val="24"/>
                <w:szCs w:val="24"/>
                <w:lang w:val="af-ZA"/>
              </w:rPr>
            </w:pPr>
            <w:r w:rsidRPr="00FF436F">
              <w:rPr>
                <w:rFonts w:ascii="Arial Narrow" w:hAnsi="Arial Narrow"/>
                <w:sz w:val="24"/>
                <w:szCs w:val="24"/>
                <w:lang w:val="af-ZA"/>
              </w:rPr>
              <w:t>[3]      On 21 August 2018 the parties filed a joint status report indicating that they are looking into a possible settlement and requested the court to postpone the matter until 6 September 2018 for a further status hearing. In line with the joint request of the parties the court postponed the matter to 6 September 2018, however on 4 September 2018 the plaintiff withdrew the action against the defendant in terms of rule 97(1) of the Rules of Court but did not tender cost</w:t>
            </w:r>
            <w:r w:rsidR="00551F59" w:rsidRPr="00E96532">
              <w:rPr>
                <w:rFonts w:ascii="Arial Narrow" w:hAnsi="Arial Narrow"/>
                <w:sz w:val="24"/>
                <w:szCs w:val="24"/>
                <w:lang w:val="af-ZA"/>
              </w:rPr>
              <w:t>s</w:t>
            </w:r>
            <w:r w:rsidRPr="00FF436F">
              <w:rPr>
                <w:rFonts w:ascii="Arial Narrow" w:hAnsi="Arial Narrow"/>
                <w:sz w:val="24"/>
                <w:szCs w:val="24"/>
                <w:lang w:val="af-ZA"/>
              </w:rPr>
              <w:t xml:space="preserve"> in the  notice of withdrawal</w:t>
            </w:r>
            <w:r w:rsidR="004C270F" w:rsidRPr="00FF436F">
              <w:rPr>
                <w:rFonts w:ascii="Arial Narrow" w:hAnsi="Arial Narrow"/>
                <w:sz w:val="24"/>
                <w:szCs w:val="24"/>
                <w:lang w:val="af-ZA"/>
              </w:rPr>
              <w:t>. The plaintiff did not disclose the reasons for the withdrawal of the action neither did the plaintiff disc</w:t>
            </w:r>
            <w:r w:rsidR="00E96532" w:rsidRPr="00FF436F">
              <w:rPr>
                <w:rFonts w:ascii="Arial Narrow" w:hAnsi="Arial Narrow"/>
                <w:sz w:val="24"/>
                <w:szCs w:val="24"/>
                <w:lang w:val="af-ZA"/>
              </w:rPr>
              <w:t>l</w:t>
            </w:r>
            <w:r w:rsidR="004C270F" w:rsidRPr="00FF436F">
              <w:rPr>
                <w:rFonts w:ascii="Arial Narrow" w:hAnsi="Arial Narrow"/>
                <w:sz w:val="24"/>
                <w:szCs w:val="24"/>
                <w:lang w:val="af-ZA"/>
              </w:rPr>
              <w:t xml:space="preserve">ose the reasons why he did not tender costs.  </w:t>
            </w:r>
            <w:r w:rsidRPr="00FF436F">
              <w:rPr>
                <w:rFonts w:ascii="Arial Narrow" w:hAnsi="Arial Narrow"/>
                <w:sz w:val="24"/>
                <w:szCs w:val="24"/>
                <w:lang w:val="af-ZA"/>
              </w:rPr>
              <w:t xml:space="preserve"> </w:t>
            </w:r>
          </w:p>
          <w:p w:rsidR="003D59A1" w:rsidRPr="00FF436F" w:rsidRDefault="003D59A1" w:rsidP="0028231F">
            <w:pPr>
              <w:spacing w:line="360" w:lineRule="auto"/>
              <w:jc w:val="both"/>
              <w:rPr>
                <w:rFonts w:ascii="Arial Narrow" w:hAnsi="Arial Narrow"/>
                <w:sz w:val="24"/>
                <w:szCs w:val="24"/>
                <w:lang w:val="af-ZA"/>
              </w:rPr>
            </w:pPr>
          </w:p>
          <w:p w:rsidR="004A779D" w:rsidRPr="00FF436F" w:rsidRDefault="004A779D" w:rsidP="0028231F">
            <w:pPr>
              <w:spacing w:line="360" w:lineRule="auto"/>
              <w:rPr>
                <w:rFonts w:ascii="Arial Narrow" w:hAnsi="Arial Narrow"/>
                <w:sz w:val="24"/>
                <w:szCs w:val="24"/>
                <w:lang w:val="af-ZA"/>
              </w:rPr>
            </w:pPr>
            <w:r w:rsidRPr="00FF436F">
              <w:rPr>
                <w:rFonts w:ascii="Arial Narrow" w:hAnsi="Arial Narrow"/>
                <w:sz w:val="24"/>
                <w:szCs w:val="24"/>
                <w:lang w:val="af-ZA"/>
              </w:rPr>
              <w:t xml:space="preserve">[4]     </w:t>
            </w:r>
            <w:r w:rsidR="004C4F04">
              <w:rPr>
                <w:rFonts w:ascii="Arial Narrow" w:hAnsi="Arial Narrow"/>
                <w:sz w:val="24"/>
                <w:szCs w:val="24"/>
                <w:lang w:val="af-ZA"/>
              </w:rPr>
              <w:t xml:space="preserve"> </w:t>
            </w:r>
            <w:r w:rsidRPr="00FF436F">
              <w:rPr>
                <w:rFonts w:ascii="Arial Narrow" w:hAnsi="Arial Narrow"/>
                <w:sz w:val="24"/>
                <w:szCs w:val="24"/>
                <w:lang w:val="af-ZA"/>
              </w:rPr>
              <w:t xml:space="preserve">Pursuant to the withdrawal of action by the plaintiff the defendants filed a notice in terms of rule 97(3) and in the following terms: </w:t>
            </w:r>
          </w:p>
          <w:p w:rsidR="003D59A1" w:rsidRPr="00FF436F" w:rsidRDefault="003D59A1" w:rsidP="0028231F">
            <w:pPr>
              <w:spacing w:line="360" w:lineRule="auto"/>
              <w:rPr>
                <w:rFonts w:ascii="Arial Narrow" w:hAnsi="Arial Narrow"/>
                <w:sz w:val="24"/>
                <w:szCs w:val="24"/>
                <w:lang w:val="af-ZA"/>
              </w:rPr>
            </w:pPr>
          </w:p>
          <w:p w:rsidR="004A779D" w:rsidRPr="00496D12" w:rsidRDefault="0072525F" w:rsidP="0028231F">
            <w:pPr>
              <w:spacing w:line="360" w:lineRule="auto"/>
              <w:jc w:val="both"/>
              <w:rPr>
                <w:rFonts w:ascii="Arial Narrow" w:hAnsi="Arial Narrow"/>
                <w:lang w:val="af-ZA"/>
              </w:rPr>
            </w:pPr>
            <w:r>
              <w:rPr>
                <w:rFonts w:ascii="Arial Narrow" w:hAnsi="Arial Narrow"/>
                <w:sz w:val="24"/>
                <w:szCs w:val="24"/>
                <w:lang w:val="af-ZA"/>
              </w:rPr>
              <w:tab/>
            </w:r>
            <w:r w:rsidRPr="00496D12">
              <w:rPr>
                <w:rFonts w:ascii="Arial Narrow" w:hAnsi="Arial Narrow"/>
                <w:lang w:val="af-ZA"/>
              </w:rPr>
              <w:t>‘</w:t>
            </w:r>
            <w:r w:rsidR="004A779D" w:rsidRPr="00496D12">
              <w:rPr>
                <w:rFonts w:ascii="Arial Narrow" w:hAnsi="Arial Narrow"/>
                <w:b/>
                <w:lang w:val="af-ZA"/>
              </w:rPr>
              <w:t>KINDLY TAKE NOTE</w:t>
            </w:r>
            <w:r w:rsidR="004A779D" w:rsidRPr="00496D12">
              <w:rPr>
                <w:rFonts w:ascii="Arial Narrow" w:hAnsi="Arial Narrow"/>
                <w:lang w:val="af-ZA"/>
              </w:rPr>
              <w:t xml:space="preserve">, with reference to Plaintiff’s Notice of Withdrawal of its Action dated 4 September 2018,      that the Defendant will apply for an order for costs as envisage in Rule 97(3) of the Rules of the High Court at a hearing, as directed by the Honnnorable (sic) Managing Judge, on the following basis: </w:t>
            </w:r>
          </w:p>
          <w:p w:rsidR="00551F59" w:rsidRPr="00496D12" w:rsidRDefault="00551F59" w:rsidP="0028231F">
            <w:pPr>
              <w:spacing w:line="360" w:lineRule="auto"/>
              <w:jc w:val="both"/>
              <w:rPr>
                <w:rFonts w:ascii="Arial Narrow" w:hAnsi="Arial Narrow"/>
                <w:lang w:val="af-ZA"/>
              </w:rPr>
            </w:pPr>
          </w:p>
          <w:p w:rsidR="004A779D" w:rsidRPr="00496D12" w:rsidRDefault="004A779D" w:rsidP="0028231F">
            <w:pPr>
              <w:spacing w:line="360" w:lineRule="auto"/>
              <w:jc w:val="both"/>
              <w:rPr>
                <w:rFonts w:ascii="Arial Narrow" w:hAnsi="Arial Narrow"/>
                <w:lang w:val="af-ZA"/>
              </w:rPr>
            </w:pPr>
            <w:r w:rsidRPr="00496D12">
              <w:rPr>
                <w:rFonts w:ascii="Arial Narrow" w:hAnsi="Arial Narrow"/>
                <w:lang w:val="af-ZA"/>
              </w:rPr>
              <w:t xml:space="preserve">The Plaintiff filed its Notice of Withdrawal of Action on 4 September 2018. In terms of Rule 97(1) the Plaintiff can only withdraw the action with the Defendant’s consent or the leave of the Court. The Defendant did not and does not consent to the withdrawal without a tender of its wasted costs. </w:t>
            </w:r>
          </w:p>
          <w:p w:rsidR="00551F59" w:rsidRPr="00496D12" w:rsidRDefault="00551F59" w:rsidP="0028231F">
            <w:pPr>
              <w:spacing w:line="360" w:lineRule="auto"/>
              <w:jc w:val="both"/>
              <w:rPr>
                <w:rFonts w:ascii="Arial Narrow" w:hAnsi="Arial Narrow"/>
                <w:lang w:val="af-ZA"/>
              </w:rPr>
            </w:pPr>
          </w:p>
          <w:p w:rsidR="004A779D" w:rsidRPr="00FF436F" w:rsidRDefault="004A779D" w:rsidP="0028231F">
            <w:pPr>
              <w:spacing w:line="360" w:lineRule="auto"/>
              <w:jc w:val="both"/>
              <w:rPr>
                <w:rFonts w:ascii="Arial Narrow" w:hAnsi="Arial Narrow"/>
                <w:sz w:val="24"/>
                <w:szCs w:val="24"/>
                <w:lang w:val="af-ZA"/>
              </w:rPr>
            </w:pPr>
            <w:r w:rsidRPr="00496D12">
              <w:rPr>
                <w:rFonts w:ascii="Arial Narrow" w:hAnsi="Arial Narrow"/>
                <w:lang w:val="af-ZA"/>
              </w:rPr>
              <w:t>The Defendant will therefor apply to court for an order on the date as directed.’</w:t>
            </w:r>
            <w:r w:rsidRPr="00FF436F">
              <w:rPr>
                <w:rFonts w:ascii="Arial Narrow" w:hAnsi="Arial Narrow"/>
                <w:sz w:val="24"/>
                <w:szCs w:val="24"/>
                <w:lang w:val="af-ZA"/>
              </w:rPr>
              <w:t xml:space="preserve"> </w:t>
            </w:r>
          </w:p>
          <w:p w:rsidR="00551F59" w:rsidRPr="00FF436F" w:rsidRDefault="00551F59" w:rsidP="0028231F">
            <w:pPr>
              <w:spacing w:line="360" w:lineRule="auto"/>
              <w:jc w:val="both"/>
              <w:rPr>
                <w:rFonts w:ascii="Arial Narrow" w:hAnsi="Arial Narrow"/>
                <w:sz w:val="24"/>
                <w:szCs w:val="24"/>
                <w:lang w:val="af-ZA"/>
              </w:rPr>
            </w:pPr>
          </w:p>
          <w:p w:rsidR="004A779D" w:rsidRPr="00FF436F" w:rsidRDefault="004A779D" w:rsidP="0028231F">
            <w:pPr>
              <w:spacing w:line="360" w:lineRule="auto"/>
              <w:jc w:val="both"/>
              <w:rPr>
                <w:rFonts w:ascii="Arial Narrow" w:hAnsi="Arial Narrow"/>
                <w:sz w:val="24"/>
                <w:szCs w:val="24"/>
                <w:lang w:val="af-ZA"/>
              </w:rPr>
            </w:pPr>
            <w:r w:rsidRPr="00FF436F">
              <w:rPr>
                <w:rFonts w:ascii="Arial Narrow" w:hAnsi="Arial Narrow"/>
                <w:sz w:val="24"/>
                <w:szCs w:val="24"/>
                <w:lang w:val="af-ZA"/>
              </w:rPr>
              <w:t xml:space="preserve">[5]     </w:t>
            </w:r>
            <w:r w:rsidR="004C4F04">
              <w:rPr>
                <w:rFonts w:ascii="Arial Narrow" w:hAnsi="Arial Narrow"/>
                <w:sz w:val="24"/>
                <w:szCs w:val="24"/>
                <w:lang w:val="af-ZA"/>
              </w:rPr>
              <w:t xml:space="preserve"> </w:t>
            </w:r>
            <w:r w:rsidRPr="00FF436F">
              <w:rPr>
                <w:rFonts w:ascii="Arial Narrow" w:hAnsi="Arial Narrow"/>
                <w:sz w:val="24"/>
                <w:szCs w:val="24"/>
                <w:lang w:val="af-ZA"/>
              </w:rPr>
              <w:t>This application was opposed by the plaintiff.</w:t>
            </w:r>
          </w:p>
          <w:p w:rsidR="004A779D" w:rsidRPr="00FF436F" w:rsidRDefault="004A779D" w:rsidP="0028231F">
            <w:pPr>
              <w:spacing w:line="360" w:lineRule="auto"/>
              <w:jc w:val="both"/>
              <w:rPr>
                <w:rFonts w:ascii="Arial Narrow" w:hAnsi="Arial Narrow"/>
                <w:sz w:val="24"/>
                <w:szCs w:val="24"/>
                <w:lang w:val="af-ZA"/>
              </w:rPr>
            </w:pPr>
          </w:p>
          <w:p w:rsidR="004A779D" w:rsidRPr="00FF436F" w:rsidRDefault="004A779D" w:rsidP="0028231F">
            <w:pPr>
              <w:spacing w:line="360" w:lineRule="auto"/>
              <w:jc w:val="both"/>
              <w:rPr>
                <w:rFonts w:ascii="Arial Narrow" w:hAnsi="Arial Narrow"/>
                <w:sz w:val="24"/>
                <w:szCs w:val="24"/>
                <w:u w:val="single"/>
                <w:lang w:val="af-ZA"/>
              </w:rPr>
            </w:pPr>
            <w:r w:rsidRPr="00FF436F">
              <w:rPr>
                <w:rFonts w:ascii="Arial Narrow" w:hAnsi="Arial Narrow"/>
                <w:sz w:val="24"/>
                <w:szCs w:val="24"/>
                <w:u w:val="single"/>
                <w:lang w:val="af-ZA"/>
              </w:rPr>
              <w:t>The argments advanced by the parties</w:t>
            </w:r>
          </w:p>
          <w:p w:rsidR="00BA71C6" w:rsidRPr="00FF436F" w:rsidRDefault="00BA71C6" w:rsidP="0028231F">
            <w:pPr>
              <w:spacing w:line="360" w:lineRule="auto"/>
              <w:jc w:val="both"/>
              <w:rPr>
                <w:rFonts w:ascii="Arial Narrow" w:hAnsi="Arial Narrow"/>
                <w:sz w:val="24"/>
                <w:szCs w:val="24"/>
                <w:u w:val="single"/>
                <w:lang w:val="af-ZA"/>
              </w:rPr>
            </w:pPr>
          </w:p>
          <w:p w:rsidR="004A779D" w:rsidRPr="00FF436F" w:rsidRDefault="004A779D" w:rsidP="0028231F">
            <w:pPr>
              <w:spacing w:line="360" w:lineRule="auto"/>
              <w:jc w:val="both"/>
              <w:rPr>
                <w:rFonts w:ascii="Arial Narrow" w:hAnsi="Arial Narrow"/>
                <w:i/>
                <w:sz w:val="24"/>
                <w:szCs w:val="24"/>
                <w:lang w:val="af-ZA"/>
              </w:rPr>
            </w:pPr>
            <w:r w:rsidRPr="00FF436F">
              <w:rPr>
                <w:rFonts w:ascii="Arial Narrow" w:hAnsi="Arial Narrow"/>
                <w:i/>
                <w:sz w:val="24"/>
                <w:szCs w:val="24"/>
                <w:lang w:val="af-ZA"/>
              </w:rPr>
              <w:t>On behalf of the defendant</w:t>
            </w:r>
          </w:p>
          <w:p w:rsidR="00BA71C6" w:rsidRPr="00FF436F" w:rsidRDefault="00BA71C6" w:rsidP="0028231F">
            <w:pPr>
              <w:spacing w:line="360" w:lineRule="auto"/>
              <w:jc w:val="both"/>
              <w:rPr>
                <w:rFonts w:ascii="Arial Narrow" w:hAnsi="Arial Narrow"/>
                <w:i/>
                <w:sz w:val="24"/>
                <w:szCs w:val="24"/>
                <w:lang w:val="af-ZA"/>
              </w:rPr>
            </w:pPr>
          </w:p>
          <w:p w:rsidR="004A779D" w:rsidRDefault="004A779D" w:rsidP="0028231F">
            <w:pPr>
              <w:tabs>
                <w:tab w:val="left" w:pos="6405"/>
              </w:tabs>
              <w:spacing w:line="360" w:lineRule="auto"/>
              <w:jc w:val="both"/>
              <w:rPr>
                <w:rFonts w:ascii="Arial Narrow" w:hAnsi="Arial Narrow"/>
                <w:sz w:val="24"/>
                <w:szCs w:val="24"/>
                <w:lang w:val="af-ZA"/>
              </w:rPr>
            </w:pPr>
            <w:r w:rsidRPr="00FF436F">
              <w:rPr>
                <w:rFonts w:ascii="Arial Narrow" w:hAnsi="Arial Narrow"/>
                <w:sz w:val="24"/>
                <w:szCs w:val="24"/>
                <w:lang w:val="af-ZA"/>
              </w:rPr>
              <w:lastRenderedPageBreak/>
              <w:t>[6]     It was submitted on behalf of the defendant that as the plaintiff filed a notice to oppose without setting out the reasons for the opposition</w:t>
            </w:r>
            <w:r w:rsidR="00576A64" w:rsidRPr="00FF436F">
              <w:rPr>
                <w:rFonts w:ascii="Arial Narrow" w:hAnsi="Arial Narrow"/>
                <w:sz w:val="24"/>
                <w:szCs w:val="24"/>
                <w:lang w:val="af-ZA"/>
              </w:rPr>
              <w:t>,</w:t>
            </w:r>
            <w:r w:rsidRPr="00FF436F">
              <w:rPr>
                <w:rFonts w:ascii="Arial Narrow" w:hAnsi="Arial Narrow"/>
                <w:sz w:val="24"/>
                <w:szCs w:val="24"/>
                <w:lang w:val="af-ZA"/>
              </w:rPr>
              <w:t xml:space="preserve"> the defendant is limited in their argument and</w:t>
            </w:r>
            <w:r w:rsidR="00444C8F" w:rsidRPr="00FF436F">
              <w:rPr>
                <w:rFonts w:ascii="Arial Narrow" w:hAnsi="Arial Narrow"/>
                <w:sz w:val="24"/>
                <w:szCs w:val="24"/>
                <w:lang w:val="af-ZA"/>
              </w:rPr>
              <w:t xml:space="preserve"> defendant’s counsel </w:t>
            </w:r>
            <w:r w:rsidRPr="00FF436F">
              <w:rPr>
                <w:rFonts w:ascii="Arial Narrow" w:hAnsi="Arial Narrow"/>
                <w:sz w:val="24"/>
                <w:szCs w:val="24"/>
                <w:lang w:val="af-ZA"/>
              </w:rPr>
              <w:t xml:space="preserve"> proceeded to set out the appllicable legal principles relating to costs. </w:t>
            </w:r>
          </w:p>
          <w:p w:rsidR="004C6763" w:rsidRPr="00FF436F" w:rsidRDefault="004C6763" w:rsidP="0028231F">
            <w:pPr>
              <w:tabs>
                <w:tab w:val="left" w:pos="6405"/>
              </w:tabs>
              <w:spacing w:line="360" w:lineRule="auto"/>
              <w:jc w:val="both"/>
              <w:rPr>
                <w:rFonts w:ascii="Arial Narrow" w:hAnsi="Arial Narrow"/>
                <w:sz w:val="24"/>
                <w:szCs w:val="24"/>
                <w:lang w:val="af-ZA"/>
              </w:rPr>
            </w:pPr>
          </w:p>
          <w:p w:rsidR="004A779D" w:rsidRPr="00FF436F" w:rsidRDefault="004C4F04" w:rsidP="0028231F">
            <w:pPr>
              <w:spacing w:line="360" w:lineRule="auto"/>
              <w:ind w:left="2250" w:hanging="2250"/>
              <w:jc w:val="both"/>
              <w:rPr>
                <w:rFonts w:ascii="Arial Narrow" w:hAnsi="Arial Narrow"/>
                <w:sz w:val="24"/>
                <w:szCs w:val="24"/>
              </w:rPr>
            </w:pPr>
            <w:r>
              <w:rPr>
                <w:rFonts w:ascii="Arial Narrow" w:hAnsi="Arial Narrow"/>
                <w:sz w:val="24"/>
                <w:szCs w:val="24"/>
                <w:lang w:val="af-ZA"/>
              </w:rPr>
              <w:t xml:space="preserve">[7]      </w:t>
            </w:r>
            <w:r w:rsidR="004A779D" w:rsidRPr="00FF436F">
              <w:rPr>
                <w:rFonts w:ascii="Arial Narrow" w:hAnsi="Arial Narrow"/>
                <w:sz w:val="24"/>
                <w:szCs w:val="24"/>
                <w:lang w:val="af-ZA"/>
              </w:rPr>
              <w:t xml:space="preserve">In this regard the court was referred to </w:t>
            </w:r>
            <w:r w:rsidR="004A779D" w:rsidRPr="00FF436F">
              <w:rPr>
                <w:rFonts w:ascii="Arial Narrow" w:hAnsi="Arial Narrow" w:cs="Arial"/>
                <w:i/>
                <w:sz w:val="24"/>
                <w:szCs w:val="24"/>
              </w:rPr>
              <w:t>The Prosecutor General v Africa Autonet CC t/a Pacific Motors</w:t>
            </w:r>
            <w:r w:rsidR="004A779D" w:rsidRPr="00FF436F">
              <w:rPr>
                <w:rStyle w:val="FootnoteReference"/>
                <w:rFonts w:ascii="Arial Narrow" w:hAnsi="Arial Narrow"/>
                <w:i/>
                <w:sz w:val="24"/>
                <w:szCs w:val="24"/>
              </w:rPr>
              <w:footnoteReference w:id="1"/>
            </w:r>
            <w:r w:rsidR="004A779D" w:rsidRPr="00FF436F">
              <w:rPr>
                <w:rFonts w:ascii="Arial Narrow" w:hAnsi="Arial Narrow"/>
                <w:i/>
                <w:sz w:val="24"/>
                <w:szCs w:val="24"/>
              </w:rPr>
              <w:t xml:space="preserve"> </w:t>
            </w:r>
            <w:r w:rsidR="004C6763">
              <w:rPr>
                <w:rFonts w:ascii="Arial Narrow" w:hAnsi="Arial Narrow"/>
                <w:sz w:val="24"/>
                <w:szCs w:val="24"/>
              </w:rPr>
              <w:t>where</w:t>
            </w:r>
            <w:r w:rsidR="004A779D" w:rsidRPr="00FF436F">
              <w:rPr>
                <w:rFonts w:ascii="Arial Narrow" w:hAnsi="Arial Narrow"/>
                <w:sz w:val="24"/>
                <w:szCs w:val="24"/>
              </w:rPr>
              <w:t>in</w:t>
            </w:r>
          </w:p>
          <w:p w:rsidR="004A779D" w:rsidRPr="00FF436F" w:rsidRDefault="004A779D" w:rsidP="0028231F">
            <w:pPr>
              <w:spacing w:line="360" w:lineRule="auto"/>
              <w:ind w:left="2250" w:hanging="2250"/>
              <w:jc w:val="both"/>
              <w:rPr>
                <w:rFonts w:ascii="Arial Narrow" w:hAnsi="Arial Narrow"/>
                <w:sz w:val="24"/>
                <w:szCs w:val="24"/>
              </w:rPr>
            </w:pPr>
            <w:r w:rsidRPr="00FF436F">
              <w:rPr>
                <w:rFonts w:ascii="Arial Narrow" w:hAnsi="Arial Narrow"/>
                <w:sz w:val="24"/>
                <w:szCs w:val="24"/>
              </w:rPr>
              <w:t xml:space="preserve">Angula DJP stated as follows: </w:t>
            </w:r>
          </w:p>
          <w:p w:rsidR="00D02648" w:rsidRPr="00FF436F" w:rsidRDefault="00D02648" w:rsidP="0028231F">
            <w:pPr>
              <w:spacing w:line="360" w:lineRule="auto"/>
              <w:ind w:left="2250" w:hanging="2250"/>
              <w:jc w:val="both"/>
              <w:rPr>
                <w:rFonts w:ascii="Arial Narrow" w:hAnsi="Arial Narrow"/>
                <w:sz w:val="24"/>
                <w:szCs w:val="24"/>
                <w:lang w:val="af-ZA"/>
              </w:rPr>
            </w:pPr>
          </w:p>
          <w:p w:rsidR="004A779D" w:rsidRPr="00FF436F" w:rsidRDefault="004A779D" w:rsidP="0028231F">
            <w:pPr>
              <w:pStyle w:val="BodyText"/>
              <w:spacing w:line="360" w:lineRule="auto"/>
              <w:ind w:firstLine="720"/>
              <w:jc w:val="both"/>
              <w:rPr>
                <w:rFonts w:ascii="Arial Narrow" w:hAnsi="Arial Narrow" w:cs="Arial"/>
                <w:sz w:val="22"/>
                <w:szCs w:val="22"/>
              </w:rPr>
            </w:pPr>
            <w:r w:rsidRPr="00FF436F">
              <w:rPr>
                <w:rFonts w:ascii="Arial Narrow" w:hAnsi="Arial Narrow" w:cs="Arial"/>
                <w:sz w:val="22"/>
                <w:szCs w:val="22"/>
              </w:rPr>
              <w:t>‘[26]</w:t>
            </w:r>
            <w:r w:rsidRPr="00FF436F">
              <w:rPr>
                <w:rFonts w:ascii="Arial Narrow" w:hAnsi="Arial Narrow" w:cs="Arial"/>
                <w:sz w:val="22"/>
                <w:szCs w:val="22"/>
              </w:rPr>
              <w:tab/>
              <w:t>It has been held that when and where a litigant withdraws an action or an application, very sound reasons must exist why a defendant or respondent should not be entitled to his or her costs. The plaintiff or applicant who withdraws his or her action or application is in the same position as an unsuccessful litigant. This is, because his or her claim or application is futile and the defendant or respondent, is entitled to all costs associated with the withdrawing plaintiff's or applicant's institution of proceedings.</w:t>
            </w:r>
            <w:r w:rsidRPr="00FF436F">
              <w:rPr>
                <w:rStyle w:val="FootnoteReference"/>
                <w:rFonts w:ascii="Arial Narrow" w:hAnsi="Arial Narrow" w:cs="Arial"/>
                <w:sz w:val="22"/>
                <w:szCs w:val="22"/>
              </w:rPr>
              <w:footnoteReference w:id="2"/>
            </w:r>
            <w:r w:rsidRPr="00FF436F">
              <w:rPr>
                <w:rFonts w:ascii="Arial Narrow" w:hAnsi="Arial Narrow" w:cs="Arial"/>
                <w:sz w:val="22"/>
                <w:szCs w:val="22"/>
              </w:rPr>
              <w:t xml:space="preserve"> In such a case it is not necessary to go into the merits of the matter.’</w:t>
            </w:r>
          </w:p>
          <w:p w:rsidR="004A779D" w:rsidRPr="00FF436F" w:rsidRDefault="004A779D" w:rsidP="0028231F">
            <w:pPr>
              <w:tabs>
                <w:tab w:val="left" w:pos="6405"/>
              </w:tabs>
              <w:spacing w:line="360" w:lineRule="auto"/>
              <w:jc w:val="both"/>
              <w:rPr>
                <w:rFonts w:ascii="Arial Narrow" w:hAnsi="Arial Narrow"/>
                <w:sz w:val="24"/>
                <w:szCs w:val="24"/>
                <w:lang w:val="af-ZA"/>
              </w:rPr>
            </w:pPr>
          </w:p>
          <w:p w:rsidR="004A779D" w:rsidRPr="00FF436F" w:rsidRDefault="004C4F04" w:rsidP="0028231F">
            <w:pPr>
              <w:tabs>
                <w:tab w:val="left" w:pos="6405"/>
              </w:tabs>
              <w:spacing w:line="360" w:lineRule="auto"/>
              <w:jc w:val="both"/>
              <w:rPr>
                <w:rFonts w:ascii="Arial Narrow" w:hAnsi="Arial Narrow"/>
                <w:sz w:val="24"/>
                <w:szCs w:val="24"/>
                <w:lang w:val="af-ZA"/>
              </w:rPr>
            </w:pPr>
            <w:r>
              <w:rPr>
                <w:rFonts w:ascii="Arial Narrow" w:hAnsi="Arial Narrow"/>
                <w:sz w:val="24"/>
                <w:szCs w:val="24"/>
                <w:lang w:val="af-ZA"/>
              </w:rPr>
              <w:t>[8</w:t>
            </w:r>
            <w:r w:rsidR="004A779D" w:rsidRPr="00FF436F">
              <w:rPr>
                <w:rFonts w:ascii="Arial Narrow" w:hAnsi="Arial Narrow"/>
                <w:sz w:val="24"/>
                <w:szCs w:val="24"/>
                <w:lang w:val="af-ZA"/>
              </w:rPr>
              <w:t xml:space="preserve">]     The defendant submitted that the plaintiff is uanble to show ‘very solid reasons’ why he should not be ordered to pay the defendant’s wasted costs. </w:t>
            </w:r>
          </w:p>
          <w:p w:rsidR="00D02648" w:rsidRPr="00FF436F" w:rsidRDefault="00D02648" w:rsidP="0028231F">
            <w:pPr>
              <w:tabs>
                <w:tab w:val="left" w:pos="6405"/>
              </w:tabs>
              <w:spacing w:line="360" w:lineRule="auto"/>
              <w:jc w:val="both"/>
              <w:rPr>
                <w:rFonts w:ascii="Arial Narrow" w:hAnsi="Arial Narrow"/>
                <w:sz w:val="24"/>
                <w:szCs w:val="24"/>
                <w:lang w:val="af-ZA"/>
              </w:rPr>
            </w:pPr>
          </w:p>
          <w:p w:rsidR="004A779D" w:rsidRPr="00FF436F" w:rsidRDefault="004A779D" w:rsidP="0028231F">
            <w:pPr>
              <w:tabs>
                <w:tab w:val="left" w:pos="6405"/>
              </w:tabs>
              <w:spacing w:line="360" w:lineRule="auto"/>
              <w:jc w:val="both"/>
              <w:rPr>
                <w:rFonts w:ascii="Arial Narrow" w:hAnsi="Arial Narrow"/>
                <w:i/>
                <w:sz w:val="24"/>
                <w:szCs w:val="24"/>
                <w:lang w:val="af-ZA"/>
              </w:rPr>
            </w:pPr>
            <w:r w:rsidRPr="00FF436F">
              <w:rPr>
                <w:rFonts w:ascii="Arial Narrow" w:hAnsi="Arial Narrow"/>
                <w:i/>
                <w:sz w:val="24"/>
                <w:szCs w:val="24"/>
                <w:lang w:val="af-ZA"/>
              </w:rPr>
              <w:t>On behalf of the plaintiff</w:t>
            </w:r>
          </w:p>
          <w:p w:rsidR="00D02648" w:rsidRPr="00FF436F" w:rsidRDefault="00D02648" w:rsidP="0028231F">
            <w:pPr>
              <w:tabs>
                <w:tab w:val="left" w:pos="6405"/>
              </w:tabs>
              <w:spacing w:line="360" w:lineRule="auto"/>
              <w:jc w:val="both"/>
              <w:rPr>
                <w:rFonts w:ascii="Arial Narrow" w:hAnsi="Arial Narrow"/>
                <w:i/>
                <w:sz w:val="24"/>
                <w:szCs w:val="24"/>
                <w:lang w:val="af-ZA"/>
              </w:rPr>
            </w:pPr>
          </w:p>
          <w:p w:rsidR="004A779D" w:rsidRDefault="004C4F04" w:rsidP="0028231F">
            <w:pPr>
              <w:tabs>
                <w:tab w:val="left" w:pos="6405"/>
              </w:tabs>
              <w:spacing w:line="360" w:lineRule="auto"/>
              <w:jc w:val="both"/>
              <w:rPr>
                <w:rFonts w:ascii="Arial Narrow" w:hAnsi="Arial Narrow"/>
                <w:sz w:val="24"/>
                <w:szCs w:val="24"/>
                <w:lang w:val="af-ZA"/>
              </w:rPr>
            </w:pPr>
            <w:r>
              <w:rPr>
                <w:rFonts w:ascii="Arial Narrow" w:hAnsi="Arial Narrow"/>
                <w:sz w:val="24"/>
                <w:szCs w:val="24"/>
                <w:lang w:val="af-ZA"/>
              </w:rPr>
              <w:t>[9</w:t>
            </w:r>
            <w:r w:rsidR="004A779D" w:rsidRPr="00FF436F">
              <w:rPr>
                <w:rFonts w:ascii="Arial Narrow" w:hAnsi="Arial Narrow"/>
                <w:sz w:val="24"/>
                <w:szCs w:val="24"/>
                <w:lang w:val="af-ZA"/>
              </w:rPr>
              <w:t xml:space="preserve">]     The plaintiff raised a point </w:t>
            </w:r>
            <w:r w:rsidR="004A779D" w:rsidRPr="00FF436F">
              <w:rPr>
                <w:rFonts w:ascii="Arial Narrow" w:hAnsi="Arial Narrow"/>
                <w:i/>
                <w:sz w:val="24"/>
                <w:szCs w:val="24"/>
                <w:lang w:val="af-ZA"/>
              </w:rPr>
              <w:t>in limine</w:t>
            </w:r>
            <w:r w:rsidR="004A779D" w:rsidRPr="00FF436F">
              <w:rPr>
                <w:rFonts w:ascii="Arial Narrow" w:hAnsi="Arial Narrow"/>
                <w:sz w:val="24"/>
                <w:szCs w:val="24"/>
                <w:lang w:val="af-ZA"/>
              </w:rPr>
              <w:t xml:space="preserve"> wherein he takes issue with the application of the defendant with specific reference to the wording of rule 97(3) read with rule 1 and ru</w:t>
            </w:r>
            <w:r w:rsidR="00876D32">
              <w:rPr>
                <w:rFonts w:ascii="Arial Narrow" w:hAnsi="Arial Narrow"/>
                <w:sz w:val="24"/>
                <w:szCs w:val="24"/>
                <w:lang w:val="af-ZA"/>
              </w:rPr>
              <w:t xml:space="preserve">le 65(1) of the Rules of Court. </w:t>
            </w:r>
            <w:r w:rsidR="004A779D" w:rsidRPr="00FF436F">
              <w:rPr>
                <w:rFonts w:ascii="Arial Narrow" w:hAnsi="Arial Narrow"/>
                <w:sz w:val="24"/>
                <w:szCs w:val="24"/>
                <w:lang w:val="af-ZA"/>
              </w:rPr>
              <w:t xml:space="preserve">The plaintiff submitted that </w:t>
            </w:r>
            <w:r w:rsidR="00A04B77" w:rsidRPr="00E96532">
              <w:rPr>
                <w:rFonts w:ascii="Arial Narrow" w:hAnsi="Arial Narrow"/>
                <w:sz w:val="24"/>
                <w:szCs w:val="24"/>
                <w:lang w:val="af-ZA"/>
              </w:rPr>
              <w:t xml:space="preserve">one has to have regard </w:t>
            </w:r>
            <w:r w:rsidR="004A779D" w:rsidRPr="00FF436F">
              <w:rPr>
                <w:rFonts w:ascii="Arial Narrow" w:hAnsi="Arial Narrow"/>
                <w:sz w:val="24"/>
                <w:szCs w:val="24"/>
                <w:lang w:val="af-ZA"/>
              </w:rPr>
              <w:t xml:space="preserve">to the definition of the word </w:t>
            </w:r>
            <w:r w:rsidR="00CF46F4">
              <w:rPr>
                <w:rFonts w:ascii="Arial Narrow" w:hAnsi="Arial Narrow"/>
                <w:sz w:val="24"/>
                <w:szCs w:val="24"/>
                <w:lang w:val="af-ZA"/>
              </w:rPr>
              <w:t>‘</w:t>
            </w:r>
            <w:r w:rsidR="004A779D" w:rsidRPr="00FF436F">
              <w:rPr>
                <w:rFonts w:ascii="Arial Narrow" w:hAnsi="Arial Narrow"/>
                <w:sz w:val="24"/>
                <w:szCs w:val="24"/>
                <w:lang w:val="af-ZA"/>
              </w:rPr>
              <w:t>application</w:t>
            </w:r>
            <w:r w:rsidR="00CF46F4">
              <w:rPr>
                <w:rFonts w:ascii="Arial Narrow" w:hAnsi="Arial Narrow"/>
                <w:sz w:val="24"/>
                <w:szCs w:val="24"/>
                <w:lang w:val="af-ZA"/>
              </w:rPr>
              <w:t>’</w:t>
            </w:r>
            <w:r w:rsidR="004A779D" w:rsidRPr="00FF436F">
              <w:rPr>
                <w:rFonts w:ascii="Arial Narrow" w:hAnsi="Arial Narrow"/>
                <w:sz w:val="24"/>
                <w:szCs w:val="24"/>
                <w:lang w:val="af-ZA"/>
              </w:rPr>
              <w:t xml:space="preserve"> in terms of</w:t>
            </w:r>
            <w:r w:rsidR="004A779D" w:rsidRPr="00E96532">
              <w:rPr>
                <w:rFonts w:ascii="Arial Narrow" w:hAnsi="Arial Narrow"/>
                <w:sz w:val="24"/>
                <w:szCs w:val="24"/>
                <w:lang w:val="af-ZA"/>
              </w:rPr>
              <w:t xml:space="preserve"> </w:t>
            </w:r>
            <w:r w:rsidR="00CF46F4" w:rsidRPr="00E96532">
              <w:rPr>
                <w:rFonts w:ascii="Arial Narrow" w:hAnsi="Arial Narrow"/>
                <w:sz w:val="24"/>
                <w:szCs w:val="24"/>
                <w:lang w:val="af-ZA"/>
              </w:rPr>
              <w:t xml:space="preserve">the </w:t>
            </w:r>
            <w:r w:rsidR="004A779D" w:rsidRPr="00FF436F">
              <w:rPr>
                <w:rFonts w:ascii="Arial Narrow" w:hAnsi="Arial Narrow"/>
                <w:sz w:val="24"/>
                <w:szCs w:val="24"/>
                <w:lang w:val="af-ZA"/>
              </w:rPr>
              <w:t xml:space="preserve">definition provisions set out in rule 1 where application is defined as follows: </w:t>
            </w:r>
          </w:p>
          <w:p w:rsidR="00F94898" w:rsidRPr="00FF436F" w:rsidRDefault="00F94898" w:rsidP="0028231F">
            <w:pPr>
              <w:tabs>
                <w:tab w:val="left" w:pos="6405"/>
              </w:tabs>
              <w:spacing w:line="360" w:lineRule="auto"/>
              <w:jc w:val="both"/>
              <w:rPr>
                <w:rFonts w:ascii="Arial Narrow" w:hAnsi="Arial Narrow"/>
                <w:sz w:val="24"/>
                <w:szCs w:val="24"/>
                <w:lang w:val="af-ZA"/>
              </w:rPr>
            </w:pPr>
          </w:p>
          <w:p w:rsidR="004A779D" w:rsidRDefault="004A779D" w:rsidP="0028231F">
            <w:pPr>
              <w:tabs>
                <w:tab w:val="left" w:pos="720"/>
                <w:tab w:val="left" w:pos="6405"/>
              </w:tabs>
              <w:spacing w:line="360" w:lineRule="auto"/>
              <w:jc w:val="both"/>
              <w:rPr>
                <w:rFonts w:ascii="Arial Narrow" w:hAnsi="Arial Narrow"/>
                <w:sz w:val="24"/>
                <w:szCs w:val="24"/>
                <w:lang w:val="af-ZA"/>
              </w:rPr>
            </w:pPr>
            <w:r w:rsidRPr="00FF436F">
              <w:rPr>
                <w:rFonts w:ascii="Arial Narrow" w:hAnsi="Arial Narrow"/>
                <w:sz w:val="24"/>
                <w:szCs w:val="24"/>
                <w:lang w:val="af-ZA"/>
              </w:rPr>
              <w:tab/>
              <w:t>‘“application” means a</w:t>
            </w:r>
            <w:r w:rsidR="00093B09" w:rsidRPr="00E96532">
              <w:rPr>
                <w:rFonts w:ascii="Arial Narrow" w:hAnsi="Arial Narrow"/>
                <w:sz w:val="24"/>
                <w:szCs w:val="24"/>
                <w:lang w:val="af-ZA"/>
              </w:rPr>
              <w:t>n</w:t>
            </w:r>
            <w:r w:rsidRPr="00FF436F">
              <w:rPr>
                <w:rFonts w:ascii="Arial Narrow" w:hAnsi="Arial Narrow"/>
                <w:sz w:val="24"/>
                <w:szCs w:val="24"/>
                <w:lang w:val="af-ZA"/>
              </w:rPr>
              <w:t xml:space="preserve"> application on notice of motion as contemplated in Part 8’</w:t>
            </w:r>
          </w:p>
          <w:p w:rsidR="00F94898" w:rsidRPr="00FF436F" w:rsidRDefault="00F94898" w:rsidP="0028231F">
            <w:pPr>
              <w:tabs>
                <w:tab w:val="left" w:pos="720"/>
                <w:tab w:val="left" w:pos="6405"/>
              </w:tabs>
              <w:spacing w:line="360" w:lineRule="auto"/>
              <w:jc w:val="both"/>
              <w:rPr>
                <w:rFonts w:ascii="Arial Narrow" w:hAnsi="Arial Narrow"/>
                <w:sz w:val="24"/>
                <w:szCs w:val="24"/>
                <w:lang w:val="af-ZA"/>
              </w:rPr>
            </w:pPr>
          </w:p>
          <w:p w:rsidR="004A779D" w:rsidRDefault="004C4F04" w:rsidP="0028231F">
            <w:pPr>
              <w:tabs>
                <w:tab w:val="left" w:pos="6405"/>
              </w:tabs>
              <w:spacing w:line="360" w:lineRule="auto"/>
              <w:jc w:val="both"/>
              <w:rPr>
                <w:rFonts w:ascii="Arial Narrow" w:hAnsi="Arial Narrow"/>
                <w:sz w:val="24"/>
                <w:szCs w:val="24"/>
                <w:lang w:val="af-ZA"/>
              </w:rPr>
            </w:pPr>
            <w:r>
              <w:rPr>
                <w:rFonts w:ascii="Arial Narrow" w:hAnsi="Arial Narrow"/>
                <w:sz w:val="24"/>
                <w:szCs w:val="24"/>
                <w:lang w:val="af-ZA"/>
              </w:rPr>
              <w:t xml:space="preserve"> [10</w:t>
            </w:r>
            <w:r w:rsidR="004A779D" w:rsidRPr="00FF436F">
              <w:rPr>
                <w:rFonts w:ascii="Arial Narrow" w:hAnsi="Arial Narrow"/>
                <w:sz w:val="24"/>
                <w:szCs w:val="24"/>
                <w:lang w:val="af-ZA"/>
              </w:rPr>
              <w:t>]     The plaintiff also referred to the wording of rule 65</w:t>
            </w:r>
            <w:r w:rsidR="00E94597">
              <w:rPr>
                <w:rFonts w:ascii="Arial Narrow" w:hAnsi="Arial Narrow"/>
                <w:sz w:val="24"/>
                <w:szCs w:val="24"/>
                <w:lang w:val="af-ZA"/>
              </w:rPr>
              <w:t xml:space="preserve"> </w:t>
            </w:r>
            <w:r w:rsidR="004A779D" w:rsidRPr="00FF436F">
              <w:rPr>
                <w:rFonts w:ascii="Arial Narrow" w:hAnsi="Arial Narrow"/>
                <w:sz w:val="24"/>
                <w:szCs w:val="24"/>
                <w:lang w:val="af-ZA"/>
              </w:rPr>
              <w:t>(1) which provides as follows:</w:t>
            </w:r>
          </w:p>
          <w:p w:rsidR="00F94898" w:rsidRPr="00FF436F" w:rsidRDefault="00F94898" w:rsidP="0028231F">
            <w:pPr>
              <w:tabs>
                <w:tab w:val="left" w:pos="6405"/>
              </w:tabs>
              <w:spacing w:line="360" w:lineRule="auto"/>
              <w:jc w:val="both"/>
              <w:rPr>
                <w:rFonts w:ascii="Arial Narrow" w:hAnsi="Arial Narrow"/>
                <w:sz w:val="24"/>
                <w:szCs w:val="24"/>
                <w:lang w:val="af-ZA"/>
              </w:rPr>
            </w:pPr>
          </w:p>
          <w:p w:rsidR="004A779D" w:rsidRPr="001125D9" w:rsidRDefault="004A779D" w:rsidP="0028231F">
            <w:pPr>
              <w:tabs>
                <w:tab w:val="left" w:pos="720"/>
              </w:tabs>
              <w:spacing w:line="360" w:lineRule="auto"/>
              <w:jc w:val="both"/>
              <w:rPr>
                <w:rFonts w:ascii="Arial Narrow" w:hAnsi="Arial Narrow"/>
                <w:lang w:val="af-ZA"/>
              </w:rPr>
            </w:pPr>
            <w:r w:rsidRPr="00FF436F">
              <w:rPr>
                <w:rFonts w:ascii="Arial Narrow" w:hAnsi="Arial Narrow"/>
                <w:sz w:val="24"/>
                <w:szCs w:val="24"/>
                <w:lang w:val="af-ZA"/>
              </w:rPr>
              <w:tab/>
            </w:r>
            <w:r w:rsidRPr="001125D9">
              <w:rPr>
                <w:rFonts w:ascii="Arial Narrow" w:hAnsi="Arial Narrow"/>
                <w:lang w:val="af-ZA"/>
              </w:rPr>
              <w:t>‘</w:t>
            </w:r>
            <w:r w:rsidRPr="001125D9">
              <w:rPr>
                <w:rFonts w:ascii="Arial Narrow" w:hAnsi="Arial Narrow"/>
                <w:b/>
                <w:lang w:val="af-ZA"/>
              </w:rPr>
              <w:t>Requirements in respect of an application</w:t>
            </w:r>
          </w:p>
          <w:p w:rsidR="004A779D" w:rsidRPr="001125D9" w:rsidRDefault="00372899" w:rsidP="0028231F">
            <w:pPr>
              <w:tabs>
                <w:tab w:val="left" w:pos="720"/>
              </w:tabs>
              <w:spacing w:line="360" w:lineRule="auto"/>
              <w:jc w:val="both"/>
              <w:rPr>
                <w:rFonts w:ascii="Arial Narrow" w:hAnsi="Arial Narrow"/>
                <w:lang w:val="af-ZA"/>
              </w:rPr>
            </w:pPr>
            <w:r w:rsidRPr="00CF3A02">
              <w:rPr>
                <w:rFonts w:ascii="Arial Narrow" w:hAnsi="Arial Narrow"/>
                <w:lang w:val="af-ZA"/>
              </w:rPr>
              <w:t xml:space="preserve">65.      </w:t>
            </w:r>
            <w:r w:rsidR="004A779D" w:rsidRPr="001125D9">
              <w:rPr>
                <w:rFonts w:ascii="Arial Narrow" w:hAnsi="Arial Narrow"/>
                <w:lang w:val="af-ZA"/>
              </w:rPr>
              <w:t xml:space="preserve">(1) </w:t>
            </w:r>
            <w:r w:rsidR="00E06F98" w:rsidRPr="001125D9">
              <w:rPr>
                <w:rFonts w:ascii="Arial Narrow" w:hAnsi="Arial Narrow"/>
                <w:lang w:val="af-ZA"/>
              </w:rPr>
              <w:t xml:space="preserve">        </w:t>
            </w:r>
            <w:r w:rsidR="004A779D" w:rsidRPr="001125D9">
              <w:rPr>
                <w:rFonts w:ascii="Arial Narrow" w:hAnsi="Arial Narrow"/>
                <w:lang w:val="af-ZA"/>
              </w:rPr>
              <w:t>Every application must be brought on notice of motion supported by affidavit as to the facts on which the applicant relies for relief and every application initiating new proceedings, not forming part of an existing cause or matter, commences with the issue of the notice of motion signed by the registrar, date stamped with the official stamp and uniquely numbered for identification purposes.’</w:t>
            </w:r>
          </w:p>
          <w:p w:rsidR="004A779D" w:rsidRDefault="004C4F04" w:rsidP="0028231F">
            <w:pPr>
              <w:tabs>
                <w:tab w:val="left" w:pos="720"/>
              </w:tabs>
              <w:spacing w:line="360" w:lineRule="auto"/>
              <w:jc w:val="both"/>
              <w:rPr>
                <w:rFonts w:ascii="Arial Narrow" w:hAnsi="Arial Narrow"/>
                <w:sz w:val="24"/>
                <w:szCs w:val="24"/>
                <w:lang w:val="af-ZA"/>
              </w:rPr>
            </w:pPr>
            <w:r>
              <w:rPr>
                <w:rFonts w:ascii="Arial Narrow" w:hAnsi="Arial Narrow"/>
                <w:sz w:val="24"/>
                <w:szCs w:val="24"/>
                <w:lang w:val="af-ZA"/>
              </w:rPr>
              <w:lastRenderedPageBreak/>
              <w:t>[11</w:t>
            </w:r>
            <w:r w:rsidR="000F7F61" w:rsidRPr="00FF436F">
              <w:rPr>
                <w:rFonts w:ascii="Arial Narrow" w:hAnsi="Arial Narrow"/>
                <w:sz w:val="24"/>
                <w:szCs w:val="24"/>
                <w:lang w:val="af-ZA"/>
              </w:rPr>
              <w:t xml:space="preserve">]     </w:t>
            </w:r>
            <w:r w:rsidR="004A779D" w:rsidRPr="00FF436F">
              <w:rPr>
                <w:rFonts w:ascii="Arial Narrow" w:hAnsi="Arial Narrow"/>
                <w:sz w:val="24"/>
                <w:szCs w:val="24"/>
                <w:lang w:val="af-ZA"/>
              </w:rPr>
              <w:t xml:space="preserve">The plaintiff submitted that the party wishing to envoke the provisions of rule 97(3) should make out a case on application, ie on a notice of </w:t>
            </w:r>
            <w:r w:rsidR="00E02B16" w:rsidRPr="00CF3A02">
              <w:rPr>
                <w:rFonts w:ascii="Arial Narrow" w:hAnsi="Arial Narrow"/>
                <w:sz w:val="24"/>
                <w:szCs w:val="24"/>
                <w:lang w:val="af-ZA"/>
              </w:rPr>
              <w:t>motion</w:t>
            </w:r>
            <w:r w:rsidR="00E02B16">
              <w:rPr>
                <w:rFonts w:ascii="Arial Narrow" w:hAnsi="Arial Narrow"/>
                <w:color w:val="FF0000"/>
                <w:sz w:val="24"/>
                <w:szCs w:val="24"/>
                <w:lang w:val="af-ZA"/>
              </w:rPr>
              <w:t xml:space="preserve"> </w:t>
            </w:r>
            <w:r w:rsidR="004A779D" w:rsidRPr="00FF436F">
              <w:rPr>
                <w:rFonts w:ascii="Arial Narrow" w:hAnsi="Arial Narrow"/>
                <w:sz w:val="24"/>
                <w:szCs w:val="24"/>
                <w:lang w:val="af-ZA"/>
              </w:rPr>
              <w:t xml:space="preserve">setting out the relief claimed </w:t>
            </w:r>
            <w:r w:rsidR="000C18BE" w:rsidRPr="00CF3A02">
              <w:rPr>
                <w:rFonts w:ascii="Arial Narrow" w:hAnsi="Arial Narrow"/>
                <w:sz w:val="24"/>
                <w:szCs w:val="24"/>
                <w:lang w:val="af-ZA"/>
              </w:rPr>
              <w:t xml:space="preserve">which is </w:t>
            </w:r>
            <w:r w:rsidR="004A779D" w:rsidRPr="00FF436F">
              <w:rPr>
                <w:rFonts w:ascii="Arial Narrow" w:hAnsi="Arial Narrow"/>
                <w:sz w:val="24"/>
                <w:szCs w:val="24"/>
                <w:lang w:val="af-ZA"/>
              </w:rPr>
              <w:t xml:space="preserve">accompanied by an affidavit on which the bases for the invocation of the </w:t>
            </w:r>
            <w:r w:rsidR="009A0827" w:rsidRPr="00CF3A02">
              <w:rPr>
                <w:rFonts w:ascii="Arial Narrow" w:hAnsi="Arial Narrow"/>
                <w:sz w:val="24"/>
                <w:szCs w:val="24"/>
                <w:lang w:val="af-ZA"/>
              </w:rPr>
              <w:t>rule</w:t>
            </w:r>
            <w:r w:rsidR="009A0827">
              <w:rPr>
                <w:rFonts w:ascii="Arial Narrow" w:hAnsi="Arial Narrow"/>
                <w:color w:val="FF0000"/>
                <w:sz w:val="24"/>
                <w:szCs w:val="24"/>
                <w:lang w:val="af-ZA"/>
              </w:rPr>
              <w:t xml:space="preserve"> </w:t>
            </w:r>
            <w:r w:rsidR="004A779D" w:rsidRPr="00FF436F">
              <w:rPr>
                <w:rFonts w:ascii="Arial Narrow" w:hAnsi="Arial Narrow"/>
                <w:sz w:val="24"/>
                <w:szCs w:val="24"/>
                <w:lang w:val="af-ZA"/>
              </w:rPr>
              <w:t>is clearly spelt out. It was further submitted th</w:t>
            </w:r>
            <w:r w:rsidR="000C18BE">
              <w:rPr>
                <w:rFonts w:ascii="Arial Narrow" w:hAnsi="Arial Narrow"/>
                <w:sz w:val="24"/>
                <w:szCs w:val="24"/>
                <w:lang w:val="af-ZA"/>
              </w:rPr>
              <w:t>at the defendant only fiiled a ‘</w:t>
            </w:r>
            <w:r w:rsidR="004A779D" w:rsidRPr="00FF436F">
              <w:rPr>
                <w:rFonts w:ascii="Arial Narrow" w:hAnsi="Arial Narrow"/>
                <w:sz w:val="24"/>
                <w:szCs w:val="24"/>
                <w:lang w:val="af-ZA"/>
              </w:rPr>
              <w:t xml:space="preserve">Notice in terms of </w:t>
            </w:r>
            <w:r w:rsidR="000C18BE" w:rsidRPr="00CF3A02">
              <w:rPr>
                <w:rFonts w:ascii="Arial Narrow" w:hAnsi="Arial Narrow"/>
                <w:sz w:val="24"/>
                <w:szCs w:val="24"/>
                <w:lang w:val="af-ZA"/>
              </w:rPr>
              <w:t xml:space="preserve">Rule </w:t>
            </w:r>
            <w:r w:rsidR="004A779D" w:rsidRPr="00FF436F">
              <w:rPr>
                <w:rFonts w:ascii="Arial Narrow" w:hAnsi="Arial Narrow"/>
                <w:sz w:val="24"/>
                <w:szCs w:val="24"/>
                <w:lang w:val="af-ZA"/>
              </w:rPr>
              <w:t>97(3)</w:t>
            </w:r>
            <w:r w:rsidR="000C18BE">
              <w:rPr>
                <w:rFonts w:ascii="Arial Narrow" w:hAnsi="Arial Narrow"/>
                <w:sz w:val="24"/>
                <w:szCs w:val="24"/>
                <w:lang w:val="af-ZA"/>
              </w:rPr>
              <w:t>’</w:t>
            </w:r>
            <w:r w:rsidR="004A779D" w:rsidRPr="00FF436F">
              <w:rPr>
                <w:rFonts w:ascii="Arial Narrow" w:hAnsi="Arial Narrow"/>
                <w:sz w:val="24"/>
                <w:szCs w:val="24"/>
                <w:lang w:val="af-ZA"/>
              </w:rPr>
              <w:t xml:space="preserve"> but that the </w:t>
            </w:r>
            <w:r w:rsidR="00CD4EAB" w:rsidRPr="00CF3A02">
              <w:rPr>
                <w:rFonts w:ascii="Arial Narrow" w:hAnsi="Arial Narrow"/>
                <w:sz w:val="24"/>
                <w:szCs w:val="24"/>
                <w:lang w:val="af-ZA"/>
              </w:rPr>
              <w:t xml:space="preserve">defendant </w:t>
            </w:r>
            <w:r w:rsidR="004A779D" w:rsidRPr="00FF436F">
              <w:rPr>
                <w:rFonts w:ascii="Arial Narrow" w:hAnsi="Arial Narrow"/>
                <w:sz w:val="24"/>
                <w:szCs w:val="24"/>
                <w:lang w:val="af-ZA"/>
              </w:rPr>
              <w:t xml:space="preserve">misinterpreted the </w:t>
            </w:r>
            <w:r w:rsidR="00CD4EAB" w:rsidRPr="00CF3A02">
              <w:rPr>
                <w:rFonts w:ascii="Arial Narrow" w:hAnsi="Arial Narrow"/>
                <w:sz w:val="24"/>
                <w:szCs w:val="24"/>
                <w:lang w:val="af-ZA"/>
              </w:rPr>
              <w:t>rule</w:t>
            </w:r>
            <w:r w:rsidR="00CD4EAB">
              <w:rPr>
                <w:rFonts w:ascii="Arial Narrow" w:hAnsi="Arial Narrow"/>
                <w:color w:val="FF0000"/>
                <w:sz w:val="24"/>
                <w:szCs w:val="24"/>
                <w:lang w:val="af-ZA"/>
              </w:rPr>
              <w:t xml:space="preserve"> </w:t>
            </w:r>
            <w:r w:rsidR="004A779D" w:rsidRPr="00FF436F">
              <w:rPr>
                <w:rFonts w:ascii="Arial Narrow" w:hAnsi="Arial Narrow"/>
                <w:sz w:val="24"/>
                <w:szCs w:val="24"/>
                <w:lang w:val="af-ZA"/>
              </w:rPr>
              <w:t>and as a result the defendant filed an application that is irregular, which should not be regarded as an</w:t>
            </w:r>
            <w:r w:rsidR="003B11E0">
              <w:rPr>
                <w:rFonts w:ascii="Arial Narrow" w:hAnsi="Arial Narrow"/>
                <w:color w:val="FF0000"/>
                <w:sz w:val="24"/>
                <w:szCs w:val="24"/>
                <w:lang w:val="af-ZA"/>
              </w:rPr>
              <w:t xml:space="preserve"> </w:t>
            </w:r>
            <w:r w:rsidR="003B11E0" w:rsidRPr="00CF3A02">
              <w:rPr>
                <w:rFonts w:ascii="Arial Narrow" w:hAnsi="Arial Narrow"/>
                <w:sz w:val="24"/>
                <w:szCs w:val="24"/>
                <w:lang w:val="af-ZA"/>
              </w:rPr>
              <w:t>application</w:t>
            </w:r>
            <w:r w:rsidR="004A779D" w:rsidRPr="00FF436F">
              <w:rPr>
                <w:rFonts w:ascii="Arial Narrow" w:hAnsi="Arial Narrow"/>
                <w:sz w:val="24"/>
                <w:szCs w:val="24"/>
                <w:lang w:val="af-ZA"/>
              </w:rPr>
              <w:t>. The plaintiff conceded that no sound reasons were advanced for not tendering costs but further submitted that had the defendant filed a proper application the plaintiff would have set out his reasons in his opposing affidavit.</w:t>
            </w:r>
          </w:p>
          <w:p w:rsidR="00A2024D" w:rsidRPr="00FF436F" w:rsidRDefault="00A2024D" w:rsidP="0028231F">
            <w:pPr>
              <w:tabs>
                <w:tab w:val="left" w:pos="720"/>
              </w:tabs>
              <w:spacing w:line="360" w:lineRule="auto"/>
              <w:jc w:val="both"/>
              <w:rPr>
                <w:rFonts w:ascii="Arial Narrow" w:hAnsi="Arial Narrow"/>
                <w:sz w:val="24"/>
                <w:szCs w:val="24"/>
                <w:lang w:val="af-ZA"/>
              </w:rPr>
            </w:pPr>
          </w:p>
          <w:p w:rsidR="004A779D" w:rsidRDefault="004C4F04" w:rsidP="0028231F">
            <w:pPr>
              <w:tabs>
                <w:tab w:val="left" w:pos="720"/>
              </w:tabs>
              <w:spacing w:line="360" w:lineRule="auto"/>
              <w:jc w:val="both"/>
              <w:rPr>
                <w:rFonts w:ascii="Arial Narrow" w:hAnsi="Arial Narrow"/>
                <w:sz w:val="24"/>
                <w:szCs w:val="24"/>
                <w:lang w:val="af-ZA"/>
              </w:rPr>
            </w:pPr>
            <w:r>
              <w:rPr>
                <w:rFonts w:ascii="Arial Narrow" w:hAnsi="Arial Narrow"/>
                <w:sz w:val="24"/>
                <w:szCs w:val="24"/>
                <w:lang w:val="af-ZA"/>
              </w:rPr>
              <w:t>[12</w:t>
            </w:r>
            <w:r w:rsidR="000F7F61" w:rsidRPr="00FF436F">
              <w:rPr>
                <w:rFonts w:ascii="Arial Narrow" w:hAnsi="Arial Narrow"/>
                <w:sz w:val="24"/>
                <w:szCs w:val="24"/>
                <w:lang w:val="af-ZA"/>
              </w:rPr>
              <w:t xml:space="preserve">]     </w:t>
            </w:r>
            <w:r w:rsidR="004A779D" w:rsidRPr="00FF436F">
              <w:rPr>
                <w:rFonts w:ascii="Arial Narrow" w:hAnsi="Arial Narrow"/>
                <w:sz w:val="24"/>
                <w:szCs w:val="24"/>
                <w:lang w:val="af-ZA"/>
              </w:rPr>
              <w:t xml:space="preserve">On behalf of the plaintiff it was therefore submitted that the defendant’s purported application should be dismissed with costs. </w:t>
            </w:r>
          </w:p>
          <w:p w:rsidR="00A2024D" w:rsidRPr="00FF436F" w:rsidRDefault="00A2024D" w:rsidP="0028231F">
            <w:pPr>
              <w:tabs>
                <w:tab w:val="left" w:pos="720"/>
              </w:tabs>
              <w:spacing w:line="360" w:lineRule="auto"/>
              <w:jc w:val="both"/>
              <w:rPr>
                <w:rFonts w:ascii="Arial Narrow" w:hAnsi="Arial Narrow"/>
                <w:sz w:val="24"/>
                <w:szCs w:val="24"/>
                <w:lang w:val="af-ZA"/>
              </w:rPr>
            </w:pPr>
          </w:p>
          <w:p w:rsidR="004A779D" w:rsidRDefault="004C4F04" w:rsidP="0028231F">
            <w:pPr>
              <w:tabs>
                <w:tab w:val="left" w:pos="720"/>
              </w:tabs>
              <w:spacing w:line="360" w:lineRule="auto"/>
              <w:jc w:val="both"/>
              <w:rPr>
                <w:rFonts w:ascii="Arial Narrow" w:hAnsi="Arial Narrow"/>
                <w:sz w:val="24"/>
                <w:szCs w:val="24"/>
                <w:lang w:val="af-ZA"/>
              </w:rPr>
            </w:pPr>
            <w:r>
              <w:rPr>
                <w:rFonts w:ascii="Arial Narrow" w:hAnsi="Arial Narrow"/>
                <w:sz w:val="24"/>
                <w:szCs w:val="24"/>
                <w:lang w:val="af-ZA"/>
              </w:rPr>
              <w:t>[13</w:t>
            </w:r>
            <w:r w:rsidR="000F7F61" w:rsidRPr="00FF436F">
              <w:rPr>
                <w:rFonts w:ascii="Arial Narrow" w:hAnsi="Arial Narrow"/>
                <w:sz w:val="24"/>
                <w:szCs w:val="24"/>
                <w:lang w:val="af-ZA"/>
              </w:rPr>
              <w:t xml:space="preserve">]     </w:t>
            </w:r>
            <w:r w:rsidR="004A779D" w:rsidRPr="00FF436F">
              <w:rPr>
                <w:rFonts w:ascii="Arial Narrow" w:hAnsi="Arial Narrow"/>
                <w:sz w:val="24"/>
                <w:szCs w:val="24"/>
                <w:lang w:val="af-ZA"/>
              </w:rPr>
              <w:t>On the merits of the matter the plaintiff</w:t>
            </w:r>
            <w:r w:rsidR="008B01F7">
              <w:rPr>
                <w:rFonts w:ascii="Arial Narrow" w:hAnsi="Arial Narrow"/>
                <w:sz w:val="24"/>
                <w:szCs w:val="24"/>
                <w:lang w:val="af-ZA"/>
              </w:rPr>
              <w:t>,</w:t>
            </w:r>
            <w:r w:rsidR="004A779D" w:rsidRPr="00FF436F">
              <w:rPr>
                <w:rFonts w:ascii="Arial Narrow" w:hAnsi="Arial Narrow"/>
                <w:sz w:val="24"/>
                <w:szCs w:val="24"/>
                <w:lang w:val="af-ZA"/>
              </w:rPr>
              <w:t xml:space="preserve"> leading up to the witdrawal of the action submitted that the action </w:t>
            </w:r>
            <w:r w:rsidR="004A779D" w:rsidRPr="00FF436F">
              <w:rPr>
                <w:rFonts w:ascii="Arial Narrow" w:hAnsi="Arial Narrow"/>
                <w:i/>
                <w:sz w:val="24"/>
                <w:szCs w:val="24"/>
                <w:lang w:val="af-ZA"/>
              </w:rPr>
              <w:t>in casu</w:t>
            </w:r>
            <w:r w:rsidR="004A779D" w:rsidRPr="00FF436F">
              <w:rPr>
                <w:rFonts w:ascii="Arial Narrow" w:hAnsi="Arial Narrow"/>
                <w:sz w:val="24"/>
                <w:szCs w:val="24"/>
                <w:lang w:val="af-ZA"/>
              </w:rPr>
              <w:t xml:space="preserve"> had it’s origin to some extent in an old case dating back to 2012 wherein the plaintiff instituted action against </w:t>
            </w:r>
            <w:r w:rsidR="0000773F" w:rsidRPr="00CF3A02">
              <w:rPr>
                <w:rFonts w:ascii="Arial Narrow" w:hAnsi="Arial Narrow"/>
                <w:sz w:val="24"/>
                <w:szCs w:val="24"/>
                <w:lang w:val="af-ZA"/>
              </w:rPr>
              <w:t xml:space="preserve">the </w:t>
            </w:r>
            <w:r w:rsidR="004A779D" w:rsidRPr="00FF436F">
              <w:rPr>
                <w:rFonts w:ascii="Arial Narrow" w:hAnsi="Arial Narrow"/>
                <w:sz w:val="24"/>
                <w:szCs w:val="24"/>
                <w:lang w:val="af-ZA"/>
              </w:rPr>
              <w:t>estate of his late father claiming inheritance by virtue of customary law</w:t>
            </w:r>
            <w:r w:rsidR="0000773F">
              <w:rPr>
                <w:rFonts w:ascii="Arial Narrow" w:hAnsi="Arial Narrow"/>
                <w:sz w:val="24"/>
                <w:szCs w:val="24"/>
                <w:lang w:val="af-ZA"/>
              </w:rPr>
              <w:t xml:space="preserve"> </w:t>
            </w:r>
            <w:r w:rsidR="0000773F" w:rsidRPr="00CF3A02">
              <w:rPr>
                <w:rFonts w:ascii="Arial Narrow" w:hAnsi="Arial Narrow"/>
                <w:sz w:val="24"/>
                <w:szCs w:val="24"/>
                <w:lang w:val="af-ZA"/>
              </w:rPr>
              <w:t>however</w:t>
            </w:r>
            <w:r w:rsidR="004A779D" w:rsidRPr="00FF436F">
              <w:rPr>
                <w:rFonts w:ascii="Arial Narrow" w:hAnsi="Arial Narrow"/>
                <w:sz w:val="24"/>
                <w:szCs w:val="24"/>
                <w:lang w:val="af-ZA"/>
              </w:rPr>
              <w:t xml:space="preserve"> the plaintiff was the unsucessful party in that case.  As the plaintiff was evicted from the farm and had difficulty in gathering and moving his cattle </w:t>
            </w:r>
            <w:r w:rsidR="00564863" w:rsidRPr="00CF3A02">
              <w:rPr>
                <w:rFonts w:ascii="Arial Narrow" w:hAnsi="Arial Narrow"/>
                <w:sz w:val="24"/>
                <w:szCs w:val="24"/>
                <w:lang w:val="af-ZA"/>
              </w:rPr>
              <w:t xml:space="preserve">on time </w:t>
            </w:r>
            <w:r w:rsidR="004A779D" w:rsidRPr="00FF436F">
              <w:rPr>
                <w:rFonts w:ascii="Arial Narrow" w:hAnsi="Arial Narrow"/>
                <w:sz w:val="24"/>
                <w:szCs w:val="24"/>
                <w:lang w:val="af-ZA"/>
              </w:rPr>
              <w:t xml:space="preserve">an agreement </w:t>
            </w:r>
            <w:r w:rsidR="00564863" w:rsidRPr="00CF3A02">
              <w:rPr>
                <w:rFonts w:ascii="Arial Narrow" w:hAnsi="Arial Narrow"/>
                <w:sz w:val="24"/>
                <w:szCs w:val="24"/>
                <w:lang w:val="af-ZA"/>
              </w:rPr>
              <w:t>was</w:t>
            </w:r>
            <w:r w:rsidR="00564863">
              <w:rPr>
                <w:rFonts w:ascii="Arial Narrow" w:hAnsi="Arial Narrow"/>
                <w:color w:val="FF0000"/>
                <w:sz w:val="24"/>
                <w:szCs w:val="24"/>
                <w:lang w:val="af-ZA"/>
              </w:rPr>
              <w:t xml:space="preserve"> </w:t>
            </w:r>
            <w:r w:rsidR="004A779D" w:rsidRPr="00FF436F">
              <w:rPr>
                <w:rFonts w:ascii="Arial Narrow" w:hAnsi="Arial Narrow"/>
                <w:sz w:val="24"/>
                <w:szCs w:val="24"/>
                <w:lang w:val="af-ZA"/>
              </w:rPr>
              <w:t xml:space="preserve">reached between the plaintiff and the defendant regarding the sale of </w:t>
            </w:r>
            <w:r w:rsidR="004A779D" w:rsidRPr="00CF3A02">
              <w:rPr>
                <w:rFonts w:ascii="Arial Narrow" w:hAnsi="Arial Narrow"/>
                <w:sz w:val="24"/>
                <w:szCs w:val="24"/>
                <w:lang w:val="af-ZA"/>
              </w:rPr>
              <w:t>the</w:t>
            </w:r>
            <w:r w:rsidR="00564863">
              <w:rPr>
                <w:rFonts w:ascii="Arial Narrow" w:hAnsi="Arial Narrow"/>
                <w:sz w:val="24"/>
                <w:szCs w:val="24"/>
                <w:lang w:val="af-ZA"/>
              </w:rPr>
              <w:t xml:space="preserve"> live</w:t>
            </w:r>
            <w:r w:rsidR="004A779D" w:rsidRPr="00FF436F">
              <w:rPr>
                <w:rFonts w:ascii="Arial Narrow" w:hAnsi="Arial Narrow"/>
                <w:sz w:val="24"/>
                <w:szCs w:val="24"/>
                <w:lang w:val="af-ZA"/>
              </w:rPr>
              <w:t xml:space="preserve">stock. The defendant allegedly breached the agreement which led to the </w:t>
            </w:r>
            <w:r w:rsidR="005A4BF1" w:rsidRPr="00CF3A02">
              <w:rPr>
                <w:rFonts w:ascii="Arial Narrow" w:hAnsi="Arial Narrow"/>
                <w:sz w:val="24"/>
                <w:szCs w:val="24"/>
                <w:lang w:val="af-ZA"/>
              </w:rPr>
              <w:t>institution</w:t>
            </w:r>
            <w:r w:rsidR="005A4BF1">
              <w:rPr>
                <w:rFonts w:ascii="Arial Narrow" w:hAnsi="Arial Narrow"/>
                <w:color w:val="FF0000"/>
                <w:sz w:val="24"/>
                <w:szCs w:val="24"/>
                <w:lang w:val="af-ZA"/>
              </w:rPr>
              <w:t xml:space="preserve"> </w:t>
            </w:r>
            <w:r w:rsidR="004A779D" w:rsidRPr="00FF436F">
              <w:rPr>
                <w:rFonts w:ascii="Arial Narrow" w:hAnsi="Arial Narrow"/>
                <w:sz w:val="24"/>
                <w:szCs w:val="24"/>
                <w:lang w:val="af-ZA"/>
              </w:rPr>
              <w:t xml:space="preserve">of the current matter. </w:t>
            </w:r>
          </w:p>
          <w:p w:rsidR="00A2024D" w:rsidRPr="00FF436F" w:rsidRDefault="00A2024D" w:rsidP="0028231F">
            <w:pPr>
              <w:tabs>
                <w:tab w:val="left" w:pos="720"/>
              </w:tabs>
              <w:spacing w:line="360" w:lineRule="auto"/>
              <w:jc w:val="both"/>
              <w:rPr>
                <w:rFonts w:ascii="Arial Narrow" w:hAnsi="Arial Narrow"/>
                <w:sz w:val="24"/>
                <w:szCs w:val="24"/>
                <w:lang w:val="af-ZA"/>
              </w:rPr>
            </w:pPr>
          </w:p>
          <w:p w:rsidR="004A779D" w:rsidRDefault="004C4F04" w:rsidP="0028231F">
            <w:pPr>
              <w:tabs>
                <w:tab w:val="left" w:pos="720"/>
              </w:tabs>
              <w:spacing w:line="360" w:lineRule="auto"/>
              <w:jc w:val="both"/>
              <w:rPr>
                <w:rFonts w:ascii="Arial Narrow" w:hAnsi="Arial Narrow"/>
                <w:sz w:val="24"/>
                <w:szCs w:val="24"/>
                <w:lang w:val="af-ZA"/>
              </w:rPr>
            </w:pPr>
            <w:r>
              <w:rPr>
                <w:rFonts w:ascii="Arial Narrow" w:hAnsi="Arial Narrow"/>
                <w:sz w:val="24"/>
                <w:szCs w:val="24"/>
                <w:lang w:val="af-ZA"/>
              </w:rPr>
              <w:t>[14</w:t>
            </w:r>
            <w:r w:rsidR="000F7F61" w:rsidRPr="00FF436F">
              <w:rPr>
                <w:rFonts w:ascii="Arial Narrow" w:hAnsi="Arial Narrow"/>
                <w:sz w:val="24"/>
                <w:szCs w:val="24"/>
                <w:lang w:val="af-ZA"/>
              </w:rPr>
              <w:t xml:space="preserve">]     </w:t>
            </w:r>
            <w:r w:rsidR="004A779D" w:rsidRPr="00FF436F">
              <w:rPr>
                <w:rFonts w:ascii="Arial Narrow" w:hAnsi="Arial Narrow"/>
                <w:sz w:val="24"/>
                <w:szCs w:val="24"/>
                <w:lang w:val="af-ZA"/>
              </w:rPr>
              <w:t xml:space="preserve">According to the plaintiff during July 2019 (I am assuming it should be 2018) after a rule 32 meeting between counsel in the matter in casu the legal representative of the defendant issued a writ of execution in respect of the old case, to which the defendant was not a party. As a result the Deputy-Sheriff </w:t>
            </w:r>
            <w:r w:rsidR="00315A50" w:rsidRPr="00CF3A02">
              <w:rPr>
                <w:rFonts w:ascii="Arial Narrow" w:hAnsi="Arial Narrow"/>
                <w:sz w:val="24"/>
                <w:szCs w:val="24"/>
                <w:lang w:val="af-ZA"/>
              </w:rPr>
              <w:t>of</w:t>
            </w:r>
            <w:r w:rsidR="00315A50">
              <w:rPr>
                <w:rFonts w:ascii="Arial Narrow" w:hAnsi="Arial Narrow"/>
                <w:color w:val="FF0000"/>
                <w:sz w:val="24"/>
                <w:szCs w:val="24"/>
                <w:lang w:val="af-ZA"/>
              </w:rPr>
              <w:t xml:space="preserve"> </w:t>
            </w:r>
            <w:r w:rsidR="004A779D" w:rsidRPr="00FF436F">
              <w:rPr>
                <w:rFonts w:ascii="Arial Narrow" w:hAnsi="Arial Narrow"/>
                <w:sz w:val="24"/>
                <w:szCs w:val="24"/>
                <w:lang w:val="af-ZA"/>
              </w:rPr>
              <w:t>Gobabis attached all the cattle in dispute, which extinguished the claim of the plaintiff</w:t>
            </w:r>
            <w:r w:rsidR="000440C7">
              <w:rPr>
                <w:rFonts w:ascii="Arial Narrow" w:hAnsi="Arial Narrow"/>
                <w:sz w:val="24"/>
                <w:szCs w:val="24"/>
                <w:lang w:val="af-ZA"/>
              </w:rPr>
              <w:t xml:space="preserve">, </w:t>
            </w:r>
            <w:r w:rsidR="000440C7" w:rsidRPr="00CF3A02">
              <w:rPr>
                <w:rFonts w:ascii="Arial Narrow" w:hAnsi="Arial Narrow"/>
                <w:sz w:val="24"/>
                <w:szCs w:val="24"/>
                <w:lang w:val="af-ZA"/>
              </w:rPr>
              <w:t>which resulted in the plaintiff withdrawing</w:t>
            </w:r>
            <w:r w:rsidR="004A779D" w:rsidRPr="00FF436F">
              <w:rPr>
                <w:rFonts w:ascii="Arial Narrow" w:hAnsi="Arial Narrow"/>
                <w:sz w:val="24"/>
                <w:szCs w:val="24"/>
                <w:lang w:val="af-ZA"/>
              </w:rPr>
              <w:t xml:space="preserve"> the </w:t>
            </w:r>
            <w:r w:rsidR="000440C7" w:rsidRPr="00CF3A02">
              <w:rPr>
                <w:rFonts w:ascii="Arial Narrow" w:hAnsi="Arial Narrow"/>
                <w:sz w:val="24"/>
                <w:szCs w:val="24"/>
                <w:lang w:val="af-ZA"/>
              </w:rPr>
              <w:t>current</w:t>
            </w:r>
            <w:r w:rsidR="000440C7">
              <w:rPr>
                <w:rFonts w:ascii="Arial Narrow" w:hAnsi="Arial Narrow"/>
                <w:color w:val="FF0000"/>
                <w:sz w:val="24"/>
                <w:szCs w:val="24"/>
                <w:lang w:val="af-ZA"/>
              </w:rPr>
              <w:t xml:space="preserve"> </w:t>
            </w:r>
            <w:r w:rsidR="004A779D" w:rsidRPr="00FF436F">
              <w:rPr>
                <w:rFonts w:ascii="Arial Narrow" w:hAnsi="Arial Narrow"/>
                <w:sz w:val="24"/>
                <w:szCs w:val="24"/>
                <w:lang w:val="af-ZA"/>
              </w:rPr>
              <w:t xml:space="preserve">action. </w:t>
            </w:r>
          </w:p>
          <w:p w:rsidR="00A2024D" w:rsidRPr="00FF436F" w:rsidRDefault="00A2024D" w:rsidP="0028231F">
            <w:pPr>
              <w:tabs>
                <w:tab w:val="left" w:pos="720"/>
              </w:tabs>
              <w:spacing w:line="360" w:lineRule="auto"/>
              <w:jc w:val="both"/>
              <w:rPr>
                <w:rFonts w:ascii="Arial Narrow" w:hAnsi="Arial Narrow"/>
                <w:sz w:val="24"/>
                <w:szCs w:val="24"/>
                <w:lang w:val="af-ZA"/>
              </w:rPr>
            </w:pPr>
          </w:p>
          <w:p w:rsidR="004A779D" w:rsidRDefault="004C4F04" w:rsidP="0028231F">
            <w:pPr>
              <w:tabs>
                <w:tab w:val="left" w:pos="720"/>
              </w:tabs>
              <w:spacing w:line="360" w:lineRule="auto"/>
              <w:jc w:val="both"/>
              <w:rPr>
                <w:rFonts w:ascii="Arial Narrow" w:hAnsi="Arial Narrow"/>
                <w:sz w:val="24"/>
                <w:szCs w:val="24"/>
                <w:lang w:val="af-ZA"/>
              </w:rPr>
            </w:pPr>
            <w:r>
              <w:rPr>
                <w:rFonts w:ascii="Arial Narrow" w:hAnsi="Arial Narrow"/>
                <w:sz w:val="24"/>
                <w:szCs w:val="24"/>
                <w:lang w:val="af-ZA"/>
              </w:rPr>
              <w:t>[15</w:t>
            </w:r>
            <w:r w:rsidR="000F7F61" w:rsidRPr="00FF436F">
              <w:rPr>
                <w:rFonts w:ascii="Arial Narrow" w:hAnsi="Arial Narrow"/>
                <w:sz w:val="24"/>
                <w:szCs w:val="24"/>
                <w:lang w:val="af-ZA"/>
              </w:rPr>
              <w:t xml:space="preserve">]     </w:t>
            </w:r>
            <w:r w:rsidR="004A779D" w:rsidRPr="00FF436F">
              <w:rPr>
                <w:rFonts w:ascii="Arial Narrow" w:hAnsi="Arial Narrow"/>
                <w:sz w:val="24"/>
                <w:szCs w:val="24"/>
                <w:lang w:val="af-ZA"/>
              </w:rPr>
              <w:t xml:space="preserve">On behalf of the plaintiff it is submitted that at all material times the plaintiff had a valid claim against the defendant and the withdrawal of the action was not as a result of the counterclaim or the defence raised in his opposing papers. It is submitted that the claim against the defendant was only extinguished by the evasive tactics of the defendant’s legal practitioner. </w:t>
            </w:r>
          </w:p>
          <w:p w:rsidR="00A2024D" w:rsidRPr="00FF436F" w:rsidRDefault="00A2024D" w:rsidP="0028231F">
            <w:pPr>
              <w:tabs>
                <w:tab w:val="left" w:pos="720"/>
              </w:tabs>
              <w:spacing w:line="360" w:lineRule="auto"/>
              <w:jc w:val="both"/>
              <w:rPr>
                <w:rFonts w:ascii="Arial Narrow" w:hAnsi="Arial Narrow"/>
                <w:sz w:val="24"/>
                <w:szCs w:val="24"/>
                <w:lang w:val="af-ZA"/>
              </w:rPr>
            </w:pPr>
          </w:p>
          <w:p w:rsidR="004A779D" w:rsidRDefault="004C4F04" w:rsidP="0028231F">
            <w:pPr>
              <w:tabs>
                <w:tab w:val="left" w:pos="720"/>
              </w:tabs>
              <w:spacing w:line="360" w:lineRule="auto"/>
              <w:jc w:val="both"/>
              <w:rPr>
                <w:rFonts w:ascii="Arial Narrow" w:hAnsi="Arial Narrow"/>
                <w:sz w:val="24"/>
                <w:szCs w:val="24"/>
                <w:lang w:val="af-ZA"/>
              </w:rPr>
            </w:pPr>
            <w:r>
              <w:rPr>
                <w:rFonts w:ascii="Arial Narrow" w:hAnsi="Arial Narrow"/>
                <w:sz w:val="24"/>
                <w:szCs w:val="24"/>
                <w:lang w:val="af-ZA"/>
              </w:rPr>
              <w:t>[16</w:t>
            </w:r>
            <w:r w:rsidR="000F7F61" w:rsidRPr="00FF436F">
              <w:rPr>
                <w:rFonts w:ascii="Arial Narrow" w:hAnsi="Arial Narrow"/>
                <w:sz w:val="24"/>
                <w:szCs w:val="24"/>
                <w:lang w:val="af-ZA"/>
              </w:rPr>
              <w:t xml:space="preserve">]     </w:t>
            </w:r>
            <w:r w:rsidR="004A779D" w:rsidRPr="00FF436F">
              <w:rPr>
                <w:rFonts w:ascii="Arial Narrow" w:hAnsi="Arial Narrow"/>
                <w:sz w:val="24"/>
                <w:szCs w:val="24"/>
                <w:lang w:val="af-ZA"/>
              </w:rPr>
              <w:t xml:space="preserve">In conclusion it is submitted that upon consideration of the relevant facts of the matter the court should not mulct the plaintiff with costs for exercising his </w:t>
            </w:r>
            <w:r w:rsidR="00FF244E" w:rsidRPr="00CF3A02">
              <w:rPr>
                <w:rFonts w:ascii="Arial Narrow" w:hAnsi="Arial Narrow"/>
                <w:sz w:val="24"/>
                <w:szCs w:val="24"/>
                <w:lang w:val="af-ZA"/>
              </w:rPr>
              <w:t>c</w:t>
            </w:r>
            <w:r w:rsidR="004A779D" w:rsidRPr="00FF436F">
              <w:rPr>
                <w:rFonts w:ascii="Arial Narrow" w:hAnsi="Arial Narrow"/>
                <w:sz w:val="24"/>
                <w:szCs w:val="24"/>
                <w:lang w:val="af-ZA"/>
              </w:rPr>
              <w:t xml:space="preserve">onstitutional rights and that each party should instead pay his own costs.  </w:t>
            </w:r>
          </w:p>
          <w:p w:rsidR="00A2024D" w:rsidRPr="00FF436F" w:rsidRDefault="00A2024D" w:rsidP="0028231F">
            <w:pPr>
              <w:tabs>
                <w:tab w:val="left" w:pos="720"/>
              </w:tabs>
              <w:spacing w:line="360" w:lineRule="auto"/>
              <w:jc w:val="both"/>
              <w:rPr>
                <w:rFonts w:ascii="Arial Narrow" w:hAnsi="Arial Narrow" w:cs="Arial"/>
                <w:sz w:val="24"/>
                <w:szCs w:val="24"/>
                <w:lang w:val="af-ZA"/>
              </w:rPr>
            </w:pPr>
          </w:p>
          <w:p w:rsidR="000B31F0" w:rsidRDefault="00F85E84" w:rsidP="0028231F">
            <w:pPr>
              <w:tabs>
                <w:tab w:val="left" w:pos="1275"/>
              </w:tabs>
              <w:spacing w:line="360" w:lineRule="auto"/>
              <w:jc w:val="both"/>
              <w:rPr>
                <w:rFonts w:ascii="Arial Narrow" w:hAnsi="Arial Narrow" w:cs="Arial"/>
                <w:i/>
                <w:sz w:val="24"/>
                <w:szCs w:val="24"/>
                <w:u w:val="single"/>
              </w:rPr>
            </w:pPr>
            <w:r w:rsidRPr="00FF436F">
              <w:rPr>
                <w:rFonts w:ascii="Arial Narrow" w:hAnsi="Arial Narrow" w:cs="Arial"/>
                <w:sz w:val="24"/>
                <w:szCs w:val="24"/>
                <w:u w:val="single"/>
              </w:rPr>
              <w:lastRenderedPageBreak/>
              <w:t xml:space="preserve">The point </w:t>
            </w:r>
            <w:r w:rsidRPr="00FF436F">
              <w:rPr>
                <w:rFonts w:ascii="Arial Narrow" w:hAnsi="Arial Narrow" w:cs="Arial"/>
                <w:i/>
                <w:sz w:val="24"/>
                <w:szCs w:val="24"/>
                <w:u w:val="single"/>
              </w:rPr>
              <w:t>in limine</w:t>
            </w:r>
          </w:p>
          <w:p w:rsidR="009F0F12" w:rsidRPr="009F0F12" w:rsidRDefault="009F0F12" w:rsidP="0028231F">
            <w:pPr>
              <w:tabs>
                <w:tab w:val="left" w:pos="1275"/>
              </w:tabs>
              <w:spacing w:line="360" w:lineRule="auto"/>
              <w:jc w:val="both"/>
              <w:rPr>
                <w:rFonts w:ascii="Arial Narrow" w:hAnsi="Arial Narrow" w:cs="Arial"/>
                <w:sz w:val="24"/>
                <w:szCs w:val="24"/>
              </w:rPr>
            </w:pPr>
          </w:p>
          <w:p w:rsidR="009F0F12" w:rsidRPr="00FF436F" w:rsidRDefault="00F85E84" w:rsidP="0028231F">
            <w:pPr>
              <w:tabs>
                <w:tab w:val="left" w:pos="720"/>
              </w:tabs>
              <w:spacing w:line="360" w:lineRule="auto"/>
              <w:jc w:val="both"/>
              <w:rPr>
                <w:rFonts w:ascii="Arial Narrow" w:hAnsi="Arial Narrow"/>
                <w:sz w:val="24"/>
                <w:szCs w:val="24"/>
                <w:lang w:val="af-ZA"/>
              </w:rPr>
            </w:pPr>
            <w:r w:rsidRPr="00FF436F">
              <w:rPr>
                <w:rFonts w:ascii="Arial Narrow" w:hAnsi="Arial Narrow" w:cs="Arial"/>
                <w:sz w:val="24"/>
                <w:szCs w:val="24"/>
              </w:rPr>
              <w:t>[</w:t>
            </w:r>
            <w:r w:rsidR="004C4F04">
              <w:rPr>
                <w:rFonts w:ascii="Arial Narrow" w:hAnsi="Arial Narrow" w:cs="Arial"/>
                <w:sz w:val="24"/>
                <w:szCs w:val="24"/>
              </w:rPr>
              <w:t>17</w:t>
            </w:r>
            <w:r w:rsidRPr="00FF436F">
              <w:rPr>
                <w:rFonts w:ascii="Arial Narrow" w:hAnsi="Arial Narrow" w:cs="Arial"/>
                <w:sz w:val="24"/>
                <w:szCs w:val="24"/>
              </w:rPr>
              <w:t xml:space="preserve">]     </w:t>
            </w:r>
            <w:r w:rsidR="00A51068" w:rsidRPr="00FF436F">
              <w:rPr>
                <w:rFonts w:ascii="Arial Narrow" w:hAnsi="Arial Narrow"/>
                <w:sz w:val="24"/>
                <w:szCs w:val="24"/>
                <w:lang w:val="af-ZA"/>
              </w:rPr>
              <w:t xml:space="preserve">The plaintiff referred the court to the definition of application as per rule 1 </w:t>
            </w:r>
            <w:r w:rsidR="000664EE">
              <w:rPr>
                <w:rFonts w:ascii="Arial Narrow" w:hAnsi="Arial Narrow"/>
                <w:sz w:val="24"/>
                <w:szCs w:val="24"/>
                <w:lang w:val="af-ZA"/>
              </w:rPr>
              <w:t xml:space="preserve">of th e Rules of Court </w:t>
            </w:r>
            <w:r w:rsidR="00A51068" w:rsidRPr="00FF436F">
              <w:rPr>
                <w:rFonts w:ascii="Arial Narrow" w:hAnsi="Arial Narrow"/>
                <w:sz w:val="24"/>
                <w:szCs w:val="24"/>
                <w:lang w:val="af-ZA"/>
              </w:rPr>
              <w:t xml:space="preserve">which in turn also refers to Part 8 of the </w:t>
            </w:r>
            <w:r w:rsidR="000664EE">
              <w:rPr>
                <w:rFonts w:ascii="Arial Narrow" w:hAnsi="Arial Narrow"/>
                <w:sz w:val="24"/>
                <w:szCs w:val="24"/>
                <w:lang w:val="af-ZA"/>
              </w:rPr>
              <w:t xml:space="preserve">rules </w:t>
            </w:r>
            <w:r w:rsidR="00A51068" w:rsidRPr="00FF436F">
              <w:rPr>
                <w:rFonts w:ascii="Arial Narrow" w:hAnsi="Arial Narrow"/>
                <w:sz w:val="24"/>
                <w:szCs w:val="24"/>
                <w:lang w:val="af-ZA"/>
              </w:rPr>
              <w:t>and with that in mind the plaintiff submitted that the application of the defendant should strictly comply with rule 65</w:t>
            </w:r>
            <w:r w:rsidR="00E447BA">
              <w:rPr>
                <w:rFonts w:ascii="Arial Narrow" w:hAnsi="Arial Narrow"/>
                <w:sz w:val="24"/>
                <w:szCs w:val="24"/>
                <w:lang w:val="af-ZA"/>
              </w:rPr>
              <w:t xml:space="preserve"> </w:t>
            </w:r>
            <w:r w:rsidR="00A51068" w:rsidRPr="00FF436F">
              <w:rPr>
                <w:rFonts w:ascii="Arial Narrow" w:hAnsi="Arial Narrow"/>
                <w:sz w:val="24"/>
                <w:szCs w:val="24"/>
                <w:lang w:val="af-ZA"/>
              </w:rPr>
              <w:t>(1)</w:t>
            </w:r>
            <w:r w:rsidR="00F03FF2">
              <w:rPr>
                <w:rFonts w:ascii="Arial Narrow" w:hAnsi="Arial Narrow"/>
                <w:sz w:val="24"/>
                <w:szCs w:val="24"/>
                <w:lang w:val="af-ZA"/>
              </w:rPr>
              <w:t>.</w:t>
            </w:r>
            <w:r w:rsidR="00A51068" w:rsidRPr="00FF436F">
              <w:rPr>
                <w:rFonts w:ascii="Arial Narrow" w:hAnsi="Arial Narrow"/>
                <w:sz w:val="24"/>
                <w:szCs w:val="24"/>
                <w:lang w:val="af-ZA"/>
              </w:rPr>
              <w:t xml:space="preserve"> </w:t>
            </w:r>
          </w:p>
          <w:p w:rsidR="00CF3A02" w:rsidRDefault="00CF3A02" w:rsidP="0028231F">
            <w:pPr>
              <w:tabs>
                <w:tab w:val="left" w:pos="720"/>
              </w:tabs>
              <w:spacing w:line="360" w:lineRule="auto"/>
              <w:jc w:val="both"/>
              <w:rPr>
                <w:rFonts w:ascii="Arial Narrow" w:hAnsi="Arial Narrow"/>
                <w:sz w:val="24"/>
                <w:szCs w:val="24"/>
                <w:lang w:val="af-ZA"/>
              </w:rPr>
            </w:pPr>
          </w:p>
          <w:p w:rsidR="00A51068" w:rsidRDefault="004C4F04" w:rsidP="0028231F">
            <w:pPr>
              <w:tabs>
                <w:tab w:val="left" w:pos="720"/>
              </w:tabs>
              <w:spacing w:line="360" w:lineRule="auto"/>
              <w:jc w:val="both"/>
              <w:rPr>
                <w:rFonts w:ascii="Arial Narrow" w:hAnsi="Arial Narrow"/>
                <w:sz w:val="24"/>
                <w:szCs w:val="24"/>
                <w:lang w:val="af-ZA"/>
              </w:rPr>
            </w:pPr>
            <w:r>
              <w:rPr>
                <w:rFonts w:ascii="Arial Narrow" w:hAnsi="Arial Narrow"/>
                <w:sz w:val="24"/>
                <w:szCs w:val="24"/>
                <w:lang w:val="af-ZA"/>
              </w:rPr>
              <w:t>[18</w:t>
            </w:r>
            <w:r w:rsidR="00A51068" w:rsidRPr="00FF436F">
              <w:rPr>
                <w:rFonts w:ascii="Arial Narrow" w:hAnsi="Arial Narrow"/>
                <w:sz w:val="24"/>
                <w:szCs w:val="24"/>
                <w:lang w:val="af-ZA"/>
              </w:rPr>
              <w:t>]</w:t>
            </w:r>
            <w:r w:rsidR="00A51068" w:rsidRPr="00FF436F">
              <w:rPr>
                <w:rFonts w:ascii="Arial Narrow" w:hAnsi="Arial Narrow"/>
                <w:sz w:val="24"/>
                <w:szCs w:val="24"/>
                <w:lang w:val="af-ZA"/>
              </w:rPr>
              <w:tab/>
              <w:t>It would appear that the plaintiff places so much emphazis on the words ‘supported by affidavit’ that he looses sight of the rest of the wording of the rule which refers to ‘every application initiating new proceedings, not forminig part of an existing cause or matter,</w:t>
            </w:r>
            <w:r w:rsidR="00120EE0">
              <w:rPr>
                <w:rFonts w:ascii="Arial Narrow" w:hAnsi="Arial Narrow"/>
                <w:sz w:val="24"/>
                <w:szCs w:val="24"/>
                <w:lang w:val="af-ZA"/>
              </w:rPr>
              <w:t xml:space="preserve"> </w:t>
            </w:r>
            <w:r w:rsidR="00A51068" w:rsidRPr="00FF436F">
              <w:rPr>
                <w:rFonts w:ascii="Arial Narrow" w:hAnsi="Arial Narrow"/>
                <w:sz w:val="24"/>
                <w:szCs w:val="24"/>
                <w:lang w:val="af-ZA"/>
              </w:rPr>
              <w:t>.</w:t>
            </w:r>
            <w:r w:rsidR="00120EE0">
              <w:rPr>
                <w:rFonts w:ascii="Arial Narrow" w:hAnsi="Arial Narrow"/>
                <w:sz w:val="24"/>
                <w:szCs w:val="24"/>
                <w:lang w:val="af-ZA"/>
              </w:rPr>
              <w:t xml:space="preserve"> . </w:t>
            </w:r>
            <w:r w:rsidR="00A51068" w:rsidRPr="00FF436F">
              <w:rPr>
                <w:rFonts w:ascii="Arial Narrow" w:hAnsi="Arial Narrow"/>
                <w:sz w:val="24"/>
                <w:szCs w:val="24"/>
                <w:lang w:val="af-ZA"/>
              </w:rPr>
              <w:t>.’</w:t>
            </w:r>
          </w:p>
          <w:p w:rsidR="009F0F12" w:rsidRPr="00FF436F" w:rsidRDefault="009F0F12" w:rsidP="0028231F">
            <w:pPr>
              <w:tabs>
                <w:tab w:val="left" w:pos="720"/>
              </w:tabs>
              <w:spacing w:line="360" w:lineRule="auto"/>
              <w:jc w:val="both"/>
              <w:rPr>
                <w:rFonts w:ascii="Arial Narrow" w:hAnsi="Arial Narrow"/>
                <w:sz w:val="24"/>
                <w:szCs w:val="24"/>
                <w:lang w:val="af-ZA"/>
              </w:rPr>
            </w:pPr>
          </w:p>
          <w:p w:rsidR="00A51068" w:rsidRDefault="004C4F04" w:rsidP="0028231F">
            <w:pPr>
              <w:spacing w:line="360" w:lineRule="auto"/>
              <w:jc w:val="both"/>
              <w:rPr>
                <w:rFonts w:ascii="Arial Narrow" w:hAnsi="Arial Narrow"/>
                <w:sz w:val="24"/>
                <w:szCs w:val="24"/>
              </w:rPr>
            </w:pPr>
            <w:r>
              <w:rPr>
                <w:rFonts w:ascii="Arial Narrow" w:hAnsi="Arial Narrow"/>
                <w:sz w:val="24"/>
                <w:szCs w:val="24"/>
                <w:lang w:val="af-ZA"/>
              </w:rPr>
              <w:t>[19</w:t>
            </w:r>
            <w:r w:rsidR="00A51068" w:rsidRPr="00FF436F">
              <w:rPr>
                <w:rFonts w:ascii="Arial Narrow" w:hAnsi="Arial Narrow"/>
                <w:sz w:val="24"/>
                <w:szCs w:val="24"/>
                <w:lang w:val="af-ZA"/>
              </w:rPr>
              <w:t>]</w:t>
            </w:r>
            <w:r w:rsidR="00A51068" w:rsidRPr="00FF436F">
              <w:rPr>
                <w:rFonts w:ascii="Arial Narrow" w:hAnsi="Arial Narrow"/>
                <w:sz w:val="24"/>
                <w:szCs w:val="24"/>
                <w:lang w:val="af-ZA"/>
              </w:rPr>
              <w:tab/>
              <w:t xml:space="preserve">In </w:t>
            </w:r>
            <w:r w:rsidR="00A51068" w:rsidRPr="00902303">
              <w:rPr>
                <w:rFonts w:ascii="Arial Narrow" w:hAnsi="Arial Narrow"/>
                <w:i/>
                <w:sz w:val="24"/>
                <w:szCs w:val="24"/>
                <w:lang w:val="af-ZA"/>
              </w:rPr>
              <w:t>Rashed v Inspector-General of the Namibian Police And Others</w:t>
            </w:r>
            <w:r w:rsidR="00A51068" w:rsidRPr="00FF436F">
              <w:rPr>
                <w:rStyle w:val="FootnoteReference"/>
                <w:rFonts w:ascii="Arial Narrow" w:hAnsi="Arial Narrow"/>
                <w:sz w:val="24"/>
                <w:szCs w:val="24"/>
                <w:lang w:val="af-ZA"/>
              </w:rPr>
              <w:footnoteReference w:id="3"/>
            </w:r>
            <w:r w:rsidR="00A51068" w:rsidRPr="00FF436F">
              <w:rPr>
                <w:rFonts w:ascii="Arial Narrow" w:hAnsi="Arial Narrow"/>
                <w:sz w:val="24"/>
                <w:szCs w:val="24"/>
                <w:lang w:val="af-ZA"/>
              </w:rPr>
              <w:t xml:space="preserve"> the court was faced with an </w:t>
            </w:r>
            <w:r w:rsidR="00A51068" w:rsidRPr="00FF436F">
              <w:rPr>
                <w:rFonts w:ascii="Arial Narrow" w:hAnsi="Arial Narrow" w:cs="Arial"/>
                <w:sz w:val="24"/>
                <w:szCs w:val="24"/>
              </w:rPr>
              <w:t xml:space="preserve">application for intervention in terms of rule 41 </w:t>
            </w:r>
            <w:r w:rsidR="00A51068" w:rsidRPr="00FF436F">
              <w:rPr>
                <w:rFonts w:ascii="Arial Narrow" w:hAnsi="Arial Narrow"/>
                <w:sz w:val="24"/>
                <w:szCs w:val="24"/>
              </w:rPr>
              <w:t xml:space="preserve">and </w:t>
            </w:r>
            <w:r w:rsidR="00A51068" w:rsidRPr="00FF436F">
              <w:rPr>
                <w:rFonts w:ascii="Arial Narrow" w:hAnsi="Arial Narrow" w:cs="Arial"/>
                <w:sz w:val="24"/>
                <w:szCs w:val="24"/>
              </w:rPr>
              <w:t xml:space="preserve">the procedure stipulated in the rules of court for applications for </w:t>
            </w:r>
            <w:r w:rsidR="00A51068" w:rsidRPr="00FF436F">
              <w:rPr>
                <w:rFonts w:ascii="Arial Narrow" w:hAnsi="Arial Narrow"/>
                <w:sz w:val="24"/>
                <w:szCs w:val="24"/>
              </w:rPr>
              <w:t>intervention and</w:t>
            </w:r>
            <w:r w:rsidR="00A53FE7">
              <w:rPr>
                <w:rFonts w:ascii="Arial Narrow" w:hAnsi="Arial Narrow"/>
                <w:sz w:val="24"/>
                <w:szCs w:val="24"/>
              </w:rPr>
              <w:t xml:space="preserve"> </w:t>
            </w:r>
            <w:r w:rsidR="00A53FE7" w:rsidRPr="00CF3A02">
              <w:rPr>
                <w:rFonts w:ascii="Arial Narrow" w:hAnsi="Arial Narrow"/>
                <w:sz w:val="24"/>
                <w:szCs w:val="24"/>
              </w:rPr>
              <w:t>the question of</w:t>
            </w:r>
            <w:r w:rsidR="00A51068" w:rsidRPr="00CF3A02">
              <w:rPr>
                <w:rFonts w:ascii="Arial Narrow" w:hAnsi="Arial Narrow"/>
                <w:sz w:val="24"/>
                <w:szCs w:val="24"/>
              </w:rPr>
              <w:t xml:space="preserve"> </w:t>
            </w:r>
            <w:r w:rsidR="00A51068" w:rsidRPr="00FF436F">
              <w:rPr>
                <w:rFonts w:ascii="Arial Narrow" w:hAnsi="Arial Narrow"/>
                <w:sz w:val="24"/>
                <w:szCs w:val="24"/>
              </w:rPr>
              <w:t>whether it is a new proceeding which requires compliance with rule 65</w:t>
            </w:r>
            <w:r w:rsidR="00A51068" w:rsidRPr="00FF436F">
              <w:rPr>
                <w:rFonts w:ascii="Arial Narrow" w:hAnsi="Arial Narrow" w:cs="Arial"/>
                <w:sz w:val="24"/>
                <w:szCs w:val="24"/>
              </w:rPr>
              <w:t>.</w:t>
            </w:r>
            <w:r w:rsidR="00A51068" w:rsidRPr="00FF436F">
              <w:rPr>
                <w:rFonts w:ascii="Arial Narrow" w:hAnsi="Arial Narrow"/>
                <w:sz w:val="24"/>
                <w:szCs w:val="24"/>
              </w:rPr>
              <w:t xml:space="preserve"> Although the court considered the effect of an application to intervene I am of the opinion that </w:t>
            </w:r>
            <w:r w:rsidR="00A53FE7" w:rsidRPr="00CF3A02">
              <w:rPr>
                <w:rFonts w:ascii="Arial Narrow" w:hAnsi="Arial Narrow"/>
                <w:sz w:val="24"/>
                <w:szCs w:val="24"/>
              </w:rPr>
              <w:t>the case finds application</w:t>
            </w:r>
            <w:r w:rsidR="00A53FE7">
              <w:rPr>
                <w:rFonts w:ascii="Arial Narrow" w:hAnsi="Arial Narrow"/>
                <w:color w:val="FF0000"/>
                <w:sz w:val="24"/>
                <w:szCs w:val="24"/>
              </w:rPr>
              <w:t xml:space="preserve"> </w:t>
            </w:r>
            <w:r w:rsidR="00A51068" w:rsidRPr="00FF436F">
              <w:rPr>
                <w:rFonts w:ascii="Arial Narrow" w:hAnsi="Arial Narrow"/>
                <w:sz w:val="24"/>
                <w:szCs w:val="24"/>
              </w:rPr>
              <w:t>to the facts before me.</w:t>
            </w:r>
          </w:p>
          <w:p w:rsidR="009F0F12" w:rsidRPr="00FF436F" w:rsidRDefault="009F0F12" w:rsidP="0028231F">
            <w:pPr>
              <w:spacing w:line="360" w:lineRule="auto"/>
              <w:jc w:val="both"/>
              <w:rPr>
                <w:rFonts w:ascii="Arial Narrow" w:hAnsi="Arial Narrow" w:cs="Arial"/>
                <w:sz w:val="24"/>
                <w:szCs w:val="24"/>
              </w:rPr>
            </w:pPr>
          </w:p>
          <w:p w:rsidR="00A51068" w:rsidRDefault="004C4F04" w:rsidP="0028231F">
            <w:pPr>
              <w:spacing w:line="360" w:lineRule="auto"/>
              <w:jc w:val="both"/>
              <w:rPr>
                <w:rFonts w:ascii="Arial Narrow" w:hAnsi="Arial Narrow"/>
                <w:sz w:val="24"/>
                <w:szCs w:val="24"/>
                <w:lang w:val="af-ZA"/>
              </w:rPr>
            </w:pPr>
            <w:r>
              <w:rPr>
                <w:rFonts w:ascii="Arial Narrow" w:hAnsi="Arial Narrow"/>
                <w:sz w:val="24"/>
                <w:szCs w:val="24"/>
              </w:rPr>
              <w:t>[20</w:t>
            </w:r>
            <w:r w:rsidR="00A51068" w:rsidRPr="00FF436F">
              <w:rPr>
                <w:rFonts w:ascii="Arial Narrow" w:hAnsi="Arial Narrow"/>
                <w:sz w:val="24"/>
                <w:szCs w:val="24"/>
              </w:rPr>
              <w:t>]</w:t>
            </w:r>
            <w:r w:rsidR="00A51068" w:rsidRPr="00FF436F">
              <w:rPr>
                <w:sz w:val="24"/>
                <w:szCs w:val="24"/>
              </w:rPr>
              <w:tab/>
            </w:r>
            <w:r w:rsidR="00F609F0">
              <w:rPr>
                <w:rFonts w:ascii="Arial Narrow" w:hAnsi="Arial Narrow"/>
                <w:sz w:val="24"/>
                <w:szCs w:val="24"/>
                <w:lang w:val="af-ZA"/>
              </w:rPr>
              <w:t xml:space="preserve">Masuku J, </w:t>
            </w:r>
            <w:r w:rsidR="00F609F0" w:rsidRPr="00CF3A02">
              <w:rPr>
                <w:rFonts w:ascii="Arial Narrow" w:hAnsi="Arial Narrow"/>
                <w:sz w:val="24"/>
                <w:szCs w:val="24"/>
                <w:lang w:val="af-ZA"/>
              </w:rPr>
              <w:t xml:space="preserve">in the said case, </w:t>
            </w:r>
            <w:r w:rsidR="00A51068" w:rsidRPr="00FF436F">
              <w:rPr>
                <w:rFonts w:ascii="Arial Narrow" w:hAnsi="Arial Narrow"/>
                <w:sz w:val="24"/>
                <w:szCs w:val="24"/>
                <w:lang w:val="af-ZA"/>
              </w:rPr>
              <w:t>the following:</w:t>
            </w:r>
          </w:p>
          <w:p w:rsidR="009F0F12" w:rsidRPr="00FF436F" w:rsidRDefault="009F0F12" w:rsidP="0028231F">
            <w:pPr>
              <w:spacing w:line="360" w:lineRule="auto"/>
              <w:jc w:val="both"/>
              <w:rPr>
                <w:rFonts w:ascii="Arial Narrow" w:hAnsi="Arial Narrow"/>
                <w:sz w:val="24"/>
                <w:szCs w:val="24"/>
                <w:lang w:val="af-ZA"/>
              </w:rPr>
            </w:pPr>
          </w:p>
          <w:p w:rsidR="00A51068" w:rsidRPr="00CB29FE" w:rsidRDefault="00A51068" w:rsidP="0028231F">
            <w:pPr>
              <w:tabs>
                <w:tab w:val="left" w:pos="720"/>
              </w:tabs>
              <w:spacing w:line="360" w:lineRule="auto"/>
              <w:jc w:val="both"/>
              <w:rPr>
                <w:rFonts w:ascii="Arial Narrow" w:hAnsi="Arial Narrow"/>
                <w:lang w:val="af-ZA"/>
              </w:rPr>
            </w:pPr>
            <w:r w:rsidRPr="00FF436F">
              <w:rPr>
                <w:rFonts w:ascii="Arial Narrow" w:hAnsi="Arial Narrow"/>
                <w:sz w:val="24"/>
                <w:szCs w:val="24"/>
                <w:lang w:val="af-ZA"/>
              </w:rPr>
              <w:tab/>
            </w:r>
            <w:r w:rsidRPr="00CB29FE">
              <w:rPr>
                <w:rFonts w:ascii="Arial Narrow" w:hAnsi="Arial Narrow"/>
                <w:lang w:val="af-ZA"/>
              </w:rPr>
              <w:t>‘[37] Applications are governed by the provisions of rule 65, which stripped to the bare bones require that an application must be moved on a notice of motion, duly supported by an affidavit which should state the facts upon which the relief sought is predicated. In this regard, the said rule 65(1</w:t>
            </w:r>
            <w:r w:rsidR="0029238C" w:rsidRPr="00CB29FE">
              <w:rPr>
                <w:rFonts w:ascii="Arial Narrow" w:hAnsi="Arial Narrow"/>
                <w:lang w:val="af-ZA"/>
              </w:rPr>
              <w:t>) peremptorily stipulates that “</w:t>
            </w:r>
            <w:r w:rsidRPr="00CB29FE">
              <w:rPr>
                <w:rFonts w:ascii="Arial Narrow" w:hAnsi="Arial Narrow"/>
                <w:lang w:val="af-ZA"/>
              </w:rPr>
              <w:t>every application initiating new proceedings, not forming part of an existing cause or matter, commences with the issue of the notice of motion signed by the registrar, date stamped with the official stamp and uniquely numbe</w:t>
            </w:r>
            <w:r w:rsidR="0029238C" w:rsidRPr="00CB29FE">
              <w:rPr>
                <w:rFonts w:ascii="Arial Narrow" w:hAnsi="Arial Narrow"/>
                <w:lang w:val="af-ZA"/>
              </w:rPr>
              <w:t>red for identification purposes”</w:t>
            </w:r>
          </w:p>
          <w:p w:rsidR="00A51068" w:rsidRPr="00CB29FE" w:rsidRDefault="00A51068" w:rsidP="0028231F">
            <w:pPr>
              <w:spacing w:line="360" w:lineRule="auto"/>
              <w:jc w:val="both"/>
              <w:rPr>
                <w:rFonts w:ascii="Arial Narrow" w:hAnsi="Arial Narrow"/>
              </w:rPr>
            </w:pPr>
            <w:r w:rsidRPr="00CB29FE">
              <w:rPr>
                <w:rFonts w:ascii="Arial Narrow" w:hAnsi="Arial Narrow"/>
                <w:lang w:val="af-ZA"/>
              </w:rPr>
              <w:tab/>
            </w:r>
            <w:r w:rsidRPr="00CB29FE">
              <w:rPr>
                <w:rFonts w:ascii="Arial Narrow" w:hAnsi="Arial Narrow" w:cs="Arial"/>
              </w:rPr>
              <w:t>[38]</w:t>
            </w:r>
            <w:r w:rsidRPr="00CB29FE">
              <w:rPr>
                <w:rFonts w:ascii="Arial Narrow" w:hAnsi="Arial Narrow" w:cs="Arial"/>
              </w:rPr>
              <w:tab/>
              <w:t xml:space="preserve">The question to be determined is whether the Minister’s application can be described as a new proceeding and one not forming part of an existing cause or matter. If it is, then one may argue that it need not have followed the requirements stated above. </w:t>
            </w:r>
          </w:p>
          <w:p w:rsidR="00A51068" w:rsidRPr="00CB29FE" w:rsidRDefault="00A51068" w:rsidP="0028231F">
            <w:pPr>
              <w:spacing w:line="360" w:lineRule="auto"/>
              <w:jc w:val="both"/>
              <w:rPr>
                <w:rFonts w:ascii="Arial Narrow" w:hAnsi="Arial Narrow" w:cs="Arial"/>
              </w:rPr>
            </w:pPr>
            <w:r w:rsidRPr="00CB29FE">
              <w:rPr>
                <w:rFonts w:ascii="Arial Narrow" w:hAnsi="Arial Narrow"/>
              </w:rPr>
              <w:tab/>
            </w:r>
            <w:r w:rsidRPr="00CB29FE">
              <w:rPr>
                <w:rFonts w:ascii="Arial Narrow" w:hAnsi="Arial Narrow" w:cs="Arial"/>
              </w:rPr>
              <w:t>[39]</w:t>
            </w:r>
            <w:r w:rsidRPr="00CB29FE">
              <w:rPr>
                <w:rFonts w:ascii="Arial Narrow" w:hAnsi="Arial Narrow" w:cs="Arial"/>
              </w:rPr>
              <w:tab/>
            </w:r>
            <w:r w:rsidR="007C023A">
              <w:rPr>
                <w:rFonts w:ascii="Arial Narrow" w:hAnsi="Arial Narrow"/>
              </w:rPr>
              <w:t>. . . .</w:t>
            </w:r>
          </w:p>
          <w:p w:rsidR="00A51068" w:rsidRPr="00CB29FE" w:rsidRDefault="00A51068" w:rsidP="0028231F">
            <w:pPr>
              <w:spacing w:line="360" w:lineRule="auto"/>
              <w:ind w:firstLine="720"/>
              <w:jc w:val="both"/>
              <w:rPr>
                <w:rFonts w:ascii="Arial Narrow" w:hAnsi="Arial Narrow" w:cs="Arial"/>
              </w:rPr>
            </w:pPr>
            <w:r w:rsidRPr="00CB29FE">
              <w:rPr>
                <w:rFonts w:ascii="Arial Narrow" w:hAnsi="Arial Narrow"/>
              </w:rPr>
              <w:t>[</w:t>
            </w:r>
            <w:r w:rsidRPr="00CB29FE">
              <w:rPr>
                <w:rFonts w:ascii="Arial Narrow" w:hAnsi="Arial Narrow" w:cs="Arial"/>
              </w:rPr>
              <w:t>40]</w:t>
            </w:r>
            <w:r w:rsidRPr="00CB29FE">
              <w:rPr>
                <w:rFonts w:ascii="Arial Narrow" w:hAnsi="Arial Narrow" w:cs="Arial"/>
              </w:rPr>
              <w:tab/>
            </w:r>
            <w:r w:rsidR="006901D1">
              <w:rPr>
                <w:rFonts w:ascii="Arial Narrow" w:hAnsi="Arial Narrow"/>
              </w:rPr>
              <w:t xml:space="preserve">. . . . </w:t>
            </w:r>
            <w:r w:rsidRPr="00CB29FE">
              <w:rPr>
                <w:rFonts w:ascii="Arial Narrow" w:hAnsi="Arial Narrow"/>
              </w:rPr>
              <w:t xml:space="preserve">[I]n </w:t>
            </w:r>
            <w:r w:rsidRPr="00CB29FE">
              <w:rPr>
                <w:rFonts w:ascii="Arial Narrow" w:hAnsi="Arial Narrow" w:cs="Arial"/>
              </w:rPr>
              <w:t>the context of an application then, such a party would have to apply to the managing judge, to intervene as an applicant or a respondent in the proceedings, on notice to all the other parties.</w:t>
            </w:r>
          </w:p>
          <w:p w:rsidR="00A51068" w:rsidRPr="00CB29FE" w:rsidRDefault="00A51068" w:rsidP="0028231F">
            <w:pPr>
              <w:spacing w:line="360" w:lineRule="auto"/>
              <w:ind w:firstLine="720"/>
              <w:jc w:val="both"/>
              <w:rPr>
                <w:rFonts w:ascii="Arial Narrow" w:hAnsi="Arial Narrow" w:cs="Arial"/>
              </w:rPr>
            </w:pPr>
            <w:r w:rsidRPr="00CB29FE">
              <w:rPr>
                <w:rFonts w:ascii="Arial Narrow" w:hAnsi="Arial Narrow" w:cs="Arial"/>
              </w:rPr>
              <w:t>[41]</w:t>
            </w:r>
            <w:r w:rsidRPr="00CB29FE">
              <w:rPr>
                <w:rFonts w:ascii="Arial Narrow" w:hAnsi="Arial Narrow" w:cs="Arial"/>
              </w:rPr>
              <w:tab/>
              <w:t xml:space="preserve">In my considered view, it is a sensible approach to refer the application for intervention to the managing judge. I say so for the reason that the managing judge would ordinarily be </w:t>
            </w:r>
            <w:r w:rsidRPr="00CB29FE">
              <w:rPr>
                <w:rFonts w:ascii="Arial Narrow" w:hAnsi="Arial Narrow" w:cs="Arial"/>
                <w:i/>
              </w:rPr>
              <w:t xml:space="preserve">au fait </w:t>
            </w:r>
            <w:r w:rsidRPr="00CB29FE">
              <w:rPr>
                <w:rFonts w:ascii="Arial Narrow" w:hAnsi="Arial Narrow" w:cs="Arial"/>
              </w:rPr>
              <w:t xml:space="preserve">with the matter pending before the court and would, for that reason, be best placed, to consider the application for intervention with relative ease as he or she would be steeped in the pleadings and the issues that arise in the main matter, thus placing him or her to make an informed decision regarding the application for intervention. Another judge, other than the managing judge would have </w:t>
            </w:r>
            <w:r w:rsidRPr="00CB29FE">
              <w:rPr>
                <w:rFonts w:ascii="Arial Narrow" w:hAnsi="Arial Narrow" w:cs="Arial"/>
              </w:rPr>
              <w:lastRenderedPageBreak/>
              <w:t>to acquaint him or herself with the entire matter together with the application for intervention, thus unnecessarily duplicating the work between two judges, a</w:t>
            </w:r>
            <w:r w:rsidR="00621FC9">
              <w:rPr>
                <w:rFonts w:ascii="Arial Narrow" w:hAnsi="Arial Narrow" w:cs="Arial"/>
              </w:rPr>
              <w:t>n</w:t>
            </w:r>
            <w:r w:rsidRPr="00CB29FE">
              <w:rPr>
                <w:rFonts w:ascii="Arial Narrow" w:hAnsi="Arial Narrow" w:cs="Arial"/>
              </w:rPr>
              <w:t xml:space="preserve"> unwise decision when regard is had to the very scarce judicial resources presently at the disposal of the court.  </w:t>
            </w:r>
          </w:p>
          <w:p w:rsidR="00A51068" w:rsidRPr="00CB29FE" w:rsidRDefault="00A51068" w:rsidP="0028231F">
            <w:pPr>
              <w:spacing w:line="360" w:lineRule="auto"/>
              <w:ind w:firstLine="720"/>
              <w:jc w:val="both"/>
              <w:rPr>
                <w:rFonts w:ascii="Arial Narrow" w:hAnsi="Arial Narrow" w:cs="Arial"/>
              </w:rPr>
            </w:pPr>
            <w:r w:rsidRPr="00CB29FE">
              <w:rPr>
                <w:rFonts w:ascii="Arial Narrow" w:hAnsi="Arial Narrow" w:cs="Arial"/>
              </w:rPr>
              <w:t>[42]</w:t>
            </w:r>
            <w:r w:rsidRPr="00CB29FE">
              <w:rPr>
                <w:rFonts w:ascii="Arial Narrow" w:hAnsi="Arial Narrow" w:cs="Arial"/>
              </w:rPr>
              <w:tab/>
              <w:t xml:space="preserve">It would appear to me that when proper regard is had to the application for intervention, which was on notice to all the other parties, the Minister did file an application on notice to all the other parties, seeking that he be allowed to intervene in the proceedings. My reading of the provisions does not seem to require that the application should necessarily be one that follows the mandatory provisions of rule 65, where an application to intervene as a party to proceedings already underway, is sought to be launched. </w:t>
            </w:r>
          </w:p>
          <w:p w:rsidR="00A51068" w:rsidRPr="00CB29FE" w:rsidRDefault="00A51068" w:rsidP="0028231F">
            <w:pPr>
              <w:spacing w:line="360" w:lineRule="auto"/>
              <w:ind w:firstLine="720"/>
              <w:jc w:val="both"/>
              <w:rPr>
                <w:rFonts w:ascii="Arial Narrow" w:hAnsi="Arial Narrow" w:cs="Arial"/>
              </w:rPr>
            </w:pPr>
            <w:r w:rsidRPr="00CB29FE">
              <w:rPr>
                <w:rFonts w:ascii="Arial Narrow" w:hAnsi="Arial Narrow" w:cs="Arial"/>
              </w:rPr>
              <w:t>[43]</w:t>
            </w:r>
            <w:r w:rsidRPr="00CB29FE">
              <w:rPr>
                <w:rFonts w:ascii="Arial Narrow" w:hAnsi="Arial Narrow" w:cs="Arial"/>
              </w:rPr>
              <w:tab/>
              <w:t>I say so for the reason that it would appear from a reading of the provisions of rule 65, read together with the provisions of rule 41, an intervention is in a matter that is already in progress, thus obviating the need to follow the provisions where the application is new in the strict sense of the words. For the avoidance of doubt, I am of the considered opinion that an application to intervene is not one in terms of rule 65, as it does not initiate new proceedings. It is clearly interlocutory in nature and effect.</w:t>
            </w:r>
            <w:r w:rsidRPr="00CB29FE">
              <w:rPr>
                <w:rFonts w:ascii="Arial Narrow" w:hAnsi="Arial Narrow"/>
              </w:rPr>
              <w:t>’</w:t>
            </w:r>
          </w:p>
          <w:p w:rsidR="00A51068" w:rsidRPr="00FF436F" w:rsidRDefault="00A51068" w:rsidP="0028231F">
            <w:pPr>
              <w:spacing w:line="360" w:lineRule="auto"/>
              <w:jc w:val="both"/>
              <w:rPr>
                <w:rFonts w:ascii="Arial Narrow" w:hAnsi="Arial Narrow" w:cs="Arial"/>
                <w:sz w:val="24"/>
                <w:szCs w:val="24"/>
              </w:rPr>
            </w:pPr>
          </w:p>
          <w:p w:rsidR="00A51068" w:rsidRDefault="004C4F04" w:rsidP="0028231F">
            <w:pPr>
              <w:tabs>
                <w:tab w:val="left" w:pos="720"/>
              </w:tabs>
              <w:spacing w:line="360" w:lineRule="auto"/>
              <w:jc w:val="both"/>
              <w:rPr>
                <w:rFonts w:ascii="Arial Narrow" w:hAnsi="Arial Narrow"/>
                <w:sz w:val="24"/>
                <w:szCs w:val="24"/>
                <w:lang w:val="af-ZA"/>
              </w:rPr>
            </w:pPr>
            <w:r>
              <w:rPr>
                <w:rFonts w:ascii="Arial Narrow" w:hAnsi="Arial Narrow"/>
                <w:sz w:val="24"/>
                <w:szCs w:val="24"/>
                <w:lang w:val="af-ZA"/>
              </w:rPr>
              <w:t>[21</w:t>
            </w:r>
            <w:r w:rsidR="00A51068" w:rsidRPr="00FF436F">
              <w:rPr>
                <w:rFonts w:ascii="Arial Narrow" w:hAnsi="Arial Narrow"/>
                <w:sz w:val="24"/>
                <w:szCs w:val="24"/>
                <w:lang w:val="af-ZA"/>
              </w:rPr>
              <w:t>]</w:t>
            </w:r>
            <w:r w:rsidR="00A51068" w:rsidRPr="00FF436F">
              <w:rPr>
                <w:rFonts w:ascii="Arial Narrow" w:hAnsi="Arial Narrow"/>
                <w:sz w:val="24"/>
                <w:szCs w:val="24"/>
                <w:lang w:val="af-ZA"/>
              </w:rPr>
              <w:tab/>
            </w:r>
            <w:r w:rsidR="001D2571" w:rsidRPr="0053301E">
              <w:rPr>
                <w:rFonts w:ascii="Arial Narrow" w:hAnsi="Arial Narrow"/>
                <w:sz w:val="24"/>
                <w:szCs w:val="24"/>
                <w:lang w:val="af-ZA"/>
              </w:rPr>
              <w:t xml:space="preserve">It is my </w:t>
            </w:r>
            <w:r w:rsidR="001D2571" w:rsidRPr="006901D1">
              <w:rPr>
                <w:rFonts w:ascii="Arial Narrow" w:hAnsi="Arial Narrow"/>
                <w:sz w:val="24"/>
                <w:szCs w:val="24"/>
                <w:lang w:val="af-ZA"/>
              </w:rPr>
              <w:t>considered view that a</w:t>
            </w:r>
            <w:r w:rsidR="00A51068" w:rsidRPr="006901D1">
              <w:rPr>
                <w:rFonts w:ascii="Arial Narrow" w:hAnsi="Arial Narrow"/>
                <w:sz w:val="24"/>
                <w:szCs w:val="24"/>
                <w:lang w:val="af-ZA"/>
              </w:rPr>
              <w:t>n application in terms of rule 97(3) is also interlocutory in nature</w:t>
            </w:r>
            <w:r w:rsidR="00A51068" w:rsidRPr="006901D1">
              <w:rPr>
                <w:rStyle w:val="FootnoteReference"/>
                <w:rFonts w:ascii="Arial Narrow" w:hAnsi="Arial Narrow"/>
                <w:sz w:val="24"/>
                <w:szCs w:val="24"/>
                <w:lang w:val="af-ZA"/>
              </w:rPr>
              <w:footnoteReference w:id="4"/>
            </w:r>
            <w:r w:rsidR="00A51068" w:rsidRPr="006901D1">
              <w:rPr>
                <w:rFonts w:ascii="Arial Narrow" w:hAnsi="Arial Narrow"/>
                <w:sz w:val="24"/>
                <w:szCs w:val="24"/>
                <w:lang w:val="af-ZA"/>
              </w:rPr>
              <w:t xml:space="preserve"> and falls very much under </w:t>
            </w:r>
            <w:r w:rsidR="00DE42D3" w:rsidRPr="006901D1">
              <w:rPr>
                <w:rFonts w:ascii="Arial Narrow" w:hAnsi="Arial Narrow"/>
                <w:sz w:val="24"/>
                <w:szCs w:val="24"/>
                <w:lang w:val="af-ZA"/>
              </w:rPr>
              <w:t xml:space="preserve">the </w:t>
            </w:r>
            <w:r w:rsidR="00A51068" w:rsidRPr="006901D1">
              <w:rPr>
                <w:rFonts w:ascii="Arial Narrow" w:hAnsi="Arial Narrow"/>
                <w:sz w:val="24"/>
                <w:szCs w:val="24"/>
                <w:lang w:val="af-ZA"/>
              </w:rPr>
              <w:t xml:space="preserve">same umbrellas in the </w:t>
            </w:r>
            <w:r w:rsidR="00A51068" w:rsidRPr="006901D1">
              <w:rPr>
                <w:rFonts w:ascii="Arial Narrow" w:hAnsi="Arial Narrow"/>
                <w:i/>
                <w:sz w:val="24"/>
                <w:szCs w:val="24"/>
                <w:lang w:val="af-ZA"/>
              </w:rPr>
              <w:t>Rashed</w:t>
            </w:r>
            <w:r w:rsidR="00A51068" w:rsidRPr="006901D1">
              <w:rPr>
                <w:rFonts w:ascii="Arial Narrow" w:hAnsi="Arial Narrow"/>
                <w:sz w:val="24"/>
                <w:szCs w:val="24"/>
                <w:lang w:val="af-ZA"/>
              </w:rPr>
              <w:t xml:space="preserve"> matter. I find myself in respectful agreement with the conclusion that the court reached </w:t>
            </w:r>
            <w:r w:rsidR="0053301E" w:rsidRPr="006901D1">
              <w:rPr>
                <w:rFonts w:ascii="Arial Narrow" w:hAnsi="Arial Narrow"/>
                <w:sz w:val="24"/>
                <w:szCs w:val="24"/>
                <w:lang w:val="af-ZA"/>
              </w:rPr>
              <w:t>regarding matters which are interlocutory in nature and effect and I am satisfied that this dicta</w:t>
            </w:r>
            <w:r w:rsidR="00A51068" w:rsidRPr="006901D1">
              <w:rPr>
                <w:rFonts w:ascii="Arial Narrow" w:hAnsi="Arial Narrow"/>
                <w:sz w:val="24"/>
                <w:szCs w:val="24"/>
                <w:lang w:val="af-ZA"/>
              </w:rPr>
              <w:t xml:space="preserve"> </w:t>
            </w:r>
            <w:r w:rsidR="00DA4E27" w:rsidRPr="006901D1">
              <w:rPr>
                <w:rFonts w:ascii="Arial Narrow" w:hAnsi="Arial Narrow"/>
                <w:sz w:val="24"/>
                <w:szCs w:val="24"/>
                <w:lang w:val="af-ZA"/>
              </w:rPr>
              <w:t>is</w:t>
            </w:r>
            <w:r w:rsidR="00A51068" w:rsidRPr="006901D1">
              <w:rPr>
                <w:rFonts w:ascii="Arial Narrow" w:hAnsi="Arial Narrow"/>
                <w:sz w:val="24"/>
                <w:szCs w:val="24"/>
                <w:lang w:val="af-ZA"/>
              </w:rPr>
              <w:t xml:space="preserve"> applicable to rule 97(3) as well.</w:t>
            </w:r>
            <w:r w:rsidR="00DA4E27" w:rsidRPr="006901D1">
              <w:rPr>
                <w:rFonts w:ascii="Arial Narrow" w:hAnsi="Arial Narrow"/>
                <w:sz w:val="24"/>
                <w:szCs w:val="24"/>
                <w:lang w:val="af-ZA"/>
              </w:rPr>
              <w:t xml:space="preserve"> In addition thereto rule 70(1)  p</w:t>
            </w:r>
            <w:r w:rsidR="006901D1" w:rsidRPr="006901D1">
              <w:rPr>
                <w:rFonts w:ascii="Arial Narrow" w:hAnsi="Arial Narrow"/>
                <w:sz w:val="24"/>
                <w:szCs w:val="24"/>
                <w:lang w:val="af-ZA"/>
              </w:rPr>
              <w:t xml:space="preserve">rovides that ‘despite rules 65 </w:t>
            </w:r>
            <w:r w:rsidR="00DA4E27" w:rsidRPr="006901D1">
              <w:rPr>
                <w:rFonts w:ascii="Arial Narrow" w:hAnsi="Arial Narrow"/>
                <w:sz w:val="24"/>
                <w:szCs w:val="24"/>
                <w:lang w:val="af-ZA"/>
              </w:rPr>
              <w:t xml:space="preserve">and 69, interlocutory and other applications incidental to pending proceedings may be brought on  notice supported by such affidavits </w:t>
            </w:r>
            <w:r w:rsidR="00DA4E27" w:rsidRPr="006901D1">
              <w:rPr>
                <w:rFonts w:ascii="Arial Narrow" w:hAnsi="Arial Narrow"/>
                <w:sz w:val="24"/>
                <w:szCs w:val="24"/>
                <w:u w:val="single"/>
                <w:lang w:val="af-ZA"/>
              </w:rPr>
              <w:t>as the case may require</w:t>
            </w:r>
            <w:r w:rsidR="00DA4E27" w:rsidRPr="006901D1">
              <w:rPr>
                <w:rFonts w:ascii="Arial Narrow" w:hAnsi="Arial Narrow"/>
                <w:sz w:val="24"/>
                <w:szCs w:val="24"/>
                <w:lang w:val="af-ZA"/>
              </w:rPr>
              <w:t>’.</w:t>
            </w:r>
            <w:r w:rsidR="004757A9" w:rsidRPr="006901D1">
              <w:rPr>
                <w:rFonts w:ascii="Arial Narrow" w:hAnsi="Arial Narrow"/>
                <w:sz w:val="24"/>
                <w:szCs w:val="24"/>
                <w:lang w:val="af-ZA"/>
              </w:rPr>
              <w:t xml:space="preserve"> It is clear from the reading of the rules and the relevant case law that an</w:t>
            </w:r>
            <w:r w:rsidR="00A51068" w:rsidRPr="006901D1">
              <w:rPr>
                <w:rFonts w:ascii="Arial Narrow" w:hAnsi="Arial Narrow"/>
                <w:sz w:val="24"/>
                <w:szCs w:val="24"/>
                <w:lang w:val="af-ZA"/>
              </w:rPr>
              <w:t xml:space="preserve"> application </w:t>
            </w:r>
            <w:r w:rsidR="00A51068" w:rsidRPr="00FF436F">
              <w:rPr>
                <w:rFonts w:ascii="Arial Narrow" w:hAnsi="Arial Narrow"/>
                <w:sz w:val="24"/>
                <w:szCs w:val="24"/>
                <w:lang w:val="af-ZA"/>
              </w:rPr>
              <w:t xml:space="preserve">in terms of rule 97(3) is not </w:t>
            </w:r>
            <w:r w:rsidR="004757A9" w:rsidRPr="00273840">
              <w:rPr>
                <w:rFonts w:ascii="Arial Narrow" w:hAnsi="Arial Narrow"/>
                <w:sz w:val="24"/>
                <w:szCs w:val="24"/>
                <w:lang w:val="af-ZA"/>
              </w:rPr>
              <w:t xml:space="preserve">an application </w:t>
            </w:r>
            <w:r w:rsidR="00273840">
              <w:rPr>
                <w:rFonts w:ascii="Arial Narrow" w:hAnsi="Arial Narrow"/>
                <w:sz w:val="24"/>
                <w:szCs w:val="24"/>
                <w:lang w:val="af-ZA"/>
              </w:rPr>
              <w:t>in the true sense</w:t>
            </w:r>
            <w:r w:rsidR="004757A9" w:rsidRPr="00273840">
              <w:rPr>
                <w:rFonts w:ascii="Arial Narrow" w:hAnsi="Arial Narrow"/>
                <w:sz w:val="24"/>
                <w:szCs w:val="24"/>
                <w:lang w:val="af-ZA"/>
              </w:rPr>
              <w:t xml:space="preserve"> </w:t>
            </w:r>
            <w:r w:rsidR="004757A9" w:rsidRPr="006901D1">
              <w:rPr>
                <w:rFonts w:ascii="Arial Narrow" w:hAnsi="Arial Narrow"/>
                <w:sz w:val="24"/>
                <w:szCs w:val="24"/>
                <w:lang w:val="af-ZA"/>
              </w:rPr>
              <w:t>as envisaged by</w:t>
            </w:r>
            <w:r w:rsidR="00A51068" w:rsidRPr="006901D1">
              <w:rPr>
                <w:rFonts w:ascii="Arial Narrow" w:hAnsi="Arial Narrow"/>
                <w:sz w:val="24"/>
                <w:szCs w:val="24"/>
                <w:lang w:val="af-ZA"/>
              </w:rPr>
              <w:t xml:space="preserve"> rule </w:t>
            </w:r>
            <w:r w:rsidR="00A51068" w:rsidRPr="00FF436F">
              <w:rPr>
                <w:rFonts w:ascii="Arial Narrow" w:hAnsi="Arial Narrow"/>
                <w:sz w:val="24"/>
                <w:szCs w:val="24"/>
                <w:lang w:val="af-ZA"/>
              </w:rPr>
              <w:t xml:space="preserve">65 as it deals with cost of an existing matter. </w:t>
            </w:r>
          </w:p>
          <w:p w:rsidR="009F0F12" w:rsidRPr="00FF436F" w:rsidRDefault="009F0F12" w:rsidP="0028231F">
            <w:pPr>
              <w:tabs>
                <w:tab w:val="left" w:pos="720"/>
              </w:tabs>
              <w:spacing w:line="360" w:lineRule="auto"/>
              <w:jc w:val="both"/>
              <w:rPr>
                <w:rFonts w:ascii="Arial Narrow" w:hAnsi="Arial Narrow"/>
                <w:sz w:val="24"/>
                <w:szCs w:val="24"/>
                <w:lang w:val="af-ZA"/>
              </w:rPr>
            </w:pPr>
          </w:p>
          <w:p w:rsidR="00A51068" w:rsidRPr="00FF436F" w:rsidRDefault="004C4F04" w:rsidP="0028231F">
            <w:pPr>
              <w:tabs>
                <w:tab w:val="left" w:pos="720"/>
              </w:tabs>
              <w:spacing w:line="360" w:lineRule="auto"/>
              <w:jc w:val="both"/>
              <w:rPr>
                <w:rFonts w:ascii="Arial Narrow" w:hAnsi="Arial Narrow"/>
                <w:sz w:val="24"/>
                <w:szCs w:val="24"/>
                <w:lang w:val="af-ZA"/>
              </w:rPr>
            </w:pPr>
            <w:r>
              <w:rPr>
                <w:rFonts w:ascii="Arial Narrow" w:hAnsi="Arial Narrow"/>
                <w:sz w:val="24"/>
                <w:szCs w:val="24"/>
                <w:lang w:val="af-ZA"/>
              </w:rPr>
              <w:t>[22</w:t>
            </w:r>
            <w:r w:rsidR="00A51068" w:rsidRPr="00FF436F">
              <w:rPr>
                <w:rFonts w:ascii="Arial Narrow" w:hAnsi="Arial Narrow"/>
                <w:sz w:val="24"/>
                <w:szCs w:val="24"/>
                <w:lang w:val="af-ZA"/>
              </w:rPr>
              <w:t>]</w:t>
            </w:r>
            <w:r w:rsidR="00A51068" w:rsidRPr="00FF436F">
              <w:rPr>
                <w:rFonts w:ascii="Arial Narrow" w:hAnsi="Arial Narrow"/>
                <w:sz w:val="24"/>
                <w:szCs w:val="24"/>
                <w:lang w:val="af-ZA"/>
              </w:rPr>
              <w:tab/>
              <w:t>The</w:t>
            </w:r>
            <w:r w:rsidR="001D2571" w:rsidRPr="00DA4E27">
              <w:rPr>
                <w:rFonts w:ascii="Arial Narrow" w:hAnsi="Arial Narrow"/>
                <w:sz w:val="24"/>
                <w:szCs w:val="24"/>
                <w:lang w:val="af-ZA"/>
              </w:rPr>
              <w:t>re</w:t>
            </w:r>
            <w:r w:rsidR="00A51068" w:rsidRPr="00FF436F">
              <w:rPr>
                <w:rFonts w:ascii="Arial Narrow" w:hAnsi="Arial Narrow"/>
                <w:sz w:val="24"/>
                <w:szCs w:val="24"/>
                <w:lang w:val="af-ZA"/>
              </w:rPr>
              <w:t xml:space="preserve"> appears to be no merits in the point in limine raised on behalf of the plaintiff and the </w:t>
            </w:r>
            <w:r w:rsidR="005609F1" w:rsidRPr="00DA4E27">
              <w:rPr>
                <w:rFonts w:ascii="Arial Narrow" w:hAnsi="Arial Narrow"/>
                <w:sz w:val="24"/>
                <w:szCs w:val="24"/>
                <w:lang w:val="af-ZA"/>
              </w:rPr>
              <w:t xml:space="preserve">said </w:t>
            </w:r>
            <w:r w:rsidR="00A51068" w:rsidRPr="00FF436F">
              <w:rPr>
                <w:rFonts w:ascii="Arial Narrow" w:hAnsi="Arial Narrow"/>
                <w:sz w:val="24"/>
                <w:szCs w:val="24"/>
                <w:lang w:val="af-ZA"/>
              </w:rPr>
              <w:t xml:space="preserve">point </w:t>
            </w:r>
            <w:r w:rsidR="00A51068" w:rsidRPr="00DA4E27">
              <w:rPr>
                <w:rFonts w:ascii="Arial Narrow" w:hAnsi="Arial Narrow"/>
                <w:sz w:val="24"/>
                <w:szCs w:val="24"/>
                <w:u w:val="single"/>
                <w:lang w:val="af-ZA"/>
              </w:rPr>
              <w:t>in limine</w:t>
            </w:r>
            <w:r w:rsidR="00A51068" w:rsidRPr="00DA4E27">
              <w:rPr>
                <w:rFonts w:ascii="Arial Narrow" w:hAnsi="Arial Narrow"/>
                <w:sz w:val="24"/>
                <w:szCs w:val="24"/>
                <w:lang w:val="af-ZA"/>
              </w:rPr>
              <w:t xml:space="preserve"> </w:t>
            </w:r>
            <w:r w:rsidR="00A51068" w:rsidRPr="00FF436F">
              <w:rPr>
                <w:rFonts w:ascii="Arial Narrow" w:hAnsi="Arial Narrow"/>
                <w:sz w:val="24"/>
                <w:szCs w:val="24"/>
                <w:lang w:val="af-ZA"/>
              </w:rPr>
              <w:t xml:space="preserve">is therefor dismissed. </w:t>
            </w:r>
          </w:p>
          <w:p w:rsidR="00F85E84" w:rsidRPr="00FF436F" w:rsidRDefault="00F85E84" w:rsidP="0028231F">
            <w:pPr>
              <w:tabs>
                <w:tab w:val="left" w:pos="1275"/>
              </w:tabs>
              <w:spacing w:line="360" w:lineRule="auto"/>
              <w:jc w:val="both"/>
              <w:rPr>
                <w:rFonts w:ascii="Arial Narrow" w:hAnsi="Arial Narrow" w:cs="Arial"/>
                <w:sz w:val="24"/>
                <w:szCs w:val="24"/>
              </w:rPr>
            </w:pPr>
          </w:p>
          <w:p w:rsidR="000F7F61" w:rsidRDefault="000F7F61" w:rsidP="0028231F">
            <w:pPr>
              <w:tabs>
                <w:tab w:val="left" w:pos="1275"/>
              </w:tabs>
              <w:spacing w:line="360" w:lineRule="auto"/>
              <w:jc w:val="both"/>
              <w:rPr>
                <w:rFonts w:ascii="Arial Narrow" w:hAnsi="Arial Narrow" w:cs="Arial"/>
                <w:sz w:val="24"/>
                <w:szCs w:val="24"/>
                <w:u w:val="single"/>
              </w:rPr>
            </w:pPr>
            <w:r w:rsidRPr="00FF436F">
              <w:rPr>
                <w:rFonts w:ascii="Arial Narrow" w:hAnsi="Arial Narrow" w:cs="Arial"/>
                <w:sz w:val="24"/>
                <w:szCs w:val="24"/>
                <w:u w:val="single"/>
              </w:rPr>
              <w:t>The applicable legal principles</w:t>
            </w:r>
            <w:r w:rsidR="00902303">
              <w:rPr>
                <w:rFonts w:ascii="Arial Narrow" w:hAnsi="Arial Narrow" w:cs="Arial"/>
                <w:sz w:val="24"/>
                <w:szCs w:val="24"/>
                <w:u w:val="single"/>
              </w:rPr>
              <w:t xml:space="preserve"> </w:t>
            </w:r>
            <w:r w:rsidR="00902303" w:rsidRPr="00DA4E27">
              <w:rPr>
                <w:rFonts w:ascii="Arial Narrow" w:hAnsi="Arial Narrow" w:cs="Arial"/>
                <w:sz w:val="24"/>
                <w:szCs w:val="24"/>
                <w:u w:val="single"/>
              </w:rPr>
              <w:t xml:space="preserve">in respect of </w:t>
            </w:r>
            <w:r w:rsidR="008D7ED4" w:rsidRPr="00DA4E27">
              <w:rPr>
                <w:rFonts w:ascii="Arial Narrow" w:hAnsi="Arial Narrow" w:cs="Arial"/>
                <w:sz w:val="24"/>
                <w:szCs w:val="24"/>
                <w:u w:val="single"/>
              </w:rPr>
              <w:t>costs in terms of rule 97 (3)</w:t>
            </w:r>
          </w:p>
          <w:p w:rsidR="0028231F" w:rsidRPr="00FF436F" w:rsidRDefault="0028231F" w:rsidP="0028231F">
            <w:pPr>
              <w:tabs>
                <w:tab w:val="left" w:pos="1275"/>
              </w:tabs>
              <w:spacing w:line="360" w:lineRule="auto"/>
              <w:jc w:val="both"/>
              <w:rPr>
                <w:rFonts w:ascii="Arial Narrow" w:hAnsi="Arial Narrow" w:cs="Arial"/>
                <w:sz w:val="24"/>
                <w:szCs w:val="24"/>
                <w:u w:val="single"/>
              </w:rPr>
            </w:pPr>
          </w:p>
          <w:p w:rsidR="00F85E84" w:rsidRDefault="000F7F61" w:rsidP="0028231F">
            <w:pPr>
              <w:tabs>
                <w:tab w:val="left" w:pos="720"/>
              </w:tabs>
              <w:spacing w:line="360" w:lineRule="auto"/>
              <w:jc w:val="both"/>
              <w:rPr>
                <w:rFonts w:ascii="Arial Narrow" w:hAnsi="Arial Narrow" w:cs="Courier New"/>
                <w:color w:val="000000"/>
                <w:sz w:val="24"/>
                <w:szCs w:val="24"/>
              </w:rPr>
            </w:pPr>
            <w:r w:rsidRPr="00FF436F">
              <w:rPr>
                <w:rFonts w:ascii="Arial Narrow" w:hAnsi="Arial Narrow" w:cs="Arial"/>
                <w:sz w:val="24"/>
                <w:szCs w:val="24"/>
              </w:rPr>
              <w:t>[</w:t>
            </w:r>
            <w:r w:rsidR="004C4F04">
              <w:rPr>
                <w:rFonts w:ascii="Arial Narrow" w:hAnsi="Arial Narrow" w:cs="Arial"/>
                <w:sz w:val="24"/>
                <w:szCs w:val="24"/>
              </w:rPr>
              <w:t>23</w:t>
            </w:r>
            <w:r w:rsidRPr="00FF436F">
              <w:rPr>
                <w:rFonts w:ascii="Arial Narrow" w:hAnsi="Arial Narrow" w:cs="Arial"/>
                <w:sz w:val="24"/>
                <w:szCs w:val="24"/>
              </w:rPr>
              <w:t xml:space="preserve">]     </w:t>
            </w:r>
            <w:r w:rsidR="00F85E84" w:rsidRPr="00FF436F">
              <w:rPr>
                <w:rFonts w:ascii="Arial Narrow" w:hAnsi="Arial Narrow" w:cs="Courier New"/>
                <w:color w:val="000000"/>
                <w:sz w:val="24"/>
                <w:szCs w:val="24"/>
              </w:rPr>
              <w:t xml:space="preserve"> In the instance where a litigant withdraws an action against the opposing party I am guide</w:t>
            </w:r>
            <w:r w:rsidR="00E106DB" w:rsidRPr="004757A9">
              <w:rPr>
                <w:rFonts w:ascii="Arial Narrow" w:hAnsi="Arial Narrow" w:cs="Courier New"/>
                <w:sz w:val="24"/>
                <w:szCs w:val="24"/>
              </w:rPr>
              <w:t>d</w:t>
            </w:r>
            <w:r w:rsidR="00F85E84" w:rsidRPr="00FF436F">
              <w:rPr>
                <w:rFonts w:ascii="Arial Narrow" w:hAnsi="Arial Narrow" w:cs="Courier New"/>
                <w:color w:val="000000"/>
                <w:sz w:val="24"/>
                <w:szCs w:val="24"/>
              </w:rPr>
              <w:t xml:space="preserve"> by the dicta in </w:t>
            </w:r>
            <w:r w:rsidR="00F85E84" w:rsidRPr="00FF436F">
              <w:rPr>
                <w:rFonts w:ascii="Arial Narrow" w:hAnsi="Arial Narrow" w:cs="Courier New"/>
                <w:i/>
                <w:color w:val="000000"/>
                <w:sz w:val="24"/>
                <w:szCs w:val="24"/>
              </w:rPr>
              <w:t>Germishuys v Douglas Besproeiingsraad</w:t>
            </w:r>
            <w:r w:rsidR="00F85E84" w:rsidRPr="00FF436F">
              <w:rPr>
                <w:rStyle w:val="FootnoteReference"/>
                <w:rFonts w:ascii="Arial Narrow" w:hAnsi="Arial Narrow" w:cs="Courier New"/>
                <w:i/>
                <w:color w:val="000000"/>
                <w:sz w:val="24"/>
                <w:szCs w:val="24"/>
              </w:rPr>
              <w:footnoteReference w:id="5"/>
            </w:r>
            <w:r w:rsidR="00F85E84" w:rsidRPr="00FF436F">
              <w:rPr>
                <w:rFonts w:ascii="Arial Narrow" w:hAnsi="Arial Narrow" w:cs="Courier New"/>
                <w:i/>
                <w:color w:val="000000"/>
                <w:sz w:val="24"/>
                <w:szCs w:val="24"/>
              </w:rPr>
              <w:t xml:space="preserve">  </w:t>
            </w:r>
            <w:r w:rsidR="00F85E84" w:rsidRPr="00FF436F">
              <w:rPr>
                <w:rFonts w:ascii="Arial Narrow" w:hAnsi="Arial Narrow" w:cs="Courier New"/>
                <w:color w:val="000000"/>
                <w:sz w:val="24"/>
                <w:szCs w:val="24"/>
              </w:rPr>
              <w:t>which</w:t>
            </w:r>
            <w:r w:rsidR="00F85E84" w:rsidRPr="00FF436F">
              <w:rPr>
                <w:rFonts w:ascii="Arial Narrow" w:hAnsi="Arial Narrow" w:cs="Courier New"/>
                <w:i/>
                <w:color w:val="000000"/>
                <w:sz w:val="24"/>
                <w:szCs w:val="24"/>
              </w:rPr>
              <w:t xml:space="preserve"> </w:t>
            </w:r>
            <w:r w:rsidR="00F85E84" w:rsidRPr="00FF436F">
              <w:rPr>
                <w:rFonts w:ascii="Arial Narrow" w:hAnsi="Arial Narrow" w:cs="Courier New"/>
                <w:color w:val="000000"/>
                <w:sz w:val="24"/>
                <w:szCs w:val="24"/>
              </w:rPr>
              <w:t>has been adopted in this jurisdiction</w:t>
            </w:r>
            <w:r w:rsidR="00F85E84" w:rsidRPr="00FF436F">
              <w:rPr>
                <w:rStyle w:val="FootnoteReference"/>
                <w:rFonts w:ascii="Arial Narrow" w:hAnsi="Arial Narrow" w:cs="Courier New"/>
                <w:color w:val="000000"/>
                <w:sz w:val="24"/>
                <w:szCs w:val="24"/>
              </w:rPr>
              <w:footnoteReference w:id="6"/>
            </w:r>
            <w:r w:rsidR="00F85E84" w:rsidRPr="00FF436F">
              <w:rPr>
                <w:rFonts w:ascii="Arial Narrow" w:hAnsi="Arial Narrow" w:cs="Courier New"/>
                <w:color w:val="000000"/>
                <w:sz w:val="24"/>
                <w:szCs w:val="24"/>
              </w:rPr>
              <w:t>. In the aforementioned matter</w:t>
            </w:r>
            <w:r w:rsidR="00F85E84" w:rsidRPr="00FF436F">
              <w:rPr>
                <w:rFonts w:ascii="Arial Narrow" w:hAnsi="Arial Narrow" w:cs="Courier New"/>
                <w:i/>
                <w:color w:val="000000"/>
                <w:sz w:val="24"/>
                <w:szCs w:val="24"/>
              </w:rPr>
              <w:t xml:space="preserve"> </w:t>
            </w:r>
            <w:r w:rsidR="00F85E84" w:rsidRPr="00FF436F">
              <w:rPr>
                <w:rFonts w:ascii="Arial Narrow" w:hAnsi="Arial Narrow" w:cs="Courier New"/>
                <w:color w:val="000000"/>
                <w:sz w:val="24"/>
                <w:szCs w:val="24"/>
              </w:rPr>
              <w:t>the court said:</w:t>
            </w:r>
          </w:p>
          <w:p w:rsidR="009F0F12" w:rsidRPr="00FF436F" w:rsidRDefault="009F0F12" w:rsidP="0028231F">
            <w:pPr>
              <w:tabs>
                <w:tab w:val="left" w:pos="720"/>
              </w:tabs>
              <w:spacing w:line="360" w:lineRule="auto"/>
              <w:jc w:val="both"/>
              <w:rPr>
                <w:rFonts w:ascii="Arial Narrow" w:hAnsi="Arial Narrow" w:cs="Courier New"/>
                <w:color w:val="000000"/>
                <w:sz w:val="24"/>
                <w:szCs w:val="24"/>
              </w:rPr>
            </w:pPr>
          </w:p>
          <w:p w:rsidR="00F85E84" w:rsidRPr="00E106DB" w:rsidRDefault="00F85E84" w:rsidP="0028231F">
            <w:pPr>
              <w:spacing w:line="360" w:lineRule="auto"/>
              <w:ind w:firstLine="720"/>
              <w:jc w:val="both"/>
              <w:rPr>
                <w:rFonts w:ascii="Arial Narrow" w:hAnsi="Arial Narrow" w:cs="Courier New"/>
                <w:color w:val="000000"/>
              </w:rPr>
            </w:pPr>
            <w:r w:rsidRPr="00E106DB">
              <w:rPr>
                <w:rFonts w:ascii="Arial Narrow" w:hAnsi="Arial Narrow" w:cs="Courier New"/>
                <w:color w:val="000000"/>
              </w:rPr>
              <w:lastRenderedPageBreak/>
              <w:t xml:space="preserve">“Where a litigant withdraws an action or in effect withdraws it, very sound </w:t>
            </w:r>
            <w:r w:rsidR="00E106DB" w:rsidRPr="00E106DB">
              <w:rPr>
                <w:rFonts w:ascii="Arial Narrow" w:hAnsi="Arial Narrow" w:cs="Courier New"/>
                <w:color w:val="000000"/>
              </w:rPr>
              <w:t xml:space="preserve">reasons . </w:t>
            </w:r>
            <w:r w:rsidRPr="00E106DB">
              <w:rPr>
                <w:rFonts w:ascii="Arial Narrow" w:hAnsi="Arial Narrow" w:cs="Courier New"/>
                <w:color w:val="000000"/>
              </w:rPr>
              <w:t>.</w:t>
            </w:r>
            <w:r w:rsidR="00E106DB" w:rsidRPr="00E106DB">
              <w:rPr>
                <w:rFonts w:ascii="Arial Narrow" w:hAnsi="Arial Narrow" w:cs="Courier New"/>
                <w:color w:val="000000"/>
              </w:rPr>
              <w:t xml:space="preserve"> </w:t>
            </w:r>
            <w:r w:rsidRPr="00E106DB">
              <w:rPr>
                <w:rFonts w:ascii="Arial Narrow" w:hAnsi="Arial Narrow" w:cs="Courier New"/>
                <w:color w:val="000000"/>
              </w:rPr>
              <w:t>. must exist why a defendant or respondent should not be entitled to his costs.  The plaintiff or applicant who withdraws his action or application is in the same position as an unsuccessful litigant because, after all, his claim or application is futile and the defendant, or respondent, is entitled to all costs associated with the withdrawing plaintiff’s or applicant’s institution of proceedings.”</w:t>
            </w:r>
          </w:p>
          <w:p w:rsidR="00A51068" w:rsidRPr="00FF436F" w:rsidRDefault="00A51068" w:rsidP="0028231F">
            <w:pPr>
              <w:spacing w:line="360" w:lineRule="auto"/>
              <w:jc w:val="both"/>
              <w:rPr>
                <w:rFonts w:ascii="Arial Narrow" w:hAnsi="Arial Narrow" w:cs="Courier New"/>
                <w:color w:val="000000"/>
                <w:sz w:val="24"/>
                <w:szCs w:val="24"/>
              </w:rPr>
            </w:pPr>
          </w:p>
          <w:p w:rsidR="00F85E84" w:rsidRDefault="00F85E84" w:rsidP="0028231F">
            <w:pPr>
              <w:spacing w:line="360" w:lineRule="auto"/>
              <w:jc w:val="both"/>
              <w:rPr>
                <w:rFonts w:ascii="Arial Narrow" w:hAnsi="Arial Narrow" w:cs="Courier New"/>
                <w:color w:val="000000"/>
                <w:sz w:val="24"/>
                <w:szCs w:val="24"/>
              </w:rPr>
            </w:pPr>
            <w:r w:rsidRPr="00FF436F">
              <w:rPr>
                <w:rFonts w:ascii="Arial Narrow" w:hAnsi="Arial Narrow" w:cs="Courier New"/>
                <w:color w:val="000000"/>
                <w:sz w:val="24"/>
                <w:szCs w:val="24"/>
              </w:rPr>
              <w:t>[</w:t>
            </w:r>
            <w:r w:rsidR="004C4F04">
              <w:rPr>
                <w:rFonts w:ascii="Arial Narrow" w:hAnsi="Arial Narrow" w:cs="Courier New"/>
                <w:color w:val="000000"/>
                <w:sz w:val="24"/>
                <w:szCs w:val="24"/>
              </w:rPr>
              <w:t>24</w:t>
            </w:r>
            <w:r w:rsidRPr="00FF436F">
              <w:rPr>
                <w:rFonts w:ascii="Arial Narrow" w:hAnsi="Arial Narrow" w:cs="Courier New"/>
                <w:color w:val="000000"/>
                <w:sz w:val="24"/>
                <w:szCs w:val="24"/>
              </w:rPr>
              <w:t>]     In spite of this general</w:t>
            </w:r>
            <w:r w:rsidR="002D41F7">
              <w:rPr>
                <w:rFonts w:ascii="Arial Narrow" w:hAnsi="Arial Narrow" w:cs="Courier New"/>
                <w:color w:val="000000"/>
                <w:sz w:val="24"/>
                <w:szCs w:val="24"/>
              </w:rPr>
              <w:t xml:space="preserve"> </w:t>
            </w:r>
            <w:r w:rsidR="002D41F7" w:rsidRPr="004757A9">
              <w:rPr>
                <w:rFonts w:ascii="Arial Narrow" w:hAnsi="Arial Narrow" w:cs="Courier New"/>
                <w:sz w:val="24"/>
                <w:szCs w:val="24"/>
              </w:rPr>
              <w:t>principle</w:t>
            </w:r>
            <w:r w:rsidRPr="00FF436F">
              <w:rPr>
                <w:rFonts w:ascii="Arial Narrow" w:hAnsi="Arial Narrow" w:cs="Courier New"/>
                <w:color w:val="000000"/>
                <w:sz w:val="24"/>
                <w:szCs w:val="24"/>
              </w:rPr>
              <w:t xml:space="preserve"> the court retains its discretion as to the award of costs. In </w:t>
            </w:r>
            <w:r w:rsidRPr="00FF436F">
              <w:rPr>
                <w:rFonts w:ascii="Arial Narrow" w:hAnsi="Arial Narrow"/>
                <w:i/>
                <w:sz w:val="24"/>
                <w:szCs w:val="24"/>
              </w:rPr>
              <w:t>Erf Sixty-Six, 66 Vogelstrand (Pty) Ltd v The Council of the Municipality of Swakopmund</w:t>
            </w:r>
            <w:r w:rsidRPr="00FF436F">
              <w:rPr>
                <w:rStyle w:val="FootnoteReference"/>
                <w:rFonts w:ascii="Arial Narrow" w:hAnsi="Arial Narrow"/>
                <w:i/>
                <w:sz w:val="24"/>
                <w:szCs w:val="24"/>
              </w:rPr>
              <w:footnoteReference w:id="7"/>
            </w:r>
            <w:r w:rsidRPr="00FF436F">
              <w:rPr>
                <w:rFonts w:ascii="Arial Narrow" w:hAnsi="Arial Narrow" w:cs="Courier New"/>
                <w:color w:val="000000"/>
                <w:sz w:val="24"/>
                <w:szCs w:val="24"/>
              </w:rPr>
              <w:t xml:space="preserve">  Damaseb JP states as follows:</w:t>
            </w:r>
          </w:p>
          <w:p w:rsidR="0028231F" w:rsidRPr="00FF436F" w:rsidRDefault="0028231F" w:rsidP="0028231F">
            <w:pPr>
              <w:spacing w:line="360" w:lineRule="auto"/>
              <w:jc w:val="both"/>
              <w:rPr>
                <w:rFonts w:ascii="Arial Narrow" w:hAnsi="Arial Narrow" w:cs="Courier New"/>
                <w:color w:val="000000"/>
                <w:sz w:val="24"/>
                <w:szCs w:val="24"/>
              </w:rPr>
            </w:pPr>
          </w:p>
          <w:p w:rsidR="00F85E84" w:rsidRPr="00D63EC8" w:rsidRDefault="00F85E84" w:rsidP="0028231F">
            <w:pPr>
              <w:spacing w:line="360" w:lineRule="auto"/>
              <w:ind w:firstLine="720"/>
              <w:jc w:val="both"/>
              <w:rPr>
                <w:rFonts w:ascii="Arial Narrow" w:hAnsi="Arial Narrow" w:cs="Courier New"/>
                <w:color w:val="000000"/>
              </w:rPr>
            </w:pPr>
            <w:r w:rsidRPr="00D63EC8">
              <w:rPr>
                <w:rFonts w:ascii="Arial Narrow" w:hAnsi="Arial Narrow" w:cs="Courier New"/>
                <w:color w:val="000000"/>
              </w:rPr>
              <w:t>‘[12]</w:t>
            </w:r>
            <w:r w:rsidRPr="00D63EC8">
              <w:rPr>
                <w:rFonts w:ascii="Arial Narrow" w:hAnsi="Arial Narrow" w:cs="Courier New"/>
                <w:color w:val="000000"/>
              </w:rPr>
              <w:tab/>
              <w:t>The Court retains discretion as to the award of cost, even where an action or application has been withdrawn</w:t>
            </w:r>
            <w:r w:rsidRPr="00D63EC8">
              <w:rPr>
                <w:rStyle w:val="FootnoteReference"/>
                <w:rFonts w:ascii="Arial Narrow" w:hAnsi="Arial Narrow" w:cs="Courier New"/>
                <w:color w:val="000000"/>
              </w:rPr>
              <w:footnoteReference w:id="8"/>
            </w:r>
            <w:r w:rsidRPr="00D63EC8">
              <w:rPr>
                <w:rFonts w:ascii="Arial Narrow" w:hAnsi="Arial Narrow" w:cs="Courier New"/>
                <w:color w:val="000000"/>
              </w:rPr>
              <w:t>. It is ultimately a question of fairness as between the parties. The Court may therefore in the exercise of its discretion in appropriate circumstances take into account that the party that has withdrawn the litigation was justified in bringing the litigation:</w:t>
            </w:r>
          </w:p>
          <w:p w:rsidR="00852E72" w:rsidRPr="00D63EC8" w:rsidRDefault="00852E72" w:rsidP="0028231F">
            <w:pPr>
              <w:spacing w:line="360" w:lineRule="auto"/>
              <w:ind w:firstLine="720"/>
              <w:jc w:val="both"/>
              <w:rPr>
                <w:rFonts w:ascii="Arial Narrow" w:hAnsi="Arial Narrow" w:cs="Courier New"/>
                <w:color w:val="000000"/>
              </w:rPr>
            </w:pPr>
          </w:p>
          <w:p w:rsidR="00F85E84" w:rsidRPr="00D63EC8" w:rsidRDefault="00F85E84" w:rsidP="0028231F">
            <w:pPr>
              <w:spacing w:line="360" w:lineRule="auto"/>
              <w:ind w:left="720"/>
              <w:jc w:val="both"/>
              <w:rPr>
                <w:rFonts w:ascii="Arial Narrow" w:hAnsi="Arial Narrow" w:cs="Courier New"/>
                <w:color w:val="000000"/>
              </w:rPr>
            </w:pPr>
            <w:r w:rsidRPr="00D63EC8">
              <w:rPr>
                <w:rFonts w:ascii="Arial Narrow" w:hAnsi="Arial Narrow" w:cs="Courier New"/>
                <w:color w:val="000000"/>
              </w:rPr>
              <w:t>“It is clear from the above, in my view, that, even in cases where litigation has been withdrawn, the general rule is of application, namely that a successful litigant is entitled to his costs unless the Court is persuaded, in the exercise of its judicial discretion upon consideration of al facts, that it would be unfair to mulct the unsuccessful party in costs.”</w:t>
            </w:r>
            <w:r w:rsidRPr="00D63EC8">
              <w:rPr>
                <w:rStyle w:val="FootnoteReference"/>
                <w:rFonts w:ascii="Arial Narrow" w:hAnsi="Arial Narrow" w:cs="Courier New"/>
                <w:color w:val="000000"/>
              </w:rPr>
              <w:footnoteReference w:id="9"/>
            </w:r>
          </w:p>
          <w:p w:rsidR="0028231F" w:rsidRPr="00FF436F" w:rsidRDefault="0028231F" w:rsidP="0028231F">
            <w:pPr>
              <w:spacing w:line="360" w:lineRule="auto"/>
              <w:ind w:left="720"/>
              <w:jc w:val="both"/>
              <w:rPr>
                <w:rFonts w:ascii="Arial Narrow" w:hAnsi="Arial Narrow" w:cs="Courier New"/>
                <w:color w:val="000000"/>
                <w:sz w:val="24"/>
                <w:szCs w:val="24"/>
              </w:rPr>
            </w:pPr>
          </w:p>
          <w:p w:rsidR="00F85E84" w:rsidRPr="00065EA0" w:rsidRDefault="00F85E84" w:rsidP="0028231F">
            <w:pPr>
              <w:spacing w:line="360" w:lineRule="auto"/>
              <w:jc w:val="both"/>
              <w:rPr>
                <w:rFonts w:ascii="Arial Narrow" w:hAnsi="Arial Narrow" w:cs="Courier New"/>
                <w:color w:val="7030A0"/>
                <w:sz w:val="24"/>
                <w:szCs w:val="24"/>
              </w:rPr>
            </w:pPr>
            <w:r w:rsidRPr="00FF436F">
              <w:rPr>
                <w:rFonts w:ascii="Arial Narrow" w:hAnsi="Arial Narrow" w:cs="Courier New"/>
                <w:color w:val="000000"/>
                <w:sz w:val="24"/>
                <w:szCs w:val="24"/>
              </w:rPr>
              <w:t>[</w:t>
            </w:r>
            <w:r w:rsidR="004C4F04">
              <w:rPr>
                <w:rFonts w:ascii="Arial Narrow" w:hAnsi="Arial Narrow" w:cs="Courier New"/>
                <w:color w:val="000000"/>
                <w:sz w:val="24"/>
                <w:szCs w:val="24"/>
              </w:rPr>
              <w:t>25</w:t>
            </w:r>
            <w:r w:rsidRPr="00FF436F">
              <w:rPr>
                <w:rFonts w:ascii="Arial Narrow" w:hAnsi="Arial Narrow" w:cs="Courier New"/>
                <w:color w:val="000000"/>
                <w:sz w:val="24"/>
                <w:szCs w:val="24"/>
              </w:rPr>
              <w:t>]     The current matter before me did not really get out of the starting blocks. The plaintiff wan</w:t>
            </w:r>
            <w:r w:rsidRPr="004757A9">
              <w:rPr>
                <w:rFonts w:ascii="Arial Narrow" w:hAnsi="Arial Narrow" w:cs="Courier New"/>
                <w:sz w:val="24"/>
                <w:szCs w:val="24"/>
              </w:rPr>
              <w:t>t</w:t>
            </w:r>
            <w:r w:rsidR="0047407B" w:rsidRPr="004757A9">
              <w:rPr>
                <w:rFonts w:ascii="Arial Narrow" w:hAnsi="Arial Narrow" w:cs="Courier New"/>
                <w:sz w:val="24"/>
                <w:szCs w:val="24"/>
              </w:rPr>
              <w:t>s</w:t>
            </w:r>
            <w:r w:rsidRPr="004757A9">
              <w:rPr>
                <w:rFonts w:ascii="Arial Narrow" w:hAnsi="Arial Narrow" w:cs="Courier New"/>
                <w:sz w:val="24"/>
                <w:szCs w:val="24"/>
              </w:rPr>
              <w:t xml:space="preserve"> </w:t>
            </w:r>
            <w:r w:rsidRPr="00FF436F">
              <w:rPr>
                <w:rFonts w:ascii="Arial Narrow" w:hAnsi="Arial Narrow" w:cs="Courier New"/>
                <w:color w:val="000000"/>
                <w:sz w:val="24"/>
                <w:szCs w:val="24"/>
              </w:rPr>
              <w:t>the court to venture into the merits but</w:t>
            </w:r>
            <w:r w:rsidR="0047407B">
              <w:rPr>
                <w:rFonts w:ascii="Arial Narrow" w:hAnsi="Arial Narrow" w:cs="Courier New"/>
                <w:color w:val="000000"/>
                <w:sz w:val="24"/>
                <w:szCs w:val="24"/>
              </w:rPr>
              <w:t xml:space="preserve"> </w:t>
            </w:r>
            <w:r w:rsidR="0047407B" w:rsidRPr="004757A9">
              <w:rPr>
                <w:rFonts w:ascii="Arial Narrow" w:hAnsi="Arial Narrow" w:cs="Courier New"/>
                <w:sz w:val="24"/>
                <w:szCs w:val="24"/>
              </w:rPr>
              <w:t>the merits were</w:t>
            </w:r>
            <w:r w:rsidRPr="004757A9">
              <w:rPr>
                <w:rFonts w:ascii="Arial Narrow" w:hAnsi="Arial Narrow" w:cs="Courier New"/>
                <w:sz w:val="24"/>
                <w:szCs w:val="24"/>
              </w:rPr>
              <w:t xml:space="preserve"> </w:t>
            </w:r>
            <w:r w:rsidRPr="00FF436F">
              <w:rPr>
                <w:rFonts w:ascii="Arial Narrow" w:hAnsi="Arial Narrow" w:cs="Courier New"/>
                <w:color w:val="000000"/>
                <w:sz w:val="24"/>
                <w:szCs w:val="24"/>
              </w:rPr>
              <w:t xml:space="preserve">never argued before me. No pleadings were exchanged as the action was withdrawn after the answering affidavit </w:t>
            </w:r>
            <w:r w:rsidR="00826E81" w:rsidRPr="004757A9">
              <w:rPr>
                <w:rFonts w:ascii="Arial Narrow" w:hAnsi="Arial Narrow" w:cs="Courier New"/>
                <w:sz w:val="24"/>
                <w:szCs w:val="24"/>
              </w:rPr>
              <w:t xml:space="preserve">of the summary judgment </w:t>
            </w:r>
            <w:r w:rsidRPr="00FF436F">
              <w:rPr>
                <w:rFonts w:ascii="Arial Narrow" w:hAnsi="Arial Narrow" w:cs="Courier New"/>
                <w:color w:val="000000"/>
                <w:sz w:val="24"/>
                <w:szCs w:val="24"/>
              </w:rPr>
              <w:t xml:space="preserve">was filed. It should be noted that it was not just the application for </w:t>
            </w:r>
            <w:r w:rsidRPr="006901D1">
              <w:rPr>
                <w:rFonts w:ascii="Arial Narrow" w:hAnsi="Arial Narrow" w:cs="Courier New"/>
                <w:sz w:val="24"/>
                <w:szCs w:val="24"/>
              </w:rPr>
              <w:t xml:space="preserve">summary judgment that was withdrawn, it was the action </w:t>
            </w:r>
            <w:r w:rsidRPr="006901D1">
              <w:rPr>
                <w:rFonts w:ascii="Arial Narrow" w:hAnsi="Arial Narrow" w:cs="Courier New"/>
                <w:i/>
                <w:sz w:val="24"/>
                <w:szCs w:val="24"/>
              </w:rPr>
              <w:t>in toto</w:t>
            </w:r>
            <w:r w:rsidRPr="006901D1">
              <w:rPr>
                <w:rFonts w:ascii="Arial Narrow" w:hAnsi="Arial Narrow" w:cs="Courier New"/>
                <w:sz w:val="24"/>
                <w:szCs w:val="24"/>
              </w:rPr>
              <w:t xml:space="preserve">. </w:t>
            </w:r>
            <w:r w:rsidR="004757A9" w:rsidRPr="006901D1">
              <w:rPr>
                <w:rFonts w:ascii="Arial Narrow" w:hAnsi="Arial Narrow" w:cs="Courier New"/>
                <w:sz w:val="24"/>
                <w:szCs w:val="24"/>
              </w:rPr>
              <w:t xml:space="preserve">What however became clear to me from reading the affidavit resisting summary judgment is that the plaintiff’s case was not as immutable as he wants the court to </w:t>
            </w:r>
            <w:r w:rsidR="006901D1" w:rsidRPr="00273840">
              <w:rPr>
                <w:rFonts w:ascii="Arial Narrow" w:hAnsi="Arial Narrow" w:cs="Courier New"/>
                <w:sz w:val="24"/>
                <w:szCs w:val="24"/>
              </w:rPr>
              <w:t>believe</w:t>
            </w:r>
            <w:r w:rsidR="004757A9" w:rsidRPr="00065EA0">
              <w:rPr>
                <w:rFonts w:ascii="Arial Narrow" w:hAnsi="Arial Narrow" w:cs="Courier New"/>
                <w:color w:val="7030A0"/>
                <w:sz w:val="24"/>
                <w:szCs w:val="24"/>
              </w:rPr>
              <w:t>.</w:t>
            </w:r>
          </w:p>
          <w:p w:rsidR="00F85E84" w:rsidRPr="00FF436F" w:rsidRDefault="00F85E84" w:rsidP="0028231F">
            <w:pPr>
              <w:spacing w:line="360" w:lineRule="auto"/>
              <w:jc w:val="both"/>
              <w:rPr>
                <w:rFonts w:ascii="Arial Narrow" w:hAnsi="Arial Narrow" w:cs="Courier New"/>
                <w:color w:val="000000"/>
                <w:sz w:val="24"/>
                <w:szCs w:val="24"/>
              </w:rPr>
            </w:pPr>
          </w:p>
          <w:p w:rsidR="00F85E84" w:rsidRDefault="00F85E84" w:rsidP="0028231F">
            <w:pPr>
              <w:spacing w:line="360" w:lineRule="auto"/>
              <w:jc w:val="both"/>
              <w:rPr>
                <w:rFonts w:ascii="Arial Narrow" w:hAnsi="Arial Narrow" w:cs="Courier New"/>
                <w:color w:val="000000"/>
                <w:sz w:val="24"/>
                <w:szCs w:val="24"/>
              </w:rPr>
            </w:pPr>
            <w:r w:rsidRPr="00FF436F">
              <w:rPr>
                <w:rFonts w:ascii="Arial Narrow" w:hAnsi="Arial Narrow" w:cs="Courier New"/>
                <w:color w:val="000000"/>
                <w:sz w:val="24"/>
                <w:szCs w:val="24"/>
              </w:rPr>
              <w:t>[</w:t>
            </w:r>
            <w:r w:rsidR="004C4F04">
              <w:rPr>
                <w:rFonts w:ascii="Arial Narrow" w:hAnsi="Arial Narrow" w:cs="Courier New"/>
                <w:color w:val="000000"/>
                <w:sz w:val="24"/>
                <w:szCs w:val="24"/>
              </w:rPr>
              <w:t>26</w:t>
            </w:r>
            <w:r w:rsidRPr="00FF436F">
              <w:rPr>
                <w:rFonts w:ascii="Arial Narrow" w:hAnsi="Arial Narrow" w:cs="Courier New"/>
                <w:color w:val="000000"/>
                <w:sz w:val="24"/>
                <w:szCs w:val="24"/>
              </w:rPr>
              <w:t xml:space="preserve">]     I accept that in an appropriate case the court will have regard to the merits. In </w:t>
            </w:r>
            <w:r w:rsidRPr="00FF436F">
              <w:rPr>
                <w:rFonts w:ascii="Arial Narrow" w:hAnsi="Arial Narrow"/>
                <w:i/>
                <w:sz w:val="24"/>
                <w:szCs w:val="24"/>
              </w:rPr>
              <w:t>Erf Sixty-Six, 66 Vogelstrand (Pty) Ltd v The Council of the Municipality of Swakopmund</w:t>
            </w:r>
            <w:r w:rsidRPr="00FF436F">
              <w:rPr>
                <w:rFonts w:ascii="Arial Narrow" w:hAnsi="Arial Narrow"/>
                <w:sz w:val="24"/>
                <w:szCs w:val="24"/>
              </w:rPr>
              <w:t xml:space="preserve"> the court referred to the following </w:t>
            </w:r>
            <w:r w:rsidRPr="00FF436F">
              <w:rPr>
                <w:rFonts w:ascii="Arial Narrow" w:hAnsi="Arial Narrow" w:cs="Courier New"/>
                <w:color w:val="000000"/>
                <w:sz w:val="24"/>
                <w:szCs w:val="24"/>
              </w:rPr>
              <w:t xml:space="preserve">cautionary dictum by Goldstone J in </w:t>
            </w:r>
            <w:r w:rsidRPr="00FF436F">
              <w:rPr>
                <w:rFonts w:ascii="Arial Narrow" w:hAnsi="Arial Narrow" w:cs="Courier New"/>
                <w:i/>
                <w:color w:val="000000"/>
                <w:sz w:val="24"/>
                <w:szCs w:val="24"/>
              </w:rPr>
              <w:t>Oranje Vrystaatse Vereniging vir Staatsonderstenende Skole and Another v Premier, Province of the Free State, and Others</w:t>
            </w:r>
            <w:r w:rsidRPr="00FF436F">
              <w:rPr>
                <w:rStyle w:val="FootnoteReference"/>
                <w:rFonts w:ascii="Arial Narrow" w:hAnsi="Arial Narrow" w:cs="Courier New"/>
                <w:i/>
                <w:color w:val="000000"/>
                <w:sz w:val="24"/>
                <w:szCs w:val="24"/>
              </w:rPr>
              <w:footnoteReference w:id="10"/>
            </w:r>
            <w:r w:rsidRPr="00FF436F">
              <w:rPr>
                <w:rFonts w:ascii="Arial Narrow" w:hAnsi="Arial Narrow" w:cs="Courier New"/>
                <w:color w:val="000000"/>
                <w:sz w:val="24"/>
                <w:szCs w:val="24"/>
              </w:rPr>
              <w:t>:</w:t>
            </w:r>
          </w:p>
          <w:p w:rsidR="00D5153E" w:rsidRPr="00FF436F" w:rsidRDefault="00D5153E" w:rsidP="0028231F">
            <w:pPr>
              <w:spacing w:line="360" w:lineRule="auto"/>
              <w:jc w:val="both"/>
              <w:rPr>
                <w:rFonts w:ascii="Arial Narrow" w:hAnsi="Arial Narrow" w:cs="Courier New"/>
                <w:color w:val="000000"/>
                <w:sz w:val="24"/>
                <w:szCs w:val="24"/>
              </w:rPr>
            </w:pPr>
          </w:p>
          <w:p w:rsidR="00F85E84" w:rsidRPr="00032968" w:rsidRDefault="00032968" w:rsidP="00D5153E">
            <w:pPr>
              <w:spacing w:line="360" w:lineRule="auto"/>
              <w:ind w:firstLine="720"/>
              <w:jc w:val="both"/>
              <w:rPr>
                <w:rFonts w:ascii="Arial Narrow" w:hAnsi="Arial Narrow" w:cs="Courier New"/>
                <w:color w:val="000000"/>
              </w:rPr>
            </w:pPr>
            <w:r w:rsidRPr="00032968">
              <w:rPr>
                <w:rFonts w:ascii="Arial Narrow" w:hAnsi="Arial Narrow" w:cs="Courier New"/>
                <w:color w:val="000000"/>
              </w:rPr>
              <w:t>‘</w:t>
            </w:r>
            <w:r w:rsidR="00F85E84" w:rsidRPr="00032968">
              <w:rPr>
                <w:rFonts w:ascii="Arial Narrow" w:hAnsi="Arial Narrow" w:cs="Courier New"/>
                <w:color w:val="000000"/>
              </w:rPr>
              <w:t xml:space="preserve">The merits of their case have not been argued before or considered by this Court.  And it would obviously not be in the interests of justice for argument to be heard on issues which have now become moot and are no longer of any </w:t>
            </w:r>
            <w:r w:rsidR="00F85E84" w:rsidRPr="00032968">
              <w:rPr>
                <w:rFonts w:ascii="Arial Narrow" w:hAnsi="Arial Narrow" w:cs="Courier New"/>
                <w:color w:val="000000"/>
              </w:rPr>
              <w:lastRenderedPageBreak/>
              <w:t>consequence to the parties or indeed anyone else.  The costs of such a proceeding would greatly exceed those which the parties have incurred pursuant to the a</w:t>
            </w:r>
            <w:r w:rsidRPr="00032968">
              <w:rPr>
                <w:rFonts w:ascii="Arial Narrow" w:hAnsi="Arial Narrow" w:cs="Courier New"/>
                <w:color w:val="000000"/>
              </w:rPr>
              <w:t>pplication for leave to appeal.’</w:t>
            </w:r>
            <w:r w:rsidR="00F85E84" w:rsidRPr="00032968">
              <w:rPr>
                <w:rFonts w:ascii="Arial Narrow" w:hAnsi="Arial Narrow" w:cs="Courier New"/>
                <w:color w:val="000000"/>
              </w:rPr>
              <w:t xml:space="preserve"> </w:t>
            </w:r>
          </w:p>
          <w:p w:rsidR="00F85E84" w:rsidRPr="00FF436F" w:rsidRDefault="00F85E84" w:rsidP="0028231F">
            <w:pPr>
              <w:spacing w:line="360" w:lineRule="auto"/>
              <w:jc w:val="both"/>
              <w:rPr>
                <w:rFonts w:ascii="Arial Narrow" w:hAnsi="Arial Narrow" w:cs="Courier New"/>
                <w:color w:val="000000"/>
                <w:sz w:val="24"/>
                <w:szCs w:val="24"/>
              </w:rPr>
            </w:pPr>
          </w:p>
          <w:p w:rsidR="00F85E84" w:rsidRDefault="00F85E84" w:rsidP="0028231F">
            <w:pPr>
              <w:tabs>
                <w:tab w:val="left" w:pos="2220"/>
              </w:tabs>
              <w:spacing w:line="360" w:lineRule="auto"/>
              <w:jc w:val="both"/>
              <w:rPr>
                <w:rFonts w:ascii="Arial Narrow" w:hAnsi="Arial Narrow"/>
                <w:sz w:val="24"/>
                <w:szCs w:val="24"/>
                <w:lang w:val="af-ZA"/>
              </w:rPr>
            </w:pPr>
            <w:r w:rsidRPr="00FF436F">
              <w:rPr>
                <w:rFonts w:ascii="Arial Narrow" w:hAnsi="Arial Narrow"/>
                <w:sz w:val="24"/>
                <w:szCs w:val="24"/>
                <w:lang w:val="af-ZA"/>
              </w:rPr>
              <w:t>[2</w:t>
            </w:r>
            <w:r w:rsidR="004C4F04">
              <w:rPr>
                <w:rFonts w:ascii="Arial Narrow" w:hAnsi="Arial Narrow"/>
                <w:sz w:val="24"/>
                <w:szCs w:val="24"/>
                <w:lang w:val="af-ZA"/>
              </w:rPr>
              <w:t>7</w:t>
            </w:r>
            <w:r w:rsidRPr="00FF436F">
              <w:rPr>
                <w:rFonts w:ascii="Arial Narrow" w:hAnsi="Arial Narrow"/>
                <w:sz w:val="24"/>
                <w:szCs w:val="24"/>
                <w:lang w:val="af-ZA"/>
              </w:rPr>
              <w:t xml:space="preserve">]     </w:t>
            </w:r>
            <w:r w:rsidR="00A51068" w:rsidRPr="00FF436F">
              <w:rPr>
                <w:rFonts w:ascii="Arial Narrow" w:hAnsi="Arial Narrow"/>
                <w:sz w:val="24"/>
                <w:szCs w:val="24"/>
                <w:lang w:val="af-ZA"/>
              </w:rPr>
              <w:t xml:space="preserve">In spite of the submissions in the plaintiff’s heads of </w:t>
            </w:r>
            <w:r w:rsidR="00A51068" w:rsidRPr="00065EA0">
              <w:rPr>
                <w:rFonts w:ascii="Arial Narrow" w:hAnsi="Arial Narrow"/>
                <w:sz w:val="24"/>
                <w:szCs w:val="24"/>
                <w:lang w:val="af-ZA"/>
              </w:rPr>
              <w:t>argument</w:t>
            </w:r>
            <w:r w:rsidR="00B121C9" w:rsidRPr="00065EA0">
              <w:rPr>
                <w:rFonts w:ascii="Arial Narrow" w:hAnsi="Arial Narrow"/>
                <w:sz w:val="24"/>
                <w:szCs w:val="24"/>
                <w:lang w:val="af-ZA"/>
              </w:rPr>
              <w:t xml:space="preserve"> as well as arguments advanced in court</w:t>
            </w:r>
            <w:r w:rsidR="00A51068" w:rsidRPr="00065EA0">
              <w:rPr>
                <w:rFonts w:ascii="Arial Narrow" w:hAnsi="Arial Narrow"/>
                <w:sz w:val="24"/>
                <w:szCs w:val="24"/>
                <w:lang w:val="af-ZA"/>
              </w:rPr>
              <w:t xml:space="preserve"> </w:t>
            </w:r>
            <w:r w:rsidR="00A51068" w:rsidRPr="00FF436F">
              <w:rPr>
                <w:rFonts w:ascii="Arial Narrow" w:hAnsi="Arial Narrow"/>
                <w:sz w:val="24"/>
                <w:szCs w:val="24"/>
                <w:lang w:val="af-ZA"/>
              </w:rPr>
              <w:t xml:space="preserve">I still have a hard time </w:t>
            </w:r>
            <w:r w:rsidR="00042AC4" w:rsidRPr="00065EA0">
              <w:rPr>
                <w:rFonts w:ascii="Arial Narrow" w:hAnsi="Arial Narrow"/>
                <w:sz w:val="24"/>
                <w:szCs w:val="24"/>
                <w:lang w:val="af-ZA"/>
              </w:rPr>
              <w:t xml:space="preserve">in </w:t>
            </w:r>
            <w:r w:rsidR="00A51068" w:rsidRPr="00065EA0">
              <w:rPr>
                <w:rFonts w:ascii="Arial Narrow" w:hAnsi="Arial Narrow"/>
                <w:sz w:val="24"/>
                <w:szCs w:val="24"/>
                <w:lang w:val="af-ZA"/>
              </w:rPr>
              <w:t>understand</w:t>
            </w:r>
            <w:r w:rsidR="00042AC4" w:rsidRPr="00065EA0">
              <w:rPr>
                <w:rFonts w:ascii="Arial Narrow" w:hAnsi="Arial Narrow"/>
                <w:sz w:val="24"/>
                <w:szCs w:val="24"/>
                <w:lang w:val="af-ZA"/>
              </w:rPr>
              <w:t>ing</w:t>
            </w:r>
            <w:r w:rsidR="00A51068" w:rsidRPr="00065EA0">
              <w:rPr>
                <w:rFonts w:ascii="Arial Narrow" w:hAnsi="Arial Narrow"/>
                <w:sz w:val="24"/>
                <w:szCs w:val="24"/>
                <w:lang w:val="af-ZA"/>
              </w:rPr>
              <w:t xml:space="preserve"> </w:t>
            </w:r>
            <w:r w:rsidR="00A51068" w:rsidRPr="00FF436F">
              <w:rPr>
                <w:rFonts w:ascii="Arial Narrow" w:hAnsi="Arial Narrow"/>
                <w:sz w:val="24"/>
                <w:szCs w:val="24"/>
                <w:lang w:val="af-ZA"/>
              </w:rPr>
              <w:t xml:space="preserve">why the plaintiff refuses to pay the wasted cost of the matter.  Am I to understand that </w:t>
            </w:r>
            <w:r w:rsidRPr="00FF436F">
              <w:rPr>
                <w:rFonts w:ascii="Arial Narrow" w:hAnsi="Arial Narrow"/>
                <w:sz w:val="24"/>
                <w:szCs w:val="24"/>
                <w:lang w:val="af-ZA"/>
              </w:rPr>
              <w:t>the defendant is</w:t>
            </w:r>
            <w:r w:rsidR="00A51068" w:rsidRPr="00FF436F">
              <w:rPr>
                <w:rFonts w:ascii="Arial Narrow" w:hAnsi="Arial Narrow"/>
                <w:sz w:val="24"/>
                <w:szCs w:val="24"/>
                <w:lang w:val="af-ZA"/>
              </w:rPr>
              <w:t xml:space="preserve"> to be</w:t>
            </w:r>
            <w:r w:rsidRPr="00FF436F">
              <w:rPr>
                <w:rFonts w:ascii="Arial Narrow" w:hAnsi="Arial Narrow"/>
                <w:sz w:val="24"/>
                <w:szCs w:val="24"/>
                <w:lang w:val="af-ZA"/>
              </w:rPr>
              <w:t xml:space="preserve"> blamed for his legal practitioner issuing a writ of execution on the old matter between the plaintiff and th</w:t>
            </w:r>
            <w:r w:rsidR="00042AC4">
              <w:rPr>
                <w:rFonts w:ascii="Arial Narrow" w:hAnsi="Arial Narrow"/>
                <w:sz w:val="24"/>
                <w:szCs w:val="24"/>
                <w:lang w:val="af-ZA"/>
              </w:rPr>
              <w:t>e deceased estate of his father?</w:t>
            </w:r>
            <w:r w:rsidRPr="00FF436F">
              <w:rPr>
                <w:rFonts w:ascii="Arial Narrow" w:hAnsi="Arial Narrow"/>
                <w:sz w:val="24"/>
                <w:szCs w:val="24"/>
                <w:lang w:val="af-ZA"/>
              </w:rPr>
              <w:t xml:space="preserve"> Surely th</w:t>
            </w:r>
            <w:r w:rsidR="00A51068" w:rsidRPr="00FF436F">
              <w:rPr>
                <w:rFonts w:ascii="Arial Narrow" w:hAnsi="Arial Narrow"/>
                <w:sz w:val="24"/>
                <w:szCs w:val="24"/>
                <w:lang w:val="af-ZA"/>
              </w:rPr>
              <w:t>at cannot be. The</w:t>
            </w:r>
            <w:r w:rsidRPr="00FF436F">
              <w:rPr>
                <w:rFonts w:ascii="Arial Narrow" w:hAnsi="Arial Narrow"/>
                <w:sz w:val="24"/>
                <w:szCs w:val="24"/>
                <w:lang w:val="af-ZA"/>
              </w:rPr>
              <w:t xml:space="preserve"> defendant </w:t>
            </w:r>
            <w:r w:rsidR="00A51068" w:rsidRPr="00FF436F">
              <w:rPr>
                <w:rFonts w:ascii="Arial Narrow" w:hAnsi="Arial Narrow"/>
                <w:sz w:val="24"/>
                <w:szCs w:val="24"/>
                <w:lang w:val="af-ZA"/>
              </w:rPr>
              <w:t>was brought to court by the plaintiff</w:t>
            </w:r>
            <w:r w:rsidR="006D51B5">
              <w:rPr>
                <w:rFonts w:ascii="Arial Narrow" w:hAnsi="Arial Narrow"/>
                <w:sz w:val="24"/>
                <w:szCs w:val="24"/>
                <w:lang w:val="af-ZA"/>
              </w:rPr>
              <w:t xml:space="preserve"> </w:t>
            </w:r>
            <w:r w:rsidR="006D51B5" w:rsidRPr="00065EA0">
              <w:rPr>
                <w:rFonts w:ascii="Arial Narrow" w:hAnsi="Arial Narrow"/>
                <w:sz w:val="24"/>
                <w:szCs w:val="24"/>
                <w:lang w:val="af-ZA"/>
              </w:rPr>
              <w:t>and</w:t>
            </w:r>
            <w:r w:rsidR="00A51068" w:rsidRPr="00065EA0">
              <w:rPr>
                <w:rFonts w:ascii="Arial Narrow" w:hAnsi="Arial Narrow"/>
                <w:sz w:val="24"/>
                <w:szCs w:val="24"/>
                <w:lang w:val="af-ZA"/>
              </w:rPr>
              <w:t xml:space="preserve"> </w:t>
            </w:r>
            <w:r w:rsidR="00A51068" w:rsidRPr="00FF436F">
              <w:rPr>
                <w:rFonts w:ascii="Arial Narrow" w:hAnsi="Arial Narrow"/>
                <w:sz w:val="24"/>
                <w:szCs w:val="24"/>
                <w:lang w:val="af-ZA"/>
              </w:rPr>
              <w:t>can</w:t>
            </w:r>
            <w:r w:rsidRPr="00FF436F">
              <w:rPr>
                <w:rFonts w:ascii="Arial Narrow" w:hAnsi="Arial Narrow"/>
                <w:sz w:val="24"/>
                <w:szCs w:val="24"/>
                <w:lang w:val="af-ZA"/>
              </w:rPr>
              <w:t xml:space="preserve">not </w:t>
            </w:r>
            <w:r w:rsidR="00A51068" w:rsidRPr="00FF436F">
              <w:rPr>
                <w:rFonts w:ascii="Arial Narrow" w:hAnsi="Arial Narrow"/>
                <w:sz w:val="24"/>
                <w:szCs w:val="24"/>
                <w:lang w:val="af-ZA"/>
              </w:rPr>
              <w:t>be held accountable</w:t>
            </w:r>
            <w:r w:rsidRPr="00FF436F">
              <w:rPr>
                <w:rFonts w:ascii="Arial Narrow" w:hAnsi="Arial Narrow"/>
                <w:sz w:val="24"/>
                <w:szCs w:val="24"/>
                <w:lang w:val="af-ZA"/>
              </w:rPr>
              <w:t xml:space="preserve"> for the process isssued by his legal practitioner in a matter that</w:t>
            </w:r>
            <w:r w:rsidR="006D51B5">
              <w:rPr>
                <w:rFonts w:ascii="Arial Narrow" w:hAnsi="Arial Narrow"/>
                <w:color w:val="FF0000"/>
                <w:sz w:val="24"/>
                <w:szCs w:val="24"/>
                <w:lang w:val="af-ZA"/>
              </w:rPr>
              <w:t xml:space="preserve"> </w:t>
            </w:r>
            <w:r w:rsidR="006D51B5" w:rsidRPr="00065EA0">
              <w:rPr>
                <w:rFonts w:ascii="Arial Narrow" w:hAnsi="Arial Narrow"/>
                <w:sz w:val="24"/>
                <w:szCs w:val="24"/>
                <w:lang w:val="af-ZA"/>
              </w:rPr>
              <w:t>is</w:t>
            </w:r>
            <w:r w:rsidRPr="00FF436F">
              <w:rPr>
                <w:rFonts w:ascii="Arial Narrow" w:hAnsi="Arial Narrow"/>
                <w:sz w:val="24"/>
                <w:szCs w:val="24"/>
                <w:lang w:val="af-ZA"/>
              </w:rPr>
              <w:t xml:space="preserve"> technically unrelated</w:t>
            </w:r>
            <w:r w:rsidR="006D51B5">
              <w:rPr>
                <w:rFonts w:ascii="Arial Narrow" w:hAnsi="Arial Narrow"/>
                <w:color w:val="FF0000"/>
                <w:sz w:val="24"/>
                <w:szCs w:val="24"/>
                <w:lang w:val="af-ZA"/>
              </w:rPr>
              <w:t xml:space="preserve"> </w:t>
            </w:r>
            <w:r w:rsidR="006D51B5" w:rsidRPr="00065EA0">
              <w:rPr>
                <w:rFonts w:ascii="Arial Narrow" w:hAnsi="Arial Narrow"/>
                <w:sz w:val="24"/>
                <w:szCs w:val="24"/>
                <w:lang w:val="af-ZA"/>
              </w:rPr>
              <w:t>to the one presently before court</w:t>
            </w:r>
            <w:r w:rsidR="00A51068" w:rsidRPr="00FF436F">
              <w:rPr>
                <w:rFonts w:ascii="Arial Narrow" w:hAnsi="Arial Narrow"/>
                <w:sz w:val="24"/>
                <w:szCs w:val="24"/>
                <w:lang w:val="af-ZA"/>
              </w:rPr>
              <w:t>.</w:t>
            </w:r>
            <w:r w:rsidRPr="00FF436F">
              <w:rPr>
                <w:rFonts w:ascii="Arial Narrow" w:hAnsi="Arial Narrow"/>
                <w:sz w:val="24"/>
                <w:szCs w:val="24"/>
                <w:lang w:val="af-ZA"/>
              </w:rPr>
              <w:t xml:space="preserve"> </w:t>
            </w:r>
            <w:r w:rsidR="00065EA0" w:rsidRPr="00273840">
              <w:rPr>
                <w:rFonts w:ascii="Arial Narrow" w:hAnsi="Arial Narrow"/>
                <w:sz w:val="24"/>
                <w:szCs w:val="24"/>
                <w:lang w:val="af-ZA"/>
              </w:rPr>
              <w:t xml:space="preserve">In this regard the court must note her displeasure </w:t>
            </w:r>
            <w:r w:rsidR="001A52A4" w:rsidRPr="00273840">
              <w:rPr>
                <w:rFonts w:ascii="Arial Narrow" w:hAnsi="Arial Narrow"/>
                <w:sz w:val="24"/>
                <w:szCs w:val="24"/>
                <w:lang w:val="af-ZA"/>
              </w:rPr>
              <w:t>with the way in which the plaintiff describe</w:t>
            </w:r>
            <w:r w:rsidR="006901D1" w:rsidRPr="00273840">
              <w:rPr>
                <w:rFonts w:ascii="Arial Narrow" w:hAnsi="Arial Narrow"/>
                <w:sz w:val="24"/>
                <w:szCs w:val="24"/>
                <w:lang w:val="af-ZA"/>
              </w:rPr>
              <w:t>s</w:t>
            </w:r>
            <w:r w:rsidR="001A52A4" w:rsidRPr="00273840">
              <w:rPr>
                <w:rFonts w:ascii="Arial Narrow" w:hAnsi="Arial Narrow"/>
                <w:sz w:val="24"/>
                <w:szCs w:val="24"/>
                <w:lang w:val="af-ZA"/>
              </w:rPr>
              <w:t xml:space="preserve"> the defendant’s legal practitioner</w:t>
            </w:r>
            <w:r w:rsidR="006901D1" w:rsidRPr="00273840">
              <w:rPr>
                <w:rFonts w:ascii="Arial Narrow" w:hAnsi="Arial Narrow"/>
                <w:sz w:val="24"/>
                <w:szCs w:val="24"/>
                <w:lang w:val="af-ZA"/>
              </w:rPr>
              <w:t>’s</w:t>
            </w:r>
            <w:r w:rsidR="001A52A4" w:rsidRPr="00273840">
              <w:rPr>
                <w:rFonts w:ascii="Arial Narrow" w:hAnsi="Arial Narrow"/>
                <w:sz w:val="24"/>
                <w:szCs w:val="24"/>
                <w:lang w:val="af-ZA"/>
              </w:rPr>
              <w:t xml:space="preserve"> action in executing a lawful writ. It is unbecoming to describe it as </w:t>
            </w:r>
            <w:r w:rsidR="00065EA0" w:rsidRPr="00273840">
              <w:rPr>
                <w:rFonts w:ascii="Arial Narrow" w:hAnsi="Arial Narrow"/>
                <w:sz w:val="24"/>
                <w:szCs w:val="24"/>
                <w:lang w:val="af-ZA"/>
              </w:rPr>
              <w:t>‘evasive tactics’</w:t>
            </w:r>
            <w:r w:rsidR="001A52A4" w:rsidRPr="00273840">
              <w:rPr>
                <w:rFonts w:ascii="Arial Narrow" w:hAnsi="Arial Narrow"/>
                <w:sz w:val="24"/>
                <w:szCs w:val="24"/>
                <w:lang w:val="af-ZA"/>
              </w:rPr>
              <w:t>and what it may imply</w:t>
            </w:r>
            <w:r w:rsidR="00065EA0" w:rsidRPr="00273840">
              <w:rPr>
                <w:rFonts w:ascii="Arial Narrow" w:hAnsi="Arial Narrow"/>
                <w:sz w:val="24"/>
                <w:szCs w:val="24"/>
                <w:lang w:val="af-ZA"/>
              </w:rPr>
              <w:t xml:space="preserve">.  </w:t>
            </w:r>
            <w:r w:rsidRPr="00FF436F">
              <w:rPr>
                <w:rFonts w:ascii="Arial Narrow" w:hAnsi="Arial Narrow"/>
                <w:sz w:val="24"/>
                <w:szCs w:val="24"/>
                <w:lang w:val="af-ZA"/>
              </w:rPr>
              <w:t>If the plaintiff wish</w:t>
            </w:r>
            <w:r w:rsidR="00FF686F" w:rsidRPr="001A52A4">
              <w:rPr>
                <w:rFonts w:ascii="Arial Narrow" w:hAnsi="Arial Narrow"/>
                <w:sz w:val="24"/>
                <w:szCs w:val="24"/>
                <w:lang w:val="af-ZA"/>
              </w:rPr>
              <w:t>es</w:t>
            </w:r>
            <w:r w:rsidRPr="00FF436F">
              <w:rPr>
                <w:rFonts w:ascii="Arial Narrow" w:hAnsi="Arial Narrow"/>
                <w:sz w:val="24"/>
                <w:szCs w:val="24"/>
                <w:lang w:val="af-ZA"/>
              </w:rPr>
              <w:t xml:space="preserve"> to take issue with the conduct of the legal practitioner of the defendant</w:t>
            </w:r>
            <w:r w:rsidR="00FF686F">
              <w:rPr>
                <w:rFonts w:ascii="Arial Narrow" w:hAnsi="Arial Narrow"/>
                <w:sz w:val="24"/>
                <w:szCs w:val="24"/>
                <w:lang w:val="af-ZA"/>
              </w:rPr>
              <w:t>,</w:t>
            </w:r>
            <w:r w:rsidR="001A52A4">
              <w:rPr>
                <w:rFonts w:ascii="Arial Narrow" w:hAnsi="Arial Narrow"/>
                <w:sz w:val="24"/>
                <w:szCs w:val="24"/>
                <w:lang w:val="af-ZA"/>
              </w:rPr>
              <w:t xml:space="preserve"> </w:t>
            </w:r>
            <w:r w:rsidR="00FF686F" w:rsidRPr="001A52A4">
              <w:rPr>
                <w:rFonts w:ascii="Arial Narrow" w:hAnsi="Arial Narrow"/>
                <w:sz w:val="24"/>
                <w:szCs w:val="24"/>
                <w:lang w:val="af-ZA"/>
              </w:rPr>
              <w:t>there</w:t>
            </w:r>
            <w:r w:rsidRPr="00FF436F">
              <w:rPr>
                <w:rFonts w:ascii="Arial Narrow" w:hAnsi="Arial Narrow"/>
                <w:sz w:val="24"/>
                <w:szCs w:val="24"/>
                <w:lang w:val="af-ZA"/>
              </w:rPr>
              <w:t xml:space="preserve"> are certain processes that he can follow to report the</w:t>
            </w:r>
            <w:r w:rsidR="00FF686F">
              <w:rPr>
                <w:rFonts w:ascii="Arial Narrow" w:hAnsi="Arial Narrow"/>
                <w:color w:val="FF0000"/>
                <w:sz w:val="24"/>
                <w:szCs w:val="24"/>
                <w:lang w:val="af-ZA"/>
              </w:rPr>
              <w:t xml:space="preserve"> </w:t>
            </w:r>
            <w:r w:rsidR="00FF686F" w:rsidRPr="001A52A4">
              <w:rPr>
                <w:rFonts w:ascii="Arial Narrow" w:hAnsi="Arial Narrow"/>
                <w:sz w:val="24"/>
                <w:szCs w:val="24"/>
                <w:lang w:val="af-ZA"/>
              </w:rPr>
              <w:t>legal practitioner to the</w:t>
            </w:r>
            <w:r w:rsidRPr="001A52A4">
              <w:rPr>
                <w:rFonts w:ascii="Arial Narrow" w:hAnsi="Arial Narrow"/>
                <w:sz w:val="24"/>
                <w:szCs w:val="24"/>
                <w:lang w:val="af-ZA"/>
              </w:rPr>
              <w:t xml:space="preserve"> </w:t>
            </w:r>
            <w:r w:rsidR="00A51068" w:rsidRPr="00FF436F">
              <w:rPr>
                <w:rFonts w:ascii="Arial Narrow" w:hAnsi="Arial Narrow"/>
                <w:sz w:val="24"/>
                <w:szCs w:val="24"/>
                <w:lang w:val="af-ZA"/>
              </w:rPr>
              <w:t xml:space="preserve">Namibian Law Society, should he choose to do so. </w:t>
            </w:r>
          </w:p>
          <w:p w:rsidR="00061FC9" w:rsidRPr="00FF436F" w:rsidRDefault="00061FC9" w:rsidP="0028231F">
            <w:pPr>
              <w:tabs>
                <w:tab w:val="left" w:pos="2220"/>
              </w:tabs>
              <w:spacing w:line="360" w:lineRule="auto"/>
              <w:jc w:val="both"/>
              <w:rPr>
                <w:rFonts w:ascii="Arial Narrow" w:hAnsi="Arial Narrow"/>
                <w:sz w:val="24"/>
                <w:szCs w:val="24"/>
                <w:lang w:val="af-ZA"/>
              </w:rPr>
            </w:pPr>
          </w:p>
          <w:p w:rsidR="005005F7" w:rsidRDefault="004C4F04" w:rsidP="00D01AEA">
            <w:pPr>
              <w:tabs>
                <w:tab w:val="left" w:pos="2220"/>
              </w:tabs>
              <w:spacing w:line="360" w:lineRule="auto"/>
              <w:jc w:val="both"/>
              <w:rPr>
                <w:rFonts w:ascii="Arial Narrow" w:hAnsi="Arial Narrow" w:cs="Arial"/>
                <w:sz w:val="24"/>
                <w:szCs w:val="24"/>
              </w:rPr>
            </w:pPr>
            <w:r>
              <w:rPr>
                <w:rFonts w:ascii="Arial Narrow" w:hAnsi="Arial Narrow"/>
                <w:sz w:val="24"/>
                <w:szCs w:val="24"/>
                <w:lang w:val="af-ZA"/>
              </w:rPr>
              <w:t>[28</w:t>
            </w:r>
            <w:r w:rsidR="00A51068" w:rsidRPr="00FF436F">
              <w:rPr>
                <w:rFonts w:ascii="Arial Narrow" w:hAnsi="Arial Narrow"/>
                <w:sz w:val="24"/>
                <w:szCs w:val="24"/>
                <w:lang w:val="af-ZA"/>
              </w:rPr>
              <w:t>]     From considering the papers before</w:t>
            </w:r>
            <w:r w:rsidR="00FE4684">
              <w:rPr>
                <w:rFonts w:ascii="Arial Narrow" w:hAnsi="Arial Narrow"/>
                <w:sz w:val="24"/>
                <w:szCs w:val="24"/>
                <w:lang w:val="af-ZA"/>
              </w:rPr>
              <w:t xml:space="preserve"> me</w:t>
            </w:r>
            <w:r w:rsidR="00FE4684">
              <w:rPr>
                <w:rFonts w:ascii="Arial Narrow" w:hAnsi="Arial Narrow"/>
                <w:color w:val="FF0000"/>
                <w:sz w:val="24"/>
                <w:szCs w:val="24"/>
                <w:lang w:val="af-ZA"/>
              </w:rPr>
              <w:t xml:space="preserve"> </w:t>
            </w:r>
            <w:r w:rsidR="00FE4684" w:rsidRPr="001A52A4">
              <w:rPr>
                <w:rFonts w:ascii="Arial Narrow" w:hAnsi="Arial Narrow"/>
                <w:sz w:val="24"/>
                <w:szCs w:val="24"/>
                <w:lang w:val="af-ZA"/>
              </w:rPr>
              <w:t>and the submissions by counse</w:t>
            </w:r>
            <w:r w:rsidR="00FE4684" w:rsidRPr="006901D1">
              <w:rPr>
                <w:rFonts w:ascii="Arial Narrow" w:hAnsi="Arial Narrow"/>
                <w:sz w:val="24"/>
                <w:szCs w:val="24"/>
                <w:lang w:val="af-ZA"/>
              </w:rPr>
              <w:t>l</w:t>
            </w:r>
            <w:r w:rsidR="00A51068" w:rsidRPr="00FF436F">
              <w:rPr>
                <w:rFonts w:ascii="Arial Narrow" w:hAnsi="Arial Narrow"/>
                <w:sz w:val="24"/>
                <w:szCs w:val="24"/>
                <w:lang w:val="af-ZA"/>
              </w:rPr>
              <w:t xml:space="preserve"> </w:t>
            </w:r>
            <w:r w:rsidR="00A51068" w:rsidRPr="00FF436F">
              <w:rPr>
                <w:rFonts w:ascii="Arial Narrow" w:hAnsi="Arial Narrow" w:cs="Arial"/>
                <w:sz w:val="24"/>
                <w:szCs w:val="24"/>
              </w:rPr>
              <w:t>I can find no sound reason why a defendant or respondent should not be entitled to his costs.</w:t>
            </w:r>
          </w:p>
          <w:p w:rsidR="00FE4684" w:rsidRPr="00FE4684" w:rsidRDefault="00FE4684" w:rsidP="00D01AEA">
            <w:pPr>
              <w:tabs>
                <w:tab w:val="left" w:pos="2220"/>
              </w:tabs>
              <w:spacing w:line="360" w:lineRule="auto"/>
              <w:jc w:val="both"/>
              <w:rPr>
                <w:rFonts w:ascii="Arial Narrow" w:hAnsi="Arial Narrow" w:cs="Arial"/>
                <w:color w:val="FF0000"/>
                <w:sz w:val="24"/>
                <w:szCs w:val="24"/>
              </w:rPr>
            </w:pPr>
          </w:p>
          <w:p w:rsidR="00FE4684" w:rsidRPr="001A52A4" w:rsidRDefault="004C4F04" w:rsidP="00D01AEA">
            <w:pPr>
              <w:tabs>
                <w:tab w:val="left" w:pos="2220"/>
              </w:tabs>
              <w:spacing w:line="360" w:lineRule="auto"/>
              <w:jc w:val="both"/>
              <w:rPr>
                <w:rFonts w:ascii="Arial Narrow" w:hAnsi="Arial Narrow" w:cs="Arial"/>
                <w:sz w:val="24"/>
                <w:szCs w:val="24"/>
              </w:rPr>
            </w:pPr>
            <w:r>
              <w:rPr>
                <w:rFonts w:ascii="Arial Narrow" w:hAnsi="Arial Narrow" w:cs="Arial"/>
                <w:sz w:val="24"/>
                <w:szCs w:val="24"/>
              </w:rPr>
              <w:t>[29</w:t>
            </w:r>
            <w:r w:rsidR="00FE4684" w:rsidRPr="001A52A4">
              <w:rPr>
                <w:rFonts w:ascii="Arial Narrow" w:hAnsi="Arial Narrow" w:cs="Arial"/>
                <w:sz w:val="24"/>
                <w:szCs w:val="24"/>
              </w:rPr>
              <w:t xml:space="preserve">]          </w:t>
            </w:r>
            <w:r w:rsidR="00FE4684" w:rsidRPr="001A52A4">
              <w:rPr>
                <w:rFonts w:ascii="Arial Narrow" w:hAnsi="Arial Narrow" w:cs="Arial"/>
                <w:sz w:val="24"/>
                <w:szCs w:val="24"/>
                <w:lang w:val="en-US"/>
              </w:rPr>
              <w:t>My order is therefor set out as above.</w:t>
            </w:r>
          </w:p>
          <w:p w:rsidR="00D01AEA" w:rsidRPr="00D01AEA" w:rsidRDefault="00D01AEA" w:rsidP="00D01AEA">
            <w:pPr>
              <w:tabs>
                <w:tab w:val="left" w:pos="2220"/>
              </w:tabs>
              <w:spacing w:line="360" w:lineRule="auto"/>
              <w:jc w:val="both"/>
              <w:rPr>
                <w:rFonts w:ascii="Arial Narrow" w:hAnsi="Arial Narrow" w:cs="Arial"/>
                <w:sz w:val="24"/>
                <w:szCs w:val="24"/>
                <w:lang w:val="af-ZA"/>
              </w:rPr>
            </w:pPr>
          </w:p>
        </w:tc>
      </w:tr>
      <w:tr w:rsidR="00D26CB5" w:rsidRPr="00FF436F" w:rsidTr="0092129C">
        <w:tc>
          <w:tcPr>
            <w:tcW w:w="4770" w:type="dxa"/>
          </w:tcPr>
          <w:p w:rsidR="00D26CB5" w:rsidRPr="00FF436F" w:rsidRDefault="002C63DD" w:rsidP="0028231F">
            <w:pPr>
              <w:spacing w:line="360" w:lineRule="auto"/>
              <w:jc w:val="center"/>
              <w:rPr>
                <w:rFonts w:ascii="Arial Narrow" w:hAnsi="Arial Narrow" w:cs="Arial"/>
                <w:b/>
                <w:sz w:val="24"/>
                <w:szCs w:val="24"/>
              </w:rPr>
            </w:pPr>
            <w:r w:rsidRPr="00FF436F">
              <w:rPr>
                <w:rFonts w:ascii="Arial Narrow" w:hAnsi="Arial Narrow" w:cs="Arial"/>
                <w:b/>
                <w:sz w:val="24"/>
                <w:szCs w:val="24"/>
              </w:rPr>
              <w:lastRenderedPageBreak/>
              <w:t>Judge’s signature</w:t>
            </w:r>
          </w:p>
        </w:tc>
        <w:tc>
          <w:tcPr>
            <w:tcW w:w="4950" w:type="dxa"/>
            <w:gridSpan w:val="2"/>
          </w:tcPr>
          <w:p w:rsidR="00D26CB5" w:rsidRPr="00FF436F" w:rsidRDefault="00D26CB5" w:rsidP="0028231F">
            <w:pPr>
              <w:spacing w:line="360" w:lineRule="auto"/>
              <w:jc w:val="center"/>
              <w:rPr>
                <w:rFonts w:ascii="Arial Narrow" w:hAnsi="Arial Narrow" w:cs="Arial"/>
                <w:b/>
                <w:sz w:val="24"/>
                <w:szCs w:val="24"/>
              </w:rPr>
            </w:pPr>
            <w:r w:rsidRPr="00FF436F">
              <w:rPr>
                <w:rFonts w:ascii="Arial Narrow" w:hAnsi="Arial Narrow" w:cs="Arial"/>
                <w:b/>
                <w:sz w:val="24"/>
                <w:szCs w:val="24"/>
              </w:rPr>
              <w:t>Note to the parties:</w:t>
            </w:r>
          </w:p>
        </w:tc>
      </w:tr>
      <w:tr w:rsidR="00D26CB5" w:rsidRPr="00FF436F" w:rsidTr="003A076D">
        <w:trPr>
          <w:trHeight w:val="872"/>
        </w:trPr>
        <w:tc>
          <w:tcPr>
            <w:tcW w:w="4770" w:type="dxa"/>
          </w:tcPr>
          <w:p w:rsidR="00D26CB5" w:rsidRPr="00FF436F" w:rsidRDefault="00D26CB5" w:rsidP="0028231F">
            <w:pPr>
              <w:spacing w:line="360" w:lineRule="auto"/>
              <w:jc w:val="both"/>
              <w:rPr>
                <w:rFonts w:ascii="Arial Narrow" w:hAnsi="Arial Narrow" w:cs="Arial"/>
                <w:sz w:val="24"/>
                <w:szCs w:val="24"/>
              </w:rPr>
            </w:pPr>
          </w:p>
          <w:p w:rsidR="00D26CB5" w:rsidRPr="00FF436F" w:rsidRDefault="00D26CB5" w:rsidP="0028231F">
            <w:pPr>
              <w:spacing w:line="360" w:lineRule="auto"/>
              <w:jc w:val="both"/>
              <w:rPr>
                <w:rFonts w:ascii="Arial Narrow" w:hAnsi="Arial Narrow" w:cs="Arial"/>
                <w:sz w:val="24"/>
                <w:szCs w:val="24"/>
              </w:rPr>
            </w:pPr>
          </w:p>
          <w:p w:rsidR="00D26CB5" w:rsidRPr="00FF436F" w:rsidRDefault="00D26CB5" w:rsidP="0028231F">
            <w:pPr>
              <w:spacing w:line="360" w:lineRule="auto"/>
              <w:jc w:val="both"/>
              <w:rPr>
                <w:rFonts w:ascii="Arial Narrow" w:hAnsi="Arial Narrow" w:cs="Arial"/>
                <w:sz w:val="24"/>
                <w:szCs w:val="24"/>
              </w:rPr>
            </w:pPr>
          </w:p>
        </w:tc>
        <w:tc>
          <w:tcPr>
            <w:tcW w:w="4950" w:type="dxa"/>
            <w:gridSpan w:val="2"/>
          </w:tcPr>
          <w:p w:rsidR="00D26CB5" w:rsidRPr="00FF436F" w:rsidRDefault="00D26CB5" w:rsidP="0028231F">
            <w:pPr>
              <w:spacing w:line="360" w:lineRule="auto"/>
              <w:jc w:val="both"/>
              <w:rPr>
                <w:rFonts w:ascii="Arial Narrow" w:hAnsi="Arial Narrow" w:cs="Arial"/>
                <w:sz w:val="24"/>
                <w:szCs w:val="24"/>
              </w:rPr>
            </w:pPr>
            <w:r w:rsidRPr="00FF436F">
              <w:rPr>
                <w:rFonts w:ascii="Arial Narrow" w:hAnsi="Arial Narrow" w:cs="Arial"/>
                <w:sz w:val="24"/>
                <w:szCs w:val="24"/>
              </w:rPr>
              <w:t>Not applicable.</w:t>
            </w:r>
          </w:p>
        </w:tc>
      </w:tr>
      <w:tr w:rsidR="00D26CB5" w:rsidRPr="00FF436F" w:rsidTr="0092129C">
        <w:tc>
          <w:tcPr>
            <w:tcW w:w="9720" w:type="dxa"/>
            <w:gridSpan w:val="3"/>
          </w:tcPr>
          <w:p w:rsidR="00D26CB5" w:rsidRPr="00FF436F" w:rsidRDefault="00D26CB5" w:rsidP="0028231F">
            <w:pPr>
              <w:spacing w:line="360" w:lineRule="auto"/>
              <w:jc w:val="center"/>
              <w:rPr>
                <w:rFonts w:ascii="Arial Narrow" w:hAnsi="Arial Narrow" w:cs="Arial"/>
                <w:b/>
                <w:sz w:val="24"/>
                <w:szCs w:val="24"/>
              </w:rPr>
            </w:pPr>
            <w:r w:rsidRPr="00FF436F">
              <w:rPr>
                <w:rFonts w:ascii="Arial Narrow" w:hAnsi="Arial Narrow" w:cs="Arial"/>
                <w:b/>
                <w:sz w:val="24"/>
                <w:szCs w:val="24"/>
              </w:rPr>
              <w:t>Counsel:</w:t>
            </w:r>
          </w:p>
        </w:tc>
      </w:tr>
      <w:tr w:rsidR="00D26CB5" w:rsidRPr="00FF436F" w:rsidTr="0092129C">
        <w:tc>
          <w:tcPr>
            <w:tcW w:w="4770" w:type="dxa"/>
          </w:tcPr>
          <w:p w:rsidR="00D26CB5" w:rsidRPr="00FF436F" w:rsidRDefault="00D26CB5" w:rsidP="0028231F">
            <w:pPr>
              <w:spacing w:line="360" w:lineRule="auto"/>
              <w:jc w:val="center"/>
              <w:rPr>
                <w:rFonts w:ascii="Arial Narrow" w:hAnsi="Arial Narrow" w:cs="Arial"/>
                <w:b/>
                <w:sz w:val="24"/>
                <w:szCs w:val="24"/>
              </w:rPr>
            </w:pPr>
            <w:r w:rsidRPr="00FF436F">
              <w:rPr>
                <w:rFonts w:ascii="Arial Narrow" w:hAnsi="Arial Narrow" w:cs="Arial"/>
                <w:b/>
                <w:sz w:val="24"/>
                <w:szCs w:val="24"/>
              </w:rPr>
              <w:t>Applicant</w:t>
            </w:r>
          </w:p>
        </w:tc>
        <w:tc>
          <w:tcPr>
            <w:tcW w:w="4950" w:type="dxa"/>
            <w:gridSpan w:val="2"/>
          </w:tcPr>
          <w:p w:rsidR="00D26CB5" w:rsidRPr="00FF436F" w:rsidRDefault="00D26CB5" w:rsidP="0028231F">
            <w:pPr>
              <w:spacing w:line="360" w:lineRule="auto"/>
              <w:jc w:val="center"/>
              <w:rPr>
                <w:rFonts w:ascii="Arial Narrow" w:hAnsi="Arial Narrow" w:cs="Arial"/>
                <w:b/>
                <w:sz w:val="24"/>
                <w:szCs w:val="24"/>
              </w:rPr>
            </w:pPr>
            <w:r w:rsidRPr="00FF436F">
              <w:rPr>
                <w:rFonts w:ascii="Arial Narrow" w:hAnsi="Arial Narrow" w:cs="Arial"/>
                <w:b/>
                <w:sz w:val="24"/>
                <w:szCs w:val="24"/>
              </w:rPr>
              <w:t xml:space="preserve"> Respondent</w:t>
            </w:r>
          </w:p>
        </w:tc>
      </w:tr>
      <w:tr w:rsidR="00D26CB5" w:rsidRPr="00FF436F" w:rsidTr="003A076D">
        <w:trPr>
          <w:trHeight w:val="1115"/>
        </w:trPr>
        <w:tc>
          <w:tcPr>
            <w:tcW w:w="4770" w:type="dxa"/>
          </w:tcPr>
          <w:p w:rsidR="00D26CB5" w:rsidRPr="00FF436F" w:rsidRDefault="00B612FA" w:rsidP="0028231F">
            <w:pPr>
              <w:spacing w:line="360" w:lineRule="auto"/>
              <w:jc w:val="center"/>
              <w:rPr>
                <w:rFonts w:ascii="Arial Narrow" w:hAnsi="Arial Narrow" w:cs="Arial"/>
                <w:i/>
                <w:sz w:val="24"/>
                <w:szCs w:val="24"/>
              </w:rPr>
            </w:pPr>
            <w:r w:rsidRPr="00FF436F">
              <w:rPr>
                <w:rFonts w:ascii="Arial Narrow" w:hAnsi="Arial Narrow" w:cs="Arial"/>
                <w:i/>
                <w:sz w:val="24"/>
                <w:szCs w:val="24"/>
              </w:rPr>
              <w:t xml:space="preserve">Mr </w:t>
            </w:r>
            <w:r w:rsidR="00A85AF7" w:rsidRPr="00A85AF7">
              <w:rPr>
                <w:rFonts w:ascii="Arial Narrow" w:hAnsi="Arial Narrow" w:cs="Arial"/>
                <w:i/>
                <w:sz w:val="24"/>
                <w:szCs w:val="24"/>
              </w:rPr>
              <w:t>K Kamuhanga</w:t>
            </w:r>
          </w:p>
          <w:p w:rsidR="00D26CB5" w:rsidRPr="00FF436F" w:rsidRDefault="00A85AF7" w:rsidP="0028231F">
            <w:pPr>
              <w:spacing w:line="360" w:lineRule="auto"/>
              <w:jc w:val="center"/>
              <w:rPr>
                <w:rFonts w:ascii="Arial Narrow" w:hAnsi="Arial Narrow" w:cs="Arial"/>
                <w:i/>
                <w:sz w:val="24"/>
                <w:szCs w:val="24"/>
              </w:rPr>
            </w:pPr>
            <w:r>
              <w:rPr>
                <w:rFonts w:ascii="Arial Narrow" w:hAnsi="Arial Narrow" w:cs="Arial"/>
                <w:i/>
                <w:sz w:val="24"/>
                <w:szCs w:val="24"/>
              </w:rPr>
              <w:t>On behalf</w:t>
            </w:r>
            <w:r w:rsidR="00B612FA" w:rsidRPr="00FF436F">
              <w:rPr>
                <w:rFonts w:ascii="Arial Narrow" w:hAnsi="Arial Narrow" w:cs="Arial"/>
                <w:i/>
                <w:sz w:val="24"/>
                <w:szCs w:val="24"/>
              </w:rPr>
              <w:t xml:space="preserve"> of </w:t>
            </w:r>
          </w:p>
          <w:p w:rsidR="00D26CB5" w:rsidRPr="003A076D" w:rsidRDefault="00A85AF7" w:rsidP="003A076D">
            <w:pPr>
              <w:spacing w:line="360" w:lineRule="auto"/>
              <w:jc w:val="center"/>
              <w:rPr>
                <w:rFonts w:ascii="Arial Narrow" w:hAnsi="Arial Narrow" w:cs="Arial"/>
                <w:i/>
                <w:sz w:val="24"/>
                <w:szCs w:val="24"/>
              </w:rPr>
            </w:pPr>
            <w:r>
              <w:rPr>
                <w:rFonts w:ascii="Arial Narrow" w:hAnsi="Arial Narrow" w:cs="Arial"/>
                <w:i/>
                <w:sz w:val="24"/>
                <w:szCs w:val="24"/>
              </w:rPr>
              <w:t>AngulaCo Inc</w:t>
            </w:r>
          </w:p>
        </w:tc>
        <w:tc>
          <w:tcPr>
            <w:tcW w:w="4950" w:type="dxa"/>
            <w:gridSpan w:val="2"/>
          </w:tcPr>
          <w:p w:rsidR="00D26CB5" w:rsidRPr="00FF436F" w:rsidRDefault="003B1002" w:rsidP="0028231F">
            <w:pPr>
              <w:spacing w:line="360" w:lineRule="auto"/>
              <w:jc w:val="center"/>
              <w:rPr>
                <w:rFonts w:ascii="Arial Narrow" w:hAnsi="Arial Narrow" w:cs="Arial"/>
                <w:i/>
                <w:sz w:val="24"/>
                <w:szCs w:val="24"/>
              </w:rPr>
            </w:pPr>
            <w:r>
              <w:rPr>
                <w:rFonts w:ascii="Arial Narrow" w:hAnsi="Arial Narrow" w:cs="Arial"/>
                <w:i/>
                <w:sz w:val="24"/>
                <w:szCs w:val="24"/>
              </w:rPr>
              <w:t>Mr</w:t>
            </w:r>
            <w:r w:rsidR="00D50D15" w:rsidRPr="00FF436F">
              <w:rPr>
                <w:rFonts w:ascii="Arial Narrow" w:hAnsi="Arial Narrow" w:cs="Arial"/>
                <w:i/>
                <w:sz w:val="24"/>
                <w:szCs w:val="24"/>
              </w:rPr>
              <w:t xml:space="preserve"> </w:t>
            </w:r>
            <w:r w:rsidR="00A85AF7">
              <w:rPr>
                <w:rFonts w:ascii="Arial Narrow" w:hAnsi="Arial Narrow" w:cs="Arial"/>
                <w:i/>
                <w:sz w:val="24"/>
                <w:szCs w:val="24"/>
              </w:rPr>
              <w:t>J</w:t>
            </w:r>
            <w:r w:rsidR="00A85AF7" w:rsidRPr="00A85AF7">
              <w:rPr>
                <w:rFonts w:ascii="Arial Narrow" w:hAnsi="Arial Narrow" w:cs="Arial"/>
                <w:i/>
                <w:sz w:val="24"/>
                <w:szCs w:val="24"/>
              </w:rPr>
              <w:t xml:space="preserve"> Jacobs</w:t>
            </w:r>
          </w:p>
          <w:p w:rsidR="00D26CB5" w:rsidRPr="00FF436F" w:rsidRDefault="003B1002" w:rsidP="0028231F">
            <w:pPr>
              <w:spacing w:line="360" w:lineRule="auto"/>
              <w:jc w:val="center"/>
              <w:rPr>
                <w:rFonts w:ascii="Arial Narrow" w:hAnsi="Arial Narrow" w:cs="Arial"/>
                <w:i/>
                <w:sz w:val="24"/>
                <w:szCs w:val="24"/>
              </w:rPr>
            </w:pPr>
            <w:r>
              <w:rPr>
                <w:rFonts w:ascii="Arial Narrow" w:hAnsi="Arial Narrow" w:cs="Arial"/>
                <w:i/>
                <w:sz w:val="24"/>
                <w:szCs w:val="24"/>
              </w:rPr>
              <w:t xml:space="preserve">On instructions </w:t>
            </w:r>
            <w:r w:rsidR="00B612FA" w:rsidRPr="00FF436F">
              <w:rPr>
                <w:rFonts w:ascii="Arial Narrow" w:hAnsi="Arial Narrow" w:cs="Arial"/>
                <w:i/>
                <w:sz w:val="24"/>
                <w:szCs w:val="24"/>
              </w:rPr>
              <w:t xml:space="preserve">of </w:t>
            </w:r>
          </w:p>
          <w:p w:rsidR="00D26CB5" w:rsidRPr="00FF436F" w:rsidRDefault="003B1002" w:rsidP="0028231F">
            <w:pPr>
              <w:spacing w:line="360" w:lineRule="auto"/>
              <w:jc w:val="center"/>
              <w:rPr>
                <w:rFonts w:ascii="Arial Narrow" w:hAnsi="Arial Narrow" w:cs="Arial"/>
                <w:sz w:val="24"/>
                <w:szCs w:val="24"/>
              </w:rPr>
            </w:pPr>
            <w:r>
              <w:rPr>
                <w:rFonts w:ascii="Arial Narrow" w:hAnsi="Arial Narrow" w:cs="Arial"/>
                <w:i/>
                <w:sz w:val="24"/>
                <w:szCs w:val="24"/>
              </w:rPr>
              <w:t>Van der Merwe-Greef Andima Inc</w:t>
            </w:r>
          </w:p>
        </w:tc>
      </w:tr>
    </w:tbl>
    <w:p w:rsidR="007064B9" w:rsidRPr="00FF436F" w:rsidRDefault="007064B9" w:rsidP="007064B9">
      <w:pPr>
        <w:spacing w:after="0" w:line="360" w:lineRule="auto"/>
        <w:jc w:val="both"/>
        <w:rPr>
          <w:rFonts w:ascii="Arial Narrow" w:hAnsi="Arial Narrow"/>
          <w:sz w:val="24"/>
          <w:szCs w:val="24"/>
        </w:rPr>
      </w:pPr>
    </w:p>
    <w:sectPr w:rsidR="007064B9" w:rsidRPr="00FF436F" w:rsidSect="00273840">
      <w:headerReference w:type="default" r:id="rId11"/>
      <w:footerReference w:type="default" r:id="rId12"/>
      <w:pgSz w:w="11906" w:h="16838"/>
      <w:pgMar w:top="1080" w:right="1440" w:bottom="1134" w:left="1440" w:header="708" w:footer="7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F58" w:rsidRDefault="00A33F58" w:rsidP="00D01890">
      <w:pPr>
        <w:spacing w:after="0" w:line="240" w:lineRule="auto"/>
      </w:pPr>
      <w:r>
        <w:separator/>
      </w:r>
    </w:p>
  </w:endnote>
  <w:endnote w:type="continuationSeparator" w:id="0">
    <w:p w:rsidR="00A33F58" w:rsidRDefault="00A33F58" w:rsidP="00D01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B8D" w:rsidRDefault="00536B8D">
    <w:pPr>
      <w:pStyle w:val="Footer"/>
      <w:jc w:val="right"/>
    </w:pPr>
  </w:p>
  <w:p w:rsidR="00536B8D" w:rsidRDefault="00536B8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F58" w:rsidRDefault="00A33F58" w:rsidP="00D01890">
      <w:pPr>
        <w:spacing w:after="0" w:line="240" w:lineRule="auto"/>
      </w:pPr>
      <w:r>
        <w:separator/>
      </w:r>
    </w:p>
  </w:footnote>
  <w:footnote w:type="continuationSeparator" w:id="0">
    <w:p w:rsidR="00A33F58" w:rsidRDefault="00A33F58" w:rsidP="00D01890">
      <w:pPr>
        <w:spacing w:after="0" w:line="240" w:lineRule="auto"/>
      </w:pPr>
      <w:r>
        <w:continuationSeparator/>
      </w:r>
    </w:p>
  </w:footnote>
  <w:footnote w:id="1">
    <w:p w:rsidR="004A779D" w:rsidRPr="009D0FF7" w:rsidRDefault="004A779D" w:rsidP="00061FC9">
      <w:pPr>
        <w:spacing w:after="0" w:line="240" w:lineRule="auto"/>
        <w:ind w:left="2250" w:hanging="2250"/>
        <w:jc w:val="both"/>
        <w:rPr>
          <w:rFonts w:ascii="Arial Narrow" w:hAnsi="Arial Narrow" w:cs="Arial"/>
          <w:sz w:val="20"/>
          <w:szCs w:val="20"/>
          <w:lang w:val="af-ZA"/>
        </w:rPr>
      </w:pPr>
      <w:r w:rsidRPr="009D0FF7">
        <w:rPr>
          <w:rStyle w:val="FootnoteReference"/>
          <w:rFonts w:ascii="Arial Narrow" w:hAnsi="Arial Narrow" w:cs="Arial"/>
          <w:sz w:val="20"/>
          <w:szCs w:val="20"/>
        </w:rPr>
        <w:footnoteRef/>
      </w:r>
      <w:r w:rsidRPr="009D0FF7">
        <w:rPr>
          <w:rFonts w:ascii="Arial Narrow" w:hAnsi="Arial Narrow" w:cs="Arial"/>
          <w:sz w:val="20"/>
          <w:szCs w:val="20"/>
        </w:rPr>
        <w:t xml:space="preserve"> (</w:t>
      </w:r>
      <w:r w:rsidRPr="009D0FF7">
        <w:rPr>
          <w:rFonts w:ascii="Arial Narrow" w:eastAsia="Times New Roman" w:hAnsi="Arial Narrow" w:cs="Arial"/>
          <w:color w:val="000000"/>
          <w:sz w:val="20"/>
          <w:szCs w:val="20"/>
          <w:lang w:eastAsia="en-ZA"/>
        </w:rPr>
        <w:t>POCA 5/2017</w:t>
      </w:r>
      <w:r w:rsidRPr="009D0FF7">
        <w:rPr>
          <w:rFonts w:ascii="Arial Narrow" w:hAnsi="Arial Narrow" w:cs="Arial"/>
          <w:sz w:val="20"/>
          <w:szCs w:val="20"/>
        </w:rPr>
        <w:t>) [2017] NAHCMD 265 (13 September 2017)</w:t>
      </w:r>
      <w:r w:rsidR="00FD632E" w:rsidRPr="009D0FF7">
        <w:rPr>
          <w:rFonts w:ascii="Arial Narrow" w:hAnsi="Arial Narrow" w:cs="Arial"/>
          <w:sz w:val="20"/>
          <w:szCs w:val="20"/>
        </w:rPr>
        <w:t>.</w:t>
      </w:r>
    </w:p>
  </w:footnote>
  <w:footnote w:id="2">
    <w:p w:rsidR="004A779D" w:rsidRPr="009D0FF7" w:rsidRDefault="004A779D" w:rsidP="00061FC9">
      <w:pPr>
        <w:pStyle w:val="FootnoteText"/>
        <w:jc w:val="both"/>
        <w:rPr>
          <w:rFonts w:ascii="Arial Narrow" w:hAnsi="Arial Narrow" w:cs="Arial"/>
          <w:lang w:val="en-US"/>
        </w:rPr>
      </w:pPr>
      <w:r w:rsidRPr="009D0FF7">
        <w:rPr>
          <w:rStyle w:val="FootnoteReference"/>
          <w:rFonts w:ascii="Arial Narrow" w:hAnsi="Arial Narrow" w:cs="Arial"/>
        </w:rPr>
        <w:footnoteRef/>
      </w:r>
      <w:r w:rsidRPr="009D0FF7">
        <w:rPr>
          <w:rFonts w:ascii="Arial Narrow" w:hAnsi="Arial Narrow" w:cs="Arial"/>
        </w:rPr>
        <w:t xml:space="preserve"> </w:t>
      </w:r>
      <w:r w:rsidRPr="009D0FF7">
        <w:rPr>
          <w:rFonts w:ascii="Arial Narrow" w:hAnsi="Arial Narrow" w:cs="Arial"/>
          <w:i/>
          <w:lang w:val="en-US"/>
        </w:rPr>
        <w:t>Germishuys v Douglas Besproeingsraad</w:t>
      </w:r>
      <w:r w:rsidRPr="009D0FF7">
        <w:rPr>
          <w:rFonts w:ascii="Arial Narrow" w:hAnsi="Arial Narrow" w:cs="Arial"/>
          <w:lang w:val="en-US"/>
        </w:rPr>
        <w:t xml:space="preserve"> 1973 (3) SA 299 (headnote).</w:t>
      </w:r>
    </w:p>
  </w:footnote>
  <w:footnote w:id="3">
    <w:p w:rsidR="00A51068" w:rsidRPr="009D0FF7" w:rsidRDefault="00A51068" w:rsidP="0072525F">
      <w:pPr>
        <w:tabs>
          <w:tab w:val="left" w:pos="720"/>
        </w:tabs>
        <w:spacing w:after="0" w:line="240" w:lineRule="auto"/>
        <w:jc w:val="both"/>
        <w:rPr>
          <w:rFonts w:ascii="Arial Narrow" w:hAnsi="Arial Narrow" w:cs="Arial"/>
          <w:sz w:val="20"/>
          <w:szCs w:val="20"/>
          <w:lang w:val="af-ZA"/>
        </w:rPr>
      </w:pPr>
      <w:r w:rsidRPr="009D0FF7">
        <w:rPr>
          <w:rStyle w:val="FootnoteReference"/>
          <w:rFonts w:ascii="Arial Narrow" w:hAnsi="Arial Narrow" w:cs="Arial"/>
          <w:sz w:val="20"/>
          <w:szCs w:val="20"/>
        </w:rPr>
        <w:footnoteRef/>
      </w:r>
      <w:r w:rsidRPr="009D0FF7">
        <w:rPr>
          <w:rFonts w:ascii="Arial Narrow" w:hAnsi="Arial Narrow" w:cs="Arial"/>
          <w:sz w:val="20"/>
          <w:szCs w:val="20"/>
        </w:rPr>
        <w:t xml:space="preserve"> </w:t>
      </w:r>
      <w:r w:rsidRPr="009D0FF7">
        <w:rPr>
          <w:rFonts w:ascii="Arial Narrow" w:hAnsi="Arial Narrow" w:cs="Arial"/>
          <w:sz w:val="20"/>
          <w:szCs w:val="20"/>
          <w:lang w:val="af-ZA"/>
        </w:rPr>
        <w:t>2018 (3) NR 619 (HC)</w:t>
      </w:r>
      <w:r w:rsidR="0072525F">
        <w:rPr>
          <w:rFonts w:ascii="Arial Narrow" w:hAnsi="Arial Narrow" w:cs="Arial"/>
          <w:sz w:val="20"/>
          <w:szCs w:val="20"/>
          <w:lang w:val="af-ZA"/>
        </w:rPr>
        <w:t>.</w:t>
      </w:r>
    </w:p>
  </w:footnote>
  <w:footnote w:id="4">
    <w:p w:rsidR="00A51068" w:rsidRPr="009D0FF7" w:rsidRDefault="00A51068" w:rsidP="00061FC9">
      <w:pPr>
        <w:pStyle w:val="FootnoteText"/>
        <w:rPr>
          <w:rFonts w:ascii="Arial Narrow" w:hAnsi="Arial Narrow" w:cs="Arial"/>
          <w:lang w:val="af-ZA"/>
        </w:rPr>
      </w:pPr>
      <w:r w:rsidRPr="009D0FF7">
        <w:rPr>
          <w:rStyle w:val="FootnoteReference"/>
          <w:rFonts w:ascii="Arial Narrow" w:hAnsi="Arial Narrow" w:cs="Arial"/>
        </w:rPr>
        <w:footnoteRef/>
      </w:r>
      <w:r w:rsidRPr="009D0FF7">
        <w:rPr>
          <w:rFonts w:ascii="Arial Narrow" w:hAnsi="Arial Narrow" w:cs="Arial"/>
        </w:rPr>
        <w:t xml:space="preserve"> </w:t>
      </w:r>
      <w:r w:rsidRPr="009D0FF7">
        <w:rPr>
          <w:rFonts w:ascii="Arial Narrow" w:hAnsi="Arial Narrow" w:cs="Arial"/>
          <w:i/>
        </w:rPr>
        <w:t>Bertolini v Ehlers and Another</w:t>
      </w:r>
      <w:r w:rsidRPr="009D0FF7">
        <w:rPr>
          <w:rFonts w:ascii="Arial Narrow" w:hAnsi="Arial Narrow" w:cs="Arial"/>
          <w:b/>
        </w:rPr>
        <w:t xml:space="preserve"> </w:t>
      </w:r>
      <w:r w:rsidRPr="009D0FF7">
        <w:rPr>
          <w:rFonts w:ascii="Arial Narrow" w:hAnsi="Arial Narrow" w:cs="Arial"/>
        </w:rPr>
        <w:t>(HC-MD-CIV-ACT-DEL-2016/03201) [2017] NAHCMD 284 (06 October 2017) para 1</w:t>
      </w:r>
      <w:r w:rsidR="00DE42D3">
        <w:rPr>
          <w:rFonts w:ascii="Arial Narrow" w:hAnsi="Arial Narrow" w:cs="Arial"/>
        </w:rPr>
        <w:t>.</w:t>
      </w:r>
    </w:p>
  </w:footnote>
  <w:footnote w:id="5">
    <w:p w:rsidR="00F85E84" w:rsidRPr="009D0FF7" w:rsidRDefault="00F85E84" w:rsidP="00061FC9">
      <w:pPr>
        <w:pStyle w:val="FootnoteText"/>
        <w:jc w:val="both"/>
        <w:rPr>
          <w:rFonts w:ascii="Arial Narrow" w:hAnsi="Arial Narrow" w:cs="Arial"/>
        </w:rPr>
      </w:pPr>
      <w:r w:rsidRPr="009D0FF7">
        <w:rPr>
          <w:rStyle w:val="FootnoteReference"/>
          <w:rFonts w:ascii="Arial Narrow" w:hAnsi="Arial Narrow" w:cs="Arial"/>
        </w:rPr>
        <w:footnoteRef/>
      </w:r>
      <w:r w:rsidRPr="009D0FF7">
        <w:rPr>
          <w:rFonts w:ascii="Arial Narrow" w:hAnsi="Arial Narrow" w:cs="Arial"/>
        </w:rPr>
        <w:t xml:space="preserve"> </w:t>
      </w:r>
      <w:r w:rsidRPr="009D0FF7">
        <w:rPr>
          <w:rFonts w:ascii="Arial Narrow" w:hAnsi="Arial Narrow" w:cs="Arial"/>
          <w:color w:val="000000"/>
        </w:rPr>
        <w:t>1973 (3) SA 299 (NC) at 300E.</w:t>
      </w:r>
    </w:p>
  </w:footnote>
  <w:footnote w:id="6">
    <w:p w:rsidR="00F85E84" w:rsidRPr="009D0FF7" w:rsidRDefault="00F85E84" w:rsidP="0028231F">
      <w:pPr>
        <w:spacing w:after="0" w:line="240" w:lineRule="auto"/>
        <w:jc w:val="both"/>
        <w:rPr>
          <w:rFonts w:ascii="Arial Narrow" w:hAnsi="Arial Narrow" w:cs="Arial"/>
          <w:i/>
          <w:sz w:val="20"/>
          <w:szCs w:val="20"/>
        </w:rPr>
      </w:pPr>
      <w:r w:rsidRPr="009D0FF7">
        <w:rPr>
          <w:rStyle w:val="FootnoteReference"/>
          <w:rFonts w:ascii="Arial Narrow" w:hAnsi="Arial Narrow" w:cs="Arial"/>
          <w:sz w:val="20"/>
          <w:szCs w:val="20"/>
        </w:rPr>
        <w:footnoteRef/>
      </w:r>
      <w:r w:rsidRPr="009D0FF7">
        <w:rPr>
          <w:rFonts w:ascii="Arial Narrow" w:hAnsi="Arial Narrow" w:cs="Arial"/>
          <w:sz w:val="20"/>
          <w:szCs w:val="20"/>
        </w:rPr>
        <w:t xml:space="preserve"> Erf Sixty-Six, 66 Vogelstrand (Pty) Ltd v The Council of the Municipality of Swakopmund</w:t>
      </w:r>
      <w:r w:rsidR="00486151">
        <w:rPr>
          <w:rFonts w:ascii="Arial Narrow" w:hAnsi="Arial Narrow" w:cs="Arial"/>
          <w:sz w:val="20"/>
          <w:szCs w:val="20"/>
        </w:rPr>
        <w:t xml:space="preserve"> </w:t>
      </w:r>
      <w:r w:rsidRPr="009D0FF7">
        <w:rPr>
          <w:rFonts w:ascii="Arial Narrow" w:hAnsi="Arial Narrow" w:cs="Arial"/>
          <w:sz w:val="20"/>
          <w:szCs w:val="20"/>
        </w:rPr>
        <w:t xml:space="preserve">(A 260-2007)[2012]NHC(12 March 2013); </w:t>
      </w:r>
      <w:r w:rsidR="0028231F" w:rsidRPr="009D0FF7">
        <w:rPr>
          <w:rFonts w:ascii="Arial Narrow" w:hAnsi="Arial Narrow" w:cs="Arial"/>
          <w:i/>
          <w:sz w:val="20"/>
          <w:szCs w:val="20"/>
        </w:rPr>
        <w:t xml:space="preserve">Bertolini </w:t>
      </w:r>
      <w:r w:rsidRPr="009D0FF7">
        <w:rPr>
          <w:rFonts w:ascii="Arial Narrow" w:hAnsi="Arial Narrow" w:cs="Arial"/>
          <w:i/>
          <w:sz w:val="20"/>
          <w:szCs w:val="20"/>
        </w:rPr>
        <w:t>Ehlers and Another</w:t>
      </w:r>
      <w:r w:rsidRPr="009D0FF7">
        <w:rPr>
          <w:rFonts w:ascii="Arial Narrow" w:hAnsi="Arial Narrow" w:cs="Arial"/>
          <w:b/>
          <w:sz w:val="20"/>
          <w:szCs w:val="20"/>
        </w:rPr>
        <w:t xml:space="preserve"> </w:t>
      </w:r>
      <w:r w:rsidRPr="009D0FF7">
        <w:rPr>
          <w:rFonts w:ascii="Arial Narrow" w:hAnsi="Arial Narrow" w:cs="Arial"/>
          <w:sz w:val="20"/>
          <w:szCs w:val="20"/>
        </w:rPr>
        <w:t>(HC-MD-CIV-ACT-DEL-2016/03201) [2017] NAHCMD 284 (06 October 2017).</w:t>
      </w:r>
    </w:p>
  </w:footnote>
  <w:footnote w:id="7">
    <w:p w:rsidR="00F85E84" w:rsidRPr="009D0FF7" w:rsidRDefault="00F85E84" w:rsidP="00061FC9">
      <w:pPr>
        <w:pStyle w:val="FootnoteText"/>
        <w:rPr>
          <w:rFonts w:ascii="Arial Narrow" w:hAnsi="Arial Narrow" w:cs="Arial"/>
          <w:lang w:val="af-ZA"/>
        </w:rPr>
      </w:pPr>
      <w:r w:rsidRPr="009D0FF7">
        <w:rPr>
          <w:rStyle w:val="FootnoteReference"/>
          <w:rFonts w:ascii="Arial Narrow" w:hAnsi="Arial Narrow" w:cs="Arial"/>
        </w:rPr>
        <w:footnoteRef/>
      </w:r>
      <w:r w:rsidRPr="009D0FF7">
        <w:rPr>
          <w:rFonts w:ascii="Arial Narrow" w:hAnsi="Arial Narrow" w:cs="Arial"/>
        </w:rPr>
        <w:t xml:space="preserve"> </w:t>
      </w:r>
      <w:r w:rsidRPr="009D0FF7">
        <w:rPr>
          <w:rFonts w:ascii="Arial Narrow" w:hAnsi="Arial Narrow" w:cs="Arial"/>
          <w:i/>
          <w:lang w:val="af-ZA"/>
        </w:rPr>
        <w:t>Supra</w:t>
      </w:r>
      <w:r w:rsidRPr="009D0FF7">
        <w:rPr>
          <w:rFonts w:ascii="Arial Narrow" w:hAnsi="Arial Narrow" w:cs="Arial"/>
          <w:lang w:val="af-ZA"/>
        </w:rPr>
        <w:t xml:space="preserve"> at Footnote 4</w:t>
      </w:r>
      <w:r w:rsidR="00061FC9" w:rsidRPr="009D0FF7">
        <w:rPr>
          <w:rFonts w:ascii="Arial Narrow" w:hAnsi="Arial Narrow" w:cs="Arial"/>
          <w:lang w:val="af-ZA"/>
        </w:rPr>
        <w:t>.</w:t>
      </w:r>
    </w:p>
  </w:footnote>
  <w:footnote w:id="8">
    <w:p w:rsidR="00F85E84" w:rsidRPr="009D0FF7" w:rsidRDefault="00F85E84" w:rsidP="00061FC9">
      <w:pPr>
        <w:pStyle w:val="FootnoteText"/>
        <w:jc w:val="both"/>
        <w:rPr>
          <w:rFonts w:ascii="Arial Narrow" w:hAnsi="Arial Narrow" w:cs="Arial"/>
        </w:rPr>
      </w:pPr>
      <w:r w:rsidRPr="009D0FF7">
        <w:rPr>
          <w:rStyle w:val="FootnoteReference"/>
          <w:rFonts w:ascii="Arial Narrow" w:hAnsi="Arial Narrow" w:cs="Arial"/>
        </w:rPr>
        <w:footnoteRef/>
      </w:r>
      <w:r w:rsidRPr="009D0FF7">
        <w:rPr>
          <w:rFonts w:ascii="Arial Narrow" w:hAnsi="Arial Narrow" w:cs="Arial"/>
        </w:rPr>
        <w:t xml:space="preserve"> </w:t>
      </w:r>
      <w:r w:rsidRPr="009D0FF7">
        <w:rPr>
          <w:rFonts w:ascii="Arial Narrow" w:hAnsi="Arial Narrow" w:cs="Arial"/>
          <w:color w:val="000000"/>
        </w:rPr>
        <w:t xml:space="preserve">See </w:t>
      </w:r>
      <w:r w:rsidRPr="009D0FF7">
        <w:rPr>
          <w:rFonts w:ascii="Arial Narrow" w:hAnsi="Arial Narrow" w:cs="Arial"/>
          <w:i/>
          <w:color w:val="000000"/>
        </w:rPr>
        <w:t xml:space="preserve">Republikeinse Publikasies (Edms) Bpk v Afrikaanse Pers Publikasies (Edms) Bpk </w:t>
      </w:r>
      <w:r w:rsidRPr="009D0FF7">
        <w:rPr>
          <w:rFonts w:ascii="Arial Narrow" w:hAnsi="Arial Narrow" w:cs="Arial"/>
          <w:color w:val="000000"/>
        </w:rPr>
        <w:t xml:space="preserve">1972 (1) SA 773A at 786C;   </w:t>
      </w:r>
      <w:r w:rsidRPr="009D0FF7">
        <w:rPr>
          <w:rFonts w:ascii="Arial Narrow" w:hAnsi="Arial Narrow" w:cs="Arial"/>
          <w:i/>
          <w:color w:val="000000"/>
        </w:rPr>
        <w:t xml:space="preserve">Erasmus v Grunow en ‘n Ander </w:t>
      </w:r>
      <w:r w:rsidRPr="009D0FF7">
        <w:rPr>
          <w:rFonts w:ascii="Arial Narrow" w:hAnsi="Arial Narrow" w:cs="Arial"/>
          <w:color w:val="000000"/>
        </w:rPr>
        <w:t>1980 (2) SA 793 (O) at 797H.</w:t>
      </w:r>
    </w:p>
  </w:footnote>
  <w:footnote w:id="9">
    <w:p w:rsidR="00F85E84" w:rsidRPr="009D0FF7" w:rsidRDefault="00F85E84" w:rsidP="00061FC9">
      <w:pPr>
        <w:spacing w:after="0" w:line="240" w:lineRule="auto"/>
        <w:jc w:val="both"/>
        <w:rPr>
          <w:rFonts w:ascii="Arial Narrow" w:hAnsi="Arial Narrow" w:cs="Arial"/>
          <w:color w:val="000000"/>
          <w:sz w:val="20"/>
          <w:szCs w:val="20"/>
        </w:rPr>
      </w:pPr>
      <w:r w:rsidRPr="009D0FF7">
        <w:rPr>
          <w:rStyle w:val="FootnoteReference"/>
          <w:rFonts w:ascii="Arial Narrow" w:hAnsi="Arial Narrow" w:cs="Arial"/>
          <w:sz w:val="20"/>
          <w:szCs w:val="20"/>
        </w:rPr>
        <w:footnoteRef/>
      </w:r>
      <w:r w:rsidRPr="009D0FF7">
        <w:rPr>
          <w:rFonts w:ascii="Arial Narrow" w:hAnsi="Arial Narrow" w:cs="Arial"/>
          <w:sz w:val="20"/>
          <w:szCs w:val="20"/>
        </w:rPr>
        <w:t xml:space="preserve"> </w:t>
      </w:r>
      <w:r w:rsidRPr="009D0FF7">
        <w:rPr>
          <w:rFonts w:ascii="Arial Narrow" w:hAnsi="Arial Narrow" w:cs="Arial"/>
          <w:i/>
          <w:color w:val="000000"/>
          <w:sz w:val="20"/>
          <w:szCs w:val="20"/>
        </w:rPr>
        <w:t xml:space="preserve">Wildlife and Environmental Society of South Africa </w:t>
      </w:r>
      <w:r w:rsidRPr="009D0FF7">
        <w:rPr>
          <w:rFonts w:ascii="Arial Narrow" w:hAnsi="Arial Narrow" w:cs="Arial"/>
          <w:color w:val="000000"/>
          <w:sz w:val="20"/>
          <w:szCs w:val="20"/>
        </w:rPr>
        <w:t>supra at 131B-D.</w:t>
      </w:r>
    </w:p>
  </w:footnote>
  <w:footnote w:id="10">
    <w:p w:rsidR="00F85E84" w:rsidRPr="009D0FF7" w:rsidRDefault="00F85E84" w:rsidP="00061FC9">
      <w:pPr>
        <w:pStyle w:val="FootnoteText"/>
        <w:jc w:val="both"/>
        <w:rPr>
          <w:rFonts w:ascii="Arial Narrow" w:hAnsi="Arial Narrow" w:cs="Arial"/>
        </w:rPr>
      </w:pPr>
      <w:r w:rsidRPr="009D0FF7">
        <w:rPr>
          <w:rStyle w:val="FootnoteReference"/>
          <w:rFonts w:ascii="Arial Narrow" w:hAnsi="Arial Narrow" w:cs="Arial"/>
        </w:rPr>
        <w:footnoteRef/>
      </w:r>
      <w:r w:rsidRPr="009D0FF7">
        <w:rPr>
          <w:rFonts w:ascii="Arial Narrow" w:hAnsi="Arial Narrow" w:cs="Arial"/>
        </w:rPr>
        <w:t xml:space="preserve"> </w:t>
      </w:r>
      <w:r w:rsidRPr="009D0FF7">
        <w:rPr>
          <w:rFonts w:ascii="Arial Narrow" w:hAnsi="Arial Narrow" w:cs="Arial"/>
          <w:color w:val="000000"/>
        </w:rPr>
        <w:t xml:space="preserve">1998 (3) SA </w:t>
      </w:r>
      <w:r w:rsidR="009A1997">
        <w:rPr>
          <w:rFonts w:ascii="Arial Narrow" w:hAnsi="Arial Narrow" w:cs="Arial"/>
          <w:color w:val="000000"/>
        </w:rPr>
        <w:t>692 (CC) at 696, para 5</w:t>
      </w:r>
      <w:r w:rsidRPr="009D0FF7">
        <w:rPr>
          <w:rFonts w:ascii="Arial Narrow" w:hAnsi="Arial Narrow" w:cs="Arial"/>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267483"/>
      <w:docPartObj>
        <w:docPartGallery w:val="Page Numbers (Top of Page)"/>
        <w:docPartUnique/>
      </w:docPartObj>
    </w:sdtPr>
    <w:sdtEndPr>
      <w:rPr>
        <w:noProof/>
      </w:rPr>
    </w:sdtEndPr>
    <w:sdtContent>
      <w:p w:rsidR="00536B8D" w:rsidRDefault="00536B8D">
        <w:pPr>
          <w:pStyle w:val="Header"/>
          <w:jc w:val="right"/>
        </w:pPr>
        <w:r>
          <w:fldChar w:fldCharType="begin"/>
        </w:r>
        <w:r>
          <w:instrText xml:space="preserve"> PAGE   \* MERGEFORMAT </w:instrText>
        </w:r>
        <w:r>
          <w:fldChar w:fldCharType="separate"/>
        </w:r>
        <w:r w:rsidR="00856266">
          <w:rPr>
            <w:noProof/>
          </w:rPr>
          <w:t>2</w:t>
        </w:r>
        <w:r>
          <w:rPr>
            <w:noProof/>
          </w:rPr>
          <w:fldChar w:fldCharType="end"/>
        </w:r>
      </w:p>
    </w:sdtContent>
  </w:sdt>
  <w:p w:rsidR="00536B8D" w:rsidRDefault="00536B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B0B81"/>
    <w:multiLevelType w:val="hybridMultilevel"/>
    <w:tmpl w:val="4FA86F0C"/>
    <w:lvl w:ilvl="0" w:tplc="A1301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983DD1"/>
    <w:multiLevelType w:val="hybridMultilevel"/>
    <w:tmpl w:val="680C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167CBF"/>
    <w:multiLevelType w:val="hybridMultilevel"/>
    <w:tmpl w:val="B814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B402C4"/>
    <w:multiLevelType w:val="hybridMultilevel"/>
    <w:tmpl w:val="14DCA2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95E367D"/>
    <w:multiLevelType w:val="hybridMultilevel"/>
    <w:tmpl w:val="9E90A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DA2B8A"/>
    <w:multiLevelType w:val="hybridMultilevel"/>
    <w:tmpl w:val="74185B90"/>
    <w:lvl w:ilvl="0" w:tplc="DEE21F92">
      <w:start w:val="1"/>
      <w:numFmt w:val="decimal"/>
      <w:lvlText w:val="%1."/>
      <w:lvlJc w:val="left"/>
      <w:pPr>
        <w:ind w:left="720" w:hanging="360"/>
      </w:pPr>
      <w:rPr>
        <w:rFonts w:eastAsia="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0919A7"/>
    <w:multiLevelType w:val="hybridMultilevel"/>
    <w:tmpl w:val="BCC0AC06"/>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7" w15:restartNumberingAfterBreak="0">
    <w:nsid w:val="6C06708E"/>
    <w:multiLevelType w:val="hybridMultilevel"/>
    <w:tmpl w:val="18FCE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33512E"/>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7670725"/>
    <w:multiLevelType w:val="hybridMultilevel"/>
    <w:tmpl w:val="09508068"/>
    <w:lvl w:ilvl="0" w:tplc="A2CAAA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3D6625"/>
    <w:multiLevelType w:val="hybridMultilevel"/>
    <w:tmpl w:val="B6AC5C68"/>
    <w:lvl w:ilvl="0" w:tplc="8C5404E0">
      <w:start w:val="1"/>
      <w:numFmt w:val="lowerLetter"/>
      <w:lvlText w:val="(%1)"/>
      <w:lvlJc w:val="left"/>
      <w:pPr>
        <w:ind w:left="1080" w:hanging="72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7"/>
  </w:num>
  <w:num w:numId="4">
    <w:abstractNumId w:val="3"/>
  </w:num>
  <w:num w:numId="5">
    <w:abstractNumId w:val="4"/>
  </w:num>
  <w:num w:numId="6">
    <w:abstractNumId w:val="2"/>
  </w:num>
  <w:num w:numId="7">
    <w:abstractNumId w:val="6"/>
  </w:num>
  <w:num w:numId="8">
    <w:abstractNumId w:val="0"/>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B5"/>
    <w:rsid w:val="000054F7"/>
    <w:rsid w:val="0000773F"/>
    <w:rsid w:val="00010FE7"/>
    <w:rsid w:val="00012995"/>
    <w:rsid w:val="00013EC0"/>
    <w:rsid w:val="0002555E"/>
    <w:rsid w:val="000309E0"/>
    <w:rsid w:val="00032968"/>
    <w:rsid w:val="00035F62"/>
    <w:rsid w:val="00040B97"/>
    <w:rsid w:val="00042AC4"/>
    <w:rsid w:val="000440C7"/>
    <w:rsid w:val="00044367"/>
    <w:rsid w:val="00046070"/>
    <w:rsid w:val="000501B3"/>
    <w:rsid w:val="00061FC9"/>
    <w:rsid w:val="00065EA0"/>
    <w:rsid w:val="000664EE"/>
    <w:rsid w:val="00070929"/>
    <w:rsid w:val="00077E0F"/>
    <w:rsid w:val="00083A6B"/>
    <w:rsid w:val="00093B09"/>
    <w:rsid w:val="000A684E"/>
    <w:rsid w:val="000B03CE"/>
    <w:rsid w:val="000B31F0"/>
    <w:rsid w:val="000B35CE"/>
    <w:rsid w:val="000B7E21"/>
    <w:rsid w:val="000C18BE"/>
    <w:rsid w:val="000D218C"/>
    <w:rsid w:val="000D3044"/>
    <w:rsid w:val="000D70A9"/>
    <w:rsid w:val="000E043D"/>
    <w:rsid w:val="000E37C5"/>
    <w:rsid w:val="000E3A72"/>
    <w:rsid w:val="000E6395"/>
    <w:rsid w:val="000F1321"/>
    <w:rsid w:val="000F3A0D"/>
    <w:rsid w:val="000F4B68"/>
    <w:rsid w:val="000F6873"/>
    <w:rsid w:val="000F7C5C"/>
    <w:rsid w:val="000F7F61"/>
    <w:rsid w:val="001007FF"/>
    <w:rsid w:val="00102063"/>
    <w:rsid w:val="001034A5"/>
    <w:rsid w:val="001068B9"/>
    <w:rsid w:val="001108CF"/>
    <w:rsid w:val="001125D9"/>
    <w:rsid w:val="00113AED"/>
    <w:rsid w:val="00114FF5"/>
    <w:rsid w:val="001167B2"/>
    <w:rsid w:val="00120EE0"/>
    <w:rsid w:val="00123E62"/>
    <w:rsid w:val="00142BD3"/>
    <w:rsid w:val="00145ADA"/>
    <w:rsid w:val="00153EFE"/>
    <w:rsid w:val="001601BD"/>
    <w:rsid w:val="00165A20"/>
    <w:rsid w:val="00166414"/>
    <w:rsid w:val="001750D2"/>
    <w:rsid w:val="0017517E"/>
    <w:rsid w:val="001847F0"/>
    <w:rsid w:val="00185504"/>
    <w:rsid w:val="00191D6F"/>
    <w:rsid w:val="00192E55"/>
    <w:rsid w:val="001960D9"/>
    <w:rsid w:val="001A29F2"/>
    <w:rsid w:val="001A52A4"/>
    <w:rsid w:val="001A5A82"/>
    <w:rsid w:val="001B7111"/>
    <w:rsid w:val="001C7ADB"/>
    <w:rsid w:val="001D2571"/>
    <w:rsid w:val="001D7C9E"/>
    <w:rsid w:val="001E2DFC"/>
    <w:rsid w:val="001E4FF0"/>
    <w:rsid w:val="001F2774"/>
    <w:rsid w:val="001F4781"/>
    <w:rsid w:val="001F49E0"/>
    <w:rsid w:val="00201138"/>
    <w:rsid w:val="00204929"/>
    <w:rsid w:val="00206E1F"/>
    <w:rsid w:val="00214E94"/>
    <w:rsid w:val="00216069"/>
    <w:rsid w:val="00216493"/>
    <w:rsid w:val="00222323"/>
    <w:rsid w:val="002246A3"/>
    <w:rsid w:val="00226E2F"/>
    <w:rsid w:val="00235791"/>
    <w:rsid w:val="00235A3E"/>
    <w:rsid w:val="00237DF6"/>
    <w:rsid w:val="00240526"/>
    <w:rsid w:val="00264B88"/>
    <w:rsid w:val="00266084"/>
    <w:rsid w:val="002730BF"/>
    <w:rsid w:val="00273840"/>
    <w:rsid w:val="00280ADC"/>
    <w:rsid w:val="0028231F"/>
    <w:rsid w:val="0029238C"/>
    <w:rsid w:val="00295333"/>
    <w:rsid w:val="002A699C"/>
    <w:rsid w:val="002B26C0"/>
    <w:rsid w:val="002B7A13"/>
    <w:rsid w:val="002C2969"/>
    <w:rsid w:val="002C4E37"/>
    <w:rsid w:val="002C63DD"/>
    <w:rsid w:val="002D41F7"/>
    <w:rsid w:val="002D78B1"/>
    <w:rsid w:val="002E07F8"/>
    <w:rsid w:val="002F3704"/>
    <w:rsid w:val="00304CD2"/>
    <w:rsid w:val="0031370C"/>
    <w:rsid w:val="00313CD0"/>
    <w:rsid w:val="00315A50"/>
    <w:rsid w:val="00321AA9"/>
    <w:rsid w:val="003221BD"/>
    <w:rsid w:val="003246A7"/>
    <w:rsid w:val="00336EA3"/>
    <w:rsid w:val="00340126"/>
    <w:rsid w:val="00346EB8"/>
    <w:rsid w:val="003546D6"/>
    <w:rsid w:val="00372899"/>
    <w:rsid w:val="0038486C"/>
    <w:rsid w:val="00390E41"/>
    <w:rsid w:val="0039465F"/>
    <w:rsid w:val="00394B64"/>
    <w:rsid w:val="003A076D"/>
    <w:rsid w:val="003A0AED"/>
    <w:rsid w:val="003B1002"/>
    <w:rsid w:val="003B11E0"/>
    <w:rsid w:val="003C2051"/>
    <w:rsid w:val="003D59A1"/>
    <w:rsid w:val="003E0400"/>
    <w:rsid w:val="003E1468"/>
    <w:rsid w:val="003E5C60"/>
    <w:rsid w:val="003E72CC"/>
    <w:rsid w:val="003F23AF"/>
    <w:rsid w:val="003F40BD"/>
    <w:rsid w:val="003F526F"/>
    <w:rsid w:val="00404EDF"/>
    <w:rsid w:val="00414B0E"/>
    <w:rsid w:val="00415091"/>
    <w:rsid w:val="0042022A"/>
    <w:rsid w:val="00422236"/>
    <w:rsid w:val="004243AE"/>
    <w:rsid w:val="0042554E"/>
    <w:rsid w:val="004262E2"/>
    <w:rsid w:val="00427466"/>
    <w:rsid w:val="0043000E"/>
    <w:rsid w:val="00430720"/>
    <w:rsid w:val="00440965"/>
    <w:rsid w:val="00444C8F"/>
    <w:rsid w:val="004502D1"/>
    <w:rsid w:val="00454499"/>
    <w:rsid w:val="00454826"/>
    <w:rsid w:val="00463102"/>
    <w:rsid w:val="00465DA4"/>
    <w:rsid w:val="00472A12"/>
    <w:rsid w:val="00473CF0"/>
    <w:rsid w:val="0047407B"/>
    <w:rsid w:val="004757A9"/>
    <w:rsid w:val="00485E87"/>
    <w:rsid w:val="00486151"/>
    <w:rsid w:val="0049404B"/>
    <w:rsid w:val="00496D12"/>
    <w:rsid w:val="004A2CFA"/>
    <w:rsid w:val="004A779D"/>
    <w:rsid w:val="004B0D9D"/>
    <w:rsid w:val="004B2418"/>
    <w:rsid w:val="004C0404"/>
    <w:rsid w:val="004C270F"/>
    <w:rsid w:val="004C4F04"/>
    <w:rsid w:val="004C6763"/>
    <w:rsid w:val="004D313F"/>
    <w:rsid w:val="004E7F24"/>
    <w:rsid w:val="004F19EC"/>
    <w:rsid w:val="004F2D2F"/>
    <w:rsid w:val="005005F7"/>
    <w:rsid w:val="00501F8F"/>
    <w:rsid w:val="00513F10"/>
    <w:rsid w:val="00516A2D"/>
    <w:rsid w:val="00525292"/>
    <w:rsid w:val="005315E1"/>
    <w:rsid w:val="00532BE5"/>
    <w:rsid w:val="0053301E"/>
    <w:rsid w:val="00536B8D"/>
    <w:rsid w:val="00543F56"/>
    <w:rsid w:val="00545944"/>
    <w:rsid w:val="00551F59"/>
    <w:rsid w:val="00556F1A"/>
    <w:rsid w:val="0055737E"/>
    <w:rsid w:val="005609F1"/>
    <w:rsid w:val="00564863"/>
    <w:rsid w:val="00566A0E"/>
    <w:rsid w:val="005732F3"/>
    <w:rsid w:val="00576699"/>
    <w:rsid w:val="00576A64"/>
    <w:rsid w:val="0057707B"/>
    <w:rsid w:val="00590640"/>
    <w:rsid w:val="00591A63"/>
    <w:rsid w:val="005932AF"/>
    <w:rsid w:val="00595557"/>
    <w:rsid w:val="005A43DF"/>
    <w:rsid w:val="005A4BF1"/>
    <w:rsid w:val="005A750D"/>
    <w:rsid w:val="005B3AEF"/>
    <w:rsid w:val="005C0368"/>
    <w:rsid w:val="005D1985"/>
    <w:rsid w:val="005D454B"/>
    <w:rsid w:val="005D6F2A"/>
    <w:rsid w:val="005D7EFF"/>
    <w:rsid w:val="005E5886"/>
    <w:rsid w:val="005F0C2B"/>
    <w:rsid w:val="005F365C"/>
    <w:rsid w:val="005F7D87"/>
    <w:rsid w:val="00603F97"/>
    <w:rsid w:val="00604D7B"/>
    <w:rsid w:val="00606780"/>
    <w:rsid w:val="00610647"/>
    <w:rsid w:val="00610EC4"/>
    <w:rsid w:val="006117C1"/>
    <w:rsid w:val="006202C8"/>
    <w:rsid w:val="00620752"/>
    <w:rsid w:val="00621FC9"/>
    <w:rsid w:val="00622002"/>
    <w:rsid w:val="0062377F"/>
    <w:rsid w:val="006376E7"/>
    <w:rsid w:val="00641114"/>
    <w:rsid w:val="006479E8"/>
    <w:rsid w:val="00650F5B"/>
    <w:rsid w:val="00651FBF"/>
    <w:rsid w:val="006647DF"/>
    <w:rsid w:val="006901D1"/>
    <w:rsid w:val="00691B65"/>
    <w:rsid w:val="00694CBC"/>
    <w:rsid w:val="00696267"/>
    <w:rsid w:val="006A06C9"/>
    <w:rsid w:val="006A782A"/>
    <w:rsid w:val="006B533F"/>
    <w:rsid w:val="006D0EF4"/>
    <w:rsid w:val="006D51B5"/>
    <w:rsid w:val="006D5526"/>
    <w:rsid w:val="006D55B8"/>
    <w:rsid w:val="006E6C72"/>
    <w:rsid w:val="006F1344"/>
    <w:rsid w:val="007035AE"/>
    <w:rsid w:val="007064B9"/>
    <w:rsid w:val="00706B9B"/>
    <w:rsid w:val="00713A59"/>
    <w:rsid w:val="00720794"/>
    <w:rsid w:val="00723332"/>
    <w:rsid w:val="0072448B"/>
    <w:rsid w:val="0072525F"/>
    <w:rsid w:val="00735C76"/>
    <w:rsid w:val="00747312"/>
    <w:rsid w:val="0075709E"/>
    <w:rsid w:val="00760961"/>
    <w:rsid w:val="007777C3"/>
    <w:rsid w:val="00790373"/>
    <w:rsid w:val="00795299"/>
    <w:rsid w:val="00796296"/>
    <w:rsid w:val="007A6F9E"/>
    <w:rsid w:val="007B701E"/>
    <w:rsid w:val="007C023A"/>
    <w:rsid w:val="007C3B3E"/>
    <w:rsid w:val="007C5F79"/>
    <w:rsid w:val="007C6151"/>
    <w:rsid w:val="007D58A0"/>
    <w:rsid w:val="007D6576"/>
    <w:rsid w:val="007E4BA6"/>
    <w:rsid w:val="007F5AE7"/>
    <w:rsid w:val="008134FF"/>
    <w:rsid w:val="00826E81"/>
    <w:rsid w:val="008278F9"/>
    <w:rsid w:val="00834B36"/>
    <w:rsid w:val="00834DE6"/>
    <w:rsid w:val="00836EB8"/>
    <w:rsid w:val="00852E72"/>
    <w:rsid w:val="00856266"/>
    <w:rsid w:val="00871FE0"/>
    <w:rsid w:val="0087631B"/>
    <w:rsid w:val="00876D32"/>
    <w:rsid w:val="00883A84"/>
    <w:rsid w:val="00890FD4"/>
    <w:rsid w:val="00893C31"/>
    <w:rsid w:val="008A1065"/>
    <w:rsid w:val="008A1FA3"/>
    <w:rsid w:val="008A417A"/>
    <w:rsid w:val="008A4A52"/>
    <w:rsid w:val="008A6453"/>
    <w:rsid w:val="008B01F7"/>
    <w:rsid w:val="008B1C07"/>
    <w:rsid w:val="008B478D"/>
    <w:rsid w:val="008B69F0"/>
    <w:rsid w:val="008D0F38"/>
    <w:rsid w:val="008D7ED4"/>
    <w:rsid w:val="008E0283"/>
    <w:rsid w:val="008E27BA"/>
    <w:rsid w:val="008E4FC0"/>
    <w:rsid w:val="008E6CB8"/>
    <w:rsid w:val="00900EAE"/>
    <w:rsid w:val="00901965"/>
    <w:rsid w:val="00902303"/>
    <w:rsid w:val="00905BCB"/>
    <w:rsid w:val="00910FCE"/>
    <w:rsid w:val="009114FF"/>
    <w:rsid w:val="00911F3C"/>
    <w:rsid w:val="00913A93"/>
    <w:rsid w:val="00917569"/>
    <w:rsid w:val="0092129C"/>
    <w:rsid w:val="00922148"/>
    <w:rsid w:val="00924D7D"/>
    <w:rsid w:val="009253D3"/>
    <w:rsid w:val="00944A7A"/>
    <w:rsid w:val="0096285D"/>
    <w:rsid w:val="00964066"/>
    <w:rsid w:val="009640B8"/>
    <w:rsid w:val="009645D6"/>
    <w:rsid w:val="009677CC"/>
    <w:rsid w:val="009709AB"/>
    <w:rsid w:val="00973398"/>
    <w:rsid w:val="00975513"/>
    <w:rsid w:val="00975C47"/>
    <w:rsid w:val="009776C2"/>
    <w:rsid w:val="00981DE5"/>
    <w:rsid w:val="00983110"/>
    <w:rsid w:val="00985685"/>
    <w:rsid w:val="009A0827"/>
    <w:rsid w:val="009A1997"/>
    <w:rsid w:val="009C3892"/>
    <w:rsid w:val="009D0134"/>
    <w:rsid w:val="009D0FF7"/>
    <w:rsid w:val="009D499A"/>
    <w:rsid w:val="009D5248"/>
    <w:rsid w:val="009E46FB"/>
    <w:rsid w:val="009E4890"/>
    <w:rsid w:val="009E52F8"/>
    <w:rsid w:val="009E5E99"/>
    <w:rsid w:val="009F0F12"/>
    <w:rsid w:val="009F78A6"/>
    <w:rsid w:val="00A00282"/>
    <w:rsid w:val="00A00DF2"/>
    <w:rsid w:val="00A04B77"/>
    <w:rsid w:val="00A10933"/>
    <w:rsid w:val="00A13765"/>
    <w:rsid w:val="00A16FA7"/>
    <w:rsid w:val="00A2024D"/>
    <w:rsid w:val="00A21757"/>
    <w:rsid w:val="00A22F11"/>
    <w:rsid w:val="00A268AD"/>
    <w:rsid w:val="00A32333"/>
    <w:rsid w:val="00A33F58"/>
    <w:rsid w:val="00A423E3"/>
    <w:rsid w:val="00A51068"/>
    <w:rsid w:val="00A53FE7"/>
    <w:rsid w:val="00A64956"/>
    <w:rsid w:val="00A64DBC"/>
    <w:rsid w:val="00A65679"/>
    <w:rsid w:val="00A66250"/>
    <w:rsid w:val="00A67C5B"/>
    <w:rsid w:val="00A70A19"/>
    <w:rsid w:val="00A70BA9"/>
    <w:rsid w:val="00A71F7B"/>
    <w:rsid w:val="00A8052A"/>
    <w:rsid w:val="00A81368"/>
    <w:rsid w:val="00A85AF7"/>
    <w:rsid w:val="00A873AE"/>
    <w:rsid w:val="00A87A20"/>
    <w:rsid w:val="00A9701C"/>
    <w:rsid w:val="00AC1366"/>
    <w:rsid w:val="00AC3CFB"/>
    <w:rsid w:val="00AD33D9"/>
    <w:rsid w:val="00AD7ED1"/>
    <w:rsid w:val="00AE5601"/>
    <w:rsid w:val="00AE5621"/>
    <w:rsid w:val="00AE6E09"/>
    <w:rsid w:val="00B04C63"/>
    <w:rsid w:val="00B121C9"/>
    <w:rsid w:val="00B12B4C"/>
    <w:rsid w:val="00B154E7"/>
    <w:rsid w:val="00B15C01"/>
    <w:rsid w:val="00B2168A"/>
    <w:rsid w:val="00B362E7"/>
    <w:rsid w:val="00B412BB"/>
    <w:rsid w:val="00B50265"/>
    <w:rsid w:val="00B52D39"/>
    <w:rsid w:val="00B612FA"/>
    <w:rsid w:val="00B634C3"/>
    <w:rsid w:val="00B653A7"/>
    <w:rsid w:val="00B732A0"/>
    <w:rsid w:val="00B7506D"/>
    <w:rsid w:val="00B83727"/>
    <w:rsid w:val="00B8695C"/>
    <w:rsid w:val="00B932B1"/>
    <w:rsid w:val="00B94B61"/>
    <w:rsid w:val="00B94D20"/>
    <w:rsid w:val="00B9742E"/>
    <w:rsid w:val="00BA71C6"/>
    <w:rsid w:val="00BA77D7"/>
    <w:rsid w:val="00BB19DE"/>
    <w:rsid w:val="00BC77BD"/>
    <w:rsid w:val="00BD1C0E"/>
    <w:rsid w:val="00BD3D6E"/>
    <w:rsid w:val="00BE23FC"/>
    <w:rsid w:val="00BF5422"/>
    <w:rsid w:val="00C0102F"/>
    <w:rsid w:val="00C0170E"/>
    <w:rsid w:val="00C027CE"/>
    <w:rsid w:val="00C14459"/>
    <w:rsid w:val="00C14DFD"/>
    <w:rsid w:val="00C15B98"/>
    <w:rsid w:val="00C16F39"/>
    <w:rsid w:val="00C177D6"/>
    <w:rsid w:val="00C17CA0"/>
    <w:rsid w:val="00C22C7C"/>
    <w:rsid w:val="00C23DA7"/>
    <w:rsid w:val="00C346DC"/>
    <w:rsid w:val="00C50C3B"/>
    <w:rsid w:val="00C547A8"/>
    <w:rsid w:val="00C62D8A"/>
    <w:rsid w:val="00C675C2"/>
    <w:rsid w:val="00C711F6"/>
    <w:rsid w:val="00C81998"/>
    <w:rsid w:val="00C861E1"/>
    <w:rsid w:val="00C86863"/>
    <w:rsid w:val="00C87A3E"/>
    <w:rsid w:val="00C95520"/>
    <w:rsid w:val="00C96AC7"/>
    <w:rsid w:val="00CA6DDF"/>
    <w:rsid w:val="00CB29FE"/>
    <w:rsid w:val="00CB7054"/>
    <w:rsid w:val="00CC3996"/>
    <w:rsid w:val="00CD026F"/>
    <w:rsid w:val="00CD4EAB"/>
    <w:rsid w:val="00CD4FFF"/>
    <w:rsid w:val="00CE1797"/>
    <w:rsid w:val="00CE30E4"/>
    <w:rsid w:val="00CE48FA"/>
    <w:rsid w:val="00CF3A02"/>
    <w:rsid w:val="00CF46F4"/>
    <w:rsid w:val="00CF6596"/>
    <w:rsid w:val="00D010A9"/>
    <w:rsid w:val="00D01890"/>
    <w:rsid w:val="00D01AEA"/>
    <w:rsid w:val="00D02648"/>
    <w:rsid w:val="00D044EC"/>
    <w:rsid w:val="00D125D5"/>
    <w:rsid w:val="00D25575"/>
    <w:rsid w:val="00D26CB5"/>
    <w:rsid w:val="00D26F45"/>
    <w:rsid w:val="00D32037"/>
    <w:rsid w:val="00D373D2"/>
    <w:rsid w:val="00D46451"/>
    <w:rsid w:val="00D506E0"/>
    <w:rsid w:val="00D50D15"/>
    <w:rsid w:val="00D5153E"/>
    <w:rsid w:val="00D51F67"/>
    <w:rsid w:val="00D55857"/>
    <w:rsid w:val="00D61E20"/>
    <w:rsid w:val="00D6290A"/>
    <w:rsid w:val="00D63EC8"/>
    <w:rsid w:val="00D73373"/>
    <w:rsid w:val="00D82629"/>
    <w:rsid w:val="00D82F1D"/>
    <w:rsid w:val="00D93DCF"/>
    <w:rsid w:val="00D94440"/>
    <w:rsid w:val="00DA4E27"/>
    <w:rsid w:val="00DA58A6"/>
    <w:rsid w:val="00DC03E6"/>
    <w:rsid w:val="00DD05DC"/>
    <w:rsid w:val="00DE42D3"/>
    <w:rsid w:val="00DF0655"/>
    <w:rsid w:val="00E0138B"/>
    <w:rsid w:val="00E01E97"/>
    <w:rsid w:val="00E02B16"/>
    <w:rsid w:val="00E0419C"/>
    <w:rsid w:val="00E06F98"/>
    <w:rsid w:val="00E106DB"/>
    <w:rsid w:val="00E30CB9"/>
    <w:rsid w:val="00E34222"/>
    <w:rsid w:val="00E447BA"/>
    <w:rsid w:val="00E44F1D"/>
    <w:rsid w:val="00E46BB1"/>
    <w:rsid w:val="00E50094"/>
    <w:rsid w:val="00E53ED5"/>
    <w:rsid w:val="00E60457"/>
    <w:rsid w:val="00E757E9"/>
    <w:rsid w:val="00E80147"/>
    <w:rsid w:val="00E81B87"/>
    <w:rsid w:val="00E85763"/>
    <w:rsid w:val="00E871C3"/>
    <w:rsid w:val="00E87AB8"/>
    <w:rsid w:val="00E87F04"/>
    <w:rsid w:val="00E94597"/>
    <w:rsid w:val="00E96532"/>
    <w:rsid w:val="00EA6E2C"/>
    <w:rsid w:val="00EB45C7"/>
    <w:rsid w:val="00EC71A2"/>
    <w:rsid w:val="00EE0A5E"/>
    <w:rsid w:val="00EE498C"/>
    <w:rsid w:val="00EE5019"/>
    <w:rsid w:val="00EF50AC"/>
    <w:rsid w:val="00EF644C"/>
    <w:rsid w:val="00EF66CA"/>
    <w:rsid w:val="00F00E4D"/>
    <w:rsid w:val="00F03FF2"/>
    <w:rsid w:val="00F14916"/>
    <w:rsid w:val="00F248BD"/>
    <w:rsid w:val="00F37543"/>
    <w:rsid w:val="00F5063A"/>
    <w:rsid w:val="00F51FE0"/>
    <w:rsid w:val="00F520A5"/>
    <w:rsid w:val="00F52548"/>
    <w:rsid w:val="00F56E9F"/>
    <w:rsid w:val="00F609F0"/>
    <w:rsid w:val="00F7462C"/>
    <w:rsid w:val="00F777B3"/>
    <w:rsid w:val="00F77E7C"/>
    <w:rsid w:val="00F85E84"/>
    <w:rsid w:val="00F863A6"/>
    <w:rsid w:val="00F918ED"/>
    <w:rsid w:val="00F94898"/>
    <w:rsid w:val="00FA5AA7"/>
    <w:rsid w:val="00FA7352"/>
    <w:rsid w:val="00FC1A32"/>
    <w:rsid w:val="00FC49E4"/>
    <w:rsid w:val="00FC5243"/>
    <w:rsid w:val="00FD4687"/>
    <w:rsid w:val="00FD632E"/>
    <w:rsid w:val="00FD78FF"/>
    <w:rsid w:val="00FE1D6F"/>
    <w:rsid w:val="00FE4684"/>
    <w:rsid w:val="00FE5A5B"/>
    <w:rsid w:val="00FF244E"/>
    <w:rsid w:val="00FF25F3"/>
    <w:rsid w:val="00FF436F"/>
    <w:rsid w:val="00FF6577"/>
    <w:rsid w:val="00FF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08BD81-71C3-47CD-8D37-76D9A9C86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070"/>
    <w:rPr>
      <w:lang w:val="en-ZA"/>
    </w:rPr>
  </w:style>
  <w:style w:type="paragraph" w:styleId="Heading1">
    <w:name w:val="heading 1"/>
    <w:basedOn w:val="Normal"/>
    <w:next w:val="Normal"/>
    <w:link w:val="Heading1Char"/>
    <w:uiPriority w:val="9"/>
    <w:qFormat/>
    <w:rsid w:val="00CD4F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6CB5"/>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26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CB5"/>
    <w:rPr>
      <w:lang w:val="en-ZA"/>
    </w:rPr>
  </w:style>
  <w:style w:type="paragraph" w:styleId="ListParagraph">
    <w:name w:val="List Paragraph"/>
    <w:basedOn w:val="Normal"/>
    <w:uiPriority w:val="34"/>
    <w:qFormat/>
    <w:rsid w:val="00D26CB5"/>
    <w:pPr>
      <w:ind w:left="720"/>
      <w:contextualSpacing/>
    </w:pPr>
  </w:style>
  <w:style w:type="paragraph" w:customStyle="1" w:styleId="form-control-static">
    <w:name w:val="form-control-static"/>
    <w:basedOn w:val="Normal"/>
    <w:rsid w:val="00D26CB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26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CB5"/>
    <w:rPr>
      <w:lang w:val="en-ZA"/>
    </w:rPr>
  </w:style>
  <w:style w:type="paragraph" w:styleId="FootnoteText">
    <w:name w:val="footnote text"/>
    <w:basedOn w:val="Normal"/>
    <w:link w:val="FootnoteTextChar"/>
    <w:uiPriority w:val="99"/>
    <w:unhideWhenUsed/>
    <w:rsid w:val="00D01890"/>
    <w:pPr>
      <w:spacing w:after="0" w:line="240" w:lineRule="auto"/>
    </w:pPr>
    <w:rPr>
      <w:sz w:val="20"/>
      <w:szCs w:val="20"/>
    </w:rPr>
  </w:style>
  <w:style w:type="character" w:customStyle="1" w:styleId="FootnoteTextChar">
    <w:name w:val="Footnote Text Char"/>
    <w:basedOn w:val="DefaultParagraphFont"/>
    <w:link w:val="FootnoteText"/>
    <w:uiPriority w:val="99"/>
    <w:rsid w:val="00D01890"/>
    <w:rPr>
      <w:sz w:val="20"/>
      <w:szCs w:val="20"/>
      <w:lang w:val="en-ZA"/>
    </w:rPr>
  </w:style>
  <w:style w:type="character" w:styleId="FootnoteReference">
    <w:name w:val="footnote reference"/>
    <w:basedOn w:val="DefaultParagraphFont"/>
    <w:uiPriority w:val="99"/>
    <w:unhideWhenUsed/>
    <w:rsid w:val="00D01890"/>
    <w:rPr>
      <w:vertAlign w:val="superscript"/>
    </w:rPr>
  </w:style>
  <w:style w:type="paragraph" w:styleId="BalloonText">
    <w:name w:val="Balloon Text"/>
    <w:basedOn w:val="Normal"/>
    <w:link w:val="BalloonTextChar"/>
    <w:uiPriority w:val="99"/>
    <w:semiHidden/>
    <w:unhideWhenUsed/>
    <w:rsid w:val="00911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4FF"/>
    <w:rPr>
      <w:rFonts w:ascii="Segoe UI" w:hAnsi="Segoe UI" w:cs="Segoe UI"/>
      <w:sz w:val="18"/>
      <w:szCs w:val="18"/>
      <w:lang w:val="en-ZA"/>
    </w:rPr>
  </w:style>
  <w:style w:type="character" w:customStyle="1" w:styleId="Heading1Char">
    <w:name w:val="Heading 1 Char"/>
    <w:basedOn w:val="DefaultParagraphFont"/>
    <w:link w:val="Heading1"/>
    <w:uiPriority w:val="9"/>
    <w:rsid w:val="00CD4FFF"/>
    <w:rPr>
      <w:rFonts w:asciiTheme="majorHAnsi" w:eastAsiaTheme="majorEastAsia" w:hAnsiTheme="majorHAnsi" w:cstheme="majorBidi"/>
      <w:color w:val="2E74B5" w:themeColor="accent1" w:themeShade="BF"/>
      <w:sz w:val="32"/>
      <w:szCs w:val="32"/>
      <w:lang w:val="en-ZA"/>
    </w:rPr>
  </w:style>
  <w:style w:type="paragraph" w:customStyle="1" w:styleId="Style7">
    <w:name w:val="Style7"/>
    <w:basedOn w:val="Normal"/>
    <w:uiPriority w:val="99"/>
    <w:rsid w:val="001034A5"/>
    <w:pPr>
      <w:widowControl w:val="0"/>
      <w:autoSpaceDE w:val="0"/>
      <w:autoSpaceDN w:val="0"/>
      <w:adjustRightInd w:val="0"/>
      <w:spacing w:after="0" w:line="648" w:lineRule="exact"/>
      <w:ind w:hanging="696"/>
      <w:jc w:val="both"/>
    </w:pPr>
    <w:rPr>
      <w:rFonts w:ascii="Arial" w:eastAsiaTheme="minorEastAsia" w:hAnsi="Arial" w:cs="Arial"/>
      <w:sz w:val="24"/>
      <w:szCs w:val="24"/>
      <w:lang w:val="en-US"/>
    </w:rPr>
  </w:style>
  <w:style w:type="paragraph" w:customStyle="1" w:styleId="Style8">
    <w:name w:val="Style8"/>
    <w:basedOn w:val="Normal"/>
    <w:uiPriority w:val="99"/>
    <w:rsid w:val="001034A5"/>
    <w:pPr>
      <w:widowControl w:val="0"/>
      <w:autoSpaceDE w:val="0"/>
      <w:autoSpaceDN w:val="0"/>
      <w:adjustRightInd w:val="0"/>
      <w:spacing w:after="0" w:line="648" w:lineRule="exact"/>
      <w:jc w:val="both"/>
    </w:pPr>
    <w:rPr>
      <w:rFonts w:ascii="Arial" w:eastAsiaTheme="minorEastAsia" w:hAnsi="Arial" w:cs="Arial"/>
      <w:sz w:val="24"/>
      <w:szCs w:val="24"/>
      <w:lang w:val="en-US"/>
    </w:rPr>
  </w:style>
  <w:style w:type="character" w:customStyle="1" w:styleId="FontStyle20">
    <w:name w:val="Font Style20"/>
    <w:basedOn w:val="DefaultParagraphFont"/>
    <w:uiPriority w:val="99"/>
    <w:rsid w:val="001034A5"/>
    <w:rPr>
      <w:rFonts w:ascii="Arial" w:hAnsi="Arial" w:cs="Arial"/>
      <w:sz w:val="26"/>
      <w:szCs w:val="26"/>
    </w:rPr>
  </w:style>
  <w:style w:type="character" w:customStyle="1" w:styleId="FontStyle21">
    <w:name w:val="Font Style21"/>
    <w:basedOn w:val="DefaultParagraphFont"/>
    <w:uiPriority w:val="99"/>
    <w:rsid w:val="001034A5"/>
    <w:rPr>
      <w:rFonts w:ascii="Arial" w:hAnsi="Arial" w:cs="Arial"/>
      <w:i/>
      <w:iCs/>
      <w:sz w:val="26"/>
      <w:szCs w:val="26"/>
    </w:rPr>
  </w:style>
  <w:style w:type="paragraph" w:customStyle="1" w:styleId="Style9">
    <w:name w:val="Style9"/>
    <w:basedOn w:val="Normal"/>
    <w:uiPriority w:val="99"/>
    <w:rsid w:val="001034A5"/>
    <w:pPr>
      <w:widowControl w:val="0"/>
      <w:autoSpaceDE w:val="0"/>
      <w:autoSpaceDN w:val="0"/>
      <w:adjustRightInd w:val="0"/>
      <w:spacing w:after="0" w:line="648" w:lineRule="exact"/>
      <w:jc w:val="both"/>
    </w:pPr>
    <w:rPr>
      <w:rFonts w:ascii="Arial" w:eastAsiaTheme="minorEastAsia" w:hAnsi="Arial" w:cs="Arial"/>
      <w:sz w:val="24"/>
      <w:szCs w:val="24"/>
      <w:lang w:val="en-US"/>
    </w:rPr>
  </w:style>
  <w:style w:type="paragraph" w:styleId="NormalWeb">
    <w:name w:val="Normal (Web)"/>
    <w:basedOn w:val="Normal"/>
    <w:uiPriority w:val="99"/>
    <w:unhideWhenUsed/>
    <w:rsid w:val="00556F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56F1A"/>
    <w:rPr>
      <w:i/>
      <w:iCs/>
    </w:rPr>
  </w:style>
  <w:style w:type="character" w:styleId="Strong">
    <w:name w:val="Strong"/>
    <w:basedOn w:val="DefaultParagraphFont"/>
    <w:uiPriority w:val="22"/>
    <w:qFormat/>
    <w:rsid w:val="00556F1A"/>
    <w:rPr>
      <w:b/>
      <w:bCs/>
    </w:rPr>
  </w:style>
  <w:style w:type="paragraph" w:styleId="BodyText">
    <w:name w:val="Body Text"/>
    <w:basedOn w:val="Normal"/>
    <w:link w:val="BodyTextChar"/>
    <w:rsid w:val="004A779D"/>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4A779D"/>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63704">
      <w:bodyDiv w:val="1"/>
      <w:marLeft w:val="0"/>
      <w:marRight w:val="0"/>
      <w:marTop w:val="0"/>
      <w:marBottom w:val="0"/>
      <w:divBdr>
        <w:top w:val="none" w:sz="0" w:space="0" w:color="auto"/>
        <w:left w:val="none" w:sz="0" w:space="0" w:color="auto"/>
        <w:bottom w:val="none" w:sz="0" w:space="0" w:color="auto"/>
        <w:right w:val="none" w:sz="0" w:space="0" w:color="auto"/>
      </w:divBdr>
    </w:div>
    <w:div w:id="209663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2019-07-25T18:30:00+00:00</Judgment_x0020_Date>
    <Year xmlns="c1afb1bd-f2fb-40fd-9abb-aea55b4d7662">2019</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13CEF-6621-43E5-9329-8DA811B88728}"/>
</file>

<file path=customXml/itemProps2.xml><?xml version="1.0" encoding="utf-8"?>
<ds:datastoreItem xmlns:ds="http://schemas.openxmlformats.org/officeDocument/2006/customXml" ds:itemID="{EB2BD259-7DAA-432C-9524-00FD6B4C9AFD}"/>
</file>

<file path=customXml/itemProps3.xml><?xml version="1.0" encoding="utf-8"?>
<ds:datastoreItem xmlns:ds="http://schemas.openxmlformats.org/officeDocument/2006/customXml" ds:itemID="{9779A5C8-9972-4239-99D6-01AAB005E636}"/>
</file>

<file path=customXml/itemProps4.xml><?xml version="1.0" encoding="utf-8"?>
<ds:datastoreItem xmlns:ds="http://schemas.openxmlformats.org/officeDocument/2006/customXml" ds:itemID="{049845B0-2067-4DE0-9E5A-5540497181AF}"/>
</file>

<file path=docProps/app.xml><?xml version="1.0" encoding="utf-8"?>
<Properties xmlns="http://schemas.openxmlformats.org/officeDocument/2006/extended-properties" xmlns:vt="http://schemas.openxmlformats.org/officeDocument/2006/docPropsVTypes">
  <Template>Normal</Template>
  <TotalTime>0</TotalTime>
  <Pages>8</Pages>
  <Words>2772</Words>
  <Characters>15806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Mbeurora Karamata</dc:creator>
  <cp:keywords/>
  <dc:description/>
  <cp:lastModifiedBy>Lotta N. Ambunda</cp:lastModifiedBy>
  <cp:revision>2</cp:revision>
  <cp:lastPrinted>2019-07-26T12:55:00Z</cp:lastPrinted>
  <dcterms:created xsi:type="dcterms:W3CDTF">2019-07-31T09:32:00Z</dcterms:created>
  <dcterms:modified xsi:type="dcterms:W3CDTF">2019-07-31T09:32:00Z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