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B4" w:rsidRPr="006E026B" w:rsidRDefault="005D39B4" w:rsidP="005D39B4">
      <w:pPr>
        <w:spacing w:line="360" w:lineRule="auto"/>
        <w:jc w:val="center"/>
        <w:rPr>
          <w:rFonts w:ascii="Arial" w:hAnsi="Arial" w:cs="Arial"/>
          <w:b/>
        </w:rPr>
      </w:pPr>
      <w:r w:rsidRPr="006E026B">
        <w:rPr>
          <w:rFonts w:ascii="Arial" w:hAnsi="Arial" w:cs="Arial"/>
          <w:b/>
        </w:rPr>
        <w:t>REPUBLIC OF NAMIBIA</w:t>
      </w:r>
    </w:p>
    <w:p w:rsidR="005D39B4" w:rsidRDefault="000372D5" w:rsidP="005D39B4">
      <w:pPr>
        <w:spacing w:line="360" w:lineRule="auto"/>
        <w:jc w:val="center"/>
        <w:rPr>
          <w:b/>
          <w:sz w:val="32"/>
          <w:szCs w:val="32"/>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60960</wp:posOffset>
                </wp:positionV>
                <wp:extent cx="17907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FFFFFF"/>
                          </a:solidFill>
                          <a:miter lim="800000"/>
                          <a:headEnd/>
                          <a:tailEnd/>
                        </a:ln>
                      </wps:spPr>
                      <wps:txbx>
                        <w:txbxContent>
                          <w:p w:rsidR="00EA11DA" w:rsidRDefault="00EA11DA" w:rsidP="007476CB">
                            <w:pPr>
                              <w:jc w:val="right"/>
                              <w:rPr>
                                <w:rFonts w:ascii="Arial" w:hAnsi="Arial" w:cs="Arial"/>
                              </w:rPr>
                            </w:pPr>
                            <w:r>
                              <w:rPr>
                                <w:rFonts w:ascii="Arial" w:hAnsi="Arial" w:cs="Arial"/>
                              </w:rPr>
                              <w:t>NOT REPORTABLE</w:t>
                            </w:r>
                          </w:p>
                          <w:p w:rsidR="00EA11DA" w:rsidRPr="005D39B4" w:rsidRDefault="00EA11DA" w:rsidP="007476CB">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4.8pt;width:14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dqJAIAAFAEAAAOAAAAZHJzL2Uyb0RvYy54bWysVFFv2yAQfp+0/4B4X+xYSdNYcaouXaZJ&#10;XTep3Q/AGNtowDEgsbtfvwOnWdS9VfMD4jj47u777ry5GbUiR+G8BFPR+SynRBgOjTRdRX887T9c&#10;U+IDMw1TYERFn4WnN9v37zaDLUUBPahGOIIgxpeDrWgfgi2zzPNeaOZnYIVBZwtOs4Cm67LGsQHR&#10;tcqKPL/KBnCNdcCF93h6NznpNuG3reDhW9t6EYiqKOYW0urSWsc1225Y2Tlme8lPabA3ZKGZNBj0&#10;DHXHAiMHJ/+B0pI78NCGGQedQdtKLlINWM08f1XNY8+sSLUgOd6eafL/D5Y/HL87IpuKFpQYplGi&#10;JzEG8hFGUkR2ButLvPRo8VoY8RhVTpV6ew/8pycGdj0znbh1DoZesAazm8eX2cXTCcdHkHr4Cg2G&#10;YYcACWhsnY7UIRkE0VGl57MyMRUeQ67W+SpHF0dfsVhdLZN0GStfXlvnw2cBmsRNRR0qn9DZ8d6H&#10;mA0rX67EYB6UbPZSqWS4rt4pR44Mu2SfvlTAq2vKkKGi62WxnAh4A4SWAdtdSV3R6zx+UwNG2j6Z&#10;JjVjYFJNe0xZmROPkbqJxDDW40mXGppnZNTB1NY4hrjpwf2mZMCWrqj/dWBOUKK+GFRlPV8s4gwk&#10;Y7FcFWi4S0996WGGI1RFAyXTdhemuTlYJ7seI019YOAWlWxlIjlKPmV1yhvbNnF/GrE4F5d2uvX3&#10;R7D9AwAA//8DAFBLAwQUAAYACAAAACEA/S79GN0AAAAIAQAADwAAAGRycy9kb3ducmV2LnhtbEyP&#10;wU7DMBBE70j8g7WVuCDqYJWoDdlUVQXi3JYLNzfeJlHjdRK7TcrXY05wHM1o5k2+nmwrrjT4xjHC&#10;8zwBQVw603CF8Hl4f1qC8EGz0a1jQriRh3Vxf5frzLiRd3Tdh0rEEvaZRqhD6DIpfVmT1X7uOuLo&#10;ndxgdYhyqKQZ9BjLbStVkqTS6objQq072tZUnvcXi+DGt5t11Cfq8evbfmw3/e6kesSH2bR5BRFo&#10;Cn9h+MWP6FBEpqO7sPGiRUgXyUuMIqxSENFfKRX1EWGxTEEWufx/oPgBAAD//wMAUEsBAi0AFAAG&#10;AAgAAAAhALaDOJL+AAAA4QEAABMAAAAAAAAAAAAAAAAAAAAAAFtDb250ZW50X1R5cGVzXS54bWxQ&#10;SwECLQAUAAYACAAAACEAOP0h/9YAAACUAQAACwAAAAAAAAAAAAAAAAAvAQAAX3JlbHMvLnJlbHNQ&#10;SwECLQAUAAYACAAAACEALUM3aiQCAABQBAAADgAAAAAAAAAAAAAAAAAuAgAAZHJzL2Uyb0RvYy54&#10;bWxQSwECLQAUAAYACAAAACEA/S79GN0AAAAIAQAADwAAAAAAAAAAAAAAAAB+BAAAZHJzL2Rvd25y&#10;ZXYueG1sUEsFBgAAAAAEAAQA8wAAAIgFAAAAAA==&#10;" strokecolor="white">
                <v:textbox>
                  <w:txbxContent>
                    <w:p w:rsidR="00EA11DA" w:rsidRDefault="00EA11DA" w:rsidP="007476CB">
                      <w:pPr>
                        <w:jc w:val="right"/>
                        <w:rPr>
                          <w:rFonts w:ascii="Arial" w:hAnsi="Arial" w:cs="Arial"/>
                        </w:rPr>
                      </w:pPr>
                      <w:r>
                        <w:rPr>
                          <w:rFonts w:ascii="Arial" w:hAnsi="Arial" w:cs="Arial"/>
                        </w:rPr>
                        <w:t>NOT REPORTABLE</w:t>
                      </w:r>
                    </w:p>
                    <w:p w:rsidR="00EA11DA" w:rsidRPr="005D39B4" w:rsidRDefault="00EA11DA" w:rsidP="007476CB">
                      <w:pPr>
                        <w:jc w:val="right"/>
                        <w:rPr>
                          <w:rFonts w:ascii="Arial" w:hAnsi="Arial" w:cs="Arial"/>
                        </w:rPr>
                      </w:pPr>
                    </w:p>
                  </w:txbxContent>
                </v:textbox>
              </v:shape>
            </w:pict>
          </mc:Fallback>
        </mc:AlternateContent>
      </w:r>
      <w:r w:rsidRPr="00552306">
        <w:rPr>
          <w:b/>
          <w:noProof/>
          <w:sz w:val="32"/>
          <w:szCs w:val="32"/>
        </w:rPr>
        <w:drawing>
          <wp:inline distT="0" distB="0" distL="0" distR="0">
            <wp:extent cx="1269365" cy="132397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1323975"/>
                    </a:xfrm>
                    <a:prstGeom prst="rect">
                      <a:avLst/>
                    </a:prstGeom>
                    <a:noFill/>
                    <a:ln>
                      <a:noFill/>
                    </a:ln>
                  </pic:spPr>
                </pic:pic>
              </a:graphicData>
            </a:graphic>
          </wp:inline>
        </w:drawing>
      </w:r>
    </w:p>
    <w:p w:rsidR="005D39B4" w:rsidRPr="006E026B" w:rsidRDefault="005D39B4" w:rsidP="005D39B4">
      <w:pPr>
        <w:spacing w:line="360" w:lineRule="auto"/>
        <w:jc w:val="center"/>
        <w:rPr>
          <w:rFonts w:ascii="Arial" w:hAnsi="Arial" w:cs="Arial"/>
          <w:bCs/>
        </w:rPr>
      </w:pPr>
      <w:r w:rsidRPr="006E026B">
        <w:rPr>
          <w:rFonts w:ascii="Arial" w:hAnsi="Arial" w:cs="Arial"/>
          <w:b/>
        </w:rPr>
        <w:t>HIGH COURT OF NAMIBIA MAIN DIVISION, WINDHOEK</w:t>
      </w:r>
    </w:p>
    <w:p w:rsidR="005D39B4" w:rsidRPr="005C41E7" w:rsidRDefault="005D39B4" w:rsidP="005D39B4">
      <w:pPr>
        <w:spacing w:line="360" w:lineRule="auto"/>
        <w:jc w:val="center"/>
        <w:rPr>
          <w:rFonts w:ascii="Arial" w:hAnsi="Arial" w:cs="Arial"/>
          <w:b/>
          <w:sz w:val="10"/>
          <w:szCs w:val="10"/>
        </w:rPr>
      </w:pPr>
    </w:p>
    <w:p w:rsidR="005D39B4" w:rsidRDefault="005D39B4" w:rsidP="005D39B4">
      <w:pPr>
        <w:spacing w:line="360" w:lineRule="auto"/>
        <w:jc w:val="center"/>
        <w:rPr>
          <w:rFonts w:ascii="Arial" w:hAnsi="Arial" w:cs="Arial"/>
          <w:b/>
        </w:rPr>
      </w:pPr>
      <w:r w:rsidRPr="006E026B">
        <w:rPr>
          <w:rFonts w:ascii="Arial" w:hAnsi="Arial" w:cs="Arial"/>
          <w:b/>
        </w:rPr>
        <w:t>JUDGMENT</w:t>
      </w:r>
    </w:p>
    <w:p w:rsidR="005D39B4" w:rsidRPr="003215AD" w:rsidRDefault="005D39B4" w:rsidP="005D39B4">
      <w:pPr>
        <w:spacing w:line="360" w:lineRule="auto"/>
        <w:jc w:val="both"/>
        <w:rPr>
          <w:rFonts w:ascii="Arial" w:hAnsi="Arial" w:cs="Arial"/>
          <w:b/>
          <w:sz w:val="20"/>
          <w:szCs w:val="20"/>
        </w:rPr>
      </w:pP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A32447">
        <w:rPr>
          <w:rFonts w:ascii="Arial" w:hAnsi="Arial" w:cs="Arial"/>
          <w:lang w:val="en-ZA"/>
        </w:rPr>
        <w:t xml:space="preserve"> 15</w:t>
      </w:r>
      <w:r w:rsidR="005C2A66" w:rsidRPr="006B344C">
        <w:rPr>
          <w:rFonts w:ascii="Arial" w:hAnsi="Arial" w:cs="Arial"/>
          <w:lang w:val="en-ZA"/>
        </w:rPr>
        <w:t>/201</w:t>
      </w:r>
      <w:r w:rsidR="00A32447">
        <w:rPr>
          <w:rFonts w:ascii="Arial" w:hAnsi="Arial" w:cs="Arial"/>
          <w:lang w:val="en-ZA"/>
        </w:rPr>
        <w:t>7</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4F2585" w:rsidP="006B344C">
      <w:pPr>
        <w:spacing w:line="360" w:lineRule="auto"/>
        <w:jc w:val="both"/>
        <w:rPr>
          <w:rFonts w:ascii="Arial" w:hAnsi="Arial" w:cs="Arial"/>
          <w:b/>
          <w:lang w:val="en-ZA"/>
        </w:rPr>
      </w:pPr>
      <w:r>
        <w:rPr>
          <w:rFonts w:ascii="Arial" w:hAnsi="Arial" w:cs="Arial"/>
          <w:b/>
          <w:lang w:val="en-ZA"/>
        </w:rPr>
        <w:t>LUKAS NEPELA NIC</w:t>
      </w:r>
      <w:r w:rsidR="00A32447">
        <w:rPr>
          <w:rFonts w:ascii="Arial" w:hAnsi="Arial" w:cs="Arial"/>
          <w:b/>
          <w:lang w:val="en-ZA"/>
        </w:rPr>
        <w:t>ODEMUS</w:t>
      </w:r>
      <w:r w:rsidR="00A32447">
        <w:rPr>
          <w:rFonts w:ascii="Arial" w:hAnsi="Arial" w:cs="Arial"/>
          <w:b/>
          <w:lang w:val="en-ZA"/>
        </w:rPr>
        <w:tab/>
      </w:r>
      <w:r w:rsidR="00A32447">
        <w:rPr>
          <w:rFonts w:ascii="Arial" w:hAnsi="Arial" w:cs="Arial"/>
          <w:b/>
          <w:lang w:val="en-ZA"/>
        </w:rPr>
        <w:tab/>
      </w:r>
      <w:r w:rsidR="00A32447">
        <w:rPr>
          <w:rFonts w:ascii="Arial" w:hAnsi="Arial" w:cs="Arial"/>
          <w:b/>
          <w:lang w:val="en-ZA"/>
        </w:rPr>
        <w:tab/>
      </w:r>
      <w:r w:rsidR="00A32447">
        <w:rPr>
          <w:rFonts w:ascii="Arial" w:hAnsi="Arial" w:cs="Arial"/>
          <w:b/>
          <w:lang w:val="en-ZA"/>
        </w:rPr>
        <w:tab/>
      </w:r>
      <w:r w:rsidR="00A32447">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bookmarkStart w:id="0" w:name="_GoBack"/>
      <w:r w:rsidR="00A32447">
        <w:rPr>
          <w:rFonts w:ascii="Arial" w:hAnsi="Arial" w:cs="Arial"/>
          <w:i/>
          <w:lang w:val="en-ZA"/>
        </w:rPr>
        <w:t>S</w:t>
      </w:r>
      <w:r w:rsidR="001B0ADC" w:rsidRPr="006B344C">
        <w:rPr>
          <w:rFonts w:ascii="Arial" w:hAnsi="Arial" w:cs="Arial"/>
          <w:i/>
          <w:lang w:val="en-ZA"/>
        </w:rPr>
        <w:t xml:space="preserve"> v </w:t>
      </w:r>
      <w:r w:rsidR="00BD09FD">
        <w:rPr>
          <w:rFonts w:ascii="Arial" w:hAnsi="Arial" w:cs="Arial"/>
          <w:i/>
          <w:lang w:val="en-ZA"/>
        </w:rPr>
        <w:t>Nic</w:t>
      </w:r>
      <w:r w:rsidR="00A32447">
        <w:rPr>
          <w:rFonts w:ascii="Arial" w:hAnsi="Arial" w:cs="Arial"/>
          <w:i/>
          <w:lang w:val="en-ZA"/>
        </w:rPr>
        <w:t>odemus</w:t>
      </w:r>
      <w:r w:rsidR="00457DD2">
        <w:rPr>
          <w:rFonts w:ascii="Arial" w:hAnsi="Arial" w:cs="Arial"/>
          <w:lang w:val="en-ZA"/>
        </w:rPr>
        <w:t xml:space="preserve"> </w:t>
      </w:r>
      <w:r w:rsidR="00A32447">
        <w:rPr>
          <w:rFonts w:ascii="Arial" w:hAnsi="Arial" w:cs="Arial"/>
          <w:lang w:val="en-ZA"/>
        </w:rPr>
        <w:t>(CC 15</w:t>
      </w:r>
      <w:r w:rsidR="00A542DC">
        <w:rPr>
          <w:rFonts w:ascii="Arial" w:hAnsi="Arial" w:cs="Arial"/>
          <w:lang w:val="en-ZA"/>
        </w:rPr>
        <w:t>/2017</w:t>
      </w:r>
      <w:r w:rsidR="0028196B">
        <w:rPr>
          <w:rFonts w:ascii="Arial" w:hAnsi="Arial" w:cs="Arial"/>
          <w:lang w:val="en-ZA"/>
        </w:rPr>
        <w:t xml:space="preserve">) </w:t>
      </w:r>
      <w:r w:rsidR="00087DD2">
        <w:rPr>
          <w:rFonts w:ascii="Arial" w:hAnsi="Arial" w:cs="Arial"/>
          <w:lang w:val="en-ZA"/>
        </w:rPr>
        <w:t>[2019</w:t>
      </w:r>
      <w:r w:rsidR="00C86ACA">
        <w:rPr>
          <w:rFonts w:ascii="Arial" w:hAnsi="Arial" w:cs="Arial"/>
          <w:lang w:val="en-ZA"/>
        </w:rPr>
        <w:t>] NAHCMD</w:t>
      </w:r>
      <w:r w:rsidR="00452B7D">
        <w:rPr>
          <w:rFonts w:ascii="Arial" w:hAnsi="Arial" w:cs="Arial"/>
          <w:lang w:val="en-ZA"/>
        </w:rPr>
        <w:t xml:space="preserve"> 271</w:t>
      </w:r>
      <w:r w:rsidR="00427112">
        <w:rPr>
          <w:rFonts w:ascii="Arial" w:hAnsi="Arial" w:cs="Arial"/>
          <w:lang w:val="en-ZA"/>
        </w:rPr>
        <w:t xml:space="preserve"> </w:t>
      </w:r>
      <w:r w:rsidR="00087DD2">
        <w:rPr>
          <w:rFonts w:ascii="Arial" w:hAnsi="Arial" w:cs="Arial"/>
          <w:lang w:val="en-ZA"/>
        </w:rPr>
        <w:t>(06</w:t>
      </w:r>
      <w:r w:rsidR="000050DA" w:rsidRPr="006B344C">
        <w:rPr>
          <w:rFonts w:ascii="Arial" w:hAnsi="Arial" w:cs="Arial"/>
          <w:lang w:val="en-ZA"/>
        </w:rPr>
        <w:t xml:space="preserve"> </w:t>
      </w:r>
      <w:r w:rsidR="00087DD2">
        <w:rPr>
          <w:rFonts w:ascii="Arial" w:hAnsi="Arial" w:cs="Arial"/>
          <w:lang w:val="en-ZA"/>
        </w:rPr>
        <w:t>August 2019</w:t>
      </w:r>
      <w:r w:rsidR="000050DA" w:rsidRPr="006B344C">
        <w:rPr>
          <w:rFonts w:ascii="Arial" w:hAnsi="Arial" w:cs="Arial"/>
          <w:lang w:val="en-ZA"/>
        </w:rPr>
        <w:t>)</w:t>
      </w:r>
    </w:p>
    <w:bookmarkEnd w:id="0"/>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E118BE"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E118BE">
        <w:rPr>
          <w:rFonts w:ascii="Arial" w:hAnsi="Arial" w:cs="Arial"/>
          <w:lang w:val="en-ZA"/>
        </w:rPr>
        <w:t>22 October; 25-26 October; 07-08 November</w:t>
      </w:r>
      <w:r w:rsidR="00A542DC">
        <w:rPr>
          <w:rFonts w:ascii="Arial" w:hAnsi="Arial" w:cs="Arial"/>
          <w:lang w:val="en-ZA"/>
        </w:rPr>
        <w:t xml:space="preserve"> 2018</w:t>
      </w:r>
      <w:r w:rsidR="00E118BE">
        <w:rPr>
          <w:rFonts w:ascii="Arial" w:hAnsi="Arial" w:cs="Arial"/>
          <w:lang w:val="en-ZA"/>
        </w:rPr>
        <w:t xml:space="preserve">; </w:t>
      </w:r>
    </w:p>
    <w:p w:rsidR="009B5ACD" w:rsidRDefault="00E118BE" w:rsidP="00E118BE">
      <w:pPr>
        <w:spacing w:line="360" w:lineRule="auto"/>
        <w:ind w:left="1440"/>
        <w:jc w:val="both"/>
        <w:rPr>
          <w:rFonts w:ascii="Arial" w:hAnsi="Arial" w:cs="Arial"/>
          <w:lang w:val="en-ZA"/>
        </w:rPr>
      </w:pPr>
      <w:r>
        <w:rPr>
          <w:rFonts w:ascii="Arial" w:hAnsi="Arial" w:cs="Arial"/>
          <w:lang w:val="en-ZA"/>
        </w:rPr>
        <w:t>23-26 April; 29-30 April; 06 May; 08 May; 22 May; 10 June and 29 July 2019.</w:t>
      </w:r>
    </w:p>
    <w:p w:rsidR="008E6998" w:rsidRPr="00457DD2" w:rsidRDefault="008E6998" w:rsidP="00E118BE">
      <w:pPr>
        <w:spacing w:line="360" w:lineRule="auto"/>
        <w:ind w:left="1440"/>
        <w:jc w:val="both"/>
        <w:rPr>
          <w:rFonts w:ascii="Arial" w:hAnsi="Arial" w:cs="Arial"/>
          <w:lang w:val="en-ZA"/>
        </w:rPr>
      </w:pP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087DD2">
        <w:rPr>
          <w:rFonts w:ascii="Arial" w:hAnsi="Arial" w:cs="Arial"/>
          <w:lang w:val="en-ZA"/>
        </w:rPr>
        <w:t>06 August 2019</w:t>
      </w:r>
    </w:p>
    <w:p w:rsidR="001B0ADC" w:rsidRPr="006B344C" w:rsidRDefault="001B0ADC" w:rsidP="006B344C">
      <w:pPr>
        <w:spacing w:line="360" w:lineRule="auto"/>
        <w:jc w:val="both"/>
        <w:rPr>
          <w:rFonts w:ascii="Arial" w:hAnsi="Arial" w:cs="Arial"/>
          <w:lang w:val="en-ZA"/>
        </w:rPr>
      </w:pPr>
    </w:p>
    <w:p w:rsidR="002F4DBB" w:rsidRDefault="002F4DBB" w:rsidP="002F4DBB">
      <w:pPr>
        <w:spacing w:line="360" w:lineRule="auto"/>
        <w:jc w:val="both"/>
        <w:rPr>
          <w:rFonts w:ascii="Arial" w:hAnsi="Arial" w:cs="Arial"/>
          <w:lang w:val="en-ZA"/>
        </w:rPr>
      </w:pPr>
      <w:r w:rsidRPr="006B344C">
        <w:rPr>
          <w:rFonts w:ascii="Arial" w:hAnsi="Arial" w:cs="Arial"/>
          <w:b/>
          <w:lang w:val="en-ZA"/>
        </w:rPr>
        <w:t>Flynote:</w:t>
      </w:r>
      <w:r w:rsidRPr="006B344C">
        <w:rPr>
          <w:rFonts w:ascii="Arial" w:hAnsi="Arial" w:cs="Arial"/>
          <w:b/>
          <w:lang w:val="en-ZA"/>
        </w:rPr>
        <w:tab/>
      </w:r>
      <w:r>
        <w:rPr>
          <w:rFonts w:ascii="Arial" w:hAnsi="Arial" w:cs="Arial"/>
          <w:lang w:val="en-ZA"/>
        </w:rPr>
        <w:t xml:space="preserve">Criminal Procedure – Deviation from the witness statement – Deviation only material where differences exist between statement and oral testimony – Witness statements are taken for purpose of obtaining details of </w:t>
      </w:r>
      <w:r>
        <w:rPr>
          <w:rFonts w:ascii="Arial" w:hAnsi="Arial" w:cs="Arial"/>
          <w:lang w:val="en-ZA"/>
        </w:rPr>
        <w:lastRenderedPageBreak/>
        <w:t xml:space="preserve">alleged offence and not for testimony in court – Witness statement is a </w:t>
      </w:r>
      <w:r>
        <w:rPr>
          <w:rFonts w:ascii="Arial" w:hAnsi="Arial" w:cs="Arial"/>
        </w:rPr>
        <w:t>summary of observations and not intended to be all-inclusive.</w:t>
      </w:r>
      <w:r w:rsidRPr="006B344C" w:rsidDel="00A7782E">
        <w:rPr>
          <w:rFonts w:ascii="Arial" w:hAnsi="Arial" w:cs="Arial"/>
          <w:lang w:val="en-ZA"/>
        </w:rPr>
        <w:t xml:space="preserve"> </w:t>
      </w:r>
    </w:p>
    <w:p w:rsidR="002F4DBB" w:rsidRDefault="002F4DBB" w:rsidP="002F4DBB">
      <w:pPr>
        <w:spacing w:line="360" w:lineRule="auto"/>
        <w:jc w:val="both"/>
        <w:rPr>
          <w:rFonts w:ascii="Arial" w:hAnsi="Arial" w:cs="Arial"/>
          <w:lang w:val="en-ZA"/>
        </w:rPr>
      </w:pPr>
    </w:p>
    <w:p w:rsidR="002F4DBB" w:rsidRPr="00662162" w:rsidRDefault="002F4DBB" w:rsidP="002F4DBB">
      <w:pPr>
        <w:spacing w:line="360" w:lineRule="auto"/>
        <w:jc w:val="both"/>
        <w:rPr>
          <w:rFonts w:ascii="Arial" w:hAnsi="Arial" w:cs="Arial"/>
          <w:lang w:val="en-ZA"/>
        </w:rPr>
      </w:pPr>
      <w:r>
        <w:rPr>
          <w:rFonts w:ascii="Arial" w:hAnsi="Arial" w:cs="Arial"/>
          <w:lang w:val="en-ZA"/>
        </w:rPr>
        <w:t xml:space="preserve">Criminal Procedure – Circumstantial Evidence – </w:t>
      </w:r>
      <w:r>
        <w:rPr>
          <w:rFonts w:ascii="Arial" w:hAnsi="Arial" w:cs="Arial"/>
        </w:rPr>
        <w:t>Evidence must not be assessed in piece-meal but in its totality.</w:t>
      </w:r>
    </w:p>
    <w:p w:rsidR="002F4DBB" w:rsidRDefault="002F4DBB" w:rsidP="002F4DBB">
      <w:pPr>
        <w:spacing w:line="360" w:lineRule="auto"/>
        <w:jc w:val="both"/>
        <w:rPr>
          <w:rFonts w:ascii="Arial" w:hAnsi="Arial" w:cs="Arial"/>
        </w:rPr>
      </w:pPr>
    </w:p>
    <w:p w:rsidR="002F4DBB" w:rsidRDefault="002F4DBB" w:rsidP="002F4DBB">
      <w:pPr>
        <w:spacing w:line="360" w:lineRule="auto"/>
        <w:jc w:val="both"/>
        <w:rPr>
          <w:rFonts w:ascii="Arial" w:hAnsi="Arial" w:cs="Arial"/>
        </w:rPr>
      </w:pPr>
      <w:r>
        <w:rPr>
          <w:rFonts w:ascii="Arial" w:hAnsi="Arial" w:cs="Arial"/>
        </w:rPr>
        <w:t>Criminal Procedure – DNA Evidence – Expert evidence – When dealing with expert evidence, court must be satisfied that witness has the necessary expertise and competence to testify – Court must be satisfied that expert evidence is satisfactory and reliable.</w:t>
      </w:r>
    </w:p>
    <w:p w:rsidR="002F4DBB" w:rsidRDefault="002F4DBB" w:rsidP="002F4DBB">
      <w:pPr>
        <w:spacing w:line="360" w:lineRule="auto"/>
        <w:jc w:val="both"/>
        <w:rPr>
          <w:rFonts w:ascii="Arial" w:hAnsi="Arial" w:cs="Arial"/>
        </w:rPr>
      </w:pPr>
    </w:p>
    <w:p w:rsidR="002F4DBB" w:rsidRDefault="002F4DBB" w:rsidP="002F4DBB">
      <w:pPr>
        <w:spacing w:line="360" w:lineRule="auto"/>
        <w:jc w:val="both"/>
        <w:rPr>
          <w:rFonts w:ascii="Arial" w:hAnsi="Arial" w:cs="Arial"/>
        </w:rPr>
      </w:pPr>
      <w:r>
        <w:rPr>
          <w:rFonts w:ascii="Arial" w:hAnsi="Arial" w:cs="Arial"/>
        </w:rPr>
        <w:t>Constitutional Law – Fair Trial – Right to Legal Representation -  Right to remain silent -  Right to not incriminate one’s self – Question of law whether accused was aware of rights – Accused was aware of his Constitutional rights – Test is whether accused took an informed decision – Court satisfied that the accused’s Constitutional rights not infringed.</w:t>
      </w:r>
    </w:p>
    <w:p w:rsidR="002F4DBB" w:rsidRPr="006B344C" w:rsidRDefault="002F4DBB" w:rsidP="002F4DBB">
      <w:pPr>
        <w:spacing w:line="360" w:lineRule="auto"/>
        <w:jc w:val="both"/>
        <w:rPr>
          <w:rFonts w:ascii="Arial" w:hAnsi="Arial" w:cs="Arial"/>
          <w:lang w:val="en-ZA"/>
        </w:rPr>
      </w:pPr>
    </w:p>
    <w:p w:rsidR="002F4DBB" w:rsidRPr="006B344C" w:rsidRDefault="002F4DBB" w:rsidP="002F4DBB">
      <w:pPr>
        <w:spacing w:line="360" w:lineRule="auto"/>
        <w:jc w:val="both"/>
        <w:rPr>
          <w:rFonts w:ascii="Arial" w:hAnsi="Arial" w:cs="Arial"/>
          <w:lang w:val="en-ZA"/>
        </w:rPr>
      </w:pPr>
    </w:p>
    <w:p w:rsidR="002F4DBB" w:rsidRDefault="002F4DBB" w:rsidP="002F4DBB">
      <w:pPr>
        <w:spacing w:line="360" w:lineRule="auto"/>
        <w:jc w:val="both"/>
        <w:rPr>
          <w:rFonts w:ascii="Arial" w:hAnsi="Arial" w:cs="Arial"/>
          <w:lang w:val="en-ZA"/>
        </w:rPr>
      </w:pPr>
      <w:r w:rsidRPr="006B344C">
        <w:rPr>
          <w:rFonts w:ascii="Arial" w:hAnsi="Arial" w:cs="Arial"/>
          <w:b/>
          <w:lang w:val="en-ZA"/>
        </w:rPr>
        <w:t>Summary:</w:t>
      </w:r>
      <w:r w:rsidRPr="006B344C">
        <w:rPr>
          <w:rFonts w:ascii="Arial" w:hAnsi="Arial" w:cs="Arial"/>
          <w:b/>
          <w:lang w:val="en-ZA"/>
        </w:rPr>
        <w:tab/>
      </w:r>
      <w:r>
        <w:rPr>
          <w:rFonts w:ascii="Arial" w:hAnsi="Arial" w:cs="Arial"/>
          <w:lang w:val="en-ZA"/>
        </w:rPr>
        <w:t>The accused is charged two counts of murder, one count of defeating or obstructing or attempting to defeat or obstruct the course of justice; and a further count of failing to lock away an arm in contravention of section 38(1)</w:t>
      </w:r>
      <w:r>
        <w:rPr>
          <w:rFonts w:ascii="Arial" w:hAnsi="Arial" w:cs="Arial"/>
          <w:i/>
          <w:lang w:val="en-ZA"/>
        </w:rPr>
        <w:t xml:space="preserve">(j) </w:t>
      </w:r>
      <w:r>
        <w:rPr>
          <w:rFonts w:ascii="Arial" w:hAnsi="Arial" w:cs="Arial"/>
          <w:lang w:val="en-ZA"/>
        </w:rPr>
        <w:t>of the Arms and Ammunition Act 7 of 1996.</w:t>
      </w:r>
      <w:r w:rsidRPr="00B83159">
        <w:rPr>
          <w:rFonts w:ascii="Arial" w:hAnsi="Arial" w:cs="Arial"/>
          <w:lang w:val="en-ZA"/>
        </w:rPr>
        <w:t xml:space="preserve"> </w:t>
      </w:r>
      <w:r>
        <w:rPr>
          <w:rFonts w:ascii="Arial" w:hAnsi="Arial" w:cs="Arial"/>
          <w:lang w:val="en-ZA"/>
        </w:rPr>
        <w:t>It is alleged that the accused person murdered the two deceased persons, with whom he was romantically involved, by shooting them with his firearm and thereafter dumping their bodies on a dumpsite on the outskirts of Windhoek.  The accused pleaded not guilty to all counts by raising an alibi defence. This defence was raised for the first time during bail proceedings held two years after his arrest. In his defence the accused claimed to have been in possession of his firearm at the time the murders were committed. Forensic evidence established the identities of the deceased persons who had been shot and killed inside the accused’s vehicle. During the trial the credibility of the investigating officers came under attack when comparing their witness statements with their oral testimony. It was further averred that the accused’s rights weren’t explained to him before searching his residence.</w:t>
      </w:r>
    </w:p>
    <w:p w:rsidR="002F4DBB" w:rsidRDefault="002F4DBB" w:rsidP="002F4DBB">
      <w:pPr>
        <w:spacing w:line="360" w:lineRule="auto"/>
        <w:jc w:val="both"/>
        <w:rPr>
          <w:rFonts w:ascii="Arial" w:hAnsi="Arial" w:cs="Arial"/>
          <w:lang w:val="en-ZA"/>
        </w:rPr>
      </w:pPr>
    </w:p>
    <w:p w:rsidR="002F4DBB" w:rsidRDefault="002F4DBB" w:rsidP="002F4DBB">
      <w:pPr>
        <w:spacing w:line="360" w:lineRule="auto"/>
        <w:jc w:val="both"/>
        <w:rPr>
          <w:rFonts w:ascii="Arial" w:hAnsi="Arial" w:cs="Arial"/>
        </w:rPr>
      </w:pPr>
      <w:r w:rsidRPr="00871D1E">
        <w:rPr>
          <w:rFonts w:ascii="Arial" w:hAnsi="Arial" w:cs="Arial"/>
          <w:i/>
          <w:lang w:val="en-ZA"/>
        </w:rPr>
        <w:t>Held</w:t>
      </w:r>
      <w:r>
        <w:rPr>
          <w:rFonts w:ascii="Arial" w:hAnsi="Arial" w:cs="Arial"/>
          <w:lang w:val="en-ZA"/>
        </w:rPr>
        <w:t>, that a</w:t>
      </w:r>
      <w:r>
        <w:rPr>
          <w:rFonts w:ascii="Arial" w:hAnsi="Arial" w:cs="Arial"/>
        </w:rPr>
        <w:t xml:space="preserve"> state witness is only at risk of being discredited if there is a material deviation from the witness statement and which the witness is unable to satisfactorily explain. Witness statements are not required to contain each and every aspect of the witness’s testimony in court but is merely intended to state facts for purposes of possible prosecution.</w:t>
      </w:r>
    </w:p>
    <w:p w:rsidR="002F4DBB" w:rsidRDefault="002F4DBB" w:rsidP="002F4DBB">
      <w:pPr>
        <w:spacing w:line="360" w:lineRule="auto"/>
        <w:jc w:val="both"/>
        <w:rPr>
          <w:rFonts w:ascii="Arial" w:hAnsi="Arial" w:cs="Arial"/>
        </w:rPr>
      </w:pPr>
      <w:r>
        <w:rPr>
          <w:rFonts w:ascii="Arial" w:hAnsi="Arial" w:cs="Arial"/>
        </w:rPr>
        <w:t xml:space="preserve"> </w:t>
      </w:r>
    </w:p>
    <w:p w:rsidR="002F4DBB" w:rsidRDefault="002F4DBB" w:rsidP="002F4DBB">
      <w:pPr>
        <w:spacing w:line="360" w:lineRule="auto"/>
        <w:jc w:val="both"/>
        <w:rPr>
          <w:rFonts w:ascii="Arial" w:hAnsi="Arial" w:cs="Arial"/>
        </w:rPr>
      </w:pPr>
      <w:r w:rsidRPr="006E6E1D">
        <w:rPr>
          <w:rFonts w:ascii="Arial" w:hAnsi="Arial" w:cs="Arial"/>
          <w:i/>
        </w:rPr>
        <w:t>Held</w:t>
      </w:r>
      <w:r>
        <w:rPr>
          <w:rFonts w:ascii="Arial" w:hAnsi="Arial" w:cs="Arial"/>
        </w:rPr>
        <w:t>, further that, it cannot for purposes of prosecution, be expected of an investigating officer to capture the extent of the investigation in all its detail and later be discredited during the ensuing trial for failing to do so.</w:t>
      </w:r>
    </w:p>
    <w:p w:rsidR="002F4DBB" w:rsidRDefault="002F4DBB" w:rsidP="002F4DBB">
      <w:pPr>
        <w:spacing w:line="360" w:lineRule="auto"/>
        <w:jc w:val="both"/>
        <w:rPr>
          <w:rFonts w:ascii="Arial" w:hAnsi="Arial" w:cs="Arial"/>
        </w:rPr>
      </w:pPr>
    </w:p>
    <w:p w:rsidR="002F4DBB" w:rsidRDefault="002F4DBB" w:rsidP="002F4DBB">
      <w:pPr>
        <w:spacing w:line="360" w:lineRule="auto"/>
        <w:jc w:val="both"/>
        <w:rPr>
          <w:rFonts w:ascii="Arial" w:hAnsi="Arial" w:cs="Arial"/>
          <w:lang w:val="en-ZA"/>
        </w:rPr>
      </w:pPr>
      <w:r w:rsidRPr="00FF6CB6">
        <w:rPr>
          <w:rFonts w:ascii="Arial" w:hAnsi="Arial" w:cs="Arial"/>
          <w:i/>
          <w:lang w:val="en-ZA"/>
        </w:rPr>
        <w:t>Held</w:t>
      </w:r>
      <w:r>
        <w:rPr>
          <w:rFonts w:ascii="Arial" w:hAnsi="Arial" w:cs="Arial"/>
          <w:lang w:val="en-ZA"/>
        </w:rPr>
        <w:t>, further that, w</w:t>
      </w:r>
      <w:r w:rsidRPr="00677655">
        <w:rPr>
          <w:rFonts w:ascii="Arial" w:hAnsi="Arial" w:cs="Arial"/>
          <w:lang w:val="en-ZA"/>
        </w:rPr>
        <w:t>hen dealing with expert evidence, the court must be satisfied that a witness is competent to testify as an expert and has the necessary expertise on the subject called upon to testify</w:t>
      </w:r>
      <w:r>
        <w:rPr>
          <w:rFonts w:ascii="Arial" w:hAnsi="Arial" w:cs="Arial"/>
          <w:lang w:val="en-ZA"/>
        </w:rPr>
        <w:t>. Evidence of expert witnesses were satisfactorily and reliable.</w:t>
      </w:r>
    </w:p>
    <w:p w:rsidR="002F4DBB" w:rsidRDefault="002F4DBB" w:rsidP="002F4DBB">
      <w:pPr>
        <w:spacing w:line="360" w:lineRule="auto"/>
        <w:jc w:val="both"/>
        <w:rPr>
          <w:rFonts w:ascii="Arial" w:hAnsi="Arial" w:cs="Arial"/>
        </w:rPr>
      </w:pPr>
    </w:p>
    <w:p w:rsidR="002F4DBB" w:rsidRDefault="002F4DBB" w:rsidP="002F4DBB">
      <w:pPr>
        <w:spacing w:line="360" w:lineRule="auto"/>
        <w:jc w:val="both"/>
        <w:rPr>
          <w:rFonts w:ascii="Arial" w:hAnsi="Arial" w:cs="Arial"/>
        </w:rPr>
      </w:pPr>
      <w:r w:rsidRPr="006E6E1D">
        <w:rPr>
          <w:rFonts w:ascii="Arial" w:hAnsi="Arial" w:cs="Arial"/>
          <w:i/>
          <w:color w:val="000000" w:themeColor="text1"/>
        </w:rPr>
        <w:t>Held</w:t>
      </w:r>
      <w:r>
        <w:rPr>
          <w:rFonts w:ascii="Arial" w:hAnsi="Arial" w:cs="Arial"/>
          <w:color w:val="000000" w:themeColor="text1"/>
        </w:rPr>
        <w:t>, further that, evidence established that the accused was informed of his rights prior to a search conducted on his residence. Moreover, where the accused admitted that he was familiar with his rights at the relevant time.</w:t>
      </w:r>
      <w:r>
        <w:rPr>
          <w:rFonts w:ascii="Arial" w:hAnsi="Arial" w:cs="Arial"/>
        </w:rPr>
        <w:t xml:space="preserve"> Court is satisfied that the Constitutional rights of accused had not been infringed.</w:t>
      </w:r>
    </w:p>
    <w:p w:rsidR="002F4DBB" w:rsidRDefault="002F4DBB" w:rsidP="002F4DBB">
      <w:pPr>
        <w:spacing w:line="360" w:lineRule="auto"/>
        <w:jc w:val="both"/>
        <w:rPr>
          <w:rFonts w:ascii="Arial" w:hAnsi="Arial" w:cs="Arial"/>
          <w:lang w:val="en-ZA"/>
        </w:rPr>
      </w:pPr>
    </w:p>
    <w:p w:rsidR="00107891" w:rsidRPr="006B344C" w:rsidRDefault="002F4DBB" w:rsidP="006B344C">
      <w:pPr>
        <w:spacing w:line="360" w:lineRule="auto"/>
        <w:jc w:val="both"/>
        <w:rPr>
          <w:rFonts w:ascii="Arial" w:hAnsi="Arial" w:cs="Arial"/>
          <w:lang w:val="en-ZA"/>
        </w:rPr>
      </w:pPr>
      <w:r w:rsidRPr="00B83159">
        <w:rPr>
          <w:rFonts w:ascii="Arial" w:hAnsi="Arial" w:cs="Arial"/>
          <w:i/>
        </w:rPr>
        <w:t>Held</w:t>
      </w:r>
      <w:r>
        <w:rPr>
          <w:rFonts w:ascii="Arial" w:hAnsi="Arial" w:cs="Arial"/>
        </w:rPr>
        <w:t>, further that, the accused’s explanation was not reasonably and possibility true and to be rejected as false.</w:t>
      </w:r>
    </w:p>
    <w:p w:rsidR="000372D5" w:rsidRPr="006B344C" w:rsidRDefault="000372D5" w:rsidP="006B344C">
      <w:pPr>
        <w:spacing w:line="360" w:lineRule="auto"/>
        <w:jc w:val="both"/>
        <w:rPr>
          <w:rFonts w:ascii="Arial" w:hAnsi="Arial" w:cs="Arial"/>
          <w:lang w:val="en-ZA"/>
        </w:rPr>
      </w:pP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970F59" w:rsidRDefault="00970F59" w:rsidP="00970F59">
      <w:pPr>
        <w:spacing w:line="360" w:lineRule="auto"/>
        <w:ind w:firstLine="720"/>
        <w:jc w:val="both"/>
        <w:rPr>
          <w:rFonts w:ascii="Arial" w:hAnsi="Arial" w:cs="Arial"/>
        </w:rPr>
      </w:pPr>
      <w:r>
        <w:rPr>
          <w:rFonts w:ascii="Arial" w:hAnsi="Arial" w:cs="Arial"/>
        </w:rPr>
        <w:t>Count 1:</w:t>
      </w:r>
      <w:r>
        <w:rPr>
          <w:rFonts w:ascii="Arial" w:hAnsi="Arial" w:cs="Arial"/>
        </w:rPr>
        <w:tab/>
        <w:t>Murder (</w:t>
      </w:r>
      <w:r>
        <w:rPr>
          <w:rFonts w:ascii="Arial" w:hAnsi="Arial" w:cs="Arial"/>
          <w:i/>
        </w:rPr>
        <w:t>dolus directus</w:t>
      </w:r>
      <w:r>
        <w:rPr>
          <w:rFonts w:ascii="Arial" w:hAnsi="Arial" w:cs="Arial"/>
        </w:rPr>
        <w:t>) – Guilty</w:t>
      </w:r>
    </w:p>
    <w:p w:rsidR="00970F59" w:rsidRDefault="00970F59" w:rsidP="00970F59">
      <w:pPr>
        <w:spacing w:line="360" w:lineRule="auto"/>
        <w:jc w:val="both"/>
        <w:rPr>
          <w:rFonts w:ascii="Arial" w:hAnsi="Arial" w:cs="Arial"/>
        </w:rPr>
      </w:pPr>
      <w:r>
        <w:rPr>
          <w:rFonts w:ascii="Arial" w:hAnsi="Arial" w:cs="Arial"/>
        </w:rPr>
        <w:tab/>
        <w:t>Count 2:</w:t>
      </w:r>
      <w:r>
        <w:rPr>
          <w:rFonts w:ascii="Arial" w:hAnsi="Arial" w:cs="Arial"/>
        </w:rPr>
        <w:tab/>
        <w:t>Murder (</w:t>
      </w:r>
      <w:r>
        <w:rPr>
          <w:rFonts w:ascii="Arial" w:hAnsi="Arial" w:cs="Arial"/>
          <w:i/>
        </w:rPr>
        <w:t>dolus directus</w:t>
      </w:r>
      <w:r>
        <w:rPr>
          <w:rFonts w:ascii="Arial" w:hAnsi="Arial" w:cs="Arial"/>
        </w:rPr>
        <w:t xml:space="preserve">) – Guilty </w:t>
      </w:r>
    </w:p>
    <w:p w:rsidR="00970F59" w:rsidRDefault="00970F59" w:rsidP="00970F59">
      <w:pPr>
        <w:spacing w:line="360" w:lineRule="auto"/>
        <w:jc w:val="both"/>
        <w:rPr>
          <w:rFonts w:ascii="Arial" w:hAnsi="Arial" w:cs="Arial"/>
        </w:rPr>
      </w:pPr>
      <w:r>
        <w:rPr>
          <w:rFonts w:ascii="Arial" w:hAnsi="Arial" w:cs="Arial"/>
        </w:rPr>
        <w:tab/>
        <w:t>Count 3:</w:t>
      </w:r>
      <w:r>
        <w:rPr>
          <w:rFonts w:ascii="Arial" w:hAnsi="Arial" w:cs="Arial"/>
        </w:rPr>
        <w:tab/>
        <w:t xml:space="preserve">Defeating or obstructing the course of justice – Guilty </w:t>
      </w:r>
    </w:p>
    <w:p w:rsidR="00A421AA" w:rsidRPr="00970F59" w:rsidRDefault="00970F59" w:rsidP="00970F59">
      <w:pPr>
        <w:spacing w:line="360" w:lineRule="auto"/>
        <w:ind w:left="2160" w:hanging="1530"/>
        <w:jc w:val="both"/>
        <w:rPr>
          <w:rFonts w:ascii="Arial" w:hAnsi="Arial" w:cs="Arial"/>
        </w:rPr>
      </w:pPr>
      <w:r>
        <w:rPr>
          <w:rFonts w:ascii="Arial" w:hAnsi="Arial" w:cs="Arial"/>
        </w:rPr>
        <w:t xml:space="preserve"> Count 4:</w:t>
      </w:r>
      <w:r>
        <w:rPr>
          <w:rFonts w:ascii="Arial" w:hAnsi="Arial" w:cs="Arial"/>
        </w:rPr>
        <w:tab/>
        <w:t>Failing to lock away an arm (c/s 38(1)</w:t>
      </w:r>
      <w:r>
        <w:rPr>
          <w:rFonts w:ascii="Arial" w:hAnsi="Arial" w:cs="Arial"/>
          <w:i/>
        </w:rPr>
        <w:t xml:space="preserve">(j) </w:t>
      </w:r>
      <w:r>
        <w:rPr>
          <w:rFonts w:ascii="Arial" w:hAnsi="Arial" w:cs="Arial"/>
        </w:rPr>
        <w:t>of Act 7 of 1996 –     Not guilty and discharged.</w:t>
      </w: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A421AA" w:rsidP="006B344C">
      <w:pPr>
        <w:spacing w:line="360" w:lineRule="auto"/>
        <w:jc w:val="center"/>
        <w:rPr>
          <w:rFonts w:ascii="Arial" w:hAnsi="Arial" w:cs="Arial"/>
          <w:b/>
          <w:lang w:val="en-ZA"/>
        </w:rPr>
      </w:pPr>
      <w:r w:rsidRPr="006B344C">
        <w:rPr>
          <w:rFonts w:ascii="Arial" w:hAnsi="Arial" w:cs="Arial"/>
          <w:b/>
          <w:lang w:val="en-ZA"/>
        </w:rPr>
        <w:t>JUDGMENT</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7347EE" w:rsidRDefault="009B5ACD" w:rsidP="00457DD2">
      <w:pPr>
        <w:spacing w:before="240" w:line="360" w:lineRule="auto"/>
        <w:jc w:val="both"/>
        <w:rPr>
          <w:rFonts w:ascii="Arial" w:hAnsi="Arial" w:cs="Arial"/>
          <w:lang w:val="en-ZA"/>
        </w:rPr>
      </w:pPr>
      <w:r w:rsidRPr="006B344C">
        <w:rPr>
          <w:rFonts w:ascii="Arial" w:hAnsi="Arial" w:cs="Arial"/>
          <w:lang w:val="en-ZA"/>
        </w:rPr>
        <w:t>[1]</w:t>
      </w:r>
      <w:r w:rsidR="00A32447">
        <w:rPr>
          <w:rFonts w:ascii="Arial" w:hAnsi="Arial" w:cs="Arial"/>
          <w:lang w:val="en-ZA"/>
        </w:rPr>
        <w:tab/>
        <w:t xml:space="preserve">On the morning of 07 January 2016 the charred bodies of two persons were found under smouldering tyres at the municipal dump </w:t>
      </w:r>
      <w:r w:rsidR="00087DD2">
        <w:rPr>
          <w:rFonts w:ascii="Arial" w:hAnsi="Arial" w:cs="Arial"/>
          <w:lang w:val="en-ZA"/>
        </w:rPr>
        <w:t xml:space="preserve">site </w:t>
      </w:r>
      <w:r w:rsidR="00A32447">
        <w:rPr>
          <w:rFonts w:ascii="Arial" w:hAnsi="Arial" w:cs="Arial"/>
          <w:lang w:val="en-ZA"/>
        </w:rPr>
        <w:t xml:space="preserve">on the outskirts of Windhoek. Under one of the bodies a </w:t>
      </w:r>
      <w:r w:rsidR="00F37199">
        <w:rPr>
          <w:rFonts w:ascii="Arial" w:hAnsi="Arial" w:cs="Arial"/>
          <w:lang w:val="en-ZA"/>
        </w:rPr>
        <w:t>cell phone</w:t>
      </w:r>
      <w:r w:rsidR="00A32447">
        <w:rPr>
          <w:rFonts w:ascii="Arial" w:hAnsi="Arial" w:cs="Arial"/>
          <w:lang w:val="en-ZA"/>
        </w:rPr>
        <w:t xml:space="preserve"> SIM card was discovered. Data retrieved from the card produced a list of contact numbers and amongst others</w:t>
      </w:r>
      <w:r w:rsidR="00BD09FD">
        <w:rPr>
          <w:rFonts w:ascii="Arial" w:hAnsi="Arial" w:cs="Arial"/>
          <w:lang w:val="en-ZA"/>
        </w:rPr>
        <w:t>, also that of the accused. This established the link between the accused and</w:t>
      </w:r>
      <w:r w:rsidR="00A32447">
        <w:rPr>
          <w:rFonts w:ascii="Arial" w:hAnsi="Arial" w:cs="Arial"/>
          <w:lang w:val="en-ZA"/>
        </w:rPr>
        <w:t xml:space="preserve"> </w:t>
      </w:r>
      <w:r w:rsidR="007347EE">
        <w:rPr>
          <w:rFonts w:ascii="Arial" w:hAnsi="Arial" w:cs="Arial"/>
          <w:lang w:val="en-ZA"/>
        </w:rPr>
        <w:t xml:space="preserve">the </w:t>
      </w:r>
      <w:r w:rsidR="00BD09FD">
        <w:rPr>
          <w:rFonts w:ascii="Arial" w:hAnsi="Arial" w:cs="Arial"/>
          <w:lang w:val="en-ZA"/>
        </w:rPr>
        <w:t>bodies found, having been identified as</w:t>
      </w:r>
      <w:r w:rsidR="00087DD2">
        <w:rPr>
          <w:rFonts w:ascii="Arial" w:hAnsi="Arial" w:cs="Arial"/>
          <w:lang w:val="en-ZA"/>
        </w:rPr>
        <w:t xml:space="preserve"> that of</w:t>
      </w:r>
      <w:r w:rsidR="0029471D">
        <w:rPr>
          <w:rFonts w:ascii="Arial" w:hAnsi="Arial" w:cs="Arial"/>
          <w:lang w:val="en-ZA"/>
        </w:rPr>
        <w:t xml:space="preserve"> Johanie Naruses and Clementia D</w:t>
      </w:r>
      <w:r w:rsidR="007347EE">
        <w:rPr>
          <w:rFonts w:ascii="Arial" w:hAnsi="Arial" w:cs="Arial"/>
          <w:lang w:val="en-ZA"/>
        </w:rPr>
        <w:t xml:space="preserve">e Wee. It is not in dispute that both the deceased were in a romantic relationship with the accused at the time of their passing. </w:t>
      </w:r>
    </w:p>
    <w:p w:rsidR="007347EE" w:rsidRDefault="007347EE" w:rsidP="00457DD2">
      <w:pPr>
        <w:spacing w:before="240" w:line="360" w:lineRule="auto"/>
        <w:jc w:val="both"/>
        <w:rPr>
          <w:rFonts w:ascii="Arial" w:hAnsi="Arial" w:cs="Arial"/>
          <w:lang w:val="en-ZA"/>
        </w:rPr>
      </w:pPr>
    </w:p>
    <w:p w:rsidR="009B5ACD" w:rsidRPr="007347EE" w:rsidRDefault="007347EE" w:rsidP="00457DD2">
      <w:pPr>
        <w:spacing w:before="240" w:line="360" w:lineRule="auto"/>
        <w:jc w:val="both"/>
        <w:rPr>
          <w:rFonts w:ascii="Arial" w:hAnsi="Arial" w:cs="Arial"/>
          <w:lang w:val="en-ZA"/>
        </w:rPr>
      </w:pPr>
      <w:r>
        <w:rPr>
          <w:rFonts w:ascii="Arial" w:hAnsi="Arial" w:cs="Arial"/>
          <w:lang w:val="en-ZA"/>
        </w:rPr>
        <w:t>[</w:t>
      </w:r>
      <w:r w:rsidR="00087DD2">
        <w:rPr>
          <w:rFonts w:ascii="Arial" w:hAnsi="Arial" w:cs="Arial"/>
          <w:lang w:val="en-ZA"/>
        </w:rPr>
        <w:t>2]</w:t>
      </w:r>
      <w:r w:rsidR="00087DD2">
        <w:rPr>
          <w:rFonts w:ascii="Arial" w:hAnsi="Arial" w:cs="Arial"/>
          <w:lang w:val="en-ZA"/>
        </w:rPr>
        <w:tab/>
        <w:t>During the ensuing investigation t</w:t>
      </w:r>
      <w:r>
        <w:rPr>
          <w:rFonts w:ascii="Arial" w:hAnsi="Arial" w:cs="Arial"/>
          <w:lang w:val="en-ZA"/>
        </w:rPr>
        <w:t>he accused was arrested and charged with the following counts: Counts 1 and 2: Murder; Count 3: Defeating or obstructing or attempting to defeat or obstruct the course of justice; and Count 4: Failing to lock away an arm, contravening section 38(1)</w:t>
      </w:r>
      <w:r>
        <w:rPr>
          <w:rFonts w:ascii="Arial" w:hAnsi="Arial" w:cs="Arial"/>
          <w:i/>
          <w:lang w:val="en-ZA"/>
        </w:rPr>
        <w:t xml:space="preserve">(j) </w:t>
      </w:r>
      <w:r>
        <w:rPr>
          <w:rFonts w:ascii="Arial" w:hAnsi="Arial" w:cs="Arial"/>
          <w:lang w:val="en-ZA"/>
        </w:rPr>
        <w:t>of the Arms and Ammunition Act 7 of 1996.</w:t>
      </w:r>
      <w:r w:rsidR="00F3222A">
        <w:rPr>
          <w:rFonts w:ascii="Arial" w:hAnsi="Arial" w:cs="Arial"/>
          <w:lang w:val="en-ZA"/>
        </w:rPr>
        <w:t xml:space="preserve"> The accused pleaded not guilty on all counts and elected not to disclose the basis of his defence.</w:t>
      </w:r>
    </w:p>
    <w:p w:rsidR="009B5ACD" w:rsidRDefault="009B5ACD" w:rsidP="00A85222">
      <w:pPr>
        <w:spacing w:line="360" w:lineRule="auto"/>
        <w:jc w:val="both"/>
        <w:rPr>
          <w:rFonts w:ascii="Arial" w:hAnsi="Arial" w:cs="Arial"/>
          <w:lang w:val="en-ZA"/>
        </w:rPr>
      </w:pPr>
    </w:p>
    <w:p w:rsidR="007347EE" w:rsidRDefault="007347EE" w:rsidP="00A85222">
      <w:pPr>
        <w:spacing w:line="360" w:lineRule="auto"/>
        <w:jc w:val="both"/>
        <w:rPr>
          <w:rFonts w:ascii="Arial" w:hAnsi="Arial" w:cs="Arial"/>
          <w:lang w:val="en-ZA"/>
        </w:rPr>
      </w:pPr>
      <w:r>
        <w:rPr>
          <w:rFonts w:ascii="Arial" w:hAnsi="Arial" w:cs="Arial"/>
          <w:lang w:val="en-ZA"/>
        </w:rPr>
        <w:t>[</w:t>
      </w:r>
      <w:r w:rsidR="00087DD2">
        <w:rPr>
          <w:rFonts w:ascii="Arial" w:hAnsi="Arial" w:cs="Arial"/>
          <w:lang w:val="en-ZA"/>
        </w:rPr>
        <w:t>3</w:t>
      </w:r>
      <w:r>
        <w:rPr>
          <w:rFonts w:ascii="Arial" w:hAnsi="Arial" w:cs="Arial"/>
          <w:lang w:val="en-ZA"/>
        </w:rPr>
        <w:t>]</w:t>
      </w:r>
      <w:r>
        <w:rPr>
          <w:rFonts w:ascii="Arial" w:hAnsi="Arial" w:cs="Arial"/>
          <w:lang w:val="en-ZA"/>
        </w:rPr>
        <w:tab/>
      </w:r>
      <w:r w:rsidR="00F3222A">
        <w:rPr>
          <w:rFonts w:ascii="Arial" w:hAnsi="Arial" w:cs="Arial"/>
          <w:lang w:val="en-ZA"/>
        </w:rPr>
        <w:t xml:space="preserve">Mr </w:t>
      </w:r>
      <w:r w:rsidR="00F3222A">
        <w:rPr>
          <w:rFonts w:ascii="Arial" w:hAnsi="Arial" w:cs="Arial"/>
          <w:i/>
          <w:lang w:val="en-ZA"/>
        </w:rPr>
        <w:t>Siyomunji,</w:t>
      </w:r>
      <w:r w:rsidR="00F3222A">
        <w:rPr>
          <w:rFonts w:ascii="Arial" w:hAnsi="Arial" w:cs="Arial"/>
          <w:lang w:val="en-ZA"/>
        </w:rPr>
        <w:t xml:space="preserve"> on the instruction of the Directorate: Legal Aid, </w:t>
      </w:r>
      <w:r w:rsidR="002312FC">
        <w:rPr>
          <w:rFonts w:ascii="Arial" w:hAnsi="Arial" w:cs="Arial"/>
          <w:lang w:val="en-ZA"/>
        </w:rPr>
        <w:t>initially acted</w:t>
      </w:r>
      <w:r w:rsidR="00F3222A">
        <w:rPr>
          <w:rFonts w:ascii="Arial" w:hAnsi="Arial" w:cs="Arial"/>
          <w:lang w:val="en-ZA"/>
        </w:rPr>
        <w:t xml:space="preserve"> for the accused</w:t>
      </w:r>
      <w:r w:rsidR="002312FC">
        <w:rPr>
          <w:rFonts w:ascii="Arial" w:hAnsi="Arial" w:cs="Arial"/>
          <w:lang w:val="en-ZA"/>
        </w:rPr>
        <w:t xml:space="preserve"> but </w:t>
      </w:r>
      <w:r w:rsidR="00087DD2">
        <w:rPr>
          <w:rFonts w:ascii="Arial" w:hAnsi="Arial" w:cs="Arial"/>
          <w:lang w:val="en-ZA"/>
        </w:rPr>
        <w:t xml:space="preserve">later withdrew and </w:t>
      </w:r>
      <w:r w:rsidR="002312FC">
        <w:rPr>
          <w:rFonts w:ascii="Arial" w:hAnsi="Arial" w:cs="Arial"/>
          <w:lang w:val="en-ZA"/>
        </w:rPr>
        <w:t xml:space="preserve">was substituted by Mr </w:t>
      </w:r>
      <w:r w:rsidR="002312FC">
        <w:rPr>
          <w:rFonts w:ascii="Arial" w:hAnsi="Arial" w:cs="Arial"/>
          <w:i/>
          <w:lang w:val="en-ZA"/>
        </w:rPr>
        <w:t>V Lutibezi</w:t>
      </w:r>
      <w:r w:rsidR="00F3222A">
        <w:rPr>
          <w:rFonts w:ascii="Arial" w:hAnsi="Arial" w:cs="Arial"/>
          <w:lang w:val="en-ZA"/>
        </w:rPr>
        <w:t xml:space="preserve">, while Mr </w:t>
      </w:r>
      <w:r w:rsidR="002312FC">
        <w:rPr>
          <w:rFonts w:ascii="Arial" w:hAnsi="Arial" w:cs="Arial"/>
          <w:i/>
          <w:lang w:val="en-ZA"/>
        </w:rPr>
        <w:t xml:space="preserve">C </w:t>
      </w:r>
      <w:r w:rsidR="00F3222A">
        <w:rPr>
          <w:rFonts w:ascii="Arial" w:hAnsi="Arial" w:cs="Arial"/>
          <w:i/>
          <w:lang w:val="en-ZA"/>
        </w:rPr>
        <w:t xml:space="preserve">Lutibezi </w:t>
      </w:r>
      <w:r w:rsidR="00F3222A">
        <w:rPr>
          <w:rFonts w:ascii="Arial" w:hAnsi="Arial" w:cs="Arial"/>
          <w:lang w:val="en-ZA"/>
        </w:rPr>
        <w:t>represents the State.</w:t>
      </w:r>
    </w:p>
    <w:p w:rsidR="00D07663" w:rsidRDefault="00D07663" w:rsidP="00A85222">
      <w:pPr>
        <w:spacing w:line="360" w:lineRule="auto"/>
        <w:jc w:val="both"/>
        <w:rPr>
          <w:rFonts w:ascii="Arial" w:hAnsi="Arial" w:cs="Arial"/>
          <w:lang w:val="en-ZA"/>
        </w:rPr>
      </w:pPr>
    </w:p>
    <w:p w:rsidR="005D12E5" w:rsidRPr="00D07663" w:rsidRDefault="00D07663" w:rsidP="00A85222">
      <w:pPr>
        <w:spacing w:line="360" w:lineRule="auto"/>
        <w:jc w:val="both"/>
        <w:rPr>
          <w:rFonts w:ascii="Arial" w:hAnsi="Arial" w:cs="Arial"/>
          <w:i/>
          <w:lang w:val="en-ZA"/>
        </w:rPr>
      </w:pPr>
      <w:r>
        <w:rPr>
          <w:rFonts w:ascii="Arial" w:hAnsi="Arial" w:cs="Arial"/>
          <w:i/>
          <w:lang w:val="en-ZA"/>
        </w:rPr>
        <w:t>Evidence not in dispute</w:t>
      </w:r>
    </w:p>
    <w:p w:rsidR="005D12E5" w:rsidRDefault="005D12E5" w:rsidP="00A85222">
      <w:pPr>
        <w:spacing w:line="360" w:lineRule="auto"/>
        <w:jc w:val="both"/>
        <w:rPr>
          <w:rFonts w:ascii="Arial" w:hAnsi="Arial" w:cs="Arial"/>
          <w:lang w:val="en-ZA"/>
        </w:rPr>
      </w:pPr>
      <w:r>
        <w:rPr>
          <w:rFonts w:ascii="Arial" w:hAnsi="Arial" w:cs="Arial"/>
          <w:lang w:val="en-ZA"/>
        </w:rPr>
        <w:t>[</w:t>
      </w:r>
      <w:r w:rsidR="00087DD2">
        <w:rPr>
          <w:rFonts w:ascii="Arial" w:hAnsi="Arial" w:cs="Arial"/>
          <w:lang w:val="en-ZA"/>
        </w:rPr>
        <w:t>4</w:t>
      </w:r>
      <w:r>
        <w:rPr>
          <w:rFonts w:ascii="Arial" w:hAnsi="Arial" w:cs="Arial"/>
          <w:lang w:val="en-ZA"/>
        </w:rPr>
        <w:t>]</w:t>
      </w:r>
      <w:r>
        <w:rPr>
          <w:rFonts w:ascii="Arial" w:hAnsi="Arial" w:cs="Arial"/>
          <w:lang w:val="en-ZA"/>
        </w:rPr>
        <w:tab/>
        <w:t xml:space="preserve">With the commencement of </w:t>
      </w:r>
      <w:r w:rsidR="00087DD2">
        <w:rPr>
          <w:rFonts w:ascii="Arial" w:hAnsi="Arial" w:cs="Arial"/>
          <w:lang w:val="en-ZA"/>
        </w:rPr>
        <w:t xml:space="preserve">the </w:t>
      </w:r>
      <w:r>
        <w:rPr>
          <w:rFonts w:ascii="Arial" w:hAnsi="Arial" w:cs="Arial"/>
          <w:lang w:val="en-ZA"/>
        </w:rPr>
        <w:t xml:space="preserve">trial a number of documents were introduced </w:t>
      </w:r>
      <w:r w:rsidR="002312FC">
        <w:rPr>
          <w:rFonts w:ascii="Arial" w:hAnsi="Arial" w:cs="Arial"/>
          <w:lang w:val="en-ZA"/>
        </w:rPr>
        <w:t xml:space="preserve">into evidence </w:t>
      </w:r>
      <w:r>
        <w:rPr>
          <w:rFonts w:ascii="Arial" w:hAnsi="Arial" w:cs="Arial"/>
          <w:lang w:val="en-ZA"/>
        </w:rPr>
        <w:t xml:space="preserve">by agreement between the parties, the content of which was not in dispute. There is no need to </w:t>
      </w:r>
      <w:r w:rsidR="000C64D9">
        <w:rPr>
          <w:rFonts w:ascii="Arial" w:hAnsi="Arial" w:cs="Arial"/>
          <w:lang w:val="en-ZA"/>
        </w:rPr>
        <w:t xml:space="preserve">individually </w:t>
      </w:r>
      <w:r>
        <w:rPr>
          <w:rFonts w:ascii="Arial" w:hAnsi="Arial" w:cs="Arial"/>
          <w:lang w:val="en-ZA"/>
        </w:rPr>
        <w:t xml:space="preserve">deal with these documents in any detail and will only be referred to in the judgment where </w:t>
      </w:r>
      <w:r>
        <w:rPr>
          <w:rFonts w:ascii="Arial" w:hAnsi="Arial" w:cs="Arial"/>
          <w:lang w:val="en-ZA"/>
        </w:rPr>
        <w:lastRenderedPageBreak/>
        <w:t xml:space="preserve">necessary. </w:t>
      </w:r>
      <w:r w:rsidR="004C4E01">
        <w:rPr>
          <w:rFonts w:ascii="Arial" w:hAnsi="Arial" w:cs="Arial"/>
          <w:lang w:val="en-ZA"/>
        </w:rPr>
        <w:t xml:space="preserve">The accused </w:t>
      </w:r>
      <w:r w:rsidR="00087DD2">
        <w:rPr>
          <w:rFonts w:ascii="Arial" w:hAnsi="Arial" w:cs="Arial"/>
          <w:lang w:val="en-ZA"/>
        </w:rPr>
        <w:t>furthermore</w:t>
      </w:r>
      <w:r w:rsidR="004C4E01">
        <w:rPr>
          <w:rFonts w:ascii="Arial" w:hAnsi="Arial" w:cs="Arial"/>
          <w:lang w:val="en-ZA"/>
        </w:rPr>
        <w:t xml:space="preserve"> made th</w:t>
      </w:r>
      <w:r w:rsidR="00087DD2">
        <w:rPr>
          <w:rFonts w:ascii="Arial" w:hAnsi="Arial" w:cs="Arial"/>
          <w:lang w:val="en-ZA"/>
        </w:rPr>
        <w:t xml:space="preserve">e following admissions in terms of </w:t>
      </w:r>
      <w:r w:rsidR="004C4E01">
        <w:rPr>
          <w:rFonts w:ascii="Arial" w:hAnsi="Arial" w:cs="Arial"/>
          <w:lang w:val="en-ZA"/>
        </w:rPr>
        <w:t>s 220 of the Criminal Procedure Act 51 of 1977:</w:t>
      </w:r>
    </w:p>
    <w:p w:rsidR="00EF1FC6" w:rsidRDefault="00EF1FC6" w:rsidP="00EF1FC6">
      <w:pPr>
        <w:pStyle w:val="ListParagraph"/>
        <w:spacing w:line="360" w:lineRule="auto"/>
        <w:ind w:left="1440"/>
        <w:jc w:val="both"/>
        <w:rPr>
          <w:rFonts w:ascii="Arial" w:hAnsi="Arial" w:cs="Arial"/>
          <w:lang w:val="en-ZA"/>
        </w:rPr>
      </w:pPr>
    </w:p>
    <w:p w:rsidR="004C4E01" w:rsidRDefault="004C4E01" w:rsidP="00CD07C3">
      <w:pPr>
        <w:pStyle w:val="ListParagraph"/>
        <w:numPr>
          <w:ilvl w:val="0"/>
          <w:numId w:val="4"/>
        </w:numPr>
        <w:spacing w:line="360" w:lineRule="auto"/>
        <w:jc w:val="both"/>
        <w:rPr>
          <w:rFonts w:ascii="Arial" w:hAnsi="Arial" w:cs="Arial"/>
          <w:lang w:val="en-ZA"/>
        </w:rPr>
      </w:pPr>
      <w:r>
        <w:rPr>
          <w:rFonts w:ascii="Arial" w:hAnsi="Arial" w:cs="Arial"/>
          <w:lang w:val="en-ZA"/>
        </w:rPr>
        <w:t>The identities of Johanie Naruses and Clemencia De Wee as being the deceased persons.</w:t>
      </w:r>
    </w:p>
    <w:p w:rsidR="004C4E01" w:rsidRDefault="004C4E01" w:rsidP="00CD07C3">
      <w:pPr>
        <w:pStyle w:val="ListParagraph"/>
        <w:numPr>
          <w:ilvl w:val="0"/>
          <w:numId w:val="4"/>
        </w:numPr>
        <w:spacing w:line="360" w:lineRule="auto"/>
        <w:jc w:val="both"/>
        <w:rPr>
          <w:rFonts w:ascii="Arial" w:hAnsi="Arial" w:cs="Arial"/>
          <w:lang w:val="en-ZA"/>
        </w:rPr>
      </w:pPr>
      <w:r>
        <w:rPr>
          <w:rFonts w:ascii="Arial" w:hAnsi="Arial" w:cs="Arial"/>
          <w:lang w:val="en-ZA"/>
        </w:rPr>
        <w:t>The admissib</w:t>
      </w:r>
      <w:r w:rsidR="000C64D9">
        <w:rPr>
          <w:rFonts w:ascii="Arial" w:hAnsi="Arial" w:cs="Arial"/>
          <w:lang w:val="en-ZA"/>
        </w:rPr>
        <w:t>ility of the post-mortem report</w:t>
      </w:r>
      <w:r>
        <w:rPr>
          <w:rFonts w:ascii="Arial" w:hAnsi="Arial" w:cs="Arial"/>
          <w:lang w:val="en-ZA"/>
        </w:rPr>
        <w:t xml:space="preserve"> </w:t>
      </w:r>
      <w:r w:rsidR="000C64D9">
        <w:rPr>
          <w:rFonts w:ascii="Arial" w:hAnsi="Arial" w:cs="Arial"/>
          <w:lang w:val="en-ZA"/>
        </w:rPr>
        <w:t>compiled</w:t>
      </w:r>
      <w:r>
        <w:rPr>
          <w:rFonts w:ascii="Arial" w:hAnsi="Arial" w:cs="Arial"/>
          <w:lang w:val="en-ZA"/>
        </w:rPr>
        <w:t xml:space="preserve"> by Dr Vasin (PM 15/2016 </w:t>
      </w:r>
      <w:r w:rsidR="008463FB">
        <w:rPr>
          <w:rFonts w:ascii="Arial" w:hAnsi="Arial" w:cs="Arial"/>
          <w:lang w:val="en-ZA"/>
        </w:rPr>
        <w:t xml:space="preserve">– </w:t>
      </w:r>
      <w:r w:rsidR="00087DD2">
        <w:rPr>
          <w:rFonts w:ascii="Arial" w:hAnsi="Arial" w:cs="Arial"/>
          <w:lang w:val="en-ZA"/>
        </w:rPr>
        <w:t xml:space="preserve">in respect of </w:t>
      </w:r>
      <w:r w:rsidR="008463FB">
        <w:rPr>
          <w:rFonts w:ascii="Arial" w:hAnsi="Arial" w:cs="Arial"/>
          <w:lang w:val="en-ZA"/>
        </w:rPr>
        <w:t>Johanie Naruses</w:t>
      </w:r>
      <w:r>
        <w:rPr>
          <w:rFonts w:ascii="Arial" w:hAnsi="Arial" w:cs="Arial"/>
          <w:lang w:val="en-ZA"/>
        </w:rPr>
        <w:t>).</w:t>
      </w:r>
    </w:p>
    <w:p w:rsidR="00751A48" w:rsidRDefault="00751A48" w:rsidP="00CD07C3">
      <w:pPr>
        <w:pStyle w:val="ListParagraph"/>
        <w:numPr>
          <w:ilvl w:val="0"/>
          <w:numId w:val="4"/>
        </w:numPr>
        <w:spacing w:line="360" w:lineRule="auto"/>
        <w:jc w:val="both"/>
        <w:rPr>
          <w:rFonts w:ascii="Arial" w:hAnsi="Arial" w:cs="Arial"/>
          <w:lang w:val="en-ZA"/>
        </w:rPr>
      </w:pPr>
      <w:r>
        <w:rPr>
          <w:rFonts w:ascii="Arial" w:hAnsi="Arial" w:cs="Arial"/>
          <w:lang w:val="en-ZA"/>
        </w:rPr>
        <w:t xml:space="preserve">The admissibility of the post-mortem report compiled by Dr Guriras (PM 16/2016 – </w:t>
      </w:r>
      <w:r w:rsidR="00087DD2">
        <w:rPr>
          <w:rFonts w:ascii="Arial" w:hAnsi="Arial" w:cs="Arial"/>
          <w:lang w:val="en-ZA"/>
        </w:rPr>
        <w:t xml:space="preserve">in respect of </w:t>
      </w:r>
      <w:r>
        <w:rPr>
          <w:rFonts w:ascii="Arial" w:hAnsi="Arial" w:cs="Arial"/>
          <w:lang w:val="en-ZA"/>
        </w:rPr>
        <w:t>Clementia De Wee).</w:t>
      </w:r>
    </w:p>
    <w:p w:rsidR="00751A48" w:rsidRDefault="00957281" w:rsidP="00CD07C3">
      <w:pPr>
        <w:pStyle w:val="ListParagraph"/>
        <w:numPr>
          <w:ilvl w:val="0"/>
          <w:numId w:val="4"/>
        </w:numPr>
        <w:spacing w:line="360" w:lineRule="auto"/>
        <w:jc w:val="both"/>
        <w:rPr>
          <w:rFonts w:ascii="Arial" w:hAnsi="Arial" w:cs="Arial"/>
          <w:lang w:val="en-ZA"/>
        </w:rPr>
      </w:pPr>
      <w:r>
        <w:rPr>
          <w:rFonts w:ascii="Arial" w:hAnsi="Arial" w:cs="Arial"/>
          <w:lang w:val="en-ZA"/>
        </w:rPr>
        <w:t xml:space="preserve">That the bodies of the deceased </w:t>
      </w:r>
      <w:r w:rsidR="00087DD2">
        <w:rPr>
          <w:rFonts w:ascii="Arial" w:hAnsi="Arial" w:cs="Arial"/>
          <w:lang w:val="en-ZA"/>
        </w:rPr>
        <w:t xml:space="preserve">persons </w:t>
      </w:r>
      <w:r>
        <w:rPr>
          <w:rFonts w:ascii="Arial" w:hAnsi="Arial" w:cs="Arial"/>
          <w:lang w:val="en-ZA"/>
        </w:rPr>
        <w:t xml:space="preserve">did not sustain any further injuries when transported from the crime scene </w:t>
      </w:r>
      <w:r w:rsidR="00087DD2">
        <w:rPr>
          <w:rFonts w:ascii="Arial" w:hAnsi="Arial" w:cs="Arial"/>
          <w:lang w:val="en-ZA"/>
        </w:rPr>
        <w:t xml:space="preserve">and </w:t>
      </w:r>
      <w:r>
        <w:rPr>
          <w:rFonts w:ascii="Arial" w:hAnsi="Arial" w:cs="Arial"/>
          <w:lang w:val="en-ZA"/>
        </w:rPr>
        <w:t>until the</w:t>
      </w:r>
      <w:r w:rsidR="00087DD2">
        <w:rPr>
          <w:rFonts w:ascii="Arial" w:hAnsi="Arial" w:cs="Arial"/>
          <w:lang w:val="en-ZA"/>
        </w:rPr>
        <w:t xml:space="preserve"> time</w:t>
      </w:r>
      <w:r>
        <w:rPr>
          <w:rFonts w:ascii="Arial" w:hAnsi="Arial" w:cs="Arial"/>
          <w:lang w:val="en-ZA"/>
        </w:rPr>
        <w:t xml:space="preserve"> post-mortem examinations were conducted.</w:t>
      </w:r>
    </w:p>
    <w:p w:rsidR="00957281" w:rsidRDefault="00957281" w:rsidP="00CD07C3">
      <w:pPr>
        <w:pStyle w:val="ListParagraph"/>
        <w:numPr>
          <w:ilvl w:val="0"/>
          <w:numId w:val="4"/>
        </w:numPr>
        <w:spacing w:line="360" w:lineRule="auto"/>
        <w:jc w:val="both"/>
        <w:rPr>
          <w:rFonts w:ascii="Arial" w:hAnsi="Arial" w:cs="Arial"/>
          <w:lang w:val="en-ZA"/>
        </w:rPr>
      </w:pPr>
      <w:r w:rsidRPr="00751A48">
        <w:rPr>
          <w:rFonts w:ascii="Arial" w:hAnsi="Arial" w:cs="Arial"/>
          <w:lang w:val="en-ZA"/>
        </w:rPr>
        <w:t>The contents</w:t>
      </w:r>
      <w:r w:rsidR="00CD07C3">
        <w:rPr>
          <w:rFonts w:ascii="Arial" w:hAnsi="Arial" w:cs="Arial"/>
          <w:lang w:val="en-ZA"/>
        </w:rPr>
        <w:t xml:space="preserve"> being correct</w:t>
      </w:r>
      <w:r w:rsidRPr="00751A48">
        <w:rPr>
          <w:rFonts w:ascii="Arial" w:hAnsi="Arial" w:cs="Arial"/>
          <w:lang w:val="en-ZA"/>
        </w:rPr>
        <w:t xml:space="preserve"> of </w:t>
      </w:r>
      <w:r w:rsidR="00036C16">
        <w:rPr>
          <w:rFonts w:ascii="Arial" w:hAnsi="Arial" w:cs="Arial"/>
          <w:lang w:val="en-ZA"/>
        </w:rPr>
        <w:t xml:space="preserve">National Forensic Science Institute (hereafter </w:t>
      </w:r>
      <w:r w:rsidRPr="00751A48">
        <w:rPr>
          <w:rFonts w:ascii="Arial" w:hAnsi="Arial" w:cs="Arial"/>
          <w:lang w:val="en-ZA"/>
        </w:rPr>
        <w:t>NFSI</w:t>
      </w:r>
      <w:r w:rsidR="00036C16">
        <w:rPr>
          <w:rFonts w:ascii="Arial" w:hAnsi="Arial" w:cs="Arial"/>
          <w:lang w:val="en-ZA"/>
        </w:rPr>
        <w:t>)</w:t>
      </w:r>
      <w:r w:rsidRPr="00751A48">
        <w:rPr>
          <w:rFonts w:ascii="Arial" w:hAnsi="Arial" w:cs="Arial"/>
          <w:lang w:val="en-ZA"/>
        </w:rPr>
        <w:t xml:space="preserve"> Report 55/2016/R1</w:t>
      </w:r>
      <w:r w:rsidR="00751A48">
        <w:rPr>
          <w:rStyle w:val="FootnoteReference"/>
          <w:rFonts w:ascii="Arial" w:hAnsi="Arial" w:cs="Arial"/>
          <w:lang w:val="en-ZA"/>
        </w:rPr>
        <w:footnoteReference w:id="1"/>
      </w:r>
      <w:r w:rsidRPr="00751A48">
        <w:rPr>
          <w:rFonts w:ascii="Arial" w:hAnsi="Arial" w:cs="Arial"/>
          <w:lang w:val="en-ZA"/>
        </w:rPr>
        <w:t xml:space="preserve"> and Report 55/2016/R2,</w:t>
      </w:r>
      <w:r w:rsidR="00751A48">
        <w:rPr>
          <w:rStyle w:val="FootnoteReference"/>
          <w:rFonts w:ascii="Arial" w:hAnsi="Arial" w:cs="Arial"/>
          <w:lang w:val="en-ZA"/>
        </w:rPr>
        <w:footnoteReference w:id="2"/>
      </w:r>
      <w:r w:rsidRPr="00751A48">
        <w:rPr>
          <w:rFonts w:ascii="Arial" w:hAnsi="Arial" w:cs="Arial"/>
          <w:lang w:val="en-ZA"/>
        </w:rPr>
        <w:t xml:space="preserve"> both reports dated 15 January 2016.</w:t>
      </w:r>
    </w:p>
    <w:p w:rsidR="00D07663" w:rsidRPr="00D07663" w:rsidRDefault="00D07663" w:rsidP="00D07663">
      <w:pPr>
        <w:spacing w:line="360" w:lineRule="auto"/>
        <w:jc w:val="both"/>
        <w:rPr>
          <w:rFonts w:ascii="Arial" w:hAnsi="Arial" w:cs="Arial"/>
          <w:lang w:val="en-ZA"/>
        </w:rPr>
      </w:pPr>
    </w:p>
    <w:p w:rsidR="005D12E5" w:rsidRPr="00D07663" w:rsidRDefault="00D07663" w:rsidP="00A85222">
      <w:pPr>
        <w:spacing w:line="360" w:lineRule="auto"/>
        <w:jc w:val="both"/>
        <w:rPr>
          <w:rFonts w:ascii="Arial" w:hAnsi="Arial" w:cs="Arial"/>
          <w:i/>
          <w:lang w:val="en-ZA"/>
        </w:rPr>
      </w:pPr>
      <w:r>
        <w:rPr>
          <w:rFonts w:ascii="Arial" w:hAnsi="Arial" w:cs="Arial"/>
          <w:i/>
          <w:lang w:val="en-ZA"/>
        </w:rPr>
        <w:t>The state case</w:t>
      </w:r>
    </w:p>
    <w:p w:rsidR="002A053B" w:rsidRDefault="002A053B" w:rsidP="002A053B">
      <w:pPr>
        <w:spacing w:line="360" w:lineRule="auto"/>
        <w:jc w:val="both"/>
        <w:rPr>
          <w:rFonts w:ascii="Arial" w:hAnsi="Arial" w:cs="Arial"/>
        </w:rPr>
      </w:pPr>
      <w:r>
        <w:rPr>
          <w:rFonts w:ascii="Arial" w:hAnsi="Arial" w:cs="Arial"/>
        </w:rPr>
        <w:t>[</w:t>
      </w:r>
      <w:r w:rsidR="00CD07C3">
        <w:rPr>
          <w:rFonts w:ascii="Arial" w:hAnsi="Arial" w:cs="Arial"/>
        </w:rPr>
        <w:t>5</w:t>
      </w:r>
      <w:r>
        <w:rPr>
          <w:rFonts w:ascii="Arial" w:hAnsi="Arial" w:cs="Arial"/>
        </w:rPr>
        <w:t>]</w:t>
      </w:r>
      <w:r>
        <w:rPr>
          <w:rFonts w:ascii="Arial" w:hAnsi="Arial" w:cs="Arial"/>
        </w:rPr>
        <w:tab/>
        <w:t xml:space="preserve">State witness </w:t>
      </w:r>
      <w:r w:rsidRPr="00CD07C3">
        <w:rPr>
          <w:rFonts w:ascii="Arial" w:hAnsi="Arial" w:cs="Arial"/>
        </w:rPr>
        <w:t>Abisai Sebele’s</w:t>
      </w:r>
      <w:r>
        <w:rPr>
          <w:rFonts w:ascii="Arial" w:hAnsi="Arial" w:cs="Arial"/>
        </w:rPr>
        <w:t xml:space="preserve"> evidence relates to </w:t>
      </w:r>
      <w:r w:rsidR="00CD07C3">
        <w:rPr>
          <w:rFonts w:ascii="Arial" w:hAnsi="Arial" w:cs="Arial"/>
        </w:rPr>
        <w:t xml:space="preserve">the </w:t>
      </w:r>
      <w:r>
        <w:rPr>
          <w:rFonts w:ascii="Arial" w:hAnsi="Arial" w:cs="Arial"/>
        </w:rPr>
        <w:t>events of 5</w:t>
      </w:r>
      <w:r>
        <w:rPr>
          <w:rFonts w:ascii="Arial" w:hAnsi="Arial" w:cs="Arial"/>
          <w:vertAlign w:val="superscript"/>
        </w:rPr>
        <w:t xml:space="preserve"> </w:t>
      </w:r>
      <w:r w:rsidR="00CD07C3">
        <w:rPr>
          <w:rFonts w:ascii="Arial" w:hAnsi="Arial" w:cs="Arial"/>
        </w:rPr>
        <w:t>and</w:t>
      </w:r>
      <w:r>
        <w:rPr>
          <w:rFonts w:ascii="Arial" w:hAnsi="Arial" w:cs="Arial"/>
        </w:rPr>
        <w:t xml:space="preserve"> 6 January 2016 when he visited the accused and Clementia at home</w:t>
      </w:r>
      <w:r w:rsidR="00CD07C3">
        <w:rPr>
          <w:rFonts w:ascii="Arial" w:hAnsi="Arial" w:cs="Arial"/>
        </w:rPr>
        <w:t>, situated</w:t>
      </w:r>
      <w:r>
        <w:rPr>
          <w:rFonts w:ascii="Arial" w:hAnsi="Arial" w:cs="Arial"/>
        </w:rPr>
        <w:t xml:space="preserve"> in the area called Police Camp. On the second day the accused fetched Johanie who</w:t>
      </w:r>
      <w:r w:rsidR="002312FC">
        <w:rPr>
          <w:rFonts w:ascii="Arial" w:hAnsi="Arial" w:cs="Arial"/>
        </w:rPr>
        <w:t xml:space="preserve"> then joined them whilst</w:t>
      </w:r>
      <w:r>
        <w:rPr>
          <w:rFonts w:ascii="Arial" w:hAnsi="Arial" w:cs="Arial"/>
        </w:rPr>
        <w:t xml:space="preserve"> they indulged in drinking beer for most of the day. He was aware that the accused was in a romantic relationship with both ladies at the time. They eventually ended up at a bar where an altercation between the witness </w:t>
      </w:r>
      <w:r w:rsidR="002312FC">
        <w:rPr>
          <w:rFonts w:ascii="Arial" w:hAnsi="Arial" w:cs="Arial"/>
        </w:rPr>
        <w:t>and the accused took place when</w:t>
      </w:r>
      <w:r>
        <w:rPr>
          <w:rFonts w:ascii="Arial" w:hAnsi="Arial" w:cs="Arial"/>
        </w:rPr>
        <w:t xml:space="preserve"> Johanie asked money from the witness to play jackpot. Jealousy on the part of the accused seemed to have sparked the incident during which they swore at one another and besides the accused pointing a finger at the witness whilst touching his pistol</w:t>
      </w:r>
      <w:r w:rsidR="00CD07C3">
        <w:rPr>
          <w:rFonts w:ascii="Arial" w:hAnsi="Arial" w:cs="Arial"/>
        </w:rPr>
        <w:t xml:space="preserve"> on his side</w:t>
      </w:r>
      <w:r>
        <w:rPr>
          <w:rFonts w:ascii="Arial" w:hAnsi="Arial" w:cs="Arial"/>
        </w:rPr>
        <w:t xml:space="preserve">, nothing of significance flowed therefrom. They parted ways and that was the last time Abisai saw the three of them. He was subsequently arrested as a suspect but released after a few days. According to him this came as a result of the accused having informed the police that he (the witness), was innocent. </w:t>
      </w:r>
    </w:p>
    <w:p w:rsidR="002A053B" w:rsidRDefault="002A053B" w:rsidP="002A053B">
      <w:pPr>
        <w:spacing w:line="360" w:lineRule="auto"/>
        <w:jc w:val="both"/>
        <w:rPr>
          <w:rFonts w:ascii="Arial" w:hAnsi="Arial" w:cs="Arial"/>
        </w:rPr>
      </w:pPr>
    </w:p>
    <w:p w:rsidR="00CD07C3" w:rsidRDefault="002A053B" w:rsidP="002A053B">
      <w:pPr>
        <w:spacing w:line="360" w:lineRule="auto"/>
        <w:jc w:val="both"/>
        <w:rPr>
          <w:rFonts w:ascii="Arial" w:hAnsi="Arial" w:cs="Arial"/>
        </w:rPr>
      </w:pPr>
      <w:r>
        <w:rPr>
          <w:rFonts w:ascii="Arial" w:hAnsi="Arial" w:cs="Arial"/>
        </w:rPr>
        <w:t>[</w:t>
      </w:r>
      <w:r w:rsidR="00CD07C3">
        <w:rPr>
          <w:rFonts w:ascii="Arial" w:hAnsi="Arial" w:cs="Arial"/>
        </w:rPr>
        <w:t>6</w:t>
      </w:r>
      <w:r>
        <w:rPr>
          <w:rFonts w:ascii="Arial" w:hAnsi="Arial" w:cs="Arial"/>
        </w:rPr>
        <w:t>]</w:t>
      </w:r>
      <w:r>
        <w:rPr>
          <w:rFonts w:ascii="Arial" w:hAnsi="Arial" w:cs="Arial"/>
        </w:rPr>
        <w:tab/>
        <w:t>The witness further identified a cap, vest and tracksuit depicted in a photo plan</w:t>
      </w:r>
      <w:r>
        <w:rPr>
          <w:rStyle w:val="FootnoteReference"/>
          <w:rFonts w:ascii="Arial" w:hAnsi="Arial" w:cs="Arial"/>
        </w:rPr>
        <w:footnoteReference w:id="3"/>
      </w:r>
      <w:r>
        <w:rPr>
          <w:rFonts w:ascii="Arial" w:hAnsi="Arial" w:cs="Arial"/>
        </w:rPr>
        <w:t xml:space="preserve"> as the clothing of the accused, worn on the 6</w:t>
      </w:r>
      <w:r w:rsidRPr="003324DF">
        <w:rPr>
          <w:rFonts w:ascii="Arial" w:hAnsi="Arial" w:cs="Arial"/>
          <w:vertAlign w:val="superscript"/>
        </w:rPr>
        <w:t>th</w:t>
      </w:r>
      <w:r>
        <w:rPr>
          <w:rFonts w:ascii="Arial" w:hAnsi="Arial" w:cs="Arial"/>
        </w:rPr>
        <w:t xml:space="preserve"> </w:t>
      </w:r>
      <w:r w:rsidR="00CD07C3">
        <w:rPr>
          <w:rFonts w:ascii="Arial" w:hAnsi="Arial" w:cs="Arial"/>
        </w:rPr>
        <w:t xml:space="preserve">of </w:t>
      </w:r>
      <w:r>
        <w:rPr>
          <w:rFonts w:ascii="Arial" w:hAnsi="Arial" w:cs="Arial"/>
        </w:rPr>
        <w:t xml:space="preserve">January 2016. </w:t>
      </w:r>
      <w:r w:rsidR="00CD07C3">
        <w:rPr>
          <w:rFonts w:ascii="Arial" w:hAnsi="Arial" w:cs="Arial"/>
        </w:rPr>
        <w:t>Although the accused disputed evidence about Abisai having slept over at his place, nothing turns on this evidence.</w:t>
      </w:r>
    </w:p>
    <w:p w:rsidR="002A053B" w:rsidRDefault="00CD07C3" w:rsidP="002A053B">
      <w:pPr>
        <w:spacing w:line="360" w:lineRule="auto"/>
        <w:jc w:val="both"/>
        <w:rPr>
          <w:rFonts w:ascii="Arial" w:hAnsi="Arial" w:cs="Arial"/>
        </w:rPr>
      </w:pPr>
      <w:r>
        <w:rPr>
          <w:rFonts w:ascii="Arial" w:hAnsi="Arial" w:cs="Arial"/>
        </w:rPr>
        <w:t xml:space="preserve"> </w:t>
      </w:r>
    </w:p>
    <w:p w:rsidR="002A053B" w:rsidRDefault="002A053B" w:rsidP="002A053B">
      <w:pPr>
        <w:spacing w:line="360" w:lineRule="auto"/>
        <w:jc w:val="both"/>
        <w:rPr>
          <w:rFonts w:ascii="Arial" w:hAnsi="Arial" w:cs="Arial"/>
        </w:rPr>
      </w:pPr>
      <w:r>
        <w:rPr>
          <w:rFonts w:ascii="Arial" w:hAnsi="Arial" w:cs="Arial"/>
        </w:rPr>
        <w:t>[</w:t>
      </w:r>
      <w:r w:rsidR="00CD07C3">
        <w:rPr>
          <w:rFonts w:ascii="Arial" w:hAnsi="Arial" w:cs="Arial"/>
        </w:rPr>
        <w:t>7</w:t>
      </w:r>
      <w:r>
        <w:rPr>
          <w:rFonts w:ascii="Arial" w:hAnsi="Arial" w:cs="Arial"/>
        </w:rPr>
        <w:t>]</w:t>
      </w:r>
      <w:r>
        <w:rPr>
          <w:rFonts w:ascii="Arial" w:hAnsi="Arial" w:cs="Arial"/>
        </w:rPr>
        <w:tab/>
      </w:r>
      <w:r w:rsidRPr="00CD07C3">
        <w:rPr>
          <w:rFonts w:ascii="Arial" w:hAnsi="Arial" w:cs="Arial"/>
        </w:rPr>
        <w:t>Joseph Siwombe</w:t>
      </w:r>
      <w:r>
        <w:rPr>
          <w:rFonts w:ascii="Arial" w:hAnsi="Arial" w:cs="Arial"/>
        </w:rPr>
        <w:t xml:space="preserve"> was </w:t>
      </w:r>
      <w:r w:rsidR="00CD07C3">
        <w:rPr>
          <w:rFonts w:ascii="Arial" w:hAnsi="Arial" w:cs="Arial"/>
        </w:rPr>
        <w:t xml:space="preserve">present </w:t>
      </w:r>
      <w:r>
        <w:rPr>
          <w:rFonts w:ascii="Arial" w:hAnsi="Arial" w:cs="Arial"/>
        </w:rPr>
        <w:t xml:space="preserve">at the shebeen of his uncle when the accused arrived in the company of two ladies (identified </w:t>
      </w:r>
      <w:r w:rsidR="00CD07C3">
        <w:rPr>
          <w:rFonts w:ascii="Arial" w:hAnsi="Arial" w:cs="Arial"/>
        </w:rPr>
        <w:t xml:space="preserve">in court </w:t>
      </w:r>
      <w:r>
        <w:rPr>
          <w:rFonts w:ascii="Arial" w:hAnsi="Arial" w:cs="Arial"/>
        </w:rPr>
        <w:t xml:space="preserve">from a newspaper clipping as the two deceased) and one male person. He confirmed that they at some point moved outside the yard where the accused and Johanie were quarrelling. The </w:t>
      </w:r>
      <w:r w:rsidR="00CD07C3">
        <w:rPr>
          <w:rFonts w:ascii="Arial" w:hAnsi="Arial" w:cs="Arial"/>
        </w:rPr>
        <w:t>unknown male</w:t>
      </w:r>
      <w:r>
        <w:rPr>
          <w:rFonts w:ascii="Arial" w:hAnsi="Arial" w:cs="Arial"/>
        </w:rPr>
        <w:t xml:space="preserve"> left on </w:t>
      </w:r>
      <w:r w:rsidR="00036C16">
        <w:rPr>
          <w:rFonts w:ascii="Arial" w:hAnsi="Arial" w:cs="Arial"/>
        </w:rPr>
        <w:t>foot first, followed by</w:t>
      </w:r>
      <w:r>
        <w:rPr>
          <w:rFonts w:ascii="Arial" w:hAnsi="Arial" w:cs="Arial"/>
        </w:rPr>
        <w:t xml:space="preserve"> Clementia. Shortly thereafter the accused and Johanie drove off, still arguing.</w:t>
      </w:r>
    </w:p>
    <w:p w:rsidR="002A053B" w:rsidRDefault="002A053B" w:rsidP="002A053B">
      <w:pPr>
        <w:spacing w:line="360" w:lineRule="auto"/>
        <w:jc w:val="both"/>
        <w:rPr>
          <w:rFonts w:ascii="Arial" w:hAnsi="Arial" w:cs="Arial"/>
        </w:rPr>
      </w:pPr>
    </w:p>
    <w:p w:rsidR="002A053B" w:rsidRDefault="002A053B" w:rsidP="002A053B">
      <w:pPr>
        <w:spacing w:line="360" w:lineRule="auto"/>
        <w:jc w:val="both"/>
        <w:rPr>
          <w:rFonts w:ascii="Arial" w:hAnsi="Arial" w:cs="Arial"/>
        </w:rPr>
      </w:pPr>
      <w:r>
        <w:rPr>
          <w:rFonts w:ascii="Arial" w:hAnsi="Arial" w:cs="Arial"/>
        </w:rPr>
        <w:t>[</w:t>
      </w:r>
      <w:r w:rsidR="00036C16">
        <w:rPr>
          <w:rFonts w:ascii="Arial" w:hAnsi="Arial" w:cs="Arial"/>
        </w:rPr>
        <w:t>8</w:t>
      </w:r>
      <w:r>
        <w:rPr>
          <w:rFonts w:ascii="Arial" w:hAnsi="Arial" w:cs="Arial"/>
        </w:rPr>
        <w:t>]</w:t>
      </w:r>
      <w:r>
        <w:rPr>
          <w:rFonts w:ascii="Arial" w:hAnsi="Arial" w:cs="Arial"/>
        </w:rPr>
        <w:tab/>
      </w:r>
      <w:r w:rsidRPr="00036C16">
        <w:rPr>
          <w:rFonts w:ascii="Arial" w:hAnsi="Arial" w:cs="Arial"/>
        </w:rPr>
        <w:t>Vaapi Marenga</w:t>
      </w:r>
      <w:r>
        <w:rPr>
          <w:rFonts w:ascii="Arial" w:hAnsi="Arial" w:cs="Arial"/>
        </w:rPr>
        <w:t xml:space="preserve"> worked at the municipal dump site </w:t>
      </w:r>
      <w:r w:rsidR="00036C16">
        <w:rPr>
          <w:rFonts w:ascii="Arial" w:hAnsi="Arial" w:cs="Arial"/>
        </w:rPr>
        <w:t xml:space="preserve">and arrived at work before 6 </w:t>
      </w:r>
      <w:r w:rsidR="002312FC">
        <w:rPr>
          <w:rFonts w:ascii="Arial" w:hAnsi="Arial" w:cs="Arial"/>
        </w:rPr>
        <w:t xml:space="preserve">am </w:t>
      </w:r>
      <w:r>
        <w:rPr>
          <w:rFonts w:ascii="Arial" w:hAnsi="Arial" w:cs="Arial"/>
        </w:rPr>
        <w:t xml:space="preserve">on the </w:t>
      </w:r>
      <w:r w:rsidR="002312FC">
        <w:rPr>
          <w:rFonts w:ascii="Arial" w:hAnsi="Arial" w:cs="Arial"/>
        </w:rPr>
        <w:t>morning of 07 January 2016. Shortly</w:t>
      </w:r>
      <w:r w:rsidR="00036C16">
        <w:rPr>
          <w:rFonts w:ascii="Arial" w:hAnsi="Arial" w:cs="Arial"/>
        </w:rPr>
        <w:t xml:space="preserve"> after</w:t>
      </w:r>
      <w:r>
        <w:rPr>
          <w:rFonts w:ascii="Arial" w:hAnsi="Arial" w:cs="Arial"/>
        </w:rPr>
        <w:t xml:space="preserve"> two security guards reported for work, </w:t>
      </w:r>
      <w:r w:rsidR="00355980">
        <w:rPr>
          <w:rFonts w:ascii="Arial" w:hAnsi="Arial" w:cs="Arial"/>
        </w:rPr>
        <w:t xml:space="preserve">they summoned him to a spot where he observed an arm sticking out from under smouldering tyres. He then contacted the City Police. He </w:t>
      </w:r>
      <w:r w:rsidR="00036C16">
        <w:rPr>
          <w:rFonts w:ascii="Arial" w:hAnsi="Arial" w:cs="Arial"/>
        </w:rPr>
        <w:t>testified about</w:t>
      </w:r>
      <w:r w:rsidR="00355980">
        <w:rPr>
          <w:rFonts w:ascii="Arial" w:hAnsi="Arial" w:cs="Arial"/>
        </w:rPr>
        <w:t xml:space="preserve"> tyre tracks of a sedan vehicle </w:t>
      </w:r>
      <w:r w:rsidR="00036C16">
        <w:rPr>
          <w:rFonts w:ascii="Arial" w:hAnsi="Arial" w:cs="Arial"/>
        </w:rPr>
        <w:t xml:space="preserve">observed </w:t>
      </w:r>
      <w:r w:rsidR="00355980">
        <w:rPr>
          <w:rFonts w:ascii="Arial" w:hAnsi="Arial" w:cs="Arial"/>
        </w:rPr>
        <w:t>on the scene.</w:t>
      </w:r>
    </w:p>
    <w:p w:rsidR="002E3751" w:rsidRDefault="002E3751" w:rsidP="002A053B">
      <w:pPr>
        <w:spacing w:line="360" w:lineRule="auto"/>
        <w:jc w:val="both"/>
        <w:rPr>
          <w:rFonts w:ascii="Arial" w:hAnsi="Arial" w:cs="Arial"/>
        </w:rPr>
      </w:pPr>
    </w:p>
    <w:p w:rsidR="002E3751" w:rsidRDefault="002E3751" w:rsidP="002A053B">
      <w:pPr>
        <w:spacing w:line="360" w:lineRule="auto"/>
        <w:jc w:val="both"/>
        <w:rPr>
          <w:rFonts w:ascii="Arial" w:hAnsi="Arial" w:cs="Arial"/>
        </w:rPr>
      </w:pPr>
      <w:r>
        <w:rPr>
          <w:rFonts w:ascii="Arial" w:hAnsi="Arial" w:cs="Arial"/>
        </w:rPr>
        <w:t>[</w:t>
      </w:r>
      <w:r w:rsidR="00036C16">
        <w:rPr>
          <w:rFonts w:ascii="Arial" w:hAnsi="Arial" w:cs="Arial"/>
        </w:rPr>
        <w:t>9</w:t>
      </w:r>
      <w:r>
        <w:rPr>
          <w:rFonts w:ascii="Arial" w:hAnsi="Arial" w:cs="Arial"/>
        </w:rPr>
        <w:t>]</w:t>
      </w:r>
      <w:r>
        <w:rPr>
          <w:rFonts w:ascii="Arial" w:hAnsi="Arial" w:cs="Arial"/>
        </w:rPr>
        <w:tab/>
      </w:r>
      <w:r w:rsidR="002C7454" w:rsidRPr="00036C16">
        <w:rPr>
          <w:rFonts w:ascii="Arial" w:hAnsi="Arial" w:cs="Arial"/>
        </w:rPr>
        <w:t>Detective Chief Inspector Vilho Amoomo</w:t>
      </w:r>
      <w:r w:rsidR="00036C16">
        <w:rPr>
          <w:rFonts w:ascii="Arial" w:hAnsi="Arial" w:cs="Arial"/>
        </w:rPr>
        <w:t>, the initial investigator,</w:t>
      </w:r>
      <w:r w:rsidR="002C7454">
        <w:rPr>
          <w:rFonts w:ascii="Arial" w:hAnsi="Arial" w:cs="Arial"/>
        </w:rPr>
        <w:t xml:space="preserve"> was summoned </w:t>
      </w:r>
      <w:r w:rsidR="00F37199">
        <w:rPr>
          <w:rFonts w:ascii="Arial" w:hAnsi="Arial" w:cs="Arial"/>
        </w:rPr>
        <w:t xml:space="preserve">to the municipal dump site </w:t>
      </w:r>
      <w:r w:rsidR="00036C16">
        <w:rPr>
          <w:rFonts w:ascii="Arial" w:hAnsi="Arial" w:cs="Arial"/>
        </w:rPr>
        <w:t>that morning where he found</w:t>
      </w:r>
      <w:r w:rsidR="00E43BD4">
        <w:rPr>
          <w:rFonts w:ascii="Arial" w:hAnsi="Arial" w:cs="Arial"/>
        </w:rPr>
        <w:t xml:space="preserve"> the (burnt) bodies of two female pers</w:t>
      </w:r>
      <w:r w:rsidR="00F37199">
        <w:rPr>
          <w:rFonts w:ascii="Arial" w:hAnsi="Arial" w:cs="Arial"/>
        </w:rPr>
        <w:t>ons under some smouldering</w:t>
      </w:r>
      <w:r w:rsidR="00E43BD4">
        <w:rPr>
          <w:rFonts w:ascii="Arial" w:hAnsi="Arial" w:cs="Arial"/>
        </w:rPr>
        <w:t xml:space="preserve"> tyres. With the removal of the bodies he observed a MTC SIM card lying under the one body and a cell</w:t>
      </w:r>
      <w:r w:rsidR="00F37199">
        <w:rPr>
          <w:rFonts w:ascii="Arial" w:hAnsi="Arial" w:cs="Arial"/>
        </w:rPr>
        <w:t xml:space="preserve"> </w:t>
      </w:r>
      <w:r w:rsidR="00E43BD4">
        <w:rPr>
          <w:rFonts w:ascii="Arial" w:hAnsi="Arial" w:cs="Arial"/>
        </w:rPr>
        <w:t>phone next t</w:t>
      </w:r>
      <w:r w:rsidR="00036C16">
        <w:rPr>
          <w:rFonts w:ascii="Arial" w:hAnsi="Arial" w:cs="Arial"/>
        </w:rPr>
        <w:t>o it, damaged beyond identification</w:t>
      </w:r>
      <w:r w:rsidR="00E43BD4">
        <w:rPr>
          <w:rFonts w:ascii="Arial" w:hAnsi="Arial" w:cs="Arial"/>
        </w:rPr>
        <w:t xml:space="preserve">. He observed tyre tracks at the scene which were possibly </w:t>
      </w:r>
      <w:r w:rsidR="00036C16">
        <w:rPr>
          <w:rFonts w:ascii="Arial" w:hAnsi="Arial" w:cs="Arial"/>
        </w:rPr>
        <w:t>made by</w:t>
      </w:r>
      <w:r w:rsidR="00E43BD4">
        <w:rPr>
          <w:rFonts w:ascii="Arial" w:hAnsi="Arial" w:cs="Arial"/>
        </w:rPr>
        <w:t xml:space="preserve"> the vehicle used to </w:t>
      </w:r>
      <w:r w:rsidR="00F37199">
        <w:rPr>
          <w:rFonts w:ascii="Arial" w:hAnsi="Arial" w:cs="Arial"/>
        </w:rPr>
        <w:t>drop off the bodies</w:t>
      </w:r>
      <w:r w:rsidR="00036C16">
        <w:rPr>
          <w:rFonts w:ascii="Arial" w:hAnsi="Arial" w:cs="Arial"/>
        </w:rPr>
        <w:t>. He</w:t>
      </w:r>
      <w:r w:rsidR="00E43BD4">
        <w:rPr>
          <w:rFonts w:ascii="Arial" w:hAnsi="Arial" w:cs="Arial"/>
        </w:rPr>
        <w:t xml:space="preserve"> described these </w:t>
      </w:r>
      <w:r w:rsidR="00036C16">
        <w:rPr>
          <w:rFonts w:ascii="Arial" w:hAnsi="Arial" w:cs="Arial"/>
        </w:rPr>
        <w:t>tracks</w:t>
      </w:r>
      <w:r w:rsidR="00E43BD4">
        <w:rPr>
          <w:rFonts w:ascii="Arial" w:hAnsi="Arial" w:cs="Arial"/>
        </w:rPr>
        <w:t xml:space="preserve"> </w:t>
      </w:r>
      <w:r w:rsidR="00036C16">
        <w:rPr>
          <w:rFonts w:ascii="Arial" w:hAnsi="Arial" w:cs="Arial"/>
        </w:rPr>
        <w:t xml:space="preserve">being </w:t>
      </w:r>
      <w:r w:rsidR="00E43BD4">
        <w:rPr>
          <w:rFonts w:ascii="Arial" w:hAnsi="Arial" w:cs="Arial"/>
        </w:rPr>
        <w:t xml:space="preserve">wide with straight grooves. He further </w:t>
      </w:r>
      <w:r w:rsidR="00F4404C">
        <w:rPr>
          <w:rFonts w:ascii="Arial" w:hAnsi="Arial" w:cs="Arial"/>
        </w:rPr>
        <w:t>observed shoeprints which he captured</w:t>
      </w:r>
      <w:r w:rsidR="00E43BD4">
        <w:rPr>
          <w:rFonts w:ascii="Arial" w:hAnsi="Arial" w:cs="Arial"/>
        </w:rPr>
        <w:t xml:space="preserve"> on his </w:t>
      </w:r>
      <w:r w:rsidR="00F37199">
        <w:rPr>
          <w:rFonts w:ascii="Arial" w:hAnsi="Arial" w:cs="Arial"/>
        </w:rPr>
        <w:t>cell phone</w:t>
      </w:r>
      <w:r w:rsidR="00E43BD4">
        <w:rPr>
          <w:rFonts w:ascii="Arial" w:hAnsi="Arial" w:cs="Arial"/>
        </w:rPr>
        <w:t xml:space="preserve">. </w:t>
      </w:r>
      <w:r w:rsidR="00F4404C">
        <w:rPr>
          <w:rFonts w:ascii="Arial" w:hAnsi="Arial" w:cs="Arial"/>
        </w:rPr>
        <w:t xml:space="preserve">As his </w:t>
      </w:r>
      <w:r w:rsidR="00F37199">
        <w:rPr>
          <w:rFonts w:ascii="Arial" w:hAnsi="Arial" w:cs="Arial"/>
        </w:rPr>
        <w:t>cell phone</w:t>
      </w:r>
      <w:r w:rsidR="00F4404C">
        <w:rPr>
          <w:rFonts w:ascii="Arial" w:hAnsi="Arial" w:cs="Arial"/>
        </w:rPr>
        <w:t xml:space="preserve"> subsequently got damaged, the photos of the shoeprints could not be reproduced as evidence. Samples and evidence collected were s</w:t>
      </w:r>
      <w:r w:rsidR="00036C16">
        <w:rPr>
          <w:rFonts w:ascii="Arial" w:hAnsi="Arial" w:cs="Arial"/>
        </w:rPr>
        <w:t xml:space="preserve">ealed in forensic bags and </w:t>
      </w:r>
      <w:r w:rsidR="00F4404C">
        <w:rPr>
          <w:rFonts w:ascii="Arial" w:hAnsi="Arial" w:cs="Arial"/>
        </w:rPr>
        <w:t xml:space="preserve">in the custody of the witness until </w:t>
      </w:r>
      <w:r w:rsidR="00F37199">
        <w:rPr>
          <w:rFonts w:ascii="Arial" w:hAnsi="Arial" w:cs="Arial"/>
        </w:rPr>
        <w:t xml:space="preserve">such time when it was </w:t>
      </w:r>
      <w:r w:rsidR="00F4404C">
        <w:rPr>
          <w:rFonts w:ascii="Arial" w:hAnsi="Arial" w:cs="Arial"/>
        </w:rPr>
        <w:t>taken to the NFSI for forensic analysis.</w:t>
      </w:r>
    </w:p>
    <w:p w:rsidR="00355980" w:rsidRDefault="00355980" w:rsidP="002A053B">
      <w:pPr>
        <w:spacing w:line="360" w:lineRule="auto"/>
        <w:jc w:val="both"/>
        <w:rPr>
          <w:rFonts w:ascii="Arial" w:hAnsi="Arial" w:cs="Arial"/>
        </w:rPr>
      </w:pPr>
    </w:p>
    <w:p w:rsidR="00F4404C" w:rsidRDefault="00355980" w:rsidP="002A053B">
      <w:pPr>
        <w:spacing w:line="360" w:lineRule="auto"/>
        <w:jc w:val="both"/>
        <w:rPr>
          <w:rFonts w:ascii="Arial" w:hAnsi="Arial" w:cs="Arial"/>
        </w:rPr>
      </w:pPr>
      <w:r>
        <w:rPr>
          <w:rFonts w:ascii="Arial" w:hAnsi="Arial" w:cs="Arial"/>
        </w:rPr>
        <w:lastRenderedPageBreak/>
        <w:t>[</w:t>
      </w:r>
      <w:r w:rsidR="00036C16">
        <w:rPr>
          <w:rFonts w:ascii="Arial" w:hAnsi="Arial" w:cs="Arial"/>
        </w:rPr>
        <w:t>10</w:t>
      </w:r>
      <w:r>
        <w:rPr>
          <w:rFonts w:ascii="Arial" w:hAnsi="Arial" w:cs="Arial"/>
        </w:rPr>
        <w:t>]</w:t>
      </w:r>
      <w:r>
        <w:rPr>
          <w:rFonts w:ascii="Arial" w:hAnsi="Arial" w:cs="Arial"/>
        </w:rPr>
        <w:tab/>
      </w:r>
      <w:r w:rsidRPr="00036C16">
        <w:rPr>
          <w:rFonts w:ascii="Arial" w:hAnsi="Arial" w:cs="Arial"/>
        </w:rPr>
        <w:t>Warrant Officer Frans Nakangombe</w:t>
      </w:r>
      <w:r>
        <w:rPr>
          <w:rFonts w:ascii="Arial" w:hAnsi="Arial" w:cs="Arial"/>
        </w:rPr>
        <w:t xml:space="preserve"> was tasked to investigate and obtain a MTC call register in respect of the SIM card retrieved</w:t>
      </w:r>
      <w:r w:rsidR="00F37199">
        <w:rPr>
          <w:rFonts w:ascii="Arial" w:hAnsi="Arial" w:cs="Arial"/>
        </w:rPr>
        <w:t xml:space="preserve"> from under one of the burnt</w:t>
      </w:r>
      <w:r>
        <w:rPr>
          <w:rFonts w:ascii="Arial" w:hAnsi="Arial" w:cs="Arial"/>
        </w:rPr>
        <w:t xml:space="preserve"> bodies at the dump site. </w:t>
      </w:r>
      <w:r w:rsidR="00850D06">
        <w:rPr>
          <w:rFonts w:ascii="Arial" w:hAnsi="Arial" w:cs="Arial"/>
        </w:rPr>
        <w:t>When calling a number most frequently used</w:t>
      </w:r>
      <w:r w:rsidR="000C64D9">
        <w:rPr>
          <w:rFonts w:ascii="Arial" w:hAnsi="Arial" w:cs="Arial"/>
        </w:rPr>
        <w:t xml:space="preserve"> as per the SIM card</w:t>
      </w:r>
      <w:r w:rsidR="00036C16">
        <w:rPr>
          <w:rFonts w:ascii="Arial" w:hAnsi="Arial" w:cs="Arial"/>
        </w:rPr>
        <w:t>, he established contact with</w:t>
      </w:r>
      <w:r w:rsidR="00850D06">
        <w:rPr>
          <w:rFonts w:ascii="Arial" w:hAnsi="Arial" w:cs="Arial"/>
        </w:rPr>
        <w:t xml:space="preserve"> the accused who said that the number called from,</w:t>
      </w:r>
      <w:r w:rsidR="000C64D9">
        <w:rPr>
          <w:rFonts w:ascii="Arial" w:hAnsi="Arial" w:cs="Arial"/>
        </w:rPr>
        <w:t xml:space="preserve"> was that of his girlfriend Pere</w:t>
      </w:r>
      <w:r w:rsidR="00850D06">
        <w:rPr>
          <w:rFonts w:ascii="Arial" w:hAnsi="Arial" w:cs="Arial"/>
        </w:rPr>
        <w:t>s</w:t>
      </w:r>
      <w:r w:rsidR="00E42456">
        <w:rPr>
          <w:rFonts w:ascii="Arial" w:hAnsi="Arial" w:cs="Arial"/>
        </w:rPr>
        <w:t xml:space="preserve"> (Johanie Naruses)</w:t>
      </w:r>
      <w:r w:rsidR="00850D06">
        <w:rPr>
          <w:rFonts w:ascii="Arial" w:hAnsi="Arial" w:cs="Arial"/>
        </w:rPr>
        <w:t xml:space="preserve">. He met </w:t>
      </w:r>
      <w:r w:rsidR="00F37199">
        <w:rPr>
          <w:rFonts w:ascii="Arial" w:hAnsi="Arial" w:cs="Arial"/>
        </w:rPr>
        <w:t>up with the accused who thereafter</w:t>
      </w:r>
      <w:r w:rsidR="00850D06">
        <w:rPr>
          <w:rFonts w:ascii="Arial" w:hAnsi="Arial" w:cs="Arial"/>
        </w:rPr>
        <w:t xml:space="preserve"> directed him to a house in Greenwell Matongo where they spo</w:t>
      </w:r>
      <w:r w:rsidR="001D2840">
        <w:rPr>
          <w:rFonts w:ascii="Arial" w:hAnsi="Arial" w:cs="Arial"/>
        </w:rPr>
        <w:t>ke to one Vernon who had been</w:t>
      </w:r>
      <w:r w:rsidR="00F37199">
        <w:rPr>
          <w:rFonts w:ascii="Arial" w:hAnsi="Arial" w:cs="Arial"/>
        </w:rPr>
        <w:t xml:space="preserve"> </w:t>
      </w:r>
      <w:r w:rsidR="00036C16">
        <w:rPr>
          <w:rFonts w:ascii="Arial" w:hAnsi="Arial" w:cs="Arial"/>
        </w:rPr>
        <w:t xml:space="preserve">staying </w:t>
      </w:r>
      <w:r w:rsidR="000C64D9">
        <w:rPr>
          <w:rFonts w:ascii="Arial" w:hAnsi="Arial" w:cs="Arial"/>
        </w:rPr>
        <w:t>with Johanie</w:t>
      </w:r>
      <w:r w:rsidR="00F37199">
        <w:rPr>
          <w:rFonts w:ascii="Arial" w:hAnsi="Arial" w:cs="Arial"/>
        </w:rPr>
        <w:t>. He learned</w:t>
      </w:r>
      <w:r w:rsidR="00850D06">
        <w:rPr>
          <w:rFonts w:ascii="Arial" w:hAnsi="Arial" w:cs="Arial"/>
        </w:rPr>
        <w:t xml:space="preserve"> </w:t>
      </w:r>
      <w:r w:rsidR="002E3751">
        <w:rPr>
          <w:rFonts w:ascii="Arial" w:hAnsi="Arial" w:cs="Arial"/>
        </w:rPr>
        <w:t xml:space="preserve">that the accused </w:t>
      </w:r>
      <w:r w:rsidR="001D2840">
        <w:rPr>
          <w:rFonts w:ascii="Arial" w:hAnsi="Arial" w:cs="Arial"/>
        </w:rPr>
        <w:t xml:space="preserve">had </w:t>
      </w:r>
      <w:r w:rsidR="002E3751">
        <w:rPr>
          <w:rFonts w:ascii="Arial" w:hAnsi="Arial" w:cs="Arial"/>
        </w:rPr>
        <w:t>picked up</w:t>
      </w:r>
      <w:r w:rsidR="000C64D9">
        <w:rPr>
          <w:rFonts w:ascii="Arial" w:hAnsi="Arial" w:cs="Arial"/>
        </w:rPr>
        <w:t xml:space="preserve"> Johanie</w:t>
      </w:r>
      <w:r w:rsidR="00850D06">
        <w:rPr>
          <w:rFonts w:ascii="Arial" w:hAnsi="Arial" w:cs="Arial"/>
        </w:rPr>
        <w:t xml:space="preserve"> on the 6</w:t>
      </w:r>
      <w:r w:rsidR="00850D06" w:rsidRPr="00850D06">
        <w:rPr>
          <w:rFonts w:ascii="Arial" w:hAnsi="Arial" w:cs="Arial"/>
          <w:vertAlign w:val="superscript"/>
        </w:rPr>
        <w:t>th</w:t>
      </w:r>
      <w:r w:rsidR="00850D06">
        <w:rPr>
          <w:rFonts w:ascii="Arial" w:hAnsi="Arial" w:cs="Arial"/>
        </w:rPr>
        <w:t xml:space="preserve"> January 2016</w:t>
      </w:r>
      <w:r w:rsidR="000C64D9">
        <w:rPr>
          <w:rFonts w:ascii="Arial" w:hAnsi="Arial" w:cs="Arial"/>
        </w:rPr>
        <w:t>,</w:t>
      </w:r>
      <w:r w:rsidR="00850D06">
        <w:rPr>
          <w:rFonts w:ascii="Arial" w:hAnsi="Arial" w:cs="Arial"/>
        </w:rPr>
        <w:t xml:space="preserve"> which </w:t>
      </w:r>
      <w:r w:rsidR="001D2840">
        <w:rPr>
          <w:rFonts w:ascii="Arial" w:hAnsi="Arial" w:cs="Arial"/>
        </w:rPr>
        <w:t>t</w:t>
      </w:r>
      <w:r w:rsidR="00850D06">
        <w:rPr>
          <w:rFonts w:ascii="Arial" w:hAnsi="Arial" w:cs="Arial"/>
        </w:rPr>
        <w:t xml:space="preserve">he </w:t>
      </w:r>
      <w:r w:rsidR="001D2840">
        <w:rPr>
          <w:rFonts w:ascii="Arial" w:hAnsi="Arial" w:cs="Arial"/>
        </w:rPr>
        <w:t>accused confirmed</w:t>
      </w:r>
      <w:r w:rsidR="00850D06">
        <w:rPr>
          <w:rFonts w:ascii="Arial" w:hAnsi="Arial" w:cs="Arial"/>
        </w:rPr>
        <w:t xml:space="preserve"> but </w:t>
      </w:r>
      <w:r w:rsidR="001D2840">
        <w:rPr>
          <w:rFonts w:ascii="Arial" w:hAnsi="Arial" w:cs="Arial"/>
        </w:rPr>
        <w:t>said that he was together with</w:t>
      </w:r>
      <w:r w:rsidR="00BD197D">
        <w:rPr>
          <w:rFonts w:ascii="Arial" w:hAnsi="Arial" w:cs="Arial"/>
        </w:rPr>
        <w:t xml:space="preserve"> a</w:t>
      </w:r>
      <w:r w:rsidR="00E76F6A">
        <w:rPr>
          <w:rFonts w:ascii="Arial" w:hAnsi="Arial" w:cs="Arial"/>
        </w:rPr>
        <w:t>n unknown</w:t>
      </w:r>
      <w:r w:rsidR="00BD197D">
        <w:rPr>
          <w:rFonts w:ascii="Arial" w:hAnsi="Arial" w:cs="Arial"/>
        </w:rPr>
        <w:t xml:space="preserve"> coloured </w:t>
      </w:r>
      <w:r w:rsidR="002E3751">
        <w:rPr>
          <w:rFonts w:ascii="Arial" w:hAnsi="Arial" w:cs="Arial"/>
        </w:rPr>
        <w:t>(</w:t>
      </w:r>
      <w:r w:rsidR="00E76F6A">
        <w:rPr>
          <w:rFonts w:ascii="Arial" w:hAnsi="Arial" w:cs="Arial"/>
        </w:rPr>
        <w:t>male</w:t>
      </w:r>
      <w:r w:rsidR="002E3751">
        <w:rPr>
          <w:rFonts w:ascii="Arial" w:hAnsi="Arial" w:cs="Arial"/>
        </w:rPr>
        <w:t>)</w:t>
      </w:r>
      <w:r w:rsidR="00E76F6A">
        <w:rPr>
          <w:rFonts w:ascii="Arial" w:hAnsi="Arial" w:cs="Arial"/>
        </w:rPr>
        <w:t xml:space="preserve"> person driving a white Citi</w:t>
      </w:r>
      <w:r w:rsidR="00BD197D">
        <w:rPr>
          <w:rFonts w:ascii="Arial" w:hAnsi="Arial" w:cs="Arial"/>
        </w:rPr>
        <w:t xml:space="preserve"> Golf when they </w:t>
      </w:r>
      <w:r w:rsidR="00850D06">
        <w:rPr>
          <w:rFonts w:ascii="Arial" w:hAnsi="Arial" w:cs="Arial"/>
        </w:rPr>
        <w:t>dropped her off at the offices of the Ministry of Labour</w:t>
      </w:r>
      <w:r w:rsidR="004526D6">
        <w:rPr>
          <w:rFonts w:ascii="Arial" w:hAnsi="Arial" w:cs="Arial"/>
        </w:rPr>
        <w:t>. The accused thereafter</w:t>
      </w:r>
      <w:r w:rsidR="00BD197D">
        <w:rPr>
          <w:rFonts w:ascii="Arial" w:hAnsi="Arial" w:cs="Arial"/>
        </w:rPr>
        <w:t xml:space="preserve"> directed them to a house in Khom</w:t>
      </w:r>
      <w:r w:rsidR="00F37199">
        <w:rPr>
          <w:rFonts w:ascii="Arial" w:hAnsi="Arial" w:cs="Arial"/>
        </w:rPr>
        <w:t>asdal where this person resided. However, the occupants of the</w:t>
      </w:r>
      <w:r w:rsidR="00BD197D">
        <w:rPr>
          <w:rFonts w:ascii="Arial" w:hAnsi="Arial" w:cs="Arial"/>
        </w:rPr>
        <w:t xml:space="preserve"> house</w:t>
      </w:r>
      <w:r w:rsidR="00F37199">
        <w:rPr>
          <w:rFonts w:ascii="Arial" w:hAnsi="Arial" w:cs="Arial"/>
        </w:rPr>
        <w:t xml:space="preserve"> </w:t>
      </w:r>
      <w:r w:rsidR="001D2840">
        <w:rPr>
          <w:rFonts w:ascii="Arial" w:hAnsi="Arial" w:cs="Arial"/>
        </w:rPr>
        <w:t xml:space="preserve">denied </w:t>
      </w:r>
      <w:r w:rsidR="00F37199">
        <w:rPr>
          <w:rFonts w:ascii="Arial" w:hAnsi="Arial" w:cs="Arial"/>
        </w:rPr>
        <w:t>that such person lived there</w:t>
      </w:r>
      <w:r w:rsidR="00BD197D">
        <w:rPr>
          <w:rFonts w:ascii="Arial" w:hAnsi="Arial" w:cs="Arial"/>
        </w:rPr>
        <w:t xml:space="preserve">. </w:t>
      </w:r>
    </w:p>
    <w:p w:rsidR="00F4404C" w:rsidRDefault="00F4404C" w:rsidP="002A053B">
      <w:pPr>
        <w:spacing w:line="360" w:lineRule="auto"/>
        <w:jc w:val="both"/>
        <w:rPr>
          <w:rFonts w:ascii="Arial" w:hAnsi="Arial" w:cs="Arial"/>
        </w:rPr>
      </w:pPr>
    </w:p>
    <w:p w:rsidR="00355980" w:rsidRDefault="00F4404C" w:rsidP="002A053B">
      <w:pPr>
        <w:spacing w:line="360" w:lineRule="auto"/>
        <w:jc w:val="both"/>
        <w:rPr>
          <w:rFonts w:ascii="Arial" w:hAnsi="Arial" w:cs="Arial"/>
        </w:rPr>
      </w:pPr>
      <w:r w:rsidRPr="00194D64">
        <w:rPr>
          <w:rFonts w:ascii="Arial" w:hAnsi="Arial" w:cs="Arial"/>
        </w:rPr>
        <w:t>[</w:t>
      </w:r>
      <w:r w:rsidR="001D2840">
        <w:rPr>
          <w:rFonts w:ascii="Arial" w:hAnsi="Arial" w:cs="Arial"/>
        </w:rPr>
        <w:t>11</w:t>
      </w:r>
      <w:r w:rsidRPr="00194D64">
        <w:rPr>
          <w:rFonts w:ascii="Arial" w:hAnsi="Arial" w:cs="Arial"/>
        </w:rPr>
        <w:t>]</w:t>
      </w:r>
      <w:r>
        <w:rPr>
          <w:rFonts w:ascii="Arial" w:hAnsi="Arial" w:cs="Arial"/>
        </w:rPr>
        <w:tab/>
        <w:t xml:space="preserve">Chief Inspector Amoomo </w:t>
      </w:r>
      <w:r w:rsidR="001D2840">
        <w:rPr>
          <w:rFonts w:ascii="Arial" w:hAnsi="Arial" w:cs="Arial"/>
        </w:rPr>
        <w:t>joined Nakombonde</w:t>
      </w:r>
      <w:r w:rsidR="00731C0F">
        <w:rPr>
          <w:rFonts w:ascii="Arial" w:hAnsi="Arial" w:cs="Arial"/>
        </w:rPr>
        <w:t xml:space="preserve"> and other police officers </w:t>
      </w:r>
      <w:r>
        <w:rPr>
          <w:rFonts w:ascii="Arial" w:hAnsi="Arial" w:cs="Arial"/>
        </w:rPr>
        <w:t>at a place near</w:t>
      </w:r>
      <w:r w:rsidR="001D2840">
        <w:rPr>
          <w:rFonts w:ascii="Arial" w:hAnsi="Arial" w:cs="Arial"/>
        </w:rPr>
        <w:t xml:space="preserve"> the Katutura Magistrate’s C</w:t>
      </w:r>
      <w:r w:rsidR="00313A6B">
        <w:rPr>
          <w:rFonts w:ascii="Arial" w:hAnsi="Arial" w:cs="Arial"/>
        </w:rPr>
        <w:t>ourt. After the situation was explained to the ac</w:t>
      </w:r>
      <w:r w:rsidR="00731C0F">
        <w:rPr>
          <w:rFonts w:ascii="Arial" w:hAnsi="Arial" w:cs="Arial"/>
        </w:rPr>
        <w:t>cused, he was asked to take the police</w:t>
      </w:r>
      <w:r w:rsidR="00313A6B">
        <w:rPr>
          <w:rFonts w:ascii="Arial" w:hAnsi="Arial" w:cs="Arial"/>
        </w:rPr>
        <w:t xml:space="preserve"> to his residence</w:t>
      </w:r>
      <w:r w:rsidR="00731C0F">
        <w:rPr>
          <w:rFonts w:ascii="Arial" w:hAnsi="Arial" w:cs="Arial"/>
        </w:rPr>
        <w:t>. A</w:t>
      </w:r>
      <w:r w:rsidR="00313A6B">
        <w:rPr>
          <w:rFonts w:ascii="Arial" w:hAnsi="Arial" w:cs="Arial"/>
        </w:rPr>
        <w:t>lthough he at first refused, he changed his mind after a while</w:t>
      </w:r>
      <w:r w:rsidR="00731C0F">
        <w:rPr>
          <w:rFonts w:ascii="Arial" w:hAnsi="Arial" w:cs="Arial"/>
        </w:rPr>
        <w:t xml:space="preserve"> and took them there</w:t>
      </w:r>
      <w:r w:rsidR="00313A6B">
        <w:rPr>
          <w:rFonts w:ascii="Arial" w:hAnsi="Arial" w:cs="Arial"/>
        </w:rPr>
        <w:t xml:space="preserve">. </w:t>
      </w:r>
      <w:r w:rsidR="00BD197D">
        <w:rPr>
          <w:rFonts w:ascii="Arial" w:hAnsi="Arial" w:cs="Arial"/>
        </w:rPr>
        <w:t>The invest</w:t>
      </w:r>
      <w:r w:rsidR="004526D6">
        <w:rPr>
          <w:rFonts w:ascii="Arial" w:hAnsi="Arial" w:cs="Arial"/>
        </w:rPr>
        <w:t>igation then shifted to the flat</w:t>
      </w:r>
      <w:r w:rsidR="00BD197D">
        <w:rPr>
          <w:rFonts w:ascii="Arial" w:hAnsi="Arial" w:cs="Arial"/>
        </w:rPr>
        <w:t xml:space="preserve"> occupied by the accused</w:t>
      </w:r>
      <w:r w:rsidR="004526D6">
        <w:rPr>
          <w:rFonts w:ascii="Arial" w:hAnsi="Arial" w:cs="Arial"/>
        </w:rPr>
        <w:t xml:space="preserve"> </w:t>
      </w:r>
      <w:r w:rsidR="001D2840">
        <w:rPr>
          <w:rFonts w:ascii="Arial" w:hAnsi="Arial" w:cs="Arial"/>
        </w:rPr>
        <w:t>in the backyard of the</w:t>
      </w:r>
      <w:r w:rsidR="004526D6">
        <w:rPr>
          <w:rFonts w:ascii="Arial" w:hAnsi="Arial" w:cs="Arial"/>
        </w:rPr>
        <w:t xml:space="preserve"> house at erf no 8003 Richard Kamuhukua street, Katutura</w:t>
      </w:r>
      <w:r w:rsidR="001D2840">
        <w:rPr>
          <w:rFonts w:ascii="Arial" w:hAnsi="Arial" w:cs="Arial"/>
        </w:rPr>
        <w:t>,</w:t>
      </w:r>
      <w:r w:rsidR="001D2840" w:rsidRPr="001D2840">
        <w:rPr>
          <w:rFonts w:ascii="Arial" w:hAnsi="Arial" w:cs="Arial"/>
        </w:rPr>
        <w:t xml:space="preserve"> </w:t>
      </w:r>
      <w:r w:rsidR="001D2840">
        <w:rPr>
          <w:rFonts w:ascii="Arial" w:hAnsi="Arial" w:cs="Arial"/>
        </w:rPr>
        <w:t>where they met the</w:t>
      </w:r>
      <w:r w:rsidR="00313A6B">
        <w:rPr>
          <w:rFonts w:ascii="Arial" w:hAnsi="Arial" w:cs="Arial"/>
        </w:rPr>
        <w:t xml:space="preserve"> two brothers and one sister of the accused. Permission was obtained from the accused to search his flat.</w:t>
      </w:r>
    </w:p>
    <w:p w:rsidR="00BD197D" w:rsidRDefault="00BD197D" w:rsidP="002A053B">
      <w:pPr>
        <w:spacing w:line="360" w:lineRule="auto"/>
        <w:jc w:val="both"/>
        <w:rPr>
          <w:rFonts w:ascii="Arial" w:hAnsi="Arial" w:cs="Arial"/>
        </w:rPr>
      </w:pPr>
    </w:p>
    <w:p w:rsidR="00313A6B" w:rsidRDefault="00313A6B" w:rsidP="002A053B">
      <w:pPr>
        <w:spacing w:line="360" w:lineRule="auto"/>
        <w:jc w:val="both"/>
        <w:rPr>
          <w:rFonts w:ascii="Arial" w:hAnsi="Arial" w:cs="Arial"/>
        </w:rPr>
      </w:pPr>
      <w:r>
        <w:rPr>
          <w:rFonts w:ascii="Arial" w:hAnsi="Arial" w:cs="Arial"/>
        </w:rPr>
        <w:t>[</w:t>
      </w:r>
      <w:r w:rsidR="001D2840">
        <w:rPr>
          <w:rFonts w:ascii="Arial" w:hAnsi="Arial" w:cs="Arial"/>
        </w:rPr>
        <w:t>12</w:t>
      </w:r>
      <w:r>
        <w:rPr>
          <w:rFonts w:ascii="Arial" w:hAnsi="Arial" w:cs="Arial"/>
        </w:rPr>
        <w:t>]</w:t>
      </w:r>
      <w:r>
        <w:rPr>
          <w:rFonts w:ascii="Arial" w:hAnsi="Arial" w:cs="Arial"/>
        </w:rPr>
        <w:tab/>
        <w:t>During the</w:t>
      </w:r>
      <w:r w:rsidR="00BD197D">
        <w:rPr>
          <w:rFonts w:ascii="Arial" w:hAnsi="Arial" w:cs="Arial"/>
        </w:rPr>
        <w:t xml:space="preserve"> search a pair of black Adidas sports shoes were found that were wet and</w:t>
      </w:r>
      <w:r w:rsidR="004526D6">
        <w:rPr>
          <w:rFonts w:ascii="Arial" w:hAnsi="Arial" w:cs="Arial"/>
        </w:rPr>
        <w:t>,</w:t>
      </w:r>
      <w:r w:rsidR="00F4404C">
        <w:rPr>
          <w:rFonts w:ascii="Arial" w:hAnsi="Arial" w:cs="Arial"/>
        </w:rPr>
        <w:t xml:space="preserve"> according to Chief Inspector</w:t>
      </w:r>
      <w:r w:rsidR="00BD197D">
        <w:rPr>
          <w:rFonts w:ascii="Arial" w:hAnsi="Arial" w:cs="Arial"/>
        </w:rPr>
        <w:t xml:space="preserve"> Amoomo</w:t>
      </w:r>
      <w:r w:rsidR="004526D6">
        <w:rPr>
          <w:rFonts w:ascii="Arial" w:hAnsi="Arial" w:cs="Arial"/>
        </w:rPr>
        <w:t>, the soles</w:t>
      </w:r>
      <w:r w:rsidR="00BD197D">
        <w:rPr>
          <w:rFonts w:ascii="Arial" w:hAnsi="Arial" w:cs="Arial"/>
        </w:rPr>
        <w:t xml:space="preserve"> of the shoes matched</w:t>
      </w:r>
      <w:r w:rsidR="004526D6">
        <w:rPr>
          <w:rFonts w:ascii="Arial" w:hAnsi="Arial" w:cs="Arial"/>
        </w:rPr>
        <w:t xml:space="preserve"> the</w:t>
      </w:r>
      <w:r w:rsidR="00BD197D">
        <w:rPr>
          <w:rFonts w:ascii="Arial" w:hAnsi="Arial" w:cs="Arial"/>
        </w:rPr>
        <w:t xml:space="preserve"> </w:t>
      </w:r>
      <w:r w:rsidR="00F4404C">
        <w:rPr>
          <w:rFonts w:ascii="Arial" w:hAnsi="Arial" w:cs="Arial"/>
        </w:rPr>
        <w:t>shoeprints observed at</w:t>
      </w:r>
      <w:r w:rsidR="00BD197D">
        <w:rPr>
          <w:rFonts w:ascii="Arial" w:hAnsi="Arial" w:cs="Arial"/>
        </w:rPr>
        <w:t xml:space="preserve"> the scene where the bodies were found.</w:t>
      </w:r>
      <w:r>
        <w:rPr>
          <w:rFonts w:ascii="Arial" w:hAnsi="Arial" w:cs="Arial"/>
        </w:rPr>
        <w:t xml:space="preserve"> Upon pointing this out to the accused, he appeared to be shocked and then kept quiet.</w:t>
      </w:r>
      <w:r w:rsidR="00BD197D">
        <w:rPr>
          <w:rFonts w:ascii="Arial" w:hAnsi="Arial" w:cs="Arial"/>
        </w:rPr>
        <w:t xml:space="preserve"> </w:t>
      </w:r>
      <w:r>
        <w:rPr>
          <w:rFonts w:ascii="Arial" w:hAnsi="Arial" w:cs="Arial"/>
        </w:rPr>
        <w:t xml:space="preserve">Clothes that had been washed were also found hanging on the washing line to dry. </w:t>
      </w:r>
      <w:r w:rsidR="00E42456">
        <w:rPr>
          <w:rFonts w:ascii="Arial" w:hAnsi="Arial" w:cs="Arial"/>
        </w:rPr>
        <w:t xml:space="preserve">Between the base and the mattress of </w:t>
      </w:r>
      <w:r w:rsidR="001D2840">
        <w:rPr>
          <w:rFonts w:ascii="Arial" w:hAnsi="Arial" w:cs="Arial"/>
        </w:rPr>
        <w:t>his bed a pistol was found which the accused claimed</w:t>
      </w:r>
      <w:r w:rsidR="004526D6">
        <w:rPr>
          <w:rFonts w:ascii="Arial" w:hAnsi="Arial" w:cs="Arial"/>
        </w:rPr>
        <w:t xml:space="preserve"> </w:t>
      </w:r>
      <w:r w:rsidR="00E42456">
        <w:rPr>
          <w:rFonts w:ascii="Arial" w:hAnsi="Arial" w:cs="Arial"/>
        </w:rPr>
        <w:t xml:space="preserve">to be his. </w:t>
      </w:r>
      <w:r w:rsidR="008B2140">
        <w:rPr>
          <w:rFonts w:ascii="Arial" w:hAnsi="Arial" w:cs="Arial"/>
        </w:rPr>
        <w:t>Whilst</w:t>
      </w:r>
      <w:r>
        <w:rPr>
          <w:rFonts w:ascii="Arial" w:hAnsi="Arial" w:cs="Arial"/>
        </w:rPr>
        <w:t xml:space="preserve"> waiting outside on the arrival of officers from the Scene of Crime U</w:t>
      </w:r>
      <w:r w:rsidR="008B2140">
        <w:rPr>
          <w:rFonts w:ascii="Arial" w:hAnsi="Arial" w:cs="Arial"/>
        </w:rPr>
        <w:t>nit to photograph the scene,</w:t>
      </w:r>
      <w:r>
        <w:rPr>
          <w:rFonts w:ascii="Arial" w:hAnsi="Arial" w:cs="Arial"/>
        </w:rPr>
        <w:t xml:space="preserve"> the brother of the accused asked</w:t>
      </w:r>
      <w:r w:rsidR="00194D64">
        <w:rPr>
          <w:rFonts w:ascii="Arial" w:hAnsi="Arial" w:cs="Arial"/>
        </w:rPr>
        <w:t xml:space="preserve"> him as to what had happened</w:t>
      </w:r>
      <w:r w:rsidR="008B2140">
        <w:rPr>
          <w:rFonts w:ascii="Arial" w:hAnsi="Arial" w:cs="Arial"/>
        </w:rPr>
        <w:t>. T</w:t>
      </w:r>
      <w:r>
        <w:rPr>
          <w:rFonts w:ascii="Arial" w:hAnsi="Arial" w:cs="Arial"/>
        </w:rPr>
        <w:t>he accused replied that he would not incriminate himsel</w:t>
      </w:r>
      <w:r w:rsidR="00194D64">
        <w:rPr>
          <w:rFonts w:ascii="Arial" w:hAnsi="Arial" w:cs="Arial"/>
        </w:rPr>
        <w:t>f but</w:t>
      </w:r>
      <w:r>
        <w:rPr>
          <w:rFonts w:ascii="Arial" w:hAnsi="Arial" w:cs="Arial"/>
        </w:rPr>
        <w:t xml:space="preserve"> </w:t>
      </w:r>
      <w:r w:rsidR="00594A64">
        <w:rPr>
          <w:rFonts w:ascii="Arial" w:hAnsi="Arial" w:cs="Arial"/>
        </w:rPr>
        <w:t>r</w:t>
      </w:r>
      <w:r w:rsidR="00194D64">
        <w:rPr>
          <w:rFonts w:ascii="Arial" w:hAnsi="Arial" w:cs="Arial"/>
        </w:rPr>
        <w:t>ather be arrested and then</w:t>
      </w:r>
      <w:r w:rsidR="00594A64">
        <w:rPr>
          <w:rFonts w:ascii="Arial" w:hAnsi="Arial" w:cs="Arial"/>
        </w:rPr>
        <w:t xml:space="preserve"> commit suicide. He was told to calm down </w:t>
      </w:r>
      <w:r w:rsidR="00194D64">
        <w:rPr>
          <w:rFonts w:ascii="Arial" w:hAnsi="Arial" w:cs="Arial"/>
        </w:rPr>
        <w:t>where after he</w:t>
      </w:r>
      <w:r w:rsidR="00594A64">
        <w:rPr>
          <w:rFonts w:ascii="Arial" w:hAnsi="Arial" w:cs="Arial"/>
        </w:rPr>
        <w:t xml:space="preserve"> kept quiet. </w:t>
      </w:r>
    </w:p>
    <w:p w:rsidR="00594A64" w:rsidRDefault="00594A64" w:rsidP="002A053B">
      <w:pPr>
        <w:spacing w:line="360" w:lineRule="auto"/>
        <w:jc w:val="both"/>
        <w:rPr>
          <w:rFonts w:ascii="Arial" w:hAnsi="Arial" w:cs="Arial"/>
        </w:rPr>
      </w:pPr>
    </w:p>
    <w:p w:rsidR="00594A64" w:rsidRPr="00594A64" w:rsidRDefault="00594A64" w:rsidP="002A053B">
      <w:pPr>
        <w:spacing w:line="360" w:lineRule="auto"/>
        <w:jc w:val="both"/>
        <w:rPr>
          <w:rFonts w:ascii="Arial" w:hAnsi="Arial" w:cs="Arial"/>
        </w:rPr>
      </w:pPr>
      <w:r>
        <w:rPr>
          <w:rFonts w:ascii="Arial" w:hAnsi="Arial" w:cs="Arial"/>
        </w:rPr>
        <w:t>[</w:t>
      </w:r>
      <w:r w:rsidR="008B2140">
        <w:rPr>
          <w:rFonts w:ascii="Arial" w:hAnsi="Arial" w:cs="Arial"/>
        </w:rPr>
        <w:t>13</w:t>
      </w:r>
      <w:r>
        <w:rPr>
          <w:rFonts w:ascii="Arial" w:hAnsi="Arial" w:cs="Arial"/>
        </w:rPr>
        <w:t>]</w:t>
      </w:r>
      <w:r>
        <w:rPr>
          <w:rFonts w:ascii="Arial" w:hAnsi="Arial" w:cs="Arial"/>
        </w:rPr>
        <w:tab/>
        <w:t xml:space="preserve">At a later stage and while the scene was being photographed, </w:t>
      </w:r>
      <w:r w:rsidRPr="008B2140">
        <w:rPr>
          <w:rFonts w:ascii="Arial" w:hAnsi="Arial" w:cs="Arial"/>
        </w:rPr>
        <w:t xml:space="preserve">Constable </w:t>
      </w:r>
      <w:r w:rsidR="00BA7099" w:rsidRPr="008B2140">
        <w:rPr>
          <w:rFonts w:ascii="Arial" w:hAnsi="Arial" w:cs="Arial"/>
        </w:rPr>
        <w:t>Ne</w:t>
      </w:r>
      <w:r w:rsidRPr="008B2140">
        <w:rPr>
          <w:rFonts w:ascii="Arial" w:hAnsi="Arial" w:cs="Arial"/>
        </w:rPr>
        <w:t>lenge</w:t>
      </w:r>
      <w:r>
        <w:rPr>
          <w:rFonts w:ascii="Arial" w:hAnsi="Arial" w:cs="Arial"/>
          <w:color w:val="FF0000"/>
        </w:rPr>
        <w:t xml:space="preserve"> </w:t>
      </w:r>
      <w:r w:rsidR="008B2140">
        <w:rPr>
          <w:rFonts w:ascii="Arial" w:hAnsi="Arial" w:cs="Arial"/>
        </w:rPr>
        <w:t>beckoned</w:t>
      </w:r>
      <w:r>
        <w:rPr>
          <w:rFonts w:ascii="Arial" w:hAnsi="Arial" w:cs="Arial"/>
        </w:rPr>
        <w:t xml:space="preserve"> Chief</w:t>
      </w:r>
      <w:r w:rsidR="008B2140">
        <w:rPr>
          <w:rFonts w:ascii="Arial" w:hAnsi="Arial" w:cs="Arial"/>
        </w:rPr>
        <w:t xml:space="preserve"> Inspector Amoomo</w:t>
      </w:r>
      <w:r w:rsidR="00194D64">
        <w:rPr>
          <w:rFonts w:ascii="Arial" w:hAnsi="Arial" w:cs="Arial"/>
        </w:rPr>
        <w:t xml:space="preserve"> to</w:t>
      </w:r>
      <w:r w:rsidR="008B2140">
        <w:rPr>
          <w:rFonts w:ascii="Arial" w:hAnsi="Arial" w:cs="Arial"/>
        </w:rPr>
        <w:t xml:space="preserve"> come and</w:t>
      </w:r>
      <w:r w:rsidR="00194D64">
        <w:rPr>
          <w:rFonts w:ascii="Arial" w:hAnsi="Arial" w:cs="Arial"/>
        </w:rPr>
        <w:t xml:space="preserve"> listen to</w:t>
      </w:r>
      <w:r>
        <w:rPr>
          <w:rFonts w:ascii="Arial" w:hAnsi="Arial" w:cs="Arial"/>
        </w:rPr>
        <w:t xml:space="preserve"> what the accused h</w:t>
      </w:r>
      <w:r w:rsidR="00194D64">
        <w:rPr>
          <w:rFonts w:ascii="Arial" w:hAnsi="Arial" w:cs="Arial"/>
        </w:rPr>
        <w:t xml:space="preserve">ad </w:t>
      </w:r>
      <w:r w:rsidR="008B2140">
        <w:rPr>
          <w:rFonts w:ascii="Arial" w:hAnsi="Arial" w:cs="Arial"/>
        </w:rPr>
        <w:t>to say</w:t>
      </w:r>
      <w:r w:rsidR="00194D64">
        <w:rPr>
          <w:rFonts w:ascii="Arial" w:hAnsi="Arial" w:cs="Arial"/>
        </w:rPr>
        <w:t xml:space="preserve">. The accused </w:t>
      </w:r>
      <w:r w:rsidR="008B2140">
        <w:rPr>
          <w:rFonts w:ascii="Arial" w:hAnsi="Arial" w:cs="Arial"/>
        </w:rPr>
        <w:t>when making a report</w:t>
      </w:r>
      <w:r>
        <w:rPr>
          <w:rFonts w:ascii="Arial" w:hAnsi="Arial" w:cs="Arial"/>
        </w:rPr>
        <w:t xml:space="preserve"> was stopped by</w:t>
      </w:r>
      <w:r w:rsidR="00194D64">
        <w:rPr>
          <w:rFonts w:ascii="Arial" w:hAnsi="Arial" w:cs="Arial"/>
        </w:rPr>
        <w:t xml:space="preserve"> Chief Inspector Amoomo who</w:t>
      </w:r>
      <w:r>
        <w:rPr>
          <w:rFonts w:ascii="Arial" w:hAnsi="Arial" w:cs="Arial"/>
        </w:rPr>
        <w:t xml:space="preserve"> explained his rights to him. He notwithstanding continued </w:t>
      </w:r>
      <w:r w:rsidR="00194D64">
        <w:rPr>
          <w:rFonts w:ascii="Arial" w:hAnsi="Arial" w:cs="Arial"/>
        </w:rPr>
        <w:t>saying</w:t>
      </w:r>
      <w:r>
        <w:rPr>
          <w:rFonts w:ascii="Arial" w:hAnsi="Arial" w:cs="Arial"/>
        </w:rPr>
        <w:t xml:space="preserve"> that on the 6</w:t>
      </w:r>
      <w:r w:rsidRPr="00594A64">
        <w:rPr>
          <w:rFonts w:ascii="Arial" w:hAnsi="Arial" w:cs="Arial"/>
          <w:vertAlign w:val="superscript"/>
        </w:rPr>
        <w:t>th</w:t>
      </w:r>
      <w:r>
        <w:rPr>
          <w:rFonts w:ascii="Arial" w:hAnsi="Arial" w:cs="Arial"/>
        </w:rPr>
        <w:t xml:space="preserve"> (January 2014) he was in his vehicle with </w:t>
      </w:r>
      <w:r w:rsidR="008B2140">
        <w:rPr>
          <w:rFonts w:ascii="Arial" w:hAnsi="Arial" w:cs="Arial"/>
        </w:rPr>
        <w:t xml:space="preserve">the </w:t>
      </w:r>
      <w:r>
        <w:rPr>
          <w:rFonts w:ascii="Arial" w:hAnsi="Arial" w:cs="Arial"/>
        </w:rPr>
        <w:t>two</w:t>
      </w:r>
      <w:r w:rsidR="00194D64">
        <w:rPr>
          <w:rFonts w:ascii="Arial" w:hAnsi="Arial" w:cs="Arial"/>
        </w:rPr>
        <w:t xml:space="preserve"> ladies when an argument erupted</w:t>
      </w:r>
      <w:r>
        <w:rPr>
          <w:rFonts w:ascii="Arial" w:hAnsi="Arial" w:cs="Arial"/>
        </w:rPr>
        <w:t xml:space="preserve"> between them and the one then grabbed his pistol and shot the other whils</w:t>
      </w:r>
      <w:r w:rsidR="00194D64">
        <w:rPr>
          <w:rFonts w:ascii="Arial" w:hAnsi="Arial" w:cs="Arial"/>
        </w:rPr>
        <w:t>t seated inside the car. He</w:t>
      </w:r>
      <w:r>
        <w:rPr>
          <w:rFonts w:ascii="Arial" w:hAnsi="Arial" w:cs="Arial"/>
        </w:rPr>
        <w:t xml:space="preserve"> managed to take the pistol from her and </w:t>
      </w:r>
      <w:r w:rsidR="00D27852">
        <w:rPr>
          <w:rFonts w:ascii="Arial" w:hAnsi="Arial" w:cs="Arial"/>
        </w:rPr>
        <w:t xml:space="preserve">fired a </w:t>
      </w:r>
      <w:r>
        <w:rPr>
          <w:rFonts w:ascii="Arial" w:hAnsi="Arial" w:cs="Arial"/>
        </w:rPr>
        <w:t xml:space="preserve">shot </w:t>
      </w:r>
      <w:r w:rsidR="00D27852">
        <w:rPr>
          <w:rFonts w:ascii="Arial" w:hAnsi="Arial" w:cs="Arial"/>
        </w:rPr>
        <w:t xml:space="preserve">at </w:t>
      </w:r>
      <w:r>
        <w:rPr>
          <w:rFonts w:ascii="Arial" w:hAnsi="Arial" w:cs="Arial"/>
        </w:rPr>
        <w:t xml:space="preserve">her. He went on to say that from there on he became </w:t>
      </w:r>
      <w:r w:rsidR="0034042A">
        <w:rPr>
          <w:rFonts w:ascii="Arial" w:hAnsi="Arial" w:cs="Arial"/>
        </w:rPr>
        <w:t xml:space="preserve">confused not knowing what to do with the bodies and decided to dump them at the dump site. He was </w:t>
      </w:r>
      <w:r w:rsidR="00D27852">
        <w:rPr>
          <w:rFonts w:ascii="Arial" w:hAnsi="Arial" w:cs="Arial"/>
        </w:rPr>
        <w:t>thereafter</w:t>
      </w:r>
      <w:r w:rsidR="00BA7099">
        <w:rPr>
          <w:rFonts w:ascii="Arial" w:hAnsi="Arial" w:cs="Arial"/>
        </w:rPr>
        <w:t xml:space="preserve"> </w:t>
      </w:r>
      <w:r w:rsidR="00D27852">
        <w:rPr>
          <w:rFonts w:ascii="Arial" w:hAnsi="Arial" w:cs="Arial"/>
        </w:rPr>
        <w:t>requested to take the police to where his</w:t>
      </w:r>
      <w:r w:rsidR="0034042A">
        <w:rPr>
          <w:rFonts w:ascii="Arial" w:hAnsi="Arial" w:cs="Arial"/>
        </w:rPr>
        <w:t xml:space="preserve"> vehicle was</w:t>
      </w:r>
      <w:r w:rsidR="00BA7099">
        <w:rPr>
          <w:rFonts w:ascii="Arial" w:hAnsi="Arial" w:cs="Arial"/>
        </w:rPr>
        <w:t xml:space="preserve"> parked</w:t>
      </w:r>
      <w:r w:rsidR="0034042A">
        <w:rPr>
          <w:rFonts w:ascii="Arial" w:hAnsi="Arial" w:cs="Arial"/>
        </w:rPr>
        <w:t>.</w:t>
      </w:r>
    </w:p>
    <w:p w:rsidR="00313A6B" w:rsidRDefault="00313A6B" w:rsidP="002A053B">
      <w:pPr>
        <w:spacing w:line="360" w:lineRule="auto"/>
        <w:jc w:val="both"/>
        <w:rPr>
          <w:rFonts w:ascii="Arial" w:hAnsi="Arial" w:cs="Arial"/>
        </w:rPr>
      </w:pPr>
    </w:p>
    <w:p w:rsidR="008463FB" w:rsidRDefault="00D27852" w:rsidP="002A053B">
      <w:pPr>
        <w:spacing w:line="360" w:lineRule="auto"/>
        <w:jc w:val="both"/>
        <w:rPr>
          <w:rFonts w:ascii="Arial" w:hAnsi="Arial" w:cs="Arial"/>
        </w:rPr>
      </w:pPr>
      <w:r>
        <w:rPr>
          <w:rFonts w:ascii="Arial" w:hAnsi="Arial" w:cs="Arial"/>
        </w:rPr>
        <w:t>[</w:t>
      </w:r>
      <w:r w:rsidR="008B2140">
        <w:rPr>
          <w:rFonts w:ascii="Arial" w:hAnsi="Arial" w:cs="Arial"/>
        </w:rPr>
        <w:t>14]</w:t>
      </w:r>
      <w:r w:rsidR="008B2140">
        <w:rPr>
          <w:rFonts w:ascii="Arial" w:hAnsi="Arial" w:cs="Arial"/>
        </w:rPr>
        <w:tab/>
        <w:t>From there the accused directed them</w:t>
      </w:r>
      <w:r w:rsidR="00BD197D">
        <w:rPr>
          <w:rFonts w:ascii="Arial" w:hAnsi="Arial" w:cs="Arial"/>
        </w:rPr>
        <w:t xml:space="preserve"> to Otjomuise where </w:t>
      </w:r>
      <w:r w:rsidR="008B2140">
        <w:rPr>
          <w:rFonts w:ascii="Arial" w:hAnsi="Arial" w:cs="Arial"/>
        </w:rPr>
        <w:t xml:space="preserve">his </w:t>
      </w:r>
      <w:r w:rsidR="00BD197D">
        <w:rPr>
          <w:rFonts w:ascii="Arial" w:hAnsi="Arial" w:cs="Arial"/>
        </w:rPr>
        <w:t xml:space="preserve">vehicle, a black Golf 4 </w:t>
      </w:r>
      <w:r w:rsidR="008B2140">
        <w:rPr>
          <w:rFonts w:ascii="Arial" w:hAnsi="Arial" w:cs="Arial"/>
        </w:rPr>
        <w:t xml:space="preserve">sedan, </w:t>
      </w:r>
      <w:r w:rsidR="00BD197D">
        <w:rPr>
          <w:rFonts w:ascii="Arial" w:hAnsi="Arial" w:cs="Arial"/>
        </w:rPr>
        <w:t>was found</w:t>
      </w:r>
      <w:r w:rsidR="004526D6">
        <w:rPr>
          <w:rFonts w:ascii="Arial" w:hAnsi="Arial" w:cs="Arial"/>
        </w:rPr>
        <w:t xml:space="preserve"> parked</w:t>
      </w:r>
      <w:r>
        <w:rPr>
          <w:rFonts w:ascii="Arial" w:hAnsi="Arial" w:cs="Arial"/>
        </w:rPr>
        <w:t xml:space="preserve"> in front of a shack</w:t>
      </w:r>
      <w:r w:rsidR="00BD197D">
        <w:rPr>
          <w:rFonts w:ascii="Arial" w:hAnsi="Arial" w:cs="Arial"/>
        </w:rPr>
        <w:t>.</w:t>
      </w:r>
      <w:r w:rsidR="00E42456">
        <w:rPr>
          <w:rFonts w:ascii="Arial" w:hAnsi="Arial" w:cs="Arial"/>
        </w:rPr>
        <w:t xml:space="preserve"> </w:t>
      </w:r>
      <w:r w:rsidR="0034042A">
        <w:rPr>
          <w:rFonts w:ascii="Arial" w:hAnsi="Arial" w:cs="Arial"/>
        </w:rPr>
        <w:t>According to Chief Inspector Amoomo the accused took the keys from his pocket and u</w:t>
      </w:r>
      <w:r w:rsidR="008B2140">
        <w:rPr>
          <w:rFonts w:ascii="Arial" w:hAnsi="Arial" w:cs="Arial"/>
        </w:rPr>
        <w:t>nlocked the vehicle. The officer</w:t>
      </w:r>
      <w:r>
        <w:rPr>
          <w:rFonts w:ascii="Arial" w:hAnsi="Arial" w:cs="Arial"/>
        </w:rPr>
        <w:t xml:space="preserve"> looked inside the vehicle</w:t>
      </w:r>
      <w:r w:rsidR="0034042A">
        <w:rPr>
          <w:rFonts w:ascii="Arial" w:hAnsi="Arial" w:cs="Arial"/>
        </w:rPr>
        <w:t xml:space="preserve"> and got the smell o</w:t>
      </w:r>
      <w:r>
        <w:rPr>
          <w:rFonts w:ascii="Arial" w:hAnsi="Arial" w:cs="Arial"/>
        </w:rPr>
        <w:t>f fresh blood</w:t>
      </w:r>
      <w:r w:rsidR="0034042A">
        <w:rPr>
          <w:rFonts w:ascii="Arial" w:hAnsi="Arial" w:cs="Arial"/>
        </w:rPr>
        <w:t xml:space="preserve">. </w:t>
      </w:r>
      <w:r w:rsidR="004526D6">
        <w:rPr>
          <w:rFonts w:ascii="Arial" w:hAnsi="Arial" w:cs="Arial"/>
        </w:rPr>
        <w:t xml:space="preserve">As it had become </w:t>
      </w:r>
      <w:r w:rsidR="0034042A">
        <w:rPr>
          <w:rFonts w:ascii="Arial" w:hAnsi="Arial" w:cs="Arial"/>
        </w:rPr>
        <w:t xml:space="preserve">too </w:t>
      </w:r>
      <w:r w:rsidR="004526D6">
        <w:rPr>
          <w:rFonts w:ascii="Arial" w:hAnsi="Arial" w:cs="Arial"/>
        </w:rPr>
        <w:t>dark</w:t>
      </w:r>
      <w:r w:rsidR="0034042A">
        <w:rPr>
          <w:rFonts w:ascii="Arial" w:hAnsi="Arial" w:cs="Arial"/>
        </w:rPr>
        <w:t xml:space="preserve"> to photograph the inside of the vehicle</w:t>
      </w:r>
      <w:r w:rsidR="004526D6">
        <w:rPr>
          <w:rFonts w:ascii="Arial" w:hAnsi="Arial" w:cs="Arial"/>
        </w:rPr>
        <w:t>, it was decided to move the vehicle to the Windhoek Police Station</w:t>
      </w:r>
      <w:r w:rsidR="008B2140">
        <w:rPr>
          <w:rFonts w:ascii="Arial" w:hAnsi="Arial" w:cs="Arial"/>
        </w:rPr>
        <w:t>. The vehicle was</w:t>
      </w:r>
      <w:r w:rsidR="0034042A">
        <w:rPr>
          <w:rFonts w:ascii="Arial" w:hAnsi="Arial" w:cs="Arial"/>
        </w:rPr>
        <w:t xml:space="preserve"> in a running condition and had sufficient fuel to reach the station.</w:t>
      </w:r>
      <w:r w:rsidR="004526D6">
        <w:rPr>
          <w:rFonts w:ascii="Arial" w:hAnsi="Arial" w:cs="Arial"/>
        </w:rPr>
        <w:t xml:space="preserve"> </w:t>
      </w:r>
      <w:r w:rsidR="0034042A">
        <w:rPr>
          <w:rFonts w:ascii="Arial" w:hAnsi="Arial" w:cs="Arial"/>
        </w:rPr>
        <w:t>It is common cause that</w:t>
      </w:r>
      <w:r w:rsidR="004526D6">
        <w:rPr>
          <w:rFonts w:ascii="Arial" w:hAnsi="Arial" w:cs="Arial"/>
        </w:rPr>
        <w:t xml:space="preserve"> </w:t>
      </w:r>
      <w:r>
        <w:rPr>
          <w:rFonts w:ascii="Arial" w:hAnsi="Arial" w:cs="Arial"/>
        </w:rPr>
        <w:t xml:space="preserve">between 10 – 14 June 2016 </w:t>
      </w:r>
      <w:r w:rsidR="004526D6">
        <w:rPr>
          <w:rFonts w:ascii="Arial" w:hAnsi="Arial" w:cs="Arial"/>
        </w:rPr>
        <w:t xml:space="preserve">the vehicle was </w:t>
      </w:r>
      <w:r>
        <w:rPr>
          <w:rFonts w:ascii="Arial" w:hAnsi="Arial" w:cs="Arial"/>
        </w:rPr>
        <w:t>subjected to</w:t>
      </w:r>
      <w:r w:rsidR="008463FB">
        <w:rPr>
          <w:rFonts w:ascii="Arial" w:hAnsi="Arial" w:cs="Arial"/>
        </w:rPr>
        <w:t xml:space="preserve"> </w:t>
      </w:r>
      <w:r w:rsidR="004526D6">
        <w:rPr>
          <w:rFonts w:ascii="Arial" w:hAnsi="Arial" w:cs="Arial"/>
        </w:rPr>
        <w:t>exami</w:t>
      </w:r>
      <w:r w:rsidR="008463FB">
        <w:rPr>
          <w:rFonts w:ascii="Arial" w:hAnsi="Arial" w:cs="Arial"/>
        </w:rPr>
        <w:t>nation</w:t>
      </w:r>
      <w:r w:rsidR="004526D6">
        <w:rPr>
          <w:rFonts w:ascii="Arial" w:hAnsi="Arial" w:cs="Arial"/>
        </w:rPr>
        <w:t xml:space="preserve"> by</w:t>
      </w:r>
      <w:r w:rsidR="008B2140" w:rsidRPr="008B2140">
        <w:rPr>
          <w:rFonts w:ascii="Arial" w:hAnsi="Arial" w:cs="Arial"/>
        </w:rPr>
        <w:t xml:space="preserve"> </w:t>
      </w:r>
      <w:r w:rsidR="008B2140">
        <w:rPr>
          <w:rFonts w:ascii="Arial" w:hAnsi="Arial" w:cs="Arial"/>
        </w:rPr>
        <w:t>Mr K</w:t>
      </w:r>
      <w:r w:rsidR="00EA11DA">
        <w:rPr>
          <w:rFonts w:ascii="Arial" w:hAnsi="Arial" w:cs="Arial"/>
        </w:rPr>
        <w:t>alipu</w:t>
      </w:r>
      <w:r w:rsidR="008B2140">
        <w:rPr>
          <w:rFonts w:ascii="Arial" w:hAnsi="Arial" w:cs="Arial"/>
        </w:rPr>
        <w:t xml:space="preserve"> Sem,</w:t>
      </w:r>
      <w:r w:rsidR="008463FB">
        <w:rPr>
          <w:rFonts w:ascii="Arial" w:hAnsi="Arial" w:cs="Arial"/>
        </w:rPr>
        <w:t xml:space="preserve"> a forensic scientist</w:t>
      </w:r>
      <w:r w:rsidR="004526D6">
        <w:rPr>
          <w:rFonts w:ascii="Arial" w:hAnsi="Arial" w:cs="Arial"/>
        </w:rPr>
        <w:t xml:space="preserve"> of the NFSI</w:t>
      </w:r>
      <w:r w:rsidR="008463FB">
        <w:rPr>
          <w:rFonts w:ascii="Arial" w:hAnsi="Arial" w:cs="Arial"/>
        </w:rPr>
        <w:t>. The accused</w:t>
      </w:r>
      <w:r w:rsidR="00E42456">
        <w:rPr>
          <w:rFonts w:ascii="Arial" w:hAnsi="Arial" w:cs="Arial"/>
        </w:rPr>
        <w:t xml:space="preserve"> was not present during </w:t>
      </w:r>
      <w:r w:rsidR="008463FB">
        <w:rPr>
          <w:rFonts w:ascii="Arial" w:hAnsi="Arial" w:cs="Arial"/>
        </w:rPr>
        <w:t>the examination.</w:t>
      </w:r>
      <w:r w:rsidR="0034042A">
        <w:rPr>
          <w:rFonts w:ascii="Arial" w:hAnsi="Arial" w:cs="Arial"/>
        </w:rPr>
        <w:t xml:space="preserve"> Samples taken at the time were placed in sealed forensic exhibit bags and subsequently handed over to Chief Inspector Amoomo for safekeeping.</w:t>
      </w:r>
    </w:p>
    <w:p w:rsidR="0034042A" w:rsidRDefault="0034042A" w:rsidP="002A053B">
      <w:pPr>
        <w:spacing w:line="360" w:lineRule="auto"/>
        <w:jc w:val="both"/>
        <w:rPr>
          <w:rFonts w:ascii="Arial" w:hAnsi="Arial" w:cs="Arial"/>
        </w:rPr>
      </w:pPr>
    </w:p>
    <w:p w:rsidR="00BA7099" w:rsidRDefault="0034042A" w:rsidP="002A053B">
      <w:pPr>
        <w:spacing w:line="360" w:lineRule="auto"/>
        <w:jc w:val="both"/>
        <w:rPr>
          <w:rFonts w:ascii="Arial" w:hAnsi="Arial" w:cs="Arial"/>
        </w:rPr>
      </w:pPr>
      <w:r>
        <w:rPr>
          <w:rFonts w:ascii="Arial" w:hAnsi="Arial" w:cs="Arial"/>
        </w:rPr>
        <w:t>[</w:t>
      </w:r>
      <w:r w:rsidR="008B2140">
        <w:rPr>
          <w:rFonts w:ascii="Arial" w:hAnsi="Arial" w:cs="Arial"/>
        </w:rPr>
        <w:t>15</w:t>
      </w:r>
      <w:r>
        <w:rPr>
          <w:rFonts w:ascii="Arial" w:hAnsi="Arial" w:cs="Arial"/>
        </w:rPr>
        <w:t>]</w:t>
      </w:r>
      <w:r>
        <w:rPr>
          <w:rFonts w:ascii="Arial" w:hAnsi="Arial" w:cs="Arial"/>
        </w:rPr>
        <w:tab/>
        <w:t>During cross-examination the witness was taken to task explaining why certain aspects of his evidence was not contained in his witness statement.</w:t>
      </w:r>
      <w:r w:rsidR="003538A9">
        <w:rPr>
          <w:rFonts w:ascii="Arial" w:hAnsi="Arial" w:cs="Arial"/>
        </w:rPr>
        <w:t xml:space="preserve"> He said that what was of importance was </w:t>
      </w:r>
      <w:r w:rsidR="008B2140">
        <w:rPr>
          <w:rFonts w:ascii="Arial" w:hAnsi="Arial" w:cs="Arial"/>
        </w:rPr>
        <w:t>captured</w:t>
      </w:r>
      <w:r w:rsidR="003538A9">
        <w:rPr>
          <w:rFonts w:ascii="Arial" w:hAnsi="Arial" w:cs="Arial"/>
        </w:rPr>
        <w:t xml:space="preserve"> in the statement</w:t>
      </w:r>
      <w:r w:rsidR="00D27852">
        <w:rPr>
          <w:rFonts w:ascii="Arial" w:hAnsi="Arial" w:cs="Arial"/>
        </w:rPr>
        <w:t xml:space="preserve"> and </w:t>
      </w:r>
      <w:r w:rsidR="00564FBA">
        <w:rPr>
          <w:rFonts w:ascii="Arial" w:hAnsi="Arial" w:cs="Arial"/>
        </w:rPr>
        <w:t>denied fabricating evidence about</w:t>
      </w:r>
      <w:r w:rsidR="003538A9">
        <w:rPr>
          <w:rFonts w:ascii="Arial" w:hAnsi="Arial" w:cs="Arial"/>
        </w:rPr>
        <w:t xml:space="preserve"> the smell of fresh</w:t>
      </w:r>
      <w:r w:rsidR="00D27852">
        <w:rPr>
          <w:rFonts w:ascii="Arial" w:hAnsi="Arial" w:cs="Arial"/>
        </w:rPr>
        <w:t xml:space="preserve"> blood inside the vehicle or his</w:t>
      </w:r>
      <w:r w:rsidR="003538A9">
        <w:rPr>
          <w:rFonts w:ascii="Arial" w:hAnsi="Arial" w:cs="Arial"/>
        </w:rPr>
        <w:t xml:space="preserve"> observation of a shoeprint at th</w:t>
      </w:r>
      <w:r w:rsidR="00564FBA">
        <w:rPr>
          <w:rFonts w:ascii="Arial" w:hAnsi="Arial" w:cs="Arial"/>
        </w:rPr>
        <w:t>e dump site</w:t>
      </w:r>
      <w:r w:rsidR="003538A9">
        <w:rPr>
          <w:rFonts w:ascii="Arial" w:hAnsi="Arial" w:cs="Arial"/>
        </w:rPr>
        <w:t>. It was furt</w:t>
      </w:r>
      <w:r w:rsidR="00564FBA">
        <w:rPr>
          <w:rFonts w:ascii="Arial" w:hAnsi="Arial" w:cs="Arial"/>
        </w:rPr>
        <w:t>her put to the witness that the officers</w:t>
      </w:r>
      <w:r w:rsidR="003538A9">
        <w:rPr>
          <w:rFonts w:ascii="Arial" w:hAnsi="Arial" w:cs="Arial"/>
        </w:rPr>
        <w:t xml:space="preserve"> did not first obtain permission from the accused to search his room; this was </w:t>
      </w:r>
      <w:r w:rsidR="00D27852">
        <w:rPr>
          <w:rFonts w:ascii="Arial" w:hAnsi="Arial" w:cs="Arial"/>
        </w:rPr>
        <w:t xml:space="preserve">equally </w:t>
      </w:r>
      <w:r w:rsidR="003538A9">
        <w:rPr>
          <w:rFonts w:ascii="Arial" w:hAnsi="Arial" w:cs="Arial"/>
        </w:rPr>
        <w:t>denied. It was also contended that the accused w</w:t>
      </w:r>
      <w:r w:rsidR="00564FBA">
        <w:rPr>
          <w:rFonts w:ascii="Arial" w:hAnsi="Arial" w:cs="Arial"/>
        </w:rPr>
        <w:t>as not informed of his rights; again this was denied.</w:t>
      </w:r>
      <w:r w:rsidR="003538A9">
        <w:rPr>
          <w:rFonts w:ascii="Arial" w:hAnsi="Arial" w:cs="Arial"/>
        </w:rPr>
        <w:t xml:space="preserve"> </w:t>
      </w:r>
    </w:p>
    <w:p w:rsidR="006F24C8" w:rsidRDefault="006F24C8" w:rsidP="002A053B">
      <w:pPr>
        <w:spacing w:line="360" w:lineRule="auto"/>
        <w:jc w:val="both"/>
        <w:rPr>
          <w:rFonts w:ascii="Arial" w:hAnsi="Arial" w:cs="Arial"/>
        </w:rPr>
      </w:pPr>
    </w:p>
    <w:p w:rsidR="00564FBA" w:rsidRDefault="00BA7099" w:rsidP="002A053B">
      <w:pPr>
        <w:spacing w:line="360" w:lineRule="auto"/>
        <w:jc w:val="both"/>
        <w:rPr>
          <w:rFonts w:ascii="Arial" w:hAnsi="Arial" w:cs="Arial"/>
        </w:rPr>
      </w:pPr>
      <w:r>
        <w:rPr>
          <w:rFonts w:ascii="Arial" w:hAnsi="Arial" w:cs="Arial"/>
        </w:rPr>
        <w:t>[</w:t>
      </w:r>
      <w:r w:rsidR="00564FBA">
        <w:rPr>
          <w:rFonts w:ascii="Arial" w:hAnsi="Arial" w:cs="Arial"/>
        </w:rPr>
        <w:t>16</w:t>
      </w:r>
      <w:r>
        <w:rPr>
          <w:rFonts w:ascii="Arial" w:hAnsi="Arial" w:cs="Arial"/>
        </w:rPr>
        <w:t>]</w:t>
      </w:r>
      <w:r>
        <w:rPr>
          <w:rFonts w:ascii="Arial" w:hAnsi="Arial" w:cs="Arial"/>
        </w:rPr>
        <w:tab/>
      </w:r>
      <w:r w:rsidRPr="00564FBA">
        <w:rPr>
          <w:rFonts w:ascii="Arial" w:hAnsi="Arial" w:cs="Arial"/>
        </w:rPr>
        <w:t>Warrant Officer Ivanoi Vatilifa</w:t>
      </w:r>
      <w:r>
        <w:rPr>
          <w:rFonts w:ascii="Arial" w:hAnsi="Arial" w:cs="Arial"/>
        </w:rPr>
        <w:t xml:space="preserve"> corroborated the evidence of Chief Inspector Amoomo in all material respects as regards the observation</w:t>
      </w:r>
      <w:r w:rsidR="00D27852">
        <w:rPr>
          <w:rFonts w:ascii="Arial" w:hAnsi="Arial" w:cs="Arial"/>
        </w:rPr>
        <w:t xml:space="preserve">s and findings </w:t>
      </w:r>
      <w:r w:rsidR="00AA45E9">
        <w:rPr>
          <w:rFonts w:ascii="Arial" w:hAnsi="Arial" w:cs="Arial"/>
        </w:rPr>
        <w:t xml:space="preserve">made </w:t>
      </w:r>
      <w:r w:rsidR="00D27852">
        <w:rPr>
          <w:rFonts w:ascii="Arial" w:hAnsi="Arial" w:cs="Arial"/>
        </w:rPr>
        <w:t>at the dump site;</w:t>
      </w:r>
      <w:r>
        <w:rPr>
          <w:rFonts w:ascii="Arial" w:hAnsi="Arial" w:cs="Arial"/>
        </w:rPr>
        <w:t xml:space="preserve"> the search conducted at the accused’s flat and findings </w:t>
      </w:r>
      <w:r w:rsidR="00D27852">
        <w:rPr>
          <w:rFonts w:ascii="Arial" w:hAnsi="Arial" w:cs="Arial"/>
        </w:rPr>
        <w:t xml:space="preserve">there </w:t>
      </w:r>
      <w:r>
        <w:rPr>
          <w:rFonts w:ascii="Arial" w:hAnsi="Arial" w:cs="Arial"/>
        </w:rPr>
        <w:t xml:space="preserve">made. Also about the accused </w:t>
      </w:r>
      <w:r w:rsidR="00D6652E">
        <w:rPr>
          <w:rFonts w:ascii="Arial" w:hAnsi="Arial" w:cs="Arial"/>
        </w:rPr>
        <w:t>having been questioned by his brot</w:t>
      </w:r>
      <w:r w:rsidR="00564FBA">
        <w:rPr>
          <w:rFonts w:ascii="Arial" w:hAnsi="Arial" w:cs="Arial"/>
        </w:rPr>
        <w:t>her and his response thereto. With</w:t>
      </w:r>
      <w:r w:rsidR="00D6652E">
        <w:rPr>
          <w:rFonts w:ascii="Arial" w:hAnsi="Arial" w:cs="Arial"/>
        </w:rPr>
        <w:t xml:space="preserve"> regards </w:t>
      </w:r>
      <w:r w:rsidR="00564FBA">
        <w:rPr>
          <w:rFonts w:ascii="Arial" w:hAnsi="Arial" w:cs="Arial"/>
        </w:rPr>
        <w:t xml:space="preserve">to </w:t>
      </w:r>
      <w:r w:rsidR="00D6652E">
        <w:rPr>
          <w:rFonts w:ascii="Arial" w:hAnsi="Arial" w:cs="Arial"/>
        </w:rPr>
        <w:t xml:space="preserve">the explanation given by the accused about the shooting of the two ladies, </w:t>
      </w:r>
      <w:r w:rsidR="003A180C">
        <w:rPr>
          <w:rFonts w:ascii="Arial" w:hAnsi="Arial" w:cs="Arial"/>
        </w:rPr>
        <w:t>t</w:t>
      </w:r>
      <w:r w:rsidR="00D6652E">
        <w:rPr>
          <w:rFonts w:ascii="Arial" w:hAnsi="Arial" w:cs="Arial"/>
        </w:rPr>
        <w:t xml:space="preserve">he </w:t>
      </w:r>
      <w:r w:rsidR="003A180C">
        <w:rPr>
          <w:rFonts w:ascii="Arial" w:hAnsi="Arial" w:cs="Arial"/>
        </w:rPr>
        <w:t xml:space="preserve">officer </w:t>
      </w:r>
      <w:r w:rsidR="00D6652E">
        <w:rPr>
          <w:rFonts w:ascii="Arial" w:hAnsi="Arial" w:cs="Arial"/>
        </w:rPr>
        <w:t>gave a more detailed account of what the accused would have s</w:t>
      </w:r>
      <w:r w:rsidR="00564FBA">
        <w:rPr>
          <w:rFonts w:ascii="Arial" w:hAnsi="Arial" w:cs="Arial"/>
        </w:rPr>
        <w:t xml:space="preserve">aid but, essentially – </w:t>
      </w:r>
      <w:r w:rsidR="00D6652E">
        <w:rPr>
          <w:rFonts w:ascii="Arial" w:hAnsi="Arial" w:cs="Arial"/>
        </w:rPr>
        <w:t xml:space="preserve">in respect of the shooting incident – </w:t>
      </w:r>
      <w:r w:rsidR="00D27852">
        <w:rPr>
          <w:rFonts w:ascii="Arial" w:hAnsi="Arial" w:cs="Arial"/>
        </w:rPr>
        <w:t>corroborates</w:t>
      </w:r>
      <w:r w:rsidR="000A2215">
        <w:rPr>
          <w:rFonts w:ascii="Arial" w:hAnsi="Arial" w:cs="Arial"/>
        </w:rPr>
        <w:t xml:space="preserve"> Amoomo</w:t>
      </w:r>
      <w:r w:rsidR="00D27852">
        <w:rPr>
          <w:rFonts w:ascii="Arial" w:hAnsi="Arial" w:cs="Arial"/>
        </w:rPr>
        <w:t>’s version</w:t>
      </w:r>
      <w:r w:rsidR="00D6652E">
        <w:rPr>
          <w:rFonts w:ascii="Arial" w:hAnsi="Arial" w:cs="Arial"/>
        </w:rPr>
        <w:t>.</w:t>
      </w:r>
      <w:r w:rsidR="000A2215">
        <w:rPr>
          <w:rFonts w:ascii="Arial" w:hAnsi="Arial" w:cs="Arial"/>
        </w:rPr>
        <w:t xml:space="preserve"> When confronted in cross-examination as to why certain aspects of his testimony were not captured in h</w:t>
      </w:r>
      <w:r w:rsidR="00D27852">
        <w:rPr>
          <w:rFonts w:ascii="Arial" w:hAnsi="Arial" w:cs="Arial"/>
        </w:rPr>
        <w:t>is witness statement, he explained</w:t>
      </w:r>
      <w:r w:rsidR="000A2215">
        <w:rPr>
          <w:rFonts w:ascii="Arial" w:hAnsi="Arial" w:cs="Arial"/>
        </w:rPr>
        <w:t xml:space="preserve"> that the statement is merely a </w:t>
      </w:r>
      <w:r w:rsidR="00D27852">
        <w:rPr>
          <w:rFonts w:ascii="Arial" w:hAnsi="Arial" w:cs="Arial"/>
        </w:rPr>
        <w:t>summary of his observations and</w:t>
      </w:r>
      <w:r w:rsidR="003A180C">
        <w:rPr>
          <w:rFonts w:ascii="Arial" w:hAnsi="Arial" w:cs="Arial"/>
        </w:rPr>
        <w:t xml:space="preserve"> </w:t>
      </w:r>
      <w:r w:rsidR="000A2215">
        <w:rPr>
          <w:rFonts w:ascii="Arial" w:hAnsi="Arial" w:cs="Arial"/>
        </w:rPr>
        <w:t xml:space="preserve">not </w:t>
      </w:r>
      <w:r w:rsidR="00D27852">
        <w:rPr>
          <w:rFonts w:ascii="Arial" w:hAnsi="Arial" w:cs="Arial"/>
        </w:rPr>
        <w:t>intended to be all-inclusive. With regards to d</w:t>
      </w:r>
      <w:r w:rsidR="000A2215">
        <w:rPr>
          <w:rFonts w:ascii="Arial" w:hAnsi="Arial" w:cs="Arial"/>
        </w:rPr>
        <w:t>ifference</w:t>
      </w:r>
      <w:r w:rsidR="003A180C">
        <w:rPr>
          <w:rFonts w:ascii="Arial" w:hAnsi="Arial" w:cs="Arial"/>
        </w:rPr>
        <w:t>s</w:t>
      </w:r>
      <w:r w:rsidR="000A2215">
        <w:rPr>
          <w:rFonts w:ascii="Arial" w:hAnsi="Arial" w:cs="Arial"/>
        </w:rPr>
        <w:t xml:space="preserve"> between his version and that of Amoomo</w:t>
      </w:r>
      <w:r w:rsidR="00D27852">
        <w:rPr>
          <w:rFonts w:ascii="Arial" w:hAnsi="Arial" w:cs="Arial"/>
        </w:rPr>
        <w:t xml:space="preserve"> </w:t>
      </w:r>
      <w:r w:rsidR="00E440FC">
        <w:rPr>
          <w:rFonts w:ascii="Arial" w:hAnsi="Arial" w:cs="Arial"/>
        </w:rPr>
        <w:t>he explained that</w:t>
      </w:r>
      <w:r w:rsidR="000A2215">
        <w:rPr>
          <w:rFonts w:ascii="Arial" w:hAnsi="Arial" w:cs="Arial"/>
        </w:rPr>
        <w:t xml:space="preserve"> he could not account for what was testified by Amoomo. </w:t>
      </w:r>
    </w:p>
    <w:p w:rsidR="00564FBA" w:rsidRDefault="00564FBA" w:rsidP="002A053B">
      <w:pPr>
        <w:spacing w:line="360" w:lineRule="auto"/>
        <w:jc w:val="both"/>
        <w:rPr>
          <w:rFonts w:ascii="Arial" w:hAnsi="Arial" w:cs="Arial"/>
        </w:rPr>
      </w:pPr>
    </w:p>
    <w:p w:rsidR="00BA7099" w:rsidRDefault="00564FBA" w:rsidP="002A053B">
      <w:pPr>
        <w:spacing w:line="360" w:lineRule="auto"/>
        <w:jc w:val="both"/>
        <w:rPr>
          <w:rFonts w:ascii="Arial" w:hAnsi="Arial" w:cs="Arial"/>
        </w:rPr>
      </w:pPr>
      <w:r>
        <w:rPr>
          <w:rFonts w:ascii="Arial" w:hAnsi="Arial" w:cs="Arial"/>
        </w:rPr>
        <w:t>[17]</w:t>
      </w:r>
      <w:r>
        <w:rPr>
          <w:rFonts w:ascii="Arial" w:hAnsi="Arial" w:cs="Arial"/>
        </w:rPr>
        <w:tab/>
      </w:r>
      <w:r w:rsidR="000A2215">
        <w:rPr>
          <w:rFonts w:ascii="Arial" w:hAnsi="Arial" w:cs="Arial"/>
        </w:rPr>
        <w:t>What is evident from the evidence of the two witnesses is that each testified about his own observations and the</w:t>
      </w:r>
      <w:r w:rsidR="00684281">
        <w:rPr>
          <w:rFonts w:ascii="Arial" w:hAnsi="Arial" w:cs="Arial"/>
        </w:rPr>
        <w:t xml:space="preserve"> differences referred to, relate to either</w:t>
      </w:r>
      <w:r w:rsidR="000A2215">
        <w:rPr>
          <w:rFonts w:ascii="Arial" w:hAnsi="Arial" w:cs="Arial"/>
        </w:rPr>
        <w:t xml:space="preserve"> </w:t>
      </w:r>
      <w:r w:rsidR="00684281">
        <w:rPr>
          <w:rFonts w:ascii="Arial" w:hAnsi="Arial" w:cs="Arial"/>
        </w:rPr>
        <w:t>issues about their</w:t>
      </w:r>
      <w:r w:rsidR="000A2215">
        <w:rPr>
          <w:rFonts w:ascii="Arial" w:hAnsi="Arial" w:cs="Arial"/>
        </w:rPr>
        <w:t xml:space="preserve"> communication </w:t>
      </w:r>
      <w:r w:rsidR="00E440FC">
        <w:rPr>
          <w:rFonts w:ascii="Arial" w:hAnsi="Arial" w:cs="Arial"/>
        </w:rPr>
        <w:t>or</w:t>
      </w:r>
      <w:r w:rsidR="000A2215">
        <w:rPr>
          <w:rFonts w:ascii="Arial" w:hAnsi="Arial" w:cs="Arial"/>
        </w:rPr>
        <w:t xml:space="preserve"> </w:t>
      </w:r>
      <w:r w:rsidR="00684281">
        <w:rPr>
          <w:rFonts w:ascii="Arial" w:hAnsi="Arial" w:cs="Arial"/>
        </w:rPr>
        <w:t xml:space="preserve">matters of </w:t>
      </w:r>
      <w:r w:rsidR="000A2215">
        <w:rPr>
          <w:rFonts w:ascii="Arial" w:hAnsi="Arial" w:cs="Arial"/>
        </w:rPr>
        <w:t>min</w:t>
      </w:r>
      <w:r w:rsidR="00E440FC">
        <w:rPr>
          <w:rFonts w:ascii="Arial" w:hAnsi="Arial" w:cs="Arial"/>
        </w:rPr>
        <w:t>or detail</w:t>
      </w:r>
      <w:r w:rsidR="000A2215">
        <w:rPr>
          <w:rFonts w:ascii="Arial" w:hAnsi="Arial" w:cs="Arial"/>
        </w:rPr>
        <w:t>.</w:t>
      </w:r>
      <w:r>
        <w:rPr>
          <w:rFonts w:ascii="Arial" w:hAnsi="Arial" w:cs="Arial"/>
        </w:rPr>
        <w:t xml:space="preserve"> He was not aware of</w:t>
      </w:r>
      <w:r w:rsidR="00E440FC">
        <w:rPr>
          <w:rFonts w:ascii="Arial" w:hAnsi="Arial" w:cs="Arial"/>
        </w:rPr>
        <w:t xml:space="preserve"> Chief Inspector Amoomo </w:t>
      </w:r>
      <w:r>
        <w:rPr>
          <w:rFonts w:ascii="Arial" w:hAnsi="Arial" w:cs="Arial"/>
        </w:rPr>
        <w:t xml:space="preserve">having </w:t>
      </w:r>
      <w:r w:rsidR="00E440FC">
        <w:rPr>
          <w:rFonts w:ascii="Arial" w:hAnsi="Arial" w:cs="Arial"/>
        </w:rPr>
        <w:t>mention</w:t>
      </w:r>
      <w:r w:rsidR="003A180C">
        <w:rPr>
          <w:rFonts w:ascii="Arial" w:hAnsi="Arial" w:cs="Arial"/>
        </w:rPr>
        <w:t>ed</w:t>
      </w:r>
      <w:r w:rsidR="00E440FC">
        <w:rPr>
          <w:rFonts w:ascii="Arial" w:hAnsi="Arial" w:cs="Arial"/>
        </w:rPr>
        <w:t xml:space="preserve"> the similarity of the shoeprints to the accused inside the room, something he should have observed whilst with them in</w:t>
      </w:r>
      <w:r w:rsidR="00AA45E9">
        <w:rPr>
          <w:rFonts w:ascii="Arial" w:hAnsi="Arial" w:cs="Arial"/>
        </w:rPr>
        <w:t>side</w:t>
      </w:r>
      <w:r w:rsidR="00E440FC">
        <w:rPr>
          <w:rFonts w:ascii="Arial" w:hAnsi="Arial" w:cs="Arial"/>
        </w:rPr>
        <w:t xml:space="preserve"> the same room. He qualified his answer by saying that he was not </w:t>
      </w:r>
      <w:r w:rsidR="00AE0C70">
        <w:rPr>
          <w:rFonts w:ascii="Arial" w:hAnsi="Arial" w:cs="Arial"/>
        </w:rPr>
        <w:t>familiar with</w:t>
      </w:r>
      <w:r w:rsidR="00E440FC">
        <w:rPr>
          <w:rFonts w:ascii="Arial" w:hAnsi="Arial" w:cs="Arial"/>
        </w:rPr>
        <w:t xml:space="preserve"> each and every convers</w:t>
      </w:r>
      <w:r>
        <w:rPr>
          <w:rFonts w:ascii="Arial" w:hAnsi="Arial" w:cs="Arial"/>
        </w:rPr>
        <w:t>ation of</w:t>
      </w:r>
      <w:r w:rsidR="00E440FC">
        <w:rPr>
          <w:rFonts w:ascii="Arial" w:hAnsi="Arial" w:cs="Arial"/>
        </w:rPr>
        <w:t xml:space="preserve"> persons and officers</w:t>
      </w:r>
      <w:r w:rsidR="00684281">
        <w:rPr>
          <w:rFonts w:ascii="Arial" w:hAnsi="Arial" w:cs="Arial"/>
        </w:rPr>
        <w:t xml:space="preserve"> present during their </w:t>
      </w:r>
      <w:r>
        <w:rPr>
          <w:rFonts w:ascii="Arial" w:hAnsi="Arial" w:cs="Arial"/>
        </w:rPr>
        <w:t>search of</w:t>
      </w:r>
      <w:r w:rsidR="00E440FC">
        <w:rPr>
          <w:rFonts w:ascii="Arial" w:hAnsi="Arial" w:cs="Arial"/>
        </w:rPr>
        <w:t xml:space="preserve"> the accused’s flat.</w:t>
      </w:r>
    </w:p>
    <w:p w:rsidR="00EB242D" w:rsidRDefault="00EB242D" w:rsidP="002A053B">
      <w:pPr>
        <w:spacing w:line="360" w:lineRule="auto"/>
        <w:jc w:val="both"/>
        <w:rPr>
          <w:rFonts w:ascii="Arial" w:hAnsi="Arial" w:cs="Arial"/>
        </w:rPr>
      </w:pPr>
    </w:p>
    <w:p w:rsidR="00EB242D" w:rsidRDefault="00EB242D" w:rsidP="002A053B">
      <w:pPr>
        <w:spacing w:line="360" w:lineRule="auto"/>
        <w:jc w:val="both"/>
        <w:rPr>
          <w:rFonts w:ascii="Arial" w:hAnsi="Arial" w:cs="Arial"/>
        </w:rPr>
      </w:pPr>
      <w:r>
        <w:rPr>
          <w:rFonts w:ascii="Arial" w:hAnsi="Arial" w:cs="Arial"/>
        </w:rPr>
        <w:t>[</w:t>
      </w:r>
      <w:r w:rsidR="00564FBA">
        <w:rPr>
          <w:rFonts w:ascii="Arial" w:hAnsi="Arial" w:cs="Arial"/>
        </w:rPr>
        <w:t>18</w:t>
      </w:r>
      <w:r>
        <w:rPr>
          <w:rFonts w:ascii="Arial" w:hAnsi="Arial" w:cs="Arial"/>
        </w:rPr>
        <w:t>]</w:t>
      </w:r>
      <w:r>
        <w:rPr>
          <w:rFonts w:ascii="Arial" w:hAnsi="Arial" w:cs="Arial"/>
        </w:rPr>
        <w:tab/>
      </w:r>
      <w:r w:rsidRPr="00564FBA">
        <w:rPr>
          <w:rFonts w:ascii="Arial" w:hAnsi="Arial" w:cs="Arial"/>
        </w:rPr>
        <w:t>Detective Warrant Officer Joseph Ndokosko</w:t>
      </w:r>
      <w:r>
        <w:rPr>
          <w:rFonts w:ascii="Arial" w:hAnsi="Arial" w:cs="Arial"/>
        </w:rPr>
        <w:t xml:space="preserve"> is the cu</w:t>
      </w:r>
      <w:r w:rsidR="00564FBA">
        <w:rPr>
          <w:rFonts w:ascii="Arial" w:hAnsi="Arial" w:cs="Arial"/>
        </w:rPr>
        <w:t>rrent investigating officer who</w:t>
      </w:r>
      <w:r w:rsidR="00684281">
        <w:rPr>
          <w:rFonts w:ascii="Arial" w:hAnsi="Arial" w:cs="Arial"/>
        </w:rPr>
        <w:t xml:space="preserve"> </w:t>
      </w:r>
      <w:r>
        <w:rPr>
          <w:rFonts w:ascii="Arial" w:hAnsi="Arial" w:cs="Arial"/>
        </w:rPr>
        <w:t xml:space="preserve">took over from Chief Inspector Amoomo in June 2016. He attended </w:t>
      </w:r>
      <w:r w:rsidR="00564FBA">
        <w:rPr>
          <w:rFonts w:ascii="Arial" w:hAnsi="Arial" w:cs="Arial"/>
        </w:rPr>
        <w:t>the scene at the dump site i</w:t>
      </w:r>
      <w:r>
        <w:rPr>
          <w:rFonts w:ascii="Arial" w:hAnsi="Arial" w:cs="Arial"/>
        </w:rPr>
        <w:t>n the morning</w:t>
      </w:r>
      <w:r w:rsidR="00564FBA">
        <w:rPr>
          <w:rFonts w:ascii="Arial" w:hAnsi="Arial" w:cs="Arial"/>
        </w:rPr>
        <w:t xml:space="preserve"> </w:t>
      </w:r>
      <w:r>
        <w:rPr>
          <w:rFonts w:ascii="Arial" w:hAnsi="Arial" w:cs="Arial"/>
        </w:rPr>
        <w:t>and</w:t>
      </w:r>
      <w:r w:rsidR="00684281">
        <w:rPr>
          <w:rFonts w:ascii="Arial" w:hAnsi="Arial" w:cs="Arial"/>
        </w:rPr>
        <w:t xml:space="preserve"> testified about </w:t>
      </w:r>
      <w:r w:rsidR="00564FBA">
        <w:rPr>
          <w:rFonts w:ascii="Arial" w:hAnsi="Arial" w:cs="Arial"/>
        </w:rPr>
        <w:t xml:space="preserve">his </w:t>
      </w:r>
      <w:r w:rsidR="00684281">
        <w:rPr>
          <w:rFonts w:ascii="Arial" w:hAnsi="Arial" w:cs="Arial"/>
        </w:rPr>
        <w:t>observations</w:t>
      </w:r>
      <w:r w:rsidR="00564FBA">
        <w:rPr>
          <w:rFonts w:ascii="Arial" w:hAnsi="Arial" w:cs="Arial"/>
        </w:rPr>
        <w:t xml:space="preserve"> </w:t>
      </w:r>
      <w:r>
        <w:rPr>
          <w:rFonts w:ascii="Arial" w:hAnsi="Arial" w:cs="Arial"/>
        </w:rPr>
        <w:t xml:space="preserve">made </w:t>
      </w:r>
      <w:r w:rsidR="00564FBA">
        <w:rPr>
          <w:rFonts w:ascii="Arial" w:hAnsi="Arial" w:cs="Arial"/>
        </w:rPr>
        <w:t>on</w:t>
      </w:r>
      <w:r>
        <w:rPr>
          <w:rFonts w:ascii="Arial" w:hAnsi="Arial" w:cs="Arial"/>
        </w:rPr>
        <w:t xml:space="preserve"> tyre tracks, drag marks of a body and shoeprints. He also confirmed the SIM card that w</w:t>
      </w:r>
      <w:r w:rsidR="00684281">
        <w:rPr>
          <w:rFonts w:ascii="Arial" w:hAnsi="Arial" w:cs="Arial"/>
        </w:rPr>
        <w:t xml:space="preserve">as found and handed to him </w:t>
      </w:r>
      <w:r>
        <w:rPr>
          <w:rFonts w:ascii="Arial" w:hAnsi="Arial" w:cs="Arial"/>
        </w:rPr>
        <w:t xml:space="preserve">in a </w:t>
      </w:r>
      <w:r w:rsidR="00870E63">
        <w:rPr>
          <w:rFonts w:ascii="Arial" w:hAnsi="Arial" w:cs="Arial"/>
        </w:rPr>
        <w:t xml:space="preserve">sealed </w:t>
      </w:r>
      <w:r>
        <w:rPr>
          <w:rFonts w:ascii="Arial" w:hAnsi="Arial" w:cs="Arial"/>
        </w:rPr>
        <w:t xml:space="preserve">forensic </w:t>
      </w:r>
      <w:r w:rsidR="00870E63">
        <w:rPr>
          <w:rFonts w:ascii="Arial" w:hAnsi="Arial" w:cs="Arial"/>
        </w:rPr>
        <w:t xml:space="preserve">exhibit </w:t>
      </w:r>
      <w:r>
        <w:rPr>
          <w:rFonts w:ascii="Arial" w:hAnsi="Arial" w:cs="Arial"/>
        </w:rPr>
        <w:t xml:space="preserve">bag. At a later stage and on the instruction of the Prosecutor-General, he unlocked the accused’s vehicle still parked at the police station and was present when </w:t>
      </w:r>
      <w:r w:rsidR="00A12506">
        <w:rPr>
          <w:rFonts w:ascii="Arial" w:hAnsi="Arial" w:cs="Arial"/>
        </w:rPr>
        <w:t>the forensic scientist conducted a</w:t>
      </w:r>
      <w:r w:rsidR="00870E63">
        <w:rPr>
          <w:rFonts w:ascii="Arial" w:hAnsi="Arial" w:cs="Arial"/>
        </w:rPr>
        <w:t>n examination of</w:t>
      </w:r>
      <w:r w:rsidR="00A12506">
        <w:rPr>
          <w:rFonts w:ascii="Arial" w:hAnsi="Arial" w:cs="Arial"/>
        </w:rPr>
        <w:t xml:space="preserve"> the inside of the vehicle</w:t>
      </w:r>
      <w:r w:rsidR="00870E63">
        <w:rPr>
          <w:rFonts w:ascii="Arial" w:hAnsi="Arial" w:cs="Arial"/>
        </w:rPr>
        <w:t>.</w:t>
      </w:r>
      <w:r w:rsidR="00A12506">
        <w:rPr>
          <w:rFonts w:ascii="Arial" w:hAnsi="Arial" w:cs="Arial"/>
        </w:rPr>
        <w:t xml:space="preserve"> </w:t>
      </w:r>
      <w:r w:rsidR="00870E63">
        <w:rPr>
          <w:rFonts w:ascii="Arial" w:hAnsi="Arial" w:cs="Arial"/>
        </w:rPr>
        <w:t>On this occasion</w:t>
      </w:r>
      <w:r w:rsidR="00A12506">
        <w:rPr>
          <w:rFonts w:ascii="Arial" w:hAnsi="Arial" w:cs="Arial"/>
        </w:rPr>
        <w:t xml:space="preserve"> a projectile lodged in the </w:t>
      </w:r>
      <w:r w:rsidR="00684281">
        <w:rPr>
          <w:rFonts w:ascii="Arial" w:hAnsi="Arial" w:cs="Arial"/>
        </w:rPr>
        <w:t xml:space="preserve">arm rest of the </w:t>
      </w:r>
      <w:r w:rsidR="00A12506">
        <w:rPr>
          <w:rFonts w:ascii="Arial" w:hAnsi="Arial" w:cs="Arial"/>
        </w:rPr>
        <w:t>rear seat</w:t>
      </w:r>
      <w:r w:rsidR="00870E63">
        <w:rPr>
          <w:rFonts w:ascii="Arial" w:hAnsi="Arial" w:cs="Arial"/>
        </w:rPr>
        <w:t xml:space="preserve"> was discovered</w:t>
      </w:r>
      <w:r w:rsidR="00A12506">
        <w:rPr>
          <w:rFonts w:ascii="Arial" w:hAnsi="Arial" w:cs="Arial"/>
        </w:rPr>
        <w:t>. Warrant Officer Ndokosho took possession thereof, having been sealed in a</w:t>
      </w:r>
      <w:r w:rsidR="00870E63">
        <w:rPr>
          <w:rFonts w:ascii="Arial" w:hAnsi="Arial" w:cs="Arial"/>
        </w:rPr>
        <w:t>n</w:t>
      </w:r>
      <w:r w:rsidR="00A12506">
        <w:rPr>
          <w:rFonts w:ascii="Arial" w:hAnsi="Arial" w:cs="Arial"/>
        </w:rPr>
        <w:t xml:space="preserve"> </w:t>
      </w:r>
      <w:r w:rsidR="00870E63">
        <w:rPr>
          <w:rFonts w:ascii="Arial" w:hAnsi="Arial" w:cs="Arial"/>
        </w:rPr>
        <w:lastRenderedPageBreak/>
        <w:t>exhibit</w:t>
      </w:r>
      <w:r w:rsidR="00A12506">
        <w:rPr>
          <w:rFonts w:ascii="Arial" w:hAnsi="Arial" w:cs="Arial"/>
        </w:rPr>
        <w:t xml:space="preserve"> bag and added </w:t>
      </w:r>
      <w:r w:rsidR="00684281">
        <w:rPr>
          <w:rFonts w:ascii="Arial" w:hAnsi="Arial" w:cs="Arial"/>
        </w:rPr>
        <w:t xml:space="preserve">it </w:t>
      </w:r>
      <w:r w:rsidR="00A12506">
        <w:rPr>
          <w:rFonts w:ascii="Arial" w:hAnsi="Arial" w:cs="Arial"/>
        </w:rPr>
        <w:t xml:space="preserve">to the other exhibits already booked. He was adamant that no other person had access to the keys of the vehicle and could </w:t>
      </w:r>
      <w:r w:rsidR="00870E63">
        <w:rPr>
          <w:rFonts w:ascii="Arial" w:hAnsi="Arial" w:cs="Arial"/>
        </w:rPr>
        <w:t xml:space="preserve">therefore </w:t>
      </w:r>
      <w:r w:rsidR="00A12506">
        <w:rPr>
          <w:rFonts w:ascii="Arial" w:hAnsi="Arial" w:cs="Arial"/>
        </w:rPr>
        <w:t>not have entered the vehicle without his explicit instruction.</w:t>
      </w:r>
    </w:p>
    <w:p w:rsidR="00A12506" w:rsidRDefault="00A12506" w:rsidP="002A053B">
      <w:pPr>
        <w:spacing w:line="360" w:lineRule="auto"/>
        <w:jc w:val="both"/>
        <w:rPr>
          <w:rFonts w:ascii="Arial" w:hAnsi="Arial" w:cs="Arial"/>
        </w:rPr>
      </w:pPr>
    </w:p>
    <w:p w:rsidR="00A12506" w:rsidRDefault="00A12506" w:rsidP="002A053B">
      <w:pPr>
        <w:spacing w:line="360" w:lineRule="auto"/>
        <w:jc w:val="both"/>
        <w:rPr>
          <w:rFonts w:ascii="Arial" w:hAnsi="Arial" w:cs="Arial"/>
        </w:rPr>
      </w:pPr>
      <w:r>
        <w:rPr>
          <w:rFonts w:ascii="Arial" w:hAnsi="Arial" w:cs="Arial"/>
        </w:rPr>
        <w:t>[</w:t>
      </w:r>
      <w:r w:rsidR="00870E63">
        <w:rPr>
          <w:rFonts w:ascii="Arial" w:hAnsi="Arial" w:cs="Arial"/>
        </w:rPr>
        <w:t>19</w:t>
      </w:r>
      <w:r>
        <w:rPr>
          <w:rFonts w:ascii="Arial" w:hAnsi="Arial" w:cs="Arial"/>
        </w:rPr>
        <w:t>]</w:t>
      </w:r>
      <w:r>
        <w:rPr>
          <w:rFonts w:ascii="Arial" w:hAnsi="Arial" w:cs="Arial"/>
        </w:rPr>
        <w:tab/>
        <w:t>Warrant Officer Ndokosho said he became aware of the accused’s defence during the bail application when he learned that</w:t>
      </w:r>
      <w:r w:rsidR="00870E63">
        <w:rPr>
          <w:rFonts w:ascii="Arial" w:hAnsi="Arial" w:cs="Arial"/>
        </w:rPr>
        <w:t>,</w:t>
      </w:r>
      <w:r>
        <w:rPr>
          <w:rFonts w:ascii="Arial" w:hAnsi="Arial" w:cs="Arial"/>
        </w:rPr>
        <w:t xml:space="preserve"> a</w:t>
      </w:r>
      <w:r w:rsidR="00870E63">
        <w:rPr>
          <w:rFonts w:ascii="Arial" w:hAnsi="Arial" w:cs="Arial"/>
        </w:rPr>
        <w:t>ccording to the accused, the</w:t>
      </w:r>
      <w:r>
        <w:rPr>
          <w:rFonts w:ascii="Arial" w:hAnsi="Arial" w:cs="Arial"/>
        </w:rPr>
        <w:t xml:space="preserve"> deceased </w:t>
      </w:r>
      <w:r w:rsidR="00684281">
        <w:rPr>
          <w:rFonts w:ascii="Arial" w:hAnsi="Arial" w:cs="Arial"/>
        </w:rPr>
        <w:t xml:space="preserve">persons </w:t>
      </w:r>
      <w:r>
        <w:rPr>
          <w:rFonts w:ascii="Arial" w:hAnsi="Arial" w:cs="Arial"/>
        </w:rPr>
        <w:t xml:space="preserve">were </w:t>
      </w:r>
      <w:r w:rsidR="00870E63">
        <w:rPr>
          <w:rFonts w:ascii="Arial" w:hAnsi="Arial" w:cs="Arial"/>
        </w:rPr>
        <w:t>in the company of</w:t>
      </w:r>
      <w:r>
        <w:rPr>
          <w:rFonts w:ascii="Arial" w:hAnsi="Arial" w:cs="Arial"/>
        </w:rPr>
        <w:t xml:space="preserve"> a certain Benny, a Coloured male person</w:t>
      </w:r>
      <w:r w:rsidR="00870E63">
        <w:rPr>
          <w:rFonts w:ascii="Arial" w:hAnsi="Arial" w:cs="Arial"/>
        </w:rPr>
        <w:t>,</w:t>
      </w:r>
      <w:r w:rsidR="00870E63" w:rsidRPr="00870E63">
        <w:rPr>
          <w:rFonts w:ascii="Arial" w:hAnsi="Arial" w:cs="Arial"/>
        </w:rPr>
        <w:t xml:space="preserve"> </w:t>
      </w:r>
      <w:r w:rsidR="00870E63">
        <w:rPr>
          <w:rFonts w:ascii="Arial" w:hAnsi="Arial" w:cs="Arial"/>
        </w:rPr>
        <w:t>before their passing</w:t>
      </w:r>
      <w:r>
        <w:rPr>
          <w:rFonts w:ascii="Arial" w:hAnsi="Arial" w:cs="Arial"/>
        </w:rPr>
        <w:t xml:space="preserve">. </w:t>
      </w:r>
      <w:r w:rsidR="00684281">
        <w:rPr>
          <w:rFonts w:ascii="Arial" w:hAnsi="Arial" w:cs="Arial"/>
        </w:rPr>
        <w:t>He then went in search of</w:t>
      </w:r>
      <w:r w:rsidR="00AE5791">
        <w:rPr>
          <w:rFonts w:ascii="Arial" w:hAnsi="Arial" w:cs="Arial"/>
        </w:rPr>
        <w:t xml:space="preserve"> this person and made enquiries with the families of both de</w:t>
      </w:r>
      <w:r w:rsidR="00870E63">
        <w:rPr>
          <w:rFonts w:ascii="Arial" w:hAnsi="Arial" w:cs="Arial"/>
        </w:rPr>
        <w:t>ceased and the accused’s sister</w:t>
      </w:r>
      <w:r w:rsidR="00AE5791">
        <w:rPr>
          <w:rFonts w:ascii="Arial" w:hAnsi="Arial" w:cs="Arial"/>
        </w:rPr>
        <w:t xml:space="preserve"> but</w:t>
      </w:r>
      <w:r w:rsidR="00870E63">
        <w:rPr>
          <w:rFonts w:ascii="Arial" w:hAnsi="Arial" w:cs="Arial"/>
        </w:rPr>
        <w:t>,</w:t>
      </w:r>
      <w:r w:rsidR="00AE5791">
        <w:rPr>
          <w:rFonts w:ascii="Arial" w:hAnsi="Arial" w:cs="Arial"/>
        </w:rPr>
        <w:t xml:space="preserve"> without success. In view thereof, he had come to the conclusion that Benny’s alleged involvement was the accused’s own creation. </w:t>
      </w:r>
    </w:p>
    <w:p w:rsidR="00AE5791" w:rsidRDefault="00AE5791" w:rsidP="002A053B">
      <w:pPr>
        <w:spacing w:line="360" w:lineRule="auto"/>
        <w:jc w:val="both"/>
        <w:rPr>
          <w:rFonts w:ascii="Arial" w:hAnsi="Arial" w:cs="Arial"/>
        </w:rPr>
      </w:pPr>
    </w:p>
    <w:p w:rsidR="00AE5791" w:rsidRDefault="00AE5791" w:rsidP="002A053B">
      <w:pPr>
        <w:spacing w:line="360" w:lineRule="auto"/>
        <w:jc w:val="both"/>
        <w:rPr>
          <w:rFonts w:ascii="Arial" w:hAnsi="Arial" w:cs="Arial"/>
        </w:rPr>
      </w:pPr>
      <w:r>
        <w:rPr>
          <w:rFonts w:ascii="Arial" w:hAnsi="Arial" w:cs="Arial"/>
        </w:rPr>
        <w:t>[</w:t>
      </w:r>
      <w:r w:rsidR="00870E63">
        <w:rPr>
          <w:rFonts w:ascii="Arial" w:hAnsi="Arial" w:cs="Arial"/>
        </w:rPr>
        <w:t>20</w:t>
      </w:r>
      <w:r>
        <w:rPr>
          <w:rFonts w:ascii="Arial" w:hAnsi="Arial" w:cs="Arial"/>
        </w:rPr>
        <w:t>]</w:t>
      </w:r>
      <w:r>
        <w:rPr>
          <w:rFonts w:ascii="Arial" w:hAnsi="Arial" w:cs="Arial"/>
        </w:rPr>
        <w:tab/>
        <w:t xml:space="preserve">During cross-examination the witness was confronted with his evidence </w:t>
      </w:r>
      <w:r w:rsidR="00684281">
        <w:rPr>
          <w:rFonts w:ascii="Arial" w:hAnsi="Arial" w:cs="Arial"/>
        </w:rPr>
        <w:t xml:space="preserve">given </w:t>
      </w:r>
      <w:r>
        <w:rPr>
          <w:rFonts w:ascii="Arial" w:hAnsi="Arial" w:cs="Arial"/>
        </w:rPr>
        <w:t>in the bail application about the date he visited the accused’s flat to conduct a sear</w:t>
      </w:r>
      <w:r w:rsidR="00870E63">
        <w:rPr>
          <w:rFonts w:ascii="Arial" w:hAnsi="Arial" w:cs="Arial"/>
        </w:rPr>
        <w:t>ch for further clues and</w:t>
      </w:r>
      <w:r>
        <w:rPr>
          <w:rFonts w:ascii="Arial" w:hAnsi="Arial" w:cs="Arial"/>
        </w:rPr>
        <w:t xml:space="preserve"> </w:t>
      </w:r>
      <w:r w:rsidR="00684281">
        <w:rPr>
          <w:rFonts w:ascii="Arial" w:hAnsi="Arial" w:cs="Arial"/>
        </w:rPr>
        <w:t>that nothing was found</w:t>
      </w:r>
      <w:r w:rsidR="00870E63">
        <w:rPr>
          <w:rFonts w:ascii="Arial" w:hAnsi="Arial" w:cs="Arial"/>
        </w:rPr>
        <w:t>; also</w:t>
      </w:r>
      <w:r>
        <w:rPr>
          <w:rFonts w:ascii="Arial" w:hAnsi="Arial" w:cs="Arial"/>
        </w:rPr>
        <w:t xml:space="preserve"> whether or not there was a safe in the flat. He conceded that although he testified earlier in the bail application </w:t>
      </w:r>
      <w:r w:rsidR="00684281">
        <w:rPr>
          <w:rFonts w:ascii="Arial" w:hAnsi="Arial" w:cs="Arial"/>
        </w:rPr>
        <w:t>about him having seen</w:t>
      </w:r>
      <w:r>
        <w:rPr>
          <w:rFonts w:ascii="Arial" w:hAnsi="Arial" w:cs="Arial"/>
        </w:rPr>
        <w:t xml:space="preserve"> a safe</w:t>
      </w:r>
      <w:r w:rsidR="00870E63">
        <w:rPr>
          <w:rFonts w:ascii="Arial" w:hAnsi="Arial" w:cs="Arial"/>
        </w:rPr>
        <w:t xml:space="preserve"> in the flat</w:t>
      </w:r>
      <w:r>
        <w:rPr>
          <w:rFonts w:ascii="Arial" w:hAnsi="Arial" w:cs="Arial"/>
        </w:rPr>
        <w:t>, he afterwards consulted his notes and realised that he was mistaken.</w:t>
      </w:r>
    </w:p>
    <w:p w:rsidR="00AE5791" w:rsidRDefault="00AE5791" w:rsidP="002A053B">
      <w:pPr>
        <w:spacing w:line="360" w:lineRule="auto"/>
        <w:jc w:val="both"/>
        <w:rPr>
          <w:rFonts w:ascii="Arial" w:hAnsi="Arial" w:cs="Arial"/>
        </w:rPr>
      </w:pPr>
    </w:p>
    <w:p w:rsidR="002A4094" w:rsidRDefault="00AE5791" w:rsidP="002A053B">
      <w:pPr>
        <w:spacing w:line="360" w:lineRule="auto"/>
        <w:jc w:val="both"/>
        <w:rPr>
          <w:rFonts w:ascii="Arial" w:hAnsi="Arial" w:cs="Arial"/>
        </w:rPr>
      </w:pPr>
      <w:r>
        <w:rPr>
          <w:rFonts w:ascii="Arial" w:hAnsi="Arial" w:cs="Arial"/>
        </w:rPr>
        <w:t>[</w:t>
      </w:r>
      <w:r w:rsidR="00870E63">
        <w:rPr>
          <w:rFonts w:ascii="Arial" w:hAnsi="Arial" w:cs="Arial"/>
        </w:rPr>
        <w:t>21</w:t>
      </w:r>
      <w:r>
        <w:rPr>
          <w:rFonts w:ascii="Arial" w:hAnsi="Arial" w:cs="Arial"/>
        </w:rPr>
        <w:t>]</w:t>
      </w:r>
      <w:r>
        <w:rPr>
          <w:rFonts w:ascii="Arial" w:hAnsi="Arial" w:cs="Arial"/>
        </w:rPr>
        <w:tab/>
      </w:r>
      <w:r w:rsidRPr="00870E63">
        <w:rPr>
          <w:rFonts w:ascii="Arial" w:hAnsi="Arial" w:cs="Arial"/>
        </w:rPr>
        <w:t>Warrant Officer Ello Hamukwaya</w:t>
      </w:r>
      <w:r>
        <w:rPr>
          <w:rFonts w:ascii="Arial" w:hAnsi="Arial" w:cs="Arial"/>
        </w:rPr>
        <w:t xml:space="preserve"> is attached to the Scene of Crime Unit and his involvement concerns the taking of photos </w:t>
      </w:r>
      <w:r w:rsidR="00870E63">
        <w:rPr>
          <w:rFonts w:ascii="Arial" w:hAnsi="Arial" w:cs="Arial"/>
        </w:rPr>
        <w:t>at the dump site and</w:t>
      </w:r>
      <w:r w:rsidR="002A4094">
        <w:rPr>
          <w:rFonts w:ascii="Arial" w:hAnsi="Arial" w:cs="Arial"/>
        </w:rPr>
        <w:t xml:space="preserve"> mortuary during the post-mortem examinations. He was extensively cross-examined on the visibility of tyre tracks photographed at the dump site, compared to measurements taken of the tyre width of the accused’s vehicle. </w:t>
      </w:r>
    </w:p>
    <w:p w:rsidR="002A4094" w:rsidRDefault="002A4094" w:rsidP="002A053B">
      <w:pPr>
        <w:spacing w:line="360" w:lineRule="auto"/>
        <w:jc w:val="both"/>
        <w:rPr>
          <w:rFonts w:ascii="Arial" w:hAnsi="Arial" w:cs="Arial"/>
        </w:rPr>
      </w:pPr>
    </w:p>
    <w:p w:rsidR="00AE5791" w:rsidRDefault="002A4094" w:rsidP="002A053B">
      <w:pPr>
        <w:spacing w:line="360" w:lineRule="auto"/>
        <w:jc w:val="both"/>
        <w:rPr>
          <w:rFonts w:ascii="Arial" w:hAnsi="Arial" w:cs="Arial"/>
        </w:rPr>
      </w:pPr>
      <w:r>
        <w:rPr>
          <w:rFonts w:ascii="Arial" w:hAnsi="Arial" w:cs="Arial"/>
        </w:rPr>
        <w:t>[</w:t>
      </w:r>
      <w:r w:rsidR="00870E63">
        <w:rPr>
          <w:rFonts w:ascii="Arial" w:hAnsi="Arial" w:cs="Arial"/>
        </w:rPr>
        <w:t>22</w:t>
      </w:r>
      <w:r>
        <w:rPr>
          <w:rFonts w:ascii="Arial" w:hAnsi="Arial" w:cs="Arial"/>
        </w:rPr>
        <w:t>]</w:t>
      </w:r>
      <w:r>
        <w:rPr>
          <w:rFonts w:ascii="Arial" w:hAnsi="Arial" w:cs="Arial"/>
        </w:rPr>
        <w:tab/>
        <w:t>The importance of evidence relating to tyre tracks and drag marks of bodies observed at the dump site by the different</w:t>
      </w:r>
      <w:r w:rsidR="003A180C">
        <w:rPr>
          <w:rFonts w:ascii="Arial" w:hAnsi="Arial" w:cs="Arial"/>
        </w:rPr>
        <w:t xml:space="preserve"> witnesses who testified on this aspect of the case</w:t>
      </w:r>
      <w:r w:rsidR="00684281">
        <w:rPr>
          <w:rFonts w:ascii="Arial" w:hAnsi="Arial" w:cs="Arial"/>
        </w:rPr>
        <w:t>, seems to lose significant importance</w:t>
      </w:r>
      <w:r>
        <w:rPr>
          <w:rFonts w:ascii="Arial" w:hAnsi="Arial" w:cs="Arial"/>
        </w:rPr>
        <w:t xml:space="preserve"> in light of the accused’s evidence that it is possible that his vehicle could have been used </w:t>
      </w:r>
      <w:r w:rsidR="003A180C">
        <w:rPr>
          <w:rFonts w:ascii="Arial" w:hAnsi="Arial" w:cs="Arial"/>
        </w:rPr>
        <w:t xml:space="preserve">(by Benny) </w:t>
      </w:r>
      <w:r>
        <w:rPr>
          <w:rFonts w:ascii="Arial" w:hAnsi="Arial" w:cs="Arial"/>
        </w:rPr>
        <w:t xml:space="preserve">to dispose of the bodies at the dump site, but that it did not involve him. </w:t>
      </w:r>
    </w:p>
    <w:p w:rsidR="002A053B" w:rsidRDefault="002A053B" w:rsidP="002A053B">
      <w:pPr>
        <w:spacing w:line="360" w:lineRule="auto"/>
        <w:jc w:val="both"/>
        <w:rPr>
          <w:rFonts w:ascii="Arial" w:hAnsi="Arial" w:cs="Arial"/>
          <w:lang w:val="en-ZA"/>
        </w:rPr>
      </w:pPr>
      <w:r>
        <w:rPr>
          <w:rFonts w:ascii="Arial" w:hAnsi="Arial" w:cs="Arial"/>
          <w:lang w:val="en-ZA"/>
        </w:rPr>
        <w:t xml:space="preserve"> </w:t>
      </w:r>
    </w:p>
    <w:p w:rsidR="005D12E5" w:rsidRDefault="00687D3E" w:rsidP="002A053B">
      <w:pPr>
        <w:spacing w:line="360" w:lineRule="auto"/>
        <w:jc w:val="both"/>
        <w:rPr>
          <w:rFonts w:ascii="Arial" w:hAnsi="Arial" w:cs="Arial"/>
          <w:lang w:val="en-ZA"/>
        </w:rPr>
      </w:pPr>
      <w:r>
        <w:rPr>
          <w:rFonts w:ascii="Arial" w:hAnsi="Arial" w:cs="Arial"/>
          <w:lang w:val="en-ZA"/>
        </w:rPr>
        <w:t>[</w:t>
      </w:r>
      <w:r w:rsidR="00870E63">
        <w:rPr>
          <w:rFonts w:ascii="Arial" w:hAnsi="Arial" w:cs="Arial"/>
          <w:lang w:val="en-ZA"/>
        </w:rPr>
        <w:t>23</w:t>
      </w:r>
      <w:r>
        <w:rPr>
          <w:rFonts w:ascii="Arial" w:hAnsi="Arial" w:cs="Arial"/>
          <w:lang w:val="en-ZA"/>
        </w:rPr>
        <w:t>]</w:t>
      </w:r>
      <w:r>
        <w:rPr>
          <w:rFonts w:ascii="Arial" w:hAnsi="Arial" w:cs="Arial"/>
          <w:lang w:val="en-ZA"/>
        </w:rPr>
        <w:tab/>
        <w:t xml:space="preserve">According </w:t>
      </w:r>
      <w:r w:rsidR="007E5C3B">
        <w:rPr>
          <w:rFonts w:ascii="Arial" w:hAnsi="Arial" w:cs="Arial"/>
          <w:lang w:val="en-ZA"/>
        </w:rPr>
        <w:t xml:space="preserve">to the post-mortem </w:t>
      </w:r>
      <w:r w:rsidR="002E3751">
        <w:rPr>
          <w:rFonts w:ascii="Arial" w:hAnsi="Arial" w:cs="Arial"/>
          <w:lang w:val="en-ZA"/>
        </w:rPr>
        <w:t xml:space="preserve">examination </w:t>
      </w:r>
      <w:r w:rsidR="007E5C3B">
        <w:rPr>
          <w:rFonts w:ascii="Arial" w:hAnsi="Arial" w:cs="Arial"/>
          <w:lang w:val="en-ZA"/>
        </w:rPr>
        <w:t>report compiled</w:t>
      </w:r>
      <w:r>
        <w:rPr>
          <w:rFonts w:ascii="Arial" w:hAnsi="Arial" w:cs="Arial"/>
          <w:lang w:val="en-ZA"/>
        </w:rPr>
        <w:t xml:space="preserve"> by </w:t>
      </w:r>
      <w:r w:rsidRPr="00870E63">
        <w:rPr>
          <w:rFonts w:ascii="Arial" w:hAnsi="Arial" w:cs="Arial"/>
          <w:lang w:val="en-ZA"/>
        </w:rPr>
        <w:t>Dr Vasin,</w:t>
      </w:r>
      <w:r>
        <w:rPr>
          <w:rFonts w:ascii="Arial" w:hAnsi="Arial" w:cs="Arial"/>
          <w:lang w:val="en-ZA"/>
        </w:rPr>
        <w:t xml:space="preserve"> the pathologist who conducted an autopsy on the body of Johanie Naruses, the cause of death was undetermined. Und</w:t>
      </w:r>
      <w:r w:rsidR="0029471D">
        <w:rPr>
          <w:rFonts w:ascii="Arial" w:hAnsi="Arial" w:cs="Arial"/>
          <w:lang w:val="en-ZA"/>
        </w:rPr>
        <w:t xml:space="preserve">er </w:t>
      </w:r>
      <w:r w:rsidR="00BD09FD">
        <w:rPr>
          <w:rFonts w:ascii="Arial" w:hAnsi="Arial" w:cs="Arial"/>
          <w:lang w:val="en-ZA"/>
        </w:rPr>
        <w:t xml:space="preserve">the </w:t>
      </w:r>
      <w:r w:rsidR="0029471D">
        <w:rPr>
          <w:rFonts w:ascii="Arial" w:hAnsi="Arial" w:cs="Arial"/>
          <w:lang w:val="en-ZA"/>
        </w:rPr>
        <w:t xml:space="preserve">chief post-mortem findings </w:t>
      </w:r>
      <w:r w:rsidR="00BD09FD">
        <w:rPr>
          <w:rFonts w:ascii="Arial" w:hAnsi="Arial" w:cs="Arial"/>
          <w:lang w:val="en-ZA"/>
        </w:rPr>
        <w:t xml:space="preserve">the </w:t>
      </w:r>
      <w:r w:rsidR="00BD09FD">
        <w:rPr>
          <w:rFonts w:ascii="Arial" w:hAnsi="Arial" w:cs="Arial"/>
          <w:lang w:val="en-ZA"/>
        </w:rPr>
        <w:lastRenderedPageBreak/>
        <w:t xml:space="preserve">report </w:t>
      </w:r>
      <w:r w:rsidR="00870E63">
        <w:rPr>
          <w:rFonts w:ascii="Arial" w:hAnsi="Arial" w:cs="Arial"/>
          <w:lang w:val="en-ZA"/>
        </w:rPr>
        <w:t>reflects that,</w:t>
      </w:r>
      <w:r>
        <w:rPr>
          <w:rFonts w:ascii="Arial" w:hAnsi="Arial" w:cs="Arial"/>
          <w:lang w:val="en-ZA"/>
        </w:rPr>
        <w:t xml:space="preserve"> </w:t>
      </w:r>
      <w:r w:rsidR="0029471D">
        <w:rPr>
          <w:rFonts w:ascii="Arial" w:hAnsi="Arial" w:cs="Arial"/>
          <w:lang w:val="en-ZA"/>
        </w:rPr>
        <w:t xml:space="preserve">besides </w:t>
      </w:r>
      <w:r w:rsidR="00BC40B0">
        <w:rPr>
          <w:rFonts w:ascii="Arial" w:hAnsi="Arial" w:cs="Arial"/>
          <w:lang w:val="en-ZA"/>
        </w:rPr>
        <w:t xml:space="preserve">citing </w:t>
      </w:r>
      <w:r w:rsidR="0029471D">
        <w:rPr>
          <w:rFonts w:ascii="Arial" w:hAnsi="Arial" w:cs="Arial"/>
          <w:lang w:val="en-ZA"/>
        </w:rPr>
        <w:t xml:space="preserve">the charred body of a female person, </w:t>
      </w:r>
      <w:r w:rsidR="00BD09FD">
        <w:rPr>
          <w:rFonts w:ascii="Arial" w:hAnsi="Arial" w:cs="Arial"/>
          <w:lang w:val="en-ZA"/>
        </w:rPr>
        <w:t xml:space="preserve">the </w:t>
      </w:r>
      <w:r w:rsidR="00BC40B0">
        <w:rPr>
          <w:rFonts w:ascii="Arial" w:hAnsi="Arial" w:cs="Arial"/>
          <w:lang w:val="en-ZA"/>
        </w:rPr>
        <w:t xml:space="preserve">discovery </w:t>
      </w:r>
      <w:r w:rsidR="00BD09FD">
        <w:rPr>
          <w:rFonts w:ascii="Arial" w:hAnsi="Arial" w:cs="Arial"/>
          <w:lang w:val="en-ZA"/>
        </w:rPr>
        <w:t xml:space="preserve">of </w:t>
      </w:r>
      <w:r>
        <w:rPr>
          <w:rFonts w:ascii="Arial" w:hAnsi="Arial" w:cs="Arial"/>
          <w:lang w:val="en-ZA"/>
        </w:rPr>
        <w:t>a single penetrating injury to the left plural cavity and mediastinum</w:t>
      </w:r>
      <w:r w:rsidR="00BC40B0">
        <w:rPr>
          <w:rFonts w:ascii="Arial" w:hAnsi="Arial" w:cs="Arial"/>
          <w:lang w:val="en-ZA"/>
        </w:rPr>
        <w:t>,</w:t>
      </w:r>
      <w:r>
        <w:rPr>
          <w:rFonts w:ascii="Arial" w:hAnsi="Arial" w:cs="Arial"/>
          <w:lang w:val="en-ZA"/>
        </w:rPr>
        <w:t xml:space="preserve"> with adjacent haemorrhages</w:t>
      </w:r>
      <w:r w:rsidR="0029471D">
        <w:rPr>
          <w:rFonts w:ascii="Arial" w:hAnsi="Arial" w:cs="Arial"/>
          <w:lang w:val="en-ZA"/>
        </w:rPr>
        <w:t xml:space="preserve"> (Exhibit ‘H’)</w:t>
      </w:r>
      <w:r>
        <w:rPr>
          <w:rFonts w:ascii="Arial" w:hAnsi="Arial" w:cs="Arial"/>
          <w:lang w:val="en-ZA"/>
        </w:rPr>
        <w:t>.</w:t>
      </w:r>
    </w:p>
    <w:p w:rsidR="00687D3E" w:rsidRDefault="00687D3E" w:rsidP="00A85222">
      <w:pPr>
        <w:spacing w:line="360" w:lineRule="auto"/>
        <w:jc w:val="both"/>
        <w:rPr>
          <w:rFonts w:ascii="Arial" w:hAnsi="Arial" w:cs="Arial"/>
          <w:lang w:val="en-ZA"/>
        </w:rPr>
      </w:pPr>
    </w:p>
    <w:p w:rsidR="00687D3E" w:rsidRPr="00F3222A" w:rsidRDefault="00687D3E" w:rsidP="00A85222">
      <w:pPr>
        <w:spacing w:line="360" w:lineRule="auto"/>
        <w:jc w:val="both"/>
        <w:rPr>
          <w:rFonts w:ascii="Arial" w:hAnsi="Arial" w:cs="Arial"/>
          <w:lang w:val="en-ZA"/>
        </w:rPr>
      </w:pPr>
      <w:r>
        <w:rPr>
          <w:rFonts w:ascii="Arial" w:hAnsi="Arial" w:cs="Arial"/>
          <w:lang w:val="en-ZA"/>
        </w:rPr>
        <w:t>[</w:t>
      </w:r>
      <w:r w:rsidR="00BC40B0">
        <w:rPr>
          <w:rFonts w:ascii="Arial" w:hAnsi="Arial" w:cs="Arial"/>
          <w:lang w:val="en-ZA"/>
        </w:rPr>
        <w:t>24</w:t>
      </w:r>
      <w:r>
        <w:rPr>
          <w:rFonts w:ascii="Arial" w:hAnsi="Arial" w:cs="Arial"/>
          <w:lang w:val="en-ZA"/>
        </w:rPr>
        <w:t>]</w:t>
      </w:r>
      <w:r>
        <w:rPr>
          <w:rFonts w:ascii="Arial" w:hAnsi="Arial" w:cs="Arial"/>
          <w:lang w:val="en-ZA"/>
        </w:rPr>
        <w:tab/>
        <w:t xml:space="preserve">The post-mortem report </w:t>
      </w:r>
      <w:r w:rsidR="00BC40B0">
        <w:rPr>
          <w:rFonts w:ascii="Arial" w:hAnsi="Arial" w:cs="Arial"/>
          <w:lang w:val="en-ZA"/>
        </w:rPr>
        <w:t>compiled by</w:t>
      </w:r>
      <w:r w:rsidR="007E5C3B">
        <w:rPr>
          <w:rFonts w:ascii="Arial" w:hAnsi="Arial" w:cs="Arial"/>
          <w:lang w:val="en-ZA"/>
        </w:rPr>
        <w:t xml:space="preserve"> </w:t>
      </w:r>
      <w:r w:rsidR="007E5C3B" w:rsidRPr="00BC40B0">
        <w:rPr>
          <w:rFonts w:ascii="Arial" w:hAnsi="Arial" w:cs="Arial"/>
          <w:lang w:val="en-ZA"/>
        </w:rPr>
        <w:t>Dr Guriras</w:t>
      </w:r>
      <w:r w:rsidR="007E5C3B">
        <w:rPr>
          <w:rFonts w:ascii="Arial" w:hAnsi="Arial" w:cs="Arial"/>
          <w:lang w:val="en-ZA"/>
        </w:rPr>
        <w:t xml:space="preserve"> </w:t>
      </w:r>
      <w:r>
        <w:rPr>
          <w:rFonts w:ascii="Arial" w:hAnsi="Arial" w:cs="Arial"/>
          <w:lang w:val="en-ZA"/>
        </w:rPr>
        <w:t>in respect of Clementia De Wee</w:t>
      </w:r>
      <w:r w:rsidR="00BC40B0">
        <w:rPr>
          <w:rFonts w:ascii="Arial" w:hAnsi="Arial" w:cs="Arial"/>
          <w:lang w:val="en-ZA"/>
        </w:rPr>
        <w:t>,</w:t>
      </w:r>
      <w:r>
        <w:rPr>
          <w:rFonts w:ascii="Arial" w:hAnsi="Arial" w:cs="Arial"/>
          <w:lang w:val="en-ZA"/>
        </w:rPr>
        <w:t xml:space="preserve"> equally reflects the cause of death as undetermined</w:t>
      </w:r>
      <w:r w:rsidR="0029471D">
        <w:rPr>
          <w:rFonts w:ascii="Arial" w:hAnsi="Arial" w:cs="Arial"/>
          <w:lang w:val="en-ZA"/>
        </w:rPr>
        <w:t xml:space="preserve"> and changes to the body attributed to </w:t>
      </w:r>
      <w:r w:rsidR="00BC40B0">
        <w:rPr>
          <w:rFonts w:ascii="Arial" w:hAnsi="Arial" w:cs="Arial"/>
          <w:lang w:val="en-ZA"/>
        </w:rPr>
        <w:t xml:space="preserve">charring </w:t>
      </w:r>
      <w:r w:rsidR="0029471D">
        <w:rPr>
          <w:rFonts w:ascii="Arial" w:hAnsi="Arial" w:cs="Arial"/>
          <w:lang w:val="en-ZA"/>
        </w:rPr>
        <w:t>(</w:t>
      </w:r>
      <w:r w:rsidR="00BC40B0">
        <w:rPr>
          <w:rFonts w:ascii="Arial" w:hAnsi="Arial" w:cs="Arial"/>
          <w:lang w:val="en-ZA"/>
        </w:rPr>
        <w:t xml:space="preserve">PM 16/2016 – </w:t>
      </w:r>
      <w:r w:rsidR="0029471D">
        <w:rPr>
          <w:rFonts w:ascii="Arial" w:hAnsi="Arial" w:cs="Arial"/>
          <w:lang w:val="en-ZA"/>
        </w:rPr>
        <w:t>Exhibit ‘L’).</w:t>
      </w:r>
      <w:r w:rsidR="007E5C3B">
        <w:rPr>
          <w:rFonts w:ascii="Arial" w:hAnsi="Arial" w:cs="Arial"/>
          <w:lang w:val="en-ZA"/>
        </w:rPr>
        <w:t xml:space="preserve"> Other findings made on the body included a laceration to the apex of the heart and cooked blood in the left thoracic cavity and the pericardial space. There were also signs of bloody aspiration. Additional observations made </w:t>
      </w:r>
      <w:r w:rsidR="00BC40B0">
        <w:rPr>
          <w:rFonts w:ascii="Arial" w:hAnsi="Arial" w:cs="Arial"/>
          <w:lang w:val="en-ZA"/>
        </w:rPr>
        <w:t>on the body relate</w:t>
      </w:r>
      <w:r w:rsidR="0021482C">
        <w:rPr>
          <w:rFonts w:ascii="Arial" w:hAnsi="Arial" w:cs="Arial"/>
          <w:lang w:val="en-ZA"/>
        </w:rPr>
        <w:t xml:space="preserve"> to penetrating trauma inflicted to the chest, causing injury to the heart and i</w:t>
      </w:r>
      <w:r w:rsidR="005E37C2">
        <w:rPr>
          <w:rFonts w:ascii="Arial" w:hAnsi="Arial" w:cs="Arial"/>
          <w:lang w:val="en-ZA"/>
        </w:rPr>
        <w:t>nternal bleeding. Though concluding</w:t>
      </w:r>
      <w:r w:rsidR="0021482C">
        <w:rPr>
          <w:rFonts w:ascii="Arial" w:hAnsi="Arial" w:cs="Arial"/>
          <w:lang w:val="en-ZA"/>
        </w:rPr>
        <w:t xml:space="preserve"> that this injury resulted in death, the cause of the injury was unknown. As regards PM 15/2016 compiled by Dr Vasin (who passed away in November 2017), Dr Gurirab interpreted the</w:t>
      </w:r>
      <w:r w:rsidR="005E37C2">
        <w:rPr>
          <w:rFonts w:ascii="Arial" w:hAnsi="Arial" w:cs="Arial"/>
          <w:lang w:val="en-ZA"/>
        </w:rPr>
        <w:t xml:space="preserve"> findings </w:t>
      </w:r>
      <w:r w:rsidR="00BC40B0">
        <w:rPr>
          <w:rFonts w:ascii="Arial" w:hAnsi="Arial" w:cs="Arial"/>
          <w:lang w:val="en-ZA"/>
        </w:rPr>
        <w:t>made about</w:t>
      </w:r>
      <w:r w:rsidR="0021482C">
        <w:rPr>
          <w:rFonts w:ascii="Arial" w:hAnsi="Arial" w:cs="Arial"/>
          <w:lang w:val="en-ZA"/>
        </w:rPr>
        <w:t xml:space="preserve"> a single oval shape penetrating chest defect (para 10) and irregular lacerations of the heart on the left atrium (para</w:t>
      </w:r>
      <w:r w:rsidR="005E37C2">
        <w:rPr>
          <w:rFonts w:ascii="Arial" w:hAnsi="Arial" w:cs="Arial"/>
          <w:lang w:val="en-ZA"/>
        </w:rPr>
        <w:t xml:space="preserve"> 14)</w:t>
      </w:r>
      <w:r w:rsidR="00BC40B0">
        <w:rPr>
          <w:rFonts w:ascii="Arial" w:hAnsi="Arial" w:cs="Arial"/>
          <w:lang w:val="en-ZA"/>
        </w:rPr>
        <w:t xml:space="preserve"> and</w:t>
      </w:r>
      <w:r w:rsidR="0021482C">
        <w:rPr>
          <w:rFonts w:ascii="Arial" w:hAnsi="Arial" w:cs="Arial"/>
          <w:lang w:val="en-ZA"/>
        </w:rPr>
        <w:t xml:space="preserve"> concluded that the person died of a chest injury, most likely from a gunshot wound.</w:t>
      </w:r>
    </w:p>
    <w:p w:rsidR="009B5ACD" w:rsidRDefault="009B5ACD" w:rsidP="006B344C">
      <w:pPr>
        <w:spacing w:line="360" w:lineRule="auto"/>
        <w:rPr>
          <w:rFonts w:ascii="Arial" w:hAnsi="Arial" w:cs="Arial"/>
        </w:rPr>
      </w:pPr>
    </w:p>
    <w:p w:rsidR="00F3222A" w:rsidRDefault="00F3222A" w:rsidP="00085B3E">
      <w:pPr>
        <w:spacing w:line="360" w:lineRule="auto"/>
        <w:jc w:val="both"/>
        <w:rPr>
          <w:rFonts w:ascii="Arial" w:hAnsi="Arial" w:cs="Arial"/>
        </w:rPr>
      </w:pPr>
      <w:r>
        <w:rPr>
          <w:rFonts w:ascii="Arial" w:hAnsi="Arial" w:cs="Arial"/>
        </w:rPr>
        <w:t>[</w:t>
      </w:r>
      <w:r w:rsidR="00BC40B0">
        <w:rPr>
          <w:rFonts w:ascii="Arial" w:hAnsi="Arial" w:cs="Arial"/>
        </w:rPr>
        <w:t>25</w:t>
      </w:r>
      <w:r>
        <w:rPr>
          <w:rFonts w:ascii="Arial" w:hAnsi="Arial" w:cs="Arial"/>
        </w:rPr>
        <w:t>]</w:t>
      </w:r>
      <w:r>
        <w:rPr>
          <w:rFonts w:ascii="Arial" w:hAnsi="Arial" w:cs="Arial"/>
        </w:rPr>
        <w:tab/>
      </w:r>
      <w:r w:rsidR="00085B3E" w:rsidRPr="00BC40B0">
        <w:rPr>
          <w:rFonts w:ascii="Arial" w:hAnsi="Arial" w:cs="Arial"/>
        </w:rPr>
        <w:t>Mr Simwanza Liswaniso</w:t>
      </w:r>
      <w:r w:rsidR="00085B3E">
        <w:rPr>
          <w:rFonts w:ascii="Arial" w:hAnsi="Arial" w:cs="Arial"/>
        </w:rPr>
        <w:t xml:space="preserve"> </w:t>
      </w:r>
      <w:r w:rsidR="00BC40B0">
        <w:rPr>
          <w:rFonts w:ascii="Arial" w:hAnsi="Arial" w:cs="Arial"/>
        </w:rPr>
        <w:t>is a</w:t>
      </w:r>
      <w:r w:rsidR="00085B3E">
        <w:rPr>
          <w:rFonts w:ascii="Arial" w:hAnsi="Arial" w:cs="Arial"/>
        </w:rPr>
        <w:t xml:space="preserve"> Forensic Scientist with the </w:t>
      </w:r>
      <w:r w:rsidR="00BC40B0">
        <w:rPr>
          <w:rFonts w:ascii="Arial" w:hAnsi="Arial" w:cs="Arial"/>
        </w:rPr>
        <w:t>NFSI</w:t>
      </w:r>
      <w:r w:rsidR="00085B3E">
        <w:rPr>
          <w:rFonts w:ascii="Arial" w:hAnsi="Arial" w:cs="Arial"/>
        </w:rPr>
        <w:t xml:space="preserve"> and his evidence mainly deals with the collection of evidence at the scene where the bodies were foun</w:t>
      </w:r>
      <w:r w:rsidR="0029471D">
        <w:rPr>
          <w:rFonts w:ascii="Arial" w:hAnsi="Arial" w:cs="Arial"/>
        </w:rPr>
        <w:t>d</w:t>
      </w:r>
      <w:r w:rsidR="00BD09FD">
        <w:rPr>
          <w:rFonts w:ascii="Arial" w:hAnsi="Arial" w:cs="Arial"/>
        </w:rPr>
        <w:t>. Forensic evidence was also collected</w:t>
      </w:r>
      <w:r w:rsidR="0029471D">
        <w:rPr>
          <w:rFonts w:ascii="Arial" w:hAnsi="Arial" w:cs="Arial"/>
        </w:rPr>
        <w:t xml:space="preserve"> from</w:t>
      </w:r>
      <w:r w:rsidR="00185FDA">
        <w:rPr>
          <w:rFonts w:ascii="Arial" w:hAnsi="Arial" w:cs="Arial"/>
        </w:rPr>
        <w:t xml:space="preserve"> a black VW Golf</w:t>
      </w:r>
      <w:r w:rsidR="0029471D">
        <w:rPr>
          <w:rFonts w:ascii="Arial" w:hAnsi="Arial" w:cs="Arial"/>
        </w:rPr>
        <w:t xml:space="preserve"> with registration number N86989W, registered in the name of L.N. Nikodemus</w:t>
      </w:r>
      <w:r w:rsidR="00185FDA">
        <w:rPr>
          <w:rFonts w:ascii="Arial" w:hAnsi="Arial" w:cs="Arial"/>
        </w:rPr>
        <w:t>. NFSI Report 55/2016/G-P1 dated 02 May 2018</w:t>
      </w:r>
      <w:r w:rsidR="00BD09FD">
        <w:rPr>
          <w:rFonts w:ascii="Arial" w:hAnsi="Arial" w:cs="Arial"/>
        </w:rPr>
        <w:t xml:space="preserve"> comprises</w:t>
      </w:r>
      <w:r w:rsidR="00185FDA">
        <w:rPr>
          <w:rFonts w:ascii="Arial" w:hAnsi="Arial" w:cs="Arial"/>
        </w:rPr>
        <w:t xml:space="preserve"> a </w:t>
      </w:r>
      <w:r w:rsidR="00085B3E">
        <w:rPr>
          <w:rFonts w:ascii="Arial" w:hAnsi="Arial" w:cs="Arial"/>
        </w:rPr>
        <w:t xml:space="preserve">photo </w:t>
      </w:r>
      <w:r w:rsidR="00185FDA">
        <w:rPr>
          <w:rFonts w:ascii="Arial" w:hAnsi="Arial" w:cs="Arial"/>
        </w:rPr>
        <w:t>plan</w:t>
      </w:r>
      <w:r w:rsidR="00D97349">
        <w:rPr>
          <w:rFonts w:ascii="Arial" w:hAnsi="Arial" w:cs="Arial"/>
        </w:rPr>
        <w:t xml:space="preserve"> from which </w:t>
      </w:r>
      <w:r w:rsidR="00185FDA">
        <w:rPr>
          <w:rFonts w:ascii="Arial" w:hAnsi="Arial" w:cs="Arial"/>
        </w:rPr>
        <w:t>t</w:t>
      </w:r>
      <w:r w:rsidR="00D97349">
        <w:rPr>
          <w:rFonts w:ascii="Arial" w:hAnsi="Arial" w:cs="Arial"/>
        </w:rPr>
        <w:t xml:space="preserve">he </w:t>
      </w:r>
      <w:r w:rsidR="00185FDA">
        <w:rPr>
          <w:rFonts w:ascii="Arial" w:hAnsi="Arial" w:cs="Arial"/>
        </w:rPr>
        <w:t xml:space="preserve">witness </w:t>
      </w:r>
      <w:r w:rsidR="00D97349">
        <w:rPr>
          <w:rFonts w:ascii="Arial" w:hAnsi="Arial" w:cs="Arial"/>
        </w:rPr>
        <w:t>testified.</w:t>
      </w:r>
      <w:r w:rsidR="007C4B36">
        <w:rPr>
          <w:rStyle w:val="FootnoteReference"/>
          <w:rFonts w:ascii="Arial" w:hAnsi="Arial" w:cs="Arial"/>
        </w:rPr>
        <w:footnoteReference w:id="4"/>
      </w:r>
      <w:r w:rsidR="00D97349">
        <w:rPr>
          <w:rFonts w:ascii="Arial" w:hAnsi="Arial" w:cs="Arial"/>
        </w:rPr>
        <w:t xml:space="preserve"> At the dumpsite drag marks were visible</w:t>
      </w:r>
      <w:r w:rsidR="00BC40B0">
        <w:rPr>
          <w:rFonts w:ascii="Arial" w:hAnsi="Arial" w:cs="Arial"/>
        </w:rPr>
        <w:t>,</w:t>
      </w:r>
      <w:r w:rsidR="00D97349">
        <w:rPr>
          <w:rFonts w:ascii="Arial" w:hAnsi="Arial" w:cs="Arial"/>
        </w:rPr>
        <w:t xml:space="preserve"> converging at the poin</w:t>
      </w:r>
      <w:r w:rsidR="005E37C2">
        <w:rPr>
          <w:rFonts w:ascii="Arial" w:hAnsi="Arial" w:cs="Arial"/>
        </w:rPr>
        <w:t>t where the bodies were found. I</w:t>
      </w:r>
      <w:r w:rsidR="00D97349">
        <w:rPr>
          <w:rFonts w:ascii="Arial" w:hAnsi="Arial" w:cs="Arial"/>
        </w:rPr>
        <w:t>n these drag marks human blood stains were observed and sampled. On</w:t>
      </w:r>
      <w:r w:rsidR="00BD09FD">
        <w:rPr>
          <w:rFonts w:ascii="Arial" w:hAnsi="Arial" w:cs="Arial"/>
        </w:rPr>
        <w:t xml:space="preserve"> the interior</w:t>
      </w:r>
      <w:r w:rsidR="007C4B36">
        <w:rPr>
          <w:rFonts w:ascii="Arial" w:hAnsi="Arial" w:cs="Arial"/>
        </w:rPr>
        <w:t xml:space="preserve"> of the vehicle</w:t>
      </w:r>
      <w:r w:rsidR="00D97349">
        <w:rPr>
          <w:rFonts w:ascii="Arial" w:hAnsi="Arial" w:cs="Arial"/>
        </w:rPr>
        <w:t xml:space="preserve"> stains were observed on the back seat </w:t>
      </w:r>
      <w:r w:rsidR="007C4B36">
        <w:rPr>
          <w:rFonts w:ascii="Arial" w:hAnsi="Arial" w:cs="Arial"/>
        </w:rPr>
        <w:t>which tested positive for human blood</w:t>
      </w:r>
      <w:r w:rsidR="00BD09FD">
        <w:rPr>
          <w:rFonts w:ascii="Arial" w:hAnsi="Arial" w:cs="Arial"/>
        </w:rPr>
        <w:t>,</w:t>
      </w:r>
      <w:r w:rsidR="007C4B36">
        <w:rPr>
          <w:rFonts w:ascii="Arial" w:hAnsi="Arial" w:cs="Arial"/>
        </w:rPr>
        <w:t xml:space="preserve"> while</w:t>
      </w:r>
      <w:r w:rsidR="00D97349">
        <w:rPr>
          <w:rFonts w:ascii="Arial" w:hAnsi="Arial" w:cs="Arial"/>
        </w:rPr>
        <w:t xml:space="preserve"> </w:t>
      </w:r>
      <w:r w:rsidR="007C4B36">
        <w:rPr>
          <w:rFonts w:ascii="Arial" w:hAnsi="Arial" w:cs="Arial"/>
        </w:rPr>
        <w:t>swabs</w:t>
      </w:r>
      <w:r w:rsidR="00D97349">
        <w:rPr>
          <w:rFonts w:ascii="Arial" w:hAnsi="Arial" w:cs="Arial"/>
        </w:rPr>
        <w:t xml:space="preserve"> </w:t>
      </w:r>
      <w:r w:rsidR="007C4B36">
        <w:rPr>
          <w:rFonts w:ascii="Arial" w:hAnsi="Arial" w:cs="Arial"/>
        </w:rPr>
        <w:t>were collected</w:t>
      </w:r>
      <w:r w:rsidR="00D97349">
        <w:rPr>
          <w:rFonts w:ascii="Arial" w:hAnsi="Arial" w:cs="Arial"/>
        </w:rPr>
        <w:t xml:space="preserve"> from the steering wheel, gear lever, </w:t>
      </w:r>
      <w:r w:rsidR="007C4B36">
        <w:rPr>
          <w:rFonts w:ascii="Arial" w:hAnsi="Arial" w:cs="Arial"/>
        </w:rPr>
        <w:t xml:space="preserve">handbrake, </w:t>
      </w:r>
      <w:r w:rsidR="00D97349">
        <w:rPr>
          <w:rFonts w:ascii="Arial" w:hAnsi="Arial" w:cs="Arial"/>
        </w:rPr>
        <w:t xml:space="preserve">indicator </w:t>
      </w:r>
      <w:r w:rsidR="007C4B36">
        <w:rPr>
          <w:rFonts w:ascii="Arial" w:hAnsi="Arial" w:cs="Arial"/>
        </w:rPr>
        <w:t xml:space="preserve">lever </w:t>
      </w:r>
      <w:r w:rsidR="00D97349">
        <w:rPr>
          <w:rFonts w:ascii="Arial" w:hAnsi="Arial" w:cs="Arial"/>
        </w:rPr>
        <w:t xml:space="preserve">and other spots. All samples were sealed in </w:t>
      </w:r>
      <w:r w:rsidR="005E37C2">
        <w:rPr>
          <w:rFonts w:ascii="Arial" w:hAnsi="Arial" w:cs="Arial"/>
        </w:rPr>
        <w:t xml:space="preserve">forensic exhibit </w:t>
      </w:r>
      <w:r w:rsidR="00D97349">
        <w:rPr>
          <w:rFonts w:ascii="Arial" w:hAnsi="Arial" w:cs="Arial"/>
        </w:rPr>
        <w:t>bags on site and transferred to the investigating officer, Warrant Officer Amoomo.</w:t>
      </w:r>
    </w:p>
    <w:p w:rsidR="000372D5" w:rsidRDefault="000372D5" w:rsidP="00085B3E">
      <w:pPr>
        <w:spacing w:line="360" w:lineRule="auto"/>
        <w:jc w:val="both"/>
        <w:rPr>
          <w:rFonts w:ascii="Arial" w:hAnsi="Arial" w:cs="Arial"/>
        </w:rPr>
      </w:pPr>
    </w:p>
    <w:p w:rsidR="000372D5" w:rsidRDefault="000372D5" w:rsidP="00085B3E">
      <w:pPr>
        <w:spacing w:line="360" w:lineRule="auto"/>
        <w:jc w:val="both"/>
        <w:rPr>
          <w:rFonts w:ascii="Arial" w:hAnsi="Arial" w:cs="Arial"/>
        </w:rPr>
      </w:pPr>
      <w:r>
        <w:rPr>
          <w:rFonts w:ascii="Arial" w:hAnsi="Arial" w:cs="Arial"/>
        </w:rPr>
        <w:lastRenderedPageBreak/>
        <w:t>[</w:t>
      </w:r>
      <w:r w:rsidR="00BC40B0">
        <w:rPr>
          <w:rFonts w:ascii="Arial" w:hAnsi="Arial" w:cs="Arial"/>
        </w:rPr>
        <w:t>26</w:t>
      </w:r>
      <w:r>
        <w:rPr>
          <w:rFonts w:ascii="Arial" w:hAnsi="Arial" w:cs="Arial"/>
        </w:rPr>
        <w:t>]</w:t>
      </w:r>
      <w:r>
        <w:rPr>
          <w:rFonts w:ascii="Arial" w:hAnsi="Arial" w:cs="Arial"/>
        </w:rPr>
        <w:tab/>
      </w:r>
      <w:r w:rsidR="00375BEE">
        <w:rPr>
          <w:rFonts w:ascii="Arial" w:hAnsi="Arial" w:cs="Arial"/>
        </w:rPr>
        <w:t xml:space="preserve">In cross-examination </w:t>
      </w:r>
      <w:r w:rsidR="008449D9">
        <w:rPr>
          <w:rFonts w:ascii="Arial" w:hAnsi="Arial" w:cs="Arial"/>
        </w:rPr>
        <w:t xml:space="preserve">counsel for </w:t>
      </w:r>
      <w:r w:rsidR="00375BEE">
        <w:rPr>
          <w:rFonts w:ascii="Arial" w:hAnsi="Arial" w:cs="Arial"/>
        </w:rPr>
        <w:t xml:space="preserve">the defence in particular took issue with a correction made by Mr Liswaniso regarding the number (#1) indicated in the report where he collected swabs from two burnt human bodies. Also that markers were not in all instances used when the interior of the vehicle was photographed. </w:t>
      </w:r>
      <w:r w:rsidR="00A50306">
        <w:rPr>
          <w:rFonts w:ascii="Arial" w:hAnsi="Arial" w:cs="Arial"/>
        </w:rPr>
        <w:t xml:space="preserve">He explained that </w:t>
      </w:r>
      <w:r w:rsidR="008449D9">
        <w:rPr>
          <w:rFonts w:ascii="Arial" w:hAnsi="Arial" w:cs="Arial"/>
        </w:rPr>
        <w:t xml:space="preserve">in respect of </w:t>
      </w:r>
      <w:r w:rsidR="00A50306">
        <w:rPr>
          <w:rFonts w:ascii="Arial" w:hAnsi="Arial" w:cs="Arial"/>
        </w:rPr>
        <w:t xml:space="preserve">the first </w:t>
      </w:r>
      <w:r w:rsidR="008449D9">
        <w:rPr>
          <w:rFonts w:ascii="Arial" w:hAnsi="Arial" w:cs="Arial"/>
        </w:rPr>
        <w:t xml:space="preserve">issue, this </w:t>
      </w:r>
      <w:r w:rsidR="00A50306">
        <w:rPr>
          <w:rFonts w:ascii="Arial" w:hAnsi="Arial" w:cs="Arial"/>
        </w:rPr>
        <w:t>was nothing more than a ty</w:t>
      </w:r>
      <w:r w:rsidR="008449D9">
        <w:rPr>
          <w:rFonts w:ascii="Arial" w:hAnsi="Arial" w:cs="Arial"/>
        </w:rPr>
        <w:t>pographical error whilst, as regards</w:t>
      </w:r>
      <w:r w:rsidR="00A50306">
        <w:rPr>
          <w:rFonts w:ascii="Arial" w:hAnsi="Arial" w:cs="Arial"/>
        </w:rPr>
        <w:t xml:space="preserve"> the second </w:t>
      </w:r>
      <w:r w:rsidR="008449D9">
        <w:rPr>
          <w:rFonts w:ascii="Arial" w:hAnsi="Arial" w:cs="Arial"/>
        </w:rPr>
        <w:t xml:space="preserve">issue, </w:t>
      </w:r>
      <w:r w:rsidR="00A50306">
        <w:rPr>
          <w:rFonts w:ascii="Arial" w:hAnsi="Arial" w:cs="Arial"/>
        </w:rPr>
        <w:t xml:space="preserve">the photos depict the </w:t>
      </w:r>
      <w:r w:rsidR="008449D9">
        <w:rPr>
          <w:rFonts w:ascii="Arial" w:hAnsi="Arial" w:cs="Arial"/>
        </w:rPr>
        <w:t xml:space="preserve">actual </w:t>
      </w:r>
      <w:r w:rsidR="00A50306">
        <w:rPr>
          <w:rFonts w:ascii="Arial" w:hAnsi="Arial" w:cs="Arial"/>
        </w:rPr>
        <w:t>spots in the vehicle from where samples were collected, irrespective as to whether markers were used</w:t>
      </w:r>
      <w:r w:rsidR="008449D9">
        <w:rPr>
          <w:rFonts w:ascii="Arial" w:hAnsi="Arial" w:cs="Arial"/>
        </w:rPr>
        <w:t xml:space="preserve"> or not</w:t>
      </w:r>
      <w:r w:rsidR="00A50306">
        <w:rPr>
          <w:rFonts w:ascii="Arial" w:hAnsi="Arial" w:cs="Arial"/>
        </w:rPr>
        <w:t>. He was emphatic that he coll</w:t>
      </w:r>
      <w:r w:rsidR="00BC40B0">
        <w:rPr>
          <w:rFonts w:ascii="Arial" w:hAnsi="Arial" w:cs="Arial"/>
        </w:rPr>
        <w:t>ected swabs of the bodies and</w:t>
      </w:r>
      <w:r w:rsidR="00A50306">
        <w:rPr>
          <w:rFonts w:ascii="Arial" w:hAnsi="Arial" w:cs="Arial"/>
        </w:rPr>
        <w:t xml:space="preserve"> the interior of the </w:t>
      </w:r>
      <w:r w:rsidR="006D49C8">
        <w:rPr>
          <w:rFonts w:ascii="Arial" w:hAnsi="Arial" w:cs="Arial"/>
        </w:rPr>
        <w:t xml:space="preserve">accused’s </w:t>
      </w:r>
      <w:r w:rsidR="00A50306">
        <w:rPr>
          <w:rFonts w:ascii="Arial" w:hAnsi="Arial" w:cs="Arial"/>
        </w:rPr>
        <w:t xml:space="preserve">vehicle. No controverting evidence was adduced on the </w:t>
      </w:r>
      <w:r w:rsidR="008449D9">
        <w:rPr>
          <w:rFonts w:ascii="Arial" w:hAnsi="Arial" w:cs="Arial"/>
        </w:rPr>
        <w:t>two concerns</w:t>
      </w:r>
      <w:r w:rsidR="00A50306">
        <w:rPr>
          <w:rFonts w:ascii="Arial" w:hAnsi="Arial" w:cs="Arial"/>
        </w:rPr>
        <w:t xml:space="preserve"> raised that could </w:t>
      </w:r>
      <w:r w:rsidR="008449D9">
        <w:rPr>
          <w:rFonts w:ascii="Arial" w:hAnsi="Arial" w:cs="Arial"/>
        </w:rPr>
        <w:t xml:space="preserve">possibly </w:t>
      </w:r>
      <w:r w:rsidR="00A50306">
        <w:rPr>
          <w:rFonts w:ascii="Arial" w:hAnsi="Arial" w:cs="Arial"/>
        </w:rPr>
        <w:t>render the witness’s evidence unreliable.</w:t>
      </w:r>
    </w:p>
    <w:p w:rsidR="005D12E5" w:rsidRDefault="005D12E5" w:rsidP="00085B3E">
      <w:pPr>
        <w:spacing w:line="360" w:lineRule="auto"/>
        <w:jc w:val="both"/>
        <w:rPr>
          <w:rFonts w:ascii="Arial" w:hAnsi="Arial" w:cs="Arial"/>
        </w:rPr>
      </w:pPr>
    </w:p>
    <w:p w:rsidR="005D12E5" w:rsidRDefault="005D12E5" w:rsidP="00085B3E">
      <w:pPr>
        <w:spacing w:line="360" w:lineRule="auto"/>
        <w:jc w:val="both"/>
        <w:rPr>
          <w:rFonts w:ascii="Arial" w:hAnsi="Arial" w:cs="Arial"/>
        </w:rPr>
      </w:pPr>
      <w:r>
        <w:rPr>
          <w:rFonts w:ascii="Arial" w:hAnsi="Arial" w:cs="Arial"/>
        </w:rPr>
        <w:t>[</w:t>
      </w:r>
      <w:r w:rsidR="006D49C8">
        <w:rPr>
          <w:rFonts w:ascii="Arial" w:hAnsi="Arial" w:cs="Arial"/>
        </w:rPr>
        <w:t>27</w:t>
      </w:r>
      <w:r>
        <w:rPr>
          <w:rFonts w:ascii="Arial" w:hAnsi="Arial" w:cs="Arial"/>
        </w:rPr>
        <w:t>]</w:t>
      </w:r>
      <w:r>
        <w:rPr>
          <w:rFonts w:ascii="Arial" w:hAnsi="Arial" w:cs="Arial"/>
        </w:rPr>
        <w:tab/>
      </w:r>
      <w:r w:rsidR="00B812CA" w:rsidRPr="006D49C8">
        <w:rPr>
          <w:rFonts w:ascii="Arial" w:hAnsi="Arial" w:cs="Arial"/>
        </w:rPr>
        <w:t>Ms Anne Lukas</w:t>
      </w:r>
      <w:r w:rsidR="00B812CA">
        <w:rPr>
          <w:rFonts w:ascii="Arial" w:hAnsi="Arial" w:cs="Arial"/>
        </w:rPr>
        <w:t xml:space="preserve"> is a</w:t>
      </w:r>
      <w:r w:rsidR="006D49C8">
        <w:rPr>
          <w:rFonts w:ascii="Arial" w:hAnsi="Arial" w:cs="Arial"/>
        </w:rPr>
        <w:t>lso a</w:t>
      </w:r>
      <w:r w:rsidR="00B812CA">
        <w:rPr>
          <w:rFonts w:ascii="Arial" w:hAnsi="Arial" w:cs="Arial"/>
        </w:rPr>
        <w:t xml:space="preserve"> forensic scientist </w:t>
      </w:r>
      <w:r w:rsidR="006D49C8">
        <w:rPr>
          <w:rFonts w:ascii="Arial" w:hAnsi="Arial" w:cs="Arial"/>
        </w:rPr>
        <w:t>with</w:t>
      </w:r>
      <w:r w:rsidR="00B812CA">
        <w:rPr>
          <w:rFonts w:ascii="Arial" w:hAnsi="Arial" w:cs="Arial"/>
        </w:rPr>
        <w:t xml:space="preserve"> the NFSI and</w:t>
      </w:r>
      <w:r w:rsidR="006D49C8">
        <w:rPr>
          <w:rFonts w:ascii="Arial" w:hAnsi="Arial" w:cs="Arial"/>
        </w:rPr>
        <w:t>,</w:t>
      </w:r>
      <w:r w:rsidR="00B812CA">
        <w:rPr>
          <w:rFonts w:ascii="Arial" w:hAnsi="Arial" w:cs="Arial"/>
        </w:rPr>
        <w:t xml:space="preserve"> in the present instance</w:t>
      </w:r>
      <w:r w:rsidR="006D49C8">
        <w:rPr>
          <w:rFonts w:ascii="Arial" w:hAnsi="Arial" w:cs="Arial"/>
        </w:rPr>
        <w:t>, was</w:t>
      </w:r>
      <w:r w:rsidR="00B812CA">
        <w:rPr>
          <w:rFonts w:ascii="Arial" w:hAnsi="Arial" w:cs="Arial"/>
        </w:rPr>
        <w:t xml:space="preserve"> primarily tasked to examine exhibits collected at different scenes for the presence of human blood</w:t>
      </w:r>
      <w:r w:rsidR="006D49C8">
        <w:rPr>
          <w:rFonts w:ascii="Arial" w:hAnsi="Arial" w:cs="Arial"/>
        </w:rPr>
        <w:t xml:space="preserve"> and the preparation</w:t>
      </w:r>
      <w:r w:rsidR="00B812CA">
        <w:rPr>
          <w:rFonts w:ascii="Arial" w:hAnsi="Arial" w:cs="Arial"/>
        </w:rPr>
        <w:t xml:space="preserve"> of </w:t>
      </w:r>
      <w:r w:rsidR="006D49C8">
        <w:rPr>
          <w:rFonts w:ascii="Arial" w:hAnsi="Arial" w:cs="Arial"/>
        </w:rPr>
        <w:t xml:space="preserve">court </w:t>
      </w:r>
      <w:r w:rsidR="00B812CA">
        <w:rPr>
          <w:rFonts w:ascii="Arial" w:hAnsi="Arial" w:cs="Arial"/>
        </w:rPr>
        <w:t>reports capturing her findings.</w:t>
      </w:r>
      <w:r w:rsidR="00B812CA">
        <w:rPr>
          <w:rStyle w:val="FootnoteReference"/>
          <w:rFonts w:ascii="Arial" w:hAnsi="Arial" w:cs="Arial"/>
        </w:rPr>
        <w:footnoteReference w:id="5"/>
      </w:r>
      <w:r w:rsidR="00B812CA">
        <w:rPr>
          <w:rFonts w:ascii="Arial" w:hAnsi="Arial" w:cs="Arial"/>
        </w:rPr>
        <w:t xml:space="preserve"> The exhibit bags in which the collected exhibits were received by her were sealed </w:t>
      </w:r>
      <w:r w:rsidR="00441752">
        <w:rPr>
          <w:rFonts w:ascii="Arial" w:hAnsi="Arial" w:cs="Arial"/>
        </w:rPr>
        <w:t xml:space="preserve">according to NFSI standards and after she swabbed the exhibits for possible epithelial cells, these were placed in a sealed envelope and stored at a safe place until </w:t>
      </w:r>
      <w:r w:rsidR="005E37C2">
        <w:rPr>
          <w:rFonts w:ascii="Arial" w:hAnsi="Arial" w:cs="Arial"/>
        </w:rPr>
        <w:t>collected</w:t>
      </w:r>
      <w:r w:rsidR="00441752">
        <w:rPr>
          <w:rFonts w:ascii="Arial" w:hAnsi="Arial" w:cs="Arial"/>
        </w:rPr>
        <w:t xml:space="preserve"> for DNA analysis.</w:t>
      </w:r>
    </w:p>
    <w:p w:rsidR="00441752" w:rsidRDefault="00441752" w:rsidP="00085B3E">
      <w:pPr>
        <w:spacing w:line="360" w:lineRule="auto"/>
        <w:jc w:val="both"/>
        <w:rPr>
          <w:rFonts w:ascii="Arial" w:hAnsi="Arial" w:cs="Arial"/>
        </w:rPr>
      </w:pPr>
    </w:p>
    <w:p w:rsidR="00441752" w:rsidRDefault="00441752" w:rsidP="00085B3E">
      <w:pPr>
        <w:spacing w:line="360" w:lineRule="auto"/>
        <w:jc w:val="both"/>
        <w:rPr>
          <w:rFonts w:ascii="Arial" w:hAnsi="Arial" w:cs="Arial"/>
        </w:rPr>
      </w:pPr>
      <w:r>
        <w:rPr>
          <w:rFonts w:ascii="Arial" w:hAnsi="Arial" w:cs="Arial"/>
        </w:rPr>
        <w:t>[</w:t>
      </w:r>
      <w:r w:rsidR="006D49C8">
        <w:rPr>
          <w:rFonts w:ascii="Arial" w:hAnsi="Arial" w:cs="Arial"/>
        </w:rPr>
        <w:t>28</w:t>
      </w:r>
      <w:r>
        <w:rPr>
          <w:rFonts w:ascii="Arial" w:hAnsi="Arial" w:cs="Arial"/>
        </w:rPr>
        <w:t>]</w:t>
      </w:r>
      <w:r>
        <w:rPr>
          <w:rFonts w:ascii="Arial" w:hAnsi="Arial" w:cs="Arial"/>
        </w:rPr>
        <w:tab/>
      </w:r>
      <w:r w:rsidR="006D49C8">
        <w:rPr>
          <w:rFonts w:ascii="Arial" w:hAnsi="Arial" w:cs="Arial"/>
        </w:rPr>
        <w:t>Although the</w:t>
      </w:r>
      <w:r w:rsidR="00995318">
        <w:rPr>
          <w:rFonts w:ascii="Arial" w:hAnsi="Arial" w:cs="Arial"/>
        </w:rPr>
        <w:t xml:space="preserve"> report reads that </w:t>
      </w:r>
      <w:r w:rsidR="006D49C8">
        <w:rPr>
          <w:rFonts w:ascii="Arial" w:hAnsi="Arial" w:cs="Arial"/>
        </w:rPr>
        <w:t xml:space="preserve">some of </w:t>
      </w:r>
      <w:r w:rsidR="00995318">
        <w:rPr>
          <w:rFonts w:ascii="Arial" w:hAnsi="Arial" w:cs="Arial"/>
        </w:rPr>
        <w:t xml:space="preserve">the exhibits </w:t>
      </w:r>
      <w:r w:rsidR="006D49C8">
        <w:rPr>
          <w:rFonts w:ascii="Arial" w:hAnsi="Arial" w:cs="Arial"/>
        </w:rPr>
        <w:t>tested positive for human blood, DNA analysis conducted on two of the exhibits resulted in mixed profiles, none of which could be linked with the deceased persons. Nothing further turns on the report.</w:t>
      </w:r>
    </w:p>
    <w:p w:rsidR="00BB5B0D" w:rsidRDefault="00BB5B0D" w:rsidP="00085B3E">
      <w:pPr>
        <w:spacing w:line="360" w:lineRule="auto"/>
        <w:jc w:val="both"/>
        <w:rPr>
          <w:rFonts w:ascii="Arial" w:hAnsi="Arial" w:cs="Arial"/>
        </w:rPr>
      </w:pPr>
    </w:p>
    <w:p w:rsidR="00BB5B0D" w:rsidRDefault="00BB5B0D" w:rsidP="00085B3E">
      <w:pPr>
        <w:spacing w:line="360" w:lineRule="auto"/>
        <w:jc w:val="both"/>
        <w:rPr>
          <w:rFonts w:ascii="Arial" w:hAnsi="Arial" w:cs="Arial"/>
        </w:rPr>
      </w:pPr>
      <w:r>
        <w:rPr>
          <w:rFonts w:ascii="Arial" w:hAnsi="Arial" w:cs="Arial"/>
        </w:rPr>
        <w:t>[</w:t>
      </w:r>
      <w:r w:rsidR="006D49C8">
        <w:rPr>
          <w:rFonts w:ascii="Arial" w:hAnsi="Arial" w:cs="Arial"/>
        </w:rPr>
        <w:t>29</w:t>
      </w:r>
      <w:r>
        <w:rPr>
          <w:rFonts w:ascii="Arial" w:hAnsi="Arial" w:cs="Arial"/>
        </w:rPr>
        <w:t>]</w:t>
      </w:r>
      <w:r>
        <w:rPr>
          <w:rFonts w:ascii="Arial" w:hAnsi="Arial" w:cs="Arial"/>
        </w:rPr>
        <w:tab/>
      </w:r>
      <w:r w:rsidRPr="00EA11DA">
        <w:rPr>
          <w:rFonts w:ascii="Arial" w:hAnsi="Arial" w:cs="Arial"/>
        </w:rPr>
        <w:t>Mr Kalipu Sem</w:t>
      </w:r>
      <w:r>
        <w:rPr>
          <w:rFonts w:ascii="Arial" w:hAnsi="Arial" w:cs="Arial"/>
        </w:rPr>
        <w:t xml:space="preserve"> </w:t>
      </w:r>
      <w:r w:rsidR="00EB29D0">
        <w:rPr>
          <w:rFonts w:ascii="Arial" w:hAnsi="Arial" w:cs="Arial"/>
        </w:rPr>
        <w:t>specialises</w:t>
      </w:r>
      <w:r>
        <w:rPr>
          <w:rFonts w:ascii="Arial" w:hAnsi="Arial" w:cs="Arial"/>
        </w:rPr>
        <w:t xml:space="preserve"> in ballistics, the examination of </w:t>
      </w:r>
      <w:r w:rsidR="00A248DF">
        <w:rPr>
          <w:rFonts w:ascii="Arial" w:hAnsi="Arial" w:cs="Arial"/>
        </w:rPr>
        <w:t xml:space="preserve">crime </w:t>
      </w:r>
      <w:r>
        <w:rPr>
          <w:rFonts w:ascii="Arial" w:hAnsi="Arial" w:cs="Arial"/>
        </w:rPr>
        <w:t>scenes</w:t>
      </w:r>
      <w:r w:rsidR="0097124F">
        <w:rPr>
          <w:rFonts w:ascii="Arial" w:hAnsi="Arial" w:cs="Arial"/>
        </w:rPr>
        <w:t xml:space="preserve">, </w:t>
      </w:r>
      <w:r w:rsidR="00A248DF">
        <w:rPr>
          <w:rFonts w:ascii="Arial" w:hAnsi="Arial" w:cs="Arial"/>
        </w:rPr>
        <w:t>the tracing of</w:t>
      </w:r>
      <w:r w:rsidR="0097124F">
        <w:rPr>
          <w:rFonts w:ascii="Arial" w:hAnsi="Arial" w:cs="Arial"/>
        </w:rPr>
        <w:t xml:space="preserve"> evidence</w:t>
      </w:r>
      <w:r>
        <w:rPr>
          <w:rFonts w:ascii="Arial" w:hAnsi="Arial" w:cs="Arial"/>
        </w:rPr>
        <w:t xml:space="preserve"> and </w:t>
      </w:r>
      <w:r w:rsidR="00A248DF">
        <w:rPr>
          <w:rFonts w:ascii="Arial" w:hAnsi="Arial" w:cs="Arial"/>
        </w:rPr>
        <w:t xml:space="preserve">the analysis of </w:t>
      </w:r>
      <w:r>
        <w:rPr>
          <w:rFonts w:ascii="Arial" w:hAnsi="Arial" w:cs="Arial"/>
        </w:rPr>
        <w:t>blood spatter</w:t>
      </w:r>
      <w:r w:rsidR="0097124F">
        <w:rPr>
          <w:rFonts w:ascii="Arial" w:hAnsi="Arial" w:cs="Arial"/>
        </w:rPr>
        <w:t>. In January 2016 he examine</w:t>
      </w:r>
      <w:r w:rsidR="00A248DF">
        <w:rPr>
          <w:rFonts w:ascii="Arial" w:hAnsi="Arial" w:cs="Arial"/>
        </w:rPr>
        <w:t>d</w:t>
      </w:r>
      <w:r w:rsidR="0097124F">
        <w:rPr>
          <w:rFonts w:ascii="Arial" w:hAnsi="Arial" w:cs="Arial"/>
        </w:rPr>
        <w:t xml:space="preserve"> </w:t>
      </w:r>
      <w:r w:rsidR="000E7479">
        <w:rPr>
          <w:rFonts w:ascii="Arial" w:hAnsi="Arial" w:cs="Arial"/>
        </w:rPr>
        <w:t xml:space="preserve">the vehicle of the accused for bullet holes and found a single penetrating bullet hole in the backrest of the front passenger seat. In June of that year he </w:t>
      </w:r>
      <w:r w:rsidR="00EB29D0">
        <w:rPr>
          <w:rFonts w:ascii="Arial" w:hAnsi="Arial" w:cs="Arial"/>
        </w:rPr>
        <w:t>again examined the said</w:t>
      </w:r>
      <w:r w:rsidR="000E7479">
        <w:rPr>
          <w:rFonts w:ascii="Arial" w:hAnsi="Arial" w:cs="Arial"/>
        </w:rPr>
        <w:t xml:space="preserve"> vehicle with the view of reconstruct</w:t>
      </w:r>
      <w:r w:rsidR="00A248DF">
        <w:rPr>
          <w:rFonts w:ascii="Arial" w:hAnsi="Arial" w:cs="Arial"/>
        </w:rPr>
        <w:t xml:space="preserve">ing the </w:t>
      </w:r>
      <w:r w:rsidR="00A248DF">
        <w:rPr>
          <w:rFonts w:ascii="Arial" w:hAnsi="Arial" w:cs="Arial"/>
        </w:rPr>
        <w:lastRenderedPageBreak/>
        <w:t>shooting incident and conduct</w:t>
      </w:r>
      <w:r w:rsidR="000E7479">
        <w:rPr>
          <w:rFonts w:ascii="Arial" w:hAnsi="Arial" w:cs="Arial"/>
        </w:rPr>
        <w:t xml:space="preserve"> an analysis of the blood spatter inside the vehicle (Report 55 + 56/2016/R2).</w:t>
      </w:r>
      <w:r w:rsidR="000E7479">
        <w:rPr>
          <w:rStyle w:val="FootnoteReference"/>
          <w:rFonts w:ascii="Arial" w:hAnsi="Arial" w:cs="Arial"/>
        </w:rPr>
        <w:footnoteReference w:id="6"/>
      </w:r>
      <w:r w:rsidR="000E7479">
        <w:rPr>
          <w:rFonts w:ascii="Arial" w:hAnsi="Arial" w:cs="Arial"/>
        </w:rPr>
        <w:t xml:space="preserve"> </w:t>
      </w:r>
    </w:p>
    <w:p w:rsidR="00A178D9" w:rsidRDefault="00A178D9" w:rsidP="00085B3E">
      <w:pPr>
        <w:spacing w:line="360" w:lineRule="auto"/>
        <w:jc w:val="both"/>
        <w:rPr>
          <w:rFonts w:ascii="Arial" w:hAnsi="Arial" w:cs="Arial"/>
        </w:rPr>
      </w:pPr>
    </w:p>
    <w:p w:rsidR="0019270A" w:rsidRDefault="00A178D9" w:rsidP="00085B3E">
      <w:pPr>
        <w:spacing w:line="360" w:lineRule="auto"/>
        <w:jc w:val="both"/>
        <w:rPr>
          <w:rFonts w:ascii="Arial" w:hAnsi="Arial" w:cs="Arial"/>
        </w:rPr>
      </w:pPr>
      <w:r>
        <w:rPr>
          <w:rFonts w:ascii="Arial" w:hAnsi="Arial" w:cs="Arial"/>
        </w:rPr>
        <w:t>[</w:t>
      </w:r>
      <w:r w:rsidR="00EA11DA">
        <w:rPr>
          <w:rFonts w:ascii="Arial" w:hAnsi="Arial" w:cs="Arial"/>
        </w:rPr>
        <w:t>30</w:t>
      </w:r>
      <w:r>
        <w:rPr>
          <w:rFonts w:ascii="Arial" w:hAnsi="Arial" w:cs="Arial"/>
        </w:rPr>
        <w:t>]</w:t>
      </w:r>
      <w:r>
        <w:rPr>
          <w:rFonts w:ascii="Arial" w:hAnsi="Arial" w:cs="Arial"/>
        </w:rPr>
        <w:tab/>
        <w:t xml:space="preserve">Observations and findings flowing from the examination </w:t>
      </w:r>
      <w:r w:rsidR="00A248DF">
        <w:rPr>
          <w:rFonts w:ascii="Arial" w:hAnsi="Arial" w:cs="Arial"/>
        </w:rPr>
        <w:t xml:space="preserve">conducted </w:t>
      </w:r>
      <w:r>
        <w:rPr>
          <w:rFonts w:ascii="Arial" w:hAnsi="Arial" w:cs="Arial"/>
        </w:rPr>
        <w:t>were supp</w:t>
      </w:r>
      <w:r w:rsidR="00EB29D0">
        <w:rPr>
          <w:rFonts w:ascii="Arial" w:hAnsi="Arial" w:cs="Arial"/>
        </w:rPr>
        <w:t xml:space="preserve">orted by photographs taken and </w:t>
      </w:r>
      <w:r w:rsidR="00EA11DA">
        <w:rPr>
          <w:rFonts w:ascii="Arial" w:hAnsi="Arial" w:cs="Arial"/>
        </w:rPr>
        <w:t>incorporated</w:t>
      </w:r>
      <w:r>
        <w:rPr>
          <w:rFonts w:ascii="Arial" w:hAnsi="Arial" w:cs="Arial"/>
        </w:rPr>
        <w:t xml:space="preserve"> in the report. As depicted in the photo plan</w:t>
      </w:r>
      <w:r w:rsidR="00EB29D0">
        <w:rPr>
          <w:rFonts w:ascii="Arial" w:hAnsi="Arial" w:cs="Arial"/>
        </w:rPr>
        <w:t>,</w:t>
      </w:r>
      <w:r>
        <w:rPr>
          <w:rFonts w:ascii="Arial" w:hAnsi="Arial" w:cs="Arial"/>
        </w:rPr>
        <w:t xml:space="preserve"> the </w:t>
      </w:r>
      <w:r w:rsidR="00356DF8">
        <w:rPr>
          <w:rFonts w:ascii="Arial" w:hAnsi="Arial" w:cs="Arial"/>
        </w:rPr>
        <w:t>bullet hole through</w:t>
      </w:r>
      <w:r>
        <w:rPr>
          <w:rFonts w:ascii="Arial" w:hAnsi="Arial" w:cs="Arial"/>
        </w:rPr>
        <w:t xml:space="preserve"> the backrest of the front passenger seat was fired from the front and exited at the back. An analysis of the blood spatter </w:t>
      </w:r>
      <w:r w:rsidR="00201AD3">
        <w:rPr>
          <w:rFonts w:ascii="Arial" w:hAnsi="Arial" w:cs="Arial"/>
        </w:rPr>
        <w:t>on the interior of the vehicle was indicative of medium velocity impact spatter and high velocity impact spatter during which blood was transferred onto the dashboard (air-conditioning knob), gear shift, h</w:t>
      </w:r>
      <w:r w:rsidR="00A248DF">
        <w:rPr>
          <w:rFonts w:ascii="Arial" w:hAnsi="Arial" w:cs="Arial"/>
        </w:rPr>
        <w:t>andbrake, armrest, seat belt lat</w:t>
      </w:r>
      <w:r w:rsidR="00201AD3">
        <w:rPr>
          <w:rFonts w:ascii="Arial" w:hAnsi="Arial" w:cs="Arial"/>
        </w:rPr>
        <w:t xml:space="preserve">ch and the </w:t>
      </w:r>
      <w:r w:rsidR="00EA11DA">
        <w:rPr>
          <w:rFonts w:ascii="Arial" w:hAnsi="Arial" w:cs="Arial"/>
        </w:rPr>
        <w:t xml:space="preserve">console </w:t>
      </w:r>
      <w:r w:rsidR="00201AD3">
        <w:rPr>
          <w:rFonts w:ascii="Arial" w:hAnsi="Arial" w:cs="Arial"/>
        </w:rPr>
        <w:t xml:space="preserve">area between the front seats. </w:t>
      </w:r>
      <w:r w:rsidR="00F8292D">
        <w:rPr>
          <w:rFonts w:ascii="Arial" w:hAnsi="Arial" w:cs="Arial"/>
        </w:rPr>
        <w:t xml:space="preserve">It was </w:t>
      </w:r>
      <w:r w:rsidR="00A248DF">
        <w:rPr>
          <w:rFonts w:ascii="Arial" w:hAnsi="Arial" w:cs="Arial"/>
        </w:rPr>
        <w:t xml:space="preserve">concluded that the cause of the blood spilling activities that resulted in the above spatter, referred to as </w:t>
      </w:r>
      <w:r w:rsidR="00EA11DA">
        <w:rPr>
          <w:rFonts w:ascii="Arial" w:hAnsi="Arial" w:cs="Arial"/>
        </w:rPr>
        <w:t>‘</w:t>
      </w:r>
      <w:r w:rsidR="00A248DF">
        <w:rPr>
          <w:rFonts w:ascii="Arial" w:hAnsi="Arial" w:cs="Arial"/>
        </w:rPr>
        <w:t>back spatter</w:t>
      </w:r>
      <w:r w:rsidR="00EA11DA">
        <w:rPr>
          <w:rFonts w:ascii="Arial" w:hAnsi="Arial" w:cs="Arial"/>
        </w:rPr>
        <w:t>’,</w:t>
      </w:r>
      <w:r w:rsidR="00A248DF">
        <w:rPr>
          <w:rFonts w:ascii="Arial" w:hAnsi="Arial" w:cs="Arial"/>
        </w:rPr>
        <w:t xml:space="preserve"> supported the inference </w:t>
      </w:r>
      <w:r w:rsidR="00201AD3">
        <w:rPr>
          <w:rFonts w:ascii="Arial" w:hAnsi="Arial" w:cs="Arial"/>
        </w:rPr>
        <w:t xml:space="preserve">that the </w:t>
      </w:r>
      <w:r w:rsidR="00A248DF">
        <w:rPr>
          <w:rFonts w:ascii="Arial" w:hAnsi="Arial" w:cs="Arial"/>
        </w:rPr>
        <w:t xml:space="preserve">shot was fired </w:t>
      </w:r>
      <w:r w:rsidR="00D109F8">
        <w:rPr>
          <w:rFonts w:ascii="Arial" w:hAnsi="Arial" w:cs="Arial"/>
        </w:rPr>
        <w:t xml:space="preserve">from the front </w:t>
      </w:r>
      <w:r w:rsidR="00EA11DA">
        <w:rPr>
          <w:rFonts w:ascii="Arial" w:hAnsi="Arial" w:cs="Arial"/>
        </w:rPr>
        <w:t xml:space="preserve">(interior) </w:t>
      </w:r>
      <w:r w:rsidR="00D109F8">
        <w:rPr>
          <w:rFonts w:ascii="Arial" w:hAnsi="Arial" w:cs="Arial"/>
        </w:rPr>
        <w:t>of the vehicle</w:t>
      </w:r>
      <w:r w:rsidR="00F8292D">
        <w:rPr>
          <w:rFonts w:ascii="Arial" w:hAnsi="Arial" w:cs="Arial"/>
        </w:rPr>
        <w:t>. This inference was supported by the presence of a</w:t>
      </w:r>
      <w:r w:rsidR="00EA11DA">
        <w:rPr>
          <w:rFonts w:ascii="Arial" w:hAnsi="Arial" w:cs="Arial"/>
        </w:rPr>
        <w:t xml:space="preserve"> larger blood stain on the</w:t>
      </w:r>
      <w:r w:rsidR="00F8292D">
        <w:rPr>
          <w:rFonts w:ascii="Arial" w:hAnsi="Arial" w:cs="Arial"/>
        </w:rPr>
        <w:t xml:space="preserve"> front passenger seat. </w:t>
      </w:r>
    </w:p>
    <w:p w:rsidR="0019270A" w:rsidRDefault="0019270A" w:rsidP="00085B3E">
      <w:pPr>
        <w:spacing w:line="360" w:lineRule="auto"/>
        <w:jc w:val="both"/>
        <w:rPr>
          <w:rFonts w:ascii="Arial" w:hAnsi="Arial" w:cs="Arial"/>
        </w:rPr>
      </w:pPr>
    </w:p>
    <w:p w:rsidR="007B674C" w:rsidRDefault="0019270A" w:rsidP="00085B3E">
      <w:pPr>
        <w:spacing w:line="360" w:lineRule="auto"/>
        <w:jc w:val="both"/>
        <w:rPr>
          <w:rFonts w:ascii="Arial" w:hAnsi="Arial" w:cs="Arial"/>
        </w:rPr>
      </w:pPr>
      <w:r>
        <w:rPr>
          <w:rFonts w:ascii="Arial" w:hAnsi="Arial" w:cs="Arial"/>
        </w:rPr>
        <w:t>[</w:t>
      </w:r>
      <w:r w:rsidR="00EA11DA">
        <w:rPr>
          <w:rFonts w:ascii="Arial" w:hAnsi="Arial" w:cs="Arial"/>
        </w:rPr>
        <w:t>31</w:t>
      </w:r>
      <w:r>
        <w:rPr>
          <w:rFonts w:ascii="Arial" w:hAnsi="Arial" w:cs="Arial"/>
        </w:rPr>
        <w:t>]</w:t>
      </w:r>
      <w:r>
        <w:rPr>
          <w:rFonts w:ascii="Arial" w:hAnsi="Arial" w:cs="Arial"/>
        </w:rPr>
        <w:tab/>
      </w:r>
      <w:r w:rsidR="00F8292D">
        <w:rPr>
          <w:rFonts w:ascii="Arial" w:hAnsi="Arial" w:cs="Arial"/>
        </w:rPr>
        <w:t>Examination of the rea</w:t>
      </w:r>
      <w:r w:rsidR="00356DF8">
        <w:rPr>
          <w:rFonts w:ascii="Arial" w:hAnsi="Arial" w:cs="Arial"/>
        </w:rPr>
        <w:t>r sea</w:t>
      </w:r>
      <w:r w:rsidR="00D07663">
        <w:rPr>
          <w:rFonts w:ascii="Arial" w:hAnsi="Arial" w:cs="Arial"/>
        </w:rPr>
        <w:t>t revealed a bullet hole into</w:t>
      </w:r>
      <w:r w:rsidR="00F8292D">
        <w:rPr>
          <w:rFonts w:ascii="Arial" w:hAnsi="Arial" w:cs="Arial"/>
        </w:rPr>
        <w:t xml:space="preserve"> the backrest of the rear middle sect</w:t>
      </w:r>
      <w:r w:rsidR="00EA11DA">
        <w:rPr>
          <w:rFonts w:ascii="Arial" w:hAnsi="Arial" w:cs="Arial"/>
        </w:rPr>
        <w:t>ion and a spent projectile</w:t>
      </w:r>
      <w:r w:rsidR="00F8292D">
        <w:rPr>
          <w:rFonts w:ascii="Arial" w:hAnsi="Arial" w:cs="Arial"/>
        </w:rPr>
        <w:t xml:space="preserve"> lodged in the </w:t>
      </w:r>
      <w:r w:rsidR="00356DF8">
        <w:rPr>
          <w:rFonts w:ascii="Arial" w:hAnsi="Arial" w:cs="Arial"/>
        </w:rPr>
        <w:t xml:space="preserve">rear of the </w:t>
      </w:r>
      <w:r w:rsidR="00F8292D">
        <w:rPr>
          <w:rFonts w:ascii="Arial" w:hAnsi="Arial" w:cs="Arial"/>
        </w:rPr>
        <w:t xml:space="preserve">backrest. </w:t>
      </w:r>
      <w:r w:rsidR="00356DF8">
        <w:rPr>
          <w:rFonts w:ascii="Arial" w:hAnsi="Arial" w:cs="Arial"/>
        </w:rPr>
        <w:t xml:space="preserve">From a large blood stain in the foot-well of </w:t>
      </w:r>
      <w:r w:rsidR="00EB29D0">
        <w:rPr>
          <w:rFonts w:ascii="Arial" w:hAnsi="Arial" w:cs="Arial"/>
        </w:rPr>
        <w:t>the rear seat</w:t>
      </w:r>
      <w:r w:rsidR="00356DF8">
        <w:rPr>
          <w:rFonts w:ascii="Arial" w:hAnsi="Arial" w:cs="Arial"/>
        </w:rPr>
        <w:t>, it was inferred that the projectile hit someone sitting in the rear seat who then stooped forward, creating a pool of blood and ‘satellite spatter’ caused by the dripping of blood. It was also determined that the projectile trajectory showed that it was fired from the front, with a downwar</w:t>
      </w:r>
      <w:r w:rsidR="006C54CB">
        <w:rPr>
          <w:rFonts w:ascii="Arial" w:hAnsi="Arial" w:cs="Arial"/>
        </w:rPr>
        <w:t>d inclination. Blood smears</w:t>
      </w:r>
      <w:r w:rsidR="00AB0F29">
        <w:rPr>
          <w:rFonts w:ascii="Arial" w:hAnsi="Arial" w:cs="Arial"/>
        </w:rPr>
        <w:t xml:space="preserve"> o</w:t>
      </w:r>
      <w:r w:rsidR="00356DF8">
        <w:rPr>
          <w:rFonts w:ascii="Arial" w:hAnsi="Arial" w:cs="Arial"/>
        </w:rPr>
        <w:t xml:space="preserve">n the </w:t>
      </w:r>
      <w:r w:rsidR="00AB0F29">
        <w:rPr>
          <w:rFonts w:ascii="Arial" w:hAnsi="Arial" w:cs="Arial"/>
        </w:rPr>
        <w:t xml:space="preserve">right </w:t>
      </w:r>
      <w:r w:rsidR="00356DF8">
        <w:rPr>
          <w:rFonts w:ascii="Arial" w:hAnsi="Arial" w:cs="Arial"/>
        </w:rPr>
        <w:t xml:space="preserve">rear </w:t>
      </w:r>
      <w:r w:rsidR="00AB0F29">
        <w:rPr>
          <w:rFonts w:ascii="Arial" w:hAnsi="Arial" w:cs="Arial"/>
        </w:rPr>
        <w:t xml:space="preserve">backrest and door </w:t>
      </w:r>
      <w:r w:rsidR="00356DF8">
        <w:rPr>
          <w:rFonts w:ascii="Arial" w:hAnsi="Arial" w:cs="Arial"/>
        </w:rPr>
        <w:t>of the vehicle</w:t>
      </w:r>
      <w:r w:rsidR="006C54CB">
        <w:rPr>
          <w:rFonts w:ascii="Arial" w:hAnsi="Arial" w:cs="Arial"/>
        </w:rPr>
        <w:t xml:space="preserve"> were</w:t>
      </w:r>
      <w:r w:rsidR="00356DF8">
        <w:rPr>
          <w:rFonts w:ascii="Arial" w:hAnsi="Arial" w:cs="Arial"/>
        </w:rPr>
        <w:t xml:space="preserve"> consistent with a bloodied object </w:t>
      </w:r>
      <w:r w:rsidR="00D1683B">
        <w:rPr>
          <w:rFonts w:ascii="Arial" w:hAnsi="Arial" w:cs="Arial"/>
        </w:rPr>
        <w:t>being dragged out of the vehicle.</w:t>
      </w:r>
    </w:p>
    <w:p w:rsidR="006C54CB" w:rsidRDefault="006C54CB" w:rsidP="00085B3E">
      <w:pPr>
        <w:spacing w:line="360" w:lineRule="auto"/>
        <w:jc w:val="both"/>
        <w:rPr>
          <w:rFonts w:ascii="Arial" w:hAnsi="Arial" w:cs="Arial"/>
        </w:rPr>
      </w:pPr>
    </w:p>
    <w:p w:rsidR="007B674C" w:rsidRDefault="007B674C" w:rsidP="00085B3E">
      <w:pPr>
        <w:spacing w:line="360" w:lineRule="auto"/>
        <w:jc w:val="both"/>
        <w:rPr>
          <w:rFonts w:ascii="Arial" w:hAnsi="Arial" w:cs="Arial"/>
        </w:rPr>
      </w:pPr>
      <w:r>
        <w:rPr>
          <w:rFonts w:ascii="Arial" w:hAnsi="Arial" w:cs="Arial"/>
        </w:rPr>
        <w:t>[</w:t>
      </w:r>
      <w:r w:rsidR="00EA11DA">
        <w:rPr>
          <w:rFonts w:ascii="Arial" w:hAnsi="Arial" w:cs="Arial"/>
        </w:rPr>
        <w:t>32</w:t>
      </w:r>
      <w:r>
        <w:rPr>
          <w:rFonts w:ascii="Arial" w:hAnsi="Arial" w:cs="Arial"/>
        </w:rPr>
        <w:t>]</w:t>
      </w:r>
      <w:r>
        <w:rPr>
          <w:rFonts w:ascii="Arial" w:hAnsi="Arial" w:cs="Arial"/>
        </w:rPr>
        <w:tab/>
        <w:t>On the 19</w:t>
      </w:r>
      <w:r w:rsidRPr="007B674C">
        <w:rPr>
          <w:rFonts w:ascii="Arial" w:hAnsi="Arial" w:cs="Arial"/>
          <w:vertAlign w:val="superscript"/>
        </w:rPr>
        <w:t>th</w:t>
      </w:r>
      <w:r>
        <w:rPr>
          <w:rFonts w:ascii="Arial" w:hAnsi="Arial" w:cs="Arial"/>
        </w:rPr>
        <w:t xml:space="preserve"> January 2016 Mr Sem took custody of exhibits sent to the NFSI for forensic analysis which, </w:t>
      </w:r>
      <w:r>
        <w:rPr>
          <w:rFonts w:ascii="Arial" w:hAnsi="Arial" w:cs="Arial"/>
          <w:i/>
        </w:rPr>
        <w:t xml:space="preserve">inter alia, </w:t>
      </w:r>
      <w:r>
        <w:rPr>
          <w:rFonts w:ascii="Arial" w:hAnsi="Arial" w:cs="Arial"/>
        </w:rPr>
        <w:t>included 1 (one) .380 ACP pistol,</w:t>
      </w:r>
      <w:r>
        <w:rPr>
          <w:rStyle w:val="FootnoteReference"/>
          <w:rFonts w:ascii="Arial" w:hAnsi="Arial" w:cs="Arial"/>
        </w:rPr>
        <w:footnoteReference w:id="7"/>
      </w:r>
      <w:r>
        <w:rPr>
          <w:rFonts w:ascii="Arial" w:hAnsi="Arial" w:cs="Arial"/>
        </w:rPr>
        <w:t xml:space="preserve"> a magazine with live rounds and 1 (one) spent projectile.</w:t>
      </w:r>
      <w:r>
        <w:rPr>
          <w:rStyle w:val="FootnoteReference"/>
          <w:rFonts w:ascii="Arial" w:hAnsi="Arial" w:cs="Arial"/>
        </w:rPr>
        <w:footnoteReference w:id="8"/>
      </w:r>
      <w:r>
        <w:rPr>
          <w:rFonts w:ascii="Arial" w:hAnsi="Arial" w:cs="Arial"/>
        </w:rPr>
        <w:t xml:space="preserve"> </w:t>
      </w:r>
      <w:r w:rsidR="00EA11DA">
        <w:rPr>
          <w:rFonts w:ascii="Arial" w:hAnsi="Arial" w:cs="Arial"/>
        </w:rPr>
        <w:t>It is common cause that the firearm and ammunition</w:t>
      </w:r>
      <w:r w:rsidR="006C54CB">
        <w:rPr>
          <w:rFonts w:ascii="Arial" w:hAnsi="Arial" w:cs="Arial"/>
        </w:rPr>
        <w:t xml:space="preserve"> belonged to the accused. </w:t>
      </w:r>
      <w:r w:rsidR="0019270A">
        <w:rPr>
          <w:rFonts w:ascii="Arial" w:hAnsi="Arial" w:cs="Arial"/>
        </w:rPr>
        <w:t>Upon examination of the firearm the following findings were made:</w:t>
      </w:r>
    </w:p>
    <w:p w:rsidR="009212F6" w:rsidRDefault="009212F6" w:rsidP="00085B3E">
      <w:pPr>
        <w:spacing w:line="360" w:lineRule="auto"/>
        <w:jc w:val="both"/>
        <w:rPr>
          <w:rFonts w:ascii="Arial" w:hAnsi="Arial" w:cs="Arial"/>
        </w:rPr>
      </w:pPr>
    </w:p>
    <w:p w:rsidR="0019270A" w:rsidRDefault="0019270A" w:rsidP="0019270A">
      <w:pPr>
        <w:pStyle w:val="ListParagraph"/>
        <w:numPr>
          <w:ilvl w:val="0"/>
          <w:numId w:val="3"/>
        </w:numPr>
        <w:spacing w:line="360" w:lineRule="auto"/>
        <w:jc w:val="both"/>
        <w:rPr>
          <w:rFonts w:ascii="Arial" w:hAnsi="Arial" w:cs="Arial"/>
        </w:rPr>
      </w:pPr>
      <w:r>
        <w:rPr>
          <w:rFonts w:ascii="Arial" w:hAnsi="Arial" w:cs="Arial"/>
        </w:rPr>
        <w:t>The firearm was in working condition and capable of firing.</w:t>
      </w:r>
    </w:p>
    <w:p w:rsidR="0019270A" w:rsidRDefault="0019270A" w:rsidP="0019270A">
      <w:pPr>
        <w:pStyle w:val="ListParagraph"/>
        <w:numPr>
          <w:ilvl w:val="0"/>
          <w:numId w:val="3"/>
        </w:numPr>
        <w:spacing w:line="360" w:lineRule="auto"/>
        <w:jc w:val="both"/>
        <w:rPr>
          <w:rFonts w:ascii="Arial" w:hAnsi="Arial" w:cs="Arial"/>
        </w:rPr>
      </w:pPr>
      <w:r>
        <w:rPr>
          <w:rFonts w:ascii="Arial" w:hAnsi="Arial" w:cs="Arial"/>
        </w:rPr>
        <w:t>Three bullets were test-fired from the said pistol and the spent projectiles fired compared with the projectile found lodged in the backrest of the rear seat (Exhibit ‘AH’).</w:t>
      </w:r>
    </w:p>
    <w:p w:rsidR="0019270A" w:rsidRDefault="0019270A" w:rsidP="0019270A">
      <w:pPr>
        <w:pStyle w:val="ListParagraph"/>
        <w:numPr>
          <w:ilvl w:val="0"/>
          <w:numId w:val="3"/>
        </w:numPr>
        <w:spacing w:line="360" w:lineRule="auto"/>
        <w:jc w:val="both"/>
        <w:rPr>
          <w:rFonts w:ascii="Arial" w:hAnsi="Arial" w:cs="Arial"/>
        </w:rPr>
      </w:pPr>
      <w:r>
        <w:rPr>
          <w:rFonts w:ascii="Arial" w:hAnsi="Arial" w:cs="Arial"/>
        </w:rPr>
        <w:t>Sufficient agreement of individual and class characteristics were found to conclude that Exhibit ‘AH’ was fired from the pistol Exhibit ‘AG’.</w:t>
      </w:r>
    </w:p>
    <w:p w:rsidR="004C4E01" w:rsidRDefault="004C4E01" w:rsidP="004C4E01">
      <w:pPr>
        <w:spacing w:line="360" w:lineRule="auto"/>
        <w:jc w:val="both"/>
        <w:rPr>
          <w:rFonts w:ascii="Arial" w:hAnsi="Arial" w:cs="Arial"/>
        </w:rPr>
      </w:pPr>
    </w:p>
    <w:p w:rsidR="004C4E01" w:rsidRDefault="004C4E01" w:rsidP="004C4E01">
      <w:pPr>
        <w:spacing w:line="360" w:lineRule="auto"/>
        <w:jc w:val="both"/>
        <w:rPr>
          <w:rFonts w:ascii="Arial" w:hAnsi="Arial" w:cs="Arial"/>
        </w:rPr>
      </w:pPr>
      <w:r>
        <w:rPr>
          <w:rFonts w:ascii="Arial" w:hAnsi="Arial" w:cs="Arial"/>
        </w:rPr>
        <w:t>[</w:t>
      </w:r>
      <w:r w:rsidR="00EA11DA">
        <w:rPr>
          <w:rFonts w:ascii="Arial" w:hAnsi="Arial" w:cs="Arial"/>
        </w:rPr>
        <w:t>33</w:t>
      </w:r>
      <w:r>
        <w:rPr>
          <w:rFonts w:ascii="Arial" w:hAnsi="Arial" w:cs="Arial"/>
        </w:rPr>
        <w:t>]</w:t>
      </w:r>
      <w:r>
        <w:rPr>
          <w:rFonts w:ascii="Arial" w:hAnsi="Arial" w:cs="Arial"/>
        </w:rPr>
        <w:tab/>
      </w:r>
      <w:r w:rsidR="00EA11DA">
        <w:rPr>
          <w:rFonts w:ascii="Arial" w:hAnsi="Arial" w:cs="Arial"/>
        </w:rPr>
        <w:t>The</w:t>
      </w:r>
      <w:r w:rsidR="00AB0F29">
        <w:rPr>
          <w:rFonts w:ascii="Arial" w:hAnsi="Arial" w:cs="Arial"/>
        </w:rPr>
        <w:t xml:space="preserve"> evidence </w:t>
      </w:r>
      <w:r w:rsidR="00EA11DA">
        <w:rPr>
          <w:rFonts w:ascii="Arial" w:hAnsi="Arial" w:cs="Arial"/>
        </w:rPr>
        <w:t>is such that it duly established</w:t>
      </w:r>
      <w:r w:rsidR="00AB0F29">
        <w:rPr>
          <w:rFonts w:ascii="Arial" w:hAnsi="Arial" w:cs="Arial"/>
        </w:rPr>
        <w:t xml:space="preserve"> that the bullet lodged in the rear seat of the accused’s vehicle</w:t>
      </w:r>
      <w:r w:rsidR="00EA11DA">
        <w:rPr>
          <w:rFonts w:ascii="Arial" w:hAnsi="Arial" w:cs="Arial"/>
        </w:rPr>
        <w:t>,</w:t>
      </w:r>
      <w:r w:rsidR="00AB0F29">
        <w:rPr>
          <w:rFonts w:ascii="Arial" w:hAnsi="Arial" w:cs="Arial"/>
        </w:rPr>
        <w:t xml:space="preserve"> was fired from his firearm. The accused denies having fired any shot into his vehicle and suspects the projectile to have been placed there </w:t>
      </w:r>
      <w:r w:rsidR="009212F6">
        <w:rPr>
          <w:rFonts w:ascii="Arial" w:hAnsi="Arial" w:cs="Arial"/>
        </w:rPr>
        <w:t xml:space="preserve">by someone unknown with the intent </w:t>
      </w:r>
      <w:r w:rsidR="00AB0F29">
        <w:rPr>
          <w:rFonts w:ascii="Arial" w:hAnsi="Arial" w:cs="Arial"/>
        </w:rPr>
        <w:t xml:space="preserve">to </w:t>
      </w:r>
      <w:r w:rsidR="009212F6">
        <w:rPr>
          <w:rFonts w:ascii="Arial" w:hAnsi="Arial" w:cs="Arial"/>
        </w:rPr>
        <w:t xml:space="preserve">falsely </w:t>
      </w:r>
      <w:r w:rsidR="00AB0F29">
        <w:rPr>
          <w:rFonts w:ascii="Arial" w:hAnsi="Arial" w:cs="Arial"/>
        </w:rPr>
        <w:t>incriminate him.</w:t>
      </w:r>
      <w:r w:rsidR="00EA11DA">
        <w:rPr>
          <w:rFonts w:ascii="Arial" w:hAnsi="Arial" w:cs="Arial"/>
        </w:rPr>
        <w:t xml:space="preserve"> This could only have happened whilst his pistol was in police custody.</w:t>
      </w:r>
    </w:p>
    <w:p w:rsidR="006E0425" w:rsidRDefault="006E0425" w:rsidP="004C4E01">
      <w:pPr>
        <w:spacing w:line="360" w:lineRule="auto"/>
        <w:jc w:val="both"/>
        <w:rPr>
          <w:rFonts w:ascii="Arial" w:hAnsi="Arial" w:cs="Arial"/>
        </w:rPr>
      </w:pPr>
    </w:p>
    <w:p w:rsidR="006E0425" w:rsidRDefault="006D1CEB" w:rsidP="004C4E01">
      <w:pPr>
        <w:spacing w:line="360" w:lineRule="auto"/>
        <w:jc w:val="both"/>
        <w:rPr>
          <w:rFonts w:ascii="Arial" w:hAnsi="Arial" w:cs="Arial"/>
        </w:rPr>
      </w:pPr>
      <w:r>
        <w:rPr>
          <w:rFonts w:ascii="Arial" w:hAnsi="Arial" w:cs="Arial"/>
        </w:rPr>
        <w:t>[</w:t>
      </w:r>
      <w:r w:rsidR="00EA11DA">
        <w:rPr>
          <w:rFonts w:ascii="Arial" w:hAnsi="Arial" w:cs="Arial"/>
        </w:rPr>
        <w:t>34</w:t>
      </w:r>
      <w:r>
        <w:rPr>
          <w:rFonts w:ascii="Arial" w:hAnsi="Arial" w:cs="Arial"/>
        </w:rPr>
        <w:t>]</w:t>
      </w:r>
      <w:r>
        <w:rPr>
          <w:rFonts w:ascii="Arial" w:hAnsi="Arial" w:cs="Arial"/>
        </w:rPr>
        <w:tab/>
        <w:t>The testimony</w:t>
      </w:r>
      <w:r w:rsidR="006E0425">
        <w:rPr>
          <w:rFonts w:ascii="Arial" w:hAnsi="Arial" w:cs="Arial"/>
        </w:rPr>
        <w:t xml:space="preserve"> </w:t>
      </w:r>
      <w:r>
        <w:rPr>
          <w:rFonts w:ascii="Arial" w:hAnsi="Arial" w:cs="Arial"/>
        </w:rPr>
        <w:t xml:space="preserve">of </w:t>
      </w:r>
      <w:r w:rsidRPr="00EA11DA">
        <w:rPr>
          <w:rFonts w:ascii="Arial" w:hAnsi="Arial" w:cs="Arial"/>
        </w:rPr>
        <w:t xml:space="preserve">Ms Maryn </w:t>
      </w:r>
      <w:r w:rsidR="006E0425" w:rsidRPr="00EA11DA">
        <w:rPr>
          <w:rFonts w:ascii="Arial" w:hAnsi="Arial" w:cs="Arial"/>
        </w:rPr>
        <w:t>Swart</w:t>
      </w:r>
      <w:r w:rsidR="00EA11DA">
        <w:rPr>
          <w:rFonts w:ascii="Arial" w:hAnsi="Arial" w:cs="Arial"/>
        </w:rPr>
        <w:t>, a</w:t>
      </w:r>
      <w:r>
        <w:rPr>
          <w:rFonts w:ascii="Arial" w:hAnsi="Arial" w:cs="Arial"/>
        </w:rPr>
        <w:t xml:space="preserve"> Chief Forensic Scientist </w:t>
      </w:r>
      <w:r w:rsidR="006A737D">
        <w:rPr>
          <w:rFonts w:ascii="Arial" w:hAnsi="Arial" w:cs="Arial"/>
        </w:rPr>
        <w:t>and reporting officer of the Genetics Section of</w:t>
      </w:r>
      <w:r>
        <w:rPr>
          <w:rFonts w:ascii="Arial" w:hAnsi="Arial" w:cs="Arial"/>
        </w:rPr>
        <w:t xml:space="preserve"> the NFSI, concerns the DNA extraction and analysis of the various samples collected by the investigating team and NFSI officers during their investigation at the dump site, the accused’s vehicl</w:t>
      </w:r>
      <w:r w:rsidR="00AA45E9">
        <w:rPr>
          <w:rFonts w:ascii="Arial" w:hAnsi="Arial" w:cs="Arial"/>
        </w:rPr>
        <w:t>e and</w:t>
      </w:r>
      <w:r w:rsidR="006C54CB">
        <w:rPr>
          <w:rFonts w:ascii="Arial" w:hAnsi="Arial" w:cs="Arial"/>
        </w:rPr>
        <w:t xml:space="preserve"> the post-mortem examinations</w:t>
      </w:r>
      <w:r w:rsidR="00C05A49">
        <w:rPr>
          <w:rFonts w:ascii="Arial" w:hAnsi="Arial" w:cs="Arial"/>
        </w:rPr>
        <w:t>. It also included</w:t>
      </w:r>
      <w:r>
        <w:rPr>
          <w:rFonts w:ascii="Arial" w:hAnsi="Arial" w:cs="Arial"/>
        </w:rPr>
        <w:t xml:space="preserve"> the collection of swabs taken from known persons</w:t>
      </w:r>
      <w:r w:rsidR="00C05A49">
        <w:rPr>
          <w:rFonts w:ascii="Arial" w:hAnsi="Arial" w:cs="Arial"/>
        </w:rPr>
        <w:t xml:space="preserve"> for purposes of elimination</w:t>
      </w:r>
      <w:r>
        <w:rPr>
          <w:rFonts w:ascii="Arial" w:hAnsi="Arial" w:cs="Arial"/>
        </w:rPr>
        <w:t>.</w:t>
      </w:r>
      <w:r w:rsidR="006A737D">
        <w:rPr>
          <w:rFonts w:ascii="Arial" w:hAnsi="Arial" w:cs="Arial"/>
        </w:rPr>
        <w:t xml:space="preserve"> As a cost saving measure, not all exhibits collected were subjected to DNA analysis. As reflected in the report compiled by Ms Swart, some of the exhibits analysed were inconclusive and could not exclusively be linked up with either </w:t>
      </w:r>
      <w:r w:rsidR="006C54CB">
        <w:rPr>
          <w:rFonts w:ascii="Arial" w:hAnsi="Arial" w:cs="Arial"/>
        </w:rPr>
        <w:t>the two deceased or the accused</w:t>
      </w:r>
      <w:r w:rsidR="00C05A49">
        <w:rPr>
          <w:rFonts w:ascii="Arial" w:hAnsi="Arial" w:cs="Arial"/>
        </w:rPr>
        <w:t>; alternatively</w:t>
      </w:r>
      <w:r w:rsidR="006A737D">
        <w:rPr>
          <w:rFonts w:ascii="Arial" w:hAnsi="Arial" w:cs="Arial"/>
        </w:rPr>
        <w:t xml:space="preserve">, </w:t>
      </w:r>
      <w:r w:rsidR="00C05A49">
        <w:rPr>
          <w:rFonts w:ascii="Arial" w:hAnsi="Arial" w:cs="Arial"/>
        </w:rPr>
        <w:t xml:space="preserve">it </w:t>
      </w:r>
      <w:r w:rsidR="006A737D">
        <w:rPr>
          <w:rFonts w:ascii="Arial" w:hAnsi="Arial" w:cs="Arial"/>
        </w:rPr>
        <w:t>yielded insufficient amplifiable DNA to proceed with STR analysis. The focus for purposes of the court’s assessment of the evidence th</w:t>
      </w:r>
      <w:r w:rsidR="006C54CB">
        <w:rPr>
          <w:rFonts w:ascii="Arial" w:hAnsi="Arial" w:cs="Arial"/>
        </w:rPr>
        <w:t>us falls on those exhibits that</w:t>
      </w:r>
      <w:r w:rsidR="006A737D">
        <w:rPr>
          <w:rFonts w:ascii="Arial" w:hAnsi="Arial" w:cs="Arial"/>
        </w:rPr>
        <w:t xml:space="preserve"> yielded sufficient amplifiable DNA </w:t>
      </w:r>
      <w:r w:rsidR="00D47116">
        <w:rPr>
          <w:rFonts w:ascii="Arial" w:hAnsi="Arial" w:cs="Arial"/>
        </w:rPr>
        <w:t xml:space="preserve">and which resulted in complete profiles. </w:t>
      </w:r>
    </w:p>
    <w:p w:rsidR="00D47116" w:rsidRDefault="00D47116" w:rsidP="004C4E01">
      <w:pPr>
        <w:spacing w:line="360" w:lineRule="auto"/>
        <w:jc w:val="both"/>
        <w:rPr>
          <w:rFonts w:ascii="Arial" w:hAnsi="Arial" w:cs="Arial"/>
        </w:rPr>
      </w:pPr>
    </w:p>
    <w:p w:rsidR="00D47116" w:rsidRDefault="00D47116" w:rsidP="004C4E01">
      <w:pPr>
        <w:spacing w:line="360" w:lineRule="auto"/>
        <w:jc w:val="both"/>
        <w:rPr>
          <w:rFonts w:ascii="Arial" w:hAnsi="Arial" w:cs="Arial"/>
        </w:rPr>
      </w:pPr>
      <w:r>
        <w:rPr>
          <w:rFonts w:ascii="Arial" w:hAnsi="Arial" w:cs="Arial"/>
        </w:rPr>
        <w:t>[</w:t>
      </w:r>
      <w:r w:rsidR="00C05A49">
        <w:rPr>
          <w:rFonts w:ascii="Arial" w:hAnsi="Arial" w:cs="Arial"/>
        </w:rPr>
        <w:t>35</w:t>
      </w:r>
      <w:r>
        <w:rPr>
          <w:rFonts w:ascii="Arial" w:hAnsi="Arial" w:cs="Arial"/>
        </w:rPr>
        <w:t>]</w:t>
      </w:r>
      <w:r>
        <w:rPr>
          <w:rFonts w:ascii="Arial" w:hAnsi="Arial" w:cs="Arial"/>
        </w:rPr>
        <w:tab/>
        <w:t>The DNA analysis of a swab taken from the SIM card</w:t>
      </w:r>
      <w:r>
        <w:rPr>
          <w:rStyle w:val="FootnoteReference"/>
          <w:rFonts w:ascii="Arial" w:hAnsi="Arial" w:cs="Arial"/>
        </w:rPr>
        <w:footnoteReference w:id="9"/>
      </w:r>
      <w:r>
        <w:rPr>
          <w:rFonts w:ascii="Arial" w:hAnsi="Arial" w:cs="Arial"/>
        </w:rPr>
        <w:t xml:space="preserve"> </w:t>
      </w:r>
      <w:r w:rsidR="006C54CB">
        <w:rPr>
          <w:rFonts w:ascii="Arial" w:hAnsi="Arial" w:cs="Arial"/>
        </w:rPr>
        <w:t>resulted in a mixed profile of</w:t>
      </w:r>
      <w:r>
        <w:rPr>
          <w:rFonts w:ascii="Arial" w:hAnsi="Arial" w:cs="Arial"/>
        </w:rPr>
        <w:t xml:space="preserve"> at least two individuals from which </w:t>
      </w:r>
      <w:r w:rsidR="002E3751">
        <w:rPr>
          <w:rFonts w:ascii="Arial" w:hAnsi="Arial" w:cs="Arial"/>
        </w:rPr>
        <w:t>Johanie</w:t>
      </w:r>
      <w:r>
        <w:rPr>
          <w:rFonts w:ascii="Arial" w:hAnsi="Arial" w:cs="Arial"/>
        </w:rPr>
        <w:t xml:space="preserve"> Naruses (PM 15/2016) cannot be excluded as a possible major contributor. A sam</w:t>
      </w:r>
      <w:r w:rsidR="006C54CB">
        <w:rPr>
          <w:rFonts w:ascii="Arial" w:hAnsi="Arial" w:cs="Arial"/>
        </w:rPr>
        <w:t xml:space="preserve">ple collected from a </w:t>
      </w:r>
      <w:r w:rsidR="006C54CB">
        <w:rPr>
          <w:rFonts w:ascii="Arial" w:hAnsi="Arial" w:cs="Arial"/>
        </w:rPr>
        <w:lastRenderedPageBreak/>
        <w:t>blood spot</w:t>
      </w:r>
      <w:r w:rsidR="00AF4C01">
        <w:rPr>
          <w:rFonts w:ascii="Arial" w:hAnsi="Arial" w:cs="Arial"/>
        </w:rPr>
        <w:t xml:space="preserve"> at the dump site yielded the same result. The DNA analysis of a swab taken from a burnt body resulted in a partial profile, from which </w:t>
      </w:r>
      <w:r w:rsidR="002E3751">
        <w:rPr>
          <w:rFonts w:ascii="Arial" w:hAnsi="Arial" w:cs="Arial"/>
        </w:rPr>
        <w:t>Johanie</w:t>
      </w:r>
      <w:r w:rsidR="00AF4C01">
        <w:rPr>
          <w:rFonts w:ascii="Arial" w:hAnsi="Arial" w:cs="Arial"/>
        </w:rPr>
        <w:t xml:space="preserve"> cannot be excluded as a possible contributor. Several blood samples were collected from inside the accused’s vehicle and of those the following yielded conclusive results. Samples collected at the right rear</w:t>
      </w:r>
      <w:r w:rsidR="005E26E1">
        <w:rPr>
          <w:rFonts w:ascii="Arial" w:hAnsi="Arial" w:cs="Arial"/>
        </w:rPr>
        <w:t>,</w:t>
      </w:r>
      <w:r w:rsidR="00AF4C01">
        <w:rPr>
          <w:rStyle w:val="FootnoteReference"/>
          <w:rFonts w:ascii="Arial" w:hAnsi="Arial" w:cs="Arial"/>
        </w:rPr>
        <w:footnoteReference w:id="10"/>
      </w:r>
      <w:r w:rsidR="005E26E1">
        <w:rPr>
          <w:rFonts w:ascii="Arial" w:hAnsi="Arial" w:cs="Arial"/>
        </w:rPr>
        <w:t xml:space="preserve"> on the handbrake,</w:t>
      </w:r>
      <w:r w:rsidR="005E26E1">
        <w:rPr>
          <w:rStyle w:val="FootnoteReference"/>
          <w:rFonts w:ascii="Arial" w:hAnsi="Arial" w:cs="Arial"/>
        </w:rPr>
        <w:footnoteReference w:id="11"/>
      </w:r>
      <w:r w:rsidR="005E26E1">
        <w:rPr>
          <w:rFonts w:ascii="Arial" w:hAnsi="Arial" w:cs="Arial"/>
        </w:rPr>
        <w:t xml:space="preserve"> and on the arm rest of the vehicle cannot exclude </w:t>
      </w:r>
      <w:r w:rsidR="002E3751">
        <w:rPr>
          <w:rFonts w:ascii="Arial" w:hAnsi="Arial" w:cs="Arial"/>
        </w:rPr>
        <w:t>Johanie</w:t>
      </w:r>
      <w:r w:rsidR="005E26E1">
        <w:rPr>
          <w:rFonts w:ascii="Arial" w:hAnsi="Arial" w:cs="Arial"/>
        </w:rPr>
        <w:t xml:space="preserve"> as a contributor to the profile found.</w:t>
      </w:r>
    </w:p>
    <w:p w:rsidR="005E26E1" w:rsidRDefault="005E26E1" w:rsidP="004C4E01">
      <w:pPr>
        <w:spacing w:line="360" w:lineRule="auto"/>
        <w:jc w:val="both"/>
        <w:rPr>
          <w:rFonts w:ascii="Arial" w:hAnsi="Arial" w:cs="Arial"/>
        </w:rPr>
      </w:pPr>
    </w:p>
    <w:p w:rsidR="005E26E1" w:rsidRDefault="006C344E" w:rsidP="004C4E01">
      <w:pPr>
        <w:spacing w:line="360" w:lineRule="auto"/>
        <w:jc w:val="both"/>
        <w:rPr>
          <w:rFonts w:ascii="Arial" w:hAnsi="Arial" w:cs="Arial"/>
        </w:rPr>
      </w:pPr>
      <w:r>
        <w:rPr>
          <w:rFonts w:ascii="Arial" w:hAnsi="Arial" w:cs="Arial"/>
        </w:rPr>
        <w:t>[</w:t>
      </w:r>
      <w:r w:rsidR="00C05A49">
        <w:rPr>
          <w:rFonts w:ascii="Arial" w:hAnsi="Arial" w:cs="Arial"/>
        </w:rPr>
        <w:t>36</w:t>
      </w:r>
      <w:r>
        <w:rPr>
          <w:rFonts w:ascii="Arial" w:hAnsi="Arial" w:cs="Arial"/>
        </w:rPr>
        <w:t>]</w:t>
      </w:r>
      <w:r>
        <w:rPr>
          <w:rFonts w:ascii="Arial" w:hAnsi="Arial" w:cs="Arial"/>
        </w:rPr>
        <w:tab/>
        <w:t>The DNA analysis of b</w:t>
      </w:r>
      <w:r w:rsidR="005E26E1">
        <w:rPr>
          <w:rFonts w:ascii="Arial" w:hAnsi="Arial" w:cs="Arial"/>
        </w:rPr>
        <w:t>lood samples collected from the mat and foot well</w:t>
      </w:r>
      <w:r>
        <w:rPr>
          <w:rFonts w:ascii="Arial" w:hAnsi="Arial" w:cs="Arial"/>
        </w:rPr>
        <w:t>,</w:t>
      </w:r>
      <w:r w:rsidR="005E26E1">
        <w:rPr>
          <w:rStyle w:val="FootnoteReference"/>
          <w:rFonts w:ascii="Arial" w:hAnsi="Arial" w:cs="Arial"/>
        </w:rPr>
        <w:footnoteReference w:id="12"/>
      </w:r>
      <w:r w:rsidR="005E26E1">
        <w:rPr>
          <w:rFonts w:ascii="Arial" w:hAnsi="Arial" w:cs="Arial"/>
        </w:rPr>
        <w:t xml:space="preserve"> and right rear seat</w:t>
      </w:r>
      <w:r w:rsidR="005E26E1">
        <w:rPr>
          <w:rStyle w:val="FootnoteReference"/>
          <w:rFonts w:ascii="Arial" w:hAnsi="Arial" w:cs="Arial"/>
        </w:rPr>
        <w:footnoteReference w:id="13"/>
      </w:r>
      <w:r>
        <w:rPr>
          <w:rFonts w:ascii="Arial" w:hAnsi="Arial" w:cs="Arial"/>
        </w:rPr>
        <w:t xml:space="preserve"> of the vehicle resulted in a complete female profile from which Clementia De Wee (PM 16/2016) cannot be excluded as a possible contributor.</w:t>
      </w:r>
    </w:p>
    <w:p w:rsidR="006C344E" w:rsidRDefault="006C344E" w:rsidP="004C4E01">
      <w:pPr>
        <w:spacing w:line="360" w:lineRule="auto"/>
        <w:jc w:val="both"/>
        <w:rPr>
          <w:rFonts w:ascii="Arial" w:hAnsi="Arial" w:cs="Arial"/>
        </w:rPr>
      </w:pPr>
    </w:p>
    <w:p w:rsidR="006C344E" w:rsidRDefault="006C344E" w:rsidP="004C4E01">
      <w:pPr>
        <w:spacing w:line="360" w:lineRule="auto"/>
        <w:jc w:val="both"/>
        <w:rPr>
          <w:rFonts w:ascii="Arial" w:hAnsi="Arial" w:cs="Arial"/>
        </w:rPr>
      </w:pPr>
      <w:r>
        <w:rPr>
          <w:rFonts w:ascii="Arial" w:hAnsi="Arial" w:cs="Arial"/>
        </w:rPr>
        <w:t>[</w:t>
      </w:r>
      <w:r w:rsidR="00C05A49">
        <w:rPr>
          <w:rFonts w:ascii="Arial" w:hAnsi="Arial" w:cs="Arial"/>
        </w:rPr>
        <w:t>37</w:t>
      </w:r>
      <w:r>
        <w:rPr>
          <w:rFonts w:ascii="Arial" w:hAnsi="Arial" w:cs="Arial"/>
        </w:rPr>
        <w:t>]</w:t>
      </w:r>
      <w:r>
        <w:rPr>
          <w:rFonts w:ascii="Arial" w:hAnsi="Arial" w:cs="Arial"/>
        </w:rPr>
        <w:tab/>
        <w:t>In paragraph 3 of the report the technical considerations are enumerated and is a summa</w:t>
      </w:r>
      <w:r w:rsidR="00C05A49">
        <w:rPr>
          <w:rFonts w:ascii="Arial" w:hAnsi="Arial" w:cs="Arial"/>
        </w:rPr>
        <w:t>ry of Ms Swart’s evidence where</w:t>
      </w:r>
      <w:r>
        <w:rPr>
          <w:rFonts w:ascii="Arial" w:hAnsi="Arial" w:cs="Arial"/>
        </w:rPr>
        <w:t xml:space="preserve"> she expounded on the </w:t>
      </w:r>
      <w:r w:rsidR="00C84961">
        <w:rPr>
          <w:rFonts w:ascii="Arial" w:hAnsi="Arial" w:cs="Arial"/>
        </w:rPr>
        <w:t xml:space="preserve">process of analysis adopted as regards the exhibits subjected to DNA analysis. The process or the reliability of forensic evidence adduced during the trial was not challenged in any way. With regards to the collection of forensic evidence up to the stage of DNA analysis of those samples </w:t>
      </w:r>
      <w:r w:rsidR="00270858">
        <w:rPr>
          <w:rFonts w:ascii="Arial" w:hAnsi="Arial" w:cs="Arial"/>
        </w:rPr>
        <w:t xml:space="preserve">tested </w:t>
      </w:r>
      <w:r w:rsidR="00C84961">
        <w:rPr>
          <w:rFonts w:ascii="Arial" w:hAnsi="Arial" w:cs="Arial"/>
        </w:rPr>
        <w:t>and the conclusions reached therein, th</w:t>
      </w:r>
      <w:r w:rsidR="00270858">
        <w:rPr>
          <w:rFonts w:ascii="Arial" w:hAnsi="Arial" w:cs="Arial"/>
        </w:rPr>
        <w:t>ere is nothing showing that th</w:t>
      </w:r>
      <w:r w:rsidR="00C84961">
        <w:rPr>
          <w:rFonts w:ascii="Arial" w:hAnsi="Arial" w:cs="Arial"/>
        </w:rPr>
        <w:t>e witnesses involved in the process were not credible and that the court should not rely on their evidence. I</w:t>
      </w:r>
      <w:r w:rsidR="002E3751">
        <w:rPr>
          <w:rFonts w:ascii="Arial" w:hAnsi="Arial" w:cs="Arial"/>
        </w:rPr>
        <w:t>n the absence of evidence to the contrary, I</w:t>
      </w:r>
      <w:r w:rsidR="00C84961">
        <w:rPr>
          <w:rFonts w:ascii="Arial" w:hAnsi="Arial" w:cs="Arial"/>
        </w:rPr>
        <w:t xml:space="preserve"> accordingly find the </w:t>
      </w:r>
      <w:r w:rsidR="00270858">
        <w:rPr>
          <w:rFonts w:ascii="Arial" w:hAnsi="Arial" w:cs="Arial"/>
        </w:rPr>
        <w:t xml:space="preserve">conclusions reached </w:t>
      </w:r>
      <w:r w:rsidR="00C05A49">
        <w:rPr>
          <w:rFonts w:ascii="Arial" w:hAnsi="Arial" w:cs="Arial"/>
        </w:rPr>
        <w:t>and</w:t>
      </w:r>
      <w:r w:rsidR="002E3751">
        <w:rPr>
          <w:rFonts w:ascii="Arial" w:hAnsi="Arial" w:cs="Arial"/>
        </w:rPr>
        <w:t xml:space="preserve"> set out in the report of Ms Swart to be </w:t>
      </w:r>
      <w:r w:rsidR="00270858">
        <w:rPr>
          <w:rFonts w:ascii="Arial" w:hAnsi="Arial" w:cs="Arial"/>
        </w:rPr>
        <w:t xml:space="preserve">credible and </w:t>
      </w:r>
      <w:r w:rsidR="002E3751">
        <w:rPr>
          <w:rFonts w:ascii="Arial" w:hAnsi="Arial" w:cs="Arial"/>
        </w:rPr>
        <w:t>reliable evidence.</w:t>
      </w:r>
    </w:p>
    <w:p w:rsidR="00D07663" w:rsidRDefault="00D07663" w:rsidP="004C4E01">
      <w:pPr>
        <w:spacing w:line="360" w:lineRule="auto"/>
        <w:jc w:val="both"/>
        <w:rPr>
          <w:rFonts w:ascii="Arial" w:hAnsi="Arial" w:cs="Arial"/>
        </w:rPr>
      </w:pPr>
    </w:p>
    <w:p w:rsidR="00D07663" w:rsidRDefault="00D07663" w:rsidP="004C4E01">
      <w:pPr>
        <w:spacing w:line="360" w:lineRule="auto"/>
        <w:jc w:val="both"/>
        <w:rPr>
          <w:rFonts w:ascii="Arial" w:hAnsi="Arial" w:cs="Arial"/>
          <w:i/>
        </w:rPr>
      </w:pPr>
      <w:r>
        <w:rPr>
          <w:rFonts w:ascii="Arial" w:hAnsi="Arial" w:cs="Arial"/>
          <w:i/>
        </w:rPr>
        <w:t>The defence case</w:t>
      </w:r>
    </w:p>
    <w:p w:rsidR="002169DB" w:rsidRDefault="00D07663" w:rsidP="004C4E01">
      <w:pPr>
        <w:spacing w:line="360" w:lineRule="auto"/>
        <w:jc w:val="both"/>
        <w:rPr>
          <w:rFonts w:ascii="Arial" w:hAnsi="Arial" w:cs="Arial"/>
        </w:rPr>
      </w:pPr>
      <w:r w:rsidRPr="00D07663">
        <w:rPr>
          <w:rFonts w:ascii="Arial" w:hAnsi="Arial" w:cs="Arial"/>
        </w:rPr>
        <w:t>[</w:t>
      </w:r>
      <w:r w:rsidR="00C05A49">
        <w:rPr>
          <w:rFonts w:ascii="Arial" w:hAnsi="Arial" w:cs="Arial"/>
        </w:rPr>
        <w:t>38</w:t>
      </w:r>
      <w:r w:rsidRPr="00D07663">
        <w:rPr>
          <w:rFonts w:ascii="Arial" w:hAnsi="Arial" w:cs="Arial"/>
        </w:rPr>
        <w:t>]</w:t>
      </w:r>
      <w:r w:rsidRPr="00D07663">
        <w:rPr>
          <w:rFonts w:ascii="Arial" w:hAnsi="Arial" w:cs="Arial"/>
        </w:rPr>
        <w:tab/>
      </w:r>
      <w:r w:rsidR="00911033">
        <w:rPr>
          <w:rFonts w:ascii="Arial" w:hAnsi="Arial" w:cs="Arial"/>
        </w:rPr>
        <w:t xml:space="preserve">Except for minor and irrelevant </w:t>
      </w:r>
      <w:r w:rsidR="00C05A49">
        <w:rPr>
          <w:rFonts w:ascii="Arial" w:hAnsi="Arial" w:cs="Arial"/>
        </w:rPr>
        <w:t>differences in the evidence given by</w:t>
      </w:r>
      <w:r w:rsidR="00911033">
        <w:rPr>
          <w:rFonts w:ascii="Arial" w:hAnsi="Arial" w:cs="Arial"/>
        </w:rPr>
        <w:t xml:space="preserve"> state witness Abisai Sibela, the accused confirmed the events of 06 January 2016. It is common cause that he, Abisai Sibela and the two deceased enjoyed themselves in socialising, drinking and playing jackpot at a bar situated in the Damara informal settlement (‘location’).</w:t>
      </w:r>
      <w:r w:rsidR="00711EE3">
        <w:rPr>
          <w:rFonts w:ascii="Arial" w:hAnsi="Arial" w:cs="Arial"/>
        </w:rPr>
        <w:t xml:space="preserve"> </w:t>
      </w:r>
      <w:r w:rsidR="00C05A49">
        <w:rPr>
          <w:rFonts w:ascii="Arial" w:hAnsi="Arial" w:cs="Arial"/>
        </w:rPr>
        <w:t>At some point Clementia</w:t>
      </w:r>
      <w:r w:rsidR="00026025">
        <w:rPr>
          <w:rFonts w:ascii="Arial" w:hAnsi="Arial" w:cs="Arial"/>
        </w:rPr>
        <w:t xml:space="preserve"> received a </w:t>
      </w:r>
      <w:r w:rsidR="00026025">
        <w:rPr>
          <w:rFonts w:ascii="Arial" w:hAnsi="Arial" w:cs="Arial"/>
        </w:rPr>
        <w:lastRenderedPageBreak/>
        <w:t xml:space="preserve">phone call and started crying, </w:t>
      </w:r>
      <w:r w:rsidR="00270858">
        <w:rPr>
          <w:rFonts w:ascii="Arial" w:hAnsi="Arial" w:cs="Arial"/>
        </w:rPr>
        <w:t xml:space="preserve">the </w:t>
      </w:r>
      <w:r w:rsidR="00026025">
        <w:rPr>
          <w:rFonts w:ascii="Arial" w:hAnsi="Arial" w:cs="Arial"/>
        </w:rPr>
        <w:t xml:space="preserve">accused </w:t>
      </w:r>
      <w:r w:rsidR="00C05A49">
        <w:rPr>
          <w:rFonts w:ascii="Arial" w:hAnsi="Arial" w:cs="Arial"/>
        </w:rPr>
        <w:t>not knowing what it was about. He said a</w:t>
      </w:r>
      <w:r w:rsidR="00026025">
        <w:rPr>
          <w:rFonts w:ascii="Arial" w:hAnsi="Arial" w:cs="Arial"/>
        </w:rPr>
        <w:t>n argument erupted between him and Clementia during which she smashed a</w:t>
      </w:r>
      <w:r w:rsidR="00F67AA4">
        <w:rPr>
          <w:rFonts w:ascii="Arial" w:hAnsi="Arial" w:cs="Arial"/>
        </w:rPr>
        <w:t xml:space="preserve"> beer</w:t>
      </w:r>
      <w:r w:rsidR="009E6194">
        <w:rPr>
          <w:rFonts w:ascii="Arial" w:hAnsi="Arial" w:cs="Arial"/>
        </w:rPr>
        <w:t xml:space="preserve"> bottle on the floor while Johanie pulled the accused t</w:t>
      </w:r>
      <w:r w:rsidR="00270858">
        <w:rPr>
          <w:rFonts w:ascii="Arial" w:hAnsi="Arial" w:cs="Arial"/>
        </w:rPr>
        <w:t>o one side. According to the accused this came about</w:t>
      </w:r>
      <w:r w:rsidR="009E6194">
        <w:rPr>
          <w:rFonts w:ascii="Arial" w:hAnsi="Arial" w:cs="Arial"/>
        </w:rPr>
        <w:t xml:space="preserve"> because the girls were jealous of one another.</w:t>
      </w:r>
      <w:r w:rsidR="00026025">
        <w:rPr>
          <w:rFonts w:ascii="Arial" w:hAnsi="Arial" w:cs="Arial"/>
        </w:rPr>
        <w:t xml:space="preserve"> As Abisai Sibela had left their company, the accused and the two deceased proceeded to Khomasdal where Clementia directed him to a spot under a tree where she met up with a person called Benny. </w:t>
      </w:r>
      <w:r w:rsidR="00D12EA2">
        <w:rPr>
          <w:rFonts w:ascii="Arial" w:hAnsi="Arial" w:cs="Arial"/>
        </w:rPr>
        <w:t>Johanie</w:t>
      </w:r>
      <w:r w:rsidR="00026025">
        <w:rPr>
          <w:rFonts w:ascii="Arial" w:hAnsi="Arial" w:cs="Arial"/>
        </w:rPr>
        <w:t xml:space="preserve"> </w:t>
      </w:r>
      <w:r w:rsidR="00270858">
        <w:rPr>
          <w:rFonts w:ascii="Arial" w:hAnsi="Arial" w:cs="Arial"/>
        </w:rPr>
        <w:t>al</w:t>
      </w:r>
      <w:r w:rsidR="00C05A49">
        <w:rPr>
          <w:rFonts w:ascii="Arial" w:hAnsi="Arial" w:cs="Arial"/>
        </w:rPr>
        <w:t>ighted from</w:t>
      </w:r>
      <w:r w:rsidR="00270858">
        <w:rPr>
          <w:rFonts w:ascii="Arial" w:hAnsi="Arial" w:cs="Arial"/>
        </w:rPr>
        <w:t xml:space="preserve"> the vehicle</w:t>
      </w:r>
      <w:r w:rsidR="00026025">
        <w:rPr>
          <w:rFonts w:ascii="Arial" w:hAnsi="Arial" w:cs="Arial"/>
        </w:rPr>
        <w:t xml:space="preserve"> and joined them </w:t>
      </w:r>
      <w:r w:rsidR="00270858">
        <w:rPr>
          <w:rFonts w:ascii="Arial" w:hAnsi="Arial" w:cs="Arial"/>
        </w:rPr>
        <w:t>in drinking</w:t>
      </w:r>
      <w:r w:rsidR="002169DB">
        <w:rPr>
          <w:rFonts w:ascii="Arial" w:hAnsi="Arial" w:cs="Arial"/>
        </w:rPr>
        <w:t xml:space="preserve"> alcohol while the accused remained </w:t>
      </w:r>
      <w:r w:rsidR="00270858">
        <w:rPr>
          <w:rFonts w:ascii="Arial" w:hAnsi="Arial" w:cs="Arial"/>
        </w:rPr>
        <w:t xml:space="preserve">seated </w:t>
      </w:r>
      <w:r w:rsidR="002169DB">
        <w:rPr>
          <w:rFonts w:ascii="Arial" w:hAnsi="Arial" w:cs="Arial"/>
        </w:rPr>
        <w:t xml:space="preserve">in the vehicle. When they </w:t>
      </w:r>
      <w:r w:rsidR="00270858">
        <w:rPr>
          <w:rFonts w:ascii="Arial" w:hAnsi="Arial" w:cs="Arial"/>
        </w:rPr>
        <w:t xml:space="preserve">later </w:t>
      </w:r>
      <w:r w:rsidR="002169DB">
        <w:rPr>
          <w:rFonts w:ascii="Arial" w:hAnsi="Arial" w:cs="Arial"/>
        </w:rPr>
        <w:t>approached him</w:t>
      </w:r>
      <w:r w:rsidR="00C05A49">
        <w:rPr>
          <w:rFonts w:ascii="Arial" w:hAnsi="Arial" w:cs="Arial"/>
        </w:rPr>
        <w:t xml:space="preserve"> asking that they should go</w:t>
      </w:r>
      <w:r w:rsidR="002169DB">
        <w:rPr>
          <w:rFonts w:ascii="Arial" w:hAnsi="Arial" w:cs="Arial"/>
        </w:rPr>
        <w:t xml:space="preserve"> to another bar, he suggested that they rather go to his place.</w:t>
      </w:r>
      <w:r w:rsidR="009E6194">
        <w:rPr>
          <w:rFonts w:ascii="Arial" w:hAnsi="Arial" w:cs="Arial"/>
        </w:rPr>
        <w:t xml:space="preserve"> Benny joined them and they drove to the accused’s place</w:t>
      </w:r>
      <w:r w:rsidR="00270858">
        <w:rPr>
          <w:rFonts w:ascii="Arial" w:hAnsi="Arial" w:cs="Arial"/>
        </w:rPr>
        <w:t xml:space="preserve">. </w:t>
      </w:r>
    </w:p>
    <w:p w:rsidR="00C05A49" w:rsidRDefault="00C05A49" w:rsidP="004C4E01">
      <w:pPr>
        <w:spacing w:line="360" w:lineRule="auto"/>
        <w:jc w:val="both"/>
        <w:rPr>
          <w:rFonts w:ascii="Arial" w:hAnsi="Arial" w:cs="Arial"/>
        </w:rPr>
      </w:pPr>
    </w:p>
    <w:p w:rsidR="000B42AC" w:rsidRDefault="00282C6A" w:rsidP="004C4E01">
      <w:pPr>
        <w:spacing w:line="360" w:lineRule="auto"/>
        <w:jc w:val="both"/>
        <w:rPr>
          <w:rFonts w:ascii="Arial" w:hAnsi="Arial" w:cs="Arial"/>
        </w:rPr>
      </w:pPr>
      <w:r>
        <w:rPr>
          <w:rFonts w:ascii="Arial" w:hAnsi="Arial" w:cs="Arial"/>
        </w:rPr>
        <w:t>[</w:t>
      </w:r>
      <w:r w:rsidR="008306C0">
        <w:rPr>
          <w:rFonts w:ascii="Arial" w:hAnsi="Arial" w:cs="Arial"/>
        </w:rPr>
        <w:t>39</w:t>
      </w:r>
      <w:r>
        <w:rPr>
          <w:rFonts w:ascii="Arial" w:hAnsi="Arial" w:cs="Arial"/>
        </w:rPr>
        <w:t>]</w:t>
      </w:r>
      <w:r>
        <w:rPr>
          <w:rFonts w:ascii="Arial" w:hAnsi="Arial" w:cs="Arial"/>
        </w:rPr>
        <w:tab/>
        <w:t xml:space="preserve">Upon </w:t>
      </w:r>
      <w:r w:rsidR="008306C0">
        <w:rPr>
          <w:rFonts w:ascii="Arial" w:hAnsi="Arial" w:cs="Arial"/>
        </w:rPr>
        <w:t xml:space="preserve">their </w:t>
      </w:r>
      <w:r>
        <w:rPr>
          <w:rFonts w:ascii="Arial" w:hAnsi="Arial" w:cs="Arial"/>
        </w:rPr>
        <w:t xml:space="preserve">arrival </w:t>
      </w:r>
      <w:r w:rsidR="002169DB">
        <w:rPr>
          <w:rFonts w:ascii="Arial" w:hAnsi="Arial" w:cs="Arial"/>
        </w:rPr>
        <w:t xml:space="preserve">Clementia asked </w:t>
      </w:r>
      <w:r>
        <w:rPr>
          <w:rFonts w:ascii="Arial" w:hAnsi="Arial" w:cs="Arial"/>
        </w:rPr>
        <w:t xml:space="preserve">him </w:t>
      </w:r>
      <w:r w:rsidR="002169DB">
        <w:rPr>
          <w:rFonts w:ascii="Arial" w:hAnsi="Arial" w:cs="Arial"/>
        </w:rPr>
        <w:t xml:space="preserve">for his car keys as she wanted to go and buy some ‘stuff’ while </w:t>
      </w:r>
      <w:r w:rsidR="00D12EA2">
        <w:rPr>
          <w:rFonts w:ascii="Arial" w:hAnsi="Arial" w:cs="Arial"/>
        </w:rPr>
        <w:t>Johanie</w:t>
      </w:r>
      <w:r w:rsidR="002169DB">
        <w:rPr>
          <w:rFonts w:ascii="Arial" w:hAnsi="Arial" w:cs="Arial"/>
        </w:rPr>
        <w:t xml:space="preserve"> wanted to purchase ciders. He handed over his car keys and the three of them left. </w:t>
      </w:r>
      <w:r>
        <w:rPr>
          <w:rFonts w:ascii="Arial" w:hAnsi="Arial" w:cs="Arial"/>
        </w:rPr>
        <w:t xml:space="preserve">He assumed </w:t>
      </w:r>
      <w:r w:rsidR="008306C0">
        <w:rPr>
          <w:rFonts w:ascii="Arial" w:hAnsi="Arial" w:cs="Arial"/>
        </w:rPr>
        <w:t xml:space="preserve">Benny </w:t>
      </w:r>
      <w:r>
        <w:rPr>
          <w:rFonts w:ascii="Arial" w:hAnsi="Arial" w:cs="Arial"/>
        </w:rPr>
        <w:t xml:space="preserve">would be driving. </w:t>
      </w:r>
      <w:r w:rsidR="002169DB">
        <w:rPr>
          <w:rFonts w:ascii="Arial" w:hAnsi="Arial" w:cs="Arial"/>
        </w:rPr>
        <w:t xml:space="preserve">He dressed into something more comfortable and watched TV until Benny knocked on the door </w:t>
      </w:r>
      <w:r>
        <w:rPr>
          <w:rFonts w:ascii="Arial" w:hAnsi="Arial" w:cs="Arial"/>
        </w:rPr>
        <w:t>around midnight</w:t>
      </w:r>
      <w:r w:rsidR="00AE4FDB">
        <w:rPr>
          <w:rFonts w:ascii="Arial" w:hAnsi="Arial" w:cs="Arial"/>
        </w:rPr>
        <w:t xml:space="preserve"> </w:t>
      </w:r>
      <w:r w:rsidR="002169DB">
        <w:rPr>
          <w:rFonts w:ascii="Arial" w:hAnsi="Arial" w:cs="Arial"/>
        </w:rPr>
        <w:t xml:space="preserve">and handed him </w:t>
      </w:r>
      <w:r>
        <w:rPr>
          <w:rFonts w:ascii="Arial" w:hAnsi="Arial" w:cs="Arial"/>
        </w:rPr>
        <w:t>his</w:t>
      </w:r>
      <w:r w:rsidR="002169DB">
        <w:rPr>
          <w:rFonts w:ascii="Arial" w:hAnsi="Arial" w:cs="Arial"/>
        </w:rPr>
        <w:t xml:space="preserve"> car keys, saying that the vehicle</w:t>
      </w:r>
      <w:r>
        <w:rPr>
          <w:rFonts w:ascii="Arial" w:hAnsi="Arial" w:cs="Arial"/>
        </w:rPr>
        <w:t xml:space="preserve"> got stuck in Otjomuise. He turned around</w:t>
      </w:r>
      <w:r w:rsidR="002169DB">
        <w:rPr>
          <w:rFonts w:ascii="Arial" w:hAnsi="Arial" w:cs="Arial"/>
        </w:rPr>
        <w:t xml:space="preserve"> to fetch his firearm and </w:t>
      </w:r>
      <w:r>
        <w:rPr>
          <w:rFonts w:ascii="Arial" w:hAnsi="Arial" w:cs="Arial"/>
        </w:rPr>
        <w:t>when he returned to the door,</w:t>
      </w:r>
      <w:r w:rsidR="002169DB">
        <w:rPr>
          <w:rFonts w:ascii="Arial" w:hAnsi="Arial" w:cs="Arial"/>
        </w:rPr>
        <w:t xml:space="preserve"> found that Benny had left</w:t>
      </w:r>
      <w:r w:rsidR="00AE4FDB">
        <w:rPr>
          <w:rFonts w:ascii="Arial" w:hAnsi="Arial" w:cs="Arial"/>
        </w:rPr>
        <w:t>; never to be seen again. He suspected that the vehicle might have run out of fuel and took along a container and watering can when boarding a taxi</w:t>
      </w:r>
      <w:r>
        <w:rPr>
          <w:rFonts w:ascii="Arial" w:hAnsi="Arial" w:cs="Arial"/>
        </w:rPr>
        <w:t xml:space="preserve"> in search of his vehicle</w:t>
      </w:r>
      <w:r w:rsidR="00AE4FDB">
        <w:rPr>
          <w:rFonts w:ascii="Arial" w:hAnsi="Arial" w:cs="Arial"/>
        </w:rPr>
        <w:t>.</w:t>
      </w:r>
      <w:r w:rsidR="002169DB">
        <w:rPr>
          <w:rFonts w:ascii="Arial" w:hAnsi="Arial" w:cs="Arial"/>
        </w:rPr>
        <w:t xml:space="preserve"> </w:t>
      </w:r>
      <w:r w:rsidR="00AE4FDB">
        <w:rPr>
          <w:rFonts w:ascii="Arial" w:hAnsi="Arial" w:cs="Arial"/>
        </w:rPr>
        <w:t xml:space="preserve">He found his car and decided to park it at the house of his child’s mother, Ursula </w:t>
      </w:r>
      <w:r>
        <w:rPr>
          <w:rFonts w:ascii="Arial" w:hAnsi="Arial" w:cs="Arial"/>
        </w:rPr>
        <w:t>Masaw</w:t>
      </w:r>
      <w:r w:rsidR="00AE4FDB">
        <w:rPr>
          <w:rFonts w:ascii="Arial" w:hAnsi="Arial" w:cs="Arial"/>
        </w:rPr>
        <w:t>. When asked why he did not push</w:t>
      </w:r>
      <w:r w:rsidR="008306C0">
        <w:rPr>
          <w:rFonts w:ascii="Arial" w:hAnsi="Arial" w:cs="Arial"/>
        </w:rPr>
        <w:t xml:space="preserve"> through with his plan</w:t>
      </w:r>
      <w:r>
        <w:rPr>
          <w:rFonts w:ascii="Arial" w:hAnsi="Arial" w:cs="Arial"/>
        </w:rPr>
        <w:t xml:space="preserve"> to buy fuel and drive home, </w:t>
      </w:r>
      <w:r w:rsidR="00AE4FDB">
        <w:rPr>
          <w:rFonts w:ascii="Arial" w:hAnsi="Arial" w:cs="Arial"/>
        </w:rPr>
        <w:t xml:space="preserve">he said it was not a priority to him and that he decided to do it the next day. </w:t>
      </w:r>
    </w:p>
    <w:p w:rsidR="000B42AC" w:rsidRDefault="000B42AC" w:rsidP="004C4E01">
      <w:pPr>
        <w:spacing w:line="360" w:lineRule="auto"/>
        <w:jc w:val="both"/>
        <w:rPr>
          <w:rFonts w:ascii="Arial" w:hAnsi="Arial" w:cs="Arial"/>
        </w:rPr>
      </w:pPr>
    </w:p>
    <w:p w:rsidR="002169DB" w:rsidRDefault="000B42AC" w:rsidP="000B42AC">
      <w:pPr>
        <w:spacing w:line="360" w:lineRule="auto"/>
        <w:jc w:val="both"/>
        <w:rPr>
          <w:rFonts w:ascii="Arial" w:hAnsi="Arial" w:cs="Arial"/>
        </w:rPr>
      </w:pPr>
      <w:r>
        <w:rPr>
          <w:rFonts w:ascii="Arial" w:hAnsi="Arial" w:cs="Arial"/>
        </w:rPr>
        <w:t>[</w:t>
      </w:r>
      <w:r w:rsidR="008306C0">
        <w:rPr>
          <w:rFonts w:ascii="Arial" w:hAnsi="Arial" w:cs="Arial"/>
        </w:rPr>
        <w:t>40</w:t>
      </w:r>
      <w:r>
        <w:rPr>
          <w:rFonts w:ascii="Arial" w:hAnsi="Arial" w:cs="Arial"/>
        </w:rPr>
        <w:t>]</w:t>
      </w:r>
      <w:r>
        <w:rPr>
          <w:rFonts w:ascii="Arial" w:hAnsi="Arial" w:cs="Arial"/>
        </w:rPr>
        <w:tab/>
      </w:r>
      <w:r w:rsidR="00AE4FDB">
        <w:rPr>
          <w:rFonts w:ascii="Arial" w:hAnsi="Arial" w:cs="Arial"/>
        </w:rPr>
        <w:t>As regards the whereabouts of the two deceased, the accused said that</w:t>
      </w:r>
      <w:r>
        <w:rPr>
          <w:rFonts w:ascii="Arial" w:hAnsi="Arial" w:cs="Arial"/>
        </w:rPr>
        <w:t xml:space="preserve"> he did not as</w:t>
      </w:r>
      <w:r w:rsidR="00BD08C4">
        <w:rPr>
          <w:rFonts w:ascii="Arial" w:hAnsi="Arial" w:cs="Arial"/>
        </w:rPr>
        <w:t>k</w:t>
      </w:r>
      <w:r w:rsidR="00AE4FDB">
        <w:rPr>
          <w:rFonts w:ascii="Arial" w:hAnsi="Arial" w:cs="Arial"/>
        </w:rPr>
        <w:t xml:space="preserve"> Benny </w:t>
      </w:r>
      <w:r w:rsidR="00282C6A">
        <w:rPr>
          <w:rFonts w:ascii="Arial" w:hAnsi="Arial" w:cs="Arial"/>
        </w:rPr>
        <w:t>upon his return</w:t>
      </w:r>
      <w:r w:rsidR="00BD08C4">
        <w:rPr>
          <w:rFonts w:ascii="Arial" w:hAnsi="Arial" w:cs="Arial"/>
        </w:rPr>
        <w:t xml:space="preserve">, </w:t>
      </w:r>
      <w:r w:rsidR="008306C0">
        <w:rPr>
          <w:rFonts w:ascii="Arial" w:hAnsi="Arial" w:cs="Arial"/>
        </w:rPr>
        <w:t>but though</w:t>
      </w:r>
      <w:r w:rsidR="00AA45E9">
        <w:rPr>
          <w:rFonts w:ascii="Arial" w:hAnsi="Arial" w:cs="Arial"/>
        </w:rPr>
        <w:t>t</w:t>
      </w:r>
      <w:r w:rsidR="008306C0">
        <w:rPr>
          <w:rFonts w:ascii="Arial" w:hAnsi="Arial" w:cs="Arial"/>
        </w:rPr>
        <w:t xml:space="preserve"> of asking him</w:t>
      </w:r>
      <w:r>
        <w:rPr>
          <w:rFonts w:ascii="Arial" w:hAnsi="Arial" w:cs="Arial"/>
        </w:rPr>
        <w:t xml:space="preserve"> later. H</w:t>
      </w:r>
      <w:r w:rsidR="00BD08C4">
        <w:rPr>
          <w:rFonts w:ascii="Arial" w:hAnsi="Arial" w:cs="Arial"/>
        </w:rPr>
        <w:t>e however contradicted himself</w:t>
      </w:r>
      <w:r>
        <w:rPr>
          <w:rFonts w:ascii="Arial" w:hAnsi="Arial" w:cs="Arial"/>
        </w:rPr>
        <w:t xml:space="preserve"> when reminded about hi</w:t>
      </w:r>
      <w:r w:rsidR="00BD08C4">
        <w:rPr>
          <w:rFonts w:ascii="Arial" w:hAnsi="Arial" w:cs="Arial"/>
        </w:rPr>
        <w:t xml:space="preserve">s evidence </w:t>
      </w:r>
      <w:r>
        <w:rPr>
          <w:rFonts w:ascii="Arial" w:hAnsi="Arial" w:cs="Arial"/>
        </w:rPr>
        <w:t xml:space="preserve">in the bail application </w:t>
      </w:r>
      <w:r w:rsidR="00BD08C4">
        <w:rPr>
          <w:rFonts w:ascii="Arial" w:hAnsi="Arial" w:cs="Arial"/>
        </w:rPr>
        <w:t xml:space="preserve">where he said </w:t>
      </w:r>
      <w:r>
        <w:rPr>
          <w:rFonts w:ascii="Arial" w:hAnsi="Arial" w:cs="Arial"/>
        </w:rPr>
        <w:t xml:space="preserve">that </w:t>
      </w:r>
      <w:r w:rsidR="00BD08C4">
        <w:rPr>
          <w:rFonts w:ascii="Arial" w:hAnsi="Arial" w:cs="Arial"/>
        </w:rPr>
        <w:t xml:space="preserve">he indeed asked </w:t>
      </w:r>
      <w:r>
        <w:rPr>
          <w:rFonts w:ascii="Arial" w:hAnsi="Arial" w:cs="Arial"/>
        </w:rPr>
        <w:t xml:space="preserve">Benny </w:t>
      </w:r>
      <w:r w:rsidR="00BD08C4">
        <w:rPr>
          <w:rFonts w:ascii="Arial" w:hAnsi="Arial" w:cs="Arial"/>
        </w:rPr>
        <w:t xml:space="preserve">about the ladies’ whereabouts and was told that </w:t>
      </w:r>
      <w:r w:rsidR="00282C6A">
        <w:rPr>
          <w:rFonts w:ascii="Arial" w:hAnsi="Arial" w:cs="Arial"/>
        </w:rPr>
        <w:t>they were with</w:t>
      </w:r>
      <w:r w:rsidR="00AE4FDB">
        <w:rPr>
          <w:rFonts w:ascii="Arial" w:hAnsi="Arial" w:cs="Arial"/>
        </w:rPr>
        <w:t xml:space="preserve"> the vehicle</w:t>
      </w:r>
      <w:r w:rsidR="00BD08C4">
        <w:rPr>
          <w:rFonts w:ascii="Arial" w:hAnsi="Arial" w:cs="Arial"/>
        </w:rPr>
        <w:t>. H</w:t>
      </w:r>
      <w:r>
        <w:rPr>
          <w:rFonts w:ascii="Arial" w:hAnsi="Arial" w:cs="Arial"/>
        </w:rPr>
        <w:t xml:space="preserve">e </w:t>
      </w:r>
      <w:r w:rsidR="00BD08C4">
        <w:rPr>
          <w:rFonts w:ascii="Arial" w:hAnsi="Arial" w:cs="Arial"/>
        </w:rPr>
        <w:t xml:space="preserve">then </w:t>
      </w:r>
      <w:r w:rsidR="00282C6A">
        <w:rPr>
          <w:rFonts w:ascii="Arial" w:hAnsi="Arial" w:cs="Arial"/>
        </w:rPr>
        <w:t>adopted</w:t>
      </w:r>
      <w:r>
        <w:rPr>
          <w:rFonts w:ascii="Arial" w:hAnsi="Arial" w:cs="Arial"/>
        </w:rPr>
        <w:t xml:space="preserve"> the latter </w:t>
      </w:r>
      <w:r w:rsidR="00BD08C4">
        <w:rPr>
          <w:rFonts w:ascii="Arial" w:hAnsi="Arial" w:cs="Arial"/>
        </w:rPr>
        <w:t xml:space="preserve">version </w:t>
      </w:r>
      <w:r>
        <w:rPr>
          <w:rFonts w:ascii="Arial" w:hAnsi="Arial" w:cs="Arial"/>
        </w:rPr>
        <w:t>to be correct</w:t>
      </w:r>
      <w:r w:rsidR="00AE4FDB">
        <w:rPr>
          <w:rFonts w:ascii="Arial" w:hAnsi="Arial" w:cs="Arial"/>
        </w:rPr>
        <w:t xml:space="preserve">. Not finding them </w:t>
      </w:r>
      <w:r w:rsidR="00282C6A">
        <w:rPr>
          <w:rFonts w:ascii="Arial" w:hAnsi="Arial" w:cs="Arial"/>
        </w:rPr>
        <w:t>at the vehicle</w:t>
      </w:r>
      <w:r w:rsidR="00987B8F">
        <w:rPr>
          <w:rFonts w:ascii="Arial" w:hAnsi="Arial" w:cs="Arial"/>
        </w:rPr>
        <w:t>, he</w:t>
      </w:r>
      <w:r w:rsidR="00282C6A">
        <w:rPr>
          <w:rFonts w:ascii="Arial" w:hAnsi="Arial" w:cs="Arial"/>
        </w:rPr>
        <w:t xml:space="preserve">, as might be expected </w:t>
      </w:r>
      <w:r w:rsidR="008306C0">
        <w:rPr>
          <w:rFonts w:ascii="Arial" w:hAnsi="Arial" w:cs="Arial"/>
        </w:rPr>
        <w:t xml:space="preserve">of a person </w:t>
      </w:r>
      <w:r w:rsidR="00282C6A">
        <w:rPr>
          <w:rFonts w:ascii="Arial" w:hAnsi="Arial" w:cs="Arial"/>
        </w:rPr>
        <w:t>in the circumstances,</w:t>
      </w:r>
      <w:r>
        <w:rPr>
          <w:rFonts w:ascii="Arial" w:hAnsi="Arial" w:cs="Arial"/>
        </w:rPr>
        <w:t xml:space="preserve"> </w:t>
      </w:r>
      <w:r w:rsidR="00987B8F">
        <w:rPr>
          <w:rFonts w:ascii="Arial" w:hAnsi="Arial" w:cs="Arial"/>
        </w:rPr>
        <w:t xml:space="preserve">did not call them on his phone as, according to him, they were not having their phones with them. When reminded </w:t>
      </w:r>
      <w:r w:rsidR="00987B8F">
        <w:rPr>
          <w:rFonts w:ascii="Arial" w:hAnsi="Arial" w:cs="Arial"/>
        </w:rPr>
        <w:lastRenderedPageBreak/>
        <w:t>that Clementia received a phone call whilst at the bar</w:t>
      </w:r>
      <w:r w:rsidR="00282C6A">
        <w:rPr>
          <w:rFonts w:ascii="Arial" w:hAnsi="Arial" w:cs="Arial"/>
        </w:rPr>
        <w:t xml:space="preserve"> earlier that day</w:t>
      </w:r>
      <w:r w:rsidR="00987B8F">
        <w:rPr>
          <w:rFonts w:ascii="Arial" w:hAnsi="Arial" w:cs="Arial"/>
        </w:rPr>
        <w:t xml:space="preserve">, he explained that she must have made use of someone else’s phone. As regards the remains of a burnt </w:t>
      </w:r>
      <w:r w:rsidR="00F37199">
        <w:rPr>
          <w:rFonts w:ascii="Arial" w:hAnsi="Arial" w:cs="Arial"/>
        </w:rPr>
        <w:t>cell phone</w:t>
      </w:r>
      <w:r w:rsidR="00987B8F">
        <w:rPr>
          <w:rFonts w:ascii="Arial" w:hAnsi="Arial" w:cs="Arial"/>
        </w:rPr>
        <w:t xml:space="preserve"> and SIM card found next to the </w:t>
      </w:r>
      <w:r w:rsidR="00282C6A">
        <w:rPr>
          <w:rFonts w:ascii="Arial" w:hAnsi="Arial" w:cs="Arial"/>
        </w:rPr>
        <w:t>bodies at the dump site, he explained</w:t>
      </w:r>
      <w:r w:rsidR="00987B8F">
        <w:rPr>
          <w:rFonts w:ascii="Arial" w:hAnsi="Arial" w:cs="Arial"/>
        </w:rPr>
        <w:t xml:space="preserve"> that </w:t>
      </w:r>
      <w:r w:rsidR="00D12EA2">
        <w:rPr>
          <w:rFonts w:ascii="Arial" w:hAnsi="Arial" w:cs="Arial"/>
        </w:rPr>
        <w:t>Johanie</w:t>
      </w:r>
      <w:r w:rsidR="00987B8F">
        <w:rPr>
          <w:rFonts w:ascii="Arial" w:hAnsi="Arial" w:cs="Arial"/>
        </w:rPr>
        <w:t xml:space="preserve"> used to carry her</w:t>
      </w:r>
      <w:r w:rsidR="00282C6A">
        <w:rPr>
          <w:rFonts w:ascii="Arial" w:hAnsi="Arial" w:cs="Arial"/>
        </w:rPr>
        <w:t xml:space="preserve"> SIM card with her, but not her</w:t>
      </w:r>
      <w:r w:rsidR="00987B8F">
        <w:rPr>
          <w:rFonts w:ascii="Arial" w:hAnsi="Arial" w:cs="Arial"/>
        </w:rPr>
        <w:t xml:space="preserve"> phone. After parking his vehicle at Ursula’s place, h</w:t>
      </w:r>
      <w:r w:rsidR="00AE4FDB">
        <w:rPr>
          <w:rFonts w:ascii="Arial" w:hAnsi="Arial" w:cs="Arial"/>
        </w:rPr>
        <w:t xml:space="preserve">e proceeded home by taxi and put his pistol between the base and the mattress for protection. </w:t>
      </w:r>
    </w:p>
    <w:p w:rsidR="00987B8F" w:rsidRDefault="00987B8F" w:rsidP="004C4E01">
      <w:pPr>
        <w:spacing w:line="360" w:lineRule="auto"/>
        <w:jc w:val="both"/>
        <w:rPr>
          <w:rFonts w:ascii="Arial" w:hAnsi="Arial" w:cs="Arial"/>
        </w:rPr>
      </w:pPr>
    </w:p>
    <w:p w:rsidR="00987B8F" w:rsidRDefault="00987B8F" w:rsidP="004C4E01">
      <w:pPr>
        <w:spacing w:line="360" w:lineRule="auto"/>
        <w:jc w:val="both"/>
        <w:rPr>
          <w:rFonts w:ascii="Arial" w:hAnsi="Arial" w:cs="Arial"/>
        </w:rPr>
      </w:pPr>
      <w:r>
        <w:rPr>
          <w:rFonts w:ascii="Arial" w:hAnsi="Arial" w:cs="Arial"/>
        </w:rPr>
        <w:t>[</w:t>
      </w:r>
      <w:r w:rsidR="008306C0">
        <w:rPr>
          <w:rFonts w:ascii="Arial" w:hAnsi="Arial" w:cs="Arial"/>
        </w:rPr>
        <w:t>41</w:t>
      </w:r>
      <w:r>
        <w:rPr>
          <w:rFonts w:ascii="Arial" w:hAnsi="Arial" w:cs="Arial"/>
        </w:rPr>
        <w:t>]</w:t>
      </w:r>
      <w:r>
        <w:rPr>
          <w:rFonts w:ascii="Arial" w:hAnsi="Arial" w:cs="Arial"/>
        </w:rPr>
        <w:tab/>
        <w:t xml:space="preserve">The following morning and whilst still in bed, he received a phone call from </w:t>
      </w:r>
      <w:r w:rsidR="0044032F">
        <w:rPr>
          <w:rFonts w:ascii="Arial" w:hAnsi="Arial" w:cs="Arial"/>
        </w:rPr>
        <w:t>a police o</w:t>
      </w:r>
      <w:r w:rsidR="00282C6A">
        <w:rPr>
          <w:rFonts w:ascii="Arial" w:hAnsi="Arial" w:cs="Arial"/>
        </w:rPr>
        <w:t>fficer with the name Amoomo who wanted to see him. H</w:t>
      </w:r>
      <w:r w:rsidR="0044032F">
        <w:rPr>
          <w:rFonts w:ascii="Arial" w:hAnsi="Arial" w:cs="Arial"/>
        </w:rPr>
        <w:t xml:space="preserve">e directed </w:t>
      </w:r>
      <w:r w:rsidR="00282C6A">
        <w:rPr>
          <w:rFonts w:ascii="Arial" w:hAnsi="Arial" w:cs="Arial"/>
        </w:rPr>
        <w:t xml:space="preserve">the officer </w:t>
      </w:r>
      <w:r w:rsidR="0044032F">
        <w:rPr>
          <w:rFonts w:ascii="Arial" w:hAnsi="Arial" w:cs="Arial"/>
        </w:rPr>
        <w:t>to his place of residence. Upon his arrival he was shown a telephone number which he identified as that of his girlfriend. Amoomo told him that she was dead and arrested him</w:t>
      </w:r>
      <w:r w:rsidR="00214B84">
        <w:rPr>
          <w:rFonts w:ascii="Arial" w:hAnsi="Arial" w:cs="Arial"/>
        </w:rPr>
        <w:t xml:space="preserve"> on a charge of murder</w:t>
      </w:r>
      <w:r w:rsidR="0044032F">
        <w:rPr>
          <w:rFonts w:ascii="Arial" w:hAnsi="Arial" w:cs="Arial"/>
        </w:rPr>
        <w:t>. He was handcuffed and</w:t>
      </w:r>
      <w:r w:rsidR="00214B84">
        <w:rPr>
          <w:rFonts w:ascii="Arial" w:hAnsi="Arial" w:cs="Arial"/>
        </w:rPr>
        <w:t xml:space="preserve"> without his permission, </w:t>
      </w:r>
      <w:r w:rsidR="00282C6A">
        <w:rPr>
          <w:rFonts w:ascii="Arial" w:hAnsi="Arial" w:cs="Arial"/>
        </w:rPr>
        <w:t xml:space="preserve">the police </w:t>
      </w:r>
      <w:r w:rsidR="00214B84">
        <w:rPr>
          <w:rFonts w:ascii="Arial" w:hAnsi="Arial" w:cs="Arial"/>
        </w:rPr>
        <w:t>started</w:t>
      </w:r>
      <w:r w:rsidR="0044032F">
        <w:rPr>
          <w:rFonts w:ascii="Arial" w:hAnsi="Arial" w:cs="Arial"/>
        </w:rPr>
        <w:t xml:space="preserve"> searching his room</w:t>
      </w:r>
      <w:r w:rsidR="00214B84">
        <w:rPr>
          <w:rFonts w:ascii="Arial" w:hAnsi="Arial" w:cs="Arial"/>
        </w:rPr>
        <w:t>.</w:t>
      </w:r>
      <w:r w:rsidR="0044032F">
        <w:rPr>
          <w:rFonts w:ascii="Arial" w:hAnsi="Arial" w:cs="Arial"/>
        </w:rPr>
        <w:t xml:space="preserve"> </w:t>
      </w:r>
      <w:r w:rsidR="003D2E5D">
        <w:rPr>
          <w:rFonts w:ascii="Arial" w:hAnsi="Arial" w:cs="Arial"/>
        </w:rPr>
        <w:t xml:space="preserve">He confirmed that his firearm was found between the base and the mattress of his bed and that clothes </w:t>
      </w:r>
      <w:r w:rsidR="00282C6A">
        <w:rPr>
          <w:rFonts w:ascii="Arial" w:hAnsi="Arial" w:cs="Arial"/>
        </w:rPr>
        <w:t xml:space="preserve">of his </w:t>
      </w:r>
      <w:r w:rsidR="003D2E5D">
        <w:rPr>
          <w:rFonts w:ascii="Arial" w:hAnsi="Arial" w:cs="Arial"/>
        </w:rPr>
        <w:t xml:space="preserve">were seized. He however disputes having been shown photos of shoeprints </w:t>
      </w:r>
      <w:r w:rsidR="00F455BF">
        <w:rPr>
          <w:rFonts w:ascii="Arial" w:hAnsi="Arial" w:cs="Arial"/>
        </w:rPr>
        <w:t xml:space="preserve">on Chief Inspector Amoomo’s cell phone </w:t>
      </w:r>
      <w:r w:rsidR="003D2E5D">
        <w:rPr>
          <w:rFonts w:ascii="Arial" w:hAnsi="Arial" w:cs="Arial"/>
        </w:rPr>
        <w:t xml:space="preserve">matching </w:t>
      </w:r>
      <w:r w:rsidR="00F455BF">
        <w:rPr>
          <w:rFonts w:ascii="Arial" w:hAnsi="Arial" w:cs="Arial"/>
        </w:rPr>
        <w:t>that of sports shoes found in his</w:t>
      </w:r>
      <w:r w:rsidR="003D2E5D">
        <w:rPr>
          <w:rFonts w:ascii="Arial" w:hAnsi="Arial" w:cs="Arial"/>
        </w:rPr>
        <w:t xml:space="preserve"> flat. From there</w:t>
      </w:r>
      <w:r w:rsidR="00F455BF">
        <w:rPr>
          <w:rFonts w:ascii="Arial" w:hAnsi="Arial" w:cs="Arial"/>
        </w:rPr>
        <w:t xml:space="preserve"> on</w:t>
      </w:r>
      <w:r w:rsidR="00214B84">
        <w:rPr>
          <w:rFonts w:ascii="Arial" w:hAnsi="Arial" w:cs="Arial"/>
        </w:rPr>
        <w:t xml:space="preserve"> </w:t>
      </w:r>
      <w:r w:rsidR="0044032F">
        <w:rPr>
          <w:rFonts w:ascii="Arial" w:hAnsi="Arial" w:cs="Arial"/>
        </w:rPr>
        <w:t>they proce</w:t>
      </w:r>
      <w:r w:rsidR="003D2E5D">
        <w:rPr>
          <w:rFonts w:ascii="Arial" w:hAnsi="Arial" w:cs="Arial"/>
        </w:rPr>
        <w:t xml:space="preserve">eded to the bar </w:t>
      </w:r>
      <w:r w:rsidR="008306C0">
        <w:rPr>
          <w:rFonts w:ascii="Arial" w:hAnsi="Arial" w:cs="Arial"/>
        </w:rPr>
        <w:t xml:space="preserve">where </w:t>
      </w:r>
      <w:r w:rsidR="003D2E5D">
        <w:rPr>
          <w:rFonts w:ascii="Arial" w:hAnsi="Arial" w:cs="Arial"/>
        </w:rPr>
        <w:t>he and the others</w:t>
      </w:r>
      <w:r w:rsidR="00214B84">
        <w:rPr>
          <w:rFonts w:ascii="Arial" w:hAnsi="Arial" w:cs="Arial"/>
        </w:rPr>
        <w:t xml:space="preserve"> had been visiting</w:t>
      </w:r>
      <w:r w:rsidR="0044032F">
        <w:rPr>
          <w:rFonts w:ascii="Arial" w:hAnsi="Arial" w:cs="Arial"/>
        </w:rPr>
        <w:t xml:space="preserve"> the previ</w:t>
      </w:r>
      <w:r w:rsidR="003D2E5D">
        <w:rPr>
          <w:rFonts w:ascii="Arial" w:hAnsi="Arial" w:cs="Arial"/>
        </w:rPr>
        <w:t>ous day</w:t>
      </w:r>
      <w:r w:rsidR="0044032F">
        <w:rPr>
          <w:rFonts w:ascii="Arial" w:hAnsi="Arial" w:cs="Arial"/>
        </w:rPr>
        <w:t xml:space="preserve"> and </w:t>
      </w:r>
      <w:r w:rsidR="003D2E5D">
        <w:rPr>
          <w:rFonts w:ascii="Arial" w:hAnsi="Arial" w:cs="Arial"/>
        </w:rPr>
        <w:t xml:space="preserve">the spot </w:t>
      </w:r>
      <w:r w:rsidR="00F455BF">
        <w:rPr>
          <w:rFonts w:ascii="Arial" w:hAnsi="Arial" w:cs="Arial"/>
        </w:rPr>
        <w:t>where they met up with Benny. Next h</w:t>
      </w:r>
      <w:r w:rsidR="0044032F">
        <w:rPr>
          <w:rFonts w:ascii="Arial" w:hAnsi="Arial" w:cs="Arial"/>
        </w:rPr>
        <w:t>e directed them to where his vehicle was parked. The vehicle was unlocked an</w:t>
      </w:r>
      <w:r w:rsidR="007E136E">
        <w:rPr>
          <w:rFonts w:ascii="Arial" w:hAnsi="Arial" w:cs="Arial"/>
        </w:rPr>
        <w:t>d Amo</w:t>
      </w:r>
      <w:r w:rsidR="00F455BF">
        <w:rPr>
          <w:rFonts w:ascii="Arial" w:hAnsi="Arial" w:cs="Arial"/>
        </w:rPr>
        <w:t>omo mentioned the presence of</w:t>
      </w:r>
      <w:r w:rsidR="0044032F">
        <w:rPr>
          <w:rFonts w:ascii="Arial" w:hAnsi="Arial" w:cs="Arial"/>
        </w:rPr>
        <w:t xml:space="preserve"> blood inside his car and </w:t>
      </w:r>
      <w:r w:rsidR="003D2E5D">
        <w:rPr>
          <w:rFonts w:ascii="Arial" w:hAnsi="Arial" w:cs="Arial"/>
        </w:rPr>
        <w:t>a hole in the</w:t>
      </w:r>
      <w:r w:rsidR="007E136E">
        <w:rPr>
          <w:rFonts w:ascii="Arial" w:hAnsi="Arial" w:cs="Arial"/>
        </w:rPr>
        <w:t xml:space="preserve"> (front passenger)</w:t>
      </w:r>
      <w:r w:rsidR="003D2E5D">
        <w:rPr>
          <w:rFonts w:ascii="Arial" w:hAnsi="Arial" w:cs="Arial"/>
        </w:rPr>
        <w:t xml:space="preserve"> seat</w:t>
      </w:r>
      <w:r w:rsidR="00F455BF">
        <w:rPr>
          <w:rFonts w:ascii="Arial" w:hAnsi="Arial" w:cs="Arial"/>
        </w:rPr>
        <w:t>. He denied having any</w:t>
      </w:r>
      <w:r w:rsidR="008306C0">
        <w:rPr>
          <w:rFonts w:ascii="Arial" w:hAnsi="Arial" w:cs="Arial"/>
        </w:rPr>
        <w:t xml:space="preserve"> knowledge about that</w:t>
      </w:r>
      <w:r w:rsidR="003D2E5D">
        <w:rPr>
          <w:rFonts w:ascii="Arial" w:hAnsi="Arial" w:cs="Arial"/>
        </w:rPr>
        <w:t>.</w:t>
      </w:r>
    </w:p>
    <w:p w:rsidR="003D2E5D" w:rsidRDefault="003D2E5D" w:rsidP="004C4E01">
      <w:pPr>
        <w:spacing w:line="360" w:lineRule="auto"/>
        <w:jc w:val="both"/>
        <w:rPr>
          <w:rFonts w:ascii="Arial" w:hAnsi="Arial" w:cs="Arial"/>
        </w:rPr>
      </w:pPr>
    </w:p>
    <w:p w:rsidR="003D2E5D" w:rsidRDefault="003D2E5D" w:rsidP="004C4E01">
      <w:pPr>
        <w:spacing w:line="360" w:lineRule="auto"/>
        <w:jc w:val="both"/>
        <w:rPr>
          <w:rFonts w:ascii="Arial" w:hAnsi="Arial" w:cs="Arial"/>
        </w:rPr>
      </w:pPr>
      <w:r>
        <w:rPr>
          <w:rFonts w:ascii="Arial" w:hAnsi="Arial" w:cs="Arial"/>
        </w:rPr>
        <w:t>[</w:t>
      </w:r>
      <w:r w:rsidR="008306C0">
        <w:rPr>
          <w:rFonts w:ascii="Arial" w:hAnsi="Arial" w:cs="Arial"/>
        </w:rPr>
        <w:t>42</w:t>
      </w:r>
      <w:r>
        <w:rPr>
          <w:rFonts w:ascii="Arial" w:hAnsi="Arial" w:cs="Arial"/>
        </w:rPr>
        <w:t>]</w:t>
      </w:r>
      <w:r>
        <w:rPr>
          <w:rFonts w:ascii="Arial" w:hAnsi="Arial" w:cs="Arial"/>
        </w:rPr>
        <w:tab/>
        <w:t xml:space="preserve">With regards to the evidence of state witnesses </w:t>
      </w:r>
      <w:r w:rsidR="007E136E">
        <w:rPr>
          <w:rFonts w:ascii="Arial" w:hAnsi="Arial" w:cs="Arial"/>
        </w:rPr>
        <w:t xml:space="preserve">testifying </w:t>
      </w:r>
      <w:r>
        <w:rPr>
          <w:rFonts w:ascii="Arial" w:hAnsi="Arial" w:cs="Arial"/>
        </w:rPr>
        <w:t>about the accused saying that he would kill himself</w:t>
      </w:r>
      <w:r w:rsidR="007E136E" w:rsidRPr="007E136E">
        <w:rPr>
          <w:rFonts w:ascii="Arial" w:hAnsi="Arial" w:cs="Arial"/>
        </w:rPr>
        <w:t xml:space="preserve"> </w:t>
      </w:r>
      <w:r w:rsidR="007E136E">
        <w:rPr>
          <w:rFonts w:ascii="Arial" w:hAnsi="Arial" w:cs="Arial"/>
        </w:rPr>
        <w:t xml:space="preserve">when asked by his brother as to what had happened, </w:t>
      </w:r>
      <w:r>
        <w:rPr>
          <w:rFonts w:ascii="Arial" w:hAnsi="Arial" w:cs="Arial"/>
        </w:rPr>
        <w:t xml:space="preserve">he </w:t>
      </w:r>
      <w:r w:rsidR="007E136E">
        <w:rPr>
          <w:rFonts w:ascii="Arial" w:hAnsi="Arial" w:cs="Arial"/>
        </w:rPr>
        <w:t>disputes such conversation</w:t>
      </w:r>
      <w:r>
        <w:rPr>
          <w:rFonts w:ascii="Arial" w:hAnsi="Arial" w:cs="Arial"/>
        </w:rPr>
        <w:t xml:space="preserve"> ever happening. </w:t>
      </w:r>
      <w:r w:rsidR="007E136E">
        <w:rPr>
          <w:rFonts w:ascii="Arial" w:hAnsi="Arial" w:cs="Arial"/>
        </w:rPr>
        <w:t xml:space="preserve">Neither did </w:t>
      </w:r>
      <w:r>
        <w:rPr>
          <w:rFonts w:ascii="Arial" w:hAnsi="Arial" w:cs="Arial"/>
        </w:rPr>
        <w:t xml:space="preserve">he </w:t>
      </w:r>
      <w:r w:rsidR="007E136E">
        <w:rPr>
          <w:rFonts w:ascii="Arial" w:hAnsi="Arial" w:cs="Arial"/>
        </w:rPr>
        <w:t>make an</w:t>
      </w:r>
      <w:r w:rsidR="00F455BF">
        <w:rPr>
          <w:rFonts w:ascii="Arial" w:hAnsi="Arial" w:cs="Arial"/>
        </w:rPr>
        <w:t>y report to the police officers;</w:t>
      </w:r>
      <w:r w:rsidR="007E136E">
        <w:rPr>
          <w:rFonts w:ascii="Arial" w:hAnsi="Arial" w:cs="Arial"/>
        </w:rPr>
        <w:t xml:space="preserve"> no</w:t>
      </w:r>
      <w:r>
        <w:rPr>
          <w:rFonts w:ascii="Arial" w:hAnsi="Arial" w:cs="Arial"/>
        </w:rPr>
        <w:t>r did he proffer an</w:t>
      </w:r>
      <w:r w:rsidR="00F455BF">
        <w:rPr>
          <w:rFonts w:ascii="Arial" w:hAnsi="Arial" w:cs="Arial"/>
        </w:rPr>
        <w:t>y</w:t>
      </w:r>
      <w:r>
        <w:rPr>
          <w:rFonts w:ascii="Arial" w:hAnsi="Arial" w:cs="Arial"/>
        </w:rPr>
        <w:t xml:space="preserve"> explanation as to how the two deceased got shot</w:t>
      </w:r>
      <w:r w:rsidR="00F455BF">
        <w:rPr>
          <w:rFonts w:ascii="Arial" w:hAnsi="Arial" w:cs="Arial"/>
        </w:rPr>
        <w:t xml:space="preserve"> as</w:t>
      </w:r>
      <w:r w:rsidR="007E136E">
        <w:rPr>
          <w:rFonts w:ascii="Arial" w:hAnsi="Arial" w:cs="Arial"/>
        </w:rPr>
        <w:t xml:space="preserve"> testified</w:t>
      </w:r>
      <w:r w:rsidR="00F455BF">
        <w:rPr>
          <w:rFonts w:ascii="Arial" w:hAnsi="Arial" w:cs="Arial"/>
        </w:rPr>
        <w:t xml:space="preserve"> by state witnesses</w:t>
      </w:r>
      <w:r>
        <w:rPr>
          <w:rFonts w:ascii="Arial" w:hAnsi="Arial" w:cs="Arial"/>
        </w:rPr>
        <w:t>.</w:t>
      </w:r>
      <w:r w:rsidR="004A202E">
        <w:rPr>
          <w:rFonts w:ascii="Arial" w:hAnsi="Arial" w:cs="Arial"/>
        </w:rPr>
        <w:t xml:space="preserve"> He denied any </w:t>
      </w:r>
      <w:r w:rsidR="00F455BF">
        <w:rPr>
          <w:rFonts w:ascii="Arial" w:hAnsi="Arial" w:cs="Arial"/>
        </w:rPr>
        <w:t>involvement in their killing or</w:t>
      </w:r>
      <w:r w:rsidR="004A202E">
        <w:rPr>
          <w:rFonts w:ascii="Arial" w:hAnsi="Arial" w:cs="Arial"/>
        </w:rPr>
        <w:t xml:space="preserve"> </w:t>
      </w:r>
      <w:r w:rsidR="00F455BF">
        <w:rPr>
          <w:rFonts w:ascii="Arial" w:hAnsi="Arial" w:cs="Arial"/>
        </w:rPr>
        <w:t>the disposing</w:t>
      </w:r>
      <w:r w:rsidR="007E136E">
        <w:rPr>
          <w:rFonts w:ascii="Arial" w:hAnsi="Arial" w:cs="Arial"/>
        </w:rPr>
        <w:t xml:space="preserve"> of the</w:t>
      </w:r>
      <w:r w:rsidR="004A202E">
        <w:rPr>
          <w:rFonts w:ascii="Arial" w:hAnsi="Arial" w:cs="Arial"/>
        </w:rPr>
        <w:t xml:space="preserve"> bodies at the dump site.</w:t>
      </w:r>
    </w:p>
    <w:p w:rsidR="004A202E" w:rsidRDefault="004A202E" w:rsidP="004C4E01">
      <w:pPr>
        <w:spacing w:line="360" w:lineRule="auto"/>
        <w:jc w:val="both"/>
        <w:rPr>
          <w:rFonts w:ascii="Arial" w:hAnsi="Arial" w:cs="Arial"/>
        </w:rPr>
      </w:pPr>
    </w:p>
    <w:p w:rsidR="004A202E" w:rsidRDefault="004A202E" w:rsidP="004C4E01">
      <w:pPr>
        <w:spacing w:line="360" w:lineRule="auto"/>
        <w:jc w:val="both"/>
        <w:rPr>
          <w:rFonts w:ascii="Arial" w:hAnsi="Arial" w:cs="Arial"/>
        </w:rPr>
      </w:pPr>
      <w:r>
        <w:rPr>
          <w:rFonts w:ascii="Arial" w:hAnsi="Arial" w:cs="Arial"/>
        </w:rPr>
        <w:t>[</w:t>
      </w:r>
      <w:r w:rsidR="008306C0">
        <w:rPr>
          <w:rFonts w:ascii="Arial" w:hAnsi="Arial" w:cs="Arial"/>
        </w:rPr>
        <w:t>43</w:t>
      </w:r>
      <w:r>
        <w:rPr>
          <w:rFonts w:ascii="Arial" w:hAnsi="Arial" w:cs="Arial"/>
        </w:rPr>
        <w:t>]</w:t>
      </w:r>
      <w:r>
        <w:rPr>
          <w:rFonts w:ascii="Arial" w:hAnsi="Arial" w:cs="Arial"/>
        </w:rPr>
        <w:tab/>
        <w:t>As for the person called Benny, it i</w:t>
      </w:r>
      <w:r w:rsidR="00F455BF">
        <w:rPr>
          <w:rFonts w:ascii="Arial" w:hAnsi="Arial" w:cs="Arial"/>
        </w:rPr>
        <w:t>s the accused’s evidence that this person in the past</w:t>
      </w:r>
      <w:r>
        <w:rPr>
          <w:rFonts w:ascii="Arial" w:hAnsi="Arial" w:cs="Arial"/>
        </w:rPr>
        <w:t xml:space="preserve"> used to drop off Clementia at his place and on some days </w:t>
      </w:r>
      <w:r w:rsidR="00F455BF">
        <w:rPr>
          <w:rFonts w:ascii="Arial" w:hAnsi="Arial" w:cs="Arial"/>
        </w:rPr>
        <w:t>stayed on to visit</w:t>
      </w:r>
      <w:r>
        <w:rPr>
          <w:rFonts w:ascii="Arial" w:hAnsi="Arial" w:cs="Arial"/>
        </w:rPr>
        <w:t xml:space="preserve"> her</w:t>
      </w:r>
      <w:r w:rsidR="00F455BF">
        <w:rPr>
          <w:rFonts w:ascii="Arial" w:hAnsi="Arial" w:cs="Arial"/>
        </w:rPr>
        <w:t>. He had no knowledge of</w:t>
      </w:r>
      <w:r>
        <w:rPr>
          <w:rFonts w:ascii="Arial" w:hAnsi="Arial" w:cs="Arial"/>
        </w:rPr>
        <w:t xml:space="preserve"> </w:t>
      </w:r>
      <w:r w:rsidR="00F455BF">
        <w:rPr>
          <w:rFonts w:ascii="Arial" w:hAnsi="Arial" w:cs="Arial"/>
        </w:rPr>
        <w:t>Benny’s</w:t>
      </w:r>
      <w:r>
        <w:rPr>
          <w:rFonts w:ascii="Arial" w:hAnsi="Arial" w:cs="Arial"/>
        </w:rPr>
        <w:t xml:space="preserve"> residence or the type </w:t>
      </w:r>
      <w:r>
        <w:rPr>
          <w:rFonts w:ascii="Arial" w:hAnsi="Arial" w:cs="Arial"/>
        </w:rPr>
        <w:lastRenderedPageBreak/>
        <w:t>of vehicle he was driving. In fact, he</w:t>
      </w:r>
      <w:r w:rsidR="008306C0">
        <w:rPr>
          <w:rFonts w:ascii="Arial" w:hAnsi="Arial" w:cs="Arial"/>
        </w:rPr>
        <w:t xml:space="preserve"> knew very little about</w:t>
      </w:r>
      <w:r w:rsidR="00F455BF">
        <w:rPr>
          <w:rFonts w:ascii="Arial" w:hAnsi="Arial" w:cs="Arial"/>
        </w:rPr>
        <w:t xml:space="preserve"> him</w:t>
      </w:r>
      <w:r>
        <w:rPr>
          <w:rFonts w:ascii="Arial" w:hAnsi="Arial" w:cs="Arial"/>
        </w:rPr>
        <w:t>; only that he associated with Clementia.</w:t>
      </w:r>
    </w:p>
    <w:p w:rsidR="004A202E" w:rsidRDefault="004A202E" w:rsidP="004C4E01">
      <w:pPr>
        <w:spacing w:line="360" w:lineRule="auto"/>
        <w:jc w:val="both"/>
        <w:rPr>
          <w:rFonts w:ascii="Arial" w:hAnsi="Arial" w:cs="Arial"/>
        </w:rPr>
      </w:pPr>
    </w:p>
    <w:p w:rsidR="00371D7F" w:rsidRDefault="00D12EA2" w:rsidP="004C4E01">
      <w:pPr>
        <w:spacing w:line="360" w:lineRule="auto"/>
        <w:jc w:val="both"/>
        <w:rPr>
          <w:rFonts w:ascii="Arial" w:hAnsi="Arial" w:cs="Arial"/>
        </w:rPr>
      </w:pPr>
      <w:r>
        <w:rPr>
          <w:rFonts w:ascii="Arial" w:hAnsi="Arial" w:cs="Arial"/>
        </w:rPr>
        <w:t>[</w:t>
      </w:r>
      <w:r w:rsidR="008306C0">
        <w:rPr>
          <w:rFonts w:ascii="Arial" w:hAnsi="Arial" w:cs="Arial"/>
        </w:rPr>
        <w:t>44</w:t>
      </w:r>
      <w:r>
        <w:rPr>
          <w:rFonts w:ascii="Arial" w:hAnsi="Arial" w:cs="Arial"/>
        </w:rPr>
        <w:t>]</w:t>
      </w:r>
      <w:r>
        <w:rPr>
          <w:rFonts w:ascii="Arial" w:hAnsi="Arial" w:cs="Arial"/>
        </w:rPr>
        <w:tab/>
        <w:t>On the accused’s evidence</w:t>
      </w:r>
      <w:r w:rsidR="008306C0">
        <w:rPr>
          <w:rFonts w:ascii="Arial" w:hAnsi="Arial" w:cs="Arial"/>
        </w:rPr>
        <w:t>,</w:t>
      </w:r>
      <w:r>
        <w:rPr>
          <w:rFonts w:ascii="Arial" w:hAnsi="Arial" w:cs="Arial"/>
        </w:rPr>
        <w:t xml:space="preserve"> the fact that he was in a romantic relationship with both deceased at the time did not pose </w:t>
      </w:r>
      <w:r w:rsidR="00F455BF">
        <w:rPr>
          <w:rFonts w:ascii="Arial" w:hAnsi="Arial" w:cs="Arial"/>
        </w:rPr>
        <w:t>any particular problem</w:t>
      </w:r>
      <w:r w:rsidR="008306C0">
        <w:rPr>
          <w:rFonts w:ascii="Arial" w:hAnsi="Arial" w:cs="Arial"/>
        </w:rPr>
        <w:t xml:space="preserve"> to</w:t>
      </w:r>
      <w:r>
        <w:rPr>
          <w:rFonts w:ascii="Arial" w:hAnsi="Arial" w:cs="Arial"/>
        </w:rPr>
        <w:t xml:space="preserve"> him or the ladies. The evidence of Abisai Sibele as to what happened </w:t>
      </w:r>
      <w:r w:rsidR="007402EB">
        <w:rPr>
          <w:rFonts w:ascii="Arial" w:hAnsi="Arial" w:cs="Arial"/>
        </w:rPr>
        <w:t xml:space="preserve">earlier </w:t>
      </w:r>
      <w:r w:rsidR="008306C0">
        <w:rPr>
          <w:rFonts w:ascii="Arial" w:hAnsi="Arial" w:cs="Arial"/>
        </w:rPr>
        <w:t>at the</w:t>
      </w:r>
      <w:r w:rsidR="007402EB">
        <w:rPr>
          <w:rFonts w:ascii="Arial" w:hAnsi="Arial" w:cs="Arial"/>
        </w:rPr>
        <w:t xml:space="preserve"> accused’s place when he hugged Johanie and again later at the </w:t>
      </w:r>
      <w:r>
        <w:rPr>
          <w:rFonts w:ascii="Arial" w:hAnsi="Arial" w:cs="Arial"/>
        </w:rPr>
        <w:t>bar</w:t>
      </w:r>
      <w:r w:rsidR="007402EB">
        <w:rPr>
          <w:rFonts w:ascii="Arial" w:hAnsi="Arial" w:cs="Arial"/>
        </w:rPr>
        <w:t>,</w:t>
      </w:r>
      <w:r>
        <w:rPr>
          <w:rFonts w:ascii="Arial" w:hAnsi="Arial" w:cs="Arial"/>
        </w:rPr>
        <w:t xml:space="preserve"> paints a different picture, though.</w:t>
      </w:r>
      <w:r w:rsidR="007402EB">
        <w:rPr>
          <w:rFonts w:ascii="Arial" w:hAnsi="Arial" w:cs="Arial"/>
        </w:rPr>
        <w:t xml:space="preserve"> According to Abisai</w:t>
      </w:r>
      <w:r>
        <w:rPr>
          <w:rFonts w:ascii="Arial" w:hAnsi="Arial" w:cs="Arial"/>
        </w:rPr>
        <w:t xml:space="preserve"> the accused became </w:t>
      </w:r>
      <w:r w:rsidR="007402EB">
        <w:rPr>
          <w:rFonts w:ascii="Arial" w:hAnsi="Arial" w:cs="Arial"/>
        </w:rPr>
        <w:t xml:space="preserve">visibly </w:t>
      </w:r>
      <w:r>
        <w:rPr>
          <w:rFonts w:ascii="Arial" w:hAnsi="Arial" w:cs="Arial"/>
        </w:rPr>
        <w:t>angry</w:t>
      </w:r>
      <w:r w:rsidR="00E016DA">
        <w:rPr>
          <w:rFonts w:ascii="Arial" w:hAnsi="Arial" w:cs="Arial"/>
        </w:rPr>
        <w:t xml:space="preserve"> with</w:t>
      </w:r>
      <w:r w:rsidR="007402EB">
        <w:rPr>
          <w:rFonts w:ascii="Arial" w:hAnsi="Arial" w:cs="Arial"/>
        </w:rPr>
        <w:t xml:space="preserve"> him when he </w:t>
      </w:r>
      <w:r w:rsidR="00F455BF">
        <w:rPr>
          <w:rFonts w:ascii="Arial" w:hAnsi="Arial" w:cs="Arial"/>
        </w:rPr>
        <w:t xml:space="preserve">innocently </w:t>
      </w:r>
      <w:r w:rsidR="00E016DA">
        <w:rPr>
          <w:rFonts w:ascii="Arial" w:hAnsi="Arial" w:cs="Arial"/>
        </w:rPr>
        <w:t xml:space="preserve">hugged Johanie </w:t>
      </w:r>
      <w:r w:rsidR="009630CF">
        <w:rPr>
          <w:rFonts w:ascii="Arial" w:hAnsi="Arial" w:cs="Arial"/>
        </w:rPr>
        <w:t>at home and ag</w:t>
      </w:r>
      <w:r w:rsidR="008306C0">
        <w:rPr>
          <w:rFonts w:ascii="Arial" w:hAnsi="Arial" w:cs="Arial"/>
        </w:rPr>
        <w:t>ain later at the bar when he</w:t>
      </w:r>
      <w:r w:rsidR="009630CF">
        <w:rPr>
          <w:rFonts w:ascii="Arial" w:hAnsi="Arial" w:cs="Arial"/>
        </w:rPr>
        <w:t xml:space="preserve"> gave Johanie N$10 to play jackpot. On both occasions </w:t>
      </w:r>
      <w:r w:rsidR="00E016DA">
        <w:rPr>
          <w:rFonts w:ascii="Arial" w:hAnsi="Arial" w:cs="Arial"/>
        </w:rPr>
        <w:t>there was an altercation between them</w:t>
      </w:r>
      <w:r w:rsidR="00377C3C">
        <w:rPr>
          <w:rFonts w:ascii="Arial" w:hAnsi="Arial" w:cs="Arial"/>
        </w:rPr>
        <w:t>.</w:t>
      </w:r>
      <w:r w:rsidR="00E016DA">
        <w:rPr>
          <w:rFonts w:ascii="Arial" w:hAnsi="Arial" w:cs="Arial"/>
        </w:rPr>
        <w:t xml:space="preserve"> </w:t>
      </w:r>
      <w:r w:rsidR="00377C3C">
        <w:rPr>
          <w:rFonts w:ascii="Arial" w:hAnsi="Arial" w:cs="Arial"/>
        </w:rPr>
        <w:t xml:space="preserve">This was </w:t>
      </w:r>
      <w:r w:rsidR="009630CF">
        <w:rPr>
          <w:rFonts w:ascii="Arial" w:hAnsi="Arial" w:cs="Arial"/>
        </w:rPr>
        <w:t>accompanied by</w:t>
      </w:r>
      <w:r w:rsidR="00E016DA">
        <w:rPr>
          <w:rFonts w:ascii="Arial" w:hAnsi="Arial" w:cs="Arial"/>
        </w:rPr>
        <w:t xml:space="preserve"> an implicit warning to Abisai that </w:t>
      </w:r>
      <w:r w:rsidR="00377C3C">
        <w:rPr>
          <w:rFonts w:ascii="Arial" w:hAnsi="Arial" w:cs="Arial"/>
        </w:rPr>
        <w:t>t</w:t>
      </w:r>
      <w:r w:rsidR="00E016DA">
        <w:rPr>
          <w:rFonts w:ascii="Arial" w:hAnsi="Arial" w:cs="Arial"/>
        </w:rPr>
        <w:t xml:space="preserve">he </w:t>
      </w:r>
      <w:r w:rsidR="00377C3C">
        <w:rPr>
          <w:rFonts w:ascii="Arial" w:hAnsi="Arial" w:cs="Arial"/>
        </w:rPr>
        <w:t xml:space="preserve">accused </w:t>
      </w:r>
      <w:r w:rsidR="00E016DA">
        <w:rPr>
          <w:rFonts w:ascii="Arial" w:hAnsi="Arial" w:cs="Arial"/>
        </w:rPr>
        <w:t>might resort to using his firearm.</w:t>
      </w:r>
      <w:r w:rsidR="009630CF">
        <w:rPr>
          <w:rFonts w:ascii="Arial" w:hAnsi="Arial" w:cs="Arial"/>
        </w:rPr>
        <w:t xml:space="preserve"> On the latter occasion this p</w:t>
      </w:r>
      <w:r w:rsidR="00377C3C">
        <w:rPr>
          <w:rFonts w:ascii="Arial" w:hAnsi="Arial" w:cs="Arial"/>
        </w:rPr>
        <w:t>rompted Abisai to leave their company due to</w:t>
      </w:r>
      <w:r w:rsidR="009630CF">
        <w:rPr>
          <w:rFonts w:ascii="Arial" w:hAnsi="Arial" w:cs="Arial"/>
        </w:rPr>
        <w:t xml:space="preserve"> the accused’s behaviour, </w:t>
      </w:r>
      <w:r w:rsidR="00377C3C">
        <w:rPr>
          <w:rFonts w:ascii="Arial" w:hAnsi="Arial" w:cs="Arial"/>
        </w:rPr>
        <w:t xml:space="preserve">clearly </w:t>
      </w:r>
      <w:r w:rsidR="009630CF">
        <w:rPr>
          <w:rFonts w:ascii="Arial" w:hAnsi="Arial" w:cs="Arial"/>
        </w:rPr>
        <w:t xml:space="preserve">prompted by jealousy. </w:t>
      </w:r>
      <w:r w:rsidR="00F67AA4">
        <w:rPr>
          <w:rFonts w:ascii="Arial" w:hAnsi="Arial" w:cs="Arial"/>
        </w:rPr>
        <w:t xml:space="preserve">Although the accused denied any jealousy on his part, he could not come up with any plausible explanation as to why Abisai left their company early, </w:t>
      </w:r>
      <w:r w:rsidR="00371D7F">
        <w:rPr>
          <w:rFonts w:ascii="Arial" w:hAnsi="Arial" w:cs="Arial"/>
        </w:rPr>
        <w:t xml:space="preserve">or why </w:t>
      </w:r>
      <w:r w:rsidR="008306C0">
        <w:rPr>
          <w:rFonts w:ascii="Arial" w:hAnsi="Arial" w:cs="Arial"/>
        </w:rPr>
        <w:t>Clementia</w:t>
      </w:r>
      <w:r w:rsidR="00F67AA4">
        <w:rPr>
          <w:rFonts w:ascii="Arial" w:hAnsi="Arial" w:cs="Arial"/>
        </w:rPr>
        <w:t xml:space="preserve"> smashed a beer bottle on the floor for no reason</w:t>
      </w:r>
      <w:r w:rsidR="00371D7F">
        <w:rPr>
          <w:rFonts w:ascii="Arial" w:hAnsi="Arial" w:cs="Arial"/>
        </w:rPr>
        <w:t>.</w:t>
      </w:r>
    </w:p>
    <w:p w:rsidR="00371D7F" w:rsidRDefault="00371D7F" w:rsidP="004C4E01">
      <w:pPr>
        <w:spacing w:line="360" w:lineRule="auto"/>
        <w:jc w:val="both"/>
        <w:rPr>
          <w:rFonts w:ascii="Arial" w:hAnsi="Arial" w:cs="Arial"/>
        </w:rPr>
      </w:pPr>
    </w:p>
    <w:p w:rsidR="003157A0" w:rsidRDefault="00371D7F" w:rsidP="004C4E01">
      <w:pPr>
        <w:spacing w:line="360" w:lineRule="auto"/>
        <w:jc w:val="both"/>
        <w:rPr>
          <w:rFonts w:ascii="Arial" w:hAnsi="Arial" w:cs="Arial"/>
        </w:rPr>
      </w:pPr>
      <w:r>
        <w:rPr>
          <w:rFonts w:ascii="Arial" w:hAnsi="Arial" w:cs="Arial"/>
        </w:rPr>
        <w:t>[</w:t>
      </w:r>
      <w:r w:rsidR="008306C0">
        <w:rPr>
          <w:rFonts w:ascii="Arial" w:hAnsi="Arial" w:cs="Arial"/>
        </w:rPr>
        <w:t>45</w:t>
      </w:r>
      <w:r>
        <w:rPr>
          <w:rFonts w:ascii="Arial" w:hAnsi="Arial" w:cs="Arial"/>
        </w:rPr>
        <w:t>]</w:t>
      </w:r>
      <w:r>
        <w:rPr>
          <w:rFonts w:ascii="Arial" w:hAnsi="Arial" w:cs="Arial"/>
        </w:rPr>
        <w:tab/>
        <w:t xml:space="preserve">Despite the material differences between Abisai’s version and that of the accused, Abisai’s evidence was left unchallenged. When asked why such crucial evidence was not challenged, he explained that he did not </w:t>
      </w:r>
      <w:r w:rsidR="00267757">
        <w:rPr>
          <w:rFonts w:ascii="Arial" w:hAnsi="Arial" w:cs="Arial"/>
        </w:rPr>
        <w:t>tell his lawyer about it during consultation because he was not asked about it. According to the accused, Abisai</w:t>
      </w:r>
      <w:r w:rsidR="00A51554">
        <w:rPr>
          <w:rFonts w:ascii="Arial" w:hAnsi="Arial" w:cs="Arial"/>
        </w:rPr>
        <w:t>’s evidence is motivated by jealousy</w:t>
      </w:r>
      <w:r w:rsidR="00267757">
        <w:rPr>
          <w:rFonts w:ascii="Arial" w:hAnsi="Arial" w:cs="Arial"/>
        </w:rPr>
        <w:t xml:space="preserve"> because </w:t>
      </w:r>
      <w:r w:rsidR="00A51554">
        <w:rPr>
          <w:rFonts w:ascii="Arial" w:hAnsi="Arial" w:cs="Arial"/>
        </w:rPr>
        <w:t>the accused</w:t>
      </w:r>
      <w:r w:rsidR="00377C3C">
        <w:rPr>
          <w:rFonts w:ascii="Arial" w:hAnsi="Arial" w:cs="Arial"/>
        </w:rPr>
        <w:t xml:space="preserve"> had</w:t>
      </w:r>
      <w:r w:rsidR="00A51554">
        <w:rPr>
          <w:rFonts w:ascii="Arial" w:hAnsi="Arial" w:cs="Arial"/>
        </w:rPr>
        <w:t xml:space="preserve"> several</w:t>
      </w:r>
      <w:r w:rsidR="00267757">
        <w:rPr>
          <w:rFonts w:ascii="Arial" w:hAnsi="Arial" w:cs="Arial"/>
        </w:rPr>
        <w:t xml:space="preserve"> girlfriends (4) while he had none.</w:t>
      </w:r>
      <w:r w:rsidR="009630CF">
        <w:rPr>
          <w:rFonts w:ascii="Arial" w:hAnsi="Arial" w:cs="Arial"/>
        </w:rPr>
        <w:t xml:space="preserve"> </w:t>
      </w:r>
      <w:r w:rsidR="00C55417">
        <w:rPr>
          <w:rFonts w:ascii="Arial" w:hAnsi="Arial" w:cs="Arial"/>
        </w:rPr>
        <w:t xml:space="preserve">This aspect of his evidence stands in sharp contrast with what he earlier said about them being good friends and </w:t>
      </w:r>
      <w:r w:rsidR="00A51554">
        <w:rPr>
          <w:rFonts w:ascii="Arial" w:hAnsi="Arial" w:cs="Arial"/>
        </w:rPr>
        <w:t xml:space="preserve">a person </w:t>
      </w:r>
      <w:r w:rsidR="00C55417">
        <w:rPr>
          <w:rFonts w:ascii="Arial" w:hAnsi="Arial" w:cs="Arial"/>
        </w:rPr>
        <w:t xml:space="preserve">to whom he, on a number of occasions in the past, had lent his car for private use. </w:t>
      </w:r>
      <w:r w:rsidR="0043647E">
        <w:rPr>
          <w:rFonts w:ascii="Arial" w:hAnsi="Arial" w:cs="Arial"/>
        </w:rPr>
        <w:t xml:space="preserve">As stated in </w:t>
      </w:r>
      <w:r w:rsidR="0043647E">
        <w:rPr>
          <w:rFonts w:ascii="Arial" w:hAnsi="Arial" w:cs="Arial"/>
          <w:i/>
        </w:rPr>
        <w:t>Small v Smith</w:t>
      </w:r>
      <w:r w:rsidR="0043647E">
        <w:rPr>
          <w:rStyle w:val="FootnoteReference"/>
          <w:rFonts w:ascii="Arial" w:hAnsi="Arial" w:cs="Arial"/>
          <w:i/>
        </w:rPr>
        <w:footnoteReference w:id="14"/>
      </w:r>
      <w:r w:rsidR="0043647E">
        <w:rPr>
          <w:rFonts w:ascii="Arial" w:hAnsi="Arial" w:cs="Arial"/>
          <w:i/>
        </w:rPr>
        <w:t xml:space="preserve"> ‘</w:t>
      </w:r>
      <w:r w:rsidR="0043647E">
        <w:rPr>
          <w:rFonts w:ascii="Arial" w:hAnsi="Arial" w:cs="Arial"/>
        </w:rPr>
        <w:t xml:space="preserve">it was unfair and improper to let a witness’s evidence go unchallenged in cross-examination and afterwards argue that he must be disbelieved’. </w:t>
      </w:r>
    </w:p>
    <w:p w:rsidR="0043647E" w:rsidRDefault="0043647E" w:rsidP="004C4E01">
      <w:pPr>
        <w:spacing w:line="360" w:lineRule="auto"/>
        <w:jc w:val="both"/>
        <w:rPr>
          <w:rFonts w:ascii="Arial" w:hAnsi="Arial" w:cs="Arial"/>
        </w:rPr>
      </w:pPr>
    </w:p>
    <w:p w:rsidR="003157A0" w:rsidRDefault="003157A0" w:rsidP="004C4E01">
      <w:pPr>
        <w:spacing w:line="360" w:lineRule="auto"/>
        <w:jc w:val="both"/>
        <w:rPr>
          <w:rFonts w:ascii="Arial" w:hAnsi="Arial" w:cs="Arial"/>
        </w:rPr>
      </w:pPr>
      <w:r>
        <w:rPr>
          <w:rFonts w:ascii="Arial" w:hAnsi="Arial" w:cs="Arial"/>
        </w:rPr>
        <w:t>[</w:t>
      </w:r>
      <w:r w:rsidR="00A51554">
        <w:rPr>
          <w:rFonts w:ascii="Arial" w:hAnsi="Arial" w:cs="Arial"/>
        </w:rPr>
        <w:t>46</w:t>
      </w:r>
      <w:r>
        <w:rPr>
          <w:rFonts w:ascii="Arial" w:hAnsi="Arial" w:cs="Arial"/>
        </w:rPr>
        <w:t>]</w:t>
      </w:r>
      <w:r>
        <w:rPr>
          <w:rFonts w:ascii="Arial" w:hAnsi="Arial" w:cs="Arial"/>
        </w:rPr>
        <w:tab/>
      </w:r>
      <w:r w:rsidR="00C636F4">
        <w:rPr>
          <w:rFonts w:ascii="Arial" w:hAnsi="Arial" w:cs="Arial"/>
        </w:rPr>
        <w:t xml:space="preserve">During the bail application when the accused mentioned the name Benny for the first time, he was asked as to why he never made any mention of </w:t>
      </w:r>
      <w:r w:rsidR="00C636F4">
        <w:rPr>
          <w:rFonts w:ascii="Arial" w:hAnsi="Arial" w:cs="Arial"/>
        </w:rPr>
        <w:lastRenderedPageBreak/>
        <w:t>Benny to the police</w:t>
      </w:r>
      <w:r w:rsidR="00377C3C">
        <w:rPr>
          <w:rFonts w:ascii="Arial" w:hAnsi="Arial" w:cs="Arial"/>
        </w:rPr>
        <w:t>;</w:t>
      </w:r>
      <w:r w:rsidR="00D62AC3">
        <w:rPr>
          <w:rFonts w:ascii="Arial" w:hAnsi="Arial" w:cs="Arial"/>
        </w:rPr>
        <w:t xml:space="preserve"> </w:t>
      </w:r>
      <w:r w:rsidR="00C636F4">
        <w:rPr>
          <w:rFonts w:ascii="Arial" w:hAnsi="Arial" w:cs="Arial"/>
        </w:rPr>
        <w:t>h</w:t>
      </w:r>
      <w:r w:rsidR="00377C3C">
        <w:rPr>
          <w:rFonts w:ascii="Arial" w:hAnsi="Arial" w:cs="Arial"/>
        </w:rPr>
        <w:t>is</w:t>
      </w:r>
      <w:r w:rsidR="00C636F4">
        <w:rPr>
          <w:rFonts w:ascii="Arial" w:hAnsi="Arial" w:cs="Arial"/>
        </w:rPr>
        <w:t xml:space="preserve"> </w:t>
      </w:r>
      <w:r w:rsidR="00377C3C">
        <w:rPr>
          <w:rFonts w:ascii="Arial" w:hAnsi="Arial" w:cs="Arial"/>
        </w:rPr>
        <w:t>reply was</w:t>
      </w:r>
      <w:r w:rsidR="00D62AC3">
        <w:rPr>
          <w:rFonts w:ascii="Arial" w:hAnsi="Arial" w:cs="Arial"/>
        </w:rPr>
        <w:t xml:space="preserve"> that he</w:t>
      </w:r>
      <w:r w:rsidR="00C636F4">
        <w:rPr>
          <w:rFonts w:ascii="Arial" w:hAnsi="Arial" w:cs="Arial"/>
        </w:rPr>
        <w:t xml:space="preserve"> was not sure. He was of the view that he could only </w:t>
      </w:r>
      <w:r w:rsidR="00377C3C">
        <w:rPr>
          <w:rFonts w:ascii="Arial" w:hAnsi="Arial" w:cs="Arial"/>
        </w:rPr>
        <w:t xml:space="preserve">have </w:t>
      </w:r>
      <w:r w:rsidR="00C636F4">
        <w:rPr>
          <w:rFonts w:ascii="Arial" w:hAnsi="Arial" w:cs="Arial"/>
        </w:rPr>
        <w:t>mention</w:t>
      </w:r>
      <w:r w:rsidR="00377C3C">
        <w:rPr>
          <w:rFonts w:ascii="Arial" w:hAnsi="Arial" w:cs="Arial"/>
        </w:rPr>
        <w:t>ed</w:t>
      </w:r>
      <w:r w:rsidR="00C636F4">
        <w:rPr>
          <w:rFonts w:ascii="Arial" w:hAnsi="Arial" w:cs="Arial"/>
        </w:rPr>
        <w:t xml:space="preserve"> it t</w:t>
      </w:r>
      <w:r w:rsidR="00D62AC3">
        <w:rPr>
          <w:rFonts w:ascii="Arial" w:hAnsi="Arial" w:cs="Arial"/>
        </w:rPr>
        <w:t>o his lawyer</w:t>
      </w:r>
      <w:r w:rsidR="00A51554">
        <w:rPr>
          <w:rFonts w:ascii="Arial" w:hAnsi="Arial" w:cs="Arial"/>
        </w:rPr>
        <w:t>,</w:t>
      </w:r>
      <w:r w:rsidR="00D62AC3">
        <w:rPr>
          <w:rFonts w:ascii="Arial" w:hAnsi="Arial" w:cs="Arial"/>
        </w:rPr>
        <w:t xml:space="preserve"> which</w:t>
      </w:r>
      <w:r w:rsidR="00C636F4">
        <w:rPr>
          <w:rFonts w:ascii="Arial" w:hAnsi="Arial" w:cs="Arial"/>
        </w:rPr>
        <w:t xml:space="preserve"> came about almost two years down the line. He </w:t>
      </w:r>
      <w:r w:rsidR="00D62AC3">
        <w:rPr>
          <w:rFonts w:ascii="Arial" w:hAnsi="Arial" w:cs="Arial"/>
        </w:rPr>
        <w:t xml:space="preserve">at no earlier stage </w:t>
      </w:r>
      <w:r w:rsidR="00C636F4">
        <w:rPr>
          <w:rFonts w:ascii="Arial" w:hAnsi="Arial" w:cs="Arial"/>
        </w:rPr>
        <w:t>mention</w:t>
      </w:r>
      <w:r w:rsidR="00D62AC3">
        <w:rPr>
          <w:rFonts w:ascii="Arial" w:hAnsi="Arial" w:cs="Arial"/>
        </w:rPr>
        <w:t>ed</w:t>
      </w:r>
      <w:r w:rsidR="00C636F4">
        <w:rPr>
          <w:rFonts w:ascii="Arial" w:hAnsi="Arial" w:cs="Arial"/>
        </w:rPr>
        <w:t xml:space="preserve"> the person </w:t>
      </w:r>
      <w:r w:rsidR="00377C3C">
        <w:rPr>
          <w:rFonts w:ascii="Arial" w:hAnsi="Arial" w:cs="Arial"/>
        </w:rPr>
        <w:t>(</w:t>
      </w:r>
      <w:r w:rsidR="00C636F4">
        <w:rPr>
          <w:rFonts w:ascii="Arial" w:hAnsi="Arial" w:cs="Arial"/>
        </w:rPr>
        <w:t>whom he must have considered to be the main suspect</w:t>
      </w:r>
      <w:r w:rsidR="00377C3C">
        <w:rPr>
          <w:rFonts w:ascii="Arial" w:hAnsi="Arial" w:cs="Arial"/>
        </w:rPr>
        <w:t>)</w:t>
      </w:r>
      <w:r w:rsidR="00C636F4">
        <w:rPr>
          <w:rFonts w:ascii="Arial" w:hAnsi="Arial" w:cs="Arial"/>
        </w:rPr>
        <w:t xml:space="preserve"> </w:t>
      </w:r>
      <w:r w:rsidR="00D62AC3">
        <w:rPr>
          <w:rFonts w:ascii="Arial" w:hAnsi="Arial" w:cs="Arial"/>
        </w:rPr>
        <w:t>in his warning statement;</w:t>
      </w:r>
      <w:r w:rsidR="00C636F4">
        <w:rPr>
          <w:rFonts w:ascii="Arial" w:hAnsi="Arial" w:cs="Arial"/>
        </w:rPr>
        <w:t xml:space="preserve"> during the lower court proceedings when he pleaded in terms of s 119 of the Criminal Procedure Act, 1977</w:t>
      </w:r>
      <w:r w:rsidR="00D62AC3">
        <w:rPr>
          <w:rFonts w:ascii="Arial" w:hAnsi="Arial" w:cs="Arial"/>
        </w:rPr>
        <w:t>;</w:t>
      </w:r>
      <w:r w:rsidR="00C636F4">
        <w:rPr>
          <w:rFonts w:ascii="Arial" w:hAnsi="Arial" w:cs="Arial"/>
        </w:rPr>
        <w:t xml:space="preserve"> in the reply to the state’</w:t>
      </w:r>
      <w:r w:rsidR="00D62AC3">
        <w:rPr>
          <w:rFonts w:ascii="Arial" w:hAnsi="Arial" w:cs="Arial"/>
        </w:rPr>
        <w:t>s pre-trial memorandum;</w:t>
      </w:r>
      <w:r w:rsidR="00C636F4">
        <w:rPr>
          <w:rFonts w:ascii="Arial" w:hAnsi="Arial" w:cs="Arial"/>
        </w:rPr>
        <w:t xml:space="preserve"> or in his plea explanation with the commencement of the trial.</w:t>
      </w:r>
      <w:r w:rsidR="00D62AC3">
        <w:rPr>
          <w:rFonts w:ascii="Arial" w:hAnsi="Arial" w:cs="Arial"/>
        </w:rPr>
        <w:t xml:space="preserve"> </w:t>
      </w:r>
    </w:p>
    <w:p w:rsidR="00D62AC3" w:rsidRDefault="00D62AC3" w:rsidP="004C4E01">
      <w:pPr>
        <w:spacing w:line="360" w:lineRule="auto"/>
        <w:jc w:val="both"/>
        <w:rPr>
          <w:rFonts w:ascii="Arial" w:hAnsi="Arial" w:cs="Arial"/>
        </w:rPr>
      </w:pPr>
    </w:p>
    <w:p w:rsidR="0043647E" w:rsidRDefault="0043647E" w:rsidP="0043647E">
      <w:pPr>
        <w:spacing w:line="360" w:lineRule="auto"/>
        <w:jc w:val="both"/>
        <w:rPr>
          <w:rFonts w:ascii="Arial" w:hAnsi="Arial" w:cs="Arial"/>
        </w:rPr>
      </w:pPr>
      <w:r>
        <w:rPr>
          <w:rFonts w:ascii="Arial" w:hAnsi="Arial" w:cs="Arial"/>
        </w:rPr>
        <w:t>[</w:t>
      </w:r>
      <w:r w:rsidR="00A51554">
        <w:rPr>
          <w:rFonts w:ascii="Arial" w:hAnsi="Arial" w:cs="Arial"/>
        </w:rPr>
        <w:t>47</w:t>
      </w:r>
      <w:r>
        <w:rPr>
          <w:rFonts w:ascii="Arial" w:hAnsi="Arial" w:cs="Arial"/>
        </w:rPr>
        <w:t>]</w:t>
      </w:r>
      <w:r>
        <w:rPr>
          <w:rFonts w:ascii="Arial" w:hAnsi="Arial" w:cs="Arial"/>
        </w:rPr>
        <w:tab/>
        <w:t>Photos 26</w:t>
      </w:r>
      <w:r w:rsidR="00D62AC3">
        <w:rPr>
          <w:rFonts w:ascii="Arial" w:hAnsi="Arial" w:cs="Arial"/>
        </w:rPr>
        <w:t xml:space="preserve"> and </w:t>
      </w:r>
      <w:r w:rsidR="00D62AC3" w:rsidRPr="0043647E">
        <w:rPr>
          <w:rFonts w:ascii="Arial" w:hAnsi="Arial" w:cs="Arial"/>
        </w:rPr>
        <w:t>27</w:t>
      </w:r>
      <w:r w:rsidR="00D62AC3">
        <w:rPr>
          <w:rFonts w:ascii="Arial" w:hAnsi="Arial" w:cs="Arial"/>
        </w:rPr>
        <w:t xml:space="preserve"> of the photo plan (Exhibit ‘R’) depict the accused’s vehicle as found by the police</w:t>
      </w:r>
      <w:r w:rsidR="00377C3C">
        <w:rPr>
          <w:rFonts w:ascii="Arial" w:hAnsi="Arial" w:cs="Arial"/>
        </w:rPr>
        <w:t>.</w:t>
      </w:r>
      <w:r w:rsidR="00D62AC3">
        <w:rPr>
          <w:rFonts w:ascii="Arial" w:hAnsi="Arial" w:cs="Arial"/>
        </w:rPr>
        <w:t xml:space="preserve"> </w:t>
      </w:r>
      <w:r w:rsidR="00377C3C">
        <w:rPr>
          <w:rFonts w:ascii="Arial" w:hAnsi="Arial" w:cs="Arial"/>
        </w:rPr>
        <w:t xml:space="preserve">As can be seen from the photos taken of the vehicle, it was night time. This </w:t>
      </w:r>
      <w:r w:rsidR="00A51554">
        <w:rPr>
          <w:rFonts w:ascii="Arial" w:hAnsi="Arial" w:cs="Arial"/>
        </w:rPr>
        <w:t xml:space="preserve">aspect of the </w:t>
      </w:r>
      <w:r w:rsidR="00377C3C">
        <w:rPr>
          <w:rFonts w:ascii="Arial" w:hAnsi="Arial" w:cs="Arial"/>
        </w:rPr>
        <w:t xml:space="preserve">evidence was not challenged. </w:t>
      </w:r>
      <w:r w:rsidR="00A51554">
        <w:rPr>
          <w:rFonts w:ascii="Arial" w:hAnsi="Arial" w:cs="Arial"/>
        </w:rPr>
        <w:t>Because it had become dark</w:t>
      </w:r>
      <w:r w:rsidR="00377C3C">
        <w:rPr>
          <w:rFonts w:ascii="Arial" w:hAnsi="Arial" w:cs="Arial"/>
        </w:rPr>
        <w:t xml:space="preserve">, it was testified, </w:t>
      </w:r>
      <w:r w:rsidR="00D62AC3">
        <w:rPr>
          <w:rFonts w:ascii="Arial" w:hAnsi="Arial" w:cs="Arial"/>
        </w:rPr>
        <w:t xml:space="preserve">it was decided to move the vehicle to the police station. </w:t>
      </w:r>
      <w:r w:rsidR="00033EA1">
        <w:rPr>
          <w:rFonts w:ascii="Arial" w:hAnsi="Arial" w:cs="Arial"/>
        </w:rPr>
        <w:t>During cross-examination the accused however disputed the place where the vehicle was found as depicted on the photos</w:t>
      </w:r>
      <w:r w:rsidR="00BE34EC">
        <w:rPr>
          <w:rFonts w:ascii="Arial" w:hAnsi="Arial" w:cs="Arial"/>
        </w:rPr>
        <w:t>.</w:t>
      </w:r>
      <w:r w:rsidR="00033EA1">
        <w:rPr>
          <w:rFonts w:ascii="Arial" w:hAnsi="Arial" w:cs="Arial"/>
        </w:rPr>
        <w:t xml:space="preserve"> </w:t>
      </w:r>
      <w:r w:rsidR="00BE34EC">
        <w:rPr>
          <w:rFonts w:ascii="Arial" w:hAnsi="Arial" w:cs="Arial"/>
        </w:rPr>
        <w:t xml:space="preserve">He </w:t>
      </w:r>
      <w:r w:rsidR="00033EA1">
        <w:rPr>
          <w:rFonts w:ascii="Arial" w:hAnsi="Arial" w:cs="Arial"/>
        </w:rPr>
        <w:t>claimed that the vehicle was removed by the police during day time and then later on t</w:t>
      </w:r>
      <w:r w:rsidR="00BE34EC">
        <w:rPr>
          <w:rFonts w:ascii="Arial" w:hAnsi="Arial" w:cs="Arial"/>
        </w:rPr>
        <w:t>aken back and parked at a place</w:t>
      </w:r>
      <w:r w:rsidR="00033EA1">
        <w:rPr>
          <w:rFonts w:ascii="Arial" w:hAnsi="Arial" w:cs="Arial"/>
        </w:rPr>
        <w:t xml:space="preserve"> other than where they originally found the vehicle. It is surprising that the accused did not point this material difference out to his counsel or the court when evidence to the contrary was being led. </w:t>
      </w:r>
      <w:r>
        <w:rPr>
          <w:rFonts w:ascii="Arial" w:hAnsi="Arial" w:cs="Arial"/>
        </w:rPr>
        <w:t xml:space="preserve">Against this background, the accused’s explanation has somewhat of a hollow ring to it and </w:t>
      </w:r>
      <w:r w:rsidR="00A51554">
        <w:rPr>
          <w:rFonts w:ascii="Arial" w:hAnsi="Arial" w:cs="Arial"/>
        </w:rPr>
        <w:t xml:space="preserve">seems </w:t>
      </w:r>
      <w:r>
        <w:rPr>
          <w:rFonts w:ascii="Arial" w:hAnsi="Arial" w:cs="Arial"/>
        </w:rPr>
        <w:t>highly improbable.</w:t>
      </w:r>
    </w:p>
    <w:p w:rsidR="00BE34EC" w:rsidRDefault="00BE34EC" w:rsidP="004C4E01">
      <w:pPr>
        <w:spacing w:line="360" w:lineRule="auto"/>
        <w:jc w:val="both"/>
        <w:rPr>
          <w:rFonts w:ascii="Arial" w:hAnsi="Arial" w:cs="Arial"/>
        </w:rPr>
      </w:pPr>
    </w:p>
    <w:p w:rsidR="00D62AC3" w:rsidRDefault="00BE34EC" w:rsidP="004C4E01">
      <w:pPr>
        <w:spacing w:line="360" w:lineRule="auto"/>
        <w:jc w:val="both"/>
        <w:rPr>
          <w:rFonts w:ascii="Arial" w:hAnsi="Arial" w:cs="Arial"/>
        </w:rPr>
      </w:pPr>
      <w:r>
        <w:rPr>
          <w:rFonts w:ascii="Arial" w:hAnsi="Arial" w:cs="Arial"/>
        </w:rPr>
        <w:t>[</w:t>
      </w:r>
      <w:r w:rsidR="00A51554">
        <w:rPr>
          <w:rFonts w:ascii="Arial" w:hAnsi="Arial" w:cs="Arial"/>
        </w:rPr>
        <w:t>48</w:t>
      </w:r>
      <w:r>
        <w:rPr>
          <w:rFonts w:ascii="Arial" w:hAnsi="Arial" w:cs="Arial"/>
        </w:rPr>
        <w:t>]</w:t>
      </w:r>
      <w:r>
        <w:rPr>
          <w:rFonts w:ascii="Arial" w:hAnsi="Arial" w:cs="Arial"/>
        </w:rPr>
        <w:tab/>
      </w:r>
      <w:r w:rsidR="00033EA1">
        <w:rPr>
          <w:rFonts w:ascii="Arial" w:hAnsi="Arial" w:cs="Arial"/>
        </w:rPr>
        <w:t xml:space="preserve">He </w:t>
      </w:r>
      <w:r>
        <w:rPr>
          <w:rFonts w:ascii="Arial" w:hAnsi="Arial" w:cs="Arial"/>
        </w:rPr>
        <w:t xml:space="preserve">further </w:t>
      </w:r>
      <w:r w:rsidR="00033EA1">
        <w:rPr>
          <w:rFonts w:ascii="Arial" w:hAnsi="Arial" w:cs="Arial"/>
        </w:rPr>
        <w:t xml:space="preserve">confirmed that until the </w:t>
      </w:r>
      <w:r>
        <w:rPr>
          <w:rFonts w:ascii="Arial" w:hAnsi="Arial" w:cs="Arial"/>
        </w:rPr>
        <w:t xml:space="preserve">time when the </w:t>
      </w:r>
      <w:r w:rsidR="00A51554">
        <w:rPr>
          <w:rFonts w:ascii="Arial" w:hAnsi="Arial" w:cs="Arial"/>
        </w:rPr>
        <w:t>deceased persons left</w:t>
      </w:r>
      <w:r w:rsidR="00033EA1">
        <w:rPr>
          <w:rFonts w:ascii="Arial" w:hAnsi="Arial" w:cs="Arial"/>
        </w:rPr>
        <w:t xml:space="preserve"> with Benny</w:t>
      </w:r>
      <w:r>
        <w:rPr>
          <w:rFonts w:ascii="Arial" w:hAnsi="Arial" w:cs="Arial"/>
        </w:rPr>
        <w:t>, there were</w:t>
      </w:r>
      <w:r w:rsidR="00033EA1">
        <w:rPr>
          <w:rFonts w:ascii="Arial" w:hAnsi="Arial" w:cs="Arial"/>
        </w:rPr>
        <w:t xml:space="preserve"> no blood stains in the v</w:t>
      </w:r>
      <w:r>
        <w:rPr>
          <w:rFonts w:ascii="Arial" w:hAnsi="Arial" w:cs="Arial"/>
        </w:rPr>
        <w:t>ehicle or bullet holes in</w:t>
      </w:r>
      <w:r w:rsidR="00033EA1">
        <w:rPr>
          <w:rFonts w:ascii="Arial" w:hAnsi="Arial" w:cs="Arial"/>
        </w:rPr>
        <w:t xml:space="preserve"> the seats. The vehicle was still locked when he directed the police there</w:t>
      </w:r>
      <w:r w:rsidR="00F95EC3">
        <w:rPr>
          <w:rFonts w:ascii="Arial" w:hAnsi="Arial" w:cs="Arial"/>
        </w:rPr>
        <w:t xml:space="preserve">. He could not dispute forensic evidence showing that the blood traces found in the vehicle were that of the two deceased; neither that his vehicle could have been used to drop off the bodies at the dump site. Furthermore, at all relevant times he had his firearm under his control or locked up in the safe. Lastly, it is the accused’s contention that Benny had killed the two ladies, dumped their bodies, parked the vehicle and brought back the keys in order to incriminate </w:t>
      </w:r>
      <w:r w:rsidR="00A51554">
        <w:rPr>
          <w:rFonts w:ascii="Arial" w:hAnsi="Arial" w:cs="Arial"/>
        </w:rPr>
        <w:t>him</w:t>
      </w:r>
      <w:r w:rsidR="00F95EC3">
        <w:rPr>
          <w:rFonts w:ascii="Arial" w:hAnsi="Arial" w:cs="Arial"/>
        </w:rPr>
        <w:t>.</w:t>
      </w:r>
    </w:p>
    <w:p w:rsidR="009E6F5E" w:rsidRDefault="009E6F5E" w:rsidP="004C4E01">
      <w:pPr>
        <w:spacing w:line="360" w:lineRule="auto"/>
        <w:jc w:val="both"/>
        <w:rPr>
          <w:rFonts w:ascii="Arial" w:hAnsi="Arial" w:cs="Arial"/>
        </w:rPr>
      </w:pPr>
    </w:p>
    <w:p w:rsidR="009E6F5E" w:rsidRPr="00534F24" w:rsidRDefault="009E6F5E" w:rsidP="009E6F5E">
      <w:pPr>
        <w:spacing w:line="360" w:lineRule="auto"/>
        <w:jc w:val="both"/>
        <w:rPr>
          <w:rFonts w:ascii="Arial" w:hAnsi="Arial" w:cs="Arial"/>
        </w:rPr>
      </w:pPr>
      <w:r w:rsidRPr="00534F24">
        <w:rPr>
          <w:rFonts w:ascii="Arial" w:hAnsi="Arial" w:cs="Arial"/>
        </w:rPr>
        <w:t>[</w:t>
      </w:r>
      <w:r w:rsidR="00A51554">
        <w:rPr>
          <w:rFonts w:ascii="Arial" w:hAnsi="Arial" w:cs="Arial"/>
        </w:rPr>
        <w:t>49</w:t>
      </w:r>
      <w:r w:rsidRPr="00534F24">
        <w:rPr>
          <w:rFonts w:ascii="Arial" w:hAnsi="Arial" w:cs="Arial"/>
        </w:rPr>
        <w:t>]</w:t>
      </w:r>
      <w:r w:rsidRPr="00534F24">
        <w:rPr>
          <w:rFonts w:ascii="Arial" w:hAnsi="Arial" w:cs="Arial"/>
        </w:rPr>
        <w:tab/>
        <w:t xml:space="preserve">Contrary to </w:t>
      </w:r>
      <w:r w:rsidR="005B544D" w:rsidRPr="00534F24">
        <w:rPr>
          <w:rFonts w:ascii="Arial" w:hAnsi="Arial" w:cs="Arial"/>
        </w:rPr>
        <w:t xml:space="preserve">evidence about </w:t>
      </w:r>
      <w:r w:rsidRPr="00534F24">
        <w:rPr>
          <w:rFonts w:ascii="Arial" w:hAnsi="Arial" w:cs="Arial"/>
        </w:rPr>
        <w:t xml:space="preserve">a statement </w:t>
      </w:r>
      <w:r w:rsidR="00A51554">
        <w:rPr>
          <w:rFonts w:ascii="Arial" w:hAnsi="Arial" w:cs="Arial"/>
        </w:rPr>
        <w:t xml:space="preserve">made by </w:t>
      </w:r>
      <w:r w:rsidR="00534F24">
        <w:rPr>
          <w:rFonts w:ascii="Arial" w:hAnsi="Arial" w:cs="Arial"/>
        </w:rPr>
        <w:t>t</w:t>
      </w:r>
      <w:r w:rsidR="005B544D" w:rsidRPr="00534F24">
        <w:rPr>
          <w:rFonts w:ascii="Arial" w:hAnsi="Arial" w:cs="Arial"/>
        </w:rPr>
        <w:t xml:space="preserve">he </w:t>
      </w:r>
      <w:r w:rsidR="00534F24">
        <w:rPr>
          <w:rFonts w:ascii="Arial" w:hAnsi="Arial" w:cs="Arial"/>
        </w:rPr>
        <w:t xml:space="preserve">accused </w:t>
      </w:r>
      <w:r w:rsidRPr="00534F24">
        <w:rPr>
          <w:rFonts w:ascii="Arial" w:hAnsi="Arial" w:cs="Arial"/>
        </w:rPr>
        <w:t xml:space="preserve">at the time of his arrest he </w:t>
      </w:r>
      <w:r w:rsidR="005B544D" w:rsidRPr="00534F24">
        <w:rPr>
          <w:rFonts w:ascii="Arial" w:hAnsi="Arial" w:cs="Arial"/>
        </w:rPr>
        <w:t>disputed ever making such statement</w:t>
      </w:r>
      <w:r w:rsidRPr="00534F24">
        <w:rPr>
          <w:rFonts w:ascii="Arial" w:hAnsi="Arial" w:cs="Arial"/>
        </w:rPr>
        <w:t xml:space="preserve"> or his invol</w:t>
      </w:r>
      <w:r w:rsidR="005B544D" w:rsidRPr="00534F24">
        <w:rPr>
          <w:rFonts w:ascii="Arial" w:hAnsi="Arial" w:cs="Arial"/>
        </w:rPr>
        <w:t>vement in the killing of any</w:t>
      </w:r>
      <w:r w:rsidRPr="00534F24">
        <w:rPr>
          <w:rFonts w:ascii="Arial" w:hAnsi="Arial" w:cs="Arial"/>
        </w:rPr>
        <w:t xml:space="preserve"> of the deceased p</w:t>
      </w:r>
      <w:r w:rsidR="005B544D" w:rsidRPr="00534F24">
        <w:rPr>
          <w:rFonts w:ascii="Arial" w:hAnsi="Arial" w:cs="Arial"/>
        </w:rPr>
        <w:t>ersons.</w:t>
      </w:r>
      <w:r w:rsidRPr="00534F24">
        <w:rPr>
          <w:rFonts w:ascii="Arial" w:hAnsi="Arial" w:cs="Arial"/>
        </w:rPr>
        <w:t xml:space="preserve"> </w:t>
      </w:r>
      <w:r w:rsidR="005B544D" w:rsidRPr="00534F24">
        <w:rPr>
          <w:rFonts w:ascii="Arial" w:hAnsi="Arial" w:cs="Arial"/>
        </w:rPr>
        <w:t>During</w:t>
      </w:r>
      <w:r w:rsidRPr="00534F24">
        <w:rPr>
          <w:rFonts w:ascii="Arial" w:hAnsi="Arial" w:cs="Arial"/>
        </w:rPr>
        <w:t xml:space="preserve"> his </w:t>
      </w:r>
      <w:r w:rsidR="005B544D" w:rsidRPr="00534F24">
        <w:rPr>
          <w:rFonts w:ascii="Arial" w:hAnsi="Arial" w:cs="Arial"/>
        </w:rPr>
        <w:t xml:space="preserve">testimony he </w:t>
      </w:r>
      <w:r w:rsidRPr="00534F24">
        <w:rPr>
          <w:rFonts w:ascii="Arial" w:hAnsi="Arial" w:cs="Arial"/>
        </w:rPr>
        <w:t xml:space="preserve">named Benny </w:t>
      </w:r>
      <w:r w:rsidRPr="00534F24">
        <w:rPr>
          <w:rFonts w:ascii="Arial" w:hAnsi="Arial" w:cs="Arial"/>
        </w:rPr>
        <w:lastRenderedPageBreak/>
        <w:t>as the suspect who likely killed the deceased persons, implicating the accused; citing jealousy as the motive. He further claims that, from the outset, he incriminated Benny. This the state disputed as it was only during the bail hearing that the name Benny came up</w:t>
      </w:r>
      <w:r w:rsidR="00534F24" w:rsidRPr="00534F24">
        <w:rPr>
          <w:rFonts w:ascii="Arial" w:hAnsi="Arial" w:cs="Arial"/>
        </w:rPr>
        <w:t xml:space="preserve"> and</w:t>
      </w:r>
      <w:r w:rsidRPr="00534F24">
        <w:rPr>
          <w:rFonts w:ascii="Arial" w:hAnsi="Arial" w:cs="Arial"/>
        </w:rPr>
        <w:t xml:space="preserve"> that the investigation included a search for this person, but to no avail. None of the family of the two deceased or the accused’s own family knew of such person. </w:t>
      </w:r>
    </w:p>
    <w:p w:rsidR="00F95EC3" w:rsidRDefault="00F95EC3" w:rsidP="004C4E01">
      <w:pPr>
        <w:spacing w:line="360" w:lineRule="auto"/>
        <w:jc w:val="both"/>
        <w:rPr>
          <w:rFonts w:ascii="Arial" w:hAnsi="Arial" w:cs="Arial"/>
        </w:rPr>
      </w:pPr>
    </w:p>
    <w:p w:rsidR="00F95EC3" w:rsidRPr="004B4062" w:rsidRDefault="00F95EC3" w:rsidP="004C4E01">
      <w:pPr>
        <w:spacing w:line="360" w:lineRule="auto"/>
        <w:jc w:val="both"/>
        <w:rPr>
          <w:rFonts w:ascii="Arial" w:hAnsi="Arial" w:cs="Arial"/>
          <w:i/>
        </w:rPr>
      </w:pPr>
      <w:r w:rsidRPr="004B4062">
        <w:rPr>
          <w:rFonts w:ascii="Arial" w:hAnsi="Arial" w:cs="Arial"/>
          <w:i/>
        </w:rPr>
        <w:t>Withdrawal of defence counsel</w:t>
      </w:r>
    </w:p>
    <w:p w:rsidR="000D7742" w:rsidRPr="004B4062" w:rsidRDefault="00F95EC3" w:rsidP="00085B3E">
      <w:pPr>
        <w:spacing w:line="360" w:lineRule="auto"/>
        <w:jc w:val="both"/>
        <w:rPr>
          <w:rFonts w:ascii="Arial" w:hAnsi="Arial" w:cs="Arial"/>
        </w:rPr>
      </w:pPr>
      <w:r>
        <w:rPr>
          <w:rFonts w:ascii="Arial" w:hAnsi="Arial" w:cs="Arial"/>
        </w:rPr>
        <w:t>[</w:t>
      </w:r>
      <w:r w:rsidR="00CE4D76">
        <w:rPr>
          <w:rFonts w:ascii="Arial" w:hAnsi="Arial" w:cs="Arial"/>
        </w:rPr>
        <w:t>50</w:t>
      </w:r>
      <w:r>
        <w:rPr>
          <w:rFonts w:ascii="Arial" w:hAnsi="Arial" w:cs="Arial"/>
        </w:rPr>
        <w:t>]</w:t>
      </w:r>
      <w:r>
        <w:rPr>
          <w:rFonts w:ascii="Arial" w:hAnsi="Arial" w:cs="Arial"/>
        </w:rPr>
        <w:tab/>
        <w:t xml:space="preserve">Mr </w:t>
      </w:r>
      <w:r>
        <w:rPr>
          <w:rFonts w:ascii="Arial" w:hAnsi="Arial" w:cs="Arial"/>
          <w:i/>
        </w:rPr>
        <w:t xml:space="preserve">Siyomunji </w:t>
      </w:r>
      <w:r>
        <w:rPr>
          <w:rFonts w:ascii="Arial" w:hAnsi="Arial" w:cs="Arial"/>
        </w:rPr>
        <w:t xml:space="preserve">who represented the accused at the trial, filed a </w:t>
      </w:r>
      <w:r w:rsidR="009D7FB4">
        <w:rPr>
          <w:rFonts w:ascii="Arial" w:hAnsi="Arial" w:cs="Arial"/>
        </w:rPr>
        <w:t>Notice of Withdrawal as legal representative on the 6</w:t>
      </w:r>
      <w:r w:rsidR="009D7FB4" w:rsidRPr="009D7FB4">
        <w:rPr>
          <w:rFonts w:ascii="Arial" w:hAnsi="Arial" w:cs="Arial"/>
          <w:vertAlign w:val="superscript"/>
        </w:rPr>
        <w:t>th</w:t>
      </w:r>
      <w:r w:rsidR="009D7FB4">
        <w:rPr>
          <w:rFonts w:ascii="Arial" w:hAnsi="Arial" w:cs="Arial"/>
        </w:rPr>
        <w:t xml:space="preserve"> of May 2019. He explained that this was brought about due to untenable instructions </w:t>
      </w:r>
      <w:r w:rsidR="00AE1144">
        <w:rPr>
          <w:rFonts w:ascii="Arial" w:hAnsi="Arial" w:cs="Arial"/>
        </w:rPr>
        <w:t>given by</w:t>
      </w:r>
      <w:r w:rsidR="009D7FB4">
        <w:rPr>
          <w:rFonts w:ascii="Arial" w:hAnsi="Arial" w:cs="Arial"/>
        </w:rPr>
        <w:t xml:space="preserve"> the accused as regards the calling of defence witnesses</w:t>
      </w:r>
      <w:r w:rsidR="00AE1144">
        <w:rPr>
          <w:rFonts w:ascii="Arial" w:hAnsi="Arial" w:cs="Arial"/>
        </w:rPr>
        <w:t>; witnesses</w:t>
      </w:r>
      <w:r w:rsidR="009D7FB4">
        <w:rPr>
          <w:rFonts w:ascii="Arial" w:hAnsi="Arial" w:cs="Arial"/>
        </w:rPr>
        <w:t xml:space="preserve"> the accused had made no mention of prior to that day. The accused was also dissatisfied with his counsel’s inability to have the reply to the state’s pre-trial memorandum</w:t>
      </w:r>
      <w:r w:rsidR="00AE1144">
        <w:rPr>
          <w:rFonts w:ascii="Arial" w:hAnsi="Arial" w:cs="Arial"/>
        </w:rPr>
        <w:t xml:space="preserve"> (reply)</w:t>
      </w:r>
      <w:r w:rsidR="009D7FB4">
        <w:rPr>
          <w:rFonts w:ascii="Arial" w:hAnsi="Arial" w:cs="Arial"/>
        </w:rPr>
        <w:t xml:space="preserve"> amended in order t</w:t>
      </w:r>
      <w:r w:rsidR="00AE1144">
        <w:rPr>
          <w:rFonts w:ascii="Arial" w:hAnsi="Arial" w:cs="Arial"/>
        </w:rPr>
        <w:t>o incorporate the name</w:t>
      </w:r>
      <w:r w:rsidR="009D7FB4">
        <w:rPr>
          <w:rFonts w:ascii="Arial" w:hAnsi="Arial" w:cs="Arial"/>
        </w:rPr>
        <w:t xml:space="preserve"> </w:t>
      </w:r>
      <w:r w:rsidR="00AE1144">
        <w:rPr>
          <w:rFonts w:ascii="Arial" w:hAnsi="Arial" w:cs="Arial"/>
        </w:rPr>
        <w:t>‘</w:t>
      </w:r>
      <w:r w:rsidR="009D7FB4">
        <w:rPr>
          <w:rFonts w:ascii="Arial" w:hAnsi="Arial" w:cs="Arial"/>
        </w:rPr>
        <w:t>Benny</w:t>
      </w:r>
      <w:r w:rsidR="00AE1144">
        <w:rPr>
          <w:rFonts w:ascii="Arial" w:hAnsi="Arial" w:cs="Arial"/>
        </w:rPr>
        <w:t>’</w:t>
      </w:r>
      <w:r w:rsidR="004B4062">
        <w:rPr>
          <w:rFonts w:ascii="Arial" w:hAnsi="Arial" w:cs="Arial"/>
        </w:rPr>
        <w:t xml:space="preserve"> in respect of some of the answers given in response to the state’s questions</w:t>
      </w:r>
      <w:r w:rsidR="009D7FB4">
        <w:rPr>
          <w:rFonts w:ascii="Arial" w:hAnsi="Arial" w:cs="Arial"/>
        </w:rPr>
        <w:t xml:space="preserve">. When raised </w:t>
      </w:r>
      <w:r w:rsidR="004B4062">
        <w:rPr>
          <w:rFonts w:ascii="Arial" w:hAnsi="Arial" w:cs="Arial"/>
        </w:rPr>
        <w:t xml:space="preserve">in court </w:t>
      </w:r>
      <w:r w:rsidR="009D7FB4">
        <w:rPr>
          <w:rFonts w:ascii="Arial" w:hAnsi="Arial" w:cs="Arial"/>
        </w:rPr>
        <w:t xml:space="preserve">by </w:t>
      </w:r>
      <w:r w:rsidR="004B4062">
        <w:rPr>
          <w:rFonts w:ascii="Arial" w:hAnsi="Arial" w:cs="Arial"/>
        </w:rPr>
        <w:t xml:space="preserve">Mr </w:t>
      </w:r>
      <w:r w:rsidR="004B4062">
        <w:rPr>
          <w:rFonts w:ascii="Arial" w:hAnsi="Arial" w:cs="Arial"/>
          <w:i/>
        </w:rPr>
        <w:t xml:space="preserve">Siyomunji, </w:t>
      </w:r>
      <w:r w:rsidR="009D7FB4">
        <w:rPr>
          <w:rFonts w:ascii="Arial" w:hAnsi="Arial" w:cs="Arial"/>
        </w:rPr>
        <w:t xml:space="preserve">the issue was </w:t>
      </w:r>
      <w:r w:rsidR="004B4062">
        <w:rPr>
          <w:rFonts w:ascii="Arial" w:hAnsi="Arial" w:cs="Arial"/>
        </w:rPr>
        <w:t>argued</w:t>
      </w:r>
      <w:r w:rsidR="009D7FB4">
        <w:rPr>
          <w:rFonts w:ascii="Arial" w:hAnsi="Arial" w:cs="Arial"/>
        </w:rPr>
        <w:t xml:space="preserve"> and ruled </w:t>
      </w:r>
      <w:r w:rsidR="00CE4D76">
        <w:rPr>
          <w:rFonts w:ascii="Arial" w:hAnsi="Arial" w:cs="Arial"/>
        </w:rPr>
        <w:t>impermissible,</w:t>
      </w:r>
      <w:r w:rsidR="009D7FB4">
        <w:rPr>
          <w:rFonts w:ascii="Arial" w:hAnsi="Arial" w:cs="Arial"/>
        </w:rPr>
        <w:t xml:space="preserve"> as the court was satisfied that what is stated in the repl</w:t>
      </w:r>
      <w:r w:rsidR="004B4062">
        <w:rPr>
          <w:rFonts w:ascii="Arial" w:hAnsi="Arial" w:cs="Arial"/>
        </w:rPr>
        <w:t>y was confirmed as</w:t>
      </w:r>
      <w:r w:rsidR="009D7FB4">
        <w:rPr>
          <w:rFonts w:ascii="Arial" w:hAnsi="Arial" w:cs="Arial"/>
        </w:rPr>
        <w:t xml:space="preserve"> correct when signed by the accused. During the filing of the reply the accused was represented by a dif</w:t>
      </w:r>
      <w:r w:rsidR="00CE4D76">
        <w:rPr>
          <w:rFonts w:ascii="Arial" w:hAnsi="Arial" w:cs="Arial"/>
        </w:rPr>
        <w:t>ferent legal practitioner,</w:t>
      </w:r>
      <w:r w:rsidR="009D7FB4">
        <w:rPr>
          <w:rFonts w:ascii="Arial" w:hAnsi="Arial" w:cs="Arial"/>
        </w:rPr>
        <w:t xml:space="preserve"> Mr </w:t>
      </w:r>
      <w:r w:rsidR="009D7FB4">
        <w:rPr>
          <w:rFonts w:ascii="Arial" w:hAnsi="Arial" w:cs="Arial"/>
          <w:i/>
        </w:rPr>
        <w:t>Wessels</w:t>
      </w:r>
      <w:r w:rsidR="004B4062">
        <w:rPr>
          <w:rFonts w:ascii="Arial" w:hAnsi="Arial" w:cs="Arial"/>
          <w:i/>
        </w:rPr>
        <w:t>.</w:t>
      </w:r>
      <w:r w:rsidR="00AE1144">
        <w:rPr>
          <w:rFonts w:ascii="Arial" w:hAnsi="Arial" w:cs="Arial"/>
        </w:rPr>
        <w:t xml:space="preserve"> </w:t>
      </w:r>
      <w:r w:rsidR="004B4062">
        <w:rPr>
          <w:rFonts w:ascii="Arial" w:hAnsi="Arial" w:cs="Arial"/>
        </w:rPr>
        <w:t>T</w:t>
      </w:r>
      <w:r w:rsidR="00AE1144">
        <w:rPr>
          <w:rFonts w:ascii="Arial" w:hAnsi="Arial" w:cs="Arial"/>
        </w:rPr>
        <w:t>he accused’s belated complaint that the name Benny should have been reflected in the reply</w:t>
      </w:r>
      <w:r w:rsidR="00CE4D76">
        <w:rPr>
          <w:rFonts w:ascii="Arial" w:hAnsi="Arial" w:cs="Arial"/>
        </w:rPr>
        <w:t>,</w:t>
      </w:r>
      <w:r w:rsidR="00AE1144">
        <w:rPr>
          <w:rFonts w:ascii="Arial" w:hAnsi="Arial" w:cs="Arial"/>
        </w:rPr>
        <w:t xml:space="preserve"> remains a mere allegation in the absence of substantive evidence to the contrary. There</w:t>
      </w:r>
      <w:r w:rsidR="004B4062">
        <w:rPr>
          <w:rFonts w:ascii="Arial" w:hAnsi="Arial" w:cs="Arial"/>
        </w:rPr>
        <w:t xml:space="preserve"> is simply no evidence before</w:t>
      </w:r>
      <w:r w:rsidR="00AE1144">
        <w:rPr>
          <w:rFonts w:ascii="Arial" w:hAnsi="Arial" w:cs="Arial"/>
        </w:rPr>
        <w:t xml:space="preserve"> court </w:t>
      </w:r>
      <w:r w:rsidR="00CE4D76">
        <w:rPr>
          <w:rFonts w:ascii="Arial" w:hAnsi="Arial" w:cs="Arial"/>
        </w:rPr>
        <w:t>in support of his</w:t>
      </w:r>
      <w:r w:rsidR="004B4062">
        <w:rPr>
          <w:rFonts w:ascii="Arial" w:hAnsi="Arial" w:cs="Arial"/>
        </w:rPr>
        <w:t xml:space="preserve"> contention </w:t>
      </w:r>
      <w:r w:rsidR="00AE1144">
        <w:rPr>
          <w:rFonts w:ascii="Arial" w:hAnsi="Arial" w:cs="Arial"/>
        </w:rPr>
        <w:t xml:space="preserve">and the accused’s answers </w:t>
      </w:r>
      <w:r w:rsidR="004B4062">
        <w:rPr>
          <w:rFonts w:ascii="Arial" w:hAnsi="Arial" w:cs="Arial"/>
        </w:rPr>
        <w:t>set out</w:t>
      </w:r>
      <w:r w:rsidR="00AE1144">
        <w:rPr>
          <w:rFonts w:ascii="Arial" w:hAnsi="Arial" w:cs="Arial"/>
        </w:rPr>
        <w:t xml:space="preserve"> in the reply </w:t>
      </w:r>
      <w:r w:rsidR="004B4062">
        <w:rPr>
          <w:rFonts w:ascii="Arial" w:hAnsi="Arial" w:cs="Arial"/>
        </w:rPr>
        <w:t>therefore stand</w:t>
      </w:r>
      <w:r w:rsidR="00AE1144">
        <w:rPr>
          <w:rFonts w:ascii="Arial" w:hAnsi="Arial" w:cs="Arial"/>
        </w:rPr>
        <w:t>.</w:t>
      </w:r>
      <w:r w:rsidR="008058B4">
        <w:rPr>
          <w:rFonts w:ascii="Arial" w:hAnsi="Arial" w:cs="Arial"/>
        </w:rPr>
        <w:t xml:space="preserve"> The court </w:t>
      </w:r>
      <w:r w:rsidR="004B4062">
        <w:rPr>
          <w:rFonts w:ascii="Arial" w:hAnsi="Arial" w:cs="Arial"/>
        </w:rPr>
        <w:t xml:space="preserve">then </w:t>
      </w:r>
      <w:r w:rsidR="008058B4">
        <w:rPr>
          <w:rFonts w:ascii="Arial" w:hAnsi="Arial" w:cs="Arial"/>
        </w:rPr>
        <w:t xml:space="preserve">excused Mr </w:t>
      </w:r>
      <w:r w:rsidR="008058B4">
        <w:rPr>
          <w:rFonts w:ascii="Arial" w:hAnsi="Arial" w:cs="Arial"/>
          <w:i/>
        </w:rPr>
        <w:t xml:space="preserve">Siyomunji </w:t>
      </w:r>
      <w:r w:rsidR="008058B4">
        <w:rPr>
          <w:rFonts w:ascii="Arial" w:hAnsi="Arial" w:cs="Arial"/>
        </w:rPr>
        <w:t>as counsel for the remainder of the trial</w:t>
      </w:r>
      <w:r w:rsidR="004B4062">
        <w:rPr>
          <w:rFonts w:ascii="Arial" w:hAnsi="Arial" w:cs="Arial"/>
        </w:rPr>
        <w:t>. P</w:t>
      </w:r>
      <w:r w:rsidR="008058B4">
        <w:rPr>
          <w:rFonts w:ascii="Arial" w:hAnsi="Arial" w:cs="Arial"/>
        </w:rPr>
        <w:t xml:space="preserve">roceedings were </w:t>
      </w:r>
      <w:r w:rsidR="004B4062">
        <w:rPr>
          <w:rFonts w:ascii="Arial" w:hAnsi="Arial" w:cs="Arial"/>
        </w:rPr>
        <w:t xml:space="preserve">thereafter </w:t>
      </w:r>
      <w:r w:rsidR="008058B4">
        <w:rPr>
          <w:rFonts w:ascii="Arial" w:hAnsi="Arial" w:cs="Arial"/>
        </w:rPr>
        <w:t xml:space="preserve">adjourned pending the appointment </w:t>
      </w:r>
      <w:r w:rsidR="004B4062">
        <w:rPr>
          <w:rFonts w:ascii="Arial" w:hAnsi="Arial" w:cs="Arial"/>
        </w:rPr>
        <w:t xml:space="preserve">of other counsel </w:t>
      </w:r>
      <w:r w:rsidR="008058B4">
        <w:rPr>
          <w:rFonts w:ascii="Arial" w:hAnsi="Arial" w:cs="Arial"/>
        </w:rPr>
        <w:t xml:space="preserve">by the Directorate: Legal Aid. </w:t>
      </w:r>
      <w:r w:rsidR="004B4062">
        <w:rPr>
          <w:rFonts w:ascii="Arial" w:hAnsi="Arial" w:cs="Arial"/>
        </w:rPr>
        <w:t xml:space="preserve">Mr </w:t>
      </w:r>
      <w:r w:rsidR="004B4062">
        <w:rPr>
          <w:rFonts w:ascii="Arial" w:hAnsi="Arial" w:cs="Arial"/>
          <w:i/>
        </w:rPr>
        <w:t xml:space="preserve">V Lutibezi </w:t>
      </w:r>
      <w:r w:rsidR="004B4062">
        <w:rPr>
          <w:rFonts w:ascii="Arial" w:hAnsi="Arial" w:cs="Arial"/>
        </w:rPr>
        <w:t>then took over as counsel for the accused.</w:t>
      </w:r>
    </w:p>
    <w:p w:rsidR="008058B4" w:rsidRDefault="008058B4" w:rsidP="00085B3E">
      <w:pPr>
        <w:spacing w:line="360" w:lineRule="auto"/>
        <w:jc w:val="both"/>
        <w:rPr>
          <w:rFonts w:ascii="Arial" w:hAnsi="Arial" w:cs="Arial"/>
        </w:rPr>
      </w:pPr>
    </w:p>
    <w:p w:rsidR="00EC387A" w:rsidRPr="00EC387A" w:rsidRDefault="00EC387A" w:rsidP="00085B3E">
      <w:pPr>
        <w:spacing w:line="360" w:lineRule="auto"/>
        <w:jc w:val="both"/>
        <w:rPr>
          <w:rFonts w:ascii="Arial" w:hAnsi="Arial" w:cs="Arial"/>
          <w:i/>
        </w:rPr>
      </w:pPr>
      <w:r>
        <w:rPr>
          <w:rFonts w:ascii="Arial" w:hAnsi="Arial" w:cs="Arial"/>
          <w:i/>
        </w:rPr>
        <w:t>The use of witness statements in cross-examination</w:t>
      </w:r>
    </w:p>
    <w:p w:rsidR="008058B4" w:rsidRDefault="008058B4" w:rsidP="00085B3E">
      <w:pPr>
        <w:spacing w:line="360" w:lineRule="auto"/>
        <w:jc w:val="both"/>
        <w:rPr>
          <w:rFonts w:ascii="Arial" w:hAnsi="Arial" w:cs="Arial"/>
        </w:rPr>
      </w:pPr>
      <w:r>
        <w:rPr>
          <w:rFonts w:ascii="Arial" w:hAnsi="Arial" w:cs="Arial"/>
        </w:rPr>
        <w:t>[</w:t>
      </w:r>
      <w:r w:rsidR="00CE4D76">
        <w:rPr>
          <w:rFonts w:ascii="Arial" w:hAnsi="Arial" w:cs="Arial"/>
        </w:rPr>
        <w:t>51</w:t>
      </w:r>
      <w:r>
        <w:rPr>
          <w:rFonts w:ascii="Arial" w:hAnsi="Arial" w:cs="Arial"/>
        </w:rPr>
        <w:t>]</w:t>
      </w:r>
      <w:r>
        <w:rPr>
          <w:rFonts w:ascii="Arial" w:hAnsi="Arial" w:cs="Arial"/>
        </w:rPr>
        <w:tab/>
      </w:r>
      <w:r w:rsidR="00EC387A">
        <w:rPr>
          <w:rFonts w:ascii="Arial" w:hAnsi="Arial" w:cs="Arial"/>
        </w:rPr>
        <w:t xml:space="preserve">It is common practice in our courts that </w:t>
      </w:r>
      <w:r w:rsidR="00DA188F">
        <w:rPr>
          <w:rFonts w:ascii="Arial" w:hAnsi="Arial" w:cs="Arial"/>
        </w:rPr>
        <w:t xml:space="preserve">counsel for </w:t>
      </w:r>
      <w:r w:rsidR="00EC387A">
        <w:rPr>
          <w:rFonts w:ascii="Arial" w:hAnsi="Arial" w:cs="Arial"/>
        </w:rPr>
        <w:t xml:space="preserve">the defence extensively make use </w:t>
      </w:r>
      <w:r w:rsidR="00D92BBF">
        <w:rPr>
          <w:rFonts w:ascii="Arial" w:hAnsi="Arial" w:cs="Arial"/>
        </w:rPr>
        <w:t>of witness statements during</w:t>
      </w:r>
      <w:r w:rsidR="00EC387A">
        <w:rPr>
          <w:rFonts w:ascii="Arial" w:hAnsi="Arial" w:cs="Arial"/>
        </w:rPr>
        <w:t xml:space="preserve"> cross-examination of state witnesses in order to </w:t>
      </w:r>
      <w:r w:rsidR="00D92BBF">
        <w:rPr>
          <w:rFonts w:ascii="Arial" w:hAnsi="Arial" w:cs="Arial"/>
        </w:rPr>
        <w:t xml:space="preserve">test their credibility and </w:t>
      </w:r>
      <w:r w:rsidR="00EC387A">
        <w:rPr>
          <w:rFonts w:ascii="Arial" w:hAnsi="Arial" w:cs="Arial"/>
        </w:rPr>
        <w:t xml:space="preserve">establish discrepancies between a witness’s statement and </w:t>
      </w:r>
      <w:r w:rsidR="00D92BBF">
        <w:rPr>
          <w:rFonts w:ascii="Arial" w:hAnsi="Arial" w:cs="Arial"/>
          <w:i/>
        </w:rPr>
        <w:t xml:space="preserve">viva voce </w:t>
      </w:r>
      <w:r w:rsidR="00D92BBF">
        <w:rPr>
          <w:rFonts w:ascii="Arial" w:hAnsi="Arial" w:cs="Arial"/>
        </w:rPr>
        <w:t>evidence</w:t>
      </w:r>
      <w:r w:rsidR="00EC387A">
        <w:rPr>
          <w:rFonts w:ascii="Arial" w:hAnsi="Arial" w:cs="Arial"/>
        </w:rPr>
        <w:t xml:space="preserve">. The same approach was followed in this instance. </w:t>
      </w:r>
    </w:p>
    <w:p w:rsidR="00EC387A" w:rsidRDefault="00EC387A" w:rsidP="00085B3E">
      <w:pPr>
        <w:spacing w:line="360" w:lineRule="auto"/>
        <w:jc w:val="both"/>
        <w:rPr>
          <w:rFonts w:ascii="Arial" w:hAnsi="Arial" w:cs="Arial"/>
        </w:rPr>
      </w:pPr>
    </w:p>
    <w:p w:rsidR="00EC387A" w:rsidRDefault="00EC387A" w:rsidP="00085B3E">
      <w:pPr>
        <w:spacing w:line="360" w:lineRule="auto"/>
        <w:jc w:val="both"/>
        <w:rPr>
          <w:rFonts w:ascii="Arial" w:hAnsi="Arial" w:cs="Arial"/>
        </w:rPr>
      </w:pPr>
      <w:r>
        <w:rPr>
          <w:rFonts w:ascii="Arial" w:hAnsi="Arial" w:cs="Arial"/>
        </w:rPr>
        <w:t>[</w:t>
      </w:r>
      <w:r w:rsidR="00CE4D76">
        <w:rPr>
          <w:rFonts w:ascii="Arial" w:hAnsi="Arial" w:cs="Arial"/>
        </w:rPr>
        <w:t>52</w:t>
      </w:r>
      <w:r>
        <w:rPr>
          <w:rFonts w:ascii="Arial" w:hAnsi="Arial" w:cs="Arial"/>
        </w:rPr>
        <w:t>]</w:t>
      </w:r>
      <w:r>
        <w:rPr>
          <w:rFonts w:ascii="Arial" w:hAnsi="Arial" w:cs="Arial"/>
        </w:rPr>
        <w:tab/>
      </w:r>
      <w:r w:rsidR="00DA188F">
        <w:rPr>
          <w:rFonts w:ascii="Arial" w:hAnsi="Arial" w:cs="Arial"/>
        </w:rPr>
        <w:t>It is an established prin</w:t>
      </w:r>
      <w:r w:rsidR="00CE4D76">
        <w:rPr>
          <w:rFonts w:ascii="Arial" w:hAnsi="Arial" w:cs="Arial"/>
        </w:rPr>
        <w:t>ciple of law that a court</w:t>
      </w:r>
      <w:r w:rsidR="00DA188F">
        <w:rPr>
          <w:rFonts w:ascii="Arial" w:hAnsi="Arial" w:cs="Arial"/>
        </w:rPr>
        <w:t xml:space="preserve"> should be careful in discrediting a witness who has slightly departed from the statement made to the police.</w:t>
      </w:r>
      <w:r w:rsidR="00DA188F">
        <w:rPr>
          <w:rStyle w:val="FootnoteReference"/>
          <w:rFonts w:ascii="Arial" w:hAnsi="Arial" w:cs="Arial"/>
        </w:rPr>
        <w:footnoteReference w:id="15"/>
      </w:r>
      <w:r w:rsidR="00DA188F">
        <w:rPr>
          <w:rFonts w:ascii="Arial" w:hAnsi="Arial" w:cs="Arial"/>
        </w:rPr>
        <w:t xml:space="preserve"> A state witness is only at risk of being discredited if there is a material deviation from the </w:t>
      </w:r>
      <w:r w:rsidR="00FA3C89">
        <w:rPr>
          <w:rFonts w:ascii="Arial" w:hAnsi="Arial" w:cs="Arial"/>
        </w:rPr>
        <w:t xml:space="preserve">witness statement </w:t>
      </w:r>
      <w:r w:rsidR="00D92BBF">
        <w:rPr>
          <w:rFonts w:ascii="Arial" w:hAnsi="Arial" w:cs="Arial"/>
        </w:rPr>
        <w:t xml:space="preserve">and </w:t>
      </w:r>
      <w:r w:rsidR="00FA3C89">
        <w:rPr>
          <w:rFonts w:ascii="Arial" w:hAnsi="Arial" w:cs="Arial"/>
        </w:rPr>
        <w:t xml:space="preserve">which the witness is unable to satisfactorily explain. When making the statement to the police, </w:t>
      </w:r>
      <w:r w:rsidR="00CE4D76">
        <w:rPr>
          <w:rFonts w:ascii="Arial" w:hAnsi="Arial" w:cs="Arial"/>
        </w:rPr>
        <w:t>it is intended</w:t>
      </w:r>
      <w:r w:rsidR="00FA3C89">
        <w:rPr>
          <w:rFonts w:ascii="Arial" w:hAnsi="Arial" w:cs="Arial"/>
        </w:rPr>
        <w:t xml:space="preserve"> to obtain the details of the alleged offence for purposes of possible prosecution and not to anticipate the witness’s evidence in court. It can therefore not be expected of a witness </w:t>
      </w:r>
      <w:r w:rsidR="00D92BBF">
        <w:rPr>
          <w:rFonts w:ascii="Arial" w:hAnsi="Arial" w:cs="Arial"/>
        </w:rPr>
        <w:t xml:space="preserve">during his/her testimony </w:t>
      </w:r>
      <w:r w:rsidR="00FA3C89">
        <w:rPr>
          <w:rFonts w:ascii="Arial" w:hAnsi="Arial" w:cs="Arial"/>
        </w:rPr>
        <w:t xml:space="preserve">to </w:t>
      </w:r>
      <w:r w:rsidR="00CE4D76">
        <w:rPr>
          <w:rFonts w:ascii="Arial" w:hAnsi="Arial" w:cs="Arial"/>
        </w:rPr>
        <w:t>be limited to the statement given</w:t>
      </w:r>
      <w:r w:rsidR="00FA3C89">
        <w:rPr>
          <w:rFonts w:ascii="Arial" w:hAnsi="Arial" w:cs="Arial"/>
        </w:rPr>
        <w:t xml:space="preserve"> to the police</w:t>
      </w:r>
      <w:r w:rsidR="00D92BBF">
        <w:rPr>
          <w:rFonts w:ascii="Arial" w:hAnsi="Arial" w:cs="Arial"/>
        </w:rPr>
        <w:t>. Such statement</w:t>
      </w:r>
      <w:r w:rsidR="00FA3C89">
        <w:rPr>
          <w:rFonts w:ascii="Arial" w:hAnsi="Arial" w:cs="Arial"/>
        </w:rPr>
        <w:t xml:space="preserve"> </w:t>
      </w:r>
      <w:r w:rsidR="00D92BBF">
        <w:rPr>
          <w:rFonts w:ascii="Arial" w:hAnsi="Arial" w:cs="Arial"/>
        </w:rPr>
        <w:t>is often</w:t>
      </w:r>
      <w:r w:rsidR="00FA3C89">
        <w:rPr>
          <w:rFonts w:ascii="Arial" w:hAnsi="Arial" w:cs="Arial"/>
        </w:rPr>
        <w:t xml:space="preserve"> a mere summary </w:t>
      </w:r>
      <w:r w:rsidR="002C4E49">
        <w:rPr>
          <w:rFonts w:ascii="Arial" w:hAnsi="Arial" w:cs="Arial"/>
        </w:rPr>
        <w:t xml:space="preserve">or </w:t>
      </w:r>
      <w:r w:rsidR="00D92BBF">
        <w:rPr>
          <w:rFonts w:ascii="Arial" w:hAnsi="Arial" w:cs="Arial"/>
        </w:rPr>
        <w:t xml:space="preserve">in </w:t>
      </w:r>
      <w:r w:rsidR="002C4E49">
        <w:rPr>
          <w:rFonts w:ascii="Arial" w:hAnsi="Arial" w:cs="Arial"/>
        </w:rPr>
        <w:t xml:space="preserve">skeletal form </w:t>
      </w:r>
      <w:r w:rsidR="00FA3C89">
        <w:rPr>
          <w:rFonts w:ascii="Arial" w:hAnsi="Arial" w:cs="Arial"/>
        </w:rPr>
        <w:t xml:space="preserve">of events testified on in more detail </w:t>
      </w:r>
      <w:r w:rsidR="00CE4D76">
        <w:rPr>
          <w:rFonts w:ascii="Arial" w:hAnsi="Arial" w:cs="Arial"/>
        </w:rPr>
        <w:t>by</w:t>
      </w:r>
      <w:r w:rsidR="00D92BBF">
        <w:rPr>
          <w:rFonts w:ascii="Arial" w:hAnsi="Arial" w:cs="Arial"/>
        </w:rPr>
        <w:t xml:space="preserve"> the witness </w:t>
      </w:r>
      <w:r w:rsidR="00CE4D76">
        <w:rPr>
          <w:rFonts w:ascii="Arial" w:hAnsi="Arial" w:cs="Arial"/>
        </w:rPr>
        <w:t>when testifying</w:t>
      </w:r>
      <w:r w:rsidR="00FA3C89">
        <w:rPr>
          <w:rFonts w:ascii="Arial" w:hAnsi="Arial" w:cs="Arial"/>
        </w:rPr>
        <w:t xml:space="preserve"> in court.</w:t>
      </w:r>
      <w:r w:rsidR="00FA3C89">
        <w:rPr>
          <w:rStyle w:val="FootnoteReference"/>
          <w:rFonts w:ascii="Arial" w:hAnsi="Arial" w:cs="Arial"/>
        </w:rPr>
        <w:footnoteReference w:id="16"/>
      </w:r>
      <w:r w:rsidR="00D92BBF">
        <w:rPr>
          <w:rFonts w:ascii="Arial" w:hAnsi="Arial" w:cs="Arial"/>
        </w:rPr>
        <w:t xml:space="preserve"> It is thus settled law</w:t>
      </w:r>
      <w:r w:rsidR="002C4E49">
        <w:rPr>
          <w:rFonts w:ascii="Arial" w:hAnsi="Arial" w:cs="Arial"/>
        </w:rPr>
        <w:t xml:space="preserve"> that not every discrepancy between a witness’s statement and what is </w:t>
      </w:r>
      <w:r w:rsidR="00D92BBF">
        <w:rPr>
          <w:rFonts w:ascii="Arial" w:hAnsi="Arial" w:cs="Arial"/>
        </w:rPr>
        <w:t xml:space="preserve">later </w:t>
      </w:r>
      <w:r w:rsidR="002C4E49">
        <w:rPr>
          <w:rFonts w:ascii="Arial" w:hAnsi="Arial" w:cs="Arial"/>
        </w:rPr>
        <w:t>testified in court would affect t</w:t>
      </w:r>
      <w:r w:rsidR="00A772FB">
        <w:rPr>
          <w:rFonts w:ascii="Arial" w:hAnsi="Arial" w:cs="Arial"/>
        </w:rPr>
        <w:t>he credibility of the witness. It is o</w:t>
      </w:r>
      <w:r w:rsidR="002C4E49">
        <w:rPr>
          <w:rFonts w:ascii="Arial" w:hAnsi="Arial" w:cs="Arial"/>
        </w:rPr>
        <w:t>nly when the discrepancy is found</w:t>
      </w:r>
      <w:r w:rsidR="00A772FB">
        <w:rPr>
          <w:rFonts w:ascii="Arial" w:hAnsi="Arial" w:cs="Arial"/>
        </w:rPr>
        <w:t xml:space="preserve"> to be material and the court being</w:t>
      </w:r>
      <w:r w:rsidR="002C4E49">
        <w:rPr>
          <w:rFonts w:ascii="Arial" w:hAnsi="Arial" w:cs="Arial"/>
        </w:rPr>
        <w:t xml:space="preserve"> satisfied that what is contained in the earlier statement correctly reflects the witness’s version</w:t>
      </w:r>
      <w:r w:rsidR="00D92BBF">
        <w:rPr>
          <w:rFonts w:ascii="Arial" w:hAnsi="Arial" w:cs="Arial"/>
        </w:rPr>
        <w:t xml:space="preserve"> (but differs materially from his/her testimony)</w:t>
      </w:r>
      <w:r w:rsidR="002C4E49">
        <w:rPr>
          <w:rFonts w:ascii="Arial" w:hAnsi="Arial" w:cs="Arial"/>
        </w:rPr>
        <w:t xml:space="preserve">, </w:t>
      </w:r>
      <w:r w:rsidR="00A772FB">
        <w:rPr>
          <w:rFonts w:ascii="Arial" w:hAnsi="Arial" w:cs="Arial"/>
        </w:rPr>
        <w:t>that</w:t>
      </w:r>
      <w:r w:rsidR="00D92BBF">
        <w:rPr>
          <w:rFonts w:ascii="Arial" w:hAnsi="Arial" w:cs="Arial"/>
        </w:rPr>
        <w:t xml:space="preserve"> </w:t>
      </w:r>
      <w:r w:rsidR="002C4E49">
        <w:rPr>
          <w:rFonts w:ascii="Arial" w:hAnsi="Arial" w:cs="Arial"/>
        </w:rPr>
        <w:t>the court</w:t>
      </w:r>
      <w:r w:rsidR="00A772FB">
        <w:rPr>
          <w:rFonts w:ascii="Arial" w:hAnsi="Arial" w:cs="Arial"/>
        </w:rPr>
        <w:t xml:space="preserve"> may</w:t>
      </w:r>
      <w:r w:rsidR="002C4E49">
        <w:rPr>
          <w:rFonts w:ascii="Arial" w:hAnsi="Arial" w:cs="Arial"/>
        </w:rPr>
        <w:t xml:space="preserve"> draw a negative inference as regards the credibility of the witness.</w:t>
      </w:r>
      <w:r w:rsidR="002C4E49">
        <w:rPr>
          <w:rStyle w:val="FootnoteReference"/>
          <w:rFonts w:ascii="Arial" w:hAnsi="Arial" w:cs="Arial"/>
        </w:rPr>
        <w:footnoteReference w:id="17"/>
      </w:r>
      <w:r w:rsidR="002C4E49">
        <w:rPr>
          <w:rFonts w:ascii="Arial" w:hAnsi="Arial" w:cs="Arial"/>
        </w:rPr>
        <w:t xml:space="preserve"> </w:t>
      </w:r>
    </w:p>
    <w:p w:rsidR="002C4E49" w:rsidRDefault="002C4E49" w:rsidP="00085B3E">
      <w:pPr>
        <w:spacing w:line="360" w:lineRule="auto"/>
        <w:jc w:val="both"/>
        <w:rPr>
          <w:rFonts w:ascii="Arial" w:hAnsi="Arial" w:cs="Arial"/>
        </w:rPr>
      </w:pPr>
    </w:p>
    <w:p w:rsidR="00264E72" w:rsidRDefault="002C4E49" w:rsidP="00085B3E">
      <w:pPr>
        <w:spacing w:line="360" w:lineRule="auto"/>
        <w:jc w:val="both"/>
        <w:rPr>
          <w:rFonts w:ascii="Arial" w:hAnsi="Arial" w:cs="Arial"/>
        </w:rPr>
      </w:pPr>
      <w:r>
        <w:rPr>
          <w:rFonts w:ascii="Arial" w:hAnsi="Arial" w:cs="Arial"/>
        </w:rPr>
        <w:t>[</w:t>
      </w:r>
      <w:r w:rsidR="00A772FB">
        <w:rPr>
          <w:rFonts w:ascii="Arial" w:hAnsi="Arial" w:cs="Arial"/>
        </w:rPr>
        <w:t>53</w:t>
      </w:r>
      <w:r>
        <w:rPr>
          <w:rFonts w:ascii="Arial" w:hAnsi="Arial" w:cs="Arial"/>
        </w:rPr>
        <w:t>]</w:t>
      </w:r>
      <w:r>
        <w:rPr>
          <w:rFonts w:ascii="Arial" w:hAnsi="Arial" w:cs="Arial"/>
        </w:rPr>
        <w:tab/>
      </w:r>
      <w:r w:rsidR="004D4CDE">
        <w:rPr>
          <w:rFonts w:ascii="Arial" w:hAnsi="Arial" w:cs="Arial"/>
        </w:rPr>
        <w:t xml:space="preserve">When applying the </w:t>
      </w:r>
      <w:r w:rsidR="00D92BBF">
        <w:rPr>
          <w:rFonts w:ascii="Arial" w:hAnsi="Arial" w:cs="Arial"/>
        </w:rPr>
        <w:t>afore-</w:t>
      </w:r>
      <w:r w:rsidR="004D4CDE">
        <w:rPr>
          <w:rFonts w:ascii="Arial" w:hAnsi="Arial" w:cs="Arial"/>
        </w:rPr>
        <w:t xml:space="preserve">stated principles to the present facts where differences between the statements of the investigating officers and their testimonies in court were pointed out, the alleged discrepancies in my view are </w:t>
      </w:r>
      <w:r w:rsidR="00A772FB">
        <w:rPr>
          <w:rFonts w:ascii="Arial" w:hAnsi="Arial" w:cs="Arial"/>
        </w:rPr>
        <w:t>immaterial and</w:t>
      </w:r>
      <w:r w:rsidR="00D92BBF">
        <w:rPr>
          <w:rFonts w:ascii="Arial" w:hAnsi="Arial" w:cs="Arial"/>
        </w:rPr>
        <w:t xml:space="preserve"> </w:t>
      </w:r>
      <w:r w:rsidR="004D4CDE">
        <w:rPr>
          <w:rFonts w:ascii="Arial" w:hAnsi="Arial" w:cs="Arial"/>
        </w:rPr>
        <w:t xml:space="preserve">properly explained by the respective witnesses. It cannot </w:t>
      </w:r>
      <w:r w:rsidR="001D59FB">
        <w:rPr>
          <w:rFonts w:ascii="Arial" w:hAnsi="Arial" w:cs="Arial"/>
        </w:rPr>
        <w:t xml:space="preserve">for purposes of prosecution </w:t>
      </w:r>
      <w:r w:rsidR="004D4CDE">
        <w:rPr>
          <w:rFonts w:ascii="Arial" w:hAnsi="Arial" w:cs="Arial"/>
        </w:rPr>
        <w:t>be expected of an investigat</w:t>
      </w:r>
      <w:r w:rsidR="001D59FB">
        <w:rPr>
          <w:rFonts w:ascii="Arial" w:hAnsi="Arial" w:cs="Arial"/>
        </w:rPr>
        <w:t>ing officer</w:t>
      </w:r>
      <w:r w:rsidR="004D4CDE">
        <w:rPr>
          <w:rFonts w:ascii="Arial" w:hAnsi="Arial" w:cs="Arial"/>
        </w:rPr>
        <w:t xml:space="preserve"> to capture the extent of the investigation in all its detail in his/her statement</w:t>
      </w:r>
      <w:r w:rsidR="001D59FB">
        <w:rPr>
          <w:rFonts w:ascii="Arial" w:hAnsi="Arial" w:cs="Arial"/>
        </w:rPr>
        <w:t xml:space="preserve"> and later be discredited during the ensuing trial for failing to do so. When called upon to give evidence in open court, a witness is afforded the opportunity to explain and elaborate on incidents and facts captured in the police statement in more detail. Material contradictions or omission</w:t>
      </w:r>
      <w:r w:rsidR="00264E72">
        <w:rPr>
          <w:rFonts w:ascii="Arial" w:hAnsi="Arial" w:cs="Arial"/>
        </w:rPr>
        <w:t>s</w:t>
      </w:r>
      <w:r w:rsidR="001D59FB">
        <w:rPr>
          <w:rFonts w:ascii="Arial" w:hAnsi="Arial" w:cs="Arial"/>
        </w:rPr>
        <w:t xml:space="preserve"> must </w:t>
      </w:r>
      <w:r w:rsidR="00D92BBF">
        <w:rPr>
          <w:rFonts w:ascii="Arial" w:hAnsi="Arial" w:cs="Arial"/>
        </w:rPr>
        <w:t>in any event</w:t>
      </w:r>
      <w:r w:rsidR="00264E72">
        <w:rPr>
          <w:rFonts w:ascii="Arial" w:hAnsi="Arial" w:cs="Arial"/>
        </w:rPr>
        <w:t xml:space="preserve"> </w:t>
      </w:r>
      <w:r w:rsidR="001D59FB">
        <w:rPr>
          <w:rFonts w:ascii="Arial" w:hAnsi="Arial" w:cs="Arial"/>
        </w:rPr>
        <w:t xml:space="preserve">be </w:t>
      </w:r>
      <w:r w:rsidR="00AA5230">
        <w:rPr>
          <w:rFonts w:ascii="Arial" w:hAnsi="Arial" w:cs="Arial"/>
        </w:rPr>
        <w:t>considered</w:t>
      </w:r>
      <w:r w:rsidR="001D59FB">
        <w:rPr>
          <w:rFonts w:ascii="Arial" w:hAnsi="Arial" w:cs="Arial"/>
        </w:rPr>
        <w:t xml:space="preserve"> </w:t>
      </w:r>
      <w:r w:rsidR="00AA5230">
        <w:rPr>
          <w:rFonts w:ascii="Arial" w:hAnsi="Arial" w:cs="Arial"/>
        </w:rPr>
        <w:t>against the evidence as a whole</w:t>
      </w:r>
      <w:r w:rsidR="00264E72">
        <w:rPr>
          <w:rFonts w:ascii="Arial" w:hAnsi="Arial" w:cs="Arial"/>
        </w:rPr>
        <w:t xml:space="preserve">. </w:t>
      </w:r>
    </w:p>
    <w:p w:rsidR="00264E72" w:rsidRDefault="00264E72" w:rsidP="00085B3E">
      <w:pPr>
        <w:spacing w:line="360" w:lineRule="auto"/>
        <w:jc w:val="both"/>
        <w:rPr>
          <w:rFonts w:ascii="Arial" w:hAnsi="Arial" w:cs="Arial"/>
        </w:rPr>
      </w:pPr>
    </w:p>
    <w:p w:rsidR="002C4E49" w:rsidRDefault="00264E72" w:rsidP="00085B3E">
      <w:pPr>
        <w:spacing w:line="360" w:lineRule="auto"/>
        <w:jc w:val="both"/>
        <w:rPr>
          <w:rFonts w:ascii="Arial" w:hAnsi="Arial" w:cs="Arial"/>
        </w:rPr>
      </w:pPr>
      <w:r>
        <w:rPr>
          <w:rFonts w:ascii="Arial" w:hAnsi="Arial" w:cs="Arial"/>
        </w:rPr>
        <w:lastRenderedPageBreak/>
        <w:t>[</w:t>
      </w:r>
      <w:r w:rsidR="00A772FB">
        <w:rPr>
          <w:rFonts w:ascii="Arial" w:hAnsi="Arial" w:cs="Arial"/>
        </w:rPr>
        <w:t>54</w:t>
      </w:r>
      <w:r>
        <w:rPr>
          <w:rFonts w:ascii="Arial" w:hAnsi="Arial" w:cs="Arial"/>
        </w:rPr>
        <w:t>]</w:t>
      </w:r>
      <w:r>
        <w:rPr>
          <w:rFonts w:ascii="Arial" w:hAnsi="Arial" w:cs="Arial"/>
        </w:rPr>
        <w:tab/>
        <w:t xml:space="preserve">I am accordingly </w:t>
      </w:r>
      <w:r w:rsidR="00AA5230">
        <w:rPr>
          <w:rFonts w:ascii="Arial" w:hAnsi="Arial" w:cs="Arial"/>
        </w:rPr>
        <w:t>unpersuaded</w:t>
      </w:r>
      <w:r>
        <w:rPr>
          <w:rFonts w:ascii="Arial" w:hAnsi="Arial" w:cs="Arial"/>
        </w:rPr>
        <w:t xml:space="preserve"> that the alleged shortcomings or omissions</w:t>
      </w:r>
      <w:r w:rsidR="00AA5230">
        <w:rPr>
          <w:rFonts w:ascii="Arial" w:hAnsi="Arial" w:cs="Arial"/>
        </w:rPr>
        <w:t xml:space="preserve"> pointed out</w:t>
      </w:r>
      <w:r>
        <w:rPr>
          <w:rFonts w:ascii="Arial" w:hAnsi="Arial" w:cs="Arial"/>
        </w:rPr>
        <w:t xml:space="preserve"> in the statements of the </w:t>
      </w:r>
      <w:r w:rsidR="006C0887">
        <w:rPr>
          <w:rFonts w:ascii="Arial" w:hAnsi="Arial" w:cs="Arial"/>
        </w:rPr>
        <w:t>state witnesses</w:t>
      </w:r>
      <w:r>
        <w:rPr>
          <w:rFonts w:ascii="Arial" w:hAnsi="Arial" w:cs="Arial"/>
        </w:rPr>
        <w:t xml:space="preserve"> are such that it constitutes material deviations from their </w:t>
      </w:r>
      <w:r w:rsidR="00AA5230">
        <w:rPr>
          <w:rFonts w:ascii="Arial" w:hAnsi="Arial" w:cs="Arial"/>
        </w:rPr>
        <w:t>evidence in court</w:t>
      </w:r>
      <w:r>
        <w:rPr>
          <w:rFonts w:ascii="Arial" w:hAnsi="Arial" w:cs="Arial"/>
        </w:rPr>
        <w:t xml:space="preserve"> and </w:t>
      </w:r>
      <w:r w:rsidR="00AA5230">
        <w:rPr>
          <w:rFonts w:ascii="Arial" w:hAnsi="Arial" w:cs="Arial"/>
        </w:rPr>
        <w:t xml:space="preserve">thus </w:t>
      </w:r>
      <w:r>
        <w:rPr>
          <w:rFonts w:ascii="Arial" w:hAnsi="Arial" w:cs="Arial"/>
        </w:rPr>
        <w:t>impacts adversely on their credibility. Ther</w:t>
      </w:r>
      <w:r w:rsidR="00AA5230">
        <w:rPr>
          <w:rFonts w:ascii="Arial" w:hAnsi="Arial" w:cs="Arial"/>
        </w:rPr>
        <w:t>e is no basis for coming to such</w:t>
      </w:r>
      <w:r>
        <w:rPr>
          <w:rFonts w:ascii="Arial" w:hAnsi="Arial" w:cs="Arial"/>
        </w:rPr>
        <w:t xml:space="preserve"> conclusion.</w:t>
      </w:r>
    </w:p>
    <w:p w:rsidR="006F24C8" w:rsidRDefault="006F24C8" w:rsidP="00085B3E">
      <w:pPr>
        <w:spacing w:line="360" w:lineRule="auto"/>
        <w:jc w:val="both"/>
        <w:rPr>
          <w:rFonts w:ascii="Arial" w:hAnsi="Arial" w:cs="Arial"/>
        </w:rPr>
      </w:pPr>
    </w:p>
    <w:p w:rsidR="006F24C8" w:rsidRPr="006F24C8" w:rsidRDefault="006F24C8" w:rsidP="00085B3E">
      <w:pPr>
        <w:spacing w:line="360" w:lineRule="auto"/>
        <w:jc w:val="both"/>
        <w:rPr>
          <w:rFonts w:ascii="Arial" w:hAnsi="Arial" w:cs="Arial"/>
          <w:i/>
        </w:rPr>
      </w:pPr>
      <w:r>
        <w:rPr>
          <w:rFonts w:ascii="Arial" w:hAnsi="Arial" w:cs="Arial"/>
          <w:i/>
        </w:rPr>
        <w:t>Explaining of rights to the accused</w:t>
      </w:r>
    </w:p>
    <w:p w:rsidR="00321EA1" w:rsidRPr="00321EA1" w:rsidRDefault="006F24C8" w:rsidP="005461AA">
      <w:pPr>
        <w:spacing w:line="360" w:lineRule="auto"/>
        <w:jc w:val="both"/>
        <w:rPr>
          <w:rFonts w:ascii="Arial" w:hAnsi="Arial" w:cs="Arial"/>
          <w:i/>
        </w:rPr>
      </w:pPr>
      <w:r>
        <w:rPr>
          <w:rFonts w:ascii="Arial" w:hAnsi="Arial" w:cs="Arial"/>
        </w:rPr>
        <w:t>[</w:t>
      </w:r>
      <w:r w:rsidR="00A772FB">
        <w:rPr>
          <w:rFonts w:ascii="Arial" w:hAnsi="Arial" w:cs="Arial"/>
        </w:rPr>
        <w:t>55</w:t>
      </w:r>
      <w:r>
        <w:rPr>
          <w:rFonts w:ascii="Arial" w:hAnsi="Arial" w:cs="Arial"/>
        </w:rPr>
        <w:t>]</w:t>
      </w:r>
      <w:r>
        <w:rPr>
          <w:rFonts w:ascii="Arial" w:hAnsi="Arial" w:cs="Arial"/>
        </w:rPr>
        <w:tab/>
      </w:r>
      <w:r w:rsidR="005461AA">
        <w:rPr>
          <w:rFonts w:ascii="Arial" w:hAnsi="Arial" w:cs="Arial"/>
        </w:rPr>
        <w:t xml:space="preserve">Although the accused in his reply to the state’s pre-trial memorandum disputed that his rights were explained to him by the police prior </w:t>
      </w:r>
      <w:r w:rsidR="000C711E">
        <w:rPr>
          <w:rFonts w:ascii="Arial" w:hAnsi="Arial" w:cs="Arial"/>
        </w:rPr>
        <w:t xml:space="preserve">to </w:t>
      </w:r>
      <w:r w:rsidR="00AA5230">
        <w:rPr>
          <w:rFonts w:ascii="Arial" w:hAnsi="Arial" w:cs="Arial"/>
        </w:rPr>
        <w:t>or during his arrest, he said</w:t>
      </w:r>
      <w:r w:rsidR="005461AA">
        <w:rPr>
          <w:rFonts w:ascii="Arial" w:hAnsi="Arial" w:cs="Arial"/>
        </w:rPr>
        <w:t xml:space="preserve"> during cross-examination that he was acquainted with his rights</w:t>
      </w:r>
      <w:r w:rsidR="00AA5230" w:rsidRPr="00AA5230">
        <w:rPr>
          <w:rFonts w:ascii="Arial" w:hAnsi="Arial" w:cs="Arial"/>
        </w:rPr>
        <w:t xml:space="preserve"> </w:t>
      </w:r>
      <w:r w:rsidR="00AA5230">
        <w:rPr>
          <w:rFonts w:ascii="Arial" w:hAnsi="Arial" w:cs="Arial"/>
        </w:rPr>
        <w:t>at the relevant time</w:t>
      </w:r>
      <w:r w:rsidR="005461AA">
        <w:rPr>
          <w:rFonts w:ascii="Arial" w:hAnsi="Arial" w:cs="Arial"/>
        </w:rPr>
        <w:t>. It then follows that when the accused gave permission that his residence may be searched and made subsequent statements</w:t>
      </w:r>
      <w:r w:rsidR="005461AA" w:rsidRPr="005461AA">
        <w:rPr>
          <w:rFonts w:ascii="Arial" w:hAnsi="Arial" w:cs="Arial"/>
        </w:rPr>
        <w:t xml:space="preserve"> </w:t>
      </w:r>
      <w:r w:rsidR="005461AA">
        <w:rPr>
          <w:rFonts w:ascii="Arial" w:hAnsi="Arial" w:cs="Arial"/>
        </w:rPr>
        <w:t>to the police, th</w:t>
      </w:r>
      <w:r w:rsidR="000C711E">
        <w:rPr>
          <w:rFonts w:ascii="Arial" w:hAnsi="Arial" w:cs="Arial"/>
        </w:rPr>
        <w:t>ese were informed decisions taken by</w:t>
      </w:r>
      <w:r w:rsidR="005461AA">
        <w:rPr>
          <w:rFonts w:ascii="Arial" w:hAnsi="Arial" w:cs="Arial"/>
        </w:rPr>
        <w:t xml:space="preserve"> the accused</w:t>
      </w:r>
      <w:r w:rsidR="000C711E">
        <w:rPr>
          <w:rFonts w:ascii="Arial" w:hAnsi="Arial" w:cs="Arial"/>
        </w:rPr>
        <w:t>, fully</w:t>
      </w:r>
      <w:r w:rsidR="005461AA">
        <w:rPr>
          <w:rFonts w:ascii="Arial" w:hAnsi="Arial" w:cs="Arial"/>
        </w:rPr>
        <w:t xml:space="preserve"> appreciating the consequences of those decisions.</w:t>
      </w:r>
      <w:r w:rsidR="000C711E">
        <w:rPr>
          <w:rFonts w:ascii="Arial" w:hAnsi="Arial" w:cs="Arial"/>
        </w:rPr>
        <w:t xml:space="preserve"> </w:t>
      </w:r>
      <w:r w:rsidR="00EC470C">
        <w:rPr>
          <w:rFonts w:ascii="Arial" w:hAnsi="Arial" w:cs="Arial"/>
        </w:rPr>
        <w:t xml:space="preserve">His </w:t>
      </w:r>
      <w:r w:rsidR="00321EA1">
        <w:rPr>
          <w:rFonts w:ascii="Arial" w:hAnsi="Arial" w:cs="Arial"/>
        </w:rPr>
        <w:t xml:space="preserve">erstwhile </w:t>
      </w:r>
      <w:r w:rsidR="00EC470C">
        <w:rPr>
          <w:rFonts w:ascii="Arial" w:hAnsi="Arial" w:cs="Arial"/>
        </w:rPr>
        <w:t>counsel’s contention th</w:t>
      </w:r>
      <w:r w:rsidR="00321EA1">
        <w:rPr>
          <w:rFonts w:ascii="Arial" w:hAnsi="Arial" w:cs="Arial"/>
        </w:rPr>
        <w:t>at the accused did not understan</w:t>
      </w:r>
      <w:r w:rsidR="00EC470C">
        <w:rPr>
          <w:rFonts w:ascii="Arial" w:hAnsi="Arial" w:cs="Arial"/>
        </w:rPr>
        <w:t xml:space="preserve">d the context of his rights is not consistent with the accused’s own evidence. </w:t>
      </w:r>
      <w:r w:rsidR="000C711E">
        <w:rPr>
          <w:rFonts w:ascii="Arial" w:hAnsi="Arial" w:cs="Arial"/>
        </w:rPr>
        <w:t>The accused’s evidence that when a search was requested, he walked out in front and opened the door for the police to enter</w:t>
      </w:r>
      <w:r w:rsidR="00EC470C">
        <w:rPr>
          <w:rFonts w:ascii="Arial" w:hAnsi="Arial" w:cs="Arial"/>
        </w:rPr>
        <w:t>,</w:t>
      </w:r>
      <w:r w:rsidR="000C711E">
        <w:rPr>
          <w:rFonts w:ascii="Arial" w:hAnsi="Arial" w:cs="Arial"/>
        </w:rPr>
        <w:t xml:space="preserve"> is conduct consistent with that of a person </w:t>
      </w:r>
      <w:r w:rsidR="00EC470C">
        <w:rPr>
          <w:rFonts w:ascii="Arial" w:hAnsi="Arial" w:cs="Arial"/>
        </w:rPr>
        <w:t xml:space="preserve">acting voluntarily and </w:t>
      </w:r>
      <w:r w:rsidR="000C711E">
        <w:rPr>
          <w:rFonts w:ascii="Arial" w:hAnsi="Arial" w:cs="Arial"/>
        </w:rPr>
        <w:t xml:space="preserve">co-operating with the police. </w:t>
      </w:r>
      <w:r w:rsidR="00321EA1">
        <w:rPr>
          <w:rFonts w:ascii="Arial" w:hAnsi="Arial" w:cs="Arial"/>
        </w:rPr>
        <w:t>During oral submissions counsel for the defence persisted in arguing that the accused’s rights were not explained to him, rendering inadmissible all evidence obtained consequential to the search or report made by the accused. The argument went further saying that even if the accused was aware of his rights at the time, the position remained unchanged as to the admissibility of evidence.</w:t>
      </w:r>
    </w:p>
    <w:p w:rsidR="00321EA1" w:rsidRDefault="00321EA1" w:rsidP="005461AA">
      <w:pPr>
        <w:spacing w:line="360" w:lineRule="auto"/>
        <w:jc w:val="both"/>
        <w:rPr>
          <w:rFonts w:ascii="Arial" w:hAnsi="Arial" w:cs="Arial"/>
        </w:rPr>
      </w:pPr>
    </w:p>
    <w:p w:rsidR="005461AA" w:rsidRDefault="00321EA1" w:rsidP="005461AA">
      <w:pPr>
        <w:spacing w:line="360" w:lineRule="auto"/>
        <w:jc w:val="both"/>
        <w:rPr>
          <w:rFonts w:ascii="Arial" w:hAnsi="Arial" w:cs="Arial"/>
        </w:rPr>
      </w:pPr>
      <w:r>
        <w:rPr>
          <w:rFonts w:ascii="Arial" w:hAnsi="Arial" w:cs="Arial"/>
        </w:rPr>
        <w:t>[</w:t>
      </w:r>
      <w:r w:rsidR="00A772FB">
        <w:rPr>
          <w:rFonts w:ascii="Arial" w:hAnsi="Arial" w:cs="Arial"/>
        </w:rPr>
        <w:t>56</w:t>
      </w:r>
      <w:r>
        <w:rPr>
          <w:rFonts w:ascii="Arial" w:hAnsi="Arial" w:cs="Arial"/>
        </w:rPr>
        <w:t>]</w:t>
      </w:r>
      <w:r>
        <w:rPr>
          <w:rFonts w:ascii="Arial" w:hAnsi="Arial" w:cs="Arial"/>
        </w:rPr>
        <w:tab/>
      </w:r>
      <w:r w:rsidR="00EC470C">
        <w:rPr>
          <w:rFonts w:ascii="Arial" w:hAnsi="Arial" w:cs="Arial"/>
        </w:rPr>
        <w:t xml:space="preserve">Though stated in the context of the right to legal representation, the court in </w:t>
      </w:r>
      <w:r w:rsidR="00EC470C">
        <w:rPr>
          <w:rFonts w:ascii="Arial" w:hAnsi="Arial" w:cs="Arial"/>
          <w:i/>
        </w:rPr>
        <w:t>S v Bruwer</w:t>
      </w:r>
      <w:r w:rsidR="00EC470C">
        <w:rPr>
          <w:rStyle w:val="FootnoteReference"/>
          <w:rFonts w:ascii="Arial" w:hAnsi="Arial" w:cs="Arial"/>
          <w:i/>
        </w:rPr>
        <w:footnoteReference w:id="18"/>
      </w:r>
      <w:r w:rsidR="00EC470C">
        <w:rPr>
          <w:rFonts w:ascii="Arial" w:hAnsi="Arial" w:cs="Arial"/>
          <w:i/>
        </w:rPr>
        <w:t xml:space="preserve"> </w:t>
      </w:r>
      <w:r w:rsidR="00EC470C">
        <w:rPr>
          <w:rFonts w:ascii="Arial" w:hAnsi="Arial" w:cs="Arial"/>
        </w:rPr>
        <w:t>said:</w:t>
      </w:r>
    </w:p>
    <w:p w:rsidR="00EC470C" w:rsidRDefault="00EC470C" w:rsidP="005461AA">
      <w:pPr>
        <w:spacing w:line="360" w:lineRule="auto"/>
        <w:jc w:val="both"/>
        <w:rPr>
          <w:rFonts w:ascii="Arial" w:hAnsi="Arial" w:cs="Arial"/>
        </w:rPr>
      </w:pPr>
    </w:p>
    <w:p w:rsidR="00EC470C" w:rsidRPr="00EC470C" w:rsidRDefault="00EC470C" w:rsidP="005461AA">
      <w:pPr>
        <w:spacing w:line="360" w:lineRule="auto"/>
        <w:jc w:val="both"/>
        <w:rPr>
          <w:rFonts w:ascii="Arial" w:hAnsi="Arial" w:cs="Arial"/>
          <w:sz w:val="22"/>
          <w:szCs w:val="22"/>
        </w:rPr>
      </w:pPr>
      <w:r>
        <w:rPr>
          <w:rFonts w:ascii="Arial" w:hAnsi="Arial" w:cs="Arial"/>
        </w:rPr>
        <w:tab/>
      </w:r>
      <w:r>
        <w:rPr>
          <w:rFonts w:ascii="Arial" w:hAnsi="Arial" w:cs="Arial"/>
          <w:sz w:val="22"/>
          <w:szCs w:val="22"/>
        </w:rPr>
        <w:t>‘I am also mindful of the fact that reference in our Constitution to a fair trial forms part of the Bill of Rights and must therefore be given a wide and liberal interpretation. However, I fail to see how it can be said</w:t>
      </w:r>
      <w:r w:rsidR="002A726E">
        <w:rPr>
          <w:rFonts w:ascii="Arial" w:hAnsi="Arial" w:cs="Arial"/>
          <w:sz w:val="22"/>
          <w:szCs w:val="22"/>
        </w:rPr>
        <w:t xml:space="preserve">, even against this background, that a trial will be less fair if a person who knows that it is his right to be legally represented is not informed of that fact. Whether the fact that an accused was not </w:t>
      </w:r>
      <w:r w:rsidR="002A726E">
        <w:rPr>
          <w:rFonts w:ascii="Arial" w:hAnsi="Arial" w:cs="Arial"/>
          <w:sz w:val="22"/>
          <w:szCs w:val="22"/>
        </w:rPr>
        <w:lastRenderedPageBreak/>
        <w:t>informed of his right to be legally represented, resulted in a failure of justice is, as in most other instances where a failure of justice is alleged, a question of fact.’</w:t>
      </w:r>
    </w:p>
    <w:p w:rsidR="002A726E" w:rsidRDefault="002A726E" w:rsidP="005461AA">
      <w:pPr>
        <w:spacing w:line="360" w:lineRule="auto"/>
        <w:rPr>
          <w:rFonts w:ascii="Arial" w:hAnsi="Arial" w:cs="Arial"/>
        </w:rPr>
      </w:pPr>
    </w:p>
    <w:p w:rsidR="000A580B" w:rsidRDefault="002A726E" w:rsidP="002A726E">
      <w:pPr>
        <w:spacing w:line="360" w:lineRule="auto"/>
        <w:jc w:val="both"/>
        <w:rPr>
          <w:rFonts w:ascii="Arial" w:hAnsi="Arial" w:cs="Arial"/>
        </w:rPr>
      </w:pPr>
      <w:r>
        <w:rPr>
          <w:rFonts w:ascii="Arial" w:hAnsi="Arial" w:cs="Arial"/>
        </w:rPr>
        <w:t>[</w:t>
      </w:r>
      <w:r w:rsidR="00A772FB">
        <w:rPr>
          <w:rFonts w:ascii="Arial" w:hAnsi="Arial" w:cs="Arial"/>
        </w:rPr>
        <w:t>57</w:t>
      </w:r>
      <w:r>
        <w:rPr>
          <w:rFonts w:ascii="Arial" w:hAnsi="Arial" w:cs="Arial"/>
        </w:rPr>
        <w:t>]</w:t>
      </w:r>
      <w:r>
        <w:rPr>
          <w:rFonts w:ascii="Arial" w:hAnsi="Arial" w:cs="Arial"/>
        </w:rPr>
        <w:tab/>
        <w:t xml:space="preserve">Whether the dispute concerns the right to legal representation or any of the other rights enshrined in the Constitution, the principle in my view remains the same. The test is whether the accused took an informed decision. In the present instance several state witnesses testified about the extent of the rights explained to the accused and his acknowledgment thereof, whilst the accused himself confirmed having been aware of his rights. In my view </w:t>
      </w:r>
      <w:r w:rsidR="00321EA1">
        <w:rPr>
          <w:rFonts w:ascii="Arial" w:hAnsi="Arial" w:cs="Arial"/>
        </w:rPr>
        <w:t xml:space="preserve">counsel’s submission is without merit and the court is satisfied that the accused’s constitutional rights had not been infringed during the search conducted at his premises, pointing out </w:t>
      </w:r>
      <w:r w:rsidR="000A580B">
        <w:rPr>
          <w:rFonts w:ascii="Arial" w:hAnsi="Arial" w:cs="Arial"/>
        </w:rPr>
        <w:t xml:space="preserve">or report </w:t>
      </w:r>
      <w:r w:rsidR="00321EA1">
        <w:rPr>
          <w:rFonts w:ascii="Arial" w:hAnsi="Arial" w:cs="Arial"/>
        </w:rPr>
        <w:t xml:space="preserve">made </w:t>
      </w:r>
      <w:r w:rsidR="000A580B">
        <w:rPr>
          <w:rFonts w:ascii="Arial" w:hAnsi="Arial" w:cs="Arial"/>
        </w:rPr>
        <w:t>by the accused following his arrest.</w:t>
      </w:r>
    </w:p>
    <w:p w:rsidR="00572E52" w:rsidRDefault="000A580B" w:rsidP="002A726E">
      <w:pPr>
        <w:spacing w:line="360" w:lineRule="auto"/>
        <w:jc w:val="both"/>
        <w:rPr>
          <w:rFonts w:ascii="Arial" w:hAnsi="Arial" w:cs="Arial"/>
        </w:rPr>
      </w:pPr>
      <w:r>
        <w:rPr>
          <w:rFonts w:ascii="Arial" w:hAnsi="Arial" w:cs="Arial"/>
        </w:rPr>
        <w:t xml:space="preserve"> </w:t>
      </w:r>
    </w:p>
    <w:p w:rsidR="00572E52" w:rsidRDefault="00572E52" w:rsidP="002A726E">
      <w:pPr>
        <w:spacing w:line="360" w:lineRule="auto"/>
        <w:jc w:val="both"/>
        <w:rPr>
          <w:rFonts w:ascii="Arial" w:hAnsi="Arial" w:cs="Arial"/>
          <w:i/>
        </w:rPr>
      </w:pPr>
      <w:r>
        <w:rPr>
          <w:rFonts w:ascii="Arial" w:hAnsi="Arial" w:cs="Arial"/>
          <w:i/>
        </w:rPr>
        <w:t>Alibi defence</w:t>
      </w:r>
    </w:p>
    <w:p w:rsidR="0068115E" w:rsidRPr="00534F24" w:rsidRDefault="00572E52" w:rsidP="00534F24">
      <w:pPr>
        <w:spacing w:line="360" w:lineRule="auto"/>
        <w:jc w:val="both"/>
        <w:rPr>
          <w:rFonts w:ascii="Arial" w:hAnsi="Arial" w:cs="Arial"/>
        </w:rPr>
      </w:pPr>
      <w:r w:rsidRPr="00572E52">
        <w:rPr>
          <w:rFonts w:ascii="Arial" w:hAnsi="Arial" w:cs="Arial"/>
        </w:rPr>
        <w:t>[</w:t>
      </w:r>
      <w:r w:rsidR="00A772FB">
        <w:rPr>
          <w:rFonts w:ascii="Arial" w:hAnsi="Arial" w:cs="Arial"/>
        </w:rPr>
        <w:t>58</w:t>
      </w:r>
      <w:r w:rsidRPr="00572E52">
        <w:rPr>
          <w:rFonts w:ascii="Arial" w:hAnsi="Arial" w:cs="Arial"/>
        </w:rPr>
        <w:t>]</w:t>
      </w:r>
      <w:r w:rsidRPr="00572E52">
        <w:rPr>
          <w:rFonts w:ascii="Arial" w:hAnsi="Arial" w:cs="Arial"/>
        </w:rPr>
        <w:tab/>
      </w:r>
      <w:r>
        <w:rPr>
          <w:rFonts w:ascii="Arial" w:hAnsi="Arial" w:cs="Arial"/>
        </w:rPr>
        <w:t>Though not specifically pleaded, the accused’s defence amounts to that of an alibi i.e. that he was at home on the night the murders were committed and unaware of the events that led to the death of th</w:t>
      </w:r>
      <w:r w:rsidR="002733A9">
        <w:rPr>
          <w:rFonts w:ascii="Arial" w:hAnsi="Arial" w:cs="Arial"/>
        </w:rPr>
        <w:t>e deceased persons.</w:t>
      </w:r>
      <w:r w:rsidR="00AC1DCA">
        <w:rPr>
          <w:rFonts w:ascii="Arial" w:hAnsi="Arial" w:cs="Arial"/>
        </w:rPr>
        <w:t xml:space="preserve"> There is no burden on the accused to prove his alibi as the onus is on the state to show beyond reasonable doubt that the alibi of the accused is false.</w:t>
      </w:r>
      <w:r w:rsidR="002733A9">
        <w:rPr>
          <w:rFonts w:ascii="Arial" w:hAnsi="Arial" w:cs="Arial"/>
        </w:rPr>
        <w:t xml:space="preserve"> </w:t>
      </w:r>
      <w:r w:rsidR="00AC1DCA">
        <w:rPr>
          <w:rFonts w:ascii="Arial" w:hAnsi="Arial" w:cs="Arial"/>
        </w:rPr>
        <w:t>If there is a reasonable possibility that the accused’s alibi could be true, then the state has obviously failed to discharge its burden and the accused must be given the benefit of the doubt.</w:t>
      </w:r>
    </w:p>
    <w:p w:rsidR="00534F24" w:rsidRPr="00A772FB" w:rsidRDefault="00534F24" w:rsidP="008E64E0">
      <w:pPr>
        <w:spacing w:before="240" w:line="360" w:lineRule="auto"/>
        <w:jc w:val="both"/>
        <w:rPr>
          <w:rFonts w:ascii="Arial" w:hAnsi="Arial" w:cs="Arial"/>
          <w:lang w:val="en-ZA"/>
        </w:rPr>
      </w:pPr>
    </w:p>
    <w:p w:rsidR="00781F95" w:rsidRPr="008E64E0" w:rsidRDefault="00781F95" w:rsidP="008E64E0">
      <w:pPr>
        <w:spacing w:before="240" w:line="360" w:lineRule="auto"/>
        <w:jc w:val="both"/>
        <w:rPr>
          <w:rFonts w:ascii="Arial" w:hAnsi="Arial" w:cs="Arial"/>
          <w:i/>
          <w:lang w:val="en-ZA"/>
        </w:rPr>
      </w:pPr>
      <w:r w:rsidRPr="00677655">
        <w:rPr>
          <w:rFonts w:ascii="Arial" w:hAnsi="Arial" w:cs="Arial"/>
          <w:i/>
          <w:lang w:val="en-ZA"/>
        </w:rPr>
        <w:t>The court’s approach to expert evidence</w:t>
      </w:r>
    </w:p>
    <w:p w:rsidR="001B600A" w:rsidRPr="00677655" w:rsidRDefault="00781F95" w:rsidP="00781F95">
      <w:pPr>
        <w:spacing w:line="360" w:lineRule="auto"/>
        <w:jc w:val="both"/>
        <w:rPr>
          <w:rFonts w:ascii="Arial" w:hAnsi="Arial" w:cs="Arial"/>
          <w:lang w:val="en-ZA"/>
        </w:rPr>
      </w:pPr>
      <w:r w:rsidRPr="00677655">
        <w:rPr>
          <w:rFonts w:ascii="Arial" w:hAnsi="Arial" w:cs="Arial"/>
          <w:lang w:val="en-ZA"/>
        </w:rPr>
        <w:t>[</w:t>
      </w:r>
      <w:r w:rsidR="00A772FB">
        <w:rPr>
          <w:rFonts w:ascii="Arial" w:hAnsi="Arial" w:cs="Arial"/>
          <w:lang w:val="en-ZA"/>
        </w:rPr>
        <w:t>59</w:t>
      </w:r>
      <w:r w:rsidRPr="00677655">
        <w:rPr>
          <w:rFonts w:ascii="Arial" w:hAnsi="Arial" w:cs="Arial"/>
          <w:lang w:val="en-ZA"/>
        </w:rPr>
        <w:t>]   When dealing with expert evidence, the court must be satisfied that a witness is competent to testify as an expert and has the necessary expertise on the subject he or she is called upon to testify.  In its determination whether the expert witness’s evidence is relevant to the case, the court will follow a realistic approach.</w:t>
      </w:r>
      <w:r w:rsidRPr="00677655">
        <w:rPr>
          <w:rStyle w:val="FootnoteReference"/>
          <w:rFonts w:ascii="Arial" w:hAnsi="Arial" w:cs="Arial"/>
          <w:lang w:val="en-ZA"/>
        </w:rPr>
        <w:footnoteReference w:id="19"/>
      </w:r>
      <w:r w:rsidRPr="00677655">
        <w:rPr>
          <w:lang w:val="en-ZA"/>
        </w:rPr>
        <w:t xml:space="preserve"> </w:t>
      </w:r>
      <w:r w:rsidRPr="00677655">
        <w:rPr>
          <w:rFonts w:ascii="Arial" w:hAnsi="Arial" w:cs="Arial"/>
          <w:lang w:val="en-ZA"/>
        </w:rPr>
        <w:t xml:space="preserve">The evidence of Ms Swart undoubtedly amounts to expert evidence from which it is patently clear that through special studies in the particular field, training and </w:t>
      </w:r>
      <w:r w:rsidR="001B600A" w:rsidRPr="00677655">
        <w:rPr>
          <w:rFonts w:ascii="Arial" w:hAnsi="Arial" w:cs="Arial"/>
          <w:lang w:val="en-ZA"/>
        </w:rPr>
        <w:t xml:space="preserve">with her </w:t>
      </w:r>
      <w:r w:rsidRPr="00677655">
        <w:rPr>
          <w:rFonts w:ascii="Arial" w:hAnsi="Arial" w:cs="Arial"/>
          <w:lang w:val="en-ZA"/>
        </w:rPr>
        <w:t>experience a</w:t>
      </w:r>
      <w:r w:rsidR="001B600A" w:rsidRPr="00677655">
        <w:rPr>
          <w:rFonts w:ascii="Arial" w:hAnsi="Arial" w:cs="Arial"/>
          <w:lang w:val="en-ZA"/>
        </w:rPr>
        <w:t>s</w:t>
      </w:r>
      <w:r w:rsidRPr="00677655">
        <w:rPr>
          <w:rFonts w:ascii="Arial" w:hAnsi="Arial" w:cs="Arial"/>
          <w:lang w:val="en-ZA"/>
        </w:rPr>
        <w:t xml:space="preserve"> Chief F</w:t>
      </w:r>
      <w:r w:rsidR="001B600A" w:rsidRPr="00677655">
        <w:rPr>
          <w:rFonts w:ascii="Arial" w:hAnsi="Arial" w:cs="Arial"/>
          <w:lang w:val="en-ZA"/>
        </w:rPr>
        <w:t xml:space="preserve">orensic Scientist with </w:t>
      </w:r>
      <w:r w:rsidR="001B600A" w:rsidRPr="00677655">
        <w:rPr>
          <w:rFonts w:ascii="Arial" w:hAnsi="Arial" w:cs="Arial"/>
          <w:lang w:val="en-ZA"/>
        </w:rPr>
        <w:lastRenderedPageBreak/>
        <w:t>the NFSI</w:t>
      </w:r>
      <w:r w:rsidRPr="00677655">
        <w:rPr>
          <w:rFonts w:ascii="Arial" w:hAnsi="Arial" w:cs="Arial"/>
          <w:lang w:val="en-ZA"/>
        </w:rPr>
        <w:t xml:space="preserve">, she is </w:t>
      </w:r>
      <w:r w:rsidR="001B600A" w:rsidRPr="00677655">
        <w:rPr>
          <w:rFonts w:ascii="Arial" w:hAnsi="Arial" w:cs="Arial"/>
          <w:lang w:val="en-ZA"/>
        </w:rPr>
        <w:t xml:space="preserve">sufficiently </w:t>
      </w:r>
      <w:r w:rsidRPr="00677655">
        <w:rPr>
          <w:rFonts w:ascii="Arial" w:hAnsi="Arial" w:cs="Arial"/>
          <w:lang w:val="en-ZA"/>
        </w:rPr>
        <w:t>qualified to express an independent opinion on DNA examination and interpretation. The function of an expert is essentially to assist the court to reach a concl</w:t>
      </w:r>
      <w:r w:rsidR="001B600A" w:rsidRPr="00677655">
        <w:rPr>
          <w:rFonts w:ascii="Arial" w:hAnsi="Arial" w:cs="Arial"/>
          <w:lang w:val="en-ZA"/>
        </w:rPr>
        <w:t>usion on matters</w:t>
      </w:r>
      <w:r w:rsidRPr="00677655">
        <w:rPr>
          <w:rFonts w:ascii="Arial" w:hAnsi="Arial" w:cs="Arial"/>
          <w:lang w:val="en-ZA"/>
        </w:rPr>
        <w:t xml:space="preserve"> which the court</w:t>
      </w:r>
      <w:r w:rsidR="001B600A" w:rsidRPr="00677655">
        <w:rPr>
          <w:rFonts w:ascii="Arial" w:hAnsi="Arial" w:cs="Arial"/>
          <w:lang w:val="en-ZA"/>
        </w:rPr>
        <w:t>, on its own,</w:t>
      </w:r>
      <w:r w:rsidRPr="00677655">
        <w:rPr>
          <w:rFonts w:ascii="Arial" w:hAnsi="Arial" w:cs="Arial"/>
          <w:lang w:val="en-ZA"/>
        </w:rPr>
        <w:t xml:space="preserve"> lacks the necessary knowledge to decide. Though guided by the opinion of an expert, the court must be mindful that it is not the expert’</w:t>
      </w:r>
      <w:r w:rsidR="001B600A" w:rsidRPr="00677655">
        <w:rPr>
          <w:rFonts w:ascii="Arial" w:hAnsi="Arial" w:cs="Arial"/>
          <w:lang w:val="en-ZA"/>
        </w:rPr>
        <w:t>s</w:t>
      </w:r>
      <w:r w:rsidRPr="00677655">
        <w:rPr>
          <w:rFonts w:ascii="Arial" w:hAnsi="Arial" w:cs="Arial"/>
          <w:lang w:val="en-ZA"/>
        </w:rPr>
        <w:t xml:space="preserve"> opinion which is decisive, but rather </w:t>
      </w:r>
      <w:r w:rsidR="001B600A" w:rsidRPr="00677655">
        <w:rPr>
          <w:rFonts w:ascii="Arial" w:hAnsi="Arial" w:cs="Arial"/>
          <w:lang w:val="en-ZA"/>
        </w:rPr>
        <w:t xml:space="preserve">for </w:t>
      </w:r>
      <w:r w:rsidRPr="00677655">
        <w:rPr>
          <w:rFonts w:ascii="Arial" w:hAnsi="Arial" w:cs="Arial"/>
          <w:lang w:val="en-ZA"/>
        </w:rPr>
        <w:t xml:space="preserve">the court </w:t>
      </w:r>
      <w:r w:rsidR="001B600A" w:rsidRPr="00677655">
        <w:rPr>
          <w:rFonts w:ascii="Arial" w:hAnsi="Arial" w:cs="Arial"/>
          <w:lang w:val="en-ZA"/>
        </w:rPr>
        <w:t>to be persuaded by</w:t>
      </w:r>
      <w:r w:rsidRPr="00677655">
        <w:rPr>
          <w:rFonts w:ascii="Arial" w:hAnsi="Arial" w:cs="Arial"/>
          <w:lang w:val="en-ZA"/>
        </w:rPr>
        <w:t xml:space="preserve"> </w:t>
      </w:r>
      <w:r w:rsidR="001B600A" w:rsidRPr="00677655">
        <w:rPr>
          <w:rFonts w:ascii="Arial" w:hAnsi="Arial" w:cs="Arial"/>
          <w:lang w:val="en-ZA"/>
        </w:rPr>
        <w:t>the special skill or expertise</w:t>
      </w:r>
      <w:r w:rsidRPr="00677655">
        <w:rPr>
          <w:rFonts w:ascii="Arial" w:hAnsi="Arial" w:cs="Arial"/>
          <w:lang w:val="en-ZA"/>
        </w:rPr>
        <w:t xml:space="preserve"> </w:t>
      </w:r>
      <w:r w:rsidR="001B600A" w:rsidRPr="00677655">
        <w:rPr>
          <w:rFonts w:ascii="Arial" w:hAnsi="Arial" w:cs="Arial"/>
          <w:lang w:val="en-ZA"/>
        </w:rPr>
        <w:t xml:space="preserve">of the witness </w:t>
      </w:r>
      <w:r w:rsidRPr="00677655">
        <w:rPr>
          <w:rFonts w:ascii="Arial" w:hAnsi="Arial" w:cs="Arial"/>
          <w:lang w:val="en-ZA"/>
        </w:rPr>
        <w:t>that the reasons for expressing the opinion, is acceptable.</w:t>
      </w:r>
      <w:r w:rsidRPr="00677655">
        <w:rPr>
          <w:rStyle w:val="FootnoteReference"/>
          <w:rFonts w:ascii="Arial" w:hAnsi="Arial" w:cs="Arial"/>
          <w:lang w:val="en-ZA"/>
        </w:rPr>
        <w:footnoteReference w:id="20"/>
      </w:r>
      <w:r w:rsidRPr="00677655">
        <w:rPr>
          <w:rFonts w:ascii="Arial" w:hAnsi="Arial" w:cs="Arial"/>
          <w:lang w:val="en-ZA"/>
        </w:rPr>
        <w:t xml:space="preserve"> It is therefore necessary tha</w:t>
      </w:r>
      <w:r w:rsidR="008E64E0">
        <w:rPr>
          <w:rFonts w:ascii="Arial" w:hAnsi="Arial" w:cs="Arial"/>
          <w:lang w:val="en-ZA"/>
        </w:rPr>
        <w:t>t the court be apprised of all facts and</w:t>
      </w:r>
      <w:r w:rsidRPr="00677655">
        <w:rPr>
          <w:rFonts w:ascii="Arial" w:hAnsi="Arial" w:cs="Arial"/>
          <w:lang w:val="en-ZA"/>
        </w:rPr>
        <w:t xml:space="preserve"> reasoning on which the opinion is based.</w:t>
      </w:r>
      <w:r w:rsidRPr="00677655">
        <w:rPr>
          <w:lang w:val="en-ZA"/>
        </w:rPr>
        <w:t xml:space="preserve"> </w:t>
      </w:r>
      <w:r w:rsidRPr="00677655">
        <w:rPr>
          <w:rFonts w:ascii="Arial" w:hAnsi="Arial" w:cs="Arial"/>
          <w:lang w:val="en-ZA"/>
        </w:rPr>
        <w:t>It is however not an absolute rule that the basi</w:t>
      </w:r>
      <w:r w:rsidR="008E64E0">
        <w:rPr>
          <w:rFonts w:ascii="Arial" w:hAnsi="Arial" w:cs="Arial"/>
          <w:lang w:val="en-ZA"/>
        </w:rPr>
        <w:t>s of the opinion must be stated</w:t>
      </w:r>
      <w:r w:rsidRPr="00677655">
        <w:rPr>
          <w:rFonts w:ascii="Arial" w:hAnsi="Arial" w:cs="Arial"/>
          <w:lang w:val="en-ZA"/>
        </w:rPr>
        <w:t xml:space="preserve"> because sometimes it may be impracticable to insist on a comprehensive explanation of how an apparatus or a device functions.</w:t>
      </w:r>
      <w:r w:rsidRPr="00677655">
        <w:rPr>
          <w:rStyle w:val="FootnoteReference"/>
          <w:rFonts w:ascii="Arial" w:hAnsi="Arial" w:cs="Arial"/>
          <w:lang w:val="en-ZA"/>
        </w:rPr>
        <w:footnoteReference w:id="21"/>
      </w:r>
      <w:r w:rsidRPr="00677655">
        <w:rPr>
          <w:rFonts w:ascii="Arial" w:hAnsi="Arial" w:cs="Arial"/>
          <w:lang w:val="en-ZA"/>
        </w:rPr>
        <w:t xml:space="preserve">  If the Court is satisfied that the evidence of the expert can assist it in its determination of the facts and </w:t>
      </w:r>
      <w:r w:rsidR="001B600A" w:rsidRPr="00677655">
        <w:rPr>
          <w:rFonts w:ascii="Arial" w:hAnsi="Arial" w:cs="Arial"/>
          <w:lang w:val="en-ZA"/>
        </w:rPr>
        <w:t>is as such</w:t>
      </w:r>
      <w:r w:rsidRPr="00677655">
        <w:rPr>
          <w:rFonts w:ascii="Arial" w:hAnsi="Arial" w:cs="Arial"/>
          <w:lang w:val="en-ZA"/>
        </w:rPr>
        <w:t xml:space="preserve"> </w:t>
      </w:r>
      <w:r w:rsidR="008E64E0">
        <w:rPr>
          <w:rFonts w:ascii="Arial" w:hAnsi="Arial" w:cs="Arial"/>
          <w:lang w:val="en-ZA"/>
        </w:rPr>
        <w:t xml:space="preserve">found </w:t>
      </w:r>
      <w:r w:rsidRPr="00677655">
        <w:rPr>
          <w:rFonts w:ascii="Arial" w:hAnsi="Arial" w:cs="Arial"/>
          <w:lang w:val="en-ZA"/>
        </w:rPr>
        <w:t>reliable, it may rely thereon.  However, in the final instance it remains for the court to decide whether the opinion</w:t>
      </w:r>
      <w:r w:rsidR="00A772FB">
        <w:rPr>
          <w:rFonts w:ascii="Arial" w:hAnsi="Arial" w:cs="Arial"/>
          <w:lang w:val="en-ZA"/>
        </w:rPr>
        <w:t>, in light of the evidence adduced,</w:t>
      </w:r>
      <w:r w:rsidRPr="00677655">
        <w:rPr>
          <w:rFonts w:ascii="Arial" w:hAnsi="Arial" w:cs="Arial"/>
          <w:lang w:val="en-ZA"/>
        </w:rPr>
        <w:t xml:space="preserve"> is correct.  </w:t>
      </w:r>
    </w:p>
    <w:p w:rsidR="001B600A" w:rsidRPr="00677655" w:rsidRDefault="001B600A" w:rsidP="00781F95">
      <w:pPr>
        <w:spacing w:line="360" w:lineRule="auto"/>
        <w:jc w:val="both"/>
        <w:rPr>
          <w:rFonts w:ascii="Arial" w:hAnsi="Arial" w:cs="Arial"/>
          <w:lang w:val="en-ZA"/>
        </w:rPr>
      </w:pPr>
    </w:p>
    <w:p w:rsidR="00781F95" w:rsidRPr="00677655" w:rsidRDefault="001B600A" w:rsidP="001B600A">
      <w:pPr>
        <w:spacing w:line="360" w:lineRule="auto"/>
        <w:jc w:val="both"/>
        <w:rPr>
          <w:lang w:val="en-ZA"/>
        </w:rPr>
      </w:pPr>
      <w:r w:rsidRPr="00677655">
        <w:rPr>
          <w:rFonts w:ascii="Arial" w:hAnsi="Arial" w:cs="Arial"/>
          <w:lang w:val="en-ZA"/>
        </w:rPr>
        <w:t>[</w:t>
      </w:r>
      <w:r w:rsidR="00A772FB">
        <w:rPr>
          <w:rFonts w:ascii="Arial" w:hAnsi="Arial" w:cs="Arial"/>
          <w:lang w:val="en-ZA"/>
        </w:rPr>
        <w:t>60</w:t>
      </w:r>
      <w:r w:rsidRPr="00677655">
        <w:rPr>
          <w:rFonts w:ascii="Arial" w:hAnsi="Arial" w:cs="Arial"/>
          <w:lang w:val="en-ZA"/>
        </w:rPr>
        <w:t>]</w:t>
      </w:r>
      <w:r w:rsidRPr="00677655">
        <w:rPr>
          <w:rFonts w:ascii="Arial" w:hAnsi="Arial" w:cs="Arial"/>
          <w:lang w:val="en-ZA"/>
        </w:rPr>
        <w:tab/>
      </w:r>
      <w:r w:rsidR="00781F95" w:rsidRPr="00677655">
        <w:rPr>
          <w:rFonts w:ascii="Arial" w:hAnsi="Arial" w:cs="Arial"/>
          <w:lang w:val="en-ZA"/>
        </w:rPr>
        <w:t>Where the court deals with highly technical evidence – as in this case – and is unable to draw a reliable inference on its own, the court is obliged to fully rely on the expert’s opinion, even where the opinion would concern the very question that the court must decide.  In such instance a high level of precision and care is expected from the expert witness when conducting the tests.  It has also been said that the courts should not assume the function of the expert witness and base its judgment on own observations and deductions in what should be an area of expertise.</w:t>
      </w:r>
      <w:r w:rsidR="00781F95" w:rsidRPr="00677655">
        <w:rPr>
          <w:rStyle w:val="FootnoteReference"/>
          <w:rFonts w:ascii="Arial" w:hAnsi="Arial" w:cs="Arial"/>
          <w:lang w:val="en-ZA"/>
        </w:rPr>
        <w:footnoteReference w:id="22"/>
      </w:r>
    </w:p>
    <w:p w:rsidR="001B600A" w:rsidRPr="00677655" w:rsidRDefault="001B600A" w:rsidP="00781F95">
      <w:pPr>
        <w:spacing w:before="240" w:line="360" w:lineRule="auto"/>
        <w:jc w:val="both"/>
        <w:rPr>
          <w:rFonts w:ascii="Arial" w:hAnsi="Arial" w:cs="Arial"/>
          <w:lang w:val="en-ZA"/>
        </w:rPr>
      </w:pPr>
    </w:p>
    <w:p w:rsidR="00677655" w:rsidRPr="00677655" w:rsidRDefault="001B600A" w:rsidP="00781F95">
      <w:pPr>
        <w:spacing w:before="240" w:line="360" w:lineRule="auto"/>
        <w:jc w:val="both"/>
        <w:rPr>
          <w:rFonts w:ascii="Arial" w:hAnsi="Arial" w:cs="Arial"/>
          <w:lang w:val="en-ZA"/>
        </w:rPr>
      </w:pPr>
      <w:r w:rsidRPr="00677655">
        <w:rPr>
          <w:rFonts w:ascii="Arial" w:hAnsi="Arial" w:cs="Arial"/>
          <w:lang w:val="en-ZA"/>
        </w:rPr>
        <w:t xml:space="preserve"> [</w:t>
      </w:r>
      <w:r w:rsidR="00A772FB">
        <w:rPr>
          <w:rFonts w:ascii="Arial" w:hAnsi="Arial" w:cs="Arial"/>
          <w:lang w:val="en-ZA"/>
        </w:rPr>
        <w:t>61</w:t>
      </w:r>
      <w:r w:rsidR="00781F95" w:rsidRPr="00677655">
        <w:rPr>
          <w:rFonts w:ascii="Arial" w:hAnsi="Arial" w:cs="Arial"/>
          <w:lang w:val="en-ZA"/>
        </w:rPr>
        <w:t xml:space="preserve">]   When applying the afore-stated principles to the present facts, I am satisfied that Ms Swart is </w:t>
      </w:r>
      <w:r w:rsidRPr="00677655">
        <w:rPr>
          <w:rFonts w:ascii="Arial" w:hAnsi="Arial" w:cs="Arial"/>
          <w:lang w:val="en-ZA"/>
        </w:rPr>
        <w:t xml:space="preserve">indeed </w:t>
      </w:r>
      <w:r w:rsidR="00781F95" w:rsidRPr="00677655">
        <w:rPr>
          <w:rFonts w:ascii="Arial" w:hAnsi="Arial" w:cs="Arial"/>
          <w:lang w:val="en-ZA"/>
        </w:rPr>
        <w:t>an expert in the science of DNA and that she performed her examination</w:t>
      </w:r>
      <w:r w:rsidR="008E64E0">
        <w:rPr>
          <w:rFonts w:ascii="Arial" w:hAnsi="Arial" w:cs="Arial"/>
          <w:lang w:val="en-ZA"/>
        </w:rPr>
        <w:t>,</w:t>
      </w:r>
      <w:r w:rsidR="00781F95" w:rsidRPr="00677655">
        <w:rPr>
          <w:rFonts w:ascii="Arial" w:hAnsi="Arial" w:cs="Arial"/>
          <w:lang w:val="en-ZA"/>
        </w:rPr>
        <w:t xml:space="preserve"> relating to samples taken during the investigation of the case, with the necessary care and precision. Also that the opinions </w:t>
      </w:r>
      <w:r w:rsidR="008E64E0">
        <w:rPr>
          <w:rFonts w:ascii="Arial" w:hAnsi="Arial" w:cs="Arial"/>
          <w:lang w:val="en-ZA"/>
        </w:rPr>
        <w:t>expressed by</w:t>
      </w:r>
      <w:r w:rsidR="00781F95" w:rsidRPr="00677655">
        <w:rPr>
          <w:rFonts w:ascii="Arial" w:hAnsi="Arial" w:cs="Arial"/>
          <w:lang w:val="en-ZA"/>
        </w:rPr>
        <w:t xml:space="preserve"> Ms Sw</w:t>
      </w:r>
      <w:r w:rsidR="008E64E0">
        <w:rPr>
          <w:rFonts w:ascii="Arial" w:hAnsi="Arial" w:cs="Arial"/>
          <w:lang w:val="en-ZA"/>
        </w:rPr>
        <w:t>art on exhibits subjected to DNA analysis</w:t>
      </w:r>
      <w:r w:rsidR="00781F95" w:rsidRPr="00677655">
        <w:rPr>
          <w:rFonts w:ascii="Arial" w:hAnsi="Arial" w:cs="Arial"/>
          <w:lang w:val="en-ZA"/>
        </w:rPr>
        <w:t xml:space="preserve"> represent a well-</w:t>
      </w:r>
      <w:r w:rsidR="00781F95" w:rsidRPr="00677655">
        <w:rPr>
          <w:rFonts w:ascii="Arial" w:hAnsi="Arial" w:cs="Arial"/>
          <w:lang w:val="en-ZA"/>
        </w:rPr>
        <w:lastRenderedPageBreak/>
        <w:t>reasoned conclusion</w:t>
      </w:r>
      <w:r w:rsidR="008E64E0">
        <w:rPr>
          <w:rFonts w:ascii="Arial" w:hAnsi="Arial" w:cs="Arial"/>
          <w:lang w:val="en-ZA"/>
        </w:rPr>
        <w:t>,</w:t>
      </w:r>
      <w:r w:rsidR="00781F95" w:rsidRPr="00677655">
        <w:rPr>
          <w:rFonts w:ascii="Arial" w:hAnsi="Arial" w:cs="Arial"/>
          <w:lang w:val="en-ZA"/>
        </w:rPr>
        <w:t xml:space="preserve"> based on certain facts or data which are either common cause, or had been established </w:t>
      </w:r>
      <w:r w:rsidR="00174060">
        <w:rPr>
          <w:rFonts w:ascii="Arial" w:hAnsi="Arial" w:cs="Arial"/>
          <w:lang w:val="en-ZA"/>
        </w:rPr>
        <w:t>through her analysis</w:t>
      </w:r>
      <w:r w:rsidR="00781F95" w:rsidRPr="00677655">
        <w:rPr>
          <w:rFonts w:ascii="Arial" w:hAnsi="Arial" w:cs="Arial"/>
          <w:lang w:val="en-ZA"/>
        </w:rPr>
        <w:t xml:space="preserve">. </w:t>
      </w:r>
      <w:r w:rsidR="00677655" w:rsidRPr="00677655">
        <w:rPr>
          <w:rFonts w:ascii="Arial" w:hAnsi="Arial" w:cs="Arial"/>
          <w:lang w:val="en-ZA"/>
        </w:rPr>
        <w:t>There was no</w:t>
      </w:r>
      <w:r w:rsidR="00781F95" w:rsidRPr="00677655">
        <w:rPr>
          <w:rFonts w:ascii="Arial" w:hAnsi="Arial" w:cs="Arial"/>
          <w:lang w:val="en-ZA"/>
        </w:rPr>
        <w:t xml:space="preserve"> attack </w:t>
      </w:r>
      <w:r w:rsidR="00174060">
        <w:rPr>
          <w:rFonts w:ascii="Arial" w:hAnsi="Arial" w:cs="Arial"/>
          <w:lang w:val="en-ZA"/>
        </w:rPr>
        <w:t xml:space="preserve">by </w:t>
      </w:r>
      <w:r w:rsidR="00083A48">
        <w:rPr>
          <w:rFonts w:ascii="Arial" w:hAnsi="Arial" w:cs="Arial"/>
          <w:lang w:val="en-ZA"/>
        </w:rPr>
        <w:t xml:space="preserve">the </w:t>
      </w:r>
      <w:r w:rsidR="00174060">
        <w:rPr>
          <w:rFonts w:ascii="Arial" w:hAnsi="Arial" w:cs="Arial"/>
          <w:lang w:val="en-ZA"/>
        </w:rPr>
        <w:t xml:space="preserve">defence </w:t>
      </w:r>
      <w:r w:rsidR="00781F95" w:rsidRPr="00677655">
        <w:rPr>
          <w:rFonts w:ascii="Arial" w:hAnsi="Arial" w:cs="Arial"/>
          <w:lang w:val="en-ZA"/>
        </w:rPr>
        <w:t xml:space="preserve">on the expert opinions of the witness regarding the compilation of DNA profiles of both the deceased and the accused. </w:t>
      </w:r>
      <w:r w:rsidR="00677655" w:rsidRPr="00677655">
        <w:rPr>
          <w:rFonts w:ascii="Arial" w:hAnsi="Arial" w:cs="Arial"/>
          <w:lang w:val="en-ZA"/>
        </w:rPr>
        <w:t>I</w:t>
      </w:r>
      <w:r w:rsidR="001C4889">
        <w:rPr>
          <w:rFonts w:ascii="Arial" w:hAnsi="Arial" w:cs="Arial"/>
          <w:lang w:val="en-ZA"/>
        </w:rPr>
        <w:t xml:space="preserve">t is </w:t>
      </w:r>
      <w:r w:rsidR="00083A48">
        <w:rPr>
          <w:rFonts w:ascii="Arial" w:hAnsi="Arial" w:cs="Arial"/>
          <w:lang w:val="en-ZA"/>
        </w:rPr>
        <w:t xml:space="preserve">my </w:t>
      </w:r>
      <w:r w:rsidR="001C4889">
        <w:rPr>
          <w:rFonts w:ascii="Arial" w:hAnsi="Arial" w:cs="Arial"/>
          <w:lang w:val="en-ZA"/>
        </w:rPr>
        <w:t xml:space="preserve">considered opinion that it has been established </w:t>
      </w:r>
      <w:r w:rsidR="00677655" w:rsidRPr="00677655">
        <w:rPr>
          <w:rFonts w:ascii="Arial" w:hAnsi="Arial" w:cs="Arial"/>
          <w:lang w:val="en-ZA"/>
        </w:rPr>
        <w:t>that</w:t>
      </w:r>
      <w:r w:rsidR="001C4889">
        <w:rPr>
          <w:rFonts w:ascii="Arial" w:hAnsi="Arial" w:cs="Arial"/>
          <w:lang w:val="en-ZA"/>
        </w:rPr>
        <w:t xml:space="preserve"> in respect of</w:t>
      </w:r>
      <w:r w:rsidR="00781F95" w:rsidRPr="00677655">
        <w:rPr>
          <w:rFonts w:ascii="Arial" w:hAnsi="Arial" w:cs="Arial"/>
          <w:lang w:val="en-ZA"/>
        </w:rPr>
        <w:t xml:space="preserve"> the expert evidence presented, </w:t>
      </w:r>
      <w:r w:rsidR="00677655" w:rsidRPr="00677655">
        <w:rPr>
          <w:rFonts w:ascii="Arial" w:hAnsi="Arial" w:cs="Arial"/>
          <w:lang w:val="en-ZA"/>
        </w:rPr>
        <w:t>the conclusions r</w:t>
      </w:r>
      <w:r w:rsidR="00174060">
        <w:rPr>
          <w:rFonts w:ascii="Arial" w:hAnsi="Arial" w:cs="Arial"/>
          <w:lang w:val="en-ZA"/>
        </w:rPr>
        <w:t>eached and opinions expressed and set out in the reports,</w:t>
      </w:r>
      <w:r w:rsidR="00677655" w:rsidRPr="00677655">
        <w:rPr>
          <w:rFonts w:ascii="Arial" w:hAnsi="Arial" w:cs="Arial"/>
          <w:lang w:val="en-ZA"/>
        </w:rPr>
        <w:t xml:space="preserve"> are sound</w:t>
      </w:r>
      <w:r w:rsidR="00781F95" w:rsidRPr="00677655">
        <w:rPr>
          <w:rFonts w:ascii="Arial" w:hAnsi="Arial" w:cs="Arial"/>
          <w:lang w:val="en-ZA"/>
        </w:rPr>
        <w:t xml:space="preserve"> and </w:t>
      </w:r>
      <w:r w:rsidR="00174060">
        <w:rPr>
          <w:rFonts w:ascii="Arial" w:hAnsi="Arial" w:cs="Arial"/>
          <w:lang w:val="en-ZA"/>
        </w:rPr>
        <w:t>founded</w:t>
      </w:r>
      <w:r w:rsidR="00677655" w:rsidRPr="00677655">
        <w:rPr>
          <w:rFonts w:ascii="Arial" w:hAnsi="Arial" w:cs="Arial"/>
          <w:lang w:val="en-ZA"/>
        </w:rPr>
        <w:t xml:space="preserve"> on proved facts</w:t>
      </w:r>
      <w:r w:rsidR="00781F95" w:rsidRPr="00677655">
        <w:rPr>
          <w:rFonts w:ascii="Arial" w:hAnsi="Arial" w:cs="Arial"/>
          <w:lang w:val="en-ZA"/>
        </w:rPr>
        <w:t xml:space="preserve">. </w:t>
      </w:r>
    </w:p>
    <w:p w:rsidR="00677655" w:rsidRDefault="00677655" w:rsidP="00781F95">
      <w:pPr>
        <w:spacing w:before="240" w:line="360" w:lineRule="auto"/>
        <w:jc w:val="both"/>
        <w:rPr>
          <w:rFonts w:ascii="Arial" w:hAnsi="Arial" w:cs="Arial"/>
          <w:color w:val="FF0000"/>
          <w:lang w:val="en-ZA"/>
        </w:rPr>
      </w:pPr>
    </w:p>
    <w:p w:rsidR="002F30FD" w:rsidRDefault="00677655" w:rsidP="002F30FD">
      <w:pPr>
        <w:spacing w:before="240" w:line="360" w:lineRule="auto"/>
        <w:jc w:val="both"/>
        <w:rPr>
          <w:rFonts w:ascii="Arial" w:hAnsi="Arial" w:cs="Arial"/>
          <w:color w:val="FF0000"/>
          <w:lang w:val="en-ZA"/>
        </w:rPr>
      </w:pPr>
      <w:r w:rsidRPr="0098703A">
        <w:rPr>
          <w:rFonts w:ascii="Arial" w:hAnsi="Arial" w:cs="Arial"/>
          <w:lang w:val="en-ZA"/>
        </w:rPr>
        <w:t>[</w:t>
      </w:r>
      <w:r w:rsidR="00083A48">
        <w:rPr>
          <w:rFonts w:ascii="Arial" w:hAnsi="Arial" w:cs="Arial"/>
          <w:lang w:val="en-ZA"/>
        </w:rPr>
        <w:t>62</w:t>
      </w:r>
      <w:r w:rsidRPr="0098703A">
        <w:rPr>
          <w:rFonts w:ascii="Arial" w:hAnsi="Arial" w:cs="Arial"/>
          <w:lang w:val="en-ZA"/>
        </w:rPr>
        <w:t>]</w:t>
      </w:r>
      <w:r w:rsidRPr="0098703A">
        <w:rPr>
          <w:rFonts w:ascii="Arial" w:hAnsi="Arial" w:cs="Arial"/>
          <w:lang w:val="en-ZA"/>
        </w:rPr>
        <w:tab/>
      </w:r>
      <w:r w:rsidR="0098703A">
        <w:rPr>
          <w:rFonts w:ascii="Arial" w:hAnsi="Arial" w:cs="Arial"/>
          <w:lang w:val="en-ZA"/>
        </w:rPr>
        <w:t xml:space="preserve">The fore-mentioned approach would equally apply to the evidence of Mr Sem, the forensic scientist on ballistics who examined the accused’s vehicle and later on conducted ballistic tests on a projectile found lodged in the armrest of the rear </w:t>
      </w:r>
      <w:r w:rsidR="00B63120">
        <w:rPr>
          <w:rFonts w:ascii="Arial" w:hAnsi="Arial" w:cs="Arial"/>
          <w:lang w:val="en-ZA"/>
        </w:rPr>
        <w:t>seat. His conclusion</w:t>
      </w:r>
      <w:r w:rsidR="0098703A">
        <w:rPr>
          <w:rFonts w:ascii="Arial" w:hAnsi="Arial" w:cs="Arial"/>
          <w:lang w:val="en-ZA"/>
        </w:rPr>
        <w:t xml:space="preserve"> that </w:t>
      </w:r>
      <w:r w:rsidR="00B63120">
        <w:rPr>
          <w:rFonts w:ascii="Arial" w:hAnsi="Arial" w:cs="Arial"/>
          <w:lang w:val="en-ZA"/>
        </w:rPr>
        <w:t>there were sufficient characteristics found between the projectile collected from the ve</w:t>
      </w:r>
      <w:r w:rsidR="00C540A0">
        <w:rPr>
          <w:rFonts w:ascii="Arial" w:hAnsi="Arial" w:cs="Arial"/>
          <w:lang w:val="en-ZA"/>
        </w:rPr>
        <w:t>hicle and those obtained from</w:t>
      </w:r>
      <w:r w:rsidR="00B63120">
        <w:rPr>
          <w:rFonts w:ascii="Arial" w:hAnsi="Arial" w:cs="Arial"/>
          <w:lang w:val="en-ZA"/>
        </w:rPr>
        <w:t xml:space="preserve"> test shots fired with the accused’s firearm</w:t>
      </w:r>
      <w:r w:rsidR="00C540A0">
        <w:rPr>
          <w:rFonts w:ascii="Arial" w:hAnsi="Arial" w:cs="Arial"/>
          <w:lang w:val="en-ZA"/>
        </w:rPr>
        <w:t xml:space="preserve"> during the examination</w:t>
      </w:r>
      <w:r w:rsidR="00B63120">
        <w:rPr>
          <w:rFonts w:ascii="Arial" w:hAnsi="Arial" w:cs="Arial"/>
          <w:lang w:val="en-ZA"/>
        </w:rPr>
        <w:t xml:space="preserve">, is supported by </w:t>
      </w:r>
      <w:r w:rsidR="00C540A0">
        <w:rPr>
          <w:rFonts w:ascii="Arial" w:hAnsi="Arial" w:cs="Arial"/>
          <w:lang w:val="en-ZA"/>
        </w:rPr>
        <w:t>the</w:t>
      </w:r>
      <w:r w:rsidR="00083A48">
        <w:rPr>
          <w:rFonts w:ascii="Arial" w:hAnsi="Arial" w:cs="Arial"/>
          <w:lang w:val="en-ZA"/>
        </w:rPr>
        <w:t xml:space="preserve"> court chart and</w:t>
      </w:r>
      <w:r w:rsidR="00C540A0">
        <w:rPr>
          <w:rFonts w:ascii="Arial" w:hAnsi="Arial" w:cs="Arial"/>
          <w:lang w:val="en-ZA"/>
        </w:rPr>
        <w:t xml:space="preserve"> </w:t>
      </w:r>
      <w:r w:rsidR="00B63120">
        <w:rPr>
          <w:rFonts w:ascii="Arial" w:hAnsi="Arial" w:cs="Arial"/>
          <w:lang w:val="en-ZA"/>
        </w:rPr>
        <w:t>proven facts.</w:t>
      </w:r>
    </w:p>
    <w:p w:rsidR="00677655" w:rsidRDefault="00677655" w:rsidP="00781F95">
      <w:pPr>
        <w:spacing w:before="240" w:line="360" w:lineRule="auto"/>
        <w:jc w:val="both"/>
        <w:rPr>
          <w:rFonts w:ascii="Arial" w:hAnsi="Arial" w:cs="Arial"/>
          <w:color w:val="FF0000"/>
          <w:lang w:val="en-ZA"/>
        </w:rPr>
      </w:pPr>
    </w:p>
    <w:p w:rsidR="00781F95" w:rsidRDefault="002F30FD" w:rsidP="00781F95">
      <w:pPr>
        <w:spacing w:before="240" w:line="360" w:lineRule="auto"/>
        <w:jc w:val="both"/>
        <w:rPr>
          <w:rFonts w:ascii="Arial" w:hAnsi="Arial" w:cs="Arial"/>
          <w:lang w:val="en-ZA"/>
        </w:rPr>
      </w:pPr>
      <w:r w:rsidRPr="002F30FD">
        <w:rPr>
          <w:rFonts w:ascii="Arial" w:hAnsi="Arial" w:cs="Arial"/>
          <w:lang w:val="en-ZA"/>
        </w:rPr>
        <w:t>[</w:t>
      </w:r>
      <w:r w:rsidR="00083A48">
        <w:rPr>
          <w:rFonts w:ascii="Arial" w:hAnsi="Arial" w:cs="Arial"/>
          <w:lang w:val="en-ZA"/>
        </w:rPr>
        <w:t>63</w:t>
      </w:r>
      <w:r w:rsidRPr="002F30FD">
        <w:rPr>
          <w:rFonts w:ascii="Arial" w:hAnsi="Arial" w:cs="Arial"/>
          <w:lang w:val="en-ZA"/>
        </w:rPr>
        <w:t>]</w:t>
      </w:r>
      <w:r w:rsidRPr="002F30FD">
        <w:rPr>
          <w:rFonts w:ascii="Arial" w:hAnsi="Arial" w:cs="Arial"/>
          <w:lang w:val="en-ZA"/>
        </w:rPr>
        <w:tab/>
      </w:r>
      <w:r w:rsidR="00781F95" w:rsidRPr="002F30FD">
        <w:rPr>
          <w:rFonts w:ascii="Arial" w:hAnsi="Arial" w:cs="Arial"/>
          <w:lang w:val="en-ZA"/>
        </w:rPr>
        <w:t>I</w:t>
      </w:r>
      <w:r w:rsidR="001C4889">
        <w:rPr>
          <w:rFonts w:ascii="Arial" w:hAnsi="Arial" w:cs="Arial"/>
          <w:lang w:val="en-ZA"/>
        </w:rPr>
        <w:t>t seems inevitable to come to the conclusion</w:t>
      </w:r>
      <w:r w:rsidR="00781F95" w:rsidRPr="002F30FD">
        <w:rPr>
          <w:rFonts w:ascii="Arial" w:hAnsi="Arial" w:cs="Arial"/>
          <w:lang w:val="en-ZA"/>
        </w:rPr>
        <w:t xml:space="preserve"> that the e</w:t>
      </w:r>
      <w:r w:rsidR="001C4889">
        <w:rPr>
          <w:rFonts w:ascii="Arial" w:hAnsi="Arial" w:cs="Arial"/>
          <w:lang w:val="en-ZA"/>
        </w:rPr>
        <w:t>xpert evidence of</w:t>
      </w:r>
      <w:r w:rsidR="00C540A0">
        <w:rPr>
          <w:rFonts w:ascii="Arial" w:hAnsi="Arial" w:cs="Arial"/>
          <w:lang w:val="en-ZA"/>
        </w:rPr>
        <w:t xml:space="preserve"> the two officials from the NFSI</w:t>
      </w:r>
      <w:r w:rsidR="00781F95" w:rsidRPr="002F30FD">
        <w:rPr>
          <w:rFonts w:ascii="Arial" w:hAnsi="Arial" w:cs="Arial"/>
          <w:lang w:val="en-ZA"/>
        </w:rPr>
        <w:t xml:space="preserve"> </w:t>
      </w:r>
      <w:r w:rsidR="001C4889">
        <w:rPr>
          <w:rFonts w:ascii="Arial" w:hAnsi="Arial" w:cs="Arial"/>
          <w:lang w:val="en-ZA"/>
        </w:rPr>
        <w:t>as regards the forensic analysis of evidence</w:t>
      </w:r>
      <w:r w:rsidR="0068115E">
        <w:rPr>
          <w:rFonts w:ascii="Arial" w:hAnsi="Arial" w:cs="Arial"/>
          <w:lang w:val="en-ZA"/>
        </w:rPr>
        <w:t>,</w:t>
      </w:r>
      <w:r w:rsidR="001C4889">
        <w:rPr>
          <w:rFonts w:ascii="Arial" w:hAnsi="Arial" w:cs="Arial"/>
          <w:lang w:val="en-ZA"/>
        </w:rPr>
        <w:t xml:space="preserve"> linked to the murder of the two deceased</w:t>
      </w:r>
      <w:r w:rsidR="0068115E">
        <w:rPr>
          <w:rFonts w:ascii="Arial" w:hAnsi="Arial" w:cs="Arial"/>
          <w:lang w:val="en-ZA"/>
        </w:rPr>
        <w:t>,</w:t>
      </w:r>
      <w:r w:rsidR="001C4889">
        <w:rPr>
          <w:rFonts w:ascii="Arial" w:hAnsi="Arial" w:cs="Arial"/>
          <w:lang w:val="en-ZA"/>
        </w:rPr>
        <w:t xml:space="preserve"> </w:t>
      </w:r>
      <w:r w:rsidR="00781F95" w:rsidRPr="002F30FD">
        <w:rPr>
          <w:rFonts w:ascii="Arial" w:hAnsi="Arial" w:cs="Arial"/>
          <w:lang w:val="en-ZA"/>
        </w:rPr>
        <w:t xml:space="preserve">is </w:t>
      </w:r>
      <w:r w:rsidR="001C4889">
        <w:rPr>
          <w:rFonts w:ascii="Arial" w:hAnsi="Arial" w:cs="Arial"/>
          <w:lang w:val="en-ZA"/>
        </w:rPr>
        <w:t xml:space="preserve">satisfactory and </w:t>
      </w:r>
      <w:r w:rsidR="00781F95" w:rsidRPr="002F30FD">
        <w:rPr>
          <w:rFonts w:ascii="Arial" w:hAnsi="Arial" w:cs="Arial"/>
          <w:lang w:val="en-ZA"/>
        </w:rPr>
        <w:t>reliable</w:t>
      </w:r>
      <w:r w:rsidR="00C540A0">
        <w:rPr>
          <w:rFonts w:ascii="Arial" w:hAnsi="Arial" w:cs="Arial"/>
          <w:lang w:val="en-ZA"/>
        </w:rPr>
        <w:t>.</w:t>
      </w:r>
      <w:r w:rsidR="00781F95" w:rsidRPr="002F30FD">
        <w:rPr>
          <w:rFonts w:ascii="Arial" w:hAnsi="Arial" w:cs="Arial"/>
          <w:lang w:val="en-ZA"/>
        </w:rPr>
        <w:t xml:space="preserve"> I </w:t>
      </w:r>
      <w:r w:rsidR="00C540A0">
        <w:rPr>
          <w:rFonts w:ascii="Arial" w:hAnsi="Arial" w:cs="Arial"/>
          <w:lang w:val="en-ZA"/>
        </w:rPr>
        <w:t>accordingly</w:t>
      </w:r>
      <w:r w:rsidR="00C540A0" w:rsidRPr="002F30FD">
        <w:rPr>
          <w:rFonts w:ascii="Arial" w:hAnsi="Arial" w:cs="Arial"/>
          <w:lang w:val="en-ZA"/>
        </w:rPr>
        <w:t xml:space="preserve"> </w:t>
      </w:r>
      <w:r w:rsidR="00781F95" w:rsidRPr="002F30FD">
        <w:rPr>
          <w:rFonts w:ascii="Arial" w:hAnsi="Arial" w:cs="Arial"/>
          <w:lang w:val="en-ZA"/>
        </w:rPr>
        <w:t>so find.</w:t>
      </w:r>
    </w:p>
    <w:p w:rsidR="002F30FD" w:rsidRPr="00534F24" w:rsidRDefault="002F30FD" w:rsidP="00781F95">
      <w:pPr>
        <w:spacing w:before="240" w:line="360" w:lineRule="auto"/>
        <w:jc w:val="both"/>
        <w:rPr>
          <w:rFonts w:ascii="Arial" w:hAnsi="Arial" w:cs="Arial"/>
          <w:i/>
          <w:lang w:val="en-ZA"/>
        </w:rPr>
      </w:pPr>
    </w:p>
    <w:p w:rsidR="0068115E" w:rsidRPr="007C691B" w:rsidRDefault="0068115E" w:rsidP="0068115E">
      <w:pPr>
        <w:spacing w:line="360" w:lineRule="auto"/>
        <w:jc w:val="both"/>
        <w:rPr>
          <w:rFonts w:ascii="Arial" w:hAnsi="Arial" w:cs="Arial"/>
          <w:i/>
        </w:rPr>
      </w:pPr>
      <w:r>
        <w:rPr>
          <w:rFonts w:ascii="Arial" w:hAnsi="Arial" w:cs="Arial"/>
          <w:i/>
        </w:rPr>
        <w:t>Evaluation of evidence</w:t>
      </w:r>
    </w:p>
    <w:p w:rsidR="0068115E" w:rsidRDefault="0068115E" w:rsidP="0068115E">
      <w:pPr>
        <w:spacing w:line="360" w:lineRule="auto"/>
        <w:jc w:val="both"/>
        <w:rPr>
          <w:rFonts w:ascii="Arial" w:hAnsi="Arial" w:cs="Arial"/>
        </w:rPr>
      </w:pPr>
      <w:r>
        <w:rPr>
          <w:rFonts w:ascii="Arial" w:hAnsi="Arial" w:cs="Arial"/>
        </w:rPr>
        <w:t>[</w:t>
      </w:r>
      <w:r w:rsidR="00083A48">
        <w:rPr>
          <w:rFonts w:ascii="Arial" w:hAnsi="Arial" w:cs="Arial"/>
        </w:rPr>
        <w:t>64</w:t>
      </w:r>
      <w:r>
        <w:rPr>
          <w:rFonts w:ascii="Arial" w:hAnsi="Arial" w:cs="Arial"/>
        </w:rPr>
        <w:t>]</w:t>
      </w:r>
      <w:r>
        <w:rPr>
          <w:rFonts w:ascii="Arial" w:hAnsi="Arial" w:cs="Arial"/>
        </w:rPr>
        <w:tab/>
        <w:t xml:space="preserve">When faced with circumstantial evidence, it is trite that the approach of the court should be what is stated in </w:t>
      </w:r>
      <w:r>
        <w:rPr>
          <w:rFonts w:ascii="Arial" w:hAnsi="Arial" w:cs="Arial"/>
          <w:i/>
        </w:rPr>
        <w:t>S v Reddy</w:t>
      </w:r>
      <w:r>
        <w:rPr>
          <w:rStyle w:val="FootnoteReference"/>
          <w:rFonts w:ascii="Arial" w:hAnsi="Arial" w:cs="Arial"/>
          <w:i/>
        </w:rPr>
        <w:footnoteReference w:id="23"/>
      </w:r>
      <w:r>
        <w:rPr>
          <w:rFonts w:ascii="Arial" w:hAnsi="Arial" w:cs="Arial"/>
          <w:i/>
        </w:rPr>
        <w:t xml:space="preserve"> </w:t>
      </w:r>
      <w:r>
        <w:rPr>
          <w:rFonts w:ascii="Arial" w:hAnsi="Arial" w:cs="Arial"/>
        </w:rPr>
        <w:t>namely, that evidence must not be assessed in piece-meal but in its totality. The court should carefully weigh together the cumulative effect of all the circumstantial evidence adduced, from w</w:t>
      </w:r>
      <w:r w:rsidR="00083A48">
        <w:rPr>
          <w:rFonts w:ascii="Arial" w:hAnsi="Arial" w:cs="Arial"/>
        </w:rPr>
        <w:t>hich certain inferences may</w:t>
      </w:r>
      <w:r>
        <w:rPr>
          <w:rFonts w:ascii="Arial" w:hAnsi="Arial" w:cs="Arial"/>
        </w:rPr>
        <w:t xml:space="preserve"> be drawn.</w:t>
      </w:r>
      <w:r>
        <w:rPr>
          <w:rStyle w:val="FootnoteReference"/>
          <w:rFonts w:ascii="Arial" w:hAnsi="Arial" w:cs="Arial"/>
        </w:rPr>
        <w:footnoteReference w:id="24"/>
      </w:r>
      <w:r>
        <w:rPr>
          <w:rFonts w:ascii="Arial" w:hAnsi="Arial" w:cs="Arial"/>
        </w:rPr>
        <w:t xml:space="preserve"> On circumstantial evidence the court in </w:t>
      </w:r>
      <w:r>
        <w:rPr>
          <w:rFonts w:ascii="Arial" w:hAnsi="Arial" w:cs="Arial"/>
          <w:i/>
        </w:rPr>
        <w:t>R v Mtembu</w:t>
      </w:r>
      <w:r>
        <w:rPr>
          <w:rStyle w:val="FootnoteReference"/>
          <w:rFonts w:ascii="Arial" w:hAnsi="Arial" w:cs="Arial"/>
          <w:i/>
        </w:rPr>
        <w:footnoteReference w:id="25"/>
      </w:r>
      <w:r>
        <w:rPr>
          <w:rFonts w:ascii="Arial" w:hAnsi="Arial" w:cs="Arial"/>
        </w:rPr>
        <w:t xml:space="preserve"> said the following at 679:</w:t>
      </w:r>
    </w:p>
    <w:p w:rsidR="0068115E" w:rsidRDefault="0068115E" w:rsidP="0068115E">
      <w:pPr>
        <w:spacing w:line="360" w:lineRule="auto"/>
        <w:jc w:val="both"/>
        <w:rPr>
          <w:rFonts w:ascii="Arial" w:hAnsi="Arial" w:cs="Arial"/>
        </w:rPr>
      </w:pPr>
    </w:p>
    <w:p w:rsidR="0068115E" w:rsidRDefault="0068115E" w:rsidP="0068115E">
      <w:pPr>
        <w:spacing w:line="360" w:lineRule="auto"/>
        <w:jc w:val="both"/>
        <w:rPr>
          <w:rFonts w:ascii="Arial" w:hAnsi="Arial" w:cs="Arial"/>
          <w:sz w:val="22"/>
          <w:szCs w:val="22"/>
        </w:rPr>
      </w:pPr>
      <w:r>
        <w:rPr>
          <w:rFonts w:ascii="Arial" w:hAnsi="Arial" w:cs="Arial"/>
        </w:rPr>
        <w:tab/>
      </w:r>
      <w:r>
        <w:rPr>
          <w:rFonts w:ascii="Arial" w:hAnsi="Arial" w:cs="Arial"/>
          <w:sz w:val="22"/>
          <w:szCs w:val="22"/>
        </w:rPr>
        <w:t>‘</w:t>
      </w:r>
      <w:r w:rsidRPr="00235AB6">
        <w:rPr>
          <w:rFonts w:ascii="Arial" w:hAnsi="Arial" w:cs="Arial"/>
          <w:sz w:val="22"/>
          <w:szCs w:val="22"/>
        </w:rPr>
        <w:t>But in any event it is not clear to me that the Crown's obligation to prove the appellant's guilt beyond reasonable doubt required it to negative beyond reasonable doubt all pieces of evidence favourable to the appellant. I am not satisfied that a trier of fact is obliged to isolate each piece of evidence in a criminal case and test it by the test of reasonable doubt.</w:t>
      </w:r>
      <w:r>
        <w:rPr>
          <w:rFonts w:ascii="Arial" w:hAnsi="Arial" w:cs="Arial"/>
          <w:sz w:val="22"/>
          <w:szCs w:val="22"/>
        </w:rPr>
        <w:t xml:space="preserve"> ….</w:t>
      </w:r>
      <w:r w:rsidRPr="00235AB6">
        <w:rPr>
          <w:rFonts w:ascii="Arial" w:hAnsi="Arial" w:cs="Arial"/>
          <w:sz w:val="22"/>
          <w:szCs w:val="22"/>
        </w:rPr>
        <w:t xml:space="preserve"> But that does not necessarily mean that every factor bearing on the question of guilt must be treated as if it were a separate issue to which the test of reasonable doubt must be distinctly applied.</w:t>
      </w:r>
      <w:r>
        <w:rPr>
          <w:rFonts w:ascii="Arial" w:hAnsi="Arial" w:cs="Arial"/>
          <w:sz w:val="22"/>
          <w:szCs w:val="22"/>
        </w:rPr>
        <w:t>’</w:t>
      </w:r>
    </w:p>
    <w:p w:rsidR="0068115E" w:rsidRDefault="0068115E" w:rsidP="0068115E">
      <w:pPr>
        <w:spacing w:line="360" w:lineRule="auto"/>
        <w:jc w:val="both"/>
        <w:rPr>
          <w:rFonts w:ascii="Arial" w:hAnsi="Arial" w:cs="Arial"/>
          <w:sz w:val="22"/>
          <w:szCs w:val="22"/>
        </w:rPr>
      </w:pPr>
    </w:p>
    <w:p w:rsidR="0068115E" w:rsidRDefault="0068115E" w:rsidP="0068115E">
      <w:pPr>
        <w:spacing w:line="360" w:lineRule="auto"/>
        <w:jc w:val="both"/>
        <w:rPr>
          <w:rFonts w:ascii="Arial" w:hAnsi="Arial" w:cs="Arial"/>
        </w:rPr>
      </w:pPr>
      <w:r>
        <w:rPr>
          <w:rFonts w:ascii="Arial" w:hAnsi="Arial" w:cs="Arial"/>
        </w:rPr>
        <w:t>And further at 680:</w:t>
      </w:r>
    </w:p>
    <w:p w:rsidR="0068115E" w:rsidRPr="006D2501" w:rsidRDefault="0068115E" w:rsidP="0068115E">
      <w:pPr>
        <w:spacing w:line="360" w:lineRule="auto"/>
        <w:jc w:val="both"/>
        <w:rPr>
          <w:rFonts w:ascii="Arial" w:hAnsi="Arial" w:cs="Arial"/>
        </w:rPr>
      </w:pPr>
    </w:p>
    <w:p w:rsidR="0068115E" w:rsidRPr="00235AB6" w:rsidRDefault="0068115E" w:rsidP="0068115E">
      <w:pPr>
        <w:spacing w:line="360" w:lineRule="auto"/>
        <w:ind w:firstLine="720"/>
        <w:jc w:val="both"/>
        <w:rPr>
          <w:rFonts w:ascii="Arial" w:hAnsi="Arial" w:cs="Arial"/>
          <w:sz w:val="22"/>
          <w:szCs w:val="22"/>
        </w:rPr>
      </w:pPr>
      <w:r>
        <w:rPr>
          <w:rFonts w:ascii="Arial" w:hAnsi="Arial" w:cs="Arial"/>
          <w:sz w:val="22"/>
          <w:szCs w:val="22"/>
        </w:rPr>
        <w:t>‘</w:t>
      </w:r>
      <w:r w:rsidRPr="00235AB6">
        <w:rPr>
          <w:rFonts w:ascii="Arial" w:hAnsi="Arial" w:cs="Arial"/>
          <w:sz w:val="22"/>
          <w:szCs w:val="22"/>
        </w:rPr>
        <w:t>Circumstantial evidence, of course, rests ultimately on direct evidence and there must be a foundation of proved or probable fact from which to work.</w:t>
      </w:r>
      <w:r>
        <w:rPr>
          <w:rFonts w:ascii="Arial" w:hAnsi="Arial" w:cs="Arial"/>
          <w:sz w:val="22"/>
          <w:szCs w:val="22"/>
        </w:rPr>
        <w:t>’</w:t>
      </w:r>
    </w:p>
    <w:p w:rsidR="0068115E" w:rsidRDefault="0068115E" w:rsidP="0068115E">
      <w:pPr>
        <w:spacing w:line="360" w:lineRule="auto"/>
        <w:jc w:val="both"/>
        <w:rPr>
          <w:rFonts w:ascii="Arial" w:hAnsi="Arial" w:cs="Arial"/>
        </w:rPr>
      </w:pPr>
    </w:p>
    <w:p w:rsidR="0068115E" w:rsidRDefault="0068115E" w:rsidP="0068115E">
      <w:pPr>
        <w:spacing w:line="360" w:lineRule="auto"/>
        <w:jc w:val="both"/>
        <w:rPr>
          <w:rFonts w:ascii="Arial" w:hAnsi="Arial" w:cs="Arial"/>
        </w:rPr>
      </w:pPr>
      <w:r>
        <w:rPr>
          <w:rFonts w:ascii="Arial" w:hAnsi="Arial" w:cs="Arial"/>
        </w:rPr>
        <w:t>[</w:t>
      </w:r>
      <w:r w:rsidR="00083A48">
        <w:rPr>
          <w:rFonts w:ascii="Arial" w:hAnsi="Arial" w:cs="Arial"/>
        </w:rPr>
        <w:t>65</w:t>
      </w:r>
      <w:r>
        <w:rPr>
          <w:rFonts w:ascii="Arial" w:hAnsi="Arial" w:cs="Arial"/>
        </w:rPr>
        <w:t>]</w:t>
      </w:r>
      <w:r>
        <w:rPr>
          <w:rFonts w:ascii="Arial" w:hAnsi="Arial" w:cs="Arial"/>
        </w:rPr>
        <w:tab/>
        <w:t xml:space="preserve">In the present case the state case is entirely based on circumstantial evidence, except for the alleged statement made by the accused upon his arrest, but disputed during the trial. This includes the </w:t>
      </w:r>
      <w:r w:rsidR="008D7585">
        <w:rPr>
          <w:rFonts w:ascii="Arial" w:hAnsi="Arial" w:cs="Arial"/>
        </w:rPr>
        <w:t xml:space="preserve">forensic evidence </w:t>
      </w:r>
      <w:r>
        <w:rPr>
          <w:rFonts w:ascii="Arial" w:hAnsi="Arial" w:cs="Arial"/>
        </w:rPr>
        <w:t>presented by state witnesses.</w:t>
      </w:r>
    </w:p>
    <w:p w:rsidR="00787B9F" w:rsidRDefault="00787B9F" w:rsidP="0068115E">
      <w:pPr>
        <w:spacing w:line="360" w:lineRule="auto"/>
        <w:jc w:val="both"/>
        <w:rPr>
          <w:rFonts w:ascii="Arial" w:hAnsi="Arial" w:cs="Arial"/>
        </w:rPr>
      </w:pPr>
    </w:p>
    <w:p w:rsidR="00787B9F" w:rsidRPr="00787B9F" w:rsidRDefault="00787B9F" w:rsidP="0068115E">
      <w:pPr>
        <w:spacing w:line="360" w:lineRule="auto"/>
        <w:jc w:val="both"/>
        <w:rPr>
          <w:rFonts w:ascii="Arial" w:hAnsi="Arial" w:cs="Arial"/>
          <w:i/>
        </w:rPr>
      </w:pPr>
      <w:r>
        <w:rPr>
          <w:rFonts w:ascii="Arial" w:hAnsi="Arial" w:cs="Arial"/>
          <w:i/>
        </w:rPr>
        <w:t>Counts 1 and 2: Murder</w:t>
      </w:r>
    </w:p>
    <w:p w:rsidR="00534F24" w:rsidRDefault="00534F24" w:rsidP="0068115E">
      <w:pPr>
        <w:spacing w:line="360" w:lineRule="auto"/>
        <w:jc w:val="both"/>
        <w:rPr>
          <w:rFonts w:ascii="Arial" w:hAnsi="Arial" w:cs="Arial"/>
        </w:rPr>
      </w:pPr>
      <w:r>
        <w:rPr>
          <w:rFonts w:ascii="Arial" w:hAnsi="Arial" w:cs="Arial"/>
        </w:rPr>
        <w:t>[</w:t>
      </w:r>
      <w:r w:rsidR="00083A48">
        <w:rPr>
          <w:rFonts w:ascii="Arial" w:hAnsi="Arial" w:cs="Arial"/>
        </w:rPr>
        <w:t>66</w:t>
      </w:r>
      <w:r>
        <w:rPr>
          <w:rFonts w:ascii="Arial" w:hAnsi="Arial" w:cs="Arial"/>
        </w:rPr>
        <w:t>]</w:t>
      </w:r>
      <w:r>
        <w:rPr>
          <w:rFonts w:ascii="Arial" w:hAnsi="Arial" w:cs="Arial"/>
        </w:rPr>
        <w:tab/>
      </w:r>
      <w:r w:rsidR="008D7585">
        <w:rPr>
          <w:rFonts w:ascii="Arial" w:hAnsi="Arial" w:cs="Arial"/>
        </w:rPr>
        <w:t xml:space="preserve">What the evidence thus far has established is that the accused’s motor vehicle was the scene of both murders where after the bodies were disposed of at the municipal dumpsite on the outskirts of Windhoek. Based on the evidence </w:t>
      </w:r>
      <w:r w:rsidR="00AF4113">
        <w:rPr>
          <w:rFonts w:ascii="Arial" w:hAnsi="Arial" w:cs="Arial"/>
        </w:rPr>
        <w:t>of Dr Guriras</w:t>
      </w:r>
      <w:r w:rsidR="008D7585">
        <w:rPr>
          <w:rFonts w:ascii="Arial" w:hAnsi="Arial" w:cs="Arial"/>
        </w:rPr>
        <w:t xml:space="preserve"> that </w:t>
      </w:r>
      <w:r w:rsidR="00AF4113">
        <w:rPr>
          <w:rFonts w:ascii="Arial" w:hAnsi="Arial" w:cs="Arial"/>
        </w:rPr>
        <w:t xml:space="preserve">penetrating injuries were observed on both the deceased bodies, these findings are consistent with bullet holes found in the upholstery of the accused’s vehicle and a spent projectile lodged in the rear seat. From blood </w:t>
      </w:r>
      <w:r w:rsidR="00DF7165">
        <w:rPr>
          <w:rFonts w:ascii="Arial" w:hAnsi="Arial" w:cs="Arial"/>
        </w:rPr>
        <w:t>stains and spatter</w:t>
      </w:r>
      <w:r w:rsidR="00AF4113">
        <w:rPr>
          <w:rFonts w:ascii="Arial" w:hAnsi="Arial" w:cs="Arial"/>
        </w:rPr>
        <w:t xml:space="preserve"> of both deceased found in the front and rear seats of the vehicle</w:t>
      </w:r>
      <w:r w:rsidR="00DF7165">
        <w:rPr>
          <w:rFonts w:ascii="Arial" w:hAnsi="Arial" w:cs="Arial"/>
        </w:rPr>
        <w:t>,</w:t>
      </w:r>
      <w:r w:rsidR="00AF4113">
        <w:rPr>
          <w:rFonts w:ascii="Arial" w:hAnsi="Arial" w:cs="Arial"/>
        </w:rPr>
        <w:t xml:space="preserve"> it can reasonably be inferred that both </w:t>
      </w:r>
      <w:r w:rsidR="00083A48">
        <w:rPr>
          <w:rFonts w:ascii="Arial" w:hAnsi="Arial" w:cs="Arial"/>
        </w:rPr>
        <w:t xml:space="preserve">persons </w:t>
      </w:r>
      <w:r w:rsidR="00AF4113">
        <w:rPr>
          <w:rFonts w:ascii="Arial" w:hAnsi="Arial" w:cs="Arial"/>
        </w:rPr>
        <w:t>were shot while seated in the vehicle. It was further established that the spent projectile found inside the vehicle was fired from the accused’</w:t>
      </w:r>
      <w:r w:rsidR="00DF7165">
        <w:rPr>
          <w:rFonts w:ascii="Arial" w:hAnsi="Arial" w:cs="Arial"/>
        </w:rPr>
        <w:t>s firearm</w:t>
      </w:r>
      <w:r w:rsidR="00AF4113">
        <w:rPr>
          <w:rFonts w:ascii="Arial" w:hAnsi="Arial" w:cs="Arial"/>
        </w:rPr>
        <w:t xml:space="preserve">. </w:t>
      </w:r>
      <w:r w:rsidR="00C65E1A">
        <w:rPr>
          <w:rFonts w:ascii="Arial" w:hAnsi="Arial" w:cs="Arial"/>
        </w:rPr>
        <w:t xml:space="preserve">With regards to tyre tracks observed at the dumpsite near to where the bodies were found, these were not proved </w:t>
      </w:r>
      <w:r w:rsidR="00083A48">
        <w:rPr>
          <w:rFonts w:ascii="Arial" w:hAnsi="Arial" w:cs="Arial"/>
        </w:rPr>
        <w:t xml:space="preserve">beyond reasonable doubt </w:t>
      </w:r>
      <w:r w:rsidR="00C65E1A">
        <w:rPr>
          <w:rFonts w:ascii="Arial" w:hAnsi="Arial" w:cs="Arial"/>
        </w:rPr>
        <w:t xml:space="preserve">to have been made by the accused’s vehicle. However, the evidence did establish that they are at least </w:t>
      </w:r>
      <w:r w:rsidR="006B3E00">
        <w:rPr>
          <w:rFonts w:ascii="Arial" w:hAnsi="Arial" w:cs="Arial"/>
        </w:rPr>
        <w:t xml:space="preserve">similar </w:t>
      </w:r>
      <w:r w:rsidR="00083A48">
        <w:rPr>
          <w:rFonts w:ascii="Arial" w:hAnsi="Arial" w:cs="Arial"/>
        </w:rPr>
        <w:t>as regards</w:t>
      </w:r>
      <w:r w:rsidR="00C65E1A">
        <w:rPr>
          <w:rFonts w:ascii="Arial" w:hAnsi="Arial" w:cs="Arial"/>
        </w:rPr>
        <w:t xml:space="preserve"> grooves </w:t>
      </w:r>
      <w:r w:rsidR="00083A48">
        <w:rPr>
          <w:rFonts w:ascii="Arial" w:hAnsi="Arial" w:cs="Arial"/>
        </w:rPr>
        <w:t>found on</w:t>
      </w:r>
      <w:r w:rsidR="006B3E00">
        <w:rPr>
          <w:rFonts w:ascii="Arial" w:hAnsi="Arial" w:cs="Arial"/>
        </w:rPr>
        <w:t xml:space="preserve"> </w:t>
      </w:r>
      <w:r w:rsidR="00C65E1A">
        <w:rPr>
          <w:rFonts w:ascii="Arial" w:hAnsi="Arial" w:cs="Arial"/>
        </w:rPr>
        <w:t>tyres f</w:t>
      </w:r>
      <w:r w:rsidR="006B3E00">
        <w:rPr>
          <w:rFonts w:ascii="Arial" w:hAnsi="Arial" w:cs="Arial"/>
        </w:rPr>
        <w:t>itted</w:t>
      </w:r>
      <w:r w:rsidR="00083A48">
        <w:rPr>
          <w:rFonts w:ascii="Arial" w:hAnsi="Arial" w:cs="Arial"/>
        </w:rPr>
        <w:t xml:space="preserve"> to</w:t>
      </w:r>
      <w:r w:rsidR="00C65E1A">
        <w:rPr>
          <w:rFonts w:ascii="Arial" w:hAnsi="Arial" w:cs="Arial"/>
        </w:rPr>
        <w:t xml:space="preserve"> the accused’s vehicle.  </w:t>
      </w:r>
    </w:p>
    <w:p w:rsidR="00C65E1A" w:rsidRDefault="00C65E1A" w:rsidP="0068115E">
      <w:pPr>
        <w:spacing w:line="360" w:lineRule="auto"/>
        <w:jc w:val="both"/>
        <w:rPr>
          <w:rFonts w:ascii="Arial" w:hAnsi="Arial" w:cs="Arial"/>
        </w:rPr>
      </w:pPr>
    </w:p>
    <w:p w:rsidR="00DF7165" w:rsidRDefault="00C65E1A" w:rsidP="00DF7165">
      <w:pPr>
        <w:spacing w:line="360" w:lineRule="auto"/>
        <w:jc w:val="both"/>
        <w:rPr>
          <w:rFonts w:ascii="Arial" w:hAnsi="Arial" w:cs="Arial"/>
        </w:rPr>
      </w:pPr>
      <w:r>
        <w:rPr>
          <w:rFonts w:ascii="Arial" w:hAnsi="Arial" w:cs="Arial"/>
        </w:rPr>
        <w:t>[</w:t>
      </w:r>
      <w:r w:rsidR="00083A48">
        <w:rPr>
          <w:rFonts w:ascii="Arial" w:hAnsi="Arial" w:cs="Arial"/>
        </w:rPr>
        <w:t>67</w:t>
      </w:r>
      <w:r>
        <w:rPr>
          <w:rFonts w:ascii="Arial" w:hAnsi="Arial" w:cs="Arial"/>
        </w:rPr>
        <w:t>]</w:t>
      </w:r>
      <w:r>
        <w:rPr>
          <w:rFonts w:ascii="Arial" w:hAnsi="Arial" w:cs="Arial"/>
        </w:rPr>
        <w:tab/>
      </w:r>
      <w:r w:rsidR="006B3E00">
        <w:rPr>
          <w:rFonts w:ascii="Arial" w:hAnsi="Arial" w:cs="Arial"/>
        </w:rPr>
        <w:t xml:space="preserve">Regarding shoe prints with a particular pattern observed </w:t>
      </w:r>
      <w:r w:rsidR="00860DB7">
        <w:rPr>
          <w:rFonts w:ascii="Arial" w:hAnsi="Arial" w:cs="Arial"/>
        </w:rPr>
        <w:t xml:space="preserve">by Chief Inspector Amoomo </w:t>
      </w:r>
      <w:r w:rsidR="006B3E00">
        <w:rPr>
          <w:rFonts w:ascii="Arial" w:hAnsi="Arial" w:cs="Arial"/>
        </w:rPr>
        <w:t xml:space="preserve">at the </w:t>
      </w:r>
      <w:r w:rsidR="00860DB7">
        <w:rPr>
          <w:rFonts w:ascii="Arial" w:hAnsi="Arial" w:cs="Arial"/>
        </w:rPr>
        <w:t xml:space="preserve">dump site and </w:t>
      </w:r>
      <w:r w:rsidR="00083A48">
        <w:rPr>
          <w:rFonts w:ascii="Arial" w:hAnsi="Arial" w:cs="Arial"/>
        </w:rPr>
        <w:t xml:space="preserve">sports </w:t>
      </w:r>
      <w:r w:rsidR="00860DB7">
        <w:rPr>
          <w:rFonts w:ascii="Arial" w:hAnsi="Arial" w:cs="Arial"/>
        </w:rPr>
        <w:t xml:space="preserve">shoes with a similar pattern </w:t>
      </w:r>
      <w:r w:rsidR="00BC3D26">
        <w:rPr>
          <w:rFonts w:ascii="Arial" w:hAnsi="Arial" w:cs="Arial"/>
        </w:rPr>
        <w:t xml:space="preserve">found </w:t>
      </w:r>
      <w:r w:rsidR="00860DB7">
        <w:rPr>
          <w:rFonts w:ascii="Arial" w:hAnsi="Arial" w:cs="Arial"/>
        </w:rPr>
        <w:t xml:space="preserve">in the accused’s flat, </w:t>
      </w:r>
      <w:r w:rsidR="00BC3D26">
        <w:rPr>
          <w:rFonts w:ascii="Arial" w:hAnsi="Arial" w:cs="Arial"/>
        </w:rPr>
        <w:t>t</w:t>
      </w:r>
      <w:r w:rsidR="00860DB7">
        <w:rPr>
          <w:rFonts w:ascii="Arial" w:hAnsi="Arial" w:cs="Arial"/>
        </w:rPr>
        <w:t xml:space="preserve">his </w:t>
      </w:r>
      <w:r w:rsidR="00BC3D26">
        <w:rPr>
          <w:rFonts w:ascii="Arial" w:hAnsi="Arial" w:cs="Arial"/>
        </w:rPr>
        <w:t>evidence</w:t>
      </w:r>
      <w:r w:rsidR="00860DB7">
        <w:rPr>
          <w:rFonts w:ascii="Arial" w:hAnsi="Arial" w:cs="Arial"/>
        </w:rPr>
        <w:t xml:space="preserve"> was not substantiated in any form or manner as could be expected from an investigating officer in a case of this magnitude. Photo</w:t>
      </w:r>
      <w:r w:rsidR="00083A48">
        <w:rPr>
          <w:rFonts w:ascii="Arial" w:hAnsi="Arial" w:cs="Arial"/>
        </w:rPr>
        <w:t>s taken with his cell phone could</w:t>
      </w:r>
      <w:r w:rsidR="00860DB7">
        <w:rPr>
          <w:rFonts w:ascii="Arial" w:hAnsi="Arial" w:cs="Arial"/>
        </w:rPr>
        <w:t xml:space="preserve"> not </w:t>
      </w:r>
      <w:r w:rsidR="00083A48">
        <w:rPr>
          <w:rFonts w:ascii="Arial" w:hAnsi="Arial" w:cs="Arial"/>
        </w:rPr>
        <w:t xml:space="preserve">be </w:t>
      </w:r>
      <w:r w:rsidR="00860DB7">
        <w:rPr>
          <w:rFonts w:ascii="Arial" w:hAnsi="Arial" w:cs="Arial"/>
        </w:rPr>
        <w:t xml:space="preserve">developed as proof </w:t>
      </w:r>
      <w:r w:rsidR="00BC3D26">
        <w:rPr>
          <w:rFonts w:ascii="Arial" w:hAnsi="Arial" w:cs="Arial"/>
        </w:rPr>
        <w:t>of the finding</w:t>
      </w:r>
      <w:r w:rsidR="00083A48">
        <w:rPr>
          <w:rFonts w:ascii="Arial" w:hAnsi="Arial" w:cs="Arial"/>
        </w:rPr>
        <w:t>,</w:t>
      </w:r>
      <w:r w:rsidR="00860DB7">
        <w:rPr>
          <w:rFonts w:ascii="Arial" w:hAnsi="Arial" w:cs="Arial"/>
        </w:rPr>
        <w:t xml:space="preserve"> </w:t>
      </w:r>
      <w:r w:rsidR="00BC3D26">
        <w:rPr>
          <w:rFonts w:ascii="Arial" w:hAnsi="Arial" w:cs="Arial"/>
        </w:rPr>
        <w:t xml:space="preserve">neither were casts made of the imprints. </w:t>
      </w:r>
      <w:r w:rsidR="00083A48">
        <w:rPr>
          <w:rFonts w:ascii="Arial" w:hAnsi="Arial" w:cs="Arial"/>
        </w:rPr>
        <w:t>E</w:t>
      </w:r>
      <w:r w:rsidR="00BC3D26">
        <w:rPr>
          <w:rFonts w:ascii="Arial" w:hAnsi="Arial" w:cs="Arial"/>
        </w:rPr>
        <w:t>vidence about Amoomo having mentioned to two other officers about similar shoe prints he observed at the crime scene is self-corroboration and has no probative value. Though it might show consistency in his version, it does not constitute evidence on identification</w:t>
      </w:r>
      <w:r w:rsidR="00DF7165">
        <w:rPr>
          <w:rFonts w:ascii="Arial" w:hAnsi="Arial" w:cs="Arial"/>
        </w:rPr>
        <w:t xml:space="preserve"> without it having been proved that the prints were identical.</w:t>
      </w:r>
      <w:r w:rsidR="00BC3D26">
        <w:rPr>
          <w:rFonts w:ascii="Arial" w:hAnsi="Arial" w:cs="Arial"/>
        </w:rPr>
        <w:t xml:space="preserve"> </w:t>
      </w:r>
    </w:p>
    <w:p w:rsidR="00DF7165" w:rsidRDefault="00DF7165" w:rsidP="00DF7165">
      <w:pPr>
        <w:spacing w:line="360" w:lineRule="auto"/>
        <w:jc w:val="both"/>
        <w:rPr>
          <w:rFonts w:ascii="Arial" w:hAnsi="Arial" w:cs="Arial"/>
        </w:rPr>
      </w:pPr>
    </w:p>
    <w:p w:rsidR="00DF7165" w:rsidRDefault="00DF7165" w:rsidP="00DF7165">
      <w:pPr>
        <w:spacing w:line="360" w:lineRule="auto"/>
        <w:jc w:val="both"/>
        <w:rPr>
          <w:rFonts w:ascii="Arial" w:hAnsi="Arial" w:cs="Arial"/>
        </w:rPr>
      </w:pPr>
      <w:r>
        <w:rPr>
          <w:rFonts w:ascii="Arial" w:hAnsi="Arial" w:cs="Arial"/>
        </w:rPr>
        <w:t>[</w:t>
      </w:r>
      <w:r w:rsidR="00735F8E">
        <w:rPr>
          <w:rFonts w:ascii="Arial" w:hAnsi="Arial" w:cs="Arial"/>
        </w:rPr>
        <w:t>68</w:t>
      </w:r>
      <w:r>
        <w:rPr>
          <w:rFonts w:ascii="Arial" w:hAnsi="Arial" w:cs="Arial"/>
        </w:rPr>
        <w:t>]</w:t>
      </w:r>
      <w:r>
        <w:rPr>
          <w:rFonts w:ascii="Arial" w:hAnsi="Arial" w:cs="Arial"/>
        </w:rPr>
        <w:tab/>
      </w:r>
      <w:r w:rsidR="00403196">
        <w:rPr>
          <w:rFonts w:ascii="Arial" w:hAnsi="Arial" w:cs="Arial"/>
        </w:rPr>
        <w:t xml:space="preserve">It is not in dispute that when the accused was in the company of the deceased persons earlier in the day, he had his </w:t>
      </w:r>
      <w:r w:rsidR="00851CF5">
        <w:rPr>
          <w:rFonts w:ascii="Arial" w:hAnsi="Arial" w:cs="Arial"/>
        </w:rPr>
        <w:t xml:space="preserve">firearm </w:t>
      </w:r>
      <w:r w:rsidR="00403196">
        <w:rPr>
          <w:rFonts w:ascii="Arial" w:hAnsi="Arial" w:cs="Arial"/>
        </w:rPr>
        <w:t>with him.</w:t>
      </w:r>
      <w:r w:rsidR="00851CF5">
        <w:rPr>
          <w:rFonts w:ascii="Arial" w:hAnsi="Arial" w:cs="Arial"/>
        </w:rPr>
        <w:t xml:space="preserve"> </w:t>
      </w:r>
      <w:r w:rsidR="00403196">
        <w:rPr>
          <w:rFonts w:ascii="Arial" w:hAnsi="Arial" w:cs="Arial"/>
        </w:rPr>
        <w:t xml:space="preserve">Also not in dispute is that he was </w:t>
      </w:r>
      <w:r w:rsidR="00851CF5">
        <w:rPr>
          <w:rFonts w:ascii="Arial" w:hAnsi="Arial" w:cs="Arial"/>
        </w:rPr>
        <w:t>last seen together with the deceased</w:t>
      </w:r>
      <w:r w:rsidR="00403196">
        <w:rPr>
          <w:rFonts w:ascii="Arial" w:hAnsi="Arial" w:cs="Arial"/>
        </w:rPr>
        <w:t xml:space="preserve"> when the</w:t>
      </w:r>
      <w:r w:rsidR="00AA45E9">
        <w:rPr>
          <w:rFonts w:ascii="Arial" w:hAnsi="Arial" w:cs="Arial"/>
        </w:rPr>
        <w:t>y</w:t>
      </w:r>
      <w:r w:rsidR="00403196">
        <w:rPr>
          <w:rFonts w:ascii="Arial" w:hAnsi="Arial" w:cs="Arial"/>
        </w:rPr>
        <w:t xml:space="preserve"> left the bar. </w:t>
      </w:r>
      <w:r w:rsidR="00C21CA4">
        <w:rPr>
          <w:rFonts w:ascii="Arial" w:hAnsi="Arial" w:cs="Arial"/>
        </w:rPr>
        <w:t>That jealousy played some role in the love triangle the accused found himself in is evident from t</w:t>
      </w:r>
      <w:r w:rsidR="00735F8E">
        <w:rPr>
          <w:rFonts w:ascii="Arial" w:hAnsi="Arial" w:cs="Arial"/>
        </w:rPr>
        <w:t>he evidence of Abisai, as well from</w:t>
      </w:r>
      <w:r w:rsidR="00C21CA4">
        <w:rPr>
          <w:rFonts w:ascii="Arial" w:hAnsi="Arial" w:cs="Arial"/>
        </w:rPr>
        <w:t xml:space="preserve"> the accused’s own evidence. It further features in the statement made to the police about the one deceased having shot the other. Although the accused denies having harboured feelings of jealousy towards his girlfriends, the evidence adduced shows otherwise. It is therefore not unlikely that it could have provided the motive behind the killing of the deceased.</w:t>
      </w:r>
    </w:p>
    <w:p w:rsidR="00DF7165" w:rsidRDefault="00DF7165" w:rsidP="00DF7165">
      <w:pPr>
        <w:spacing w:line="360" w:lineRule="auto"/>
        <w:jc w:val="both"/>
        <w:rPr>
          <w:rFonts w:ascii="Arial" w:hAnsi="Arial" w:cs="Arial"/>
        </w:rPr>
      </w:pPr>
    </w:p>
    <w:p w:rsidR="002F30FD" w:rsidRPr="00DF7165" w:rsidRDefault="002F30FD" w:rsidP="00DF7165">
      <w:pPr>
        <w:spacing w:line="360" w:lineRule="auto"/>
        <w:jc w:val="both"/>
        <w:rPr>
          <w:rFonts w:ascii="Arial" w:hAnsi="Arial" w:cs="Arial"/>
        </w:rPr>
      </w:pPr>
      <w:r>
        <w:rPr>
          <w:rFonts w:ascii="Arial" w:hAnsi="Arial" w:cs="Arial"/>
          <w:lang w:val="en-ZA"/>
        </w:rPr>
        <w:t>[</w:t>
      </w:r>
      <w:r w:rsidR="00735F8E">
        <w:rPr>
          <w:rFonts w:ascii="Arial" w:hAnsi="Arial" w:cs="Arial"/>
          <w:lang w:val="en-ZA"/>
        </w:rPr>
        <w:t>69</w:t>
      </w:r>
      <w:r>
        <w:rPr>
          <w:rFonts w:ascii="Arial" w:hAnsi="Arial" w:cs="Arial"/>
          <w:lang w:val="en-ZA"/>
        </w:rPr>
        <w:t>]</w:t>
      </w:r>
      <w:r>
        <w:rPr>
          <w:rFonts w:ascii="Arial" w:hAnsi="Arial" w:cs="Arial"/>
          <w:lang w:val="en-ZA"/>
        </w:rPr>
        <w:tab/>
      </w:r>
      <w:r w:rsidR="00174060">
        <w:rPr>
          <w:rFonts w:ascii="Arial" w:hAnsi="Arial" w:cs="Arial"/>
          <w:lang w:val="en-ZA"/>
        </w:rPr>
        <w:t xml:space="preserve">It was argued on the accused’s behalf that in light of the evidence adduced by state witnesses, the accused’s version is reasonably possibly true and </w:t>
      </w:r>
      <w:r w:rsidR="00DF7165">
        <w:rPr>
          <w:rFonts w:ascii="Arial" w:hAnsi="Arial" w:cs="Arial"/>
          <w:lang w:val="en-ZA"/>
        </w:rPr>
        <w:t xml:space="preserve">that </w:t>
      </w:r>
      <w:r w:rsidR="00174060">
        <w:rPr>
          <w:rFonts w:ascii="Arial" w:hAnsi="Arial" w:cs="Arial"/>
          <w:lang w:val="en-ZA"/>
        </w:rPr>
        <w:t>he should be acquitted. The argument advanced by defence counsel</w:t>
      </w:r>
      <w:r w:rsidR="00321D2E">
        <w:rPr>
          <w:rFonts w:ascii="Arial" w:hAnsi="Arial" w:cs="Arial"/>
          <w:lang w:val="en-ZA"/>
        </w:rPr>
        <w:t xml:space="preserve"> embraced the view that it had not been established that the projectile found lodged in the rear armrest of the accused</w:t>
      </w:r>
      <w:r w:rsidR="00735F8E">
        <w:rPr>
          <w:rFonts w:ascii="Arial" w:hAnsi="Arial" w:cs="Arial"/>
          <w:lang w:val="en-ZA"/>
        </w:rPr>
        <w:t>’s vehicle</w:t>
      </w:r>
      <w:r w:rsidR="00DF7165">
        <w:rPr>
          <w:rFonts w:ascii="Arial" w:hAnsi="Arial" w:cs="Arial"/>
          <w:lang w:val="en-ZA"/>
        </w:rPr>
        <w:t xml:space="preserve"> could be connected to</w:t>
      </w:r>
      <w:r w:rsidR="00321D2E">
        <w:rPr>
          <w:rFonts w:ascii="Arial" w:hAnsi="Arial" w:cs="Arial"/>
          <w:lang w:val="en-ZA"/>
        </w:rPr>
        <w:t xml:space="preserve"> the accused’s firearm. Furthermore, that the state failed to prove that the blood spatter and stains found inside the vehicle could be </w:t>
      </w:r>
      <w:r w:rsidR="00DF7165">
        <w:rPr>
          <w:rFonts w:ascii="Arial" w:hAnsi="Arial" w:cs="Arial"/>
          <w:lang w:val="en-ZA"/>
        </w:rPr>
        <w:t>associated</w:t>
      </w:r>
      <w:r w:rsidR="00321D2E">
        <w:rPr>
          <w:rFonts w:ascii="Arial" w:hAnsi="Arial" w:cs="Arial"/>
          <w:lang w:val="en-ZA"/>
        </w:rPr>
        <w:t xml:space="preserve"> with the deceased persons.</w:t>
      </w:r>
    </w:p>
    <w:p w:rsidR="00321D2E" w:rsidRDefault="00321D2E" w:rsidP="00781F95">
      <w:pPr>
        <w:spacing w:before="240" w:line="360" w:lineRule="auto"/>
        <w:jc w:val="both"/>
        <w:rPr>
          <w:rFonts w:ascii="Arial" w:hAnsi="Arial" w:cs="Arial"/>
          <w:lang w:val="en-ZA"/>
        </w:rPr>
      </w:pPr>
    </w:p>
    <w:p w:rsidR="00321D2E" w:rsidRDefault="00321D2E" w:rsidP="00781F95">
      <w:pPr>
        <w:spacing w:before="240" w:line="360" w:lineRule="auto"/>
        <w:jc w:val="both"/>
        <w:rPr>
          <w:rFonts w:ascii="Arial" w:hAnsi="Arial" w:cs="Arial"/>
          <w:lang w:val="en-ZA"/>
        </w:rPr>
      </w:pPr>
      <w:r>
        <w:rPr>
          <w:rFonts w:ascii="Arial" w:hAnsi="Arial" w:cs="Arial"/>
          <w:lang w:val="en-ZA"/>
        </w:rPr>
        <w:lastRenderedPageBreak/>
        <w:t>[</w:t>
      </w:r>
      <w:r w:rsidR="00735F8E">
        <w:rPr>
          <w:rFonts w:ascii="Arial" w:hAnsi="Arial" w:cs="Arial"/>
          <w:lang w:val="en-ZA"/>
        </w:rPr>
        <w:t>70</w:t>
      </w:r>
      <w:r>
        <w:rPr>
          <w:rFonts w:ascii="Arial" w:hAnsi="Arial" w:cs="Arial"/>
          <w:lang w:val="en-ZA"/>
        </w:rPr>
        <w:t>]</w:t>
      </w:r>
      <w:r>
        <w:rPr>
          <w:rFonts w:ascii="Arial" w:hAnsi="Arial" w:cs="Arial"/>
          <w:lang w:val="en-ZA"/>
        </w:rPr>
        <w:tab/>
        <w:t xml:space="preserve">With deference to counsel, the argument advanced on this score is not supported by the established facts – as set out above – and </w:t>
      </w:r>
      <w:r w:rsidR="00C21CA4">
        <w:rPr>
          <w:rFonts w:ascii="Arial" w:hAnsi="Arial" w:cs="Arial"/>
          <w:lang w:val="en-ZA"/>
        </w:rPr>
        <w:t xml:space="preserve">therefore without </w:t>
      </w:r>
      <w:r>
        <w:rPr>
          <w:rFonts w:ascii="Arial" w:hAnsi="Arial" w:cs="Arial"/>
          <w:lang w:val="en-ZA"/>
        </w:rPr>
        <w:t>substance. Neither had it been challenged during the trial, nor did the accused lead evidence to the contrary. In fact, the accused never disputed that the deceased had been killed and the blood found in</w:t>
      </w:r>
      <w:r w:rsidR="0053354A">
        <w:rPr>
          <w:rFonts w:ascii="Arial" w:hAnsi="Arial" w:cs="Arial"/>
          <w:lang w:val="en-ZA"/>
        </w:rPr>
        <w:t>side</w:t>
      </w:r>
      <w:r>
        <w:rPr>
          <w:rFonts w:ascii="Arial" w:hAnsi="Arial" w:cs="Arial"/>
          <w:lang w:val="en-ZA"/>
        </w:rPr>
        <w:t xml:space="preserve"> his vehicle</w:t>
      </w:r>
      <w:r w:rsidR="0053354A">
        <w:rPr>
          <w:rFonts w:ascii="Arial" w:hAnsi="Arial" w:cs="Arial"/>
          <w:lang w:val="en-ZA"/>
        </w:rPr>
        <w:t xml:space="preserve"> to be that of the deceased persons. His defence is that he is not </w:t>
      </w:r>
      <w:r w:rsidR="00DF7165">
        <w:rPr>
          <w:rFonts w:ascii="Arial" w:hAnsi="Arial" w:cs="Arial"/>
          <w:lang w:val="en-ZA"/>
        </w:rPr>
        <w:t>the person who murdered them while he</w:t>
      </w:r>
      <w:r w:rsidR="0053354A">
        <w:rPr>
          <w:rFonts w:ascii="Arial" w:hAnsi="Arial" w:cs="Arial"/>
          <w:lang w:val="en-ZA"/>
        </w:rPr>
        <w:t xml:space="preserve"> suspects Benny to be responsible for doing so. As for the proje</w:t>
      </w:r>
      <w:r w:rsidR="00167FF6">
        <w:rPr>
          <w:rFonts w:ascii="Arial" w:hAnsi="Arial" w:cs="Arial"/>
          <w:lang w:val="en-ZA"/>
        </w:rPr>
        <w:t>ctile found in the vehicle, there is evidence showing a direct link</w:t>
      </w:r>
      <w:r w:rsidR="0053354A">
        <w:rPr>
          <w:rFonts w:ascii="Arial" w:hAnsi="Arial" w:cs="Arial"/>
          <w:lang w:val="en-ZA"/>
        </w:rPr>
        <w:t xml:space="preserve"> to the accused’s firearm and pr</w:t>
      </w:r>
      <w:r w:rsidR="00167FF6">
        <w:rPr>
          <w:rFonts w:ascii="Arial" w:hAnsi="Arial" w:cs="Arial"/>
          <w:lang w:val="en-ZA"/>
        </w:rPr>
        <w:t>oof that it had</w:t>
      </w:r>
      <w:r w:rsidR="00DF7165">
        <w:rPr>
          <w:rFonts w:ascii="Arial" w:hAnsi="Arial" w:cs="Arial"/>
          <w:lang w:val="en-ZA"/>
        </w:rPr>
        <w:t xml:space="preserve"> been fired from his</w:t>
      </w:r>
      <w:r w:rsidR="0053354A">
        <w:rPr>
          <w:rFonts w:ascii="Arial" w:hAnsi="Arial" w:cs="Arial"/>
          <w:lang w:val="en-ZA"/>
        </w:rPr>
        <w:t xml:space="preserve"> firearm.</w:t>
      </w:r>
    </w:p>
    <w:p w:rsidR="0053354A" w:rsidRDefault="0053354A" w:rsidP="00781F95">
      <w:pPr>
        <w:spacing w:before="240" w:line="360" w:lineRule="auto"/>
        <w:jc w:val="both"/>
        <w:rPr>
          <w:rFonts w:ascii="Arial" w:hAnsi="Arial" w:cs="Arial"/>
          <w:lang w:val="en-ZA"/>
        </w:rPr>
      </w:pPr>
    </w:p>
    <w:p w:rsidR="00781F95" w:rsidRDefault="0053354A" w:rsidP="0053354A">
      <w:pPr>
        <w:spacing w:before="240" w:line="360" w:lineRule="auto"/>
        <w:jc w:val="both"/>
        <w:rPr>
          <w:rFonts w:ascii="Arial" w:hAnsi="Arial" w:cs="Arial"/>
        </w:rPr>
      </w:pPr>
      <w:r>
        <w:rPr>
          <w:rFonts w:ascii="Arial" w:hAnsi="Arial" w:cs="Arial"/>
          <w:lang w:val="en-ZA"/>
        </w:rPr>
        <w:t>[</w:t>
      </w:r>
      <w:r w:rsidR="00735F8E">
        <w:rPr>
          <w:rFonts w:ascii="Arial" w:hAnsi="Arial" w:cs="Arial"/>
          <w:lang w:val="en-ZA"/>
        </w:rPr>
        <w:t>71</w:t>
      </w:r>
      <w:r>
        <w:rPr>
          <w:rFonts w:ascii="Arial" w:hAnsi="Arial" w:cs="Arial"/>
          <w:lang w:val="en-ZA"/>
        </w:rPr>
        <w:t>]</w:t>
      </w:r>
      <w:r>
        <w:rPr>
          <w:rFonts w:ascii="Arial" w:hAnsi="Arial" w:cs="Arial"/>
          <w:lang w:val="en-ZA"/>
        </w:rPr>
        <w:tab/>
        <w:t xml:space="preserve">It is the accused’s evidence that up until that fateful night, there were no bullet holes in the seats of his vehicle or blood stains inside the vehicle as found </w:t>
      </w:r>
      <w:r w:rsidRPr="0053354A">
        <w:rPr>
          <w:rFonts w:ascii="Arial" w:hAnsi="Arial" w:cs="Arial"/>
        </w:rPr>
        <w:t>in the morning</w:t>
      </w:r>
      <w:r>
        <w:rPr>
          <w:rFonts w:ascii="Arial" w:hAnsi="Arial" w:cs="Arial"/>
        </w:rPr>
        <w:t>. According to him, this must have been brought about after he had given his vehicle to the deceased persons and Benny to go and buy drinks.</w:t>
      </w:r>
    </w:p>
    <w:p w:rsidR="0053354A" w:rsidRDefault="0053354A" w:rsidP="0053354A">
      <w:pPr>
        <w:spacing w:before="240" w:line="360" w:lineRule="auto"/>
        <w:jc w:val="both"/>
        <w:rPr>
          <w:rFonts w:ascii="Arial" w:hAnsi="Arial" w:cs="Arial"/>
        </w:rPr>
      </w:pPr>
    </w:p>
    <w:p w:rsidR="0053354A" w:rsidRDefault="0053354A" w:rsidP="0053354A">
      <w:pPr>
        <w:spacing w:before="240" w:line="360" w:lineRule="auto"/>
        <w:jc w:val="both"/>
        <w:rPr>
          <w:rFonts w:ascii="Arial" w:hAnsi="Arial" w:cs="Arial"/>
        </w:rPr>
      </w:pPr>
      <w:r>
        <w:rPr>
          <w:rFonts w:ascii="Arial" w:hAnsi="Arial" w:cs="Arial"/>
        </w:rPr>
        <w:t>[</w:t>
      </w:r>
      <w:r w:rsidR="00735F8E">
        <w:rPr>
          <w:rFonts w:ascii="Arial" w:hAnsi="Arial" w:cs="Arial"/>
        </w:rPr>
        <w:t>72</w:t>
      </w:r>
      <w:r>
        <w:rPr>
          <w:rFonts w:ascii="Arial" w:hAnsi="Arial" w:cs="Arial"/>
        </w:rPr>
        <w:t>]</w:t>
      </w:r>
      <w:r>
        <w:rPr>
          <w:rFonts w:ascii="Arial" w:hAnsi="Arial" w:cs="Arial"/>
        </w:rPr>
        <w:tab/>
        <w:t xml:space="preserve">The problem with the accused’s evidence on this score is that </w:t>
      </w:r>
      <w:r w:rsidR="000C1BFC">
        <w:rPr>
          <w:rFonts w:ascii="Arial" w:hAnsi="Arial" w:cs="Arial"/>
        </w:rPr>
        <w:t xml:space="preserve">there is no logical explanation as to how it is at all possible that a shot(s) could have been fired from the accused’s pistol </w:t>
      </w:r>
      <w:r w:rsidR="00167FF6">
        <w:rPr>
          <w:rFonts w:ascii="Arial" w:hAnsi="Arial" w:cs="Arial"/>
        </w:rPr>
        <w:t>that night if</w:t>
      </w:r>
      <w:r w:rsidR="000C1BFC">
        <w:rPr>
          <w:rFonts w:ascii="Arial" w:hAnsi="Arial" w:cs="Arial"/>
        </w:rPr>
        <w:t xml:space="preserve"> the firearm was </w:t>
      </w:r>
      <w:r w:rsidR="00167FF6">
        <w:rPr>
          <w:rFonts w:ascii="Arial" w:hAnsi="Arial" w:cs="Arial"/>
        </w:rPr>
        <w:t>under his control</w:t>
      </w:r>
      <w:r w:rsidR="000C1BFC">
        <w:rPr>
          <w:rFonts w:ascii="Arial" w:hAnsi="Arial" w:cs="Arial"/>
        </w:rPr>
        <w:t xml:space="preserve"> </w:t>
      </w:r>
      <w:r w:rsidR="00167FF6">
        <w:rPr>
          <w:rFonts w:ascii="Arial" w:hAnsi="Arial" w:cs="Arial"/>
        </w:rPr>
        <w:t>at all times. On his version</w:t>
      </w:r>
      <w:r w:rsidR="000C1BFC">
        <w:rPr>
          <w:rFonts w:ascii="Arial" w:hAnsi="Arial" w:cs="Arial"/>
        </w:rPr>
        <w:t xml:space="preserve">, that could only have happened if </w:t>
      </w:r>
      <w:r w:rsidR="00D30F21">
        <w:rPr>
          <w:rFonts w:ascii="Arial" w:hAnsi="Arial" w:cs="Arial"/>
        </w:rPr>
        <w:t>he handed over</w:t>
      </w:r>
      <w:r w:rsidR="00ED7BDF">
        <w:rPr>
          <w:rFonts w:ascii="Arial" w:hAnsi="Arial" w:cs="Arial"/>
        </w:rPr>
        <w:t xml:space="preserve"> </w:t>
      </w:r>
      <w:r w:rsidR="000C1BFC">
        <w:rPr>
          <w:rFonts w:ascii="Arial" w:hAnsi="Arial" w:cs="Arial"/>
        </w:rPr>
        <w:t>the fire</w:t>
      </w:r>
      <w:r w:rsidR="00ED7BDF">
        <w:rPr>
          <w:rFonts w:ascii="Arial" w:hAnsi="Arial" w:cs="Arial"/>
        </w:rPr>
        <w:t xml:space="preserve">arm either to Benny or any one of the deceased persons </w:t>
      </w:r>
      <w:r w:rsidR="00D30F21">
        <w:rPr>
          <w:rFonts w:ascii="Arial" w:hAnsi="Arial" w:cs="Arial"/>
        </w:rPr>
        <w:t>before their departure; this</w:t>
      </w:r>
      <w:r w:rsidR="00ED7BDF">
        <w:rPr>
          <w:rFonts w:ascii="Arial" w:hAnsi="Arial" w:cs="Arial"/>
        </w:rPr>
        <w:t xml:space="preserve"> he </w:t>
      </w:r>
      <w:r w:rsidR="00167FF6">
        <w:rPr>
          <w:rFonts w:ascii="Arial" w:hAnsi="Arial" w:cs="Arial"/>
        </w:rPr>
        <w:t>did not do</w:t>
      </w:r>
      <w:r w:rsidR="00ED7BDF">
        <w:rPr>
          <w:rFonts w:ascii="Arial" w:hAnsi="Arial" w:cs="Arial"/>
        </w:rPr>
        <w:t>.</w:t>
      </w:r>
      <w:r w:rsidR="00D30F21">
        <w:rPr>
          <w:rFonts w:ascii="Arial" w:hAnsi="Arial" w:cs="Arial"/>
        </w:rPr>
        <w:t xml:space="preserve"> Though the accused disputes having made a statement </w:t>
      </w:r>
      <w:r w:rsidR="00167FF6">
        <w:rPr>
          <w:rFonts w:ascii="Arial" w:hAnsi="Arial" w:cs="Arial"/>
        </w:rPr>
        <w:t>after his arrest</w:t>
      </w:r>
      <w:r w:rsidR="00D30F21">
        <w:rPr>
          <w:rFonts w:ascii="Arial" w:hAnsi="Arial" w:cs="Arial"/>
        </w:rPr>
        <w:t xml:space="preserve"> and in the presence of the police when asked by his brother </w:t>
      </w:r>
      <w:r w:rsidR="00487197">
        <w:rPr>
          <w:rFonts w:ascii="Arial" w:hAnsi="Arial" w:cs="Arial"/>
        </w:rPr>
        <w:t xml:space="preserve">as to </w:t>
      </w:r>
      <w:r w:rsidR="00D30F21">
        <w:rPr>
          <w:rFonts w:ascii="Arial" w:hAnsi="Arial" w:cs="Arial"/>
        </w:rPr>
        <w:t xml:space="preserve">what had happened the previous evening, the gist of the statement revealed information about a shooting </w:t>
      </w:r>
      <w:r w:rsidR="00487197">
        <w:rPr>
          <w:rFonts w:ascii="Arial" w:hAnsi="Arial" w:cs="Arial"/>
        </w:rPr>
        <w:t xml:space="preserve">incident </w:t>
      </w:r>
      <w:r w:rsidR="00D30F21">
        <w:rPr>
          <w:rFonts w:ascii="Arial" w:hAnsi="Arial" w:cs="Arial"/>
        </w:rPr>
        <w:t>that occurred inside his vehicle</w:t>
      </w:r>
      <w:r w:rsidR="00167FF6">
        <w:rPr>
          <w:rFonts w:ascii="Arial" w:hAnsi="Arial" w:cs="Arial"/>
        </w:rPr>
        <w:t xml:space="preserve"> at a</w:t>
      </w:r>
      <w:r w:rsidR="00D30F21">
        <w:rPr>
          <w:rFonts w:ascii="Arial" w:hAnsi="Arial" w:cs="Arial"/>
        </w:rPr>
        <w:t xml:space="preserve"> time </w:t>
      </w:r>
      <w:r w:rsidR="00167FF6">
        <w:rPr>
          <w:rFonts w:ascii="Arial" w:hAnsi="Arial" w:cs="Arial"/>
        </w:rPr>
        <w:t xml:space="preserve">when </w:t>
      </w:r>
      <w:r w:rsidR="00D30F21">
        <w:rPr>
          <w:rFonts w:ascii="Arial" w:hAnsi="Arial" w:cs="Arial"/>
        </w:rPr>
        <w:t xml:space="preserve">the </w:t>
      </w:r>
      <w:r w:rsidR="00487197">
        <w:rPr>
          <w:rFonts w:ascii="Arial" w:hAnsi="Arial" w:cs="Arial"/>
        </w:rPr>
        <w:t>police had no information about the manner in which the deceased were killed</w:t>
      </w:r>
      <w:r w:rsidR="00167FF6">
        <w:rPr>
          <w:rFonts w:ascii="Arial" w:hAnsi="Arial" w:cs="Arial"/>
        </w:rPr>
        <w:t>,</w:t>
      </w:r>
      <w:r w:rsidR="00487197">
        <w:rPr>
          <w:rFonts w:ascii="Arial" w:hAnsi="Arial" w:cs="Arial"/>
        </w:rPr>
        <w:t xml:space="preserve"> or the circumstan</w:t>
      </w:r>
      <w:r w:rsidR="00167FF6">
        <w:rPr>
          <w:rFonts w:ascii="Arial" w:hAnsi="Arial" w:cs="Arial"/>
        </w:rPr>
        <w:t>ces under which it took place. By then t</w:t>
      </w:r>
      <w:r w:rsidR="00487197">
        <w:rPr>
          <w:rFonts w:ascii="Arial" w:hAnsi="Arial" w:cs="Arial"/>
        </w:rPr>
        <w:t xml:space="preserve">he </w:t>
      </w:r>
      <w:r w:rsidR="00D30F21">
        <w:rPr>
          <w:rFonts w:ascii="Arial" w:hAnsi="Arial" w:cs="Arial"/>
        </w:rPr>
        <w:t>vehicle</w:t>
      </w:r>
      <w:r w:rsidR="00167FF6">
        <w:rPr>
          <w:rFonts w:ascii="Arial" w:hAnsi="Arial" w:cs="Arial"/>
        </w:rPr>
        <w:t xml:space="preserve"> had not been found where left</w:t>
      </w:r>
      <w:r w:rsidR="00D30F21">
        <w:rPr>
          <w:rFonts w:ascii="Arial" w:hAnsi="Arial" w:cs="Arial"/>
        </w:rPr>
        <w:t xml:space="preserve"> by the accused</w:t>
      </w:r>
      <w:r w:rsidR="00487197">
        <w:rPr>
          <w:rFonts w:ascii="Arial" w:hAnsi="Arial" w:cs="Arial"/>
        </w:rPr>
        <w:t xml:space="preserve"> as he only led them there </w:t>
      </w:r>
      <w:r w:rsidR="00167FF6">
        <w:rPr>
          <w:rFonts w:ascii="Arial" w:hAnsi="Arial" w:cs="Arial"/>
        </w:rPr>
        <w:t>at a later stage</w:t>
      </w:r>
      <w:r w:rsidR="00487197">
        <w:rPr>
          <w:rFonts w:ascii="Arial" w:hAnsi="Arial" w:cs="Arial"/>
        </w:rPr>
        <w:t>.</w:t>
      </w:r>
      <w:r w:rsidR="00167FF6">
        <w:rPr>
          <w:rFonts w:ascii="Arial" w:hAnsi="Arial" w:cs="Arial"/>
        </w:rPr>
        <w:t xml:space="preserve"> Evidence about shots having been fired inside the accused’s vehicle and the presence of blood of the deceased persons were only discovered later; well after the accused disclosed information related thereto. </w:t>
      </w:r>
    </w:p>
    <w:p w:rsidR="00167FF6" w:rsidRDefault="00167FF6" w:rsidP="0053354A">
      <w:pPr>
        <w:spacing w:before="240" w:line="360" w:lineRule="auto"/>
        <w:jc w:val="both"/>
        <w:rPr>
          <w:rFonts w:ascii="Arial" w:hAnsi="Arial" w:cs="Arial"/>
        </w:rPr>
      </w:pPr>
    </w:p>
    <w:p w:rsidR="00167FF6" w:rsidRDefault="00167FF6" w:rsidP="0053354A">
      <w:pPr>
        <w:spacing w:before="240" w:line="360" w:lineRule="auto"/>
        <w:jc w:val="both"/>
        <w:rPr>
          <w:rFonts w:ascii="Arial" w:hAnsi="Arial" w:cs="Arial"/>
        </w:rPr>
      </w:pPr>
      <w:r>
        <w:rPr>
          <w:rFonts w:ascii="Arial" w:hAnsi="Arial" w:cs="Arial"/>
        </w:rPr>
        <w:t>[</w:t>
      </w:r>
      <w:r w:rsidR="00735F8E">
        <w:rPr>
          <w:rFonts w:ascii="Arial" w:hAnsi="Arial" w:cs="Arial"/>
        </w:rPr>
        <w:t>73</w:t>
      </w:r>
      <w:r>
        <w:rPr>
          <w:rFonts w:ascii="Arial" w:hAnsi="Arial" w:cs="Arial"/>
        </w:rPr>
        <w:t>]</w:t>
      </w:r>
      <w:r>
        <w:rPr>
          <w:rFonts w:ascii="Arial" w:hAnsi="Arial" w:cs="Arial"/>
        </w:rPr>
        <w:tab/>
        <w:t xml:space="preserve">Although the accused disputes </w:t>
      </w:r>
      <w:r w:rsidR="008B77EE">
        <w:rPr>
          <w:rFonts w:ascii="Arial" w:hAnsi="Arial" w:cs="Arial"/>
        </w:rPr>
        <w:t>having</w:t>
      </w:r>
      <w:r w:rsidR="0045668D">
        <w:rPr>
          <w:rFonts w:ascii="Arial" w:hAnsi="Arial" w:cs="Arial"/>
        </w:rPr>
        <w:t xml:space="preserve"> noticed the blood stains and spatter on the interior of his vehicle when he </w:t>
      </w:r>
      <w:r w:rsidR="008B77EE">
        <w:rPr>
          <w:rFonts w:ascii="Arial" w:hAnsi="Arial" w:cs="Arial"/>
        </w:rPr>
        <w:t>moved</w:t>
      </w:r>
      <w:r w:rsidR="0045668D">
        <w:rPr>
          <w:rFonts w:ascii="Arial" w:hAnsi="Arial" w:cs="Arial"/>
        </w:rPr>
        <w:t xml:space="preserve"> the vehicle </w:t>
      </w:r>
      <w:r w:rsidR="008B77EE">
        <w:rPr>
          <w:rFonts w:ascii="Arial" w:hAnsi="Arial" w:cs="Arial"/>
        </w:rPr>
        <w:t>to</w:t>
      </w:r>
      <w:r w:rsidR="0045668D">
        <w:rPr>
          <w:rFonts w:ascii="Arial" w:hAnsi="Arial" w:cs="Arial"/>
        </w:rPr>
        <w:t xml:space="preserve"> Ursula’s house, it seems highly unlikely that </w:t>
      </w:r>
      <w:r w:rsidR="008B77EE">
        <w:rPr>
          <w:rFonts w:ascii="Arial" w:hAnsi="Arial" w:cs="Arial"/>
        </w:rPr>
        <w:t xml:space="preserve">with all the bloodstains and spatter clearly visible, </w:t>
      </w:r>
      <w:r w:rsidR="0045668D">
        <w:rPr>
          <w:rFonts w:ascii="Arial" w:hAnsi="Arial" w:cs="Arial"/>
        </w:rPr>
        <w:t>he could have missed it. When considered</w:t>
      </w:r>
      <w:r w:rsidR="008B77EE">
        <w:rPr>
          <w:rFonts w:ascii="Arial" w:hAnsi="Arial" w:cs="Arial"/>
        </w:rPr>
        <w:t xml:space="preserve"> together</w:t>
      </w:r>
      <w:r w:rsidR="0045668D">
        <w:rPr>
          <w:rFonts w:ascii="Arial" w:hAnsi="Arial" w:cs="Arial"/>
        </w:rPr>
        <w:t xml:space="preserve"> with his inability to come up with a plausible explanation for moving the vehicle there in the first place and why he did not drive home, the only reasonable </w:t>
      </w:r>
      <w:r w:rsidR="008B77EE">
        <w:rPr>
          <w:rFonts w:ascii="Arial" w:hAnsi="Arial" w:cs="Arial"/>
        </w:rPr>
        <w:t xml:space="preserve">conclusion to come to </w:t>
      </w:r>
      <w:r w:rsidR="0045668D">
        <w:rPr>
          <w:rFonts w:ascii="Arial" w:hAnsi="Arial" w:cs="Arial"/>
        </w:rPr>
        <w:t>is that this was done in an attempt to hide the vehicle. In light of the accused’s evidence that he was eager to retriev</w:t>
      </w:r>
      <w:r w:rsidR="008B77EE">
        <w:rPr>
          <w:rFonts w:ascii="Arial" w:hAnsi="Arial" w:cs="Arial"/>
        </w:rPr>
        <w:t>e his vehicle, his decision</w:t>
      </w:r>
      <w:r w:rsidR="0045668D">
        <w:rPr>
          <w:rFonts w:ascii="Arial" w:hAnsi="Arial" w:cs="Arial"/>
        </w:rPr>
        <w:t xml:space="preserve"> to park the vehicle elsewhere instead of bringing it home</w:t>
      </w:r>
      <w:r w:rsidR="008B77EE">
        <w:rPr>
          <w:rFonts w:ascii="Arial" w:hAnsi="Arial" w:cs="Arial"/>
        </w:rPr>
        <w:t>,</w:t>
      </w:r>
      <w:r w:rsidR="00553E14">
        <w:rPr>
          <w:rFonts w:ascii="Arial" w:hAnsi="Arial" w:cs="Arial"/>
        </w:rPr>
        <w:t xml:space="preserve"> can only be described as</w:t>
      </w:r>
      <w:r w:rsidR="0045668D">
        <w:rPr>
          <w:rFonts w:ascii="Arial" w:hAnsi="Arial" w:cs="Arial"/>
        </w:rPr>
        <w:t xml:space="preserve"> </w:t>
      </w:r>
      <w:r w:rsidR="00553E14">
        <w:rPr>
          <w:rFonts w:ascii="Arial" w:hAnsi="Arial" w:cs="Arial"/>
        </w:rPr>
        <w:t xml:space="preserve">awkward and inconsistent with </w:t>
      </w:r>
      <w:r w:rsidR="008B77EE">
        <w:rPr>
          <w:rFonts w:ascii="Arial" w:hAnsi="Arial" w:cs="Arial"/>
        </w:rPr>
        <w:t>his earlier intentions to bring his vehicle to safety. His</w:t>
      </w:r>
      <w:r w:rsidR="00553E14">
        <w:rPr>
          <w:rFonts w:ascii="Arial" w:hAnsi="Arial" w:cs="Arial"/>
        </w:rPr>
        <w:t xml:space="preserve"> behaviour </w:t>
      </w:r>
      <w:r w:rsidR="0045668D">
        <w:rPr>
          <w:rFonts w:ascii="Arial" w:hAnsi="Arial" w:cs="Arial"/>
        </w:rPr>
        <w:t xml:space="preserve">would be consistent with </w:t>
      </w:r>
      <w:r w:rsidR="00553E14">
        <w:rPr>
          <w:rFonts w:ascii="Arial" w:hAnsi="Arial" w:cs="Arial"/>
        </w:rPr>
        <w:t xml:space="preserve">that of a person with </w:t>
      </w:r>
      <w:r w:rsidR="0045668D">
        <w:rPr>
          <w:rFonts w:ascii="Arial" w:hAnsi="Arial" w:cs="Arial"/>
        </w:rPr>
        <w:t>a guilty mind.</w:t>
      </w:r>
    </w:p>
    <w:p w:rsidR="00553E14" w:rsidRDefault="00553E14" w:rsidP="0053354A">
      <w:pPr>
        <w:spacing w:before="240" w:line="360" w:lineRule="auto"/>
        <w:jc w:val="both"/>
        <w:rPr>
          <w:rFonts w:ascii="Arial" w:hAnsi="Arial" w:cs="Arial"/>
        </w:rPr>
      </w:pPr>
    </w:p>
    <w:p w:rsidR="00890AF3" w:rsidRDefault="00553E14" w:rsidP="0053354A">
      <w:pPr>
        <w:spacing w:before="240" w:line="360" w:lineRule="auto"/>
        <w:jc w:val="both"/>
        <w:rPr>
          <w:rFonts w:ascii="Arial" w:hAnsi="Arial" w:cs="Arial"/>
        </w:rPr>
      </w:pPr>
      <w:r>
        <w:rPr>
          <w:rFonts w:ascii="Arial" w:hAnsi="Arial" w:cs="Arial"/>
        </w:rPr>
        <w:t>[</w:t>
      </w:r>
      <w:r w:rsidR="008B77EE">
        <w:rPr>
          <w:rFonts w:ascii="Arial" w:hAnsi="Arial" w:cs="Arial"/>
        </w:rPr>
        <w:t>74</w:t>
      </w:r>
      <w:r>
        <w:rPr>
          <w:rFonts w:ascii="Arial" w:hAnsi="Arial" w:cs="Arial"/>
        </w:rPr>
        <w:t>]</w:t>
      </w:r>
      <w:r>
        <w:rPr>
          <w:rFonts w:ascii="Arial" w:hAnsi="Arial" w:cs="Arial"/>
        </w:rPr>
        <w:tab/>
        <w:t xml:space="preserve">The accused was not an impressive witness. His evidence is riddled with contradictions and improbabilities; neither is there any corroboration to be found in the </w:t>
      </w:r>
      <w:r w:rsidR="000A22E9">
        <w:rPr>
          <w:rFonts w:ascii="Arial" w:hAnsi="Arial" w:cs="Arial"/>
        </w:rPr>
        <w:t>evidence adduced that remotely supports his version. On the contrary, as shown above, shots f</w:t>
      </w:r>
      <w:r w:rsidR="008B77EE">
        <w:rPr>
          <w:rFonts w:ascii="Arial" w:hAnsi="Arial" w:cs="Arial"/>
        </w:rPr>
        <w:t>ired inside his vehicle which</w:t>
      </w:r>
      <w:r w:rsidR="000A22E9">
        <w:rPr>
          <w:rFonts w:ascii="Arial" w:hAnsi="Arial" w:cs="Arial"/>
        </w:rPr>
        <w:t xml:space="preserve"> cause</w:t>
      </w:r>
      <w:r w:rsidR="008B77EE">
        <w:rPr>
          <w:rFonts w:ascii="Arial" w:hAnsi="Arial" w:cs="Arial"/>
        </w:rPr>
        <w:t>d the death of the two deceased</w:t>
      </w:r>
      <w:r w:rsidR="000A22E9">
        <w:rPr>
          <w:rFonts w:ascii="Arial" w:hAnsi="Arial" w:cs="Arial"/>
        </w:rPr>
        <w:t xml:space="preserve"> took place </w:t>
      </w:r>
      <w:r w:rsidR="008B77EE">
        <w:rPr>
          <w:rFonts w:ascii="Arial" w:hAnsi="Arial" w:cs="Arial"/>
        </w:rPr>
        <w:t>at a time when</w:t>
      </w:r>
      <w:r w:rsidR="000A22E9">
        <w:rPr>
          <w:rFonts w:ascii="Arial" w:hAnsi="Arial" w:cs="Arial"/>
        </w:rPr>
        <w:t xml:space="preserve"> the accused had sole control over his firearm. This not only excludes any other person(s) responsible for the killing, but renders his own evidence impossible. The accused’s failure to </w:t>
      </w:r>
      <w:r w:rsidR="008B77EE">
        <w:rPr>
          <w:rFonts w:ascii="Arial" w:hAnsi="Arial" w:cs="Arial"/>
        </w:rPr>
        <w:t xml:space="preserve">immediately </w:t>
      </w:r>
      <w:r w:rsidR="000A22E9">
        <w:rPr>
          <w:rFonts w:ascii="Arial" w:hAnsi="Arial" w:cs="Arial"/>
        </w:rPr>
        <w:t xml:space="preserve">raise his suspicion about </w:t>
      </w:r>
      <w:r w:rsidR="00027A2F">
        <w:rPr>
          <w:rFonts w:ascii="Arial" w:hAnsi="Arial" w:cs="Arial"/>
        </w:rPr>
        <w:t>Benny whom he suspected to have committed the murders to the police, or to raise an alibi defence in response to the state’s pre-trial memorandum</w:t>
      </w:r>
      <w:r w:rsidR="008B77EE">
        <w:rPr>
          <w:rFonts w:ascii="Arial" w:hAnsi="Arial" w:cs="Arial"/>
        </w:rPr>
        <w:t>,</w:t>
      </w:r>
      <w:r w:rsidR="00027A2F">
        <w:rPr>
          <w:rFonts w:ascii="Arial" w:hAnsi="Arial" w:cs="Arial"/>
        </w:rPr>
        <w:t xml:space="preserve"> or in his plea explanation</w:t>
      </w:r>
      <w:r w:rsidR="008B77EE">
        <w:rPr>
          <w:rFonts w:ascii="Arial" w:hAnsi="Arial" w:cs="Arial"/>
        </w:rPr>
        <w:t>,</w:t>
      </w:r>
      <w:r w:rsidR="00027A2F">
        <w:rPr>
          <w:rFonts w:ascii="Arial" w:hAnsi="Arial" w:cs="Arial"/>
        </w:rPr>
        <w:t xml:space="preserve"> is not consistent with </w:t>
      </w:r>
      <w:r w:rsidR="008B77EE">
        <w:rPr>
          <w:rFonts w:ascii="Arial" w:hAnsi="Arial" w:cs="Arial"/>
        </w:rPr>
        <w:t xml:space="preserve">the behaviour of </w:t>
      </w:r>
      <w:r w:rsidR="00027A2F">
        <w:rPr>
          <w:rFonts w:ascii="Arial" w:hAnsi="Arial" w:cs="Arial"/>
        </w:rPr>
        <w:t xml:space="preserve">a </w:t>
      </w:r>
      <w:r w:rsidR="008B77EE">
        <w:rPr>
          <w:rFonts w:ascii="Arial" w:hAnsi="Arial" w:cs="Arial"/>
        </w:rPr>
        <w:t xml:space="preserve">person or </w:t>
      </w:r>
      <w:r w:rsidR="00027A2F">
        <w:rPr>
          <w:rFonts w:ascii="Arial" w:hAnsi="Arial" w:cs="Arial"/>
        </w:rPr>
        <w:t>suspect who has nothing to hide. While it is the accused’s constitutional right to remain silent and not to disclose his defence, it might be expected of an innocent suspect facing serious charges to state</w:t>
      </w:r>
      <w:r w:rsidR="00890AF3">
        <w:rPr>
          <w:rFonts w:ascii="Arial" w:hAnsi="Arial" w:cs="Arial"/>
        </w:rPr>
        <w:t>,</w:t>
      </w:r>
      <w:r w:rsidR="00027A2F">
        <w:rPr>
          <w:rFonts w:ascii="Arial" w:hAnsi="Arial" w:cs="Arial"/>
        </w:rPr>
        <w:t xml:space="preserve"> from the outset</w:t>
      </w:r>
      <w:r w:rsidR="00890AF3">
        <w:rPr>
          <w:rFonts w:ascii="Arial" w:hAnsi="Arial" w:cs="Arial"/>
        </w:rPr>
        <w:t>,</w:t>
      </w:r>
      <w:r w:rsidR="00027A2F">
        <w:rPr>
          <w:rFonts w:ascii="Arial" w:hAnsi="Arial" w:cs="Arial"/>
        </w:rPr>
        <w:t xml:space="preserve"> that it was not him who committed the crimes, but that the real perpetrator is someone else and furnish all information about that person to the police.</w:t>
      </w:r>
      <w:r w:rsidR="00890AF3">
        <w:rPr>
          <w:rFonts w:ascii="Arial" w:hAnsi="Arial" w:cs="Arial"/>
        </w:rPr>
        <w:t xml:space="preserve"> This he did not do but instead let years pass before raising an alibi defence. </w:t>
      </w:r>
    </w:p>
    <w:p w:rsidR="00890AF3" w:rsidRDefault="00890AF3" w:rsidP="0053354A">
      <w:pPr>
        <w:spacing w:before="240" w:line="360" w:lineRule="auto"/>
        <w:jc w:val="both"/>
        <w:rPr>
          <w:rFonts w:ascii="Arial" w:hAnsi="Arial" w:cs="Arial"/>
        </w:rPr>
      </w:pPr>
    </w:p>
    <w:p w:rsidR="00553E14" w:rsidRDefault="00890AF3" w:rsidP="0053354A">
      <w:pPr>
        <w:spacing w:before="240" w:line="360" w:lineRule="auto"/>
        <w:jc w:val="both"/>
        <w:rPr>
          <w:rFonts w:ascii="Arial" w:hAnsi="Arial" w:cs="Arial"/>
        </w:rPr>
      </w:pPr>
      <w:r>
        <w:rPr>
          <w:rFonts w:ascii="Arial" w:hAnsi="Arial" w:cs="Arial"/>
        </w:rPr>
        <w:t>[</w:t>
      </w:r>
      <w:r w:rsidR="00970F59">
        <w:rPr>
          <w:rFonts w:ascii="Arial" w:hAnsi="Arial" w:cs="Arial"/>
        </w:rPr>
        <w:t>75</w:t>
      </w:r>
      <w:r>
        <w:rPr>
          <w:rFonts w:ascii="Arial" w:hAnsi="Arial" w:cs="Arial"/>
        </w:rPr>
        <w:t>]</w:t>
      </w:r>
      <w:r>
        <w:rPr>
          <w:rFonts w:ascii="Arial" w:hAnsi="Arial" w:cs="Arial"/>
        </w:rPr>
        <w:tab/>
        <w:t>Against th</w:t>
      </w:r>
      <w:r w:rsidR="00970F59">
        <w:rPr>
          <w:rFonts w:ascii="Arial" w:hAnsi="Arial" w:cs="Arial"/>
        </w:rPr>
        <w:t>is backdrop, it seems inevitable</w:t>
      </w:r>
      <w:r>
        <w:rPr>
          <w:rFonts w:ascii="Arial" w:hAnsi="Arial" w:cs="Arial"/>
        </w:rPr>
        <w:t xml:space="preserve"> to come to </w:t>
      </w:r>
      <w:r w:rsidR="00970F59">
        <w:rPr>
          <w:rFonts w:ascii="Arial" w:hAnsi="Arial" w:cs="Arial"/>
        </w:rPr>
        <w:t>the</w:t>
      </w:r>
      <w:r>
        <w:rPr>
          <w:rFonts w:ascii="Arial" w:hAnsi="Arial" w:cs="Arial"/>
        </w:rPr>
        <w:t xml:space="preserve"> conclusion that the belated appearance of a suspect called Benny is a figment of the accused’s imagination and </w:t>
      </w:r>
      <w:r w:rsidR="00970F59">
        <w:rPr>
          <w:rFonts w:ascii="Arial" w:hAnsi="Arial" w:cs="Arial"/>
        </w:rPr>
        <w:t>therefore fabricated</w:t>
      </w:r>
      <w:r>
        <w:rPr>
          <w:rFonts w:ascii="Arial" w:hAnsi="Arial" w:cs="Arial"/>
        </w:rPr>
        <w:t xml:space="preserve"> evidence. When considered against the evidence as a whole, the court is satisfied that it had been proved beyond reasonable doubt that the accused’s defence is nor reasonably possibly true and falls to be rejected as false. There can be no doubt that the accused </w:t>
      </w:r>
      <w:r w:rsidR="00970F59">
        <w:rPr>
          <w:rFonts w:ascii="Arial" w:hAnsi="Arial" w:cs="Arial"/>
        </w:rPr>
        <w:t xml:space="preserve">unlawfully </w:t>
      </w:r>
      <w:r>
        <w:rPr>
          <w:rFonts w:ascii="Arial" w:hAnsi="Arial" w:cs="Arial"/>
        </w:rPr>
        <w:t>brought about the death of Johanie Naruses and Clementia de Wee.</w:t>
      </w:r>
    </w:p>
    <w:p w:rsidR="00890AF3" w:rsidRDefault="00890AF3" w:rsidP="0053354A">
      <w:pPr>
        <w:spacing w:before="240" w:line="360" w:lineRule="auto"/>
        <w:jc w:val="both"/>
        <w:rPr>
          <w:rFonts w:ascii="Arial" w:hAnsi="Arial" w:cs="Arial"/>
        </w:rPr>
      </w:pPr>
    </w:p>
    <w:p w:rsidR="00025EA8" w:rsidRDefault="00FA6FEE" w:rsidP="00FA6FEE">
      <w:pPr>
        <w:spacing w:line="360" w:lineRule="auto"/>
        <w:jc w:val="both"/>
        <w:rPr>
          <w:rFonts w:ascii="Arial" w:hAnsi="Arial" w:cs="Arial"/>
          <w:lang w:val="en-ZA"/>
        </w:rPr>
      </w:pPr>
      <w:r>
        <w:rPr>
          <w:rFonts w:ascii="Arial" w:hAnsi="Arial" w:cs="Arial"/>
        </w:rPr>
        <w:t>[</w:t>
      </w:r>
      <w:r w:rsidR="00970F59">
        <w:rPr>
          <w:rFonts w:ascii="Arial" w:hAnsi="Arial" w:cs="Arial"/>
        </w:rPr>
        <w:t>76</w:t>
      </w:r>
      <w:r>
        <w:rPr>
          <w:rFonts w:ascii="Arial" w:hAnsi="Arial" w:cs="Arial"/>
        </w:rPr>
        <w:t>]</w:t>
      </w:r>
      <w:r>
        <w:rPr>
          <w:rFonts w:ascii="Arial" w:hAnsi="Arial" w:cs="Arial"/>
        </w:rPr>
        <w:tab/>
      </w:r>
      <w:r w:rsidRPr="00FA6FEE">
        <w:rPr>
          <w:rFonts w:ascii="Arial" w:hAnsi="Arial" w:cs="Arial"/>
          <w:lang w:val="en-ZA"/>
        </w:rPr>
        <w:t xml:space="preserve">Whereas the accused’s testimony has been rejected as false, the court is deprived of the assistance of important information pertaining to the circumstances which led to the </w:t>
      </w:r>
      <w:r w:rsidR="00025EA8">
        <w:rPr>
          <w:rFonts w:ascii="Arial" w:hAnsi="Arial" w:cs="Arial"/>
          <w:lang w:val="en-ZA"/>
        </w:rPr>
        <w:t>killing</w:t>
      </w:r>
      <w:r w:rsidRPr="00FA6FEE">
        <w:rPr>
          <w:rFonts w:ascii="Arial" w:hAnsi="Arial" w:cs="Arial"/>
          <w:lang w:val="en-ZA"/>
        </w:rPr>
        <w:t xml:space="preserve"> of the deceased</w:t>
      </w:r>
      <w:r w:rsidR="00025EA8">
        <w:rPr>
          <w:rFonts w:ascii="Arial" w:hAnsi="Arial" w:cs="Arial"/>
          <w:lang w:val="en-ZA"/>
        </w:rPr>
        <w:t xml:space="preserve"> persons</w:t>
      </w:r>
      <w:r w:rsidRPr="00FA6FEE">
        <w:rPr>
          <w:rFonts w:ascii="Arial" w:hAnsi="Arial" w:cs="Arial"/>
          <w:lang w:val="en-ZA"/>
        </w:rPr>
        <w:t xml:space="preserve"> – information the accused alone </w:t>
      </w:r>
      <w:r w:rsidR="00025EA8">
        <w:rPr>
          <w:rFonts w:ascii="Arial" w:hAnsi="Arial" w:cs="Arial"/>
          <w:lang w:val="en-ZA"/>
        </w:rPr>
        <w:t>is privy to</w:t>
      </w:r>
      <w:r w:rsidRPr="00FA6FEE">
        <w:rPr>
          <w:rFonts w:ascii="Arial" w:hAnsi="Arial" w:cs="Arial"/>
          <w:lang w:val="en-ZA"/>
        </w:rPr>
        <w:t>.  In circumstances where an accused’s account h</w:t>
      </w:r>
      <w:r w:rsidR="00025EA8">
        <w:rPr>
          <w:rFonts w:ascii="Arial" w:hAnsi="Arial" w:cs="Arial"/>
          <w:lang w:val="en-ZA"/>
        </w:rPr>
        <w:t>as been rejected as false, the c</w:t>
      </w:r>
      <w:r w:rsidRPr="00FA6FEE">
        <w:rPr>
          <w:rFonts w:ascii="Arial" w:hAnsi="Arial" w:cs="Arial"/>
          <w:lang w:val="en-ZA"/>
        </w:rPr>
        <w:t xml:space="preserve">ourt in </w:t>
      </w:r>
      <w:r w:rsidRPr="00FA6FEE">
        <w:rPr>
          <w:rFonts w:ascii="Arial" w:hAnsi="Arial" w:cs="Arial"/>
          <w:i/>
          <w:lang w:val="en-ZA"/>
        </w:rPr>
        <w:t>R v Mlambo</w:t>
      </w:r>
      <w:r w:rsidRPr="00FA6FEE">
        <w:rPr>
          <w:rStyle w:val="FootnoteReference"/>
          <w:rFonts w:ascii="Arial" w:hAnsi="Arial" w:cs="Arial"/>
          <w:i/>
          <w:lang w:val="en-ZA"/>
        </w:rPr>
        <w:footnoteReference w:id="26"/>
      </w:r>
      <w:r w:rsidRPr="00FA6FEE">
        <w:rPr>
          <w:rFonts w:ascii="Arial" w:hAnsi="Arial" w:cs="Arial"/>
          <w:i/>
          <w:lang w:val="en-ZA"/>
        </w:rPr>
        <w:t xml:space="preserve"> per</w:t>
      </w:r>
      <w:r w:rsidRPr="00FA6FEE">
        <w:rPr>
          <w:rFonts w:ascii="Arial" w:hAnsi="Arial" w:cs="Arial"/>
          <w:lang w:val="en-ZA"/>
        </w:rPr>
        <w:t xml:space="preserve"> Malan, J (dissenting) held the view that the court may draw an inference that the accused committed the assault with intent to kill, rather than with a less serious form of </w:t>
      </w:r>
      <w:r w:rsidRPr="00FA6FEE">
        <w:rPr>
          <w:rFonts w:ascii="Arial" w:hAnsi="Arial" w:cs="Arial"/>
          <w:i/>
          <w:lang w:val="en-ZA"/>
        </w:rPr>
        <w:t>mens rea.</w:t>
      </w:r>
      <w:r w:rsidRPr="00FA6FEE">
        <w:rPr>
          <w:rFonts w:ascii="Arial" w:hAnsi="Arial" w:cs="Arial"/>
          <w:lang w:val="en-ZA"/>
        </w:rPr>
        <w:t xml:space="preserve">  </w:t>
      </w:r>
    </w:p>
    <w:p w:rsidR="00025EA8" w:rsidRDefault="00025EA8" w:rsidP="00FA6FEE">
      <w:pPr>
        <w:spacing w:line="360" w:lineRule="auto"/>
        <w:jc w:val="both"/>
        <w:rPr>
          <w:rFonts w:ascii="Arial" w:hAnsi="Arial" w:cs="Arial"/>
          <w:lang w:val="en-ZA"/>
        </w:rPr>
      </w:pPr>
    </w:p>
    <w:p w:rsidR="00025EA8" w:rsidRDefault="00025EA8" w:rsidP="00FA6FEE">
      <w:pPr>
        <w:spacing w:line="360" w:lineRule="auto"/>
        <w:jc w:val="both"/>
        <w:rPr>
          <w:rFonts w:ascii="Arial" w:hAnsi="Arial" w:cs="Arial"/>
          <w:lang w:val="en-ZA"/>
        </w:rPr>
      </w:pPr>
      <w:r>
        <w:rPr>
          <w:rFonts w:ascii="Arial" w:hAnsi="Arial" w:cs="Arial"/>
          <w:lang w:val="en-ZA"/>
        </w:rPr>
        <w:t>[</w:t>
      </w:r>
      <w:r w:rsidR="00970F59">
        <w:rPr>
          <w:rFonts w:ascii="Arial" w:hAnsi="Arial" w:cs="Arial"/>
          <w:lang w:val="en-ZA"/>
        </w:rPr>
        <w:t>77</w:t>
      </w:r>
      <w:r>
        <w:rPr>
          <w:rFonts w:ascii="Arial" w:hAnsi="Arial" w:cs="Arial"/>
          <w:lang w:val="en-ZA"/>
        </w:rPr>
        <w:t>]</w:t>
      </w:r>
      <w:r>
        <w:rPr>
          <w:rFonts w:ascii="Arial" w:hAnsi="Arial" w:cs="Arial"/>
          <w:lang w:val="en-ZA"/>
        </w:rPr>
        <w:tab/>
        <w:t xml:space="preserve">In this instance the court does not have the benefit of knowing what the accused’s subjective state of mind was when he caused the death of the two deceased. In order to determine the accused’s intention regard may be had to objective factors such as the weapon or instrument used and at which part of the body it was directed. Based on the medical and forensic evidence presented in this instance, it could with reasonable safety be inferred that the deceased were shot through the </w:t>
      </w:r>
      <w:r w:rsidR="008F786D">
        <w:rPr>
          <w:rFonts w:ascii="Arial" w:hAnsi="Arial" w:cs="Arial"/>
          <w:lang w:val="en-ZA"/>
        </w:rPr>
        <w:t xml:space="preserve">upper body with a firearm which resulted in death. </w:t>
      </w:r>
      <w:r>
        <w:rPr>
          <w:rFonts w:ascii="Arial" w:hAnsi="Arial" w:cs="Arial"/>
          <w:lang w:val="en-ZA"/>
        </w:rPr>
        <w:t xml:space="preserve"> </w:t>
      </w:r>
      <w:r w:rsidR="008F786D">
        <w:rPr>
          <w:rFonts w:ascii="Arial" w:hAnsi="Arial" w:cs="Arial"/>
          <w:lang w:val="en-ZA"/>
        </w:rPr>
        <w:t>From these indicators it can be inferred that the accused acted with direct intent when he fired the fatal shots. I accordingly find that in respect of both murders the accused acted with the intention to kill (</w:t>
      </w:r>
      <w:r w:rsidR="008F786D">
        <w:rPr>
          <w:rFonts w:ascii="Arial" w:hAnsi="Arial" w:cs="Arial"/>
          <w:i/>
          <w:lang w:val="en-ZA"/>
        </w:rPr>
        <w:t>dolus directus</w:t>
      </w:r>
      <w:r w:rsidR="008F786D">
        <w:rPr>
          <w:rFonts w:ascii="Arial" w:hAnsi="Arial" w:cs="Arial"/>
          <w:lang w:val="en-ZA"/>
        </w:rPr>
        <w:t>).</w:t>
      </w:r>
    </w:p>
    <w:p w:rsidR="00025EA8" w:rsidRDefault="00025EA8" w:rsidP="00FA6FEE">
      <w:pPr>
        <w:spacing w:line="360" w:lineRule="auto"/>
        <w:jc w:val="both"/>
        <w:rPr>
          <w:rFonts w:ascii="Arial" w:hAnsi="Arial" w:cs="Arial"/>
          <w:lang w:val="en-ZA"/>
        </w:rPr>
      </w:pPr>
    </w:p>
    <w:p w:rsidR="002F4DBB" w:rsidRDefault="002F4DBB" w:rsidP="008F786D">
      <w:pPr>
        <w:spacing w:line="360" w:lineRule="auto"/>
        <w:jc w:val="both"/>
        <w:rPr>
          <w:rFonts w:ascii="Arial" w:hAnsi="Arial" w:cs="Arial"/>
          <w:i/>
          <w:lang w:val="en-ZA"/>
        </w:rPr>
      </w:pPr>
    </w:p>
    <w:p w:rsidR="002F4DBB" w:rsidRDefault="002F4DBB" w:rsidP="008F786D">
      <w:pPr>
        <w:spacing w:line="360" w:lineRule="auto"/>
        <w:jc w:val="both"/>
        <w:rPr>
          <w:rFonts w:ascii="Arial" w:hAnsi="Arial" w:cs="Arial"/>
          <w:i/>
          <w:lang w:val="en-ZA"/>
        </w:rPr>
      </w:pPr>
    </w:p>
    <w:p w:rsidR="008F786D" w:rsidRDefault="008F786D" w:rsidP="008F786D">
      <w:pPr>
        <w:spacing w:line="360" w:lineRule="auto"/>
        <w:jc w:val="both"/>
        <w:rPr>
          <w:rFonts w:ascii="Arial" w:hAnsi="Arial" w:cs="Arial"/>
          <w:i/>
          <w:lang w:val="en-ZA"/>
        </w:rPr>
      </w:pPr>
      <w:r w:rsidRPr="008F786D">
        <w:rPr>
          <w:rFonts w:ascii="Arial" w:hAnsi="Arial" w:cs="Arial"/>
          <w:i/>
          <w:lang w:val="en-ZA"/>
        </w:rPr>
        <w:lastRenderedPageBreak/>
        <w:t>Count 3: Defeating or obstructing or attempting to defeat or obstruct the course of justice</w:t>
      </w:r>
    </w:p>
    <w:p w:rsidR="008F786D" w:rsidRPr="008F786D" w:rsidRDefault="008F786D" w:rsidP="008F786D">
      <w:pPr>
        <w:spacing w:line="360" w:lineRule="auto"/>
        <w:jc w:val="both"/>
        <w:rPr>
          <w:rFonts w:ascii="Arial" w:hAnsi="Arial" w:cs="Arial"/>
          <w:lang w:val="en-ZA"/>
        </w:rPr>
      </w:pPr>
      <w:r>
        <w:rPr>
          <w:rFonts w:ascii="Arial" w:hAnsi="Arial" w:cs="Arial"/>
          <w:lang w:val="en-ZA"/>
        </w:rPr>
        <w:t>[</w:t>
      </w:r>
      <w:r w:rsidR="00970F59">
        <w:rPr>
          <w:rFonts w:ascii="Arial" w:hAnsi="Arial" w:cs="Arial"/>
          <w:lang w:val="en-ZA"/>
        </w:rPr>
        <w:t>78</w:t>
      </w:r>
      <w:r>
        <w:rPr>
          <w:rFonts w:ascii="Arial" w:hAnsi="Arial" w:cs="Arial"/>
          <w:lang w:val="en-ZA"/>
        </w:rPr>
        <w:t>]</w:t>
      </w:r>
      <w:r>
        <w:rPr>
          <w:rFonts w:ascii="Arial" w:hAnsi="Arial" w:cs="Arial"/>
          <w:lang w:val="en-ZA"/>
        </w:rPr>
        <w:tab/>
      </w:r>
      <w:r w:rsidR="00970F59">
        <w:rPr>
          <w:rFonts w:ascii="Arial" w:hAnsi="Arial" w:cs="Arial"/>
          <w:lang w:val="en-ZA"/>
        </w:rPr>
        <w:t>Whereas the court has</w:t>
      </w:r>
      <w:r w:rsidR="00626EEF">
        <w:rPr>
          <w:rFonts w:ascii="Arial" w:hAnsi="Arial" w:cs="Arial"/>
          <w:lang w:val="en-ZA"/>
        </w:rPr>
        <w:t xml:space="preserve"> come to the</w:t>
      </w:r>
      <w:r w:rsidR="00970F59">
        <w:rPr>
          <w:rFonts w:ascii="Arial" w:hAnsi="Arial" w:cs="Arial"/>
          <w:lang w:val="en-ZA"/>
        </w:rPr>
        <w:t xml:space="preserve"> conclusion that the accused</w:t>
      </w:r>
      <w:r w:rsidR="00626EEF">
        <w:rPr>
          <w:rFonts w:ascii="Arial" w:hAnsi="Arial" w:cs="Arial"/>
          <w:lang w:val="en-ZA"/>
        </w:rPr>
        <w:t xml:space="preserve"> murdered the two deceased, it could with reasonable certainty be inferred from the proved facts that he was equally responsible for dumping their bodies at the municipal dumpsite and setting them alight after covering them with tyres. Evidence of tyre tracks found at the scene similar to that made by tyres fitted on the accused’s vehicle is consistent with the inference sought to be drawn. In the absence of any evidence to the contrary, that would be the only reasonable conclusion to come to. A further inference may be drawn namely that this was done in order to </w:t>
      </w:r>
      <w:r w:rsidR="00DD2B31">
        <w:rPr>
          <w:rFonts w:ascii="Arial" w:hAnsi="Arial" w:cs="Arial"/>
          <w:lang w:val="en-ZA"/>
        </w:rPr>
        <w:t>destroy evidence connected to crimes of murder; conduct constituting the common law offence of defeating or obstructing the course of justice. On this count I am equally satisfied that the accused’s guilt has been established beyond reasonable doubt.</w:t>
      </w:r>
    </w:p>
    <w:p w:rsidR="008F786D" w:rsidRDefault="008F786D" w:rsidP="008F786D">
      <w:pPr>
        <w:spacing w:line="360" w:lineRule="auto"/>
        <w:jc w:val="both"/>
        <w:rPr>
          <w:rFonts w:ascii="Arial" w:hAnsi="Arial" w:cs="Arial"/>
          <w:lang w:val="en-ZA"/>
        </w:rPr>
      </w:pPr>
    </w:p>
    <w:p w:rsidR="00FA6FEE" w:rsidRPr="00DD2B31" w:rsidRDefault="008F786D" w:rsidP="008F786D">
      <w:pPr>
        <w:spacing w:line="360" w:lineRule="auto"/>
        <w:jc w:val="both"/>
        <w:rPr>
          <w:rFonts w:ascii="Arial" w:hAnsi="Arial" w:cs="Arial"/>
          <w:i/>
          <w:lang w:val="en-ZA"/>
        </w:rPr>
      </w:pPr>
      <w:r w:rsidRPr="00DD2B31">
        <w:rPr>
          <w:rFonts w:ascii="Arial" w:hAnsi="Arial" w:cs="Arial"/>
          <w:i/>
          <w:lang w:val="en-ZA"/>
        </w:rPr>
        <w:t>Count 4: Failing to lock away an arm, contravening section 38(1)(j) of the Arms and Ammunition Act 7 of 1996.</w:t>
      </w:r>
    </w:p>
    <w:p w:rsidR="00781F95" w:rsidRPr="00DD2B31" w:rsidRDefault="00DD2B31" w:rsidP="00FA6FEE">
      <w:pPr>
        <w:spacing w:line="360" w:lineRule="auto"/>
        <w:jc w:val="both"/>
        <w:rPr>
          <w:rFonts w:ascii="Arial" w:hAnsi="Arial" w:cs="Arial"/>
        </w:rPr>
      </w:pPr>
      <w:r w:rsidRPr="00DD2B31">
        <w:rPr>
          <w:rFonts w:ascii="Arial" w:hAnsi="Arial" w:cs="Arial"/>
        </w:rPr>
        <w:t>[</w:t>
      </w:r>
      <w:r w:rsidR="00970F59">
        <w:rPr>
          <w:rFonts w:ascii="Arial" w:hAnsi="Arial" w:cs="Arial"/>
        </w:rPr>
        <w:t>79</w:t>
      </w:r>
      <w:r w:rsidRPr="00DD2B31">
        <w:rPr>
          <w:rFonts w:ascii="Arial" w:hAnsi="Arial" w:cs="Arial"/>
        </w:rPr>
        <w:t>]</w:t>
      </w:r>
      <w:r>
        <w:rPr>
          <w:rFonts w:ascii="Arial" w:hAnsi="Arial" w:cs="Arial"/>
        </w:rPr>
        <w:tab/>
        <w:t>The section under which the accused is charged regulates the</w:t>
      </w:r>
      <w:r w:rsidR="00870CA3">
        <w:rPr>
          <w:rFonts w:ascii="Arial" w:hAnsi="Arial" w:cs="Arial"/>
        </w:rPr>
        <w:t xml:space="preserve"> safekeeping and control of firearms and reads:</w:t>
      </w:r>
    </w:p>
    <w:p w:rsidR="009C299E" w:rsidRPr="00DD2B31" w:rsidRDefault="009C299E" w:rsidP="002A726E">
      <w:pPr>
        <w:spacing w:line="360" w:lineRule="auto"/>
        <w:jc w:val="both"/>
        <w:rPr>
          <w:rFonts w:ascii="Arial" w:hAnsi="Arial" w:cs="Arial"/>
        </w:rPr>
      </w:pPr>
    </w:p>
    <w:p w:rsidR="00DD2B31" w:rsidRPr="00870CA3" w:rsidRDefault="00870CA3" w:rsidP="00870CA3">
      <w:pPr>
        <w:spacing w:line="360" w:lineRule="auto"/>
        <w:ind w:firstLine="720"/>
        <w:jc w:val="both"/>
        <w:rPr>
          <w:rFonts w:ascii="Arial" w:hAnsi="Arial" w:cs="Arial"/>
          <w:sz w:val="22"/>
          <w:szCs w:val="22"/>
        </w:rPr>
      </w:pPr>
      <w:r w:rsidRPr="00870CA3">
        <w:rPr>
          <w:rFonts w:ascii="Arial" w:hAnsi="Arial" w:cs="Arial"/>
          <w:sz w:val="22"/>
          <w:szCs w:val="22"/>
        </w:rPr>
        <w:t>‘</w:t>
      </w:r>
      <w:r w:rsidR="00DD2B31" w:rsidRPr="00870CA3">
        <w:rPr>
          <w:rFonts w:ascii="Arial" w:hAnsi="Arial" w:cs="Arial"/>
          <w:b/>
          <w:sz w:val="22"/>
          <w:szCs w:val="22"/>
        </w:rPr>
        <w:t>Offences and penalties</w:t>
      </w:r>
    </w:p>
    <w:p w:rsidR="00DD2B31" w:rsidRPr="00870CA3" w:rsidRDefault="00DD2B31" w:rsidP="00DD2B31">
      <w:pPr>
        <w:spacing w:line="360" w:lineRule="auto"/>
        <w:jc w:val="both"/>
        <w:rPr>
          <w:rFonts w:ascii="Arial" w:hAnsi="Arial" w:cs="Arial"/>
          <w:sz w:val="22"/>
          <w:szCs w:val="22"/>
        </w:rPr>
      </w:pPr>
      <w:r w:rsidRPr="00870CA3">
        <w:rPr>
          <w:rFonts w:ascii="Arial" w:hAnsi="Arial" w:cs="Arial"/>
          <w:sz w:val="22"/>
          <w:szCs w:val="22"/>
        </w:rPr>
        <w:tab/>
        <w:t>(1) Any person who-</w:t>
      </w:r>
    </w:p>
    <w:p w:rsidR="00DD2B31" w:rsidRPr="00870CA3" w:rsidRDefault="00DD2B31" w:rsidP="00870CA3">
      <w:pPr>
        <w:spacing w:line="360" w:lineRule="auto"/>
        <w:jc w:val="both"/>
        <w:rPr>
          <w:rFonts w:ascii="Arial" w:hAnsi="Arial" w:cs="Arial"/>
          <w:sz w:val="22"/>
          <w:szCs w:val="22"/>
        </w:rPr>
      </w:pPr>
      <w:r w:rsidRPr="00870CA3">
        <w:rPr>
          <w:rFonts w:ascii="Arial" w:hAnsi="Arial" w:cs="Arial"/>
          <w:sz w:val="22"/>
          <w:szCs w:val="22"/>
        </w:rPr>
        <w:tab/>
        <w:t>(a)</w:t>
      </w:r>
      <w:r w:rsidRPr="00870CA3">
        <w:rPr>
          <w:rFonts w:ascii="Arial" w:hAnsi="Arial" w:cs="Arial"/>
          <w:sz w:val="22"/>
          <w:szCs w:val="22"/>
        </w:rPr>
        <w:tab/>
      </w:r>
      <w:r w:rsidR="00870CA3" w:rsidRPr="00870CA3">
        <w:rPr>
          <w:rFonts w:ascii="Arial" w:hAnsi="Arial" w:cs="Arial"/>
          <w:sz w:val="22"/>
          <w:szCs w:val="22"/>
        </w:rPr>
        <w:t>…</w:t>
      </w:r>
    </w:p>
    <w:p w:rsidR="00DD2B31" w:rsidRPr="00870CA3" w:rsidRDefault="00DD2B31" w:rsidP="00870CA3">
      <w:pPr>
        <w:spacing w:line="360" w:lineRule="auto"/>
        <w:ind w:left="720" w:hanging="720"/>
        <w:jc w:val="both"/>
        <w:rPr>
          <w:rFonts w:ascii="Arial" w:hAnsi="Arial" w:cs="Arial"/>
          <w:sz w:val="22"/>
          <w:szCs w:val="22"/>
        </w:rPr>
      </w:pPr>
      <w:r w:rsidRPr="00870CA3">
        <w:rPr>
          <w:rFonts w:ascii="Arial" w:hAnsi="Arial" w:cs="Arial"/>
          <w:sz w:val="22"/>
          <w:szCs w:val="22"/>
        </w:rPr>
        <w:tab/>
        <w:t>(j)</w:t>
      </w:r>
      <w:r w:rsidRPr="00870CA3">
        <w:rPr>
          <w:rFonts w:ascii="Arial" w:hAnsi="Arial" w:cs="Arial"/>
          <w:sz w:val="22"/>
          <w:szCs w:val="22"/>
        </w:rPr>
        <w:tab/>
        <w:t xml:space="preserve">fails to lock away an arm in his or her lawful possession in a strongroom or other place of safety or safe, device, apparatus or instrument for the safe-keeping of an arm referred to in section 3(8) when such arm is not carried on his or her person or </w:t>
      </w:r>
      <w:r w:rsidRPr="00870CA3">
        <w:rPr>
          <w:rFonts w:ascii="Arial" w:hAnsi="Arial" w:cs="Arial"/>
          <w:sz w:val="22"/>
          <w:szCs w:val="22"/>
          <w:u w:val="single"/>
        </w:rPr>
        <w:t>is not under his or her direct control</w:t>
      </w:r>
      <w:r w:rsidRPr="00870CA3">
        <w:rPr>
          <w:rFonts w:ascii="Arial" w:hAnsi="Arial" w:cs="Arial"/>
          <w:sz w:val="22"/>
          <w:szCs w:val="22"/>
        </w:rPr>
        <w:t>;</w:t>
      </w:r>
    </w:p>
    <w:p w:rsidR="009C299E" w:rsidRPr="00870CA3" w:rsidRDefault="00DD2B31" w:rsidP="00DD2B31">
      <w:pPr>
        <w:spacing w:line="360" w:lineRule="auto"/>
        <w:jc w:val="both"/>
        <w:rPr>
          <w:rFonts w:ascii="Arial" w:hAnsi="Arial" w:cs="Arial"/>
          <w:sz w:val="22"/>
          <w:szCs w:val="22"/>
        </w:rPr>
      </w:pPr>
      <w:r w:rsidRPr="00870CA3">
        <w:rPr>
          <w:rFonts w:ascii="Arial" w:hAnsi="Arial" w:cs="Arial"/>
          <w:sz w:val="22"/>
          <w:szCs w:val="22"/>
        </w:rPr>
        <w:tab/>
        <w:t>shall be guilty of an offence.</w:t>
      </w:r>
      <w:r w:rsidR="00870CA3" w:rsidRPr="00870CA3">
        <w:rPr>
          <w:rFonts w:ascii="Arial" w:hAnsi="Arial" w:cs="Arial"/>
          <w:sz w:val="22"/>
          <w:szCs w:val="22"/>
        </w:rPr>
        <w:t>’</w:t>
      </w:r>
    </w:p>
    <w:p w:rsidR="00870CA3" w:rsidRDefault="00870CA3" w:rsidP="002A726E">
      <w:pPr>
        <w:spacing w:line="360" w:lineRule="auto"/>
        <w:jc w:val="both"/>
        <w:rPr>
          <w:rFonts w:ascii="Arial" w:hAnsi="Arial" w:cs="Arial"/>
        </w:rPr>
      </w:pPr>
      <w:r>
        <w:rPr>
          <w:rFonts w:ascii="Arial" w:hAnsi="Arial" w:cs="Arial"/>
        </w:rPr>
        <w:t>(Emphasis provided)</w:t>
      </w:r>
    </w:p>
    <w:p w:rsidR="00870CA3" w:rsidRDefault="00870CA3" w:rsidP="002A726E">
      <w:pPr>
        <w:spacing w:line="360" w:lineRule="auto"/>
        <w:jc w:val="both"/>
        <w:rPr>
          <w:rFonts w:ascii="Arial" w:hAnsi="Arial" w:cs="Arial"/>
        </w:rPr>
      </w:pPr>
    </w:p>
    <w:p w:rsidR="00870CA3" w:rsidRDefault="00870CA3" w:rsidP="002A726E">
      <w:pPr>
        <w:spacing w:line="360" w:lineRule="auto"/>
        <w:jc w:val="both"/>
        <w:rPr>
          <w:rFonts w:ascii="Arial" w:hAnsi="Arial" w:cs="Arial"/>
        </w:rPr>
      </w:pPr>
      <w:r>
        <w:rPr>
          <w:rFonts w:ascii="Arial" w:hAnsi="Arial" w:cs="Arial"/>
        </w:rPr>
        <w:t>[</w:t>
      </w:r>
      <w:r w:rsidR="00970F59">
        <w:rPr>
          <w:rFonts w:ascii="Arial" w:hAnsi="Arial" w:cs="Arial"/>
        </w:rPr>
        <w:t>80</w:t>
      </w:r>
      <w:r>
        <w:rPr>
          <w:rFonts w:ascii="Arial" w:hAnsi="Arial" w:cs="Arial"/>
        </w:rPr>
        <w:t>]</w:t>
      </w:r>
      <w:r>
        <w:rPr>
          <w:rFonts w:ascii="Arial" w:hAnsi="Arial" w:cs="Arial"/>
        </w:rPr>
        <w:tab/>
        <w:t xml:space="preserve">What the evidence in this instance established is that during a search of the accused’s room, the accused’s pistol was found between the base and mattress of his bed. This took place at a time when the accused was at home. Although the accused did not carry his pistol on his person, there can be no </w:t>
      </w:r>
      <w:r>
        <w:rPr>
          <w:rFonts w:ascii="Arial" w:hAnsi="Arial" w:cs="Arial"/>
        </w:rPr>
        <w:lastRenderedPageBreak/>
        <w:t>doubt that he still had control over the weapon when placed</w:t>
      </w:r>
      <w:r w:rsidR="002C6D0F">
        <w:rPr>
          <w:rFonts w:ascii="Arial" w:hAnsi="Arial" w:cs="Arial"/>
        </w:rPr>
        <w:t xml:space="preserve"> under the mattress of his bed. From the section it is clear that a firearm need not be kept in a safe at all times. It then matters not whether the evide</w:t>
      </w:r>
      <w:r w:rsidR="00970F59">
        <w:rPr>
          <w:rFonts w:ascii="Arial" w:hAnsi="Arial" w:cs="Arial"/>
        </w:rPr>
        <w:t>nce established that there was no</w:t>
      </w:r>
      <w:r w:rsidR="002C6D0F">
        <w:rPr>
          <w:rFonts w:ascii="Arial" w:hAnsi="Arial" w:cs="Arial"/>
        </w:rPr>
        <w:t xml:space="preserve"> safe in the room. The charge relates to the time when the firearm was found by the police and while the accused was at home. In these circumstance I am not convinced that the accused has made himself guilty of the offence charged.</w:t>
      </w:r>
    </w:p>
    <w:p w:rsidR="002C6D0F" w:rsidRDefault="002C6D0F" w:rsidP="002A726E">
      <w:pPr>
        <w:spacing w:line="360" w:lineRule="auto"/>
        <w:jc w:val="both"/>
        <w:rPr>
          <w:rFonts w:ascii="Arial" w:hAnsi="Arial" w:cs="Arial"/>
        </w:rPr>
      </w:pPr>
    </w:p>
    <w:p w:rsidR="002C6D0F" w:rsidRDefault="002C6D0F" w:rsidP="002A726E">
      <w:pPr>
        <w:spacing w:line="360" w:lineRule="auto"/>
        <w:jc w:val="both"/>
        <w:rPr>
          <w:rFonts w:ascii="Arial" w:hAnsi="Arial" w:cs="Arial"/>
        </w:rPr>
      </w:pPr>
      <w:r>
        <w:rPr>
          <w:rFonts w:ascii="Arial" w:hAnsi="Arial" w:cs="Arial"/>
        </w:rPr>
        <w:t>[</w:t>
      </w:r>
      <w:r w:rsidR="00970F59">
        <w:rPr>
          <w:rFonts w:ascii="Arial" w:hAnsi="Arial" w:cs="Arial"/>
        </w:rPr>
        <w:t>81</w:t>
      </w:r>
      <w:r>
        <w:rPr>
          <w:rFonts w:ascii="Arial" w:hAnsi="Arial" w:cs="Arial"/>
        </w:rPr>
        <w:t>]</w:t>
      </w:r>
      <w:r>
        <w:rPr>
          <w:rFonts w:ascii="Arial" w:hAnsi="Arial" w:cs="Arial"/>
        </w:rPr>
        <w:tab/>
        <w:t>In the result, the court’s verdict is the following:</w:t>
      </w:r>
    </w:p>
    <w:p w:rsidR="002C6D0F" w:rsidRDefault="002C6D0F" w:rsidP="002A726E">
      <w:pPr>
        <w:spacing w:line="360" w:lineRule="auto"/>
        <w:jc w:val="both"/>
        <w:rPr>
          <w:rFonts w:ascii="Arial" w:hAnsi="Arial" w:cs="Arial"/>
        </w:rPr>
      </w:pPr>
    </w:p>
    <w:p w:rsidR="002C6D0F" w:rsidRDefault="002C6D0F" w:rsidP="002A726E">
      <w:pPr>
        <w:spacing w:line="360" w:lineRule="auto"/>
        <w:jc w:val="both"/>
        <w:rPr>
          <w:rFonts w:ascii="Arial" w:hAnsi="Arial" w:cs="Arial"/>
        </w:rPr>
      </w:pPr>
      <w:r>
        <w:rPr>
          <w:rFonts w:ascii="Arial" w:hAnsi="Arial" w:cs="Arial"/>
        </w:rPr>
        <w:tab/>
        <w:t>Count 1:</w:t>
      </w:r>
      <w:r>
        <w:rPr>
          <w:rFonts w:ascii="Arial" w:hAnsi="Arial" w:cs="Arial"/>
        </w:rPr>
        <w:tab/>
        <w:t>Murder (</w:t>
      </w:r>
      <w:r>
        <w:rPr>
          <w:rFonts w:ascii="Arial" w:hAnsi="Arial" w:cs="Arial"/>
          <w:i/>
        </w:rPr>
        <w:t>dolus directus</w:t>
      </w:r>
      <w:r>
        <w:rPr>
          <w:rFonts w:ascii="Arial" w:hAnsi="Arial" w:cs="Arial"/>
        </w:rPr>
        <w:t>) – Guilty</w:t>
      </w:r>
    </w:p>
    <w:p w:rsidR="002C6D0F" w:rsidRDefault="002C6D0F" w:rsidP="002A726E">
      <w:pPr>
        <w:spacing w:line="360" w:lineRule="auto"/>
        <w:jc w:val="both"/>
        <w:rPr>
          <w:rFonts w:ascii="Arial" w:hAnsi="Arial" w:cs="Arial"/>
        </w:rPr>
      </w:pPr>
      <w:r>
        <w:rPr>
          <w:rFonts w:ascii="Arial" w:hAnsi="Arial" w:cs="Arial"/>
        </w:rPr>
        <w:tab/>
        <w:t>Count 2:</w:t>
      </w:r>
      <w:r>
        <w:rPr>
          <w:rFonts w:ascii="Arial" w:hAnsi="Arial" w:cs="Arial"/>
        </w:rPr>
        <w:tab/>
        <w:t>Murder (</w:t>
      </w:r>
      <w:r>
        <w:rPr>
          <w:rFonts w:ascii="Arial" w:hAnsi="Arial" w:cs="Arial"/>
          <w:i/>
        </w:rPr>
        <w:t>dolus directus</w:t>
      </w:r>
      <w:r>
        <w:rPr>
          <w:rFonts w:ascii="Arial" w:hAnsi="Arial" w:cs="Arial"/>
        </w:rPr>
        <w:t xml:space="preserve">) – Guilty </w:t>
      </w:r>
    </w:p>
    <w:p w:rsidR="002C6D0F" w:rsidRDefault="002C6D0F" w:rsidP="002A726E">
      <w:pPr>
        <w:spacing w:line="360" w:lineRule="auto"/>
        <w:jc w:val="both"/>
        <w:rPr>
          <w:rFonts w:ascii="Arial" w:hAnsi="Arial" w:cs="Arial"/>
        </w:rPr>
      </w:pPr>
      <w:r>
        <w:rPr>
          <w:rFonts w:ascii="Arial" w:hAnsi="Arial" w:cs="Arial"/>
        </w:rPr>
        <w:tab/>
        <w:t>Count 3:</w:t>
      </w:r>
      <w:r>
        <w:rPr>
          <w:rFonts w:ascii="Arial" w:hAnsi="Arial" w:cs="Arial"/>
        </w:rPr>
        <w:tab/>
        <w:t xml:space="preserve">Defeating or obstructing the course of justice – Guilty </w:t>
      </w:r>
    </w:p>
    <w:p w:rsidR="002C6D0F" w:rsidRPr="00787B9F" w:rsidRDefault="00787B9F" w:rsidP="00787B9F">
      <w:pPr>
        <w:spacing w:line="360" w:lineRule="auto"/>
        <w:ind w:left="2160" w:hanging="1530"/>
        <w:jc w:val="both"/>
        <w:rPr>
          <w:rFonts w:ascii="Arial" w:hAnsi="Arial" w:cs="Arial"/>
        </w:rPr>
      </w:pPr>
      <w:r>
        <w:rPr>
          <w:rFonts w:ascii="Arial" w:hAnsi="Arial" w:cs="Arial"/>
        </w:rPr>
        <w:t xml:space="preserve">  </w:t>
      </w:r>
      <w:r w:rsidR="002C6D0F">
        <w:rPr>
          <w:rFonts w:ascii="Arial" w:hAnsi="Arial" w:cs="Arial"/>
        </w:rPr>
        <w:t>Count 4:</w:t>
      </w:r>
      <w:r w:rsidR="002C6D0F">
        <w:rPr>
          <w:rFonts w:ascii="Arial" w:hAnsi="Arial" w:cs="Arial"/>
        </w:rPr>
        <w:tab/>
      </w:r>
      <w:r>
        <w:rPr>
          <w:rFonts w:ascii="Arial" w:hAnsi="Arial" w:cs="Arial"/>
        </w:rPr>
        <w:t>Failing to lock away an arm (c/s 38(1)</w:t>
      </w:r>
      <w:r>
        <w:rPr>
          <w:rFonts w:ascii="Arial" w:hAnsi="Arial" w:cs="Arial"/>
          <w:i/>
        </w:rPr>
        <w:t xml:space="preserve">(j) </w:t>
      </w:r>
      <w:r>
        <w:rPr>
          <w:rFonts w:ascii="Arial" w:hAnsi="Arial" w:cs="Arial"/>
        </w:rPr>
        <w:t>of Act 7 of 1996 –     Not guilty and discharged.</w:t>
      </w:r>
    </w:p>
    <w:p w:rsidR="00870CA3" w:rsidRDefault="00870CA3" w:rsidP="002A726E">
      <w:pPr>
        <w:spacing w:line="360" w:lineRule="auto"/>
        <w:jc w:val="both"/>
        <w:rPr>
          <w:rFonts w:ascii="Arial" w:hAnsi="Arial" w:cs="Arial"/>
        </w:rPr>
      </w:pPr>
    </w:p>
    <w:p w:rsidR="00870CA3" w:rsidRDefault="00870CA3" w:rsidP="002A726E">
      <w:pPr>
        <w:spacing w:line="360" w:lineRule="auto"/>
        <w:jc w:val="both"/>
        <w:rPr>
          <w:rFonts w:ascii="Arial" w:hAnsi="Arial" w:cs="Arial"/>
        </w:rPr>
      </w:pPr>
    </w:p>
    <w:p w:rsidR="007F60A3" w:rsidRPr="006B344C" w:rsidRDefault="007F60A3" w:rsidP="006B344C">
      <w:pPr>
        <w:spacing w:line="360" w:lineRule="auto"/>
        <w:rPr>
          <w:rFonts w:ascii="Arial" w:hAnsi="Arial" w:cs="Arial"/>
        </w:rPr>
      </w:pPr>
    </w:p>
    <w:p w:rsidR="00A92D68" w:rsidRPr="006B344C" w:rsidRDefault="00A92D68" w:rsidP="006B344C">
      <w:pPr>
        <w:spacing w:line="360" w:lineRule="auto"/>
        <w:jc w:val="both"/>
        <w:rPr>
          <w:rFonts w:ascii="Arial" w:hAnsi="Arial" w:cs="Arial"/>
          <w:b/>
        </w:rPr>
      </w:pPr>
    </w:p>
    <w:p w:rsidR="00A92D68" w:rsidRPr="006B344C" w:rsidRDefault="00A92D68"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Default="00D5553F"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Default="002F4DBB" w:rsidP="006B344C">
      <w:pPr>
        <w:spacing w:line="360" w:lineRule="auto"/>
        <w:jc w:val="right"/>
        <w:rPr>
          <w:rFonts w:ascii="Arial" w:hAnsi="Arial" w:cs="Arial"/>
        </w:rPr>
      </w:pPr>
    </w:p>
    <w:p w:rsidR="002F4DBB" w:rsidRPr="006B344C" w:rsidRDefault="002F4DBB"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lastRenderedPageBreak/>
        <w:t>APPEARANCES</w:t>
      </w:r>
    </w:p>
    <w:p w:rsidR="00D5553F" w:rsidRPr="006B344C" w:rsidRDefault="00D5553F" w:rsidP="006B344C">
      <w:pPr>
        <w:spacing w:line="360" w:lineRule="auto"/>
        <w:jc w:val="both"/>
        <w:rPr>
          <w:rFonts w:ascii="Arial" w:hAnsi="Arial" w:cs="Arial"/>
        </w:rPr>
      </w:pPr>
    </w:p>
    <w:p w:rsidR="00D5553F" w:rsidRPr="006B344C" w:rsidRDefault="00970F59" w:rsidP="006B344C">
      <w:pPr>
        <w:spacing w:line="360" w:lineRule="auto"/>
        <w:jc w:val="both"/>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t>C Lutibezi</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970F59">
        <w:rPr>
          <w:rFonts w:ascii="Arial" w:hAnsi="Arial" w:cs="Arial"/>
        </w:rPr>
        <w:t>V Lutibezi</w:t>
      </w:r>
    </w:p>
    <w:p w:rsidR="0028453B" w:rsidRPr="006B344C" w:rsidRDefault="0028453B" w:rsidP="006B344C">
      <w:pPr>
        <w:spacing w:line="360" w:lineRule="auto"/>
        <w:jc w:val="both"/>
        <w:rPr>
          <w:rFonts w:ascii="Arial" w:hAnsi="Arial" w:cs="Arial"/>
        </w:rPr>
      </w:pPr>
      <w:r w:rsidRPr="006B344C">
        <w:rPr>
          <w:rFonts w:ascii="Arial" w:hAnsi="Arial" w:cs="Arial"/>
        </w:rPr>
        <w:tab/>
      </w:r>
      <w:r w:rsidRPr="006B344C">
        <w:rPr>
          <w:rFonts w:ascii="Arial" w:hAnsi="Arial" w:cs="Arial"/>
        </w:rPr>
        <w:tab/>
      </w:r>
      <w:r w:rsidRPr="006B344C">
        <w:rPr>
          <w:rFonts w:ascii="Arial" w:hAnsi="Arial" w:cs="Arial"/>
        </w:rPr>
        <w:tab/>
      </w:r>
      <w:r w:rsidRPr="006B344C">
        <w:rPr>
          <w:rFonts w:ascii="Arial" w:hAnsi="Arial" w:cs="Arial"/>
        </w:rPr>
        <w:tab/>
      </w:r>
      <w:r w:rsidR="00131B9D" w:rsidRPr="00131B9D">
        <w:rPr>
          <w:rFonts w:ascii="Arial" w:hAnsi="Arial" w:cs="Arial"/>
        </w:rPr>
        <w:t>Instructed by Kwala &amp; Co.</w:t>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131B9D">
        <w:rPr>
          <w:rFonts w:ascii="Arial" w:hAnsi="Arial" w:cs="Arial"/>
        </w:rPr>
        <w:tab/>
      </w:r>
      <w:r w:rsidR="00131B9D">
        <w:rPr>
          <w:rFonts w:ascii="Arial" w:hAnsi="Arial" w:cs="Arial"/>
        </w:rPr>
        <w:tab/>
      </w:r>
      <w:r w:rsidR="00131B9D">
        <w:rPr>
          <w:rFonts w:ascii="Arial" w:hAnsi="Arial" w:cs="Arial"/>
        </w:rPr>
        <w:tab/>
      </w:r>
      <w:r w:rsidR="00AA571E">
        <w:rPr>
          <w:rFonts w:ascii="Arial" w:hAnsi="Arial" w:cs="Arial"/>
        </w:rPr>
        <w:t>Windhoek</w:t>
      </w:r>
      <w:r w:rsidRPr="006B344C">
        <w:rPr>
          <w:rFonts w:ascii="Arial" w:hAnsi="Arial" w:cs="Arial"/>
        </w:rPr>
        <w:t>.</w:t>
      </w:r>
    </w:p>
    <w:sectPr w:rsidR="0028453B" w:rsidRPr="006B344C" w:rsidSect="005C2A66">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75" w:rsidRDefault="00FA6A75">
      <w:r>
        <w:separator/>
      </w:r>
    </w:p>
  </w:endnote>
  <w:endnote w:type="continuationSeparator" w:id="0">
    <w:p w:rsidR="00FA6A75" w:rsidRDefault="00FA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75" w:rsidRDefault="00FA6A75">
      <w:r>
        <w:separator/>
      </w:r>
    </w:p>
  </w:footnote>
  <w:footnote w:type="continuationSeparator" w:id="0">
    <w:p w:rsidR="00FA6A75" w:rsidRDefault="00FA6A75">
      <w:r>
        <w:continuationSeparator/>
      </w:r>
    </w:p>
  </w:footnote>
  <w:footnote w:id="1">
    <w:p w:rsidR="00EA11DA" w:rsidRPr="00751A48" w:rsidRDefault="00EA11DA">
      <w:pPr>
        <w:pStyle w:val="FootnoteText"/>
        <w:rPr>
          <w:lang w:val="en-US"/>
        </w:rPr>
      </w:pPr>
      <w:r>
        <w:rPr>
          <w:rStyle w:val="FootnoteReference"/>
        </w:rPr>
        <w:footnoteRef/>
      </w:r>
      <w:r>
        <w:t xml:space="preserve"> </w:t>
      </w:r>
      <w:r>
        <w:rPr>
          <w:rFonts w:ascii="Arial" w:hAnsi="Arial" w:cs="Arial"/>
          <w:lang w:val="en-US"/>
        </w:rPr>
        <w:t>Exhibit ‘N’.</w:t>
      </w:r>
    </w:p>
  </w:footnote>
  <w:footnote w:id="2">
    <w:p w:rsidR="00EA11DA" w:rsidRPr="007E5C3B"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‘O’.</w:t>
      </w:r>
    </w:p>
  </w:footnote>
  <w:footnote w:id="3">
    <w:p w:rsidR="00EA11DA" w:rsidRPr="003324DF" w:rsidRDefault="00EA11DA" w:rsidP="002A053B">
      <w:pPr>
        <w:pStyle w:val="FootnoteText"/>
        <w:rPr>
          <w:rFonts w:ascii="Arial" w:hAnsi="Arial" w:cs="Arial"/>
          <w:lang w:val="en-US"/>
        </w:rPr>
      </w:pPr>
      <w:r>
        <w:rPr>
          <w:rStyle w:val="FootnoteReference"/>
        </w:rPr>
        <w:footnoteRef/>
      </w:r>
      <w:r>
        <w:t xml:space="preserve"> </w:t>
      </w:r>
      <w:r>
        <w:rPr>
          <w:rFonts w:ascii="Arial" w:hAnsi="Arial" w:cs="Arial"/>
          <w:lang w:val="en-US"/>
        </w:rPr>
        <w:t>Exhibit ‘P’ at p 28 – 29.</w:t>
      </w:r>
    </w:p>
  </w:footnote>
  <w:footnote w:id="4">
    <w:p w:rsidR="00EA11DA" w:rsidRPr="007C4B36"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‘Z’.</w:t>
      </w:r>
    </w:p>
  </w:footnote>
  <w:footnote w:id="5">
    <w:p w:rsidR="00EA11DA" w:rsidRPr="00B812CA"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‘P’ –Report 55/2016/R3 dated 16 August 2016.</w:t>
      </w:r>
    </w:p>
  </w:footnote>
  <w:footnote w:id="6">
    <w:p w:rsidR="00EA11DA" w:rsidRPr="000E7479"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‘T’.</w:t>
      </w:r>
    </w:p>
  </w:footnote>
  <w:footnote w:id="7">
    <w:p w:rsidR="00EA11DA" w:rsidRPr="007B674C" w:rsidRDefault="00EA11DA">
      <w:pPr>
        <w:pStyle w:val="FootnoteText"/>
        <w:rPr>
          <w:rFonts w:ascii="Arial" w:hAnsi="Arial" w:cs="Arial"/>
          <w:lang w:val="en-US"/>
        </w:rPr>
      </w:pPr>
      <w:r>
        <w:rPr>
          <w:rStyle w:val="FootnoteReference"/>
        </w:rPr>
        <w:footnoteRef/>
      </w:r>
      <w:r>
        <w:t xml:space="preserve"> </w:t>
      </w:r>
      <w:r>
        <w:rPr>
          <w:rFonts w:ascii="Arial" w:hAnsi="Arial" w:cs="Arial"/>
        </w:rPr>
        <w:t xml:space="preserve">Exhibit ‘AG’ - </w:t>
      </w:r>
      <w:r>
        <w:rPr>
          <w:rFonts w:ascii="Arial" w:hAnsi="Arial" w:cs="Arial"/>
          <w:lang w:val="en-US"/>
        </w:rPr>
        <w:t>It is not disputed that the accused is the owner of this firearm.</w:t>
      </w:r>
    </w:p>
  </w:footnote>
  <w:footnote w:id="8">
    <w:p w:rsidR="00EA11DA" w:rsidRPr="007B674C"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‘AH’.</w:t>
      </w:r>
    </w:p>
  </w:footnote>
  <w:footnote w:id="9">
    <w:p w:rsidR="00EA11DA" w:rsidRPr="00D47116"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‘AD’.</w:t>
      </w:r>
    </w:p>
  </w:footnote>
  <w:footnote w:id="10">
    <w:p w:rsidR="00EA11DA" w:rsidRPr="00AF4C01"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Exhibits ‘J’ and ‘K’.</w:t>
      </w:r>
    </w:p>
  </w:footnote>
  <w:footnote w:id="11">
    <w:p w:rsidR="00EA11DA" w:rsidRPr="005E26E1"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 ‘AC’.</w:t>
      </w:r>
    </w:p>
  </w:footnote>
  <w:footnote w:id="12">
    <w:p w:rsidR="00EA11DA" w:rsidRPr="005E26E1"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Exhibits ‘P’ and ‘T’.</w:t>
      </w:r>
    </w:p>
  </w:footnote>
  <w:footnote w:id="13">
    <w:p w:rsidR="00EA11DA" w:rsidRPr="005E26E1" w:rsidRDefault="00EA11DA">
      <w:pPr>
        <w:pStyle w:val="FootnoteText"/>
        <w:rPr>
          <w:rFonts w:ascii="Arial" w:hAnsi="Arial" w:cs="Arial"/>
          <w:lang w:val="en-US"/>
        </w:rPr>
      </w:pPr>
      <w:r>
        <w:rPr>
          <w:rStyle w:val="FootnoteReference"/>
        </w:rPr>
        <w:footnoteRef/>
      </w:r>
      <w:r>
        <w:t xml:space="preserve"> </w:t>
      </w:r>
      <w:r>
        <w:rPr>
          <w:rFonts w:ascii="Arial" w:hAnsi="Arial" w:cs="Arial"/>
          <w:lang w:val="en-US"/>
        </w:rPr>
        <w:t>Exhibits ‘R’ and ‘S’.</w:t>
      </w:r>
    </w:p>
  </w:footnote>
  <w:footnote w:id="14">
    <w:p w:rsidR="00EA11DA" w:rsidRPr="0043647E" w:rsidRDefault="00EA11DA">
      <w:pPr>
        <w:pStyle w:val="FootnoteText"/>
        <w:rPr>
          <w:lang w:val="en-US"/>
        </w:rPr>
      </w:pPr>
      <w:r>
        <w:rPr>
          <w:rStyle w:val="FootnoteReference"/>
        </w:rPr>
        <w:footnoteRef/>
      </w:r>
      <w:r>
        <w:t xml:space="preserve"> </w:t>
      </w:r>
      <w:r w:rsidRPr="0043647E">
        <w:rPr>
          <w:rFonts w:ascii="Arial" w:hAnsi="Arial" w:cs="Arial"/>
          <w:lang w:val="en-US"/>
        </w:rPr>
        <w:t>1954 (3) SA 434 (SWA).</w:t>
      </w:r>
    </w:p>
  </w:footnote>
  <w:footnote w:id="15">
    <w:p w:rsidR="00EA11DA" w:rsidRPr="00DA188F" w:rsidRDefault="00EA11DA">
      <w:pPr>
        <w:pStyle w:val="FootnoteText"/>
        <w:rPr>
          <w:rFonts w:ascii="Arial" w:hAnsi="Arial" w:cs="Arial"/>
          <w:lang w:val="en-US"/>
        </w:rPr>
      </w:pPr>
      <w:r>
        <w:rPr>
          <w:rStyle w:val="FootnoteReference"/>
        </w:rPr>
        <w:footnoteRef/>
      </w:r>
      <w:r>
        <w:t xml:space="preserve"> </w:t>
      </w:r>
      <w:r w:rsidRPr="00DA188F">
        <w:rPr>
          <w:rFonts w:ascii="Arial" w:hAnsi="Arial" w:cs="Arial"/>
          <w:i/>
        </w:rPr>
        <w:t xml:space="preserve">S v Aloysius Jaar </w:t>
      </w:r>
      <w:r w:rsidRPr="00DA188F">
        <w:rPr>
          <w:rFonts w:ascii="Arial" w:hAnsi="Arial" w:cs="Arial"/>
        </w:rPr>
        <w:t>Case No CA43/2002 (unreported) delivered on 09.12.2009; 2004</w:t>
      </w:r>
      <w:r>
        <w:rPr>
          <w:rFonts w:ascii="Arial" w:hAnsi="Arial" w:cs="Arial"/>
        </w:rPr>
        <w:t xml:space="preserve"> </w:t>
      </w:r>
      <w:r w:rsidRPr="00DA188F">
        <w:rPr>
          <w:rFonts w:ascii="Arial" w:hAnsi="Arial" w:cs="Arial"/>
        </w:rPr>
        <w:t>(8) NCPL 52 (HC).</w:t>
      </w:r>
    </w:p>
  </w:footnote>
  <w:footnote w:id="16">
    <w:p w:rsidR="00EA11DA" w:rsidRPr="00FA3C89" w:rsidRDefault="00EA11DA">
      <w:pPr>
        <w:pStyle w:val="FootnoteText"/>
        <w:rPr>
          <w:rFonts w:ascii="Arial" w:hAnsi="Arial" w:cs="Arial"/>
          <w:lang w:val="en-US"/>
        </w:rPr>
      </w:pPr>
      <w:r>
        <w:rPr>
          <w:rStyle w:val="FootnoteReference"/>
        </w:rPr>
        <w:footnoteRef/>
      </w:r>
      <w:r>
        <w:t xml:space="preserve"> </w:t>
      </w:r>
      <w:r w:rsidRPr="00FA3C89">
        <w:rPr>
          <w:rFonts w:ascii="Arial" w:hAnsi="Arial" w:cs="Arial"/>
          <w:i/>
        </w:rPr>
        <w:t xml:space="preserve">S v Bruiners en ‘n Ander </w:t>
      </w:r>
      <w:r>
        <w:rPr>
          <w:rFonts w:ascii="Arial" w:hAnsi="Arial" w:cs="Arial"/>
        </w:rPr>
        <w:t xml:space="preserve">1998 (2) 432 (SEC), endorsed in this Jurisdiction in </w:t>
      </w:r>
      <w:r>
        <w:rPr>
          <w:rFonts w:ascii="Arial" w:hAnsi="Arial" w:cs="Arial"/>
          <w:i/>
        </w:rPr>
        <w:t xml:space="preserve">S v BM </w:t>
      </w:r>
      <w:r>
        <w:rPr>
          <w:rFonts w:ascii="Arial" w:hAnsi="Arial" w:cs="Arial"/>
        </w:rPr>
        <w:t>2013 (4) NR 967 (NLD).</w:t>
      </w:r>
    </w:p>
  </w:footnote>
  <w:footnote w:id="17">
    <w:p w:rsidR="00EA11DA" w:rsidRPr="002C4E49" w:rsidRDefault="00EA11DA">
      <w:pPr>
        <w:pStyle w:val="FootnoteText"/>
        <w:rPr>
          <w:i/>
          <w:lang w:val="en-US"/>
        </w:rPr>
      </w:pPr>
      <w:r>
        <w:rPr>
          <w:rStyle w:val="FootnoteReference"/>
        </w:rPr>
        <w:footnoteRef/>
      </w:r>
      <w:r>
        <w:t xml:space="preserve"> </w:t>
      </w:r>
      <w:r>
        <w:rPr>
          <w:lang w:val="en-US"/>
        </w:rPr>
        <w:t xml:space="preserve"> </w:t>
      </w:r>
      <w:r w:rsidRPr="002C4E49">
        <w:rPr>
          <w:rFonts w:ascii="Arial" w:hAnsi="Arial" w:cs="Arial"/>
          <w:i/>
          <w:lang w:val="en-US"/>
        </w:rPr>
        <w:t>S v BM (supra) at 1014E-F.</w:t>
      </w:r>
    </w:p>
  </w:footnote>
  <w:footnote w:id="18">
    <w:p w:rsidR="00EA11DA" w:rsidRPr="00EC470C" w:rsidRDefault="00EA11DA">
      <w:pPr>
        <w:pStyle w:val="FootnoteText"/>
        <w:rPr>
          <w:lang w:val="en-US"/>
        </w:rPr>
      </w:pPr>
      <w:r>
        <w:rPr>
          <w:rStyle w:val="FootnoteReference"/>
        </w:rPr>
        <w:footnoteRef/>
      </w:r>
      <w:r>
        <w:t xml:space="preserve"> </w:t>
      </w:r>
      <w:r w:rsidRPr="00EC470C">
        <w:rPr>
          <w:rFonts w:ascii="Arial" w:hAnsi="Arial" w:cs="Arial"/>
          <w:lang w:val="en-US"/>
        </w:rPr>
        <w:t>1993 NR 219 (HC) at 223C-D.</w:t>
      </w:r>
    </w:p>
  </w:footnote>
  <w:footnote w:id="19">
    <w:p w:rsidR="00EA11DA" w:rsidRDefault="00EA11DA" w:rsidP="00781F95">
      <w:pPr>
        <w:pStyle w:val="FootnoteText"/>
      </w:pPr>
      <w:r w:rsidRPr="00235AB6">
        <w:rPr>
          <w:rStyle w:val="FootnoteReference"/>
          <w:rFonts w:ascii="Arial" w:hAnsi="Arial" w:cs="Arial"/>
        </w:rPr>
        <w:footnoteRef/>
      </w:r>
      <w:r w:rsidRPr="00235AB6">
        <w:rPr>
          <w:rFonts w:ascii="Arial" w:hAnsi="Arial" w:cs="Arial"/>
        </w:rPr>
        <w:t xml:space="preserve"> </w:t>
      </w:r>
      <w:r w:rsidRPr="00235AB6">
        <w:rPr>
          <w:rFonts w:ascii="Arial" w:hAnsi="Arial" w:cs="Arial"/>
          <w:i/>
        </w:rPr>
        <w:t xml:space="preserve">S v Nangutuuala </w:t>
      </w:r>
      <w:r w:rsidRPr="00235AB6">
        <w:rPr>
          <w:rFonts w:ascii="Arial" w:hAnsi="Arial" w:cs="Arial"/>
        </w:rPr>
        <w:t>1974 (2) SA 165 (SWA)</w:t>
      </w:r>
      <w:r>
        <w:rPr>
          <w:rFonts w:ascii="Arial" w:hAnsi="Arial" w:cs="Arial"/>
        </w:rPr>
        <w:t>.</w:t>
      </w:r>
    </w:p>
  </w:footnote>
  <w:footnote w:id="20">
    <w:p w:rsidR="00EA11DA" w:rsidRPr="000168BD" w:rsidRDefault="00EA11DA" w:rsidP="00781F95">
      <w:pPr>
        <w:pStyle w:val="FootnoteText"/>
        <w:rPr>
          <w:rFonts w:ascii="Arial" w:hAnsi="Arial" w:cs="Arial"/>
          <w:lang w:val="en-US"/>
        </w:rPr>
      </w:pPr>
      <w:r>
        <w:rPr>
          <w:rStyle w:val="FootnoteReference"/>
        </w:rPr>
        <w:footnoteRef/>
      </w:r>
      <w:r w:rsidRPr="000168BD">
        <w:rPr>
          <w:rFonts w:ascii="Arial" w:hAnsi="Arial" w:cs="Arial"/>
        </w:rPr>
        <w:t xml:space="preserve"> </w:t>
      </w:r>
      <w:r w:rsidRPr="000168BD">
        <w:rPr>
          <w:rFonts w:ascii="Arial" w:hAnsi="Arial" w:cs="Arial"/>
          <w:i/>
          <w:lang w:val="en-ZA"/>
        </w:rPr>
        <w:t>Menday v Protea Assurance Co Ltd</w:t>
      </w:r>
      <w:r>
        <w:rPr>
          <w:rFonts w:ascii="Arial" w:hAnsi="Arial" w:cs="Arial"/>
          <w:i/>
          <w:lang w:val="en-ZA"/>
        </w:rPr>
        <w:t xml:space="preserve"> </w:t>
      </w:r>
      <w:r w:rsidRPr="00B64442">
        <w:rPr>
          <w:rFonts w:ascii="Arial" w:hAnsi="Arial" w:cs="Arial"/>
        </w:rPr>
        <w:t>1976 (1) SA 565 (E) at 569.</w:t>
      </w:r>
    </w:p>
  </w:footnote>
  <w:footnote w:id="21">
    <w:p w:rsidR="00EA11DA" w:rsidRDefault="00EA11DA" w:rsidP="00781F95">
      <w:pPr>
        <w:pStyle w:val="FootnoteText"/>
        <w:rPr>
          <w:i/>
        </w:rPr>
      </w:pPr>
      <w:r>
        <w:rPr>
          <w:rStyle w:val="FootnoteReference"/>
        </w:rPr>
        <w:footnoteRef/>
      </w:r>
      <w:r>
        <w:t xml:space="preserve"> </w:t>
      </w:r>
      <w:r w:rsidRPr="00FB495B">
        <w:rPr>
          <w:rFonts w:ascii="Arial" w:hAnsi="Arial" w:cs="Arial"/>
          <w:i/>
        </w:rPr>
        <w:t>Schmidt &amp; Rademeyer: Law of Evidence (Eight’ Issue) at 17-14</w:t>
      </w:r>
      <w:r>
        <w:rPr>
          <w:i/>
        </w:rPr>
        <w:t>.</w:t>
      </w:r>
    </w:p>
  </w:footnote>
  <w:footnote w:id="22">
    <w:p w:rsidR="00EA11DA" w:rsidRDefault="00EA11DA" w:rsidP="00781F95">
      <w:pPr>
        <w:pStyle w:val="FootnoteText"/>
      </w:pPr>
      <w:r>
        <w:rPr>
          <w:rStyle w:val="FootnoteReference"/>
        </w:rPr>
        <w:footnoteRef/>
      </w:r>
      <w:r>
        <w:t xml:space="preserve"> </w:t>
      </w:r>
      <w:r w:rsidRPr="00FB495B">
        <w:rPr>
          <w:rFonts w:ascii="Arial" w:hAnsi="Arial" w:cs="Arial"/>
          <w:i/>
        </w:rPr>
        <w:t xml:space="preserve">R v Fourie </w:t>
      </w:r>
      <w:r w:rsidRPr="00FB495B">
        <w:rPr>
          <w:rFonts w:ascii="Arial" w:hAnsi="Arial" w:cs="Arial"/>
        </w:rPr>
        <w:t>1947 (2) SA 972 (O) at 974</w:t>
      </w:r>
      <w:r>
        <w:t>.</w:t>
      </w:r>
    </w:p>
  </w:footnote>
  <w:footnote w:id="23">
    <w:p w:rsidR="00EA11DA" w:rsidRPr="007C691B" w:rsidRDefault="00EA11DA" w:rsidP="0068115E">
      <w:pPr>
        <w:pStyle w:val="FootnoteText"/>
        <w:rPr>
          <w:lang w:val="en-US"/>
        </w:rPr>
      </w:pPr>
      <w:r>
        <w:rPr>
          <w:rStyle w:val="FootnoteReference"/>
        </w:rPr>
        <w:footnoteRef/>
      </w:r>
      <w:r>
        <w:t xml:space="preserve"> </w:t>
      </w:r>
      <w:r w:rsidRPr="007C691B">
        <w:rPr>
          <w:rFonts w:ascii="Arial" w:hAnsi="Arial" w:cs="Arial"/>
          <w:lang w:val="en-US"/>
        </w:rPr>
        <w:t>1996 (2) SACR 1 (A) at 8c-g.</w:t>
      </w:r>
    </w:p>
  </w:footnote>
  <w:footnote w:id="24">
    <w:p w:rsidR="00EA11DA" w:rsidRPr="007C691B" w:rsidRDefault="00EA11DA" w:rsidP="0068115E">
      <w:pPr>
        <w:pStyle w:val="FootnoteText"/>
        <w:rPr>
          <w:lang w:val="en-US"/>
        </w:rPr>
      </w:pPr>
      <w:r>
        <w:rPr>
          <w:rStyle w:val="FootnoteReference"/>
        </w:rPr>
        <w:footnoteRef/>
      </w:r>
      <w:r>
        <w:t xml:space="preserve"> </w:t>
      </w:r>
      <w:r w:rsidRPr="007C691B">
        <w:rPr>
          <w:rFonts w:ascii="Arial" w:hAnsi="Arial" w:cs="Arial"/>
          <w:i/>
          <w:lang w:val="en-US"/>
        </w:rPr>
        <w:t xml:space="preserve">R v Blom </w:t>
      </w:r>
      <w:r w:rsidRPr="007C691B">
        <w:rPr>
          <w:rFonts w:ascii="Arial" w:hAnsi="Arial" w:cs="Arial"/>
          <w:lang w:val="en-US"/>
        </w:rPr>
        <w:t>1939 AD 188 at 202-3.</w:t>
      </w:r>
    </w:p>
  </w:footnote>
  <w:footnote w:id="25">
    <w:p w:rsidR="00EA11DA" w:rsidRPr="00235AB6" w:rsidRDefault="00EA11DA" w:rsidP="0068115E">
      <w:pPr>
        <w:pStyle w:val="FootnoteText"/>
        <w:rPr>
          <w:rFonts w:ascii="Arial" w:hAnsi="Arial" w:cs="Arial"/>
          <w:lang w:val="en-US"/>
        </w:rPr>
      </w:pPr>
      <w:r>
        <w:rPr>
          <w:rStyle w:val="FootnoteReference"/>
        </w:rPr>
        <w:footnoteRef/>
      </w:r>
      <w:r>
        <w:t xml:space="preserve"> </w:t>
      </w:r>
      <w:r w:rsidRPr="00235AB6">
        <w:rPr>
          <w:rFonts w:ascii="Arial" w:hAnsi="Arial" w:cs="Arial"/>
          <w:lang w:val="en-US"/>
        </w:rPr>
        <w:t>1950 (1) SA 670 (A).</w:t>
      </w:r>
    </w:p>
  </w:footnote>
  <w:footnote w:id="26">
    <w:p w:rsidR="00EA11DA" w:rsidRPr="008F786D" w:rsidRDefault="00EA11DA" w:rsidP="00FA6FEE">
      <w:pPr>
        <w:pStyle w:val="FootnoteText"/>
        <w:rPr>
          <w:rFonts w:ascii="Arial" w:hAnsi="Arial" w:cs="Arial"/>
        </w:rPr>
      </w:pPr>
      <w:r w:rsidRPr="008F786D">
        <w:rPr>
          <w:rStyle w:val="FootnoteReference"/>
          <w:rFonts w:ascii="Arial" w:hAnsi="Arial" w:cs="Arial"/>
        </w:rPr>
        <w:footnoteRef/>
      </w:r>
      <w:r w:rsidRPr="008F786D">
        <w:rPr>
          <w:rFonts w:ascii="Arial" w:hAnsi="Arial" w:cs="Arial"/>
        </w:rPr>
        <w:t xml:space="preserve"> 1957 (4) SA 727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DA" w:rsidRDefault="00EA11DA"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1DA" w:rsidRDefault="00EA1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DA" w:rsidRDefault="00EA11DA">
    <w:pPr>
      <w:pStyle w:val="Header"/>
      <w:jc w:val="right"/>
    </w:pPr>
    <w:r>
      <w:fldChar w:fldCharType="begin"/>
    </w:r>
    <w:r>
      <w:instrText xml:space="preserve"> PAGE   \* MERGEFORMAT </w:instrText>
    </w:r>
    <w:r>
      <w:fldChar w:fldCharType="separate"/>
    </w:r>
    <w:r w:rsidR="008E6998">
      <w:rPr>
        <w:noProof/>
      </w:rPr>
      <w:t>2</w:t>
    </w:r>
    <w:r>
      <w:fldChar w:fldCharType="end"/>
    </w:r>
  </w:p>
  <w:p w:rsidR="00EA11DA" w:rsidRDefault="00EA1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282F9B"/>
    <w:multiLevelType w:val="hybridMultilevel"/>
    <w:tmpl w:val="FDA41C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356DE"/>
    <w:multiLevelType w:val="hybridMultilevel"/>
    <w:tmpl w:val="B2782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689A"/>
    <w:multiLevelType w:val="hybridMultilevel"/>
    <w:tmpl w:val="3EC0A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5954AF"/>
    <w:multiLevelType w:val="hybridMultilevel"/>
    <w:tmpl w:val="0D0AA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25EA8"/>
    <w:rsid w:val="00026025"/>
    <w:rsid w:val="00027A2F"/>
    <w:rsid w:val="00031F29"/>
    <w:rsid w:val="00033EA1"/>
    <w:rsid w:val="00036C16"/>
    <w:rsid w:val="000372D5"/>
    <w:rsid w:val="00043DA3"/>
    <w:rsid w:val="00057C90"/>
    <w:rsid w:val="0008042D"/>
    <w:rsid w:val="00083A48"/>
    <w:rsid w:val="00085B3E"/>
    <w:rsid w:val="00087DD2"/>
    <w:rsid w:val="000A2215"/>
    <w:rsid w:val="000A22E9"/>
    <w:rsid w:val="000A580B"/>
    <w:rsid w:val="000B2DD2"/>
    <w:rsid w:val="000B42AC"/>
    <w:rsid w:val="000C1BFC"/>
    <w:rsid w:val="000C626E"/>
    <w:rsid w:val="000C64D9"/>
    <w:rsid w:val="000C711E"/>
    <w:rsid w:val="000D7742"/>
    <w:rsid w:val="000E7479"/>
    <w:rsid w:val="000F7E83"/>
    <w:rsid w:val="00107891"/>
    <w:rsid w:val="00120E5C"/>
    <w:rsid w:val="00127347"/>
    <w:rsid w:val="00131B9D"/>
    <w:rsid w:val="00167FF6"/>
    <w:rsid w:val="00174060"/>
    <w:rsid w:val="001848A1"/>
    <w:rsid w:val="00185FDA"/>
    <w:rsid w:val="00187111"/>
    <w:rsid w:val="0019270A"/>
    <w:rsid w:val="0019345F"/>
    <w:rsid w:val="00194D64"/>
    <w:rsid w:val="001B0ADC"/>
    <w:rsid w:val="001B1218"/>
    <w:rsid w:val="001B53D2"/>
    <w:rsid w:val="001B600A"/>
    <w:rsid w:val="001C4889"/>
    <w:rsid w:val="001D2840"/>
    <w:rsid w:val="001D36E3"/>
    <w:rsid w:val="001D59FB"/>
    <w:rsid w:val="001E4BF0"/>
    <w:rsid w:val="001F0987"/>
    <w:rsid w:val="0020165F"/>
    <w:rsid w:val="00201AD3"/>
    <w:rsid w:val="002043A3"/>
    <w:rsid w:val="0021482C"/>
    <w:rsid w:val="00214B84"/>
    <w:rsid w:val="002169DB"/>
    <w:rsid w:val="002171DA"/>
    <w:rsid w:val="002203A2"/>
    <w:rsid w:val="002312FC"/>
    <w:rsid w:val="00235AB6"/>
    <w:rsid w:val="00242421"/>
    <w:rsid w:val="00264E72"/>
    <w:rsid w:val="00267757"/>
    <w:rsid w:val="00270858"/>
    <w:rsid w:val="002733A9"/>
    <w:rsid w:val="0028196B"/>
    <w:rsid w:val="00282C6A"/>
    <w:rsid w:val="0028453B"/>
    <w:rsid w:val="0029471D"/>
    <w:rsid w:val="002A053B"/>
    <w:rsid w:val="002A4094"/>
    <w:rsid w:val="002A726E"/>
    <w:rsid w:val="002B451A"/>
    <w:rsid w:val="002B5FCA"/>
    <w:rsid w:val="002C4E49"/>
    <w:rsid w:val="002C6D0F"/>
    <w:rsid w:val="002C7454"/>
    <w:rsid w:val="002D0A16"/>
    <w:rsid w:val="002E3751"/>
    <w:rsid w:val="002F009F"/>
    <w:rsid w:val="002F30FD"/>
    <w:rsid w:val="002F4DBB"/>
    <w:rsid w:val="00313A6B"/>
    <w:rsid w:val="003157A0"/>
    <w:rsid w:val="00321D2E"/>
    <w:rsid w:val="00321EA1"/>
    <w:rsid w:val="00331F89"/>
    <w:rsid w:val="003324DF"/>
    <w:rsid w:val="00333F47"/>
    <w:rsid w:val="0034042A"/>
    <w:rsid w:val="003538A9"/>
    <w:rsid w:val="00355980"/>
    <w:rsid w:val="00356DF8"/>
    <w:rsid w:val="0036596C"/>
    <w:rsid w:val="00371D7F"/>
    <w:rsid w:val="00372652"/>
    <w:rsid w:val="00372CD6"/>
    <w:rsid w:val="00375BEE"/>
    <w:rsid w:val="00377C3C"/>
    <w:rsid w:val="00386273"/>
    <w:rsid w:val="00391BEE"/>
    <w:rsid w:val="0039516D"/>
    <w:rsid w:val="003A180C"/>
    <w:rsid w:val="003A1850"/>
    <w:rsid w:val="003B3E18"/>
    <w:rsid w:val="003B6A1F"/>
    <w:rsid w:val="003C7900"/>
    <w:rsid w:val="003D2E5D"/>
    <w:rsid w:val="003D54F2"/>
    <w:rsid w:val="003E6722"/>
    <w:rsid w:val="003F3B56"/>
    <w:rsid w:val="00403196"/>
    <w:rsid w:val="00405993"/>
    <w:rsid w:val="00427112"/>
    <w:rsid w:val="0043647E"/>
    <w:rsid w:val="0044032F"/>
    <w:rsid w:val="00441752"/>
    <w:rsid w:val="004526D6"/>
    <w:rsid w:val="00452B7D"/>
    <w:rsid w:val="0045668D"/>
    <w:rsid w:val="00457DD2"/>
    <w:rsid w:val="00481CCB"/>
    <w:rsid w:val="00484FFD"/>
    <w:rsid w:val="00487197"/>
    <w:rsid w:val="00491B8F"/>
    <w:rsid w:val="004A202E"/>
    <w:rsid w:val="004A37A4"/>
    <w:rsid w:val="004A4BB6"/>
    <w:rsid w:val="004B4062"/>
    <w:rsid w:val="004C4E01"/>
    <w:rsid w:val="004D2A62"/>
    <w:rsid w:val="004D4CDE"/>
    <w:rsid w:val="004E607B"/>
    <w:rsid w:val="004F2585"/>
    <w:rsid w:val="004F77FE"/>
    <w:rsid w:val="005004FC"/>
    <w:rsid w:val="00501608"/>
    <w:rsid w:val="0053354A"/>
    <w:rsid w:val="00534F24"/>
    <w:rsid w:val="0053620C"/>
    <w:rsid w:val="00542DD6"/>
    <w:rsid w:val="005461AA"/>
    <w:rsid w:val="00553E14"/>
    <w:rsid w:val="00564FBA"/>
    <w:rsid w:val="00566021"/>
    <w:rsid w:val="00572E52"/>
    <w:rsid w:val="00575FF6"/>
    <w:rsid w:val="00587A39"/>
    <w:rsid w:val="00594A64"/>
    <w:rsid w:val="005A0336"/>
    <w:rsid w:val="005B498D"/>
    <w:rsid w:val="005B544D"/>
    <w:rsid w:val="005C2A66"/>
    <w:rsid w:val="005D085D"/>
    <w:rsid w:val="005D12E5"/>
    <w:rsid w:val="005D39B4"/>
    <w:rsid w:val="005E26E1"/>
    <w:rsid w:val="005E37C2"/>
    <w:rsid w:val="00601498"/>
    <w:rsid w:val="00612B1B"/>
    <w:rsid w:val="00614D1D"/>
    <w:rsid w:val="00617DBE"/>
    <w:rsid w:val="00626EEF"/>
    <w:rsid w:val="00630A10"/>
    <w:rsid w:val="006403DB"/>
    <w:rsid w:val="00677655"/>
    <w:rsid w:val="0068115E"/>
    <w:rsid w:val="00684281"/>
    <w:rsid w:val="00687D3E"/>
    <w:rsid w:val="00690307"/>
    <w:rsid w:val="006A737D"/>
    <w:rsid w:val="006B344C"/>
    <w:rsid w:val="006B3E00"/>
    <w:rsid w:val="006C0887"/>
    <w:rsid w:val="006C344E"/>
    <w:rsid w:val="006C54CB"/>
    <w:rsid w:val="006D1CEB"/>
    <w:rsid w:val="006D2501"/>
    <w:rsid w:val="006D49C8"/>
    <w:rsid w:val="006E0425"/>
    <w:rsid w:val="006E3FE3"/>
    <w:rsid w:val="006E4B2F"/>
    <w:rsid w:val="006F24C8"/>
    <w:rsid w:val="00710209"/>
    <w:rsid w:val="00711EE3"/>
    <w:rsid w:val="00731C0F"/>
    <w:rsid w:val="007347EE"/>
    <w:rsid w:val="00735F8E"/>
    <w:rsid w:val="007402EB"/>
    <w:rsid w:val="007476CB"/>
    <w:rsid w:val="00751A48"/>
    <w:rsid w:val="00757514"/>
    <w:rsid w:val="00766BBA"/>
    <w:rsid w:val="00772B54"/>
    <w:rsid w:val="00776A16"/>
    <w:rsid w:val="00781F95"/>
    <w:rsid w:val="00787B9F"/>
    <w:rsid w:val="007A4F8A"/>
    <w:rsid w:val="007B674C"/>
    <w:rsid w:val="007C4B36"/>
    <w:rsid w:val="007C691B"/>
    <w:rsid w:val="007E136E"/>
    <w:rsid w:val="007E2634"/>
    <w:rsid w:val="007E5C3B"/>
    <w:rsid w:val="007F3425"/>
    <w:rsid w:val="007F60A3"/>
    <w:rsid w:val="008058B4"/>
    <w:rsid w:val="0080649E"/>
    <w:rsid w:val="008306C0"/>
    <w:rsid w:val="008449D9"/>
    <w:rsid w:val="008463FB"/>
    <w:rsid w:val="00850D06"/>
    <w:rsid w:val="008518DC"/>
    <w:rsid w:val="00851CF5"/>
    <w:rsid w:val="00860DB7"/>
    <w:rsid w:val="00870CA3"/>
    <w:rsid w:val="00870E63"/>
    <w:rsid w:val="00872772"/>
    <w:rsid w:val="00890AF3"/>
    <w:rsid w:val="00892190"/>
    <w:rsid w:val="008A02F2"/>
    <w:rsid w:val="008B0198"/>
    <w:rsid w:val="008B2140"/>
    <w:rsid w:val="008B77EE"/>
    <w:rsid w:val="008D7585"/>
    <w:rsid w:val="008E64E0"/>
    <w:rsid w:val="008E6998"/>
    <w:rsid w:val="008F04D9"/>
    <w:rsid w:val="008F786D"/>
    <w:rsid w:val="00911033"/>
    <w:rsid w:val="009212F6"/>
    <w:rsid w:val="0093301C"/>
    <w:rsid w:val="009348BB"/>
    <w:rsid w:val="00957281"/>
    <w:rsid w:val="009630CF"/>
    <w:rsid w:val="00970F59"/>
    <w:rsid w:val="0097124F"/>
    <w:rsid w:val="00974140"/>
    <w:rsid w:val="0098703A"/>
    <w:rsid w:val="00987B8F"/>
    <w:rsid w:val="0099374A"/>
    <w:rsid w:val="00995318"/>
    <w:rsid w:val="00996273"/>
    <w:rsid w:val="009A7AA0"/>
    <w:rsid w:val="009B5ACD"/>
    <w:rsid w:val="009C299E"/>
    <w:rsid w:val="009C4F42"/>
    <w:rsid w:val="009D6566"/>
    <w:rsid w:val="009D7FB4"/>
    <w:rsid w:val="009E5486"/>
    <w:rsid w:val="009E6194"/>
    <w:rsid w:val="009E6F5E"/>
    <w:rsid w:val="00A12506"/>
    <w:rsid w:val="00A139F5"/>
    <w:rsid w:val="00A14EFA"/>
    <w:rsid w:val="00A178D9"/>
    <w:rsid w:val="00A248DF"/>
    <w:rsid w:val="00A32447"/>
    <w:rsid w:val="00A421AA"/>
    <w:rsid w:val="00A45224"/>
    <w:rsid w:val="00A50306"/>
    <w:rsid w:val="00A51554"/>
    <w:rsid w:val="00A542DC"/>
    <w:rsid w:val="00A577B0"/>
    <w:rsid w:val="00A772FB"/>
    <w:rsid w:val="00A85222"/>
    <w:rsid w:val="00A870BA"/>
    <w:rsid w:val="00A92D68"/>
    <w:rsid w:val="00A94964"/>
    <w:rsid w:val="00A97F93"/>
    <w:rsid w:val="00AA10F4"/>
    <w:rsid w:val="00AA45E9"/>
    <w:rsid w:val="00AA5230"/>
    <w:rsid w:val="00AA571E"/>
    <w:rsid w:val="00AB06BD"/>
    <w:rsid w:val="00AB0F29"/>
    <w:rsid w:val="00AB6605"/>
    <w:rsid w:val="00AC1DCA"/>
    <w:rsid w:val="00AE0C70"/>
    <w:rsid w:val="00AE1144"/>
    <w:rsid w:val="00AE4FDB"/>
    <w:rsid w:val="00AE5791"/>
    <w:rsid w:val="00AF4113"/>
    <w:rsid w:val="00AF4C01"/>
    <w:rsid w:val="00B16143"/>
    <w:rsid w:val="00B45103"/>
    <w:rsid w:val="00B50AB4"/>
    <w:rsid w:val="00B54F42"/>
    <w:rsid w:val="00B63120"/>
    <w:rsid w:val="00B812CA"/>
    <w:rsid w:val="00BA7099"/>
    <w:rsid w:val="00BB5B0D"/>
    <w:rsid w:val="00BC248D"/>
    <w:rsid w:val="00BC3D26"/>
    <w:rsid w:val="00BC40B0"/>
    <w:rsid w:val="00BD08C4"/>
    <w:rsid w:val="00BD09FD"/>
    <w:rsid w:val="00BD197D"/>
    <w:rsid w:val="00BE34EC"/>
    <w:rsid w:val="00BF397D"/>
    <w:rsid w:val="00C0150B"/>
    <w:rsid w:val="00C02011"/>
    <w:rsid w:val="00C05A49"/>
    <w:rsid w:val="00C062AF"/>
    <w:rsid w:val="00C21CA4"/>
    <w:rsid w:val="00C540A0"/>
    <w:rsid w:val="00C55417"/>
    <w:rsid w:val="00C560CA"/>
    <w:rsid w:val="00C636F4"/>
    <w:rsid w:val="00C63778"/>
    <w:rsid w:val="00C65E1A"/>
    <w:rsid w:val="00C84961"/>
    <w:rsid w:val="00C86ACA"/>
    <w:rsid w:val="00C91776"/>
    <w:rsid w:val="00CB1AB9"/>
    <w:rsid w:val="00CB53B7"/>
    <w:rsid w:val="00CB787A"/>
    <w:rsid w:val="00CD07C3"/>
    <w:rsid w:val="00CE4D76"/>
    <w:rsid w:val="00D07663"/>
    <w:rsid w:val="00D109F8"/>
    <w:rsid w:val="00D12EA2"/>
    <w:rsid w:val="00D1683B"/>
    <w:rsid w:val="00D27852"/>
    <w:rsid w:val="00D30F21"/>
    <w:rsid w:val="00D47116"/>
    <w:rsid w:val="00D5553F"/>
    <w:rsid w:val="00D62AC3"/>
    <w:rsid w:val="00D6652E"/>
    <w:rsid w:val="00D92BBF"/>
    <w:rsid w:val="00D96264"/>
    <w:rsid w:val="00D97349"/>
    <w:rsid w:val="00DA188F"/>
    <w:rsid w:val="00DD2B31"/>
    <w:rsid w:val="00DD399E"/>
    <w:rsid w:val="00DF7165"/>
    <w:rsid w:val="00E016DA"/>
    <w:rsid w:val="00E118BE"/>
    <w:rsid w:val="00E42456"/>
    <w:rsid w:val="00E43BD4"/>
    <w:rsid w:val="00E440FC"/>
    <w:rsid w:val="00E46D4B"/>
    <w:rsid w:val="00E56002"/>
    <w:rsid w:val="00E63625"/>
    <w:rsid w:val="00E7209C"/>
    <w:rsid w:val="00E76F6A"/>
    <w:rsid w:val="00E945B1"/>
    <w:rsid w:val="00EA0B0D"/>
    <w:rsid w:val="00EA11DA"/>
    <w:rsid w:val="00EA5378"/>
    <w:rsid w:val="00EB242D"/>
    <w:rsid w:val="00EB29D0"/>
    <w:rsid w:val="00EC387A"/>
    <w:rsid w:val="00EC470C"/>
    <w:rsid w:val="00ED7BDF"/>
    <w:rsid w:val="00EF1FC6"/>
    <w:rsid w:val="00F136AD"/>
    <w:rsid w:val="00F24C2E"/>
    <w:rsid w:val="00F3222A"/>
    <w:rsid w:val="00F37199"/>
    <w:rsid w:val="00F4404C"/>
    <w:rsid w:val="00F455BF"/>
    <w:rsid w:val="00F47E81"/>
    <w:rsid w:val="00F53051"/>
    <w:rsid w:val="00F67AA4"/>
    <w:rsid w:val="00F70127"/>
    <w:rsid w:val="00F70D41"/>
    <w:rsid w:val="00F8292D"/>
    <w:rsid w:val="00F855CC"/>
    <w:rsid w:val="00F95EC3"/>
    <w:rsid w:val="00FA1CAA"/>
    <w:rsid w:val="00FA3C89"/>
    <w:rsid w:val="00FA6A75"/>
    <w:rsid w:val="00FA6FEE"/>
    <w:rsid w:val="00FB7314"/>
    <w:rsid w:val="00FF0E1E"/>
    <w:rsid w:val="00FF380B"/>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343707-219A-4412-A7D5-21CA463E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ListParagraph">
    <w:name w:val="List Paragraph"/>
    <w:basedOn w:val="Normal"/>
    <w:uiPriority w:val="34"/>
    <w:qFormat/>
    <w:rsid w:val="00BB5B0D"/>
    <w:pPr>
      <w:ind w:left="720"/>
      <w:contextualSpacing/>
    </w:pPr>
  </w:style>
  <w:style w:type="paragraph" w:styleId="BalloonText">
    <w:name w:val="Balloon Text"/>
    <w:basedOn w:val="Normal"/>
    <w:link w:val="BalloonTextChar"/>
    <w:rsid w:val="00E118BE"/>
    <w:rPr>
      <w:rFonts w:ascii="Segoe UI" w:hAnsi="Segoe UI" w:cs="Segoe UI"/>
      <w:sz w:val="18"/>
      <w:szCs w:val="18"/>
    </w:rPr>
  </w:style>
  <w:style w:type="character" w:customStyle="1" w:styleId="BalloonTextChar">
    <w:name w:val="Balloon Text Char"/>
    <w:basedOn w:val="DefaultParagraphFont"/>
    <w:link w:val="BalloonText"/>
    <w:rsid w:val="00E118B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2019-08-05T18:30:00+00:00</Judgment_x0020_Date>
  </documentManagement>
</p:properties>
</file>

<file path=customXml/itemProps1.xml><?xml version="1.0" encoding="utf-8"?>
<ds:datastoreItem xmlns:ds="http://schemas.openxmlformats.org/officeDocument/2006/customXml" ds:itemID="{7E6E8E0A-2182-44AE-94FB-15AAFCD9550C}"/>
</file>

<file path=customXml/itemProps2.xml><?xml version="1.0" encoding="utf-8"?>
<ds:datastoreItem xmlns:ds="http://schemas.openxmlformats.org/officeDocument/2006/customXml" ds:itemID="{CA916E52-FEB4-4367-904B-D1F75EE576E8}"/>
</file>

<file path=customXml/itemProps3.xml><?xml version="1.0" encoding="utf-8"?>
<ds:datastoreItem xmlns:ds="http://schemas.openxmlformats.org/officeDocument/2006/customXml" ds:itemID="{66BCED21-DCCE-4BF4-BC7F-1F4F4A7A8F19}"/>
</file>

<file path=docProps/app.xml><?xml version="1.0" encoding="utf-8"?>
<Properties xmlns="http://schemas.openxmlformats.org/officeDocument/2006/extended-properties" xmlns:vt="http://schemas.openxmlformats.org/officeDocument/2006/docPropsVTypes">
  <Template>Normal</Template>
  <TotalTime>0</TotalTime>
  <Pages>33</Pages>
  <Words>9483</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N. Ambunda</cp:lastModifiedBy>
  <cp:revision>2</cp:revision>
  <cp:lastPrinted>2019-08-06T08:52:00Z</cp:lastPrinted>
  <dcterms:created xsi:type="dcterms:W3CDTF">2019-08-07T07:19:00Z</dcterms:created>
  <dcterms:modified xsi:type="dcterms:W3CDTF">2019-08-07T07:19:00Z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