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5312F" w:rsidRDefault="0065312F"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5312F" w:rsidRDefault="0065312F"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14:anchorId="2EFF74E1" wp14:editId="1933A67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1D3C43">
        <w:rPr>
          <w:rFonts w:ascii="Arial" w:hAnsi="Arial" w:cs="Arial"/>
          <w:sz w:val="24"/>
          <w:szCs w:val="24"/>
        </w:rPr>
        <w:t>No</w:t>
      </w:r>
      <w:r w:rsidR="00CC010F">
        <w:rPr>
          <w:rFonts w:ascii="Arial" w:hAnsi="Arial" w:cs="Arial"/>
          <w:sz w:val="24"/>
          <w:szCs w:val="24"/>
        </w:rPr>
        <w:t>.</w:t>
      </w:r>
      <w:r w:rsidR="00A1406B">
        <w:rPr>
          <w:rFonts w:ascii="Arial" w:hAnsi="Arial" w:cs="Arial"/>
          <w:sz w:val="24"/>
          <w:szCs w:val="24"/>
        </w:rPr>
        <w:t xml:space="preserve">: </w:t>
      </w:r>
      <w:r w:rsidR="001D3C43">
        <w:rPr>
          <w:rFonts w:ascii="Arial" w:hAnsi="Arial" w:cs="Arial"/>
          <w:sz w:val="24"/>
          <w:szCs w:val="24"/>
        </w:rPr>
        <w:t>HC-MD-CIV-</w:t>
      </w:r>
      <w:r w:rsidR="00E07B8A">
        <w:rPr>
          <w:rFonts w:ascii="Arial" w:hAnsi="Arial" w:cs="Arial"/>
          <w:sz w:val="24"/>
          <w:szCs w:val="24"/>
        </w:rPr>
        <w:t>MOT</w:t>
      </w:r>
      <w:r w:rsidR="001D3C43">
        <w:rPr>
          <w:rFonts w:ascii="Arial" w:hAnsi="Arial" w:cs="Arial"/>
          <w:sz w:val="24"/>
          <w:szCs w:val="24"/>
        </w:rPr>
        <w:t>-</w:t>
      </w:r>
      <w:r w:rsidR="00E07B8A">
        <w:rPr>
          <w:rFonts w:ascii="Arial" w:hAnsi="Arial" w:cs="Arial"/>
          <w:sz w:val="24"/>
          <w:szCs w:val="24"/>
        </w:rPr>
        <w:t>GEN-2016</w:t>
      </w:r>
      <w:r w:rsidR="001D3C43">
        <w:rPr>
          <w:rFonts w:ascii="Arial" w:hAnsi="Arial" w:cs="Arial"/>
          <w:sz w:val="24"/>
          <w:szCs w:val="24"/>
        </w:rPr>
        <w:t>/0</w:t>
      </w:r>
      <w:r w:rsidR="00E07B8A">
        <w:rPr>
          <w:rFonts w:ascii="Arial" w:hAnsi="Arial" w:cs="Arial"/>
          <w:sz w:val="24"/>
          <w:szCs w:val="24"/>
        </w:rPr>
        <w:t>0239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E07B8A" w:rsidP="006830A5">
      <w:pPr>
        <w:spacing w:after="0" w:line="360" w:lineRule="auto"/>
        <w:jc w:val="both"/>
        <w:rPr>
          <w:rFonts w:ascii="Arial" w:hAnsi="Arial" w:cs="Arial"/>
          <w:b/>
          <w:sz w:val="24"/>
          <w:szCs w:val="24"/>
        </w:rPr>
      </w:pPr>
      <w:r>
        <w:rPr>
          <w:rFonts w:ascii="Arial" w:hAnsi="Arial" w:cs="Arial"/>
          <w:b/>
          <w:sz w:val="24"/>
          <w:szCs w:val="24"/>
        </w:rPr>
        <w:t>HERMAN KONRAD</w:t>
      </w:r>
      <w:r w:rsidR="00A1406B">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1D3C43">
        <w:rPr>
          <w:rFonts w:ascii="Arial" w:hAnsi="Arial" w:cs="Arial"/>
          <w:b/>
          <w:sz w:val="24"/>
          <w:szCs w:val="24"/>
        </w:rPr>
        <w:tab/>
      </w:r>
      <w:r w:rsidR="001D3C43">
        <w:rPr>
          <w:rFonts w:ascii="Arial" w:hAnsi="Arial" w:cs="Arial"/>
          <w:b/>
          <w:sz w:val="24"/>
          <w:szCs w:val="24"/>
        </w:rPr>
        <w:tab/>
      </w:r>
      <w:r w:rsidR="001D3C43">
        <w:rPr>
          <w:rFonts w:ascii="Arial" w:hAnsi="Arial" w:cs="Arial"/>
          <w:b/>
          <w:sz w:val="24"/>
          <w:szCs w:val="24"/>
        </w:rPr>
        <w:tab/>
      </w:r>
      <w:r w:rsidR="00F066C7">
        <w:rPr>
          <w:rFonts w:ascii="Arial" w:hAnsi="Arial" w:cs="Arial"/>
          <w:b/>
          <w:sz w:val="24"/>
          <w:szCs w:val="24"/>
        </w:rPr>
        <w:t>PLAINTIFF</w:t>
      </w:r>
    </w:p>
    <w:p w:rsidR="00F066C7" w:rsidRPr="000A6908" w:rsidRDefault="000A6908" w:rsidP="00F066C7">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F066C7" w:rsidRDefault="00E07B8A" w:rsidP="00996CC1">
      <w:pPr>
        <w:spacing w:after="0" w:line="360" w:lineRule="auto"/>
        <w:rPr>
          <w:rFonts w:ascii="Arial" w:hAnsi="Arial" w:cs="Arial"/>
          <w:b/>
          <w:sz w:val="24"/>
          <w:szCs w:val="24"/>
        </w:rPr>
      </w:pPr>
      <w:r>
        <w:rPr>
          <w:rFonts w:ascii="Arial" w:hAnsi="Arial" w:cs="Arial"/>
          <w:b/>
          <w:sz w:val="24"/>
          <w:szCs w:val="24"/>
        </w:rPr>
        <w:t>SHANIKA NDAPANDA</w:t>
      </w:r>
      <w:r>
        <w:rPr>
          <w:rFonts w:ascii="Arial" w:hAnsi="Arial" w:cs="Arial"/>
          <w:b/>
          <w:sz w:val="24"/>
          <w:szCs w:val="24"/>
        </w:rPr>
        <w:tab/>
      </w:r>
      <w:r w:rsidR="00F066C7">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066C7">
        <w:rPr>
          <w:rFonts w:ascii="Arial" w:hAnsi="Arial" w:cs="Arial"/>
          <w:b/>
          <w:sz w:val="24"/>
          <w:szCs w:val="24"/>
        </w:rPr>
        <w:tab/>
        <w:t>DEFENDANT</w:t>
      </w:r>
    </w:p>
    <w:p w:rsidR="000A6908" w:rsidRDefault="000A6908" w:rsidP="00F066C7">
      <w:pPr>
        <w:spacing w:after="0" w:line="360" w:lineRule="auto"/>
        <w:ind w:left="2160" w:hanging="2160"/>
        <w:jc w:val="both"/>
        <w:rPr>
          <w:rFonts w:ascii="Arial" w:hAnsi="Arial" w:cs="Arial"/>
          <w:b/>
          <w:sz w:val="24"/>
          <w:szCs w:val="24"/>
        </w:rPr>
      </w:pPr>
    </w:p>
    <w:p w:rsidR="00F066C7" w:rsidRPr="006C3401" w:rsidRDefault="00F066C7" w:rsidP="00AF0391">
      <w:pPr>
        <w:spacing w:after="0" w:line="360" w:lineRule="auto"/>
        <w:ind w:left="2160" w:hanging="2160"/>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4C6ABC" w:rsidRPr="004E05F2">
        <w:rPr>
          <w:rFonts w:ascii="Arial" w:hAnsi="Arial" w:cs="Arial"/>
          <w:i/>
          <w:sz w:val="24"/>
          <w:szCs w:val="24"/>
        </w:rPr>
        <w:t>K</w:t>
      </w:r>
      <w:r w:rsidR="008951A0" w:rsidRPr="004E05F2">
        <w:rPr>
          <w:rFonts w:ascii="Arial" w:hAnsi="Arial" w:cs="Arial"/>
          <w:i/>
          <w:sz w:val="24"/>
          <w:szCs w:val="24"/>
        </w:rPr>
        <w:t>onrad</w:t>
      </w:r>
      <w:r w:rsidR="00077D57" w:rsidRPr="006830A5">
        <w:rPr>
          <w:rFonts w:ascii="Arial" w:hAnsi="Arial" w:cs="Arial"/>
          <w:i/>
          <w:sz w:val="24"/>
          <w:szCs w:val="24"/>
        </w:rPr>
        <w:t xml:space="preserve"> v </w:t>
      </w:r>
      <w:r w:rsidR="008951A0">
        <w:rPr>
          <w:rFonts w:ascii="Arial" w:hAnsi="Arial" w:cs="Arial"/>
          <w:i/>
          <w:sz w:val="24"/>
          <w:szCs w:val="24"/>
        </w:rPr>
        <w:t>Shanika</w:t>
      </w:r>
      <w:r w:rsidR="00237D16">
        <w:rPr>
          <w:rFonts w:ascii="Arial" w:hAnsi="Arial" w:cs="Arial"/>
          <w:i/>
          <w:sz w:val="24"/>
          <w:szCs w:val="24"/>
        </w:rPr>
        <w:t xml:space="preserve"> </w:t>
      </w:r>
      <w:r w:rsidR="00077D57" w:rsidRPr="006830A5">
        <w:rPr>
          <w:rFonts w:ascii="Arial" w:hAnsi="Arial" w:cs="Arial"/>
          <w:sz w:val="24"/>
          <w:szCs w:val="24"/>
        </w:rPr>
        <w:t>(</w:t>
      </w:r>
      <w:r w:rsidR="008951A0" w:rsidRPr="008951A0">
        <w:rPr>
          <w:rFonts w:ascii="Arial" w:hAnsi="Arial" w:cs="Arial"/>
          <w:sz w:val="24"/>
          <w:szCs w:val="24"/>
        </w:rPr>
        <w:t>HC-MD-CIV-MOT-GEN-2016/00239</w:t>
      </w:r>
      <w:r w:rsidR="00A1406B">
        <w:rPr>
          <w:rFonts w:ascii="Arial" w:hAnsi="Arial" w:cs="Arial"/>
          <w:sz w:val="24"/>
          <w:szCs w:val="24"/>
        </w:rPr>
        <w:t>) [2019</w:t>
      </w:r>
      <w:r w:rsidR="00996CC1">
        <w:rPr>
          <w:rFonts w:ascii="Arial" w:hAnsi="Arial" w:cs="Arial"/>
          <w:sz w:val="24"/>
          <w:szCs w:val="24"/>
        </w:rPr>
        <w:t>]</w:t>
      </w:r>
      <w:r w:rsidR="00FE0A4E">
        <w:rPr>
          <w:rFonts w:ascii="Arial" w:hAnsi="Arial" w:cs="Arial"/>
          <w:sz w:val="24"/>
          <w:szCs w:val="24"/>
        </w:rPr>
        <w:t xml:space="preserve"> </w:t>
      </w:r>
      <w:r w:rsidR="00041105">
        <w:rPr>
          <w:rFonts w:ascii="Arial" w:hAnsi="Arial" w:cs="Arial"/>
          <w:sz w:val="24"/>
          <w:szCs w:val="24"/>
        </w:rPr>
        <w:t xml:space="preserve">NAHCMD </w:t>
      </w:r>
      <w:r w:rsidR="00427789">
        <w:rPr>
          <w:rFonts w:ascii="Arial" w:hAnsi="Arial" w:cs="Arial"/>
          <w:sz w:val="24"/>
          <w:szCs w:val="24"/>
        </w:rPr>
        <w:t xml:space="preserve">366 </w:t>
      </w:r>
      <w:r w:rsidR="00077D57" w:rsidRPr="006830A5">
        <w:rPr>
          <w:rFonts w:ascii="Arial" w:hAnsi="Arial" w:cs="Arial"/>
          <w:sz w:val="24"/>
          <w:szCs w:val="24"/>
        </w:rPr>
        <w:t>(</w:t>
      </w:r>
      <w:r w:rsidR="008951A0">
        <w:rPr>
          <w:rFonts w:ascii="Arial" w:hAnsi="Arial" w:cs="Arial"/>
          <w:sz w:val="24"/>
          <w:szCs w:val="24"/>
        </w:rPr>
        <w:t xml:space="preserve">24 September </w:t>
      </w:r>
      <w:r w:rsidR="00FE0A4E">
        <w:rPr>
          <w:rFonts w:ascii="Arial" w:hAnsi="Arial" w:cs="Arial"/>
          <w:sz w:val="24"/>
          <w:szCs w:val="24"/>
        </w:rPr>
        <w:t>2019)</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97D27">
      <w:pPr>
        <w:spacing w:after="0" w:line="360" w:lineRule="auto"/>
        <w:ind w:left="2160" w:hanging="216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5D66E1">
        <w:rPr>
          <w:rFonts w:ascii="Arial" w:hAnsi="Arial" w:cs="Arial"/>
          <w:b/>
          <w:sz w:val="24"/>
          <w:szCs w:val="24"/>
        </w:rPr>
        <w:t xml:space="preserve"> </w:t>
      </w:r>
      <w:r w:rsidR="00C53DAD">
        <w:rPr>
          <w:rFonts w:ascii="Arial" w:hAnsi="Arial" w:cs="Arial"/>
          <w:b/>
          <w:sz w:val="24"/>
          <w:szCs w:val="24"/>
        </w:rPr>
        <w:t>17 &amp; 25 April, 14 May, 2</w:t>
      </w:r>
      <w:r w:rsidR="006D40D9">
        <w:rPr>
          <w:rFonts w:ascii="Arial" w:hAnsi="Arial" w:cs="Arial"/>
          <w:b/>
          <w:sz w:val="24"/>
          <w:szCs w:val="24"/>
        </w:rPr>
        <w:t>, 3, 4</w:t>
      </w:r>
      <w:r w:rsidR="00C53DAD">
        <w:rPr>
          <w:rFonts w:ascii="Arial" w:hAnsi="Arial" w:cs="Arial"/>
          <w:b/>
          <w:sz w:val="24"/>
          <w:szCs w:val="24"/>
        </w:rPr>
        <w:t xml:space="preserve"> &amp; 16 July, 7</w:t>
      </w:r>
      <w:r w:rsidR="006D40D9">
        <w:rPr>
          <w:rFonts w:ascii="Arial" w:hAnsi="Arial" w:cs="Arial"/>
          <w:b/>
          <w:sz w:val="24"/>
          <w:szCs w:val="24"/>
        </w:rPr>
        <w:t>, 8</w:t>
      </w:r>
      <w:r w:rsidR="00C53DAD">
        <w:rPr>
          <w:rFonts w:ascii="Arial" w:hAnsi="Arial" w:cs="Arial"/>
          <w:b/>
          <w:sz w:val="24"/>
          <w:szCs w:val="24"/>
        </w:rPr>
        <w:t xml:space="preserve"> &amp; 20 August, 2 &amp; 12 September 2019</w:t>
      </w:r>
    </w:p>
    <w:p w:rsidR="00F066C7" w:rsidRDefault="00F066C7" w:rsidP="00F066C7">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8951A0">
        <w:rPr>
          <w:rFonts w:ascii="Arial" w:hAnsi="Arial" w:cs="Arial"/>
          <w:b/>
          <w:sz w:val="24"/>
          <w:szCs w:val="24"/>
        </w:rPr>
        <w:t xml:space="preserve">24 September </w:t>
      </w:r>
      <w:r w:rsidR="00F97D27">
        <w:rPr>
          <w:rFonts w:ascii="Arial" w:hAnsi="Arial" w:cs="Arial"/>
          <w:b/>
          <w:sz w:val="24"/>
          <w:szCs w:val="24"/>
        </w:rPr>
        <w:t>2019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8C3341" w:rsidP="00B350F2">
      <w:pPr>
        <w:spacing w:after="160" w:line="259" w:lineRule="auto"/>
        <w:rPr>
          <w:rFonts w:ascii="Arial" w:hAnsi="Arial" w:cs="Arial"/>
          <w:sz w:val="24"/>
          <w:szCs w:val="24"/>
        </w:rPr>
      </w:pPr>
      <w:r>
        <w:rPr>
          <w:rFonts w:ascii="Arial" w:hAnsi="Arial" w:cs="Arial"/>
          <w:sz w:val="24"/>
          <w:szCs w:val="24"/>
        </w:rPr>
        <w:br w:type="page"/>
      </w:r>
    </w:p>
    <w:p w:rsidR="00B158C9" w:rsidRPr="00B158C9" w:rsidRDefault="00CA075B" w:rsidP="00B158C9">
      <w:pPr>
        <w:spacing w:after="0" w:line="360" w:lineRule="auto"/>
        <w:jc w:val="both"/>
        <w:rPr>
          <w:rFonts w:ascii="Arial" w:hAnsi="Arial" w:cs="Arial"/>
          <w:sz w:val="24"/>
          <w:szCs w:val="24"/>
          <w:lang w:val="en-US"/>
        </w:rPr>
      </w:pPr>
      <w:proofErr w:type="spellStart"/>
      <w:r w:rsidRPr="00285954">
        <w:rPr>
          <w:rFonts w:ascii="Arial" w:hAnsi="Arial" w:cs="Arial"/>
          <w:b/>
          <w:sz w:val="24"/>
          <w:szCs w:val="24"/>
        </w:rPr>
        <w:lastRenderedPageBreak/>
        <w:t>Flynote</w:t>
      </w:r>
      <w:proofErr w:type="spellEnd"/>
      <w:r w:rsidR="00B350F2">
        <w:rPr>
          <w:rFonts w:ascii="Arial" w:hAnsi="Arial" w:cs="Arial"/>
          <w:sz w:val="24"/>
          <w:szCs w:val="24"/>
        </w:rPr>
        <w:t>:</w:t>
      </w:r>
      <w:r w:rsidR="00B350F2">
        <w:rPr>
          <w:rFonts w:ascii="Arial" w:hAnsi="Arial" w:cs="Arial"/>
          <w:sz w:val="24"/>
          <w:szCs w:val="24"/>
        </w:rPr>
        <w:tab/>
      </w:r>
      <w:r w:rsidR="00B158C9" w:rsidRPr="00B158C9">
        <w:rPr>
          <w:rFonts w:ascii="Arial" w:hAnsi="Arial" w:cs="Arial"/>
          <w:sz w:val="24"/>
          <w:szCs w:val="24"/>
          <w:lang w:val="en-US"/>
        </w:rPr>
        <w:t xml:space="preserve">Practice – Close of plaintiff’s case – Court applying trite test – Whether the court acting reasonably satisfied that plaintiff establishing prima facie case requiring answer from defendant – Where plaintiff has made out prima facie case and defendant’s </w:t>
      </w:r>
      <w:proofErr w:type="spellStart"/>
      <w:r w:rsidR="00B158C9" w:rsidRPr="00B158C9">
        <w:rPr>
          <w:rFonts w:ascii="Arial" w:hAnsi="Arial" w:cs="Arial"/>
          <w:sz w:val="24"/>
          <w:szCs w:val="24"/>
          <w:lang w:val="en-US"/>
        </w:rPr>
        <w:t>defence</w:t>
      </w:r>
      <w:proofErr w:type="spellEnd"/>
      <w:r w:rsidR="00B158C9" w:rsidRPr="00B158C9">
        <w:rPr>
          <w:rFonts w:ascii="Arial" w:hAnsi="Arial" w:cs="Arial"/>
          <w:sz w:val="24"/>
          <w:szCs w:val="24"/>
          <w:lang w:val="en-US"/>
        </w:rPr>
        <w:t xml:space="preserve"> peculiarly in defendant’s knowledge, absolution not appropriate remedy – On the evidence </w:t>
      </w:r>
      <w:r w:rsidR="00C53DAD">
        <w:rPr>
          <w:rFonts w:ascii="Arial" w:hAnsi="Arial" w:cs="Arial"/>
          <w:sz w:val="24"/>
          <w:szCs w:val="24"/>
          <w:lang w:val="en-US"/>
        </w:rPr>
        <w:t>court concluding that plaintiff made out prima facie case upon which court could or might find for plaintiff – Court taking into account also</w:t>
      </w:r>
      <w:r w:rsidR="00B158C9" w:rsidRPr="00B158C9">
        <w:rPr>
          <w:rFonts w:ascii="Arial" w:hAnsi="Arial" w:cs="Arial"/>
          <w:sz w:val="24"/>
          <w:szCs w:val="24"/>
          <w:lang w:val="en-US"/>
        </w:rPr>
        <w:t xml:space="preserve"> Supreme Court’s instruction in an appeal decision that court should hear oral evidence in motion proceedings court dismissing absolution application.</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r>
      <w:r w:rsidR="00E43FFB">
        <w:rPr>
          <w:rFonts w:ascii="Arial" w:hAnsi="Arial" w:cs="Arial"/>
          <w:sz w:val="24"/>
          <w:szCs w:val="24"/>
        </w:rPr>
        <w:t xml:space="preserve">Practice – Close of plaintiff’s case – Applicant instituting motion proceedings to declare his second marriage to respondent null and void  because of existence of earlier marriage to a different person – Respondent counter claiming that her marriage to be a putative marriage – </w:t>
      </w:r>
      <w:r w:rsidR="00C2485A">
        <w:rPr>
          <w:rFonts w:ascii="Arial" w:hAnsi="Arial" w:cs="Arial"/>
          <w:sz w:val="24"/>
          <w:szCs w:val="24"/>
        </w:rPr>
        <w:t xml:space="preserve">Court </w:t>
      </w:r>
      <w:r w:rsidR="00E43FFB">
        <w:rPr>
          <w:rFonts w:ascii="Arial" w:hAnsi="Arial" w:cs="Arial"/>
          <w:sz w:val="24"/>
          <w:szCs w:val="24"/>
        </w:rPr>
        <w:t xml:space="preserve">dismissing motion proceedings on the basis of </w:t>
      </w:r>
      <w:r w:rsidR="00C2485A">
        <w:rPr>
          <w:rFonts w:ascii="Arial" w:hAnsi="Arial" w:cs="Arial"/>
          <w:sz w:val="24"/>
          <w:szCs w:val="24"/>
        </w:rPr>
        <w:t xml:space="preserve">existence of real dispute of facts of which applicant was aware  – On appeal, Supreme Court instructing court </w:t>
      </w:r>
      <w:r w:rsidR="00E43FFB">
        <w:rPr>
          <w:rFonts w:ascii="Arial" w:hAnsi="Arial" w:cs="Arial"/>
          <w:sz w:val="24"/>
          <w:szCs w:val="24"/>
        </w:rPr>
        <w:t xml:space="preserve"> </w:t>
      </w:r>
      <w:r w:rsidR="00C2485A">
        <w:rPr>
          <w:rFonts w:ascii="Arial" w:hAnsi="Arial" w:cs="Arial"/>
          <w:sz w:val="24"/>
          <w:szCs w:val="24"/>
        </w:rPr>
        <w:t>to hear oral evidence on the basis that public policy, equity and fairness to both parties demand that dec</w:t>
      </w:r>
      <w:r w:rsidR="00C53DAD">
        <w:rPr>
          <w:rFonts w:ascii="Arial" w:hAnsi="Arial" w:cs="Arial"/>
          <w:sz w:val="24"/>
          <w:szCs w:val="24"/>
        </w:rPr>
        <w:t xml:space="preserve">laration not the invalidity of the marriage and that of the </w:t>
      </w:r>
      <w:r w:rsidR="00C2485A">
        <w:rPr>
          <w:rFonts w:ascii="Arial" w:hAnsi="Arial" w:cs="Arial"/>
          <w:sz w:val="24"/>
          <w:szCs w:val="24"/>
        </w:rPr>
        <w:t xml:space="preserve"> putative</w:t>
      </w:r>
      <w:r w:rsidR="00C53DAD">
        <w:rPr>
          <w:rFonts w:ascii="Arial" w:hAnsi="Arial" w:cs="Arial"/>
          <w:sz w:val="24"/>
          <w:szCs w:val="24"/>
        </w:rPr>
        <w:t xml:space="preserve"> marriage</w:t>
      </w:r>
      <w:r w:rsidR="00C2485A">
        <w:rPr>
          <w:rFonts w:ascii="Arial" w:hAnsi="Arial" w:cs="Arial"/>
          <w:sz w:val="24"/>
          <w:szCs w:val="24"/>
        </w:rPr>
        <w:t xml:space="preserve"> raised</w:t>
      </w:r>
      <w:r w:rsidR="00C53DAD">
        <w:rPr>
          <w:rFonts w:ascii="Arial" w:hAnsi="Arial" w:cs="Arial"/>
          <w:sz w:val="24"/>
          <w:szCs w:val="24"/>
        </w:rPr>
        <w:t>,</w:t>
      </w:r>
      <w:r w:rsidR="00C2485A">
        <w:rPr>
          <w:rFonts w:ascii="Arial" w:hAnsi="Arial" w:cs="Arial"/>
          <w:sz w:val="24"/>
          <w:szCs w:val="24"/>
        </w:rPr>
        <w:t xml:space="preserve"> should be determined in tandem and not in isolation – Supreme Court deciding that court should have the opportunity of seeing and </w:t>
      </w:r>
      <w:r w:rsidR="00C53DAD">
        <w:rPr>
          <w:rFonts w:ascii="Arial" w:hAnsi="Arial" w:cs="Arial"/>
          <w:sz w:val="24"/>
          <w:szCs w:val="24"/>
        </w:rPr>
        <w:t xml:space="preserve">hearing </w:t>
      </w:r>
      <w:r w:rsidR="00C2485A">
        <w:rPr>
          <w:rFonts w:ascii="Arial" w:hAnsi="Arial" w:cs="Arial"/>
          <w:sz w:val="24"/>
          <w:szCs w:val="24"/>
        </w:rPr>
        <w:t xml:space="preserve"> the witnesses before coming to a conclusion</w:t>
      </w:r>
      <w:r w:rsidR="00C53DAD">
        <w:rPr>
          <w:rFonts w:ascii="Arial" w:hAnsi="Arial" w:cs="Arial"/>
          <w:sz w:val="24"/>
          <w:szCs w:val="24"/>
        </w:rPr>
        <w:t xml:space="preserve"> – </w:t>
      </w:r>
      <w:r w:rsidR="00C2485A">
        <w:rPr>
          <w:rFonts w:ascii="Arial" w:hAnsi="Arial" w:cs="Arial"/>
          <w:sz w:val="24"/>
          <w:szCs w:val="24"/>
        </w:rPr>
        <w:t>Court concluding that on the evidence at this stage it is necessary to</w:t>
      </w:r>
      <w:r w:rsidR="00C53DAD">
        <w:rPr>
          <w:rFonts w:ascii="Arial" w:hAnsi="Arial" w:cs="Arial"/>
          <w:sz w:val="24"/>
          <w:szCs w:val="24"/>
        </w:rPr>
        <w:t xml:space="preserve"> call on applicant to respond</w:t>
      </w:r>
      <w:r w:rsidR="00C2485A">
        <w:rPr>
          <w:rFonts w:ascii="Arial" w:hAnsi="Arial" w:cs="Arial"/>
          <w:sz w:val="24"/>
          <w:szCs w:val="24"/>
        </w:rPr>
        <w:t xml:space="preserve"> under oath or by affirmation – Consequently, absolution application dismissed.</w:t>
      </w:r>
    </w:p>
    <w:p w:rsidR="00563142" w:rsidRDefault="00563142"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08161F" w:rsidRDefault="0008161F" w:rsidP="005F7898">
      <w:pPr>
        <w:spacing w:after="0" w:line="360" w:lineRule="auto"/>
        <w:jc w:val="both"/>
        <w:rPr>
          <w:rFonts w:ascii="Arial" w:hAnsi="Arial" w:cs="Arial"/>
          <w:sz w:val="24"/>
          <w:szCs w:val="24"/>
        </w:rPr>
      </w:pPr>
    </w:p>
    <w:p w:rsidR="0008161F" w:rsidRDefault="0008161F" w:rsidP="0008161F">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The application for absolution from the instance is hereby dismissed.</w:t>
      </w:r>
    </w:p>
    <w:p w:rsidR="0008161F" w:rsidRPr="000209A7" w:rsidRDefault="0008161F" w:rsidP="0008161F">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 xml:space="preserve">The matter is postponed to 25 September 2019 at 10h00 for status hearing and for the allocation of dates for continuation of trial of this matter and the trial of the matter in Case No. 2018/00094, transferred from </w:t>
      </w:r>
      <w:proofErr w:type="spellStart"/>
      <w:r>
        <w:rPr>
          <w:rFonts w:ascii="Arial" w:hAnsi="Arial" w:cs="Arial"/>
          <w:sz w:val="24"/>
          <w:szCs w:val="24"/>
        </w:rPr>
        <w:t>Ueitele</w:t>
      </w:r>
      <w:proofErr w:type="spellEnd"/>
      <w:r>
        <w:rPr>
          <w:rFonts w:ascii="Arial" w:hAnsi="Arial" w:cs="Arial"/>
          <w:sz w:val="24"/>
          <w:szCs w:val="24"/>
        </w:rPr>
        <w:t xml:space="preserve"> J.</w:t>
      </w:r>
    </w:p>
    <w:p w:rsidR="0008161F" w:rsidRDefault="0008161F" w:rsidP="0008161F">
      <w:pPr>
        <w:spacing w:after="0" w:line="360" w:lineRule="auto"/>
        <w:jc w:val="both"/>
        <w:rPr>
          <w:rFonts w:ascii="Arial" w:hAnsi="Arial" w:cs="Arial"/>
          <w:sz w:val="24"/>
          <w:szCs w:val="24"/>
        </w:rPr>
      </w:pPr>
    </w:p>
    <w:p w:rsidR="0008161F" w:rsidRDefault="0008161F" w:rsidP="005F7898">
      <w:pPr>
        <w:spacing w:after="0" w:line="360" w:lineRule="auto"/>
        <w:jc w:val="both"/>
        <w:rPr>
          <w:rFonts w:ascii="Arial" w:hAnsi="Arial" w:cs="Arial"/>
          <w:sz w:val="24"/>
          <w:szCs w:val="24"/>
        </w:rPr>
      </w:pPr>
    </w:p>
    <w:p w:rsidR="0008161F" w:rsidRDefault="0008161F" w:rsidP="005F7898">
      <w:pPr>
        <w:spacing w:after="0" w:line="360" w:lineRule="auto"/>
        <w:jc w:val="both"/>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lastRenderedPageBreak/>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967211" w:rsidRDefault="00967211" w:rsidP="00F066C7">
      <w:pPr>
        <w:spacing w:after="0" w:line="360" w:lineRule="auto"/>
        <w:jc w:val="both"/>
        <w:rPr>
          <w:rFonts w:ascii="Arial" w:hAnsi="Arial" w:cs="Arial"/>
          <w:sz w:val="24"/>
          <w:szCs w:val="24"/>
        </w:rPr>
      </w:pPr>
    </w:p>
    <w:p w:rsidR="004D757D" w:rsidRDefault="006830A5" w:rsidP="00E7150F">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8C6526">
        <w:rPr>
          <w:rFonts w:ascii="Arial" w:hAnsi="Arial" w:cs="Arial"/>
          <w:sz w:val="24"/>
          <w:szCs w:val="24"/>
        </w:rPr>
        <w:t xml:space="preserve">This </w:t>
      </w:r>
      <w:r w:rsidR="008951A0">
        <w:rPr>
          <w:rFonts w:ascii="Arial" w:hAnsi="Arial" w:cs="Arial"/>
          <w:sz w:val="24"/>
          <w:szCs w:val="24"/>
        </w:rPr>
        <w:t>case has done the marathon –</w:t>
      </w:r>
      <w:r w:rsidR="00C2485A">
        <w:rPr>
          <w:rFonts w:ascii="Arial" w:hAnsi="Arial" w:cs="Arial"/>
          <w:sz w:val="24"/>
          <w:szCs w:val="24"/>
        </w:rPr>
        <w:t xml:space="preserve"> from the High Court to the </w:t>
      </w:r>
      <w:r w:rsidR="008951A0">
        <w:rPr>
          <w:rFonts w:ascii="Arial" w:hAnsi="Arial" w:cs="Arial"/>
          <w:sz w:val="24"/>
          <w:szCs w:val="24"/>
        </w:rPr>
        <w:t>Supreme Court and back to the High Court. It is a motion proce</w:t>
      </w:r>
      <w:r w:rsidR="00C2485A">
        <w:rPr>
          <w:rFonts w:ascii="Arial" w:hAnsi="Arial" w:cs="Arial"/>
          <w:sz w:val="24"/>
          <w:szCs w:val="24"/>
        </w:rPr>
        <w:t>eding, in which the applicant (</w:t>
      </w:r>
      <w:r w:rsidR="008951A0">
        <w:rPr>
          <w:rFonts w:ascii="Arial" w:hAnsi="Arial" w:cs="Arial"/>
          <w:sz w:val="24"/>
          <w:szCs w:val="24"/>
        </w:rPr>
        <w:t>Mr Herman Konrad) seeks a declaration that the marriage between the applicant and the respondent solemnized on the 7</w:t>
      </w:r>
      <w:r w:rsidR="008951A0" w:rsidRPr="008951A0">
        <w:rPr>
          <w:rFonts w:ascii="Arial" w:hAnsi="Arial" w:cs="Arial"/>
          <w:sz w:val="24"/>
          <w:szCs w:val="24"/>
          <w:vertAlign w:val="superscript"/>
        </w:rPr>
        <w:t>th</w:t>
      </w:r>
      <w:r w:rsidR="008951A0">
        <w:rPr>
          <w:rFonts w:ascii="Arial" w:hAnsi="Arial" w:cs="Arial"/>
          <w:sz w:val="24"/>
          <w:szCs w:val="24"/>
        </w:rPr>
        <w:t xml:space="preserve"> September 1992 </w:t>
      </w:r>
      <w:r w:rsidR="00C2485A">
        <w:rPr>
          <w:rFonts w:ascii="Arial" w:hAnsi="Arial" w:cs="Arial"/>
          <w:sz w:val="24"/>
          <w:szCs w:val="24"/>
        </w:rPr>
        <w:t>i</w:t>
      </w:r>
      <w:r w:rsidR="008951A0">
        <w:rPr>
          <w:rFonts w:ascii="Arial" w:hAnsi="Arial" w:cs="Arial"/>
          <w:sz w:val="24"/>
          <w:szCs w:val="24"/>
        </w:rPr>
        <w:t xml:space="preserve">n Windhoek is </w:t>
      </w:r>
      <w:r w:rsidR="008C6526">
        <w:rPr>
          <w:rFonts w:ascii="Arial" w:hAnsi="Arial" w:cs="Arial"/>
          <w:sz w:val="24"/>
          <w:szCs w:val="24"/>
        </w:rPr>
        <w:t xml:space="preserve">null and void </w:t>
      </w:r>
      <w:r w:rsidR="008C6526" w:rsidRPr="008C6526">
        <w:rPr>
          <w:rFonts w:ascii="Arial" w:hAnsi="Arial" w:cs="Arial"/>
          <w:i/>
          <w:sz w:val="24"/>
          <w:szCs w:val="24"/>
        </w:rPr>
        <w:t>ab initio</w:t>
      </w:r>
      <w:r w:rsidR="008C6526">
        <w:rPr>
          <w:rFonts w:ascii="Arial" w:hAnsi="Arial" w:cs="Arial"/>
          <w:sz w:val="24"/>
          <w:szCs w:val="24"/>
        </w:rPr>
        <w:t xml:space="preserve">; and costs of suit (if opposed). Respondent (Ms </w:t>
      </w:r>
      <w:proofErr w:type="spellStart"/>
      <w:r w:rsidR="008C6526">
        <w:rPr>
          <w:rFonts w:ascii="Arial" w:hAnsi="Arial" w:cs="Arial"/>
          <w:sz w:val="24"/>
          <w:szCs w:val="24"/>
        </w:rPr>
        <w:t>Ndapanda</w:t>
      </w:r>
      <w:proofErr w:type="spellEnd"/>
      <w:r w:rsidR="008C6526">
        <w:rPr>
          <w:rFonts w:ascii="Arial" w:hAnsi="Arial" w:cs="Arial"/>
          <w:sz w:val="24"/>
          <w:szCs w:val="24"/>
        </w:rPr>
        <w:t xml:space="preserve"> Shanika) opposes the application and seeks the following order:</w:t>
      </w:r>
    </w:p>
    <w:p w:rsidR="008C6526" w:rsidRDefault="008C6526" w:rsidP="00D9789E">
      <w:pPr>
        <w:spacing w:after="0" w:line="360" w:lineRule="auto"/>
        <w:jc w:val="both"/>
        <w:rPr>
          <w:rFonts w:ascii="Arial" w:hAnsi="Arial" w:cs="Arial"/>
          <w:sz w:val="24"/>
          <w:szCs w:val="24"/>
        </w:rPr>
      </w:pPr>
    </w:p>
    <w:p w:rsidR="003C22FF" w:rsidRPr="003C22FF" w:rsidRDefault="003C22FF" w:rsidP="003C22FF">
      <w:pPr>
        <w:spacing w:after="0" w:line="360" w:lineRule="auto"/>
        <w:ind w:left="1080" w:hanging="720"/>
        <w:jc w:val="both"/>
        <w:rPr>
          <w:rFonts w:ascii="Arial" w:hAnsi="Arial" w:cs="Arial"/>
        </w:rPr>
      </w:pPr>
      <w:r w:rsidRPr="003C22FF">
        <w:rPr>
          <w:rFonts w:ascii="Arial" w:hAnsi="Arial" w:cs="Arial"/>
        </w:rPr>
        <w:t>‘2.1</w:t>
      </w:r>
      <w:r w:rsidRPr="003C22FF">
        <w:rPr>
          <w:rFonts w:ascii="Arial" w:hAnsi="Arial" w:cs="Arial"/>
        </w:rPr>
        <w:tab/>
        <w:t xml:space="preserve">That the marriage </w:t>
      </w:r>
      <w:proofErr w:type="gramStart"/>
      <w:r w:rsidRPr="003C22FF">
        <w:rPr>
          <w:rFonts w:ascii="Arial" w:hAnsi="Arial" w:cs="Arial"/>
        </w:rPr>
        <w:t>be</w:t>
      </w:r>
      <w:proofErr w:type="gramEnd"/>
      <w:r w:rsidRPr="003C22FF">
        <w:rPr>
          <w:rFonts w:ascii="Arial" w:hAnsi="Arial" w:cs="Arial"/>
        </w:rPr>
        <w:t xml:space="preserve"> declared putative in favour of the Respondent and the consequences thereof be as one in community of property.</w:t>
      </w:r>
    </w:p>
    <w:p w:rsidR="003C22FF" w:rsidRPr="003C22FF" w:rsidRDefault="003C22FF" w:rsidP="003C22FF">
      <w:pPr>
        <w:pStyle w:val="ListParagraph"/>
        <w:numPr>
          <w:ilvl w:val="1"/>
          <w:numId w:val="11"/>
        </w:numPr>
        <w:spacing w:after="0" w:line="360" w:lineRule="auto"/>
        <w:ind w:left="1080" w:hanging="720"/>
        <w:jc w:val="both"/>
        <w:rPr>
          <w:rFonts w:ascii="Arial" w:hAnsi="Arial" w:cs="Arial"/>
        </w:rPr>
      </w:pPr>
      <w:r w:rsidRPr="003C22FF">
        <w:rPr>
          <w:rFonts w:ascii="Arial" w:hAnsi="Arial" w:cs="Arial"/>
        </w:rPr>
        <w:t>Declaring that Respondent is entitled to half of the assets by virtue of the marriage in community of property.</w:t>
      </w:r>
    </w:p>
    <w:p w:rsidR="003C22FF" w:rsidRPr="003C22FF" w:rsidRDefault="003C22FF" w:rsidP="003C22FF">
      <w:pPr>
        <w:pStyle w:val="ListParagraph"/>
        <w:numPr>
          <w:ilvl w:val="1"/>
          <w:numId w:val="11"/>
        </w:numPr>
        <w:spacing w:after="0" w:line="360" w:lineRule="auto"/>
        <w:ind w:left="1080" w:hanging="720"/>
        <w:jc w:val="both"/>
        <w:rPr>
          <w:rFonts w:ascii="Arial" w:hAnsi="Arial" w:cs="Arial"/>
        </w:rPr>
      </w:pPr>
      <w:r w:rsidRPr="003C22FF">
        <w:rPr>
          <w:rFonts w:ascii="Arial" w:hAnsi="Arial" w:cs="Arial"/>
        </w:rPr>
        <w:t xml:space="preserve">In the event that the aforesaid prayers fail, an order directing the Applicant to pay maintenance with respect to the Respondent in the amount of N$3 500.00 per month for as long as the Respondent </w:t>
      </w:r>
      <w:proofErr w:type="gramStart"/>
      <w:r w:rsidRPr="003C22FF">
        <w:rPr>
          <w:rFonts w:ascii="Arial" w:hAnsi="Arial" w:cs="Arial"/>
        </w:rPr>
        <w:t>is</w:t>
      </w:r>
      <w:proofErr w:type="gramEnd"/>
      <w:r w:rsidRPr="003C22FF">
        <w:rPr>
          <w:rFonts w:ascii="Arial" w:hAnsi="Arial" w:cs="Arial"/>
        </w:rPr>
        <w:t xml:space="preserve"> alive.</w:t>
      </w:r>
      <w:r>
        <w:rPr>
          <w:rFonts w:ascii="Arial" w:hAnsi="Arial" w:cs="Arial"/>
        </w:rPr>
        <w:t>’</w:t>
      </w:r>
    </w:p>
    <w:p w:rsidR="003C22FF" w:rsidRPr="003C22FF" w:rsidRDefault="003C22FF" w:rsidP="003C22FF">
      <w:pPr>
        <w:pStyle w:val="ListParagraph"/>
        <w:spacing w:after="0" w:line="360" w:lineRule="auto"/>
        <w:jc w:val="both"/>
        <w:rPr>
          <w:rFonts w:ascii="Arial" w:hAnsi="Arial" w:cs="Arial"/>
          <w:sz w:val="24"/>
          <w:szCs w:val="24"/>
        </w:rPr>
      </w:pPr>
    </w:p>
    <w:p w:rsidR="008C6AE4" w:rsidRDefault="0054331B" w:rsidP="00D9789E">
      <w:pPr>
        <w:spacing w:after="0" w:line="360" w:lineRule="auto"/>
        <w:jc w:val="both"/>
        <w:rPr>
          <w:rFonts w:ascii="Arial" w:hAnsi="Arial" w:cs="Arial"/>
          <w:sz w:val="24"/>
          <w:szCs w:val="24"/>
        </w:rPr>
      </w:pPr>
      <w:r>
        <w:rPr>
          <w:rFonts w:ascii="Arial" w:hAnsi="Arial" w:cs="Arial"/>
          <w:sz w:val="24"/>
          <w:szCs w:val="24"/>
        </w:rPr>
        <w:t xml:space="preserve"> </w:t>
      </w:r>
      <w:r w:rsidR="006830A5">
        <w:rPr>
          <w:rFonts w:ascii="Arial" w:hAnsi="Arial" w:cs="Arial"/>
          <w:sz w:val="24"/>
          <w:szCs w:val="24"/>
        </w:rPr>
        <w:t>[2]</w:t>
      </w:r>
      <w:r w:rsidR="00162141">
        <w:rPr>
          <w:rFonts w:ascii="Arial" w:hAnsi="Arial" w:cs="Arial"/>
          <w:sz w:val="24"/>
          <w:szCs w:val="24"/>
        </w:rPr>
        <w:tab/>
      </w:r>
      <w:r w:rsidR="003417B4">
        <w:rPr>
          <w:rFonts w:ascii="Arial" w:hAnsi="Arial" w:cs="Arial"/>
          <w:sz w:val="24"/>
          <w:szCs w:val="24"/>
        </w:rPr>
        <w:t xml:space="preserve">The </w:t>
      </w:r>
      <w:r w:rsidR="008C6526">
        <w:rPr>
          <w:rFonts w:ascii="Arial" w:hAnsi="Arial" w:cs="Arial"/>
          <w:sz w:val="24"/>
          <w:szCs w:val="24"/>
        </w:rPr>
        <w:t>application was dismissed with costs on the basis that applicant chose to pro</w:t>
      </w:r>
      <w:r w:rsidR="003417B4">
        <w:rPr>
          <w:rFonts w:ascii="Arial" w:hAnsi="Arial" w:cs="Arial"/>
          <w:sz w:val="24"/>
          <w:szCs w:val="24"/>
        </w:rPr>
        <w:t>ceed by way of motion when he k</w:t>
      </w:r>
      <w:r w:rsidR="008C6526">
        <w:rPr>
          <w:rFonts w:ascii="Arial" w:hAnsi="Arial" w:cs="Arial"/>
          <w:sz w:val="24"/>
          <w:szCs w:val="24"/>
        </w:rPr>
        <w:t xml:space="preserve">new in advance that there would be a material dispute of facts. </w:t>
      </w:r>
      <w:r w:rsidR="003417B4">
        <w:rPr>
          <w:rFonts w:ascii="Arial" w:hAnsi="Arial" w:cs="Arial"/>
          <w:sz w:val="24"/>
          <w:szCs w:val="24"/>
        </w:rPr>
        <w:t xml:space="preserve">That </w:t>
      </w:r>
      <w:r w:rsidR="008C6526">
        <w:rPr>
          <w:rFonts w:ascii="Arial" w:hAnsi="Arial" w:cs="Arial"/>
          <w:sz w:val="24"/>
          <w:szCs w:val="24"/>
        </w:rPr>
        <w:t>application was hear</w:t>
      </w:r>
      <w:r w:rsidR="003C22FF">
        <w:rPr>
          <w:rFonts w:ascii="Arial" w:hAnsi="Arial" w:cs="Arial"/>
          <w:sz w:val="24"/>
          <w:szCs w:val="24"/>
        </w:rPr>
        <w:t>d</w:t>
      </w:r>
      <w:r w:rsidR="008C6526">
        <w:rPr>
          <w:rFonts w:ascii="Arial" w:hAnsi="Arial" w:cs="Arial"/>
          <w:sz w:val="24"/>
          <w:szCs w:val="24"/>
        </w:rPr>
        <w:t xml:space="preserve"> on 7 February 2013, and judgment delivered on 16 Mar</w:t>
      </w:r>
      <w:r w:rsidR="003417B4">
        <w:rPr>
          <w:rFonts w:ascii="Arial" w:hAnsi="Arial" w:cs="Arial"/>
          <w:sz w:val="24"/>
          <w:szCs w:val="24"/>
        </w:rPr>
        <w:t>c</w:t>
      </w:r>
      <w:r w:rsidR="008C6526">
        <w:rPr>
          <w:rFonts w:ascii="Arial" w:hAnsi="Arial" w:cs="Arial"/>
          <w:sz w:val="24"/>
          <w:szCs w:val="24"/>
        </w:rPr>
        <w:t>h 2017. On appeal</w:t>
      </w:r>
      <w:r w:rsidR="008C6526" w:rsidRPr="008C6526">
        <w:rPr>
          <w:rFonts w:ascii="Arial" w:hAnsi="Arial" w:cs="Arial"/>
          <w:sz w:val="24"/>
          <w:szCs w:val="24"/>
        </w:rPr>
        <w:t xml:space="preserve"> </w:t>
      </w:r>
      <w:r w:rsidR="008C6526">
        <w:rPr>
          <w:rFonts w:ascii="Arial" w:hAnsi="Arial" w:cs="Arial"/>
          <w:sz w:val="24"/>
          <w:szCs w:val="24"/>
        </w:rPr>
        <w:t>by Konrad, the Supreme Court</w:t>
      </w:r>
      <w:r w:rsidR="00712E4B">
        <w:rPr>
          <w:rFonts w:ascii="Arial" w:hAnsi="Arial" w:cs="Arial"/>
          <w:sz w:val="24"/>
          <w:szCs w:val="24"/>
        </w:rPr>
        <w:t xml:space="preserve"> in </w:t>
      </w:r>
      <w:r w:rsidR="00712E4B" w:rsidRPr="00712E4B">
        <w:rPr>
          <w:rFonts w:ascii="Arial" w:hAnsi="Arial" w:cs="Arial"/>
          <w:i/>
          <w:sz w:val="24"/>
          <w:szCs w:val="24"/>
        </w:rPr>
        <w:t xml:space="preserve">Herman Konrad v Shanika </w:t>
      </w:r>
      <w:proofErr w:type="spellStart"/>
      <w:r w:rsidR="00712E4B" w:rsidRPr="00712E4B">
        <w:rPr>
          <w:rFonts w:ascii="Arial" w:hAnsi="Arial" w:cs="Arial"/>
          <w:i/>
          <w:sz w:val="24"/>
          <w:szCs w:val="24"/>
        </w:rPr>
        <w:t>Ndapanda</w:t>
      </w:r>
      <w:proofErr w:type="spellEnd"/>
      <w:r w:rsidR="00712E4B">
        <w:rPr>
          <w:rFonts w:ascii="Arial" w:hAnsi="Arial" w:cs="Arial"/>
          <w:sz w:val="24"/>
          <w:szCs w:val="24"/>
        </w:rPr>
        <w:t xml:space="preserve"> Case No.</w:t>
      </w:r>
      <w:r w:rsidR="003C22FF">
        <w:rPr>
          <w:rFonts w:ascii="Arial" w:hAnsi="Arial" w:cs="Arial"/>
          <w:sz w:val="24"/>
          <w:szCs w:val="24"/>
        </w:rPr>
        <w:t>SA</w:t>
      </w:r>
      <w:r w:rsidR="00712E4B">
        <w:rPr>
          <w:rFonts w:ascii="Arial" w:hAnsi="Arial" w:cs="Arial"/>
          <w:sz w:val="24"/>
          <w:szCs w:val="24"/>
        </w:rPr>
        <w:t xml:space="preserve"> 21/2017 (judgment </w:t>
      </w:r>
      <w:r w:rsidR="003C22FF">
        <w:rPr>
          <w:rFonts w:ascii="Arial" w:hAnsi="Arial" w:cs="Arial"/>
          <w:sz w:val="24"/>
          <w:szCs w:val="24"/>
        </w:rPr>
        <w:t xml:space="preserve">delivered </w:t>
      </w:r>
      <w:r w:rsidR="00712E4B">
        <w:rPr>
          <w:rFonts w:ascii="Arial" w:hAnsi="Arial" w:cs="Arial"/>
          <w:sz w:val="24"/>
          <w:szCs w:val="24"/>
        </w:rPr>
        <w:t>on 28 February 2019)</w:t>
      </w:r>
      <w:r w:rsidR="008C6526">
        <w:rPr>
          <w:rFonts w:ascii="Arial" w:hAnsi="Arial" w:cs="Arial"/>
          <w:sz w:val="24"/>
          <w:szCs w:val="24"/>
        </w:rPr>
        <w:t xml:space="preserve"> did not agree with the </w:t>
      </w:r>
      <w:r w:rsidR="003417B4">
        <w:rPr>
          <w:rFonts w:ascii="Arial" w:hAnsi="Arial" w:cs="Arial"/>
          <w:sz w:val="24"/>
          <w:szCs w:val="24"/>
        </w:rPr>
        <w:t xml:space="preserve">High Court, and remitted the matter to the High Court ‘to be placed under  judicial case management for resolution, </w:t>
      </w:r>
      <w:r w:rsidR="003417B4" w:rsidRPr="00C2485A">
        <w:rPr>
          <w:rFonts w:ascii="Arial" w:hAnsi="Arial" w:cs="Arial"/>
          <w:i/>
          <w:sz w:val="24"/>
          <w:szCs w:val="24"/>
        </w:rPr>
        <w:t>taking into account the views expressed in (the) this judgmen</w:t>
      </w:r>
      <w:r w:rsidR="003417B4">
        <w:rPr>
          <w:rFonts w:ascii="Arial" w:hAnsi="Arial" w:cs="Arial"/>
          <w:sz w:val="24"/>
          <w:szCs w:val="24"/>
        </w:rPr>
        <w:t xml:space="preserve">t’, </w:t>
      </w:r>
      <w:r w:rsidR="003417B4" w:rsidRPr="003417B4">
        <w:rPr>
          <w:rFonts w:ascii="Arial" w:hAnsi="Arial" w:cs="Arial"/>
          <w:i/>
          <w:sz w:val="24"/>
          <w:szCs w:val="24"/>
        </w:rPr>
        <w:t>per</w:t>
      </w:r>
      <w:r w:rsidR="003417B4">
        <w:rPr>
          <w:rFonts w:ascii="Arial" w:hAnsi="Arial" w:cs="Arial"/>
          <w:i/>
          <w:sz w:val="24"/>
          <w:szCs w:val="24"/>
        </w:rPr>
        <w:t xml:space="preserve"> </w:t>
      </w:r>
      <w:proofErr w:type="spellStart"/>
      <w:r w:rsidR="003417B4" w:rsidRPr="003417B4">
        <w:rPr>
          <w:rFonts w:ascii="Arial" w:hAnsi="Arial" w:cs="Arial"/>
          <w:sz w:val="24"/>
          <w:szCs w:val="24"/>
        </w:rPr>
        <w:t>Shivute</w:t>
      </w:r>
      <w:proofErr w:type="spellEnd"/>
      <w:r w:rsidR="003417B4" w:rsidRPr="003417B4">
        <w:rPr>
          <w:rFonts w:ascii="Arial" w:hAnsi="Arial" w:cs="Arial"/>
          <w:sz w:val="24"/>
          <w:szCs w:val="24"/>
        </w:rPr>
        <w:t xml:space="preserve"> CJ.</w:t>
      </w:r>
      <w:r w:rsidR="003417B4">
        <w:rPr>
          <w:rFonts w:ascii="Arial" w:hAnsi="Arial" w:cs="Arial"/>
          <w:sz w:val="24"/>
          <w:szCs w:val="24"/>
        </w:rPr>
        <w:t xml:space="preserve"> (</w:t>
      </w:r>
      <w:r w:rsidR="008C6AE4">
        <w:rPr>
          <w:rFonts w:ascii="Arial" w:hAnsi="Arial" w:cs="Arial"/>
          <w:sz w:val="24"/>
          <w:szCs w:val="24"/>
        </w:rPr>
        <w:t>Italicized for emphasis and for reasons that will become apparent in due course)</w:t>
      </w:r>
    </w:p>
    <w:p w:rsidR="009A2715" w:rsidRDefault="009A2715" w:rsidP="00D9789E">
      <w:pPr>
        <w:spacing w:after="0" w:line="360" w:lineRule="auto"/>
        <w:jc w:val="both"/>
        <w:rPr>
          <w:rFonts w:ascii="Arial" w:hAnsi="Arial" w:cs="Arial"/>
          <w:sz w:val="24"/>
          <w:szCs w:val="24"/>
        </w:rPr>
      </w:pPr>
    </w:p>
    <w:p w:rsidR="00537423"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8C6AE4">
        <w:rPr>
          <w:rFonts w:ascii="Arial" w:hAnsi="Arial" w:cs="Arial"/>
          <w:sz w:val="24"/>
          <w:szCs w:val="24"/>
        </w:rPr>
        <w:t xml:space="preserve">In that regard, the </w:t>
      </w:r>
      <w:r w:rsidR="00DD5A2C">
        <w:rPr>
          <w:rFonts w:ascii="Arial" w:hAnsi="Arial" w:cs="Arial"/>
          <w:sz w:val="24"/>
          <w:szCs w:val="24"/>
        </w:rPr>
        <w:t xml:space="preserve">Supreme Court </w:t>
      </w:r>
      <w:r w:rsidR="008C6AE4">
        <w:rPr>
          <w:rFonts w:ascii="Arial" w:hAnsi="Arial" w:cs="Arial"/>
          <w:sz w:val="24"/>
          <w:szCs w:val="24"/>
        </w:rPr>
        <w:t xml:space="preserve">directed the High </w:t>
      </w:r>
      <w:r w:rsidR="00DD5A2C">
        <w:rPr>
          <w:rFonts w:ascii="Arial" w:hAnsi="Arial" w:cs="Arial"/>
          <w:sz w:val="24"/>
          <w:szCs w:val="24"/>
        </w:rPr>
        <w:t xml:space="preserve">Court </w:t>
      </w:r>
      <w:r w:rsidR="008C6AE4">
        <w:rPr>
          <w:rFonts w:ascii="Arial" w:hAnsi="Arial" w:cs="Arial"/>
          <w:sz w:val="24"/>
          <w:szCs w:val="24"/>
        </w:rPr>
        <w:t xml:space="preserve">‘to exercise its discretion informed, amongst other things, by the need to resolve the matter justly, expeditiously, efficiently and cost effectively’ in terms of r 67 of the rules of court. The matter was referred to trial in terms of the rules of court. </w:t>
      </w:r>
    </w:p>
    <w:p w:rsidR="00B3785D" w:rsidRDefault="00B3785D"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DD5A2C">
        <w:rPr>
          <w:rFonts w:ascii="Arial" w:hAnsi="Arial" w:cs="Arial"/>
          <w:sz w:val="24"/>
          <w:szCs w:val="24"/>
        </w:rPr>
        <w:t xml:space="preserve">In </w:t>
      </w:r>
      <w:r w:rsidR="008C6AE4">
        <w:rPr>
          <w:rFonts w:ascii="Arial" w:hAnsi="Arial" w:cs="Arial"/>
          <w:sz w:val="24"/>
          <w:szCs w:val="24"/>
        </w:rPr>
        <w:t xml:space="preserve">the instant proceedings, after respondent (Ms Shanika </w:t>
      </w:r>
      <w:proofErr w:type="spellStart"/>
      <w:r w:rsidR="008C6AE4">
        <w:rPr>
          <w:rFonts w:ascii="Arial" w:hAnsi="Arial" w:cs="Arial"/>
          <w:sz w:val="24"/>
          <w:szCs w:val="24"/>
        </w:rPr>
        <w:t>Ndapanda</w:t>
      </w:r>
      <w:proofErr w:type="spellEnd"/>
      <w:r w:rsidR="008C6AE4">
        <w:rPr>
          <w:rFonts w:ascii="Arial" w:hAnsi="Arial" w:cs="Arial"/>
          <w:sz w:val="24"/>
          <w:szCs w:val="24"/>
        </w:rPr>
        <w:t xml:space="preserve">) </w:t>
      </w:r>
      <w:r w:rsidR="008C6AE4" w:rsidRPr="003C22FF">
        <w:rPr>
          <w:rFonts w:ascii="Arial" w:hAnsi="Arial" w:cs="Arial"/>
          <w:i/>
          <w:sz w:val="24"/>
          <w:szCs w:val="24"/>
        </w:rPr>
        <w:t>qua</w:t>
      </w:r>
      <w:r w:rsidR="008C6AE4">
        <w:rPr>
          <w:rFonts w:ascii="Arial" w:hAnsi="Arial" w:cs="Arial"/>
          <w:sz w:val="24"/>
          <w:szCs w:val="24"/>
        </w:rPr>
        <w:t xml:space="preserve"> plaintiff closed her case, Ms Angula, counsel for applicant (Mr Herman Konrad) </w:t>
      </w:r>
      <w:r w:rsidR="008C6AE4" w:rsidRPr="003C22FF">
        <w:rPr>
          <w:rFonts w:ascii="Arial" w:hAnsi="Arial" w:cs="Arial"/>
          <w:i/>
          <w:sz w:val="24"/>
          <w:szCs w:val="24"/>
        </w:rPr>
        <w:t>qua</w:t>
      </w:r>
      <w:r w:rsidR="008C6AE4">
        <w:rPr>
          <w:rFonts w:ascii="Arial" w:hAnsi="Arial" w:cs="Arial"/>
          <w:sz w:val="24"/>
          <w:szCs w:val="24"/>
        </w:rPr>
        <w:t xml:space="preserve"> defendant</w:t>
      </w:r>
      <w:r w:rsidR="0008161F">
        <w:rPr>
          <w:rFonts w:ascii="Arial" w:hAnsi="Arial" w:cs="Arial"/>
          <w:sz w:val="24"/>
          <w:szCs w:val="24"/>
        </w:rPr>
        <w:t>,</w:t>
      </w:r>
      <w:r w:rsidR="008C6AE4">
        <w:rPr>
          <w:rFonts w:ascii="Arial" w:hAnsi="Arial" w:cs="Arial"/>
          <w:sz w:val="24"/>
          <w:szCs w:val="24"/>
        </w:rPr>
        <w:t xml:space="preserve"> brought an application for absolution from the instance (‘absolution application’). The absolution application was argued by Ms </w:t>
      </w:r>
      <w:proofErr w:type="spellStart"/>
      <w:r w:rsidR="008C6AE4">
        <w:rPr>
          <w:rFonts w:ascii="Arial" w:hAnsi="Arial" w:cs="Arial"/>
          <w:sz w:val="24"/>
          <w:szCs w:val="24"/>
        </w:rPr>
        <w:t>Walenga</w:t>
      </w:r>
      <w:proofErr w:type="spellEnd"/>
      <w:r w:rsidR="008C6AE4">
        <w:rPr>
          <w:rFonts w:ascii="Arial" w:hAnsi="Arial" w:cs="Arial"/>
          <w:sz w:val="24"/>
          <w:szCs w:val="24"/>
        </w:rPr>
        <w:t xml:space="preserve"> for </w:t>
      </w:r>
      <w:proofErr w:type="gramStart"/>
      <w:r w:rsidR="008C6AE4">
        <w:rPr>
          <w:rFonts w:ascii="Arial" w:hAnsi="Arial" w:cs="Arial"/>
          <w:sz w:val="24"/>
          <w:szCs w:val="24"/>
        </w:rPr>
        <w:t>applicant,</w:t>
      </w:r>
      <w:proofErr w:type="gramEnd"/>
      <w:r w:rsidR="008C6AE4">
        <w:rPr>
          <w:rFonts w:ascii="Arial" w:hAnsi="Arial" w:cs="Arial"/>
          <w:sz w:val="24"/>
          <w:szCs w:val="24"/>
        </w:rPr>
        <w:t xml:space="preserve"> and Ms </w:t>
      </w:r>
      <w:proofErr w:type="spellStart"/>
      <w:r w:rsidR="008C6AE4">
        <w:rPr>
          <w:rFonts w:ascii="Arial" w:hAnsi="Arial" w:cs="Arial"/>
          <w:sz w:val="24"/>
          <w:szCs w:val="24"/>
        </w:rPr>
        <w:t>Shikale</w:t>
      </w:r>
      <w:proofErr w:type="spellEnd"/>
      <w:r w:rsidR="008C6AE4">
        <w:rPr>
          <w:rFonts w:ascii="Arial" w:hAnsi="Arial" w:cs="Arial"/>
          <w:sz w:val="24"/>
          <w:szCs w:val="24"/>
        </w:rPr>
        <w:t xml:space="preserve"> for respondent.</w:t>
      </w:r>
    </w:p>
    <w:p w:rsidR="009A2715" w:rsidRDefault="009A2715" w:rsidP="00D9789E">
      <w:pPr>
        <w:spacing w:after="0" w:line="360" w:lineRule="auto"/>
        <w:jc w:val="both"/>
        <w:rPr>
          <w:rFonts w:ascii="Arial" w:hAnsi="Arial" w:cs="Arial"/>
          <w:sz w:val="24"/>
          <w:szCs w:val="24"/>
        </w:rPr>
      </w:pPr>
    </w:p>
    <w:p w:rsidR="0099353A" w:rsidRDefault="006830A5" w:rsidP="00D9789E">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8C6AE4">
        <w:rPr>
          <w:rFonts w:ascii="Arial" w:hAnsi="Arial" w:cs="Arial"/>
          <w:sz w:val="24"/>
          <w:szCs w:val="24"/>
        </w:rPr>
        <w:t xml:space="preserve">In determining the absolution application I have taken into consideration – as it is my duty so to do – the views expressed by the Supreme </w:t>
      </w:r>
      <w:r w:rsidR="00DD5A2C">
        <w:rPr>
          <w:rFonts w:ascii="Arial" w:hAnsi="Arial" w:cs="Arial"/>
          <w:sz w:val="24"/>
          <w:szCs w:val="24"/>
        </w:rPr>
        <w:t xml:space="preserve">Court </w:t>
      </w:r>
      <w:r w:rsidR="008C6AE4">
        <w:rPr>
          <w:rFonts w:ascii="Arial" w:hAnsi="Arial" w:cs="Arial"/>
          <w:sz w:val="24"/>
          <w:szCs w:val="24"/>
        </w:rPr>
        <w:t>(see para 2 of the instant judgment).</w:t>
      </w:r>
      <w:r w:rsidR="00AA54B9">
        <w:rPr>
          <w:rFonts w:ascii="Arial" w:hAnsi="Arial" w:cs="Arial"/>
          <w:sz w:val="24"/>
          <w:szCs w:val="24"/>
        </w:rPr>
        <w:t xml:space="preserve"> As I see it, the most significant views of the Supreme </w:t>
      </w:r>
      <w:r w:rsidR="00DD5A2C">
        <w:rPr>
          <w:rFonts w:ascii="Arial" w:hAnsi="Arial" w:cs="Arial"/>
          <w:sz w:val="24"/>
          <w:szCs w:val="24"/>
        </w:rPr>
        <w:t xml:space="preserve">Court </w:t>
      </w:r>
      <w:r w:rsidR="00AA54B9">
        <w:rPr>
          <w:rFonts w:ascii="Arial" w:hAnsi="Arial" w:cs="Arial"/>
          <w:sz w:val="24"/>
          <w:szCs w:val="24"/>
        </w:rPr>
        <w:t>– for our present purposes</w:t>
      </w:r>
      <w:r w:rsidR="00071FB0">
        <w:rPr>
          <w:rFonts w:ascii="Arial" w:hAnsi="Arial" w:cs="Arial"/>
          <w:sz w:val="24"/>
          <w:szCs w:val="24"/>
        </w:rPr>
        <w:t xml:space="preserve"> – </w:t>
      </w:r>
      <w:r w:rsidR="00AA54B9">
        <w:rPr>
          <w:rFonts w:ascii="Arial" w:hAnsi="Arial" w:cs="Arial"/>
          <w:sz w:val="24"/>
          <w:szCs w:val="24"/>
        </w:rPr>
        <w:t xml:space="preserve">are found in paras 11, 12, </w:t>
      </w:r>
      <w:r w:rsidR="00071FB0">
        <w:rPr>
          <w:rFonts w:ascii="Arial" w:hAnsi="Arial" w:cs="Arial"/>
          <w:sz w:val="24"/>
          <w:szCs w:val="24"/>
        </w:rPr>
        <w:t xml:space="preserve">14, </w:t>
      </w:r>
      <w:r w:rsidR="00AA54B9">
        <w:rPr>
          <w:rFonts w:ascii="Arial" w:hAnsi="Arial" w:cs="Arial"/>
          <w:sz w:val="24"/>
          <w:szCs w:val="24"/>
        </w:rPr>
        <w:t>15 and 16 of the Supreme Court judgment, and I find it necessary to rehearse them here:</w:t>
      </w:r>
    </w:p>
    <w:p w:rsidR="0054331B" w:rsidRDefault="0054331B" w:rsidP="00E7150F">
      <w:pPr>
        <w:spacing w:after="0" w:line="360" w:lineRule="auto"/>
        <w:jc w:val="both"/>
        <w:rPr>
          <w:rFonts w:ascii="Arial" w:hAnsi="Arial" w:cs="Arial"/>
          <w:sz w:val="24"/>
          <w:szCs w:val="24"/>
        </w:rPr>
      </w:pPr>
    </w:p>
    <w:p w:rsidR="0054331B" w:rsidRPr="00E7150F" w:rsidRDefault="0054331B" w:rsidP="00E7150F">
      <w:pPr>
        <w:spacing w:after="0" w:line="360" w:lineRule="auto"/>
        <w:ind w:left="720"/>
        <w:jc w:val="both"/>
        <w:rPr>
          <w:rFonts w:ascii="Arial" w:hAnsi="Arial" w:cs="Arial"/>
        </w:rPr>
      </w:pPr>
      <w:r w:rsidRPr="00E7150F">
        <w:rPr>
          <w:rFonts w:ascii="Arial" w:hAnsi="Arial" w:cs="Arial"/>
        </w:rPr>
        <w:t>‘[11]</w:t>
      </w:r>
      <w:r w:rsidR="005E0A78" w:rsidRPr="00E7150F">
        <w:rPr>
          <w:rFonts w:ascii="Arial" w:hAnsi="Arial" w:cs="Arial"/>
        </w:rPr>
        <w:tab/>
      </w:r>
      <w:r w:rsidRPr="00E7150F">
        <w:rPr>
          <w:rFonts w:ascii="Arial" w:hAnsi="Arial" w:cs="Arial"/>
        </w:rPr>
        <w:t xml:space="preserve">The proposition that the validity of the marriage should be decided separately from the claim for a putative marriage cannot be accepted as correct for the following reasons.  It is trite that the concept of a putative marriage has been recognized at common law as a measure to provide some relief to an innocent party (who had entered into an invalid marriage without the knowledge of its invalidity). Some of the legal consequences that flow from an invalid marriage include property rights and where applicable rights pertaining to children born during the union. Although the respondent did not make a formal application to have the ‘marriage’ declared a putative marriage, in substance she raised the issue in her answering affidavit. The allegations she made gave rise to the finding of a dispute of fact by the court </w:t>
      </w:r>
      <w:r w:rsidRPr="00E7150F">
        <w:rPr>
          <w:rFonts w:ascii="Arial" w:hAnsi="Arial" w:cs="Arial"/>
          <w:i/>
        </w:rPr>
        <w:t>a quo</w:t>
      </w:r>
      <w:r w:rsidRPr="00E7150F">
        <w:rPr>
          <w:rFonts w:ascii="Arial" w:hAnsi="Arial" w:cs="Arial"/>
        </w:rPr>
        <w:t xml:space="preserve">. It is therefore essential that the issue of the validity of the second marriage should be decided in context and not in a vacuum. </w:t>
      </w:r>
    </w:p>
    <w:p w:rsidR="00E7150F" w:rsidRPr="00E7150F" w:rsidRDefault="00E7150F" w:rsidP="00E7150F">
      <w:pPr>
        <w:spacing w:after="0" w:line="360" w:lineRule="auto"/>
        <w:ind w:left="720"/>
        <w:jc w:val="both"/>
        <w:rPr>
          <w:rFonts w:ascii="Arial" w:eastAsiaTheme="minorHAnsi" w:hAnsi="Arial" w:cs="Arial"/>
        </w:rPr>
      </w:pPr>
    </w:p>
    <w:p w:rsidR="0054331B" w:rsidRDefault="0054331B" w:rsidP="00E7150F">
      <w:pPr>
        <w:spacing w:after="0" w:line="360" w:lineRule="auto"/>
        <w:ind w:left="720"/>
        <w:jc w:val="both"/>
        <w:rPr>
          <w:rFonts w:ascii="Arial" w:hAnsi="Arial" w:cs="Arial"/>
        </w:rPr>
      </w:pPr>
      <w:r w:rsidRPr="00E7150F">
        <w:rPr>
          <w:rFonts w:ascii="Arial" w:hAnsi="Arial" w:cs="Arial"/>
        </w:rPr>
        <w:t>‘[12]</w:t>
      </w:r>
      <w:r w:rsidR="005E0A78" w:rsidRPr="00E7150F">
        <w:rPr>
          <w:rFonts w:ascii="Arial" w:hAnsi="Arial" w:cs="Arial"/>
        </w:rPr>
        <w:tab/>
      </w:r>
      <w:r w:rsidRPr="00E7150F">
        <w:rPr>
          <w:rFonts w:ascii="Arial" w:hAnsi="Arial" w:cs="Arial"/>
        </w:rPr>
        <w:t xml:space="preserve">A broader consideration of the circumstances surrounding the solemnization of the second marriage and the proprietary implications of the parties should be undertaken during the determination of the question whether or not the marriage was a nullity. The bona fides of the parties to the marriage is certainly a relevant consideration in this context. The issue that has arisen in the present case where a respondent’s rights under a putative marriage may be adversely affected should the matter be decided in a piece meal fashion is likely to arise in future cases as there may well be parties to marriages who find themselves in circumstances similar to those of the respondent. As a matter of public policy, equity and fairness to both </w:t>
      </w:r>
      <w:r w:rsidRPr="00E7150F">
        <w:rPr>
          <w:rFonts w:ascii="Arial" w:hAnsi="Arial" w:cs="Arial"/>
        </w:rPr>
        <w:lastRenderedPageBreak/>
        <w:t>parties to the union, it is imperative that the declaration of the invalidity of a marriage and that of a putative marriage, if properly raised, should be determined in tandem and not in isolation.’</w:t>
      </w:r>
    </w:p>
    <w:p w:rsidR="00E7150F" w:rsidRPr="00E7150F" w:rsidRDefault="00E7150F" w:rsidP="00E7150F">
      <w:pPr>
        <w:spacing w:after="0" w:line="360" w:lineRule="auto"/>
        <w:ind w:left="720"/>
        <w:jc w:val="both"/>
        <w:rPr>
          <w:rFonts w:ascii="Arial" w:hAnsi="Arial" w:cs="Arial"/>
        </w:rPr>
      </w:pPr>
    </w:p>
    <w:p w:rsidR="0054331B" w:rsidRDefault="0054331B" w:rsidP="00E7150F">
      <w:pPr>
        <w:spacing w:after="0" w:line="360" w:lineRule="auto"/>
        <w:ind w:left="720"/>
        <w:jc w:val="both"/>
        <w:rPr>
          <w:rFonts w:ascii="Arial" w:hAnsi="Arial" w:cs="Arial"/>
        </w:rPr>
      </w:pPr>
      <w:r w:rsidRPr="00E7150F">
        <w:rPr>
          <w:rFonts w:ascii="Arial" w:hAnsi="Arial" w:cs="Arial"/>
        </w:rPr>
        <w:t>‘[14]</w:t>
      </w:r>
      <w:r w:rsidR="005E0A78" w:rsidRPr="00E7150F">
        <w:rPr>
          <w:rFonts w:ascii="Arial" w:hAnsi="Arial" w:cs="Arial"/>
        </w:rPr>
        <w:tab/>
      </w:r>
      <w:r w:rsidRPr="00E7150F">
        <w:rPr>
          <w:rFonts w:ascii="Arial" w:hAnsi="Arial" w:cs="Arial"/>
        </w:rPr>
        <w:t xml:space="preserve">While it is within the discretion of the court </w:t>
      </w:r>
      <w:r w:rsidRPr="00E7150F">
        <w:rPr>
          <w:rFonts w:ascii="Arial" w:hAnsi="Arial" w:cs="Arial"/>
          <w:i/>
        </w:rPr>
        <w:t>a quo</w:t>
      </w:r>
      <w:r w:rsidRPr="00E7150F">
        <w:rPr>
          <w:rFonts w:ascii="Arial" w:hAnsi="Arial" w:cs="Arial"/>
        </w:rPr>
        <w:t xml:space="preserve"> to have dismissed the application since it could not be decided on affidavit, it does not follow that the application will always be dismissed with costs in such a case. There may be circumstances that will persuade a court not to dismiss the application but to order the parties to trial together with a suitable order as to costs. Also, in a proper case and where the dispute between the parties can be determined speedily it might even be proper to invoke the provisions of the rules of court as to the hearing of oral evidence. </w:t>
      </w:r>
    </w:p>
    <w:p w:rsidR="00E7150F" w:rsidRPr="00E7150F" w:rsidRDefault="00E7150F" w:rsidP="00E7150F">
      <w:pPr>
        <w:spacing w:after="0" w:line="360" w:lineRule="auto"/>
        <w:ind w:left="720"/>
        <w:jc w:val="both"/>
        <w:rPr>
          <w:rFonts w:ascii="Arial" w:hAnsi="Arial" w:cs="Arial"/>
        </w:rPr>
      </w:pPr>
    </w:p>
    <w:p w:rsidR="0054331B" w:rsidRPr="00E7150F" w:rsidRDefault="0054331B" w:rsidP="00E7150F">
      <w:pPr>
        <w:pStyle w:val="ListParagraph"/>
        <w:spacing w:after="0" w:line="360" w:lineRule="auto"/>
        <w:jc w:val="both"/>
        <w:rPr>
          <w:rFonts w:ascii="Arial" w:hAnsi="Arial" w:cs="Arial"/>
        </w:rPr>
      </w:pPr>
      <w:r w:rsidRPr="00E7150F">
        <w:rPr>
          <w:rFonts w:ascii="Arial" w:hAnsi="Arial" w:cs="Arial"/>
        </w:rPr>
        <w:t>‘[15]</w:t>
      </w:r>
      <w:r w:rsidR="005E0A78" w:rsidRPr="00E7150F">
        <w:rPr>
          <w:rFonts w:ascii="Arial" w:hAnsi="Arial" w:cs="Arial"/>
        </w:rPr>
        <w:tab/>
      </w:r>
      <w:r w:rsidRPr="00E7150F">
        <w:rPr>
          <w:rFonts w:ascii="Arial" w:hAnsi="Arial" w:cs="Arial"/>
        </w:rPr>
        <w:t xml:space="preserve">The court should have the opportunity of seeing and hearing the witnesses before coming to a conclusion based entirely on affidavits. </w:t>
      </w:r>
    </w:p>
    <w:p w:rsidR="00E7150F" w:rsidRPr="00E7150F" w:rsidRDefault="00E7150F" w:rsidP="00E7150F">
      <w:pPr>
        <w:pStyle w:val="ListParagraph"/>
        <w:spacing w:after="0" w:line="360" w:lineRule="auto"/>
        <w:jc w:val="both"/>
        <w:rPr>
          <w:rFonts w:ascii="Arial" w:hAnsi="Arial" w:cs="Arial"/>
        </w:rPr>
      </w:pPr>
    </w:p>
    <w:p w:rsidR="0054331B" w:rsidRPr="00E7150F" w:rsidRDefault="0054331B" w:rsidP="00E7150F">
      <w:pPr>
        <w:pStyle w:val="ListParagraph"/>
        <w:spacing w:after="0" w:line="360" w:lineRule="auto"/>
        <w:jc w:val="both"/>
        <w:rPr>
          <w:rFonts w:ascii="Arial" w:hAnsi="Arial" w:cs="Arial"/>
        </w:rPr>
      </w:pPr>
      <w:r w:rsidRPr="00E7150F">
        <w:rPr>
          <w:rFonts w:ascii="Arial" w:hAnsi="Arial" w:cs="Arial"/>
        </w:rPr>
        <w:t>‘[16]</w:t>
      </w:r>
      <w:r w:rsidR="005E0A78" w:rsidRPr="00E7150F">
        <w:rPr>
          <w:rFonts w:ascii="Arial" w:hAnsi="Arial" w:cs="Arial"/>
        </w:rPr>
        <w:tab/>
      </w:r>
      <w:r w:rsidRPr="00E7150F">
        <w:rPr>
          <w:rFonts w:ascii="Arial" w:hAnsi="Arial" w:cs="Arial"/>
        </w:rPr>
        <w:t xml:space="preserve">The exercise of the court’s discretion in Rule 67 should be read with the overriding objective of the court rules to facilitate the resolution of the real issues in dispute justly and speedily, efficiently and cost effectively as far as practicable. By dismissing the case the court </w:t>
      </w:r>
      <w:r w:rsidRPr="00E7150F">
        <w:rPr>
          <w:rFonts w:ascii="Arial" w:hAnsi="Arial" w:cs="Arial"/>
          <w:i/>
        </w:rPr>
        <w:t>a quo</w:t>
      </w:r>
      <w:r w:rsidRPr="00E7150F">
        <w:rPr>
          <w:rFonts w:ascii="Arial" w:hAnsi="Arial" w:cs="Arial"/>
        </w:rPr>
        <w:t xml:space="preserve"> left the issue as to ‘putative marriage’ and the proprietary rights of the parties unresolved despite the disputes being alive in the court. In this instance the court </w:t>
      </w:r>
      <w:r w:rsidRPr="00E7150F">
        <w:rPr>
          <w:rFonts w:ascii="Arial" w:hAnsi="Arial" w:cs="Arial"/>
          <w:i/>
        </w:rPr>
        <w:t xml:space="preserve">a quo </w:t>
      </w:r>
      <w:r w:rsidRPr="00E7150F">
        <w:rPr>
          <w:rFonts w:ascii="Arial" w:hAnsi="Arial" w:cs="Arial"/>
        </w:rPr>
        <w:t>failed to resolve the real issues in dispute justly, efficiently and cost effectively as far as practicable.’</w:t>
      </w:r>
    </w:p>
    <w:p w:rsidR="0054331B" w:rsidRDefault="0054331B" w:rsidP="00E7150F">
      <w:pPr>
        <w:pStyle w:val="ListParagraph"/>
        <w:spacing w:after="0" w:line="360" w:lineRule="auto"/>
        <w:ind w:left="0"/>
        <w:jc w:val="both"/>
        <w:rPr>
          <w:rFonts w:ascii="Arial" w:hAnsi="Arial" w:cs="Arial"/>
          <w:sz w:val="24"/>
          <w:szCs w:val="24"/>
        </w:rPr>
      </w:pPr>
    </w:p>
    <w:p w:rsidR="00CC7E1A" w:rsidRDefault="006830A5" w:rsidP="00E7150F">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AA54B9">
        <w:rPr>
          <w:rFonts w:ascii="Arial" w:hAnsi="Arial" w:cs="Arial"/>
          <w:sz w:val="24"/>
          <w:szCs w:val="24"/>
        </w:rPr>
        <w:t xml:space="preserve">The test for absolution </w:t>
      </w:r>
      <w:r w:rsidR="00712E4B">
        <w:rPr>
          <w:rFonts w:ascii="Arial" w:hAnsi="Arial" w:cs="Arial"/>
          <w:sz w:val="24"/>
          <w:szCs w:val="24"/>
        </w:rPr>
        <w:t>from</w:t>
      </w:r>
      <w:r w:rsidR="00AA54B9">
        <w:rPr>
          <w:rFonts w:ascii="Arial" w:hAnsi="Arial" w:cs="Arial"/>
          <w:sz w:val="24"/>
          <w:szCs w:val="24"/>
        </w:rPr>
        <w:t xml:space="preserve"> the instance has been settled by the authorities. The principles and approaches have been followed in a number of cases. They were approved by the Supreme Court in </w:t>
      </w:r>
      <w:proofErr w:type="spellStart"/>
      <w:r w:rsidR="00AA54B9" w:rsidRPr="00AA54B9">
        <w:rPr>
          <w:rFonts w:ascii="Arial" w:hAnsi="Arial" w:cs="Arial"/>
          <w:i/>
          <w:sz w:val="24"/>
          <w:szCs w:val="24"/>
        </w:rPr>
        <w:t>Stier</w:t>
      </w:r>
      <w:proofErr w:type="spellEnd"/>
      <w:r w:rsidR="00AA54B9" w:rsidRPr="00AA54B9">
        <w:rPr>
          <w:rFonts w:ascii="Arial" w:hAnsi="Arial" w:cs="Arial"/>
          <w:i/>
          <w:sz w:val="24"/>
          <w:szCs w:val="24"/>
        </w:rPr>
        <w:t xml:space="preserve"> and Another v Henke</w:t>
      </w:r>
      <w:r w:rsidR="00AA54B9">
        <w:rPr>
          <w:rFonts w:ascii="Arial" w:hAnsi="Arial" w:cs="Arial"/>
          <w:sz w:val="24"/>
          <w:szCs w:val="24"/>
        </w:rPr>
        <w:t xml:space="preserve"> 2012 (1) NR 370 (SC). There</w:t>
      </w:r>
      <w:r w:rsidR="005E0A78">
        <w:rPr>
          <w:rFonts w:ascii="Arial" w:hAnsi="Arial" w:cs="Arial"/>
          <w:sz w:val="24"/>
          <w:szCs w:val="24"/>
        </w:rPr>
        <w:t>, t</w:t>
      </w:r>
      <w:r w:rsidR="00AA54B9">
        <w:rPr>
          <w:rFonts w:ascii="Arial" w:hAnsi="Arial" w:cs="Arial"/>
          <w:sz w:val="24"/>
          <w:szCs w:val="24"/>
        </w:rPr>
        <w:t xml:space="preserve">he </w:t>
      </w:r>
      <w:r w:rsidR="00CA4715">
        <w:rPr>
          <w:rFonts w:ascii="Arial" w:hAnsi="Arial" w:cs="Arial"/>
          <w:sz w:val="24"/>
          <w:szCs w:val="24"/>
        </w:rPr>
        <w:t xml:space="preserve">Supreme Court </w:t>
      </w:r>
      <w:r w:rsidR="00AA54B9">
        <w:rPr>
          <w:rFonts w:ascii="Arial" w:hAnsi="Arial" w:cs="Arial"/>
          <w:sz w:val="24"/>
          <w:szCs w:val="24"/>
        </w:rPr>
        <w:t>stated:</w:t>
      </w:r>
    </w:p>
    <w:p w:rsidR="00BC3ED8" w:rsidRPr="00F03920" w:rsidRDefault="00BC3ED8" w:rsidP="00E7150F">
      <w:pPr>
        <w:spacing w:after="0" w:line="360" w:lineRule="auto"/>
        <w:jc w:val="both"/>
        <w:rPr>
          <w:rFonts w:ascii="Arial" w:hAnsi="Arial" w:cs="Arial"/>
          <w:sz w:val="24"/>
          <w:szCs w:val="24"/>
        </w:rPr>
      </w:pPr>
    </w:p>
    <w:p w:rsidR="00F03920" w:rsidRPr="00E7150F" w:rsidRDefault="00F03920" w:rsidP="00E7150F">
      <w:pPr>
        <w:spacing w:after="0" w:line="360" w:lineRule="auto"/>
        <w:ind w:left="576"/>
        <w:jc w:val="both"/>
        <w:rPr>
          <w:rFonts w:ascii="Arial" w:hAnsi="Arial" w:cs="Arial"/>
        </w:rPr>
      </w:pPr>
      <w:r w:rsidRPr="00E7150F">
        <w:rPr>
          <w:rFonts w:ascii="Arial" w:hAnsi="Arial" w:cs="Arial"/>
        </w:rPr>
        <w:t>‘</w:t>
      </w:r>
      <w:r w:rsidR="00BC3ED8" w:rsidRPr="00E7150F">
        <w:rPr>
          <w:rFonts w:ascii="Arial" w:hAnsi="Arial" w:cs="Arial"/>
        </w:rPr>
        <w:t>[4]</w:t>
      </w:r>
      <w:r w:rsidRPr="00E7150F">
        <w:rPr>
          <w:rFonts w:ascii="Arial" w:hAnsi="Arial" w:cs="Arial"/>
        </w:rPr>
        <w:tab/>
      </w:r>
      <w:r w:rsidR="00BC3ED8" w:rsidRPr="00E7150F">
        <w:rPr>
          <w:rFonts w:ascii="Arial" w:hAnsi="Arial" w:cs="Arial"/>
        </w:rPr>
        <w:t>At 92F</w:t>
      </w:r>
      <w:r w:rsidRPr="00E7150F">
        <w:rPr>
          <w:rFonts w:ascii="Arial" w:hAnsi="Arial" w:cs="Arial"/>
        </w:rPr>
        <w:t xml:space="preserve">-G, </w:t>
      </w:r>
      <w:r w:rsidR="00BC3ED8" w:rsidRPr="00E7150F">
        <w:rPr>
          <w:rFonts w:ascii="Arial" w:hAnsi="Arial" w:cs="Arial"/>
        </w:rPr>
        <w:t xml:space="preserve">Harms JA in </w:t>
      </w:r>
      <w:r w:rsidR="00BC3ED8" w:rsidRPr="00E7150F">
        <w:rPr>
          <w:rFonts w:ascii="Arial" w:hAnsi="Arial" w:cs="Arial"/>
          <w:i/>
        </w:rPr>
        <w:t>Gordon Lloyd Page &amp; Associates v Rivera and Another</w:t>
      </w:r>
      <w:r w:rsidR="00BC3ED8" w:rsidRPr="00E7150F">
        <w:rPr>
          <w:rFonts w:ascii="Arial" w:hAnsi="Arial" w:cs="Arial"/>
        </w:rPr>
        <w:t xml:space="preserve"> 2001 (1) SA 88 (SCA) referred to the formulation of the test to be applied by a trial court when absolution is applied at the end of an appellant's</w:t>
      </w:r>
      <w:r w:rsidRPr="00E7150F">
        <w:rPr>
          <w:rFonts w:ascii="Arial" w:hAnsi="Arial" w:cs="Arial"/>
        </w:rPr>
        <w:t xml:space="preserve"> (a plaintiff’s)</w:t>
      </w:r>
      <w:r w:rsidR="00BC3ED8" w:rsidRPr="00E7150F">
        <w:rPr>
          <w:rFonts w:ascii="Arial" w:hAnsi="Arial" w:cs="Arial"/>
        </w:rPr>
        <w:t xml:space="preserve"> case as appears in </w:t>
      </w:r>
      <w:r w:rsidR="00BC3ED8" w:rsidRPr="00E7150F">
        <w:rPr>
          <w:rFonts w:ascii="Arial" w:hAnsi="Arial" w:cs="Arial"/>
          <w:i/>
        </w:rPr>
        <w:t xml:space="preserve">Claude Neon Lights (SA) Ltd v Daniel </w:t>
      </w:r>
      <w:r w:rsidR="00BC3ED8" w:rsidRPr="00E7150F">
        <w:rPr>
          <w:rFonts w:ascii="Arial" w:hAnsi="Arial" w:cs="Arial"/>
        </w:rPr>
        <w:t>1976 (4) SA 403 (A) at 409</w:t>
      </w:r>
      <w:r w:rsidRPr="00E7150F">
        <w:rPr>
          <w:rFonts w:ascii="Arial" w:hAnsi="Arial" w:cs="Arial"/>
        </w:rPr>
        <w:t xml:space="preserve"> </w:t>
      </w:r>
      <w:r w:rsidR="00BC3ED8" w:rsidRPr="00E7150F">
        <w:rPr>
          <w:rFonts w:ascii="Arial" w:hAnsi="Arial" w:cs="Arial"/>
        </w:rPr>
        <w:t>G</w:t>
      </w:r>
      <w:r w:rsidRPr="00E7150F">
        <w:rPr>
          <w:rFonts w:ascii="Arial" w:hAnsi="Arial" w:cs="Arial"/>
        </w:rPr>
        <w:t>-H:</w:t>
      </w:r>
    </w:p>
    <w:p w:rsidR="00BC3ED8" w:rsidRPr="00E7150F" w:rsidRDefault="00BC3ED8" w:rsidP="00E7150F">
      <w:pPr>
        <w:spacing w:after="0" w:line="360" w:lineRule="auto"/>
        <w:ind w:left="576"/>
        <w:jc w:val="both"/>
        <w:rPr>
          <w:rFonts w:ascii="Arial" w:hAnsi="Arial" w:cs="Arial"/>
        </w:rPr>
      </w:pPr>
      <w:r w:rsidRPr="00E7150F">
        <w:rPr>
          <w:rFonts w:ascii="Arial" w:hAnsi="Arial" w:cs="Arial"/>
        </w:rPr>
        <w:tab/>
      </w:r>
      <w:r w:rsidR="00F03920" w:rsidRPr="00E7150F">
        <w:rPr>
          <w:rFonts w:ascii="Arial" w:hAnsi="Arial" w:cs="Arial"/>
        </w:rPr>
        <w:t>“</w:t>
      </w:r>
      <w:r w:rsidRPr="00E7150F">
        <w:rPr>
          <w:rFonts w:ascii="Arial" w:hAnsi="Arial" w:cs="Arial"/>
        </w:rPr>
        <w:t xml:space="preserve">. . . when absolution from the instance is sought at the close of plaintiff's case, the test to be applied is not whether the evidence led by the plaintiff establishes what would finally be required to be established, but whether there is evidence upon which </w:t>
      </w:r>
      <w:r w:rsidRPr="00E7150F">
        <w:rPr>
          <w:rFonts w:ascii="Arial" w:hAnsi="Arial" w:cs="Arial"/>
        </w:rPr>
        <w:lastRenderedPageBreak/>
        <w:t xml:space="preserve">a Court, applying its mind reasonably to such evidence, could or might (not should, nor ought to) </w:t>
      </w:r>
      <w:r w:rsidR="009115B2" w:rsidRPr="00E7150F">
        <w:rPr>
          <w:rFonts w:ascii="Arial" w:hAnsi="Arial" w:cs="Arial"/>
        </w:rPr>
        <w:t>find for</w:t>
      </w:r>
      <w:r w:rsidRPr="00E7150F">
        <w:rPr>
          <w:rFonts w:ascii="Arial" w:hAnsi="Arial" w:cs="Arial"/>
        </w:rPr>
        <w:t xml:space="preserve"> the plaintiff. </w:t>
      </w:r>
      <w:proofErr w:type="gramStart"/>
      <w:r w:rsidRPr="00E7150F">
        <w:rPr>
          <w:rFonts w:ascii="Arial" w:hAnsi="Arial" w:cs="Arial"/>
        </w:rPr>
        <w:t>(</w:t>
      </w:r>
      <w:r w:rsidRPr="00E7150F">
        <w:rPr>
          <w:rFonts w:ascii="Arial" w:hAnsi="Arial" w:cs="Arial"/>
          <w:i/>
        </w:rPr>
        <w:t>Gascoyne v Paul and Hunter</w:t>
      </w:r>
      <w:r w:rsidRPr="00E7150F">
        <w:rPr>
          <w:rFonts w:ascii="Arial" w:hAnsi="Arial" w:cs="Arial"/>
        </w:rPr>
        <w:t xml:space="preserve"> 1917 TPD 170 at 173; </w:t>
      </w:r>
      <w:proofErr w:type="spellStart"/>
      <w:r w:rsidRPr="00E7150F">
        <w:rPr>
          <w:rFonts w:ascii="Arial" w:hAnsi="Arial" w:cs="Arial"/>
          <w:i/>
        </w:rPr>
        <w:t>Ruto</w:t>
      </w:r>
      <w:proofErr w:type="spellEnd"/>
      <w:r w:rsidRPr="00E7150F">
        <w:rPr>
          <w:rFonts w:ascii="Arial" w:hAnsi="Arial" w:cs="Arial"/>
          <w:i/>
        </w:rPr>
        <w:t xml:space="preserve"> Flour Mills (Pty) Ltd v Adelson</w:t>
      </w:r>
      <w:r w:rsidRPr="00E7150F">
        <w:rPr>
          <w:rFonts w:ascii="Arial" w:hAnsi="Arial" w:cs="Arial"/>
        </w:rPr>
        <w:t xml:space="preserve"> (2) 1958 (4) SA 307 (T).)</w:t>
      </w:r>
      <w:r w:rsidR="00F03920" w:rsidRPr="00E7150F">
        <w:rPr>
          <w:rFonts w:ascii="Arial" w:hAnsi="Arial" w:cs="Arial"/>
        </w:rPr>
        <w:t>”</w:t>
      </w:r>
      <w:proofErr w:type="gramEnd"/>
    </w:p>
    <w:p w:rsidR="00BC3ED8" w:rsidRPr="00E7150F" w:rsidRDefault="00BC3ED8" w:rsidP="00E7150F">
      <w:pPr>
        <w:spacing w:after="0" w:line="360" w:lineRule="auto"/>
        <w:ind w:left="576"/>
        <w:jc w:val="both"/>
        <w:rPr>
          <w:rFonts w:ascii="Arial" w:hAnsi="Arial" w:cs="Arial"/>
        </w:rPr>
      </w:pPr>
      <w:r w:rsidRPr="00E7150F">
        <w:rPr>
          <w:rFonts w:ascii="Arial" w:hAnsi="Arial" w:cs="Arial"/>
        </w:rPr>
        <w:tab/>
      </w:r>
      <w:proofErr w:type="gramStart"/>
      <w:r w:rsidRPr="00E7150F">
        <w:rPr>
          <w:rFonts w:ascii="Arial" w:hAnsi="Arial" w:cs="Arial"/>
        </w:rPr>
        <w:t>[My Emphasis.]</w:t>
      </w:r>
      <w:proofErr w:type="gramEnd"/>
    </w:p>
    <w:p w:rsidR="00BC3ED8" w:rsidRPr="00E7150F" w:rsidRDefault="00F03920" w:rsidP="00E7150F">
      <w:pPr>
        <w:spacing w:after="0" w:line="360" w:lineRule="auto"/>
        <w:ind w:left="576"/>
        <w:jc w:val="both"/>
        <w:rPr>
          <w:rFonts w:ascii="Arial" w:hAnsi="Arial" w:cs="Arial"/>
        </w:rPr>
      </w:pPr>
      <w:r w:rsidRPr="00E7150F">
        <w:rPr>
          <w:rFonts w:ascii="Arial" w:hAnsi="Arial" w:cs="Arial"/>
        </w:rPr>
        <w:t>‘</w:t>
      </w:r>
      <w:r w:rsidR="00BC3ED8" w:rsidRPr="00E7150F">
        <w:rPr>
          <w:rFonts w:ascii="Arial" w:hAnsi="Arial" w:cs="Arial"/>
        </w:rPr>
        <w:t>Harms JA went on to explain at 92H</w:t>
      </w:r>
      <w:r w:rsidRPr="00E7150F">
        <w:rPr>
          <w:rFonts w:ascii="Arial" w:hAnsi="Arial" w:cs="Arial"/>
        </w:rPr>
        <w:t xml:space="preserve"> -</w:t>
      </w:r>
      <w:r w:rsidR="00BC3ED8" w:rsidRPr="00E7150F">
        <w:rPr>
          <w:rFonts w:ascii="Arial" w:hAnsi="Arial" w:cs="Arial"/>
        </w:rPr>
        <w:t xml:space="preserve"> 93A:  </w:t>
      </w:r>
    </w:p>
    <w:p w:rsidR="00BC3ED8" w:rsidRPr="00E7150F" w:rsidRDefault="00BC3ED8" w:rsidP="00E7150F">
      <w:pPr>
        <w:spacing w:after="0" w:line="360" w:lineRule="auto"/>
        <w:ind w:left="576"/>
        <w:jc w:val="both"/>
        <w:rPr>
          <w:rFonts w:ascii="Arial" w:hAnsi="Arial" w:cs="Arial"/>
        </w:rPr>
      </w:pPr>
      <w:r w:rsidRPr="00E7150F">
        <w:rPr>
          <w:rFonts w:ascii="Arial" w:hAnsi="Arial" w:cs="Arial"/>
        </w:rPr>
        <w:tab/>
      </w:r>
      <w:r w:rsidR="00F03920" w:rsidRPr="00E7150F">
        <w:rPr>
          <w:rFonts w:ascii="Arial" w:hAnsi="Arial" w:cs="Arial"/>
        </w:rPr>
        <w:t>“</w:t>
      </w:r>
      <w:r w:rsidRPr="00E7150F">
        <w:rPr>
          <w:rFonts w:ascii="Arial" w:hAnsi="Arial" w:cs="Arial"/>
        </w:rPr>
        <w:t>This implies that a plaintiff has to make out a prima facie case — in the sense that there is evidence relating to all the elements of the claim — to survive absolution because without such evidence no court could find for the plaintiff (</w:t>
      </w:r>
      <w:r w:rsidRPr="00E7150F">
        <w:rPr>
          <w:rFonts w:ascii="Arial" w:hAnsi="Arial" w:cs="Arial"/>
          <w:i/>
        </w:rPr>
        <w:t xml:space="preserve">Marine &amp; Trade Insurance Co Ltd v Van der </w:t>
      </w:r>
      <w:proofErr w:type="spellStart"/>
      <w:r w:rsidRPr="00E7150F">
        <w:rPr>
          <w:rFonts w:ascii="Arial" w:hAnsi="Arial" w:cs="Arial"/>
          <w:i/>
        </w:rPr>
        <w:t>Schyff</w:t>
      </w:r>
      <w:proofErr w:type="spellEnd"/>
      <w:r w:rsidRPr="00E7150F">
        <w:rPr>
          <w:rFonts w:ascii="Arial" w:hAnsi="Arial" w:cs="Arial"/>
        </w:rPr>
        <w:t xml:space="preserve"> 1972 (1) SA 26 (A) at 37G</w:t>
      </w:r>
      <w:r w:rsidR="00F03920" w:rsidRPr="00E7150F">
        <w:rPr>
          <w:rFonts w:ascii="Arial" w:hAnsi="Arial" w:cs="Arial"/>
        </w:rPr>
        <w:t>-</w:t>
      </w:r>
      <w:r w:rsidRPr="00E7150F">
        <w:rPr>
          <w:rFonts w:ascii="Arial" w:hAnsi="Arial" w:cs="Arial"/>
        </w:rPr>
        <w:t xml:space="preserve">38A; </w:t>
      </w:r>
      <w:r w:rsidRPr="00E7150F">
        <w:rPr>
          <w:rFonts w:ascii="Arial" w:hAnsi="Arial" w:cs="Arial"/>
          <w:i/>
        </w:rPr>
        <w:t xml:space="preserve">Schmidt </w:t>
      </w:r>
      <w:proofErr w:type="spellStart"/>
      <w:r w:rsidRPr="00E7150F">
        <w:rPr>
          <w:rFonts w:ascii="Arial" w:hAnsi="Arial" w:cs="Arial"/>
          <w:i/>
        </w:rPr>
        <w:t>Bewysreg</w:t>
      </w:r>
      <w:proofErr w:type="spellEnd"/>
      <w:r w:rsidRPr="00E7150F">
        <w:rPr>
          <w:rFonts w:ascii="Arial" w:hAnsi="Arial" w:cs="Arial"/>
        </w:rPr>
        <w:t xml:space="preserve"> 4 </w:t>
      </w:r>
      <w:proofErr w:type="spellStart"/>
      <w:r w:rsidRPr="00E7150F">
        <w:rPr>
          <w:rFonts w:ascii="Arial" w:hAnsi="Arial" w:cs="Arial"/>
        </w:rPr>
        <w:t>ed</w:t>
      </w:r>
      <w:proofErr w:type="spellEnd"/>
      <w:r w:rsidRPr="00E7150F">
        <w:rPr>
          <w:rFonts w:ascii="Arial" w:hAnsi="Arial" w:cs="Arial"/>
        </w:rPr>
        <w:t xml:space="preserve"> at 91</w:t>
      </w:r>
      <w:r w:rsidR="00F03920" w:rsidRPr="00E7150F">
        <w:rPr>
          <w:rFonts w:ascii="Arial" w:hAnsi="Arial" w:cs="Arial"/>
        </w:rPr>
        <w:t>-</w:t>
      </w:r>
      <w:r w:rsidRPr="00E7150F">
        <w:rPr>
          <w:rFonts w:ascii="Arial" w:hAnsi="Arial" w:cs="Arial"/>
        </w:rPr>
        <w:t>2). As far as inferences from the evidence are concerned, the inference relied upon by the plaintiff must be a reasonable one, not the only reasonable one (Schmidt at 93). The test has from time to time been formulated in different terms, especially it has been said that the court must consider whether there is ''evidence upon which a reasonable man might find for the plaintiff'' (Gascoyne (</w:t>
      </w:r>
      <w:proofErr w:type="spellStart"/>
      <w:r w:rsidRPr="00E7150F">
        <w:rPr>
          <w:rFonts w:ascii="Arial" w:hAnsi="Arial" w:cs="Arial"/>
        </w:rPr>
        <w:t>loc</w:t>
      </w:r>
      <w:proofErr w:type="spellEnd"/>
      <w:r w:rsidRPr="00E7150F">
        <w:rPr>
          <w:rFonts w:ascii="Arial" w:hAnsi="Arial" w:cs="Arial"/>
        </w:rPr>
        <w:t xml:space="preserve"> </w:t>
      </w:r>
      <w:proofErr w:type="spellStart"/>
      <w:r w:rsidRPr="00E7150F">
        <w:rPr>
          <w:rFonts w:ascii="Arial" w:hAnsi="Arial" w:cs="Arial"/>
        </w:rPr>
        <w:t>cit</w:t>
      </w:r>
      <w:proofErr w:type="spellEnd"/>
      <w:r w:rsidRPr="00E7150F">
        <w:rPr>
          <w:rFonts w:ascii="Arial" w:hAnsi="Arial" w:cs="Arial"/>
        </w:rPr>
        <w:t>)) — a test which had its origin in jury trials when the ''reasonable man'' was a reasonable member of the jury (</w:t>
      </w:r>
      <w:proofErr w:type="spellStart"/>
      <w:r w:rsidRPr="00E7150F">
        <w:rPr>
          <w:rFonts w:ascii="Arial" w:hAnsi="Arial" w:cs="Arial"/>
          <w:i/>
        </w:rPr>
        <w:t>Ruto</w:t>
      </w:r>
      <w:proofErr w:type="spellEnd"/>
      <w:r w:rsidRPr="00E7150F">
        <w:rPr>
          <w:rFonts w:ascii="Arial" w:hAnsi="Arial" w:cs="Arial"/>
          <w:i/>
        </w:rPr>
        <w:t xml:space="preserve"> Flour Mills</w:t>
      </w:r>
      <w:r w:rsidRPr="00E7150F">
        <w:rPr>
          <w:rFonts w:ascii="Arial" w:hAnsi="Arial" w:cs="Arial"/>
        </w:rPr>
        <w:t xml:space="preserve">). Such a formulation tends to cloud the issue. </w:t>
      </w:r>
      <w:r w:rsidR="00863855" w:rsidRPr="00E7150F">
        <w:rPr>
          <w:rFonts w:ascii="Arial" w:hAnsi="Arial" w:cs="Arial"/>
        </w:rPr>
        <w:t>The court</w:t>
      </w:r>
      <w:r w:rsidRPr="00E7150F">
        <w:rPr>
          <w:rFonts w:ascii="Arial" w:hAnsi="Arial" w:cs="Arial"/>
        </w:rPr>
        <w:t xml:space="preserve">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 . . .'  </w:t>
      </w:r>
    </w:p>
    <w:p w:rsidR="00BC3ED8" w:rsidRDefault="00BC3ED8" w:rsidP="00E7150F">
      <w:pPr>
        <w:spacing w:after="0" w:line="360" w:lineRule="auto"/>
        <w:jc w:val="both"/>
        <w:rPr>
          <w:rFonts w:ascii="Arial" w:hAnsi="Arial" w:cs="Arial"/>
          <w:sz w:val="24"/>
          <w:szCs w:val="24"/>
        </w:rPr>
      </w:pPr>
    </w:p>
    <w:p w:rsidR="00641D96" w:rsidRDefault="006830A5" w:rsidP="00E7150F">
      <w:pPr>
        <w:spacing w:after="0" w:line="360" w:lineRule="auto"/>
        <w:jc w:val="both"/>
        <w:rPr>
          <w:rFonts w:ascii="Arial" w:hAnsi="Arial" w:cs="Arial"/>
          <w:sz w:val="24"/>
          <w:szCs w:val="24"/>
        </w:rPr>
      </w:pPr>
      <w:r>
        <w:rPr>
          <w:rFonts w:ascii="Arial" w:hAnsi="Arial" w:cs="Arial"/>
          <w:sz w:val="24"/>
          <w:szCs w:val="24"/>
        </w:rPr>
        <w:t>[7]</w:t>
      </w:r>
      <w:r w:rsidR="000B30D9">
        <w:rPr>
          <w:rFonts w:ascii="Arial" w:hAnsi="Arial" w:cs="Arial"/>
          <w:sz w:val="24"/>
          <w:szCs w:val="24"/>
        </w:rPr>
        <w:tab/>
      </w:r>
      <w:r w:rsidR="00AA54B9">
        <w:rPr>
          <w:rFonts w:ascii="Arial" w:hAnsi="Arial" w:cs="Arial"/>
          <w:sz w:val="24"/>
          <w:szCs w:val="24"/>
        </w:rPr>
        <w:t xml:space="preserve">Thus, in </w:t>
      </w:r>
      <w:proofErr w:type="spellStart"/>
      <w:r w:rsidR="00DD5A2C">
        <w:rPr>
          <w:rFonts w:ascii="Arial" w:hAnsi="Arial" w:cs="Arial"/>
          <w:i/>
          <w:sz w:val="24"/>
          <w:szCs w:val="24"/>
        </w:rPr>
        <w:t>Dannec</w:t>
      </w:r>
      <w:r w:rsidR="00AA54B9" w:rsidRPr="00AA54B9">
        <w:rPr>
          <w:rFonts w:ascii="Arial" w:hAnsi="Arial" w:cs="Arial"/>
          <w:i/>
          <w:sz w:val="24"/>
          <w:szCs w:val="24"/>
        </w:rPr>
        <w:t>ker</w:t>
      </w:r>
      <w:proofErr w:type="spellEnd"/>
      <w:r w:rsidR="002677C5" w:rsidRPr="00AA54B9">
        <w:rPr>
          <w:rFonts w:ascii="Arial" w:hAnsi="Arial" w:cs="Arial"/>
          <w:i/>
          <w:sz w:val="24"/>
          <w:szCs w:val="24"/>
        </w:rPr>
        <w:t xml:space="preserve"> </w:t>
      </w:r>
      <w:r w:rsidR="00AA54B9" w:rsidRPr="00AA54B9">
        <w:rPr>
          <w:rFonts w:ascii="Arial" w:hAnsi="Arial" w:cs="Arial"/>
          <w:i/>
          <w:sz w:val="24"/>
          <w:szCs w:val="24"/>
        </w:rPr>
        <w:t>v Leo</w:t>
      </w:r>
      <w:r w:rsidR="00AA54B9">
        <w:rPr>
          <w:rFonts w:ascii="Arial" w:hAnsi="Arial" w:cs="Arial"/>
          <w:i/>
          <w:sz w:val="24"/>
          <w:szCs w:val="24"/>
        </w:rPr>
        <w:t>pard Tours Car &amp; Camping Hire CC</w:t>
      </w:r>
      <w:r w:rsidR="00AA54B9">
        <w:rPr>
          <w:rFonts w:ascii="Arial" w:hAnsi="Arial" w:cs="Arial"/>
          <w:sz w:val="24"/>
          <w:szCs w:val="24"/>
        </w:rPr>
        <w:t xml:space="preserve"> (I 2909/2006) [2015] NAHCMD 30 (20 February 2015), </w:t>
      </w:r>
      <w:proofErr w:type="spellStart"/>
      <w:r w:rsidR="00AA54B9">
        <w:rPr>
          <w:rFonts w:ascii="Arial" w:hAnsi="Arial" w:cs="Arial"/>
          <w:sz w:val="24"/>
          <w:szCs w:val="24"/>
        </w:rPr>
        <w:t>Damaseb</w:t>
      </w:r>
      <w:proofErr w:type="spellEnd"/>
      <w:r w:rsidR="00AA54B9">
        <w:rPr>
          <w:rFonts w:ascii="Arial" w:hAnsi="Arial" w:cs="Arial"/>
          <w:sz w:val="24"/>
          <w:szCs w:val="24"/>
        </w:rPr>
        <w:t xml:space="preserve"> </w:t>
      </w:r>
      <w:r w:rsidR="00E7150F">
        <w:rPr>
          <w:rFonts w:ascii="Arial" w:hAnsi="Arial" w:cs="Arial"/>
          <w:sz w:val="24"/>
          <w:szCs w:val="24"/>
        </w:rPr>
        <w:t xml:space="preserve">JP </w:t>
      </w:r>
      <w:r w:rsidR="00AA54B9">
        <w:rPr>
          <w:rFonts w:ascii="Arial" w:hAnsi="Arial" w:cs="Arial"/>
          <w:sz w:val="24"/>
          <w:szCs w:val="24"/>
        </w:rPr>
        <w:t>stated as follo</w:t>
      </w:r>
      <w:r w:rsidR="00E7150F">
        <w:rPr>
          <w:rFonts w:ascii="Arial" w:hAnsi="Arial" w:cs="Arial"/>
          <w:sz w:val="24"/>
          <w:szCs w:val="24"/>
        </w:rPr>
        <w:t>ws on the test of absolution fro</w:t>
      </w:r>
      <w:r w:rsidR="00AA54B9">
        <w:rPr>
          <w:rFonts w:ascii="Arial" w:hAnsi="Arial" w:cs="Arial"/>
          <w:sz w:val="24"/>
          <w:szCs w:val="24"/>
        </w:rPr>
        <w:t>m the instance at the close</w:t>
      </w:r>
      <w:r w:rsidR="00287480">
        <w:rPr>
          <w:rFonts w:ascii="Arial" w:hAnsi="Arial" w:cs="Arial"/>
          <w:sz w:val="24"/>
          <w:szCs w:val="24"/>
        </w:rPr>
        <w:t xml:space="preserve"> of </w:t>
      </w:r>
      <w:r w:rsidR="00AA54B9">
        <w:rPr>
          <w:rFonts w:ascii="Arial" w:hAnsi="Arial" w:cs="Arial"/>
          <w:sz w:val="24"/>
          <w:szCs w:val="24"/>
        </w:rPr>
        <w:t>plaintiff</w:t>
      </w:r>
      <w:r w:rsidR="002B6E7D">
        <w:rPr>
          <w:rFonts w:ascii="Arial" w:hAnsi="Arial" w:cs="Arial"/>
          <w:sz w:val="24"/>
          <w:szCs w:val="24"/>
        </w:rPr>
        <w:t>’s</w:t>
      </w:r>
      <w:r w:rsidR="00AA54B9">
        <w:rPr>
          <w:rFonts w:ascii="Arial" w:hAnsi="Arial" w:cs="Arial"/>
          <w:sz w:val="24"/>
          <w:szCs w:val="24"/>
        </w:rPr>
        <w:t xml:space="preserve"> case:</w:t>
      </w:r>
    </w:p>
    <w:p w:rsidR="002424FE" w:rsidRDefault="002424FE" w:rsidP="00E7150F">
      <w:pPr>
        <w:spacing w:after="0" w:line="360" w:lineRule="auto"/>
        <w:jc w:val="both"/>
        <w:rPr>
          <w:rFonts w:ascii="Arial" w:hAnsi="Arial" w:cs="Arial"/>
          <w:sz w:val="24"/>
          <w:szCs w:val="24"/>
        </w:rPr>
      </w:pPr>
    </w:p>
    <w:p w:rsidR="000C64B7" w:rsidRPr="006F08C8" w:rsidRDefault="00DB31B4" w:rsidP="006F08C8">
      <w:pPr>
        <w:spacing w:after="0" w:line="360" w:lineRule="auto"/>
        <w:ind w:left="720"/>
        <w:jc w:val="both"/>
        <w:rPr>
          <w:rFonts w:ascii="Arial" w:hAnsi="Arial" w:cs="Arial"/>
          <w:u w:val="single"/>
        </w:rPr>
      </w:pPr>
      <w:r w:rsidRPr="006F08C8">
        <w:rPr>
          <w:rFonts w:ascii="Arial" w:hAnsi="Arial" w:cs="Arial"/>
        </w:rPr>
        <w:t>‘</w:t>
      </w:r>
      <w:r w:rsidRPr="006F08C8">
        <w:rPr>
          <w:rFonts w:ascii="Arial" w:hAnsi="Arial" w:cs="Arial"/>
          <w:u w:val="single"/>
        </w:rPr>
        <w:t xml:space="preserve">The test for absolution at </w:t>
      </w:r>
      <w:r w:rsidR="00287480">
        <w:rPr>
          <w:rFonts w:ascii="Arial" w:hAnsi="Arial" w:cs="Arial"/>
          <w:u w:val="single"/>
        </w:rPr>
        <w:t xml:space="preserve">the </w:t>
      </w:r>
      <w:r w:rsidRPr="006F08C8">
        <w:rPr>
          <w:rFonts w:ascii="Arial" w:hAnsi="Arial" w:cs="Arial"/>
          <w:u w:val="single"/>
        </w:rPr>
        <w:t>end of plaintiff’s case</w:t>
      </w:r>
    </w:p>
    <w:p w:rsidR="00DB31B4" w:rsidRPr="006F08C8" w:rsidRDefault="00DB31B4" w:rsidP="006F08C8">
      <w:pPr>
        <w:spacing w:after="0" w:line="360" w:lineRule="auto"/>
        <w:ind w:left="720"/>
        <w:jc w:val="both"/>
        <w:rPr>
          <w:rFonts w:ascii="Arial" w:hAnsi="Arial" w:cs="Arial"/>
        </w:rPr>
      </w:pPr>
    </w:p>
    <w:p w:rsidR="00DB31B4" w:rsidRPr="006F08C8" w:rsidRDefault="00DB31B4" w:rsidP="006F08C8">
      <w:pPr>
        <w:spacing w:after="0" w:line="360" w:lineRule="auto"/>
        <w:ind w:left="720"/>
        <w:jc w:val="both"/>
        <w:rPr>
          <w:rFonts w:ascii="Arial" w:hAnsi="Arial" w:cs="Arial"/>
        </w:rPr>
      </w:pPr>
      <w:r w:rsidRPr="006F08C8">
        <w:rPr>
          <w:rFonts w:ascii="Arial" w:hAnsi="Arial" w:cs="Arial"/>
        </w:rPr>
        <w:t>[25]</w:t>
      </w:r>
      <w:r w:rsidRPr="006F08C8">
        <w:rPr>
          <w:rFonts w:ascii="Arial" w:hAnsi="Arial" w:cs="Arial"/>
        </w:rPr>
        <w:tab/>
        <w:t>The relevant test is not whether the evidence led by the plaintiff established what would finally be required to be established, but whether there is evidence upon which a court, applying its mind reasonably to such evidence, could or might (not should or ought to) find for the plaintiff. The reasoning at this stage is to be distinguished from the reasoning which the court applies at the end of the trial; which is: ‘is there evidence upon which a Court ought to give judgment in favour of the plaintiff?’</w:t>
      </w:r>
    </w:p>
    <w:p w:rsidR="00DB31B4" w:rsidRPr="006F08C8" w:rsidRDefault="00DB31B4" w:rsidP="006F08C8">
      <w:pPr>
        <w:spacing w:after="0" w:line="360" w:lineRule="auto"/>
        <w:ind w:left="720"/>
        <w:jc w:val="both"/>
        <w:rPr>
          <w:rFonts w:ascii="Arial" w:hAnsi="Arial" w:cs="Arial"/>
        </w:rPr>
      </w:pPr>
    </w:p>
    <w:p w:rsidR="00DB31B4" w:rsidRPr="006F08C8" w:rsidRDefault="00DB31B4" w:rsidP="006F08C8">
      <w:pPr>
        <w:spacing w:after="0" w:line="360" w:lineRule="auto"/>
        <w:ind w:left="720"/>
        <w:jc w:val="both"/>
        <w:rPr>
          <w:rFonts w:ascii="Arial" w:hAnsi="Arial" w:cs="Arial"/>
        </w:rPr>
      </w:pPr>
      <w:r w:rsidRPr="006F08C8">
        <w:rPr>
          <w:rFonts w:ascii="Arial" w:hAnsi="Arial" w:cs="Arial"/>
        </w:rPr>
        <w:lastRenderedPageBreak/>
        <w:t>‘[26]</w:t>
      </w:r>
      <w:r w:rsidRPr="006F08C8">
        <w:rPr>
          <w:rFonts w:ascii="Arial" w:hAnsi="Arial" w:cs="Arial"/>
        </w:rPr>
        <w:tab/>
        <w:t>The following considerations (which I</w:t>
      </w:r>
      <w:r w:rsidR="00DD5A2C" w:rsidRPr="006F08C8">
        <w:rPr>
          <w:rFonts w:ascii="Arial" w:hAnsi="Arial" w:cs="Arial"/>
        </w:rPr>
        <w:t xml:space="preserve"> shall call ‘the </w:t>
      </w:r>
      <w:proofErr w:type="spellStart"/>
      <w:r w:rsidR="00DD5A2C" w:rsidRPr="006F08C8">
        <w:rPr>
          <w:rFonts w:ascii="Arial" w:hAnsi="Arial" w:cs="Arial"/>
        </w:rPr>
        <w:t>Damaseb</w:t>
      </w:r>
      <w:proofErr w:type="spellEnd"/>
      <w:r w:rsidR="00DD5A2C" w:rsidRPr="006F08C8">
        <w:rPr>
          <w:rFonts w:ascii="Arial" w:hAnsi="Arial" w:cs="Arial"/>
        </w:rPr>
        <w:t xml:space="preserve"> c</w:t>
      </w:r>
      <w:r w:rsidRPr="006F08C8">
        <w:rPr>
          <w:rFonts w:ascii="Arial" w:hAnsi="Arial" w:cs="Arial"/>
        </w:rPr>
        <w:t>onsiderations’) are in my view relevant and find application in the case before me:</w:t>
      </w:r>
    </w:p>
    <w:p w:rsidR="00DB31B4" w:rsidRPr="006F08C8" w:rsidRDefault="00DB31B4" w:rsidP="006F08C8">
      <w:pPr>
        <w:spacing w:after="0" w:line="360" w:lineRule="auto"/>
        <w:ind w:left="720"/>
        <w:jc w:val="both"/>
        <w:rPr>
          <w:rFonts w:ascii="Arial" w:hAnsi="Arial" w:cs="Arial"/>
        </w:rPr>
      </w:pPr>
    </w:p>
    <w:p w:rsidR="00DB31B4" w:rsidRPr="006F08C8" w:rsidRDefault="00DB31B4" w:rsidP="00287480">
      <w:pPr>
        <w:pStyle w:val="ListParagraph"/>
        <w:numPr>
          <w:ilvl w:val="0"/>
          <w:numId w:val="10"/>
        </w:numPr>
        <w:spacing w:after="0" w:line="360" w:lineRule="auto"/>
        <w:ind w:hanging="11"/>
        <w:jc w:val="both"/>
        <w:rPr>
          <w:rFonts w:ascii="Arial" w:hAnsi="Arial" w:cs="Arial"/>
        </w:rPr>
      </w:pPr>
      <w:r w:rsidRPr="006F08C8">
        <w:rPr>
          <w:rFonts w:ascii="Arial" w:hAnsi="Arial" w:cs="Arial"/>
        </w:rPr>
        <w:t>Absolution at the end of plaintiff’s case ought only to be granted in a very clear case where the plaintiff has not made out any case at all, in fact and law;</w:t>
      </w:r>
    </w:p>
    <w:p w:rsidR="00DB31B4" w:rsidRPr="006F08C8" w:rsidRDefault="00DB31B4" w:rsidP="00287480">
      <w:pPr>
        <w:pStyle w:val="ListParagraph"/>
        <w:numPr>
          <w:ilvl w:val="0"/>
          <w:numId w:val="10"/>
        </w:numPr>
        <w:spacing w:after="0" w:line="360" w:lineRule="auto"/>
        <w:ind w:hanging="11"/>
        <w:jc w:val="both"/>
        <w:rPr>
          <w:rFonts w:ascii="Arial" w:hAnsi="Arial" w:cs="Arial"/>
        </w:rPr>
      </w:pPr>
      <w:r w:rsidRPr="006F08C8">
        <w:rPr>
          <w:rFonts w:ascii="Arial" w:hAnsi="Arial" w:cs="Arial"/>
        </w:rPr>
        <w:t>The plaintiff is not to be lightly shut out where the defence relied on by the defendant is peculiarly within the latter’s knowledge while the plaintiff had made out a case calling for an answer (or rebuttal) on oath;</w:t>
      </w:r>
    </w:p>
    <w:p w:rsidR="00DB31B4" w:rsidRPr="006F08C8" w:rsidRDefault="00DB31B4" w:rsidP="00287480">
      <w:pPr>
        <w:pStyle w:val="ListParagraph"/>
        <w:numPr>
          <w:ilvl w:val="0"/>
          <w:numId w:val="10"/>
        </w:numPr>
        <w:spacing w:after="0" w:line="360" w:lineRule="auto"/>
        <w:ind w:hanging="11"/>
        <w:jc w:val="both"/>
        <w:rPr>
          <w:rFonts w:ascii="Arial" w:hAnsi="Arial" w:cs="Arial"/>
        </w:rPr>
      </w:pPr>
      <w:r w:rsidRPr="006F08C8">
        <w:rPr>
          <w:rFonts w:ascii="Arial" w:hAnsi="Arial" w:cs="Arial"/>
        </w:rPr>
        <w:t xml:space="preserve">The trier of </w:t>
      </w:r>
      <w:r w:rsidR="00A82FB9">
        <w:rPr>
          <w:rFonts w:ascii="Arial" w:hAnsi="Arial" w:cs="Arial"/>
        </w:rPr>
        <w:t xml:space="preserve">fact </w:t>
      </w:r>
      <w:r w:rsidRPr="006F08C8">
        <w:rPr>
          <w:rFonts w:ascii="Arial" w:hAnsi="Arial" w:cs="Arial"/>
        </w:rPr>
        <w:t xml:space="preserve">should be on the guard for a defendant who attempts to invoke the absolution procedure to avoid coming into the witness box to </w:t>
      </w:r>
      <w:r w:rsidR="000430C6" w:rsidRPr="006F08C8">
        <w:rPr>
          <w:rFonts w:ascii="Arial" w:hAnsi="Arial" w:cs="Arial"/>
        </w:rPr>
        <w:t>answer uncomfortable facts having a bearing on both credibility and the weight of probabilities in the case;</w:t>
      </w:r>
    </w:p>
    <w:p w:rsidR="000430C6" w:rsidRPr="006F08C8" w:rsidRDefault="000430C6" w:rsidP="00287480">
      <w:pPr>
        <w:pStyle w:val="ListParagraph"/>
        <w:numPr>
          <w:ilvl w:val="0"/>
          <w:numId w:val="10"/>
        </w:numPr>
        <w:spacing w:after="0" w:line="360" w:lineRule="auto"/>
        <w:ind w:hanging="11"/>
        <w:jc w:val="both"/>
        <w:rPr>
          <w:rFonts w:ascii="Arial" w:hAnsi="Arial" w:cs="Arial"/>
        </w:rPr>
      </w:pPr>
      <w:r w:rsidRPr="006F08C8">
        <w:rPr>
          <w:rFonts w:ascii="Arial" w:hAnsi="Arial" w:cs="Arial"/>
        </w:rPr>
        <w:t xml:space="preserve">Where the plaintiff’s evidence gives rise to more than one plausible inference, anyone of which is in his or her favour </w:t>
      </w:r>
      <w:r w:rsidR="00DD5A2C" w:rsidRPr="006F08C8">
        <w:rPr>
          <w:rFonts w:ascii="Arial" w:hAnsi="Arial" w:cs="Arial"/>
        </w:rPr>
        <w:t>in</w:t>
      </w:r>
      <w:r w:rsidRPr="006F08C8">
        <w:rPr>
          <w:rFonts w:ascii="Arial" w:hAnsi="Arial" w:cs="Arial"/>
        </w:rPr>
        <w:t xml:space="preserve"> the sense of supporting his or cause of action and destructive of the version of the defence, absolution is an inappropriate remedy;</w:t>
      </w:r>
    </w:p>
    <w:p w:rsidR="000430C6" w:rsidRPr="006F08C8" w:rsidRDefault="000430C6" w:rsidP="00287480">
      <w:pPr>
        <w:pStyle w:val="ListParagraph"/>
        <w:numPr>
          <w:ilvl w:val="0"/>
          <w:numId w:val="10"/>
        </w:numPr>
        <w:spacing w:after="0" w:line="360" w:lineRule="auto"/>
        <w:ind w:hanging="11"/>
        <w:jc w:val="both"/>
        <w:rPr>
          <w:rFonts w:ascii="Arial" w:hAnsi="Arial" w:cs="Arial"/>
        </w:rPr>
      </w:pPr>
      <w:r w:rsidRPr="006F08C8">
        <w:rPr>
          <w:rFonts w:ascii="Arial" w:hAnsi="Arial" w:cs="Arial"/>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p>
    <w:p w:rsidR="00DB31B4" w:rsidRPr="00863855" w:rsidRDefault="00DB31B4" w:rsidP="00287480">
      <w:pPr>
        <w:spacing w:after="0" w:line="360" w:lineRule="auto"/>
        <w:ind w:hanging="11"/>
        <w:jc w:val="both"/>
        <w:rPr>
          <w:rFonts w:ascii="Arial" w:hAnsi="Arial" w:cs="Arial"/>
          <w:sz w:val="24"/>
          <w:szCs w:val="24"/>
        </w:rPr>
      </w:pPr>
    </w:p>
    <w:p w:rsidR="00323F8D" w:rsidRDefault="000C64B7" w:rsidP="00DE228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430C6">
        <w:rPr>
          <w:rFonts w:ascii="Arial" w:hAnsi="Arial" w:cs="Arial"/>
          <w:sz w:val="24"/>
          <w:szCs w:val="24"/>
        </w:rPr>
        <w:t>The Supreme Court</w:t>
      </w:r>
      <w:r w:rsidR="00863855">
        <w:rPr>
          <w:rFonts w:ascii="Arial" w:hAnsi="Arial" w:cs="Arial"/>
          <w:sz w:val="24"/>
          <w:szCs w:val="24"/>
        </w:rPr>
        <w:t xml:space="preserve"> in </w:t>
      </w:r>
      <w:r w:rsidR="00863855" w:rsidRPr="00863855">
        <w:rPr>
          <w:rFonts w:ascii="Arial" w:hAnsi="Arial" w:cs="Arial"/>
          <w:i/>
          <w:sz w:val="24"/>
          <w:szCs w:val="24"/>
        </w:rPr>
        <w:t xml:space="preserve">Herman Konrad v Shanika </w:t>
      </w:r>
      <w:proofErr w:type="spellStart"/>
      <w:r w:rsidR="00863855" w:rsidRPr="00863855">
        <w:rPr>
          <w:rFonts w:ascii="Arial" w:hAnsi="Arial" w:cs="Arial"/>
          <w:i/>
          <w:sz w:val="24"/>
          <w:szCs w:val="24"/>
        </w:rPr>
        <w:t>Ndapanda</w:t>
      </w:r>
      <w:proofErr w:type="spellEnd"/>
      <w:r w:rsidR="000430C6">
        <w:rPr>
          <w:rFonts w:ascii="Arial" w:hAnsi="Arial" w:cs="Arial"/>
          <w:sz w:val="24"/>
          <w:szCs w:val="24"/>
        </w:rPr>
        <w:t xml:space="preserve"> rejected as incorrect counsel’s ‘proposition that the validity of the marriage </w:t>
      </w:r>
      <w:r w:rsidR="006F08C8">
        <w:rPr>
          <w:rFonts w:ascii="Arial" w:hAnsi="Arial" w:cs="Arial"/>
          <w:sz w:val="24"/>
          <w:szCs w:val="24"/>
        </w:rPr>
        <w:t>should be decided separately fro</w:t>
      </w:r>
      <w:r w:rsidR="000430C6">
        <w:rPr>
          <w:rFonts w:ascii="Arial" w:hAnsi="Arial" w:cs="Arial"/>
          <w:sz w:val="24"/>
          <w:szCs w:val="24"/>
        </w:rPr>
        <w:t>m the claim for a putative marriage’. The Supreme Court decided, ‘therefore</w:t>
      </w:r>
      <w:r w:rsidR="00BB71D9">
        <w:rPr>
          <w:rFonts w:ascii="Arial" w:hAnsi="Arial" w:cs="Arial"/>
          <w:sz w:val="24"/>
          <w:szCs w:val="24"/>
        </w:rPr>
        <w:t>,</w:t>
      </w:r>
      <w:r w:rsidR="000430C6">
        <w:rPr>
          <w:rFonts w:ascii="Arial" w:hAnsi="Arial" w:cs="Arial"/>
          <w:sz w:val="24"/>
          <w:szCs w:val="24"/>
        </w:rPr>
        <w:t xml:space="preserve">’ that it is ‘essential that the issue of the validity of the second marriage should be decided in context and not </w:t>
      </w:r>
      <w:r w:rsidR="00DD5A2C">
        <w:rPr>
          <w:rFonts w:ascii="Arial" w:hAnsi="Arial" w:cs="Arial"/>
          <w:sz w:val="24"/>
          <w:szCs w:val="24"/>
        </w:rPr>
        <w:t>in</w:t>
      </w:r>
      <w:r w:rsidR="000430C6">
        <w:rPr>
          <w:rFonts w:ascii="Arial" w:hAnsi="Arial" w:cs="Arial"/>
          <w:sz w:val="24"/>
          <w:szCs w:val="24"/>
        </w:rPr>
        <w:t xml:space="preserve"> a vacuum’ (at para 11 of the Supreme Court judgment, quoted in para </w:t>
      </w:r>
      <w:r w:rsidR="00F115BC">
        <w:rPr>
          <w:rFonts w:ascii="Arial" w:hAnsi="Arial" w:cs="Arial"/>
          <w:sz w:val="24"/>
          <w:szCs w:val="24"/>
        </w:rPr>
        <w:t>5</w:t>
      </w:r>
      <w:r w:rsidR="000430C6">
        <w:rPr>
          <w:rFonts w:ascii="Arial" w:hAnsi="Arial" w:cs="Arial"/>
          <w:sz w:val="24"/>
          <w:szCs w:val="24"/>
        </w:rPr>
        <w:t xml:space="preserve"> above). And, what is more, the Supreme Court instructed at para 12 of its judgment (quoted in para </w:t>
      </w:r>
      <w:r w:rsidR="00F115BC">
        <w:rPr>
          <w:rFonts w:ascii="Arial" w:hAnsi="Arial" w:cs="Arial"/>
          <w:sz w:val="24"/>
          <w:szCs w:val="24"/>
        </w:rPr>
        <w:t>5</w:t>
      </w:r>
      <w:r w:rsidR="004E7DF6">
        <w:rPr>
          <w:rFonts w:ascii="Arial" w:hAnsi="Arial" w:cs="Arial"/>
          <w:sz w:val="24"/>
          <w:szCs w:val="24"/>
        </w:rPr>
        <w:t xml:space="preserve"> above), ‘</w:t>
      </w:r>
      <w:r w:rsidR="004E7DF6" w:rsidRPr="00247C59">
        <w:rPr>
          <w:rFonts w:ascii="Arial" w:hAnsi="Arial" w:cs="Arial"/>
          <w:sz w:val="24"/>
          <w:szCs w:val="24"/>
        </w:rPr>
        <w:t>A broader consideration of the circumstances surrounding the solemnization of the second marriage and the proprietary implications (for) of the parties should be undertaken during the determination of the question whether or not the marriage was a nullity?</w:t>
      </w:r>
      <w:r w:rsidR="006F08C8" w:rsidRPr="00247C59">
        <w:rPr>
          <w:rFonts w:ascii="Arial" w:hAnsi="Arial" w:cs="Arial"/>
          <w:sz w:val="24"/>
          <w:szCs w:val="24"/>
        </w:rPr>
        <w:t>’</w:t>
      </w:r>
    </w:p>
    <w:p w:rsidR="004E7DF6" w:rsidRPr="00DE2281" w:rsidRDefault="004E7DF6" w:rsidP="00DE2281">
      <w:pPr>
        <w:spacing w:after="0" w:line="360" w:lineRule="auto"/>
        <w:jc w:val="both"/>
        <w:rPr>
          <w:rFonts w:ascii="Arial" w:hAnsi="Arial" w:cs="Arial"/>
          <w:sz w:val="24"/>
          <w:szCs w:val="24"/>
        </w:rPr>
      </w:pPr>
    </w:p>
    <w:p w:rsidR="00F96950" w:rsidRPr="00D14F17" w:rsidRDefault="009F66DE" w:rsidP="008C405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E7DF6">
        <w:rPr>
          <w:rFonts w:ascii="Arial" w:hAnsi="Arial" w:cs="Arial"/>
          <w:sz w:val="24"/>
          <w:szCs w:val="24"/>
        </w:rPr>
        <w:t>This court has heard from</w:t>
      </w:r>
      <w:r w:rsidR="00D14F17">
        <w:rPr>
          <w:rFonts w:ascii="Arial" w:hAnsi="Arial" w:cs="Arial"/>
          <w:sz w:val="24"/>
          <w:szCs w:val="24"/>
        </w:rPr>
        <w:t xml:space="preserve"> </w:t>
      </w:r>
      <w:r w:rsidR="004E7DF6">
        <w:rPr>
          <w:rFonts w:ascii="Arial" w:hAnsi="Arial" w:cs="Arial"/>
          <w:sz w:val="24"/>
          <w:szCs w:val="24"/>
        </w:rPr>
        <w:t xml:space="preserve">plaintiff ‘the circumstances surrounding the solemnization of the second marriage (‘the 1991 marriage’) and the proprietary implications (for) of the parties’. It is, therefore, important that the court hears the </w:t>
      </w:r>
      <w:r w:rsidR="004E7DF6">
        <w:rPr>
          <w:rFonts w:ascii="Arial" w:hAnsi="Arial" w:cs="Arial"/>
          <w:sz w:val="24"/>
          <w:szCs w:val="24"/>
        </w:rPr>
        <w:lastRenderedPageBreak/>
        <w:t xml:space="preserve">version of Konrad about the circumstances surrounding the solemnisation of the second marriage and the proprietary implications (of) for the parties’. This is where, I should point out, </w:t>
      </w:r>
      <w:proofErr w:type="gramStart"/>
      <w:r w:rsidR="004E7DF6">
        <w:rPr>
          <w:rFonts w:ascii="Arial" w:hAnsi="Arial" w:cs="Arial"/>
          <w:sz w:val="24"/>
          <w:szCs w:val="24"/>
        </w:rPr>
        <w:t>the</w:t>
      </w:r>
      <w:proofErr w:type="gramEnd"/>
      <w:r w:rsidR="004E7DF6">
        <w:rPr>
          <w:rFonts w:ascii="Arial" w:hAnsi="Arial" w:cs="Arial"/>
          <w:sz w:val="24"/>
          <w:szCs w:val="24"/>
        </w:rPr>
        <w:t xml:space="preserve"> </w:t>
      </w:r>
      <w:proofErr w:type="spellStart"/>
      <w:r w:rsidR="004E7DF6">
        <w:rPr>
          <w:rFonts w:ascii="Arial" w:hAnsi="Arial" w:cs="Arial"/>
          <w:sz w:val="24"/>
          <w:szCs w:val="24"/>
        </w:rPr>
        <w:t>Damaseb</w:t>
      </w:r>
      <w:proofErr w:type="spellEnd"/>
      <w:r w:rsidR="004E7DF6">
        <w:rPr>
          <w:rFonts w:ascii="Arial" w:hAnsi="Arial" w:cs="Arial"/>
          <w:sz w:val="24"/>
          <w:szCs w:val="24"/>
        </w:rPr>
        <w:t xml:space="preserve"> considerations come into sharper focus in their application to the facts of the instant case. In that regard, I accept Ms </w:t>
      </w:r>
      <w:proofErr w:type="spellStart"/>
      <w:r w:rsidR="004E7DF6">
        <w:rPr>
          <w:rFonts w:ascii="Arial" w:hAnsi="Arial" w:cs="Arial"/>
          <w:sz w:val="24"/>
          <w:szCs w:val="24"/>
        </w:rPr>
        <w:t>Shikale’s</w:t>
      </w:r>
      <w:proofErr w:type="spellEnd"/>
      <w:r w:rsidR="004E7DF6">
        <w:rPr>
          <w:rFonts w:ascii="Arial" w:hAnsi="Arial" w:cs="Arial"/>
          <w:sz w:val="24"/>
          <w:szCs w:val="24"/>
        </w:rPr>
        <w:t xml:space="preserve"> submission that upon the Supreme Court’s decision and instructions referred to in para 2 above, the bona fides of the parties cannot reasonably be determined without the applicant being</w:t>
      </w:r>
      <w:r w:rsidR="006F08C8">
        <w:rPr>
          <w:rFonts w:ascii="Arial" w:hAnsi="Arial" w:cs="Arial"/>
          <w:sz w:val="24"/>
          <w:szCs w:val="24"/>
        </w:rPr>
        <w:t xml:space="preserve"> put on his defence to testify i</w:t>
      </w:r>
      <w:r w:rsidR="004E7DF6">
        <w:rPr>
          <w:rFonts w:ascii="Arial" w:hAnsi="Arial" w:cs="Arial"/>
          <w:sz w:val="24"/>
          <w:szCs w:val="24"/>
        </w:rPr>
        <w:t xml:space="preserve">n the face of respondent’s evidence which this ‘court as trier of fact is bound to accept as true…..unless the plaintiff’s evidence is incurably and inherently so improbable and unsatisfactory as to be rejected out of hand’. </w:t>
      </w:r>
      <w:proofErr w:type="gramStart"/>
      <w:r w:rsidR="004E7DF6">
        <w:rPr>
          <w:rFonts w:ascii="Arial" w:hAnsi="Arial" w:cs="Arial"/>
          <w:sz w:val="24"/>
          <w:szCs w:val="24"/>
        </w:rPr>
        <w:t>(</w:t>
      </w:r>
      <w:r w:rsidR="00632299">
        <w:rPr>
          <w:rFonts w:ascii="Arial" w:hAnsi="Arial" w:cs="Arial"/>
          <w:sz w:val="24"/>
          <w:szCs w:val="24"/>
        </w:rPr>
        <w:t>See para (e)</w:t>
      </w:r>
      <w:r w:rsidR="00F115BC">
        <w:rPr>
          <w:rFonts w:ascii="Arial" w:hAnsi="Arial" w:cs="Arial"/>
          <w:sz w:val="24"/>
          <w:szCs w:val="24"/>
        </w:rPr>
        <w:t xml:space="preserve"> of the </w:t>
      </w:r>
      <w:proofErr w:type="spellStart"/>
      <w:r w:rsidR="00F115BC">
        <w:rPr>
          <w:rFonts w:ascii="Arial" w:hAnsi="Arial" w:cs="Arial"/>
          <w:sz w:val="24"/>
          <w:szCs w:val="24"/>
        </w:rPr>
        <w:t>Damaseb</w:t>
      </w:r>
      <w:proofErr w:type="spellEnd"/>
      <w:r w:rsidR="00F115BC">
        <w:rPr>
          <w:rFonts w:ascii="Arial" w:hAnsi="Arial" w:cs="Arial"/>
          <w:sz w:val="24"/>
          <w:szCs w:val="24"/>
        </w:rPr>
        <w:t xml:space="preserve"> considerations, quoted in para</w:t>
      </w:r>
      <w:r w:rsidR="000E4DB1">
        <w:rPr>
          <w:rFonts w:ascii="Arial" w:hAnsi="Arial" w:cs="Arial"/>
          <w:sz w:val="24"/>
          <w:szCs w:val="24"/>
        </w:rPr>
        <w:t xml:space="preserve"> 7 </w:t>
      </w:r>
      <w:r w:rsidR="00632299">
        <w:rPr>
          <w:rFonts w:ascii="Arial" w:hAnsi="Arial" w:cs="Arial"/>
          <w:sz w:val="24"/>
          <w:szCs w:val="24"/>
        </w:rPr>
        <w:t>above.)</w:t>
      </w:r>
      <w:r w:rsidR="000E4DB1">
        <w:rPr>
          <w:rFonts w:ascii="Arial" w:hAnsi="Arial" w:cs="Arial"/>
          <w:sz w:val="24"/>
          <w:szCs w:val="24"/>
        </w:rPr>
        <w:t>.</w:t>
      </w:r>
      <w:proofErr w:type="gramEnd"/>
      <w:r w:rsidR="00632299">
        <w:rPr>
          <w:rFonts w:ascii="Arial" w:hAnsi="Arial" w:cs="Arial"/>
          <w:sz w:val="24"/>
          <w:szCs w:val="24"/>
        </w:rPr>
        <w:t xml:space="preserve"> </w:t>
      </w:r>
      <w:r w:rsidR="000E4DB1">
        <w:rPr>
          <w:rFonts w:ascii="Arial" w:hAnsi="Arial" w:cs="Arial"/>
          <w:sz w:val="24"/>
          <w:szCs w:val="24"/>
        </w:rPr>
        <w:t>But</w:t>
      </w:r>
      <w:r w:rsidR="00632299">
        <w:rPr>
          <w:rFonts w:ascii="Arial" w:hAnsi="Arial" w:cs="Arial"/>
          <w:sz w:val="24"/>
          <w:szCs w:val="24"/>
        </w:rPr>
        <w:t xml:space="preserve"> I do not find the evidence led by and on behalf of plaintiff to be ‘</w:t>
      </w:r>
      <w:r w:rsidR="000E4DB1">
        <w:rPr>
          <w:rFonts w:ascii="Arial" w:hAnsi="Arial" w:cs="Arial"/>
          <w:sz w:val="24"/>
          <w:szCs w:val="24"/>
        </w:rPr>
        <w:t xml:space="preserve">incurably and inherently </w:t>
      </w:r>
      <w:proofErr w:type="gramStart"/>
      <w:r w:rsidR="000E4DB1">
        <w:rPr>
          <w:rFonts w:ascii="Arial" w:hAnsi="Arial" w:cs="Arial"/>
          <w:sz w:val="24"/>
          <w:szCs w:val="24"/>
        </w:rPr>
        <w:t>so</w:t>
      </w:r>
      <w:proofErr w:type="gramEnd"/>
      <w:r w:rsidR="000E4DB1">
        <w:rPr>
          <w:rFonts w:ascii="Arial" w:hAnsi="Arial" w:cs="Arial"/>
          <w:sz w:val="24"/>
          <w:szCs w:val="24"/>
        </w:rPr>
        <w:t xml:space="preserve"> improbable and unsatisfactory as to be rejected out of hand’</w:t>
      </w:r>
      <w:r w:rsidR="00632299">
        <w:rPr>
          <w:rFonts w:ascii="Arial" w:hAnsi="Arial" w:cs="Arial"/>
          <w:sz w:val="24"/>
          <w:szCs w:val="24"/>
        </w:rPr>
        <w:t>.</w:t>
      </w:r>
    </w:p>
    <w:p w:rsidR="00641D96" w:rsidRDefault="00641D96" w:rsidP="008C4051">
      <w:pPr>
        <w:spacing w:after="0" w:line="360" w:lineRule="auto"/>
        <w:jc w:val="both"/>
        <w:rPr>
          <w:rFonts w:ascii="Arial" w:hAnsi="Arial" w:cs="Arial"/>
          <w:sz w:val="24"/>
          <w:szCs w:val="24"/>
        </w:rPr>
      </w:pPr>
    </w:p>
    <w:p w:rsidR="009F66DE" w:rsidRDefault="009F66DE" w:rsidP="008C405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32299">
        <w:rPr>
          <w:rFonts w:ascii="Arial" w:hAnsi="Arial" w:cs="Arial"/>
          <w:sz w:val="24"/>
          <w:szCs w:val="24"/>
        </w:rPr>
        <w:t xml:space="preserve">Let us look at a summary of the requirements of a putative marriage (‘the </w:t>
      </w:r>
      <w:r w:rsidR="00632299" w:rsidRPr="00632299">
        <w:rPr>
          <w:rFonts w:ascii="Arial" w:hAnsi="Arial" w:cs="Arial"/>
          <w:i/>
          <w:sz w:val="24"/>
          <w:szCs w:val="24"/>
        </w:rPr>
        <w:t>Burge</w:t>
      </w:r>
      <w:r w:rsidR="00632299">
        <w:rPr>
          <w:rFonts w:ascii="Arial" w:hAnsi="Arial" w:cs="Arial"/>
          <w:sz w:val="24"/>
          <w:szCs w:val="24"/>
        </w:rPr>
        <w:t xml:space="preserve"> requirement</w:t>
      </w:r>
      <w:r w:rsidR="00874F7D">
        <w:rPr>
          <w:rFonts w:ascii="Arial" w:hAnsi="Arial" w:cs="Arial"/>
          <w:sz w:val="24"/>
          <w:szCs w:val="24"/>
        </w:rPr>
        <w:t>s</w:t>
      </w:r>
      <w:r w:rsidR="00632299">
        <w:rPr>
          <w:rFonts w:ascii="Arial" w:hAnsi="Arial" w:cs="Arial"/>
          <w:sz w:val="24"/>
          <w:szCs w:val="24"/>
        </w:rPr>
        <w:t>’</w:t>
      </w:r>
      <w:r w:rsidR="000E4DB1">
        <w:rPr>
          <w:rFonts w:ascii="Arial" w:hAnsi="Arial" w:cs="Arial"/>
          <w:sz w:val="24"/>
          <w:szCs w:val="24"/>
        </w:rPr>
        <w:t>) (</w:t>
      </w:r>
      <w:r w:rsidR="00632299">
        <w:rPr>
          <w:rFonts w:ascii="Arial" w:hAnsi="Arial" w:cs="Arial"/>
          <w:sz w:val="24"/>
          <w:szCs w:val="24"/>
        </w:rPr>
        <w:t xml:space="preserve">see </w:t>
      </w:r>
      <w:proofErr w:type="spellStart"/>
      <w:r w:rsidR="00632299" w:rsidRPr="00632299">
        <w:rPr>
          <w:rFonts w:ascii="Arial" w:hAnsi="Arial" w:cs="Arial"/>
          <w:i/>
          <w:sz w:val="24"/>
          <w:szCs w:val="24"/>
        </w:rPr>
        <w:t>Moola</w:t>
      </w:r>
      <w:proofErr w:type="spellEnd"/>
      <w:r w:rsidR="00632299" w:rsidRPr="00632299">
        <w:rPr>
          <w:rFonts w:ascii="Arial" w:hAnsi="Arial" w:cs="Arial"/>
          <w:i/>
          <w:sz w:val="24"/>
          <w:szCs w:val="24"/>
        </w:rPr>
        <w:t xml:space="preserve"> and Others v </w:t>
      </w:r>
      <w:proofErr w:type="spellStart"/>
      <w:r w:rsidR="00632299" w:rsidRPr="00632299">
        <w:rPr>
          <w:rFonts w:ascii="Arial" w:hAnsi="Arial" w:cs="Arial"/>
          <w:i/>
          <w:sz w:val="24"/>
          <w:szCs w:val="24"/>
        </w:rPr>
        <w:t>Aul</w:t>
      </w:r>
      <w:r w:rsidR="009115B2">
        <w:rPr>
          <w:rFonts w:ascii="Arial" w:hAnsi="Arial" w:cs="Arial"/>
          <w:i/>
          <w:sz w:val="24"/>
          <w:szCs w:val="24"/>
        </w:rPr>
        <w:t>s</w:t>
      </w:r>
      <w:r w:rsidR="00632299" w:rsidRPr="00632299">
        <w:rPr>
          <w:rFonts w:ascii="Arial" w:hAnsi="Arial" w:cs="Arial"/>
          <w:i/>
          <w:sz w:val="24"/>
          <w:szCs w:val="24"/>
        </w:rPr>
        <w:t>ebrook</w:t>
      </w:r>
      <w:proofErr w:type="spellEnd"/>
      <w:r w:rsidR="00632299" w:rsidRPr="00632299">
        <w:rPr>
          <w:rFonts w:ascii="Arial" w:hAnsi="Arial" w:cs="Arial"/>
          <w:i/>
          <w:sz w:val="24"/>
          <w:szCs w:val="24"/>
        </w:rPr>
        <w:t xml:space="preserve"> N.O</w:t>
      </w:r>
      <w:r w:rsidR="009115B2">
        <w:rPr>
          <w:rFonts w:ascii="Arial" w:hAnsi="Arial" w:cs="Arial"/>
          <w:i/>
          <w:sz w:val="24"/>
          <w:szCs w:val="24"/>
        </w:rPr>
        <w:t>.</w:t>
      </w:r>
      <w:r w:rsidR="00632299" w:rsidRPr="00632299">
        <w:rPr>
          <w:rFonts w:ascii="Arial" w:hAnsi="Arial" w:cs="Arial"/>
          <w:i/>
          <w:sz w:val="24"/>
          <w:szCs w:val="24"/>
        </w:rPr>
        <w:t xml:space="preserve"> and Others </w:t>
      </w:r>
      <w:r w:rsidR="00632299">
        <w:rPr>
          <w:rFonts w:ascii="Arial" w:hAnsi="Arial" w:cs="Arial"/>
          <w:sz w:val="24"/>
          <w:szCs w:val="24"/>
        </w:rPr>
        <w:t>1983 (</w:t>
      </w:r>
      <w:r w:rsidR="000E4DB1">
        <w:rPr>
          <w:rFonts w:ascii="Arial" w:hAnsi="Arial" w:cs="Arial"/>
          <w:sz w:val="24"/>
          <w:szCs w:val="24"/>
        </w:rPr>
        <w:t>1</w:t>
      </w:r>
      <w:r w:rsidR="00632299">
        <w:rPr>
          <w:rFonts w:ascii="Arial" w:hAnsi="Arial" w:cs="Arial"/>
          <w:sz w:val="24"/>
          <w:szCs w:val="24"/>
        </w:rPr>
        <w:t>) SA 687 (N) at 691). They are these:</w:t>
      </w:r>
    </w:p>
    <w:p w:rsidR="00874F7D" w:rsidRPr="00874F7D" w:rsidRDefault="00874F7D" w:rsidP="00874F7D">
      <w:pPr>
        <w:rPr>
          <w:rFonts w:ascii="Arial" w:eastAsiaTheme="minorHAnsi" w:hAnsi="Arial" w:cs="Arial"/>
          <w:sz w:val="24"/>
          <w:szCs w:val="24"/>
        </w:rPr>
      </w:pPr>
    </w:p>
    <w:p w:rsidR="00874F7D" w:rsidRPr="006F08C8" w:rsidRDefault="00874F7D" w:rsidP="00874F7D">
      <w:pPr>
        <w:ind w:left="1440" w:hanging="720"/>
        <w:jc w:val="both"/>
        <w:rPr>
          <w:rFonts w:ascii="Arial" w:hAnsi="Arial" w:cs="Arial"/>
        </w:rPr>
      </w:pPr>
      <w:r w:rsidRPr="006F08C8">
        <w:rPr>
          <w:rFonts w:ascii="Arial" w:hAnsi="Arial" w:cs="Arial"/>
        </w:rPr>
        <w:t>‘(</w:t>
      </w:r>
      <w:proofErr w:type="gramStart"/>
      <w:r w:rsidRPr="006F08C8">
        <w:rPr>
          <w:rFonts w:ascii="Arial" w:hAnsi="Arial" w:cs="Arial"/>
        </w:rPr>
        <w:t>a</w:t>
      </w:r>
      <w:proofErr w:type="gramEnd"/>
      <w:r w:rsidRPr="006F08C8">
        <w:rPr>
          <w:rFonts w:ascii="Arial" w:hAnsi="Arial" w:cs="Arial"/>
        </w:rPr>
        <w:t>)</w:t>
      </w:r>
      <w:r w:rsidRPr="006F08C8">
        <w:rPr>
          <w:rFonts w:ascii="Arial" w:hAnsi="Arial" w:cs="Arial"/>
        </w:rPr>
        <w:tab/>
        <w:t>there must be bona fides in the sense that both or one of the parties must have been ignorant of the impediment to the marriage;</w:t>
      </w:r>
    </w:p>
    <w:p w:rsidR="00874F7D" w:rsidRPr="006F08C8" w:rsidRDefault="00874F7D" w:rsidP="00874F7D">
      <w:pPr>
        <w:jc w:val="both"/>
        <w:rPr>
          <w:rFonts w:ascii="Arial" w:hAnsi="Arial" w:cs="Arial"/>
        </w:rPr>
      </w:pPr>
      <w:r w:rsidRPr="006F08C8">
        <w:rPr>
          <w:rFonts w:ascii="Arial" w:hAnsi="Arial" w:cs="Arial"/>
        </w:rPr>
        <w:tab/>
        <w:t>(b)</w:t>
      </w:r>
      <w:r w:rsidRPr="006F08C8">
        <w:rPr>
          <w:rFonts w:ascii="Arial" w:hAnsi="Arial" w:cs="Arial"/>
        </w:rPr>
        <w:tab/>
      </w:r>
      <w:proofErr w:type="gramStart"/>
      <w:r w:rsidRPr="006F08C8">
        <w:rPr>
          <w:rFonts w:ascii="Arial" w:hAnsi="Arial" w:cs="Arial"/>
        </w:rPr>
        <w:t>the</w:t>
      </w:r>
      <w:proofErr w:type="gramEnd"/>
      <w:r w:rsidRPr="006F08C8">
        <w:rPr>
          <w:rFonts w:ascii="Arial" w:hAnsi="Arial" w:cs="Arial"/>
        </w:rPr>
        <w:t xml:space="preserve"> marriage must be duly solemnised;</w:t>
      </w:r>
    </w:p>
    <w:p w:rsidR="00874F7D" w:rsidRPr="006F08C8" w:rsidRDefault="00874F7D" w:rsidP="00874F7D">
      <w:pPr>
        <w:ind w:left="720" w:hanging="720"/>
        <w:jc w:val="both"/>
        <w:rPr>
          <w:rFonts w:ascii="Arial" w:hAnsi="Arial" w:cs="Arial"/>
        </w:rPr>
      </w:pPr>
      <w:r w:rsidRPr="006F08C8">
        <w:rPr>
          <w:rFonts w:ascii="Arial" w:hAnsi="Arial" w:cs="Arial"/>
        </w:rPr>
        <w:tab/>
        <w:t>(c)</w:t>
      </w:r>
      <w:r w:rsidRPr="006F08C8">
        <w:rPr>
          <w:rFonts w:ascii="Arial" w:hAnsi="Arial" w:cs="Arial"/>
        </w:rPr>
        <w:tab/>
      </w:r>
      <w:proofErr w:type="gramStart"/>
      <w:r w:rsidRPr="006F08C8">
        <w:rPr>
          <w:rFonts w:ascii="Arial" w:hAnsi="Arial" w:cs="Arial"/>
        </w:rPr>
        <w:t>the</w:t>
      </w:r>
      <w:proofErr w:type="gramEnd"/>
      <w:r w:rsidRPr="006F08C8">
        <w:rPr>
          <w:rFonts w:ascii="Arial" w:hAnsi="Arial" w:cs="Arial"/>
        </w:rPr>
        <w:t xml:space="preserve"> marriage must have been considered lawful in the estimation of the </w:t>
      </w:r>
    </w:p>
    <w:p w:rsidR="00874F7D" w:rsidRPr="006F08C8" w:rsidRDefault="00874F7D" w:rsidP="00874F7D">
      <w:pPr>
        <w:ind w:left="720" w:hanging="720"/>
        <w:jc w:val="both"/>
        <w:rPr>
          <w:rFonts w:ascii="Arial" w:hAnsi="Arial" w:cs="Arial"/>
        </w:rPr>
      </w:pPr>
      <w:r w:rsidRPr="006F08C8">
        <w:rPr>
          <w:rFonts w:ascii="Arial" w:hAnsi="Arial" w:cs="Arial"/>
        </w:rPr>
        <w:tab/>
      </w:r>
      <w:r w:rsidRPr="006F08C8">
        <w:rPr>
          <w:rFonts w:ascii="Arial" w:hAnsi="Arial" w:cs="Arial"/>
        </w:rPr>
        <w:tab/>
      </w:r>
      <w:proofErr w:type="gramStart"/>
      <w:r w:rsidRPr="006F08C8">
        <w:rPr>
          <w:rFonts w:ascii="Arial" w:hAnsi="Arial" w:cs="Arial"/>
        </w:rPr>
        <w:t>parties</w:t>
      </w:r>
      <w:proofErr w:type="gramEnd"/>
      <w:r w:rsidRPr="006F08C8">
        <w:rPr>
          <w:rFonts w:ascii="Arial" w:hAnsi="Arial" w:cs="Arial"/>
        </w:rPr>
        <w:t>, or of that p</w:t>
      </w:r>
      <w:r w:rsidR="006F08C8" w:rsidRPr="006F08C8">
        <w:rPr>
          <w:rFonts w:ascii="Arial" w:hAnsi="Arial" w:cs="Arial"/>
        </w:rPr>
        <w:t>arty who alleges the bona fides</w:t>
      </w:r>
      <w:r w:rsidRPr="006F08C8">
        <w:rPr>
          <w:rFonts w:ascii="Arial" w:hAnsi="Arial" w:cs="Arial"/>
        </w:rPr>
        <w:t>.</w:t>
      </w:r>
      <w:r w:rsidR="006F08C8" w:rsidRPr="006F08C8">
        <w:rPr>
          <w:rFonts w:ascii="Arial" w:hAnsi="Arial" w:cs="Arial"/>
        </w:rPr>
        <w:t>’</w:t>
      </w:r>
    </w:p>
    <w:p w:rsidR="00874F7D" w:rsidRDefault="00874F7D" w:rsidP="008C4051">
      <w:pPr>
        <w:spacing w:after="0" w:line="360" w:lineRule="auto"/>
        <w:jc w:val="both"/>
        <w:rPr>
          <w:rFonts w:ascii="Arial" w:hAnsi="Arial" w:cs="Arial"/>
          <w:sz w:val="24"/>
          <w:szCs w:val="24"/>
        </w:rPr>
      </w:pPr>
    </w:p>
    <w:p w:rsidR="006A0D2E" w:rsidRDefault="00F025D1" w:rsidP="008C405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32299">
        <w:rPr>
          <w:rFonts w:ascii="Arial" w:hAnsi="Arial" w:cs="Arial"/>
          <w:sz w:val="24"/>
          <w:szCs w:val="24"/>
        </w:rPr>
        <w:t>Plaintiff</w:t>
      </w:r>
      <w:r w:rsidR="006F08C8">
        <w:rPr>
          <w:rFonts w:ascii="Arial" w:hAnsi="Arial" w:cs="Arial"/>
          <w:sz w:val="24"/>
          <w:szCs w:val="24"/>
        </w:rPr>
        <w:t>’</w:t>
      </w:r>
      <w:r w:rsidR="00632299">
        <w:rPr>
          <w:rFonts w:ascii="Arial" w:hAnsi="Arial" w:cs="Arial"/>
          <w:sz w:val="24"/>
          <w:szCs w:val="24"/>
        </w:rPr>
        <w:t>s evidence sought to satisfy the requirements in paras (</w:t>
      </w:r>
      <w:r w:rsidR="00874F7D">
        <w:rPr>
          <w:rFonts w:ascii="Arial" w:hAnsi="Arial" w:cs="Arial"/>
          <w:sz w:val="24"/>
          <w:szCs w:val="24"/>
        </w:rPr>
        <w:t>a</w:t>
      </w:r>
      <w:r w:rsidR="00632299">
        <w:rPr>
          <w:rFonts w:ascii="Arial" w:hAnsi="Arial" w:cs="Arial"/>
          <w:sz w:val="24"/>
          <w:szCs w:val="24"/>
        </w:rPr>
        <w:t>) and (</w:t>
      </w:r>
      <w:r w:rsidR="00874F7D">
        <w:rPr>
          <w:rFonts w:ascii="Arial" w:hAnsi="Arial" w:cs="Arial"/>
          <w:sz w:val="24"/>
          <w:szCs w:val="24"/>
        </w:rPr>
        <w:t>c</w:t>
      </w:r>
      <w:r w:rsidR="00632299">
        <w:rPr>
          <w:rFonts w:ascii="Arial" w:hAnsi="Arial" w:cs="Arial"/>
          <w:sz w:val="24"/>
          <w:szCs w:val="24"/>
        </w:rPr>
        <w:t xml:space="preserve">) of the </w:t>
      </w:r>
      <w:r w:rsidR="00632299" w:rsidRPr="00632299">
        <w:rPr>
          <w:rFonts w:ascii="Arial" w:hAnsi="Arial" w:cs="Arial"/>
          <w:i/>
          <w:sz w:val="24"/>
          <w:szCs w:val="24"/>
        </w:rPr>
        <w:t>Burge</w:t>
      </w:r>
      <w:r w:rsidR="00632299">
        <w:rPr>
          <w:rFonts w:ascii="Arial" w:hAnsi="Arial" w:cs="Arial"/>
          <w:sz w:val="24"/>
          <w:szCs w:val="24"/>
        </w:rPr>
        <w:t xml:space="preserve"> requirements (see para </w:t>
      </w:r>
      <w:r w:rsidR="00874F7D">
        <w:rPr>
          <w:rFonts w:ascii="Arial" w:hAnsi="Arial" w:cs="Arial"/>
          <w:sz w:val="24"/>
          <w:szCs w:val="24"/>
        </w:rPr>
        <w:t>10</w:t>
      </w:r>
      <w:r w:rsidR="00632299">
        <w:rPr>
          <w:rFonts w:ascii="Arial" w:hAnsi="Arial" w:cs="Arial"/>
          <w:sz w:val="24"/>
          <w:szCs w:val="24"/>
        </w:rPr>
        <w:t xml:space="preserve"> above). Satisfaction of para (b) is not disputed, and is indisputable. In her cross</w:t>
      </w:r>
      <w:r w:rsidR="00874F7D">
        <w:rPr>
          <w:rFonts w:ascii="Arial" w:hAnsi="Arial" w:cs="Arial"/>
          <w:sz w:val="24"/>
          <w:szCs w:val="24"/>
        </w:rPr>
        <w:t>-</w:t>
      </w:r>
      <w:r w:rsidR="00632299">
        <w:rPr>
          <w:rFonts w:ascii="Arial" w:hAnsi="Arial" w:cs="Arial"/>
          <w:sz w:val="24"/>
          <w:szCs w:val="24"/>
        </w:rPr>
        <w:t>examination</w:t>
      </w:r>
      <w:r w:rsidR="00874F7D">
        <w:rPr>
          <w:rFonts w:ascii="Arial" w:hAnsi="Arial" w:cs="Arial"/>
          <w:sz w:val="24"/>
          <w:szCs w:val="24"/>
        </w:rPr>
        <w:t>-</w:t>
      </w:r>
      <w:r w:rsidR="00632299">
        <w:rPr>
          <w:rFonts w:ascii="Arial" w:hAnsi="Arial" w:cs="Arial"/>
          <w:sz w:val="24"/>
          <w:szCs w:val="24"/>
        </w:rPr>
        <w:t>evidence, Shanika’s categorical answer to the cross-examin</w:t>
      </w:r>
      <w:r w:rsidR="00874F7D">
        <w:rPr>
          <w:rFonts w:ascii="Arial" w:hAnsi="Arial" w:cs="Arial"/>
          <w:sz w:val="24"/>
          <w:szCs w:val="24"/>
        </w:rPr>
        <w:t>er</w:t>
      </w:r>
      <w:r w:rsidR="00632299">
        <w:rPr>
          <w:rFonts w:ascii="Arial" w:hAnsi="Arial" w:cs="Arial"/>
          <w:sz w:val="24"/>
          <w:szCs w:val="24"/>
        </w:rPr>
        <w:t xml:space="preserve">’s categorical question as to whether </w:t>
      </w:r>
      <w:r w:rsidR="006F7272">
        <w:rPr>
          <w:rFonts w:ascii="Arial" w:hAnsi="Arial" w:cs="Arial"/>
          <w:sz w:val="24"/>
          <w:szCs w:val="24"/>
        </w:rPr>
        <w:t xml:space="preserve">she knew Konrad and Ms </w:t>
      </w:r>
      <w:proofErr w:type="spellStart"/>
      <w:r w:rsidR="006F7272">
        <w:rPr>
          <w:rFonts w:ascii="Arial" w:hAnsi="Arial" w:cs="Arial"/>
          <w:sz w:val="24"/>
          <w:szCs w:val="24"/>
        </w:rPr>
        <w:t>Shipanga</w:t>
      </w:r>
      <w:proofErr w:type="spellEnd"/>
      <w:r w:rsidR="006F7272">
        <w:rPr>
          <w:rFonts w:ascii="Arial" w:hAnsi="Arial" w:cs="Arial"/>
          <w:sz w:val="24"/>
          <w:szCs w:val="24"/>
        </w:rPr>
        <w:t xml:space="preserve"> were</w:t>
      </w:r>
      <w:r w:rsidR="00874F7D">
        <w:rPr>
          <w:rFonts w:ascii="Arial" w:hAnsi="Arial" w:cs="Arial"/>
          <w:sz w:val="24"/>
          <w:szCs w:val="24"/>
        </w:rPr>
        <w:t xml:space="preserve"> married was</w:t>
      </w:r>
      <w:r w:rsidR="006F7272">
        <w:rPr>
          <w:rFonts w:ascii="Arial" w:hAnsi="Arial" w:cs="Arial"/>
          <w:sz w:val="24"/>
          <w:szCs w:val="24"/>
        </w:rPr>
        <w:t xml:space="preserve"> that she did not</w:t>
      </w:r>
      <w:r w:rsidR="00874F7D">
        <w:rPr>
          <w:rFonts w:ascii="Arial" w:hAnsi="Arial" w:cs="Arial"/>
          <w:sz w:val="24"/>
          <w:szCs w:val="24"/>
        </w:rPr>
        <w:t xml:space="preserve"> know</w:t>
      </w:r>
      <w:r w:rsidR="006F7272">
        <w:rPr>
          <w:rFonts w:ascii="Arial" w:hAnsi="Arial" w:cs="Arial"/>
          <w:sz w:val="24"/>
          <w:szCs w:val="24"/>
        </w:rPr>
        <w:t>. That evidence, therefore, stood unchallenged at the close of plaintiff</w:t>
      </w:r>
      <w:r w:rsidR="00874F7D">
        <w:rPr>
          <w:rFonts w:ascii="Arial" w:hAnsi="Arial" w:cs="Arial"/>
          <w:sz w:val="24"/>
          <w:szCs w:val="24"/>
        </w:rPr>
        <w:t>’s</w:t>
      </w:r>
      <w:r w:rsidR="006F7272">
        <w:rPr>
          <w:rFonts w:ascii="Arial" w:hAnsi="Arial" w:cs="Arial"/>
          <w:sz w:val="24"/>
          <w:szCs w:val="24"/>
        </w:rPr>
        <w:t xml:space="preserve"> case. </w:t>
      </w:r>
    </w:p>
    <w:p w:rsidR="006A0D2E" w:rsidRDefault="006A0D2E" w:rsidP="008C4051">
      <w:pPr>
        <w:spacing w:after="0" w:line="360" w:lineRule="auto"/>
        <w:jc w:val="both"/>
        <w:rPr>
          <w:rFonts w:ascii="Arial" w:hAnsi="Arial" w:cs="Arial"/>
          <w:sz w:val="24"/>
          <w:szCs w:val="24"/>
        </w:rPr>
      </w:pPr>
    </w:p>
    <w:p w:rsidR="00356A18" w:rsidRPr="00356A18" w:rsidRDefault="006A0D2E" w:rsidP="00356A18">
      <w:pPr>
        <w:spacing w:after="0" w:line="360" w:lineRule="auto"/>
        <w:jc w:val="both"/>
        <w:rPr>
          <w:rFonts w:ascii="Arial" w:hAnsi="Arial" w:cs="Arial"/>
          <w:sz w:val="24"/>
          <w:szCs w:val="24"/>
        </w:rPr>
      </w:pPr>
      <w:r w:rsidRPr="00356A18">
        <w:rPr>
          <w:rFonts w:ascii="Arial" w:hAnsi="Arial" w:cs="Arial"/>
          <w:sz w:val="24"/>
          <w:szCs w:val="24"/>
        </w:rPr>
        <w:t>[12]</w:t>
      </w:r>
      <w:r w:rsidRPr="00356A18">
        <w:rPr>
          <w:rFonts w:ascii="Arial" w:hAnsi="Arial" w:cs="Arial"/>
          <w:sz w:val="24"/>
          <w:szCs w:val="24"/>
        </w:rPr>
        <w:tab/>
      </w:r>
      <w:r w:rsidR="006F7272" w:rsidRPr="00356A18">
        <w:rPr>
          <w:rFonts w:ascii="Arial" w:hAnsi="Arial" w:cs="Arial"/>
          <w:sz w:val="24"/>
          <w:szCs w:val="24"/>
        </w:rPr>
        <w:t xml:space="preserve">Then, there is the plaintiff’s </w:t>
      </w:r>
      <w:r w:rsidRPr="00356A18">
        <w:rPr>
          <w:rFonts w:ascii="Arial" w:hAnsi="Arial" w:cs="Arial"/>
          <w:sz w:val="24"/>
          <w:szCs w:val="24"/>
        </w:rPr>
        <w:t>evidence</w:t>
      </w:r>
      <w:r w:rsidR="006F7272" w:rsidRPr="00356A18">
        <w:rPr>
          <w:rFonts w:ascii="Arial" w:hAnsi="Arial" w:cs="Arial"/>
          <w:sz w:val="24"/>
          <w:szCs w:val="24"/>
        </w:rPr>
        <w:t xml:space="preserve"> that at the </w:t>
      </w:r>
      <w:r w:rsidR="00DD5A2C" w:rsidRPr="00356A18">
        <w:rPr>
          <w:rFonts w:ascii="Arial" w:hAnsi="Arial" w:cs="Arial"/>
          <w:sz w:val="24"/>
          <w:szCs w:val="24"/>
        </w:rPr>
        <w:t>Magistrate</w:t>
      </w:r>
      <w:r w:rsidR="00874F7D" w:rsidRPr="00356A18">
        <w:rPr>
          <w:rFonts w:ascii="Arial" w:hAnsi="Arial" w:cs="Arial"/>
          <w:sz w:val="24"/>
          <w:szCs w:val="24"/>
        </w:rPr>
        <w:t>s’</w:t>
      </w:r>
      <w:r w:rsidR="00DD5A2C" w:rsidRPr="00356A18">
        <w:rPr>
          <w:rFonts w:ascii="Arial" w:hAnsi="Arial" w:cs="Arial"/>
          <w:sz w:val="24"/>
          <w:szCs w:val="24"/>
        </w:rPr>
        <w:t xml:space="preserve"> Court </w:t>
      </w:r>
      <w:r w:rsidR="006F7272" w:rsidRPr="00356A18">
        <w:rPr>
          <w:rFonts w:ascii="Arial" w:hAnsi="Arial" w:cs="Arial"/>
          <w:sz w:val="24"/>
          <w:szCs w:val="24"/>
        </w:rPr>
        <w:t>before the marriage officer</w:t>
      </w:r>
      <w:r w:rsidR="006F08C8">
        <w:rPr>
          <w:rFonts w:ascii="Arial" w:hAnsi="Arial" w:cs="Arial"/>
          <w:sz w:val="24"/>
          <w:szCs w:val="24"/>
        </w:rPr>
        <w:t>,</w:t>
      </w:r>
      <w:r w:rsidR="006F7272" w:rsidRPr="00356A18">
        <w:rPr>
          <w:rFonts w:ascii="Arial" w:hAnsi="Arial" w:cs="Arial"/>
          <w:sz w:val="24"/>
          <w:szCs w:val="24"/>
        </w:rPr>
        <w:t xml:space="preserve"> Konrad pronounced before the marriage officer</w:t>
      </w:r>
      <w:r w:rsidR="00874F7D" w:rsidRPr="00356A18">
        <w:rPr>
          <w:rFonts w:ascii="Arial" w:hAnsi="Arial" w:cs="Arial"/>
          <w:sz w:val="24"/>
          <w:szCs w:val="24"/>
        </w:rPr>
        <w:t xml:space="preserve"> (</w:t>
      </w:r>
      <w:proofErr w:type="spellStart"/>
      <w:r w:rsidR="00874F7D" w:rsidRPr="00356A18">
        <w:rPr>
          <w:rFonts w:ascii="Arial" w:hAnsi="Arial" w:cs="Arial"/>
          <w:sz w:val="24"/>
          <w:szCs w:val="24"/>
        </w:rPr>
        <w:t>ie</w:t>
      </w:r>
      <w:proofErr w:type="spellEnd"/>
      <w:r w:rsidR="00874F7D" w:rsidRPr="00356A18">
        <w:rPr>
          <w:rFonts w:ascii="Arial" w:hAnsi="Arial" w:cs="Arial"/>
          <w:sz w:val="24"/>
          <w:szCs w:val="24"/>
        </w:rPr>
        <w:t xml:space="preserve"> the learned </w:t>
      </w:r>
      <w:r w:rsidR="00874F7D" w:rsidRPr="00356A18">
        <w:rPr>
          <w:rFonts w:ascii="Arial" w:hAnsi="Arial" w:cs="Arial"/>
          <w:sz w:val="24"/>
          <w:szCs w:val="24"/>
        </w:rPr>
        <w:lastRenderedPageBreak/>
        <w:t>magistrate)</w:t>
      </w:r>
      <w:r w:rsidR="006F7272" w:rsidRPr="00356A18">
        <w:rPr>
          <w:rFonts w:ascii="Arial" w:hAnsi="Arial" w:cs="Arial"/>
          <w:sz w:val="24"/>
          <w:szCs w:val="24"/>
        </w:rPr>
        <w:t xml:space="preserve"> that he was not married</w:t>
      </w:r>
      <w:r w:rsidR="00874F7D" w:rsidRPr="00356A18">
        <w:rPr>
          <w:rFonts w:ascii="Arial" w:hAnsi="Arial" w:cs="Arial"/>
          <w:sz w:val="24"/>
          <w:szCs w:val="24"/>
        </w:rPr>
        <w:t xml:space="preserve">. </w:t>
      </w:r>
      <w:r w:rsidR="00D47D70" w:rsidRPr="00356A18">
        <w:rPr>
          <w:rFonts w:ascii="Arial" w:hAnsi="Arial" w:cs="Arial"/>
          <w:sz w:val="24"/>
          <w:szCs w:val="24"/>
        </w:rPr>
        <w:t xml:space="preserve">Konrad repeated this before the pastor who blessed the 1992 marriage in 1999. </w:t>
      </w:r>
      <w:r w:rsidR="00874F7D" w:rsidRPr="00356A18">
        <w:rPr>
          <w:rFonts w:ascii="Arial" w:hAnsi="Arial" w:cs="Arial"/>
          <w:sz w:val="24"/>
          <w:szCs w:val="24"/>
        </w:rPr>
        <w:t xml:space="preserve">Konrad’s </w:t>
      </w:r>
      <w:r w:rsidR="00D47D70" w:rsidRPr="00356A18">
        <w:rPr>
          <w:rFonts w:ascii="Arial" w:hAnsi="Arial" w:cs="Arial"/>
          <w:sz w:val="24"/>
          <w:szCs w:val="24"/>
        </w:rPr>
        <w:t xml:space="preserve">counsel </w:t>
      </w:r>
      <w:r w:rsidRPr="00356A18">
        <w:rPr>
          <w:rFonts w:ascii="Arial" w:hAnsi="Arial" w:cs="Arial"/>
          <w:sz w:val="24"/>
          <w:szCs w:val="24"/>
        </w:rPr>
        <w:t xml:space="preserve">put to Shanika that what Konrad meant was that he was not married then </w:t>
      </w:r>
      <w:proofErr w:type="gramStart"/>
      <w:r w:rsidRPr="00356A18">
        <w:rPr>
          <w:rFonts w:ascii="Arial" w:hAnsi="Arial" w:cs="Arial"/>
          <w:sz w:val="24"/>
          <w:szCs w:val="24"/>
        </w:rPr>
        <w:t>to Shanika not that he was not married to anybody else</w:t>
      </w:r>
      <w:proofErr w:type="gramEnd"/>
      <w:r w:rsidR="006F7272" w:rsidRPr="00356A18">
        <w:rPr>
          <w:rFonts w:ascii="Arial" w:hAnsi="Arial" w:cs="Arial"/>
          <w:sz w:val="24"/>
          <w:szCs w:val="24"/>
        </w:rPr>
        <w:t xml:space="preserve">. </w:t>
      </w:r>
      <w:r w:rsidRPr="00356A18">
        <w:rPr>
          <w:rFonts w:ascii="Arial" w:hAnsi="Arial" w:cs="Arial"/>
          <w:sz w:val="24"/>
          <w:szCs w:val="24"/>
        </w:rPr>
        <w:t xml:space="preserve">Only Konrad can tell the court what he meant. Shanika was not in Konrad’s head. </w:t>
      </w:r>
      <w:r w:rsidR="00252CCC" w:rsidRPr="00356A18">
        <w:rPr>
          <w:rFonts w:ascii="Arial" w:hAnsi="Arial" w:cs="Arial"/>
          <w:sz w:val="24"/>
          <w:szCs w:val="24"/>
        </w:rPr>
        <w:t>‘The plaintiff is not to be lightly shut out where the defence relied on by the defendant is peculiarly within the latter’s knowledge while the plaintiff had made out a case calling for an answer (or rebuttal) on oath</w:t>
      </w:r>
      <w:r w:rsidR="00D47D70" w:rsidRPr="00356A18">
        <w:rPr>
          <w:rFonts w:ascii="Arial" w:hAnsi="Arial" w:cs="Arial"/>
          <w:sz w:val="24"/>
          <w:szCs w:val="24"/>
        </w:rPr>
        <w:t xml:space="preserve">’. </w:t>
      </w:r>
      <w:proofErr w:type="gramStart"/>
      <w:r w:rsidR="00D47D70" w:rsidRPr="00356A18">
        <w:rPr>
          <w:rFonts w:ascii="Arial" w:hAnsi="Arial" w:cs="Arial"/>
          <w:sz w:val="24"/>
          <w:szCs w:val="24"/>
        </w:rPr>
        <w:t xml:space="preserve">See para (e) of the </w:t>
      </w:r>
      <w:proofErr w:type="spellStart"/>
      <w:r w:rsidR="00D47D70" w:rsidRPr="00356A18">
        <w:rPr>
          <w:rFonts w:ascii="Arial" w:hAnsi="Arial" w:cs="Arial"/>
          <w:sz w:val="24"/>
          <w:szCs w:val="24"/>
        </w:rPr>
        <w:t>Damaseb</w:t>
      </w:r>
      <w:proofErr w:type="spellEnd"/>
      <w:r w:rsidR="00D47D70" w:rsidRPr="00356A18">
        <w:rPr>
          <w:rFonts w:ascii="Arial" w:hAnsi="Arial" w:cs="Arial"/>
          <w:sz w:val="24"/>
          <w:szCs w:val="24"/>
        </w:rPr>
        <w:t xml:space="preserve"> considerations in para 7 of this judgment.</w:t>
      </w:r>
      <w:proofErr w:type="gramEnd"/>
      <w:r w:rsidR="00D47D70" w:rsidRPr="00356A18">
        <w:rPr>
          <w:rFonts w:ascii="Arial" w:hAnsi="Arial" w:cs="Arial"/>
          <w:sz w:val="24"/>
          <w:szCs w:val="24"/>
        </w:rPr>
        <w:t xml:space="preserve"> As I say, the defence relied on by Konrad is peculiarly within Konrad’s knowledge while Shanika has made out a case calling for an answer (or rebuttal) on oath or by affirmation from Konrad. (See para (e) of the </w:t>
      </w:r>
      <w:proofErr w:type="spellStart"/>
      <w:r w:rsidR="00D47D70" w:rsidRPr="00356A18">
        <w:rPr>
          <w:rFonts w:ascii="Arial" w:hAnsi="Arial" w:cs="Arial"/>
          <w:sz w:val="24"/>
          <w:szCs w:val="24"/>
        </w:rPr>
        <w:t>Damaseb</w:t>
      </w:r>
      <w:proofErr w:type="spellEnd"/>
      <w:r w:rsidR="00D47D70" w:rsidRPr="00356A18">
        <w:rPr>
          <w:rFonts w:ascii="Arial" w:hAnsi="Arial" w:cs="Arial"/>
          <w:sz w:val="24"/>
          <w:szCs w:val="24"/>
        </w:rPr>
        <w:t xml:space="preserve"> considerations.) </w:t>
      </w:r>
    </w:p>
    <w:p w:rsidR="00356A18" w:rsidRDefault="00356A18" w:rsidP="00356A18">
      <w:pPr>
        <w:spacing w:after="0" w:line="360" w:lineRule="auto"/>
        <w:jc w:val="both"/>
        <w:rPr>
          <w:rFonts w:ascii="Arial" w:hAnsi="Arial" w:cs="Arial"/>
          <w:sz w:val="24"/>
          <w:szCs w:val="24"/>
        </w:rPr>
      </w:pPr>
    </w:p>
    <w:p w:rsidR="00356A18" w:rsidRDefault="00356A18" w:rsidP="00356A18">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F7272" w:rsidRPr="00356A18">
        <w:rPr>
          <w:rFonts w:ascii="Arial" w:hAnsi="Arial" w:cs="Arial"/>
          <w:sz w:val="24"/>
          <w:szCs w:val="24"/>
        </w:rPr>
        <w:t>These piece</w:t>
      </w:r>
      <w:r w:rsidR="00874F7D" w:rsidRPr="00356A18">
        <w:rPr>
          <w:rFonts w:ascii="Arial" w:hAnsi="Arial" w:cs="Arial"/>
          <w:sz w:val="24"/>
          <w:szCs w:val="24"/>
        </w:rPr>
        <w:t>s</w:t>
      </w:r>
      <w:r w:rsidR="006F7272" w:rsidRPr="00356A18">
        <w:rPr>
          <w:rFonts w:ascii="Arial" w:hAnsi="Arial" w:cs="Arial"/>
          <w:sz w:val="24"/>
          <w:szCs w:val="24"/>
        </w:rPr>
        <w:t xml:space="preserve"> of evidence stood undemolished at the close of plaintiff’s case,</w:t>
      </w:r>
      <w:r w:rsidRPr="00356A18">
        <w:rPr>
          <w:rFonts w:ascii="Arial" w:hAnsi="Arial" w:cs="Arial"/>
          <w:sz w:val="24"/>
          <w:szCs w:val="24"/>
        </w:rPr>
        <w:t xml:space="preserve"> </w:t>
      </w:r>
      <w:r>
        <w:rPr>
          <w:rFonts w:ascii="Arial" w:hAnsi="Arial" w:cs="Arial"/>
          <w:sz w:val="24"/>
          <w:szCs w:val="24"/>
        </w:rPr>
        <w:t>and I do not find them</w:t>
      </w:r>
      <w:r w:rsidRPr="00356A18">
        <w:rPr>
          <w:rFonts w:ascii="Arial" w:hAnsi="Arial" w:cs="Arial"/>
          <w:sz w:val="24"/>
          <w:szCs w:val="24"/>
        </w:rPr>
        <w:t xml:space="preserve"> </w:t>
      </w:r>
      <w:r>
        <w:rPr>
          <w:rFonts w:ascii="Arial" w:hAnsi="Arial" w:cs="Arial"/>
          <w:sz w:val="24"/>
          <w:szCs w:val="24"/>
        </w:rPr>
        <w:t xml:space="preserve">to be </w:t>
      </w:r>
      <w:r w:rsidR="006F08C8">
        <w:rPr>
          <w:rFonts w:ascii="Arial" w:hAnsi="Arial" w:cs="Arial"/>
          <w:sz w:val="24"/>
          <w:szCs w:val="24"/>
        </w:rPr>
        <w:t>‘</w:t>
      </w:r>
      <w:proofErr w:type="gramStart"/>
      <w:r>
        <w:rPr>
          <w:rFonts w:ascii="Arial" w:hAnsi="Arial" w:cs="Arial"/>
          <w:sz w:val="24"/>
          <w:szCs w:val="24"/>
        </w:rPr>
        <w:t>so</w:t>
      </w:r>
      <w:proofErr w:type="gramEnd"/>
      <w:r w:rsidRPr="00356A18">
        <w:rPr>
          <w:rFonts w:ascii="Arial" w:hAnsi="Arial" w:cs="Arial"/>
          <w:sz w:val="24"/>
          <w:szCs w:val="24"/>
        </w:rPr>
        <w:t xml:space="preserve"> incurably and inherently improbable and unsatisfactory as to be rejected out of hand</w:t>
      </w:r>
      <w:r w:rsidR="006F08C8">
        <w:rPr>
          <w:rFonts w:ascii="Arial" w:hAnsi="Arial" w:cs="Arial"/>
          <w:sz w:val="24"/>
          <w:szCs w:val="24"/>
        </w:rPr>
        <w:t>’</w:t>
      </w:r>
      <w:r>
        <w:rPr>
          <w:rFonts w:ascii="Arial" w:hAnsi="Arial" w:cs="Arial"/>
          <w:sz w:val="24"/>
          <w:szCs w:val="24"/>
        </w:rPr>
        <w:t>. I</w:t>
      </w:r>
      <w:r w:rsidR="006F7272" w:rsidRPr="00356A18">
        <w:rPr>
          <w:rFonts w:ascii="Arial" w:hAnsi="Arial" w:cs="Arial"/>
          <w:sz w:val="24"/>
          <w:szCs w:val="24"/>
        </w:rPr>
        <w:t xml:space="preserve">t must be remembered, the </w:t>
      </w:r>
      <w:proofErr w:type="spellStart"/>
      <w:r w:rsidR="006F7272" w:rsidRPr="00356A18">
        <w:rPr>
          <w:rFonts w:ascii="Arial" w:hAnsi="Arial" w:cs="Arial"/>
          <w:sz w:val="24"/>
          <w:szCs w:val="24"/>
        </w:rPr>
        <w:t>Damaseb</w:t>
      </w:r>
      <w:proofErr w:type="spellEnd"/>
      <w:r w:rsidR="006F7272" w:rsidRPr="00356A18">
        <w:rPr>
          <w:rFonts w:ascii="Arial" w:hAnsi="Arial" w:cs="Arial"/>
          <w:sz w:val="24"/>
          <w:szCs w:val="24"/>
        </w:rPr>
        <w:t xml:space="preserve"> considerations tell us in para (e) (se</w:t>
      </w:r>
      <w:r w:rsidR="00DD5A2C" w:rsidRPr="00356A18">
        <w:rPr>
          <w:rFonts w:ascii="Arial" w:hAnsi="Arial" w:cs="Arial"/>
          <w:sz w:val="24"/>
          <w:szCs w:val="24"/>
        </w:rPr>
        <w:t>e para 7 of this judgment)</w:t>
      </w:r>
      <w:r>
        <w:rPr>
          <w:rFonts w:ascii="Arial" w:hAnsi="Arial" w:cs="Arial"/>
          <w:sz w:val="24"/>
          <w:szCs w:val="24"/>
        </w:rPr>
        <w:t xml:space="preserve">, </w:t>
      </w:r>
    </w:p>
    <w:p w:rsidR="00356A18" w:rsidRDefault="00356A18" w:rsidP="00356A18">
      <w:pPr>
        <w:spacing w:after="0" w:line="360" w:lineRule="auto"/>
        <w:jc w:val="both"/>
        <w:rPr>
          <w:rFonts w:ascii="Arial" w:hAnsi="Arial" w:cs="Arial"/>
          <w:sz w:val="24"/>
          <w:szCs w:val="24"/>
        </w:rPr>
      </w:pPr>
    </w:p>
    <w:p w:rsidR="00F025D1" w:rsidRPr="00B07579" w:rsidRDefault="00356A18" w:rsidP="00B07579">
      <w:pPr>
        <w:spacing w:after="0" w:line="360" w:lineRule="auto"/>
        <w:ind w:left="720"/>
        <w:jc w:val="both"/>
        <w:rPr>
          <w:rFonts w:ascii="Arial" w:hAnsi="Arial" w:cs="Arial"/>
        </w:rPr>
      </w:pPr>
      <w:r w:rsidRPr="00B07579">
        <w:rPr>
          <w:rFonts w:ascii="Arial" w:hAnsi="Arial" w:cs="Arial"/>
        </w:rPr>
        <w:t>‘</w:t>
      </w:r>
      <w:r w:rsidR="00684A23" w:rsidRPr="00B07579">
        <w:rPr>
          <w:rFonts w:ascii="Arial" w:hAnsi="Arial" w:cs="Arial"/>
        </w:rPr>
        <w:t>Perhaps</w:t>
      </w:r>
      <w:r w:rsidRPr="00B07579">
        <w:rPr>
          <w:rFonts w:ascii="Arial" w:hAnsi="Arial" w:cs="Arial"/>
        </w:rPr>
        <w:t>,</w:t>
      </w:r>
      <w:r w:rsidR="00684A23" w:rsidRPr="00B07579">
        <w:rPr>
          <w:rFonts w:ascii="Arial" w:hAnsi="Arial" w:cs="Arial"/>
        </w:rPr>
        <w:t xml:space="preserve">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p>
    <w:p w:rsidR="00131BDC" w:rsidRDefault="00131BDC" w:rsidP="008C4051">
      <w:pPr>
        <w:spacing w:after="0" w:line="360" w:lineRule="auto"/>
        <w:jc w:val="both"/>
        <w:rPr>
          <w:rFonts w:ascii="Arial" w:hAnsi="Arial" w:cs="Arial"/>
          <w:sz w:val="24"/>
          <w:szCs w:val="24"/>
        </w:rPr>
      </w:pPr>
    </w:p>
    <w:p w:rsidR="00131BDC" w:rsidRPr="0065312F" w:rsidRDefault="00131BDC" w:rsidP="008C4051">
      <w:pPr>
        <w:spacing w:after="0" w:line="360" w:lineRule="auto"/>
        <w:jc w:val="both"/>
        <w:rPr>
          <w:rFonts w:ascii="Arial" w:hAnsi="Arial" w:cs="Arial"/>
          <w:sz w:val="24"/>
          <w:szCs w:val="24"/>
        </w:rPr>
      </w:pPr>
      <w:r>
        <w:rPr>
          <w:rFonts w:ascii="Arial" w:hAnsi="Arial" w:cs="Arial"/>
          <w:sz w:val="24"/>
          <w:szCs w:val="24"/>
        </w:rPr>
        <w:t>[1</w:t>
      </w:r>
      <w:r w:rsidR="00356A18">
        <w:rPr>
          <w:rFonts w:ascii="Arial" w:hAnsi="Arial" w:cs="Arial"/>
          <w:sz w:val="24"/>
          <w:szCs w:val="24"/>
        </w:rPr>
        <w:t>4</w:t>
      </w:r>
      <w:r>
        <w:rPr>
          <w:rFonts w:ascii="Arial" w:hAnsi="Arial" w:cs="Arial"/>
          <w:sz w:val="24"/>
          <w:szCs w:val="24"/>
        </w:rPr>
        <w:t>]</w:t>
      </w:r>
      <w:r>
        <w:rPr>
          <w:rFonts w:ascii="Arial" w:hAnsi="Arial" w:cs="Arial"/>
          <w:sz w:val="24"/>
          <w:szCs w:val="24"/>
        </w:rPr>
        <w:tab/>
      </w:r>
      <w:r w:rsidR="006F7272">
        <w:rPr>
          <w:rFonts w:ascii="Arial" w:hAnsi="Arial" w:cs="Arial"/>
          <w:sz w:val="24"/>
          <w:szCs w:val="24"/>
        </w:rPr>
        <w:t>No doubt Shanika’s evidence ‘gives rise to more</w:t>
      </w:r>
      <w:r w:rsidR="006F08C8">
        <w:rPr>
          <w:rFonts w:ascii="Arial" w:hAnsi="Arial" w:cs="Arial"/>
          <w:sz w:val="24"/>
          <w:szCs w:val="24"/>
        </w:rPr>
        <w:t xml:space="preserve"> than</w:t>
      </w:r>
      <w:r w:rsidR="006F7272">
        <w:rPr>
          <w:rFonts w:ascii="Arial" w:hAnsi="Arial" w:cs="Arial"/>
          <w:sz w:val="24"/>
          <w:szCs w:val="24"/>
        </w:rPr>
        <w:t xml:space="preserve"> one plausible inference, </w:t>
      </w:r>
      <w:r w:rsidR="00356A18">
        <w:rPr>
          <w:rFonts w:ascii="Arial" w:hAnsi="Arial" w:cs="Arial"/>
          <w:sz w:val="24"/>
          <w:szCs w:val="24"/>
        </w:rPr>
        <w:t>anyone</w:t>
      </w:r>
      <w:r w:rsidR="006F7272">
        <w:rPr>
          <w:rFonts w:ascii="Arial" w:hAnsi="Arial" w:cs="Arial"/>
          <w:sz w:val="24"/>
          <w:szCs w:val="24"/>
        </w:rPr>
        <w:t xml:space="preserve"> of which is in his or her favour in the sense of supporting his or her cause of action</w:t>
      </w:r>
      <w:r w:rsidR="006F08C8">
        <w:rPr>
          <w:rFonts w:ascii="Arial" w:hAnsi="Arial" w:cs="Arial"/>
          <w:sz w:val="24"/>
          <w:szCs w:val="24"/>
        </w:rPr>
        <w:t xml:space="preserve"> and destructive of the defence;</w:t>
      </w:r>
      <w:r w:rsidR="006F7272">
        <w:rPr>
          <w:rFonts w:ascii="Arial" w:hAnsi="Arial" w:cs="Arial"/>
          <w:sz w:val="24"/>
          <w:szCs w:val="24"/>
        </w:rPr>
        <w:t xml:space="preserve"> </w:t>
      </w:r>
      <w:r w:rsidR="006F08C8">
        <w:rPr>
          <w:rFonts w:ascii="Arial" w:hAnsi="Arial" w:cs="Arial"/>
          <w:sz w:val="24"/>
          <w:szCs w:val="24"/>
        </w:rPr>
        <w:t xml:space="preserve">and </w:t>
      </w:r>
      <w:proofErr w:type="spellStart"/>
      <w:r w:rsidR="006F08C8">
        <w:rPr>
          <w:rFonts w:ascii="Arial" w:hAnsi="Arial" w:cs="Arial"/>
          <w:sz w:val="24"/>
          <w:szCs w:val="24"/>
        </w:rPr>
        <w:t>so</w:t>
      </w:r>
      <w:proofErr w:type="gramStart"/>
      <w:r w:rsidR="006F08C8">
        <w:rPr>
          <w:rFonts w:ascii="Arial" w:hAnsi="Arial" w:cs="Arial"/>
          <w:sz w:val="24"/>
          <w:szCs w:val="24"/>
        </w:rPr>
        <w:t>,‘</w:t>
      </w:r>
      <w:r w:rsidR="006F7272" w:rsidRPr="006F7272">
        <w:rPr>
          <w:rFonts w:ascii="Arial" w:hAnsi="Arial" w:cs="Arial"/>
          <w:i/>
          <w:sz w:val="24"/>
          <w:szCs w:val="24"/>
        </w:rPr>
        <w:t>absolution</w:t>
      </w:r>
      <w:proofErr w:type="spellEnd"/>
      <w:proofErr w:type="gramEnd"/>
      <w:r w:rsidR="006F7272" w:rsidRPr="006F7272">
        <w:rPr>
          <w:rFonts w:ascii="Arial" w:hAnsi="Arial" w:cs="Arial"/>
          <w:i/>
          <w:sz w:val="24"/>
          <w:szCs w:val="24"/>
        </w:rPr>
        <w:t xml:space="preserve"> is an inappropriate remedy’</w:t>
      </w:r>
      <w:r w:rsidR="006F7272">
        <w:rPr>
          <w:rFonts w:ascii="Arial" w:hAnsi="Arial" w:cs="Arial"/>
          <w:sz w:val="24"/>
          <w:szCs w:val="24"/>
        </w:rPr>
        <w:t xml:space="preserve"> (see para (d) of the </w:t>
      </w:r>
      <w:proofErr w:type="spellStart"/>
      <w:r w:rsidR="006F7272">
        <w:rPr>
          <w:rFonts w:ascii="Arial" w:hAnsi="Arial" w:cs="Arial"/>
          <w:sz w:val="24"/>
          <w:szCs w:val="24"/>
        </w:rPr>
        <w:t>Damaseb</w:t>
      </w:r>
      <w:proofErr w:type="spellEnd"/>
      <w:r w:rsidR="006F7272">
        <w:rPr>
          <w:rFonts w:ascii="Arial" w:hAnsi="Arial" w:cs="Arial"/>
          <w:sz w:val="24"/>
          <w:szCs w:val="24"/>
        </w:rPr>
        <w:t xml:space="preserve"> considerations </w:t>
      </w:r>
      <w:r w:rsidR="0065312F">
        <w:rPr>
          <w:rFonts w:ascii="Arial" w:hAnsi="Arial" w:cs="Arial"/>
          <w:sz w:val="24"/>
          <w:szCs w:val="24"/>
        </w:rPr>
        <w:t>in</w:t>
      </w:r>
      <w:r w:rsidR="00172991">
        <w:rPr>
          <w:rFonts w:ascii="Arial" w:hAnsi="Arial" w:cs="Arial"/>
          <w:sz w:val="24"/>
          <w:szCs w:val="24"/>
        </w:rPr>
        <w:t xml:space="preserve"> para 7</w:t>
      </w:r>
      <w:r w:rsidR="006F7272">
        <w:rPr>
          <w:rFonts w:ascii="Arial" w:hAnsi="Arial" w:cs="Arial"/>
          <w:sz w:val="24"/>
          <w:szCs w:val="24"/>
        </w:rPr>
        <w:t xml:space="preserve"> of this judgment).</w:t>
      </w:r>
      <w:r w:rsidR="0065312F">
        <w:rPr>
          <w:rFonts w:ascii="Arial" w:hAnsi="Arial" w:cs="Arial"/>
          <w:sz w:val="24"/>
          <w:szCs w:val="24"/>
        </w:rPr>
        <w:t xml:space="preserve"> (Italicized for emphasis) Shanika’s evidence on the point give</w:t>
      </w:r>
      <w:r w:rsidR="00172991">
        <w:rPr>
          <w:rFonts w:ascii="Arial" w:hAnsi="Arial" w:cs="Arial"/>
          <w:sz w:val="24"/>
          <w:szCs w:val="24"/>
        </w:rPr>
        <w:t>s</w:t>
      </w:r>
      <w:r w:rsidR="0065312F">
        <w:rPr>
          <w:rFonts w:ascii="Arial" w:hAnsi="Arial" w:cs="Arial"/>
          <w:sz w:val="24"/>
          <w:szCs w:val="24"/>
        </w:rPr>
        <w:t xml:space="preserve"> rise to more than one plausible inference, and it is in her favour, namely, that she was not aware that Konrad was married to someone else, and it is destructive of the defence version that she knew because she attended the aforementioned wedding celebration. The result is that absolution is not at this sta</w:t>
      </w:r>
      <w:r w:rsidR="00356A18">
        <w:rPr>
          <w:rFonts w:ascii="Arial" w:hAnsi="Arial" w:cs="Arial"/>
          <w:sz w:val="24"/>
          <w:szCs w:val="24"/>
        </w:rPr>
        <w:t>g</w:t>
      </w:r>
      <w:r w:rsidR="0065312F">
        <w:rPr>
          <w:rFonts w:ascii="Arial" w:hAnsi="Arial" w:cs="Arial"/>
          <w:sz w:val="24"/>
          <w:szCs w:val="24"/>
        </w:rPr>
        <w:t xml:space="preserve">e ‘an appropriate remedy’. And as I have noted ad </w:t>
      </w:r>
      <w:r w:rsidR="0065312F" w:rsidRPr="0065312F">
        <w:rPr>
          <w:rFonts w:ascii="Arial" w:hAnsi="Arial" w:cs="Arial"/>
          <w:i/>
          <w:sz w:val="24"/>
          <w:szCs w:val="24"/>
        </w:rPr>
        <w:t>nauseam</w:t>
      </w:r>
      <w:r w:rsidR="0065312F">
        <w:rPr>
          <w:rFonts w:ascii="Arial" w:hAnsi="Arial" w:cs="Arial"/>
          <w:sz w:val="24"/>
          <w:szCs w:val="24"/>
        </w:rPr>
        <w:t>, this court must a</w:t>
      </w:r>
      <w:r w:rsidR="00DD5A2C">
        <w:rPr>
          <w:rFonts w:ascii="Arial" w:hAnsi="Arial" w:cs="Arial"/>
          <w:sz w:val="24"/>
          <w:szCs w:val="24"/>
        </w:rPr>
        <w:t xml:space="preserve">ct pursuant to the Supreme </w:t>
      </w:r>
      <w:r w:rsidR="0065312F">
        <w:rPr>
          <w:rFonts w:ascii="Arial" w:hAnsi="Arial" w:cs="Arial"/>
          <w:sz w:val="24"/>
          <w:szCs w:val="24"/>
        </w:rPr>
        <w:t xml:space="preserve">Court decision that </w:t>
      </w:r>
      <w:r w:rsidR="00356A18">
        <w:rPr>
          <w:rFonts w:ascii="Arial" w:hAnsi="Arial" w:cs="Arial"/>
          <w:sz w:val="24"/>
          <w:szCs w:val="24"/>
        </w:rPr>
        <w:t>‘[</w:t>
      </w:r>
      <w:r w:rsidR="0065312F">
        <w:rPr>
          <w:rFonts w:ascii="Arial" w:hAnsi="Arial" w:cs="Arial"/>
          <w:sz w:val="24"/>
          <w:szCs w:val="24"/>
        </w:rPr>
        <w:t xml:space="preserve">A]s a matter of public policy, equity and fairness to both parties to the union, it is </w:t>
      </w:r>
      <w:r w:rsidR="0065312F">
        <w:rPr>
          <w:rFonts w:ascii="Arial" w:hAnsi="Arial" w:cs="Arial"/>
          <w:sz w:val="24"/>
          <w:szCs w:val="24"/>
        </w:rPr>
        <w:lastRenderedPageBreak/>
        <w:t>imperative that declaration of the invalidity of (the) a marriage and that of a putative marriage, if properly raised, should be determined in tandem and not in isolation’.</w:t>
      </w:r>
    </w:p>
    <w:p w:rsidR="00115BBF" w:rsidRDefault="00115BBF" w:rsidP="008C4051">
      <w:pPr>
        <w:spacing w:after="0" w:line="360" w:lineRule="auto"/>
        <w:jc w:val="both"/>
        <w:rPr>
          <w:rFonts w:ascii="Arial" w:hAnsi="Arial" w:cs="Arial"/>
          <w:sz w:val="24"/>
          <w:szCs w:val="24"/>
        </w:rPr>
      </w:pPr>
    </w:p>
    <w:p w:rsidR="00641D96" w:rsidRDefault="00115BBF" w:rsidP="00930841">
      <w:pPr>
        <w:spacing w:after="0" w:line="360" w:lineRule="auto"/>
        <w:jc w:val="both"/>
        <w:rPr>
          <w:rFonts w:ascii="Arial" w:hAnsi="Arial" w:cs="Arial"/>
          <w:sz w:val="24"/>
          <w:szCs w:val="24"/>
        </w:rPr>
      </w:pPr>
      <w:r w:rsidRPr="005E11AB">
        <w:rPr>
          <w:rFonts w:ascii="Arial" w:hAnsi="Arial" w:cs="Arial"/>
          <w:sz w:val="24"/>
          <w:szCs w:val="24"/>
        </w:rPr>
        <w:t>[1</w:t>
      </w:r>
      <w:r w:rsidR="00E3400C">
        <w:rPr>
          <w:rFonts w:ascii="Arial" w:hAnsi="Arial" w:cs="Arial"/>
          <w:sz w:val="24"/>
          <w:szCs w:val="24"/>
        </w:rPr>
        <w:t>5</w:t>
      </w:r>
      <w:r w:rsidRPr="005E11AB">
        <w:rPr>
          <w:rFonts w:ascii="Arial" w:hAnsi="Arial" w:cs="Arial"/>
          <w:sz w:val="24"/>
          <w:szCs w:val="24"/>
        </w:rPr>
        <w:t>]</w:t>
      </w:r>
      <w:r w:rsidRPr="005E11AB">
        <w:rPr>
          <w:rFonts w:ascii="Arial" w:hAnsi="Arial" w:cs="Arial"/>
          <w:sz w:val="24"/>
          <w:szCs w:val="24"/>
        </w:rPr>
        <w:tab/>
      </w:r>
      <w:r w:rsidR="0065312F">
        <w:rPr>
          <w:rFonts w:ascii="Arial" w:hAnsi="Arial" w:cs="Arial"/>
          <w:sz w:val="24"/>
          <w:szCs w:val="24"/>
        </w:rPr>
        <w:t>Based on the foregoing reasoning and conclusion</w:t>
      </w:r>
      <w:r w:rsidR="00356A18">
        <w:rPr>
          <w:rFonts w:ascii="Arial" w:hAnsi="Arial" w:cs="Arial"/>
          <w:sz w:val="24"/>
          <w:szCs w:val="24"/>
        </w:rPr>
        <w:t>s</w:t>
      </w:r>
      <w:r w:rsidR="0065312F">
        <w:rPr>
          <w:rFonts w:ascii="Arial" w:hAnsi="Arial" w:cs="Arial"/>
          <w:sz w:val="24"/>
          <w:szCs w:val="24"/>
        </w:rPr>
        <w:t>, in my judgment, on</w:t>
      </w:r>
      <w:r w:rsidR="003D274E">
        <w:rPr>
          <w:rFonts w:ascii="Arial" w:hAnsi="Arial" w:cs="Arial"/>
          <w:sz w:val="24"/>
          <w:szCs w:val="24"/>
        </w:rPr>
        <w:t xml:space="preserve"> the plaintiff evidence,</w:t>
      </w:r>
      <w:r w:rsidR="00356A18">
        <w:rPr>
          <w:rFonts w:ascii="Arial" w:hAnsi="Arial" w:cs="Arial"/>
          <w:sz w:val="24"/>
          <w:szCs w:val="24"/>
        </w:rPr>
        <w:t xml:space="preserve"> coupled with the Supreme Court decision in</w:t>
      </w:r>
      <w:r w:rsidR="006763D3" w:rsidRPr="006763D3">
        <w:rPr>
          <w:rFonts w:ascii="Arial" w:hAnsi="Arial" w:cs="Arial"/>
          <w:i/>
          <w:sz w:val="24"/>
          <w:szCs w:val="24"/>
        </w:rPr>
        <w:t xml:space="preserve"> </w:t>
      </w:r>
      <w:r w:rsidR="006763D3" w:rsidRPr="00712E4B">
        <w:rPr>
          <w:rFonts w:ascii="Arial" w:hAnsi="Arial" w:cs="Arial"/>
          <w:i/>
          <w:sz w:val="24"/>
          <w:szCs w:val="24"/>
        </w:rPr>
        <w:t xml:space="preserve">Herman Konrad v Shanika </w:t>
      </w:r>
      <w:proofErr w:type="spellStart"/>
      <w:r w:rsidR="006763D3" w:rsidRPr="00712E4B">
        <w:rPr>
          <w:rFonts w:ascii="Arial" w:hAnsi="Arial" w:cs="Arial"/>
          <w:i/>
          <w:sz w:val="24"/>
          <w:szCs w:val="24"/>
        </w:rPr>
        <w:t>Ndapanda</w:t>
      </w:r>
      <w:proofErr w:type="spellEnd"/>
      <w:r w:rsidR="006763D3">
        <w:rPr>
          <w:rFonts w:ascii="Arial" w:hAnsi="Arial" w:cs="Arial"/>
          <w:sz w:val="24"/>
          <w:szCs w:val="24"/>
        </w:rPr>
        <w:t>,</w:t>
      </w:r>
      <w:r w:rsidR="003D274E">
        <w:rPr>
          <w:rFonts w:ascii="Arial" w:hAnsi="Arial" w:cs="Arial"/>
          <w:sz w:val="24"/>
          <w:szCs w:val="24"/>
        </w:rPr>
        <w:t xml:space="preserve"> ‘absolu</w:t>
      </w:r>
      <w:r w:rsidR="0065312F">
        <w:rPr>
          <w:rFonts w:ascii="Arial" w:hAnsi="Arial" w:cs="Arial"/>
          <w:sz w:val="24"/>
          <w:szCs w:val="24"/>
        </w:rPr>
        <w:t>tion is not an appropriate remedy’. (</w:t>
      </w:r>
      <w:proofErr w:type="spellStart"/>
      <w:r w:rsidR="0065312F" w:rsidRPr="003D274E">
        <w:rPr>
          <w:rFonts w:ascii="Arial" w:hAnsi="Arial" w:cs="Arial"/>
          <w:i/>
          <w:sz w:val="24"/>
          <w:szCs w:val="24"/>
        </w:rPr>
        <w:t>Dannecker</w:t>
      </w:r>
      <w:proofErr w:type="spellEnd"/>
      <w:r w:rsidR="00172991">
        <w:rPr>
          <w:rFonts w:ascii="Arial" w:hAnsi="Arial" w:cs="Arial"/>
          <w:i/>
          <w:sz w:val="24"/>
          <w:szCs w:val="24"/>
        </w:rPr>
        <w:t xml:space="preserve">, </w:t>
      </w:r>
      <w:proofErr w:type="spellStart"/>
      <w:r w:rsidR="00172991">
        <w:rPr>
          <w:rFonts w:ascii="Arial" w:hAnsi="Arial" w:cs="Arial"/>
          <w:i/>
          <w:sz w:val="24"/>
          <w:szCs w:val="24"/>
        </w:rPr>
        <w:t>loc</w:t>
      </w:r>
      <w:proofErr w:type="spellEnd"/>
      <w:r w:rsidR="00172991">
        <w:rPr>
          <w:rFonts w:ascii="Arial" w:hAnsi="Arial" w:cs="Arial"/>
          <w:i/>
          <w:sz w:val="24"/>
          <w:szCs w:val="24"/>
        </w:rPr>
        <w:t xml:space="preserve"> </w:t>
      </w:r>
      <w:proofErr w:type="spellStart"/>
      <w:r w:rsidR="0065312F" w:rsidRPr="003D274E">
        <w:rPr>
          <w:rFonts w:ascii="Arial" w:hAnsi="Arial" w:cs="Arial"/>
          <w:i/>
          <w:sz w:val="24"/>
          <w:szCs w:val="24"/>
        </w:rPr>
        <w:t>cit</w:t>
      </w:r>
      <w:proofErr w:type="spellEnd"/>
      <w:r w:rsidR="003D274E">
        <w:rPr>
          <w:rFonts w:ascii="Arial" w:hAnsi="Arial" w:cs="Arial"/>
          <w:sz w:val="24"/>
          <w:szCs w:val="24"/>
        </w:rPr>
        <w:t>)</w:t>
      </w:r>
    </w:p>
    <w:p w:rsidR="00930841" w:rsidRPr="005E11AB" w:rsidRDefault="00930841" w:rsidP="00930841">
      <w:pPr>
        <w:spacing w:after="0" w:line="360" w:lineRule="auto"/>
        <w:jc w:val="both"/>
        <w:rPr>
          <w:rFonts w:ascii="Arial" w:hAnsi="Arial" w:cs="Arial"/>
          <w:sz w:val="24"/>
          <w:szCs w:val="24"/>
        </w:rPr>
      </w:pPr>
    </w:p>
    <w:p w:rsidR="00827437" w:rsidRDefault="00930841" w:rsidP="008C4051">
      <w:pPr>
        <w:spacing w:after="0" w:line="360" w:lineRule="auto"/>
        <w:jc w:val="both"/>
        <w:rPr>
          <w:rFonts w:ascii="Arial" w:hAnsi="Arial" w:cs="Arial"/>
          <w:sz w:val="24"/>
          <w:szCs w:val="24"/>
        </w:rPr>
      </w:pPr>
      <w:r>
        <w:rPr>
          <w:rFonts w:ascii="Arial" w:hAnsi="Arial" w:cs="Arial"/>
          <w:sz w:val="24"/>
          <w:szCs w:val="24"/>
        </w:rPr>
        <w:t xml:space="preserve"> </w:t>
      </w:r>
      <w:r w:rsidR="00115BBF">
        <w:rPr>
          <w:rFonts w:ascii="Arial" w:hAnsi="Arial" w:cs="Arial"/>
          <w:sz w:val="24"/>
          <w:szCs w:val="24"/>
        </w:rPr>
        <w:t>[1</w:t>
      </w:r>
      <w:r w:rsidR="00E3400C">
        <w:rPr>
          <w:rFonts w:ascii="Arial" w:hAnsi="Arial" w:cs="Arial"/>
          <w:sz w:val="24"/>
          <w:szCs w:val="24"/>
        </w:rPr>
        <w:t>6</w:t>
      </w:r>
      <w:r w:rsidR="00115BBF">
        <w:rPr>
          <w:rFonts w:ascii="Arial" w:hAnsi="Arial" w:cs="Arial"/>
          <w:sz w:val="24"/>
          <w:szCs w:val="24"/>
        </w:rPr>
        <w:t>]</w:t>
      </w:r>
      <w:r w:rsidR="00115BBF">
        <w:rPr>
          <w:rFonts w:ascii="Arial" w:hAnsi="Arial" w:cs="Arial"/>
          <w:sz w:val="24"/>
          <w:szCs w:val="24"/>
        </w:rPr>
        <w:tab/>
      </w:r>
      <w:r w:rsidR="003D274E">
        <w:rPr>
          <w:rFonts w:ascii="Arial" w:hAnsi="Arial" w:cs="Arial"/>
          <w:sz w:val="24"/>
          <w:szCs w:val="24"/>
        </w:rPr>
        <w:t>But that is not the end of the matter. The submission of Konrad’s counsel is th</w:t>
      </w:r>
      <w:r w:rsidR="00EE5A40">
        <w:rPr>
          <w:rFonts w:ascii="Arial" w:hAnsi="Arial" w:cs="Arial"/>
          <w:sz w:val="24"/>
          <w:szCs w:val="24"/>
        </w:rPr>
        <w:t>is</w:t>
      </w:r>
      <w:r w:rsidR="00827437">
        <w:rPr>
          <w:rFonts w:ascii="Arial" w:hAnsi="Arial" w:cs="Arial"/>
          <w:sz w:val="24"/>
          <w:szCs w:val="24"/>
        </w:rPr>
        <w:t>:</w:t>
      </w:r>
    </w:p>
    <w:p w:rsidR="00827437" w:rsidRDefault="00A703D2" w:rsidP="008338DD">
      <w:pPr>
        <w:spacing w:after="0" w:line="360" w:lineRule="auto"/>
        <w:ind w:left="720"/>
        <w:jc w:val="both"/>
        <w:rPr>
          <w:rFonts w:ascii="Arial" w:hAnsi="Arial" w:cs="Arial"/>
          <w:u w:val="single"/>
        </w:rPr>
      </w:pPr>
      <w:r>
        <w:rPr>
          <w:rFonts w:ascii="Arial" w:hAnsi="Arial" w:cs="Arial"/>
          <w:sz w:val="24"/>
          <w:szCs w:val="24"/>
        </w:rPr>
        <w:t>‘R</w:t>
      </w:r>
      <w:r w:rsidR="00827437" w:rsidRPr="00827437">
        <w:rPr>
          <w:rFonts w:ascii="Arial" w:hAnsi="Arial" w:cs="Arial"/>
        </w:rPr>
        <w:t>egardless of whether the requirements are met, the concept of a putative marriage only benefits the innocent party</w:t>
      </w:r>
      <w:r w:rsidR="00EE5A40">
        <w:rPr>
          <w:rFonts w:ascii="Arial" w:hAnsi="Arial" w:cs="Arial"/>
        </w:rPr>
        <w:t xml:space="preserve"> in </w:t>
      </w:r>
      <w:r w:rsidR="00EE5A40" w:rsidRPr="00827437">
        <w:rPr>
          <w:rFonts w:ascii="Arial" w:hAnsi="Arial" w:cs="Arial"/>
        </w:rPr>
        <w:t>terms</w:t>
      </w:r>
      <w:r w:rsidR="00827437" w:rsidRPr="00827437">
        <w:rPr>
          <w:rFonts w:ascii="Arial" w:hAnsi="Arial" w:cs="Arial"/>
        </w:rPr>
        <w:t xml:space="preserve"> of the division of the joint estate in cases where the pa</w:t>
      </w:r>
      <w:r w:rsidR="008338DD">
        <w:rPr>
          <w:rFonts w:ascii="Arial" w:hAnsi="Arial" w:cs="Arial"/>
        </w:rPr>
        <w:t>r</w:t>
      </w:r>
      <w:r w:rsidR="00827437" w:rsidRPr="00827437">
        <w:rPr>
          <w:rFonts w:ascii="Arial" w:hAnsi="Arial" w:cs="Arial"/>
        </w:rPr>
        <w:t>ties thereto had not excluded the community of property by an ante nuptial contract and</w:t>
      </w:r>
      <w:r w:rsidR="00827437" w:rsidRPr="00827437">
        <w:rPr>
          <w:rFonts w:ascii="Arial" w:hAnsi="Arial" w:cs="Arial"/>
          <w:u w:val="single"/>
        </w:rPr>
        <w:t xml:space="preserve"> if there was no existing community of property between one of the parties of the marriage and a third party (my emphasis added)</w:t>
      </w:r>
      <w:r w:rsidR="008338DD">
        <w:rPr>
          <w:rFonts w:ascii="Arial" w:hAnsi="Arial" w:cs="Arial"/>
          <w:u w:val="single"/>
        </w:rPr>
        <w:t>.</w:t>
      </w:r>
      <w:r>
        <w:rPr>
          <w:rFonts w:ascii="Arial" w:hAnsi="Arial" w:cs="Arial"/>
          <w:u w:val="single"/>
        </w:rPr>
        <w:t>’</w:t>
      </w:r>
    </w:p>
    <w:p w:rsidR="00EE5A40" w:rsidRPr="00A703D2" w:rsidRDefault="00EE5A40" w:rsidP="008338DD">
      <w:pPr>
        <w:spacing w:after="0" w:line="360" w:lineRule="auto"/>
        <w:ind w:left="720"/>
        <w:jc w:val="both"/>
        <w:rPr>
          <w:rFonts w:ascii="Arial" w:hAnsi="Arial" w:cs="Arial"/>
        </w:rPr>
      </w:pPr>
      <w:r w:rsidRPr="00A703D2">
        <w:rPr>
          <w:rFonts w:ascii="Arial" w:hAnsi="Arial" w:cs="Arial"/>
        </w:rPr>
        <w:t>[Underlining in the original]</w:t>
      </w:r>
    </w:p>
    <w:p w:rsidR="00827437" w:rsidRDefault="00827437" w:rsidP="008C4051">
      <w:pPr>
        <w:spacing w:after="0" w:line="360" w:lineRule="auto"/>
        <w:jc w:val="both"/>
        <w:rPr>
          <w:rFonts w:ascii="Arial" w:hAnsi="Arial" w:cs="Arial"/>
          <w:u w:val="single"/>
        </w:rPr>
      </w:pPr>
    </w:p>
    <w:p w:rsidR="00827437" w:rsidRDefault="00827437" w:rsidP="008C4051">
      <w:pPr>
        <w:spacing w:after="0" w:line="360" w:lineRule="auto"/>
        <w:jc w:val="both"/>
        <w:rPr>
          <w:rFonts w:ascii="Arial" w:hAnsi="Arial" w:cs="Arial"/>
          <w:sz w:val="24"/>
          <w:szCs w:val="24"/>
        </w:rPr>
      </w:pPr>
      <w:r w:rsidRPr="00A703D2">
        <w:rPr>
          <w:rFonts w:ascii="Arial" w:hAnsi="Arial" w:cs="Arial"/>
          <w:sz w:val="24"/>
          <w:szCs w:val="24"/>
        </w:rPr>
        <w:t>[17]</w:t>
      </w:r>
      <w:r w:rsidRPr="00A703D2">
        <w:rPr>
          <w:rFonts w:ascii="Arial" w:hAnsi="Arial" w:cs="Arial"/>
          <w:sz w:val="24"/>
          <w:szCs w:val="24"/>
        </w:rPr>
        <w:tab/>
      </w:r>
      <w:r w:rsidR="00EE5A40" w:rsidRPr="00A703D2">
        <w:rPr>
          <w:rFonts w:ascii="Arial" w:hAnsi="Arial" w:cs="Arial"/>
          <w:sz w:val="24"/>
          <w:szCs w:val="24"/>
        </w:rPr>
        <w:t xml:space="preserve">In support of this proposition of law, counsel refers to footnote 5. </w:t>
      </w:r>
      <w:r w:rsidRPr="00A703D2">
        <w:rPr>
          <w:rFonts w:ascii="Arial" w:hAnsi="Arial" w:cs="Arial"/>
          <w:sz w:val="24"/>
          <w:szCs w:val="24"/>
        </w:rPr>
        <w:t>Footnote 5 reads: ‘</w:t>
      </w:r>
      <w:r w:rsidRPr="00A703D2">
        <w:rPr>
          <w:rFonts w:ascii="Arial" w:hAnsi="Arial" w:cs="Arial"/>
          <w:i/>
          <w:sz w:val="24"/>
          <w:szCs w:val="24"/>
        </w:rPr>
        <w:t>I</w:t>
      </w:r>
      <w:r w:rsidR="00EE5A40" w:rsidRPr="00A703D2">
        <w:rPr>
          <w:rFonts w:ascii="Arial" w:hAnsi="Arial" w:cs="Arial"/>
          <w:i/>
          <w:sz w:val="24"/>
          <w:szCs w:val="24"/>
        </w:rPr>
        <w:t>bid</w:t>
      </w:r>
      <w:r w:rsidRPr="00A703D2">
        <w:rPr>
          <w:rFonts w:ascii="Arial" w:hAnsi="Arial" w:cs="Arial"/>
          <w:sz w:val="24"/>
          <w:szCs w:val="24"/>
        </w:rPr>
        <w:t xml:space="preserve"> para 10.’ Footnote 4</w:t>
      </w:r>
      <w:r w:rsidR="006D40D9">
        <w:rPr>
          <w:rFonts w:ascii="Arial" w:hAnsi="Arial" w:cs="Arial"/>
          <w:sz w:val="24"/>
          <w:szCs w:val="24"/>
        </w:rPr>
        <w:t>, which</w:t>
      </w:r>
      <w:r w:rsidR="00123625">
        <w:rPr>
          <w:rFonts w:ascii="Arial" w:hAnsi="Arial" w:cs="Arial"/>
          <w:sz w:val="24"/>
          <w:szCs w:val="24"/>
        </w:rPr>
        <w:t xml:space="preserve"> is</w:t>
      </w:r>
      <w:r w:rsidR="00EE5A40" w:rsidRPr="00A703D2">
        <w:rPr>
          <w:rFonts w:ascii="Arial" w:hAnsi="Arial" w:cs="Arial"/>
          <w:sz w:val="24"/>
          <w:szCs w:val="24"/>
        </w:rPr>
        <w:t xml:space="preserve"> before footnote 5</w:t>
      </w:r>
      <w:r w:rsidR="006D40D9">
        <w:rPr>
          <w:rFonts w:ascii="Arial" w:hAnsi="Arial" w:cs="Arial"/>
          <w:sz w:val="24"/>
          <w:szCs w:val="24"/>
        </w:rPr>
        <w:t>,</w:t>
      </w:r>
      <w:r w:rsidRPr="00A703D2">
        <w:rPr>
          <w:rFonts w:ascii="Arial" w:hAnsi="Arial" w:cs="Arial"/>
          <w:sz w:val="24"/>
          <w:szCs w:val="24"/>
        </w:rPr>
        <w:t xml:space="preserve"> </w:t>
      </w:r>
      <w:r w:rsidR="004A12E5" w:rsidRPr="00A703D2">
        <w:rPr>
          <w:rFonts w:ascii="Arial" w:hAnsi="Arial" w:cs="Arial"/>
          <w:sz w:val="24"/>
          <w:szCs w:val="24"/>
        </w:rPr>
        <w:t>r</w:t>
      </w:r>
      <w:r w:rsidRPr="00A703D2">
        <w:rPr>
          <w:rFonts w:ascii="Arial" w:hAnsi="Arial" w:cs="Arial"/>
          <w:sz w:val="24"/>
          <w:szCs w:val="24"/>
        </w:rPr>
        <w:t>eads: ‘</w:t>
      </w:r>
      <w:r w:rsidRPr="00A703D2">
        <w:rPr>
          <w:rFonts w:ascii="Arial" w:hAnsi="Arial" w:cs="Arial"/>
          <w:i/>
          <w:sz w:val="24"/>
          <w:szCs w:val="24"/>
        </w:rPr>
        <w:t>S v</w:t>
      </w:r>
      <w:r w:rsidR="004A12E5" w:rsidRPr="00A703D2">
        <w:rPr>
          <w:rFonts w:ascii="Arial" w:hAnsi="Arial" w:cs="Arial"/>
          <w:i/>
          <w:sz w:val="24"/>
          <w:szCs w:val="24"/>
        </w:rPr>
        <w:t xml:space="preserve"> </w:t>
      </w:r>
      <w:r w:rsidRPr="00A703D2">
        <w:rPr>
          <w:rFonts w:ascii="Arial" w:hAnsi="Arial" w:cs="Arial"/>
          <w:i/>
          <w:sz w:val="24"/>
          <w:szCs w:val="24"/>
        </w:rPr>
        <w:t>S</w:t>
      </w:r>
      <w:r w:rsidRPr="00A703D2">
        <w:rPr>
          <w:rFonts w:ascii="Arial" w:hAnsi="Arial" w:cs="Arial"/>
          <w:sz w:val="24"/>
          <w:szCs w:val="24"/>
        </w:rPr>
        <w:t xml:space="preserve"> 2011</w:t>
      </w:r>
      <w:r w:rsidR="004A12E5" w:rsidRPr="00A703D2">
        <w:rPr>
          <w:rFonts w:ascii="Arial" w:hAnsi="Arial" w:cs="Arial"/>
          <w:sz w:val="24"/>
          <w:szCs w:val="24"/>
        </w:rPr>
        <w:t xml:space="preserve">(1) NR 144 para </w:t>
      </w:r>
      <w:r w:rsidR="008338DD">
        <w:rPr>
          <w:rFonts w:ascii="Arial" w:hAnsi="Arial" w:cs="Arial"/>
          <w:sz w:val="24"/>
          <w:szCs w:val="24"/>
        </w:rPr>
        <w:t>8</w:t>
      </w:r>
      <w:r w:rsidR="00EE5A40" w:rsidRPr="00A703D2">
        <w:rPr>
          <w:rFonts w:ascii="Arial" w:hAnsi="Arial" w:cs="Arial"/>
          <w:sz w:val="24"/>
          <w:szCs w:val="24"/>
        </w:rPr>
        <w:t xml:space="preserve">’; and so, footnote 5 refers to footnote 4 as the one that has just been mentioned, that is, </w:t>
      </w:r>
      <w:r w:rsidR="00123625" w:rsidRPr="00A703D2">
        <w:rPr>
          <w:rFonts w:ascii="Arial" w:hAnsi="Arial" w:cs="Arial"/>
          <w:i/>
          <w:sz w:val="24"/>
          <w:szCs w:val="24"/>
        </w:rPr>
        <w:t>S v S</w:t>
      </w:r>
      <w:r w:rsidR="00123625" w:rsidRPr="00A703D2">
        <w:rPr>
          <w:rFonts w:ascii="Arial" w:hAnsi="Arial" w:cs="Arial"/>
          <w:sz w:val="24"/>
          <w:szCs w:val="24"/>
        </w:rPr>
        <w:t xml:space="preserve"> </w:t>
      </w:r>
      <w:r w:rsidR="00123625">
        <w:rPr>
          <w:rFonts w:ascii="Arial" w:hAnsi="Arial" w:cs="Arial"/>
          <w:sz w:val="24"/>
          <w:szCs w:val="24"/>
        </w:rPr>
        <w:t xml:space="preserve">is </w:t>
      </w:r>
      <w:r w:rsidR="00EE5A40" w:rsidRPr="00A703D2">
        <w:rPr>
          <w:rFonts w:ascii="Arial" w:hAnsi="Arial" w:cs="Arial"/>
          <w:sz w:val="24"/>
          <w:szCs w:val="24"/>
        </w:rPr>
        <w:t xml:space="preserve">the </w:t>
      </w:r>
      <w:proofErr w:type="spellStart"/>
      <w:r w:rsidR="00EE5A40" w:rsidRPr="00A703D2">
        <w:rPr>
          <w:rFonts w:ascii="Arial" w:hAnsi="Arial" w:cs="Arial"/>
          <w:i/>
          <w:sz w:val="24"/>
          <w:szCs w:val="24"/>
        </w:rPr>
        <w:t>ibidem</w:t>
      </w:r>
      <w:proofErr w:type="spellEnd"/>
      <w:r w:rsidR="00A703D2" w:rsidRPr="00A703D2">
        <w:rPr>
          <w:rFonts w:ascii="Arial" w:hAnsi="Arial" w:cs="Arial"/>
          <w:sz w:val="24"/>
          <w:szCs w:val="24"/>
        </w:rPr>
        <w:t>.</w:t>
      </w:r>
      <w:r w:rsidR="004A12E5" w:rsidRPr="00A703D2">
        <w:rPr>
          <w:rFonts w:ascii="Arial" w:hAnsi="Arial" w:cs="Arial"/>
          <w:sz w:val="24"/>
          <w:szCs w:val="24"/>
        </w:rPr>
        <w:t xml:space="preserve"> I quote hereunder the entire para 10 of S v S:</w:t>
      </w:r>
    </w:p>
    <w:p w:rsidR="008338DD" w:rsidRDefault="008338DD" w:rsidP="008C4051">
      <w:pPr>
        <w:spacing w:after="0" w:line="360" w:lineRule="auto"/>
        <w:jc w:val="both"/>
        <w:rPr>
          <w:rFonts w:ascii="Arial" w:hAnsi="Arial" w:cs="Arial"/>
          <w:sz w:val="24"/>
          <w:szCs w:val="24"/>
        </w:rPr>
      </w:pPr>
    </w:p>
    <w:p w:rsidR="008338DD" w:rsidRDefault="008338DD" w:rsidP="008338DD">
      <w:pPr>
        <w:spacing w:line="360" w:lineRule="auto"/>
        <w:ind w:left="720"/>
        <w:jc w:val="both"/>
        <w:rPr>
          <w:rFonts w:ascii="Arial" w:hAnsi="Arial" w:cs="Arial"/>
        </w:rPr>
      </w:pPr>
      <w:r w:rsidRPr="008338DD">
        <w:rPr>
          <w:rFonts w:ascii="Arial" w:hAnsi="Arial" w:cs="Arial"/>
        </w:rPr>
        <w:t xml:space="preserve">‘[10] In this matter the plaintiff would be entitled to maintenance, but she has to prove that she is in need of maintenance for herself. Furthermore, the defendant has to be able to pay such maintenance. In respect of the first issue, namely entitlement to maintenance, it is evident that she did not prove that she needs a specific amount of money based on the particular needs that she may have. She is employed. What she in fact did is to clothe her liabilities as 'maintenance', although was not maintenance at all. According to her she incurred debts and currently has severe financial liabilities as a result of money that she borrowed either from her pension fund or from Old Mutual for specific purchases and expenditures of herself and the defendant during the marriage and which she now has to repay. That is clearly not maintenance. The plaintiff should in my opinion have instituted claims against the defendant as ancillary relief on another basis. She could for example have claimed for money provided by her to him during the marriage over and above the contribution for which she was liable, or that there existed a universal partnership between them for which she </w:t>
      </w:r>
      <w:r w:rsidRPr="008338DD">
        <w:rPr>
          <w:rFonts w:ascii="Arial" w:hAnsi="Arial" w:cs="Arial"/>
        </w:rPr>
        <w:lastRenderedPageBreak/>
        <w:t xml:space="preserve">borrowed money and is entitled to repayment of what can be found that he owes her. That is the sort of claim that should have been made by the plaintiff in her particulars of claim and which could have been decided on at a later state as ancillary relief on the basis of the </w:t>
      </w:r>
      <w:proofErr w:type="spellStart"/>
      <w:r w:rsidRPr="008338DD">
        <w:rPr>
          <w:rFonts w:ascii="Arial" w:hAnsi="Arial" w:cs="Arial"/>
          <w:i/>
        </w:rPr>
        <w:t>Vahekeni</w:t>
      </w:r>
      <w:proofErr w:type="spellEnd"/>
      <w:r w:rsidRPr="008338DD">
        <w:rPr>
          <w:rFonts w:ascii="Arial" w:hAnsi="Arial" w:cs="Arial"/>
        </w:rPr>
        <w:t xml:space="preserve"> case. She did not do that, but claimed maintenance.’</w:t>
      </w:r>
    </w:p>
    <w:p w:rsidR="00BF3F45" w:rsidRPr="00B86F33" w:rsidRDefault="008338DD" w:rsidP="00B86F33">
      <w:pPr>
        <w:spacing w:line="360" w:lineRule="auto"/>
        <w:jc w:val="both"/>
        <w:rPr>
          <w:rFonts w:ascii="Arial" w:hAnsi="Arial" w:cs="Arial"/>
          <w:sz w:val="24"/>
          <w:szCs w:val="24"/>
        </w:rPr>
      </w:pPr>
      <w:r w:rsidRPr="00B86F33">
        <w:rPr>
          <w:rFonts w:ascii="Arial" w:hAnsi="Arial" w:cs="Arial"/>
          <w:sz w:val="24"/>
          <w:szCs w:val="24"/>
        </w:rPr>
        <w:t>[18]</w:t>
      </w:r>
      <w:r w:rsidRPr="00B86F33">
        <w:rPr>
          <w:rFonts w:ascii="Arial" w:hAnsi="Arial" w:cs="Arial"/>
          <w:sz w:val="24"/>
          <w:szCs w:val="24"/>
        </w:rPr>
        <w:tab/>
        <w:t xml:space="preserve">Paragraph 10 in </w:t>
      </w:r>
      <w:r w:rsidRPr="00B86F33">
        <w:rPr>
          <w:rFonts w:ascii="Arial" w:hAnsi="Arial" w:cs="Arial"/>
          <w:i/>
          <w:sz w:val="24"/>
          <w:szCs w:val="24"/>
        </w:rPr>
        <w:t xml:space="preserve">S v S </w:t>
      </w:r>
      <w:r w:rsidRPr="00B86F33">
        <w:rPr>
          <w:rFonts w:ascii="Arial" w:hAnsi="Arial" w:cs="Arial"/>
          <w:sz w:val="24"/>
          <w:szCs w:val="24"/>
        </w:rPr>
        <w:t xml:space="preserve">cannot be authority for the proposition of law, which counsel wishes to advance. </w:t>
      </w:r>
      <w:r w:rsidR="00B86F33">
        <w:rPr>
          <w:rFonts w:ascii="Arial" w:hAnsi="Arial" w:cs="Arial"/>
          <w:sz w:val="24"/>
          <w:szCs w:val="24"/>
        </w:rPr>
        <w:t xml:space="preserve">That being the case, it </w:t>
      </w:r>
      <w:r w:rsidRPr="00B86F33">
        <w:rPr>
          <w:rFonts w:ascii="Arial" w:hAnsi="Arial" w:cs="Arial"/>
          <w:sz w:val="24"/>
          <w:szCs w:val="24"/>
        </w:rPr>
        <w:t>follows irrefragably that I shall respectfully pay no heed to S v</w:t>
      </w:r>
      <w:r w:rsidR="00B86F33">
        <w:rPr>
          <w:rFonts w:ascii="Arial" w:hAnsi="Arial" w:cs="Arial"/>
          <w:sz w:val="24"/>
          <w:szCs w:val="24"/>
        </w:rPr>
        <w:t xml:space="preserve"> S</w:t>
      </w:r>
      <w:r w:rsidRPr="00B86F33">
        <w:rPr>
          <w:rFonts w:ascii="Arial" w:hAnsi="Arial" w:cs="Arial"/>
          <w:sz w:val="24"/>
          <w:szCs w:val="24"/>
        </w:rPr>
        <w:t xml:space="preserve"> in that regard.</w:t>
      </w:r>
      <w:r w:rsidR="00B86F33" w:rsidRPr="00B86F33">
        <w:rPr>
          <w:rFonts w:ascii="Arial" w:hAnsi="Arial" w:cs="Arial"/>
          <w:sz w:val="24"/>
          <w:szCs w:val="24"/>
        </w:rPr>
        <w:t xml:space="preserve"> Be that as it</w:t>
      </w:r>
      <w:r w:rsidR="00B86F33">
        <w:rPr>
          <w:rFonts w:ascii="Arial" w:hAnsi="Arial" w:cs="Arial"/>
          <w:sz w:val="24"/>
          <w:szCs w:val="24"/>
        </w:rPr>
        <w:t xml:space="preserve"> may, it would seem counsel submits that even if</w:t>
      </w:r>
      <w:r w:rsidR="003D274E" w:rsidRPr="00B86F33">
        <w:rPr>
          <w:rFonts w:ascii="Arial" w:hAnsi="Arial" w:cs="Arial"/>
          <w:sz w:val="24"/>
          <w:szCs w:val="24"/>
        </w:rPr>
        <w:t xml:space="preserve"> the court were in the end to declare the 1992 marriage as putative</w:t>
      </w:r>
      <w:r w:rsidR="00172991" w:rsidRPr="00B86F33">
        <w:rPr>
          <w:rFonts w:ascii="Arial" w:hAnsi="Arial" w:cs="Arial"/>
          <w:sz w:val="24"/>
          <w:szCs w:val="24"/>
        </w:rPr>
        <w:t>,</w:t>
      </w:r>
      <w:r w:rsidR="003D274E" w:rsidRPr="00B86F33">
        <w:rPr>
          <w:rFonts w:ascii="Arial" w:hAnsi="Arial" w:cs="Arial"/>
          <w:sz w:val="24"/>
          <w:szCs w:val="24"/>
        </w:rPr>
        <w:t xml:space="preserve"> it will not assist </w:t>
      </w:r>
      <w:proofErr w:type="spellStart"/>
      <w:r w:rsidR="00B86F33">
        <w:rPr>
          <w:rFonts w:ascii="Arial" w:hAnsi="Arial" w:cs="Arial"/>
          <w:sz w:val="24"/>
          <w:szCs w:val="24"/>
        </w:rPr>
        <w:t>Ndapanda</w:t>
      </w:r>
      <w:proofErr w:type="spellEnd"/>
      <w:r w:rsidR="003D274E" w:rsidRPr="00B86F33">
        <w:rPr>
          <w:rFonts w:ascii="Arial" w:hAnsi="Arial" w:cs="Arial"/>
          <w:sz w:val="24"/>
          <w:szCs w:val="24"/>
        </w:rPr>
        <w:t xml:space="preserve"> in her claim, so long as the 1981 marriage is in community of property and is subsisting. That </w:t>
      </w:r>
      <w:r w:rsidR="00B86F33" w:rsidRPr="00B86F33">
        <w:rPr>
          <w:rFonts w:ascii="Arial" w:hAnsi="Arial" w:cs="Arial"/>
          <w:sz w:val="24"/>
          <w:szCs w:val="24"/>
        </w:rPr>
        <w:t>may or</w:t>
      </w:r>
      <w:r w:rsidR="00827437" w:rsidRPr="00B86F33">
        <w:rPr>
          <w:rFonts w:ascii="Arial" w:hAnsi="Arial" w:cs="Arial"/>
          <w:sz w:val="24"/>
          <w:szCs w:val="24"/>
        </w:rPr>
        <w:t xml:space="preserve"> may not </w:t>
      </w:r>
      <w:r w:rsidR="003D274E" w:rsidRPr="00B86F33">
        <w:rPr>
          <w:rFonts w:ascii="Arial" w:hAnsi="Arial" w:cs="Arial"/>
          <w:sz w:val="24"/>
          <w:szCs w:val="24"/>
        </w:rPr>
        <w:t>be s</w:t>
      </w:r>
      <w:r w:rsidR="00FB5EB6" w:rsidRPr="00B86F33">
        <w:rPr>
          <w:rFonts w:ascii="Arial" w:hAnsi="Arial" w:cs="Arial"/>
          <w:sz w:val="24"/>
          <w:szCs w:val="24"/>
        </w:rPr>
        <w:t>o</w:t>
      </w:r>
      <w:r w:rsidR="003D274E" w:rsidRPr="00B86F33">
        <w:rPr>
          <w:rFonts w:ascii="Arial" w:hAnsi="Arial" w:cs="Arial"/>
          <w:sz w:val="24"/>
          <w:szCs w:val="24"/>
        </w:rPr>
        <w:t>; but that should not bother this court at this stage of the proceedings.</w:t>
      </w:r>
    </w:p>
    <w:p w:rsidR="00F3352D" w:rsidRDefault="00F3352D" w:rsidP="008C4051">
      <w:pPr>
        <w:spacing w:after="0" w:line="360" w:lineRule="auto"/>
        <w:jc w:val="both"/>
        <w:rPr>
          <w:rFonts w:ascii="Arial" w:hAnsi="Arial" w:cs="Arial"/>
          <w:sz w:val="24"/>
          <w:szCs w:val="24"/>
        </w:rPr>
      </w:pPr>
    </w:p>
    <w:p w:rsidR="00A74C8B" w:rsidRPr="00A74C8B" w:rsidRDefault="00A74C8B" w:rsidP="00A74C8B">
      <w:pPr>
        <w:spacing w:after="0" w:line="360" w:lineRule="auto"/>
        <w:jc w:val="both"/>
        <w:rPr>
          <w:rFonts w:ascii="Arial" w:hAnsi="Arial" w:cs="Arial"/>
          <w:sz w:val="24"/>
          <w:szCs w:val="24"/>
        </w:rPr>
      </w:pPr>
      <w:r w:rsidRPr="00A74C8B">
        <w:rPr>
          <w:rFonts w:ascii="Arial" w:hAnsi="Arial" w:cs="Arial"/>
          <w:sz w:val="24"/>
          <w:szCs w:val="24"/>
        </w:rPr>
        <w:t>[1</w:t>
      </w:r>
      <w:r w:rsidR="008338DD">
        <w:rPr>
          <w:rFonts w:ascii="Arial" w:hAnsi="Arial" w:cs="Arial"/>
          <w:sz w:val="24"/>
          <w:szCs w:val="24"/>
        </w:rPr>
        <w:t>9</w:t>
      </w:r>
      <w:r w:rsidRPr="00A74C8B">
        <w:rPr>
          <w:rFonts w:ascii="Arial" w:hAnsi="Arial" w:cs="Arial"/>
          <w:sz w:val="24"/>
          <w:szCs w:val="24"/>
        </w:rPr>
        <w:t>]</w:t>
      </w:r>
      <w:r w:rsidRPr="00A74C8B">
        <w:rPr>
          <w:rFonts w:ascii="Arial" w:hAnsi="Arial" w:cs="Arial"/>
          <w:sz w:val="24"/>
          <w:szCs w:val="24"/>
        </w:rPr>
        <w:tab/>
        <w:t xml:space="preserve">In the words of Harms JA in </w:t>
      </w:r>
      <w:r w:rsidRPr="00A74C8B">
        <w:rPr>
          <w:rFonts w:ascii="Arial" w:hAnsi="Arial" w:cs="Arial"/>
          <w:i/>
          <w:sz w:val="24"/>
          <w:szCs w:val="24"/>
        </w:rPr>
        <w:t>Gordon Lloyd Page &amp; Associates v Rivera and Another</w:t>
      </w:r>
      <w:r w:rsidRPr="00A74C8B">
        <w:rPr>
          <w:rFonts w:ascii="Arial" w:hAnsi="Arial" w:cs="Arial"/>
          <w:sz w:val="24"/>
          <w:szCs w:val="24"/>
        </w:rPr>
        <w:t xml:space="preserve"> 2001 (1) SA 88 (A) at 92E-F,</w:t>
      </w:r>
    </w:p>
    <w:p w:rsidR="00A74C8B" w:rsidRPr="00A74C8B" w:rsidRDefault="00A74C8B" w:rsidP="00A74C8B">
      <w:pPr>
        <w:spacing w:after="0" w:line="360" w:lineRule="auto"/>
        <w:jc w:val="both"/>
        <w:rPr>
          <w:rFonts w:ascii="Arial" w:hAnsi="Arial" w:cs="Arial"/>
          <w:sz w:val="24"/>
          <w:szCs w:val="24"/>
        </w:rPr>
      </w:pPr>
    </w:p>
    <w:p w:rsidR="00A74C8B" w:rsidRPr="00A74C8B" w:rsidRDefault="00A74C8B" w:rsidP="00172991">
      <w:pPr>
        <w:spacing w:line="360" w:lineRule="auto"/>
        <w:ind w:left="720"/>
        <w:jc w:val="both"/>
        <w:rPr>
          <w:rFonts w:ascii="Arial" w:hAnsi="Arial" w:cs="Arial"/>
        </w:rPr>
      </w:pPr>
      <w:r w:rsidRPr="00A74C8B">
        <w:rPr>
          <w:rFonts w:ascii="Arial" w:hAnsi="Arial" w:cs="Arial"/>
        </w:rPr>
        <w:t xml:space="preserve">'.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 </w:t>
      </w:r>
      <w:proofErr w:type="gramStart"/>
      <w:r w:rsidRPr="00A74C8B">
        <w:rPr>
          <w:rFonts w:ascii="Arial" w:hAnsi="Arial" w:cs="Arial"/>
        </w:rPr>
        <w:t>(</w:t>
      </w:r>
      <w:r w:rsidRPr="00A74C8B">
        <w:rPr>
          <w:rFonts w:ascii="Arial" w:hAnsi="Arial" w:cs="Arial"/>
          <w:i/>
        </w:rPr>
        <w:t>Gascoyne v Paul and Hunter</w:t>
      </w:r>
      <w:r w:rsidRPr="00A74C8B">
        <w:rPr>
          <w:rFonts w:ascii="Arial" w:hAnsi="Arial" w:cs="Arial"/>
        </w:rPr>
        <w:t xml:space="preserve"> 1917 TPD 170 at 173; </w:t>
      </w:r>
      <w:proofErr w:type="spellStart"/>
      <w:r w:rsidRPr="00A74C8B">
        <w:rPr>
          <w:rFonts w:ascii="Arial" w:hAnsi="Arial" w:cs="Arial"/>
          <w:i/>
        </w:rPr>
        <w:t>Ruto</w:t>
      </w:r>
      <w:proofErr w:type="spellEnd"/>
      <w:r w:rsidRPr="00A74C8B">
        <w:rPr>
          <w:rFonts w:ascii="Arial" w:hAnsi="Arial" w:cs="Arial"/>
          <w:i/>
        </w:rPr>
        <w:t xml:space="preserve"> Flour Mills (Pty) Ltd v Adelson</w:t>
      </w:r>
      <w:r w:rsidRPr="00A74C8B">
        <w:rPr>
          <w:rFonts w:ascii="Arial" w:hAnsi="Arial" w:cs="Arial"/>
        </w:rPr>
        <w:t xml:space="preserve"> (2) 1958 (4) SA 307 (T).)'</w:t>
      </w:r>
      <w:proofErr w:type="gramEnd"/>
    </w:p>
    <w:p w:rsidR="00A74C8B" w:rsidRPr="00A74C8B" w:rsidRDefault="00A74C8B" w:rsidP="00A74C8B">
      <w:pPr>
        <w:spacing w:after="0" w:line="360" w:lineRule="auto"/>
        <w:jc w:val="both"/>
        <w:rPr>
          <w:rFonts w:ascii="Arial" w:hAnsi="Arial" w:cs="Arial"/>
          <w:sz w:val="24"/>
          <w:szCs w:val="24"/>
        </w:rPr>
      </w:pPr>
      <w:r w:rsidRPr="00A74C8B">
        <w:rPr>
          <w:rFonts w:ascii="Arial" w:hAnsi="Arial" w:cs="Arial"/>
          <w:sz w:val="24"/>
          <w:szCs w:val="24"/>
        </w:rPr>
        <w:t>[</w:t>
      </w:r>
      <w:r w:rsidR="00B86F33">
        <w:rPr>
          <w:rFonts w:ascii="Arial" w:hAnsi="Arial" w:cs="Arial"/>
          <w:sz w:val="24"/>
          <w:szCs w:val="24"/>
        </w:rPr>
        <w:t>20</w:t>
      </w:r>
      <w:r w:rsidRPr="00A74C8B">
        <w:rPr>
          <w:rFonts w:ascii="Arial" w:hAnsi="Arial" w:cs="Arial"/>
          <w:sz w:val="24"/>
          <w:szCs w:val="24"/>
        </w:rPr>
        <w:t>]</w:t>
      </w:r>
      <w:r w:rsidRPr="00A74C8B">
        <w:rPr>
          <w:rFonts w:ascii="Arial" w:hAnsi="Arial" w:cs="Arial"/>
          <w:sz w:val="24"/>
          <w:szCs w:val="24"/>
        </w:rPr>
        <w:tab/>
        <w:t>Besides – and this is significant – if it is the position of Konrad that even if this court were in the end to declare the 1992 marriage as putative, it will not assist Shanika in her claim, so long as the 1981 marriage is in community of property and is subsisting, it is inexplicable why that position was not placed before the Supreme Court</w:t>
      </w:r>
      <w:r w:rsidR="00B86F33">
        <w:rPr>
          <w:rFonts w:ascii="Arial" w:hAnsi="Arial" w:cs="Arial"/>
          <w:sz w:val="24"/>
          <w:szCs w:val="24"/>
        </w:rPr>
        <w:t xml:space="preserve"> when</w:t>
      </w:r>
      <w:r w:rsidRPr="00A74C8B">
        <w:rPr>
          <w:rFonts w:ascii="Arial" w:hAnsi="Arial" w:cs="Arial"/>
          <w:sz w:val="24"/>
          <w:szCs w:val="24"/>
        </w:rPr>
        <w:t xml:space="preserve"> </w:t>
      </w:r>
      <w:r w:rsidR="00B86F33">
        <w:rPr>
          <w:rFonts w:ascii="Arial" w:hAnsi="Arial" w:cs="Arial"/>
          <w:sz w:val="24"/>
          <w:szCs w:val="24"/>
        </w:rPr>
        <w:t xml:space="preserve">Konrad’s </w:t>
      </w:r>
      <w:r w:rsidRPr="00A74C8B">
        <w:rPr>
          <w:rFonts w:ascii="Arial" w:hAnsi="Arial" w:cs="Arial"/>
          <w:sz w:val="24"/>
          <w:szCs w:val="24"/>
        </w:rPr>
        <w:t>counsel mov</w:t>
      </w:r>
      <w:r w:rsidR="00B86F33">
        <w:rPr>
          <w:rFonts w:ascii="Arial" w:hAnsi="Arial" w:cs="Arial"/>
          <w:sz w:val="24"/>
          <w:szCs w:val="24"/>
        </w:rPr>
        <w:t>ed</w:t>
      </w:r>
      <w:r w:rsidRPr="00A74C8B">
        <w:rPr>
          <w:rFonts w:ascii="Arial" w:hAnsi="Arial" w:cs="Arial"/>
          <w:sz w:val="24"/>
          <w:szCs w:val="24"/>
        </w:rPr>
        <w:t xml:space="preserve"> the appeal. In any case, the Supreme Court had the affidavits before it, and yet it instructed this court to consider hearing oral evidence. </w:t>
      </w:r>
      <w:r w:rsidR="006D40D9">
        <w:rPr>
          <w:rFonts w:ascii="Arial" w:hAnsi="Arial" w:cs="Arial"/>
          <w:sz w:val="24"/>
          <w:szCs w:val="24"/>
        </w:rPr>
        <w:t xml:space="preserve">Ms </w:t>
      </w:r>
      <w:proofErr w:type="spellStart"/>
      <w:r w:rsidR="006D40D9">
        <w:rPr>
          <w:rFonts w:ascii="Arial" w:hAnsi="Arial" w:cs="Arial"/>
          <w:sz w:val="24"/>
          <w:szCs w:val="24"/>
        </w:rPr>
        <w:t>Shikale</w:t>
      </w:r>
      <w:proofErr w:type="spellEnd"/>
      <w:r w:rsidR="006D40D9">
        <w:rPr>
          <w:rFonts w:ascii="Arial" w:hAnsi="Arial" w:cs="Arial"/>
          <w:sz w:val="24"/>
          <w:szCs w:val="24"/>
        </w:rPr>
        <w:t xml:space="preserve"> appeared to make such submission. In my opinion, a</w:t>
      </w:r>
      <w:r w:rsidRPr="00A74C8B">
        <w:rPr>
          <w:rFonts w:ascii="Arial" w:hAnsi="Arial" w:cs="Arial"/>
          <w:sz w:val="24"/>
          <w:szCs w:val="24"/>
        </w:rPr>
        <w:t>t this stage of the proceedings in this court, it is not open to this court to overlook the Supreme Court’s decision in</w:t>
      </w:r>
      <w:r w:rsidRPr="00A74C8B">
        <w:rPr>
          <w:rFonts w:ascii="Arial" w:hAnsi="Arial" w:cs="Arial"/>
          <w:i/>
          <w:sz w:val="24"/>
          <w:szCs w:val="24"/>
        </w:rPr>
        <w:t xml:space="preserve"> Herman Konrad v Shanika </w:t>
      </w:r>
      <w:proofErr w:type="spellStart"/>
      <w:r w:rsidRPr="00A74C8B">
        <w:rPr>
          <w:rFonts w:ascii="Arial" w:hAnsi="Arial" w:cs="Arial"/>
          <w:i/>
          <w:sz w:val="24"/>
          <w:szCs w:val="24"/>
        </w:rPr>
        <w:t>Ndapanda</w:t>
      </w:r>
      <w:proofErr w:type="spellEnd"/>
      <w:r w:rsidRPr="00A74C8B">
        <w:rPr>
          <w:rFonts w:ascii="Arial" w:hAnsi="Arial" w:cs="Arial"/>
          <w:sz w:val="24"/>
          <w:szCs w:val="24"/>
        </w:rPr>
        <w:t xml:space="preserve"> and disregard that Court’s express instructions. If the law adverted to</w:t>
      </w:r>
      <w:r w:rsidR="006D40D9">
        <w:rPr>
          <w:rFonts w:ascii="Arial" w:hAnsi="Arial" w:cs="Arial"/>
          <w:sz w:val="24"/>
          <w:szCs w:val="24"/>
        </w:rPr>
        <w:t xml:space="preserve"> </w:t>
      </w:r>
      <w:r w:rsidR="00B86F33">
        <w:rPr>
          <w:rFonts w:ascii="Arial" w:hAnsi="Arial" w:cs="Arial"/>
          <w:sz w:val="24"/>
          <w:szCs w:val="24"/>
        </w:rPr>
        <w:t xml:space="preserve">by </w:t>
      </w:r>
      <w:r w:rsidRPr="00A74C8B">
        <w:rPr>
          <w:rFonts w:ascii="Arial" w:hAnsi="Arial" w:cs="Arial"/>
          <w:sz w:val="24"/>
          <w:szCs w:val="24"/>
        </w:rPr>
        <w:t xml:space="preserve">Konrad’s counsel is applicable and binding on this court, the Supreme Court would not have instructed this court to hear oral evidence and reason that ‘[A]s a matter of public policy, equity </w:t>
      </w:r>
      <w:r w:rsidRPr="00A74C8B">
        <w:rPr>
          <w:rFonts w:ascii="Arial" w:hAnsi="Arial" w:cs="Arial"/>
          <w:sz w:val="24"/>
          <w:szCs w:val="24"/>
        </w:rPr>
        <w:lastRenderedPageBreak/>
        <w:t xml:space="preserve">and fairness to both parties to the union, it is imperative that the declaration of the invalidity of the marriage and that of a putative marriage, if raised properly, (as has been done in this case) should be determined in tandem and not in isolation’. (Supreme Court decision in </w:t>
      </w:r>
      <w:r w:rsidRPr="00A74C8B">
        <w:rPr>
          <w:rFonts w:ascii="Arial" w:hAnsi="Arial" w:cs="Arial"/>
          <w:i/>
          <w:sz w:val="24"/>
          <w:szCs w:val="24"/>
        </w:rPr>
        <w:t xml:space="preserve">Herman Konrad v Shanika </w:t>
      </w:r>
      <w:proofErr w:type="spellStart"/>
      <w:r w:rsidRPr="00A74C8B">
        <w:rPr>
          <w:rFonts w:ascii="Arial" w:hAnsi="Arial" w:cs="Arial"/>
          <w:i/>
          <w:sz w:val="24"/>
          <w:szCs w:val="24"/>
        </w:rPr>
        <w:t>Ndapanda</w:t>
      </w:r>
      <w:proofErr w:type="spellEnd"/>
      <w:r w:rsidRPr="00A74C8B">
        <w:rPr>
          <w:rFonts w:ascii="Arial" w:hAnsi="Arial" w:cs="Arial"/>
          <w:sz w:val="24"/>
          <w:szCs w:val="24"/>
        </w:rPr>
        <w:t xml:space="preserve"> at para 12) I have also taken into account Ms </w:t>
      </w:r>
      <w:proofErr w:type="spellStart"/>
      <w:r w:rsidRPr="00A74C8B">
        <w:rPr>
          <w:rFonts w:ascii="Arial" w:hAnsi="Arial" w:cs="Arial"/>
          <w:sz w:val="24"/>
          <w:szCs w:val="24"/>
        </w:rPr>
        <w:t>Shikale’s</w:t>
      </w:r>
      <w:proofErr w:type="spellEnd"/>
      <w:r w:rsidRPr="00A74C8B">
        <w:rPr>
          <w:rFonts w:ascii="Arial" w:hAnsi="Arial" w:cs="Arial"/>
          <w:sz w:val="24"/>
          <w:szCs w:val="24"/>
        </w:rPr>
        <w:t xml:space="preserve"> submission that </w:t>
      </w:r>
      <w:proofErr w:type="spellStart"/>
      <w:r w:rsidR="006D40D9">
        <w:rPr>
          <w:rFonts w:ascii="Arial" w:hAnsi="Arial" w:cs="Arial"/>
          <w:sz w:val="24"/>
          <w:szCs w:val="24"/>
        </w:rPr>
        <w:t>Ndapanda</w:t>
      </w:r>
      <w:proofErr w:type="spellEnd"/>
      <w:r w:rsidRPr="00A74C8B">
        <w:rPr>
          <w:rFonts w:ascii="Arial" w:hAnsi="Arial" w:cs="Arial"/>
          <w:sz w:val="24"/>
          <w:szCs w:val="24"/>
        </w:rPr>
        <w:t xml:space="preserve"> has abandoned the claim for maintenance.</w:t>
      </w:r>
    </w:p>
    <w:p w:rsidR="00B426A0" w:rsidRDefault="00B426A0" w:rsidP="008C4051">
      <w:pPr>
        <w:spacing w:after="0" w:line="360" w:lineRule="auto"/>
        <w:jc w:val="both"/>
        <w:rPr>
          <w:rFonts w:ascii="Arial" w:hAnsi="Arial" w:cs="Arial"/>
          <w:sz w:val="24"/>
          <w:szCs w:val="24"/>
        </w:rPr>
      </w:pPr>
    </w:p>
    <w:p w:rsidR="00BC43EB" w:rsidRDefault="00BF3F45" w:rsidP="008C4051">
      <w:pPr>
        <w:spacing w:after="0" w:line="360" w:lineRule="auto"/>
        <w:jc w:val="both"/>
        <w:rPr>
          <w:rFonts w:ascii="Arial" w:hAnsi="Arial" w:cs="Arial"/>
          <w:sz w:val="24"/>
          <w:szCs w:val="24"/>
        </w:rPr>
      </w:pPr>
      <w:r>
        <w:rPr>
          <w:rFonts w:ascii="Arial" w:hAnsi="Arial" w:cs="Arial"/>
          <w:sz w:val="24"/>
          <w:szCs w:val="24"/>
        </w:rPr>
        <w:t>[</w:t>
      </w:r>
      <w:r w:rsidR="00B86F33">
        <w:rPr>
          <w:rFonts w:ascii="Arial" w:hAnsi="Arial" w:cs="Arial"/>
          <w:sz w:val="24"/>
          <w:szCs w:val="24"/>
        </w:rPr>
        <w:t>2</w:t>
      </w:r>
      <w:r>
        <w:rPr>
          <w:rFonts w:ascii="Arial" w:hAnsi="Arial" w:cs="Arial"/>
          <w:sz w:val="24"/>
          <w:szCs w:val="24"/>
        </w:rPr>
        <w:t>1]</w:t>
      </w:r>
      <w:r>
        <w:rPr>
          <w:rFonts w:ascii="Arial" w:hAnsi="Arial" w:cs="Arial"/>
          <w:sz w:val="24"/>
          <w:szCs w:val="24"/>
        </w:rPr>
        <w:tab/>
      </w:r>
      <w:r w:rsidR="006D40D9">
        <w:rPr>
          <w:rFonts w:ascii="Arial" w:hAnsi="Arial" w:cs="Arial"/>
          <w:sz w:val="24"/>
          <w:szCs w:val="24"/>
        </w:rPr>
        <w:t>T</w:t>
      </w:r>
      <w:r w:rsidR="00516C9A">
        <w:rPr>
          <w:rFonts w:ascii="Arial" w:hAnsi="Arial" w:cs="Arial"/>
          <w:sz w:val="24"/>
          <w:szCs w:val="24"/>
        </w:rPr>
        <w:t>aking into account the evidence led so far and plaintiff’s abandonment of the maintenance claim</w:t>
      </w:r>
      <w:r w:rsidR="00E3400C">
        <w:rPr>
          <w:rFonts w:ascii="Arial" w:hAnsi="Arial" w:cs="Arial"/>
          <w:sz w:val="24"/>
          <w:szCs w:val="24"/>
        </w:rPr>
        <w:t xml:space="preserve"> and</w:t>
      </w:r>
      <w:r w:rsidR="00516C9A">
        <w:rPr>
          <w:rFonts w:ascii="Arial" w:hAnsi="Arial" w:cs="Arial"/>
          <w:sz w:val="24"/>
          <w:szCs w:val="24"/>
        </w:rPr>
        <w:t xml:space="preserve"> consider</w:t>
      </w:r>
      <w:r w:rsidR="00B86F33">
        <w:rPr>
          <w:rFonts w:ascii="Arial" w:hAnsi="Arial" w:cs="Arial"/>
          <w:sz w:val="24"/>
          <w:szCs w:val="24"/>
        </w:rPr>
        <w:t>ing these</w:t>
      </w:r>
      <w:r w:rsidR="00516C9A">
        <w:rPr>
          <w:rFonts w:ascii="Arial" w:hAnsi="Arial" w:cs="Arial"/>
          <w:sz w:val="24"/>
          <w:szCs w:val="24"/>
        </w:rPr>
        <w:t xml:space="preserve"> contextually with the Supreme Court decision</w:t>
      </w:r>
      <w:r w:rsidR="00E3400C">
        <w:rPr>
          <w:rFonts w:ascii="Arial" w:hAnsi="Arial" w:cs="Arial"/>
          <w:sz w:val="24"/>
          <w:szCs w:val="24"/>
        </w:rPr>
        <w:t xml:space="preserve"> in</w:t>
      </w:r>
      <w:r w:rsidR="006763D3" w:rsidRPr="006763D3">
        <w:rPr>
          <w:rFonts w:ascii="Arial" w:hAnsi="Arial" w:cs="Arial"/>
          <w:i/>
          <w:sz w:val="24"/>
          <w:szCs w:val="24"/>
        </w:rPr>
        <w:t xml:space="preserve"> </w:t>
      </w:r>
      <w:r w:rsidR="006763D3" w:rsidRPr="00712E4B">
        <w:rPr>
          <w:rFonts w:ascii="Arial" w:hAnsi="Arial" w:cs="Arial"/>
          <w:i/>
          <w:sz w:val="24"/>
          <w:szCs w:val="24"/>
        </w:rPr>
        <w:t xml:space="preserve">Herman Konrad v Shanika </w:t>
      </w:r>
      <w:proofErr w:type="spellStart"/>
      <w:r w:rsidR="006763D3" w:rsidRPr="00712E4B">
        <w:rPr>
          <w:rFonts w:ascii="Arial" w:hAnsi="Arial" w:cs="Arial"/>
          <w:i/>
          <w:sz w:val="24"/>
          <w:szCs w:val="24"/>
        </w:rPr>
        <w:t>Ndapanda</w:t>
      </w:r>
      <w:proofErr w:type="spellEnd"/>
      <w:r w:rsidR="00516C9A">
        <w:rPr>
          <w:rFonts w:ascii="Arial" w:hAnsi="Arial" w:cs="Arial"/>
          <w:sz w:val="24"/>
          <w:szCs w:val="24"/>
        </w:rPr>
        <w:t>, I conclude that plaintiff has made out a prima facie case to survive absolution (see</w:t>
      </w:r>
      <w:r w:rsidR="00516C9A" w:rsidRPr="00516C9A">
        <w:rPr>
          <w:rFonts w:ascii="Arial" w:hAnsi="Arial" w:cs="Arial"/>
          <w:i/>
          <w:sz w:val="24"/>
          <w:szCs w:val="24"/>
        </w:rPr>
        <w:t xml:space="preserve"> </w:t>
      </w:r>
      <w:r w:rsidR="00516C9A" w:rsidRPr="003D274E">
        <w:rPr>
          <w:rFonts w:ascii="Arial" w:hAnsi="Arial" w:cs="Arial"/>
          <w:i/>
          <w:sz w:val="24"/>
          <w:szCs w:val="24"/>
        </w:rPr>
        <w:t>Lloyd Page &amp; Associates v Rivera and Another</w:t>
      </w:r>
      <w:r w:rsidR="00516C9A">
        <w:rPr>
          <w:rFonts w:ascii="Arial" w:hAnsi="Arial" w:cs="Arial"/>
          <w:sz w:val="24"/>
          <w:szCs w:val="24"/>
        </w:rPr>
        <w:t xml:space="preserve"> 2001 (1) SA 88 (A) at 92E-F).</w:t>
      </w:r>
    </w:p>
    <w:p w:rsidR="00854AB6" w:rsidRDefault="00854AB6" w:rsidP="008C4051">
      <w:pPr>
        <w:spacing w:after="0" w:line="360" w:lineRule="auto"/>
        <w:jc w:val="both"/>
        <w:rPr>
          <w:rFonts w:ascii="Arial" w:hAnsi="Arial" w:cs="Arial"/>
          <w:sz w:val="24"/>
          <w:szCs w:val="24"/>
        </w:rPr>
      </w:pPr>
    </w:p>
    <w:p w:rsidR="00BC43EB" w:rsidRDefault="00156BFF" w:rsidP="008C4051">
      <w:pPr>
        <w:spacing w:after="0" w:line="360" w:lineRule="auto"/>
        <w:jc w:val="both"/>
        <w:rPr>
          <w:rFonts w:ascii="Arial" w:hAnsi="Arial" w:cs="Arial"/>
          <w:sz w:val="24"/>
          <w:szCs w:val="24"/>
        </w:rPr>
      </w:pPr>
      <w:r>
        <w:rPr>
          <w:rFonts w:ascii="Arial" w:hAnsi="Arial" w:cs="Arial"/>
          <w:sz w:val="24"/>
          <w:szCs w:val="24"/>
        </w:rPr>
        <w:t>[</w:t>
      </w:r>
      <w:r w:rsidR="0035530A">
        <w:rPr>
          <w:rFonts w:ascii="Arial" w:hAnsi="Arial" w:cs="Arial"/>
          <w:sz w:val="24"/>
          <w:szCs w:val="24"/>
        </w:rPr>
        <w:t>2</w:t>
      </w:r>
      <w:r w:rsidR="00B86F33">
        <w:rPr>
          <w:rFonts w:ascii="Arial" w:hAnsi="Arial" w:cs="Arial"/>
          <w:sz w:val="24"/>
          <w:szCs w:val="24"/>
        </w:rPr>
        <w:t>2</w:t>
      </w:r>
      <w:r w:rsidR="00BC43EB">
        <w:rPr>
          <w:rFonts w:ascii="Arial" w:hAnsi="Arial" w:cs="Arial"/>
          <w:sz w:val="24"/>
          <w:szCs w:val="24"/>
        </w:rPr>
        <w:t>]</w:t>
      </w:r>
      <w:r w:rsidR="00BC43EB">
        <w:rPr>
          <w:rFonts w:ascii="Arial" w:hAnsi="Arial" w:cs="Arial"/>
          <w:sz w:val="24"/>
          <w:szCs w:val="24"/>
        </w:rPr>
        <w:tab/>
      </w:r>
      <w:r w:rsidR="00172991">
        <w:rPr>
          <w:rFonts w:ascii="Arial" w:hAnsi="Arial" w:cs="Arial"/>
          <w:sz w:val="24"/>
          <w:szCs w:val="24"/>
        </w:rPr>
        <w:t xml:space="preserve">As </w:t>
      </w:r>
      <w:proofErr w:type="spellStart"/>
      <w:r w:rsidR="00172991">
        <w:rPr>
          <w:rFonts w:ascii="Arial" w:hAnsi="Arial" w:cs="Arial"/>
          <w:sz w:val="24"/>
          <w:szCs w:val="24"/>
        </w:rPr>
        <w:t>Damaseb</w:t>
      </w:r>
      <w:proofErr w:type="spellEnd"/>
      <w:r w:rsidR="00172991">
        <w:rPr>
          <w:rFonts w:ascii="Arial" w:hAnsi="Arial" w:cs="Arial"/>
          <w:sz w:val="24"/>
          <w:szCs w:val="24"/>
        </w:rPr>
        <w:t xml:space="preserve"> J</w:t>
      </w:r>
      <w:r w:rsidR="00516C9A">
        <w:rPr>
          <w:rFonts w:ascii="Arial" w:hAnsi="Arial" w:cs="Arial"/>
          <w:sz w:val="24"/>
          <w:szCs w:val="24"/>
        </w:rPr>
        <w:t xml:space="preserve">P said in </w:t>
      </w:r>
      <w:proofErr w:type="spellStart"/>
      <w:r w:rsidR="00516C9A" w:rsidRPr="00516C9A">
        <w:rPr>
          <w:rFonts w:ascii="Arial" w:hAnsi="Arial" w:cs="Arial"/>
          <w:i/>
          <w:sz w:val="24"/>
          <w:szCs w:val="24"/>
        </w:rPr>
        <w:t>Dannecker</w:t>
      </w:r>
      <w:proofErr w:type="spellEnd"/>
      <w:r w:rsidR="00516C9A">
        <w:rPr>
          <w:rFonts w:ascii="Arial" w:hAnsi="Arial" w:cs="Arial"/>
          <w:sz w:val="24"/>
          <w:szCs w:val="24"/>
        </w:rPr>
        <w:t xml:space="preserve"> (see para 7 of this judgment), ‘[A]</w:t>
      </w:r>
      <w:proofErr w:type="spellStart"/>
      <w:r w:rsidR="00516C9A">
        <w:rPr>
          <w:rFonts w:ascii="Arial" w:hAnsi="Arial" w:cs="Arial"/>
          <w:sz w:val="24"/>
          <w:szCs w:val="24"/>
        </w:rPr>
        <w:t>bsolution</w:t>
      </w:r>
      <w:proofErr w:type="spellEnd"/>
      <w:r w:rsidR="00516C9A">
        <w:rPr>
          <w:rFonts w:ascii="Arial" w:hAnsi="Arial" w:cs="Arial"/>
          <w:sz w:val="24"/>
          <w:szCs w:val="24"/>
        </w:rPr>
        <w:t xml:space="preserve"> at the end of plaintiff’s case ought only to be granted in a very clear case where the plaintiff has not made out any case at all, in fact and law’</w:t>
      </w:r>
      <w:r w:rsidR="00172991">
        <w:rPr>
          <w:rFonts w:ascii="Arial" w:hAnsi="Arial" w:cs="Arial"/>
          <w:sz w:val="24"/>
          <w:szCs w:val="24"/>
        </w:rPr>
        <w:t xml:space="preserve">. But I have found that </w:t>
      </w:r>
      <w:proofErr w:type="spellStart"/>
      <w:r w:rsidR="006A6C2B">
        <w:rPr>
          <w:rFonts w:ascii="Arial" w:hAnsi="Arial" w:cs="Arial"/>
          <w:sz w:val="24"/>
          <w:szCs w:val="24"/>
        </w:rPr>
        <w:t>Ndapanda</w:t>
      </w:r>
      <w:proofErr w:type="spellEnd"/>
      <w:r w:rsidR="00172991">
        <w:rPr>
          <w:rFonts w:ascii="Arial" w:hAnsi="Arial" w:cs="Arial"/>
          <w:sz w:val="24"/>
          <w:szCs w:val="24"/>
        </w:rPr>
        <w:t xml:space="preserve"> has made</w:t>
      </w:r>
      <w:r w:rsidR="00113B90">
        <w:rPr>
          <w:rFonts w:ascii="Arial" w:hAnsi="Arial" w:cs="Arial"/>
          <w:sz w:val="24"/>
          <w:szCs w:val="24"/>
        </w:rPr>
        <w:t xml:space="preserve"> out a prima facie case</w:t>
      </w:r>
      <w:r w:rsidR="006A6C2B">
        <w:rPr>
          <w:rFonts w:ascii="Arial" w:hAnsi="Arial" w:cs="Arial"/>
          <w:sz w:val="24"/>
          <w:szCs w:val="24"/>
        </w:rPr>
        <w:t>;</w:t>
      </w:r>
      <w:r w:rsidR="00516C9A">
        <w:rPr>
          <w:rFonts w:ascii="Arial" w:hAnsi="Arial" w:cs="Arial"/>
          <w:sz w:val="24"/>
          <w:szCs w:val="24"/>
        </w:rPr>
        <w:t xml:space="preserve"> and so, </w:t>
      </w:r>
      <w:proofErr w:type="spellStart"/>
      <w:r w:rsidR="006A6C2B">
        <w:rPr>
          <w:rFonts w:ascii="Arial" w:hAnsi="Arial" w:cs="Arial"/>
          <w:sz w:val="24"/>
          <w:szCs w:val="24"/>
        </w:rPr>
        <w:t>Ndapanda</w:t>
      </w:r>
      <w:proofErr w:type="spellEnd"/>
      <w:r w:rsidR="00516C9A">
        <w:rPr>
          <w:rFonts w:ascii="Arial" w:hAnsi="Arial" w:cs="Arial"/>
          <w:sz w:val="24"/>
          <w:szCs w:val="24"/>
        </w:rPr>
        <w:t xml:space="preserve"> sho</w:t>
      </w:r>
      <w:r w:rsidR="00972E54">
        <w:rPr>
          <w:rFonts w:ascii="Arial" w:hAnsi="Arial" w:cs="Arial"/>
          <w:sz w:val="24"/>
          <w:szCs w:val="24"/>
        </w:rPr>
        <w:t>u</w:t>
      </w:r>
      <w:r w:rsidR="00516C9A">
        <w:rPr>
          <w:rFonts w:ascii="Arial" w:hAnsi="Arial" w:cs="Arial"/>
          <w:sz w:val="24"/>
          <w:szCs w:val="24"/>
        </w:rPr>
        <w:t>ld not be lightly shut out where</w:t>
      </w:r>
      <w:r w:rsidR="006A6C2B">
        <w:rPr>
          <w:rFonts w:ascii="Arial" w:hAnsi="Arial" w:cs="Arial"/>
          <w:sz w:val="24"/>
          <w:szCs w:val="24"/>
        </w:rPr>
        <w:t xml:space="preserve"> </w:t>
      </w:r>
      <w:r w:rsidR="00516C9A">
        <w:rPr>
          <w:rFonts w:ascii="Arial" w:hAnsi="Arial" w:cs="Arial"/>
          <w:sz w:val="24"/>
          <w:szCs w:val="24"/>
        </w:rPr>
        <w:t xml:space="preserve">the defence relied on </w:t>
      </w:r>
      <w:r w:rsidR="00FB5EB6">
        <w:rPr>
          <w:rFonts w:ascii="Arial" w:hAnsi="Arial" w:cs="Arial"/>
          <w:sz w:val="24"/>
          <w:szCs w:val="24"/>
        </w:rPr>
        <w:t>b</w:t>
      </w:r>
      <w:r w:rsidR="00516C9A">
        <w:rPr>
          <w:rFonts w:ascii="Arial" w:hAnsi="Arial" w:cs="Arial"/>
          <w:sz w:val="24"/>
          <w:szCs w:val="24"/>
        </w:rPr>
        <w:t xml:space="preserve">y the </w:t>
      </w:r>
      <w:r w:rsidR="006A6C2B">
        <w:rPr>
          <w:rFonts w:ascii="Arial" w:hAnsi="Arial" w:cs="Arial"/>
          <w:sz w:val="24"/>
          <w:szCs w:val="24"/>
        </w:rPr>
        <w:t>Konrad</w:t>
      </w:r>
      <w:r w:rsidR="00972E54">
        <w:rPr>
          <w:rFonts w:ascii="Arial" w:hAnsi="Arial" w:cs="Arial"/>
          <w:sz w:val="24"/>
          <w:szCs w:val="24"/>
        </w:rPr>
        <w:t xml:space="preserve"> is peculiarly with</w:t>
      </w:r>
      <w:r w:rsidR="00172991">
        <w:rPr>
          <w:rFonts w:ascii="Arial" w:hAnsi="Arial" w:cs="Arial"/>
          <w:sz w:val="24"/>
          <w:szCs w:val="24"/>
        </w:rPr>
        <w:t>in</w:t>
      </w:r>
      <w:r w:rsidR="00972E54">
        <w:rPr>
          <w:rFonts w:ascii="Arial" w:hAnsi="Arial" w:cs="Arial"/>
          <w:sz w:val="24"/>
          <w:szCs w:val="24"/>
        </w:rPr>
        <w:t xml:space="preserve"> </w:t>
      </w:r>
      <w:r w:rsidR="006A6C2B">
        <w:rPr>
          <w:rFonts w:ascii="Arial" w:hAnsi="Arial" w:cs="Arial"/>
          <w:sz w:val="24"/>
          <w:szCs w:val="24"/>
        </w:rPr>
        <w:t>Konrad’s</w:t>
      </w:r>
      <w:r w:rsidR="00972E54">
        <w:rPr>
          <w:rFonts w:ascii="Arial" w:hAnsi="Arial" w:cs="Arial"/>
          <w:sz w:val="24"/>
          <w:szCs w:val="24"/>
        </w:rPr>
        <w:t xml:space="preserve"> knowledge while the plaintiff has made out a case calling for an answer or rebuttal on oath or by affirmation</w:t>
      </w:r>
      <w:r w:rsidR="006A6C2B">
        <w:rPr>
          <w:rFonts w:ascii="Arial" w:hAnsi="Arial" w:cs="Arial"/>
          <w:sz w:val="24"/>
          <w:szCs w:val="24"/>
        </w:rPr>
        <w:t xml:space="preserve"> from Konrad</w:t>
      </w:r>
      <w:r w:rsidR="00972E54">
        <w:rPr>
          <w:rFonts w:ascii="Arial" w:hAnsi="Arial" w:cs="Arial"/>
          <w:sz w:val="24"/>
          <w:szCs w:val="24"/>
        </w:rPr>
        <w:t>. (See</w:t>
      </w:r>
      <w:r w:rsidR="006A6C2B" w:rsidRPr="006A6C2B">
        <w:rPr>
          <w:rFonts w:ascii="Arial" w:hAnsi="Arial" w:cs="Arial"/>
          <w:i/>
          <w:sz w:val="24"/>
          <w:szCs w:val="24"/>
        </w:rPr>
        <w:t xml:space="preserve"> </w:t>
      </w:r>
      <w:proofErr w:type="spellStart"/>
      <w:r w:rsidR="006A6C2B" w:rsidRPr="00972E54">
        <w:rPr>
          <w:rFonts w:ascii="Arial" w:hAnsi="Arial" w:cs="Arial"/>
          <w:i/>
          <w:sz w:val="24"/>
          <w:szCs w:val="24"/>
        </w:rPr>
        <w:t>Dannecker</w:t>
      </w:r>
      <w:proofErr w:type="spellEnd"/>
      <w:r w:rsidR="006A6C2B" w:rsidRPr="00972E54">
        <w:rPr>
          <w:rFonts w:ascii="Arial" w:hAnsi="Arial" w:cs="Arial"/>
          <w:i/>
          <w:sz w:val="24"/>
          <w:szCs w:val="24"/>
        </w:rPr>
        <w:t xml:space="preserve"> </w:t>
      </w:r>
      <w:proofErr w:type="spellStart"/>
      <w:r w:rsidR="006A6C2B" w:rsidRPr="00972E54">
        <w:rPr>
          <w:rFonts w:ascii="Arial" w:hAnsi="Arial" w:cs="Arial"/>
          <w:i/>
          <w:sz w:val="24"/>
          <w:szCs w:val="24"/>
        </w:rPr>
        <w:t>loc</w:t>
      </w:r>
      <w:proofErr w:type="spellEnd"/>
      <w:r w:rsidR="006A6C2B">
        <w:rPr>
          <w:rFonts w:ascii="Arial" w:hAnsi="Arial" w:cs="Arial"/>
          <w:i/>
          <w:sz w:val="24"/>
          <w:szCs w:val="24"/>
        </w:rPr>
        <w:t xml:space="preserve"> </w:t>
      </w:r>
      <w:proofErr w:type="spellStart"/>
      <w:r w:rsidR="006A6C2B" w:rsidRPr="00972E54">
        <w:rPr>
          <w:rFonts w:ascii="Arial" w:hAnsi="Arial" w:cs="Arial"/>
          <w:i/>
          <w:sz w:val="24"/>
          <w:szCs w:val="24"/>
        </w:rPr>
        <w:t>cit</w:t>
      </w:r>
      <w:proofErr w:type="spellEnd"/>
      <w:r w:rsidR="006A6C2B">
        <w:rPr>
          <w:rFonts w:ascii="Arial" w:hAnsi="Arial" w:cs="Arial"/>
          <w:sz w:val="24"/>
          <w:szCs w:val="24"/>
        </w:rPr>
        <w:t xml:space="preserve"> and at </w:t>
      </w:r>
      <w:r w:rsidR="00972E54">
        <w:rPr>
          <w:rFonts w:ascii="Arial" w:hAnsi="Arial" w:cs="Arial"/>
          <w:sz w:val="24"/>
          <w:szCs w:val="24"/>
        </w:rPr>
        <w:t xml:space="preserve">para 7 of this judgment.) This court should not </w:t>
      </w:r>
      <w:r w:rsidR="00FB5EB6">
        <w:rPr>
          <w:rFonts w:ascii="Arial" w:hAnsi="Arial" w:cs="Arial"/>
          <w:sz w:val="24"/>
          <w:szCs w:val="24"/>
        </w:rPr>
        <w:t>allow</w:t>
      </w:r>
      <w:r w:rsidR="00972E54">
        <w:rPr>
          <w:rFonts w:ascii="Arial" w:hAnsi="Arial" w:cs="Arial"/>
          <w:sz w:val="24"/>
          <w:szCs w:val="24"/>
        </w:rPr>
        <w:t xml:space="preserve"> </w:t>
      </w:r>
      <w:r w:rsidR="006A6C2B">
        <w:rPr>
          <w:rFonts w:ascii="Arial" w:hAnsi="Arial" w:cs="Arial"/>
          <w:sz w:val="24"/>
          <w:szCs w:val="24"/>
        </w:rPr>
        <w:t>Konrad</w:t>
      </w:r>
      <w:r w:rsidR="00972E54">
        <w:rPr>
          <w:rFonts w:ascii="Arial" w:hAnsi="Arial" w:cs="Arial"/>
          <w:sz w:val="24"/>
          <w:szCs w:val="24"/>
        </w:rPr>
        <w:t xml:space="preserve"> ‘to invoke the absolution procedure to avoid coming into the witness box to answer (to) uncomfortable facts having a bearing on both credibility and the weight of probabilities in the </w:t>
      </w:r>
      <w:r w:rsidR="0035530A">
        <w:rPr>
          <w:rFonts w:ascii="Arial" w:hAnsi="Arial" w:cs="Arial"/>
          <w:sz w:val="24"/>
          <w:szCs w:val="24"/>
        </w:rPr>
        <w:t>case</w:t>
      </w:r>
      <w:r w:rsidR="006D40D9">
        <w:rPr>
          <w:rFonts w:ascii="Arial" w:hAnsi="Arial" w:cs="Arial"/>
          <w:sz w:val="24"/>
          <w:szCs w:val="24"/>
        </w:rPr>
        <w:t>’</w:t>
      </w:r>
      <w:r w:rsidR="0035530A">
        <w:rPr>
          <w:rFonts w:ascii="Arial" w:hAnsi="Arial" w:cs="Arial"/>
          <w:sz w:val="24"/>
          <w:szCs w:val="24"/>
        </w:rPr>
        <w:t xml:space="preserve"> (see</w:t>
      </w:r>
      <w:r w:rsidR="00972E54">
        <w:rPr>
          <w:rFonts w:ascii="Arial" w:hAnsi="Arial" w:cs="Arial"/>
          <w:sz w:val="24"/>
          <w:szCs w:val="24"/>
        </w:rPr>
        <w:t xml:space="preserve"> </w:t>
      </w:r>
      <w:proofErr w:type="spellStart"/>
      <w:r w:rsidR="00972E54" w:rsidRPr="00972E54">
        <w:rPr>
          <w:rFonts w:ascii="Arial" w:hAnsi="Arial" w:cs="Arial"/>
          <w:i/>
          <w:sz w:val="24"/>
          <w:szCs w:val="24"/>
        </w:rPr>
        <w:t>Dannecker</w:t>
      </w:r>
      <w:proofErr w:type="spellEnd"/>
      <w:r w:rsidR="00972E54" w:rsidRPr="00972E54">
        <w:rPr>
          <w:rFonts w:ascii="Arial" w:hAnsi="Arial" w:cs="Arial"/>
          <w:i/>
          <w:sz w:val="24"/>
          <w:szCs w:val="24"/>
        </w:rPr>
        <w:t xml:space="preserve"> </w:t>
      </w:r>
      <w:proofErr w:type="spellStart"/>
      <w:r w:rsidR="00972E54" w:rsidRPr="00972E54">
        <w:rPr>
          <w:rFonts w:ascii="Arial" w:hAnsi="Arial" w:cs="Arial"/>
          <w:i/>
          <w:sz w:val="24"/>
          <w:szCs w:val="24"/>
        </w:rPr>
        <w:t>loc.cit</w:t>
      </w:r>
      <w:proofErr w:type="spellEnd"/>
      <w:r w:rsidR="00972E54">
        <w:rPr>
          <w:rFonts w:ascii="Arial" w:hAnsi="Arial" w:cs="Arial"/>
          <w:sz w:val="24"/>
          <w:szCs w:val="24"/>
        </w:rPr>
        <w:t xml:space="preserve">. </w:t>
      </w:r>
      <w:r w:rsidR="006A6C2B">
        <w:rPr>
          <w:rFonts w:ascii="Arial" w:hAnsi="Arial" w:cs="Arial"/>
          <w:sz w:val="24"/>
          <w:szCs w:val="24"/>
        </w:rPr>
        <w:t>and at</w:t>
      </w:r>
      <w:r w:rsidR="00972E54">
        <w:rPr>
          <w:rFonts w:ascii="Arial" w:hAnsi="Arial" w:cs="Arial"/>
          <w:sz w:val="24"/>
          <w:szCs w:val="24"/>
        </w:rPr>
        <w:t xml:space="preserve"> para 7 of this judgment</w:t>
      </w:r>
      <w:r w:rsidR="0035530A">
        <w:rPr>
          <w:rFonts w:ascii="Arial" w:hAnsi="Arial" w:cs="Arial"/>
          <w:sz w:val="24"/>
          <w:szCs w:val="24"/>
        </w:rPr>
        <w:t>)</w:t>
      </w:r>
      <w:r w:rsidR="00972E54">
        <w:rPr>
          <w:rFonts w:ascii="Arial" w:hAnsi="Arial" w:cs="Arial"/>
          <w:sz w:val="24"/>
          <w:szCs w:val="24"/>
        </w:rPr>
        <w:t>.</w:t>
      </w:r>
    </w:p>
    <w:p w:rsidR="001277FD" w:rsidRDefault="001277FD" w:rsidP="008C4051">
      <w:pPr>
        <w:spacing w:after="0" w:line="360" w:lineRule="auto"/>
        <w:jc w:val="both"/>
        <w:rPr>
          <w:rFonts w:ascii="Arial" w:hAnsi="Arial" w:cs="Arial"/>
          <w:sz w:val="24"/>
          <w:szCs w:val="24"/>
        </w:rPr>
      </w:pPr>
    </w:p>
    <w:p w:rsidR="001277FD" w:rsidRDefault="00170845" w:rsidP="008C4051">
      <w:pPr>
        <w:spacing w:after="0" w:line="360" w:lineRule="auto"/>
        <w:jc w:val="both"/>
        <w:rPr>
          <w:rFonts w:ascii="Arial" w:hAnsi="Arial" w:cs="Arial"/>
          <w:sz w:val="24"/>
          <w:szCs w:val="24"/>
        </w:rPr>
      </w:pPr>
      <w:r>
        <w:rPr>
          <w:rFonts w:ascii="Arial" w:hAnsi="Arial" w:cs="Arial"/>
          <w:sz w:val="24"/>
          <w:szCs w:val="24"/>
        </w:rPr>
        <w:t>[</w:t>
      </w:r>
      <w:r w:rsidR="0035530A">
        <w:rPr>
          <w:rFonts w:ascii="Arial" w:hAnsi="Arial" w:cs="Arial"/>
          <w:sz w:val="24"/>
          <w:szCs w:val="24"/>
        </w:rPr>
        <w:t>2</w:t>
      </w:r>
      <w:r w:rsidR="000A7E87">
        <w:rPr>
          <w:rFonts w:ascii="Arial" w:hAnsi="Arial" w:cs="Arial"/>
          <w:sz w:val="24"/>
          <w:szCs w:val="24"/>
        </w:rPr>
        <w:t>3</w:t>
      </w:r>
      <w:r w:rsidR="001277FD">
        <w:rPr>
          <w:rFonts w:ascii="Arial" w:hAnsi="Arial" w:cs="Arial"/>
          <w:sz w:val="24"/>
          <w:szCs w:val="24"/>
        </w:rPr>
        <w:t>]</w:t>
      </w:r>
      <w:r w:rsidR="00360672">
        <w:rPr>
          <w:rFonts w:ascii="Arial" w:hAnsi="Arial" w:cs="Arial"/>
          <w:sz w:val="24"/>
          <w:szCs w:val="24"/>
        </w:rPr>
        <w:tab/>
      </w:r>
      <w:r w:rsidR="00972E54">
        <w:rPr>
          <w:rFonts w:ascii="Arial" w:hAnsi="Arial" w:cs="Arial"/>
          <w:sz w:val="24"/>
          <w:szCs w:val="24"/>
        </w:rPr>
        <w:t xml:space="preserve">I conclude that plaintiff has passed the mark set by the Supreme Court in </w:t>
      </w:r>
      <w:proofErr w:type="spellStart"/>
      <w:r w:rsidR="00972E54" w:rsidRPr="00972E54">
        <w:rPr>
          <w:rFonts w:ascii="Arial" w:hAnsi="Arial" w:cs="Arial"/>
          <w:i/>
          <w:sz w:val="24"/>
          <w:szCs w:val="24"/>
        </w:rPr>
        <w:t>Stier</w:t>
      </w:r>
      <w:proofErr w:type="spellEnd"/>
      <w:r w:rsidR="00972E54">
        <w:rPr>
          <w:rFonts w:ascii="Arial" w:hAnsi="Arial" w:cs="Arial"/>
          <w:sz w:val="24"/>
          <w:szCs w:val="24"/>
        </w:rPr>
        <w:t xml:space="preserve"> </w:t>
      </w:r>
      <w:r w:rsidR="00972E54" w:rsidRPr="00972E54">
        <w:rPr>
          <w:rFonts w:ascii="Arial" w:hAnsi="Arial" w:cs="Arial"/>
          <w:i/>
          <w:sz w:val="24"/>
          <w:szCs w:val="24"/>
        </w:rPr>
        <w:t>v Henke</w:t>
      </w:r>
      <w:r w:rsidR="00972E54">
        <w:rPr>
          <w:rFonts w:ascii="Arial" w:hAnsi="Arial" w:cs="Arial"/>
          <w:sz w:val="24"/>
          <w:szCs w:val="24"/>
        </w:rPr>
        <w:t xml:space="preserve">, which is that for plaintiff to survive absolution, plaintiff must make out a prima facie case upon which </w:t>
      </w:r>
      <w:r w:rsidR="0035530A">
        <w:rPr>
          <w:rFonts w:ascii="Arial" w:hAnsi="Arial" w:cs="Arial"/>
          <w:sz w:val="24"/>
          <w:szCs w:val="24"/>
        </w:rPr>
        <w:t>the court could</w:t>
      </w:r>
      <w:r w:rsidR="00113B90">
        <w:rPr>
          <w:rFonts w:ascii="Arial" w:hAnsi="Arial" w:cs="Arial"/>
          <w:sz w:val="24"/>
          <w:szCs w:val="24"/>
        </w:rPr>
        <w:t xml:space="preserve"> or might</w:t>
      </w:r>
      <w:r w:rsidR="0035530A">
        <w:rPr>
          <w:rFonts w:ascii="Arial" w:hAnsi="Arial" w:cs="Arial"/>
          <w:sz w:val="24"/>
          <w:szCs w:val="24"/>
        </w:rPr>
        <w:t xml:space="preserve"> find for </w:t>
      </w:r>
      <w:r w:rsidR="00972E54">
        <w:rPr>
          <w:rFonts w:ascii="Arial" w:hAnsi="Arial" w:cs="Arial"/>
          <w:sz w:val="24"/>
          <w:szCs w:val="24"/>
        </w:rPr>
        <w:t>plaintiff, and remembering</w:t>
      </w:r>
      <w:r w:rsidR="0035530A">
        <w:rPr>
          <w:rFonts w:ascii="Arial" w:hAnsi="Arial" w:cs="Arial"/>
          <w:sz w:val="24"/>
          <w:szCs w:val="24"/>
        </w:rPr>
        <w:t xml:space="preserve"> also</w:t>
      </w:r>
      <w:r w:rsidR="00972E54">
        <w:rPr>
          <w:rFonts w:ascii="Arial" w:hAnsi="Arial" w:cs="Arial"/>
          <w:sz w:val="24"/>
          <w:szCs w:val="24"/>
        </w:rPr>
        <w:t xml:space="preserve"> that the ‘reasoning at this stage (</w:t>
      </w:r>
      <w:r w:rsidR="0035530A">
        <w:rPr>
          <w:rFonts w:ascii="Arial" w:hAnsi="Arial" w:cs="Arial"/>
          <w:sz w:val="24"/>
          <w:szCs w:val="24"/>
        </w:rPr>
        <w:t>that is, at</w:t>
      </w:r>
      <w:r w:rsidR="00972E54">
        <w:rPr>
          <w:rFonts w:ascii="Arial" w:hAnsi="Arial" w:cs="Arial"/>
          <w:sz w:val="24"/>
          <w:szCs w:val="24"/>
        </w:rPr>
        <w:t xml:space="preserve"> the close of plaintiff’s case) is to be distinguished </w:t>
      </w:r>
      <w:r w:rsidR="0035530A">
        <w:rPr>
          <w:rFonts w:ascii="Arial" w:hAnsi="Arial" w:cs="Arial"/>
          <w:sz w:val="24"/>
          <w:szCs w:val="24"/>
        </w:rPr>
        <w:t>from</w:t>
      </w:r>
      <w:r w:rsidR="00972E54">
        <w:rPr>
          <w:rFonts w:ascii="Arial" w:hAnsi="Arial" w:cs="Arial"/>
          <w:sz w:val="24"/>
          <w:szCs w:val="24"/>
        </w:rPr>
        <w:t xml:space="preserve"> the reasoning which the court applies at the end of the trial; which is : ‘Is there evidence upon which a Court ought to give judgment in favour of the plaintiff</w:t>
      </w:r>
      <w:r w:rsidR="007A234F">
        <w:rPr>
          <w:rFonts w:ascii="Arial" w:hAnsi="Arial" w:cs="Arial"/>
          <w:sz w:val="24"/>
          <w:szCs w:val="24"/>
        </w:rPr>
        <w:t>?</w:t>
      </w:r>
      <w:r w:rsidR="00972E54">
        <w:rPr>
          <w:rFonts w:ascii="Arial" w:hAnsi="Arial" w:cs="Arial"/>
          <w:sz w:val="24"/>
          <w:szCs w:val="24"/>
        </w:rPr>
        <w:t xml:space="preserve">’ </w:t>
      </w:r>
      <w:r w:rsidR="0035530A">
        <w:rPr>
          <w:rFonts w:ascii="Arial" w:hAnsi="Arial" w:cs="Arial"/>
          <w:sz w:val="24"/>
          <w:szCs w:val="24"/>
        </w:rPr>
        <w:t>(</w:t>
      </w:r>
      <w:proofErr w:type="spellStart"/>
      <w:r w:rsidR="00972E54" w:rsidRPr="000209A7">
        <w:rPr>
          <w:rFonts w:ascii="Arial" w:hAnsi="Arial" w:cs="Arial"/>
          <w:i/>
          <w:sz w:val="24"/>
          <w:szCs w:val="24"/>
        </w:rPr>
        <w:t>Dannecker</w:t>
      </w:r>
      <w:proofErr w:type="spellEnd"/>
      <w:r w:rsidR="00972E54" w:rsidRPr="000209A7">
        <w:rPr>
          <w:rFonts w:ascii="Arial" w:hAnsi="Arial" w:cs="Arial"/>
          <w:i/>
          <w:sz w:val="24"/>
          <w:szCs w:val="24"/>
        </w:rPr>
        <w:t xml:space="preserve"> v Leopard </w:t>
      </w:r>
      <w:r w:rsidR="000209A7">
        <w:rPr>
          <w:rFonts w:ascii="Arial" w:hAnsi="Arial" w:cs="Arial"/>
          <w:i/>
          <w:sz w:val="24"/>
          <w:szCs w:val="24"/>
        </w:rPr>
        <w:t>Tours Car &amp; Camp</w:t>
      </w:r>
      <w:r w:rsidR="00972E54" w:rsidRPr="000209A7">
        <w:rPr>
          <w:rFonts w:ascii="Arial" w:hAnsi="Arial" w:cs="Arial"/>
          <w:i/>
          <w:sz w:val="24"/>
          <w:szCs w:val="24"/>
        </w:rPr>
        <w:t xml:space="preserve">ing </w:t>
      </w:r>
      <w:r w:rsidR="000209A7" w:rsidRPr="000209A7">
        <w:rPr>
          <w:rFonts w:ascii="Arial" w:hAnsi="Arial" w:cs="Arial"/>
          <w:i/>
          <w:sz w:val="24"/>
          <w:szCs w:val="24"/>
        </w:rPr>
        <w:t xml:space="preserve">Hire </w:t>
      </w:r>
      <w:r w:rsidR="00972E54" w:rsidRPr="000209A7">
        <w:rPr>
          <w:rFonts w:ascii="Arial" w:hAnsi="Arial" w:cs="Arial"/>
          <w:i/>
          <w:sz w:val="24"/>
          <w:szCs w:val="24"/>
        </w:rPr>
        <w:t xml:space="preserve">CC, </w:t>
      </w:r>
      <w:r w:rsidR="00972E54" w:rsidRPr="000209A7">
        <w:rPr>
          <w:rFonts w:ascii="Arial" w:hAnsi="Arial" w:cs="Arial"/>
          <w:sz w:val="24"/>
          <w:szCs w:val="24"/>
        </w:rPr>
        <w:t>approving</w:t>
      </w:r>
      <w:r w:rsidR="00972E54" w:rsidRPr="000209A7">
        <w:rPr>
          <w:rFonts w:ascii="Arial" w:hAnsi="Arial" w:cs="Arial"/>
          <w:i/>
          <w:sz w:val="24"/>
          <w:szCs w:val="24"/>
        </w:rPr>
        <w:t xml:space="preserve"> </w:t>
      </w:r>
      <w:proofErr w:type="spellStart"/>
      <w:r w:rsidR="000209A7" w:rsidRPr="000209A7">
        <w:rPr>
          <w:rFonts w:ascii="Arial" w:hAnsi="Arial" w:cs="Arial"/>
          <w:i/>
          <w:sz w:val="24"/>
          <w:szCs w:val="24"/>
        </w:rPr>
        <w:t>Ruto</w:t>
      </w:r>
      <w:proofErr w:type="spellEnd"/>
      <w:r w:rsidR="000209A7" w:rsidRPr="000209A7">
        <w:rPr>
          <w:rFonts w:ascii="Arial" w:hAnsi="Arial" w:cs="Arial"/>
          <w:i/>
          <w:sz w:val="24"/>
          <w:szCs w:val="24"/>
        </w:rPr>
        <w:t xml:space="preserve"> Flour </w:t>
      </w:r>
      <w:r w:rsidR="00972E54" w:rsidRPr="000209A7">
        <w:rPr>
          <w:rFonts w:ascii="Arial" w:hAnsi="Arial" w:cs="Arial"/>
          <w:i/>
          <w:sz w:val="24"/>
          <w:szCs w:val="24"/>
        </w:rPr>
        <w:t>Mills (Pty) Ltd v</w:t>
      </w:r>
      <w:r w:rsidR="00972E54">
        <w:rPr>
          <w:rFonts w:ascii="Arial" w:hAnsi="Arial" w:cs="Arial"/>
          <w:sz w:val="24"/>
          <w:szCs w:val="24"/>
        </w:rPr>
        <w:t xml:space="preserve"> </w:t>
      </w:r>
      <w:r w:rsidR="00972E54" w:rsidRPr="005B16BC">
        <w:rPr>
          <w:rFonts w:ascii="Arial" w:hAnsi="Arial" w:cs="Arial"/>
          <w:i/>
          <w:sz w:val="24"/>
          <w:szCs w:val="24"/>
        </w:rPr>
        <w:t>A</w:t>
      </w:r>
      <w:r w:rsidR="0035530A" w:rsidRPr="005B16BC">
        <w:rPr>
          <w:rFonts w:ascii="Arial" w:hAnsi="Arial" w:cs="Arial"/>
          <w:i/>
          <w:sz w:val="24"/>
          <w:szCs w:val="24"/>
        </w:rPr>
        <w:t>nderson</w:t>
      </w:r>
      <w:r w:rsidR="0035530A">
        <w:rPr>
          <w:rFonts w:ascii="Arial" w:hAnsi="Arial" w:cs="Arial"/>
          <w:sz w:val="24"/>
          <w:szCs w:val="24"/>
        </w:rPr>
        <w:t xml:space="preserve"> (2) SA 307 (T) at 309E</w:t>
      </w:r>
      <w:r w:rsidR="005B16BC">
        <w:rPr>
          <w:rFonts w:ascii="Arial" w:hAnsi="Arial" w:cs="Arial"/>
          <w:sz w:val="24"/>
          <w:szCs w:val="24"/>
        </w:rPr>
        <w:t>-</w:t>
      </w:r>
      <w:r w:rsidR="0035530A">
        <w:rPr>
          <w:rFonts w:ascii="Arial" w:hAnsi="Arial" w:cs="Arial"/>
          <w:sz w:val="24"/>
          <w:szCs w:val="24"/>
        </w:rPr>
        <w:t>F)</w:t>
      </w:r>
    </w:p>
    <w:p w:rsidR="0053139D" w:rsidRDefault="0053139D"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lastRenderedPageBreak/>
        <w:t>[2</w:t>
      </w:r>
      <w:r w:rsidR="000A7E87">
        <w:rPr>
          <w:rFonts w:ascii="Arial" w:hAnsi="Arial" w:cs="Arial"/>
          <w:sz w:val="24"/>
          <w:szCs w:val="24"/>
        </w:rPr>
        <w:t>4</w:t>
      </w:r>
      <w:r w:rsidR="00360672">
        <w:rPr>
          <w:rFonts w:ascii="Arial" w:hAnsi="Arial" w:cs="Arial"/>
          <w:sz w:val="24"/>
          <w:szCs w:val="24"/>
        </w:rPr>
        <w:t>]</w:t>
      </w:r>
      <w:r w:rsidR="00360672">
        <w:rPr>
          <w:rFonts w:ascii="Arial" w:hAnsi="Arial" w:cs="Arial"/>
          <w:sz w:val="24"/>
          <w:szCs w:val="24"/>
        </w:rPr>
        <w:tab/>
      </w:r>
      <w:r w:rsidR="000209A7">
        <w:rPr>
          <w:rFonts w:ascii="Arial" w:hAnsi="Arial" w:cs="Arial"/>
          <w:sz w:val="24"/>
          <w:szCs w:val="24"/>
        </w:rPr>
        <w:t xml:space="preserve">Based on these reasons, I hold that the occasion has not arisen for the court to make an order </w:t>
      </w:r>
      <w:r w:rsidR="00113B90" w:rsidRPr="00113B90">
        <w:rPr>
          <w:rFonts w:ascii="Arial" w:hAnsi="Arial" w:cs="Arial"/>
          <w:sz w:val="24"/>
          <w:szCs w:val="24"/>
        </w:rPr>
        <w:t xml:space="preserve">in the interest of justice </w:t>
      </w:r>
      <w:r w:rsidR="000209A7">
        <w:rPr>
          <w:rFonts w:ascii="Arial" w:hAnsi="Arial" w:cs="Arial"/>
          <w:sz w:val="24"/>
          <w:szCs w:val="24"/>
        </w:rPr>
        <w:t>granting absolution f</w:t>
      </w:r>
      <w:r w:rsidR="0035530A">
        <w:rPr>
          <w:rFonts w:ascii="Arial" w:hAnsi="Arial" w:cs="Arial"/>
          <w:sz w:val="24"/>
          <w:szCs w:val="24"/>
        </w:rPr>
        <w:t>rom</w:t>
      </w:r>
      <w:r w:rsidR="000209A7">
        <w:rPr>
          <w:rFonts w:ascii="Arial" w:hAnsi="Arial" w:cs="Arial"/>
          <w:sz w:val="24"/>
          <w:szCs w:val="24"/>
        </w:rPr>
        <w:t xml:space="preserve"> the instance</w:t>
      </w:r>
      <w:r w:rsidR="00380C0A">
        <w:rPr>
          <w:rFonts w:ascii="Arial" w:hAnsi="Arial" w:cs="Arial"/>
          <w:sz w:val="24"/>
          <w:szCs w:val="24"/>
        </w:rPr>
        <w:t xml:space="preserve"> at the close of plaintiff’s case</w:t>
      </w:r>
      <w:r w:rsidR="000209A7">
        <w:rPr>
          <w:rFonts w:ascii="Arial" w:hAnsi="Arial" w:cs="Arial"/>
          <w:sz w:val="24"/>
          <w:szCs w:val="24"/>
        </w:rPr>
        <w:t xml:space="preserve"> (see </w:t>
      </w:r>
      <w:r w:rsidR="0035530A" w:rsidRPr="00380C0A">
        <w:rPr>
          <w:rFonts w:ascii="Arial" w:hAnsi="Arial" w:cs="Arial"/>
          <w:i/>
          <w:sz w:val="24"/>
          <w:szCs w:val="24"/>
        </w:rPr>
        <w:t>Etienne Erasmus v Gary</w:t>
      </w:r>
      <w:r w:rsidR="00380C0A" w:rsidRPr="00380C0A">
        <w:rPr>
          <w:rFonts w:ascii="Arial" w:hAnsi="Arial" w:cs="Arial"/>
          <w:i/>
          <w:sz w:val="24"/>
          <w:szCs w:val="24"/>
        </w:rPr>
        <w:t xml:space="preserve"> </w:t>
      </w:r>
      <w:r w:rsidR="0035530A" w:rsidRPr="00380C0A">
        <w:rPr>
          <w:rFonts w:ascii="Arial" w:hAnsi="Arial" w:cs="Arial"/>
          <w:i/>
          <w:sz w:val="24"/>
          <w:szCs w:val="24"/>
        </w:rPr>
        <w:t xml:space="preserve">Erhard </w:t>
      </w:r>
      <w:proofErr w:type="spellStart"/>
      <w:r w:rsidR="0035530A" w:rsidRPr="00380C0A">
        <w:rPr>
          <w:rFonts w:ascii="Arial" w:hAnsi="Arial" w:cs="Arial"/>
          <w:i/>
          <w:sz w:val="24"/>
          <w:szCs w:val="24"/>
        </w:rPr>
        <w:t>Wiechmann</w:t>
      </w:r>
      <w:proofErr w:type="spellEnd"/>
      <w:r w:rsidR="0035530A" w:rsidRPr="00380C0A">
        <w:rPr>
          <w:rFonts w:ascii="Arial" w:hAnsi="Arial" w:cs="Arial"/>
          <w:i/>
          <w:sz w:val="24"/>
          <w:szCs w:val="24"/>
        </w:rPr>
        <w:t xml:space="preserve"> and Fuel Injection Repairs &amp; Spares CC </w:t>
      </w:r>
      <w:r w:rsidR="0035530A">
        <w:rPr>
          <w:rFonts w:ascii="Arial" w:hAnsi="Arial" w:cs="Arial"/>
          <w:sz w:val="24"/>
          <w:szCs w:val="24"/>
        </w:rPr>
        <w:t>(I 1064/2011) [2013] NAHCMD 214 (24 July 2013) at para 18</w:t>
      </w:r>
      <w:r w:rsidR="00380C0A">
        <w:rPr>
          <w:rFonts w:ascii="Arial" w:hAnsi="Arial" w:cs="Arial"/>
          <w:sz w:val="24"/>
          <w:szCs w:val="24"/>
        </w:rPr>
        <w:t>)</w:t>
      </w:r>
      <w:r w:rsidR="000209A7">
        <w:rPr>
          <w:rFonts w:ascii="Arial" w:hAnsi="Arial" w:cs="Arial"/>
          <w:sz w:val="24"/>
          <w:szCs w:val="24"/>
        </w:rPr>
        <w:t>; whereupon</w:t>
      </w:r>
      <w:r w:rsidR="00380C0A">
        <w:rPr>
          <w:rFonts w:ascii="Arial" w:hAnsi="Arial" w:cs="Arial"/>
          <w:sz w:val="24"/>
          <w:szCs w:val="24"/>
        </w:rPr>
        <w:t>,</w:t>
      </w:r>
      <w:r w:rsidR="000209A7">
        <w:rPr>
          <w:rFonts w:ascii="Arial" w:hAnsi="Arial" w:cs="Arial"/>
          <w:sz w:val="24"/>
          <w:szCs w:val="24"/>
        </w:rPr>
        <w:t xml:space="preserve"> I </w:t>
      </w:r>
      <w:r w:rsidR="005F7898">
        <w:rPr>
          <w:rFonts w:ascii="Arial" w:hAnsi="Arial" w:cs="Arial"/>
          <w:sz w:val="24"/>
          <w:szCs w:val="24"/>
        </w:rPr>
        <w:t xml:space="preserve">am </w:t>
      </w:r>
      <w:r w:rsidR="005B16BC">
        <w:rPr>
          <w:rFonts w:ascii="Arial" w:hAnsi="Arial" w:cs="Arial"/>
          <w:sz w:val="24"/>
          <w:szCs w:val="24"/>
        </w:rPr>
        <w:t>disincline</w:t>
      </w:r>
      <w:r w:rsidR="005F7898">
        <w:rPr>
          <w:rFonts w:ascii="Arial" w:hAnsi="Arial" w:cs="Arial"/>
          <w:sz w:val="24"/>
          <w:szCs w:val="24"/>
        </w:rPr>
        <w:t>d</w:t>
      </w:r>
      <w:r w:rsidR="00E43FFB">
        <w:rPr>
          <w:rFonts w:ascii="Arial" w:hAnsi="Arial" w:cs="Arial"/>
          <w:sz w:val="24"/>
          <w:szCs w:val="24"/>
        </w:rPr>
        <w:t xml:space="preserve"> to mak</w:t>
      </w:r>
      <w:r w:rsidR="000209A7">
        <w:rPr>
          <w:rFonts w:ascii="Arial" w:hAnsi="Arial" w:cs="Arial"/>
          <w:sz w:val="24"/>
          <w:szCs w:val="24"/>
        </w:rPr>
        <w:t xml:space="preserve">e an order granting absolution </w:t>
      </w:r>
      <w:r w:rsidR="00A76FF1">
        <w:rPr>
          <w:rFonts w:ascii="Arial" w:hAnsi="Arial" w:cs="Arial"/>
          <w:sz w:val="24"/>
          <w:szCs w:val="24"/>
        </w:rPr>
        <w:t>from</w:t>
      </w:r>
      <w:r w:rsidR="000209A7">
        <w:rPr>
          <w:rFonts w:ascii="Arial" w:hAnsi="Arial" w:cs="Arial"/>
          <w:sz w:val="24"/>
          <w:szCs w:val="24"/>
        </w:rPr>
        <w:t xml:space="preserve"> the instance.</w:t>
      </w:r>
    </w:p>
    <w:p w:rsidR="00360672" w:rsidRDefault="00360672"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t>[2</w:t>
      </w:r>
      <w:r w:rsidR="000A7E87">
        <w:rPr>
          <w:rFonts w:ascii="Arial" w:hAnsi="Arial" w:cs="Arial"/>
          <w:sz w:val="24"/>
          <w:szCs w:val="24"/>
        </w:rPr>
        <w:t>5</w:t>
      </w:r>
      <w:r w:rsidR="00100E88">
        <w:rPr>
          <w:rFonts w:ascii="Arial" w:hAnsi="Arial" w:cs="Arial"/>
          <w:sz w:val="24"/>
          <w:szCs w:val="24"/>
        </w:rPr>
        <w:t>]</w:t>
      </w:r>
      <w:r w:rsidR="00100E88">
        <w:rPr>
          <w:rFonts w:ascii="Arial" w:hAnsi="Arial" w:cs="Arial"/>
          <w:sz w:val="24"/>
          <w:szCs w:val="24"/>
        </w:rPr>
        <w:tab/>
      </w:r>
      <w:r w:rsidR="000209A7">
        <w:rPr>
          <w:rFonts w:ascii="Arial" w:hAnsi="Arial" w:cs="Arial"/>
          <w:sz w:val="24"/>
          <w:szCs w:val="24"/>
        </w:rPr>
        <w:t>In the result</w:t>
      </w:r>
      <w:r w:rsidR="00380C0A">
        <w:rPr>
          <w:rFonts w:ascii="Arial" w:hAnsi="Arial" w:cs="Arial"/>
          <w:sz w:val="24"/>
          <w:szCs w:val="24"/>
        </w:rPr>
        <w:t>,</w:t>
      </w:r>
      <w:r w:rsidR="000209A7">
        <w:rPr>
          <w:rFonts w:ascii="Arial" w:hAnsi="Arial" w:cs="Arial"/>
          <w:sz w:val="24"/>
          <w:szCs w:val="24"/>
        </w:rPr>
        <w:t xml:space="preserve"> I make the following order:</w:t>
      </w:r>
    </w:p>
    <w:p w:rsidR="000209A7" w:rsidRDefault="000209A7" w:rsidP="008C4051">
      <w:pPr>
        <w:spacing w:after="0" w:line="360" w:lineRule="auto"/>
        <w:jc w:val="both"/>
        <w:rPr>
          <w:rFonts w:ascii="Arial" w:hAnsi="Arial" w:cs="Arial"/>
          <w:sz w:val="24"/>
          <w:szCs w:val="24"/>
        </w:rPr>
      </w:pPr>
    </w:p>
    <w:p w:rsidR="00C53DAD" w:rsidRPr="00B07579" w:rsidRDefault="00C53DAD" w:rsidP="00B07579">
      <w:pPr>
        <w:pStyle w:val="ListParagraph"/>
        <w:numPr>
          <w:ilvl w:val="0"/>
          <w:numId w:val="16"/>
        </w:numPr>
        <w:spacing w:after="0" w:line="360" w:lineRule="auto"/>
        <w:jc w:val="both"/>
        <w:rPr>
          <w:rFonts w:ascii="Arial" w:hAnsi="Arial" w:cs="Arial"/>
          <w:sz w:val="24"/>
          <w:szCs w:val="24"/>
        </w:rPr>
      </w:pPr>
      <w:r w:rsidRPr="00B07579">
        <w:rPr>
          <w:rFonts w:ascii="Arial" w:hAnsi="Arial" w:cs="Arial"/>
          <w:sz w:val="24"/>
          <w:szCs w:val="24"/>
        </w:rPr>
        <w:t xml:space="preserve">The application </w:t>
      </w:r>
      <w:r w:rsidR="005B16BC" w:rsidRPr="00B07579">
        <w:rPr>
          <w:rFonts w:ascii="Arial" w:hAnsi="Arial" w:cs="Arial"/>
          <w:sz w:val="24"/>
          <w:szCs w:val="24"/>
        </w:rPr>
        <w:t>for</w:t>
      </w:r>
      <w:r w:rsidRPr="00B07579">
        <w:rPr>
          <w:rFonts w:ascii="Arial" w:hAnsi="Arial" w:cs="Arial"/>
          <w:sz w:val="24"/>
          <w:szCs w:val="24"/>
        </w:rPr>
        <w:t xml:space="preserve"> absolution </w:t>
      </w:r>
      <w:r w:rsidR="005F7898" w:rsidRPr="00B07579">
        <w:rPr>
          <w:rFonts w:ascii="Arial" w:hAnsi="Arial" w:cs="Arial"/>
          <w:sz w:val="24"/>
          <w:szCs w:val="24"/>
        </w:rPr>
        <w:t xml:space="preserve">from </w:t>
      </w:r>
      <w:r w:rsidRPr="00B07579">
        <w:rPr>
          <w:rFonts w:ascii="Arial" w:hAnsi="Arial" w:cs="Arial"/>
          <w:sz w:val="24"/>
          <w:szCs w:val="24"/>
        </w:rPr>
        <w:t>the instance is hereby dismissed.</w:t>
      </w:r>
    </w:p>
    <w:p w:rsidR="00C53DAD" w:rsidRPr="000209A7" w:rsidRDefault="00C53DAD" w:rsidP="00B07579">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t>The matter is postponed to 25 September 2019 at 10h00 for status hearing and for the allocation of dates for continuation of trial of this matter and the trial of the matter in Case No. 2018/00094</w:t>
      </w:r>
      <w:r w:rsidR="005F7898">
        <w:rPr>
          <w:rFonts w:ascii="Arial" w:hAnsi="Arial" w:cs="Arial"/>
          <w:sz w:val="24"/>
          <w:szCs w:val="24"/>
        </w:rPr>
        <w:t xml:space="preserve">, </w:t>
      </w:r>
      <w:r w:rsidR="00B07579">
        <w:rPr>
          <w:rFonts w:ascii="Arial" w:hAnsi="Arial" w:cs="Arial"/>
          <w:sz w:val="24"/>
          <w:szCs w:val="24"/>
        </w:rPr>
        <w:t>transferred</w:t>
      </w:r>
      <w:r w:rsidR="005F7898">
        <w:rPr>
          <w:rFonts w:ascii="Arial" w:hAnsi="Arial" w:cs="Arial"/>
          <w:sz w:val="24"/>
          <w:szCs w:val="24"/>
        </w:rPr>
        <w:t xml:space="preserve"> from </w:t>
      </w:r>
      <w:proofErr w:type="spellStart"/>
      <w:r w:rsidR="005F7898">
        <w:rPr>
          <w:rFonts w:ascii="Arial" w:hAnsi="Arial" w:cs="Arial"/>
          <w:sz w:val="24"/>
          <w:szCs w:val="24"/>
        </w:rPr>
        <w:t>Ueitele</w:t>
      </w:r>
      <w:proofErr w:type="spellEnd"/>
      <w:r w:rsidR="005F7898">
        <w:rPr>
          <w:rFonts w:ascii="Arial" w:hAnsi="Arial" w:cs="Arial"/>
          <w:sz w:val="24"/>
          <w:szCs w:val="24"/>
        </w:rPr>
        <w:t xml:space="preserve"> J.</w:t>
      </w:r>
    </w:p>
    <w:p w:rsidR="00832730" w:rsidRDefault="00832730" w:rsidP="008C4051">
      <w:pPr>
        <w:spacing w:after="0" w:line="360" w:lineRule="auto"/>
        <w:jc w:val="both"/>
        <w:rPr>
          <w:rFonts w:ascii="Arial" w:hAnsi="Arial" w:cs="Arial"/>
          <w:sz w:val="24"/>
          <w:szCs w:val="24"/>
        </w:rPr>
      </w:pPr>
    </w:p>
    <w:p w:rsidR="00DE2281" w:rsidRDefault="00DE2281" w:rsidP="00601D7C">
      <w:pPr>
        <w:spacing w:after="0" w:line="360" w:lineRule="auto"/>
        <w:rPr>
          <w:rFonts w:ascii="Arial" w:hAnsi="Arial" w:cs="Arial"/>
          <w:sz w:val="24"/>
          <w:szCs w:val="24"/>
        </w:rPr>
      </w:pPr>
    </w:p>
    <w:p w:rsidR="00187AB6" w:rsidRPr="001F2A65" w:rsidRDefault="00187AB6" w:rsidP="00187AB6">
      <w:pPr>
        <w:spacing w:after="0" w:line="360" w:lineRule="auto"/>
        <w:jc w:val="right"/>
        <w:rPr>
          <w:rFonts w:ascii="Arial" w:hAnsi="Arial" w:cs="Arial"/>
          <w:sz w:val="24"/>
          <w:szCs w:val="24"/>
        </w:rPr>
      </w:pPr>
      <w:r w:rsidRPr="001F2A65">
        <w:rPr>
          <w:rFonts w:ascii="Arial" w:hAnsi="Arial" w:cs="Arial"/>
          <w:sz w:val="24"/>
          <w:szCs w:val="24"/>
        </w:rPr>
        <w:t>---------------------</w:t>
      </w:r>
    </w:p>
    <w:p w:rsidR="00187AB6" w:rsidRPr="001F2A65" w:rsidRDefault="00187AB6" w:rsidP="00187AB6">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5238B3">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0F2A0F" w:rsidRDefault="000F2A0F" w:rsidP="005238B3">
      <w:pPr>
        <w:spacing w:after="0" w:line="360" w:lineRule="auto"/>
        <w:jc w:val="right"/>
        <w:rPr>
          <w:rFonts w:ascii="Arial" w:hAnsi="Arial" w:cs="Arial"/>
          <w:sz w:val="24"/>
          <w:szCs w:val="24"/>
        </w:rPr>
      </w:pPr>
    </w:p>
    <w:p w:rsidR="000F2A0F" w:rsidRDefault="000F2A0F" w:rsidP="005238B3">
      <w:pPr>
        <w:spacing w:after="0" w:line="360" w:lineRule="auto"/>
        <w:jc w:val="right"/>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43FFB" w:rsidRDefault="00E43FFB" w:rsidP="00601D7C">
      <w:pPr>
        <w:spacing w:after="0" w:line="360" w:lineRule="auto"/>
        <w:rPr>
          <w:rFonts w:ascii="Arial" w:hAnsi="Arial" w:cs="Arial"/>
          <w:sz w:val="24"/>
          <w:szCs w:val="24"/>
        </w:rPr>
      </w:pPr>
    </w:p>
    <w:p w:rsidR="00A76FF1" w:rsidRDefault="00A76FF1" w:rsidP="00601D7C">
      <w:pPr>
        <w:spacing w:after="0" w:line="360" w:lineRule="auto"/>
        <w:rPr>
          <w:rFonts w:ascii="Arial" w:hAnsi="Arial" w:cs="Arial"/>
          <w:sz w:val="24"/>
          <w:szCs w:val="24"/>
        </w:rPr>
      </w:pPr>
    </w:p>
    <w:p w:rsidR="00A76FF1" w:rsidRDefault="00A76FF1" w:rsidP="00601D7C">
      <w:pPr>
        <w:spacing w:after="0" w:line="360" w:lineRule="auto"/>
        <w:rPr>
          <w:rFonts w:ascii="Arial" w:hAnsi="Arial" w:cs="Arial"/>
          <w:sz w:val="24"/>
          <w:szCs w:val="24"/>
        </w:rPr>
      </w:pPr>
    </w:p>
    <w:p w:rsidR="00A76FF1" w:rsidRDefault="00A76FF1" w:rsidP="00601D7C">
      <w:pPr>
        <w:spacing w:after="0" w:line="360" w:lineRule="auto"/>
        <w:rPr>
          <w:rFonts w:ascii="Arial" w:hAnsi="Arial" w:cs="Arial"/>
          <w:sz w:val="24"/>
          <w:szCs w:val="24"/>
        </w:rPr>
      </w:pPr>
    </w:p>
    <w:p w:rsidR="00A76FF1" w:rsidRDefault="00A76FF1"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lastRenderedPageBreak/>
        <w:t>APPEARANCES:</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09A7">
        <w:rPr>
          <w:rFonts w:ascii="Arial" w:hAnsi="Arial" w:cs="Arial"/>
          <w:sz w:val="24"/>
          <w:szCs w:val="24"/>
        </w:rPr>
        <w:t>E ANGULA</w:t>
      </w:r>
    </w:p>
    <w:p w:rsidR="00601D7C" w:rsidRDefault="000A152E" w:rsidP="00E81FE5">
      <w:pPr>
        <w:spacing w:after="0" w:line="360" w:lineRule="auto"/>
        <w:ind w:left="3600"/>
        <w:rPr>
          <w:rFonts w:ascii="Arial" w:hAnsi="Arial" w:cs="Arial"/>
          <w:sz w:val="24"/>
          <w:szCs w:val="24"/>
        </w:rPr>
      </w:pPr>
      <w:proofErr w:type="gramStart"/>
      <w:r>
        <w:rPr>
          <w:rFonts w:ascii="Arial" w:hAnsi="Arial" w:cs="Arial"/>
          <w:sz w:val="24"/>
          <w:szCs w:val="24"/>
        </w:rPr>
        <w:t xml:space="preserve">Of </w:t>
      </w:r>
      <w:proofErr w:type="spellStart"/>
      <w:r w:rsidR="000209A7">
        <w:rPr>
          <w:rFonts w:ascii="Arial" w:hAnsi="Arial" w:cs="Arial"/>
          <w:sz w:val="24"/>
          <w:szCs w:val="24"/>
        </w:rPr>
        <w:t>AngulaCo</w:t>
      </w:r>
      <w:proofErr w:type="spellEnd"/>
      <w:r w:rsidR="000209A7">
        <w:rPr>
          <w:rFonts w:ascii="Arial" w:hAnsi="Arial" w:cs="Arial"/>
          <w:sz w:val="24"/>
          <w:szCs w:val="24"/>
        </w:rPr>
        <w:t xml:space="preserve"> Inc.</w:t>
      </w:r>
      <w:proofErr w:type="gramEnd"/>
      <w:r w:rsidR="000209A7">
        <w:rPr>
          <w:rFonts w:ascii="Arial" w:hAnsi="Arial" w:cs="Arial"/>
          <w:sz w:val="24"/>
          <w:szCs w:val="24"/>
        </w:rPr>
        <w:t xml:space="preserve"> </w:t>
      </w:r>
      <w:r w:rsidR="00E81FE5">
        <w:rPr>
          <w:rFonts w:ascii="Arial" w:hAnsi="Arial" w:cs="Arial"/>
          <w:sz w:val="24"/>
          <w:szCs w:val="24"/>
        </w:rPr>
        <w:t xml:space="preserve"> </w:t>
      </w:r>
      <w:r w:rsidR="007B65B6">
        <w:rPr>
          <w:rFonts w:ascii="Arial" w:hAnsi="Arial" w:cs="Arial"/>
          <w:sz w:val="24"/>
          <w:szCs w:val="24"/>
        </w:rPr>
        <w:t>Windhoek</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FIRST DEFENDANT:</w:t>
      </w:r>
      <w:r>
        <w:rPr>
          <w:rFonts w:ascii="Arial" w:hAnsi="Arial" w:cs="Arial"/>
          <w:sz w:val="24"/>
          <w:szCs w:val="24"/>
        </w:rPr>
        <w:tab/>
      </w:r>
      <w:r>
        <w:rPr>
          <w:rFonts w:ascii="Arial" w:hAnsi="Arial" w:cs="Arial"/>
          <w:sz w:val="24"/>
          <w:szCs w:val="24"/>
        </w:rPr>
        <w:tab/>
      </w:r>
      <w:r w:rsidR="000209A7">
        <w:rPr>
          <w:rFonts w:ascii="Arial" w:hAnsi="Arial" w:cs="Arial"/>
          <w:sz w:val="24"/>
          <w:szCs w:val="24"/>
        </w:rPr>
        <w:t>L SHIKALE</w:t>
      </w:r>
    </w:p>
    <w:p w:rsidR="00601D7C" w:rsidRDefault="00601D7C" w:rsidP="00E81FE5">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65B6">
        <w:rPr>
          <w:rFonts w:ascii="Arial" w:hAnsi="Arial" w:cs="Arial"/>
          <w:sz w:val="24"/>
          <w:szCs w:val="24"/>
        </w:rPr>
        <w:t xml:space="preserve">Of </w:t>
      </w:r>
      <w:proofErr w:type="spellStart"/>
      <w:r w:rsidR="000A152E">
        <w:rPr>
          <w:rFonts w:ascii="Arial" w:hAnsi="Arial" w:cs="Arial"/>
          <w:sz w:val="24"/>
          <w:szCs w:val="24"/>
        </w:rPr>
        <w:t>Shikale</w:t>
      </w:r>
      <w:proofErr w:type="spellEnd"/>
      <w:r w:rsidR="000A152E">
        <w:rPr>
          <w:rFonts w:ascii="Arial" w:hAnsi="Arial" w:cs="Arial"/>
          <w:sz w:val="24"/>
          <w:szCs w:val="24"/>
        </w:rPr>
        <w:t xml:space="preserve"> &amp; Associates</w:t>
      </w:r>
      <w:r>
        <w:rPr>
          <w:rFonts w:ascii="Arial" w:hAnsi="Arial" w:cs="Arial"/>
          <w:sz w:val="24"/>
          <w:szCs w:val="24"/>
        </w:rPr>
        <w:t>, Windhoek</w:t>
      </w:r>
    </w:p>
    <w:p w:rsidR="00601D7C" w:rsidRDefault="00601D7C" w:rsidP="00601D7C">
      <w:pPr>
        <w:spacing w:after="0" w:line="360" w:lineRule="auto"/>
        <w:rPr>
          <w:rFonts w:ascii="Arial" w:hAnsi="Arial" w:cs="Arial"/>
          <w:sz w:val="24"/>
          <w:szCs w:val="24"/>
        </w:rPr>
      </w:pPr>
    </w:p>
    <w:p w:rsidR="00601D7C" w:rsidRPr="00601D7C" w:rsidRDefault="00601D7C" w:rsidP="00601D7C">
      <w:pPr>
        <w:spacing w:after="0" w:line="360" w:lineRule="auto"/>
        <w:rPr>
          <w:rFonts w:ascii="Arial" w:hAnsi="Arial" w:cs="Arial"/>
          <w:sz w:val="24"/>
          <w:szCs w:val="24"/>
        </w:rPr>
      </w:pPr>
    </w:p>
    <w:sectPr w:rsidR="00601D7C" w:rsidRPr="00601D7C" w:rsidSect="0028595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F6" w:rsidRDefault="00492EF6" w:rsidP="000B30D9">
      <w:pPr>
        <w:spacing w:after="0" w:line="240" w:lineRule="auto"/>
      </w:pPr>
      <w:r>
        <w:separator/>
      </w:r>
    </w:p>
  </w:endnote>
  <w:endnote w:type="continuationSeparator" w:id="0">
    <w:p w:rsidR="00492EF6" w:rsidRDefault="00492EF6"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2F" w:rsidRDefault="0065312F">
    <w:pPr>
      <w:pStyle w:val="Footer"/>
      <w:jc w:val="right"/>
    </w:pPr>
  </w:p>
  <w:p w:rsidR="0065312F" w:rsidRDefault="00653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F6" w:rsidRDefault="00492EF6" w:rsidP="000B30D9">
      <w:pPr>
        <w:spacing w:after="0" w:line="240" w:lineRule="auto"/>
      </w:pPr>
      <w:r>
        <w:separator/>
      </w:r>
    </w:p>
  </w:footnote>
  <w:footnote w:type="continuationSeparator" w:id="0">
    <w:p w:rsidR="00492EF6" w:rsidRDefault="00492EF6"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75846"/>
      <w:docPartObj>
        <w:docPartGallery w:val="Page Numbers (Top of Page)"/>
        <w:docPartUnique/>
      </w:docPartObj>
    </w:sdtPr>
    <w:sdtEndPr>
      <w:rPr>
        <w:noProof/>
      </w:rPr>
    </w:sdtEndPr>
    <w:sdtContent>
      <w:p w:rsidR="0065312F" w:rsidRDefault="0065312F">
        <w:pPr>
          <w:pStyle w:val="Header"/>
          <w:jc w:val="right"/>
        </w:pPr>
        <w:r>
          <w:fldChar w:fldCharType="begin"/>
        </w:r>
        <w:r>
          <w:instrText xml:space="preserve"> PAGE   \* MERGEFORMAT </w:instrText>
        </w:r>
        <w:r>
          <w:fldChar w:fldCharType="separate"/>
        </w:r>
        <w:r w:rsidR="00B654E9">
          <w:rPr>
            <w:noProof/>
          </w:rPr>
          <w:t>14</w:t>
        </w:r>
        <w:r>
          <w:rPr>
            <w:noProof/>
          </w:rPr>
          <w:fldChar w:fldCharType="end"/>
        </w:r>
      </w:p>
    </w:sdtContent>
  </w:sdt>
  <w:p w:rsidR="0065312F" w:rsidRDefault="00653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721"/>
    <w:multiLevelType w:val="hybridMultilevel"/>
    <w:tmpl w:val="B6BE4D24"/>
    <w:lvl w:ilvl="0" w:tplc="F40E45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nsid w:val="0F751F21"/>
    <w:multiLevelType w:val="hybridMultilevel"/>
    <w:tmpl w:val="F3162D5E"/>
    <w:lvl w:ilvl="0" w:tplc="208048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64069BF"/>
    <w:multiLevelType w:val="hybridMultilevel"/>
    <w:tmpl w:val="69C4DEE6"/>
    <w:lvl w:ilvl="0" w:tplc="09044A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23625"/>
    <w:multiLevelType w:val="hybridMultilevel"/>
    <w:tmpl w:val="89F4D444"/>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E3B55"/>
    <w:multiLevelType w:val="multilevel"/>
    <w:tmpl w:val="F5B025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91672EE"/>
    <w:multiLevelType w:val="hybridMultilevel"/>
    <w:tmpl w:val="E4F89C86"/>
    <w:lvl w:ilvl="0" w:tplc="D7E0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45744"/>
    <w:multiLevelType w:val="hybridMultilevel"/>
    <w:tmpl w:val="FD22B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526F1"/>
    <w:multiLevelType w:val="hybridMultilevel"/>
    <w:tmpl w:val="FD22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B3DD4"/>
    <w:multiLevelType w:val="hybridMultilevel"/>
    <w:tmpl w:val="ABEC0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C76E1A"/>
    <w:multiLevelType w:val="hybridMultilevel"/>
    <w:tmpl w:val="670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E6647"/>
    <w:multiLevelType w:val="hybridMultilevel"/>
    <w:tmpl w:val="A97A26B8"/>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3"/>
  </w:num>
  <w:num w:numId="2">
    <w:abstractNumId w:val="1"/>
  </w:num>
  <w:num w:numId="3">
    <w:abstractNumId w:val="5"/>
  </w:num>
  <w:num w:numId="4">
    <w:abstractNumId w:val="15"/>
  </w:num>
  <w:num w:numId="5">
    <w:abstractNumId w:val="4"/>
  </w:num>
  <w:num w:numId="6">
    <w:abstractNumId w:val="6"/>
  </w:num>
  <w:num w:numId="7">
    <w:abstractNumId w:val="9"/>
  </w:num>
  <w:num w:numId="8">
    <w:abstractNumId w:val="13"/>
  </w:num>
  <w:num w:numId="9">
    <w:abstractNumId w:val="2"/>
  </w:num>
  <w:num w:numId="10">
    <w:abstractNumId w:val="14"/>
  </w:num>
  <w:num w:numId="11">
    <w:abstractNumId w:val="8"/>
  </w:num>
  <w:num w:numId="12">
    <w:abstractNumId w:val="7"/>
  </w:num>
  <w:num w:numId="13">
    <w:abstractNumId w:val="12"/>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C7"/>
    <w:rsid w:val="00003A5D"/>
    <w:rsid w:val="00004FF9"/>
    <w:rsid w:val="00012C5A"/>
    <w:rsid w:val="000171E1"/>
    <w:rsid w:val="000209A7"/>
    <w:rsid w:val="000212E6"/>
    <w:rsid w:val="00025975"/>
    <w:rsid w:val="00032A54"/>
    <w:rsid w:val="00041105"/>
    <w:rsid w:val="00042E05"/>
    <w:rsid w:val="000430C6"/>
    <w:rsid w:val="000455CD"/>
    <w:rsid w:val="00065B91"/>
    <w:rsid w:val="00067267"/>
    <w:rsid w:val="00071FB0"/>
    <w:rsid w:val="00075ECD"/>
    <w:rsid w:val="00075FE7"/>
    <w:rsid w:val="00076FF9"/>
    <w:rsid w:val="00077D57"/>
    <w:rsid w:val="0008161F"/>
    <w:rsid w:val="000836FC"/>
    <w:rsid w:val="000A094E"/>
    <w:rsid w:val="000A152E"/>
    <w:rsid w:val="000A28B0"/>
    <w:rsid w:val="000A2B6B"/>
    <w:rsid w:val="000A6908"/>
    <w:rsid w:val="000A76B3"/>
    <w:rsid w:val="000A7E87"/>
    <w:rsid w:val="000B2D62"/>
    <w:rsid w:val="000B30D9"/>
    <w:rsid w:val="000B7691"/>
    <w:rsid w:val="000B7905"/>
    <w:rsid w:val="000C64B7"/>
    <w:rsid w:val="000D689C"/>
    <w:rsid w:val="000E4DB1"/>
    <w:rsid w:val="000F2A0F"/>
    <w:rsid w:val="00100E88"/>
    <w:rsid w:val="00100F2C"/>
    <w:rsid w:val="00113B90"/>
    <w:rsid w:val="0011428D"/>
    <w:rsid w:val="00115BBF"/>
    <w:rsid w:val="0012127E"/>
    <w:rsid w:val="00123625"/>
    <w:rsid w:val="00124FF0"/>
    <w:rsid w:val="00126085"/>
    <w:rsid w:val="001277FD"/>
    <w:rsid w:val="00131BDC"/>
    <w:rsid w:val="001421E1"/>
    <w:rsid w:val="001539F2"/>
    <w:rsid w:val="00156BFF"/>
    <w:rsid w:val="00162141"/>
    <w:rsid w:val="00165A6B"/>
    <w:rsid w:val="00165C00"/>
    <w:rsid w:val="00170845"/>
    <w:rsid w:val="00172991"/>
    <w:rsid w:val="0017700D"/>
    <w:rsid w:val="001774E3"/>
    <w:rsid w:val="001826C4"/>
    <w:rsid w:val="00183B8E"/>
    <w:rsid w:val="00184845"/>
    <w:rsid w:val="00184CEE"/>
    <w:rsid w:val="0018662D"/>
    <w:rsid w:val="00187AB6"/>
    <w:rsid w:val="00191184"/>
    <w:rsid w:val="00197005"/>
    <w:rsid w:val="001A0541"/>
    <w:rsid w:val="001A4D94"/>
    <w:rsid w:val="001A61DD"/>
    <w:rsid w:val="001B0FA9"/>
    <w:rsid w:val="001B51CF"/>
    <w:rsid w:val="001C7C21"/>
    <w:rsid w:val="001D3AB4"/>
    <w:rsid w:val="001D3C43"/>
    <w:rsid w:val="001E1B5F"/>
    <w:rsid w:val="001E31D6"/>
    <w:rsid w:val="001E614F"/>
    <w:rsid w:val="001F7368"/>
    <w:rsid w:val="002019E5"/>
    <w:rsid w:val="00202A53"/>
    <w:rsid w:val="0021125E"/>
    <w:rsid w:val="00212998"/>
    <w:rsid w:val="0021707A"/>
    <w:rsid w:val="00221B23"/>
    <w:rsid w:val="00224470"/>
    <w:rsid w:val="00237D16"/>
    <w:rsid w:val="00240E07"/>
    <w:rsid w:val="002424FE"/>
    <w:rsid w:val="00243041"/>
    <w:rsid w:val="00247320"/>
    <w:rsid w:val="00247C59"/>
    <w:rsid w:val="00252CCC"/>
    <w:rsid w:val="00256D64"/>
    <w:rsid w:val="002677C5"/>
    <w:rsid w:val="00272286"/>
    <w:rsid w:val="00275263"/>
    <w:rsid w:val="002768EB"/>
    <w:rsid w:val="00284BB5"/>
    <w:rsid w:val="00285954"/>
    <w:rsid w:val="00287480"/>
    <w:rsid w:val="00287EC4"/>
    <w:rsid w:val="00294D9B"/>
    <w:rsid w:val="00296986"/>
    <w:rsid w:val="002A3D01"/>
    <w:rsid w:val="002A496B"/>
    <w:rsid w:val="002B0E22"/>
    <w:rsid w:val="002B6C0E"/>
    <w:rsid w:val="002B6E7D"/>
    <w:rsid w:val="002C0008"/>
    <w:rsid w:val="002C0AAE"/>
    <w:rsid w:val="002C1BB8"/>
    <w:rsid w:val="002E32BF"/>
    <w:rsid w:val="002E3A05"/>
    <w:rsid w:val="002F4A4C"/>
    <w:rsid w:val="002F72BE"/>
    <w:rsid w:val="00302DF6"/>
    <w:rsid w:val="00302DFD"/>
    <w:rsid w:val="00305B28"/>
    <w:rsid w:val="003066D0"/>
    <w:rsid w:val="00312052"/>
    <w:rsid w:val="00323D3C"/>
    <w:rsid w:val="00323F8D"/>
    <w:rsid w:val="00323FFF"/>
    <w:rsid w:val="0033413B"/>
    <w:rsid w:val="00334C5C"/>
    <w:rsid w:val="003417B4"/>
    <w:rsid w:val="00341B40"/>
    <w:rsid w:val="0034261A"/>
    <w:rsid w:val="00343835"/>
    <w:rsid w:val="00347095"/>
    <w:rsid w:val="00352E80"/>
    <w:rsid w:val="0035530A"/>
    <w:rsid w:val="00356A18"/>
    <w:rsid w:val="00360672"/>
    <w:rsid w:val="00363E80"/>
    <w:rsid w:val="003661EA"/>
    <w:rsid w:val="00380C0A"/>
    <w:rsid w:val="00380CF8"/>
    <w:rsid w:val="00382491"/>
    <w:rsid w:val="00383BC1"/>
    <w:rsid w:val="00393B39"/>
    <w:rsid w:val="003945A6"/>
    <w:rsid w:val="00395DFE"/>
    <w:rsid w:val="003A5195"/>
    <w:rsid w:val="003B338A"/>
    <w:rsid w:val="003C00E4"/>
    <w:rsid w:val="003C22FF"/>
    <w:rsid w:val="003C3402"/>
    <w:rsid w:val="003C6664"/>
    <w:rsid w:val="003C7791"/>
    <w:rsid w:val="003D1B6C"/>
    <w:rsid w:val="003D274E"/>
    <w:rsid w:val="003D6314"/>
    <w:rsid w:val="003E4E92"/>
    <w:rsid w:val="003E6D72"/>
    <w:rsid w:val="003E7E76"/>
    <w:rsid w:val="003F2504"/>
    <w:rsid w:val="003F514B"/>
    <w:rsid w:val="004226E0"/>
    <w:rsid w:val="00422CCF"/>
    <w:rsid w:val="00422DB0"/>
    <w:rsid w:val="00427789"/>
    <w:rsid w:val="004412FD"/>
    <w:rsid w:val="00457FFC"/>
    <w:rsid w:val="00471994"/>
    <w:rsid w:val="00473934"/>
    <w:rsid w:val="004740A0"/>
    <w:rsid w:val="00480AC2"/>
    <w:rsid w:val="00492EF6"/>
    <w:rsid w:val="004A12E5"/>
    <w:rsid w:val="004A13CA"/>
    <w:rsid w:val="004A29F6"/>
    <w:rsid w:val="004A3A1F"/>
    <w:rsid w:val="004B71A3"/>
    <w:rsid w:val="004C6ABC"/>
    <w:rsid w:val="004D0DFE"/>
    <w:rsid w:val="004D35C2"/>
    <w:rsid w:val="004D3D38"/>
    <w:rsid w:val="004D4475"/>
    <w:rsid w:val="004D5B20"/>
    <w:rsid w:val="004D757D"/>
    <w:rsid w:val="004E05F2"/>
    <w:rsid w:val="004E7DF6"/>
    <w:rsid w:val="004F2F6C"/>
    <w:rsid w:val="005011BB"/>
    <w:rsid w:val="00502430"/>
    <w:rsid w:val="005070A4"/>
    <w:rsid w:val="005163CD"/>
    <w:rsid w:val="00516C9A"/>
    <w:rsid w:val="005179A8"/>
    <w:rsid w:val="005201F4"/>
    <w:rsid w:val="0052075A"/>
    <w:rsid w:val="005224E2"/>
    <w:rsid w:val="005238B3"/>
    <w:rsid w:val="00525485"/>
    <w:rsid w:val="0053139D"/>
    <w:rsid w:val="00537423"/>
    <w:rsid w:val="0054331B"/>
    <w:rsid w:val="00546BAC"/>
    <w:rsid w:val="00551F44"/>
    <w:rsid w:val="0055290F"/>
    <w:rsid w:val="00553D9B"/>
    <w:rsid w:val="00557794"/>
    <w:rsid w:val="00563142"/>
    <w:rsid w:val="00563807"/>
    <w:rsid w:val="00565CA4"/>
    <w:rsid w:val="00574E74"/>
    <w:rsid w:val="00582D2F"/>
    <w:rsid w:val="00584C6B"/>
    <w:rsid w:val="00585B26"/>
    <w:rsid w:val="00586349"/>
    <w:rsid w:val="00592398"/>
    <w:rsid w:val="00595EAB"/>
    <w:rsid w:val="005B16BC"/>
    <w:rsid w:val="005B22AC"/>
    <w:rsid w:val="005C2DB9"/>
    <w:rsid w:val="005C36FC"/>
    <w:rsid w:val="005C4C9A"/>
    <w:rsid w:val="005C4D1B"/>
    <w:rsid w:val="005C68FB"/>
    <w:rsid w:val="005C695E"/>
    <w:rsid w:val="005D3016"/>
    <w:rsid w:val="005D48C4"/>
    <w:rsid w:val="005D66E1"/>
    <w:rsid w:val="005E0A78"/>
    <w:rsid w:val="005E11AB"/>
    <w:rsid w:val="005F543E"/>
    <w:rsid w:val="005F7898"/>
    <w:rsid w:val="005F79B7"/>
    <w:rsid w:val="00601D7C"/>
    <w:rsid w:val="00602D4B"/>
    <w:rsid w:val="00611C38"/>
    <w:rsid w:val="00623EC1"/>
    <w:rsid w:val="00624AFE"/>
    <w:rsid w:val="00627BE2"/>
    <w:rsid w:val="00632299"/>
    <w:rsid w:val="0063255F"/>
    <w:rsid w:val="00641D96"/>
    <w:rsid w:val="006510D0"/>
    <w:rsid w:val="0065312F"/>
    <w:rsid w:val="00656ECB"/>
    <w:rsid w:val="00657C20"/>
    <w:rsid w:val="0066084A"/>
    <w:rsid w:val="006763D3"/>
    <w:rsid w:val="00676522"/>
    <w:rsid w:val="006777B7"/>
    <w:rsid w:val="006830A5"/>
    <w:rsid w:val="00683140"/>
    <w:rsid w:val="00684A23"/>
    <w:rsid w:val="00684AD5"/>
    <w:rsid w:val="006901C7"/>
    <w:rsid w:val="0069204B"/>
    <w:rsid w:val="006A01DB"/>
    <w:rsid w:val="006A0D2E"/>
    <w:rsid w:val="006A4B95"/>
    <w:rsid w:val="006A6C2B"/>
    <w:rsid w:val="006C3401"/>
    <w:rsid w:val="006C59EB"/>
    <w:rsid w:val="006D40D9"/>
    <w:rsid w:val="006D58B4"/>
    <w:rsid w:val="006F08C8"/>
    <w:rsid w:val="006F2AFB"/>
    <w:rsid w:val="006F590A"/>
    <w:rsid w:val="006F7272"/>
    <w:rsid w:val="006F788D"/>
    <w:rsid w:val="00701A2A"/>
    <w:rsid w:val="0070290D"/>
    <w:rsid w:val="007031D7"/>
    <w:rsid w:val="00707E77"/>
    <w:rsid w:val="00710816"/>
    <w:rsid w:val="00712E10"/>
    <w:rsid w:val="00712E4B"/>
    <w:rsid w:val="00716CAC"/>
    <w:rsid w:val="0072039E"/>
    <w:rsid w:val="0072248E"/>
    <w:rsid w:val="0072718F"/>
    <w:rsid w:val="00727F91"/>
    <w:rsid w:val="00740482"/>
    <w:rsid w:val="0074239F"/>
    <w:rsid w:val="00747F2E"/>
    <w:rsid w:val="007578F9"/>
    <w:rsid w:val="00762E19"/>
    <w:rsid w:val="00773526"/>
    <w:rsid w:val="00780ECE"/>
    <w:rsid w:val="00785CFB"/>
    <w:rsid w:val="00786118"/>
    <w:rsid w:val="007903DB"/>
    <w:rsid w:val="00794676"/>
    <w:rsid w:val="007A234F"/>
    <w:rsid w:val="007A5903"/>
    <w:rsid w:val="007A789B"/>
    <w:rsid w:val="007A7E67"/>
    <w:rsid w:val="007B185B"/>
    <w:rsid w:val="007B65B6"/>
    <w:rsid w:val="007C43C9"/>
    <w:rsid w:val="007C769F"/>
    <w:rsid w:val="007F6724"/>
    <w:rsid w:val="00801F8F"/>
    <w:rsid w:val="00804FDD"/>
    <w:rsid w:val="008055F7"/>
    <w:rsid w:val="0081343B"/>
    <w:rsid w:val="008145B9"/>
    <w:rsid w:val="00815B70"/>
    <w:rsid w:val="00821864"/>
    <w:rsid w:val="0082313F"/>
    <w:rsid w:val="00827437"/>
    <w:rsid w:val="00832730"/>
    <w:rsid w:val="008338DD"/>
    <w:rsid w:val="00836A04"/>
    <w:rsid w:val="00841CFA"/>
    <w:rsid w:val="00854AB6"/>
    <w:rsid w:val="00863855"/>
    <w:rsid w:val="00865CE4"/>
    <w:rsid w:val="0087348F"/>
    <w:rsid w:val="00874F7D"/>
    <w:rsid w:val="00877365"/>
    <w:rsid w:val="00884FAB"/>
    <w:rsid w:val="008879AC"/>
    <w:rsid w:val="0089236B"/>
    <w:rsid w:val="008951A0"/>
    <w:rsid w:val="00895F3D"/>
    <w:rsid w:val="008B38D0"/>
    <w:rsid w:val="008C1C2C"/>
    <w:rsid w:val="008C3341"/>
    <w:rsid w:val="008C4051"/>
    <w:rsid w:val="008C6526"/>
    <w:rsid w:val="008C6AE4"/>
    <w:rsid w:val="008D0F02"/>
    <w:rsid w:val="008D14EC"/>
    <w:rsid w:val="008E25F2"/>
    <w:rsid w:val="008E3C2F"/>
    <w:rsid w:val="008E564C"/>
    <w:rsid w:val="008F3F35"/>
    <w:rsid w:val="008F481B"/>
    <w:rsid w:val="008F7451"/>
    <w:rsid w:val="00900966"/>
    <w:rsid w:val="00905508"/>
    <w:rsid w:val="0091043A"/>
    <w:rsid w:val="009115B2"/>
    <w:rsid w:val="0091360B"/>
    <w:rsid w:val="00921509"/>
    <w:rsid w:val="00930841"/>
    <w:rsid w:val="009336E6"/>
    <w:rsid w:val="00942EBE"/>
    <w:rsid w:val="00947AAB"/>
    <w:rsid w:val="00950FBE"/>
    <w:rsid w:val="0095156E"/>
    <w:rsid w:val="0095555C"/>
    <w:rsid w:val="009605A0"/>
    <w:rsid w:val="00960986"/>
    <w:rsid w:val="00967211"/>
    <w:rsid w:val="0097030B"/>
    <w:rsid w:val="00972E54"/>
    <w:rsid w:val="00977C6A"/>
    <w:rsid w:val="00990001"/>
    <w:rsid w:val="0099353A"/>
    <w:rsid w:val="00994CC0"/>
    <w:rsid w:val="00996CC1"/>
    <w:rsid w:val="009A0630"/>
    <w:rsid w:val="009A16A3"/>
    <w:rsid w:val="009A2715"/>
    <w:rsid w:val="009D030D"/>
    <w:rsid w:val="009D0730"/>
    <w:rsid w:val="009D6466"/>
    <w:rsid w:val="009F66DE"/>
    <w:rsid w:val="00A00BFB"/>
    <w:rsid w:val="00A01731"/>
    <w:rsid w:val="00A132B1"/>
    <w:rsid w:val="00A1406B"/>
    <w:rsid w:val="00A20AB2"/>
    <w:rsid w:val="00A25A71"/>
    <w:rsid w:val="00A35EC9"/>
    <w:rsid w:val="00A37BF6"/>
    <w:rsid w:val="00A46B71"/>
    <w:rsid w:val="00A52945"/>
    <w:rsid w:val="00A5353B"/>
    <w:rsid w:val="00A62FEA"/>
    <w:rsid w:val="00A67A12"/>
    <w:rsid w:val="00A703D2"/>
    <w:rsid w:val="00A72115"/>
    <w:rsid w:val="00A74C8B"/>
    <w:rsid w:val="00A76989"/>
    <w:rsid w:val="00A76FF1"/>
    <w:rsid w:val="00A77AC3"/>
    <w:rsid w:val="00A8016C"/>
    <w:rsid w:val="00A82F68"/>
    <w:rsid w:val="00A82FB9"/>
    <w:rsid w:val="00A83FA5"/>
    <w:rsid w:val="00A93123"/>
    <w:rsid w:val="00AA54B9"/>
    <w:rsid w:val="00AA56D5"/>
    <w:rsid w:val="00AB1F5C"/>
    <w:rsid w:val="00AB28FE"/>
    <w:rsid w:val="00AD50CE"/>
    <w:rsid w:val="00AD6A7C"/>
    <w:rsid w:val="00AE036C"/>
    <w:rsid w:val="00AE75F2"/>
    <w:rsid w:val="00AF0391"/>
    <w:rsid w:val="00AF1CA4"/>
    <w:rsid w:val="00AF2252"/>
    <w:rsid w:val="00AF4285"/>
    <w:rsid w:val="00AF66F6"/>
    <w:rsid w:val="00AF77D0"/>
    <w:rsid w:val="00B05205"/>
    <w:rsid w:val="00B05317"/>
    <w:rsid w:val="00B0697F"/>
    <w:rsid w:val="00B06AD7"/>
    <w:rsid w:val="00B07579"/>
    <w:rsid w:val="00B122DB"/>
    <w:rsid w:val="00B1414B"/>
    <w:rsid w:val="00B158C9"/>
    <w:rsid w:val="00B2031A"/>
    <w:rsid w:val="00B23DB5"/>
    <w:rsid w:val="00B350F2"/>
    <w:rsid w:val="00B360BD"/>
    <w:rsid w:val="00B36509"/>
    <w:rsid w:val="00B3785D"/>
    <w:rsid w:val="00B426A0"/>
    <w:rsid w:val="00B654E9"/>
    <w:rsid w:val="00B67FFA"/>
    <w:rsid w:val="00B70187"/>
    <w:rsid w:val="00B76882"/>
    <w:rsid w:val="00B80CCB"/>
    <w:rsid w:val="00B86F33"/>
    <w:rsid w:val="00B87AAC"/>
    <w:rsid w:val="00B90B5A"/>
    <w:rsid w:val="00BA56A9"/>
    <w:rsid w:val="00BA7BCA"/>
    <w:rsid w:val="00BB2317"/>
    <w:rsid w:val="00BB37C8"/>
    <w:rsid w:val="00BB71D9"/>
    <w:rsid w:val="00BC3ED8"/>
    <w:rsid w:val="00BC43EB"/>
    <w:rsid w:val="00BC6A14"/>
    <w:rsid w:val="00BE3123"/>
    <w:rsid w:val="00BF3F45"/>
    <w:rsid w:val="00BF4535"/>
    <w:rsid w:val="00C04D58"/>
    <w:rsid w:val="00C17C3D"/>
    <w:rsid w:val="00C2485A"/>
    <w:rsid w:val="00C30D43"/>
    <w:rsid w:val="00C341CB"/>
    <w:rsid w:val="00C348E2"/>
    <w:rsid w:val="00C36F6F"/>
    <w:rsid w:val="00C40D44"/>
    <w:rsid w:val="00C44096"/>
    <w:rsid w:val="00C45DD4"/>
    <w:rsid w:val="00C53DAD"/>
    <w:rsid w:val="00C64162"/>
    <w:rsid w:val="00C81FC0"/>
    <w:rsid w:val="00C84331"/>
    <w:rsid w:val="00C943C5"/>
    <w:rsid w:val="00CA075B"/>
    <w:rsid w:val="00CA22B7"/>
    <w:rsid w:val="00CA4715"/>
    <w:rsid w:val="00CA4803"/>
    <w:rsid w:val="00CA6FC5"/>
    <w:rsid w:val="00CB13A8"/>
    <w:rsid w:val="00CB770C"/>
    <w:rsid w:val="00CC010F"/>
    <w:rsid w:val="00CC199A"/>
    <w:rsid w:val="00CC3CE4"/>
    <w:rsid w:val="00CC7E1A"/>
    <w:rsid w:val="00CD6B49"/>
    <w:rsid w:val="00CE0222"/>
    <w:rsid w:val="00CE40AC"/>
    <w:rsid w:val="00CE75B8"/>
    <w:rsid w:val="00CF1894"/>
    <w:rsid w:val="00CF66F3"/>
    <w:rsid w:val="00D0014E"/>
    <w:rsid w:val="00D03C59"/>
    <w:rsid w:val="00D0453C"/>
    <w:rsid w:val="00D11DC0"/>
    <w:rsid w:val="00D14F17"/>
    <w:rsid w:val="00D15806"/>
    <w:rsid w:val="00D2164C"/>
    <w:rsid w:val="00D44C27"/>
    <w:rsid w:val="00D47D70"/>
    <w:rsid w:val="00D629B7"/>
    <w:rsid w:val="00D63962"/>
    <w:rsid w:val="00D64AAE"/>
    <w:rsid w:val="00D71611"/>
    <w:rsid w:val="00D71A1B"/>
    <w:rsid w:val="00D9789E"/>
    <w:rsid w:val="00DA3C2C"/>
    <w:rsid w:val="00DA7FF7"/>
    <w:rsid w:val="00DA7FFA"/>
    <w:rsid w:val="00DB04AE"/>
    <w:rsid w:val="00DB31B4"/>
    <w:rsid w:val="00DB3597"/>
    <w:rsid w:val="00DB6866"/>
    <w:rsid w:val="00DC35DB"/>
    <w:rsid w:val="00DC38A3"/>
    <w:rsid w:val="00DC4762"/>
    <w:rsid w:val="00DC4C25"/>
    <w:rsid w:val="00DC6093"/>
    <w:rsid w:val="00DD2219"/>
    <w:rsid w:val="00DD2620"/>
    <w:rsid w:val="00DD54D9"/>
    <w:rsid w:val="00DD5A2C"/>
    <w:rsid w:val="00DE2281"/>
    <w:rsid w:val="00DE7B5B"/>
    <w:rsid w:val="00DF12A3"/>
    <w:rsid w:val="00DF7D19"/>
    <w:rsid w:val="00E07B8A"/>
    <w:rsid w:val="00E14AE3"/>
    <w:rsid w:val="00E23349"/>
    <w:rsid w:val="00E24756"/>
    <w:rsid w:val="00E30DA8"/>
    <w:rsid w:val="00E31197"/>
    <w:rsid w:val="00E3400C"/>
    <w:rsid w:val="00E41920"/>
    <w:rsid w:val="00E43FFB"/>
    <w:rsid w:val="00E469C5"/>
    <w:rsid w:val="00E601EF"/>
    <w:rsid w:val="00E6031C"/>
    <w:rsid w:val="00E7150F"/>
    <w:rsid w:val="00E744E9"/>
    <w:rsid w:val="00E80F62"/>
    <w:rsid w:val="00E81FE5"/>
    <w:rsid w:val="00E857AA"/>
    <w:rsid w:val="00E90574"/>
    <w:rsid w:val="00E95A65"/>
    <w:rsid w:val="00E95F04"/>
    <w:rsid w:val="00E964E5"/>
    <w:rsid w:val="00E97F41"/>
    <w:rsid w:val="00EA347F"/>
    <w:rsid w:val="00EB6A7A"/>
    <w:rsid w:val="00EB7691"/>
    <w:rsid w:val="00EC0B04"/>
    <w:rsid w:val="00EC17BB"/>
    <w:rsid w:val="00EC2F1F"/>
    <w:rsid w:val="00ED52A5"/>
    <w:rsid w:val="00ED7655"/>
    <w:rsid w:val="00EE2DD3"/>
    <w:rsid w:val="00EE44FE"/>
    <w:rsid w:val="00EE4AEB"/>
    <w:rsid w:val="00EE4E73"/>
    <w:rsid w:val="00EE5A40"/>
    <w:rsid w:val="00EF1859"/>
    <w:rsid w:val="00EF28A7"/>
    <w:rsid w:val="00EF45E6"/>
    <w:rsid w:val="00EF7450"/>
    <w:rsid w:val="00F025D1"/>
    <w:rsid w:val="00F03920"/>
    <w:rsid w:val="00F04AFB"/>
    <w:rsid w:val="00F066C7"/>
    <w:rsid w:val="00F115BC"/>
    <w:rsid w:val="00F11B94"/>
    <w:rsid w:val="00F140C3"/>
    <w:rsid w:val="00F24DA7"/>
    <w:rsid w:val="00F257CF"/>
    <w:rsid w:val="00F3352D"/>
    <w:rsid w:val="00F376E4"/>
    <w:rsid w:val="00F413F6"/>
    <w:rsid w:val="00F43981"/>
    <w:rsid w:val="00F500D0"/>
    <w:rsid w:val="00F50852"/>
    <w:rsid w:val="00F54085"/>
    <w:rsid w:val="00F5464F"/>
    <w:rsid w:val="00F62DCD"/>
    <w:rsid w:val="00F674EC"/>
    <w:rsid w:val="00F67626"/>
    <w:rsid w:val="00F7273D"/>
    <w:rsid w:val="00F75E10"/>
    <w:rsid w:val="00F77C55"/>
    <w:rsid w:val="00F8180B"/>
    <w:rsid w:val="00F90413"/>
    <w:rsid w:val="00F91492"/>
    <w:rsid w:val="00F9520D"/>
    <w:rsid w:val="00F95895"/>
    <w:rsid w:val="00F96950"/>
    <w:rsid w:val="00F97D27"/>
    <w:rsid w:val="00FA3ED4"/>
    <w:rsid w:val="00FA6B1B"/>
    <w:rsid w:val="00FB5BB5"/>
    <w:rsid w:val="00FB5EB6"/>
    <w:rsid w:val="00FB65A5"/>
    <w:rsid w:val="00FC2CB9"/>
    <w:rsid w:val="00FD6DE6"/>
    <w:rsid w:val="00FD7A3C"/>
    <w:rsid w:val="00FE0A4E"/>
    <w:rsid w:val="00FE4F76"/>
    <w:rsid w:val="00FF03AE"/>
    <w:rsid w:val="00FF410D"/>
    <w:rsid w:val="00FF427F"/>
    <w:rsid w:val="00FF45F1"/>
    <w:rsid w:val="00FF5C97"/>
    <w:rsid w:val="00FF66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customStyle="1" w:styleId="ListParagraphChar">
    <w:name w:val="List Paragraph Char"/>
    <w:basedOn w:val="DefaultParagraphFont"/>
    <w:link w:val="ListParagraph"/>
    <w:uiPriority w:val="34"/>
    <w:locked/>
    <w:rsid w:val="0054331B"/>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customStyle="1" w:styleId="ListParagraphChar">
    <w:name w:val="List Paragraph Char"/>
    <w:basedOn w:val="DefaultParagraphFont"/>
    <w:link w:val="ListParagraph"/>
    <w:uiPriority w:val="34"/>
    <w:locked/>
    <w:rsid w:val="0054331B"/>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5614">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 w:id="935794722">
      <w:bodyDiv w:val="1"/>
      <w:marLeft w:val="0"/>
      <w:marRight w:val="0"/>
      <w:marTop w:val="0"/>
      <w:marBottom w:val="0"/>
      <w:divBdr>
        <w:top w:val="none" w:sz="0" w:space="0" w:color="auto"/>
        <w:left w:val="none" w:sz="0" w:space="0" w:color="auto"/>
        <w:bottom w:val="none" w:sz="0" w:space="0" w:color="auto"/>
        <w:right w:val="none" w:sz="0" w:space="0" w:color="auto"/>
      </w:divBdr>
    </w:div>
    <w:div w:id="1233932825">
      <w:bodyDiv w:val="1"/>
      <w:marLeft w:val="0"/>
      <w:marRight w:val="0"/>
      <w:marTop w:val="0"/>
      <w:marBottom w:val="0"/>
      <w:divBdr>
        <w:top w:val="none" w:sz="0" w:space="0" w:color="auto"/>
        <w:left w:val="none" w:sz="0" w:space="0" w:color="auto"/>
        <w:bottom w:val="none" w:sz="0" w:space="0" w:color="auto"/>
        <w:right w:val="none" w:sz="0" w:space="0" w:color="auto"/>
      </w:divBdr>
    </w:div>
    <w:div w:id="15682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2019-09-23T18:30:00+00:00</Judgment_x0020_Date>
    <Year xmlns="c1afb1bd-f2fb-40fd-9abb-aea55b4d7662">2019</Year>
  </documentManagement>
</p:properties>
</file>

<file path=customXml/itemProps1.xml><?xml version="1.0" encoding="utf-8"?>
<ds:datastoreItem xmlns:ds="http://schemas.openxmlformats.org/officeDocument/2006/customXml" ds:itemID="{E804F2EA-3D36-421B-8BE3-89FE080E8BB2}"/>
</file>

<file path=customXml/itemProps2.xml><?xml version="1.0" encoding="utf-8"?>
<ds:datastoreItem xmlns:ds="http://schemas.openxmlformats.org/officeDocument/2006/customXml" ds:itemID="{971E55E6-21EB-4A6E-BE28-CDCAE83DD68B}"/>
</file>

<file path=customXml/itemProps3.xml><?xml version="1.0" encoding="utf-8"?>
<ds:datastoreItem xmlns:ds="http://schemas.openxmlformats.org/officeDocument/2006/customXml" ds:itemID="{A650EBC3-76BF-4924-837B-9D72141FC192}"/>
</file>

<file path=customXml/itemProps4.xml><?xml version="1.0" encoding="utf-8"?>
<ds:datastoreItem xmlns:ds="http://schemas.openxmlformats.org/officeDocument/2006/customXml" ds:itemID="{926038C1-8DF7-4F17-BD22-C2AFC7A8275B}"/>
</file>

<file path=docProps/app.xml><?xml version="1.0" encoding="utf-8"?>
<Properties xmlns="http://schemas.openxmlformats.org/officeDocument/2006/extended-properties" xmlns:vt="http://schemas.openxmlformats.org/officeDocument/2006/docPropsVTypes">
  <Template>Normal</Template>
  <TotalTime>0</TotalTime>
  <Pages>14</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Konrad v Shanika (HC-MD-CIV-MOT-GEN-2016-00239)2019 NAHCMD 366 (24 September 2019)</dc:title>
  <dc:creator>Hileni Shilunga</dc:creator>
  <cp:lastModifiedBy>Eunice Sikongo</cp:lastModifiedBy>
  <cp:revision>2</cp:revision>
  <cp:lastPrinted>2019-09-19T12:12:00Z</cp:lastPrinted>
  <dcterms:created xsi:type="dcterms:W3CDTF">2019-09-26T06:50:00Z</dcterms:created>
  <dcterms:modified xsi:type="dcterms:W3CDTF">2019-09-26T06:50:00Z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