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9A" w:rsidRPr="00DA4588" w:rsidRDefault="00214E9A" w:rsidP="00214E9A">
      <w:pPr>
        <w:spacing w:after="0" w:line="240" w:lineRule="auto"/>
        <w:jc w:val="center"/>
        <w:rPr>
          <w:rFonts w:ascii="Arial Narrow" w:hAnsi="Arial Narrow"/>
          <w:sz w:val="24"/>
          <w:szCs w:val="24"/>
        </w:rPr>
      </w:pPr>
      <w:bookmarkStart w:id="0" w:name="_GoBack"/>
      <w:bookmarkEnd w:id="0"/>
      <w:r w:rsidRPr="00DA4588">
        <w:rPr>
          <w:rFonts w:ascii="Arial Narrow" w:hAnsi="Arial Narrow"/>
          <w:sz w:val="24"/>
          <w:szCs w:val="24"/>
        </w:rPr>
        <w:t>Practice Directive 61</w:t>
      </w:r>
    </w:p>
    <w:p w:rsidR="00214E9A" w:rsidRPr="00DA4588" w:rsidRDefault="00214E9A" w:rsidP="00214E9A">
      <w:pPr>
        <w:spacing w:after="0" w:line="360" w:lineRule="auto"/>
        <w:jc w:val="both"/>
        <w:rPr>
          <w:rFonts w:ascii="Arial Narrow" w:hAnsi="Arial Narrow"/>
          <w:sz w:val="24"/>
          <w:szCs w:val="24"/>
        </w:rPr>
      </w:pPr>
    </w:p>
    <w:p w:rsidR="00214E9A" w:rsidRPr="00DA4588" w:rsidRDefault="00214E9A" w:rsidP="00214E9A">
      <w:pPr>
        <w:spacing w:after="0" w:line="360" w:lineRule="auto"/>
        <w:jc w:val="center"/>
        <w:rPr>
          <w:rFonts w:ascii="Arial Narrow" w:hAnsi="Arial Narrow"/>
          <w:b/>
          <w:sz w:val="24"/>
          <w:szCs w:val="24"/>
        </w:rPr>
      </w:pPr>
      <w:r>
        <w:rPr>
          <w:rFonts w:ascii="Arial Narrow" w:hAnsi="Arial Narrow"/>
          <w:b/>
          <w:sz w:val="24"/>
          <w:szCs w:val="24"/>
        </w:rPr>
        <w:t>IN THE HIGH</w:t>
      </w:r>
      <w:r w:rsidRPr="00DA4588">
        <w:rPr>
          <w:rFonts w:ascii="Arial Narrow" w:hAnsi="Arial Narrow"/>
          <w:b/>
          <w:sz w:val="24"/>
          <w:szCs w:val="24"/>
        </w:rPr>
        <w:t xml:space="preserve"> COURT OF NAMIBIA</w:t>
      </w:r>
    </w:p>
    <w:p w:rsidR="00214E9A" w:rsidRPr="00DA4588" w:rsidRDefault="00214E9A" w:rsidP="00214E9A">
      <w:pPr>
        <w:spacing w:after="0" w:line="360" w:lineRule="auto"/>
        <w:jc w:val="both"/>
        <w:rPr>
          <w:rFonts w:ascii="Arial Narrow" w:hAnsi="Arial Narrow"/>
          <w:sz w:val="24"/>
          <w:szCs w:val="24"/>
        </w:rPr>
      </w:pPr>
    </w:p>
    <w:tbl>
      <w:tblPr>
        <w:tblStyle w:val="TableGrid"/>
        <w:tblW w:w="9597" w:type="dxa"/>
        <w:tblInd w:w="-275" w:type="dxa"/>
        <w:tblLook w:val="04A0" w:firstRow="1" w:lastRow="0" w:firstColumn="1" w:lastColumn="0" w:noHBand="0" w:noVBand="1"/>
      </w:tblPr>
      <w:tblGrid>
        <w:gridCol w:w="4770"/>
        <w:gridCol w:w="627"/>
        <w:gridCol w:w="4200"/>
      </w:tblGrid>
      <w:tr w:rsidR="00214E9A" w:rsidRPr="00DA4588" w:rsidTr="00BC4BD4">
        <w:trPr>
          <w:trHeight w:val="744"/>
        </w:trPr>
        <w:tc>
          <w:tcPr>
            <w:tcW w:w="5397" w:type="dxa"/>
            <w:gridSpan w:val="2"/>
            <w:vMerge w:val="restart"/>
          </w:tcPr>
          <w:p w:rsidR="00214E9A" w:rsidRPr="00DA4588" w:rsidRDefault="00214E9A" w:rsidP="00FC4D9E">
            <w:pPr>
              <w:spacing w:line="360" w:lineRule="auto"/>
              <w:jc w:val="both"/>
              <w:rPr>
                <w:rFonts w:ascii="Arial Narrow" w:hAnsi="Arial Narrow" w:cs="Arial"/>
                <w:sz w:val="24"/>
                <w:szCs w:val="24"/>
              </w:rPr>
            </w:pPr>
            <w:r w:rsidRPr="00DA4588">
              <w:rPr>
                <w:rFonts w:ascii="Arial Narrow" w:hAnsi="Arial Narrow" w:cs="Arial"/>
                <w:b/>
                <w:sz w:val="24"/>
                <w:szCs w:val="24"/>
              </w:rPr>
              <w:t>Case Title:</w:t>
            </w:r>
          </w:p>
          <w:p w:rsidR="00214E9A" w:rsidRPr="00DA4588" w:rsidRDefault="00214E9A" w:rsidP="00FC4D9E">
            <w:pPr>
              <w:tabs>
                <w:tab w:val="left" w:pos="6750"/>
              </w:tabs>
              <w:spacing w:line="360" w:lineRule="auto"/>
              <w:jc w:val="both"/>
              <w:rPr>
                <w:rFonts w:ascii="Arial Narrow" w:hAnsi="Arial Narrow" w:cs="Arial"/>
                <w:sz w:val="24"/>
                <w:szCs w:val="24"/>
              </w:rPr>
            </w:pPr>
            <w:r w:rsidRPr="00214E9A">
              <w:rPr>
                <w:rFonts w:ascii="Arial Narrow" w:eastAsia="Times New Roman" w:hAnsi="Arial Narrow" w:cs="Arial"/>
                <w:sz w:val="24"/>
                <w:szCs w:val="24"/>
              </w:rPr>
              <w:t>RIVOLI NAMIBIA (PTY) LTD vs SALINI NAMIBIA (PTY) LTD</w:t>
            </w:r>
          </w:p>
        </w:tc>
        <w:tc>
          <w:tcPr>
            <w:tcW w:w="4200" w:type="dxa"/>
          </w:tcPr>
          <w:p w:rsidR="00214E9A" w:rsidRPr="00DA4588" w:rsidRDefault="00214E9A" w:rsidP="00FC4D9E">
            <w:pPr>
              <w:spacing w:line="360" w:lineRule="auto"/>
              <w:jc w:val="both"/>
              <w:rPr>
                <w:rFonts w:ascii="Arial Narrow" w:hAnsi="Arial Narrow" w:cs="Arial"/>
                <w:sz w:val="24"/>
                <w:szCs w:val="24"/>
              </w:rPr>
            </w:pPr>
            <w:r w:rsidRPr="00DA4588">
              <w:rPr>
                <w:rFonts w:ascii="Arial Narrow" w:hAnsi="Arial Narrow" w:cs="Arial"/>
                <w:b/>
                <w:sz w:val="24"/>
                <w:szCs w:val="24"/>
              </w:rPr>
              <w:t>Case No:</w:t>
            </w:r>
          </w:p>
          <w:p w:rsidR="00214E9A" w:rsidRPr="00DA4588" w:rsidRDefault="00214E9A" w:rsidP="00FC4D9E">
            <w:pPr>
              <w:spacing w:line="360" w:lineRule="auto"/>
              <w:rPr>
                <w:rFonts w:ascii="Arial Narrow" w:hAnsi="Arial Narrow" w:cs="Arial"/>
                <w:b/>
                <w:sz w:val="24"/>
                <w:szCs w:val="24"/>
              </w:rPr>
            </w:pPr>
            <w:r w:rsidRPr="00214E9A">
              <w:rPr>
                <w:rFonts w:ascii="Arial Narrow" w:hAnsi="Arial Narrow" w:cs="Arial"/>
                <w:sz w:val="24"/>
                <w:szCs w:val="24"/>
              </w:rPr>
              <w:t>HC-MD-CIV-ACT-CON-2018/02271</w:t>
            </w:r>
          </w:p>
        </w:tc>
      </w:tr>
      <w:tr w:rsidR="00214E9A" w:rsidRPr="00DA4588" w:rsidTr="00BC4BD4">
        <w:trPr>
          <w:trHeight w:val="844"/>
        </w:trPr>
        <w:tc>
          <w:tcPr>
            <w:tcW w:w="5397" w:type="dxa"/>
            <w:gridSpan w:val="2"/>
            <w:vMerge/>
          </w:tcPr>
          <w:p w:rsidR="00214E9A" w:rsidRPr="00DA4588" w:rsidRDefault="00214E9A" w:rsidP="00FC4D9E">
            <w:pPr>
              <w:spacing w:line="360" w:lineRule="auto"/>
              <w:jc w:val="both"/>
              <w:rPr>
                <w:rFonts w:ascii="Arial Narrow" w:hAnsi="Arial Narrow" w:cs="Arial"/>
                <w:sz w:val="24"/>
                <w:szCs w:val="24"/>
              </w:rPr>
            </w:pPr>
          </w:p>
        </w:tc>
        <w:tc>
          <w:tcPr>
            <w:tcW w:w="4200" w:type="dxa"/>
          </w:tcPr>
          <w:p w:rsidR="00214E9A" w:rsidRPr="00DA4588" w:rsidRDefault="00214E9A" w:rsidP="00FC4D9E">
            <w:pPr>
              <w:spacing w:line="360" w:lineRule="auto"/>
              <w:jc w:val="both"/>
              <w:rPr>
                <w:rFonts w:ascii="Arial Narrow" w:hAnsi="Arial Narrow" w:cs="Arial"/>
                <w:sz w:val="24"/>
                <w:szCs w:val="24"/>
              </w:rPr>
            </w:pPr>
            <w:r w:rsidRPr="00DA4588">
              <w:rPr>
                <w:rFonts w:ascii="Arial Narrow" w:hAnsi="Arial Narrow" w:cs="Arial"/>
                <w:b/>
                <w:sz w:val="24"/>
                <w:szCs w:val="24"/>
              </w:rPr>
              <w:t>Division of Court:</w:t>
            </w:r>
          </w:p>
          <w:p w:rsidR="00214E9A" w:rsidRPr="00DA4588" w:rsidRDefault="00214E9A" w:rsidP="00FC4D9E">
            <w:pPr>
              <w:spacing w:line="360" w:lineRule="auto"/>
              <w:jc w:val="both"/>
              <w:rPr>
                <w:rFonts w:ascii="Arial Narrow" w:hAnsi="Arial Narrow" w:cs="Arial"/>
                <w:sz w:val="24"/>
                <w:szCs w:val="24"/>
              </w:rPr>
            </w:pPr>
            <w:r>
              <w:rPr>
                <w:rFonts w:ascii="Arial Narrow" w:hAnsi="Arial Narrow" w:cs="Arial"/>
                <w:sz w:val="24"/>
                <w:szCs w:val="24"/>
              </w:rPr>
              <w:t xml:space="preserve">HIGH COURT </w:t>
            </w:r>
            <w:r w:rsidRPr="00DA4588">
              <w:rPr>
                <w:rFonts w:ascii="Arial Narrow" w:hAnsi="Arial Narrow" w:cs="Arial"/>
                <w:sz w:val="24"/>
                <w:szCs w:val="24"/>
              </w:rPr>
              <w:t>(MAIN DIVISION)</w:t>
            </w:r>
          </w:p>
        </w:tc>
      </w:tr>
      <w:tr w:rsidR="00214E9A" w:rsidRPr="00DA4588" w:rsidTr="00BC4BD4">
        <w:trPr>
          <w:trHeight w:val="645"/>
        </w:trPr>
        <w:tc>
          <w:tcPr>
            <w:tcW w:w="5397" w:type="dxa"/>
            <w:gridSpan w:val="2"/>
            <w:vMerge w:val="restart"/>
          </w:tcPr>
          <w:p w:rsidR="00214E9A" w:rsidRPr="00DA4588" w:rsidRDefault="00214E9A" w:rsidP="00FC4D9E">
            <w:pPr>
              <w:spacing w:line="360" w:lineRule="auto"/>
              <w:jc w:val="both"/>
              <w:rPr>
                <w:rFonts w:ascii="Arial Narrow" w:hAnsi="Arial Narrow" w:cs="Arial"/>
                <w:b/>
                <w:sz w:val="24"/>
                <w:szCs w:val="24"/>
              </w:rPr>
            </w:pPr>
            <w:r w:rsidRPr="00DA4588">
              <w:rPr>
                <w:rFonts w:ascii="Arial Narrow" w:hAnsi="Arial Narrow" w:cs="Arial"/>
                <w:b/>
                <w:sz w:val="24"/>
                <w:szCs w:val="24"/>
              </w:rPr>
              <w:t>Heard before:</w:t>
            </w:r>
          </w:p>
          <w:p w:rsidR="00214E9A" w:rsidRPr="00DA4588" w:rsidRDefault="00214E9A" w:rsidP="00FC4D9E">
            <w:pPr>
              <w:spacing w:line="360" w:lineRule="auto"/>
              <w:jc w:val="both"/>
              <w:rPr>
                <w:rFonts w:ascii="Arial Narrow" w:hAnsi="Arial Narrow" w:cs="Arial"/>
                <w:sz w:val="24"/>
                <w:szCs w:val="24"/>
              </w:rPr>
            </w:pPr>
            <w:r>
              <w:rPr>
                <w:rFonts w:ascii="Arial Narrow" w:hAnsi="Arial Narrow" w:cs="Arial"/>
                <w:sz w:val="24"/>
                <w:szCs w:val="24"/>
              </w:rPr>
              <w:t>Honourable Mrs Justice Rakow, AJ</w:t>
            </w:r>
          </w:p>
        </w:tc>
        <w:tc>
          <w:tcPr>
            <w:tcW w:w="4200" w:type="dxa"/>
          </w:tcPr>
          <w:p w:rsidR="00214E9A" w:rsidRPr="00DA4588" w:rsidRDefault="00214E9A" w:rsidP="00FC4D9E">
            <w:pPr>
              <w:spacing w:line="360" w:lineRule="auto"/>
              <w:jc w:val="both"/>
              <w:rPr>
                <w:rFonts w:ascii="Arial Narrow" w:hAnsi="Arial Narrow" w:cs="Arial"/>
                <w:b/>
                <w:sz w:val="24"/>
                <w:szCs w:val="24"/>
              </w:rPr>
            </w:pPr>
            <w:r w:rsidRPr="00DA4588">
              <w:rPr>
                <w:rFonts w:ascii="Arial Narrow" w:hAnsi="Arial Narrow" w:cs="Arial"/>
                <w:b/>
                <w:sz w:val="24"/>
                <w:szCs w:val="24"/>
              </w:rPr>
              <w:t>Date of hearing:</w:t>
            </w:r>
          </w:p>
          <w:p w:rsidR="00214E9A" w:rsidRPr="00DA4588" w:rsidRDefault="00214E9A" w:rsidP="00FC4D9E">
            <w:pPr>
              <w:spacing w:line="360" w:lineRule="auto"/>
              <w:rPr>
                <w:rFonts w:ascii="Arial Narrow" w:hAnsi="Arial Narrow" w:cs="Arial"/>
                <w:sz w:val="24"/>
                <w:szCs w:val="24"/>
              </w:rPr>
            </w:pPr>
            <w:r>
              <w:rPr>
                <w:rFonts w:ascii="Arial Narrow" w:hAnsi="Arial Narrow" w:cs="Arial"/>
                <w:sz w:val="24"/>
                <w:szCs w:val="24"/>
              </w:rPr>
              <w:t>04 November 2019</w:t>
            </w:r>
            <w:r w:rsidRPr="008D74C2">
              <w:rPr>
                <w:rFonts w:ascii="Arial Narrow" w:hAnsi="Arial Narrow" w:cs="Arial"/>
                <w:color w:val="FF0000"/>
                <w:sz w:val="24"/>
                <w:szCs w:val="24"/>
              </w:rPr>
              <w:t>.</w:t>
            </w:r>
          </w:p>
        </w:tc>
      </w:tr>
      <w:tr w:rsidR="00214E9A" w:rsidRPr="00DA4588" w:rsidTr="00BC4BD4">
        <w:trPr>
          <w:trHeight w:val="588"/>
        </w:trPr>
        <w:tc>
          <w:tcPr>
            <w:tcW w:w="5397" w:type="dxa"/>
            <w:gridSpan w:val="2"/>
            <w:vMerge/>
          </w:tcPr>
          <w:p w:rsidR="00214E9A" w:rsidRPr="00DA4588" w:rsidRDefault="00214E9A" w:rsidP="00FC4D9E">
            <w:pPr>
              <w:spacing w:line="360" w:lineRule="auto"/>
              <w:jc w:val="both"/>
              <w:rPr>
                <w:rFonts w:ascii="Arial Narrow" w:hAnsi="Arial Narrow" w:cs="Arial"/>
                <w:b/>
                <w:sz w:val="24"/>
                <w:szCs w:val="24"/>
              </w:rPr>
            </w:pPr>
          </w:p>
        </w:tc>
        <w:tc>
          <w:tcPr>
            <w:tcW w:w="4200" w:type="dxa"/>
          </w:tcPr>
          <w:p w:rsidR="00214E9A" w:rsidRPr="00DA4588" w:rsidRDefault="00214E9A" w:rsidP="00FC4D9E">
            <w:pPr>
              <w:spacing w:line="360" w:lineRule="auto"/>
              <w:jc w:val="both"/>
              <w:rPr>
                <w:rFonts w:ascii="Arial Narrow" w:hAnsi="Arial Narrow" w:cs="Arial"/>
                <w:b/>
                <w:sz w:val="24"/>
                <w:szCs w:val="24"/>
              </w:rPr>
            </w:pPr>
            <w:r w:rsidRPr="00DA4588">
              <w:rPr>
                <w:rFonts w:ascii="Arial Narrow" w:hAnsi="Arial Narrow" w:cs="Arial"/>
                <w:b/>
                <w:sz w:val="24"/>
                <w:szCs w:val="24"/>
              </w:rPr>
              <w:t>Date of order:</w:t>
            </w:r>
          </w:p>
          <w:p w:rsidR="00214E9A" w:rsidRPr="00BA5B39" w:rsidRDefault="00214E9A" w:rsidP="00FC4D9E">
            <w:pPr>
              <w:spacing w:line="360" w:lineRule="auto"/>
              <w:jc w:val="both"/>
              <w:rPr>
                <w:rFonts w:ascii="Arial Narrow" w:hAnsi="Arial Narrow" w:cs="Arial"/>
                <w:sz w:val="24"/>
                <w:szCs w:val="24"/>
              </w:rPr>
            </w:pPr>
            <w:r>
              <w:rPr>
                <w:rFonts w:ascii="Arial Narrow" w:hAnsi="Arial Narrow" w:cs="Arial"/>
                <w:sz w:val="24"/>
                <w:szCs w:val="24"/>
              </w:rPr>
              <w:t>04 December 2019</w:t>
            </w:r>
          </w:p>
        </w:tc>
      </w:tr>
      <w:tr w:rsidR="00214E9A" w:rsidRPr="00DA4588" w:rsidTr="00BC4BD4">
        <w:tc>
          <w:tcPr>
            <w:tcW w:w="9597" w:type="dxa"/>
            <w:gridSpan w:val="3"/>
          </w:tcPr>
          <w:p w:rsidR="00214E9A" w:rsidRPr="00DA4588" w:rsidRDefault="00214E9A" w:rsidP="00FC4D9E">
            <w:pPr>
              <w:pStyle w:val="form-control-static"/>
              <w:shd w:val="clear" w:color="auto" w:fill="FFFFFF"/>
              <w:spacing w:before="0" w:beforeAutospacing="0" w:after="0" w:afterAutospacing="0"/>
              <w:rPr>
                <w:rFonts w:ascii="Arial Narrow" w:hAnsi="Arial Narrow" w:cs="Arial"/>
              </w:rPr>
            </w:pPr>
            <w:r w:rsidRPr="00DA4588">
              <w:rPr>
                <w:rFonts w:ascii="Arial Narrow" w:hAnsi="Arial Narrow" w:cs="Arial"/>
                <w:b/>
              </w:rPr>
              <w:t xml:space="preserve">Neutral citation: </w:t>
            </w:r>
          </w:p>
          <w:p w:rsidR="00214E9A" w:rsidRPr="0042520F" w:rsidRDefault="00214E9A" w:rsidP="006F0A84">
            <w:pPr>
              <w:pStyle w:val="form-control-static"/>
              <w:shd w:val="clear" w:color="auto" w:fill="FFFFFF"/>
              <w:spacing w:after="0"/>
              <w:jc w:val="both"/>
              <w:rPr>
                <w:rFonts w:ascii="Arial Narrow" w:hAnsi="Arial Narrow" w:cs="Arial"/>
                <w:i/>
                <w:lang w:val="en-GB"/>
              </w:rPr>
            </w:pPr>
            <w:r>
              <w:rPr>
                <w:rFonts w:ascii="Arial Narrow" w:hAnsi="Arial Narrow" w:cs="Arial"/>
                <w:i/>
                <w:lang w:val="en-ZA"/>
              </w:rPr>
              <w:t>Rivoli Namibia (Pty) Ltd v</w:t>
            </w:r>
            <w:r w:rsidRPr="00214E9A">
              <w:rPr>
                <w:rFonts w:ascii="Arial Narrow" w:hAnsi="Arial Narrow" w:cs="Arial"/>
                <w:i/>
                <w:lang w:val="en-ZA"/>
              </w:rPr>
              <w:t xml:space="preserve">s Salini Namibia (Pty) Ltd </w:t>
            </w:r>
            <w:r w:rsidRPr="00DA4588">
              <w:rPr>
                <w:rFonts w:ascii="Arial Narrow" w:hAnsi="Arial Narrow" w:cs="Arial"/>
              </w:rPr>
              <w:t>(</w:t>
            </w:r>
            <w:r w:rsidRPr="00214E9A">
              <w:rPr>
                <w:rFonts w:ascii="Arial Narrow" w:hAnsi="Arial Narrow" w:cs="Arial"/>
                <w:lang w:val="en-ZA"/>
              </w:rPr>
              <w:t>HC-MD-CIV-ACT-CON-2018/02271</w:t>
            </w:r>
            <w:r>
              <w:rPr>
                <w:rFonts w:ascii="Arial Narrow" w:hAnsi="Arial Narrow" w:cs="Arial"/>
              </w:rPr>
              <w:t xml:space="preserve">) [2019] NAHCMD </w:t>
            </w:r>
            <w:r w:rsidR="006F0A84">
              <w:rPr>
                <w:rFonts w:ascii="Arial Narrow" w:hAnsi="Arial Narrow" w:cs="Arial"/>
              </w:rPr>
              <w:t xml:space="preserve">528 </w:t>
            </w:r>
            <w:r w:rsidRPr="00DA4588">
              <w:rPr>
                <w:rFonts w:ascii="Arial Narrow" w:hAnsi="Arial Narrow" w:cs="Arial"/>
              </w:rPr>
              <w:t>(</w:t>
            </w:r>
            <w:r>
              <w:rPr>
                <w:rFonts w:ascii="Arial Narrow" w:hAnsi="Arial Narrow" w:cs="Arial"/>
              </w:rPr>
              <w:t>04 December 2019)</w:t>
            </w:r>
          </w:p>
        </w:tc>
      </w:tr>
      <w:tr w:rsidR="00214E9A" w:rsidRPr="00DA4588" w:rsidTr="00BC4BD4">
        <w:tc>
          <w:tcPr>
            <w:tcW w:w="9597" w:type="dxa"/>
            <w:gridSpan w:val="3"/>
          </w:tcPr>
          <w:p w:rsidR="00214E9A" w:rsidRPr="00DA4588" w:rsidRDefault="00214E9A" w:rsidP="00FC4D9E">
            <w:pPr>
              <w:spacing w:line="360" w:lineRule="auto"/>
              <w:jc w:val="both"/>
              <w:rPr>
                <w:rFonts w:ascii="Arial Narrow" w:hAnsi="Arial Narrow" w:cs="Arial"/>
                <w:b/>
                <w:sz w:val="24"/>
                <w:szCs w:val="24"/>
              </w:rPr>
            </w:pPr>
            <w:r>
              <w:rPr>
                <w:rFonts w:ascii="Arial Narrow" w:hAnsi="Arial Narrow" w:cs="Arial"/>
                <w:sz w:val="24"/>
                <w:szCs w:val="24"/>
              </w:rPr>
              <w:t>Having read the record of proceedings as well as submissions made by counsels for the applicants and the respondent:</w:t>
            </w:r>
          </w:p>
          <w:p w:rsidR="00214E9A" w:rsidRDefault="00214E9A" w:rsidP="00FC4D9E">
            <w:pPr>
              <w:spacing w:line="360" w:lineRule="auto"/>
              <w:jc w:val="both"/>
              <w:rPr>
                <w:rFonts w:ascii="Arial Narrow" w:hAnsi="Arial Narrow" w:cs="Arial"/>
                <w:b/>
                <w:sz w:val="24"/>
                <w:szCs w:val="24"/>
              </w:rPr>
            </w:pPr>
            <w:r>
              <w:rPr>
                <w:rFonts w:ascii="Arial Narrow" w:hAnsi="Arial Narrow" w:cs="Arial"/>
                <w:b/>
                <w:sz w:val="24"/>
                <w:szCs w:val="24"/>
              </w:rPr>
              <w:t>IT IS HEREBY ORDERED THAT:</w:t>
            </w:r>
          </w:p>
          <w:p w:rsidR="00C40546" w:rsidRPr="00C40546" w:rsidRDefault="00214E9A" w:rsidP="00214E9A">
            <w:pPr>
              <w:pStyle w:val="NoSpacing"/>
              <w:spacing w:line="360" w:lineRule="auto"/>
              <w:jc w:val="both"/>
              <w:rPr>
                <w:rFonts w:ascii="Arial Narrow" w:hAnsi="Arial Narrow"/>
                <w:lang w:val="af-ZA"/>
              </w:rPr>
            </w:pPr>
            <w:r>
              <w:rPr>
                <w:rFonts w:ascii="Arial Narrow" w:hAnsi="Arial Narrow"/>
                <w:lang w:val="af-ZA"/>
              </w:rPr>
              <w:t>a)</w:t>
            </w:r>
            <w:r w:rsidR="00717241" w:rsidRPr="00B6047C">
              <w:rPr>
                <w:rFonts w:ascii="Arial Narrow" w:hAnsi="Arial Narrow"/>
                <w:lang w:val="af-ZA"/>
              </w:rPr>
              <w:t xml:space="preserve">       The special plea </w:t>
            </w:r>
            <w:r w:rsidR="00C40546">
              <w:rPr>
                <w:rFonts w:ascii="Arial Narrow" w:hAnsi="Arial Narrow"/>
                <w:lang w:val="af-ZA"/>
              </w:rPr>
              <w:t>is upheld with costs, costs to include the costs of one intr</w:t>
            </w:r>
            <w:r w:rsidR="001166F1">
              <w:rPr>
                <w:rFonts w:ascii="Arial Narrow" w:hAnsi="Arial Narrow"/>
                <w:lang w:val="af-ZA"/>
              </w:rPr>
              <w:t>ucting and one instructed counse</w:t>
            </w:r>
            <w:r w:rsidR="00C40546">
              <w:rPr>
                <w:rFonts w:ascii="Arial Narrow" w:hAnsi="Arial Narrow"/>
                <w:lang w:val="af-ZA"/>
              </w:rPr>
              <w:t>l.</w:t>
            </w:r>
          </w:p>
          <w:p w:rsidR="00214E9A" w:rsidRPr="002434D2" w:rsidRDefault="00214E9A" w:rsidP="00FC4D9E">
            <w:pPr>
              <w:pStyle w:val="NoSpacing"/>
              <w:spacing w:line="360" w:lineRule="auto"/>
              <w:jc w:val="both"/>
              <w:rPr>
                <w:rFonts w:ascii="Arial Narrow" w:hAnsi="Arial Narrow" w:cs="Arial"/>
                <w:sz w:val="24"/>
                <w:szCs w:val="24"/>
              </w:rPr>
            </w:pPr>
          </w:p>
        </w:tc>
      </w:tr>
      <w:tr w:rsidR="00214E9A" w:rsidRPr="00DA4588" w:rsidTr="00BC4BD4">
        <w:tc>
          <w:tcPr>
            <w:tcW w:w="9597" w:type="dxa"/>
            <w:gridSpan w:val="3"/>
          </w:tcPr>
          <w:p w:rsidR="00214E9A" w:rsidRDefault="00214E9A" w:rsidP="00FC4D9E">
            <w:pPr>
              <w:spacing w:after="0" w:line="360" w:lineRule="auto"/>
              <w:jc w:val="both"/>
              <w:rPr>
                <w:rFonts w:ascii="Arial Narrow" w:hAnsi="Arial Narrow" w:cs="Arial"/>
                <w:b/>
                <w:sz w:val="24"/>
                <w:szCs w:val="24"/>
              </w:rPr>
            </w:pPr>
            <w:r w:rsidRPr="00DA4588">
              <w:rPr>
                <w:rFonts w:ascii="Arial Narrow" w:hAnsi="Arial Narrow" w:cs="Arial"/>
                <w:b/>
                <w:sz w:val="24"/>
                <w:szCs w:val="24"/>
              </w:rPr>
              <w:t>Reasons for orders:</w:t>
            </w:r>
          </w:p>
          <w:p w:rsidR="00214E9A" w:rsidRDefault="00214E9A" w:rsidP="00FC4D9E">
            <w:pPr>
              <w:spacing w:after="0" w:line="360" w:lineRule="auto"/>
              <w:jc w:val="both"/>
              <w:rPr>
                <w:rFonts w:ascii="Arial Narrow" w:hAnsi="Arial Narrow"/>
                <w:sz w:val="24"/>
                <w:szCs w:val="24"/>
                <w:lang w:val="af-ZA"/>
              </w:rPr>
            </w:pPr>
          </w:p>
          <w:p w:rsidR="00214E9A" w:rsidRDefault="00214E9A" w:rsidP="00FC4D9E">
            <w:pPr>
              <w:spacing w:after="0" w:line="360" w:lineRule="auto"/>
              <w:jc w:val="both"/>
              <w:rPr>
                <w:rFonts w:ascii="Arial Narrow" w:hAnsi="Arial Narrow"/>
                <w:sz w:val="24"/>
                <w:szCs w:val="24"/>
                <w:u w:val="single"/>
                <w:lang w:val="af-ZA"/>
              </w:rPr>
            </w:pPr>
            <w:r>
              <w:rPr>
                <w:rFonts w:ascii="Arial Narrow" w:hAnsi="Arial Narrow"/>
                <w:sz w:val="24"/>
                <w:szCs w:val="24"/>
                <w:u w:val="single"/>
                <w:lang w:val="af-ZA"/>
              </w:rPr>
              <w:t>Background</w:t>
            </w:r>
          </w:p>
          <w:p w:rsidR="00214E9A" w:rsidRPr="00B6047C" w:rsidRDefault="00214E9A" w:rsidP="00FC4D9E">
            <w:pPr>
              <w:spacing w:after="0" w:line="360" w:lineRule="auto"/>
              <w:jc w:val="both"/>
              <w:rPr>
                <w:rFonts w:ascii="Arial Narrow" w:hAnsi="Arial Narrow"/>
                <w:sz w:val="24"/>
                <w:szCs w:val="24"/>
                <w:u w:val="single"/>
                <w:lang w:val="af-ZA"/>
              </w:rPr>
            </w:pPr>
          </w:p>
          <w:p w:rsidR="00214E9A" w:rsidRPr="006275A2" w:rsidRDefault="00214E9A" w:rsidP="006275A2">
            <w:pPr>
              <w:spacing w:after="0" w:line="360" w:lineRule="auto"/>
              <w:jc w:val="both"/>
              <w:rPr>
                <w:rFonts w:ascii="Arial Narrow" w:hAnsi="Arial Narrow"/>
                <w:sz w:val="24"/>
                <w:szCs w:val="24"/>
              </w:rPr>
            </w:pPr>
            <w:r w:rsidRPr="006275A2">
              <w:rPr>
                <w:rFonts w:ascii="Arial Narrow" w:hAnsi="Arial Narrow"/>
                <w:sz w:val="24"/>
                <w:szCs w:val="24"/>
                <w:lang w:val="af-ZA"/>
              </w:rPr>
              <w:t>[1]     The parties entered into an equipment lease agreement whereby the plaintiff would lease equipment to the defendant that are in good working conditions for a period of time as per the agreement. The parties performed as per the agreement and when th</w:t>
            </w:r>
            <w:r w:rsidR="00C40546" w:rsidRPr="006275A2">
              <w:rPr>
                <w:rFonts w:ascii="Arial Narrow" w:hAnsi="Arial Narrow"/>
                <w:sz w:val="24"/>
                <w:szCs w:val="24"/>
                <w:lang w:val="af-ZA"/>
              </w:rPr>
              <w:t xml:space="preserve">e period of use came to an end, </w:t>
            </w:r>
            <w:r w:rsidRPr="006275A2">
              <w:rPr>
                <w:rFonts w:ascii="Arial Narrow" w:hAnsi="Arial Narrow"/>
                <w:sz w:val="24"/>
                <w:szCs w:val="24"/>
                <w:lang w:val="af-ZA"/>
              </w:rPr>
              <w:t>the defendant returned</w:t>
            </w:r>
            <w:r w:rsidR="00C40546" w:rsidRPr="006275A2">
              <w:rPr>
                <w:rFonts w:ascii="Arial Narrow" w:hAnsi="Arial Narrow"/>
                <w:sz w:val="24"/>
                <w:szCs w:val="24"/>
                <w:lang w:val="af-ZA"/>
              </w:rPr>
              <w:t xml:space="preserve"> the equipment to the plaintiff.  Upon inspection by the plaintiff,  the equipment were found </w:t>
            </w:r>
            <w:r w:rsidRPr="006275A2">
              <w:rPr>
                <w:rFonts w:ascii="Arial Narrow" w:hAnsi="Arial Narrow"/>
                <w:sz w:val="24"/>
                <w:szCs w:val="24"/>
                <w:lang w:val="af-ZA"/>
              </w:rPr>
              <w:t xml:space="preserve">not to be in the same condition as given to the defendant at the commencement of the contract. </w:t>
            </w:r>
            <w:r w:rsidR="004621B1" w:rsidRPr="006275A2">
              <w:rPr>
                <w:rFonts w:ascii="Arial Narrow" w:hAnsi="Arial Narrow"/>
                <w:sz w:val="24"/>
                <w:szCs w:val="24"/>
                <w:lang w:val="af-ZA"/>
              </w:rPr>
              <w:t xml:space="preserve">The equipment were damaged in varying scales and the costs of repair thereto were calculated by the plaintiff to reach the areas of </w:t>
            </w:r>
            <w:r w:rsidR="004621B1" w:rsidRPr="006275A2">
              <w:rPr>
                <w:rFonts w:ascii="Arial Narrow" w:hAnsi="Arial Narrow"/>
                <w:sz w:val="24"/>
                <w:szCs w:val="24"/>
              </w:rPr>
              <w:t>N$ 3 879 667.36.</w:t>
            </w:r>
          </w:p>
          <w:p w:rsidR="00214E9A" w:rsidRPr="006275A2" w:rsidRDefault="00214E9A" w:rsidP="006275A2">
            <w:pPr>
              <w:spacing w:after="0" w:line="360" w:lineRule="auto"/>
              <w:jc w:val="both"/>
              <w:rPr>
                <w:rFonts w:ascii="Arial Narrow" w:hAnsi="Arial Narrow"/>
                <w:sz w:val="24"/>
                <w:szCs w:val="24"/>
                <w:lang w:val="af-ZA"/>
              </w:rPr>
            </w:pPr>
          </w:p>
          <w:p w:rsidR="00214E9A" w:rsidRPr="006275A2" w:rsidRDefault="00214E9A" w:rsidP="006275A2">
            <w:pPr>
              <w:spacing w:after="0" w:line="360" w:lineRule="auto"/>
              <w:jc w:val="both"/>
              <w:rPr>
                <w:rFonts w:ascii="Arial Narrow" w:hAnsi="Arial Narrow" w:cs="Arial"/>
                <w:sz w:val="24"/>
                <w:szCs w:val="24"/>
              </w:rPr>
            </w:pPr>
            <w:r w:rsidRPr="006275A2">
              <w:rPr>
                <w:rFonts w:ascii="Arial Narrow" w:hAnsi="Arial Narrow" w:cs="Arial"/>
                <w:sz w:val="24"/>
                <w:szCs w:val="24"/>
              </w:rPr>
              <w:lastRenderedPageBreak/>
              <w:t xml:space="preserve">[2]      </w:t>
            </w:r>
            <w:r w:rsidR="004621B1" w:rsidRPr="006275A2">
              <w:rPr>
                <w:rFonts w:ascii="Arial Narrow" w:hAnsi="Arial Narrow" w:cs="Arial"/>
                <w:sz w:val="24"/>
                <w:szCs w:val="24"/>
              </w:rPr>
              <w:t>The defendant failed to remedy the shortcomings in the machine despite demand and as a result of the breach of its obligations by the defendant, the plaintiff has suffered damage in the amount of N$ 3 879 667.36.</w:t>
            </w:r>
          </w:p>
          <w:p w:rsidR="004621B1" w:rsidRPr="006275A2" w:rsidRDefault="004621B1" w:rsidP="006275A2">
            <w:pPr>
              <w:spacing w:after="0" w:line="360" w:lineRule="auto"/>
              <w:jc w:val="both"/>
              <w:rPr>
                <w:rFonts w:ascii="Arial Narrow" w:hAnsi="Arial Narrow" w:cs="Arial"/>
                <w:sz w:val="24"/>
                <w:szCs w:val="24"/>
              </w:rPr>
            </w:pPr>
          </w:p>
          <w:p w:rsidR="00B621ED" w:rsidRPr="006275A2" w:rsidRDefault="00214E9A" w:rsidP="006275A2">
            <w:pPr>
              <w:spacing w:after="0" w:line="360" w:lineRule="auto"/>
              <w:jc w:val="both"/>
              <w:rPr>
                <w:rFonts w:ascii="Arial Narrow" w:hAnsi="Arial Narrow" w:cs="Arial"/>
                <w:sz w:val="24"/>
                <w:szCs w:val="24"/>
              </w:rPr>
            </w:pPr>
            <w:r w:rsidRPr="006275A2">
              <w:rPr>
                <w:rFonts w:ascii="Arial Narrow" w:hAnsi="Arial Narrow" w:cs="Arial"/>
                <w:sz w:val="24"/>
                <w:szCs w:val="24"/>
              </w:rPr>
              <w:t xml:space="preserve">[3]      </w:t>
            </w:r>
            <w:r w:rsidR="008738E5" w:rsidRPr="006275A2">
              <w:rPr>
                <w:rFonts w:ascii="Arial Narrow" w:hAnsi="Arial Narrow" w:cs="Arial"/>
                <w:sz w:val="24"/>
                <w:szCs w:val="24"/>
              </w:rPr>
              <w:t>The defendant defended the plaintiff’s claim and during case management, the parties have gone as far as filing a draft pre-trial order.</w:t>
            </w:r>
            <w:r w:rsidR="006F4751" w:rsidRPr="006275A2">
              <w:rPr>
                <w:rFonts w:ascii="Arial Narrow" w:hAnsi="Arial Narrow" w:cs="Arial"/>
                <w:sz w:val="24"/>
                <w:szCs w:val="24"/>
              </w:rPr>
              <w:t xml:space="preserve"> However, the draft pre-trial raised an issue of law whether this court has jurisdiction to hear the matter and whether the defendant submitted to this court’s jurisdiction by filing its pleas prior to challenging the jurisdiction of this court in this matter. </w:t>
            </w:r>
            <w:r w:rsidR="005E39C8" w:rsidRPr="006275A2">
              <w:rPr>
                <w:rFonts w:ascii="Arial Narrow" w:hAnsi="Arial Narrow" w:cs="Arial"/>
                <w:sz w:val="24"/>
                <w:szCs w:val="24"/>
              </w:rPr>
              <w:t>This is further premised on the special plea of arbitration raised by the defendant’s amended plea in reference to Article 14 of the lease agreement as entered into between the parties.</w:t>
            </w:r>
            <w:r w:rsidR="00B621ED" w:rsidRPr="006275A2">
              <w:rPr>
                <w:rFonts w:ascii="Arial Narrow" w:hAnsi="Arial Narrow" w:cs="Arial"/>
                <w:sz w:val="24"/>
                <w:szCs w:val="24"/>
              </w:rPr>
              <w:t xml:space="preserve">  </w:t>
            </w:r>
          </w:p>
          <w:p w:rsidR="008738E5" w:rsidRPr="006275A2" w:rsidRDefault="008738E5" w:rsidP="006275A2">
            <w:pPr>
              <w:spacing w:after="0" w:line="360" w:lineRule="auto"/>
              <w:jc w:val="both"/>
              <w:rPr>
                <w:rFonts w:ascii="Arial Narrow" w:hAnsi="Arial Narrow"/>
                <w:sz w:val="24"/>
                <w:szCs w:val="24"/>
                <w:lang w:val="af-ZA"/>
              </w:rPr>
            </w:pPr>
          </w:p>
          <w:p w:rsidR="00214E9A" w:rsidRPr="006275A2" w:rsidRDefault="00214E9A" w:rsidP="006275A2">
            <w:pPr>
              <w:spacing w:after="0" w:line="360" w:lineRule="auto"/>
              <w:jc w:val="both"/>
              <w:rPr>
                <w:rFonts w:ascii="Arial Narrow" w:hAnsi="Arial Narrow"/>
                <w:sz w:val="24"/>
                <w:szCs w:val="24"/>
                <w:lang w:val="af-ZA"/>
              </w:rPr>
            </w:pPr>
            <w:r w:rsidRPr="006275A2">
              <w:rPr>
                <w:rFonts w:ascii="Arial Narrow" w:hAnsi="Arial Narrow"/>
                <w:sz w:val="24"/>
                <w:szCs w:val="24"/>
                <w:lang w:val="af-ZA"/>
              </w:rPr>
              <w:t xml:space="preserve">[4]       </w:t>
            </w:r>
            <w:r w:rsidR="008460A7" w:rsidRPr="006275A2">
              <w:rPr>
                <w:rFonts w:ascii="Arial Narrow" w:hAnsi="Arial Narrow"/>
                <w:sz w:val="24"/>
                <w:szCs w:val="24"/>
                <w:lang w:val="af-ZA"/>
              </w:rPr>
              <w:t xml:space="preserve">The long and short of the matter is that the plaintiff forms the view that the defendant cannot rely on Article 14 of the lease agreement on the premises that the defendant filed its plea and as a result thereof, submitted to the jurisdiction of this court as opposed to having the matter referred to arbitration in Italy as per the agreement. </w:t>
            </w:r>
            <w:r w:rsidR="00595B91" w:rsidRPr="006275A2">
              <w:rPr>
                <w:rFonts w:ascii="Arial Narrow" w:hAnsi="Arial Narrow"/>
                <w:sz w:val="24"/>
                <w:szCs w:val="24"/>
                <w:lang w:val="af-ZA"/>
              </w:rPr>
              <w:t>The defendant, however, submits that a party may introduce any valid legal point at stage in the pleadings</w:t>
            </w:r>
            <w:r w:rsidR="00595B91" w:rsidRPr="00DD40A1">
              <w:rPr>
                <w:rFonts w:ascii="Arial Narrow" w:hAnsi="Arial Narrow"/>
                <w:sz w:val="24"/>
                <w:szCs w:val="24"/>
                <w:lang w:val="af-ZA"/>
              </w:rPr>
              <w:t>, provided tha</w:t>
            </w:r>
            <w:r w:rsidR="006275A2" w:rsidRPr="00DD40A1">
              <w:rPr>
                <w:rFonts w:ascii="Arial Narrow" w:hAnsi="Arial Narrow"/>
                <w:sz w:val="24"/>
                <w:szCs w:val="24"/>
                <w:lang w:val="af-ZA"/>
              </w:rPr>
              <w:t>t</w:t>
            </w:r>
            <w:r w:rsidR="00595B91" w:rsidRPr="00DD40A1">
              <w:rPr>
                <w:rFonts w:ascii="Arial Narrow" w:hAnsi="Arial Narrow"/>
                <w:sz w:val="24"/>
                <w:szCs w:val="24"/>
                <w:lang w:val="af-ZA"/>
              </w:rPr>
              <w:t xml:space="preserve"> the other </w:t>
            </w:r>
            <w:r w:rsidR="00595B91" w:rsidRPr="006275A2">
              <w:rPr>
                <w:rFonts w:ascii="Arial Narrow" w:hAnsi="Arial Narrow"/>
                <w:sz w:val="24"/>
                <w:szCs w:val="24"/>
                <w:lang w:val="af-ZA"/>
              </w:rPr>
              <w:t xml:space="preserve">party has a decent opportunity to respond and counter such argument. </w:t>
            </w:r>
          </w:p>
          <w:p w:rsidR="000C0133" w:rsidRPr="006275A2" w:rsidRDefault="000C0133" w:rsidP="006275A2">
            <w:pPr>
              <w:spacing w:after="0" w:line="360" w:lineRule="auto"/>
              <w:jc w:val="both"/>
              <w:rPr>
                <w:rFonts w:ascii="Arial Narrow" w:hAnsi="Arial Narrow"/>
                <w:sz w:val="24"/>
                <w:szCs w:val="24"/>
                <w:lang w:val="en-US"/>
              </w:rPr>
            </w:pPr>
          </w:p>
          <w:p w:rsidR="00214E9A" w:rsidRPr="006275A2" w:rsidRDefault="00214E9A" w:rsidP="006275A2">
            <w:pPr>
              <w:spacing w:after="0" w:line="360" w:lineRule="auto"/>
              <w:jc w:val="both"/>
              <w:rPr>
                <w:rFonts w:ascii="Arial Narrow" w:hAnsi="Arial Narrow"/>
                <w:sz w:val="24"/>
                <w:szCs w:val="24"/>
                <w:lang w:val="en-US"/>
              </w:rPr>
            </w:pPr>
            <w:r w:rsidRPr="006275A2">
              <w:rPr>
                <w:rFonts w:ascii="Arial Narrow" w:hAnsi="Arial Narrow"/>
                <w:sz w:val="24"/>
                <w:szCs w:val="24"/>
                <w:lang w:val="en-US"/>
              </w:rPr>
              <w:t xml:space="preserve">[5]      </w:t>
            </w:r>
            <w:r w:rsidR="00E058BD" w:rsidRPr="006275A2">
              <w:rPr>
                <w:rFonts w:ascii="Arial Narrow" w:hAnsi="Arial Narrow"/>
                <w:sz w:val="24"/>
                <w:szCs w:val="24"/>
                <w:lang w:val="en-US"/>
              </w:rPr>
              <w:t xml:space="preserve">Seemingly, the </w:t>
            </w:r>
            <w:r w:rsidR="006275A2" w:rsidRPr="006275A2">
              <w:rPr>
                <w:rFonts w:ascii="Arial Narrow" w:hAnsi="Arial Narrow"/>
                <w:sz w:val="24"/>
                <w:szCs w:val="24"/>
                <w:lang w:val="en-US"/>
              </w:rPr>
              <w:t xml:space="preserve">aspect </w:t>
            </w:r>
            <w:r w:rsidR="006275A2" w:rsidRPr="00DD40A1">
              <w:rPr>
                <w:rFonts w:ascii="Arial Narrow" w:hAnsi="Arial Narrow"/>
                <w:sz w:val="24"/>
                <w:szCs w:val="24"/>
                <w:lang w:val="en-US"/>
              </w:rPr>
              <w:t>surrounding the referral</w:t>
            </w:r>
            <w:r w:rsidR="00E058BD" w:rsidRPr="00DD40A1">
              <w:rPr>
                <w:rFonts w:ascii="Arial Narrow" w:hAnsi="Arial Narrow"/>
                <w:sz w:val="24"/>
                <w:szCs w:val="24"/>
                <w:lang w:val="en-US"/>
              </w:rPr>
              <w:t xml:space="preserve"> of the </w:t>
            </w:r>
            <w:r w:rsidR="00E058BD" w:rsidRPr="006275A2">
              <w:rPr>
                <w:rFonts w:ascii="Arial Narrow" w:hAnsi="Arial Narrow"/>
                <w:sz w:val="24"/>
                <w:szCs w:val="24"/>
                <w:lang w:val="en-US"/>
              </w:rPr>
              <w:t xml:space="preserve">matter to arbitration only came about when the defendant amended its amended plea, as filed on 16 November 2018, after having filed its plea initially on 31 July 2018 and amending such plea and filing such on 09 September 2018. </w:t>
            </w:r>
            <w:r w:rsidR="00FC4D9E" w:rsidRPr="006275A2">
              <w:rPr>
                <w:rFonts w:ascii="Arial Narrow" w:hAnsi="Arial Narrow"/>
                <w:sz w:val="24"/>
                <w:szCs w:val="24"/>
                <w:lang w:val="en-US"/>
              </w:rPr>
              <w:t>Whether it can be deduced that the defendant</w:t>
            </w:r>
            <w:r w:rsidR="003B6DA5" w:rsidRPr="006275A2">
              <w:rPr>
                <w:rFonts w:ascii="Arial Narrow" w:hAnsi="Arial Narrow"/>
                <w:sz w:val="24"/>
                <w:szCs w:val="24"/>
                <w:lang w:val="en-US"/>
              </w:rPr>
              <w:t xml:space="preserve"> came to a realization of the arbitration clause in the agreement, as an afterthought, would perhaps be too speculative an exercise for this court to do. However, the parties and this court now find themselves in the current position, wherein a ruling is required by this court on the way forward in this matter.</w:t>
            </w:r>
          </w:p>
          <w:p w:rsidR="00214E9A" w:rsidRPr="006275A2" w:rsidRDefault="00214E9A" w:rsidP="006275A2">
            <w:pPr>
              <w:pStyle w:val="NormalWeb"/>
              <w:shd w:val="clear" w:color="auto" w:fill="FFFFFF"/>
              <w:spacing w:before="0" w:beforeAutospacing="0" w:after="150" w:afterAutospacing="0" w:line="360" w:lineRule="auto"/>
              <w:jc w:val="both"/>
              <w:rPr>
                <w:rFonts w:ascii="Arial Narrow" w:hAnsi="Arial Narrow"/>
                <w:lang w:val="en-US"/>
              </w:rPr>
            </w:pPr>
          </w:p>
          <w:p w:rsidR="00214E9A" w:rsidRPr="006275A2" w:rsidRDefault="00214E9A" w:rsidP="006275A2">
            <w:pPr>
              <w:pStyle w:val="NormalWeb"/>
              <w:shd w:val="clear" w:color="auto" w:fill="FFFFFF"/>
              <w:spacing w:before="0" w:beforeAutospacing="0" w:after="0" w:afterAutospacing="0" w:line="360" w:lineRule="auto"/>
              <w:jc w:val="both"/>
              <w:rPr>
                <w:rFonts w:ascii="Arial Narrow" w:hAnsi="Arial Narrow"/>
                <w:lang w:val="en-US"/>
              </w:rPr>
            </w:pPr>
            <w:r w:rsidRPr="006275A2">
              <w:rPr>
                <w:rFonts w:ascii="Arial Narrow" w:hAnsi="Arial Narrow"/>
                <w:lang w:val="en-US"/>
              </w:rPr>
              <w:t xml:space="preserve">[6]      </w:t>
            </w:r>
            <w:r w:rsidR="003B6DA5" w:rsidRPr="006275A2">
              <w:rPr>
                <w:rFonts w:ascii="Arial Narrow" w:hAnsi="Arial Narrow"/>
                <w:lang w:val="en-US"/>
              </w:rPr>
              <w:t>It is common cause that Article 14 of the lease agreement as entered into between the parties contains an arbitration clause, wherein it provides that:</w:t>
            </w:r>
          </w:p>
          <w:p w:rsidR="006275A2" w:rsidRPr="006275A2" w:rsidRDefault="006275A2" w:rsidP="006275A2">
            <w:pPr>
              <w:pStyle w:val="NormalWeb"/>
              <w:shd w:val="clear" w:color="auto" w:fill="FFFFFF"/>
              <w:spacing w:before="0" w:beforeAutospacing="0" w:after="0" w:afterAutospacing="0" w:line="360" w:lineRule="auto"/>
              <w:jc w:val="both"/>
              <w:rPr>
                <w:rFonts w:ascii="Arial Narrow" w:hAnsi="Arial Narrow"/>
                <w:lang w:val="en-US"/>
              </w:rPr>
            </w:pPr>
          </w:p>
          <w:p w:rsidR="003B6DA5" w:rsidRDefault="003B6DA5" w:rsidP="006275A2">
            <w:pPr>
              <w:pStyle w:val="NormalWeb"/>
              <w:shd w:val="clear" w:color="auto" w:fill="FFFFFF"/>
              <w:spacing w:before="0" w:beforeAutospacing="0" w:after="0" w:afterAutospacing="0" w:line="360" w:lineRule="auto"/>
              <w:jc w:val="both"/>
              <w:rPr>
                <w:rFonts w:ascii="Arial Narrow" w:hAnsi="Arial Narrow"/>
                <w:sz w:val="22"/>
                <w:lang w:val="en-US"/>
              </w:rPr>
            </w:pPr>
            <w:r w:rsidRPr="006275A2">
              <w:rPr>
                <w:rFonts w:ascii="Arial Narrow" w:hAnsi="Arial Narrow"/>
                <w:lang w:val="en-US"/>
              </w:rPr>
              <w:t xml:space="preserve">        </w:t>
            </w:r>
            <w:r w:rsidRPr="006275A2">
              <w:rPr>
                <w:rFonts w:ascii="Arial Narrow" w:hAnsi="Arial Narrow"/>
                <w:sz w:val="22"/>
                <w:lang w:val="en-US"/>
              </w:rPr>
              <w:t xml:space="preserve"> ‘Any dispute arising out of or in connection with this Assignment Agreement </w:t>
            </w:r>
            <w:r w:rsidR="00F140E4" w:rsidRPr="006275A2">
              <w:rPr>
                <w:rFonts w:ascii="Arial Narrow" w:hAnsi="Arial Narrow"/>
                <w:sz w:val="22"/>
                <w:lang w:val="en-US"/>
              </w:rPr>
              <w:t>shall be settled in accordance with the Rules of the Chamber of Arbitration of Milan (the “Rules”), by three arbitrators, appointed in accordance with the Rules. The seat of arbitration proceedings shall be the city of Milan</w:t>
            </w:r>
            <w:r w:rsidR="001166F1">
              <w:rPr>
                <w:rFonts w:ascii="Arial Narrow" w:hAnsi="Arial Narrow"/>
                <w:sz w:val="22"/>
                <w:lang w:val="en-US"/>
              </w:rPr>
              <w:t xml:space="preserve"> </w:t>
            </w:r>
            <w:r w:rsidR="00F140E4" w:rsidRPr="006275A2">
              <w:rPr>
                <w:rFonts w:ascii="Arial Narrow" w:hAnsi="Arial Narrow"/>
                <w:sz w:val="22"/>
                <w:lang w:val="en-US"/>
              </w:rPr>
              <w:t>(Italy).</w:t>
            </w:r>
            <w:r w:rsidR="001166F1">
              <w:rPr>
                <w:rFonts w:ascii="Arial Narrow" w:hAnsi="Arial Narrow"/>
                <w:sz w:val="22"/>
                <w:lang w:val="en-US"/>
              </w:rPr>
              <w:t xml:space="preserve"> </w:t>
            </w:r>
            <w:r w:rsidR="00F140E4" w:rsidRPr="006275A2">
              <w:rPr>
                <w:rFonts w:ascii="Arial Narrow" w:hAnsi="Arial Narrow"/>
                <w:sz w:val="22"/>
                <w:lang w:val="en-US"/>
              </w:rPr>
              <w:t>The language of the arbitration and final award shall be English. The arbitral award shall be final and binding on the Parties.’</w:t>
            </w:r>
          </w:p>
          <w:p w:rsidR="006275A2" w:rsidRPr="006275A2" w:rsidRDefault="006275A2" w:rsidP="006275A2">
            <w:pPr>
              <w:pStyle w:val="NormalWeb"/>
              <w:shd w:val="clear" w:color="auto" w:fill="FFFFFF"/>
              <w:spacing w:before="0" w:beforeAutospacing="0" w:after="0" w:afterAutospacing="0" w:line="360" w:lineRule="auto"/>
              <w:jc w:val="both"/>
              <w:rPr>
                <w:rFonts w:ascii="Arial Narrow" w:hAnsi="Arial Narrow" w:cs="Helvetica"/>
              </w:rPr>
            </w:pPr>
          </w:p>
          <w:p w:rsidR="00B621ED" w:rsidRPr="006275A2" w:rsidRDefault="00214E9A" w:rsidP="006275A2">
            <w:pPr>
              <w:pStyle w:val="NormalWeb"/>
              <w:shd w:val="clear" w:color="auto" w:fill="FFFFFF"/>
              <w:spacing w:before="0" w:beforeAutospacing="0" w:after="0" w:afterAutospacing="0" w:line="360" w:lineRule="auto"/>
              <w:jc w:val="both"/>
              <w:rPr>
                <w:rFonts w:ascii="Arial Narrow" w:hAnsi="Arial Narrow"/>
                <w:lang w:val="en-US"/>
              </w:rPr>
            </w:pPr>
            <w:r w:rsidRPr="006275A2">
              <w:rPr>
                <w:rFonts w:ascii="Arial Narrow" w:hAnsi="Arial Narrow"/>
                <w:lang w:val="en-US"/>
              </w:rPr>
              <w:lastRenderedPageBreak/>
              <w:t xml:space="preserve">[7]           </w:t>
            </w:r>
            <w:r w:rsidR="00B621ED" w:rsidRPr="00DD40A1">
              <w:rPr>
                <w:rFonts w:ascii="Arial Narrow" w:hAnsi="Arial Narrow"/>
                <w:lang w:val="en-US"/>
              </w:rPr>
              <w:t>Herbstein and Van Winsen</w:t>
            </w:r>
            <w:r w:rsidR="00B621ED" w:rsidRPr="006275A2">
              <w:rPr>
                <w:rStyle w:val="FootnoteReference"/>
                <w:rFonts w:ascii="Arial Narrow" w:hAnsi="Arial Narrow"/>
                <w:lang w:val="en-US"/>
              </w:rPr>
              <w:footnoteReference w:id="1"/>
            </w:r>
            <w:r w:rsidR="006275A2" w:rsidRPr="006275A2">
              <w:rPr>
                <w:rFonts w:ascii="Arial Narrow" w:hAnsi="Arial Narrow"/>
                <w:lang w:val="en-US"/>
              </w:rPr>
              <w:t xml:space="preserve">says the following </w:t>
            </w:r>
            <w:r w:rsidR="006275A2" w:rsidRPr="00DD40A1">
              <w:rPr>
                <w:rFonts w:ascii="Arial Narrow" w:hAnsi="Arial Narrow"/>
                <w:lang w:val="en-US"/>
              </w:rPr>
              <w:t>regarding s</w:t>
            </w:r>
            <w:r w:rsidR="00B621ED" w:rsidRPr="00DD40A1">
              <w:rPr>
                <w:rFonts w:ascii="Arial Narrow" w:hAnsi="Arial Narrow"/>
                <w:lang w:val="en-US"/>
              </w:rPr>
              <w:t xml:space="preserve">pecial plea </w:t>
            </w:r>
            <w:r w:rsidR="00B621ED" w:rsidRPr="006275A2">
              <w:rPr>
                <w:rFonts w:ascii="Arial Narrow" w:hAnsi="Arial Narrow"/>
                <w:lang w:val="en-US"/>
              </w:rPr>
              <w:t>or defence where step in the proceedings has been taken:</w:t>
            </w:r>
          </w:p>
          <w:p w:rsidR="00BC4BD4" w:rsidRPr="006275A2" w:rsidRDefault="00BC4BD4" w:rsidP="006275A2">
            <w:pPr>
              <w:pStyle w:val="NormalWeb"/>
              <w:shd w:val="clear" w:color="auto" w:fill="FFFFFF"/>
              <w:spacing w:before="0" w:beforeAutospacing="0" w:after="0" w:afterAutospacing="0" w:line="360" w:lineRule="auto"/>
              <w:jc w:val="both"/>
              <w:rPr>
                <w:rFonts w:ascii="Arial Narrow" w:hAnsi="Arial Narrow"/>
                <w:lang w:val="en-US"/>
              </w:rPr>
            </w:pPr>
          </w:p>
          <w:p w:rsidR="00B621ED" w:rsidRPr="001166F1" w:rsidRDefault="006275A2" w:rsidP="006275A2">
            <w:pPr>
              <w:pStyle w:val="NormalWeb"/>
              <w:shd w:val="clear" w:color="auto" w:fill="FFFFFF"/>
              <w:spacing w:before="0" w:beforeAutospacing="0" w:after="0" w:afterAutospacing="0" w:line="360" w:lineRule="auto"/>
              <w:jc w:val="both"/>
              <w:rPr>
                <w:rFonts w:ascii="Arial Narrow" w:hAnsi="Arial Narrow"/>
                <w:lang w:val="en-US"/>
              </w:rPr>
            </w:pPr>
            <w:r w:rsidRPr="006275A2">
              <w:rPr>
                <w:rFonts w:ascii="Arial Narrow" w:hAnsi="Arial Narrow"/>
                <w:i/>
                <w:lang w:val="en-US"/>
              </w:rPr>
              <w:t xml:space="preserve">               </w:t>
            </w:r>
            <w:r w:rsidRPr="001166F1">
              <w:rPr>
                <w:rFonts w:ascii="Arial Narrow" w:hAnsi="Arial Narrow"/>
                <w:sz w:val="22"/>
                <w:lang w:val="en-US"/>
              </w:rPr>
              <w:t>‘If</w:t>
            </w:r>
            <w:r w:rsidR="00B621ED" w:rsidRPr="001166F1">
              <w:rPr>
                <w:rFonts w:ascii="Arial Narrow" w:hAnsi="Arial Narrow"/>
                <w:sz w:val="22"/>
                <w:lang w:val="en-US"/>
              </w:rPr>
              <w:t xml:space="preserve"> a step other than fiving of notice of intention to defend has been taken or, in cases where the proceedings are not initiated by way of illiquid summons but in some other way, the application for stay in not made in initio litis but the merits are dealt with, </w:t>
            </w:r>
            <w:r w:rsidR="00BC4BD4" w:rsidRPr="001166F1">
              <w:rPr>
                <w:rFonts w:ascii="Arial Narrow" w:hAnsi="Arial Narrow"/>
                <w:sz w:val="22"/>
                <w:lang w:val="en-US"/>
              </w:rPr>
              <w:t>the defendant or respondent will lose the right to apply for a stay under the Arbitration Act, but will still be entitled to raise the objection by way of a special plea or by way of a defence.  … They accordingly do not deprive a party of the common-law right to plead a condition to submit to arbitration….’</w:t>
            </w:r>
          </w:p>
          <w:p w:rsidR="00BC4BD4" w:rsidRPr="006275A2" w:rsidRDefault="00BC4BD4" w:rsidP="006275A2">
            <w:pPr>
              <w:pStyle w:val="NormalWeb"/>
              <w:shd w:val="clear" w:color="auto" w:fill="FFFFFF"/>
              <w:spacing w:before="0" w:beforeAutospacing="0" w:after="0" w:afterAutospacing="0" w:line="360" w:lineRule="auto"/>
              <w:jc w:val="both"/>
              <w:rPr>
                <w:rFonts w:ascii="Arial Narrow" w:hAnsi="Arial Narrow"/>
                <w:lang w:val="en-US"/>
              </w:rPr>
            </w:pPr>
          </w:p>
          <w:p w:rsidR="00214E9A" w:rsidRPr="006275A2" w:rsidRDefault="00BC4BD4" w:rsidP="006275A2">
            <w:pPr>
              <w:pStyle w:val="NormalWeb"/>
              <w:shd w:val="clear" w:color="auto" w:fill="FFFFFF"/>
              <w:spacing w:before="0" w:beforeAutospacing="0" w:after="0" w:afterAutospacing="0" w:line="360" w:lineRule="auto"/>
              <w:jc w:val="both"/>
              <w:rPr>
                <w:rFonts w:ascii="Arial Narrow" w:hAnsi="Arial Narrow"/>
                <w:lang w:val="en-US"/>
              </w:rPr>
            </w:pPr>
            <w:r w:rsidRPr="006275A2">
              <w:rPr>
                <w:rFonts w:ascii="Arial Narrow" w:hAnsi="Arial Narrow"/>
                <w:lang w:val="en-US"/>
              </w:rPr>
              <w:t xml:space="preserve">[8]             </w:t>
            </w:r>
            <w:r w:rsidR="00F140E4" w:rsidRPr="006275A2">
              <w:rPr>
                <w:rFonts w:ascii="Arial Narrow" w:hAnsi="Arial Narrow"/>
                <w:lang w:val="en-US"/>
              </w:rPr>
              <w:t xml:space="preserve">Furthermore, Article 13 of the lease agreement provides that the agreement is governed and construed in accordance with the laws of Italy, </w:t>
            </w:r>
            <w:r w:rsidR="00B621ED" w:rsidRPr="006275A2">
              <w:rPr>
                <w:rFonts w:ascii="Arial Narrow" w:hAnsi="Arial Narrow"/>
                <w:lang w:val="en-US"/>
              </w:rPr>
              <w:t>neither incorporating nor</w:t>
            </w:r>
            <w:r w:rsidR="00F140E4" w:rsidRPr="006275A2">
              <w:rPr>
                <w:rFonts w:ascii="Arial Narrow" w:hAnsi="Arial Narrow"/>
                <w:lang w:val="en-US"/>
              </w:rPr>
              <w:t xml:space="preserve"> excluding the jurisdiction of this court in clear concise terms, leaving same to subjective interpretation. </w:t>
            </w:r>
          </w:p>
          <w:p w:rsidR="00214E9A" w:rsidRPr="006275A2" w:rsidRDefault="00214E9A" w:rsidP="006275A2">
            <w:pPr>
              <w:spacing w:after="0" w:line="360" w:lineRule="auto"/>
              <w:jc w:val="both"/>
              <w:rPr>
                <w:rFonts w:ascii="Arial Narrow" w:hAnsi="Arial Narrow"/>
                <w:sz w:val="24"/>
                <w:szCs w:val="24"/>
                <w:lang w:val="en-US"/>
              </w:rPr>
            </w:pPr>
          </w:p>
          <w:p w:rsidR="006D5723" w:rsidRPr="006275A2" w:rsidRDefault="00214E9A" w:rsidP="006275A2">
            <w:pPr>
              <w:spacing w:after="0" w:line="360" w:lineRule="auto"/>
              <w:jc w:val="both"/>
              <w:rPr>
                <w:rFonts w:ascii="Arial Narrow" w:hAnsi="Arial Narrow"/>
                <w:sz w:val="24"/>
                <w:szCs w:val="24"/>
                <w:lang w:val="en-US"/>
              </w:rPr>
            </w:pPr>
            <w:r w:rsidRPr="006275A2">
              <w:rPr>
                <w:rFonts w:ascii="Arial Narrow" w:hAnsi="Arial Narrow"/>
                <w:sz w:val="24"/>
                <w:szCs w:val="24"/>
                <w:lang w:val="en-US"/>
              </w:rPr>
              <w:t>[</w:t>
            </w:r>
            <w:r w:rsidR="00BC4BD4" w:rsidRPr="006275A2">
              <w:rPr>
                <w:rFonts w:ascii="Arial Narrow" w:hAnsi="Arial Narrow"/>
                <w:sz w:val="24"/>
                <w:szCs w:val="24"/>
                <w:lang w:val="en-US"/>
              </w:rPr>
              <w:t>9</w:t>
            </w:r>
            <w:r w:rsidRPr="006275A2">
              <w:rPr>
                <w:rFonts w:ascii="Arial Narrow" w:hAnsi="Arial Narrow"/>
                <w:sz w:val="24"/>
                <w:szCs w:val="24"/>
                <w:lang w:val="en-US"/>
              </w:rPr>
              <w:t xml:space="preserve">]       </w:t>
            </w:r>
            <w:r w:rsidR="006D5723" w:rsidRPr="006275A2">
              <w:rPr>
                <w:rFonts w:ascii="Arial Narrow" w:hAnsi="Arial Narrow"/>
                <w:sz w:val="24"/>
                <w:szCs w:val="24"/>
                <w:lang w:val="en-US"/>
              </w:rPr>
              <w:t xml:space="preserve">In </w:t>
            </w:r>
            <w:r w:rsidR="006D5723" w:rsidRPr="006275A2">
              <w:rPr>
                <w:rFonts w:ascii="Arial Narrow" w:hAnsi="Arial Narrow"/>
                <w:i/>
                <w:sz w:val="24"/>
                <w:szCs w:val="24"/>
                <w:lang w:val="en-US"/>
              </w:rPr>
              <w:t>Fiona Trust &amp; Holding Corp and Others v Privalov and Others Fiona Trust &amp; Holding Corp and Others v Privalov and Others</w:t>
            </w:r>
            <w:r w:rsidR="00B621ED" w:rsidRPr="006275A2">
              <w:rPr>
                <w:rStyle w:val="FootnoteReference"/>
                <w:rFonts w:ascii="Arial Narrow" w:hAnsi="Arial Narrow"/>
                <w:i/>
                <w:sz w:val="24"/>
                <w:szCs w:val="24"/>
                <w:lang w:val="en-US"/>
              </w:rPr>
              <w:footnoteReference w:id="2"/>
            </w:r>
            <w:r w:rsidR="006D5723" w:rsidRPr="006275A2">
              <w:rPr>
                <w:rFonts w:ascii="Arial Narrow" w:hAnsi="Arial Narrow"/>
                <w:sz w:val="24"/>
                <w:szCs w:val="24"/>
                <w:lang w:val="en-US"/>
              </w:rPr>
              <w:t xml:space="preserve"> Lord Hoffmann stated the following:</w:t>
            </w:r>
          </w:p>
          <w:p w:rsidR="006D5723" w:rsidRPr="006275A2" w:rsidRDefault="006D5723" w:rsidP="006275A2">
            <w:pPr>
              <w:spacing w:after="0" w:line="360" w:lineRule="auto"/>
              <w:jc w:val="both"/>
              <w:rPr>
                <w:rFonts w:ascii="Arial Narrow" w:hAnsi="Arial Narrow"/>
                <w:sz w:val="24"/>
                <w:szCs w:val="24"/>
                <w:lang w:val="en-US"/>
              </w:rPr>
            </w:pPr>
          </w:p>
          <w:p w:rsidR="00214E9A" w:rsidRPr="001166F1" w:rsidRDefault="006D5723" w:rsidP="006275A2">
            <w:pPr>
              <w:spacing w:after="0" w:line="360" w:lineRule="auto"/>
              <w:jc w:val="both"/>
              <w:rPr>
                <w:rFonts w:ascii="Arial Narrow" w:hAnsi="Arial Narrow"/>
                <w:sz w:val="24"/>
                <w:szCs w:val="24"/>
                <w:lang w:val="en-US"/>
              </w:rPr>
            </w:pPr>
            <w:r w:rsidRPr="006275A2">
              <w:rPr>
                <w:rFonts w:ascii="Arial Narrow" w:hAnsi="Arial Narrow"/>
                <w:sz w:val="24"/>
                <w:szCs w:val="24"/>
                <w:lang w:val="en-US"/>
              </w:rPr>
              <w:tab/>
            </w:r>
            <w:r w:rsidRPr="001166F1">
              <w:rPr>
                <w:rFonts w:ascii="Arial Narrow" w:hAnsi="Arial Narrow"/>
                <w:szCs w:val="24"/>
                <w:lang w:val="en-US"/>
              </w:rPr>
              <w:t>'In my opinion the construction of an arbitration clause should start from the assumption that the parties, as rational businessmen, are likely to have intended any dispute arising out of the relationship into which they have entered or purported to enter to be decided by the same tribunal. The clause should be construed in accordance with this presumption unless the language makes it clear that certain questions were intended to be excluded from the arbitrator's jurisdiction.'</w:t>
            </w:r>
          </w:p>
          <w:p w:rsidR="00214E9A" w:rsidRPr="006275A2" w:rsidRDefault="00214E9A" w:rsidP="006275A2">
            <w:pPr>
              <w:spacing w:after="0" w:line="360" w:lineRule="auto"/>
              <w:jc w:val="both"/>
              <w:rPr>
                <w:rFonts w:ascii="Arial Narrow" w:hAnsi="Arial Narrow"/>
                <w:sz w:val="24"/>
                <w:szCs w:val="24"/>
                <w:lang w:val="en-US"/>
              </w:rPr>
            </w:pPr>
          </w:p>
          <w:p w:rsidR="005655DF" w:rsidRPr="006275A2" w:rsidRDefault="00214E9A" w:rsidP="006275A2">
            <w:pPr>
              <w:spacing w:after="0" w:line="360" w:lineRule="auto"/>
              <w:jc w:val="both"/>
              <w:rPr>
                <w:rFonts w:ascii="Arial Narrow" w:hAnsi="Arial Narrow" w:cs="Arial"/>
                <w:sz w:val="24"/>
                <w:szCs w:val="24"/>
                <w:lang w:val="en-GB" w:eastAsia="zh-CN" w:bidi="hi-IN"/>
              </w:rPr>
            </w:pPr>
            <w:r w:rsidRPr="006275A2">
              <w:rPr>
                <w:rFonts w:ascii="Arial Narrow" w:hAnsi="Arial Narrow"/>
                <w:sz w:val="24"/>
                <w:szCs w:val="24"/>
                <w:lang w:val="en-US"/>
              </w:rPr>
              <w:t>[</w:t>
            </w:r>
            <w:r w:rsidR="00BC4BD4" w:rsidRPr="006275A2">
              <w:rPr>
                <w:rFonts w:ascii="Arial Narrow" w:hAnsi="Arial Narrow"/>
                <w:sz w:val="24"/>
                <w:szCs w:val="24"/>
                <w:lang w:val="en-US"/>
              </w:rPr>
              <w:t>10</w:t>
            </w:r>
            <w:r w:rsidR="006D5723" w:rsidRPr="006275A2">
              <w:rPr>
                <w:rFonts w:ascii="Arial Narrow" w:hAnsi="Arial Narrow"/>
                <w:sz w:val="24"/>
                <w:szCs w:val="24"/>
                <w:lang w:val="en-US"/>
              </w:rPr>
              <w:t>]          It is trite that a court has discretion to refer a matter to arbitration wherein the agreement between the parties makes provision for such.</w:t>
            </w:r>
            <w:r w:rsidR="005655DF" w:rsidRPr="006275A2">
              <w:rPr>
                <w:rFonts w:ascii="Arial Narrow" w:hAnsi="Arial Narrow"/>
                <w:sz w:val="24"/>
                <w:szCs w:val="24"/>
                <w:lang w:val="en-US"/>
              </w:rPr>
              <w:t xml:space="preserve"> </w:t>
            </w:r>
            <w:r w:rsidR="005655DF" w:rsidRPr="006275A2">
              <w:rPr>
                <w:rFonts w:ascii="Arial Narrow" w:hAnsi="Arial Narrow" w:cs="Arial"/>
                <w:sz w:val="24"/>
                <w:szCs w:val="24"/>
                <w:lang w:val="en-US" w:eastAsia="zh-CN" w:bidi="hi-IN"/>
              </w:rPr>
              <w:t xml:space="preserve">In </w:t>
            </w:r>
            <w:r w:rsidR="005655DF" w:rsidRPr="006275A2">
              <w:rPr>
                <w:rFonts w:ascii="Arial Narrow" w:hAnsi="Arial Narrow" w:cs="Arial"/>
                <w:i/>
                <w:sz w:val="24"/>
                <w:szCs w:val="24"/>
                <w:lang w:val="en-GB" w:eastAsia="zh-CN" w:bidi="hi-IN"/>
              </w:rPr>
              <w:t xml:space="preserve">Umso Construction Pty Ltd v Bk Investments Holdings (Pty) Ltd </w:t>
            </w:r>
            <w:r w:rsidR="00B621ED" w:rsidRPr="006275A2">
              <w:rPr>
                <w:rStyle w:val="FootnoteReference"/>
                <w:rFonts w:ascii="Arial Narrow" w:hAnsi="Arial Narrow" w:cs="Arial"/>
                <w:i/>
                <w:sz w:val="24"/>
                <w:szCs w:val="24"/>
                <w:lang w:val="en-GB" w:eastAsia="zh-CN" w:bidi="hi-IN"/>
              </w:rPr>
              <w:footnoteReference w:id="3"/>
            </w:r>
            <w:r w:rsidR="005655DF" w:rsidRPr="006275A2">
              <w:rPr>
                <w:rFonts w:ascii="Arial Narrow" w:hAnsi="Arial Narrow" w:cs="Arial"/>
                <w:sz w:val="24"/>
                <w:szCs w:val="24"/>
                <w:lang w:val="en-GB" w:eastAsia="zh-CN" w:bidi="hi-IN"/>
              </w:rPr>
              <w:t>the following was sta</w:t>
            </w:r>
            <w:r w:rsidR="006275A2">
              <w:rPr>
                <w:rFonts w:ascii="Arial Narrow" w:hAnsi="Arial Narrow" w:cs="Arial"/>
                <w:sz w:val="24"/>
                <w:szCs w:val="24"/>
                <w:lang w:val="en-GB" w:eastAsia="zh-CN" w:bidi="hi-IN"/>
              </w:rPr>
              <w:t>ted at para 7 of the judgment:</w:t>
            </w:r>
          </w:p>
          <w:p w:rsidR="005655DF" w:rsidRPr="006275A2" w:rsidRDefault="005655DF" w:rsidP="006275A2">
            <w:pPr>
              <w:spacing w:after="0" w:line="360" w:lineRule="auto"/>
              <w:jc w:val="both"/>
              <w:rPr>
                <w:rFonts w:ascii="Arial Narrow" w:hAnsi="Arial Narrow" w:cs="Arial"/>
                <w:sz w:val="24"/>
                <w:szCs w:val="24"/>
                <w:lang w:val="en-GB" w:eastAsia="zh-CN" w:bidi="hi-IN"/>
              </w:rPr>
            </w:pPr>
          </w:p>
          <w:p w:rsidR="005655DF" w:rsidRPr="001166F1" w:rsidRDefault="005655DF" w:rsidP="006275A2">
            <w:pPr>
              <w:spacing w:after="0" w:line="360" w:lineRule="auto"/>
              <w:jc w:val="both"/>
              <w:rPr>
                <w:rFonts w:ascii="Arial Narrow" w:hAnsi="Arial Narrow" w:cs="Arial"/>
                <w:szCs w:val="24"/>
                <w:lang w:val="en-GB" w:eastAsia="zh-CN" w:bidi="hi-IN"/>
              </w:rPr>
            </w:pPr>
            <w:r w:rsidRPr="001166F1">
              <w:rPr>
                <w:rFonts w:ascii="Arial Narrow" w:hAnsi="Arial Narrow" w:cs="Arial"/>
                <w:sz w:val="24"/>
                <w:szCs w:val="24"/>
                <w:lang w:val="en-GB" w:eastAsia="zh-CN" w:bidi="hi-IN"/>
              </w:rPr>
              <w:t xml:space="preserve">             </w:t>
            </w:r>
            <w:r w:rsidRPr="001166F1">
              <w:rPr>
                <w:rFonts w:ascii="Arial Narrow" w:hAnsi="Arial Narrow" w:cs="Arial"/>
                <w:szCs w:val="24"/>
                <w:lang w:val="en-GB" w:eastAsia="zh-CN" w:bidi="hi-IN"/>
              </w:rPr>
              <w:t>‘The onus is on the respondent to satisfy the court that it should not in its discretion refer the matter to arbitration - . . . A court will only refuse to refer the matter to arbitration where a very strong case has been made out - . . .’</w:t>
            </w:r>
          </w:p>
          <w:p w:rsidR="001C2AB0" w:rsidRPr="006275A2" w:rsidRDefault="001C2AB0" w:rsidP="006275A2">
            <w:pPr>
              <w:spacing w:after="0" w:line="360" w:lineRule="auto"/>
              <w:jc w:val="both"/>
              <w:rPr>
                <w:rFonts w:ascii="Arial Narrow" w:hAnsi="Arial Narrow" w:cs="Arial"/>
                <w:sz w:val="24"/>
                <w:szCs w:val="24"/>
                <w:lang w:val="en-GB" w:eastAsia="zh-CN" w:bidi="hi-IN"/>
              </w:rPr>
            </w:pPr>
          </w:p>
          <w:p w:rsidR="00BC4BD4" w:rsidRPr="006275A2" w:rsidRDefault="00BC4BD4" w:rsidP="006275A2">
            <w:pPr>
              <w:spacing w:after="0" w:line="360" w:lineRule="auto"/>
              <w:jc w:val="both"/>
              <w:rPr>
                <w:rFonts w:ascii="Arial Narrow" w:hAnsi="Arial Narrow" w:cs="Arial"/>
                <w:sz w:val="24"/>
                <w:szCs w:val="24"/>
                <w:lang w:val="en-GB" w:eastAsia="zh-CN" w:bidi="hi-IN"/>
              </w:rPr>
            </w:pPr>
            <w:r w:rsidRPr="006275A2">
              <w:rPr>
                <w:rFonts w:ascii="Arial Narrow" w:hAnsi="Arial Narrow" w:cs="Arial"/>
                <w:sz w:val="24"/>
                <w:szCs w:val="24"/>
                <w:lang w:val="en-GB" w:eastAsia="zh-CN" w:bidi="hi-IN"/>
              </w:rPr>
              <w:t>[</w:t>
            </w:r>
            <w:r w:rsidR="006275A2" w:rsidRPr="00DD40A1">
              <w:rPr>
                <w:rFonts w:ascii="Arial Narrow" w:hAnsi="Arial Narrow" w:cs="Arial"/>
                <w:sz w:val="24"/>
                <w:szCs w:val="24"/>
                <w:lang w:val="en-GB" w:eastAsia="zh-CN" w:bidi="hi-IN"/>
              </w:rPr>
              <w:t>11</w:t>
            </w:r>
            <w:r w:rsidR="001166F1">
              <w:rPr>
                <w:rFonts w:ascii="Arial Narrow" w:hAnsi="Arial Narrow" w:cs="Arial"/>
                <w:sz w:val="24"/>
                <w:szCs w:val="24"/>
                <w:lang w:val="en-GB" w:eastAsia="zh-CN" w:bidi="hi-IN"/>
              </w:rPr>
              <w:t xml:space="preserve">]         </w:t>
            </w:r>
            <w:r w:rsidR="006275A2" w:rsidRPr="00DD40A1">
              <w:rPr>
                <w:rFonts w:ascii="Arial Narrow" w:hAnsi="Arial Narrow" w:cs="Arial"/>
                <w:sz w:val="24"/>
                <w:szCs w:val="24"/>
                <w:lang w:val="en-GB" w:eastAsia="zh-CN" w:bidi="hi-IN"/>
              </w:rPr>
              <w:t xml:space="preserve">In </w:t>
            </w:r>
            <w:r w:rsidRPr="00DD40A1">
              <w:rPr>
                <w:rFonts w:ascii="Arial Narrow" w:hAnsi="Arial Narrow" w:cs="Arial"/>
                <w:i/>
                <w:sz w:val="24"/>
                <w:szCs w:val="24"/>
                <w:lang w:val="en-GB" w:eastAsia="zh-CN" w:bidi="hi-IN"/>
              </w:rPr>
              <w:t>Opuwo Town Council v Dolly Investments CC</w:t>
            </w:r>
            <w:r w:rsidRPr="00DD40A1">
              <w:rPr>
                <w:rStyle w:val="FootnoteReference"/>
                <w:rFonts w:ascii="Arial Narrow" w:hAnsi="Arial Narrow" w:cs="Arial"/>
                <w:sz w:val="24"/>
                <w:szCs w:val="24"/>
                <w:lang w:val="en-GB" w:eastAsia="zh-CN" w:bidi="hi-IN"/>
              </w:rPr>
              <w:footnoteReference w:id="4"/>
            </w:r>
            <w:r w:rsidR="00C855F4" w:rsidRPr="00DD40A1">
              <w:rPr>
                <w:rFonts w:ascii="Arial Narrow" w:hAnsi="Arial Narrow" w:cs="Arial"/>
                <w:sz w:val="24"/>
                <w:szCs w:val="24"/>
                <w:lang w:val="en-GB" w:eastAsia="zh-CN" w:bidi="hi-IN"/>
              </w:rPr>
              <w:t xml:space="preserve"> </w:t>
            </w:r>
            <w:r w:rsidR="00C855F4" w:rsidRPr="006275A2">
              <w:rPr>
                <w:rFonts w:ascii="Arial Narrow" w:hAnsi="Arial Narrow" w:cs="Arial"/>
                <w:sz w:val="24"/>
                <w:szCs w:val="24"/>
                <w:lang w:val="en-GB" w:eastAsia="zh-CN" w:bidi="hi-IN"/>
              </w:rPr>
              <w:t>Prinsloo J said the following:</w:t>
            </w:r>
          </w:p>
          <w:p w:rsidR="00BC4BD4" w:rsidRPr="006275A2" w:rsidRDefault="00BC4BD4" w:rsidP="006275A2">
            <w:pPr>
              <w:spacing w:after="0" w:line="360" w:lineRule="auto"/>
              <w:jc w:val="both"/>
              <w:rPr>
                <w:rFonts w:ascii="Arial Narrow" w:hAnsi="Arial Narrow" w:cs="Arial"/>
                <w:sz w:val="24"/>
                <w:szCs w:val="24"/>
                <w:lang w:val="en-GB" w:eastAsia="zh-CN" w:bidi="hi-IN"/>
              </w:rPr>
            </w:pPr>
          </w:p>
          <w:p w:rsidR="00BC4BD4" w:rsidRPr="001166F1" w:rsidRDefault="00BC4BD4" w:rsidP="006275A2">
            <w:pPr>
              <w:spacing w:after="0" w:line="360" w:lineRule="auto"/>
              <w:jc w:val="both"/>
              <w:rPr>
                <w:rFonts w:ascii="Arial Narrow" w:hAnsi="Arial Narrow" w:cs="Arial"/>
                <w:sz w:val="24"/>
                <w:szCs w:val="24"/>
                <w:lang w:val="en-GB" w:eastAsia="zh-CN" w:bidi="hi-IN"/>
              </w:rPr>
            </w:pPr>
            <w:r w:rsidRPr="006275A2">
              <w:rPr>
                <w:rFonts w:ascii="Arial Narrow" w:hAnsi="Arial Narrow" w:cs="Arial"/>
                <w:sz w:val="24"/>
                <w:szCs w:val="24"/>
                <w:lang w:val="en-GB" w:eastAsia="zh-CN" w:bidi="hi-IN"/>
              </w:rPr>
              <w:lastRenderedPageBreak/>
              <w:t xml:space="preserve">             </w:t>
            </w:r>
            <w:r w:rsidRPr="006275A2">
              <w:rPr>
                <w:rFonts w:ascii="Arial Narrow" w:hAnsi="Arial Narrow" w:cs="Arial"/>
                <w:i/>
                <w:sz w:val="24"/>
                <w:szCs w:val="24"/>
                <w:lang w:val="en-GB" w:eastAsia="zh-CN" w:bidi="hi-IN"/>
              </w:rPr>
              <w:t xml:space="preserve"> </w:t>
            </w:r>
            <w:r w:rsidR="006275A2">
              <w:rPr>
                <w:rFonts w:ascii="Arial Narrow" w:hAnsi="Arial Narrow" w:cs="Arial"/>
                <w:i/>
                <w:sz w:val="24"/>
                <w:szCs w:val="24"/>
                <w:lang w:val="en-GB" w:eastAsia="zh-CN" w:bidi="hi-IN"/>
              </w:rPr>
              <w:t xml:space="preserve">   </w:t>
            </w:r>
            <w:r w:rsidR="006275A2" w:rsidRPr="001166F1">
              <w:rPr>
                <w:rFonts w:ascii="Arial Narrow" w:hAnsi="Arial Narrow" w:cs="Arial"/>
                <w:szCs w:val="24"/>
                <w:lang w:val="en-GB" w:eastAsia="zh-CN" w:bidi="hi-IN"/>
              </w:rPr>
              <w:t>‘</w:t>
            </w:r>
            <w:r w:rsidRPr="001166F1">
              <w:rPr>
                <w:rFonts w:ascii="Arial Narrow" w:hAnsi="Arial Narrow" w:cs="Arial"/>
                <w:szCs w:val="24"/>
                <w:lang w:val="en-GB" w:eastAsia="zh-CN" w:bidi="hi-IN"/>
              </w:rPr>
              <w:t>This court has a discretion whether to call a halt to the proceedings to permit arbitration to take place or to tackle the disputes itself.  I am however satisfied that the defendant has proven the underlying jurisdictional fact in that the arbitration clause exists in the agreement between the parties and that the arbitration clause relates to the dispute between the parties, i.e. the completion of work as set out in the agreement.‘</w:t>
            </w:r>
          </w:p>
          <w:p w:rsidR="00B621ED" w:rsidRPr="006275A2" w:rsidRDefault="001C2AB0" w:rsidP="006275A2">
            <w:pPr>
              <w:spacing w:after="0" w:line="360" w:lineRule="auto"/>
              <w:jc w:val="both"/>
              <w:rPr>
                <w:rFonts w:ascii="Arial Narrow" w:hAnsi="Arial Narrow" w:cs="Arial"/>
                <w:sz w:val="24"/>
                <w:szCs w:val="24"/>
                <w:lang w:val="en-GB" w:eastAsia="zh-CN" w:bidi="hi-IN"/>
              </w:rPr>
            </w:pPr>
            <w:r w:rsidRPr="006275A2">
              <w:rPr>
                <w:rFonts w:ascii="Arial Narrow" w:hAnsi="Arial Narrow" w:cs="Arial"/>
                <w:sz w:val="24"/>
                <w:szCs w:val="24"/>
                <w:lang w:val="en-GB" w:eastAsia="zh-CN" w:bidi="hi-IN"/>
              </w:rPr>
              <w:t xml:space="preserve">   </w:t>
            </w:r>
          </w:p>
          <w:p w:rsidR="00214E9A" w:rsidRPr="006275A2" w:rsidRDefault="00BC4BD4" w:rsidP="006275A2">
            <w:pPr>
              <w:spacing w:after="0" w:line="360" w:lineRule="auto"/>
              <w:jc w:val="both"/>
              <w:rPr>
                <w:rFonts w:ascii="Arial Narrow" w:hAnsi="Arial Narrow" w:cs="Arial"/>
                <w:sz w:val="24"/>
                <w:szCs w:val="24"/>
                <w:lang w:val="en-GB" w:eastAsia="zh-CN" w:bidi="hi-IN"/>
              </w:rPr>
            </w:pPr>
            <w:r w:rsidRPr="006275A2">
              <w:rPr>
                <w:rFonts w:ascii="Arial Narrow" w:hAnsi="Arial Narrow" w:cs="Arial"/>
                <w:sz w:val="24"/>
                <w:szCs w:val="24"/>
                <w:lang w:val="en-GB" w:eastAsia="zh-CN" w:bidi="hi-IN"/>
              </w:rPr>
              <w:t xml:space="preserve">[12]        </w:t>
            </w:r>
            <w:r w:rsidR="001C2AB0" w:rsidRPr="006275A2">
              <w:rPr>
                <w:rFonts w:ascii="Arial Narrow" w:hAnsi="Arial Narrow" w:cs="Arial"/>
                <w:sz w:val="24"/>
                <w:szCs w:val="24"/>
                <w:lang w:val="en-GB" w:eastAsia="zh-CN" w:bidi="hi-IN"/>
              </w:rPr>
              <w:t xml:space="preserve"> The plaintiff in this matter has however </w:t>
            </w:r>
            <w:r w:rsidRPr="006275A2">
              <w:rPr>
                <w:rFonts w:ascii="Arial Narrow" w:hAnsi="Arial Narrow" w:cs="Arial"/>
                <w:sz w:val="24"/>
                <w:szCs w:val="24"/>
                <w:lang w:val="en-GB" w:eastAsia="zh-CN" w:bidi="hi-IN"/>
              </w:rPr>
              <w:t xml:space="preserve">not shown why the court should exercise it’s discretion in their favour as it is not enough to say that </w:t>
            </w:r>
            <w:r w:rsidR="001C2AB0" w:rsidRPr="006275A2">
              <w:rPr>
                <w:rFonts w:ascii="Arial Narrow" w:hAnsi="Arial Narrow" w:cs="Arial"/>
                <w:sz w:val="24"/>
                <w:szCs w:val="24"/>
                <w:lang w:val="en-GB" w:eastAsia="zh-CN" w:bidi="hi-IN"/>
              </w:rPr>
              <w:t xml:space="preserve">this court should not refer the matter to arbitration as per the agreement by simply </w:t>
            </w:r>
            <w:r w:rsidRPr="006275A2">
              <w:rPr>
                <w:rFonts w:ascii="Arial Narrow" w:hAnsi="Arial Narrow" w:cs="Arial"/>
                <w:sz w:val="24"/>
                <w:szCs w:val="24"/>
                <w:lang w:val="en-GB" w:eastAsia="zh-CN" w:bidi="hi-IN"/>
              </w:rPr>
              <w:t xml:space="preserve">because the defendant has pleaded.  The plaintiff was unable to convince the court that there </w:t>
            </w:r>
            <w:r w:rsidR="0080429D" w:rsidRPr="006275A2">
              <w:rPr>
                <w:rFonts w:ascii="Arial Narrow" w:hAnsi="Arial Narrow" w:cs="Arial"/>
                <w:sz w:val="24"/>
                <w:szCs w:val="24"/>
                <w:lang w:val="en-GB" w:eastAsia="zh-CN" w:bidi="hi-IN"/>
              </w:rPr>
              <w:t>is any exceptional circumstance</w:t>
            </w:r>
            <w:r w:rsidRPr="006275A2">
              <w:rPr>
                <w:rFonts w:ascii="Arial Narrow" w:hAnsi="Arial Narrow" w:cs="Arial"/>
                <w:sz w:val="24"/>
                <w:szCs w:val="24"/>
                <w:lang w:val="en-GB" w:eastAsia="zh-CN" w:bidi="hi-IN"/>
              </w:rPr>
              <w:t xml:space="preserve"> or compelling reasons which would cause the court to refuse the stay pending the outcome of the arbitration.</w:t>
            </w:r>
          </w:p>
          <w:p w:rsidR="00BC4BD4" w:rsidRPr="006275A2" w:rsidRDefault="00BC4BD4" w:rsidP="006275A2">
            <w:pPr>
              <w:spacing w:after="0" w:line="360" w:lineRule="auto"/>
              <w:jc w:val="both"/>
              <w:rPr>
                <w:rFonts w:ascii="Arial Narrow" w:hAnsi="Arial Narrow"/>
                <w:sz w:val="24"/>
                <w:szCs w:val="24"/>
                <w:lang w:val="en-US"/>
              </w:rPr>
            </w:pPr>
          </w:p>
          <w:p w:rsidR="00214E9A" w:rsidRPr="006275A2" w:rsidRDefault="00214E9A" w:rsidP="006275A2">
            <w:pPr>
              <w:spacing w:after="0" w:line="360" w:lineRule="auto"/>
              <w:jc w:val="both"/>
              <w:rPr>
                <w:rFonts w:ascii="Arial Narrow" w:hAnsi="Arial Narrow"/>
                <w:sz w:val="24"/>
                <w:szCs w:val="24"/>
                <w:lang w:val="en-US"/>
              </w:rPr>
            </w:pPr>
            <w:r w:rsidRPr="006275A2">
              <w:rPr>
                <w:rFonts w:ascii="Arial Narrow" w:hAnsi="Arial Narrow"/>
                <w:sz w:val="24"/>
                <w:szCs w:val="24"/>
                <w:lang w:val="en-US"/>
              </w:rPr>
              <w:t>In the result, I make the following order:</w:t>
            </w:r>
          </w:p>
          <w:p w:rsidR="006275A2" w:rsidRPr="006275A2" w:rsidRDefault="006275A2" w:rsidP="006275A2">
            <w:pPr>
              <w:spacing w:after="0" w:line="360" w:lineRule="auto"/>
              <w:jc w:val="both"/>
              <w:rPr>
                <w:rFonts w:ascii="Arial Narrow" w:hAnsi="Arial Narrow"/>
                <w:sz w:val="24"/>
                <w:szCs w:val="24"/>
                <w:lang w:val="en-US"/>
              </w:rPr>
            </w:pPr>
          </w:p>
          <w:p w:rsidR="00BC4BD4" w:rsidRDefault="00BC4BD4" w:rsidP="006275A2">
            <w:pPr>
              <w:spacing w:line="360" w:lineRule="auto"/>
              <w:jc w:val="both"/>
              <w:rPr>
                <w:rFonts w:ascii="Arial Narrow" w:eastAsia="Calibri" w:hAnsi="Arial Narrow" w:cs="Calibri"/>
                <w:color w:val="000000"/>
                <w:lang w:val="af-ZA" w:eastAsia="en-ZA"/>
              </w:rPr>
            </w:pPr>
            <w:r w:rsidRPr="006275A2">
              <w:rPr>
                <w:rFonts w:ascii="Arial Narrow" w:eastAsia="Calibri" w:hAnsi="Arial Narrow" w:cs="Calibri"/>
                <w:color w:val="000000"/>
                <w:sz w:val="24"/>
                <w:szCs w:val="24"/>
                <w:lang w:val="af-ZA" w:eastAsia="en-ZA"/>
              </w:rPr>
              <w:t>The special plea is upheld with costs, costs to include the costs of one in</w:t>
            </w:r>
            <w:r w:rsidR="007C4182">
              <w:rPr>
                <w:rFonts w:ascii="Arial Narrow" w:eastAsia="Calibri" w:hAnsi="Arial Narrow" w:cs="Calibri"/>
                <w:color w:val="000000"/>
                <w:sz w:val="24"/>
                <w:szCs w:val="24"/>
                <w:lang w:val="af-ZA" w:eastAsia="en-ZA"/>
              </w:rPr>
              <w:t>s</w:t>
            </w:r>
            <w:r w:rsidRPr="006275A2">
              <w:rPr>
                <w:rFonts w:ascii="Arial Narrow" w:eastAsia="Calibri" w:hAnsi="Arial Narrow" w:cs="Calibri"/>
                <w:color w:val="000000"/>
                <w:sz w:val="24"/>
                <w:szCs w:val="24"/>
                <w:lang w:val="af-ZA" w:eastAsia="en-ZA"/>
              </w:rPr>
              <w:t xml:space="preserve">tructing and one instructed </w:t>
            </w:r>
            <w:r w:rsidR="006275A2" w:rsidRPr="00DD40A1">
              <w:rPr>
                <w:rFonts w:ascii="Arial Narrow" w:eastAsia="Calibri" w:hAnsi="Arial Narrow" w:cs="Calibri"/>
                <w:sz w:val="24"/>
                <w:szCs w:val="24"/>
                <w:lang w:val="af-ZA" w:eastAsia="en-ZA"/>
              </w:rPr>
              <w:t>counse</w:t>
            </w:r>
            <w:r w:rsidRPr="00DD40A1">
              <w:rPr>
                <w:rFonts w:ascii="Arial Narrow" w:eastAsia="Calibri" w:hAnsi="Arial Narrow" w:cs="Calibri"/>
                <w:sz w:val="24"/>
                <w:szCs w:val="24"/>
                <w:lang w:val="af-ZA" w:eastAsia="en-ZA"/>
              </w:rPr>
              <w:t>l.</w:t>
            </w:r>
            <w:r w:rsidRPr="00DD40A1">
              <w:rPr>
                <w:rFonts w:ascii="Arial Narrow" w:eastAsia="Calibri" w:hAnsi="Arial Narrow" w:cs="Calibri"/>
                <w:lang w:val="af-ZA" w:eastAsia="en-ZA"/>
              </w:rPr>
              <w:t xml:space="preserve"> </w:t>
            </w:r>
          </w:p>
          <w:p w:rsidR="00BC4BD4" w:rsidRDefault="00BC4BD4" w:rsidP="00BC4BD4">
            <w:pPr>
              <w:spacing w:line="360" w:lineRule="auto"/>
              <w:rPr>
                <w:rFonts w:ascii="Arial Narrow" w:eastAsia="Calibri" w:hAnsi="Arial Narrow" w:cs="Calibri"/>
                <w:color w:val="000000"/>
                <w:lang w:val="af-ZA" w:eastAsia="en-ZA"/>
              </w:rPr>
            </w:pPr>
          </w:p>
          <w:p w:rsidR="00214E9A" w:rsidRPr="00DA4588" w:rsidRDefault="00214E9A" w:rsidP="00BC4BD4">
            <w:pPr>
              <w:spacing w:line="360" w:lineRule="auto"/>
              <w:jc w:val="right"/>
              <w:rPr>
                <w:rFonts w:ascii="Arial Narrow" w:hAnsi="Arial Narrow" w:cs="Arial"/>
                <w:sz w:val="24"/>
              </w:rPr>
            </w:pPr>
            <w:r w:rsidRPr="00DA4588">
              <w:rPr>
                <w:rFonts w:ascii="Arial Narrow" w:hAnsi="Arial Narrow" w:cs="Arial"/>
                <w:sz w:val="24"/>
              </w:rPr>
              <w:t>____________</w:t>
            </w:r>
          </w:p>
          <w:p w:rsidR="00214E9A" w:rsidRPr="00DA4588" w:rsidRDefault="00214E9A" w:rsidP="00FC4D9E">
            <w:pPr>
              <w:spacing w:line="360" w:lineRule="auto"/>
              <w:jc w:val="right"/>
              <w:rPr>
                <w:rFonts w:ascii="Arial Narrow" w:hAnsi="Arial Narrow" w:cs="Arial"/>
                <w:sz w:val="24"/>
              </w:rPr>
            </w:pPr>
            <w:r>
              <w:rPr>
                <w:rFonts w:ascii="Arial Narrow" w:hAnsi="Arial Narrow" w:cs="Arial"/>
                <w:sz w:val="24"/>
              </w:rPr>
              <w:t>E Rakow</w:t>
            </w:r>
          </w:p>
          <w:p w:rsidR="00214E9A" w:rsidRPr="007F3351" w:rsidRDefault="00214E9A" w:rsidP="00FC4D9E">
            <w:pPr>
              <w:spacing w:line="360" w:lineRule="auto"/>
              <w:jc w:val="right"/>
              <w:rPr>
                <w:rFonts w:ascii="Arial Narrow" w:hAnsi="Arial Narrow" w:cs="Arial"/>
                <w:sz w:val="24"/>
              </w:rPr>
            </w:pPr>
            <w:r w:rsidRPr="00DA4588">
              <w:rPr>
                <w:rFonts w:ascii="Arial Narrow" w:hAnsi="Arial Narrow" w:cs="Arial"/>
                <w:sz w:val="24"/>
              </w:rPr>
              <w:t>Acting Judge</w:t>
            </w:r>
          </w:p>
          <w:p w:rsidR="00214E9A" w:rsidRPr="00DA4588" w:rsidRDefault="00214E9A" w:rsidP="00FC4D9E">
            <w:pPr>
              <w:spacing w:line="360" w:lineRule="auto"/>
              <w:jc w:val="both"/>
              <w:rPr>
                <w:rFonts w:ascii="Arial Narrow" w:hAnsi="Arial Narrow"/>
                <w:color w:val="242121"/>
                <w:sz w:val="24"/>
                <w:szCs w:val="24"/>
                <w:shd w:val="clear" w:color="auto" w:fill="FFFFFF"/>
              </w:rPr>
            </w:pPr>
          </w:p>
        </w:tc>
      </w:tr>
      <w:tr w:rsidR="00214E9A" w:rsidRPr="00DA4588" w:rsidTr="00BC4BD4">
        <w:tc>
          <w:tcPr>
            <w:tcW w:w="4770" w:type="dxa"/>
          </w:tcPr>
          <w:p w:rsidR="00214E9A" w:rsidRPr="00DA4588" w:rsidRDefault="00214E9A" w:rsidP="00FC4D9E">
            <w:pPr>
              <w:spacing w:line="360" w:lineRule="auto"/>
              <w:jc w:val="center"/>
              <w:rPr>
                <w:rFonts w:ascii="Arial Narrow" w:hAnsi="Arial Narrow" w:cs="Arial"/>
                <w:b/>
                <w:sz w:val="24"/>
                <w:szCs w:val="24"/>
              </w:rPr>
            </w:pPr>
            <w:r w:rsidRPr="00DA4588">
              <w:rPr>
                <w:rFonts w:ascii="Arial Narrow" w:hAnsi="Arial Narrow" w:cs="Arial"/>
                <w:b/>
                <w:sz w:val="24"/>
                <w:szCs w:val="24"/>
              </w:rPr>
              <w:lastRenderedPageBreak/>
              <w:t>Judge’s signature</w:t>
            </w:r>
          </w:p>
        </w:tc>
        <w:tc>
          <w:tcPr>
            <w:tcW w:w="4827" w:type="dxa"/>
            <w:gridSpan w:val="2"/>
          </w:tcPr>
          <w:p w:rsidR="00214E9A" w:rsidRPr="00DA4588" w:rsidRDefault="00214E9A" w:rsidP="00FC4D9E">
            <w:pPr>
              <w:spacing w:line="360" w:lineRule="auto"/>
              <w:jc w:val="center"/>
              <w:rPr>
                <w:rFonts w:ascii="Arial Narrow" w:hAnsi="Arial Narrow" w:cs="Arial"/>
                <w:b/>
                <w:sz w:val="24"/>
                <w:szCs w:val="24"/>
              </w:rPr>
            </w:pPr>
            <w:r w:rsidRPr="00DA4588">
              <w:rPr>
                <w:rFonts w:ascii="Arial Narrow" w:hAnsi="Arial Narrow" w:cs="Arial"/>
                <w:b/>
                <w:sz w:val="24"/>
                <w:szCs w:val="24"/>
              </w:rPr>
              <w:t>Note to the parties:</w:t>
            </w:r>
          </w:p>
        </w:tc>
      </w:tr>
      <w:tr w:rsidR="00214E9A" w:rsidRPr="00DA4588" w:rsidTr="00BC4BD4">
        <w:trPr>
          <w:trHeight w:val="1114"/>
        </w:trPr>
        <w:tc>
          <w:tcPr>
            <w:tcW w:w="4770" w:type="dxa"/>
          </w:tcPr>
          <w:p w:rsidR="00214E9A" w:rsidRPr="00DA4588" w:rsidRDefault="00214E9A" w:rsidP="00FC4D9E">
            <w:pPr>
              <w:spacing w:line="360" w:lineRule="auto"/>
              <w:jc w:val="both"/>
              <w:rPr>
                <w:rFonts w:ascii="Arial Narrow" w:hAnsi="Arial Narrow" w:cs="Arial"/>
                <w:sz w:val="24"/>
                <w:szCs w:val="24"/>
              </w:rPr>
            </w:pPr>
          </w:p>
        </w:tc>
        <w:tc>
          <w:tcPr>
            <w:tcW w:w="4827" w:type="dxa"/>
            <w:gridSpan w:val="2"/>
          </w:tcPr>
          <w:p w:rsidR="00214E9A" w:rsidRPr="00DA4588" w:rsidRDefault="00214E9A" w:rsidP="00FC4D9E">
            <w:pPr>
              <w:spacing w:line="360" w:lineRule="auto"/>
              <w:jc w:val="both"/>
              <w:rPr>
                <w:rFonts w:ascii="Arial Narrow" w:hAnsi="Arial Narrow" w:cs="Arial"/>
                <w:sz w:val="24"/>
                <w:szCs w:val="24"/>
              </w:rPr>
            </w:pPr>
            <w:r w:rsidRPr="00DA4588">
              <w:rPr>
                <w:rFonts w:ascii="Arial Narrow" w:hAnsi="Arial Narrow" w:cs="Arial"/>
                <w:sz w:val="24"/>
                <w:szCs w:val="24"/>
              </w:rPr>
              <w:t>Not applicable.</w:t>
            </w:r>
          </w:p>
        </w:tc>
      </w:tr>
      <w:tr w:rsidR="00214E9A" w:rsidRPr="00DA4588" w:rsidTr="00BC4BD4">
        <w:tc>
          <w:tcPr>
            <w:tcW w:w="9597" w:type="dxa"/>
            <w:gridSpan w:val="3"/>
          </w:tcPr>
          <w:p w:rsidR="00214E9A" w:rsidRPr="00DA4588" w:rsidRDefault="00214E9A" w:rsidP="00FC4D9E">
            <w:pPr>
              <w:spacing w:line="360" w:lineRule="auto"/>
              <w:jc w:val="center"/>
              <w:rPr>
                <w:rFonts w:ascii="Arial Narrow" w:hAnsi="Arial Narrow" w:cs="Arial"/>
                <w:b/>
                <w:sz w:val="24"/>
                <w:szCs w:val="24"/>
              </w:rPr>
            </w:pPr>
            <w:r w:rsidRPr="00DA4588">
              <w:rPr>
                <w:rFonts w:ascii="Arial Narrow" w:hAnsi="Arial Narrow" w:cs="Arial"/>
                <w:b/>
                <w:sz w:val="24"/>
                <w:szCs w:val="24"/>
              </w:rPr>
              <w:t>Counsel:</w:t>
            </w:r>
          </w:p>
        </w:tc>
      </w:tr>
      <w:tr w:rsidR="00214E9A" w:rsidRPr="00DA4588" w:rsidTr="00BC4BD4">
        <w:tc>
          <w:tcPr>
            <w:tcW w:w="4770" w:type="dxa"/>
          </w:tcPr>
          <w:p w:rsidR="00214E9A" w:rsidRPr="00DA4588" w:rsidRDefault="00717241" w:rsidP="00FC4D9E">
            <w:pPr>
              <w:spacing w:line="360" w:lineRule="auto"/>
              <w:jc w:val="center"/>
              <w:rPr>
                <w:rFonts w:ascii="Arial Narrow" w:hAnsi="Arial Narrow" w:cs="Arial"/>
                <w:b/>
                <w:sz w:val="24"/>
                <w:szCs w:val="24"/>
              </w:rPr>
            </w:pPr>
            <w:r>
              <w:rPr>
                <w:rFonts w:ascii="Arial Narrow" w:hAnsi="Arial Narrow" w:cs="Arial"/>
                <w:b/>
                <w:sz w:val="24"/>
                <w:szCs w:val="24"/>
              </w:rPr>
              <w:t>Plaintiff</w:t>
            </w:r>
          </w:p>
        </w:tc>
        <w:tc>
          <w:tcPr>
            <w:tcW w:w="4827" w:type="dxa"/>
            <w:gridSpan w:val="2"/>
          </w:tcPr>
          <w:p w:rsidR="00214E9A" w:rsidRPr="00DA4588" w:rsidRDefault="00214E9A" w:rsidP="00FC4D9E">
            <w:pPr>
              <w:spacing w:line="360" w:lineRule="auto"/>
              <w:jc w:val="center"/>
              <w:rPr>
                <w:rFonts w:ascii="Arial Narrow" w:hAnsi="Arial Narrow" w:cs="Arial"/>
                <w:b/>
                <w:sz w:val="24"/>
                <w:szCs w:val="24"/>
              </w:rPr>
            </w:pPr>
            <w:r w:rsidRPr="00DA4588">
              <w:rPr>
                <w:rFonts w:ascii="Arial Narrow" w:hAnsi="Arial Narrow" w:cs="Arial"/>
                <w:b/>
                <w:sz w:val="24"/>
                <w:szCs w:val="24"/>
              </w:rPr>
              <w:t xml:space="preserve"> Respondent</w:t>
            </w:r>
          </w:p>
        </w:tc>
      </w:tr>
      <w:tr w:rsidR="00214E9A" w:rsidRPr="00DA4588" w:rsidTr="00BC4BD4">
        <w:tc>
          <w:tcPr>
            <w:tcW w:w="4770" w:type="dxa"/>
          </w:tcPr>
          <w:p w:rsidR="00214E9A" w:rsidRPr="00DA4588" w:rsidRDefault="00717241" w:rsidP="00FC4D9E">
            <w:pPr>
              <w:spacing w:line="360" w:lineRule="auto"/>
              <w:jc w:val="center"/>
              <w:rPr>
                <w:rFonts w:ascii="Arial Narrow" w:hAnsi="Arial Narrow" w:cs="Arial"/>
                <w:i/>
                <w:sz w:val="24"/>
                <w:szCs w:val="24"/>
              </w:rPr>
            </w:pPr>
            <w:r>
              <w:rPr>
                <w:rFonts w:ascii="Arial Narrow" w:hAnsi="Arial Narrow" w:cs="Arial"/>
                <w:i/>
                <w:sz w:val="24"/>
                <w:szCs w:val="24"/>
              </w:rPr>
              <w:t>Mr du Pisani</w:t>
            </w:r>
          </w:p>
          <w:p w:rsidR="00214E9A" w:rsidRPr="00DA4588" w:rsidRDefault="00717241" w:rsidP="00FC4D9E">
            <w:pPr>
              <w:spacing w:line="360" w:lineRule="auto"/>
              <w:jc w:val="center"/>
              <w:rPr>
                <w:rFonts w:ascii="Arial Narrow" w:hAnsi="Arial Narrow" w:cs="Arial"/>
                <w:sz w:val="24"/>
                <w:szCs w:val="24"/>
              </w:rPr>
            </w:pPr>
            <w:r>
              <w:rPr>
                <w:rFonts w:ascii="Arial Narrow" w:hAnsi="Arial Narrow" w:cs="Arial"/>
                <w:i/>
                <w:sz w:val="24"/>
                <w:szCs w:val="24"/>
              </w:rPr>
              <w:t>Du Pisani Legal Practitioners</w:t>
            </w:r>
          </w:p>
        </w:tc>
        <w:tc>
          <w:tcPr>
            <w:tcW w:w="4827" w:type="dxa"/>
            <w:gridSpan w:val="2"/>
          </w:tcPr>
          <w:p w:rsidR="00717241" w:rsidRDefault="00717241" w:rsidP="00717241">
            <w:pPr>
              <w:spacing w:line="360" w:lineRule="auto"/>
              <w:jc w:val="center"/>
              <w:rPr>
                <w:rFonts w:ascii="Arial Narrow" w:hAnsi="Arial Narrow" w:cs="Arial"/>
                <w:i/>
                <w:sz w:val="24"/>
                <w:szCs w:val="24"/>
              </w:rPr>
            </w:pPr>
            <w:r>
              <w:rPr>
                <w:rFonts w:ascii="Arial Narrow" w:hAnsi="Arial Narrow" w:cs="Arial"/>
                <w:i/>
                <w:sz w:val="24"/>
                <w:szCs w:val="24"/>
              </w:rPr>
              <w:t>Mr Boesak</w:t>
            </w:r>
          </w:p>
          <w:p w:rsidR="00214E9A" w:rsidRPr="00D07CF4" w:rsidRDefault="00214E9A" w:rsidP="00717241">
            <w:pPr>
              <w:spacing w:line="360" w:lineRule="auto"/>
              <w:jc w:val="center"/>
              <w:rPr>
                <w:rFonts w:ascii="Arial Narrow" w:hAnsi="Arial Narrow" w:cs="Arial"/>
                <w:i/>
                <w:sz w:val="24"/>
                <w:szCs w:val="24"/>
              </w:rPr>
            </w:pPr>
            <w:r w:rsidRPr="00DA4588">
              <w:rPr>
                <w:rFonts w:ascii="Arial Narrow" w:hAnsi="Arial Narrow" w:cs="Arial"/>
                <w:i/>
                <w:sz w:val="24"/>
                <w:szCs w:val="24"/>
              </w:rPr>
              <w:t xml:space="preserve">On instruction of </w:t>
            </w:r>
            <w:r w:rsidR="00717241">
              <w:rPr>
                <w:rFonts w:ascii="Arial Narrow" w:hAnsi="Arial Narrow" w:cs="Arial"/>
                <w:i/>
                <w:sz w:val="24"/>
                <w:szCs w:val="24"/>
              </w:rPr>
              <w:t>ENSafrica Namibia Inc.</w:t>
            </w:r>
          </w:p>
        </w:tc>
      </w:tr>
    </w:tbl>
    <w:p w:rsidR="00FC4D9E" w:rsidRDefault="00FC4D9E"/>
    <w:sectPr w:rsidR="00FC4D9E" w:rsidSect="00FC4D9E">
      <w:headerReference w:type="default" r:id="rId7"/>
      <w:footerReference w:type="default" r:id="rId8"/>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B3" w:rsidRDefault="00790AB3" w:rsidP="00214E9A">
      <w:pPr>
        <w:spacing w:after="0" w:line="240" w:lineRule="auto"/>
      </w:pPr>
      <w:r>
        <w:separator/>
      </w:r>
    </w:p>
  </w:endnote>
  <w:endnote w:type="continuationSeparator" w:id="0">
    <w:p w:rsidR="00790AB3" w:rsidRDefault="00790AB3" w:rsidP="0021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9E" w:rsidRDefault="00FC4D9E">
    <w:pPr>
      <w:pStyle w:val="Footer"/>
      <w:jc w:val="right"/>
    </w:pPr>
  </w:p>
  <w:p w:rsidR="00FC4D9E" w:rsidRDefault="00FC4D9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B3" w:rsidRDefault="00790AB3" w:rsidP="00214E9A">
      <w:pPr>
        <w:spacing w:after="0" w:line="240" w:lineRule="auto"/>
      </w:pPr>
      <w:r>
        <w:separator/>
      </w:r>
    </w:p>
  </w:footnote>
  <w:footnote w:type="continuationSeparator" w:id="0">
    <w:p w:rsidR="00790AB3" w:rsidRDefault="00790AB3" w:rsidP="00214E9A">
      <w:pPr>
        <w:spacing w:after="0" w:line="240" w:lineRule="auto"/>
      </w:pPr>
      <w:r>
        <w:continuationSeparator/>
      </w:r>
    </w:p>
  </w:footnote>
  <w:footnote w:id="1">
    <w:p w:rsidR="00B621ED" w:rsidRPr="009C7F86" w:rsidRDefault="00B621ED" w:rsidP="009C7F86">
      <w:pPr>
        <w:pStyle w:val="FootnoteText"/>
        <w:jc w:val="both"/>
        <w:rPr>
          <w:rFonts w:ascii="Arial" w:hAnsi="Arial" w:cs="Arial"/>
        </w:rPr>
      </w:pPr>
      <w:r w:rsidRPr="009C7F86">
        <w:rPr>
          <w:rStyle w:val="FootnoteReference"/>
          <w:rFonts w:ascii="Arial" w:hAnsi="Arial" w:cs="Arial"/>
        </w:rPr>
        <w:footnoteRef/>
      </w:r>
      <w:r w:rsidRPr="009C7F86">
        <w:rPr>
          <w:rFonts w:ascii="Arial" w:hAnsi="Arial" w:cs="Arial"/>
        </w:rPr>
        <w:t xml:space="preserve"> The Civil Practice of the High Courts and the Supreme Court of Appeal of South Africa, 5</w:t>
      </w:r>
      <w:r w:rsidRPr="009C7F86">
        <w:rPr>
          <w:rFonts w:ascii="Arial" w:hAnsi="Arial" w:cs="Arial"/>
          <w:vertAlign w:val="superscript"/>
        </w:rPr>
        <w:t>th</w:t>
      </w:r>
      <w:r w:rsidRPr="009C7F86">
        <w:rPr>
          <w:rFonts w:ascii="Arial" w:hAnsi="Arial" w:cs="Arial"/>
        </w:rPr>
        <w:t xml:space="preserve"> edition, Volume 1, 2009 at page 331</w:t>
      </w:r>
      <w:r w:rsidR="006275A2" w:rsidRPr="009C7F86">
        <w:rPr>
          <w:rFonts w:ascii="Arial" w:hAnsi="Arial" w:cs="Arial"/>
        </w:rPr>
        <w:t>.</w:t>
      </w:r>
    </w:p>
  </w:footnote>
  <w:footnote w:id="2">
    <w:p w:rsidR="00B621ED" w:rsidRPr="009C7F86" w:rsidRDefault="00B621ED" w:rsidP="009C7F86">
      <w:pPr>
        <w:pStyle w:val="FootnoteText"/>
        <w:jc w:val="both"/>
        <w:rPr>
          <w:rFonts w:ascii="Arial" w:hAnsi="Arial" w:cs="Arial"/>
        </w:rPr>
      </w:pPr>
      <w:r w:rsidRPr="009C7F86">
        <w:rPr>
          <w:rStyle w:val="FootnoteReference"/>
          <w:rFonts w:ascii="Arial" w:hAnsi="Arial" w:cs="Arial"/>
        </w:rPr>
        <w:footnoteRef/>
      </w:r>
      <w:r w:rsidRPr="009C7F86">
        <w:rPr>
          <w:rFonts w:ascii="Arial" w:hAnsi="Arial" w:cs="Arial"/>
        </w:rPr>
        <w:t xml:space="preserve"> [2007] 4 All ER 951 (HL) ([2007] UKHL 40)</w:t>
      </w:r>
      <w:r w:rsidR="006275A2" w:rsidRPr="009C7F86">
        <w:rPr>
          <w:rFonts w:ascii="Arial" w:hAnsi="Arial" w:cs="Arial"/>
        </w:rPr>
        <w:t>.</w:t>
      </w:r>
    </w:p>
  </w:footnote>
  <w:footnote w:id="3">
    <w:p w:rsidR="00B621ED" w:rsidRPr="009C7F86" w:rsidRDefault="00B621ED" w:rsidP="009C7F86">
      <w:pPr>
        <w:pStyle w:val="FootnoteText"/>
        <w:jc w:val="both"/>
        <w:rPr>
          <w:rFonts w:ascii="Arial" w:hAnsi="Arial" w:cs="Arial"/>
        </w:rPr>
      </w:pPr>
      <w:r w:rsidRPr="009C7F86">
        <w:rPr>
          <w:rStyle w:val="FootnoteReference"/>
          <w:rFonts w:ascii="Arial" w:hAnsi="Arial" w:cs="Arial"/>
        </w:rPr>
        <w:footnoteRef/>
      </w:r>
      <w:r w:rsidRPr="009C7F86">
        <w:rPr>
          <w:rFonts w:ascii="Arial" w:hAnsi="Arial" w:cs="Arial"/>
        </w:rPr>
        <w:t xml:space="preserve"> (5541/2011) [2012] ZAFSHC 141 (10 August 2012)</w:t>
      </w:r>
      <w:r w:rsidR="006275A2" w:rsidRPr="009C7F86">
        <w:rPr>
          <w:rFonts w:ascii="Arial" w:hAnsi="Arial" w:cs="Arial"/>
        </w:rPr>
        <w:t>.</w:t>
      </w:r>
    </w:p>
  </w:footnote>
  <w:footnote w:id="4">
    <w:p w:rsidR="00BC4BD4" w:rsidRPr="009C7F86" w:rsidRDefault="00BC4BD4" w:rsidP="009C7F86">
      <w:pPr>
        <w:pStyle w:val="FootnoteText"/>
        <w:jc w:val="both"/>
        <w:rPr>
          <w:rFonts w:ascii="Arial" w:hAnsi="Arial" w:cs="Arial"/>
        </w:rPr>
      </w:pPr>
      <w:r w:rsidRPr="009C7F86">
        <w:rPr>
          <w:rStyle w:val="FootnoteReference"/>
          <w:rFonts w:ascii="Arial" w:hAnsi="Arial" w:cs="Arial"/>
        </w:rPr>
        <w:footnoteRef/>
      </w:r>
      <w:r w:rsidRPr="009C7F86">
        <w:rPr>
          <w:rFonts w:ascii="Arial" w:hAnsi="Arial" w:cs="Arial"/>
        </w:rPr>
        <w:t xml:space="preserve"> (HC-MD-CIV-ACT-CON-2017/03148) [2018] NAHCMD 309 (24 September 2018)</w:t>
      </w:r>
      <w:r w:rsidR="009C7F86" w:rsidRPr="009C7F8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FC4D9E" w:rsidRDefault="00FC4D9E">
        <w:pPr>
          <w:pStyle w:val="Header"/>
          <w:jc w:val="right"/>
        </w:pPr>
        <w:r>
          <w:fldChar w:fldCharType="begin"/>
        </w:r>
        <w:r>
          <w:instrText xml:space="preserve"> PAGE   \* MERGEFORMAT </w:instrText>
        </w:r>
        <w:r>
          <w:fldChar w:fldCharType="separate"/>
        </w:r>
        <w:r w:rsidR="00B80D79">
          <w:rPr>
            <w:noProof/>
          </w:rPr>
          <w:t>4</w:t>
        </w:r>
        <w:r>
          <w:rPr>
            <w:noProof/>
          </w:rPr>
          <w:fldChar w:fldCharType="end"/>
        </w:r>
      </w:p>
    </w:sdtContent>
  </w:sdt>
  <w:p w:rsidR="00FC4D9E" w:rsidRDefault="00FC4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A"/>
    <w:rsid w:val="000A096E"/>
    <w:rsid w:val="000C0133"/>
    <w:rsid w:val="001166F1"/>
    <w:rsid w:val="001C2AB0"/>
    <w:rsid w:val="00214E9A"/>
    <w:rsid w:val="002804C3"/>
    <w:rsid w:val="003B6DA5"/>
    <w:rsid w:val="00436544"/>
    <w:rsid w:val="004621B1"/>
    <w:rsid w:val="005655DF"/>
    <w:rsid w:val="00595B91"/>
    <w:rsid w:val="005E39C8"/>
    <w:rsid w:val="006026EA"/>
    <w:rsid w:val="006275A2"/>
    <w:rsid w:val="006D5723"/>
    <w:rsid w:val="006F0A84"/>
    <w:rsid w:val="006F4541"/>
    <w:rsid w:val="006F4751"/>
    <w:rsid w:val="00717241"/>
    <w:rsid w:val="00790AB3"/>
    <w:rsid w:val="007C4182"/>
    <w:rsid w:val="0080429D"/>
    <w:rsid w:val="008460A7"/>
    <w:rsid w:val="008738E5"/>
    <w:rsid w:val="008F0175"/>
    <w:rsid w:val="008F2604"/>
    <w:rsid w:val="00900695"/>
    <w:rsid w:val="00902978"/>
    <w:rsid w:val="00970966"/>
    <w:rsid w:val="009C7F86"/>
    <w:rsid w:val="00AA595A"/>
    <w:rsid w:val="00AE79A4"/>
    <w:rsid w:val="00B21E34"/>
    <w:rsid w:val="00B621ED"/>
    <w:rsid w:val="00B80D79"/>
    <w:rsid w:val="00BC4BD4"/>
    <w:rsid w:val="00BD6E47"/>
    <w:rsid w:val="00C1204D"/>
    <w:rsid w:val="00C40546"/>
    <w:rsid w:val="00C855F4"/>
    <w:rsid w:val="00CC59C6"/>
    <w:rsid w:val="00DC0ED4"/>
    <w:rsid w:val="00DD40A1"/>
    <w:rsid w:val="00E058BD"/>
    <w:rsid w:val="00F140E4"/>
    <w:rsid w:val="00FA181D"/>
    <w:rsid w:val="00FC4D9E"/>
    <w:rsid w:val="00FF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0B791-FA6A-457E-8B65-A393144E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9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E9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4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9A"/>
    <w:rPr>
      <w:lang w:val="en-ZA"/>
    </w:rPr>
  </w:style>
  <w:style w:type="paragraph" w:customStyle="1" w:styleId="form-control-static">
    <w:name w:val="form-control-static"/>
    <w:basedOn w:val="Normal"/>
    <w:rsid w:val="00214E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1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E9A"/>
    <w:rPr>
      <w:lang w:val="en-ZA"/>
    </w:rPr>
  </w:style>
  <w:style w:type="paragraph" w:styleId="NoSpacing">
    <w:name w:val="No Spacing"/>
    <w:uiPriority w:val="1"/>
    <w:qFormat/>
    <w:rsid w:val="00214E9A"/>
    <w:pPr>
      <w:spacing w:after="0" w:line="240" w:lineRule="auto"/>
    </w:pPr>
    <w:rPr>
      <w:rFonts w:ascii="Calibri" w:eastAsia="Calibri" w:hAnsi="Calibri" w:cs="Calibri"/>
      <w:color w:val="000000"/>
      <w:lang w:val="en-ZA" w:eastAsia="en-ZA"/>
    </w:rPr>
  </w:style>
  <w:style w:type="character" w:styleId="Strong">
    <w:name w:val="Strong"/>
    <w:basedOn w:val="DefaultParagraphFont"/>
    <w:uiPriority w:val="22"/>
    <w:qFormat/>
    <w:rsid w:val="00214E9A"/>
    <w:rPr>
      <w:b/>
      <w:bCs/>
    </w:rPr>
  </w:style>
  <w:style w:type="paragraph" w:styleId="NormalWeb">
    <w:name w:val="Normal (Web)"/>
    <w:basedOn w:val="Normal"/>
    <w:uiPriority w:val="99"/>
    <w:unhideWhenUsed/>
    <w:rsid w:val="00214E9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214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E9A"/>
    <w:rPr>
      <w:sz w:val="20"/>
      <w:szCs w:val="20"/>
      <w:lang w:val="en-ZA"/>
    </w:rPr>
  </w:style>
  <w:style w:type="character" w:styleId="FootnoteReference">
    <w:name w:val="footnote reference"/>
    <w:basedOn w:val="DefaultParagraphFont"/>
    <w:unhideWhenUsed/>
    <w:rsid w:val="00214E9A"/>
    <w:rPr>
      <w:vertAlign w:val="superscript"/>
    </w:rPr>
  </w:style>
  <w:style w:type="paragraph" w:styleId="BalloonText">
    <w:name w:val="Balloon Text"/>
    <w:basedOn w:val="Normal"/>
    <w:link w:val="BalloonTextChar"/>
    <w:uiPriority w:val="99"/>
    <w:semiHidden/>
    <w:unhideWhenUsed/>
    <w:rsid w:val="006F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84"/>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2019-12-03T18:30:00+00:00</Judgment_x0020_Date>
    <Year xmlns="c1afb1bd-f2fb-40fd-9abb-aea55b4d7662">2019</Year>
  </documentManagement>
</p:properties>
</file>

<file path=customXml/itemProps1.xml><?xml version="1.0" encoding="utf-8"?>
<ds:datastoreItem xmlns:ds="http://schemas.openxmlformats.org/officeDocument/2006/customXml" ds:itemID="{40F30C6E-0ED3-4BE5-81E7-19244430D714}"/>
</file>

<file path=customXml/itemProps2.xml><?xml version="1.0" encoding="utf-8"?>
<ds:datastoreItem xmlns:ds="http://schemas.openxmlformats.org/officeDocument/2006/customXml" ds:itemID="{4A4BF831-8F72-4411-BDE9-8DD4A23FD7D1}"/>
</file>

<file path=customXml/itemProps3.xml><?xml version="1.0" encoding="utf-8"?>
<ds:datastoreItem xmlns:ds="http://schemas.openxmlformats.org/officeDocument/2006/customXml" ds:itemID="{20F37DF8-E9BA-4580-85EB-D55DAA6A9193}"/>
</file>

<file path=customXml/itemProps4.xml><?xml version="1.0" encoding="utf-8"?>
<ds:datastoreItem xmlns:ds="http://schemas.openxmlformats.org/officeDocument/2006/customXml" ds:itemID="{D915DE16-41C4-4335-AE74-93A47027295F}"/>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2019-12-04T07:06:00Z</cp:lastPrinted>
  <dcterms:created xsi:type="dcterms:W3CDTF">2019-12-05T10:39:00Z</dcterms:created>
  <dcterms:modified xsi:type="dcterms:W3CDTF">2019-12-05T10:39:00Z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