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25" w:rsidRPr="00D86887" w:rsidRDefault="00546F25" w:rsidP="00546F25">
      <w:pPr>
        <w:spacing w:after="0" w:line="360" w:lineRule="auto"/>
        <w:jc w:val="center"/>
        <w:rPr>
          <w:rFonts w:ascii="Arial" w:hAnsi="Arial" w:cs="Arial"/>
          <w:b/>
          <w:sz w:val="24"/>
          <w:szCs w:val="24"/>
        </w:rPr>
      </w:pPr>
      <w:bookmarkStart w:id="0" w:name="_GoBack"/>
      <w:bookmarkEnd w:id="0"/>
      <w:r w:rsidRPr="00D86887">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4E3E35C1" wp14:editId="43A119FC">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673D5D" w:rsidRPr="000A0FD8" w:rsidRDefault="00673D5D" w:rsidP="00546F25">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E35C1"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673D5D" w:rsidRPr="000A0FD8" w:rsidRDefault="00673D5D" w:rsidP="00546F25">
                      <w:pPr>
                        <w:jc w:val="right"/>
                        <w:rPr>
                          <w:rFonts w:ascii="Arial" w:hAnsi="Arial" w:cs="Arial"/>
                          <w:b/>
                          <w:sz w:val="24"/>
                          <w:szCs w:val="24"/>
                        </w:rPr>
                      </w:pPr>
                    </w:p>
                  </w:txbxContent>
                </v:textbox>
                <w10:wrap anchorx="margin"/>
              </v:shape>
            </w:pict>
          </mc:Fallback>
        </mc:AlternateContent>
      </w:r>
      <w:r w:rsidRPr="00D86887">
        <w:rPr>
          <w:rFonts w:ascii="Arial" w:hAnsi="Arial" w:cs="Arial"/>
          <w:b/>
          <w:sz w:val="24"/>
          <w:szCs w:val="24"/>
        </w:rPr>
        <w:t>REPUBLIC OF NAMIBIA</w:t>
      </w:r>
    </w:p>
    <w:p w:rsidR="00546F25" w:rsidRPr="00D86887" w:rsidRDefault="00546F25" w:rsidP="00546F25">
      <w:pPr>
        <w:spacing w:after="0" w:line="360" w:lineRule="auto"/>
        <w:rPr>
          <w:rFonts w:ascii="Arial" w:hAnsi="Arial" w:cs="Arial"/>
          <w:b/>
          <w:sz w:val="24"/>
          <w:szCs w:val="24"/>
        </w:rPr>
      </w:pPr>
      <w:r w:rsidRPr="00D86887">
        <w:rPr>
          <w:rFonts w:ascii="Arial" w:hAnsi="Arial" w:cs="Arial"/>
          <w:b/>
          <w:noProof/>
          <w:sz w:val="24"/>
          <w:szCs w:val="24"/>
          <w:lang w:eastAsia="en-ZA"/>
        </w:rPr>
        <w:drawing>
          <wp:anchor distT="0" distB="0" distL="114300" distR="114300" simplePos="0" relativeHeight="251660288" behindDoc="0" locked="0" layoutInCell="1" allowOverlap="1" wp14:anchorId="166EAF77" wp14:editId="2F4E36AF">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546F25" w:rsidRPr="00D86887" w:rsidRDefault="00546F25" w:rsidP="00546F25">
      <w:pPr>
        <w:spacing w:after="0" w:line="360" w:lineRule="auto"/>
        <w:rPr>
          <w:rFonts w:ascii="Arial" w:hAnsi="Arial" w:cs="Arial"/>
          <w:b/>
          <w:sz w:val="24"/>
          <w:szCs w:val="24"/>
        </w:rPr>
      </w:pPr>
    </w:p>
    <w:p w:rsidR="00546F25" w:rsidRPr="00D86887" w:rsidRDefault="00546F25" w:rsidP="00546F25">
      <w:pPr>
        <w:spacing w:after="0" w:line="360" w:lineRule="auto"/>
        <w:rPr>
          <w:rFonts w:ascii="Arial" w:hAnsi="Arial" w:cs="Arial"/>
          <w:b/>
          <w:sz w:val="24"/>
          <w:szCs w:val="24"/>
        </w:rPr>
      </w:pPr>
    </w:p>
    <w:p w:rsidR="00546F25" w:rsidRPr="00D86887" w:rsidRDefault="00546F25" w:rsidP="00546F25">
      <w:pPr>
        <w:spacing w:after="0" w:line="360" w:lineRule="auto"/>
        <w:rPr>
          <w:rFonts w:ascii="Arial" w:hAnsi="Arial" w:cs="Arial"/>
          <w:b/>
          <w:sz w:val="24"/>
          <w:szCs w:val="24"/>
        </w:rPr>
      </w:pPr>
    </w:p>
    <w:p w:rsidR="00546F25" w:rsidRPr="00D86887" w:rsidRDefault="00546F25" w:rsidP="00546F25">
      <w:pPr>
        <w:spacing w:after="0" w:line="360" w:lineRule="auto"/>
        <w:rPr>
          <w:rFonts w:ascii="Arial" w:hAnsi="Arial" w:cs="Arial"/>
          <w:b/>
          <w:sz w:val="24"/>
          <w:szCs w:val="24"/>
        </w:rPr>
      </w:pPr>
    </w:p>
    <w:p w:rsidR="00546F25" w:rsidRPr="00D86887" w:rsidRDefault="00546F25" w:rsidP="00546F25">
      <w:pPr>
        <w:spacing w:after="0" w:line="360" w:lineRule="auto"/>
        <w:jc w:val="center"/>
        <w:rPr>
          <w:rFonts w:ascii="Arial" w:hAnsi="Arial" w:cs="Arial"/>
          <w:b/>
          <w:sz w:val="24"/>
          <w:szCs w:val="24"/>
        </w:rPr>
      </w:pPr>
    </w:p>
    <w:p w:rsidR="00546F25" w:rsidRPr="00D86887" w:rsidRDefault="00546F25" w:rsidP="00546F25">
      <w:pPr>
        <w:spacing w:after="0" w:line="360" w:lineRule="auto"/>
        <w:jc w:val="center"/>
        <w:rPr>
          <w:rFonts w:ascii="Arial" w:hAnsi="Arial" w:cs="Arial"/>
          <w:b/>
          <w:sz w:val="24"/>
          <w:szCs w:val="24"/>
        </w:rPr>
      </w:pPr>
    </w:p>
    <w:p w:rsidR="00546F25" w:rsidRPr="00D86887" w:rsidRDefault="00546F25" w:rsidP="00546F25">
      <w:pPr>
        <w:spacing w:after="0" w:line="360" w:lineRule="auto"/>
        <w:jc w:val="center"/>
        <w:rPr>
          <w:rFonts w:ascii="Arial" w:hAnsi="Arial" w:cs="Arial"/>
          <w:b/>
          <w:sz w:val="24"/>
          <w:szCs w:val="24"/>
        </w:rPr>
      </w:pPr>
      <w:r w:rsidRPr="00D86887">
        <w:rPr>
          <w:rFonts w:ascii="Arial" w:hAnsi="Arial" w:cs="Arial"/>
          <w:b/>
          <w:sz w:val="24"/>
          <w:szCs w:val="24"/>
        </w:rPr>
        <w:t>HIGH COURT OF NAMIBIA, MAIN DIVISION, WINDHOEK</w:t>
      </w:r>
    </w:p>
    <w:p w:rsidR="00546F25" w:rsidRPr="00D86887" w:rsidRDefault="00546F25" w:rsidP="00546F25">
      <w:pPr>
        <w:spacing w:after="0" w:line="360" w:lineRule="auto"/>
        <w:rPr>
          <w:rFonts w:ascii="Arial" w:hAnsi="Arial" w:cs="Arial"/>
          <w:b/>
          <w:sz w:val="24"/>
          <w:szCs w:val="24"/>
        </w:rPr>
      </w:pPr>
    </w:p>
    <w:p w:rsidR="00546F25" w:rsidRPr="00D86887" w:rsidRDefault="00546F25" w:rsidP="00546F25">
      <w:pPr>
        <w:spacing w:after="0" w:line="360" w:lineRule="auto"/>
        <w:jc w:val="center"/>
        <w:rPr>
          <w:rFonts w:ascii="Arial" w:hAnsi="Arial" w:cs="Arial"/>
          <w:sz w:val="24"/>
          <w:szCs w:val="24"/>
        </w:rPr>
      </w:pPr>
      <w:r>
        <w:rPr>
          <w:rFonts w:ascii="Arial" w:hAnsi="Arial" w:cs="Arial"/>
          <w:b/>
          <w:sz w:val="24"/>
          <w:szCs w:val="24"/>
        </w:rPr>
        <w:t>JUDGMENT</w:t>
      </w:r>
    </w:p>
    <w:p w:rsidR="00546F25" w:rsidRPr="00D86887" w:rsidRDefault="00546F25" w:rsidP="00546F25">
      <w:pPr>
        <w:spacing w:after="0" w:line="360" w:lineRule="auto"/>
        <w:jc w:val="right"/>
        <w:rPr>
          <w:rFonts w:ascii="Arial" w:hAnsi="Arial" w:cs="Arial"/>
          <w:sz w:val="24"/>
          <w:szCs w:val="24"/>
        </w:rPr>
      </w:pPr>
    </w:p>
    <w:p w:rsidR="00546F25" w:rsidRDefault="00546F25" w:rsidP="00546F25">
      <w:pPr>
        <w:spacing w:after="0" w:line="360" w:lineRule="auto"/>
        <w:ind w:left="4320"/>
        <w:jc w:val="center"/>
        <w:rPr>
          <w:rFonts w:ascii="Arial" w:hAnsi="Arial" w:cs="Arial"/>
          <w:sz w:val="24"/>
          <w:szCs w:val="24"/>
        </w:rPr>
      </w:pPr>
      <w:r w:rsidRPr="00D86887">
        <w:rPr>
          <w:rFonts w:ascii="Arial" w:hAnsi="Arial" w:cs="Arial"/>
          <w:sz w:val="24"/>
          <w:szCs w:val="24"/>
        </w:rPr>
        <w:t>Case no</w:t>
      </w:r>
      <w:r w:rsidRPr="00722D11">
        <w:rPr>
          <w:rFonts w:ascii="Arial" w:hAnsi="Arial" w:cs="Arial"/>
          <w:sz w:val="24"/>
          <w:szCs w:val="24"/>
        </w:rPr>
        <w:t xml:space="preserve">: </w:t>
      </w:r>
      <w:r w:rsidRPr="00A20E20">
        <w:rPr>
          <w:rFonts w:ascii="Arial" w:hAnsi="Arial" w:cs="Arial"/>
          <w:sz w:val="24"/>
          <w:szCs w:val="24"/>
        </w:rPr>
        <w:t>HC-MD-CIV-ACT-CON-2016/03814</w:t>
      </w:r>
    </w:p>
    <w:p w:rsidR="00546F25" w:rsidRPr="00D86887" w:rsidRDefault="00546F25" w:rsidP="00546F25">
      <w:pPr>
        <w:spacing w:after="0" w:line="360" w:lineRule="auto"/>
        <w:ind w:left="4320"/>
        <w:jc w:val="center"/>
        <w:rPr>
          <w:rFonts w:ascii="Arial" w:hAnsi="Arial" w:cs="Arial"/>
          <w:b/>
          <w:sz w:val="24"/>
          <w:szCs w:val="24"/>
        </w:rPr>
      </w:pPr>
    </w:p>
    <w:p w:rsidR="00546F25" w:rsidRPr="00D86887" w:rsidRDefault="00546F25" w:rsidP="00546F25">
      <w:pPr>
        <w:spacing w:after="0" w:line="360" w:lineRule="auto"/>
        <w:rPr>
          <w:rFonts w:ascii="Arial" w:hAnsi="Arial" w:cs="Arial"/>
          <w:sz w:val="24"/>
          <w:szCs w:val="24"/>
        </w:rPr>
      </w:pPr>
      <w:r w:rsidRPr="00D86887">
        <w:rPr>
          <w:rFonts w:ascii="Arial" w:hAnsi="Arial" w:cs="Arial"/>
          <w:sz w:val="24"/>
          <w:szCs w:val="24"/>
        </w:rPr>
        <w:t>In the matter between:</w:t>
      </w:r>
    </w:p>
    <w:p w:rsidR="00546F25" w:rsidRPr="00D86887" w:rsidRDefault="00546F25" w:rsidP="00546F25">
      <w:pPr>
        <w:spacing w:after="0" w:line="360" w:lineRule="auto"/>
        <w:rPr>
          <w:rFonts w:ascii="Arial" w:hAnsi="Arial" w:cs="Arial"/>
          <w:sz w:val="24"/>
          <w:szCs w:val="24"/>
        </w:rPr>
      </w:pPr>
    </w:p>
    <w:p w:rsidR="00546F25" w:rsidRPr="00D86887" w:rsidRDefault="00546F25" w:rsidP="00546F25">
      <w:pPr>
        <w:tabs>
          <w:tab w:val="right" w:pos="9356"/>
        </w:tabs>
        <w:spacing w:after="0" w:line="360" w:lineRule="auto"/>
        <w:rPr>
          <w:rFonts w:ascii="Arial" w:hAnsi="Arial" w:cs="Arial"/>
          <w:b/>
          <w:sz w:val="24"/>
          <w:szCs w:val="24"/>
        </w:rPr>
      </w:pPr>
      <w:r w:rsidRPr="00A20E20">
        <w:rPr>
          <w:rFonts w:ascii="Arial" w:hAnsi="Arial" w:cs="Arial"/>
          <w:b/>
          <w:sz w:val="24"/>
          <w:szCs w:val="24"/>
        </w:rPr>
        <w:t>DEVELOPMENT BANK OF NAMIBIA</w:t>
      </w:r>
      <w:r>
        <w:rPr>
          <w:rFonts w:ascii="Arial" w:hAnsi="Arial" w:cs="Arial"/>
          <w:b/>
          <w:sz w:val="24"/>
          <w:szCs w:val="24"/>
        </w:rPr>
        <w:tab/>
        <w:t>PLAINTIFF</w:t>
      </w:r>
    </w:p>
    <w:p w:rsidR="00546F25" w:rsidRPr="00D86887" w:rsidRDefault="00546F25" w:rsidP="00546F25">
      <w:pPr>
        <w:tabs>
          <w:tab w:val="right" w:pos="9356"/>
        </w:tabs>
        <w:spacing w:after="0" w:line="360" w:lineRule="auto"/>
        <w:rPr>
          <w:rFonts w:ascii="Arial" w:hAnsi="Arial" w:cs="Arial"/>
          <w:b/>
          <w:sz w:val="24"/>
          <w:szCs w:val="24"/>
        </w:rPr>
      </w:pPr>
    </w:p>
    <w:p w:rsidR="00546F25" w:rsidRPr="00D86887" w:rsidRDefault="00546F25" w:rsidP="00546F25">
      <w:pPr>
        <w:spacing w:after="0" w:line="360" w:lineRule="auto"/>
        <w:rPr>
          <w:rFonts w:ascii="Arial" w:hAnsi="Arial" w:cs="Arial"/>
          <w:sz w:val="24"/>
          <w:szCs w:val="24"/>
        </w:rPr>
      </w:pPr>
      <w:r w:rsidRPr="00D86887">
        <w:rPr>
          <w:rFonts w:ascii="Arial" w:hAnsi="Arial" w:cs="Arial"/>
          <w:sz w:val="24"/>
          <w:szCs w:val="24"/>
        </w:rPr>
        <w:t>and</w:t>
      </w:r>
    </w:p>
    <w:p w:rsidR="00546F25" w:rsidRDefault="00546F25" w:rsidP="00546F25">
      <w:pPr>
        <w:tabs>
          <w:tab w:val="right" w:pos="9356"/>
        </w:tabs>
        <w:spacing w:after="0" w:line="360" w:lineRule="auto"/>
        <w:rPr>
          <w:rFonts w:ascii="Arial" w:hAnsi="Arial" w:cs="Arial"/>
          <w:b/>
          <w:sz w:val="24"/>
          <w:szCs w:val="24"/>
        </w:rPr>
      </w:pPr>
    </w:p>
    <w:p w:rsidR="00546F25" w:rsidRDefault="00546F25" w:rsidP="00546F25">
      <w:pPr>
        <w:tabs>
          <w:tab w:val="right" w:pos="9356"/>
        </w:tabs>
        <w:spacing w:after="0" w:line="360" w:lineRule="auto"/>
        <w:rPr>
          <w:rFonts w:ascii="Arial" w:hAnsi="Arial" w:cs="Arial"/>
          <w:b/>
          <w:sz w:val="24"/>
          <w:szCs w:val="24"/>
        </w:rPr>
      </w:pPr>
      <w:r w:rsidRPr="00A20E20">
        <w:rPr>
          <w:rFonts w:ascii="Arial" w:hAnsi="Arial" w:cs="Arial"/>
          <w:b/>
          <w:sz w:val="24"/>
          <w:szCs w:val="24"/>
        </w:rPr>
        <w:t>ONYIKA TRADING ENTERPRISES CC</w:t>
      </w:r>
      <w:r w:rsidRPr="00D86887">
        <w:rPr>
          <w:rFonts w:ascii="Arial" w:hAnsi="Arial" w:cs="Arial"/>
          <w:b/>
          <w:sz w:val="24"/>
          <w:szCs w:val="24"/>
        </w:rPr>
        <w:tab/>
      </w:r>
      <w:r>
        <w:rPr>
          <w:rFonts w:ascii="Arial" w:hAnsi="Arial" w:cs="Arial"/>
          <w:b/>
          <w:sz w:val="24"/>
          <w:szCs w:val="24"/>
        </w:rPr>
        <w:t>FIRST DEFENDAN</w:t>
      </w:r>
      <w:r w:rsidRPr="00D86887">
        <w:rPr>
          <w:rFonts w:ascii="Arial" w:hAnsi="Arial" w:cs="Arial"/>
          <w:b/>
          <w:sz w:val="24"/>
          <w:szCs w:val="24"/>
        </w:rPr>
        <w:t>T</w:t>
      </w:r>
    </w:p>
    <w:p w:rsidR="00546F25" w:rsidRDefault="00546F25" w:rsidP="00546F25">
      <w:pPr>
        <w:tabs>
          <w:tab w:val="right" w:pos="9356"/>
        </w:tabs>
        <w:spacing w:after="0" w:line="360" w:lineRule="auto"/>
        <w:rPr>
          <w:rFonts w:ascii="Arial" w:hAnsi="Arial" w:cs="Arial"/>
          <w:b/>
          <w:sz w:val="24"/>
          <w:szCs w:val="24"/>
        </w:rPr>
      </w:pPr>
      <w:r w:rsidRPr="00A20E20">
        <w:rPr>
          <w:rFonts w:ascii="Arial" w:hAnsi="Arial" w:cs="Arial"/>
          <w:b/>
          <w:sz w:val="24"/>
          <w:szCs w:val="24"/>
          <w:lang w:val="en-US"/>
        </w:rPr>
        <w:t>THOMAS TANGENI HAIPETO</w:t>
      </w:r>
      <w:r>
        <w:rPr>
          <w:rFonts w:ascii="Arial" w:hAnsi="Arial" w:cs="Arial"/>
          <w:b/>
          <w:sz w:val="24"/>
          <w:szCs w:val="24"/>
        </w:rPr>
        <w:tab/>
        <w:t>SECOND DEFENDANT</w:t>
      </w:r>
    </w:p>
    <w:p w:rsidR="00546F25" w:rsidRPr="00D86887" w:rsidRDefault="00546F25" w:rsidP="00546F25">
      <w:pPr>
        <w:tabs>
          <w:tab w:val="right" w:pos="9356"/>
        </w:tabs>
        <w:spacing w:after="0" w:line="360" w:lineRule="auto"/>
        <w:rPr>
          <w:rFonts w:ascii="Arial" w:hAnsi="Arial" w:cs="Arial"/>
          <w:b/>
          <w:sz w:val="24"/>
          <w:szCs w:val="24"/>
        </w:rPr>
      </w:pPr>
      <w:r w:rsidRPr="00A20E20">
        <w:rPr>
          <w:rFonts w:ascii="Arial" w:hAnsi="Arial" w:cs="Arial"/>
          <w:b/>
          <w:sz w:val="24"/>
          <w:szCs w:val="24"/>
          <w:lang w:val="en-US"/>
        </w:rPr>
        <w:t>LEONARDT DIMBULUKENI HAUWANGA</w:t>
      </w:r>
      <w:r>
        <w:rPr>
          <w:rFonts w:ascii="Arial" w:hAnsi="Arial" w:cs="Arial"/>
          <w:b/>
          <w:sz w:val="24"/>
          <w:szCs w:val="24"/>
        </w:rPr>
        <w:tab/>
        <w:t>THIRD DEFENDANT</w:t>
      </w:r>
    </w:p>
    <w:p w:rsidR="00546F25" w:rsidRPr="00D86887" w:rsidRDefault="00546F25" w:rsidP="00546F25">
      <w:pPr>
        <w:spacing w:after="0" w:line="360" w:lineRule="auto"/>
        <w:rPr>
          <w:rFonts w:ascii="Arial" w:hAnsi="Arial" w:cs="Arial"/>
          <w:b/>
          <w:sz w:val="24"/>
          <w:szCs w:val="24"/>
        </w:rPr>
      </w:pPr>
    </w:p>
    <w:p w:rsidR="00546F25" w:rsidRPr="00C07374" w:rsidRDefault="00546F25" w:rsidP="00604818">
      <w:pPr>
        <w:tabs>
          <w:tab w:val="left" w:pos="142"/>
        </w:tabs>
        <w:spacing w:after="0" w:line="360" w:lineRule="auto"/>
        <w:jc w:val="both"/>
        <w:rPr>
          <w:rFonts w:ascii="Arial" w:hAnsi="Arial" w:cs="Arial"/>
          <w:sz w:val="24"/>
        </w:rPr>
      </w:pPr>
      <w:r w:rsidRPr="00D86887">
        <w:rPr>
          <w:rFonts w:ascii="Arial" w:hAnsi="Arial" w:cs="Arial"/>
          <w:b/>
          <w:sz w:val="24"/>
        </w:rPr>
        <w:t>Neutral Citation</w:t>
      </w:r>
      <w:r w:rsidR="00586842">
        <w:rPr>
          <w:rFonts w:ascii="Arial" w:hAnsi="Arial" w:cs="Arial"/>
          <w:i/>
          <w:sz w:val="24"/>
        </w:rPr>
        <w:t>:</w:t>
      </w:r>
      <w:r w:rsidR="00586842">
        <w:rPr>
          <w:rFonts w:ascii="Arial" w:hAnsi="Arial" w:cs="Arial"/>
          <w:i/>
          <w:sz w:val="24"/>
        </w:rPr>
        <w:tab/>
      </w:r>
      <w:r>
        <w:rPr>
          <w:rFonts w:ascii="Arial" w:hAnsi="Arial" w:cs="Arial"/>
          <w:i/>
          <w:sz w:val="24"/>
        </w:rPr>
        <w:t xml:space="preserve">Development Bank of Namibia v </w:t>
      </w:r>
      <w:r w:rsidR="00B91C08">
        <w:rPr>
          <w:rFonts w:ascii="Arial" w:hAnsi="Arial" w:cs="Arial"/>
          <w:i/>
          <w:sz w:val="24"/>
          <w:lang w:val="en-US"/>
        </w:rPr>
        <w:t>Onyika Trading Enterprises CC</w:t>
      </w:r>
      <w:r w:rsidRPr="00A20E20">
        <w:rPr>
          <w:rFonts w:ascii="Arial" w:hAnsi="Arial" w:cs="Arial"/>
          <w:i/>
          <w:sz w:val="24"/>
        </w:rPr>
        <w:t xml:space="preserve"> </w:t>
      </w:r>
      <w:r w:rsidR="00345A86">
        <w:rPr>
          <w:rFonts w:ascii="Arial" w:hAnsi="Arial" w:cs="Arial"/>
          <w:i/>
          <w:sz w:val="24"/>
        </w:rPr>
        <w:t xml:space="preserve">and Others </w:t>
      </w:r>
      <w:r>
        <w:rPr>
          <w:rFonts w:ascii="Arial" w:hAnsi="Arial" w:cs="Arial"/>
          <w:sz w:val="24"/>
        </w:rPr>
        <w:t>(</w:t>
      </w:r>
      <w:r w:rsidRPr="00A20E20">
        <w:rPr>
          <w:rFonts w:ascii="Arial" w:hAnsi="Arial" w:cs="Arial"/>
          <w:sz w:val="24"/>
        </w:rPr>
        <w:t>HC-MD-CIV-ACT-CON-2016/03814</w:t>
      </w:r>
      <w:r>
        <w:rPr>
          <w:rFonts w:ascii="Arial" w:hAnsi="Arial" w:cs="Arial"/>
          <w:sz w:val="24"/>
        </w:rPr>
        <w:t xml:space="preserve">) [2019] NAHCMD </w:t>
      </w:r>
      <w:r w:rsidR="00955926">
        <w:rPr>
          <w:rFonts w:ascii="Arial" w:hAnsi="Arial" w:cs="Arial"/>
          <w:sz w:val="24"/>
        </w:rPr>
        <w:t>536</w:t>
      </w:r>
      <w:r>
        <w:rPr>
          <w:rFonts w:ascii="Arial" w:hAnsi="Arial" w:cs="Arial"/>
          <w:sz w:val="24"/>
        </w:rPr>
        <w:t xml:space="preserve"> (</w:t>
      </w:r>
      <w:r w:rsidR="00B91C08">
        <w:rPr>
          <w:rFonts w:ascii="Arial" w:hAnsi="Arial" w:cs="Arial"/>
          <w:sz w:val="24"/>
        </w:rPr>
        <w:t>0</w:t>
      </w:r>
      <w:r>
        <w:rPr>
          <w:rFonts w:ascii="Arial" w:hAnsi="Arial" w:cs="Arial"/>
          <w:sz w:val="24"/>
        </w:rPr>
        <w:t xml:space="preserve">6 December 2019) </w:t>
      </w:r>
    </w:p>
    <w:p w:rsidR="00546F25" w:rsidRPr="00D86887" w:rsidRDefault="00546F25" w:rsidP="00546F25">
      <w:pPr>
        <w:tabs>
          <w:tab w:val="right" w:pos="9356"/>
        </w:tabs>
        <w:spacing w:after="0" w:line="360" w:lineRule="auto"/>
        <w:jc w:val="both"/>
        <w:rPr>
          <w:rFonts w:ascii="Arial" w:hAnsi="Arial" w:cs="Arial"/>
          <w:sz w:val="24"/>
        </w:rPr>
      </w:pPr>
    </w:p>
    <w:p w:rsidR="00546F25" w:rsidRPr="00D86887" w:rsidRDefault="00546F25" w:rsidP="00586842">
      <w:pPr>
        <w:spacing w:after="0" w:line="480" w:lineRule="auto"/>
        <w:rPr>
          <w:rFonts w:ascii="Arial" w:hAnsi="Arial" w:cs="Arial"/>
          <w:b/>
          <w:sz w:val="24"/>
          <w:szCs w:val="24"/>
        </w:rPr>
      </w:pPr>
      <w:r w:rsidRPr="00D86887">
        <w:rPr>
          <w:rFonts w:ascii="Arial" w:hAnsi="Arial" w:cs="Arial"/>
          <w:b/>
          <w:sz w:val="24"/>
          <w:szCs w:val="24"/>
        </w:rPr>
        <w:t>CORAM:</w:t>
      </w:r>
      <w:r w:rsidRPr="00D86887">
        <w:rPr>
          <w:rFonts w:ascii="Arial" w:hAnsi="Arial" w:cs="Arial"/>
          <w:b/>
          <w:sz w:val="24"/>
          <w:szCs w:val="24"/>
        </w:rPr>
        <w:tab/>
      </w:r>
      <w:r w:rsidR="008F7C1A" w:rsidRPr="002827C1">
        <w:rPr>
          <w:rFonts w:ascii="Arial" w:hAnsi="Arial" w:cs="Arial"/>
          <w:b/>
          <w:sz w:val="24"/>
          <w:szCs w:val="24"/>
        </w:rPr>
        <w:t>U</w:t>
      </w:r>
      <w:r w:rsidRPr="002827C1">
        <w:rPr>
          <w:rFonts w:ascii="Arial" w:hAnsi="Arial" w:cs="Arial"/>
          <w:b/>
          <w:sz w:val="24"/>
          <w:szCs w:val="24"/>
        </w:rPr>
        <w:t>NENGU AJ</w:t>
      </w:r>
    </w:p>
    <w:p w:rsidR="00546F25" w:rsidRPr="00D86887" w:rsidRDefault="00546F25" w:rsidP="00586842">
      <w:pPr>
        <w:spacing w:after="0" w:line="480" w:lineRule="auto"/>
        <w:rPr>
          <w:rFonts w:ascii="Arial" w:hAnsi="Arial" w:cs="Arial"/>
          <w:b/>
          <w:sz w:val="24"/>
          <w:szCs w:val="24"/>
        </w:rPr>
      </w:pPr>
      <w:r>
        <w:rPr>
          <w:rFonts w:ascii="Arial" w:hAnsi="Arial" w:cs="Arial"/>
          <w:b/>
          <w:sz w:val="24"/>
          <w:szCs w:val="24"/>
        </w:rPr>
        <w:t xml:space="preserve">Heard: </w:t>
      </w:r>
      <w:r>
        <w:rPr>
          <w:rFonts w:ascii="Arial" w:hAnsi="Arial" w:cs="Arial"/>
          <w:b/>
          <w:sz w:val="24"/>
          <w:szCs w:val="24"/>
        </w:rPr>
        <w:tab/>
        <w:t>16-20 Septem</w:t>
      </w:r>
      <w:r w:rsidR="00673D5D">
        <w:rPr>
          <w:rFonts w:ascii="Arial" w:hAnsi="Arial" w:cs="Arial"/>
          <w:b/>
          <w:sz w:val="24"/>
          <w:szCs w:val="24"/>
        </w:rPr>
        <w:t>b</w:t>
      </w:r>
      <w:r>
        <w:rPr>
          <w:rFonts w:ascii="Arial" w:hAnsi="Arial" w:cs="Arial"/>
          <w:b/>
          <w:sz w:val="24"/>
          <w:szCs w:val="24"/>
        </w:rPr>
        <w:t>er 2019</w:t>
      </w:r>
    </w:p>
    <w:p w:rsidR="00546F25" w:rsidRDefault="00546F25" w:rsidP="00586842">
      <w:pPr>
        <w:spacing w:after="0" w:line="480" w:lineRule="auto"/>
        <w:rPr>
          <w:rFonts w:ascii="Arial" w:hAnsi="Arial" w:cs="Arial"/>
          <w:b/>
          <w:sz w:val="24"/>
          <w:szCs w:val="24"/>
        </w:rPr>
      </w:pPr>
      <w:r>
        <w:rPr>
          <w:rFonts w:ascii="Arial" w:hAnsi="Arial" w:cs="Arial"/>
          <w:b/>
          <w:sz w:val="24"/>
          <w:szCs w:val="24"/>
        </w:rPr>
        <w:t xml:space="preserve">Delivered:  </w:t>
      </w:r>
      <w:r>
        <w:rPr>
          <w:rFonts w:ascii="Arial" w:hAnsi="Arial" w:cs="Arial"/>
          <w:b/>
          <w:sz w:val="24"/>
          <w:szCs w:val="24"/>
        </w:rPr>
        <w:tab/>
      </w:r>
      <w:r w:rsidR="00673D5D">
        <w:rPr>
          <w:rFonts w:ascii="Arial" w:hAnsi="Arial" w:cs="Arial"/>
          <w:b/>
          <w:sz w:val="24"/>
          <w:szCs w:val="24"/>
        </w:rPr>
        <w:t>0</w:t>
      </w:r>
      <w:r>
        <w:rPr>
          <w:rFonts w:ascii="Arial" w:hAnsi="Arial" w:cs="Arial"/>
          <w:b/>
          <w:sz w:val="24"/>
          <w:szCs w:val="24"/>
        </w:rPr>
        <w:t>6 December 2018</w:t>
      </w:r>
    </w:p>
    <w:p w:rsidR="00546F25" w:rsidRPr="00697FBB" w:rsidRDefault="00546F25" w:rsidP="00FB4FF4">
      <w:pPr>
        <w:spacing w:after="0" w:line="360" w:lineRule="auto"/>
        <w:jc w:val="both"/>
        <w:rPr>
          <w:rFonts w:ascii="Arial" w:hAnsi="Arial" w:cs="Arial"/>
          <w:color w:val="000000" w:themeColor="text1"/>
          <w:sz w:val="24"/>
          <w:szCs w:val="24"/>
        </w:rPr>
      </w:pPr>
      <w:r w:rsidRPr="00D86887">
        <w:rPr>
          <w:rFonts w:ascii="Arial" w:hAnsi="Arial" w:cs="Arial"/>
          <w:b/>
          <w:sz w:val="24"/>
          <w:szCs w:val="24"/>
        </w:rPr>
        <w:lastRenderedPageBreak/>
        <w:t>Flynotes</w:t>
      </w:r>
      <w:r w:rsidR="00B91C08">
        <w:rPr>
          <w:rFonts w:ascii="Arial" w:hAnsi="Arial" w:cs="Arial"/>
          <w:b/>
          <w:sz w:val="24"/>
          <w:szCs w:val="24"/>
        </w:rPr>
        <w:t>:</w:t>
      </w:r>
      <w:r w:rsidR="00B91C08">
        <w:rPr>
          <w:rFonts w:ascii="Arial" w:hAnsi="Arial" w:cs="Arial"/>
          <w:b/>
          <w:sz w:val="24"/>
          <w:szCs w:val="24"/>
        </w:rPr>
        <w:tab/>
      </w:r>
      <w:r w:rsidR="00B91C08">
        <w:rPr>
          <w:rFonts w:ascii="Arial" w:hAnsi="Arial" w:cs="Arial"/>
          <w:sz w:val="24"/>
          <w:szCs w:val="24"/>
        </w:rPr>
        <w:t xml:space="preserve">Practice – Interpretation of written contract – Suretyship and cessionary agreements – Such agreements required to secure loan – Parties agreeing to have matter adjudicated on a question of law – </w:t>
      </w:r>
      <w:r w:rsidR="004B636A">
        <w:rPr>
          <w:rFonts w:ascii="Arial" w:hAnsi="Arial" w:cs="Arial"/>
          <w:sz w:val="24"/>
          <w:szCs w:val="24"/>
        </w:rPr>
        <w:t>Court called upon to determine w</w:t>
      </w:r>
      <w:r w:rsidR="004B636A" w:rsidRPr="004B636A">
        <w:rPr>
          <w:rFonts w:ascii="Arial" w:hAnsi="Arial" w:cs="Arial"/>
          <w:sz w:val="24"/>
          <w:szCs w:val="24"/>
        </w:rPr>
        <w:t>hether</w:t>
      </w:r>
      <w:r w:rsidR="004B636A">
        <w:rPr>
          <w:rFonts w:ascii="Arial" w:hAnsi="Arial" w:cs="Arial"/>
          <w:sz w:val="24"/>
          <w:szCs w:val="24"/>
        </w:rPr>
        <w:t xml:space="preserve"> </w:t>
      </w:r>
      <w:r w:rsidR="004B636A" w:rsidRPr="004B636A">
        <w:rPr>
          <w:rFonts w:ascii="Arial" w:hAnsi="Arial" w:cs="Arial"/>
          <w:sz w:val="24"/>
          <w:szCs w:val="24"/>
        </w:rPr>
        <w:t>conduct of the plaintiff with regard to the Cession Agreement amounts to a prejudicial act which releases the second defendant from</w:t>
      </w:r>
      <w:r w:rsidR="004B636A">
        <w:rPr>
          <w:rFonts w:ascii="Arial" w:hAnsi="Arial" w:cs="Arial"/>
          <w:sz w:val="24"/>
          <w:szCs w:val="24"/>
        </w:rPr>
        <w:t xml:space="preserve"> liability under the Suretyship – </w:t>
      </w:r>
      <w:r w:rsidR="003A6B48">
        <w:rPr>
          <w:rFonts w:ascii="Arial" w:hAnsi="Arial" w:cs="Arial"/>
          <w:sz w:val="24"/>
          <w:szCs w:val="24"/>
        </w:rPr>
        <w:t>Court not satisfi</w:t>
      </w:r>
      <w:r w:rsidR="00697FBB">
        <w:rPr>
          <w:rFonts w:ascii="Arial" w:hAnsi="Arial" w:cs="Arial"/>
          <w:sz w:val="24"/>
          <w:szCs w:val="24"/>
        </w:rPr>
        <w:t>ed that conduct of plaintiff is</w:t>
      </w:r>
      <w:r w:rsidR="003A6B48">
        <w:rPr>
          <w:rFonts w:ascii="Arial" w:hAnsi="Arial" w:cs="Arial"/>
          <w:sz w:val="24"/>
          <w:szCs w:val="24"/>
        </w:rPr>
        <w:t xml:space="preserve"> prejudicial to second defendant to release him from obligations under the suretyship and cessionary agreements</w:t>
      </w:r>
      <w:r w:rsidR="003A6B48" w:rsidRPr="00697FBB">
        <w:rPr>
          <w:rFonts w:ascii="Arial" w:hAnsi="Arial" w:cs="Arial"/>
          <w:color w:val="000000" w:themeColor="text1"/>
          <w:sz w:val="24"/>
          <w:szCs w:val="24"/>
        </w:rPr>
        <w:t>.</w:t>
      </w:r>
    </w:p>
    <w:p w:rsidR="00546F25" w:rsidRPr="00697FBB" w:rsidRDefault="00546F25" w:rsidP="002827C1">
      <w:pPr>
        <w:spacing w:after="0" w:line="360" w:lineRule="auto"/>
        <w:jc w:val="both"/>
        <w:rPr>
          <w:rFonts w:ascii="Arial" w:hAnsi="Arial" w:cs="Arial"/>
          <w:color w:val="000000" w:themeColor="text1"/>
          <w:sz w:val="24"/>
          <w:szCs w:val="24"/>
        </w:rPr>
      </w:pPr>
    </w:p>
    <w:p w:rsidR="00FB4FF4" w:rsidRDefault="00FB4FF4" w:rsidP="00FB4FF4">
      <w:pPr>
        <w:tabs>
          <w:tab w:val="num" w:pos="0"/>
        </w:tabs>
        <w:spacing w:after="0" w:line="360" w:lineRule="auto"/>
        <w:jc w:val="both"/>
        <w:rPr>
          <w:rFonts w:ascii="Arial" w:hAnsi="Arial" w:cs="Arial"/>
          <w:sz w:val="24"/>
          <w:szCs w:val="24"/>
          <w:shd w:val="clear" w:color="auto" w:fill="FFFFFF"/>
          <w:lang w:val="en-US"/>
        </w:rPr>
      </w:pPr>
      <w:r w:rsidRPr="00697FBB">
        <w:rPr>
          <w:rFonts w:ascii="Arial" w:hAnsi="Arial" w:cs="Arial"/>
          <w:b/>
          <w:color w:val="000000" w:themeColor="text1"/>
          <w:sz w:val="24"/>
          <w:szCs w:val="24"/>
        </w:rPr>
        <w:t>Summary:</w:t>
      </w:r>
      <w:r w:rsidRPr="00697FBB">
        <w:rPr>
          <w:rFonts w:ascii="Arial" w:hAnsi="Arial" w:cs="Arial"/>
          <w:b/>
          <w:color w:val="000000" w:themeColor="text1"/>
          <w:sz w:val="24"/>
          <w:szCs w:val="24"/>
        </w:rPr>
        <w:tab/>
      </w:r>
      <w:r w:rsidRPr="00697FBB">
        <w:rPr>
          <w:rFonts w:ascii="Arial" w:hAnsi="Arial" w:cs="Arial"/>
          <w:color w:val="000000" w:themeColor="text1"/>
          <w:sz w:val="24"/>
          <w:szCs w:val="24"/>
        </w:rPr>
        <w:t>T</w:t>
      </w:r>
      <w:r w:rsidRPr="00697FBB">
        <w:rPr>
          <w:rFonts w:ascii="Arial" w:hAnsi="Arial" w:cs="Arial"/>
          <w:color w:val="000000" w:themeColor="text1"/>
          <w:sz w:val="24"/>
          <w:szCs w:val="24"/>
          <w:shd w:val="clear" w:color="auto" w:fill="FFFFFF"/>
        </w:rPr>
        <w:t>he plaintiff instituted actio</w:t>
      </w:r>
      <w:r w:rsidRPr="001E77D9">
        <w:rPr>
          <w:rFonts w:ascii="Arial" w:hAnsi="Arial" w:cs="Arial"/>
          <w:sz w:val="24"/>
          <w:szCs w:val="24"/>
          <w:shd w:val="clear" w:color="auto" w:fill="FFFFFF"/>
        </w:rPr>
        <w:t>n against first, second and t</w:t>
      </w:r>
      <w:r>
        <w:rPr>
          <w:rFonts w:ascii="Arial" w:hAnsi="Arial" w:cs="Arial"/>
          <w:sz w:val="24"/>
          <w:szCs w:val="24"/>
          <w:shd w:val="clear" w:color="auto" w:fill="FFFFFF"/>
        </w:rPr>
        <w:t>hird defendants.</w:t>
      </w:r>
      <w:r w:rsidRPr="00D42097">
        <w:rPr>
          <w:rFonts w:ascii="Arial" w:hAnsi="Arial" w:cs="Arial"/>
          <w:sz w:val="24"/>
          <w:szCs w:val="24"/>
          <w:shd w:val="clear" w:color="auto" w:fill="FFFFFF"/>
          <w:lang w:val="en-US"/>
        </w:rPr>
        <w:t xml:space="preserve"> The third defendant failed to deliver witness statements in support of his defense and was consequently barred</w:t>
      </w:r>
      <w:r>
        <w:rPr>
          <w:rFonts w:ascii="Arial" w:hAnsi="Arial" w:cs="Arial"/>
          <w:sz w:val="24"/>
          <w:szCs w:val="24"/>
          <w:shd w:val="clear" w:color="auto" w:fill="FFFFFF"/>
          <w:lang w:val="en-US"/>
        </w:rPr>
        <w:t xml:space="preserve"> and his defense was struck</w:t>
      </w:r>
      <w:r w:rsidRPr="00D42097">
        <w:rPr>
          <w:rFonts w:ascii="Arial" w:hAnsi="Arial" w:cs="Arial"/>
          <w:sz w:val="24"/>
          <w:szCs w:val="24"/>
          <w:shd w:val="clear" w:color="auto" w:fill="FFFFFF"/>
          <w:lang w:val="en-US"/>
        </w:rPr>
        <w:t xml:space="preserve"> in terms of rules 53 to 56 and 93(5).</w:t>
      </w:r>
      <w:r>
        <w:rPr>
          <w:rFonts w:ascii="Arial" w:hAnsi="Arial" w:cs="Arial"/>
          <w:sz w:val="24"/>
          <w:szCs w:val="24"/>
          <w:shd w:val="clear" w:color="auto" w:fill="FFFFFF"/>
        </w:rPr>
        <w:t xml:space="preserve"> The court granted default judgment against the third defendant on</w:t>
      </w:r>
      <w:r w:rsidRPr="00035130">
        <w:rPr>
          <w:rFonts w:ascii="Arial" w:hAnsi="Arial" w:cs="Arial"/>
          <w:sz w:val="24"/>
          <w:szCs w:val="24"/>
          <w:shd w:val="clear" w:color="auto" w:fill="FFFFFF"/>
          <w:lang w:val="en-US"/>
        </w:rPr>
        <w:t xml:space="preserve"> </w:t>
      </w:r>
      <w:r>
        <w:rPr>
          <w:rFonts w:ascii="Arial" w:hAnsi="Arial" w:cs="Arial"/>
          <w:sz w:val="24"/>
          <w:szCs w:val="24"/>
          <w:shd w:val="clear" w:color="auto" w:fill="FFFFFF"/>
          <w:lang w:val="en-US"/>
        </w:rPr>
        <w:t xml:space="preserve">18 September 2019. </w:t>
      </w:r>
      <w:r w:rsidR="00697FBB">
        <w:rPr>
          <w:rFonts w:ascii="Arial" w:hAnsi="Arial" w:cs="Arial"/>
          <w:sz w:val="24"/>
          <w:szCs w:val="24"/>
          <w:shd w:val="clear" w:color="auto" w:fill="FFFFFF"/>
          <w:lang w:val="en-US"/>
        </w:rPr>
        <w:t>As a result,</w:t>
      </w:r>
      <w:r>
        <w:rPr>
          <w:rFonts w:ascii="Arial" w:hAnsi="Arial" w:cs="Arial"/>
          <w:sz w:val="24"/>
          <w:szCs w:val="24"/>
          <w:shd w:val="clear" w:color="auto" w:fill="FFFFFF"/>
          <w:lang w:val="en-US"/>
        </w:rPr>
        <w:t xml:space="preserve"> the matter proceeded against the second d</w:t>
      </w:r>
      <w:r w:rsidRPr="00035130">
        <w:rPr>
          <w:rFonts w:ascii="Arial" w:hAnsi="Arial" w:cs="Arial"/>
          <w:sz w:val="24"/>
          <w:szCs w:val="24"/>
          <w:shd w:val="clear" w:color="auto" w:fill="FFFFFF"/>
          <w:lang w:val="en-US"/>
        </w:rPr>
        <w:t>efendant</w:t>
      </w:r>
      <w:r>
        <w:rPr>
          <w:rFonts w:ascii="Arial" w:hAnsi="Arial" w:cs="Arial"/>
          <w:sz w:val="24"/>
          <w:szCs w:val="24"/>
          <w:shd w:val="clear" w:color="auto" w:fill="FFFFFF"/>
          <w:lang w:val="en-US"/>
        </w:rPr>
        <w:t xml:space="preserve">. </w:t>
      </w:r>
    </w:p>
    <w:p w:rsidR="00FB4FF4" w:rsidRDefault="00FB4FF4" w:rsidP="00FB4FF4">
      <w:pPr>
        <w:tabs>
          <w:tab w:val="num" w:pos="0"/>
        </w:tabs>
        <w:spacing w:after="0" w:line="360" w:lineRule="auto"/>
        <w:jc w:val="both"/>
        <w:rPr>
          <w:rFonts w:ascii="Arial" w:hAnsi="Arial" w:cs="Arial"/>
          <w:sz w:val="24"/>
          <w:szCs w:val="24"/>
          <w:shd w:val="clear" w:color="auto" w:fill="FFFFFF"/>
          <w:lang w:val="en-US"/>
        </w:rPr>
      </w:pPr>
    </w:p>
    <w:p w:rsidR="00FB4FF4" w:rsidRDefault="00FB4FF4" w:rsidP="00FB4FF4">
      <w:pPr>
        <w:spacing w:after="0" w:line="360" w:lineRule="auto"/>
        <w:jc w:val="both"/>
        <w:rPr>
          <w:rFonts w:ascii="Arial" w:hAnsi="Arial" w:cs="Arial"/>
          <w:sz w:val="24"/>
          <w:szCs w:val="24"/>
          <w:lang w:val="en-US"/>
        </w:rPr>
      </w:pPr>
      <w:r>
        <w:rPr>
          <w:rFonts w:ascii="Arial" w:hAnsi="Arial" w:cs="Arial"/>
          <w:sz w:val="24"/>
          <w:szCs w:val="24"/>
        </w:rPr>
        <w:t xml:space="preserve">The second defendant </w:t>
      </w:r>
      <w:r w:rsidRPr="00E37D9F">
        <w:rPr>
          <w:rFonts w:ascii="Arial" w:hAnsi="Arial" w:cs="Arial"/>
          <w:sz w:val="24"/>
          <w:szCs w:val="24"/>
        </w:rPr>
        <w:t>con</w:t>
      </w:r>
      <w:r>
        <w:rPr>
          <w:rFonts w:ascii="Arial" w:hAnsi="Arial" w:cs="Arial"/>
          <w:sz w:val="24"/>
          <w:szCs w:val="24"/>
        </w:rPr>
        <w:t>t</w:t>
      </w:r>
      <w:r w:rsidRPr="00E37D9F">
        <w:rPr>
          <w:rFonts w:ascii="Arial" w:hAnsi="Arial" w:cs="Arial"/>
          <w:sz w:val="24"/>
          <w:szCs w:val="24"/>
        </w:rPr>
        <w:t>e</w:t>
      </w:r>
      <w:r>
        <w:rPr>
          <w:rFonts w:ascii="Arial" w:hAnsi="Arial" w:cs="Arial"/>
          <w:sz w:val="24"/>
          <w:szCs w:val="24"/>
        </w:rPr>
        <w:t>n</w:t>
      </w:r>
      <w:r w:rsidRPr="00E37D9F">
        <w:rPr>
          <w:rFonts w:ascii="Arial" w:hAnsi="Arial" w:cs="Arial"/>
          <w:sz w:val="24"/>
          <w:szCs w:val="24"/>
        </w:rPr>
        <w:t xml:space="preserve">ded </w:t>
      </w:r>
      <w:r>
        <w:rPr>
          <w:rFonts w:ascii="Arial" w:hAnsi="Arial" w:cs="Arial"/>
          <w:sz w:val="24"/>
          <w:szCs w:val="24"/>
        </w:rPr>
        <w:t xml:space="preserve">that </w:t>
      </w:r>
      <w:r w:rsidRPr="00E37D9F">
        <w:rPr>
          <w:rFonts w:ascii="Arial" w:hAnsi="Arial" w:cs="Arial"/>
          <w:sz w:val="24"/>
          <w:szCs w:val="24"/>
          <w:lang w:val="en-US"/>
        </w:rPr>
        <w:t xml:space="preserve">the </w:t>
      </w:r>
      <w:r>
        <w:rPr>
          <w:rFonts w:ascii="Arial" w:hAnsi="Arial" w:cs="Arial"/>
          <w:sz w:val="24"/>
          <w:szCs w:val="24"/>
          <w:lang w:val="en-US"/>
        </w:rPr>
        <w:t xml:space="preserve">plaintiff </w:t>
      </w:r>
      <w:r w:rsidRPr="00E37D9F">
        <w:rPr>
          <w:rFonts w:ascii="Arial" w:hAnsi="Arial" w:cs="Arial"/>
          <w:sz w:val="24"/>
          <w:szCs w:val="24"/>
          <w:lang w:val="en-US"/>
        </w:rPr>
        <w:t>failed to i</w:t>
      </w:r>
      <w:r>
        <w:rPr>
          <w:rFonts w:ascii="Arial" w:hAnsi="Arial" w:cs="Arial"/>
          <w:sz w:val="24"/>
          <w:szCs w:val="24"/>
          <w:lang w:val="en-US"/>
        </w:rPr>
        <w:t>nstitute its claim against the c</w:t>
      </w:r>
      <w:r w:rsidRPr="00E37D9F">
        <w:rPr>
          <w:rFonts w:ascii="Arial" w:hAnsi="Arial" w:cs="Arial"/>
          <w:sz w:val="24"/>
          <w:szCs w:val="24"/>
          <w:lang w:val="en-US"/>
        </w:rPr>
        <w:t xml:space="preserve">reditor which assumed the </w:t>
      </w:r>
      <w:r>
        <w:rPr>
          <w:rFonts w:ascii="Arial" w:hAnsi="Arial" w:cs="Arial"/>
          <w:sz w:val="24"/>
          <w:szCs w:val="24"/>
          <w:lang w:val="en-US"/>
        </w:rPr>
        <w:t>risk of breach in terms of the c</w:t>
      </w:r>
      <w:r w:rsidRPr="00E37D9F">
        <w:rPr>
          <w:rFonts w:ascii="Arial" w:hAnsi="Arial" w:cs="Arial"/>
          <w:sz w:val="24"/>
          <w:szCs w:val="24"/>
          <w:lang w:val="en-US"/>
        </w:rPr>
        <w:t xml:space="preserve">ession agreement, and has further failed to adequately execute its obligation in </w:t>
      </w:r>
      <w:r>
        <w:rPr>
          <w:rFonts w:ascii="Arial" w:hAnsi="Arial" w:cs="Arial"/>
          <w:sz w:val="24"/>
          <w:szCs w:val="24"/>
          <w:lang w:val="en-US"/>
        </w:rPr>
        <w:t>terms of both the loan and s</w:t>
      </w:r>
      <w:r w:rsidRPr="00E37D9F">
        <w:rPr>
          <w:rFonts w:ascii="Arial" w:hAnsi="Arial" w:cs="Arial"/>
          <w:sz w:val="24"/>
          <w:szCs w:val="24"/>
          <w:lang w:val="en-US"/>
        </w:rPr>
        <w:t xml:space="preserve">uretyship agreements. </w:t>
      </w:r>
      <w:r w:rsidRPr="00FE27D6">
        <w:rPr>
          <w:rFonts w:ascii="Arial" w:hAnsi="Arial" w:cs="Arial"/>
          <w:sz w:val="24"/>
          <w:szCs w:val="24"/>
          <w:lang w:val="en-US"/>
        </w:rPr>
        <w:t>It was further the second defendant’s contention that such failure has the potential of prejudicing the second defendant to the extent that it is released of its liability as surety</w:t>
      </w:r>
      <w:r>
        <w:rPr>
          <w:rFonts w:ascii="Arial" w:hAnsi="Arial" w:cs="Arial"/>
          <w:sz w:val="24"/>
          <w:szCs w:val="24"/>
          <w:lang w:val="en-US"/>
        </w:rPr>
        <w:t>.</w:t>
      </w:r>
    </w:p>
    <w:p w:rsidR="00FB4FF4" w:rsidRDefault="00FB4FF4" w:rsidP="00FB4FF4">
      <w:pPr>
        <w:spacing w:after="0" w:line="360" w:lineRule="auto"/>
        <w:jc w:val="both"/>
        <w:rPr>
          <w:rFonts w:ascii="Arial" w:hAnsi="Arial" w:cs="Arial"/>
          <w:sz w:val="24"/>
          <w:szCs w:val="24"/>
          <w:lang w:val="en-US"/>
        </w:rPr>
      </w:pPr>
    </w:p>
    <w:p w:rsidR="00FB4FF4" w:rsidRDefault="00FB4FF4" w:rsidP="00A46CA6">
      <w:pPr>
        <w:spacing w:after="0" w:line="360" w:lineRule="auto"/>
        <w:jc w:val="both"/>
        <w:rPr>
          <w:rFonts w:ascii="Arial" w:hAnsi="Arial" w:cs="Arial"/>
          <w:sz w:val="24"/>
          <w:szCs w:val="24"/>
          <w:lang w:val="en-US"/>
        </w:rPr>
      </w:pPr>
      <w:r>
        <w:rPr>
          <w:rFonts w:ascii="Arial" w:hAnsi="Arial" w:cs="Arial"/>
          <w:sz w:val="24"/>
          <w:szCs w:val="24"/>
          <w:lang w:val="en-US"/>
        </w:rPr>
        <w:t>The plaintiff submitted that on interpretation of the cession of i</w:t>
      </w:r>
      <w:r w:rsidRPr="007114CA">
        <w:rPr>
          <w:rFonts w:ascii="Arial" w:hAnsi="Arial" w:cs="Arial"/>
          <w:sz w:val="24"/>
          <w:szCs w:val="24"/>
          <w:lang w:val="en-US"/>
        </w:rPr>
        <w:t xml:space="preserve">ncome </w:t>
      </w:r>
      <w:r>
        <w:rPr>
          <w:rFonts w:ascii="Arial" w:hAnsi="Arial" w:cs="Arial"/>
          <w:sz w:val="24"/>
          <w:szCs w:val="24"/>
          <w:lang w:val="en-US"/>
        </w:rPr>
        <w:t>agreement, t</w:t>
      </w:r>
      <w:r w:rsidRPr="007175C6">
        <w:rPr>
          <w:rFonts w:ascii="Arial" w:hAnsi="Arial" w:cs="Arial"/>
          <w:sz w:val="24"/>
          <w:szCs w:val="24"/>
          <w:lang w:val="en-US"/>
        </w:rPr>
        <w:t xml:space="preserve">he purpose thereof was simply to provide for one of the many possible ways in which </w:t>
      </w:r>
      <w:r>
        <w:rPr>
          <w:rFonts w:ascii="Arial" w:hAnsi="Arial" w:cs="Arial"/>
          <w:sz w:val="24"/>
          <w:szCs w:val="24"/>
          <w:lang w:val="en-US"/>
        </w:rPr>
        <w:t>p</w:t>
      </w:r>
      <w:r w:rsidRPr="007175C6">
        <w:rPr>
          <w:rFonts w:ascii="Arial" w:hAnsi="Arial" w:cs="Arial"/>
          <w:sz w:val="24"/>
          <w:szCs w:val="24"/>
          <w:lang w:val="en-US"/>
        </w:rPr>
        <w:t>laintiff co</w:t>
      </w:r>
      <w:r>
        <w:rPr>
          <w:rFonts w:ascii="Arial" w:hAnsi="Arial" w:cs="Arial"/>
          <w:sz w:val="24"/>
          <w:szCs w:val="24"/>
          <w:lang w:val="en-US"/>
        </w:rPr>
        <w:t>uld recover the money due to it and further contended that</w:t>
      </w:r>
      <w:r w:rsidRPr="007175C6">
        <w:rPr>
          <w:rFonts w:ascii="Arial" w:hAnsi="Arial" w:cs="Arial"/>
          <w:sz w:val="24"/>
          <w:szCs w:val="24"/>
          <w:lang w:val="en-US"/>
        </w:rPr>
        <w:t xml:space="preserve"> the Deed of Cession did not intend as a consequence</w:t>
      </w:r>
      <w:r>
        <w:rPr>
          <w:rFonts w:ascii="Arial" w:hAnsi="Arial" w:cs="Arial"/>
          <w:sz w:val="24"/>
          <w:szCs w:val="24"/>
          <w:lang w:val="en-US"/>
        </w:rPr>
        <w:t>, to</w:t>
      </w:r>
      <w:r w:rsidRPr="007175C6">
        <w:rPr>
          <w:rFonts w:ascii="Arial" w:hAnsi="Arial" w:cs="Arial"/>
          <w:sz w:val="24"/>
          <w:szCs w:val="24"/>
          <w:lang w:val="en-US"/>
        </w:rPr>
        <w:t xml:space="preserve"> </w:t>
      </w:r>
      <w:r>
        <w:rPr>
          <w:rFonts w:ascii="Arial" w:hAnsi="Arial" w:cs="Arial"/>
          <w:sz w:val="24"/>
          <w:szCs w:val="24"/>
          <w:lang w:val="en-US"/>
        </w:rPr>
        <w:t>a</w:t>
      </w:r>
      <w:r w:rsidRPr="007175C6">
        <w:rPr>
          <w:rFonts w:ascii="Arial" w:hAnsi="Arial" w:cs="Arial"/>
          <w:sz w:val="24"/>
          <w:szCs w:val="24"/>
          <w:lang w:val="en-US"/>
        </w:rPr>
        <w:t>bsolve from liability</w:t>
      </w:r>
      <w:r>
        <w:rPr>
          <w:rFonts w:ascii="Arial" w:hAnsi="Arial" w:cs="Arial"/>
          <w:sz w:val="24"/>
          <w:szCs w:val="24"/>
          <w:lang w:val="en-US"/>
        </w:rPr>
        <w:t xml:space="preserve"> any surety</w:t>
      </w:r>
      <w:r w:rsidRPr="007175C6">
        <w:rPr>
          <w:rFonts w:ascii="Arial" w:hAnsi="Arial" w:cs="Arial"/>
          <w:sz w:val="24"/>
          <w:szCs w:val="24"/>
          <w:lang w:val="en-US"/>
        </w:rPr>
        <w:t xml:space="preserve"> because of its conclusion. No possible interpretation, given the clear wording of the Deed of Surety itself, could have intended the suggested </w:t>
      </w:r>
      <w:r>
        <w:rPr>
          <w:rFonts w:ascii="Arial" w:hAnsi="Arial" w:cs="Arial"/>
          <w:sz w:val="24"/>
          <w:szCs w:val="24"/>
          <w:lang w:val="en-US"/>
        </w:rPr>
        <w:t>consequence by the second defendant.</w:t>
      </w:r>
    </w:p>
    <w:p w:rsidR="00FB4FF4" w:rsidRDefault="00FB4FF4" w:rsidP="00A46CA6">
      <w:pPr>
        <w:spacing w:after="0" w:line="360" w:lineRule="auto"/>
        <w:jc w:val="both"/>
        <w:rPr>
          <w:rFonts w:ascii="Arial" w:hAnsi="Arial" w:cs="Arial"/>
          <w:sz w:val="24"/>
          <w:szCs w:val="24"/>
          <w:lang w:val="en-US"/>
        </w:rPr>
      </w:pPr>
    </w:p>
    <w:p w:rsidR="00FB4FF4" w:rsidRDefault="00FB4FF4" w:rsidP="00FB4FF4">
      <w:pPr>
        <w:spacing w:line="360" w:lineRule="auto"/>
        <w:jc w:val="both"/>
        <w:rPr>
          <w:rFonts w:ascii="Arial" w:hAnsi="Arial" w:cs="Arial"/>
          <w:sz w:val="24"/>
          <w:szCs w:val="24"/>
          <w:lang w:val="en-US"/>
        </w:rPr>
      </w:pPr>
      <w:r>
        <w:rPr>
          <w:rFonts w:ascii="Arial" w:hAnsi="Arial" w:cs="Arial"/>
          <w:sz w:val="24"/>
          <w:szCs w:val="24"/>
          <w:lang w:val="en-US"/>
        </w:rPr>
        <w:t xml:space="preserve">The plaintiff in conclusion concluded that the </w:t>
      </w:r>
      <w:r w:rsidRPr="007175C6">
        <w:rPr>
          <w:rFonts w:ascii="Arial" w:hAnsi="Arial" w:cs="Arial"/>
          <w:sz w:val="24"/>
          <w:szCs w:val="24"/>
          <w:lang w:val="en-US"/>
        </w:rPr>
        <w:t xml:space="preserve">Deed of Surety and its enforceability is not </w:t>
      </w:r>
      <w:r w:rsidR="00A46CA6" w:rsidRPr="007175C6">
        <w:rPr>
          <w:rFonts w:ascii="Arial" w:hAnsi="Arial" w:cs="Arial"/>
          <w:sz w:val="24"/>
          <w:szCs w:val="24"/>
          <w:lang w:val="en-US"/>
        </w:rPr>
        <w:t>depended</w:t>
      </w:r>
      <w:r w:rsidRPr="007175C6">
        <w:rPr>
          <w:rFonts w:ascii="Arial" w:hAnsi="Arial" w:cs="Arial"/>
          <w:sz w:val="24"/>
          <w:szCs w:val="24"/>
          <w:lang w:val="en-US"/>
        </w:rPr>
        <w:t xml:space="preserve"> on the control of the principal debtor or the composition of its members</w:t>
      </w:r>
      <w:r w:rsidR="00A46CA6">
        <w:rPr>
          <w:rFonts w:ascii="Arial" w:hAnsi="Arial" w:cs="Arial"/>
          <w:sz w:val="24"/>
          <w:szCs w:val="24"/>
          <w:lang w:val="en-US"/>
        </w:rPr>
        <w:t>.</w:t>
      </w:r>
    </w:p>
    <w:p w:rsidR="00A46CA6" w:rsidRDefault="00A46CA6" w:rsidP="008F7C1A">
      <w:pPr>
        <w:spacing w:after="0" w:line="360" w:lineRule="auto"/>
        <w:jc w:val="both"/>
        <w:rPr>
          <w:rFonts w:ascii="Arial" w:hAnsi="Arial" w:cs="Arial"/>
          <w:sz w:val="24"/>
          <w:szCs w:val="24"/>
        </w:rPr>
      </w:pPr>
      <w:r>
        <w:rPr>
          <w:rFonts w:ascii="Arial" w:hAnsi="Arial" w:cs="Arial"/>
          <w:sz w:val="24"/>
          <w:szCs w:val="24"/>
          <w:lang w:val="en-US"/>
        </w:rPr>
        <w:lastRenderedPageBreak/>
        <w:t xml:space="preserve">Held – </w:t>
      </w:r>
      <w:r w:rsidRPr="008B2EE5">
        <w:rPr>
          <w:rFonts w:ascii="Arial" w:hAnsi="Arial" w:cs="Arial"/>
          <w:sz w:val="24"/>
          <w:szCs w:val="24"/>
        </w:rPr>
        <w:t>Prejudice to a surety will only release the surety from liability if the prejudice is the result of a breach of a legal duty or obligation owed by the creditor. The primary sources of a creditor’s duties and obligations are the principal agreement and the suretyship. If the</w:t>
      </w:r>
      <w:r>
        <w:rPr>
          <w:rFonts w:ascii="Arial" w:hAnsi="Arial" w:cs="Arial"/>
          <w:sz w:val="24"/>
          <w:szCs w:val="24"/>
        </w:rPr>
        <w:t xml:space="preserve"> prejudice complained of resulted</w:t>
      </w:r>
      <w:r w:rsidRPr="008B2EE5">
        <w:rPr>
          <w:rFonts w:ascii="Arial" w:hAnsi="Arial" w:cs="Arial"/>
          <w:sz w:val="24"/>
          <w:szCs w:val="24"/>
        </w:rPr>
        <w:t xml:space="preserve"> from </w:t>
      </w:r>
      <w:r>
        <w:rPr>
          <w:rFonts w:ascii="Arial" w:hAnsi="Arial" w:cs="Arial"/>
          <w:sz w:val="24"/>
          <w:szCs w:val="24"/>
        </w:rPr>
        <w:t xml:space="preserve">a </w:t>
      </w:r>
      <w:r w:rsidRPr="008B2EE5">
        <w:rPr>
          <w:rFonts w:ascii="Arial" w:hAnsi="Arial" w:cs="Arial"/>
          <w:sz w:val="24"/>
          <w:szCs w:val="24"/>
        </w:rPr>
        <w:t>conduct falling within the terms of the principal agreement or the deed of suretyship, the surety could not rely upon such prejudice in order to escape liability</w:t>
      </w:r>
      <w:r>
        <w:rPr>
          <w:rFonts w:ascii="Arial" w:hAnsi="Arial" w:cs="Arial"/>
          <w:sz w:val="24"/>
          <w:szCs w:val="24"/>
        </w:rPr>
        <w:t>.</w:t>
      </w:r>
    </w:p>
    <w:p w:rsidR="00A46CA6" w:rsidRDefault="00A46CA6" w:rsidP="008F7C1A">
      <w:pPr>
        <w:spacing w:after="0" w:line="360" w:lineRule="auto"/>
        <w:jc w:val="both"/>
        <w:rPr>
          <w:rFonts w:ascii="Arial" w:hAnsi="Arial" w:cs="Arial"/>
          <w:sz w:val="24"/>
          <w:szCs w:val="24"/>
        </w:rPr>
      </w:pPr>
    </w:p>
    <w:p w:rsidR="00A46CA6" w:rsidRDefault="00A46CA6" w:rsidP="008F7C1A">
      <w:pPr>
        <w:spacing w:after="0" w:line="360" w:lineRule="auto"/>
        <w:jc w:val="both"/>
        <w:rPr>
          <w:rFonts w:ascii="Arial" w:hAnsi="Arial" w:cs="Arial"/>
          <w:sz w:val="24"/>
          <w:szCs w:val="24"/>
          <w:lang w:val="en-US"/>
        </w:rPr>
      </w:pPr>
      <w:r>
        <w:rPr>
          <w:rFonts w:ascii="Arial" w:hAnsi="Arial" w:cs="Arial"/>
          <w:sz w:val="24"/>
          <w:szCs w:val="24"/>
        </w:rPr>
        <w:t xml:space="preserve">Held further – </w:t>
      </w:r>
      <w:r w:rsidR="008F7C1A">
        <w:rPr>
          <w:rFonts w:ascii="Arial" w:hAnsi="Arial" w:cs="Arial"/>
          <w:sz w:val="24"/>
          <w:szCs w:val="24"/>
          <w:lang w:val="en-US" w:eastAsia="zh-CN" w:bidi="hi-IN"/>
        </w:rPr>
        <w:t>Even if the second defendant were to give notice to terminate his surety on behalf of the first defendant, the second defendant would only be released in accordance with the suretyship agreement, when the debt owed to the plaintiff is paid in full. This condition in the suretyship agreement is unconditional or not subject to any other terms in the agreement other than those highlighted.</w:t>
      </w:r>
    </w:p>
    <w:p w:rsidR="00546F25" w:rsidRPr="00D86887" w:rsidRDefault="00546F25" w:rsidP="00546F25">
      <w:pPr>
        <w:pBdr>
          <w:bottom w:val="single" w:sz="6" w:space="1" w:color="auto"/>
        </w:pBdr>
        <w:spacing w:after="0" w:line="360" w:lineRule="auto"/>
        <w:jc w:val="both"/>
        <w:rPr>
          <w:rFonts w:ascii="Arial" w:hAnsi="Arial" w:cs="Arial"/>
          <w:b/>
          <w:sz w:val="24"/>
          <w:szCs w:val="24"/>
        </w:rPr>
      </w:pPr>
    </w:p>
    <w:p w:rsidR="00546F25" w:rsidRPr="00D86887" w:rsidRDefault="00546F25" w:rsidP="00546F25">
      <w:pPr>
        <w:spacing w:after="0" w:line="240" w:lineRule="auto"/>
        <w:rPr>
          <w:rFonts w:ascii="Arial" w:hAnsi="Arial" w:cs="Arial"/>
          <w:b/>
          <w:sz w:val="24"/>
          <w:szCs w:val="24"/>
        </w:rPr>
      </w:pPr>
    </w:p>
    <w:p w:rsidR="00546F25" w:rsidRPr="00D86887" w:rsidRDefault="00546F25" w:rsidP="00546F25">
      <w:pPr>
        <w:spacing w:after="0" w:line="240" w:lineRule="auto"/>
        <w:jc w:val="center"/>
        <w:rPr>
          <w:rFonts w:ascii="Arial" w:hAnsi="Arial" w:cs="Arial"/>
          <w:b/>
          <w:sz w:val="24"/>
          <w:szCs w:val="24"/>
        </w:rPr>
      </w:pPr>
      <w:r w:rsidRPr="00D86887">
        <w:rPr>
          <w:rFonts w:ascii="Arial" w:hAnsi="Arial" w:cs="Arial"/>
          <w:b/>
          <w:sz w:val="24"/>
          <w:szCs w:val="24"/>
        </w:rPr>
        <w:t>ORDER</w:t>
      </w:r>
    </w:p>
    <w:p w:rsidR="00546F25" w:rsidRPr="00D86887" w:rsidRDefault="00546F25" w:rsidP="00546F25">
      <w:pPr>
        <w:pBdr>
          <w:bottom w:val="single" w:sz="6" w:space="1" w:color="auto"/>
        </w:pBdr>
        <w:spacing w:after="0" w:line="240" w:lineRule="auto"/>
        <w:jc w:val="center"/>
        <w:rPr>
          <w:rFonts w:ascii="Arial" w:hAnsi="Arial" w:cs="Arial"/>
          <w:b/>
          <w:sz w:val="24"/>
          <w:szCs w:val="24"/>
        </w:rPr>
      </w:pPr>
    </w:p>
    <w:p w:rsidR="002827C1" w:rsidRDefault="002827C1" w:rsidP="00CC4867">
      <w:pPr>
        <w:spacing w:line="360" w:lineRule="auto"/>
        <w:jc w:val="both"/>
        <w:rPr>
          <w:rFonts w:ascii="Arial" w:hAnsi="Arial" w:cs="Arial"/>
          <w:sz w:val="24"/>
          <w:szCs w:val="24"/>
          <w:lang w:eastAsia="zh-CN" w:bidi="hi-IN"/>
        </w:rPr>
      </w:pPr>
    </w:p>
    <w:p w:rsidR="00CC4867" w:rsidRDefault="00697FBB" w:rsidP="00CC4867">
      <w:pPr>
        <w:spacing w:line="360" w:lineRule="auto"/>
        <w:jc w:val="both"/>
        <w:rPr>
          <w:rFonts w:ascii="Arial" w:hAnsi="Arial" w:cs="Arial"/>
          <w:sz w:val="24"/>
          <w:szCs w:val="24"/>
          <w:lang w:eastAsia="zh-CN" w:bidi="hi-IN"/>
        </w:rPr>
      </w:pPr>
      <w:r>
        <w:rPr>
          <w:rFonts w:ascii="Arial" w:hAnsi="Arial" w:cs="Arial"/>
          <w:sz w:val="24"/>
          <w:szCs w:val="24"/>
          <w:lang w:eastAsia="zh-CN" w:bidi="hi-IN"/>
        </w:rPr>
        <w:t>J</w:t>
      </w:r>
      <w:r w:rsidR="00CC4867" w:rsidRPr="00CC4867">
        <w:rPr>
          <w:rFonts w:ascii="Arial" w:hAnsi="Arial" w:cs="Arial"/>
          <w:sz w:val="24"/>
          <w:szCs w:val="24"/>
          <w:lang w:eastAsia="zh-CN" w:bidi="hi-IN"/>
        </w:rPr>
        <w:t xml:space="preserve">udgment is hereby granted in favor </w:t>
      </w:r>
      <w:r>
        <w:rPr>
          <w:rFonts w:ascii="Arial" w:hAnsi="Arial" w:cs="Arial"/>
          <w:sz w:val="24"/>
          <w:szCs w:val="24"/>
          <w:lang w:eastAsia="zh-CN" w:bidi="hi-IN"/>
        </w:rPr>
        <w:t>of the plaintiff against the second</w:t>
      </w:r>
      <w:r w:rsidR="00CC4867" w:rsidRPr="00CC4867">
        <w:rPr>
          <w:rFonts w:ascii="Arial" w:hAnsi="Arial" w:cs="Arial"/>
          <w:sz w:val="24"/>
          <w:szCs w:val="24"/>
          <w:lang w:eastAsia="zh-CN" w:bidi="hi-IN"/>
        </w:rPr>
        <w:t xml:space="preserve"> </w:t>
      </w:r>
      <w:r>
        <w:rPr>
          <w:rFonts w:ascii="Arial" w:hAnsi="Arial" w:cs="Arial"/>
          <w:sz w:val="24"/>
          <w:szCs w:val="24"/>
          <w:lang w:eastAsia="zh-CN" w:bidi="hi-IN"/>
        </w:rPr>
        <w:t xml:space="preserve">defendant </w:t>
      </w:r>
      <w:r w:rsidR="00CC4867" w:rsidRPr="00CC4867">
        <w:rPr>
          <w:rFonts w:ascii="Arial" w:hAnsi="Arial" w:cs="Arial"/>
          <w:sz w:val="24"/>
          <w:szCs w:val="24"/>
          <w:lang w:eastAsia="zh-CN" w:bidi="hi-IN"/>
        </w:rPr>
        <w:t>jointly and severally,</w:t>
      </w:r>
      <w:r>
        <w:rPr>
          <w:rFonts w:ascii="Arial" w:hAnsi="Arial" w:cs="Arial"/>
          <w:sz w:val="24"/>
          <w:szCs w:val="24"/>
          <w:lang w:eastAsia="zh-CN" w:bidi="hi-IN"/>
        </w:rPr>
        <w:t xml:space="preserve"> with the first and third defendants</w:t>
      </w:r>
      <w:r w:rsidR="002827C1">
        <w:rPr>
          <w:rFonts w:ascii="Arial" w:hAnsi="Arial" w:cs="Arial"/>
          <w:sz w:val="24"/>
          <w:szCs w:val="24"/>
          <w:lang w:eastAsia="zh-CN" w:bidi="hi-IN"/>
        </w:rPr>
        <w:t>,</w:t>
      </w:r>
      <w:r>
        <w:rPr>
          <w:rFonts w:ascii="Arial" w:hAnsi="Arial" w:cs="Arial"/>
          <w:sz w:val="24"/>
          <w:szCs w:val="24"/>
          <w:lang w:eastAsia="zh-CN" w:bidi="hi-IN"/>
        </w:rPr>
        <w:t xml:space="preserve"> </w:t>
      </w:r>
      <w:r w:rsidR="00CC4867" w:rsidRPr="00CC4867">
        <w:rPr>
          <w:rFonts w:ascii="Arial" w:hAnsi="Arial" w:cs="Arial"/>
          <w:sz w:val="24"/>
          <w:szCs w:val="24"/>
          <w:lang w:eastAsia="zh-CN" w:bidi="hi-IN"/>
        </w:rPr>
        <w:t>the one paying the other to be ab</w:t>
      </w:r>
      <w:r>
        <w:rPr>
          <w:rFonts w:ascii="Arial" w:hAnsi="Arial" w:cs="Arial"/>
          <w:sz w:val="24"/>
          <w:szCs w:val="24"/>
          <w:lang w:eastAsia="zh-CN" w:bidi="hi-IN"/>
        </w:rPr>
        <w:t>solved, on the following terms:</w:t>
      </w:r>
    </w:p>
    <w:p w:rsidR="00CC4867" w:rsidRDefault="00CC4867" w:rsidP="00CC4867">
      <w:pPr>
        <w:spacing w:line="360" w:lineRule="auto"/>
        <w:jc w:val="both"/>
        <w:rPr>
          <w:rFonts w:ascii="Arial" w:hAnsi="Arial" w:cs="Arial"/>
          <w:sz w:val="24"/>
          <w:szCs w:val="24"/>
          <w:lang w:eastAsia="zh-CN" w:bidi="hi-IN"/>
        </w:rPr>
      </w:pPr>
      <w:r>
        <w:rPr>
          <w:rFonts w:ascii="Arial" w:hAnsi="Arial" w:cs="Arial"/>
          <w:sz w:val="24"/>
          <w:szCs w:val="24"/>
          <w:lang w:eastAsia="zh-CN" w:bidi="hi-IN"/>
        </w:rPr>
        <w:t>a)</w:t>
      </w:r>
      <w:r>
        <w:rPr>
          <w:rFonts w:ascii="Arial" w:hAnsi="Arial" w:cs="Arial"/>
          <w:sz w:val="24"/>
          <w:szCs w:val="24"/>
          <w:lang w:eastAsia="zh-CN" w:bidi="hi-IN"/>
        </w:rPr>
        <w:tab/>
      </w:r>
      <w:r w:rsidRPr="00CC4867">
        <w:rPr>
          <w:rFonts w:ascii="Arial" w:hAnsi="Arial" w:cs="Arial"/>
          <w:sz w:val="24"/>
          <w:szCs w:val="24"/>
          <w:lang w:eastAsia="zh-CN" w:bidi="hi-IN"/>
        </w:rPr>
        <w:t>Payment in t</w:t>
      </w:r>
      <w:r>
        <w:rPr>
          <w:rFonts w:ascii="Arial" w:hAnsi="Arial" w:cs="Arial"/>
          <w:sz w:val="24"/>
          <w:szCs w:val="24"/>
          <w:lang w:eastAsia="zh-CN" w:bidi="hi-IN"/>
        </w:rPr>
        <w:t>he amount of N$ 1,614,024.01.</w:t>
      </w:r>
    </w:p>
    <w:p w:rsidR="00CC4867" w:rsidRDefault="00CC4867" w:rsidP="00CC4867">
      <w:pPr>
        <w:spacing w:line="360" w:lineRule="auto"/>
        <w:jc w:val="both"/>
        <w:rPr>
          <w:rFonts w:ascii="Arial" w:hAnsi="Arial" w:cs="Arial"/>
          <w:sz w:val="24"/>
          <w:szCs w:val="24"/>
          <w:lang w:eastAsia="zh-CN" w:bidi="hi-IN"/>
        </w:rPr>
      </w:pPr>
      <w:r>
        <w:rPr>
          <w:rFonts w:ascii="Arial" w:hAnsi="Arial" w:cs="Arial"/>
          <w:sz w:val="24"/>
          <w:szCs w:val="24"/>
          <w:lang w:eastAsia="zh-CN" w:bidi="hi-IN"/>
        </w:rPr>
        <w:t>b)</w:t>
      </w:r>
      <w:r>
        <w:rPr>
          <w:rFonts w:ascii="Arial" w:hAnsi="Arial" w:cs="Arial"/>
          <w:sz w:val="24"/>
          <w:szCs w:val="24"/>
          <w:lang w:eastAsia="zh-CN" w:bidi="hi-IN"/>
        </w:rPr>
        <w:tab/>
      </w:r>
      <w:r w:rsidRPr="00CC4867">
        <w:rPr>
          <w:rFonts w:ascii="Arial" w:hAnsi="Arial" w:cs="Arial"/>
          <w:sz w:val="24"/>
          <w:szCs w:val="24"/>
          <w:lang w:eastAsia="zh-CN" w:bidi="hi-IN"/>
        </w:rPr>
        <w:t>Compound interest on the said amount at the rate of 10.75 % per annum calculated on a daily basis and compounded monthly as from 31st July 2012 to date of payment a</w:t>
      </w:r>
      <w:r>
        <w:rPr>
          <w:rFonts w:ascii="Arial" w:hAnsi="Arial" w:cs="Arial"/>
          <w:sz w:val="24"/>
          <w:szCs w:val="24"/>
          <w:lang w:eastAsia="zh-CN" w:bidi="hi-IN"/>
        </w:rPr>
        <w:t>s agreed between the parties.</w:t>
      </w:r>
    </w:p>
    <w:p w:rsidR="00CC4867" w:rsidRDefault="00CC4867" w:rsidP="00CC4867">
      <w:pPr>
        <w:spacing w:after="0" w:line="360" w:lineRule="auto"/>
        <w:jc w:val="both"/>
        <w:rPr>
          <w:rFonts w:ascii="Arial" w:hAnsi="Arial" w:cs="Arial"/>
          <w:sz w:val="24"/>
          <w:szCs w:val="24"/>
          <w:lang w:eastAsia="zh-CN" w:bidi="hi-IN"/>
        </w:rPr>
      </w:pPr>
      <w:r>
        <w:rPr>
          <w:rFonts w:ascii="Arial" w:hAnsi="Arial" w:cs="Arial"/>
          <w:sz w:val="24"/>
          <w:szCs w:val="24"/>
          <w:lang w:eastAsia="zh-CN" w:bidi="hi-IN"/>
        </w:rPr>
        <w:t>c)</w:t>
      </w:r>
      <w:r>
        <w:rPr>
          <w:rFonts w:ascii="Arial" w:hAnsi="Arial" w:cs="Arial"/>
          <w:sz w:val="24"/>
          <w:szCs w:val="24"/>
          <w:lang w:eastAsia="zh-CN" w:bidi="hi-IN"/>
        </w:rPr>
        <w:tab/>
      </w:r>
      <w:r w:rsidRPr="00CC4867">
        <w:rPr>
          <w:rFonts w:ascii="Arial" w:hAnsi="Arial" w:cs="Arial"/>
          <w:sz w:val="24"/>
          <w:szCs w:val="24"/>
          <w:lang w:eastAsia="zh-CN" w:bidi="hi-IN"/>
        </w:rPr>
        <w:t>Costs of Suit on an Attorney own Client Scale</w:t>
      </w:r>
      <w:r>
        <w:rPr>
          <w:rFonts w:ascii="Arial" w:hAnsi="Arial" w:cs="Arial"/>
          <w:sz w:val="24"/>
          <w:szCs w:val="24"/>
          <w:lang w:eastAsia="zh-CN" w:bidi="hi-IN"/>
        </w:rPr>
        <w:t>.</w:t>
      </w:r>
    </w:p>
    <w:p w:rsidR="002827C1" w:rsidRDefault="002827C1" w:rsidP="00CC4867">
      <w:pPr>
        <w:spacing w:after="0" w:line="360" w:lineRule="auto"/>
        <w:jc w:val="both"/>
        <w:rPr>
          <w:rFonts w:ascii="Arial" w:hAnsi="Arial" w:cs="Arial"/>
          <w:sz w:val="24"/>
          <w:szCs w:val="24"/>
          <w:lang w:eastAsia="zh-CN" w:bidi="hi-IN"/>
        </w:rPr>
      </w:pPr>
    </w:p>
    <w:p w:rsidR="002827C1" w:rsidRDefault="002827C1" w:rsidP="00CC4867">
      <w:pPr>
        <w:spacing w:after="0" w:line="360" w:lineRule="auto"/>
        <w:jc w:val="both"/>
        <w:rPr>
          <w:rFonts w:ascii="Arial" w:hAnsi="Arial" w:cs="Arial"/>
          <w:sz w:val="24"/>
          <w:szCs w:val="24"/>
          <w:lang w:eastAsia="zh-CN" w:bidi="hi-IN"/>
        </w:rPr>
      </w:pPr>
    </w:p>
    <w:p w:rsidR="002827C1" w:rsidRDefault="002827C1" w:rsidP="00CC4867">
      <w:pPr>
        <w:spacing w:after="0" w:line="360" w:lineRule="auto"/>
        <w:jc w:val="both"/>
        <w:rPr>
          <w:rFonts w:ascii="Arial" w:hAnsi="Arial" w:cs="Arial"/>
          <w:sz w:val="24"/>
          <w:szCs w:val="24"/>
          <w:lang w:eastAsia="zh-CN" w:bidi="hi-IN"/>
        </w:rPr>
      </w:pPr>
    </w:p>
    <w:p w:rsidR="002827C1" w:rsidRDefault="002827C1" w:rsidP="00CC4867">
      <w:pPr>
        <w:spacing w:after="0" w:line="360" w:lineRule="auto"/>
        <w:jc w:val="both"/>
        <w:rPr>
          <w:rFonts w:ascii="Arial" w:hAnsi="Arial" w:cs="Arial"/>
          <w:sz w:val="24"/>
          <w:szCs w:val="24"/>
          <w:lang w:eastAsia="zh-CN" w:bidi="hi-IN"/>
        </w:rPr>
      </w:pPr>
    </w:p>
    <w:p w:rsidR="002827C1" w:rsidRDefault="002827C1" w:rsidP="00CC4867">
      <w:pPr>
        <w:spacing w:after="0" w:line="360" w:lineRule="auto"/>
        <w:jc w:val="both"/>
        <w:rPr>
          <w:rFonts w:ascii="Arial" w:hAnsi="Arial" w:cs="Arial"/>
          <w:sz w:val="24"/>
          <w:szCs w:val="24"/>
          <w:lang w:eastAsia="zh-CN" w:bidi="hi-IN"/>
        </w:rPr>
      </w:pPr>
    </w:p>
    <w:p w:rsidR="002827C1" w:rsidRDefault="002827C1" w:rsidP="00CC4867">
      <w:pPr>
        <w:spacing w:after="0" w:line="360" w:lineRule="auto"/>
        <w:jc w:val="both"/>
        <w:rPr>
          <w:rFonts w:ascii="Arial" w:hAnsi="Arial" w:cs="Arial"/>
          <w:sz w:val="24"/>
          <w:szCs w:val="24"/>
          <w:lang w:eastAsia="zh-CN" w:bidi="hi-IN"/>
        </w:rPr>
      </w:pPr>
    </w:p>
    <w:p w:rsidR="00546F25" w:rsidRPr="00D86887" w:rsidRDefault="00546F25" w:rsidP="00546F25">
      <w:pPr>
        <w:spacing w:line="360" w:lineRule="auto"/>
        <w:jc w:val="both"/>
      </w:pPr>
      <w:r w:rsidRPr="00D86887">
        <w:lastRenderedPageBreak/>
        <w:t>____________________________________________________________________________________</w:t>
      </w:r>
    </w:p>
    <w:p w:rsidR="00546F25" w:rsidRPr="00D86887" w:rsidRDefault="00546F25" w:rsidP="00546F25">
      <w:pPr>
        <w:jc w:val="center"/>
        <w:rPr>
          <w:rFonts w:ascii="Arial" w:hAnsi="Arial" w:cs="Arial"/>
          <w:b/>
          <w:sz w:val="24"/>
          <w:szCs w:val="24"/>
        </w:rPr>
      </w:pPr>
      <w:r>
        <w:rPr>
          <w:rFonts w:ascii="Arial" w:hAnsi="Arial" w:cs="Arial"/>
          <w:b/>
          <w:sz w:val="24"/>
          <w:szCs w:val="24"/>
        </w:rPr>
        <w:t>JUDGMENT</w:t>
      </w:r>
    </w:p>
    <w:p w:rsidR="00546F25" w:rsidRPr="00D86887" w:rsidRDefault="00546F25" w:rsidP="00546F25">
      <w:r w:rsidRPr="00D86887">
        <w:t>_____________________________________________________________________________________</w:t>
      </w:r>
    </w:p>
    <w:p w:rsidR="00CC4867" w:rsidRPr="00114FFD" w:rsidRDefault="00546F25" w:rsidP="00C60153">
      <w:pPr>
        <w:spacing w:after="0" w:line="360" w:lineRule="auto"/>
        <w:jc w:val="both"/>
        <w:rPr>
          <w:rFonts w:ascii="Arial" w:hAnsi="Arial" w:cs="Arial"/>
          <w:b/>
          <w:sz w:val="24"/>
          <w:szCs w:val="24"/>
        </w:rPr>
      </w:pPr>
      <w:r w:rsidRPr="00114FFD">
        <w:rPr>
          <w:rFonts w:ascii="Arial" w:hAnsi="Arial" w:cs="Arial"/>
          <w:b/>
          <w:sz w:val="24"/>
          <w:szCs w:val="24"/>
        </w:rPr>
        <w:t>UNENGU,AJ:</w:t>
      </w:r>
    </w:p>
    <w:p w:rsidR="00CC4867" w:rsidRDefault="00CC4867" w:rsidP="00C60153">
      <w:pPr>
        <w:spacing w:after="0" w:line="360" w:lineRule="auto"/>
        <w:jc w:val="both"/>
        <w:rPr>
          <w:rFonts w:ascii="Arial" w:hAnsi="Arial" w:cs="Arial"/>
          <w:sz w:val="24"/>
          <w:szCs w:val="24"/>
        </w:rPr>
      </w:pPr>
    </w:p>
    <w:p w:rsidR="00FC6ADA" w:rsidRPr="00FC6ADA" w:rsidRDefault="00546F25" w:rsidP="00EF68C6">
      <w:pPr>
        <w:spacing w:after="0" w:line="360" w:lineRule="auto"/>
        <w:jc w:val="both"/>
        <w:rPr>
          <w:rFonts w:ascii="Arial" w:hAnsi="Arial" w:cs="Arial"/>
          <w:sz w:val="24"/>
          <w:szCs w:val="24"/>
        </w:rPr>
      </w:pPr>
      <w:r w:rsidRPr="00732FCD">
        <w:rPr>
          <w:rFonts w:ascii="Arial" w:hAnsi="Arial" w:cs="Arial"/>
          <w:sz w:val="24"/>
          <w:szCs w:val="24"/>
        </w:rPr>
        <w:t>[1]</w:t>
      </w:r>
      <w:r>
        <w:rPr>
          <w:rFonts w:ascii="Arial" w:hAnsi="Arial" w:cs="Arial"/>
          <w:sz w:val="24"/>
          <w:szCs w:val="24"/>
        </w:rPr>
        <w:tab/>
        <w:t>The</w:t>
      </w:r>
      <w:r w:rsidR="00FC6ADA">
        <w:rPr>
          <w:rFonts w:ascii="Arial" w:hAnsi="Arial" w:cs="Arial"/>
          <w:sz w:val="24"/>
          <w:szCs w:val="24"/>
        </w:rPr>
        <w:t xml:space="preserve"> Plaintiff is</w:t>
      </w:r>
      <w:r>
        <w:rPr>
          <w:rFonts w:ascii="Arial" w:hAnsi="Arial" w:cs="Arial"/>
          <w:sz w:val="24"/>
          <w:szCs w:val="24"/>
        </w:rPr>
        <w:t xml:space="preserve"> </w:t>
      </w:r>
      <w:r w:rsidRPr="008551CC">
        <w:rPr>
          <w:rFonts w:ascii="Arial" w:hAnsi="Arial" w:cs="Arial"/>
          <w:sz w:val="24"/>
          <w:szCs w:val="24"/>
        </w:rPr>
        <w:t xml:space="preserve">Development Bank </w:t>
      </w:r>
      <w:r>
        <w:rPr>
          <w:rFonts w:ascii="Arial" w:hAnsi="Arial" w:cs="Arial"/>
          <w:sz w:val="24"/>
          <w:szCs w:val="24"/>
        </w:rPr>
        <w:t>o</w:t>
      </w:r>
      <w:r w:rsidRPr="008551CC">
        <w:rPr>
          <w:rFonts w:ascii="Arial" w:hAnsi="Arial" w:cs="Arial"/>
          <w:sz w:val="24"/>
          <w:szCs w:val="24"/>
        </w:rPr>
        <w:t>f Namibia</w:t>
      </w:r>
      <w:r>
        <w:rPr>
          <w:rFonts w:ascii="Arial" w:hAnsi="Arial" w:cs="Arial"/>
          <w:sz w:val="24"/>
          <w:szCs w:val="24"/>
        </w:rPr>
        <w:t xml:space="preserve">, a public company with share capital and limited liability established in accordance with section 2 of the Development Bank of Namibia Act, Act </w:t>
      </w:r>
      <w:r w:rsidRPr="00C42F35">
        <w:rPr>
          <w:rFonts w:ascii="Arial" w:hAnsi="Arial" w:cs="Arial"/>
          <w:sz w:val="24"/>
          <w:szCs w:val="24"/>
        </w:rPr>
        <w:t>8</w:t>
      </w:r>
      <w:r w:rsidR="00FC6ADA">
        <w:rPr>
          <w:rFonts w:ascii="Arial" w:hAnsi="Arial" w:cs="Arial"/>
          <w:sz w:val="24"/>
          <w:szCs w:val="24"/>
        </w:rPr>
        <w:t xml:space="preserve"> of 2002. </w:t>
      </w:r>
      <w:r w:rsidR="00F21D95">
        <w:rPr>
          <w:rFonts w:ascii="Arial" w:hAnsi="Arial" w:cs="Arial"/>
          <w:sz w:val="24"/>
          <w:szCs w:val="24"/>
        </w:rPr>
        <w:t>Onyika Trading Enterprises CC</w:t>
      </w:r>
      <w:r w:rsidR="00FC6ADA">
        <w:rPr>
          <w:rFonts w:ascii="Arial" w:hAnsi="Arial" w:cs="Arial"/>
          <w:sz w:val="24"/>
          <w:szCs w:val="24"/>
        </w:rPr>
        <w:t xml:space="preserve"> is the f</w:t>
      </w:r>
      <w:r w:rsidR="00FC6ADA" w:rsidRPr="00FC6ADA">
        <w:rPr>
          <w:rFonts w:ascii="Arial" w:hAnsi="Arial" w:cs="Arial"/>
          <w:sz w:val="24"/>
          <w:szCs w:val="24"/>
        </w:rPr>
        <w:t xml:space="preserve">irst </w:t>
      </w:r>
      <w:r w:rsidR="00FC6ADA">
        <w:rPr>
          <w:rFonts w:ascii="Arial" w:hAnsi="Arial" w:cs="Arial"/>
          <w:sz w:val="24"/>
          <w:szCs w:val="24"/>
        </w:rPr>
        <w:t>d</w:t>
      </w:r>
      <w:r w:rsidR="00FC6ADA" w:rsidRPr="00FC6ADA">
        <w:rPr>
          <w:rFonts w:ascii="Arial" w:hAnsi="Arial" w:cs="Arial"/>
          <w:sz w:val="24"/>
          <w:szCs w:val="24"/>
        </w:rPr>
        <w:t>efendant</w:t>
      </w:r>
      <w:r w:rsidR="00F92F84">
        <w:rPr>
          <w:rFonts w:ascii="Arial" w:hAnsi="Arial" w:cs="Arial"/>
          <w:sz w:val="24"/>
          <w:szCs w:val="24"/>
        </w:rPr>
        <w:t>,</w:t>
      </w:r>
      <w:r w:rsidR="00FC6ADA">
        <w:rPr>
          <w:rFonts w:ascii="Arial" w:hAnsi="Arial" w:cs="Arial"/>
          <w:sz w:val="24"/>
          <w:szCs w:val="24"/>
        </w:rPr>
        <w:t xml:space="preserve"> a juristic person,</w:t>
      </w:r>
      <w:r w:rsidR="00FC6ADA" w:rsidRPr="00FC6ADA">
        <w:rPr>
          <w:rFonts w:ascii="Arial" w:hAnsi="Arial" w:cs="Arial"/>
          <w:sz w:val="24"/>
          <w:szCs w:val="24"/>
        </w:rPr>
        <w:t xml:space="preserve"> </w:t>
      </w:r>
      <w:r w:rsidR="00FC6ADA">
        <w:rPr>
          <w:rFonts w:ascii="Arial" w:hAnsi="Arial" w:cs="Arial"/>
          <w:sz w:val="24"/>
          <w:szCs w:val="24"/>
        </w:rPr>
        <w:t xml:space="preserve">the second </w:t>
      </w:r>
      <w:r w:rsidR="00EF68C6">
        <w:rPr>
          <w:rFonts w:ascii="Arial" w:hAnsi="Arial" w:cs="Arial"/>
          <w:sz w:val="24"/>
          <w:szCs w:val="24"/>
        </w:rPr>
        <w:t xml:space="preserve">and third </w:t>
      </w:r>
      <w:r w:rsidR="00FC6ADA">
        <w:rPr>
          <w:rFonts w:ascii="Arial" w:hAnsi="Arial" w:cs="Arial"/>
          <w:sz w:val="24"/>
          <w:szCs w:val="24"/>
        </w:rPr>
        <w:t>defendant</w:t>
      </w:r>
      <w:r w:rsidR="00EF68C6">
        <w:rPr>
          <w:rFonts w:ascii="Arial" w:hAnsi="Arial" w:cs="Arial"/>
          <w:sz w:val="24"/>
          <w:szCs w:val="24"/>
        </w:rPr>
        <w:t>s are</w:t>
      </w:r>
      <w:r w:rsidR="00FC6ADA">
        <w:rPr>
          <w:rFonts w:ascii="Arial" w:hAnsi="Arial" w:cs="Arial"/>
          <w:sz w:val="24"/>
          <w:szCs w:val="24"/>
        </w:rPr>
        <w:t xml:space="preserve"> </w:t>
      </w:r>
      <w:r w:rsidR="00FC6ADA" w:rsidRPr="00FC6ADA">
        <w:rPr>
          <w:rFonts w:ascii="Arial" w:hAnsi="Arial" w:cs="Arial"/>
          <w:sz w:val="24"/>
          <w:szCs w:val="24"/>
          <w:lang w:val="en-US"/>
        </w:rPr>
        <w:t xml:space="preserve">Thomas Tangeni Haipeto </w:t>
      </w:r>
      <w:r w:rsidR="00FC6ADA">
        <w:rPr>
          <w:rFonts w:ascii="Arial" w:hAnsi="Arial" w:cs="Arial"/>
          <w:sz w:val="24"/>
          <w:szCs w:val="24"/>
          <w:lang w:val="en-US"/>
        </w:rPr>
        <w:t xml:space="preserve">and </w:t>
      </w:r>
      <w:r w:rsidR="00EF68C6">
        <w:rPr>
          <w:rFonts w:ascii="Arial" w:hAnsi="Arial" w:cs="Arial"/>
          <w:sz w:val="24"/>
          <w:szCs w:val="24"/>
          <w:lang w:val="en-US"/>
        </w:rPr>
        <w:t>L</w:t>
      </w:r>
      <w:r w:rsidR="00FC6ADA" w:rsidRPr="00FC6ADA">
        <w:rPr>
          <w:rFonts w:ascii="Arial" w:hAnsi="Arial" w:cs="Arial"/>
          <w:sz w:val="24"/>
          <w:szCs w:val="24"/>
          <w:lang w:val="en-US"/>
        </w:rPr>
        <w:t>eonardt Dimbulukeni Hauwanga</w:t>
      </w:r>
      <w:r w:rsidR="00EF68C6">
        <w:rPr>
          <w:rFonts w:ascii="Arial" w:hAnsi="Arial" w:cs="Arial"/>
          <w:sz w:val="24"/>
          <w:szCs w:val="24"/>
          <w:lang w:val="en-US"/>
        </w:rPr>
        <w:t xml:space="preserve">, </w:t>
      </w:r>
      <w:r>
        <w:rPr>
          <w:rFonts w:ascii="Arial" w:hAnsi="Arial" w:cs="Arial"/>
          <w:sz w:val="24"/>
          <w:szCs w:val="24"/>
        </w:rPr>
        <w:t>major male</w:t>
      </w:r>
      <w:r w:rsidR="00EF68C6">
        <w:rPr>
          <w:rFonts w:ascii="Arial" w:hAnsi="Arial" w:cs="Arial"/>
          <w:sz w:val="24"/>
          <w:szCs w:val="24"/>
        </w:rPr>
        <w:t xml:space="preserve"> persons</w:t>
      </w:r>
      <w:r>
        <w:rPr>
          <w:rFonts w:ascii="Arial" w:hAnsi="Arial" w:cs="Arial"/>
          <w:sz w:val="24"/>
          <w:szCs w:val="24"/>
        </w:rPr>
        <w:t xml:space="preserve"> domiciled in Windhoek. </w:t>
      </w:r>
    </w:p>
    <w:p w:rsidR="00546F25" w:rsidRDefault="00546F25" w:rsidP="00546F25">
      <w:pPr>
        <w:spacing w:after="0" w:line="360" w:lineRule="auto"/>
        <w:jc w:val="both"/>
        <w:rPr>
          <w:rFonts w:ascii="Arial" w:hAnsi="Arial" w:cs="Arial"/>
          <w:sz w:val="24"/>
          <w:szCs w:val="24"/>
        </w:rPr>
      </w:pPr>
    </w:p>
    <w:p w:rsidR="00035130" w:rsidRPr="00F21D95" w:rsidRDefault="00EF68C6" w:rsidP="00F21D95">
      <w:pPr>
        <w:tabs>
          <w:tab w:val="num" w:pos="0"/>
        </w:tabs>
        <w:spacing w:after="0" w:line="360" w:lineRule="auto"/>
        <w:jc w:val="both"/>
        <w:rPr>
          <w:rFonts w:ascii="Arial" w:hAnsi="Arial" w:cs="Arial"/>
          <w:sz w:val="24"/>
          <w:szCs w:val="24"/>
          <w:shd w:val="clear" w:color="auto" w:fill="FFFFFF"/>
          <w:lang w:val="en-US"/>
        </w:rPr>
      </w:pPr>
      <w:r>
        <w:rPr>
          <w:rFonts w:ascii="Arial" w:hAnsi="Arial" w:cs="Arial"/>
          <w:sz w:val="24"/>
          <w:szCs w:val="24"/>
        </w:rPr>
        <w:t>[2]</w:t>
      </w:r>
      <w:r>
        <w:rPr>
          <w:rFonts w:ascii="Arial" w:hAnsi="Arial" w:cs="Arial"/>
          <w:sz w:val="24"/>
          <w:szCs w:val="24"/>
        </w:rPr>
        <w:tab/>
        <w:t>T</w:t>
      </w:r>
      <w:r w:rsidR="00546F25" w:rsidRPr="001E77D9">
        <w:rPr>
          <w:rFonts w:ascii="Arial" w:hAnsi="Arial" w:cs="Arial"/>
          <w:sz w:val="24"/>
          <w:szCs w:val="24"/>
          <w:shd w:val="clear" w:color="auto" w:fill="FFFFFF"/>
        </w:rPr>
        <w:t>he plaintiff instituted action against first, second and t</w:t>
      </w:r>
      <w:r>
        <w:rPr>
          <w:rFonts w:ascii="Arial" w:hAnsi="Arial" w:cs="Arial"/>
          <w:sz w:val="24"/>
          <w:szCs w:val="24"/>
          <w:shd w:val="clear" w:color="auto" w:fill="FFFFFF"/>
        </w:rPr>
        <w:t>hird defendants</w:t>
      </w:r>
      <w:r w:rsidR="00F92F84">
        <w:rPr>
          <w:rFonts w:ascii="Arial" w:hAnsi="Arial" w:cs="Arial"/>
          <w:sz w:val="24"/>
          <w:szCs w:val="24"/>
          <w:shd w:val="clear" w:color="auto" w:fill="FFFFFF"/>
        </w:rPr>
        <w:t>.</w:t>
      </w:r>
      <w:r w:rsidR="00D42097" w:rsidRPr="00D42097">
        <w:rPr>
          <w:rFonts w:ascii="Arial" w:hAnsi="Arial" w:cs="Arial"/>
          <w:sz w:val="24"/>
          <w:szCs w:val="24"/>
          <w:shd w:val="clear" w:color="auto" w:fill="FFFFFF"/>
          <w:lang w:val="en-US"/>
        </w:rPr>
        <w:t xml:space="preserve"> The third defendant failed to deliver witness statements in support of his defense and was consequently barred</w:t>
      </w:r>
      <w:r w:rsidR="00D42097">
        <w:rPr>
          <w:rFonts w:ascii="Arial" w:hAnsi="Arial" w:cs="Arial"/>
          <w:sz w:val="24"/>
          <w:szCs w:val="24"/>
          <w:shd w:val="clear" w:color="auto" w:fill="FFFFFF"/>
          <w:lang w:val="en-US"/>
        </w:rPr>
        <w:t xml:space="preserve"> and his defense was struck</w:t>
      </w:r>
      <w:r w:rsidR="00D42097" w:rsidRPr="00D42097">
        <w:rPr>
          <w:rFonts w:ascii="Arial" w:hAnsi="Arial" w:cs="Arial"/>
          <w:sz w:val="24"/>
          <w:szCs w:val="24"/>
          <w:shd w:val="clear" w:color="auto" w:fill="FFFFFF"/>
          <w:lang w:val="en-US"/>
        </w:rPr>
        <w:t xml:space="preserve"> in terms of rules 53 to 56 and 93(5).</w:t>
      </w:r>
      <w:r w:rsidR="00D42097">
        <w:rPr>
          <w:rFonts w:ascii="Arial" w:hAnsi="Arial" w:cs="Arial"/>
          <w:sz w:val="24"/>
          <w:szCs w:val="24"/>
          <w:shd w:val="clear" w:color="auto" w:fill="FFFFFF"/>
        </w:rPr>
        <w:t xml:space="preserve"> T</w:t>
      </w:r>
      <w:r>
        <w:rPr>
          <w:rFonts w:ascii="Arial" w:hAnsi="Arial" w:cs="Arial"/>
          <w:sz w:val="24"/>
          <w:szCs w:val="24"/>
          <w:shd w:val="clear" w:color="auto" w:fill="FFFFFF"/>
        </w:rPr>
        <w:t>he</w:t>
      </w:r>
      <w:r w:rsidR="00D42097">
        <w:rPr>
          <w:rFonts w:ascii="Arial" w:hAnsi="Arial" w:cs="Arial"/>
          <w:sz w:val="24"/>
          <w:szCs w:val="24"/>
          <w:shd w:val="clear" w:color="auto" w:fill="FFFFFF"/>
        </w:rPr>
        <w:t xml:space="preserve"> court granted default </w:t>
      </w:r>
      <w:r>
        <w:rPr>
          <w:rFonts w:ascii="Arial" w:hAnsi="Arial" w:cs="Arial"/>
          <w:sz w:val="24"/>
          <w:szCs w:val="24"/>
          <w:shd w:val="clear" w:color="auto" w:fill="FFFFFF"/>
        </w:rPr>
        <w:t xml:space="preserve">judgment against </w:t>
      </w:r>
      <w:r w:rsidR="00035130">
        <w:rPr>
          <w:rFonts w:ascii="Arial" w:hAnsi="Arial" w:cs="Arial"/>
          <w:sz w:val="24"/>
          <w:szCs w:val="24"/>
          <w:shd w:val="clear" w:color="auto" w:fill="FFFFFF"/>
        </w:rPr>
        <w:t xml:space="preserve">the </w:t>
      </w:r>
      <w:r w:rsidR="00D42097">
        <w:rPr>
          <w:rFonts w:ascii="Arial" w:hAnsi="Arial" w:cs="Arial"/>
          <w:sz w:val="24"/>
          <w:szCs w:val="24"/>
          <w:shd w:val="clear" w:color="auto" w:fill="FFFFFF"/>
        </w:rPr>
        <w:t xml:space="preserve">third defendant </w:t>
      </w:r>
      <w:r w:rsidR="00035130">
        <w:rPr>
          <w:rFonts w:ascii="Arial" w:hAnsi="Arial" w:cs="Arial"/>
          <w:sz w:val="24"/>
          <w:szCs w:val="24"/>
          <w:shd w:val="clear" w:color="auto" w:fill="FFFFFF"/>
        </w:rPr>
        <w:t>on</w:t>
      </w:r>
      <w:r w:rsidR="00035130" w:rsidRPr="00035130">
        <w:rPr>
          <w:rFonts w:ascii="Arial" w:hAnsi="Arial" w:cs="Arial"/>
          <w:sz w:val="24"/>
          <w:szCs w:val="24"/>
          <w:shd w:val="clear" w:color="auto" w:fill="FFFFFF"/>
          <w:lang w:val="en-US"/>
        </w:rPr>
        <w:t xml:space="preserve"> </w:t>
      </w:r>
      <w:r w:rsidR="00D42097">
        <w:rPr>
          <w:rFonts w:ascii="Arial" w:hAnsi="Arial" w:cs="Arial"/>
          <w:sz w:val="24"/>
          <w:szCs w:val="24"/>
          <w:shd w:val="clear" w:color="auto" w:fill="FFFFFF"/>
          <w:lang w:val="en-US"/>
        </w:rPr>
        <w:t>18 September 2019</w:t>
      </w:r>
      <w:r w:rsidR="00697FBB">
        <w:rPr>
          <w:rFonts w:ascii="Arial" w:hAnsi="Arial" w:cs="Arial"/>
          <w:sz w:val="24"/>
          <w:szCs w:val="24"/>
          <w:shd w:val="clear" w:color="auto" w:fill="FFFFFF"/>
          <w:lang w:val="en-US"/>
        </w:rPr>
        <w:t xml:space="preserve">. The present </w:t>
      </w:r>
      <w:r w:rsidR="00035130">
        <w:rPr>
          <w:rFonts w:ascii="Arial" w:hAnsi="Arial" w:cs="Arial"/>
          <w:sz w:val="24"/>
          <w:szCs w:val="24"/>
          <w:shd w:val="clear" w:color="auto" w:fill="FFFFFF"/>
          <w:lang w:val="en-US"/>
        </w:rPr>
        <w:t>proceeding</w:t>
      </w:r>
      <w:r w:rsidR="00697FBB">
        <w:rPr>
          <w:rFonts w:ascii="Arial" w:hAnsi="Arial" w:cs="Arial"/>
          <w:sz w:val="24"/>
          <w:szCs w:val="24"/>
          <w:shd w:val="clear" w:color="auto" w:fill="FFFFFF"/>
          <w:lang w:val="en-US"/>
        </w:rPr>
        <w:t>s are</w:t>
      </w:r>
      <w:r w:rsidR="00035130">
        <w:rPr>
          <w:rFonts w:ascii="Arial" w:hAnsi="Arial" w:cs="Arial"/>
          <w:sz w:val="24"/>
          <w:szCs w:val="24"/>
          <w:shd w:val="clear" w:color="auto" w:fill="FFFFFF"/>
          <w:lang w:val="en-US"/>
        </w:rPr>
        <w:t xml:space="preserve"> against the second d</w:t>
      </w:r>
      <w:r w:rsidR="00035130" w:rsidRPr="00035130">
        <w:rPr>
          <w:rFonts w:ascii="Arial" w:hAnsi="Arial" w:cs="Arial"/>
          <w:sz w:val="24"/>
          <w:szCs w:val="24"/>
          <w:shd w:val="clear" w:color="auto" w:fill="FFFFFF"/>
          <w:lang w:val="en-US"/>
        </w:rPr>
        <w:t>efendant</w:t>
      </w:r>
      <w:r w:rsidR="00F92F84">
        <w:rPr>
          <w:rFonts w:ascii="Arial" w:hAnsi="Arial" w:cs="Arial"/>
          <w:sz w:val="24"/>
          <w:szCs w:val="24"/>
          <w:shd w:val="clear" w:color="auto" w:fill="FFFFFF"/>
          <w:lang w:val="en-US"/>
        </w:rPr>
        <w:t>. It is against that back</w:t>
      </w:r>
      <w:r w:rsidR="00035130">
        <w:rPr>
          <w:rFonts w:ascii="Arial" w:hAnsi="Arial" w:cs="Arial"/>
          <w:sz w:val="24"/>
          <w:szCs w:val="24"/>
          <w:shd w:val="clear" w:color="auto" w:fill="FFFFFF"/>
          <w:lang w:val="en-US"/>
        </w:rPr>
        <w:t xml:space="preserve">ground that the court </w:t>
      </w:r>
      <w:r w:rsidR="00035130" w:rsidRPr="00035130">
        <w:rPr>
          <w:rFonts w:ascii="Arial" w:hAnsi="Arial" w:cs="Arial"/>
          <w:sz w:val="24"/>
          <w:szCs w:val="24"/>
          <w:shd w:val="clear" w:color="auto" w:fill="FFFFFF"/>
          <w:lang w:val="en-US"/>
        </w:rPr>
        <w:t>o</w:t>
      </w:r>
      <w:r w:rsidR="00035130">
        <w:rPr>
          <w:rFonts w:ascii="Arial" w:hAnsi="Arial" w:cs="Arial"/>
          <w:sz w:val="24"/>
          <w:szCs w:val="24"/>
          <w:shd w:val="clear" w:color="auto" w:fill="FFFFFF"/>
          <w:lang w:val="en-US"/>
        </w:rPr>
        <w:t xml:space="preserve">nly </w:t>
      </w:r>
      <w:r w:rsidR="00035130" w:rsidRPr="00035130">
        <w:rPr>
          <w:rFonts w:ascii="Arial" w:hAnsi="Arial" w:cs="Arial"/>
          <w:sz w:val="24"/>
          <w:szCs w:val="24"/>
          <w:shd w:val="clear" w:color="auto" w:fill="FFFFFF"/>
          <w:lang w:val="en-US"/>
        </w:rPr>
        <w:t>deal</w:t>
      </w:r>
      <w:r w:rsidR="00035130">
        <w:rPr>
          <w:rFonts w:ascii="Arial" w:hAnsi="Arial" w:cs="Arial"/>
          <w:sz w:val="24"/>
          <w:szCs w:val="24"/>
          <w:shd w:val="clear" w:color="auto" w:fill="FFFFFF"/>
          <w:lang w:val="en-US"/>
        </w:rPr>
        <w:t>s</w:t>
      </w:r>
      <w:r w:rsidR="00035130" w:rsidRPr="00035130">
        <w:rPr>
          <w:rFonts w:ascii="Arial" w:hAnsi="Arial" w:cs="Arial"/>
          <w:sz w:val="24"/>
          <w:szCs w:val="24"/>
          <w:shd w:val="clear" w:color="auto" w:fill="FFFFFF"/>
          <w:lang w:val="en-US"/>
        </w:rPr>
        <w:t xml:space="preserve"> wi</w:t>
      </w:r>
      <w:r w:rsidR="00F92F84">
        <w:rPr>
          <w:rFonts w:ascii="Arial" w:hAnsi="Arial" w:cs="Arial"/>
          <w:sz w:val="24"/>
          <w:szCs w:val="24"/>
          <w:shd w:val="clear" w:color="auto" w:fill="FFFFFF"/>
          <w:lang w:val="en-US"/>
        </w:rPr>
        <w:t>th the position as between the p</w:t>
      </w:r>
      <w:r w:rsidR="00035130" w:rsidRPr="00035130">
        <w:rPr>
          <w:rFonts w:ascii="Arial" w:hAnsi="Arial" w:cs="Arial"/>
          <w:sz w:val="24"/>
          <w:szCs w:val="24"/>
          <w:shd w:val="clear" w:color="auto" w:fill="FFFFFF"/>
          <w:lang w:val="en-US"/>
        </w:rPr>
        <w:t xml:space="preserve">laintiff and the </w:t>
      </w:r>
      <w:r w:rsidR="00F92F84">
        <w:rPr>
          <w:rFonts w:ascii="Arial" w:hAnsi="Arial" w:cs="Arial"/>
          <w:sz w:val="24"/>
          <w:szCs w:val="24"/>
          <w:shd w:val="clear" w:color="auto" w:fill="FFFFFF"/>
          <w:lang w:val="en-US"/>
        </w:rPr>
        <w:t>s</w:t>
      </w:r>
      <w:r w:rsidR="00035130" w:rsidRPr="00035130">
        <w:rPr>
          <w:rFonts w:ascii="Arial" w:hAnsi="Arial" w:cs="Arial"/>
          <w:sz w:val="24"/>
          <w:szCs w:val="24"/>
          <w:shd w:val="clear" w:color="auto" w:fill="FFFFFF"/>
          <w:lang w:val="en-US"/>
        </w:rPr>
        <w:t xml:space="preserve">econd </w:t>
      </w:r>
      <w:r w:rsidR="00697FBB">
        <w:rPr>
          <w:rFonts w:ascii="Arial" w:hAnsi="Arial" w:cs="Arial"/>
          <w:sz w:val="24"/>
          <w:szCs w:val="24"/>
          <w:shd w:val="clear" w:color="auto" w:fill="FFFFFF"/>
          <w:lang w:val="en-US"/>
        </w:rPr>
        <w:t>d</w:t>
      </w:r>
      <w:r w:rsidR="00035130" w:rsidRPr="00035130">
        <w:rPr>
          <w:rFonts w:ascii="Arial" w:hAnsi="Arial" w:cs="Arial"/>
          <w:sz w:val="24"/>
          <w:szCs w:val="24"/>
          <w:shd w:val="clear" w:color="auto" w:fill="FFFFFF"/>
          <w:lang w:val="en-US"/>
        </w:rPr>
        <w:t>efendant.</w:t>
      </w:r>
    </w:p>
    <w:p w:rsidR="00546F25" w:rsidRDefault="00546F25" w:rsidP="00546F25">
      <w:pPr>
        <w:spacing w:after="0" w:line="360" w:lineRule="auto"/>
        <w:jc w:val="both"/>
        <w:rPr>
          <w:rFonts w:ascii="Arial" w:hAnsi="Arial" w:cs="Arial"/>
          <w:color w:val="242121"/>
          <w:sz w:val="24"/>
          <w:szCs w:val="24"/>
          <w:shd w:val="clear" w:color="auto" w:fill="FFFFFF"/>
        </w:rPr>
      </w:pPr>
    </w:p>
    <w:p w:rsidR="00546F25" w:rsidRPr="00A37F43" w:rsidRDefault="00546F25" w:rsidP="00546F25">
      <w:pPr>
        <w:spacing w:after="0" w:line="360" w:lineRule="auto"/>
        <w:jc w:val="both"/>
        <w:rPr>
          <w:rFonts w:ascii="Arial" w:hAnsi="Arial" w:cs="Arial"/>
          <w:sz w:val="24"/>
          <w:szCs w:val="24"/>
        </w:rPr>
      </w:pPr>
      <w:r>
        <w:rPr>
          <w:rFonts w:ascii="Arial" w:hAnsi="Arial" w:cs="Arial"/>
          <w:color w:val="242121"/>
          <w:sz w:val="24"/>
          <w:szCs w:val="24"/>
          <w:shd w:val="clear" w:color="auto" w:fill="FFFFFF"/>
        </w:rPr>
        <w:t>[3]</w:t>
      </w:r>
      <w:r>
        <w:rPr>
          <w:rFonts w:ascii="Arial" w:hAnsi="Arial" w:cs="Arial"/>
          <w:color w:val="242121"/>
          <w:sz w:val="24"/>
          <w:szCs w:val="24"/>
          <w:shd w:val="clear" w:color="auto" w:fill="FFFFFF"/>
        </w:rPr>
        <w:tab/>
      </w:r>
      <w:r w:rsidR="00F21D95">
        <w:rPr>
          <w:rFonts w:ascii="Arial" w:hAnsi="Arial" w:cs="Arial"/>
          <w:sz w:val="24"/>
          <w:szCs w:val="24"/>
        </w:rPr>
        <w:t>The second</w:t>
      </w:r>
      <w:r w:rsidRPr="003D1D0C">
        <w:rPr>
          <w:rFonts w:ascii="Arial" w:hAnsi="Arial" w:cs="Arial"/>
          <w:sz w:val="24"/>
          <w:szCs w:val="24"/>
        </w:rPr>
        <w:t xml:space="preserve"> defendant </w:t>
      </w:r>
      <w:r>
        <w:rPr>
          <w:rFonts w:ascii="Arial" w:hAnsi="Arial" w:cs="Arial"/>
          <w:sz w:val="24"/>
          <w:szCs w:val="24"/>
        </w:rPr>
        <w:t>i</w:t>
      </w:r>
      <w:r w:rsidRPr="003D1D0C">
        <w:rPr>
          <w:rFonts w:ascii="Arial" w:hAnsi="Arial" w:cs="Arial"/>
          <w:sz w:val="24"/>
          <w:szCs w:val="24"/>
        </w:rPr>
        <w:t>s cited as surety and co-principal debtor</w:t>
      </w:r>
      <w:r>
        <w:rPr>
          <w:rFonts w:ascii="Arial" w:hAnsi="Arial" w:cs="Arial"/>
          <w:sz w:val="24"/>
          <w:szCs w:val="24"/>
        </w:rPr>
        <w:t xml:space="preserve"> </w:t>
      </w:r>
      <w:r w:rsidRPr="003D1D0C">
        <w:rPr>
          <w:rFonts w:ascii="Arial" w:hAnsi="Arial" w:cs="Arial"/>
          <w:sz w:val="24"/>
          <w:szCs w:val="24"/>
        </w:rPr>
        <w:t xml:space="preserve">with </w:t>
      </w:r>
      <w:r w:rsidR="00F21D95">
        <w:rPr>
          <w:rFonts w:ascii="Arial" w:hAnsi="Arial" w:cs="Arial"/>
          <w:sz w:val="24"/>
          <w:szCs w:val="24"/>
        </w:rPr>
        <w:t xml:space="preserve">Onyika Trading Enterprises </w:t>
      </w:r>
      <w:r w:rsidRPr="00123A29">
        <w:rPr>
          <w:rFonts w:ascii="Arial" w:hAnsi="Arial" w:cs="Arial"/>
          <w:sz w:val="24"/>
          <w:szCs w:val="24"/>
        </w:rPr>
        <w:t>CC</w:t>
      </w:r>
      <w:r w:rsidR="00F21D95">
        <w:rPr>
          <w:rFonts w:ascii="Arial" w:hAnsi="Arial" w:cs="Arial"/>
          <w:sz w:val="24"/>
          <w:szCs w:val="24"/>
        </w:rPr>
        <w:t xml:space="preserve"> and the third</w:t>
      </w:r>
      <w:r w:rsidRPr="003D1D0C">
        <w:rPr>
          <w:rFonts w:ascii="Arial" w:hAnsi="Arial" w:cs="Arial"/>
          <w:sz w:val="24"/>
          <w:szCs w:val="24"/>
        </w:rPr>
        <w:t xml:space="preserve"> defendant by virtue of the deed of suretyship, incorporating cessions of loan funds, in terms of which he bound himself </w:t>
      </w:r>
      <w:r>
        <w:rPr>
          <w:rFonts w:ascii="Arial" w:hAnsi="Arial" w:cs="Arial"/>
          <w:sz w:val="24"/>
          <w:szCs w:val="24"/>
        </w:rPr>
        <w:t xml:space="preserve">with the first and second defendants </w:t>
      </w:r>
      <w:r w:rsidRPr="00D9413D">
        <w:rPr>
          <w:rFonts w:ascii="Arial" w:hAnsi="Arial" w:cs="Arial"/>
          <w:i/>
          <w:sz w:val="24"/>
          <w:szCs w:val="24"/>
        </w:rPr>
        <w:t>in solidum</w:t>
      </w:r>
      <w:r>
        <w:rPr>
          <w:rFonts w:ascii="Arial" w:hAnsi="Arial" w:cs="Arial"/>
          <w:sz w:val="24"/>
          <w:szCs w:val="24"/>
        </w:rPr>
        <w:t xml:space="preserve"> </w:t>
      </w:r>
      <w:r w:rsidRPr="003D1D0C">
        <w:rPr>
          <w:rFonts w:ascii="Arial" w:hAnsi="Arial" w:cs="Arial"/>
          <w:sz w:val="24"/>
          <w:szCs w:val="24"/>
        </w:rPr>
        <w:t>for the due payment of any amounts which may become due and payable to</w:t>
      </w:r>
      <w:r w:rsidR="00F21D95" w:rsidRPr="00F21D95">
        <w:rPr>
          <w:rFonts w:ascii="Arial" w:hAnsi="Arial" w:cs="Arial"/>
          <w:sz w:val="24"/>
          <w:szCs w:val="24"/>
        </w:rPr>
        <w:t xml:space="preserve"> Development Bank of Namibia </w:t>
      </w:r>
      <w:r w:rsidRPr="003D1D0C">
        <w:rPr>
          <w:rFonts w:ascii="Arial" w:hAnsi="Arial" w:cs="Arial"/>
          <w:sz w:val="24"/>
          <w:szCs w:val="24"/>
        </w:rPr>
        <w:t xml:space="preserve">by the first defendant, </w:t>
      </w:r>
      <w:r w:rsidR="00F21D95" w:rsidRPr="00F21D95">
        <w:rPr>
          <w:rFonts w:ascii="Arial" w:hAnsi="Arial" w:cs="Arial"/>
          <w:sz w:val="24"/>
          <w:szCs w:val="24"/>
        </w:rPr>
        <w:t>Onyika Trading Enterprises CC</w:t>
      </w:r>
      <w:r w:rsidRPr="003D1D0C">
        <w:rPr>
          <w:rFonts w:ascii="Arial" w:hAnsi="Arial" w:cs="Arial"/>
          <w:sz w:val="24"/>
          <w:szCs w:val="24"/>
        </w:rPr>
        <w:t xml:space="preserve">. In terms of the suretyship, the liability of </w:t>
      </w:r>
      <w:r w:rsidR="00297C50">
        <w:rPr>
          <w:rFonts w:ascii="Arial" w:hAnsi="Arial" w:cs="Arial"/>
          <w:sz w:val="24"/>
          <w:szCs w:val="24"/>
        </w:rPr>
        <w:t>second</w:t>
      </w:r>
      <w:r w:rsidRPr="003D1D0C">
        <w:rPr>
          <w:rFonts w:ascii="Arial" w:hAnsi="Arial" w:cs="Arial"/>
          <w:sz w:val="24"/>
          <w:szCs w:val="24"/>
        </w:rPr>
        <w:t xml:space="preserve"> defendant was unlimited.</w:t>
      </w:r>
    </w:p>
    <w:p w:rsidR="00546F25" w:rsidRDefault="00546F25" w:rsidP="00546F25">
      <w:pPr>
        <w:spacing w:after="0" w:line="360" w:lineRule="auto"/>
        <w:jc w:val="both"/>
        <w:rPr>
          <w:rFonts w:ascii="Arial" w:hAnsi="Arial" w:cs="Arial"/>
          <w:sz w:val="24"/>
          <w:szCs w:val="24"/>
        </w:rPr>
      </w:pPr>
    </w:p>
    <w:p w:rsidR="00546F25" w:rsidRDefault="00546F25" w:rsidP="00546F25">
      <w:pPr>
        <w:spacing w:after="0" w:line="360" w:lineRule="auto"/>
        <w:jc w:val="both"/>
        <w:rPr>
          <w:rFonts w:ascii="Arial" w:hAnsi="Arial" w:cs="Arial"/>
          <w:sz w:val="24"/>
          <w:szCs w:val="24"/>
        </w:rPr>
      </w:pPr>
      <w:r>
        <w:rPr>
          <w:rFonts w:ascii="Arial" w:hAnsi="Arial" w:cs="Arial"/>
          <w:sz w:val="24"/>
          <w:szCs w:val="24"/>
        </w:rPr>
        <w:t>[</w:t>
      </w:r>
      <w:r w:rsidR="00081677">
        <w:rPr>
          <w:rFonts w:ascii="Arial" w:hAnsi="Arial" w:cs="Arial"/>
          <w:sz w:val="24"/>
          <w:szCs w:val="24"/>
        </w:rPr>
        <w:t>4</w:t>
      </w:r>
      <w:r>
        <w:rPr>
          <w:rFonts w:ascii="Arial" w:hAnsi="Arial" w:cs="Arial"/>
          <w:sz w:val="24"/>
          <w:szCs w:val="24"/>
        </w:rPr>
        <w:t>]</w:t>
      </w:r>
      <w:r>
        <w:rPr>
          <w:rFonts w:ascii="Arial" w:hAnsi="Arial" w:cs="Arial"/>
          <w:sz w:val="24"/>
          <w:szCs w:val="24"/>
        </w:rPr>
        <w:tab/>
        <w:t xml:space="preserve">The </w:t>
      </w:r>
      <w:r w:rsidR="00081677">
        <w:rPr>
          <w:rFonts w:ascii="Arial" w:hAnsi="Arial" w:cs="Arial"/>
          <w:sz w:val="24"/>
          <w:szCs w:val="24"/>
        </w:rPr>
        <w:t>court will now narrow down the issues for determination by first laying out the issues that are not in dispute</w:t>
      </w:r>
      <w:r>
        <w:rPr>
          <w:rFonts w:ascii="Arial" w:hAnsi="Arial" w:cs="Arial"/>
          <w:sz w:val="24"/>
          <w:szCs w:val="24"/>
        </w:rPr>
        <w:t xml:space="preserve">. </w:t>
      </w:r>
    </w:p>
    <w:p w:rsidR="00546F25" w:rsidRDefault="00546F25" w:rsidP="00546F25">
      <w:pPr>
        <w:spacing w:after="0" w:line="360" w:lineRule="auto"/>
        <w:jc w:val="both"/>
        <w:rPr>
          <w:rFonts w:ascii="Arial" w:hAnsi="Arial" w:cs="Arial"/>
          <w:sz w:val="24"/>
          <w:szCs w:val="24"/>
        </w:rPr>
      </w:pPr>
    </w:p>
    <w:p w:rsidR="00546F25" w:rsidRPr="00722D11" w:rsidRDefault="00306CB2" w:rsidP="00546F25">
      <w:pPr>
        <w:spacing w:after="0" w:line="360" w:lineRule="auto"/>
        <w:jc w:val="both"/>
        <w:rPr>
          <w:rFonts w:ascii="Arial" w:hAnsi="Arial" w:cs="Arial"/>
          <w:sz w:val="24"/>
          <w:szCs w:val="24"/>
          <w:u w:val="single"/>
        </w:rPr>
      </w:pPr>
      <w:r>
        <w:rPr>
          <w:rFonts w:ascii="Arial" w:hAnsi="Arial" w:cs="Arial"/>
          <w:sz w:val="24"/>
          <w:szCs w:val="24"/>
          <w:u w:val="single"/>
        </w:rPr>
        <w:t>Issues not in dispute</w:t>
      </w:r>
    </w:p>
    <w:p w:rsidR="00546F25" w:rsidRPr="00725B4E" w:rsidRDefault="00546F25" w:rsidP="00546F25">
      <w:pPr>
        <w:spacing w:after="0" w:line="360" w:lineRule="auto"/>
        <w:jc w:val="both"/>
        <w:rPr>
          <w:rFonts w:ascii="Arial" w:hAnsi="Arial" w:cs="Arial"/>
          <w:i/>
          <w:sz w:val="24"/>
          <w:szCs w:val="24"/>
        </w:rPr>
      </w:pPr>
    </w:p>
    <w:p w:rsidR="00306CB2" w:rsidRDefault="00546F25" w:rsidP="00306CB2">
      <w:pPr>
        <w:spacing w:line="360" w:lineRule="auto"/>
        <w:jc w:val="both"/>
        <w:rPr>
          <w:rFonts w:ascii="Arial" w:hAnsi="Arial" w:cs="Arial"/>
          <w:sz w:val="24"/>
          <w:szCs w:val="24"/>
          <w:lang w:val="en-US"/>
        </w:rPr>
      </w:pPr>
      <w:r>
        <w:rPr>
          <w:rFonts w:ascii="Arial" w:hAnsi="Arial" w:cs="Arial"/>
          <w:sz w:val="24"/>
          <w:szCs w:val="24"/>
        </w:rPr>
        <w:t>[</w:t>
      </w:r>
      <w:r w:rsidR="00306CB2">
        <w:rPr>
          <w:rFonts w:ascii="Arial" w:hAnsi="Arial" w:cs="Arial"/>
          <w:sz w:val="24"/>
          <w:szCs w:val="24"/>
        </w:rPr>
        <w:t>5</w:t>
      </w:r>
      <w:r>
        <w:rPr>
          <w:rFonts w:ascii="Arial" w:hAnsi="Arial" w:cs="Arial"/>
          <w:sz w:val="24"/>
          <w:szCs w:val="24"/>
        </w:rPr>
        <w:t>]</w:t>
      </w:r>
      <w:r>
        <w:rPr>
          <w:rFonts w:ascii="Arial" w:hAnsi="Arial" w:cs="Arial"/>
          <w:sz w:val="24"/>
          <w:szCs w:val="24"/>
        </w:rPr>
        <w:tab/>
        <w:t xml:space="preserve">The </w:t>
      </w:r>
      <w:r w:rsidR="00306CB2">
        <w:rPr>
          <w:rFonts w:ascii="Arial" w:hAnsi="Arial" w:cs="Arial"/>
          <w:sz w:val="24"/>
          <w:szCs w:val="24"/>
        </w:rPr>
        <w:t xml:space="preserve">court </w:t>
      </w:r>
      <w:r w:rsidR="00F92F84">
        <w:rPr>
          <w:rFonts w:ascii="Arial" w:hAnsi="Arial" w:cs="Arial"/>
          <w:sz w:val="24"/>
          <w:szCs w:val="24"/>
        </w:rPr>
        <w:t>note</w:t>
      </w:r>
      <w:r w:rsidR="00306CB2">
        <w:rPr>
          <w:rFonts w:ascii="Arial" w:hAnsi="Arial" w:cs="Arial"/>
          <w:sz w:val="24"/>
          <w:szCs w:val="24"/>
        </w:rPr>
        <w:t xml:space="preserve">s that the following are common cause between the parties: </w:t>
      </w:r>
      <w:r w:rsidR="00306CB2" w:rsidRPr="00306CB2">
        <w:rPr>
          <w:rFonts w:ascii="Arial" w:hAnsi="Arial" w:cs="Arial"/>
          <w:sz w:val="24"/>
          <w:szCs w:val="24"/>
          <w:lang w:val="en-US"/>
        </w:rPr>
        <w:t xml:space="preserve">Plaintiff's cause of action against the </w:t>
      </w:r>
      <w:r w:rsidR="00306CB2">
        <w:rPr>
          <w:rFonts w:ascii="Arial" w:hAnsi="Arial" w:cs="Arial"/>
          <w:sz w:val="24"/>
          <w:szCs w:val="24"/>
          <w:lang w:val="en-US"/>
        </w:rPr>
        <w:t>f</w:t>
      </w:r>
      <w:r w:rsidR="00306CB2" w:rsidRPr="00306CB2">
        <w:rPr>
          <w:rFonts w:ascii="Arial" w:hAnsi="Arial" w:cs="Arial"/>
          <w:sz w:val="24"/>
          <w:szCs w:val="24"/>
          <w:lang w:val="en-US"/>
        </w:rPr>
        <w:t xml:space="preserve">irst </w:t>
      </w:r>
      <w:r w:rsidR="00306CB2">
        <w:rPr>
          <w:rFonts w:ascii="Arial" w:hAnsi="Arial" w:cs="Arial"/>
          <w:sz w:val="24"/>
          <w:szCs w:val="24"/>
          <w:lang w:val="en-US"/>
        </w:rPr>
        <w:t>d</w:t>
      </w:r>
      <w:r w:rsidR="00306CB2" w:rsidRPr="00306CB2">
        <w:rPr>
          <w:rFonts w:ascii="Arial" w:hAnsi="Arial" w:cs="Arial"/>
          <w:sz w:val="24"/>
          <w:szCs w:val="24"/>
          <w:lang w:val="en-US"/>
        </w:rPr>
        <w:t xml:space="preserve">efendant (“the principal debtor”) was based on a loan agreement, whilst its cause of action against the </w:t>
      </w:r>
      <w:r w:rsidR="00306CB2">
        <w:rPr>
          <w:rFonts w:ascii="Arial" w:hAnsi="Arial" w:cs="Arial"/>
          <w:sz w:val="24"/>
          <w:szCs w:val="24"/>
          <w:lang w:val="en-US"/>
        </w:rPr>
        <w:t>s</w:t>
      </w:r>
      <w:r w:rsidR="00306CB2" w:rsidRPr="00306CB2">
        <w:rPr>
          <w:rFonts w:ascii="Arial" w:hAnsi="Arial" w:cs="Arial"/>
          <w:sz w:val="24"/>
          <w:szCs w:val="24"/>
          <w:lang w:val="en-US"/>
        </w:rPr>
        <w:t>econd</w:t>
      </w:r>
      <w:r w:rsidR="00306CB2">
        <w:rPr>
          <w:rFonts w:ascii="Arial" w:hAnsi="Arial" w:cs="Arial"/>
          <w:sz w:val="24"/>
          <w:szCs w:val="24"/>
          <w:lang w:val="en-US"/>
        </w:rPr>
        <w:t xml:space="preserve"> d</w:t>
      </w:r>
      <w:r w:rsidR="00306CB2" w:rsidRPr="00306CB2">
        <w:rPr>
          <w:rFonts w:ascii="Arial" w:hAnsi="Arial" w:cs="Arial"/>
          <w:sz w:val="24"/>
          <w:szCs w:val="24"/>
          <w:lang w:val="en-US"/>
        </w:rPr>
        <w:t>efendant is ba</w:t>
      </w:r>
      <w:r w:rsidR="00306CB2">
        <w:rPr>
          <w:rFonts w:ascii="Arial" w:hAnsi="Arial" w:cs="Arial"/>
          <w:sz w:val="24"/>
          <w:szCs w:val="24"/>
          <w:lang w:val="en-US"/>
        </w:rPr>
        <w:t xml:space="preserve">sed on a written deed of surety: </w:t>
      </w:r>
    </w:p>
    <w:p w:rsidR="00306CB2" w:rsidRDefault="00306CB2" w:rsidP="002827C1">
      <w:pPr>
        <w:pStyle w:val="ListParagraph"/>
        <w:numPr>
          <w:ilvl w:val="0"/>
          <w:numId w:val="6"/>
        </w:numPr>
        <w:spacing w:line="360" w:lineRule="auto"/>
        <w:ind w:left="360" w:firstLine="0"/>
        <w:jc w:val="both"/>
        <w:rPr>
          <w:rFonts w:ascii="Arial" w:hAnsi="Arial" w:cs="Arial"/>
          <w:sz w:val="24"/>
          <w:szCs w:val="24"/>
          <w:lang w:val="en-US"/>
        </w:rPr>
      </w:pPr>
      <w:r w:rsidRPr="00306CB2">
        <w:rPr>
          <w:rFonts w:ascii="Arial" w:hAnsi="Arial" w:cs="Arial"/>
          <w:sz w:val="24"/>
          <w:szCs w:val="24"/>
          <w:lang w:val="en-US"/>
        </w:rPr>
        <w:t>The conclusion of the loan agreement and the Deed of Surety;</w:t>
      </w:r>
    </w:p>
    <w:p w:rsidR="00306CB2" w:rsidRDefault="00306CB2" w:rsidP="002827C1">
      <w:pPr>
        <w:pStyle w:val="ListParagraph"/>
        <w:numPr>
          <w:ilvl w:val="0"/>
          <w:numId w:val="6"/>
        </w:numPr>
        <w:spacing w:line="360" w:lineRule="auto"/>
        <w:ind w:left="360" w:firstLine="0"/>
        <w:jc w:val="both"/>
        <w:rPr>
          <w:rFonts w:ascii="Arial" w:hAnsi="Arial" w:cs="Arial"/>
          <w:sz w:val="24"/>
          <w:szCs w:val="24"/>
          <w:lang w:val="en-US"/>
        </w:rPr>
      </w:pPr>
      <w:r w:rsidRPr="00306CB2">
        <w:rPr>
          <w:rFonts w:ascii="Arial" w:hAnsi="Arial" w:cs="Arial"/>
          <w:sz w:val="24"/>
          <w:szCs w:val="24"/>
          <w:lang w:val="en-US"/>
        </w:rPr>
        <w:t>The terms of both agreements;</w:t>
      </w:r>
    </w:p>
    <w:p w:rsidR="00546F25" w:rsidRPr="00306CB2" w:rsidRDefault="00306CB2" w:rsidP="002827C1">
      <w:pPr>
        <w:pStyle w:val="ListParagraph"/>
        <w:numPr>
          <w:ilvl w:val="0"/>
          <w:numId w:val="6"/>
        </w:numPr>
        <w:spacing w:after="0" w:line="360" w:lineRule="auto"/>
        <w:ind w:left="360" w:firstLine="0"/>
        <w:jc w:val="both"/>
        <w:rPr>
          <w:rFonts w:ascii="Arial" w:hAnsi="Arial" w:cs="Arial"/>
          <w:sz w:val="24"/>
          <w:szCs w:val="24"/>
          <w:lang w:val="en-US"/>
        </w:rPr>
      </w:pPr>
      <w:r w:rsidRPr="00306CB2">
        <w:rPr>
          <w:rFonts w:ascii="Arial" w:hAnsi="Arial" w:cs="Arial"/>
          <w:sz w:val="24"/>
          <w:szCs w:val="24"/>
          <w:lang w:val="en-US"/>
        </w:rPr>
        <w:t>The conclusion of the cession agreement</w:t>
      </w:r>
      <w:r>
        <w:rPr>
          <w:rFonts w:ascii="Arial" w:hAnsi="Arial" w:cs="Arial"/>
          <w:sz w:val="24"/>
          <w:szCs w:val="24"/>
          <w:lang w:val="en-US"/>
        </w:rPr>
        <w:t xml:space="preserve"> (in terms whereof f</w:t>
      </w:r>
      <w:r w:rsidRPr="00306CB2">
        <w:rPr>
          <w:rFonts w:ascii="Arial" w:hAnsi="Arial" w:cs="Arial"/>
          <w:sz w:val="24"/>
          <w:szCs w:val="24"/>
          <w:lang w:val="en-US"/>
        </w:rPr>
        <w:t xml:space="preserve">irst </w:t>
      </w:r>
      <w:r>
        <w:rPr>
          <w:rFonts w:ascii="Arial" w:hAnsi="Arial" w:cs="Arial"/>
          <w:sz w:val="24"/>
          <w:szCs w:val="24"/>
          <w:lang w:val="en-US"/>
        </w:rPr>
        <w:t>d</w:t>
      </w:r>
      <w:r w:rsidRPr="00306CB2">
        <w:rPr>
          <w:rFonts w:ascii="Arial" w:hAnsi="Arial" w:cs="Arial"/>
          <w:sz w:val="24"/>
          <w:szCs w:val="24"/>
          <w:lang w:val="en-US"/>
        </w:rPr>
        <w:t xml:space="preserve">efendant ceded its contractual income to the </w:t>
      </w:r>
      <w:r>
        <w:rPr>
          <w:rFonts w:ascii="Arial" w:hAnsi="Arial" w:cs="Arial"/>
          <w:sz w:val="24"/>
          <w:szCs w:val="24"/>
          <w:lang w:val="en-US"/>
        </w:rPr>
        <w:t>p</w:t>
      </w:r>
      <w:r w:rsidRPr="00306CB2">
        <w:rPr>
          <w:rFonts w:ascii="Arial" w:hAnsi="Arial" w:cs="Arial"/>
          <w:sz w:val="24"/>
          <w:szCs w:val="24"/>
          <w:lang w:val="en-US"/>
        </w:rPr>
        <w:t>laintiff) and the terms</w:t>
      </w:r>
      <w:r>
        <w:rPr>
          <w:rFonts w:ascii="Arial" w:hAnsi="Arial" w:cs="Arial"/>
          <w:sz w:val="24"/>
          <w:szCs w:val="24"/>
          <w:lang w:val="en-US"/>
        </w:rPr>
        <w:t xml:space="preserve"> </w:t>
      </w:r>
      <w:r w:rsidRPr="00306CB2">
        <w:rPr>
          <w:rFonts w:ascii="Arial" w:hAnsi="Arial" w:cs="Arial"/>
          <w:sz w:val="24"/>
          <w:szCs w:val="24"/>
          <w:lang w:val="en-US"/>
        </w:rPr>
        <w:t>thereof.</w:t>
      </w:r>
      <w:r w:rsidR="00546F25" w:rsidRPr="00306CB2">
        <w:rPr>
          <w:rFonts w:ascii="Arial" w:hAnsi="Arial" w:cs="Arial"/>
          <w:sz w:val="24"/>
          <w:szCs w:val="24"/>
        </w:rPr>
        <w:tab/>
      </w:r>
    </w:p>
    <w:p w:rsidR="00114FFD" w:rsidRPr="00732FCD" w:rsidRDefault="00114FFD" w:rsidP="00546F25">
      <w:pPr>
        <w:spacing w:after="0" w:line="360" w:lineRule="auto"/>
        <w:jc w:val="both"/>
        <w:rPr>
          <w:rFonts w:ascii="Arial" w:hAnsi="Arial" w:cs="Arial"/>
          <w:sz w:val="24"/>
          <w:szCs w:val="24"/>
        </w:rPr>
      </w:pPr>
    </w:p>
    <w:p w:rsidR="00546F25" w:rsidRPr="00725B4E" w:rsidRDefault="00546F25" w:rsidP="00546F25">
      <w:pPr>
        <w:spacing w:after="0" w:line="360" w:lineRule="auto"/>
        <w:rPr>
          <w:rFonts w:ascii="Arial" w:hAnsi="Arial" w:cs="Arial"/>
          <w:i/>
          <w:sz w:val="24"/>
          <w:szCs w:val="24"/>
        </w:rPr>
      </w:pPr>
      <w:r w:rsidRPr="00722D11">
        <w:rPr>
          <w:rFonts w:ascii="Arial" w:hAnsi="Arial" w:cs="Arial"/>
          <w:sz w:val="24"/>
          <w:szCs w:val="24"/>
          <w:u w:val="single"/>
        </w:rPr>
        <w:t>Questions of law in dispute</w:t>
      </w:r>
      <w:r w:rsidRPr="00725B4E">
        <w:rPr>
          <w:rFonts w:ascii="Arial" w:hAnsi="Arial" w:cs="Arial"/>
          <w:i/>
          <w:sz w:val="24"/>
          <w:szCs w:val="24"/>
        </w:rPr>
        <w:t xml:space="preserve"> </w:t>
      </w:r>
    </w:p>
    <w:p w:rsidR="00546F25" w:rsidRDefault="00546F25" w:rsidP="00546F25">
      <w:pPr>
        <w:spacing w:after="0" w:line="360" w:lineRule="auto"/>
        <w:jc w:val="both"/>
        <w:rPr>
          <w:rFonts w:ascii="Arial" w:hAnsi="Arial" w:cs="Arial"/>
          <w:sz w:val="24"/>
          <w:szCs w:val="24"/>
        </w:rPr>
      </w:pPr>
    </w:p>
    <w:p w:rsidR="00546F25" w:rsidRDefault="00546F25" w:rsidP="00546F25">
      <w:pPr>
        <w:spacing w:after="0" w:line="360" w:lineRule="auto"/>
        <w:jc w:val="both"/>
        <w:rPr>
          <w:rFonts w:ascii="Arial" w:hAnsi="Arial" w:cs="Arial"/>
          <w:sz w:val="24"/>
          <w:szCs w:val="24"/>
        </w:rPr>
      </w:pPr>
      <w:r w:rsidRPr="00A56D8C">
        <w:rPr>
          <w:rFonts w:ascii="Arial" w:hAnsi="Arial" w:cs="Arial"/>
          <w:sz w:val="24"/>
          <w:szCs w:val="24"/>
        </w:rPr>
        <w:t>[</w:t>
      </w:r>
      <w:r>
        <w:rPr>
          <w:rFonts w:ascii="Arial" w:hAnsi="Arial" w:cs="Arial"/>
          <w:sz w:val="24"/>
          <w:szCs w:val="24"/>
        </w:rPr>
        <w:t>7</w:t>
      </w:r>
      <w:r w:rsidRPr="00A56D8C">
        <w:rPr>
          <w:rFonts w:ascii="Arial" w:hAnsi="Arial" w:cs="Arial"/>
          <w:sz w:val="24"/>
          <w:szCs w:val="24"/>
        </w:rPr>
        <w:t>]</w:t>
      </w:r>
      <w:r w:rsidRPr="00A56D8C">
        <w:rPr>
          <w:rFonts w:ascii="Arial" w:hAnsi="Arial" w:cs="Arial"/>
          <w:sz w:val="24"/>
          <w:szCs w:val="24"/>
        </w:rPr>
        <w:tab/>
      </w:r>
      <w:r>
        <w:rPr>
          <w:rFonts w:ascii="Arial" w:hAnsi="Arial" w:cs="Arial"/>
          <w:sz w:val="24"/>
          <w:szCs w:val="24"/>
        </w:rPr>
        <w:t>It was agreed between the parties that t</w:t>
      </w:r>
      <w:r w:rsidR="00B523EF">
        <w:rPr>
          <w:rFonts w:ascii="Arial" w:hAnsi="Arial" w:cs="Arial"/>
          <w:sz w:val="24"/>
          <w:szCs w:val="24"/>
        </w:rPr>
        <w:t>he following questions of law are</w:t>
      </w:r>
      <w:r>
        <w:rPr>
          <w:rFonts w:ascii="Arial" w:hAnsi="Arial" w:cs="Arial"/>
          <w:sz w:val="24"/>
          <w:szCs w:val="24"/>
        </w:rPr>
        <w:t xml:space="preserve"> in dispute: </w:t>
      </w:r>
    </w:p>
    <w:p w:rsidR="00B523EF" w:rsidRPr="00E37D9F" w:rsidRDefault="00B523EF" w:rsidP="00E37D9F">
      <w:pPr>
        <w:spacing w:after="0" w:line="360" w:lineRule="auto"/>
        <w:jc w:val="both"/>
        <w:rPr>
          <w:rFonts w:ascii="Arial" w:hAnsi="Arial" w:cs="Arial"/>
        </w:rPr>
      </w:pPr>
    </w:p>
    <w:p w:rsidR="00546F25" w:rsidRDefault="00546F25" w:rsidP="002827C1">
      <w:pPr>
        <w:pStyle w:val="ListParagraph"/>
        <w:numPr>
          <w:ilvl w:val="0"/>
          <w:numId w:val="7"/>
        </w:numPr>
        <w:spacing w:after="0" w:line="360" w:lineRule="auto"/>
        <w:ind w:left="360" w:firstLine="0"/>
        <w:jc w:val="both"/>
        <w:rPr>
          <w:rFonts w:ascii="Arial" w:hAnsi="Arial" w:cs="Arial"/>
          <w:sz w:val="24"/>
          <w:szCs w:val="24"/>
        </w:rPr>
      </w:pPr>
      <w:r w:rsidRPr="00E37D9F">
        <w:rPr>
          <w:rFonts w:ascii="Arial" w:hAnsi="Arial" w:cs="Arial"/>
          <w:sz w:val="24"/>
          <w:szCs w:val="24"/>
        </w:rPr>
        <w:t>Whethe</w:t>
      </w:r>
      <w:r w:rsidR="00B83BB8" w:rsidRPr="00E37D9F">
        <w:rPr>
          <w:rFonts w:ascii="Arial" w:hAnsi="Arial" w:cs="Arial"/>
          <w:sz w:val="24"/>
          <w:szCs w:val="24"/>
        </w:rPr>
        <w:t>r the conduct of the plaintiff with</w:t>
      </w:r>
      <w:r w:rsidR="00F92F84">
        <w:rPr>
          <w:rFonts w:ascii="Arial" w:hAnsi="Arial" w:cs="Arial"/>
          <w:sz w:val="24"/>
          <w:szCs w:val="24"/>
        </w:rPr>
        <w:t xml:space="preserve"> regard</w:t>
      </w:r>
      <w:r w:rsidRPr="00E37D9F">
        <w:rPr>
          <w:rFonts w:ascii="Arial" w:hAnsi="Arial" w:cs="Arial"/>
          <w:sz w:val="24"/>
          <w:szCs w:val="24"/>
        </w:rPr>
        <w:t xml:space="preserve"> to the Cession Agreement amounts to a prejudic</w:t>
      </w:r>
      <w:r w:rsidR="00B523EF" w:rsidRPr="00E37D9F">
        <w:rPr>
          <w:rFonts w:ascii="Arial" w:hAnsi="Arial" w:cs="Arial"/>
          <w:sz w:val="24"/>
          <w:szCs w:val="24"/>
        </w:rPr>
        <w:t>ial act which releases the second</w:t>
      </w:r>
      <w:r w:rsidRPr="00E37D9F">
        <w:rPr>
          <w:rFonts w:ascii="Arial" w:hAnsi="Arial" w:cs="Arial"/>
          <w:sz w:val="24"/>
          <w:szCs w:val="24"/>
        </w:rPr>
        <w:t xml:space="preserve"> defendant from liability under the Suretyship.</w:t>
      </w:r>
    </w:p>
    <w:p w:rsidR="00E37D9F" w:rsidRPr="00E37D9F" w:rsidRDefault="00F92F84" w:rsidP="002827C1">
      <w:pPr>
        <w:pStyle w:val="ListParagraph"/>
        <w:numPr>
          <w:ilvl w:val="0"/>
          <w:numId w:val="7"/>
        </w:numPr>
        <w:spacing w:after="0" w:line="360" w:lineRule="auto"/>
        <w:ind w:left="360" w:firstLine="0"/>
        <w:jc w:val="both"/>
        <w:rPr>
          <w:rFonts w:ascii="Arial" w:hAnsi="Arial" w:cs="Arial"/>
          <w:sz w:val="24"/>
          <w:szCs w:val="24"/>
        </w:rPr>
      </w:pPr>
      <w:r>
        <w:rPr>
          <w:rFonts w:ascii="Arial" w:hAnsi="Arial" w:cs="Arial"/>
          <w:sz w:val="24"/>
          <w:szCs w:val="24"/>
        </w:rPr>
        <w:t>……………………..</w:t>
      </w:r>
    </w:p>
    <w:p w:rsidR="00546F25" w:rsidRDefault="00546F25" w:rsidP="00546F25">
      <w:pPr>
        <w:rPr>
          <w:rFonts w:ascii="Arial" w:hAnsi="Arial" w:cs="Arial"/>
          <w:sz w:val="24"/>
          <w:szCs w:val="24"/>
        </w:rPr>
      </w:pPr>
    </w:p>
    <w:p w:rsidR="00546F25" w:rsidRDefault="00546F25" w:rsidP="00546F25">
      <w:pPr>
        <w:spacing w:after="0"/>
        <w:rPr>
          <w:rFonts w:ascii="Arial" w:hAnsi="Arial" w:cs="Arial"/>
          <w:i/>
          <w:sz w:val="24"/>
          <w:szCs w:val="24"/>
        </w:rPr>
      </w:pPr>
      <w:r>
        <w:rPr>
          <w:rFonts w:ascii="Arial" w:hAnsi="Arial" w:cs="Arial"/>
          <w:i/>
          <w:sz w:val="24"/>
          <w:szCs w:val="24"/>
        </w:rPr>
        <w:t xml:space="preserve">On behalf of the Plaintiff: </w:t>
      </w:r>
    </w:p>
    <w:p w:rsidR="00546F25" w:rsidRDefault="00546F25" w:rsidP="00546F25">
      <w:pPr>
        <w:spacing w:after="0" w:line="360" w:lineRule="auto"/>
        <w:jc w:val="both"/>
      </w:pPr>
    </w:p>
    <w:p w:rsidR="007114CA" w:rsidRDefault="007175C6" w:rsidP="00673D5D">
      <w:pPr>
        <w:spacing w:after="0" w:line="360" w:lineRule="auto"/>
        <w:jc w:val="both"/>
        <w:rPr>
          <w:rFonts w:ascii="Arial" w:hAnsi="Arial" w:cs="Arial"/>
          <w:sz w:val="24"/>
          <w:szCs w:val="24"/>
          <w:lang w:val="en-US"/>
        </w:rPr>
      </w:pPr>
      <w:r>
        <w:rPr>
          <w:rFonts w:ascii="Arial" w:hAnsi="Arial" w:cs="Arial"/>
          <w:sz w:val="24"/>
          <w:szCs w:val="24"/>
        </w:rPr>
        <w:t>[8]</w:t>
      </w:r>
      <w:r>
        <w:rPr>
          <w:rFonts w:ascii="Arial" w:hAnsi="Arial" w:cs="Arial"/>
          <w:sz w:val="24"/>
          <w:szCs w:val="24"/>
        </w:rPr>
        <w:tab/>
      </w:r>
      <w:r w:rsidRPr="007175C6">
        <w:rPr>
          <w:rFonts w:ascii="Arial" w:hAnsi="Arial" w:cs="Arial"/>
          <w:sz w:val="24"/>
          <w:szCs w:val="24"/>
        </w:rPr>
        <w:t xml:space="preserve">On behalf of the </w:t>
      </w:r>
      <w:r>
        <w:rPr>
          <w:rFonts w:ascii="Arial" w:hAnsi="Arial" w:cs="Arial"/>
          <w:sz w:val="24"/>
          <w:szCs w:val="24"/>
        </w:rPr>
        <w:t>plaintiff</w:t>
      </w:r>
      <w:r w:rsidRPr="007175C6">
        <w:rPr>
          <w:rFonts w:ascii="Arial" w:hAnsi="Arial" w:cs="Arial"/>
          <w:sz w:val="24"/>
          <w:szCs w:val="24"/>
        </w:rPr>
        <w:t xml:space="preserve"> it was </w:t>
      </w:r>
      <w:r>
        <w:rPr>
          <w:rFonts w:ascii="Arial" w:hAnsi="Arial" w:cs="Arial"/>
          <w:sz w:val="24"/>
          <w:szCs w:val="24"/>
        </w:rPr>
        <w:t>submitted that</w:t>
      </w:r>
      <w:r w:rsidR="007114CA">
        <w:rPr>
          <w:rFonts w:ascii="Arial" w:hAnsi="Arial" w:cs="Arial"/>
          <w:sz w:val="24"/>
          <w:szCs w:val="24"/>
        </w:rPr>
        <w:t>, i</w:t>
      </w:r>
      <w:r w:rsidRPr="007175C6">
        <w:rPr>
          <w:rFonts w:ascii="Arial" w:hAnsi="Arial" w:cs="Arial"/>
          <w:sz w:val="24"/>
          <w:szCs w:val="24"/>
          <w:lang w:val="en-US"/>
        </w:rPr>
        <w:t xml:space="preserve">n terms of the </w:t>
      </w:r>
      <w:r w:rsidR="007114CA">
        <w:rPr>
          <w:rFonts w:ascii="Arial" w:hAnsi="Arial" w:cs="Arial"/>
          <w:sz w:val="24"/>
          <w:szCs w:val="24"/>
          <w:lang w:val="en-US"/>
        </w:rPr>
        <w:t>c</w:t>
      </w:r>
      <w:r w:rsidRPr="007175C6">
        <w:rPr>
          <w:rFonts w:ascii="Arial" w:hAnsi="Arial" w:cs="Arial"/>
          <w:sz w:val="24"/>
          <w:szCs w:val="24"/>
          <w:lang w:val="en-US"/>
        </w:rPr>
        <w:t xml:space="preserve">ession of </w:t>
      </w:r>
      <w:r w:rsidR="007114CA">
        <w:rPr>
          <w:rFonts w:ascii="Arial" w:hAnsi="Arial" w:cs="Arial"/>
          <w:sz w:val="24"/>
          <w:szCs w:val="24"/>
          <w:lang w:val="en-US"/>
        </w:rPr>
        <w:t>i</w:t>
      </w:r>
      <w:r w:rsidRPr="007175C6">
        <w:rPr>
          <w:rFonts w:ascii="Arial" w:hAnsi="Arial" w:cs="Arial"/>
          <w:sz w:val="24"/>
          <w:szCs w:val="24"/>
          <w:lang w:val="en-US"/>
        </w:rPr>
        <w:t xml:space="preserve">ncome </w:t>
      </w:r>
      <w:r w:rsidR="007114CA">
        <w:rPr>
          <w:rFonts w:ascii="Arial" w:hAnsi="Arial" w:cs="Arial"/>
          <w:sz w:val="24"/>
          <w:szCs w:val="24"/>
          <w:lang w:val="en-US"/>
        </w:rPr>
        <w:t>a</w:t>
      </w:r>
      <w:r w:rsidRPr="007175C6">
        <w:rPr>
          <w:rFonts w:ascii="Arial" w:hAnsi="Arial" w:cs="Arial"/>
          <w:sz w:val="24"/>
          <w:szCs w:val="24"/>
          <w:lang w:val="en-US"/>
        </w:rPr>
        <w:t>greement:</w:t>
      </w:r>
    </w:p>
    <w:p w:rsidR="00673D5D" w:rsidRDefault="00673D5D" w:rsidP="00673D5D">
      <w:pPr>
        <w:spacing w:after="0" w:line="360" w:lineRule="auto"/>
        <w:jc w:val="both"/>
        <w:rPr>
          <w:rFonts w:ascii="Arial" w:hAnsi="Arial" w:cs="Arial"/>
          <w:sz w:val="24"/>
          <w:szCs w:val="24"/>
          <w:lang w:val="en-US"/>
        </w:rPr>
      </w:pPr>
    </w:p>
    <w:p w:rsidR="00673D5D" w:rsidRDefault="007175C6" w:rsidP="002827C1">
      <w:pPr>
        <w:pStyle w:val="ListParagraph"/>
        <w:numPr>
          <w:ilvl w:val="1"/>
          <w:numId w:val="16"/>
        </w:numPr>
        <w:spacing w:after="0" w:line="360" w:lineRule="auto"/>
        <w:ind w:left="360" w:firstLine="0"/>
        <w:jc w:val="both"/>
        <w:rPr>
          <w:rFonts w:ascii="Arial" w:hAnsi="Arial" w:cs="Arial"/>
          <w:sz w:val="24"/>
          <w:szCs w:val="24"/>
          <w:lang w:val="en-US"/>
        </w:rPr>
      </w:pPr>
      <w:r w:rsidRPr="00673D5D">
        <w:rPr>
          <w:rFonts w:ascii="Arial" w:hAnsi="Arial" w:cs="Arial"/>
          <w:sz w:val="24"/>
          <w:szCs w:val="24"/>
          <w:lang w:val="en-US"/>
        </w:rPr>
        <w:t xml:space="preserve">the principal debtor transferred and ceded to the </w:t>
      </w:r>
      <w:r w:rsidR="007114CA" w:rsidRPr="00673D5D">
        <w:rPr>
          <w:rFonts w:ascii="Arial" w:hAnsi="Arial" w:cs="Arial"/>
          <w:sz w:val="24"/>
          <w:szCs w:val="24"/>
          <w:lang w:val="en-US"/>
        </w:rPr>
        <w:t>p</w:t>
      </w:r>
      <w:r w:rsidRPr="00673D5D">
        <w:rPr>
          <w:rFonts w:ascii="Arial" w:hAnsi="Arial" w:cs="Arial"/>
          <w:sz w:val="24"/>
          <w:szCs w:val="24"/>
          <w:lang w:val="en-US"/>
        </w:rPr>
        <w:t>laintiff, all rights</w:t>
      </w:r>
      <w:r w:rsidR="00F92F84" w:rsidRPr="00673D5D">
        <w:rPr>
          <w:rFonts w:ascii="Arial" w:hAnsi="Arial" w:cs="Arial"/>
          <w:sz w:val="24"/>
          <w:szCs w:val="24"/>
          <w:lang w:val="en-US"/>
        </w:rPr>
        <w:t>,</w:t>
      </w:r>
      <w:r w:rsidRPr="00673D5D">
        <w:rPr>
          <w:rFonts w:ascii="Arial" w:hAnsi="Arial" w:cs="Arial"/>
          <w:sz w:val="24"/>
          <w:szCs w:val="24"/>
          <w:lang w:val="en-US"/>
        </w:rPr>
        <w:t xml:space="preserve"> title and interests in and to payments due to the principal debtor by the Opuwo Town Council in terms of a contract concluded between the principal debtor and the Opuwo Town Council;</w:t>
      </w:r>
    </w:p>
    <w:p w:rsidR="002827C1" w:rsidRDefault="002827C1" w:rsidP="002827C1">
      <w:pPr>
        <w:pStyle w:val="ListParagraph"/>
        <w:spacing w:after="0" w:line="360" w:lineRule="auto"/>
        <w:ind w:left="360"/>
        <w:jc w:val="both"/>
        <w:rPr>
          <w:rFonts w:ascii="Arial" w:hAnsi="Arial" w:cs="Arial"/>
          <w:sz w:val="24"/>
          <w:szCs w:val="24"/>
          <w:lang w:val="en-US"/>
        </w:rPr>
      </w:pPr>
    </w:p>
    <w:p w:rsidR="007175C6" w:rsidRPr="00673D5D" w:rsidRDefault="007114CA" w:rsidP="002827C1">
      <w:pPr>
        <w:pStyle w:val="ListParagraph"/>
        <w:numPr>
          <w:ilvl w:val="1"/>
          <w:numId w:val="16"/>
        </w:numPr>
        <w:spacing w:line="360" w:lineRule="auto"/>
        <w:ind w:left="360" w:firstLine="0"/>
        <w:jc w:val="both"/>
        <w:rPr>
          <w:rFonts w:ascii="Arial" w:hAnsi="Arial" w:cs="Arial"/>
          <w:sz w:val="24"/>
          <w:szCs w:val="24"/>
          <w:lang w:val="en-US"/>
        </w:rPr>
      </w:pPr>
      <w:r w:rsidRPr="00673D5D">
        <w:rPr>
          <w:rFonts w:ascii="Arial" w:hAnsi="Arial" w:cs="Arial"/>
          <w:sz w:val="24"/>
          <w:szCs w:val="24"/>
          <w:lang w:val="en-US"/>
        </w:rPr>
        <w:t xml:space="preserve"> </w:t>
      </w:r>
      <w:r w:rsidR="007175C6" w:rsidRPr="00673D5D">
        <w:rPr>
          <w:rFonts w:ascii="Arial" w:hAnsi="Arial" w:cs="Arial"/>
          <w:sz w:val="24"/>
          <w:szCs w:val="24"/>
          <w:lang w:val="en-US"/>
        </w:rPr>
        <w:t xml:space="preserve">the principal debtor authorised the Opuwo Town Council, to make payments on its behalf, directly to the </w:t>
      </w:r>
      <w:r w:rsidRPr="00673D5D">
        <w:rPr>
          <w:rFonts w:ascii="Arial" w:hAnsi="Arial" w:cs="Arial"/>
          <w:sz w:val="24"/>
          <w:szCs w:val="24"/>
          <w:lang w:val="en-US"/>
        </w:rPr>
        <w:t>plaintiff;</w:t>
      </w:r>
    </w:p>
    <w:p w:rsidR="007114CA" w:rsidRPr="007114CA" w:rsidRDefault="007114CA" w:rsidP="002827C1">
      <w:pPr>
        <w:pStyle w:val="ListParagraph"/>
        <w:spacing w:after="0" w:line="360" w:lineRule="auto"/>
        <w:jc w:val="both"/>
        <w:rPr>
          <w:rFonts w:ascii="Arial" w:hAnsi="Arial" w:cs="Arial"/>
          <w:sz w:val="24"/>
          <w:szCs w:val="24"/>
          <w:lang w:val="en-US"/>
        </w:rPr>
      </w:pPr>
    </w:p>
    <w:p w:rsidR="007175C6" w:rsidRPr="007175C6" w:rsidRDefault="007114CA" w:rsidP="00673D5D">
      <w:pPr>
        <w:spacing w:after="0"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The plaintiff further submitted that on interpretation of the cession of i</w:t>
      </w:r>
      <w:r w:rsidR="007175C6" w:rsidRPr="007114CA">
        <w:rPr>
          <w:rFonts w:ascii="Arial" w:hAnsi="Arial" w:cs="Arial"/>
          <w:sz w:val="24"/>
          <w:szCs w:val="24"/>
          <w:lang w:val="en-US"/>
        </w:rPr>
        <w:t xml:space="preserve">ncome </w:t>
      </w:r>
      <w:r>
        <w:rPr>
          <w:rFonts w:ascii="Arial" w:hAnsi="Arial" w:cs="Arial"/>
          <w:sz w:val="24"/>
          <w:szCs w:val="24"/>
          <w:lang w:val="en-US"/>
        </w:rPr>
        <w:t xml:space="preserve">agreement, </w:t>
      </w:r>
      <w:r w:rsidR="007175C6" w:rsidRPr="007114CA">
        <w:rPr>
          <w:rFonts w:ascii="Arial" w:hAnsi="Arial" w:cs="Arial"/>
          <w:sz w:val="24"/>
          <w:szCs w:val="24"/>
          <w:lang w:val="en-US"/>
        </w:rPr>
        <w:t xml:space="preserve">the effect thereof is simply that the Opuwo Town Council undertook to make direct payments to the </w:t>
      </w:r>
      <w:r w:rsidR="00F92F84">
        <w:rPr>
          <w:rFonts w:ascii="Arial" w:hAnsi="Arial" w:cs="Arial"/>
          <w:sz w:val="24"/>
          <w:szCs w:val="24"/>
          <w:lang w:val="en-US"/>
        </w:rPr>
        <w:t>p</w:t>
      </w:r>
      <w:r w:rsidR="007175C6" w:rsidRPr="007114CA">
        <w:rPr>
          <w:rFonts w:ascii="Arial" w:hAnsi="Arial" w:cs="Arial"/>
          <w:sz w:val="24"/>
          <w:szCs w:val="24"/>
          <w:lang w:val="en-US"/>
        </w:rPr>
        <w:t>laintiff.</w:t>
      </w:r>
      <w:r>
        <w:rPr>
          <w:rFonts w:ascii="Arial" w:hAnsi="Arial" w:cs="Arial"/>
          <w:sz w:val="24"/>
          <w:szCs w:val="24"/>
          <w:lang w:val="en-US"/>
        </w:rPr>
        <w:t xml:space="preserve"> </w:t>
      </w:r>
      <w:r w:rsidR="007175C6" w:rsidRPr="007175C6">
        <w:rPr>
          <w:rFonts w:ascii="Arial" w:hAnsi="Arial" w:cs="Arial"/>
          <w:sz w:val="24"/>
          <w:szCs w:val="24"/>
          <w:lang w:val="en-US"/>
        </w:rPr>
        <w:t xml:space="preserve">The purpose thereof was simply to provide for one of the many possible ways in which </w:t>
      </w:r>
      <w:r w:rsidR="00F92F84">
        <w:rPr>
          <w:rFonts w:ascii="Arial" w:hAnsi="Arial" w:cs="Arial"/>
          <w:sz w:val="24"/>
          <w:szCs w:val="24"/>
          <w:lang w:val="en-US"/>
        </w:rPr>
        <w:t>p</w:t>
      </w:r>
      <w:r w:rsidR="007175C6" w:rsidRPr="007175C6">
        <w:rPr>
          <w:rFonts w:ascii="Arial" w:hAnsi="Arial" w:cs="Arial"/>
          <w:sz w:val="24"/>
          <w:szCs w:val="24"/>
          <w:lang w:val="en-US"/>
        </w:rPr>
        <w:t>laintiff could recover the money due to it.</w:t>
      </w:r>
    </w:p>
    <w:p w:rsidR="007175C6" w:rsidRPr="007175C6" w:rsidRDefault="007175C6" w:rsidP="007175C6">
      <w:pPr>
        <w:spacing w:after="0" w:line="360" w:lineRule="auto"/>
        <w:jc w:val="both"/>
        <w:rPr>
          <w:rFonts w:ascii="Arial" w:hAnsi="Arial" w:cs="Arial"/>
          <w:sz w:val="24"/>
          <w:szCs w:val="24"/>
          <w:lang w:val="en-US"/>
        </w:rPr>
      </w:pPr>
    </w:p>
    <w:p w:rsidR="007175C6" w:rsidRPr="007175C6" w:rsidRDefault="007114CA" w:rsidP="007114CA">
      <w:pPr>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They contended that</w:t>
      </w:r>
      <w:r w:rsidR="007175C6" w:rsidRPr="007175C6">
        <w:rPr>
          <w:rFonts w:ascii="Arial" w:hAnsi="Arial" w:cs="Arial"/>
          <w:sz w:val="24"/>
          <w:szCs w:val="24"/>
          <w:lang w:val="en-US"/>
        </w:rPr>
        <w:t xml:space="preserve"> the Deed of Cession did not intend as a consequence</w:t>
      </w:r>
      <w:r w:rsidR="00F92F84">
        <w:rPr>
          <w:rFonts w:ascii="Arial" w:hAnsi="Arial" w:cs="Arial"/>
          <w:sz w:val="24"/>
          <w:szCs w:val="24"/>
          <w:lang w:val="en-US"/>
        </w:rPr>
        <w:t>,</w:t>
      </w:r>
      <w:r>
        <w:rPr>
          <w:rFonts w:ascii="Arial" w:hAnsi="Arial" w:cs="Arial"/>
          <w:sz w:val="24"/>
          <w:szCs w:val="24"/>
          <w:lang w:val="en-US"/>
        </w:rPr>
        <w:t xml:space="preserve"> to</w:t>
      </w:r>
      <w:r w:rsidR="007175C6" w:rsidRPr="007175C6">
        <w:rPr>
          <w:rFonts w:ascii="Arial" w:hAnsi="Arial" w:cs="Arial"/>
          <w:sz w:val="24"/>
          <w:szCs w:val="24"/>
          <w:lang w:val="en-US"/>
        </w:rPr>
        <w:t xml:space="preserve"> </w:t>
      </w:r>
      <w:r>
        <w:rPr>
          <w:rFonts w:ascii="Arial" w:hAnsi="Arial" w:cs="Arial"/>
          <w:sz w:val="24"/>
          <w:szCs w:val="24"/>
          <w:lang w:val="en-US"/>
        </w:rPr>
        <w:t>a</w:t>
      </w:r>
      <w:r w:rsidR="007175C6" w:rsidRPr="007175C6">
        <w:rPr>
          <w:rFonts w:ascii="Arial" w:hAnsi="Arial" w:cs="Arial"/>
          <w:sz w:val="24"/>
          <w:szCs w:val="24"/>
          <w:lang w:val="en-US"/>
        </w:rPr>
        <w:t>bsolve from liability</w:t>
      </w:r>
      <w:r>
        <w:rPr>
          <w:rFonts w:ascii="Arial" w:hAnsi="Arial" w:cs="Arial"/>
          <w:sz w:val="24"/>
          <w:szCs w:val="24"/>
          <w:lang w:val="en-US"/>
        </w:rPr>
        <w:t xml:space="preserve"> any surety</w:t>
      </w:r>
      <w:r w:rsidR="007175C6" w:rsidRPr="007175C6">
        <w:rPr>
          <w:rFonts w:ascii="Arial" w:hAnsi="Arial" w:cs="Arial"/>
          <w:sz w:val="24"/>
          <w:szCs w:val="24"/>
          <w:lang w:val="en-US"/>
        </w:rPr>
        <w:t xml:space="preserve"> because of its conclusion. No possible interpretation, given the clear wording of the Deed of Surety itself, could have intended the suggested </w:t>
      </w:r>
      <w:r>
        <w:rPr>
          <w:rFonts w:ascii="Arial" w:hAnsi="Arial" w:cs="Arial"/>
          <w:sz w:val="24"/>
          <w:szCs w:val="24"/>
          <w:lang w:val="en-US"/>
        </w:rPr>
        <w:t>consequence by the second defendant.</w:t>
      </w:r>
    </w:p>
    <w:p w:rsidR="007175C6" w:rsidRPr="007175C6" w:rsidRDefault="007175C6" w:rsidP="007175C6">
      <w:pPr>
        <w:spacing w:after="0" w:line="360" w:lineRule="auto"/>
        <w:jc w:val="both"/>
        <w:rPr>
          <w:rFonts w:ascii="Arial" w:hAnsi="Arial" w:cs="Arial"/>
          <w:sz w:val="24"/>
          <w:szCs w:val="24"/>
          <w:lang w:val="en-US"/>
        </w:rPr>
      </w:pPr>
    </w:p>
    <w:p w:rsidR="007175C6" w:rsidRDefault="00E860CD" w:rsidP="007175C6">
      <w:pPr>
        <w:spacing w:after="0"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 xml:space="preserve">The plaintiff in conclusion concluded that the </w:t>
      </w:r>
      <w:r w:rsidR="007175C6" w:rsidRPr="007175C6">
        <w:rPr>
          <w:rFonts w:ascii="Arial" w:hAnsi="Arial" w:cs="Arial"/>
          <w:sz w:val="24"/>
          <w:szCs w:val="24"/>
          <w:lang w:val="en-US"/>
        </w:rPr>
        <w:t xml:space="preserve">Deed of Surety and its enforceability is not </w:t>
      </w:r>
      <w:r w:rsidR="00C60153" w:rsidRPr="007175C6">
        <w:rPr>
          <w:rFonts w:ascii="Arial" w:hAnsi="Arial" w:cs="Arial"/>
          <w:sz w:val="24"/>
          <w:szCs w:val="24"/>
          <w:lang w:val="en-US"/>
        </w:rPr>
        <w:t>dependen</w:t>
      </w:r>
      <w:r w:rsidR="00C60153">
        <w:rPr>
          <w:rFonts w:ascii="Arial" w:hAnsi="Arial" w:cs="Arial"/>
          <w:sz w:val="24"/>
          <w:szCs w:val="24"/>
          <w:lang w:val="en-US"/>
        </w:rPr>
        <w:t>t</w:t>
      </w:r>
      <w:r w:rsidR="007175C6" w:rsidRPr="007175C6">
        <w:rPr>
          <w:rFonts w:ascii="Arial" w:hAnsi="Arial" w:cs="Arial"/>
          <w:sz w:val="24"/>
          <w:szCs w:val="24"/>
          <w:lang w:val="en-US"/>
        </w:rPr>
        <w:t xml:space="preserve"> on the control of the principal debtor or the composition of its members. In fact, the deed of surety makes no reference thereto </w:t>
      </w:r>
      <w:r>
        <w:rPr>
          <w:rFonts w:ascii="Arial" w:hAnsi="Arial" w:cs="Arial"/>
          <w:sz w:val="24"/>
          <w:szCs w:val="24"/>
          <w:lang w:val="en-US"/>
        </w:rPr>
        <w:t xml:space="preserve">because it </w:t>
      </w:r>
      <w:r w:rsidR="007175C6" w:rsidRPr="007175C6">
        <w:rPr>
          <w:rFonts w:ascii="Arial" w:hAnsi="Arial" w:cs="Arial"/>
          <w:sz w:val="24"/>
          <w:szCs w:val="24"/>
          <w:lang w:val="en-US"/>
        </w:rPr>
        <w:t>is unconditional</w:t>
      </w:r>
      <w:r>
        <w:rPr>
          <w:rFonts w:ascii="Arial" w:hAnsi="Arial" w:cs="Arial"/>
          <w:sz w:val="24"/>
          <w:szCs w:val="24"/>
          <w:lang w:val="en-US"/>
        </w:rPr>
        <w:t>.</w:t>
      </w:r>
      <w:r w:rsidR="007C5314">
        <w:rPr>
          <w:rFonts w:ascii="Arial" w:hAnsi="Arial" w:cs="Arial"/>
          <w:sz w:val="24"/>
          <w:szCs w:val="24"/>
          <w:lang w:val="en-US"/>
        </w:rPr>
        <w:t xml:space="preserve"> The plaintiff contends that i</w:t>
      </w:r>
      <w:r w:rsidR="007175C6" w:rsidRPr="007C5314">
        <w:rPr>
          <w:rFonts w:ascii="Arial" w:hAnsi="Arial" w:cs="Arial"/>
          <w:sz w:val="24"/>
          <w:szCs w:val="24"/>
          <w:lang w:val="en-US"/>
        </w:rPr>
        <w:t>t is only where non-performance by the creditor (the plaintiff, in this case) of his part of the contract, releases the principal debtor, that the surety is released</w:t>
      </w:r>
      <w:r w:rsidR="007C5314">
        <w:rPr>
          <w:rFonts w:ascii="Arial" w:hAnsi="Arial" w:cs="Arial"/>
          <w:sz w:val="24"/>
          <w:szCs w:val="24"/>
          <w:lang w:val="en-US"/>
        </w:rPr>
        <w:t>.</w:t>
      </w:r>
    </w:p>
    <w:p w:rsidR="00861C57" w:rsidRDefault="00861C57" w:rsidP="007175C6">
      <w:pPr>
        <w:spacing w:after="0" w:line="360" w:lineRule="auto"/>
        <w:jc w:val="both"/>
        <w:rPr>
          <w:rFonts w:ascii="Arial" w:hAnsi="Arial" w:cs="Arial"/>
          <w:sz w:val="24"/>
          <w:szCs w:val="24"/>
          <w:lang w:val="en-US"/>
        </w:rPr>
      </w:pPr>
    </w:p>
    <w:p w:rsidR="00546F25" w:rsidRDefault="00546F25" w:rsidP="00546F25">
      <w:pPr>
        <w:spacing w:after="0" w:line="360" w:lineRule="auto"/>
        <w:rPr>
          <w:rFonts w:ascii="Arial" w:hAnsi="Arial" w:cs="Arial"/>
          <w:i/>
          <w:sz w:val="24"/>
          <w:szCs w:val="24"/>
        </w:rPr>
      </w:pPr>
      <w:r w:rsidRPr="008D36F3">
        <w:rPr>
          <w:rFonts w:ascii="Arial" w:hAnsi="Arial" w:cs="Arial"/>
          <w:i/>
          <w:sz w:val="24"/>
          <w:szCs w:val="24"/>
        </w:rPr>
        <w:t xml:space="preserve">On behalf of the </w:t>
      </w:r>
      <w:r w:rsidR="00FE27D6">
        <w:rPr>
          <w:rFonts w:ascii="Arial" w:hAnsi="Arial" w:cs="Arial"/>
          <w:i/>
          <w:sz w:val="24"/>
          <w:szCs w:val="24"/>
        </w:rPr>
        <w:t>second d</w:t>
      </w:r>
      <w:r w:rsidRPr="008D36F3">
        <w:rPr>
          <w:rFonts w:ascii="Arial" w:hAnsi="Arial" w:cs="Arial"/>
          <w:i/>
          <w:sz w:val="24"/>
          <w:szCs w:val="24"/>
        </w:rPr>
        <w:t xml:space="preserve">efendant: </w:t>
      </w:r>
    </w:p>
    <w:p w:rsidR="00861C57" w:rsidRDefault="00861C57" w:rsidP="00546F25">
      <w:pPr>
        <w:spacing w:after="0" w:line="360" w:lineRule="auto"/>
        <w:rPr>
          <w:rFonts w:ascii="Arial" w:hAnsi="Arial" w:cs="Arial"/>
          <w:i/>
          <w:sz w:val="24"/>
          <w:szCs w:val="24"/>
        </w:rPr>
      </w:pPr>
    </w:p>
    <w:p w:rsidR="00FE27D6" w:rsidRDefault="00546F25" w:rsidP="00E37D9F">
      <w:pPr>
        <w:spacing w:after="0" w:line="360" w:lineRule="auto"/>
        <w:jc w:val="both"/>
        <w:rPr>
          <w:rFonts w:ascii="Arial" w:hAnsi="Arial" w:cs="Arial"/>
          <w:sz w:val="24"/>
          <w:szCs w:val="24"/>
          <w:lang w:val="en-US"/>
        </w:rPr>
      </w:pPr>
      <w:r>
        <w:rPr>
          <w:rFonts w:ascii="Arial" w:hAnsi="Arial" w:cs="Arial"/>
          <w:sz w:val="24"/>
          <w:szCs w:val="24"/>
        </w:rPr>
        <w:t>[12]</w:t>
      </w:r>
      <w:r>
        <w:rPr>
          <w:rFonts w:ascii="Arial" w:hAnsi="Arial" w:cs="Arial"/>
          <w:sz w:val="24"/>
          <w:szCs w:val="24"/>
        </w:rPr>
        <w:tab/>
      </w:r>
      <w:r w:rsidR="00E37D9F" w:rsidRPr="00E37D9F">
        <w:rPr>
          <w:rFonts w:ascii="Arial" w:hAnsi="Arial" w:cs="Arial"/>
          <w:sz w:val="24"/>
          <w:szCs w:val="24"/>
        </w:rPr>
        <w:t xml:space="preserve">On behalf of the </w:t>
      </w:r>
      <w:r w:rsidR="00FE27D6">
        <w:rPr>
          <w:rFonts w:ascii="Arial" w:hAnsi="Arial" w:cs="Arial"/>
          <w:sz w:val="24"/>
          <w:szCs w:val="24"/>
        </w:rPr>
        <w:t xml:space="preserve">second </w:t>
      </w:r>
      <w:r w:rsidR="00E37D9F" w:rsidRPr="00E37D9F">
        <w:rPr>
          <w:rFonts w:ascii="Arial" w:hAnsi="Arial" w:cs="Arial"/>
          <w:sz w:val="24"/>
          <w:szCs w:val="24"/>
        </w:rPr>
        <w:t>defendant it was con</w:t>
      </w:r>
      <w:r w:rsidR="00F92F84">
        <w:rPr>
          <w:rFonts w:ascii="Arial" w:hAnsi="Arial" w:cs="Arial"/>
          <w:sz w:val="24"/>
          <w:szCs w:val="24"/>
        </w:rPr>
        <w:t>t</w:t>
      </w:r>
      <w:r w:rsidR="00E37D9F" w:rsidRPr="00E37D9F">
        <w:rPr>
          <w:rFonts w:ascii="Arial" w:hAnsi="Arial" w:cs="Arial"/>
          <w:sz w:val="24"/>
          <w:szCs w:val="24"/>
        </w:rPr>
        <w:t>e</w:t>
      </w:r>
      <w:r w:rsidR="00F92F84">
        <w:rPr>
          <w:rFonts w:ascii="Arial" w:hAnsi="Arial" w:cs="Arial"/>
          <w:sz w:val="24"/>
          <w:szCs w:val="24"/>
        </w:rPr>
        <w:t>n</w:t>
      </w:r>
      <w:r w:rsidR="00E37D9F" w:rsidRPr="00E37D9F">
        <w:rPr>
          <w:rFonts w:ascii="Arial" w:hAnsi="Arial" w:cs="Arial"/>
          <w:sz w:val="24"/>
          <w:szCs w:val="24"/>
        </w:rPr>
        <w:t xml:space="preserve">ded </w:t>
      </w:r>
      <w:r w:rsidR="00FE27D6">
        <w:rPr>
          <w:rFonts w:ascii="Arial" w:hAnsi="Arial" w:cs="Arial"/>
          <w:sz w:val="24"/>
          <w:szCs w:val="24"/>
        </w:rPr>
        <w:t xml:space="preserve">that </w:t>
      </w:r>
      <w:r w:rsidR="00E37D9F" w:rsidRPr="00E37D9F">
        <w:rPr>
          <w:rFonts w:ascii="Arial" w:hAnsi="Arial" w:cs="Arial"/>
          <w:sz w:val="24"/>
          <w:szCs w:val="24"/>
          <w:lang w:val="en-US"/>
        </w:rPr>
        <w:t xml:space="preserve">the </w:t>
      </w:r>
      <w:r w:rsidR="00FE27D6">
        <w:rPr>
          <w:rFonts w:ascii="Arial" w:hAnsi="Arial" w:cs="Arial"/>
          <w:sz w:val="24"/>
          <w:szCs w:val="24"/>
          <w:lang w:val="en-US"/>
        </w:rPr>
        <w:t>plaintiff has</w:t>
      </w:r>
      <w:r w:rsidR="00E37D9F" w:rsidRPr="00E37D9F">
        <w:rPr>
          <w:rFonts w:ascii="Arial" w:hAnsi="Arial" w:cs="Arial"/>
          <w:sz w:val="24"/>
          <w:szCs w:val="24"/>
          <w:lang w:val="en-US"/>
        </w:rPr>
        <w:t xml:space="preserve"> failed to i</w:t>
      </w:r>
      <w:r w:rsidR="00FE27D6">
        <w:rPr>
          <w:rFonts w:ascii="Arial" w:hAnsi="Arial" w:cs="Arial"/>
          <w:sz w:val="24"/>
          <w:szCs w:val="24"/>
          <w:lang w:val="en-US"/>
        </w:rPr>
        <w:t>nstitute its claim against the c</w:t>
      </w:r>
      <w:r w:rsidR="00E37D9F" w:rsidRPr="00E37D9F">
        <w:rPr>
          <w:rFonts w:ascii="Arial" w:hAnsi="Arial" w:cs="Arial"/>
          <w:sz w:val="24"/>
          <w:szCs w:val="24"/>
          <w:lang w:val="en-US"/>
        </w:rPr>
        <w:t xml:space="preserve">reditor which assumed the </w:t>
      </w:r>
      <w:r w:rsidR="00FE27D6">
        <w:rPr>
          <w:rFonts w:ascii="Arial" w:hAnsi="Arial" w:cs="Arial"/>
          <w:sz w:val="24"/>
          <w:szCs w:val="24"/>
          <w:lang w:val="en-US"/>
        </w:rPr>
        <w:t>risk of breach in terms of the c</w:t>
      </w:r>
      <w:r w:rsidR="00E37D9F" w:rsidRPr="00E37D9F">
        <w:rPr>
          <w:rFonts w:ascii="Arial" w:hAnsi="Arial" w:cs="Arial"/>
          <w:sz w:val="24"/>
          <w:szCs w:val="24"/>
          <w:lang w:val="en-US"/>
        </w:rPr>
        <w:t xml:space="preserve">ession agreement, and has further failed to adequately execute its obligation in </w:t>
      </w:r>
      <w:r w:rsidR="00FE27D6">
        <w:rPr>
          <w:rFonts w:ascii="Arial" w:hAnsi="Arial" w:cs="Arial"/>
          <w:sz w:val="24"/>
          <w:szCs w:val="24"/>
          <w:lang w:val="en-US"/>
        </w:rPr>
        <w:t>terms of both the loan and s</w:t>
      </w:r>
      <w:r w:rsidR="00E37D9F" w:rsidRPr="00E37D9F">
        <w:rPr>
          <w:rFonts w:ascii="Arial" w:hAnsi="Arial" w:cs="Arial"/>
          <w:sz w:val="24"/>
          <w:szCs w:val="24"/>
          <w:lang w:val="en-US"/>
        </w:rPr>
        <w:t xml:space="preserve">uretyship agreements. </w:t>
      </w:r>
      <w:r w:rsidR="00FE27D6" w:rsidRPr="00FE27D6">
        <w:rPr>
          <w:rFonts w:ascii="Arial" w:hAnsi="Arial" w:cs="Arial"/>
          <w:sz w:val="24"/>
          <w:szCs w:val="24"/>
          <w:lang w:val="en-US"/>
        </w:rPr>
        <w:t xml:space="preserve">It was further the second </w:t>
      </w:r>
      <w:r w:rsidR="007E1273" w:rsidRPr="00FE27D6">
        <w:rPr>
          <w:rFonts w:ascii="Arial" w:hAnsi="Arial" w:cs="Arial"/>
          <w:sz w:val="24"/>
          <w:szCs w:val="24"/>
          <w:lang w:val="en-US"/>
        </w:rPr>
        <w:t>defendant’s</w:t>
      </w:r>
      <w:r w:rsidR="00FE27D6" w:rsidRPr="00FE27D6">
        <w:rPr>
          <w:rFonts w:ascii="Arial" w:hAnsi="Arial" w:cs="Arial"/>
          <w:sz w:val="24"/>
          <w:szCs w:val="24"/>
          <w:lang w:val="en-US"/>
        </w:rPr>
        <w:t xml:space="preserve"> contention that such failure has the potential of prejudicing the second defendant to the extent that it is released of its liability as surety</w:t>
      </w:r>
      <w:r w:rsidR="002827C1">
        <w:rPr>
          <w:rFonts w:ascii="Arial" w:hAnsi="Arial" w:cs="Arial"/>
          <w:sz w:val="24"/>
          <w:szCs w:val="24"/>
          <w:lang w:val="en-US"/>
        </w:rPr>
        <w:t>.</w:t>
      </w:r>
    </w:p>
    <w:p w:rsidR="00FE27D6" w:rsidRDefault="00FE27D6" w:rsidP="00E37D9F">
      <w:pPr>
        <w:spacing w:after="0" w:line="360" w:lineRule="auto"/>
        <w:jc w:val="both"/>
        <w:rPr>
          <w:rFonts w:ascii="Arial" w:hAnsi="Arial" w:cs="Arial"/>
          <w:sz w:val="24"/>
          <w:szCs w:val="24"/>
          <w:lang w:val="en-US"/>
        </w:rPr>
      </w:pPr>
    </w:p>
    <w:p w:rsidR="00E37D9F" w:rsidRPr="00E37D9F" w:rsidRDefault="00FE27D6" w:rsidP="00E37D9F">
      <w:pPr>
        <w:spacing w:after="0"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M</w:t>
      </w:r>
      <w:r w:rsidR="00E37D9F" w:rsidRPr="00E37D9F">
        <w:rPr>
          <w:rFonts w:ascii="Arial" w:hAnsi="Arial" w:cs="Arial"/>
          <w:sz w:val="24"/>
          <w:szCs w:val="24"/>
          <w:lang w:val="en-US"/>
        </w:rPr>
        <w:t xml:space="preserve">oreover, it is the </w:t>
      </w:r>
      <w:r>
        <w:rPr>
          <w:rFonts w:ascii="Arial" w:hAnsi="Arial" w:cs="Arial"/>
          <w:sz w:val="24"/>
          <w:szCs w:val="24"/>
          <w:lang w:val="en-US"/>
        </w:rPr>
        <w:t>second d</w:t>
      </w:r>
      <w:r w:rsidR="00E37D9F" w:rsidRPr="00E37D9F">
        <w:rPr>
          <w:rFonts w:ascii="Arial" w:hAnsi="Arial" w:cs="Arial"/>
          <w:sz w:val="24"/>
          <w:szCs w:val="24"/>
          <w:lang w:val="en-US"/>
        </w:rPr>
        <w:t xml:space="preserve">efendants argument that the </w:t>
      </w:r>
      <w:r w:rsidR="00F92F84">
        <w:rPr>
          <w:rFonts w:ascii="Arial" w:hAnsi="Arial" w:cs="Arial"/>
          <w:sz w:val="24"/>
          <w:szCs w:val="24"/>
          <w:lang w:val="en-US"/>
        </w:rPr>
        <w:t>p</w:t>
      </w:r>
      <w:r w:rsidR="00E37D9F" w:rsidRPr="00E37D9F">
        <w:rPr>
          <w:rFonts w:ascii="Arial" w:hAnsi="Arial" w:cs="Arial"/>
          <w:sz w:val="24"/>
          <w:szCs w:val="24"/>
          <w:lang w:val="en-US"/>
        </w:rPr>
        <w:t xml:space="preserve">laintiff failed to execute its mandate as provided for in terms of clause 6 of the </w:t>
      </w:r>
      <w:r w:rsidR="00F92F84">
        <w:rPr>
          <w:rFonts w:ascii="Arial" w:hAnsi="Arial" w:cs="Arial"/>
          <w:sz w:val="24"/>
          <w:szCs w:val="24"/>
          <w:lang w:val="en-US"/>
        </w:rPr>
        <w:t>s</w:t>
      </w:r>
      <w:r w:rsidR="00E37D9F" w:rsidRPr="00E37D9F">
        <w:rPr>
          <w:rFonts w:ascii="Arial" w:hAnsi="Arial" w:cs="Arial"/>
          <w:sz w:val="24"/>
          <w:szCs w:val="24"/>
          <w:lang w:val="en-US"/>
        </w:rPr>
        <w:t xml:space="preserve">uretyship agreement to the extent that it was released from its liability during December 2013 when the </w:t>
      </w:r>
      <w:r w:rsidR="00F92F84">
        <w:rPr>
          <w:rFonts w:ascii="Arial" w:hAnsi="Arial" w:cs="Arial"/>
          <w:sz w:val="24"/>
          <w:szCs w:val="24"/>
          <w:lang w:val="en-US"/>
        </w:rPr>
        <w:t>t</w:t>
      </w:r>
      <w:r w:rsidR="00E37D9F" w:rsidRPr="00E37D9F">
        <w:rPr>
          <w:rFonts w:ascii="Arial" w:hAnsi="Arial" w:cs="Arial"/>
          <w:sz w:val="24"/>
          <w:szCs w:val="24"/>
          <w:lang w:val="en-US"/>
        </w:rPr>
        <w:t xml:space="preserve">hird </w:t>
      </w:r>
      <w:r w:rsidR="00F92F84">
        <w:rPr>
          <w:rFonts w:ascii="Arial" w:hAnsi="Arial" w:cs="Arial"/>
          <w:sz w:val="24"/>
          <w:szCs w:val="24"/>
          <w:lang w:val="en-US"/>
        </w:rPr>
        <w:t>d</w:t>
      </w:r>
      <w:r w:rsidR="00E37D9F" w:rsidRPr="00E37D9F">
        <w:rPr>
          <w:rFonts w:ascii="Arial" w:hAnsi="Arial" w:cs="Arial"/>
          <w:sz w:val="24"/>
          <w:szCs w:val="24"/>
          <w:lang w:val="en-US"/>
        </w:rPr>
        <w:t xml:space="preserve">efendant indicated its absorption of such liability and thereafter taking sole liability and control of the affairs of the </w:t>
      </w:r>
      <w:r w:rsidR="00F92F84">
        <w:rPr>
          <w:rFonts w:ascii="Arial" w:hAnsi="Arial" w:cs="Arial"/>
          <w:sz w:val="24"/>
          <w:szCs w:val="24"/>
          <w:lang w:val="en-US"/>
        </w:rPr>
        <w:t>f</w:t>
      </w:r>
      <w:r w:rsidR="00E37D9F" w:rsidRPr="00E37D9F">
        <w:rPr>
          <w:rFonts w:ascii="Arial" w:hAnsi="Arial" w:cs="Arial"/>
          <w:sz w:val="24"/>
          <w:szCs w:val="24"/>
          <w:lang w:val="en-US"/>
        </w:rPr>
        <w:t xml:space="preserve">irst </w:t>
      </w:r>
      <w:r w:rsidR="00F92F84">
        <w:rPr>
          <w:rFonts w:ascii="Arial" w:hAnsi="Arial" w:cs="Arial"/>
          <w:sz w:val="24"/>
          <w:szCs w:val="24"/>
          <w:lang w:val="en-US"/>
        </w:rPr>
        <w:t>d</w:t>
      </w:r>
      <w:r w:rsidR="00E37D9F" w:rsidRPr="00E37D9F">
        <w:rPr>
          <w:rFonts w:ascii="Arial" w:hAnsi="Arial" w:cs="Arial"/>
          <w:sz w:val="24"/>
          <w:szCs w:val="24"/>
          <w:lang w:val="en-US"/>
        </w:rPr>
        <w:t>efendant. The Plaintiffs has further failed to adhere to the condition precedents as contemplated in clause 5(c) and (e) of the loan agreement</w:t>
      </w:r>
      <w:r w:rsidR="00F92F84">
        <w:rPr>
          <w:rFonts w:ascii="Arial" w:hAnsi="Arial" w:cs="Arial"/>
          <w:sz w:val="24"/>
          <w:szCs w:val="24"/>
          <w:lang w:val="en-US"/>
        </w:rPr>
        <w:t>, the second defendant further agreed</w:t>
      </w:r>
      <w:r w:rsidR="00E37D9F" w:rsidRPr="00E37D9F">
        <w:rPr>
          <w:rFonts w:ascii="Arial" w:hAnsi="Arial" w:cs="Arial"/>
          <w:sz w:val="24"/>
          <w:szCs w:val="24"/>
          <w:lang w:val="en-US"/>
        </w:rPr>
        <w:t>.</w:t>
      </w:r>
    </w:p>
    <w:p w:rsidR="00546F25" w:rsidRDefault="00546F25" w:rsidP="00546F25">
      <w:pPr>
        <w:spacing w:after="0" w:line="360" w:lineRule="auto"/>
        <w:rPr>
          <w:rFonts w:ascii="Arial" w:hAnsi="Arial" w:cs="Arial"/>
          <w:i/>
          <w:sz w:val="24"/>
          <w:szCs w:val="24"/>
        </w:rPr>
      </w:pPr>
    </w:p>
    <w:p w:rsidR="00546F25" w:rsidRDefault="00546F25" w:rsidP="00546F25">
      <w:pPr>
        <w:spacing w:after="0" w:line="360" w:lineRule="auto"/>
        <w:rPr>
          <w:rFonts w:ascii="Arial" w:hAnsi="Arial" w:cs="Arial"/>
          <w:sz w:val="24"/>
          <w:szCs w:val="24"/>
          <w:u w:val="single"/>
        </w:rPr>
      </w:pPr>
      <w:r w:rsidRPr="00722D11">
        <w:rPr>
          <w:rFonts w:ascii="Arial" w:hAnsi="Arial" w:cs="Arial"/>
          <w:sz w:val="24"/>
          <w:szCs w:val="24"/>
          <w:u w:val="single"/>
        </w:rPr>
        <w:t xml:space="preserve">The law applicable </w:t>
      </w:r>
    </w:p>
    <w:p w:rsidR="007E1273" w:rsidRDefault="007E1273" w:rsidP="00546F25">
      <w:pPr>
        <w:spacing w:after="0" w:line="360" w:lineRule="auto"/>
        <w:rPr>
          <w:rFonts w:ascii="Arial" w:hAnsi="Arial" w:cs="Arial"/>
          <w:i/>
          <w:sz w:val="24"/>
          <w:szCs w:val="24"/>
        </w:rPr>
      </w:pPr>
    </w:p>
    <w:p w:rsidR="00546F25" w:rsidRDefault="00546F25" w:rsidP="00546F25">
      <w:pPr>
        <w:pStyle w:val="Style9"/>
        <w:spacing w:before="14" w:line="360" w:lineRule="auto"/>
      </w:pPr>
      <w:r w:rsidRPr="00FE6CD5">
        <w:t>[1</w:t>
      </w:r>
      <w:r w:rsidR="0076784A">
        <w:t>4</w:t>
      </w:r>
      <w:r w:rsidRPr="00FE6CD5">
        <w:t>]</w:t>
      </w:r>
      <w:r>
        <w:tab/>
        <w:t xml:space="preserve">The primary issue is whether the </w:t>
      </w:r>
      <w:r w:rsidR="007E1273">
        <w:t xml:space="preserve">second defendant </w:t>
      </w:r>
      <w:r>
        <w:t xml:space="preserve">had a legal duty or obligation towards the </w:t>
      </w:r>
      <w:r w:rsidR="00F92F84">
        <w:t>p</w:t>
      </w:r>
      <w:r w:rsidR="007E1273">
        <w:t>laintiff</w:t>
      </w:r>
      <w:r>
        <w:t xml:space="preserve"> as surety. A related issue is whether the plaintiff’s condu</w:t>
      </w:r>
      <w:r w:rsidR="00A73087">
        <w:t>ct has caused prejudice to the se</w:t>
      </w:r>
      <w:r w:rsidR="007E1273">
        <w:t>cond</w:t>
      </w:r>
      <w:r w:rsidR="00A73087">
        <w:t xml:space="preserve"> </w:t>
      </w:r>
      <w:r>
        <w:t xml:space="preserve">defendant such that, in law, the </w:t>
      </w:r>
      <w:r w:rsidR="007E1273">
        <w:t>second</w:t>
      </w:r>
      <w:r>
        <w:t xml:space="preserve"> defendant should be released of his obligation as surety. </w:t>
      </w:r>
      <w:r w:rsidRPr="005C1AE7">
        <w:t xml:space="preserve">The alleged prejudicial conduct complained of was </w:t>
      </w:r>
      <w:r w:rsidR="00F92F84">
        <w:t xml:space="preserve">that the </w:t>
      </w:r>
      <w:r w:rsidR="00F20F02">
        <w:t>plaintiff</w:t>
      </w:r>
      <w:r>
        <w:t xml:space="preserve"> did not </w:t>
      </w:r>
      <w:r w:rsidRPr="00C42F35">
        <w:t xml:space="preserve">comply </w:t>
      </w:r>
      <w:r>
        <w:t xml:space="preserve">with </w:t>
      </w:r>
      <w:r w:rsidR="00A73087" w:rsidRPr="00A73087">
        <w:rPr>
          <w:lang w:val="en-ZA"/>
        </w:rPr>
        <w:t>clause 6</w:t>
      </w:r>
      <w:r w:rsidR="00F20F02">
        <w:t xml:space="preserve"> of the </w:t>
      </w:r>
      <w:r w:rsidR="00B00CDC">
        <w:t>surety</w:t>
      </w:r>
      <w:r>
        <w:t xml:space="preserve"> agreement, </w:t>
      </w:r>
      <w:r w:rsidR="00F20F02" w:rsidRPr="00F20F02">
        <w:rPr>
          <w:lang w:val="en-ZA"/>
        </w:rPr>
        <w:t xml:space="preserve">to the extent that it was released from its liability during December 2013 </w:t>
      </w:r>
      <w:r w:rsidR="00F20F02">
        <w:rPr>
          <w:lang w:val="en-ZA"/>
        </w:rPr>
        <w:t>when the t</w:t>
      </w:r>
      <w:r w:rsidR="00F20F02" w:rsidRPr="00F20F02">
        <w:rPr>
          <w:lang w:val="en-ZA"/>
        </w:rPr>
        <w:t xml:space="preserve">hird </w:t>
      </w:r>
      <w:r w:rsidR="00F20F02">
        <w:rPr>
          <w:lang w:val="en-ZA"/>
        </w:rPr>
        <w:t>d</w:t>
      </w:r>
      <w:r w:rsidR="00F20F02" w:rsidRPr="00F20F02">
        <w:rPr>
          <w:lang w:val="en-ZA"/>
        </w:rPr>
        <w:t>efendant indicated its absorption of such liability and thereafter taking sole liability and contr</w:t>
      </w:r>
      <w:r w:rsidR="00F20F02">
        <w:rPr>
          <w:lang w:val="en-ZA"/>
        </w:rPr>
        <w:t>ol of the affairs of the first d</w:t>
      </w:r>
      <w:r w:rsidR="00F20F02" w:rsidRPr="00F20F02">
        <w:rPr>
          <w:lang w:val="en-ZA"/>
        </w:rPr>
        <w:t>efendan</w:t>
      </w:r>
      <w:r w:rsidR="00F20F02">
        <w:rPr>
          <w:lang w:val="en-ZA"/>
        </w:rPr>
        <w:t>t.</w:t>
      </w:r>
    </w:p>
    <w:p w:rsidR="00546F25" w:rsidRPr="003D1D0C" w:rsidRDefault="00546F25" w:rsidP="00546F25">
      <w:pPr>
        <w:rPr>
          <w:lang w:val="en-US" w:eastAsia="zh-CN" w:bidi="hi-IN"/>
        </w:rPr>
      </w:pPr>
    </w:p>
    <w:p w:rsidR="00546F25" w:rsidRPr="00861C57" w:rsidRDefault="00546F25" w:rsidP="00546F25">
      <w:pPr>
        <w:spacing w:after="0" w:line="360" w:lineRule="auto"/>
        <w:jc w:val="both"/>
        <w:rPr>
          <w:rFonts w:ascii="Arial" w:hAnsi="Arial" w:cs="Arial"/>
          <w:iCs/>
          <w:sz w:val="24"/>
          <w:szCs w:val="24"/>
          <w:shd w:val="clear" w:color="auto" w:fill="FFFFFF"/>
        </w:rPr>
      </w:pPr>
      <w:r w:rsidRPr="003D1D0C">
        <w:rPr>
          <w:rFonts w:ascii="Arial" w:hAnsi="Arial" w:cs="Arial"/>
          <w:sz w:val="24"/>
          <w:szCs w:val="24"/>
          <w:lang w:val="en-US" w:eastAsia="zh-CN" w:bidi="hi-IN"/>
        </w:rPr>
        <w:t>[1</w:t>
      </w:r>
      <w:r w:rsidR="0076784A">
        <w:rPr>
          <w:rFonts w:ascii="Arial" w:hAnsi="Arial" w:cs="Arial"/>
          <w:sz w:val="24"/>
          <w:szCs w:val="24"/>
          <w:lang w:val="en-US" w:eastAsia="zh-CN" w:bidi="hi-IN"/>
        </w:rPr>
        <w:t>5</w:t>
      </w:r>
      <w:r w:rsidRPr="003D1D0C">
        <w:rPr>
          <w:rFonts w:ascii="Arial" w:hAnsi="Arial" w:cs="Arial"/>
          <w:sz w:val="24"/>
          <w:szCs w:val="24"/>
          <w:lang w:val="en-US" w:eastAsia="zh-CN" w:bidi="hi-IN"/>
        </w:rPr>
        <w:t>]</w:t>
      </w:r>
      <w:r w:rsidRPr="003D1D0C">
        <w:rPr>
          <w:rFonts w:ascii="Arial" w:hAnsi="Arial" w:cs="Arial"/>
          <w:sz w:val="24"/>
          <w:szCs w:val="24"/>
          <w:lang w:val="en-US" w:eastAsia="zh-CN" w:bidi="hi-IN"/>
        </w:rPr>
        <w:tab/>
      </w:r>
      <w:r w:rsidRPr="00861C57">
        <w:rPr>
          <w:rFonts w:ascii="Arial" w:hAnsi="Arial" w:cs="Arial"/>
          <w:sz w:val="24"/>
          <w:szCs w:val="24"/>
          <w:shd w:val="clear" w:color="auto" w:fill="FFFFFF"/>
        </w:rPr>
        <w:t xml:space="preserve">In </w:t>
      </w:r>
      <w:r w:rsidRPr="00861C57">
        <w:rPr>
          <w:rFonts w:ascii="Arial" w:hAnsi="Arial" w:cs="Arial"/>
          <w:i/>
          <w:iCs/>
          <w:sz w:val="24"/>
          <w:szCs w:val="24"/>
          <w:shd w:val="clear" w:color="auto" w:fill="FFFFFF"/>
        </w:rPr>
        <w:t>Caney’s The Law of Suretyship</w:t>
      </w:r>
      <w:r w:rsidRPr="00861C57">
        <w:rPr>
          <w:rStyle w:val="FootnoteReference"/>
          <w:rFonts w:ascii="Arial" w:hAnsi="Arial" w:cs="Arial"/>
          <w:i/>
          <w:iCs/>
          <w:sz w:val="24"/>
          <w:szCs w:val="24"/>
          <w:shd w:val="clear" w:color="auto" w:fill="FFFFFF"/>
        </w:rPr>
        <w:footnoteReference w:id="1"/>
      </w:r>
      <w:r w:rsidRPr="00861C57">
        <w:rPr>
          <w:rFonts w:ascii="Arial" w:hAnsi="Arial" w:cs="Arial"/>
          <w:iCs/>
          <w:sz w:val="24"/>
          <w:szCs w:val="24"/>
          <w:shd w:val="clear" w:color="auto" w:fill="FFFFFF"/>
        </w:rPr>
        <w:t xml:space="preserve"> the learned authors identified two major categories and several sub-categories relating to discharge of the surety. The major categories are defined by whether the defence relates to the principal obligation or whether the defence relates to the surety’s own obligations under the contract of suretyship.  Extinction of the principal obligation is not applicable to the facts before me. Defences derived from the surety’s own contract </w:t>
      </w:r>
      <w:r w:rsidR="00697FBB">
        <w:rPr>
          <w:rFonts w:ascii="Arial" w:hAnsi="Arial" w:cs="Arial"/>
          <w:iCs/>
          <w:sz w:val="24"/>
          <w:szCs w:val="24"/>
          <w:shd w:val="clear" w:color="auto" w:fill="FFFFFF"/>
        </w:rPr>
        <w:t>are</w:t>
      </w:r>
      <w:r w:rsidRPr="00861C57">
        <w:rPr>
          <w:rFonts w:ascii="Arial" w:hAnsi="Arial" w:cs="Arial"/>
          <w:iCs/>
          <w:sz w:val="24"/>
          <w:szCs w:val="24"/>
          <w:shd w:val="clear" w:color="auto" w:fill="FFFFFF"/>
        </w:rPr>
        <w:t xml:space="preserve"> applicable to the matter </w:t>
      </w:r>
      <w:r w:rsidRPr="00861C57">
        <w:rPr>
          <w:rFonts w:ascii="Arial" w:hAnsi="Arial" w:cs="Arial"/>
          <w:i/>
          <w:iCs/>
          <w:sz w:val="24"/>
          <w:szCs w:val="24"/>
          <w:shd w:val="clear" w:color="auto" w:fill="FFFFFF"/>
        </w:rPr>
        <w:t>in casu</w:t>
      </w:r>
      <w:r w:rsidRPr="00861C57">
        <w:rPr>
          <w:rFonts w:ascii="Arial" w:hAnsi="Arial" w:cs="Arial"/>
          <w:iCs/>
          <w:sz w:val="24"/>
          <w:szCs w:val="24"/>
          <w:shd w:val="clear" w:color="auto" w:fill="FFFFFF"/>
        </w:rPr>
        <w:t>.</w:t>
      </w:r>
    </w:p>
    <w:p w:rsidR="00546F25" w:rsidRPr="00861C57" w:rsidRDefault="00546F25" w:rsidP="00546F25">
      <w:pPr>
        <w:spacing w:after="0" w:line="360" w:lineRule="auto"/>
        <w:jc w:val="both"/>
        <w:rPr>
          <w:rFonts w:ascii="Arial" w:hAnsi="Arial" w:cs="Arial"/>
          <w:iCs/>
          <w:sz w:val="24"/>
          <w:szCs w:val="24"/>
          <w:shd w:val="clear" w:color="auto" w:fill="FFFFFF"/>
        </w:rPr>
      </w:pPr>
    </w:p>
    <w:p w:rsidR="00546F25" w:rsidRPr="00861C57" w:rsidRDefault="00546F25" w:rsidP="00546F25">
      <w:pPr>
        <w:spacing w:line="360" w:lineRule="auto"/>
        <w:jc w:val="both"/>
        <w:rPr>
          <w:rFonts w:ascii="Arial" w:hAnsi="Arial" w:cs="Arial"/>
          <w:iCs/>
          <w:sz w:val="24"/>
          <w:szCs w:val="24"/>
          <w:shd w:val="clear" w:color="auto" w:fill="FFFFFF"/>
        </w:rPr>
      </w:pPr>
      <w:r w:rsidRPr="00861C57">
        <w:rPr>
          <w:rFonts w:ascii="Arial" w:hAnsi="Arial" w:cs="Arial"/>
          <w:iCs/>
          <w:sz w:val="24"/>
          <w:szCs w:val="24"/>
          <w:shd w:val="clear" w:color="auto" w:fill="FFFFFF"/>
        </w:rPr>
        <w:t>[1</w:t>
      </w:r>
      <w:r w:rsidR="0076784A">
        <w:rPr>
          <w:rFonts w:ascii="Arial" w:hAnsi="Arial" w:cs="Arial"/>
          <w:iCs/>
          <w:sz w:val="24"/>
          <w:szCs w:val="24"/>
          <w:shd w:val="clear" w:color="auto" w:fill="FFFFFF"/>
        </w:rPr>
        <w:t>6</w:t>
      </w:r>
      <w:r w:rsidRPr="00861C57">
        <w:rPr>
          <w:rFonts w:ascii="Arial" w:hAnsi="Arial" w:cs="Arial"/>
          <w:iCs/>
          <w:sz w:val="24"/>
          <w:szCs w:val="24"/>
          <w:shd w:val="clear" w:color="auto" w:fill="FFFFFF"/>
        </w:rPr>
        <w:t>]</w:t>
      </w:r>
      <w:r w:rsidRPr="00861C57">
        <w:rPr>
          <w:rFonts w:ascii="Arial" w:hAnsi="Arial" w:cs="Arial"/>
          <w:iCs/>
          <w:sz w:val="24"/>
          <w:szCs w:val="24"/>
          <w:shd w:val="clear" w:color="auto" w:fill="FFFFFF"/>
        </w:rPr>
        <w:tab/>
        <w:t xml:space="preserve">Discharge of the surety by virtue of his contract is enumerated as follows: </w:t>
      </w:r>
    </w:p>
    <w:p w:rsidR="00546F25" w:rsidRDefault="00546F25" w:rsidP="00AA3054">
      <w:pPr>
        <w:pStyle w:val="ListParagraph"/>
        <w:numPr>
          <w:ilvl w:val="0"/>
          <w:numId w:val="17"/>
        </w:numPr>
        <w:spacing w:line="360" w:lineRule="auto"/>
        <w:ind w:left="720" w:firstLine="0"/>
        <w:jc w:val="both"/>
        <w:rPr>
          <w:rFonts w:ascii="Arial" w:hAnsi="Arial" w:cs="Arial"/>
          <w:iCs/>
          <w:sz w:val="24"/>
          <w:szCs w:val="24"/>
          <w:shd w:val="clear" w:color="auto" w:fill="FFFFFF"/>
        </w:rPr>
      </w:pPr>
      <w:r w:rsidRPr="00157952">
        <w:rPr>
          <w:rFonts w:ascii="Arial" w:hAnsi="Arial" w:cs="Arial"/>
          <w:iCs/>
          <w:sz w:val="24"/>
          <w:szCs w:val="24"/>
          <w:shd w:val="clear" w:color="auto" w:fill="FFFFFF"/>
        </w:rPr>
        <w:t>Payment of the principal debt by the surety;</w:t>
      </w:r>
      <w:r w:rsidRPr="00861C57">
        <w:rPr>
          <w:rStyle w:val="FootnoteReference"/>
          <w:rFonts w:ascii="Arial" w:hAnsi="Arial" w:cs="Arial"/>
          <w:iCs/>
          <w:sz w:val="24"/>
          <w:szCs w:val="24"/>
          <w:shd w:val="clear" w:color="auto" w:fill="FFFFFF"/>
        </w:rPr>
        <w:footnoteReference w:id="2"/>
      </w:r>
    </w:p>
    <w:p w:rsidR="00546F25" w:rsidRDefault="00546F25" w:rsidP="00AA3054">
      <w:pPr>
        <w:pStyle w:val="ListParagraph"/>
        <w:numPr>
          <w:ilvl w:val="0"/>
          <w:numId w:val="17"/>
        </w:numPr>
        <w:spacing w:line="360" w:lineRule="auto"/>
        <w:ind w:left="720" w:firstLine="0"/>
        <w:jc w:val="both"/>
        <w:rPr>
          <w:rFonts w:ascii="Arial" w:hAnsi="Arial" w:cs="Arial"/>
          <w:iCs/>
          <w:sz w:val="24"/>
          <w:szCs w:val="24"/>
          <w:shd w:val="clear" w:color="auto" w:fill="FFFFFF"/>
        </w:rPr>
      </w:pPr>
      <w:r w:rsidRPr="00157952">
        <w:rPr>
          <w:rFonts w:ascii="Arial" w:hAnsi="Arial" w:cs="Arial"/>
          <w:iCs/>
          <w:sz w:val="24"/>
          <w:szCs w:val="24"/>
          <w:shd w:val="clear" w:color="auto" w:fill="FFFFFF"/>
        </w:rPr>
        <w:t>Effluxion of time;</w:t>
      </w:r>
      <w:r w:rsidRPr="00861C57">
        <w:rPr>
          <w:rStyle w:val="FootnoteReference"/>
          <w:rFonts w:ascii="Arial" w:hAnsi="Arial" w:cs="Arial"/>
          <w:iCs/>
          <w:sz w:val="24"/>
          <w:szCs w:val="24"/>
          <w:shd w:val="clear" w:color="auto" w:fill="FFFFFF"/>
        </w:rPr>
        <w:footnoteReference w:id="3"/>
      </w:r>
    </w:p>
    <w:p w:rsidR="00546F25" w:rsidRDefault="00546F25" w:rsidP="00AA3054">
      <w:pPr>
        <w:pStyle w:val="ListParagraph"/>
        <w:numPr>
          <w:ilvl w:val="0"/>
          <w:numId w:val="17"/>
        </w:numPr>
        <w:spacing w:line="360" w:lineRule="auto"/>
        <w:ind w:left="720" w:firstLine="0"/>
        <w:jc w:val="both"/>
        <w:rPr>
          <w:rFonts w:ascii="Arial" w:hAnsi="Arial" w:cs="Arial"/>
          <w:iCs/>
          <w:sz w:val="24"/>
          <w:szCs w:val="24"/>
          <w:shd w:val="clear" w:color="auto" w:fill="FFFFFF"/>
        </w:rPr>
      </w:pPr>
      <w:r w:rsidRPr="00157952">
        <w:rPr>
          <w:rFonts w:ascii="Arial" w:hAnsi="Arial" w:cs="Arial"/>
          <w:iCs/>
          <w:sz w:val="24"/>
          <w:szCs w:val="24"/>
          <w:shd w:val="clear" w:color="auto" w:fill="FFFFFF"/>
        </w:rPr>
        <w:t>Prejudice through a material alteration in the principal debt;</w:t>
      </w:r>
      <w:r w:rsidRPr="00861C57">
        <w:rPr>
          <w:rStyle w:val="FootnoteReference"/>
          <w:rFonts w:ascii="Arial" w:hAnsi="Arial" w:cs="Arial"/>
          <w:iCs/>
          <w:sz w:val="24"/>
          <w:szCs w:val="24"/>
          <w:shd w:val="clear" w:color="auto" w:fill="FFFFFF"/>
        </w:rPr>
        <w:footnoteReference w:id="4"/>
      </w:r>
    </w:p>
    <w:p w:rsidR="00546F25" w:rsidRDefault="00546F25" w:rsidP="00AA3054">
      <w:pPr>
        <w:pStyle w:val="ListParagraph"/>
        <w:numPr>
          <w:ilvl w:val="0"/>
          <w:numId w:val="17"/>
        </w:numPr>
        <w:spacing w:line="360" w:lineRule="auto"/>
        <w:ind w:left="720" w:firstLine="0"/>
        <w:jc w:val="both"/>
        <w:rPr>
          <w:rFonts w:ascii="Arial" w:hAnsi="Arial" w:cs="Arial"/>
          <w:iCs/>
          <w:sz w:val="24"/>
          <w:szCs w:val="24"/>
          <w:shd w:val="clear" w:color="auto" w:fill="FFFFFF"/>
        </w:rPr>
      </w:pPr>
      <w:r w:rsidRPr="00157952">
        <w:rPr>
          <w:rFonts w:ascii="Arial" w:hAnsi="Arial" w:cs="Arial"/>
          <w:iCs/>
          <w:sz w:val="24"/>
          <w:szCs w:val="24"/>
          <w:shd w:val="clear" w:color="auto" w:fill="FFFFFF"/>
        </w:rPr>
        <w:t>Prejudice through an extension of time;</w:t>
      </w:r>
      <w:r w:rsidRPr="00861C57">
        <w:rPr>
          <w:rStyle w:val="FootnoteReference"/>
          <w:rFonts w:ascii="Arial" w:hAnsi="Arial" w:cs="Arial"/>
          <w:iCs/>
          <w:sz w:val="24"/>
          <w:szCs w:val="24"/>
          <w:shd w:val="clear" w:color="auto" w:fill="FFFFFF"/>
        </w:rPr>
        <w:footnoteReference w:id="5"/>
      </w:r>
    </w:p>
    <w:p w:rsidR="00546F25" w:rsidRPr="00157952" w:rsidRDefault="00546F25" w:rsidP="002827C1">
      <w:pPr>
        <w:pStyle w:val="ListParagraph"/>
        <w:numPr>
          <w:ilvl w:val="0"/>
          <w:numId w:val="17"/>
        </w:numPr>
        <w:spacing w:after="0" w:line="360" w:lineRule="auto"/>
        <w:ind w:left="720" w:firstLine="0"/>
        <w:jc w:val="both"/>
        <w:rPr>
          <w:rFonts w:ascii="Arial" w:hAnsi="Arial" w:cs="Arial"/>
          <w:iCs/>
          <w:sz w:val="24"/>
          <w:szCs w:val="24"/>
          <w:shd w:val="clear" w:color="auto" w:fill="FFFFFF"/>
        </w:rPr>
      </w:pPr>
      <w:r w:rsidRPr="00157952">
        <w:rPr>
          <w:rFonts w:ascii="Arial" w:hAnsi="Arial" w:cs="Arial"/>
          <w:iCs/>
          <w:sz w:val="24"/>
          <w:szCs w:val="24"/>
          <w:shd w:val="clear" w:color="auto" w:fill="FFFFFF"/>
        </w:rPr>
        <w:t>Breach of contract with the surety.</w:t>
      </w:r>
      <w:r w:rsidRPr="00861C57">
        <w:rPr>
          <w:rStyle w:val="FootnoteReference"/>
          <w:rFonts w:ascii="Arial" w:hAnsi="Arial" w:cs="Arial"/>
          <w:iCs/>
          <w:sz w:val="24"/>
          <w:szCs w:val="24"/>
          <w:shd w:val="clear" w:color="auto" w:fill="FFFFFF"/>
        </w:rPr>
        <w:footnoteReference w:id="6"/>
      </w:r>
    </w:p>
    <w:p w:rsidR="00546F25" w:rsidRPr="001E6E43" w:rsidRDefault="00546F25" w:rsidP="00546F25">
      <w:pPr>
        <w:spacing w:after="0" w:line="360" w:lineRule="auto"/>
        <w:jc w:val="both"/>
        <w:rPr>
          <w:rFonts w:ascii="Arial" w:hAnsi="Arial" w:cs="Arial"/>
          <w:i/>
          <w:sz w:val="24"/>
          <w:szCs w:val="24"/>
          <w:lang w:val="en-US" w:eastAsia="zh-CN" w:bidi="hi-IN"/>
        </w:rPr>
      </w:pPr>
    </w:p>
    <w:p w:rsidR="00546F25" w:rsidRDefault="00546F25" w:rsidP="00546F25">
      <w:pPr>
        <w:spacing w:after="0" w:line="360" w:lineRule="auto"/>
        <w:jc w:val="both"/>
        <w:rPr>
          <w:rFonts w:ascii="Arial" w:hAnsi="Arial" w:cs="Arial"/>
          <w:sz w:val="24"/>
          <w:szCs w:val="24"/>
          <w:lang w:val="en-US" w:eastAsia="zh-CN" w:bidi="hi-IN"/>
        </w:rPr>
      </w:pPr>
      <w:r>
        <w:rPr>
          <w:rFonts w:ascii="Arial" w:hAnsi="Arial" w:cs="Arial"/>
          <w:sz w:val="24"/>
          <w:szCs w:val="24"/>
          <w:lang w:val="en-US" w:eastAsia="zh-CN" w:bidi="hi-IN"/>
        </w:rPr>
        <w:t>[1</w:t>
      </w:r>
      <w:r w:rsidR="00396015">
        <w:rPr>
          <w:rFonts w:ascii="Arial" w:hAnsi="Arial" w:cs="Arial"/>
          <w:sz w:val="24"/>
          <w:szCs w:val="24"/>
          <w:lang w:val="en-US" w:eastAsia="zh-CN" w:bidi="hi-IN"/>
        </w:rPr>
        <w:t>7</w:t>
      </w:r>
      <w:r>
        <w:rPr>
          <w:rFonts w:ascii="Arial" w:hAnsi="Arial" w:cs="Arial"/>
          <w:sz w:val="24"/>
          <w:szCs w:val="24"/>
          <w:lang w:val="en-US" w:eastAsia="zh-CN" w:bidi="hi-IN"/>
        </w:rPr>
        <w:t>]</w:t>
      </w:r>
      <w:r>
        <w:rPr>
          <w:rFonts w:ascii="Arial" w:hAnsi="Arial" w:cs="Arial"/>
          <w:sz w:val="24"/>
          <w:szCs w:val="24"/>
          <w:lang w:val="en-US" w:eastAsia="zh-CN" w:bidi="hi-IN"/>
        </w:rPr>
        <w:tab/>
        <w:t>In respect of breach of contract with surety</w:t>
      </w:r>
      <w:r w:rsidR="00A46CA6">
        <w:rPr>
          <w:rFonts w:ascii="Arial" w:hAnsi="Arial" w:cs="Arial"/>
          <w:sz w:val="24"/>
          <w:szCs w:val="24"/>
          <w:lang w:val="en-US" w:eastAsia="zh-CN" w:bidi="hi-IN"/>
        </w:rPr>
        <w:t>,</w:t>
      </w:r>
      <w:r>
        <w:rPr>
          <w:rFonts w:ascii="Arial" w:hAnsi="Arial" w:cs="Arial"/>
          <w:sz w:val="24"/>
          <w:szCs w:val="24"/>
          <w:lang w:val="en-US" w:eastAsia="zh-CN" w:bidi="hi-IN"/>
        </w:rPr>
        <w:t xml:space="preserve"> the surety is released because the creditor is in breach of a duty undertaken either expressly or impliedly in the suretyship, and that the duty formed a condition upon which basis the surety has undertaken his obligations.</w:t>
      </w:r>
      <w:r>
        <w:rPr>
          <w:rStyle w:val="FootnoteReference"/>
          <w:rFonts w:ascii="Arial" w:hAnsi="Arial" w:cs="Arial"/>
          <w:sz w:val="24"/>
          <w:szCs w:val="24"/>
          <w:lang w:val="en-US" w:eastAsia="zh-CN" w:bidi="hi-IN"/>
        </w:rPr>
        <w:footnoteReference w:id="7"/>
      </w:r>
    </w:p>
    <w:p w:rsidR="00546F25" w:rsidRDefault="00546F25" w:rsidP="00546F25">
      <w:pPr>
        <w:spacing w:after="0" w:line="360" w:lineRule="auto"/>
        <w:jc w:val="both"/>
        <w:rPr>
          <w:rFonts w:ascii="Arial" w:hAnsi="Arial" w:cs="Arial"/>
          <w:sz w:val="24"/>
          <w:szCs w:val="24"/>
          <w:lang w:val="en-US" w:eastAsia="zh-CN" w:bidi="hi-IN"/>
        </w:rPr>
      </w:pPr>
    </w:p>
    <w:p w:rsidR="0076784A" w:rsidRPr="0076784A" w:rsidRDefault="00546F25" w:rsidP="0076784A">
      <w:pPr>
        <w:spacing w:after="0" w:line="360" w:lineRule="auto"/>
        <w:jc w:val="both"/>
        <w:rPr>
          <w:rFonts w:ascii="Arial" w:hAnsi="Arial" w:cs="Arial"/>
          <w:sz w:val="24"/>
          <w:szCs w:val="24"/>
          <w:lang w:eastAsia="zh-CN" w:bidi="hi-IN"/>
        </w:rPr>
      </w:pPr>
      <w:r>
        <w:rPr>
          <w:rFonts w:ascii="Arial" w:hAnsi="Arial" w:cs="Arial"/>
          <w:sz w:val="24"/>
          <w:szCs w:val="24"/>
          <w:lang w:val="en-US" w:eastAsia="zh-CN" w:bidi="hi-IN"/>
        </w:rPr>
        <w:t>[1</w:t>
      </w:r>
      <w:r w:rsidR="001C26A3">
        <w:rPr>
          <w:rFonts w:ascii="Arial" w:hAnsi="Arial" w:cs="Arial"/>
          <w:sz w:val="24"/>
          <w:szCs w:val="24"/>
          <w:lang w:val="en-US" w:eastAsia="zh-CN" w:bidi="hi-IN"/>
        </w:rPr>
        <w:t>8</w:t>
      </w:r>
      <w:r>
        <w:rPr>
          <w:rFonts w:ascii="Arial" w:hAnsi="Arial" w:cs="Arial"/>
          <w:sz w:val="24"/>
          <w:szCs w:val="24"/>
          <w:lang w:val="en-US" w:eastAsia="zh-CN" w:bidi="hi-IN"/>
        </w:rPr>
        <w:t>]</w:t>
      </w:r>
      <w:r>
        <w:rPr>
          <w:rFonts w:ascii="Arial" w:hAnsi="Arial" w:cs="Arial"/>
          <w:sz w:val="24"/>
          <w:szCs w:val="24"/>
          <w:lang w:val="en-US" w:eastAsia="zh-CN" w:bidi="hi-IN"/>
        </w:rPr>
        <w:tab/>
      </w:r>
      <w:r w:rsidR="00F92F84">
        <w:rPr>
          <w:rFonts w:ascii="Arial" w:hAnsi="Arial" w:cs="Arial"/>
          <w:sz w:val="24"/>
          <w:szCs w:val="24"/>
          <w:lang w:val="en-US" w:eastAsia="zh-CN" w:bidi="hi-IN"/>
        </w:rPr>
        <w:t xml:space="preserve">In </w:t>
      </w:r>
      <w:r w:rsidR="0076784A" w:rsidRPr="0076784A">
        <w:rPr>
          <w:rFonts w:ascii="Arial" w:hAnsi="Arial" w:cs="Arial"/>
          <w:i/>
          <w:sz w:val="24"/>
          <w:szCs w:val="24"/>
          <w:lang w:eastAsia="zh-CN" w:bidi="hi-IN"/>
        </w:rPr>
        <w:t>Development Bank of Namibia v Keystone Technology Solution</w:t>
      </w:r>
      <w:r w:rsidR="00C60153" w:rsidRPr="00C60153">
        <w:rPr>
          <w:rFonts w:ascii="Arial" w:hAnsi="Arial" w:cs="Arial"/>
          <w:sz w:val="24"/>
          <w:szCs w:val="24"/>
          <w:lang w:eastAsia="zh-CN" w:bidi="hi-IN"/>
        </w:rPr>
        <w:t>,</w:t>
      </w:r>
      <w:r w:rsidR="00377DAB">
        <w:rPr>
          <w:rStyle w:val="FootnoteReference"/>
          <w:rFonts w:ascii="Arial" w:hAnsi="Arial" w:cs="Arial"/>
          <w:i/>
          <w:sz w:val="24"/>
          <w:szCs w:val="24"/>
          <w:lang w:eastAsia="zh-CN" w:bidi="hi-IN"/>
        </w:rPr>
        <w:footnoteReference w:id="8"/>
      </w:r>
      <w:r w:rsidR="0076784A">
        <w:rPr>
          <w:rFonts w:ascii="Arial" w:hAnsi="Arial" w:cs="Arial"/>
          <w:sz w:val="24"/>
          <w:szCs w:val="24"/>
          <w:lang w:eastAsia="zh-CN" w:bidi="hi-IN"/>
        </w:rPr>
        <w:t xml:space="preserve"> Prinsloo</w:t>
      </w:r>
      <w:r w:rsidR="00377DAB">
        <w:rPr>
          <w:rFonts w:ascii="Arial" w:hAnsi="Arial" w:cs="Arial"/>
          <w:sz w:val="24"/>
          <w:szCs w:val="24"/>
          <w:lang w:eastAsia="zh-CN" w:bidi="hi-IN"/>
        </w:rPr>
        <w:t>,</w:t>
      </w:r>
      <w:r w:rsidR="0076784A">
        <w:rPr>
          <w:rFonts w:ascii="Arial" w:hAnsi="Arial" w:cs="Arial"/>
          <w:sz w:val="24"/>
          <w:szCs w:val="24"/>
          <w:lang w:eastAsia="zh-CN" w:bidi="hi-IN"/>
        </w:rPr>
        <w:t xml:space="preserve"> J stated:</w:t>
      </w:r>
      <w:r w:rsidR="0076784A" w:rsidRPr="0076784A">
        <w:rPr>
          <w:rFonts w:ascii="Arial" w:hAnsi="Arial" w:cs="Arial"/>
          <w:sz w:val="24"/>
          <w:szCs w:val="24"/>
          <w:lang w:eastAsia="zh-CN" w:bidi="hi-IN"/>
        </w:rPr>
        <w:t xml:space="preserve"> </w:t>
      </w:r>
    </w:p>
    <w:p w:rsidR="0076784A" w:rsidRDefault="0076784A" w:rsidP="0076784A">
      <w:pPr>
        <w:spacing w:after="0" w:line="360" w:lineRule="auto"/>
        <w:ind w:firstLine="720"/>
        <w:jc w:val="both"/>
        <w:rPr>
          <w:rFonts w:ascii="Arial" w:hAnsi="Arial" w:cs="Arial"/>
          <w:sz w:val="24"/>
          <w:szCs w:val="24"/>
        </w:rPr>
      </w:pPr>
    </w:p>
    <w:p w:rsidR="00546F25" w:rsidRDefault="0076784A" w:rsidP="0076784A">
      <w:pPr>
        <w:spacing w:after="0" w:line="360" w:lineRule="auto"/>
        <w:ind w:firstLine="720"/>
        <w:jc w:val="both"/>
        <w:rPr>
          <w:rFonts w:ascii="Arial" w:hAnsi="Arial" w:cs="Arial"/>
          <w:sz w:val="24"/>
          <w:szCs w:val="24"/>
        </w:rPr>
      </w:pPr>
      <w:r>
        <w:rPr>
          <w:rFonts w:ascii="Arial" w:hAnsi="Arial" w:cs="Arial"/>
          <w:sz w:val="24"/>
          <w:szCs w:val="24"/>
        </w:rPr>
        <w:t>‘</w:t>
      </w:r>
      <w:r w:rsidR="00546F25" w:rsidRPr="0076784A">
        <w:rPr>
          <w:rFonts w:ascii="Arial" w:hAnsi="Arial" w:cs="Arial"/>
        </w:rPr>
        <w:t>There is no principle in our law that states that should a creditor’s actions in respect of the principal debtor prejudice a surety, the surety can be released from its obligations under the deed of suretyship. The only instance where a surety can be released (totally or partially) is where there has been a breach of a legal duty or obligation by the creditor that was required from the creditor in terms of the principal agreement (e.g. loan agreement)  and/or the deed of suretyship</w:t>
      </w:r>
      <w:r w:rsidR="00C60153">
        <w:rPr>
          <w:rFonts w:ascii="Arial" w:hAnsi="Arial" w:cs="Arial"/>
        </w:rPr>
        <w:t>.</w:t>
      </w:r>
      <w:r w:rsidRPr="0076784A">
        <w:rPr>
          <w:rFonts w:ascii="Arial" w:hAnsi="Arial" w:cs="Arial"/>
        </w:rPr>
        <w:t>’</w:t>
      </w:r>
    </w:p>
    <w:p w:rsidR="00C60153" w:rsidRPr="008B2EE5" w:rsidRDefault="00C60153" w:rsidP="0076784A">
      <w:pPr>
        <w:spacing w:after="0" w:line="360" w:lineRule="auto"/>
        <w:ind w:firstLine="720"/>
        <w:jc w:val="both"/>
        <w:rPr>
          <w:rFonts w:ascii="Arial" w:hAnsi="Arial" w:cs="Arial"/>
          <w:sz w:val="24"/>
          <w:szCs w:val="24"/>
        </w:rPr>
      </w:pPr>
    </w:p>
    <w:p w:rsidR="00546F25" w:rsidRDefault="00546F25" w:rsidP="00546F25">
      <w:pPr>
        <w:spacing w:after="0" w:line="360" w:lineRule="auto"/>
        <w:jc w:val="both"/>
        <w:rPr>
          <w:rFonts w:ascii="Arial" w:hAnsi="Arial" w:cs="Arial"/>
          <w:sz w:val="24"/>
          <w:szCs w:val="24"/>
        </w:rPr>
      </w:pPr>
      <w:r>
        <w:rPr>
          <w:rFonts w:ascii="Arial" w:hAnsi="Arial" w:cs="Arial"/>
          <w:sz w:val="24"/>
          <w:szCs w:val="24"/>
        </w:rPr>
        <w:t>[</w:t>
      </w:r>
      <w:r w:rsidR="001C26A3">
        <w:rPr>
          <w:rFonts w:ascii="Arial" w:hAnsi="Arial" w:cs="Arial"/>
          <w:sz w:val="24"/>
          <w:szCs w:val="24"/>
        </w:rPr>
        <w:t>19</w:t>
      </w:r>
      <w:r>
        <w:rPr>
          <w:rFonts w:ascii="Arial" w:hAnsi="Arial" w:cs="Arial"/>
          <w:sz w:val="24"/>
          <w:szCs w:val="24"/>
        </w:rPr>
        <w:t>]</w:t>
      </w:r>
      <w:r>
        <w:rPr>
          <w:rFonts w:ascii="Arial" w:hAnsi="Arial" w:cs="Arial"/>
          <w:sz w:val="24"/>
          <w:szCs w:val="24"/>
        </w:rPr>
        <w:tab/>
        <w:t>The issue</w:t>
      </w:r>
      <w:r w:rsidRPr="003D1D0C">
        <w:rPr>
          <w:rFonts w:ascii="Arial" w:hAnsi="Arial" w:cs="Arial"/>
          <w:sz w:val="24"/>
          <w:szCs w:val="24"/>
        </w:rPr>
        <w:t xml:space="preserve"> relating to the release of a surety as a result of prejudice caused to him or her by the actions of the creditor was se</w:t>
      </w:r>
      <w:r w:rsidR="00697FBB">
        <w:rPr>
          <w:rFonts w:ascii="Arial" w:hAnsi="Arial" w:cs="Arial"/>
          <w:sz w:val="24"/>
          <w:szCs w:val="24"/>
        </w:rPr>
        <w:t xml:space="preserve">t out as follows by </w:t>
      </w:r>
      <w:r w:rsidRPr="003D1D0C">
        <w:rPr>
          <w:rFonts w:ascii="Arial" w:hAnsi="Arial" w:cs="Arial"/>
          <w:sz w:val="24"/>
          <w:szCs w:val="24"/>
        </w:rPr>
        <w:t>Olivier</w:t>
      </w:r>
      <w:r w:rsidR="00697FBB">
        <w:rPr>
          <w:rFonts w:ascii="Arial" w:hAnsi="Arial" w:cs="Arial"/>
          <w:sz w:val="24"/>
          <w:szCs w:val="24"/>
        </w:rPr>
        <w:t>,</w:t>
      </w:r>
      <w:r w:rsidRPr="003D1D0C">
        <w:rPr>
          <w:rFonts w:ascii="Arial" w:hAnsi="Arial" w:cs="Arial"/>
          <w:sz w:val="24"/>
          <w:szCs w:val="24"/>
        </w:rPr>
        <w:t xml:space="preserve"> JA in </w:t>
      </w:r>
      <w:r w:rsidRPr="003D1D0C">
        <w:rPr>
          <w:rFonts w:ascii="Arial" w:hAnsi="Arial" w:cs="Arial"/>
          <w:i/>
          <w:sz w:val="24"/>
          <w:szCs w:val="24"/>
        </w:rPr>
        <w:t>Absa Bank Ltd v Davidson</w:t>
      </w:r>
      <w:r w:rsidRPr="003D1D0C">
        <w:rPr>
          <w:rFonts w:ascii="Arial" w:hAnsi="Arial" w:cs="Arial"/>
          <w:sz w:val="24"/>
          <w:szCs w:val="24"/>
        </w:rPr>
        <w:t>:</w:t>
      </w:r>
      <w:r w:rsidR="002827C1">
        <w:rPr>
          <w:rStyle w:val="FootnoteReference"/>
          <w:rFonts w:ascii="Arial" w:hAnsi="Arial" w:cs="Arial"/>
          <w:sz w:val="24"/>
          <w:szCs w:val="24"/>
        </w:rPr>
        <w:footnoteReference w:id="9"/>
      </w:r>
      <w:r w:rsidRPr="003D1D0C">
        <w:rPr>
          <w:rFonts w:ascii="Arial" w:hAnsi="Arial" w:cs="Arial"/>
          <w:sz w:val="24"/>
          <w:szCs w:val="24"/>
        </w:rPr>
        <w:t xml:space="preserve"> </w:t>
      </w:r>
    </w:p>
    <w:p w:rsidR="00546F25" w:rsidRDefault="00546F25" w:rsidP="00546F25">
      <w:pPr>
        <w:spacing w:after="0" w:line="360" w:lineRule="auto"/>
        <w:jc w:val="both"/>
        <w:rPr>
          <w:rFonts w:ascii="Arial" w:hAnsi="Arial" w:cs="Arial"/>
          <w:sz w:val="24"/>
          <w:szCs w:val="24"/>
        </w:rPr>
      </w:pPr>
    </w:p>
    <w:p w:rsidR="00546F25" w:rsidRDefault="00546F25" w:rsidP="005F007F">
      <w:pPr>
        <w:spacing w:after="0" w:line="360" w:lineRule="auto"/>
        <w:ind w:firstLine="720"/>
        <w:jc w:val="both"/>
        <w:rPr>
          <w:rFonts w:ascii="Arial" w:hAnsi="Arial" w:cs="Arial"/>
          <w:sz w:val="24"/>
          <w:szCs w:val="24"/>
        </w:rPr>
      </w:pPr>
      <w:r>
        <w:rPr>
          <w:rFonts w:ascii="Arial" w:hAnsi="Arial" w:cs="Arial"/>
          <w:sz w:val="24"/>
          <w:szCs w:val="24"/>
        </w:rPr>
        <w:t>‘</w:t>
      </w:r>
      <w:r w:rsidRPr="003D1D0C">
        <w:rPr>
          <w:rFonts w:ascii="Arial" w:hAnsi="Arial" w:cs="Arial"/>
        </w:rPr>
        <w:t>As a general proposition prejudice caused to the surety can only release the surety (whether totally or partially) if the prejudice is the result of a breach of some or other legal duty or obligation. The prime sources of a creditor</w:t>
      </w:r>
      <w:r>
        <w:rPr>
          <w:rFonts w:ascii="Arial" w:hAnsi="Arial" w:cs="Arial"/>
        </w:rPr>
        <w:t>’</w:t>
      </w:r>
      <w:r w:rsidRPr="003D1D0C">
        <w:rPr>
          <w:rFonts w:ascii="Arial" w:hAnsi="Arial" w:cs="Arial"/>
        </w:rPr>
        <w:t>s rights, duties and obligations are the principal agreement and the deed of suretyship</w:t>
      </w:r>
      <w:r w:rsidR="002827C1">
        <w:rPr>
          <w:rFonts w:ascii="Arial" w:hAnsi="Arial" w:cs="Arial"/>
        </w:rPr>
        <w:t>.</w:t>
      </w:r>
      <w:r>
        <w:rPr>
          <w:rStyle w:val="FootnoteReference"/>
          <w:rFonts w:ascii="Arial" w:hAnsi="Arial" w:cs="Arial"/>
        </w:rPr>
        <w:footnoteReference w:id="10"/>
      </w:r>
      <w:r w:rsidRPr="003D1D0C">
        <w:rPr>
          <w:rFonts w:ascii="Arial" w:hAnsi="Arial" w:cs="Arial"/>
        </w:rPr>
        <w:t xml:space="preserve"> If . . . the alleged prejudice was caused by conduct falling within the terms of the principal agreement or the deed of suretyship, the prejudice suffered was one which the</w:t>
      </w:r>
      <w:r w:rsidR="005F007F">
        <w:rPr>
          <w:rFonts w:ascii="Arial" w:hAnsi="Arial" w:cs="Arial"/>
        </w:rPr>
        <w:t xml:space="preserve"> surety undertook to suffer. . .</w:t>
      </w:r>
      <w:r>
        <w:rPr>
          <w:rFonts w:ascii="Arial" w:hAnsi="Arial" w:cs="Arial"/>
          <w:sz w:val="24"/>
          <w:szCs w:val="24"/>
        </w:rPr>
        <w:t>’</w:t>
      </w:r>
      <w:r w:rsidRPr="003D1D0C">
        <w:rPr>
          <w:rFonts w:ascii="Arial" w:hAnsi="Arial" w:cs="Arial"/>
          <w:sz w:val="24"/>
          <w:szCs w:val="24"/>
        </w:rPr>
        <w:t xml:space="preserve"> </w:t>
      </w:r>
      <w:r>
        <w:rPr>
          <w:rStyle w:val="FootnoteReference"/>
          <w:rFonts w:ascii="Arial" w:hAnsi="Arial" w:cs="Arial"/>
          <w:sz w:val="24"/>
          <w:szCs w:val="24"/>
        </w:rPr>
        <w:footnoteReference w:id="11"/>
      </w:r>
    </w:p>
    <w:p w:rsidR="00546F25" w:rsidRDefault="00546F25" w:rsidP="00546F25">
      <w:pPr>
        <w:spacing w:after="0" w:line="360" w:lineRule="auto"/>
        <w:jc w:val="both"/>
        <w:rPr>
          <w:rFonts w:ascii="Arial" w:hAnsi="Arial" w:cs="Arial"/>
          <w:sz w:val="24"/>
          <w:szCs w:val="24"/>
          <w:lang w:val="en-US" w:eastAsia="zh-CN" w:bidi="hi-IN"/>
        </w:rPr>
      </w:pPr>
    </w:p>
    <w:p w:rsidR="00546F25" w:rsidRDefault="00546F25" w:rsidP="00546F25">
      <w:pPr>
        <w:spacing w:after="0" w:line="360" w:lineRule="auto"/>
        <w:jc w:val="both"/>
        <w:rPr>
          <w:rFonts w:ascii="Arial" w:hAnsi="Arial" w:cs="Arial"/>
          <w:sz w:val="24"/>
          <w:szCs w:val="24"/>
        </w:rPr>
      </w:pPr>
      <w:r>
        <w:rPr>
          <w:rFonts w:ascii="Arial" w:hAnsi="Arial" w:cs="Arial"/>
          <w:sz w:val="24"/>
          <w:szCs w:val="24"/>
          <w:lang w:val="en-US" w:eastAsia="zh-CN" w:bidi="hi-IN"/>
        </w:rPr>
        <w:t>[20]</w:t>
      </w:r>
      <w:r>
        <w:rPr>
          <w:rFonts w:ascii="Arial" w:hAnsi="Arial" w:cs="Arial"/>
          <w:sz w:val="24"/>
          <w:szCs w:val="24"/>
          <w:lang w:val="en-US" w:eastAsia="zh-CN" w:bidi="hi-IN"/>
        </w:rPr>
        <w:tab/>
      </w:r>
      <w:r w:rsidRPr="008B2EE5">
        <w:rPr>
          <w:rFonts w:ascii="Arial" w:hAnsi="Arial" w:cs="Arial"/>
          <w:sz w:val="24"/>
          <w:szCs w:val="24"/>
        </w:rPr>
        <w:t>Prejudice to a surety will only release the surety from liability if the prejudice is the result of a breach of a legal duty or obligation owed by the creditor. The primary sources of a creditor’s duties and obligations are the principal agreement and the suretyship. If the</w:t>
      </w:r>
      <w:r w:rsidR="00F92F84">
        <w:rPr>
          <w:rFonts w:ascii="Arial" w:hAnsi="Arial" w:cs="Arial"/>
          <w:sz w:val="24"/>
          <w:szCs w:val="24"/>
        </w:rPr>
        <w:t xml:space="preserve"> prejudice complained of resulted</w:t>
      </w:r>
      <w:r w:rsidRPr="008B2EE5">
        <w:rPr>
          <w:rFonts w:ascii="Arial" w:hAnsi="Arial" w:cs="Arial"/>
          <w:sz w:val="24"/>
          <w:szCs w:val="24"/>
        </w:rPr>
        <w:t xml:space="preserve"> from </w:t>
      </w:r>
      <w:r w:rsidR="00325CC9">
        <w:rPr>
          <w:rFonts w:ascii="Arial" w:hAnsi="Arial" w:cs="Arial"/>
          <w:sz w:val="24"/>
          <w:szCs w:val="24"/>
        </w:rPr>
        <w:t xml:space="preserve">a </w:t>
      </w:r>
      <w:r w:rsidRPr="008B2EE5">
        <w:rPr>
          <w:rFonts w:ascii="Arial" w:hAnsi="Arial" w:cs="Arial"/>
          <w:sz w:val="24"/>
          <w:szCs w:val="24"/>
        </w:rPr>
        <w:t>conduct falling within the terms of the principal agreement or the deed of suretyship, the surety could not rely upon such prejudice in order to escape liability.</w:t>
      </w:r>
      <w:r w:rsidR="008D4061">
        <w:rPr>
          <w:rStyle w:val="FootnoteReference"/>
          <w:rFonts w:ascii="Arial" w:hAnsi="Arial" w:cs="Arial"/>
          <w:sz w:val="24"/>
          <w:szCs w:val="24"/>
        </w:rPr>
        <w:footnoteReference w:id="12"/>
      </w:r>
    </w:p>
    <w:p w:rsidR="00FE7F9C" w:rsidRDefault="00FE7F9C" w:rsidP="00546F25">
      <w:pPr>
        <w:spacing w:after="0" w:line="360" w:lineRule="auto"/>
        <w:jc w:val="both"/>
        <w:rPr>
          <w:rFonts w:ascii="Arial" w:hAnsi="Arial" w:cs="Arial"/>
          <w:sz w:val="24"/>
          <w:szCs w:val="24"/>
        </w:rPr>
      </w:pPr>
    </w:p>
    <w:p w:rsidR="00FE7F9C" w:rsidRPr="00FE7F9C" w:rsidRDefault="00FE7F9C" w:rsidP="00546F25">
      <w:pPr>
        <w:spacing w:after="0" w:line="360" w:lineRule="auto"/>
        <w:jc w:val="both"/>
        <w:rPr>
          <w:rFonts w:ascii="Arial" w:hAnsi="Arial" w:cs="Arial"/>
          <w:sz w:val="24"/>
          <w:szCs w:val="24"/>
          <w:u w:val="single"/>
        </w:rPr>
      </w:pPr>
      <w:r w:rsidRPr="00FE7F9C">
        <w:rPr>
          <w:rFonts w:ascii="Arial" w:hAnsi="Arial" w:cs="Arial"/>
          <w:sz w:val="24"/>
          <w:szCs w:val="24"/>
          <w:u w:val="single"/>
        </w:rPr>
        <w:t>Application of the law to the facts</w:t>
      </w:r>
    </w:p>
    <w:p w:rsidR="00546F25" w:rsidRDefault="00546F25" w:rsidP="00546F25">
      <w:pPr>
        <w:spacing w:after="0" w:line="360" w:lineRule="auto"/>
        <w:jc w:val="both"/>
        <w:rPr>
          <w:rFonts w:ascii="Arial" w:hAnsi="Arial" w:cs="Arial"/>
          <w:sz w:val="24"/>
          <w:szCs w:val="24"/>
        </w:rPr>
      </w:pPr>
    </w:p>
    <w:p w:rsidR="00FA1CB5" w:rsidRDefault="00546F25" w:rsidP="00546F25">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213BE4">
        <w:rPr>
          <w:rFonts w:ascii="Arial" w:hAnsi="Arial" w:cs="Arial"/>
          <w:sz w:val="24"/>
          <w:szCs w:val="24"/>
        </w:rPr>
        <w:t>I should note that the surety agreement and the loan agreement used in this matter and the matter of</w:t>
      </w:r>
      <w:r w:rsidR="00213BE4" w:rsidRPr="00213BE4">
        <w:rPr>
          <w:rFonts w:ascii="Arial" w:hAnsi="Arial" w:cs="Arial"/>
          <w:i/>
          <w:sz w:val="24"/>
          <w:szCs w:val="24"/>
          <w:lang w:eastAsia="zh-CN" w:bidi="hi-IN"/>
        </w:rPr>
        <w:t xml:space="preserve"> </w:t>
      </w:r>
      <w:r w:rsidR="00213BE4" w:rsidRPr="00213BE4">
        <w:rPr>
          <w:rFonts w:ascii="Arial" w:hAnsi="Arial" w:cs="Arial"/>
          <w:i/>
          <w:sz w:val="24"/>
          <w:szCs w:val="24"/>
        </w:rPr>
        <w:t>Development Bank of Namibia v Keystone Technology Solution</w:t>
      </w:r>
      <w:r w:rsidR="00213BE4" w:rsidRPr="00213BE4">
        <w:rPr>
          <w:rFonts w:ascii="Arial" w:hAnsi="Arial" w:cs="Arial"/>
          <w:sz w:val="24"/>
          <w:szCs w:val="24"/>
        </w:rPr>
        <w:t xml:space="preserve"> are</w:t>
      </w:r>
      <w:r w:rsidR="00213BE4">
        <w:rPr>
          <w:rFonts w:ascii="Arial" w:hAnsi="Arial" w:cs="Arial"/>
          <w:i/>
          <w:sz w:val="24"/>
          <w:szCs w:val="24"/>
        </w:rPr>
        <w:t xml:space="preserve"> </w:t>
      </w:r>
      <w:r w:rsidR="00213BE4" w:rsidRPr="00213BE4">
        <w:rPr>
          <w:rFonts w:ascii="Arial" w:hAnsi="Arial" w:cs="Arial"/>
          <w:sz w:val="24"/>
          <w:szCs w:val="24"/>
        </w:rPr>
        <w:t>almost identical</w:t>
      </w:r>
      <w:r w:rsidR="00325CC9">
        <w:rPr>
          <w:rFonts w:ascii="Arial" w:hAnsi="Arial" w:cs="Arial"/>
          <w:sz w:val="24"/>
          <w:szCs w:val="24"/>
        </w:rPr>
        <w:t xml:space="preserve"> and this court will</w:t>
      </w:r>
      <w:r w:rsidR="008256EF">
        <w:rPr>
          <w:rFonts w:ascii="Arial" w:hAnsi="Arial" w:cs="Arial"/>
          <w:sz w:val="24"/>
          <w:szCs w:val="24"/>
        </w:rPr>
        <w:t xml:space="preserve"> follow the sentiments expressed by Prinsloo, J</w:t>
      </w:r>
      <w:r w:rsidR="00213BE4">
        <w:rPr>
          <w:rFonts w:ascii="Arial" w:hAnsi="Arial" w:cs="Arial"/>
          <w:sz w:val="24"/>
          <w:szCs w:val="24"/>
        </w:rPr>
        <w:t xml:space="preserve"> as the correct position</w:t>
      </w:r>
      <w:r w:rsidR="00FA1CB5">
        <w:rPr>
          <w:rFonts w:ascii="Arial" w:hAnsi="Arial" w:cs="Arial"/>
          <w:sz w:val="24"/>
          <w:szCs w:val="24"/>
        </w:rPr>
        <w:t xml:space="preserve"> </w:t>
      </w:r>
      <w:r w:rsidR="00325CC9">
        <w:rPr>
          <w:rFonts w:ascii="Arial" w:hAnsi="Arial" w:cs="Arial"/>
          <w:sz w:val="24"/>
          <w:szCs w:val="24"/>
        </w:rPr>
        <w:t>of law</w:t>
      </w:r>
      <w:r w:rsidR="00FA1CB5">
        <w:rPr>
          <w:rFonts w:ascii="Arial" w:hAnsi="Arial" w:cs="Arial"/>
          <w:sz w:val="24"/>
          <w:szCs w:val="24"/>
        </w:rPr>
        <w:t xml:space="preserve"> dealing with </w:t>
      </w:r>
      <w:r w:rsidR="00AA3054">
        <w:rPr>
          <w:rFonts w:ascii="Arial" w:hAnsi="Arial" w:cs="Arial"/>
          <w:sz w:val="24"/>
          <w:szCs w:val="24"/>
        </w:rPr>
        <w:t xml:space="preserve">these types of </w:t>
      </w:r>
      <w:r w:rsidR="00FA1CB5">
        <w:rPr>
          <w:rFonts w:ascii="Arial" w:hAnsi="Arial" w:cs="Arial"/>
          <w:sz w:val="24"/>
          <w:szCs w:val="24"/>
        </w:rPr>
        <w:t xml:space="preserve">matters </w:t>
      </w:r>
      <w:r w:rsidR="00325CC9">
        <w:rPr>
          <w:rFonts w:ascii="Arial" w:hAnsi="Arial" w:cs="Arial"/>
          <w:sz w:val="24"/>
          <w:szCs w:val="24"/>
        </w:rPr>
        <w:t xml:space="preserve">and </w:t>
      </w:r>
      <w:r w:rsidR="00AA3054">
        <w:rPr>
          <w:rFonts w:ascii="Arial" w:hAnsi="Arial" w:cs="Arial"/>
          <w:sz w:val="24"/>
          <w:szCs w:val="24"/>
        </w:rPr>
        <w:t>will apply the principles adopted therein</w:t>
      </w:r>
      <w:r w:rsidR="00157952">
        <w:rPr>
          <w:rFonts w:ascii="Arial" w:hAnsi="Arial" w:cs="Arial"/>
          <w:sz w:val="24"/>
          <w:szCs w:val="24"/>
        </w:rPr>
        <w:t>.</w:t>
      </w:r>
    </w:p>
    <w:p w:rsidR="00546F25" w:rsidRDefault="00546F25" w:rsidP="00546F25">
      <w:pPr>
        <w:shd w:val="clear" w:color="auto" w:fill="FFFFFF"/>
        <w:spacing w:after="0" w:line="360" w:lineRule="auto"/>
        <w:jc w:val="both"/>
        <w:rPr>
          <w:rFonts w:ascii="Arial" w:eastAsia="Times New Roman" w:hAnsi="Arial" w:cs="Arial"/>
          <w:color w:val="000000"/>
          <w:sz w:val="24"/>
          <w:szCs w:val="24"/>
          <w:lang w:val="en-US"/>
        </w:rPr>
      </w:pPr>
    </w:p>
    <w:p w:rsidR="00546F25" w:rsidRDefault="00131043" w:rsidP="001C26A3">
      <w:pPr>
        <w:shd w:val="clear" w:color="auto" w:fill="FFFFFF"/>
        <w:spacing w:after="0" w:line="360" w:lineRule="auto"/>
        <w:jc w:val="both"/>
        <w:rPr>
          <w:rFonts w:ascii="Arial" w:hAnsi="Arial" w:cs="Arial"/>
          <w:sz w:val="24"/>
          <w:szCs w:val="24"/>
          <w:lang w:val="en-US" w:eastAsia="zh-CN" w:bidi="hi-IN"/>
        </w:rPr>
      </w:pPr>
      <w:r>
        <w:rPr>
          <w:rFonts w:ascii="Arial" w:eastAsia="Times New Roman" w:hAnsi="Arial" w:cs="Arial"/>
          <w:color w:val="000000"/>
          <w:sz w:val="24"/>
          <w:szCs w:val="24"/>
          <w:lang w:val="en-US"/>
        </w:rPr>
        <w:t>[22</w:t>
      </w:r>
      <w:r w:rsidR="00546F25">
        <w:rPr>
          <w:rFonts w:ascii="Arial" w:eastAsia="Times New Roman" w:hAnsi="Arial" w:cs="Arial"/>
          <w:color w:val="000000"/>
          <w:sz w:val="24"/>
          <w:szCs w:val="24"/>
          <w:lang w:val="en-US"/>
        </w:rPr>
        <w:t>]</w:t>
      </w:r>
      <w:r w:rsidR="00546F25">
        <w:rPr>
          <w:rFonts w:ascii="Arial" w:eastAsia="Times New Roman" w:hAnsi="Arial" w:cs="Arial"/>
          <w:color w:val="000000"/>
          <w:sz w:val="24"/>
          <w:szCs w:val="24"/>
          <w:lang w:val="en-US"/>
        </w:rPr>
        <w:tab/>
      </w:r>
      <w:r w:rsidR="00546F25">
        <w:rPr>
          <w:rFonts w:ascii="Arial" w:hAnsi="Arial" w:cs="Arial"/>
          <w:sz w:val="24"/>
          <w:szCs w:val="24"/>
          <w:lang w:val="en-US" w:eastAsia="zh-CN" w:bidi="hi-IN"/>
        </w:rPr>
        <w:t xml:space="preserve"> </w:t>
      </w:r>
      <w:r w:rsidR="00E62F85">
        <w:rPr>
          <w:rFonts w:ascii="Arial" w:hAnsi="Arial" w:cs="Arial"/>
          <w:sz w:val="24"/>
          <w:szCs w:val="24"/>
          <w:lang w:val="en-US" w:eastAsia="zh-CN" w:bidi="hi-IN"/>
        </w:rPr>
        <w:t>Furthermore, I canno</w:t>
      </w:r>
      <w:r w:rsidR="008256EF">
        <w:rPr>
          <w:rFonts w:ascii="Arial" w:hAnsi="Arial" w:cs="Arial"/>
          <w:sz w:val="24"/>
          <w:szCs w:val="24"/>
          <w:lang w:val="en-US" w:eastAsia="zh-CN" w:bidi="hi-IN"/>
        </w:rPr>
        <w:t>t agree with the submissions by</w:t>
      </w:r>
      <w:r w:rsidR="00E62F85">
        <w:rPr>
          <w:rFonts w:ascii="Arial" w:hAnsi="Arial" w:cs="Arial"/>
          <w:sz w:val="24"/>
          <w:szCs w:val="24"/>
          <w:lang w:val="en-US" w:eastAsia="zh-CN" w:bidi="hi-IN"/>
        </w:rPr>
        <w:t xml:space="preserve"> counsel for the second </w:t>
      </w:r>
      <w:r w:rsidR="008256EF">
        <w:rPr>
          <w:rFonts w:ascii="Arial" w:hAnsi="Arial" w:cs="Arial"/>
          <w:sz w:val="24"/>
          <w:szCs w:val="24"/>
          <w:lang w:val="en-US" w:eastAsia="zh-CN" w:bidi="hi-IN"/>
        </w:rPr>
        <w:t xml:space="preserve">defendant </w:t>
      </w:r>
      <w:r w:rsidR="00E62F85">
        <w:rPr>
          <w:rFonts w:ascii="Arial" w:hAnsi="Arial" w:cs="Arial"/>
          <w:sz w:val="24"/>
          <w:szCs w:val="24"/>
          <w:lang w:val="en-US" w:eastAsia="zh-CN" w:bidi="hi-IN"/>
        </w:rPr>
        <w:t xml:space="preserve">for the following reasons. Firstly, looking at the agreement of cession, </w:t>
      </w:r>
      <w:r w:rsidR="00F15F10">
        <w:rPr>
          <w:rFonts w:ascii="Arial" w:hAnsi="Arial" w:cs="Arial"/>
          <w:sz w:val="24"/>
          <w:szCs w:val="24"/>
          <w:lang w:val="en-US" w:eastAsia="zh-CN" w:bidi="hi-IN"/>
        </w:rPr>
        <w:t>clause 4 of the cession agreement holds that:</w:t>
      </w:r>
    </w:p>
    <w:p w:rsidR="00F15F10" w:rsidRDefault="00F15F10" w:rsidP="001C26A3">
      <w:pPr>
        <w:shd w:val="clear" w:color="auto" w:fill="FFFFFF"/>
        <w:spacing w:after="0" w:line="360" w:lineRule="auto"/>
        <w:jc w:val="both"/>
        <w:rPr>
          <w:rFonts w:ascii="Arial" w:hAnsi="Arial" w:cs="Arial"/>
          <w:sz w:val="24"/>
          <w:szCs w:val="24"/>
          <w:lang w:val="en-US" w:eastAsia="zh-CN" w:bidi="hi-IN"/>
        </w:rPr>
      </w:pPr>
    </w:p>
    <w:p w:rsidR="00F15F10" w:rsidRDefault="00F15F10" w:rsidP="001C26A3">
      <w:pPr>
        <w:shd w:val="clear" w:color="auto" w:fill="FFFFFF"/>
        <w:spacing w:after="0" w:line="360" w:lineRule="auto"/>
        <w:jc w:val="both"/>
        <w:rPr>
          <w:rFonts w:ascii="Arial" w:hAnsi="Arial" w:cs="Arial"/>
          <w:sz w:val="24"/>
          <w:szCs w:val="24"/>
          <w:lang w:val="en-US" w:eastAsia="zh-CN" w:bidi="hi-IN"/>
        </w:rPr>
      </w:pPr>
      <w:r>
        <w:rPr>
          <w:rFonts w:ascii="Arial" w:hAnsi="Arial" w:cs="Arial"/>
          <w:sz w:val="24"/>
          <w:szCs w:val="24"/>
          <w:lang w:val="en-US" w:eastAsia="zh-CN" w:bidi="hi-IN"/>
        </w:rPr>
        <w:tab/>
      </w:r>
      <w:r w:rsidRPr="00C764C4">
        <w:rPr>
          <w:rFonts w:ascii="Arial" w:hAnsi="Arial" w:cs="Arial"/>
          <w:szCs w:val="24"/>
          <w:lang w:val="en-US" w:eastAsia="zh-CN" w:bidi="hi-IN"/>
        </w:rPr>
        <w:t xml:space="preserve">‘The </w:t>
      </w:r>
      <w:r w:rsidR="00C764C4" w:rsidRPr="00C764C4">
        <w:rPr>
          <w:rFonts w:ascii="Arial" w:hAnsi="Arial" w:cs="Arial"/>
          <w:szCs w:val="24"/>
          <w:lang w:val="en-US" w:eastAsia="zh-CN" w:bidi="hi-IN"/>
        </w:rPr>
        <w:t>Cessionary undertakes in favour of the Creditor not to hold the Creditor liable for any payment due in terms of this Cession in the event of the Cedent not performing their obligations in terms of the Contract resulting therein that no payments become due to them in terms of the Contract.</w:t>
      </w:r>
    </w:p>
    <w:p w:rsidR="00546F25" w:rsidRDefault="00546F25" w:rsidP="00546F25">
      <w:pPr>
        <w:spacing w:line="360" w:lineRule="auto"/>
        <w:jc w:val="both"/>
        <w:rPr>
          <w:rFonts w:ascii="Arial" w:hAnsi="Arial" w:cs="Arial"/>
          <w:sz w:val="24"/>
          <w:szCs w:val="24"/>
          <w:lang w:val="en-US" w:eastAsia="zh-CN" w:bidi="hi-IN"/>
        </w:rPr>
      </w:pPr>
    </w:p>
    <w:p w:rsidR="00C764C4" w:rsidRDefault="00C764C4" w:rsidP="00673D5D">
      <w:pPr>
        <w:spacing w:after="0" w:line="360" w:lineRule="auto"/>
        <w:jc w:val="both"/>
        <w:rPr>
          <w:rFonts w:ascii="Arial" w:hAnsi="Arial" w:cs="Arial"/>
          <w:sz w:val="24"/>
          <w:szCs w:val="24"/>
          <w:lang w:val="en-US" w:eastAsia="zh-CN" w:bidi="hi-IN"/>
        </w:rPr>
      </w:pPr>
      <w:r>
        <w:rPr>
          <w:rFonts w:ascii="Arial" w:hAnsi="Arial" w:cs="Arial"/>
          <w:sz w:val="24"/>
          <w:szCs w:val="24"/>
          <w:lang w:val="en-US" w:eastAsia="zh-CN" w:bidi="hi-IN"/>
        </w:rPr>
        <w:t>[23]</w:t>
      </w:r>
      <w:r>
        <w:rPr>
          <w:rFonts w:ascii="Arial" w:hAnsi="Arial" w:cs="Arial"/>
          <w:sz w:val="24"/>
          <w:szCs w:val="24"/>
          <w:lang w:val="en-US" w:eastAsia="zh-CN" w:bidi="hi-IN"/>
        </w:rPr>
        <w:tab/>
        <w:t>In the cession agreement, the Opuwo Town Council was therein referred to as the creditor, the plaintiff as the cessionary and the first defendant as the cedent, therefore, in other words, in the cession agreement, the plaintiff was not to hold the creditor liable in the event where the first defendant failed to make good the monthly payments to the plaintiff. In effect, Opuwo Town Council as the creditor in the primary loan agreement was excluded from being liable for the monthly payments due to the plainti</w:t>
      </w:r>
      <w:r w:rsidR="008256EF">
        <w:rPr>
          <w:rFonts w:ascii="Arial" w:hAnsi="Arial" w:cs="Arial"/>
          <w:sz w:val="24"/>
          <w:szCs w:val="24"/>
          <w:lang w:val="en-US" w:eastAsia="zh-CN" w:bidi="hi-IN"/>
        </w:rPr>
        <w:t>ff by</w:t>
      </w:r>
      <w:r>
        <w:rPr>
          <w:rFonts w:ascii="Arial" w:hAnsi="Arial" w:cs="Arial"/>
          <w:sz w:val="24"/>
          <w:szCs w:val="24"/>
          <w:lang w:val="en-US" w:eastAsia="zh-CN" w:bidi="hi-IN"/>
        </w:rPr>
        <w:t xml:space="preserve"> the first defendant. Therefore, the submissions by counsel for the second defendant that the plaintiff ought to have held the Opuwo Town Council liable for the monthly payments does not hold </w:t>
      </w:r>
      <w:r w:rsidR="008256EF">
        <w:rPr>
          <w:rFonts w:ascii="Arial" w:hAnsi="Arial" w:cs="Arial"/>
          <w:sz w:val="24"/>
          <w:szCs w:val="24"/>
          <w:lang w:val="en-US" w:eastAsia="zh-CN" w:bidi="hi-IN"/>
        </w:rPr>
        <w:t>water, therefore</w:t>
      </w:r>
      <w:r>
        <w:rPr>
          <w:rFonts w:ascii="Arial" w:hAnsi="Arial" w:cs="Arial"/>
          <w:sz w:val="24"/>
          <w:szCs w:val="24"/>
          <w:lang w:val="en-US" w:eastAsia="zh-CN" w:bidi="hi-IN"/>
        </w:rPr>
        <w:t xml:space="preserve"> merit</w:t>
      </w:r>
      <w:r w:rsidR="008256EF">
        <w:rPr>
          <w:rFonts w:ascii="Arial" w:hAnsi="Arial" w:cs="Arial"/>
          <w:sz w:val="24"/>
          <w:szCs w:val="24"/>
          <w:lang w:val="en-US" w:eastAsia="zh-CN" w:bidi="hi-IN"/>
        </w:rPr>
        <w:t>less</w:t>
      </w:r>
      <w:r>
        <w:rPr>
          <w:rFonts w:ascii="Arial" w:hAnsi="Arial" w:cs="Arial"/>
          <w:sz w:val="24"/>
          <w:szCs w:val="24"/>
          <w:lang w:val="en-US" w:eastAsia="zh-CN" w:bidi="hi-IN"/>
        </w:rPr>
        <w:t>.</w:t>
      </w:r>
    </w:p>
    <w:p w:rsidR="00C764C4" w:rsidRDefault="00C764C4" w:rsidP="00673D5D">
      <w:pPr>
        <w:spacing w:after="0" w:line="360" w:lineRule="auto"/>
        <w:jc w:val="both"/>
        <w:rPr>
          <w:rFonts w:ascii="Arial" w:hAnsi="Arial" w:cs="Arial"/>
          <w:sz w:val="24"/>
          <w:szCs w:val="24"/>
          <w:lang w:val="en-US" w:eastAsia="zh-CN" w:bidi="hi-IN"/>
        </w:rPr>
      </w:pPr>
    </w:p>
    <w:p w:rsidR="00C764C4" w:rsidRDefault="00C764C4" w:rsidP="008F7C1A">
      <w:pPr>
        <w:spacing w:after="0" w:line="360" w:lineRule="auto"/>
        <w:jc w:val="both"/>
        <w:rPr>
          <w:rFonts w:ascii="Arial" w:hAnsi="Arial" w:cs="Arial"/>
          <w:sz w:val="24"/>
          <w:szCs w:val="24"/>
          <w:lang w:val="en-US" w:eastAsia="zh-CN" w:bidi="hi-IN"/>
        </w:rPr>
      </w:pPr>
      <w:r>
        <w:rPr>
          <w:rFonts w:ascii="Arial" w:hAnsi="Arial" w:cs="Arial"/>
          <w:sz w:val="24"/>
          <w:szCs w:val="24"/>
          <w:lang w:val="en-US" w:eastAsia="zh-CN" w:bidi="hi-IN"/>
        </w:rPr>
        <w:t>[24]</w:t>
      </w:r>
      <w:r>
        <w:rPr>
          <w:rFonts w:ascii="Arial" w:hAnsi="Arial" w:cs="Arial"/>
          <w:sz w:val="24"/>
          <w:szCs w:val="24"/>
          <w:lang w:val="en-US" w:eastAsia="zh-CN" w:bidi="hi-IN"/>
        </w:rPr>
        <w:tab/>
        <w:t>Furthermore, looking at the provisions of the suretyship agreement, specifically clause</w:t>
      </w:r>
      <w:r w:rsidR="000D6759">
        <w:rPr>
          <w:rFonts w:ascii="Arial" w:hAnsi="Arial" w:cs="Arial"/>
          <w:sz w:val="24"/>
          <w:szCs w:val="24"/>
          <w:lang w:val="en-US" w:eastAsia="zh-CN" w:bidi="hi-IN"/>
        </w:rPr>
        <w:t xml:space="preserve"> 6 detailing </w:t>
      </w:r>
      <w:r w:rsidR="00D25960">
        <w:rPr>
          <w:rFonts w:ascii="Arial" w:hAnsi="Arial" w:cs="Arial"/>
          <w:sz w:val="24"/>
          <w:szCs w:val="24"/>
          <w:lang w:val="en-US" w:eastAsia="zh-CN" w:bidi="hi-IN"/>
        </w:rPr>
        <w:t xml:space="preserve">with </w:t>
      </w:r>
      <w:r w:rsidR="000D6759">
        <w:rPr>
          <w:rFonts w:ascii="Arial" w:hAnsi="Arial" w:cs="Arial"/>
          <w:sz w:val="24"/>
          <w:szCs w:val="24"/>
          <w:lang w:val="en-US" w:eastAsia="zh-CN" w:bidi="hi-IN"/>
        </w:rPr>
        <w:t xml:space="preserve">the conditions wherein a surety will be released from the obligations as depicted in that agreement, it provides that </w:t>
      </w:r>
      <w:r w:rsidR="003D6A09">
        <w:rPr>
          <w:rFonts w:ascii="Arial" w:hAnsi="Arial" w:cs="Arial"/>
          <w:sz w:val="24"/>
          <w:szCs w:val="24"/>
          <w:lang w:val="en-US" w:eastAsia="zh-CN" w:bidi="hi-IN"/>
        </w:rPr>
        <w:t>a surety would only be released once the amount outstanding on the loan agreement is paid in full, notwithstanding any notice of termination given by any surety to be released from the suretyship agreement. Therefore, in other words, a surety would only</w:t>
      </w:r>
      <w:r w:rsidR="00D25960">
        <w:rPr>
          <w:rFonts w:ascii="Arial" w:hAnsi="Arial" w:cs="Arial"/>
          <w:sz w:val="24"/>
          <w:szCs w:val="24"/>
          <w:lang w:val="en-US" w:eastAsia="zh-CN" w:bidi="hi-IN"/>
        </w:rPr>
        <w:t xml:space="preserve"> be</w:t>
      </w:r>
      <w:r w:rsidR="003D6A09">
        <w:rPr>
          <w:rFonts w:ascii="Arial" w:hAnsi="Arial" w:cs="Arial"/>
          <w:sz w:val="24"/>
          <w:szCs w:val="24"/>
          <w:lang w:val="en-US" w:eastAsia="zh-CN" w:bidi="hi-IN"/>
        </w:rPr>
        <w:t xml:space="preserve"> released from the suretyship agreement once the full amount as owed to the creditor by the debtor, in this case being the debt owed to the plaintiff. </w:t>
      </w:r>
      <w:r w:rsidR="00130BCE">
        <w:rPr>
          <w:rFonts w:ascii="Arial" w:hAnsi="Arial" w:cs="Arial"/>
          <w:sz w:val="24"/>
          <w:szCs w:val="24"/>
          <w:lang w:val="en-US" w:eastAsia="zh-CN" w:bidi="hi-IN"/>
        </w:rPr>
        <w:t>Even if the second defendant were to give notice to terminate his surety on behalf of the first defendant, the second defendant would only be released in accordance with the suretyship agreement, when the debt owed to the plaintiff is paid in full. This condition in the suretys</w:t>
      </w:r>
      <w:r w:rsidR="00D25960">
        <w:rPr>
          <w:rFonts w:ascii="Arial" w:hAnsi="Arial" w:cs="Arial"/>
          <w:sz w:val="24"/>
          <w:szCs w:val="24"/>
          <w:lang w:val="en-US" w:eastAsia="zh-CN" w:bidi="hi-IN"/>
        </w:rPr>
        <w:t>hip agreement is unconditional and</w:t>
      </w:r>
      <w:r w:rsidR="00130BCE">
        <w:rPr>
          <w:rFonts w:ascii="Arial" w:hAnsi="Arial" w:cs="Arial"/>
          <w:sz w:val="24"/>
          <w:szCs w:val="24"/>
          <w:lang w:val="en-US" w:eastAsia="zh-CN" w:bidi="hi-IN"/>
        </w:rPr>
        <w:t xml:space="preserve"> not subject to any other terms in the agreement other than those highlighted.</w:t>
      </w:r>
    </w:p>
    <w:p w:rsidR="003A6B48" w:rsidRDefault="003A6B48" w:rsidP="008F7C1A">
      <w:pPr>
        <w:spacing w:after="0" w:line="360" w:lineRule="auto"/>
        <w:jc w:val="both"/>
        <w:rPr>
          <w:rFonts w:ascii="Arial" w:hAnsi="Arial" w:cs="Arial"/>
          <w:sz w:val="24"/>
          <w:szCs w:val="24"/>
          <w:lang w:val="en-US" w:eastAsia="zh-CN" w:bidi="hi-IN"/>
        </w:rPr>
      </w:pPr>
    </w:p>
    <w:p w:rsidR="003A6B48" w:rsidRDefault="003A6B48" w:rsidP="008F7C1A">
      <w:pPr>
        <w:spacing w:after="0" w:line="360" w:lineRule="auto"/>
        <w:jc w:val="both"/>
        <w:rPr>
          <w:rFonts w:ascii="Arial" w:hAnsi="Arial" w:cs="Arial"/>
          <w:sz w:val="24"/>
          <w:szCs w:val="24"/>
          <w:lang w:val="en-US" w:eastAsia="zh-CN" w:bidi="hi-IN"/>
        </w:rPr>
      </w:pPr>
      <w:r>
        <w:rPr>
          <w:rFonts w:ascii="Arial" w:hAnsi="Arial" w:cs="Arial"/>
          <w:sz w:val="24"/>
          <w:szCs w:val="24"/>
          <w:lang w:val="en-US" w:eastAsia="zh-CN" w:bidi="hi-IN"/>
        </w:rPr>
        <w:t>[25]</w:t>
      </w:r>
      <w:r>
        <w:rPr>
          <w:rFonts w:ascii="Arial" w:hAnsi="Arial" w:cs="Arial"/>
          <w:sz w:val="24"/>
          <w:szCs w:val="24"/>
          <w:lang w:val="en-US" w:eastAsia="zh-CN" w:bidi="hi-IN"/>
        </w:rPr>
        <w:tab/>
        <w:t>Consequently and wi</w:t>
      </w:r>
      <w:r w:rsidR="008426A6">
        <w:rPr>
          <w:rFonts w:ascii="Arial" w:hAnsi="Arial" w:cs="Arial"/>
          <w:sz w:val="24"/>
          <w:szCs w:val="24"/>
          <w:lang w:val="en-US" w:eastAsia="zh-CN" w:bidi="hi-IN"/>
        </w:rPr>
        <w:t>th reference to the above</w:t>
      </w:r>
      <w:r>
        <w:rPr>
          <w:rFonts w:ascii="Arial" w:hAnsi="Arial" w:cs="Arial"/>
          <w:sz w:val="24"/>
          <w:szCs w:val="24"/>
          <w:lang w:val="en-US" w:eastAsia="zh-CN" w:bidi="hi-IN"/>
        </w:rPr>
        <w:t>, the second defendant’s defence against the plaintiff’s claim must fail. In the result, I make the following order:</w:t>
      </w:r>
    </w:p>
    <w:p w:rsidR="008F7C1A" w:rsidRDefault="008F7C1A" w:rsidP="008F7C1A">
      <w:pPr>
        <w:spacing w:after="0" w:line="360" w:lineRule="auto"/>
        <w:jc w:val="both"/>
        <w:rPr>
          <w:rFonts w:ascii="Arial" w:hAnsi="Arial" w:cs="Arial"/>
          <w:sz w:val="24"/>
          <w:szCs w:val="24"/>
          <w:lang w:val="en-US" w:eastAsia="zh-CN" w:bidi="hi-IN"/>
        </w:rPr>
      </w:pPr>
    </w:p>
    <w:p w:rsidR="008426A6" w:rsidRDefault="008426A6" w:rsidP="008426A6">
      <w:pPr>
        <w:spacing w:line="360" w:lineRule="auto"/>
        <w:jc w:val="both"/>
        <w:rPr>
          <w:rFonts w:ascii="Arial" w:hAnsi="Arial" w:cs="Arial"/>
          <w:sz w:val="24"/>
          <w:szCs w:val="24"/>
          <w:lang w:eastAsia="zh-CN" w:bidi="hi-IN"/>
        </w:rPr>
      </w:pPr>
      <w:r>
        <w:rPr>
          <w:rFonts w:ascii="Arial" w:hAnsi="Arial" w:cs="Arial"/>
          <w:sz w:val="24"/>
          <w:szCs w:val="24"/>
          <w:lang w:eastAsia="zh-CN" w:bidi="hi-IN"/>
        </w:rPr>
        <w:t>J</w:t>
      </w:r>
      <w:r w:rsidRPr="00CC4867">
        <w:rPr>
          <w:rFonts w:ascii="Arial" w:hAnsi="Arial" w:cs="Arial"/>
          <w:sz w:val="24"/>
          <w:szCs w:val="24"/>
          <w:lang w:eastAsia="zh-CN" w:bidi="hi-IN"/>
        </w:rPr>
        <w:t xml:space="preserve">udgment is hereby granted in favor </w:t>
      </w:r>
      <w:r>
        <w:rPr>
          <w:rFonts w:ascii="Arial" w:hAnsi="Arial" w:cs="Arial"/>
          <w:sz w:val="24"/>
          <w:szCs w:val="24"/>
          <w:lang w:eastAsia="zh-CN" w:bidi="hi-IN"/>
        </w:rPr>
        <w:t>of the plaintiff against the second</w:t>
      </w:r>
      <w:r w:rsidRPr="00CC4867">
        <w:rPr>
          <w:rFonts w:ascii="Arial" w:hAnsi="Arial" w:cs="Arial"/>
          <w:sz w:val="24"/>
          <w:szCs w:val="24"/>
          <w:lang w:eastAsia="zh-CN" w:bidi="hi-IN"/>
        </w:rPr>
        <w:t xml:space="preserve"> </w:t>
      </w:r>
      <w:r>
        <w:rPr>
          <w:rFonts w:ascii="Arial" w:hAnsi="Arial" w:cs="Arial"/>
          <w:sz w:val="24"/>
          <w:szCs w:val="24"/>
          <w:lang w:eastAsia="zh-CN" w:bidi="hi-IN"/>
        </w:rPr>
        <w:t xml:space="preserve">defendant </w:t>
      </w:r>
      <w:r w:rsidRPr="00CC4867">
        <w:rPr>
          <w:rFonts w:ascii="Arial" w:hAnsi="Arial" w:cs="Arial"/>
          <w:sz w:val="24"/>
          <w:szCs w:val="24"/>
          <w:lang w:eastAsia="zh-CN" w:bidi="hi-IN"/>
        </w:rPr>
        <w:t>jointly and severally,</w:t>
      </w:r>
      <w:r>
        <w:rPr>
          <w:rFonts w:ascii="Arial" w:hAnsi="Arial" w:cs="Arial"/>
          <w:sz w:val="24"/>
          <w:szCs w:val="24"/>
          <w:lang w:eastAsia="zh-CN" w:bidi="hi-IN"/>
        </w:rPr>
        <w:t xml:space="preserve"> with the first and third defendants </w:t>
      </w:r>
      <w:r w:rsidRPr="00CC4867">
        <w:rPr>
          <w:rFonts w:ascii="Arial" w:hAnsi="Arial" w:cs="Arial"/>
          <w:sz w:val="24"/>
          <w:szCs w:val="24"/>
          <w:lang w:eastAsia="zh-CN" w:bidi="hi-IN"/>
        </w:rPr>
        <w:t>the one paying the other to be ab</w:t>
      </w:r>
      <w:r>
        <w:rPr>
          <w:rFonts w:ascii="Arial" w:hAnsi="Arial" w:cs="Arial"/>
          <w:sz w:val="24"/>
          <w:szCs w:val="24"/>
          <w:lang w:eastAsia="zh-CN" w:bidi="hi-IN"/>
        </w:rPr>
        <w:t>solved, on the following terms:</w:t>
      </w:r>
    </w:p>
    <w:p w:rsidR="00CC4867" w:rsidRDefault="00CC4867" w:rsidP="00546F25">
      <w:pPr>
        <w:spacing w:line="360" w:lineRule="auto"/>
        <w:jc w:val="both"/>
        <w:rPr>
          <w:rFonts w:ascii="Arial" w:hAnsi="Arial" w:cs="Arial"/>
          <w:sz w:val="24"/>
          <w:szCs w:val="24"/>
          <w:lang w:eastAsia="zh-CN" w:bidi="hi-IN"/>
        </w:rPr>
      </w:pPr>
      <w:r>
        <w:rPr>
          <w:rFonts w:ascii="Arial" w:hAnsi="Arial" w:cs="Arial"/>
          <w:sz w:val="24"/>
          <w:szCs w:val="24"/>
          <w:lang w:eastAsia="zh-CN" w:bidi="hi-IN"/>
        </w:rPr>
        <w:t>a)</w:t>
      </w:r>
      <w:r>
        <w:rPr>
          <w:rFonts w:ascii="Arial" w:hAnsi="Arial" w:cs="Arial"/>
          <w:sz w:val="24"/>
          <w:szCs w:val="24"/>
          <w:lang w:eastAsia="zh-CN" w:bidi="hi-IN"/>
        </w:rPr>
        <w:tab/>
      </w:r>
      <w:r w:rsidRPr="00CC4867">
        <w:rPr>
          <w:rFonts w:ascii="Arial" w:hAnsi="Arial" w:cs="Arial"/>
          <w:sz w:val="24"/>
          <w:szCs w:val="24"/>
          <w:lang w:eastAsia="zh-CN" w:bidi="hi-IN"/>
        </w:rPr>
        <w:t>Payment in t</w:t>
      </w:r>
      <w:r>
        <w:rPr>
          <w:rFonts w:ascii="Arial" w:hAnsi="Arial" w:cs="Arial"/>
          <w:sz w:val="24"/>
          <w:szCs w:val="24"/>
          <w:lang w:eastAsia="zh-CN" w:bidi="hi-IN"/>
        </w:rPr>
        <w:t>he amount of N$ 1,614,024.01.</w:t>
      </w:r>
    </w:p>
    <w:p w:rsidR="00CC4867" w:rsidRDefault="00CC4867" w:rsidP="00546F25">
      <w:pPr>
        <w:spacing w:line="360" w:lineRule="auto"/>
        <w:jc w:val="both"/>
        <w:rPr>
          <w:rFonts w:ascii="Arial" w:hAnsi="Arial" w:cs="Arial"/>
          <w:sz w:val="24"/>
          <w:szCs w:val="24"/>
          <w:lang w:eastAsia="zh-CN" w:bidi="hi-IN"/>
        </w:rPr>
      </w:pPr>
      <w:r>
        <w:rPr>
          <w:rFonts w:ascii="Arial" w:hAnsi="Arial" w:cs="Arial"/>
          <w:sz w:val="24"/>
          <w:szCs w:val="24"/>
          <w:lang w:eastAsia="zh-CN" w:bidi="hi-IN"/>
        </w:rPr>
        <w:t>b)</w:t>
      </w:r>
      <w:r>
        <w:rPr>
          <w:rFonts w:ascii="Arial" w:hAnsi="Arial" w:cs="Arial"/>
          <w:sz w:val="24"/>
          <w:szCs w:val="24"/>
          <w:lang w:eastAsia="zh-CN" w:bidi="hi-IN"/>
        </w:rPr>
        <w:tab/>
      </w:r>
      <w:r w:rsidRPr="00CC4867">
        <w:rPr>
          <w:rFonts w:ascii="Arial" w:hAnsi="Arial" w:cs="Arial"/>
          <w:sz w:val="24"/>
          <w:szCs w:val="24"/>
          <w:lang w:eastAsia="zh-CN" w:bidi="hi-IN"/>
        </w:rPr>
        <w:t>Compound interest on the said amount at the rate of 10.75 % per annum calculated on a daily basis and compounded monthly as from 31st July 2012 to date of payment a</w:t>
      </w:r>
      <w:r>
        <w:rPr>
          <w:rFonts w:ascii="Arial" w:hAnsi="Arial" w:cs="Arial"/>
          <w:sz w:val="24"/>
          <w:szCs w:val="24"/>
          <w:lang w:eastAsia="zh-CN" w:bidi="hi-IN"/>
        </w:rPr>
        <w:t>s agreed between the parties.</w:t>
      </w:r>
    </w:p>
    <w:p w:rsidR="003A6B48" w:rsidRDefault="00CC4867" w:rsidP="00546F25">
      <w:pPr>
        <w:spacing w:line="360" w:lineRule="auto"/>
        <w:jc w:val="both"/>
        <w:rPr>
          <w:rFonts w:ascii="Arial" w:hAnsi="Arial" w:cs="Arial"/>
          <w:sz w:val="24"/>
          <w:szCs w:val="24"/>
          <w:lang w:eastAsia="zh-CN" w:bidi="hi-IN"/>
        </w:rPr>
      </w:pPr>
      <w:r>
        <w:rPr>
          <w:rFonts w:ascii="Arial" w:hAnsi="Arial" w:cs="Arial"/>
          <w:sz w:val="24"/>
          <w:szCs w:val="24"/>
          <w:lang w:eastAsia="zh-CN" w:bidi="hi-IN"/>
        </w:rPr>
        <w:t>c)</w:t>
      </w:r>
      <w:r>
        <w:rPr>
          <w:rFonts w:ascii="Arial" w:hAnsi="Arial" w:cs="Arial"/>
          <w:sz w:val="24"/>
          <w:szCs w:val="24"/>
          <w:lang w:eastAsia="zh-CN" w:bidi="hi-IN"/>
        </w:rPr>
        <w:tab/>
      </w:r>
      <w:r w:rsidRPr="00CC4867">
        <w:rPr>
          <w:rFonts w:ascii="Arial" w:hAnsi="Arial" w:cs="Arial"/>
          <w:sz w:val="24"/>
          <w:szCs w:val="24"/>
          <w:lang w:eastAsia="zh-CN" w:bidi="hi-IN"/>
        </w:rPr>
        <w:t>Costs of Suit on an Attorney own Client Scale</w:t>
      </w:r>
      <w:r>
        <w:rPr>
          <w:rFonts w:ascii="Arial" w:hAnsi="Arial" w:cs="Arial"/>
          <w:sz w:val="24"/>
          <w:szCs w:val="24"/>
          <w:lang w:eastAsia="zh-CN" w:bidi="hi-IN"/>
        </w:rPr>
        <w:t>.</w:t>
      </w:r>
    </w:p>
    <w:p w:rsidR="005C7CD1" w:rsidRDefault="005C7CD1" w:rsidP="00546F25">
      <w:pPr>
        <w:spacing w:line="360" w:lineRule="auto"/>
        <w:jc w:val="both"/>
        <w:rPr>
          <w:rFonts w:ascii="Arial" w:hAnsi="Arial" w:cs="Arial"/>
          <w:sz w:val="24"/>
          <w:szCs w:val="24"/>
          <w:lang w:eastAsia="zh-CN" w:bidi="hi-IN"/>
        </w:rPr>
      </w:pPr>
    </w:p>
    <w:p w:rsidR="00546F25" w:rsidRDefault="00546F25" w:rsidP="00546F25">
      <w:pPr>
        <w:spacing w:line="360" w:lineRule="auto"/>
        <w:jc w:val="right"/>
        <w:rPr>
          <w:rFonts w:ascii="Arial" w:hAnsi="Arial" w:cs="Arial"/>
          <w:sz w:val="24"/>
          <w:szCs w:val="24"/>
          <w:lang w:val="en-US" w:eastAsia="zh-CN" w:bidi="hi-IN"/>
        </w:rPr>
      </w:pP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t>___________________________</w:t>
      </w:r>
    </w:p>
    <w:p w:rsidR="00546F25" w:rsidRDefault="00546F25" w:rsidP="00546F25">
      <w:pPr>
        <w:spacing w:after="0" w:line="360" w:lineRule="auto"/>
        <w:jc w:val="right"/>
        <w:rPr>
          <w:rFonts w:ascii="Arial" w:hAnsi="Arial" w:cs="Arial"/>
          <w:sz w:val="24"/>
          <w:szCs w:val="24"/>
          <w:lang w:val="en-US" w:eastAsia="zh-CN" w:bidi="hi-IN"/>
        </w:rPr>
      </w:pP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sidR="007D640C">
        <w:rPr>
          <w:rFonts w:ascii="Arial" w:hAnsi="Arial" w:cs="Arial"/>
          <w:sz w:val="24"/>
          <w:szCs w:val="24"/>
          <w:lang w:val="en-US" w:eastAsia="zh-CN" w:bidi="hi-IN"/>
        </w:rPr>
        <w:t xml:space="preserve">E </w:t>
      </w:r>
      <w:r w:rsidR="00131043">
        <w:rPr>
          <w:rFonts w:ascii="Arial" w:hAnsi="Arial" w:cs="Arial"/>
          <w:sz w:val="24"/>
          <w:szCs w:val="24"/>
          <w:lang w:val="en-US" w:eastAsia="zh-CN" w:bidi="hi-IN"/>
        </w:rPr>
        <w:t xml:space="preserve">P </w:t>
      </w:r>
      <w:r w:rsidR="005C7CD1">
        <w:rPr>
          <w:rFonts w:ascii="Arial" w:hAnsi="Arial" w:cs="Arial"/>
          <w:sz w:val="24"/>
          <w:szCs w:val="24"/>
          <w:lang w:val="en-US" w:eastAsia="zh-CN" w:bidi="hi-IN"/>
        </w:rPr>
        <w:t xml:space="preserve"> </w:t>
      </w:r>
      <w:r w:rsidR="00131043">
        <w:rPr>
          <w:rFonts w:ascii="Arial" w:hAnsi="Arial" w:cs="Arial"/>
          <w:sz w:val="24"/>
          <w:szCs w:val="24"/>
          <w:lang w:val="en-US" w:eastAsia="zh-CN" w:bidi="hi-IN"/>
        </w:rPr>
        <w:t>Unengu</w:t>
      </w:r>
    </w:p>
    <w:p w:rsidR="00546F25" w:rsidRDefault="00546F25" w:rsidP="00546F25">
      <w:pPr>
        <w:spacing w:after="0" w:line="360" w:lineRule="auto"/>
        <w:jc w:val="right"/>
        <w:rPr>
          <w:rFonts w:ascii="Arial" w:hAnsi="Arial" w:cs="Arial"/>
          <w:sz w:val="24"/>
          <w:szCs w:val="24"/>
          <w:lang w:val="en-US" w:eastAsia="zh-CN" w:bidi="hi-IN"/>
        </w:rPr>
      </w:pP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Pr>
          <w:rFonts w:ascii="Arial" w:hAnsi="Arial" w:cs="Arial"/>
          <w:sz w:val="24"/>
          <w:szCs w:val="24"/>
          <w:lang w:val="en-US" w:eastAsia="zh-CN" w:bidi="hi-IN"/>
        </w:rPr>
        <w:tab/>
      </w:r>
      <w:r w:rsidR="00131043">
        <w:rPr>
          <w:rFonts w:ascii="Arial" w:hAnsi="Arial" w:cs="Arial"/>
          <w:sz w:val="24"/>
          <w:szCs w:val="24"/>
          <w:lang w:val="en-US" w:eastAsia="zh-CN" w:bidi="hi-IN"/>
        </w:rPr>
        <w:t xml:space="preserve">Acting </w:t>
      </w:r>
      <w:r>
        <w:rPr>
          <w:rFonts w:ascii="Arial" w:hAnsi="Arial" w:cs="Arial"/>
          <w:sz w:val="24"/>
          <w:szCs w:val="24"/>
          <w:lang w:val="en-US" w:eastAsia="zh-CN" w:bidi="hi-IN"/>
        </w:rPr>
        <w:t>Judge</w:t>
      </w:r>
    </w:p>
    <w:p w:rsidR="00546F25" w:rsidRDefault="00546F25" w:rsidP="00546F25">
      <w:pPr>
        <w:spacing w:line="360" w:lineRule="auto"/>
        <w:jc w:val="both"/>
        <w:rPr>
          <w:rFonts w:ascii="Arial" w:hAnsi="Arial" w:cs="Arial"/>
          <w:sz w:val="24"/>
          <w:szCs w:val="24"/>
          <w:lang w:val="en-US" w:eastAsia="zh-CN" w:bidi="hi-IN"/>
        </w:rPr>
      </w:pPr>
    </w:p>
    <w:p w:rsidR="00546F25" w:rsidRDefault="00546F25" w:rsidP="00546F25">
      <w:pPr>
        <w:spacing w:line="360" w:lineRule="auto"/>
        <w:jc w:val="both"/>
        <w:rPr>
          <w:rFonts w:ascii="Arial" w:hAnsi="Arial" w:cs="Arial"/>
          <w:sz w:val="24"/>
          <w:szCs w:val="24"/>
          <w:lang w:val="en-US" w:eastAsia="zh-CN" w:bidi="hi-IN"/>
        </w:rPr>
      </w:pPr>
    </w:p>
    <w:p w:rsidR="00546F25" w:rsidRDefault="00546F25" w:rsidP="00546F25">
      <w:pPr>
        <w:spacing w:line="360" w:lineRule="auto"/>
        <w:jc w:val="both"/>
        <w:rPr>
          <w:rFonts w:ascii="Arial" w:hAnsi="Arial" w:cs="Arial"/>
          <w:sz w:val="24"/>
          <w:szCs w:val="24"/>
          <w:lang w:val="en-US" w:eastAsia="zh-CN" w:bidi="hi-IN"/>
        </w:rPr>
      </w:pPr>
    </w:p>
    <w:p w:rsidR="00546F25" w:rsidRDefault="00546F25" w:rsidP="00546F25">
      <w:pPr>
        <w:spacing w:line="360" w:lineRule="auto"/>
        <w:jc w:val="both"/>
        <w:rPr>
          <w:rFonts w:ascii="Arial" w:hAnsi="Arial" w:cs="Arial"/>
          <w:sz w:val="24"/>
          <w:szCs w:val="24"/>
          <w:lang w:val="en-US" w:eastAsia="zh-CN" w:bidi="hi-IN"/>
        </w:rPr>
      </w:pPr>
    </w:p>
    <w:p w:rsidR="00546F25" w:rsidRDefault="00546F25" w:rsidP="00546F25">
      <w:pPr>
        <w:spacing w:line="360" w:lineRule="auto"/>
        <w:jc w:val="both"/>
        <w:rPr>
          <w:rFonts w:ascii="Arial" w:hAnsi="Arial" w:cs="Arial"/>
          <w:sz w:val="24"/>
          <w:szCs w:val="24"/>
          <w:lang w:val="en-US" w:eastAsia="zh-CN" w:bidi="hi-IN"/>
        </w:rPr>
      </w:pPr>
    </w:p>
    <w:p w:rsidR="00546F25" w:rsidRDefault="00546F25" w:rsidP="00546F25">
      <w:pPr>
        <w:spacing w:line="360" w:lineRule="auto"/>
        <w:jc w:val="both"/>
        <w:rPr>
          <w:rFonts w:ascii="Arial" w:hAnsi="Arial" w:cs="Arial"/>
          <w:sz w:val="24"/>
          <w:szCs w:val="24"/>
          <w:lang w:val="en-US" w:eastAsia="zh-CN" w:bidi="hi-IN"/>
        </w:rPr>
      </w:pPr>
    </w:p>
    <w:p w:rsidR="00546F25" w:rsidRDefault="00546F25" w:rsidP="00546F25">
      <w:pPr>
        <w:spacing w:line="360" w:lineRule="auto"/>
        <w:jc w:val="both"/>
        <w:rPr>
          <w:rFonts w:ascii="Arial" w:hAnsi="Arial" w:cs="Arial"/>
          <w:sz w:val="24"/>
          <w:szCs w:val="24"/>
          <w:lang w:val="en-US" w:eastAsia="zh-CN" w:bidi="hi-IN"/>
        </w:rPr>
      </w:pPr>
    </w:p>
    <w:p w:rsidR="00546F25" w:rsidRDefault="00546F25"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2827C1" w:rsidRDefault="002827C1" w:rsidP="00546F25">
      <w:pPr>
        <w:spacing w:line="276" w:lineRule="auto"/>
        <w:ind w:left="720" w:hanging="720"/>
        <w:rPr>
          <w:rFonts w:ascii="Arial" w:hAnsi="Arial" w:cs="Arial"/>
          <w:sz w:val="24"/>
          <w:szCs w:val="24"/>
        </w:rPr>
      </w:pPr>
    </w:p>
    <w:p w:rsidR="00546F25" w:rsidRDefault="00546F25" w:rsidP="00546F25">
      <w:pPr>
        <w:spacing w:line="276" w:lineRule="auto"/>
        <w:ind w:left="720" w:hanging="720"/>
        <w:rPr>
          <w:rFonts w:ascii="Arial" w:hAnsi="Arial" w:cs="Arial"/>
          <w:sz w:val="24"/>
          <w:szCs w:val="24"/>
        </w:rPr>
      </w:pPr>
      <w:r>
        <w:rPr>
          <w:rFonts w:ascii="Arial" w:hAnsi="Arial" w:cs="Arial"/>
          <w:sz w:val="24"/>
          <w:szCs w:val="24"/>
        </w:rPr>
        <w:t>APPEARANCE</w:t>
      </w:r>
    </w:p>
    <w:p w:rsidR="00546F25" w:rsidRDefault="00546F25" w:rsidP="00546F25">
      <w:pPr>
        <w:spacing w:line="276" w:lineRule="auto"/>
        <w:ind w:left="720" w:hanging="720"/>
        <w:rPr>
          <w:rFonts w:ascii="Arial" w:hAnsi="Arial" w:cs="Arial"/>
          <w:sz w:val="24"/>
          <w:szCs w:val="24"/>
        </w:rPr>
      </w:pPr>
    </w:p>
    <w:p w:rsidR="00546F25" w:rsidRDefault="00546F25" w:rsidP="00546F25">
      <w:pPr>
        <w:spacing w:line="240" w:lineRule="auto"/>
        <w:ind w:left="720" w:hanging="720"/>
        <w:rPr>
          <w:rFonts w:ascii="Arial" w:hAnsi="Arial" w:cs="Arial"/>
          <w:sz w:val="24"/>
          <w:szCs w:val="24"/>
        </w:rPr>
      </w:pPr>
      <w:r>
        <w:rPr>
          <w:rFonts w:ascii="Arial" w:hAnsi="Arial" w:cs="Arial"/>
          <w:sz w:val="24"/>
          <w:szCs w:val="24"/>
        </w:rPr>
        <w:t xml:space="preserve">For the plaintiff:                         </w:t>
      </w:r>
      <w:r w:rsidR="00673D5D">
        <w:rPr>
          <w:rFonts w:ascii="Arial" w:hAnsi="Arial" w:cs="Arial"/>
          <w:sz w:val="24"/>
          <w:szCs w:val="24"/>
        </w:rPr>
        <w:tab/>
      </w:r>
      <w:r w:rsidR="00673D5D">
        <w:rPr>
          <w:rFonts w:ascii="Arial" w:hAnsi="Arial" w:cs="Arial"/>
          <w:sz w:val="24"/>
          <w:szCs w:val="24"/>
        </w:rPr>
        <w:tab/>
      </w:r>
      <w:r w:rsidR="00673D5D">
        <w:rPr>
          <w:rFonts w:ascii="Arial" w:hAnsi="Arial" w:cs="Arial"/>
          <w:sz w:val="24"/>
          <w:szCs w:val="24"/>
        </w:rPr>
        <w:tab/>
      </w:r>
      <w:r w:rsidR="00673D5D">
        <w:rPr>
          <w:rFonts w:ascii="Arial" w:hAnsi="Arial" w:cs="Arial"/>
          <w:sz w:val="24"/>
          <w:szCs w:val="24"/>
        </w:rPr>
        <w:tab/>
      </w:r>
      <w:r w:rsidR="00673D5D">
        <w:rPr>
          <w:rFonts w:ascii="Arial" w:hAnsi="Arial" w:cs="Arial"/>
          <w:sz w:val="24"/>
          <w:szCs w:val="24"/>
        </w:rPr>
        <w:tab/>
      </w:r>
      <w:r w:rsidR="00673D5D">
        <w:rPr>
          <w:rFonts w:ascii="Arial" w:hAnsi="Arial" w:cs="Arial"/>
          <w:sz w:val="24"/>
          <w:szCs w:val="24"/>
        </w:rPr>
        <w:tab/>
      </w:r>
      <w:r w:rsidR="00673D5D">
        <w:rPr>
          <w:rFonts w:ascii="Arial" w:hAnsi="Arial" w:cs="Arial"/>
          <w:sz w:val="24"/>
          <w:szCs w:val="24"/>
        </w:rPr>
        <w:tab/>
      </w:r>
      <w:r w:rsidR="00FF3435">
        <w:rPr>
          <w:rFonts w:ascii="Arial" w:hAnsi="Arial" w:cs="Arial"/>
          <w:sz w:val="24"/>
          <w:szCs w:val="24"/>
        </w:rPr>
        <w:t xml:space="preserve">  </w:t>
      </w:r>
      <w:r w:rsidR="00673D5D">
        <w:rPr>
          <w:rFonts w:ascii="Arial" w:hAnsi="Arial" w:cs="Arial"/>
          <w:sz w:val="24"/>
          <w:szCs w:val="24"/>
        </w:rPr>
        <w:t>Y Campbell</w:t>
      </w:r>
    </w:p>
    <w:p w:rsidR="00546F25" w:rsidRDefault="00FF3435" w:rsidP="00546F25">
      <w:pPr>
        <w:spacing w:line="240" w:lineRule="auto"/>
        <w:ind w:left="2160" w:firstLine="720"/>
        <w:jc w:val="center"/>
        <w:rPr>
          <w:rFonts w:ascii="Arial" w:hAnsi="Arial" w:cs="Arial"/>
          <w:sz w:val="24"/>
          <w:szCs w:val="24"/>
        </w:rPr>
      </w:pPr>
      <w:r>
        <w:rPr>
          <w:rFonts w:ascii="Arial" w:hAnsi="Arial" w:cs="Arial"/>
          <w:sz w:val="24"/>
          <w:szCs w:val="24"/>
        </w:rPr>
        <w:t xml:space="preserve">                                Instructed by </w:t>
      </w:r>
      <w:r w:rsidRPr="00FF3435">
        <w:rPr>
          <w:rFonts w:ascii="Arial" w:hAnsi="Arial" w:cs="Arial"/>
          <w:sz w:val="24"/>
          <w:szCs w:val="24"/>
        </w:rPr>
        <w:t>Kangueehi &amp; Kavendjii Inc.</w:t>
      </w:r>
    </w:p>
    <w:p w:rsidR="00546F25" w:rsidRDefault="00546F25" w:rsidP="00546F25">
      <w:pPr>
        <w:spacing w:line="240" w:lineRule="auto"/>
        <w:ind w:left="720" w:hanging="720"/>
        <w:jc w:val="right"/>
        <w:rPr>
          <w:rFonts w:ascii="Arial" w:hAnsi="Arial" w:cs="Arial"/>
          <w:sz w:val="24"/>
          <w:szCs w:val="24"/>
        </w:rPr>
      </w:pPr>
    </w:p>
    <w:p w:rsidR="00546F25" w:rsidRDefault="00546F25" w:rsidP="00546F25">
      <w:pPr>
        <w:spacing w:line="240" w:lineRule="auto"/>
        <w:ind w:left="720" w:hanging="720"/>
        <w:rPr>
          <w:rFonts w:ascii="Arial" w:hAnsi="Arial" w:cs="Arial"/>
          <w:sz w:val="24"/>
          <w:szCs w:val="24"/>
        </w:rPr>
      </w:pPr>
    </w:p>
    <w:p w:rsidR="00546F25" w:rsidRDefault="00546F25" w:rsidP="00546F25">
      <w:pPr>
        <w:spacing w:line="240" w:lineRule="auto"/>
        <w:ind w:left="720" w:hanging="720"/>
        <w:rPr>
          <w:rFonts w:ascii="Arial" w:hAnsi="Arial" w:cs="Arial"/>
          <w:sz w:val="24"/>
          <w:szCs w:val="24"/>
        </w:rPr>
      </w:pPr>
      <w:r>
        <w:rPr>
          <w:rFonts w:ascii="Arial" w:hAnsi="Arial" w:cs="Arial"/>
          <w:sz w:val="24"/>
          <w:szCs w:val="24"/>
        </w:rPr>
        <w:t xml:space="preserve">For the </w:t>
      </w:r>
      <w:r w:rsidR="00FF3435">
        <w:rPr>
          <w:rFonts w:ascii="Arial" w:hAnsi="Arial" w:cs="Arial"/>
          <w:sz w:val="24"/>
          <w:szCs w:val="24"/>
        </w:rPr>
        <w:t xml:space="preserve">second </w:t>
      </w:r>
      <w:r>
        <w:rPr>
          <w:rFonts w:ascii="Arial" w:hAnsi="Arial" w:cs="Arial"/>
          <w:sz w:val="24"/>
          <w:szCs w:val="24"/>
        </w:rPr>
        <w:t xml:space="preserve">defendant:                 </w:t>
      </w:r>
      <w:r w:rsidR="00FF3435">
        <w:rPr>
          <w:rFonts w:ascii="Arial" w:hAnsi="Arial" w:cs="Arial"/>
          <w:sz w:val="24"/>
          <w:szCs w:val="24"/>
        </w:rPr>
        <w:tab/>
      </w:r>
      <w:r w:rsidR="00FF3435">
        <w:rPr>
          <w:rFonts w:ascii="Arial" w:hAnsi="Arial" w:cs="Arial"/>
          <w:sz w:val="24"/>
          <w:szCs w:val="24"/>
        </w:rPr>
        <w:tab/>
      </w:r>
      <w:r w:rsidR="00FF3435">
        <w:rPr>
          <w:rFonts w:ascii="Arial" w:hAnsi="Arial" w:cs="Arial"/>
          <w:sz w:val="24"/>
          <w:szCs w:val="24"/>
        </w:rPr>
        <w:tab/>
      </w:r>
      <w:r w:rsidR="00FF3435">
        <w:rPr>
          <w:rFonts w:ascii="Arial" w:hAnsi="Arial" w:cs="Arial"/>
          <w:sz w:val="24"/>
          <w:szCs w:val="24"/>
        </w:rPr>
        <w:tab/>
      </w:r>
      <w:r w:rsidR="00FF3435">
        <w:rPr>
          <w:rFonts w:ascii="Arial" w:hAnsi="Arial" w:cs="Arial"/>
          <w:sz w:val="24"/>
          <w:szCs w:val="24"/>
        </w:rPr>
        <w:tab/>
      </w:r>
      <w:r w:rsidR="00FF3435">
        <w:rPr>
          <w:rFonts w:ascii="Arial" w:hAnsi="Arial" w:cs="Arial"/>
          <w:sz w:val="24"/>
          <w:szCs w:val="24"/>
        </w:rPr>
        <w:tab/>
        <w:t xml:space="preserve">      </w:t>
      </w:r>
      <w:r>
        <w:rPr>
          <w:rFonts w:ascii="Arial" w:hAnsi="Arial" w:cs="Arial"/>
          <w:sz w:val="24"/>
          <w:szCs w:val="24"/>
        </w:rPr>
        <w:t>H Ndilula</w:t>
      </w:r>
    </w:p>
    <w:p w:rsidR="00546F25" w:rsidRDefault="00FF3435" w:rsidP="00FF3435">
      <w:pPr>
        <w:spacing w:line="240" w:lineRule="auto"/>
        <w:ind w:left="3600"/>
        <w:jc w:val="center"/>
        <w:rPr>
          <w:rFonts w:ascii="Arial" w:hAnsi="Arial" w:cs="Arial"/>
          <w:sz w:val="24"/>
          <w:szCs w:val="24"/>
          <w:lang w:val="en-US" w:eastAsia="zh-CN" w:bidi="hi-IN"/>
        </w:rPr>
      </w:pPr>
      <w:r>
        <w:rPr>
          <w:rFonts w:ascii="Arial" w:hAnsi="Arial" w:cs="Arial"/>
          <w:sz w:val="24"/>
          <w:szCs w:val="24"/>
        </w:rPr>
        <w:t xml:space="preserve">      </w:t>
      </w:r>
      <w:r w:rsidR="00546F25">
        <w:rPr>
          <w:rFonts w:ascii="Arial" w:hAnsi="Arial" w:cs="Arial"/>
          <w:sz w:val="24"/>
          <w:szCs w:val="24"/>
        </w:rPr>
        <w:t xml:space="preserve">of </w:t>
      </w:r>
      <w:r w:rsidR="00546F25" w:rsidRPr="00546F25">
        <w:rPr>
          <w:rFonts w:ascii="Arial" w:hAnsi="Arial" w:cs="Arial"/>
          <w:sz w:val="24"/>
          <w:szCs w:val="24"/>
          <w:lang w:val="en-US"/>
        </w:rPr>
        <w:t>Kadhila Amoomo Legal Practitioners</w:t>
      </w:r>
      <w:r w:rsidR="00546F25">
        <w:rPr>
          <w:rFonts w:ascii="Arial" w:hAnsi="Arial" w:cs="Arial"/>
          <w:sz w:val="24"/>
          <w:szCs w:val="24"/>
          <w:lang w:val="en-US"/>
        </w:rPr>
        <w:t>, Windhoek</w:t>
      </w:r>
    </w:p>
    <w:p w:rsidR="00673D5D" w:rsidRDefault="00673D5D"/>
    <w:sectPr w:rsidR="00673D5D" w:rsidSect="00517316">
      <w:headerReference w:type="default" r:id="rId9"/>
      <w:pgSz w:w="12240" w:h="15840"/>
      <w:pgMar w:top="1418" w:right="1440"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D0" w:rsidRDefault="00282CD0" w:rsidP="00546F25">
      <w:pPr>
        <w:spacing w:after="0" w:line="240" w:lineRule="auto"/>
      </w:pPr>
      <w:r>
        <w:separator/>
      </w:r>
    </w:p>
  </w:endnote>
  <w:endnote w:type="continuationSeparator" w:id="0">
    <w:p w:rsidR="00282CD0" w:rsidRDefault="00282CD0" w:rsidP="0054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D0" w:rsidRDefault="00282CD0" w:rsidP="00546F25">
      <w:pPr>
        <w:spacing w:after="0" w:line="240" w:lineRule="auto"/>
      </w:pPr>
      <w:r>
        <w:separator/>
      </w:r>
    </w:p>
  </w:footnote>
  <w:footnote w:type="continuationSeparator" w:id="0">
    <w:p w:rsidR="00282CD0" w:rsidRDefault="00282CD0" w:rsidP="00546F25">
      <w:pPr>
        <w:spacing w:after="0" w:line="240" w:lineRule="auto"/>
      </w:pPr>
      <w:r>
        <w:continuationSeparator/>
      </w:r>
    </w:p>
  </w:footnote>
  <w:footnote w:id="1">
    <w:p w:rsidR="00673D5D" w:rsidRPr="002827C1" w:rsidRDefault="00673D5D" w:rsidP="002827C1">
      <w:pPr>
        <w:pStyle w:val="FootnoteText"/>
        <w:jc w:val="both"/>
        <w:rPr>
          <w:rFonts w:ascii="Arial" w:hAnsi="Arial" w:cs="Arial"/>
          <w:lang w:val="af-ZA"/>
        </w:rPr>
      </w:pPr>
      <w:r w:rsidRPr="002827C1">
        <w:rPr>
          <w:rStyle w:val="FootnoteReference"/>
          <w:rFonts w:ascii="Arial" w:hAnsi="Arial" w:cs="Arial"/>
        </w:rPr>
        <w:footnoteRef/>
      </w:r>
      <w:r w:rsidRPr="002827C1">
        <w:rPr>
          <w:rFonts w:ascii="Arial" w:hAnsi="Arial" w:cs="Arial"/>
        </w:rPr>
        <w:t xml:space="preserve"> </w:t>
      </w:r>
      <w:r w:rsidRPr="002827C1">
        <w:rPr>
          <w:rFonts w:ascii="Arial" w:hAnsi="Arial" w:cs="Arial"/>
          <w:shd w:val="clear" w:color="auto" w:fill="FFFFFF"/>
        </w:rPr>
        <w:t>5</w:t>
      </w:r>
      <w:r w:rsidRPr="002827C1">
        <w:rPr>
          <w:rFonts w:ascii="Arial" w:hAnsi="Arial" w:cs="Arial"/>
          <w:shd w:val="clear" w:color="auto" w:fill="FFFFFF"/>
          <w:vertAlign w:val="superscript"/>
        </w:rPr>
        <w:t>th</w:t>
      </w:r>
      <w:r w:rsidRPr="002827C1">
        <w:rPr>
          <w:rFonts w:ascii="Arial" w:hAnsi="Arial" w:cs="Arial"/>
          <w:shd w:val="clear" w:color="auto" w:fill="FFFFFF"/>
        </w:rPr>
        <w:t xml:space="preserve"> Ed by C F Forsyth &amp; J T Pretorius pages 185-214.</w:t>
      </w:r>
    </w:p>
  </w:footnote>
  <w:footnote w:id="2">
    <w:p w:rsidR="00673D5D" w:rsidRPr="002827C1" w:rsidRDefault="00673D5D" w:rsidP="002827C1">
      <w:pPr>
        <w:pStyle w:val="FootnoteText"/>
        <w:jc w:val="both"/>
        <w:rPr>
          <w:rFonts w:ascii="Arial" w:hAnsi="Arial" w:cs="Arial"/>
          <w:lang w:val="af-ZA"/>
        </w:rPr>
      </w:pPr>
      <w:r w:rsidRPr="002827C1">
        <w:rPr>
          <w:rStyle w:val="FootnoteReference"/>
          <w:rFonts w:ascii="Arial" w:hAnsi="Arial" w:cs="Arial"/>
        </w:rPr>
        <w:footnoteRef/>
      </w:r>
      <w:r w:rsidRPr="002827C1">
        <w:rPr>
          <w:rFonts w:ascii="Arial" w:hAnsi="Arial" w:cs="Arial"/>
        </w:rPr>
        <w:t xml:space="preserve"> </w:t>
      </w:r>
      <w:r w:rsidRPr="002827C1">
        <w:rPr>
          <w:rFonts w:ascii="Arial" w:hAnsi="Arial" w:cs="Arial"/>
          <w:iCs/>
          <w:shd w:val="clear" w:color="auto" w:fill="FFFFFF"/>
        </w:rPr>
        <w:t>Supra page 204.</w:t>
      </w:r>
    </w:p>
  </w:footnote>
  <w:footnote w:id="3">
    <w:p w:rsidR="00673D5D" w:rsidRPr="002827C1" w:rsidRDefault="00673D5D" w:rsidP="002827C1">
      <w:pPr>
        <w:pStyle w:val="FootnoteText"/>
        <w:jc w:val="both"/>
        <w:rPr>
          <w:rFonts w:ascii="Arial" w:hAnsi="Arial" w:cs="Arial"/>
          <w:lang w:val="af-ZA"/>
        </w:rPr>
      </w:pPr>
      <w:r w:rsidRPr="002827C1">
        <w:rPr>
          <w:rStyle w:val="FootnoteReference"/>
          <w:rFonts w:ascii="Arial" w:hAnsi="Arial" w:cs="Arial"/>
        </w:rPr>
        <w:footnoteRef/>
      </w:r>
      <w:r w:rsidRPr="002827C1">
        <w:rPr>
          <w:rFonts w:ascii="Arial" w:hAnsi="Arial" w:cs="Arial"/>
        </w:rPr>
        <w:t xml:space="preserve"> </w:t>
      </w:r>
      <w:r w:rsidRPr="002827C1">
        <w:rPr>
          <w:rFonts w:ascii="Arial" w:hAnsi="Arial" w:cs="Arial"/>
          <w:iCs/>
          <w:shd w:val="clear" w:color="auto" w:fill="FFFFFF"/>
        </w:rPr>
        <w:t>Supra page 204.</w:t>
      </w:r>
    </w:p>
  </w:footnote>
  <w:footnote w:id="4">
    <w:p w:rsidR="00673D5D" w:rsidRPr="002827C1" w:rsidRDefault="00673D5D" w:rsidP="002827C1">
      <w:pPr>
        <w:pStyle w:val="FootnoteText"/>
        <w:jc w:val="both"/>
        <w:rPr>
          <w:rFonts w:ascii="Arial" w:hAnsi="Arial" w:cs="Arial"/>
          <w:lang w:val="af-ZA"/>
        </w:rPr>
      </w:pPr>
      <w:r w:rsidRPr="002827C1">
        <w:rPr>
          <w:rStyle w:val="FootnoteReference"/>
          <w:rFonts w:ascii="Arial" w:hAnsi="Arial" w:cs="Arial"/>
        </w:rPr>
        <w:footnoteRef/>
      </w:r>
      <w:r w:rsidRPr="002827C1">
        <w:rPr>
          <w:rFonts w:ascii="Arial" w:hAnsi="Arial" w:cs="Arial"/>
        </w:rPr>
        <w:t xml:space="preserve"> </w:t>
      </w:r>
      <w:r w:rsidRPr="002827C1">
        <w:rPr>
          <w:rFonts w:ascii="Arial" w:hAnsi="Arial" w:cs="Arial"/>
          <w:iCs/>
          <w:shd w:val="clear" w:color="auto" w:fill="FFFFFF"/>
        </w:rPr>
        <w:t>Supra page 205.</w:t>
      </w:r>
    </w:p>
  </w:footnote>
  <w:footnote w:id="5">
    <w:p w:rsidR="00673D5D" w:rsidRPr="002827C1" w:rsidRDefault="00673D5D" w:rsidP="002827C1">
      <w:pPr>
        <w:pStyle w:val="FootnoteText"/>
        <w:jc w:val="both"/>
        <w:rPr>
          <w:rFonts w:ascii="Arial" w:hAnsi="Arial" w:cs="Arial"/>
          <w:lang w:val="af-ZA"/>
        </w:rPr>
      </w:pPr>
      <w:r w:rsidRPr="002827C1">
        <w:rPr>
          <w:rStyle w:val="FootnoteReference"/>
          <w:rFonts w:ascii="Arial" w:hAnsi="Arial" w:cs="Arial"/>
        </w:rPr>
        <w:footnoteRef/>
      </w:r>
      <w:r w:rsidRPr="002827C1">
        <w:rPr>
          <w:rFonts w:ascii="Arial" w:hAnsi="Arial" w:cs="Arial"/>
        </w:rPr>
        <w:t xml:space="preserve"> </w:t>
      </w:r>
      <w:r w:rsidRPr="002827C1">
        <w:rPr>
          <w:rFonts w:ascii="Arial" w:hAnsi="Arial" w:cs="Arial"/>
          <w:iCs/>
          <w:shd w:val="clear" w:color="auto" w:fill="FFFFFF"/>
        </w:rPr>
        <w:t>Supra page 207.</w:t>
      </w:r>
    </w:p>
  </w:footnote>
  <w:footnote w:id="6">
    <w:p w:rsidR="00673D5D" w:rsidRPr="002827C1" w:rsidRDefault="00673D5D" w:rsidP="002827C1">
      <w:pPr>
        <w:pStyle w:val="FootnoteText"/>
        <w:jc w:val="both"/>
        <w:rPr>
          <w:rFonts w:ascii="Arial" w:hAnsi="Arial" w:cs="Arial"/>
          <w:lang w:val="af-ZA"/>
        </w:rPr>
      </w:pPr>
      <w:r w:rsidRPr="002827C1">
        <w:rPr>
          <w:rStyle w:val="FootnoteReference"/>
          <w:rFonts w:ascii="Arial" w:hAnsi="Arial" w:cs="Arial"/>
        </w:rPr>
        <w:footnoteRef/>
      </w:r>
      <w:r w:rsidRPr="002827C1">
        <w:rPr>
          <w:rFonts w:ascii="Arial" w:hAnsi="Arial" w:cs="Arial"/>
        </w:rPr>
        <w:t xml:space="preserve"> </w:t>
      </w:r>
      <w:r w:rsidRPr="002827C1">
        <w:rPr>
          <w:rFonts w:ascii="Arial" w:hAnsi="Arial" w:cs="Arial"/>
          <w:iCs/>
          <w:shd w:val="clear" w:color="auto" w:fill="FFFFFF"/>
        </w:rPr>
        <w:t>Supra page 209.</w:t>
      </w:r>
    </w:p>
  </w:footnote>
  <w:footnote w:id="7">
    <w:p w:rsidR="00673D5D" w:rsidRPr="002827C1" w:rsidRDefault="00673D5D" w:rsidP="002827C1">
      <w:pPr>
        <w:pStyle w:val="FootnoteText"/>
        <w:jc w:val="both"/>
        <w:rPr>
          <w:rFonts w:ascii="Arial" w:hAnsi="Arial" w:cs="Arial"/>
          <w:lang w:val="af-ZA"/>
        </w:rPr>
      </w:pPr>
      <w:r w:rsidRPr="002827C1">
        <w:rPr>
          <w:rStyle w:val="FootnoteReference"/>
          <w:rFonts w:ascii="Arial" w:hAnsi="Arial" w:cs="Arial"/>
        </w:rPr>
        <w:footnoteRef/>
      </w:r>
      <w:r w:rsidRPr="002827C1">
        <w:rPr>
          <w:rFonts w:ascii="Arial" w:hAnsi="Arial" w:cs="Arial"/>
        </w:rPr>
        <w:t xml:space="preserve"> </w:t>
      </w:r>
      <w:r w:rsidRPr="002827C1">
        <w:rPr>
          <w:rFonts w:ascii="Arial" w:hAnsi="Arial" w:cs="Arial"/>
          <w:iCs/>
          <w:shd w:val="clear" w:color="auto" w:fill="FFFFFF"/>
        </w:rPr>
        <w:t>Supra page 209.</w:t>
      </w:r>
    </w:p>
  </w:footnote>
  <w:footnote w:id="8">
    <w:p w:rsidR="00673D5D" w:rsidRPr="002827C1" w:rsidRDefault="00673D5D" w:rsidP="002827C1">
      <w:pPr>
        <w:pStyle w:val="FootnoteText"/>
        <w:jc w:val="both"/>
        <w:rPr>
          <w:rFonts w:ascii="Arial" w:hAnsi="Arial" w:cs="Arial"/>
        </w:rPr>
      </w:pPr>
      <w:r w:rsidRPr="002827C1">
        <w:rPr>
          <w:rStyle w:val="FootnoteReference"/>
          <w:rFonts w:ascii="Arial" w:hAnsi="Arial" w:cs="Arial"/>
        </w:rPr>
        <w:footnoteRef/>
      </w:r>
      <w:r w:rsidRPr="002827C1">
        <w:rPr>
          <w:rFonts w:ascii="Arial" w:hAnsi="Arial" w:cs="Arial"/>
        </w:rPr>
        <w:t xml:space="preserve"> (I 3678-2013) [2018] NAHCMD 295 (19 September 2018) at para 19.</w:t>
      </w:r>
    </w:p>
  </w:footnote>
  <w:footnote w:id="9">
    <w:p w:rsidR="002827C1" w:rsidRPr="002827C1" w:rsidRDefault="002827C1" w:rsidP="002827C1">
      <w:pPr>
        <w:pStyle w:val="FootnoteText"/>
        <w:jc w:val="both"/>
        <w:rPr>
          <w:rFonts w:ascii="Arial" w:hAnsi="Arial" w:cs="Arial"/>
          <w:lang w:val="en-US"/>
        </w:rPr>
      </w:pPr>
      <w:r w:rsidRPr="002827C1">
        <w:rPr>
          <w:rStyle w:val="FootnoteReference"/>
          <w:rFonts w:ascii="Arial" w:hAnsi="Arial" w:cs="Arial"/>
        </w:rPr>
        <w:footnoteRef/>
      </w:r>
      <w:r w:rsidRPr="002827C1">
        <w:rPr>
          <w:rFonts w:ascii="Arial" w:hAnsi="Arial" w:cs="Arial"/>
        </w:rPr>
        <w:t xml:space="preserve"> [1999] ZASCA 94; 2000 (1) SA 1117 (SCA) para 19.</w:t>
      </w:r>
    </w:p>
  </w:footnote>
  <w:footnote w:id="10">
    <w:p w:rsidR="00673D5D" w:rsidRPr="002827C1" w:rsidRDefault="00673D5D" w:rsidP="002827C1">
      <w:pPr>
        <w:pStyle w:val="FootnoteText"/>
        <w:jc w:val="both"/>
        <w:rPr>
          <w:rFonts w:ascii="Arial" w:hAnsi="Arial" w:cs="Arial"/>
          <w:lang w:val="af-ZA"/>
        </w:rPr>
      </w:pPr>
      <w:r w:rsidRPr="002827C1">
        <w:rPr>
          <w:rStyle w:val="FootnoteReference"/>
          <w:rFonts w:ascii="Arial" w:hAnsi="Arial" w:cs="Arial"/>
        </w:rPr>
        <w:footnoteRef/>
      </w:r>
      <w:r w:rsidRPr="002827C1">
        <w:rPr>
          <w:rFonts w:ascii="Arial" w:hAnsi="Arial" w:cs="Arial"/>
        </w:rPr>
        <w:t xml:space="preserve"> [1993] </w:t>
      </w:r>
      <w:r w:rsidRPr="002827C1">
        <w:rPr>
          <w:rFonts w:ascii="Arial" w:hAnsi="Arial" w:cs="Arial"/>
          <w:lang w:val="af-ZA"/>
        </w:rPr>
        <w:t xml:space="preserve">Cited with approval in </w:t>
      </w:r>
      <w:r w:rsidRPr="002827C1">
        <w:rPr>
          <w:rFonts w:ascii="Arial" w:hAnsi="Arial" w:cs="Arial"/>
          <w:i/>
          <w:lang w:val="af-ZA"/>
        </w:rPr>
        <w:t>M Pupkewitz &amp; Sons (Pty) Ltd t/a Pupkewitz Mega Built v Kurz</w:t>
      </w:r>
      <w:r w:rsidRPr="002827C1">
        <w:rPr>
          <w:rFonts w:ascii="Arial" w:hAnsi="Arial" w:cs="Arial"/>
          <w:lang w:val="af-ZA"/>
        </w:rPr>
        <w:t xml:space="preserve"> 2008 (2) NR 775  (SC) at 788.</w:t>
      </w:r>
    </w:p>
  </w:footnote>
  <w:footnote w:id="11">
    <w:p w:rsidR="00673D5D" w:rsidRPr="002827C1" w:rsidRDefault="00673D5D" w:rsidP="002827C1">
      <w:pPr>
        <w:pStyle w:val="FootnoteText"/>
        <w:jc w:val="both"/>
        <w:rPr>
          <w:rFonts w:ascii="Arial" w:hAnsi="Arial" w:cs="Arial"/>
          <w:lang w:val="af-ZA"/>
        </w:rPr>
      </w:pPr>
      <w:r w:rsidRPr="002827C1">
        <w:rPr>
          <w:rStyle w:val="FootnoteReference"/>
          <w:rFonts w:ascii="Arial" w:hAnsi="Arial" w:cs="Arial"/>
        </w:rPr>
        <w:footnoteRef/>
      </w:r>
      <w:r w:rsidRPr="002827C1">
        <w:rPr>
          <w:rFonts w:ascii="Arial" w:hAnsi="Arial" w:cs="Arial"/>
        </w:rPr>
        <w:t xml:space="preserve"> See also </w:t>
      </w:r>
      <w:r w:rsidRPr="002827C1">
        <w:rPr>
          <w:rFonts w:ascii="Arial" w:hAnsi="Arial" w:cs="Arial"/>
          <w:i/>
        </w:rPr>
        <w:t>Bock &amp; Others v Duburoro Investments (Pty) Ltd</w:t>
      </w:r>
      <w:r w:rsidRPr="002827C1">
        <w:rPr>
          <w:rFonts w:ascii="Arial" w:hAnsi="Arial" w:cs="Arial"/>
        </w:rPr>
        <w:t xml:space="preserve"> [2003] ZASCA 94; 2004 (2) SA 242 (SCA) paras 18 to 21.</w:t>
      </w:r>
    </w:p>
  </w:footnote>
  <w:footnote w:id="12">
    <w:p w:rsidR="00673D5D" w:rsidRPr="002827C1" w:rsidRDefault="00673D5D" w:rsidP="002827C1">
      <w:pPr>
        <w:pStyle w:val="FootnoteText"/>
        <w:jc w:val="both"/>
        <w:rPr>
          <w:rFonts w:ascii="Arial" w:hAnsi="Arial" w:cs="Arial"/>
        </w:rPr>
      </w:pPr>
      <w:r w:rsidRPr="002827C1">
        <w:rPr>
          <w:rStyle w:val="FootnoteReference"/>
          <w:rFonts w:ascii="Arial" w:hAnsi="Arial" w:cs="Arial"/>
        </w:rPr>
        <w:footnoteRef/>
      </w:r>
      <w:r w:rsidRPr="002827C1">
        <w:rPr>
          <w:rFonts w:ascii="Arial" w:hAnsi="Arial" w:cs="Arial"/>
        </w:rPr>
        <w:t xml:space="preserve"> </w:t>
      </w:r>
      <w:r w:rsidRPr="002827C1">
        <w:rPr>
          <w:rFonts w:ascii="Arial" w:hAnsi="Arial" w:cs="Arial"/>
          <w:i/>
        </w:rPr>
        <w:t xml:space="preserve">Development Bank of Namibia v Keystone Technology Solution </w:t>
      </w:r>
      <w:r w:rsidRPr="002827C1">
        <w:rPr>
          <w:rFonts w:ascii="Arial" w:hAnsi="Arial" w:cs="Arial"/>
        </w:rPr>
        <w:t>(I 3678-2013) [2018] NAHCMD 295 (19 September 2018) at para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77933"/>
      <w:docPartObj>
        <w:docPartGallery w:val="Page Numbers (Top of Page)"/>
        <w:docPartUnique/>
      </w:docPartObj>
    </w:sdtPr>
    <w:sdtEndPr>
      <w:rPr>
        <w:noProof/>
      </w:rPr>
    </w:sdtEndPr>
    <w:sdtContent>
      <w:p w:rsidR="00673D5D" w:rsidRDefault="00673D5D">
        <w:pPr>
          <w:pStyle w:val="Header"/>
          <w:jc w:val="right"/>
        </w:pPr>
        <w:r>
          <w:fldChar w:fldCharType="begin"/>
        </w:r>
        <w:r>
          <w:instrText xml:space="preserve"> PAGE   \* MERGEFORMAT </w:instrText>
        </w:r>
        <w:r>
          <w:fldChar w:fldCharType="separate"/>
        </w:r>
        <w:r w:rsidR="006A0109">
          <w:rPr>
            <w:noProof/>
          </w:rPr>
          <w:t>12</w:t>
        </w:r>
        <w:r>
          <w:rPr>
            <w:noProof/>
          </w:rPr>
          <w:fldChar w:fldCharType="end"/>
        </w:r>
      </w:p>
    </w:sdtContent>
  </w:sdt>
  <w:p w:rsidR="00673D5D" w:rsidRDefault="00673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7AE95D"/>
    <w:multiLevelType w:val="multilevel"/>
    <w:tmpl w:val="32AC529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15B5710"/>
    <w:multiLevelType w:val="multilevel"/>
    <w:tmpl w:val="848EBC5C"/>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06D12B6"/>
    <w:multiLevelType w:val="hybridMultilevel"/>
    <w:tmpl w:val="FB92CA2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07C5674"/>
    <w:multiLevelType w:val="hybridMultilevel"/>
    <w:tmpl w:val="CF1E605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46F4AE8"/>
    <w:multiLevelType w:val="hybridMultilevel"/>
    <w:tmpl w:val="F2B6BB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6A586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612E9D"/>
    <w:multiLevelType w:val="hybridMultilevel"/>
    <w:tmpl w:val="58423B38"/>
    <w:lvl w:ilvl="0" w:tplc="FA925F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407369"/>
    <w:multiLevelType w:val="hybridMultilevel"/>
    <w:tmpl w:val="990C0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55A4E"/>
    <w:multiLevelType w:val="hybridMultilevel"/>
    <w:tmpl w:val="5B32F61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A6D2E9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867B1F"/>
    <w:multiLevelType w:val="hybridMultilevel"/>
    <w:tmpl w:val="61E61C8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499D44D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7A3BFA"/>
    <w:multiLevelType w:val="multilevel"/>
    <w:tmpl w:val="7116F1DE"/>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63322E84"/>
    <w:multiLevelType w:val="multilevel"/>
    <w:tmpl w:val="5446848E"/>
    <w:lvl w:ilvl="0">
      <w:start w:val="1"/>
      <w:numFmt w:val="decimal"/>
      <w:lvlText w:val="%1."/>
      <w:lvlJc w:val="left"/>
      <w:pPr>
        <w:ind w:left="105" w:hanging="720"/>
      </w:pPr>
      <w:rPr>
        <w:rFonts w:ascii="Arial" w:eastAsia="Arial" w:hAnsi="Arial" w:cs="Arial" w:hint="default"/>
        <w:spacing w:val="-14"/>
        <w:w w:val="99"/>
        <w:sz w:val="24"/>
        <w:szCs w:val="24"/>
      </w:rPr>
    </w:lvl>
    <w:lvl w:ilvl="1">
      <w:start w:val="1"/>
      <w:numFmt w:val="decimal"/>
      <w:lvlText w:val="%1.%2."/>
      <w:lvlJc w:val="left"/>
      <w:pPr>
        <w:ind w:left="814" w:hanging="731"/>
      </w:pPr>
      <w:rPr>
        <w:rFonts w:ascii="Arial" w:eastAsia="Arial" w:hAnsi="Arial" w:cs="Arial" w:hint="default"/>
        <w:spacing w:val="-22"/>
        <w:w w:val="100"/>
        <w:sz w:val="24"/>
        <w:szCs w:val="24"/>
      </w:rPr>
    </w:lvl>
    <w:lvl w:ilvl="2">
      <w:start w:val="1"/>
      <w:numFmt w:val="decimal"/>
      <w:lvlText w:val="%1.%2.%3."/>
      <w:lvlJc w:val="left"/>
      <w:pPr>
        <w:ind w:left="1523" w:hanging="1134"/>
      </w:pPr>
      <w:rPr>
        <w:rFonts w:ascii="Arial" w:eastAsia="Arial" w:hAnsi="Arial" w:cs="Arial" w:hint="default"/>
        <w:spacing w:val="-1"/>
        <w:w w:val="100"/>
        <w:sz w:val="24"/>
        <w:szCs w:val="24"/>
      </w:rPr>
    </w:lvl>
    <w:lvl w:ilvl="3">
      <w:numFmt w:val="bullet"/>
      <w:lvlText w:val="•"/>
      <w:lvlJc w:val="left"/>
      <w:pPr>
        <w:ind w:left="2485" w:hanging="1134"/>
      </w:pPr>
      <w:rPr>
        <w:rFonts w:hint="default"/>
      </w:rPr>
    </w:lvl>
    <w:lvl w:ilvl="4">
      <w:numFmt w:val="bullet"/>
      <w:lvlText w:val="•"/>
      <w:lvlJc w:val="left"/>
      <w:pPr>
        <w:ind w:left="3450" w:hanging="1134"/>
      </w:pPr>
      <w:rPr>
        <w:rFonts w:hint="default"/>
      </w:rPr>
    </w:lvl>
    <w:lvl w:ilvl="5">
      <w:numFmt w:val="bullet"/>
      <w:lvlText w:val="•"/>
      <w:lvlJc w:val="left"/>
      <w:pPr>
        <w:ind w:left="4415" w:hanging="1134"/>
      </w:pPr>
      <w:rPr>
        <w:rFonts w:hint="default"/>
      </w:rPr>
    </w:lvl>
    <w:lvl w:ilvl="6">
      <w:numFmt w:val="bullet"/>
      <w:lvlText w:val="•"/>
      <w:lvlJc w:val="left"/>
      <w:pPr>
        <w:ind w:left="5380" w:hanging="1134"/>
      </w:pPr>
      <w:rPr>
        <w:rFonts w:hint="default"/>
      </w:rPr>
    </w:lvl>
    <w:lvl w:ilvl="7">
      <w:numFmt w:val="bullet"/>
      <w:lvlText w:val="•"/>
      <w:lvlJc w:val="left"/>
      <w:pPr>
        <w:ind w:left="6345" w:hanging="1134"/>
      </w:pPr>
      <w:rPr>
        <w:rFonts w:hint="default"/>
      </w:rPr>
    </w:lvl>
    <w:lvl w:ilvl="8">
      <w:numFmt w:val="bullet"/>
      <w:lvlText w:val="•"/>
      <w:lvlJc w:val="left"/>
      <w:pPr>
        <w:ind w:left="7310" w:hanging="1134"/>
      </w:pPr>
      <w:rPr>
        <w:rFonts w:hint="default"/>
      </w:rPr>
    </w:lvl>
  </w:abstractNum>
  <w:abstractNum w:abstractNumId="14" w15:restartNumberingAfterBreak="0">
    <w:nsid w:val="63FC12D1"/>
    <w:multiLevelType w:val="hybridMultilevel"/>
    <w:tmpl w:val="321A9E3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6DA1080B"/>
    <w:multiLevelType w:val="multilevel"/>
    <w:tmpl w:val="67BE81D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56AF164"/>
    <w:multiLevelType w:val="multilevel"/>
    <w:tmpl w:val="92E6ECE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7F3A395A"/>
    <w:multiLevelType w:val="hybridMultilevel"/>
    <w:tmpl w:val="F692EC7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6"/>
  </w:num>
  <w:num w:numId="2">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
    <w:abstractNumId w:val="1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4">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5">
    <w:abstractNumId w:val="4"/>
  </w:num>
  <w:num w:numId="6">
    <w:abstractNumId w:val="2"/>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13"/>
  </w:num>
  <w:num w:numId="10">
    <w:abstractNumId w:val="8"/>
  </w:num>
  <w:num w:numId="11">
    <w:abstractNumId w:val="3"/>
  </w:num>
  <w:num w:numId="12">
    <w:abstractNumId w:val="14"/>
  </w:num>
  <w:num w:numId="13">
    <w:abstractNumId w:val="5"/>
  </w:num>
  <w:num w:numId="14">
    <w:abstractNumId w:val="9"/>
  </w:num>
  <w:num w:numId="15">
    <w:abstractNumId w:val="11"/>
  </w:num>
  <w:num w:numId="16">
    <w:abstractNumId w:val="1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25"/>
    <w:rsid w:val="00010AD9"/>
    <w:rsid w:val="00035130"/>
    <w:rsid w:val="00081677"/>
    <w:rsid w:val="000940B0"/>
    <w:rsid w:val="000972D7"/>
    <w:rsid w:val="000D6759"/>
    <w:rsid w:val="00114FFD"/>
    <w:rsid w:val="00130BCE"/>
    <w:rsid w:val="00131043"/>
    <w:rsid w:val="00157952"/>
    <w:rsid w:val="001B4529"/>
    <w:rsid w:val="001C26A3"/>
    <w:rsid w:val="00213BE4"/>
    <w:rsid w:val="002248A6"/>
    <w:rsid w:val="002827C1"/>
    <w:rsid w:val="00282CD0"/>
    <w:rsid w:val="00297C50"/>
    <w:rsid w:val="00306CB2"/>
    <w:rsid w:val="00325CC9"/>
    <w:rsid w:val="00345A86"/>
    <w:rsid w:val="003753B0"/>
    <w:rsid w:val="00377DAB"/>
    <w:rsid w:val="00396015"/>
    <w:rsid w:val="003A6B48"/>
    <w:rsid w:val="003D6A09"/>
    <w:rsid w:val="003E5D0B"/>
    <w:rsid w:val="004B636A"/>
    <w:rsid w:val="00517316"/>
    <w:rsid w:val="00546F25"/>
    <w:rsid w:val="00586842"/>
    <w:rsid w:val="005C7CD1"/>
    <w:rsid w:val="005F007F"/>
    <w:rsid w:val="00604818"/>
    <w:rsid w:val="00652710"/>
    <w:rsid w:val="00673D5D"/>
    <w:rsid w:val="00696A5F"/>
    <w:rsid w:val="00697D38"/>
    <w:rsid w:val="00697FBB"/>
    <w:rsid w:val="006A0109"/>
    <w:rsid w:val="006A21E0"/>
    <w:rsid w:val="007114CA"/>
    <w:rsid w:val="007175C6"/>
    <w:rsid w:val="007469F0"/>
    <w:rsid w:val="0076784A"/>
    <w:rsid w:val="007C5314"/>
    <w:rsid w:val="007D640C"/>
    <w:rsid w:val="007E1273"/>
    <w:rsid w:val="008256EF"/>
    <w:rsid w:val="008426A6"/>
    <w:rsid w:val="00861C57"/>
    <w:rsid w:val="00874370"/>
    <w:rsid w:val="008D4061"/>
    <w:rsid w:val="008F7C1A"/>
    <w:rsid w:val="009133C8"/>
    <w:rsid w:val="00955926"/>
    <w:rsid w:val="009C71E1"/>
    <w:rsid w:val="00A354E3"/>
    <w:rsid w:val="00A46CA6"/>
    <w:rsid w:val="00A73087"/>
    <w:rsid w:val="00AA3054"/>
    <w:rsid w:val="00B00CDC"/>
    <w:rsid w:val="00B06A92"/>
    <w:rsid w:val="00B523EF"/>
    <w:rsid w:val="00B83BB8"/>
    <w:rsid w:val="00B863CA"/>
    <w:rsid w:val="00B91C08"/>
    <w:rsid w:val="00C60153"/>
    <w:rsid w:val="00C764C4"/>
    <w:rsid w:val="00C95981"/>
    <w:rsid w:val="00CC4867"/>
    <w:rsid w:val="00D25960"/>
    <w:rsid w:val="00D42097"/>
    <w:rsid w:val="00D522E3"/>
    <w:rsid w:val="00E37D9F"/>
    <w:rsid w:val="00E62F85"/>
    <w:rsid w:val="00E71118"/>
    <w:rsid w:val="00E860CD"/>
    <w:rsid w:val="00ED2CA1"/>
    <w:rsid w:val="00EF68C6"/>
    <w:rsid w:val="00F15F10"/>
    <w:rsid w:val="00F20F02"/>
    <w:rsid w:val="00F21D95"/>
    <w:rsid w:val="00F92F84"/>
    <w:rsid w:val="00FA1CB5"/>
    <w:rsid w:val="00FB4FF4"/>
    <w:rsid w:val="00FB78D0"/>
    <w:rsid w:val="00FC6ADA"/>
    <w:rsid w:val="00FE27D6"/>
    <w:rsid w:val="00FE7F9C"/>
    <w:rsid w:val="00FF34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8880D-CBF1-4A12-9369-0CC395A4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6F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F25"/>
    <w:rPr>
      <w:sz w:val="20"/>
      <w:szCs w:val="20"/>
    </w:rPr>
  </w:style>
  <w:style w:type="character" w:styleId="FootnoteReference">
    <w:name w:val="footnote reference"/>
    <w:basedOn w:val="DefaultParagraphFont"/>
    <w:uiPriority w:val="99"/>
    <w:semiHidden/>
    <w:unhideWhenUsed/>
    <w:rsid w:val="00546F25"/>
    <w:rPr>
      <w:vertAlign w:val="superscript"/>
    </w:rPr>
  </w:style>
  <w:style w:type="paragraph" w:customStyle="1" w:styleId="Style4">
    <w:name w:val="Style4"/>
    <w:basedOn w:val="Normal"/>
    <w:next w:val="Normal"/>
    <w:uiPriority w:val="99"/>
    <w:rsid w:val="00546F25"/>
    <w:pPr>
      <w:widowControl w:val="0"/>
      <w:autoSpaceDE w:val="0"/>
      <w:autoSpaceDN w:val="0"/>
      <w:adjustRightInd w:val="0"/>
      <w:spacing w:after="0" w:line="245" w:lineRule="exact"/>
      <w:ind w:firstLine="259"/>
      <w:jc w:val="both"/>
    </w:pPr>
    <w:rPr>
      <w:rFonts w:ascii="Arial" w:eastAsiaTheme="minorEastAsia" w:hAnsi="Arial" w:cs="Arial"/>
      <w:sz w:val="24"/>
      <w:szCs w:val="24"/>
      <w:lang w:val="en-US" w:eastAsia="zh-CN" w:bidi="hi-IN"/>
    </w:rPr>
  </w:style>
  <w:style w:type="paragraph" w:customStyle="1" w:styleId="Style5">
    <w:name w:val="Style5"/>
    <w:basedOn w:val="Normal"/>
    <w:next w:val="Normal"/>
    <w:uiPriority w:val="99"/>
    <w:rsid w:val="00546F25"/>
    <w:pPr>
      <w:widowControl w:val="0"/>
      <w:autoSpaceDE w:val="0"/>
      <w:autoSpaceDN w:val="0"/>
      <w:adjustRightInd w:val="0"/>
      <w:spacing w:after="0" w:line="252" w:lineRule="exact"/>
      <w:ind w:firstLine="158"/>
      <w:jc w:val="both"/>
    </w:pPr>
    <w:rPr>
      <w:rFonts w:ascii="Arial" w:eastAsiaTheme="minorEastAsia" w:hAnsi="Arial" w:cs="Arial"/>
      <w:sz w:val="24"/>
      <w:szCs w:val="24"/>
      <w:lang w:val="en-US" w:eastAsia="zh-CN" w:bidi="hi-IN"/>
    </w:rPr>
  </w:style>
  <w:style w:type="paragraph" w:customStyle="1" w:styleId="Style9">
    <w:name w:val="Style9"/>
    <w:basedOn w:val="Normal"/>
    <w:next w:val="Normal"/>
    <w:uiPriority w:val="99"/>
    <w:rsid w:val="00546F25"/>
    <w:pPr>
      <w:widowControl w:val="0"/>
      <w:autoSpaceDE w:val="0"/>
      <w:autoSpaceDN w:val="0"/>
      <w:adjustRightInd w:val="0"/>
      <w:spacing w:after="0" w:line="740" w:lineRule="exact"/>
      <w:jc w:val="both"/>
    </w:pPr>
    <w:rPr>
      <w:rFonts w:ascii="Arial" w:eastAsiaTheme="minorEastAsia" w:hAnsi="Arial" w:cs="Arial"/>
      <w:sz w:val="24"/>
      <w:szCs w:val="24"/>
      <w:lang w:val="en-US" w:eastAsia="zh-CN" w:bidi="hi-IN"/>
    </w:rPr>
  </w:style>
  <w:style w:type="character" w:customStyle="1" w:styleId="FontStyle21">
    <w:name w:val="Font Style21"/>
    <w:basedOn w:val="DefaultParagraphFont"/>
    <w:uiPriority w:val="99"/>
    <w:rsid w:val="00546F25"/>
    <w:rPr>
      <w:sz w:val="20"/>
      <w:szCs w:val="20"/>
      <w:lang w:eastAsia="zh-CN" w:bidi="hi-IN"/>
    </w:rPr>
  </w:style>
  <w:style w:type="character" w:customStyle="1" w:styleId="FontStyle22">
    <w:name w:val="Font Style22"/>
    <w:basedOn w:val="DefaultParagraphFont"/>
    <w:uiPriority w:val="99"/>
    <w:rsid w:val="00546F25"/>
    <w:rPr>
      <w:rFonts w:ascii="Times New Roman" w:eastAsia="Times New Roman" w:hAnsi="Times New Roman" w:cs="Times New Roman"/>
      <w:b/>
      <w:bCs/>
      <w:i/>
      <w:iCs/>
      <w:sz w:val="20"/>
      <w:szCs w:val="20"/>
      <w:lang w:eastAsia="zh-CN" w:bidi="hi-IN"/>
    </w:rPr>
  </w:style>
  <w:style w:type="character" w:customStyle="1" w:styleId="FontStyle23">
    <w:name w:val="Font Style23"/>
    <w:basedOn w:val="DefaultParagraphFont"/>
    <w:uiPriority w:val="99"/>
    <w:rsid w:val="00546F25"/>
    <w:rPr>
      <w:b/>
      <w:bCs/>
      <w:i/>
      <w:iCs/>
      <w:sz w:val="20"/>
      <w:szCs w:val="20"/>
      <w:lang w:eastAsia="zh-CN" w:bidi="hi-IN"/>
    </w:rPr>
  </w:style>
  <w:style w:type="character" w:customStyle="1" w:styleId="FontStyle24">
    <w:name w:val="Font Style24"/>
    <w:basedOn w:val="DefaultParagraphFont"/>
    <w:uiPriority w:val="99"/>
    <w:rsid w:val="00546F25"/>
    <w:rPr>
      <w:b/>
      <w:bCs/>
      <w:i/>
      <w:iCs/>
      <w:sz w:val="16"/>
      <w:szCs w:val="16"/>
      <w:lang w:eastAsia="zh-CN" w:bidi="hi-IN"/>
    </w:rPr>
  </w:style>
  <w:style w:type="paragraph" w:styleId="Header">
    <w:name w:val="header"/>
    <w:basedOn w:val="Normal"/>
    <w:link w:val="HeaderChar"/>
    <w:uiPriority w:val="99"/>
    <w:unhideWhenUsed/>
    <w:rsid w:val="0054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25"/>
  </w:style>
  <w:style w:type="paragraph" w:styleId="ListParagraph">
    <w:name w:val="List Paragraph"/>
    <w:basedOn w:val="Normal"/>
    <w:uiPriority w:val="34"/>
    <w:qFormat/>
    <w:rsid w:val="00546F25"/>
    <w:pPr>
      <w:ind w:left="720"/>
      <w:contextualSpacing/>
    </w:pPr>
  </w:style>
  <w:style w:type="paragraph" w:styleId="BodyText">
    <w:name w:val="Body Text"/>
    <w:basedOn w:val="Normal"/>
    <w:link w:val="BodyTextChar"/>
    <w:uiPriority w:val="99"/>
    <w:semiHidden/>
    <w:unhideWhenUsed/>
    <w:rsid w:val="00E37D9F"/>
    <w:pPr>
      <w:spacing w:after="120"/>
    </w:pPr>
  </w:style>
  <w:style w:type="character" w:customStyle="1" w:styleId="BodyTextChar">
    <w:name w:val="Body Text Char"/>
    <w:basedOn w:val="DefaultParagraphFont"/>
    <w:link w:val="BodyText"/>
    <w:uiPriority w:val="99"/>
    <w:semiHidden/>
    <w:rsid w:val="00E37D9F"/>
  </w:style>
  <w:style w:type="paragraph" w:styleId="BalloonText">
    <w:name w:val="Balloon Text"/>
    <w:basedOn w:val="Normal"/>
    <w:link w:val="BalloonTextChar"/>
    <w:uiPriority w:val="99"/>
    <w:semiHidden/>
    <w:unhideWhenUsed/>
    <w:rsid w:val="00697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FBB"/>
    <w:rPr>
      <w:rFonts w:ascii="Segoe UI" w:hAnsi="Segoe UI" w:cs="Segoe UI"/>
      <w:sz w:val="18"/>
      <w:szCs w:val="18"/>
    </w:rPr>
  </w:style>
  <w:style w:type="paragraph" w:styleId="Footer">
    <w:name w:val="footer"/>
    <w:basedOn w:val="Normal"/>
    <w:link w:val="FooterChar"/>
    <w:uiPriority w:val="99"/>
    <w:unhideWhenUsed/>
    <w:rsid w:val="00282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2019-12-05T18:30:00+00:00</Judgment_x0020_Date>
    <Year xmlns="c1afb1bd-f2fb-40fd-9abb-aea55b4d7662">2019</Year>
  </documentManagement>
</p:properties>
</file>

<file path=customXml/itemProps1.xml><?xml version="1.0" encoding="utf-8"?>
<ds:datastoreItem xmlns:ds="http://schemas.openxmlformats.org/officeDocument/2006/customXml" ds:itemID="{116061CD-3CCF-464A-8328-26DBB3DA3DCE}"/>
</file>

<file path=customXml/itemProps2.xml><?xml version="1.0" encoding="utf-8"?>
<ds:datastoreItem xmlns:ds="http://schemas.openxmlformats.org/officeDocument/2006/customXml" ds:itemID="{6A2B1BF6-B457-417D-99F2-661C0135FC99}"/>
</file>

<file path=customXml/itemProps3.xml><?xml version="1.0" encoding="utf-8"?>
<ds:datastoreItem xmlns:ds="http://schemas.openxmlformats.org/officeDocument/2006/customXml" ds:itemID="{15495345-AE3C-4347-90E6-119953585B13}"/>
</file>

<file path=customXml/itemProps4.xml><?xml version="1.0" encoding="utf-8"?>
<ds:datastoreItem xmlns:ds="http://schemas.openxmlformats.org/officeDocument/2006/customXml" ds:itemID="{33B843E6-6204-488E-AECB-F2DF496E47F0}"/>
</file>

<file path=docProps/app.xml><?xml version="1.0" encoding="utf-8"?>
<Properties xmlns="http://schemas.openxmlformats.org/officeDocument/2006/extended-properties" xmlns:vt="http://schemas.openxmlformats.org/officeDocument/2006/docPropsVTypes">
  <Template>Normal</Template>
  <TotalTime>0</TotalTime>
  <Pages>12</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Helvi Hilifilwa</dc:creator>
  <cp:lastModifiedBy>Lotta N. Ambunda</cp:lastModifiedBy>
  <cp:revision>2</cp:revision>
  <cp:lastPrinted>2019-12-06T08:17:00Z</cp:lastPrinted>
  <dcterms:created xsi:type="dcterms:W3CDTF">2019-12-12T11:41:00Z</dcterms:created>
  <dcterms:modified xsi:type="dcterms:W3CDTF">2019-12-12T11:41:00Z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