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44" w:rsidRPr="00FA0644" w:rsidRDefault="00FA0644" w:rsidP="00FA0644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FA0644">
        <w:rPr>
          <w:rFonts w:ascii="Arial Narrow" w:hAnsi="Arial Narrow"/>
          <w:sz w:val="24"/>
          <w:szCs w:val="24"/>
        </w:rPr>
        <w:t>Practice Directive 61</w:t>
      </w:r>
    </w:p>
    <w:p w:rsidR="00FA0644" w:rsidRPr="00FA0644" w:rsidRDefault="00FA0644" w:rsidP="00FA0644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FA0644" w:rsidRPr="00FA0644" w:rsidRDefault="00FA0644" w:rsidP="00FA064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A0644">
        <w:rPr>
          <w:rFonts w:ascii="Arial Narrow" w:hAnsi="Arial Narrow"/>
          <w:b/>
          <w:sz w:val="24"/>
          <w:szCs w:val="24"/>
        </w:rPr>
        <w:t>IN THE HIGH COURT OF NAMIBIA</w:t>
      </w:r>
    </w:p>
    <w:p w:rsidR="00412EBB" w:rsidRPr="00FA0644" w:rsidRDefault="00412EBB" w:rsidP="00FA064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180"/>
        <w:gridCol w:w="447"/>
        <w:gridCol w:w="4323"/>
      </w:tblGrid>
      <w:tr w:rsidR="00412EBB" w:rsidRPr="00FA0644" w:rsidTr="00A51B65">
        <w:trPr>
          <w:trHeight w:val="744"/>
        </w:trPr>
        <w:tc>
          <w:tcPr>
            <w:tcW w:w="5397" w:type="dxa"/>
            <w:gridSpan w:val="3"/>
            <w:vMerge w:val="restart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>Case Title:</w:t>
            </w:r>
          </w:p>
          <w:p w:rsidR="00412EBB" w:rsidRPr="00FA0644" w:rsidRDefault="00193B6E" w:rsidP="00FA064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sz w:val="24"/>
                <w:szCs w:val="24"/>
              </w:rPr>
              <w:t>AVELINUS ELIA</w:t>
            </w:r>
            <w:r w:rsidR="00FA0644" w:rsidRPr="00FA06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12EBB" w:rsidRPr="00FA0644">
              <w:rPr>
                <w:rFonts w:ascii="Arial Narrow" w:hAnsi="Arial Narrow" w:cs="Arial"/>
                <w:sz w:val="24"/>
                <w:szCs w:val="24"/>
              </w:rPr>
              <w:t>v</w:t>
            </w:r>
            <w:r w:rsidR="00FA0644" w:rsidRPr="00FA06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12EBB" w:rsidRPr="00FA0644">
              <w:rPr>
                <w:rFonts w:ascii="Arial Narrow" w:hAnsi="Arial Narrow" w:cs="Arial"/>
                <w:sz w:val="24"/>
                <w:szCs w:val="24"/>
              </w:rPr>
              <w:t xml:space="preserve">MINISTER OF SAFETY AND SECURITY &amp; 2 OTHERS         </w:t>
            </w:r>
            <w:r w:rsidR="00FA0644" w:rsidRPr="00FA0644">
              <w:rPr>
                <w:rFonts w:ascii="Arial Narrow" w:hAnsi="Arial Narrow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4323" w:type="dxa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>Case No:</w:t>
            </w:r>
          </w:p>
          <w:p w:rsidR="00412EBB" w:rsidRPr="00FA0644" w:rsidRDefault="00193B6E" w:rsidP="00FA064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sz w:val="24"/>
                <w:szCs w:val="24"/>
              </w:rPr>
              <w:t>HC-MD-CIV-ACT-OTH-2017/02151</w:t>
            </w:r>
          </w:p>
        </w:tc>
      </w:tr>
      <w:tr w:rsidR="00412EBB" w:rsidRPr="00FA0644" w:rsidTr="00FA0644">
        <w:trPr>
          <w:trHeight w:val="917"/>
        </w:trPr>
        <w:tc>
          <w:tcPr>
            <w:tcW w:w="5397" w:type="dxa"/>
            <w:gridSpan w:val="3"/>
            <w:vMerge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>Division of Court:</w:t>
            </w:r>
          </w:p>
          <w:p w:rsidR="00412EBB" w:rsidRPr="00FA0644" w:rsidRDefault="00FA0644" w:rsidP="00FA064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A0644">
              <w:rPr>
                <w:rFonts w:ascii="Arial Narrow" w:hAnsi="Arial Narrow"/>
                <w:sz w:val="24"/>
                <w:szCs w:val="24"/>
              </w:rPr>
              <w:t>HIGH COURT(MAIN DIVISION)</w:t>
            </w:r>
          </w:p>
        </w:tc>
      </w:tr>
      <w:tr w:rsidR="00412EBB" w:rsidRPr="00FA0644" w:rsidTr="00A51B65">
        <w:trPr>
          <w:trHeight w:val="645"/>
        </w:trPr>
        <w:tc>
          <w:tcPr>
            <w:tcW w:w="5397" w:type="dxa"/>
            <w:gridSpan w:val="3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>Heard before:</w:t>
            </w:r>
          </w:p>
          <w:p w:rsidR="00412EBB" w:rsidRPr="00FA0644" w:rsidRDefault="00FA0644" w:rsidP="00FA064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sz w:val="24"/>
                <w:szCs w:val="24"/>
              </w:rPr>
              <w:t>HONOURABLE MS JUSTICE PRINSLOO</w:t>
            </w:r>
          </w:p>
        </w:tc>
        <w:tc>
          <w:tcPr>
            <w:tcW w:w="4323" w:type="dxa"/>
          </w:tcPr>
          <w:p w:rsidR="00FA0644" w:rsidRPr="00FA0644" w:rsidRDefault="00FA0644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Date of hearing</w:t>
            </w:r>
            <w:r w:rsidR="00412EBB" w:rsidRPr="00FA0644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="00CB7919" w:rsidRPr="00FA064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:rsidR="00412EBB" w:rsidRPr="00FA0644" w:rsidRDefault="00FA0644" w:rsidP="00FA0644">
            <w:pPr>
              <w:spacing w:after="0" w:line="36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05</w:t>
            </w:r>
            <w:r w:rsidRPr="00FA0644">
              <w:rPr>
                <w:rFonts w:ascii="Arial Narrow" w:hAnsi="Arial Narrow" w:cs="Arial"/>
                <w:bCs/>
                <w:sz w:val="24"/>
                <w:szCs w:val="24"/>
              </w:rPr>
              <w:t xml:space="preserve"> DECEMBER 2019</w:t>
            </w:r>
          </w:p>
        </w:tc>
      </w:tr>
      <w:tr w:rsidR="00FA0644" w:rsidRPr="00FA0644" w:rsidTr="00A51B65">
        <w:trPr>
          <w:trHeight w:val="645"/>
        </w:trPr>
        <w:tc>
          <w:tcPr>
            <w:tcW w:w="5397" w:type="dxa"/>
            <w:gridSpan w:val="3"/>
          </w:tcPr>
          <w:p w:rsidR="00FA0644" w:rsidRPr="00FA0644" w:rsidRDefault="00FA0644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FA0644" w:rsidRPr="00FA0644" w:rsidRDefault="00FA0644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Date of order</w:t>
            </w:r>
            <w:r w:rsidRPr="00FA064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: </w:t>
            </w:r>
          </w:p>
          <w:p w:rsidR="00FA0644" w:rsidRPr="00FA0644" w:rsidRDefault="00FA0644" w:rsidP="00FA0644">
            <w:pPr>
              <w:spacing w:after="0" w:line="36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05</w:t>
            </w:r>
            <w:r w:rsidRPr="00FA0644">
              <w:rPr>
                <w:rFonts w:ascii="Arial Narrow" w:hAnsi="Arial Narrow" w:cs="Arial"/>
                <w:bCs/>
                <w:sz w:val="24"/>
                <w:szCs w:val="24"/>
              </w:rPr>
              <w:t xml:space="preserve"> DECEMBER 2019</w:t>
            </w:r>
          </w:p>
          <w:p w:rsidR="00FA0644" w:rsidRDefault="00FA0644" w:rsidP="00FA0644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A0644">
              <w:rPr>
                <w:rFonts w:ascii="Arial Narrow" w:hAnsi="Arial Narrow"/>
                <w:b/>
                <w:sz w:val="24"/>
                <w:szCs w:val="24"/>
              </w:rPr>
              <w:t xml:space="preserve">Reasons delivered on: </w:t>
            </w:r>
          </w:p>
          <w:p w:rsidR="00FA0644" w:rsidRPr="00FA0644" w:rsidRDefault="00FA0644" w:rsidP="00FA0644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A0644">
              <w:rPr>
                <w:rFonts w:ascii="Arial Narrow" w:hAnsi="Arial Narrow"/>
                <w:sz w:val="24"/>
                <w:szCs w:val="24"/>
              </w:rPr>
              <w:t>12 DECEMBER 2019</w:t>
            </w:r>
          </w:p>
        </w:tc>
      </w:tr>
      <w:tr w:rsidR="00412EBB" w:rsidRPr="00FA0644" w:rsidTr="00A51B65">
        <w:tc>
          <w:tcPr>
            <w:tcW w:w="9720" w:type="dxa"/>
            <w:gridSpan w:val="4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 xml:space="preserve">Neutral citation: </w:t>
            </w:r>
            <w:r w:rsidR="00FA0644">
              <w:rPr>
                <w:rFonts w:ascii="Arial Narrow" w:hAnsi="Arial Narrow" w:cs="Arial"/>
                <w:i/>
                <w:shd w:val="clear" w:color="auto" w:fill="FFFFFF"/>
              </w:rPr>
              <w:t>Elia v Minister of Safety and Security</w:t>
            </w:r>
            <w:r w:rsidR="00FA0644" w:rsidRPr="00FE601D">
              <w:rPr>
                <w:rFonts w:ascii="Arial Narrow" w:hAnsi="Arial Narrow" w:cs="Arial"/>
              </w:rPr>
              <w:t xml:space="preserve"> (</w:t>
            </w:r>
            <w:r w:rsidR="00AC5F91">
              <w:rPr>
                <w:rFonts w:ascii="Arial Narrow" w:hAnsi="Arial Narrow" w:cs="Arial"/>
                <w:shd w:val="clear" w:color="auto" w:fill="FFFFFF"/>
              </w:rPr>
              <w:t>HC-MD-CIV-ACT-OTH-2017/02151</w:t>
            </w:r>
            <w:r w:rsidR="0090265E">
              <w:rPr>
                <w:rFonts w:ascii="Arial Narrow" w:hAnsi="Arial Narrow" w:cs="Arial"/>
              </w:rPr>
              <w:t>) [2019] NAHCMD 551</w:t>
            </w:r>
            <w:r w:rsidR="00FA0644" w:rsidRPr="00FE601D">
              <w:rPr>
                <w:rFonts w:ascii="Arial Narrow" w:hAnsi="Arial Narrow" w:cs="Arial"/>
              </w:rPr>
              <w:t>(</w:t>
            </w:r>
            <w:r w:rsidR="00AC5F91">
              <w:rPr>
                <w:rFonts w:ascii="Arial Narrow" w:hAnsi="Arial Narrow" w:cs="Arial"/>
              </w:rPr>
              <w:t>05</w:t>
            </w:r>
            <w:r w:rsidR="00FA0644" w:rsidRPr="00FE601D">
              <w:rPr>
                <w:rFonts w:ascii="Arial Narrow" w:hAnsi="Arial Narrow" w:cs="Arial"/>
              </w:rPr>
              <w:t xml:space="preserve"> December 2019)</w:t>
            </w:r>
          </w:p>
        </w:tc>
      </w:tr>
      <w:tr w:rsidR="00412EBB" w:rsidRPr="00FA0644" w:rsidTr="00A51B65">
        <w:trPr>
          <w:trHeight w:val="947"/>
        </w:trPr>
        <w:tc>
          <w:tcPr>
            <w:tcW w:w="9720" w:type="dxa"/>
            <w:gridSpan w:val="4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>Result on merits:</w:t>
            </w:r>
          </w:p>
          <w:p w:rsidR="00412EBB" w:rsidRPr="0090265E" w:rsidRDefault="00412EBB" w:rsidP="0090265E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sz w:val="24"/>
                <w:szCs w:val="24"/>
              </w:rPr>
              <w:t>Merits not considered.</w:t>
            </w:r>
          </w:p>
        </w:tc>
      </w:tr>
      <w:tr w:rsidR="00412EBB" w:rsidRPr="00FA0644" w:rsidTr="00A51B65">
        <w:tc>
          <w:tcPr>
            <w:tcW w:w="9720" w:type="dxa"/>
            <w:gridSpan w:val="4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>The order:</w:t>
            </w:r>
          </w:p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 xml:space="preserve">IT IS </w:t>
            </w:r>
            <w:r w:rsidR="00AC5F91">
              <w:rPr>
                <w:rFonts w:ascii="Arial Narrow" w:hAnsi="Arial Narrow" w:cs="Arial"/>
                <w:b/>
                <w:sz w:val="24"/>
                <w:szCs w:val="24"/>
              </w:rPr>
              <w:t xml:space="preserve">HEREBY </w:t>
            </w: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>ORDERED THAT:</w:t>
            </w:r>
          </w:p>
          <w:p w:rsidR="00412EBB" w:rsidRPr="00AC5F91" w:rsidRDefault="00412EBB" w:rsidP="00E0194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sz w:val="24"/>
                <w:szCs w:val="24"/>
              </w:rPr>
              <w:lastRenderedPageBreak/>
              <w:t>The defendant</w:t>
            </w:r>
            <w:r w:rsidR="00193B6E" w:rsidRPr="00FA0644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FA06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93B6E" w:rsidRPr="00FA0644">
              <w:rPr>
                <w:rFonts w:ascii="Arial Narrow" w:hAnsi="Arial Narrow" w:cs="Arial"/>
                <w:sz w:val="24"/>
                <w:szCs w:val="24"/>
              </w:rPr>
              <w:t>are</w:t>
            </w:r>
            <w:r w:rsidRPr="00FA0644">
              <w:rPr>
                <w:rFonts w:ascii="Arial Narrow" w:hAnsi="Arial Narrow" w:cs="Arial"/>
                <w:sz w:val="24"/>
                <w:szCs w:val="24"/>
              </w:rPr>
              <w:t xml:space="preserve"> granted leave to appeal the judgment handed down on </w:t>
            </w:r>
            <w:r w:rsidR="00193B6E" w:rsidRPr="00FA0644">
              <w:rPr>
                <w:rFonts w:ascii="Arial Narrow" w:hAnsi="Arial Narrow" w:cs="Arial"/>
                <w:sz w:val="24"/>
                <w:szCs w:val="24"/>
              </w:rPr>
              <w:t>12</w:t>
            </w:r>
            <w:r w:rsidR="00A51B65" w:rsidRPr="00FA06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93B6E" w:rsidRPr="00FA0644">
              <w:rPr>
                <w:rFonts w:ascii="Arial Narrow" w:hAnsi="Arial Narrow" w:cs="Arial"/>
                <w:sz w:val="24"/>
                <w:szCs w:val="24"/>
              </w:rPr>
              <w:t>February</w:t>
            </w:r>
            <w:r w:rsidR="00A51B65" w:rsidRPr="00FA0644">
              <w:rPr>
                <w:rFonts w:ascii="Arial Narrow" w:hAnsi="Arial Narrow" w:cs="Arial"/>
                <w:sz w:val="24"/>
                <w:szCs w:val="24"/>
              </w:rPr>
              <w:t xml:space="preserve"> 201</w:t>
            </w:r>
            <w:r w:rsidR="00193B6E" w:rsidRPr="00FA0644">
              <w:rPr>
                <w:rFonts w:ascii="Arial Narrow" w:hAnsi="Arial Narrow" w:cs="Arial"/>
                <w:sz w:val="24"/>
                <w:szCs w:val="24"/>
              </w:rPr>
              <w:t>9.</w:t>
            </w:r>
            <w:r w:rsidRPr="00FA06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412EBB" w:rsidRPr="00FA0644" w:rsidTr="00A51B65">
        <w:tc>
          <w:tcPr>
            <w:tcW w:w="9720" w:type="dxa"/>
            <w:gridSpan w:val="4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Reasons for orders:</w:t>
            </w:r>
          </w:p>
        </w:tc>
      </w:tr>
      <w:tr w:rsidR="00412EBB" w:rsidRPr="00FA0644" w:rsidTr="00A51B65">
        <w:tc>
          <w:tcPr>
            <w:tcW w:w="9720" w:type="dxa"/>
            <w:gridSpan w:val="4"/>
          </w:tcPr>
          <w:p w:rsidR="00412EBB" w:rsidRPr="00FA0644" w:rsidRDefault="00412EBB" w:rsidP="00FA0644">
            <w:pPr>
              <w:spacing w:after="0" w:line="360" w:lineRule="auto"/>
              <w:ind w:left="1440" w:hanging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12EBB" w:rsidRPr="00FE5F31" w:rsidRDefault="00FE5F31" w:rsidP="00FE5F3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</w:pPr>
            <w:r w:rsidRPr="00FE5F31">
              <w:rPr>
                <w:rFonts w:ascii="Arial Narrow" w:hAnsi="Arial Narrow" w:cs="Arial"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  <w:r w:rsidR="00193B6E" w:rsidRPr="00FE5F31">
              <w:rPr>
                <w:rFonts w:ascii="Arial Narrow" w:hAnsi="Arial Narrow" w:cs="Arial"/>
                <w:sz w:val="24"/>
                <w:szCs w:val="24"/>
              </w:rPr>
              <w:t>The applicant (defendant</w:t>
            </w:r>
            <w:r w:rsidR="00193B6E" w:rsidRPr="00FD0989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193B6E" w:rsidRPr="00FE5F31">
              <w:rPr>
                <w:rFonts w:ascii="Arial Narrow" w:hAnsi="Arial Narrow" w:cs="Arial"/>
                <w:sz w:val="24"/>
                <w:szCs w:val="24"/>
              </w:rPr>
              <w:t xml:space="preserve"> in the main action) seeks leave to appeal to the </w:t>
            </w:r>
            <w:r w:rsidR="00193B6E" w:rsidRPr="008E3979">
              <w:rPr>
                <w:rFonts w:ascii="Arial Narrow" w:hAnsi="Arial Narrow" w:cs="Arial"/>
                <w:sz w:val="24"/>
                <w:szCs w:val="24"/>
              </w:rPr>
              <w:t xml:space="preserve">Supreme </w:t>
            </w:r>
            <w:r w:rsidR="00CA06D7" w:rsidRPr="008E3979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193B6E" w:rsidRPr="00FE5F31">
              <w:rPr>
                <w:rFonts w:ascii="Arial Narrow" w:hAnsi="Arial Narrow" w:cs="Arial"/>
                <w:sz w:val="24"/>
                <w:szCs w:val="24"/>
              </w:rPr>
              <w:t>ourt against part of the judgement and the orders made on 12 February 2019.</w:t>
            </w:r>
          </w:p>
          <w:p w:rsidR="00412EBB" w:rsidRPr="00FA0644" w:rsidRDefault="007C2158" w:rsidP="00FA0644">
            <w:pPr>
              <w:pStyle w:val="ListParagraph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</w:pP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</w:t>
            </w:r>
          </w:p>
          <w:p w:rsidR="00412EBB" w:rsidRPr="00FA0644" w:rsidRDefault="00193B6E" w:rsidP="00FA0644">
            <w:pPr>
              <w:pStyle w:val="ListParagraph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</w:pP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2. </w:t>
            </w:r>
            <w:r w:rsidR="00FE5F31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       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At the core of the matt</w:t>
            </w:r>
            <w:r w:rsidR="00CA06D7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er lies the interpretation of s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133(4) of the Corr</w:t>
            </w:r>
            <w:r w:rsidR="007C2158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ectional Services Act</w:t>
            </w:r>
            <w:r w:rsidR="00CA06D7">
              <w:rPr>
                <w:rStyle w:val="FootnoteReference"/>
                <w:rFonts w:ascii="Arial Narrow" w:eastAsia="Times New Roman" w:hAnsi="Arial Narrow" w:cs="Arial"/>
                <w:sz w:val="24"/>
                <w:szCs w:val="24"/>
                <w:lang w:eastAsia="en-ZA"/>
              </w:rPr>
              <w:footnoteReference w:id="1"/>
            </w:r>
            <w:r w:rsidR="007C2158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and the question raised is whether the court was correct in finding that plaintiff must amend his particulars of claim after determining that he did not comply with the section. </w:t>
            </w:r>
          </w:p>
          <w:p w:rsidR="00C40FB1" w:rsidRPr="00FA0644" w:rsidRDefault="00C40FB1" w:rsidP="00FA0644">
            <w:pPr>
              <w:pStyle w:val="ListParagraph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</w:pPr>
          </w:p>
          <w:p w:rsidR="007C2158" w:rsidRPr="00FA0644" w:rsidRDefault="007C2158" w:rsidP="00FA0644">
            <w:pPr>
              <w:pStyle w:val="ListParagraph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</w:pP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3. </w:t>
            </w:r>
            <w:r w:rsidR="00FE5F31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        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It is the case of the applicant</w:t>
            </w:r>
            <w:r w:rsidRPr="00FD0989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s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that the effect of the court’s judgment is that the</w:t>
            </w:r>
            <w:r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</w:t>
            </w:r>
            <w:r w:rsidR="00FD0989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respondent 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is given a stay of execution to proceed </w:t>
            </w:r>
            <w:r w:rsidRPr="00FA0644">
              <w:rPr>
                <w:rFonts w:ascii="Arial Narrow" w:eastAsia="Times New Roman" w:hAnsi="Arial Narrow" w:cs="Arial"/>
                <w:i/>
                <w:sz w:val="24"/>
                <w:szCs w:val="24"/>
                <w:lang w:eastAsia="en-ZA"/>
              </w:rPr>
              <w:t>laissez faire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with it</w:t>
            </w:r>
            <w:r w:rsidR="00FD0989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s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proceedings without complying with a fundamental step in the proceeding and that it would set a precedent that non complying parties would use for future reference. </w:t>
            </w:r>
          </w:p>
          <w:p w:rsidR="002012C7" w:rsidRPr="00FA0644" w:rsidRDefault="002012C7" w:rsidP="00FA0644">
            <w:pPr>
              <w:pStyle w:val="ListParagraph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</w:pPr>
          </w:p>
          <w:p w:rsidR="007C2158" w:rsidRPr="00FA0644" w:rsidRDefault="007C2158" w:rsidP="00FA0644">
            <w:pPr>
              <w:pStyle w:val="ListParagraph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</w:pP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4. </w:t>
            </w:r>
            <w:r w:rsidR="00FE5F31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        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The applicant</w:t>
            </w:r>
            <w:r w:rsidRPr="002D4570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s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further maintains that the court should have dismissed or struck the pleadings to allow the plaintiff to serve statutory notice </w:t>
            </w:r>
            <w:r w:rsidR="00FD0989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as required by s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133 of the Act.</w:t>
            </w:r>
          </w:p>
          <w:p w:rsidR="007C2158" w:rsidRPr="00FA0644" w:rsidRDefault="007C2158" w:rsidP="00FA0644">
            <w:pPr>
              <w:pStyle w:val="ListParagraph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</w:pPr>
          </w:p>
          <w:p w:rsidR="00412EBB" w:rsidRPr="00FA0644" w:rsidRDefault="007C2158" w:rsidP="00FA0644">
            <w:pPr>
              <w:pStyle w:val="ListParagraph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</w:pP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5. </w:t>
            </w:r>
            <w:r w:rsidR="00FE5F31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       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Having considered the argument advanced on behalf of the applicant</w:t>
            </w:r>
            <w:r w:rsidR="002D4570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s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this court agre</w:t>
            </w:r>
            <w:r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e</w:t>
            </w:r>
            <w:r w:rsidR="002D4570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s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that another court might come to a different conclusion and therefor </w:t>
            </w:r>
            <w:r w:rsidR="00412EBB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in light of the provisions of section 18 (3) of the High Court Act of Namibia</w:t>
            </w:r>
            <w:r w:rsidR="002D4570">
              <w:rPr>
                <w:rStyle w:val="FootnoteReference"/>
                <w:rFonts w:ascii="Arial Narrow" w:eastAsia="Times New Roman" w:hAnsi="Arial Narrow" w:cs="Arial"/>
                <w:sz w:val="24"/>
                <w:szCs w:val="24"/>
                <w:lang w:eastAsia="en-ZA"/>
              </w:rPr>
              <w:footnoteReference w:id="2"/>
            </w:r>
            <w:r w:rsidR="00412EBB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leave is hereby granted to the </w:t>
            </w:r>
            <w:r w:rsidR="002D4570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applicants</w:t>
            </w:r>
            <w:r w:rsidR="002D4570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en-ZA"/>
              </w:rPr>
              <w:t xml:space="preserve"> </w:t>
            </w:r>
            <w:r w:rsidR="00412EBB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to appeal. </w:t>
            </w:r>
          </w:p>
          <w:p w:rsidR="00A51B65" w:rsidRPr="00FA0644" w:rsidRDefault="00A51B65" w:rsidP="00FA0644">
            <w:pPr>
              <w:pStyle w:val="ListParagraph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</w:pPr>
          </w:p>
          <w:p w:rsidR="00E96869" w:rsidRPr="00FA0644" w:rsidRDefault="002012C7" w:rsidP="00FA0644">
            <w:pPr>
              <w:pStyle w:val="ListParagraph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</w:pP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6</w:t>
            </w:r>
            <w:r w:rsidR="00A51B65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. </w:t>
            </w:r>
            <w:r w:rsidR="00FE5F31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        </w:t>
            </w:r>
            <w:r w:rsidR="00A51B65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It should also be noted that this application for leave to appeal </w:t>
            </w:r>
            <w:r w:rsidR="007C2158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was regarded as </w:t>
            </w:r>
            <w:r w:rsidR="00A51B65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unopposed</w:t>
            </w:r>
            <w:r w:rsidR="007C2158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as the respondent (plaintiff in</w:t>
            </w:r>
            <w:r w:rsidR="007C2158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</w:t>
            </w:r>
            <w:r w:rsidR="009A4CC6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the </w:t>
            </w:r>
            <w:r w:rsidR="007C2158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main action) failed to comply with the court order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</w:t>
            </w:r>
            <w:r w:rsidR="00E96869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of 16 August 2019 </w:t>
            </w:r>
            <w:r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directing the parties to file their heads of argument </w:t>
            </w:r>
            <w:r w:rsidR="00E96869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three and five days prior to </w:t>
            </w:r>
            <w:r w:rsidR="009A4CC6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the</w:t>
            </w:r>
            <w:r w:rsidR="009A4CC6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en-ZA"/>
              </w:rPr>
              <w:t xml:space="preserve"> </w:t>
            </w:r>
            <w:r w:rsidR="00E96869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hearing date respectively. </w:t>
            </w:r>
            <w:r w:rsidR="00C40FB1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The hearing of the matter was scheduled for 6 November 2019 and the respondent’s heads of arguments were due to be filed on </w:t>
            </w:r>
            <w:r w:rsidR="00C40FB1" w:rsidRPr="009A4CC6">
              <w:rPr>
                <w:rFonts w:ascii="Arial Narrow" w:eastAsia="Times New Roman" w:hAnsi="Arial Narrow" w:cs="Arial"/>
                <w:strike/>
                <w:sz w:val="24"/>
                <w:szCs w:val="24"/>
                <w:lang w:eastAsia="en-ZA"/>
              </w:rPr>
              <w:t>0</w:t>
            </w:r>
            <w:r w:rsidR="00C40FB1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1 November 2019. Due to the </w:t>
            </w:r>
            <w:r w:rsidR="00C40FB1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judge</w:t>
            </w:r>
            <w:r w:rsidR="009A4CC6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’s unavailability as a result of </w:t>
            </w:r>
            <w:r w:rsidR="00C40FB1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a bereavement in her family the matter had to be postponed to </w:t>
            </w:r>
            <w:r w:rsidR="000D3FE7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5</w:t>
            </w:r>
            <w:r w:rsidR="000D3FE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en-ZA"/>
              </w:rPr>
              <w:t xml:space="preserve"> </w:t>
            </w:r>
            <w:r w:rsidR="00C40FB1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December 2019 for hearing of the application. </w:t>
            </w:r>
            <w:r w:rsidR="00E96869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The respondent filed his heads of argument </w:t>
            </w:r>
            <w:r w:rsidR="00C40FB1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only on 18 November 2019</w:t>
            </w:r>
            <w:r w:rsidR="00E96869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and instead of filing a condonation application explaining </w:t>
            </w:r>
            <w:r w:rsidR="00C40FB1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his </w:t>
            </w:r>
            <w:r w:rsidR="00E96869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non-compliance</w:t>
            </w:r>
            <w:r w:rsidR="00C40FB1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the </w:t>
            </w:r>
            <w:r w:rsidR="002D4570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respondent elected</w:t>
            </w:r>
            <w:r w:rsidR="00E96869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to engage the opposing party regarding the late filing to obtain an extension, contrary to rule 54(2) of the Rul</w:t>
            </w:r>
            <w:r w:rsidR="00E96869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e</w:t>
            </w:r>
            <w:r w:rsidR="00E01E2E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s</w:t>
            </w:r>
            <w:r w:rsidR="00E96869" w:rsidRPr="00E0194F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 </w:t>
            </w:r>
            <w:r w:rsidR="00E96869" w:rsidRPr="00FA0644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 xml:space="preserve">of Court, which specifically provides that parties </w:t>
            </w:r>
            <w:r w:rsidR="00E01E2E">
              <w:rPr>
                <w:rFonts w:ascii="Arial Narrow" w:hAnsi="Arial Narrow" w:cs="Times-Roman"/>
                <w:sz w:val="24"/>
                <w:szCs w:val="24"/>
              </w:rPr>
              <w:t xml:space="preserve">may </w:t>
            </w:r>
            <w:r w:rsidR="00E01E2E" w:rsidRPr="00E0194F">
              <w:rPr>
                <w:rFonts w:ascii="Arial Narrow" w:hAnsi="Arial Narrow" w:cs="Times-Roman"/>
                <w:sz w:val="24"/>
                <w:szCs w:val="24"/>
              </w:rPr>
              <w:t>not, by agreement, extend</w:t>
            </w:r>
            <w:r w:rsidR="00E01E2E">
              <w:rPr>
                <w:rFonts w:ascii="Arial Narrow" w:hAnsi="Arial Narrow" w:cs="Times-Roman"/>
                <w:color w:val="FF0000"/>
                <w:sz w:val="24"/>
                <w:szCs w:val="24"/>
              </w:rPr>
              <w:t xml:space="preserve"> </w:t>
            </w:r>
            <w:r w:rsidR="00E96869" w:rsidRPr="00FA0644">
              <w:rPr>
                <w:rFonts w:ascii="Arial Narrow" w:hAnsi="Arial Narrow" w:cs="Times-Roman"/>
                <w:sz w:val="24"/>
                <w:szCs w:val="24"/>
              </w:rPr>
              <w:t xml:space="preserve">any time lines as set out by </w:t>
            </w:r>
            <w:r w:rsidR="00E01E2E" w:rsidRPr="00E0194F">
              <w:rPr>
                <w:rFonts w:ascii="Arial Narrow" w:hAnsi="Arial Narrow" w:cs="Times-Roman"/>
                <w:sz w:val="24"/>
                <w:szCs w:val="24"/>
              </w:rPr>
              <w:t>a</w:t>
            </w:r>
            <w:r w:rsidR="00E01E2E">
              <w:rPr>
                <w:rFonts w:ascii="Arial Narrow" w:hAnsi="Arial Narrow" w:cs="Times-Roman"/>
                <w:color w:val="FF0000"/>
                <w:sz w:val="24"/>
                <w:szCs w:val="24"/>
              </w:rPr>
              <w:t xml:space="preserve"> </w:t>
            </w:r>
            <w:r w:rsidR="00E96869" w:rsidRPr="00FA0644">
              <w:rPr>
                <w:rFonts w:ascii="Arial Narrow" w:hAnsi="Arial Narrow" w:cs="Times-Roman"/>
                <w:sz w:val="24"/>
                <w:szCs w:val="24"/>
              </w:rPr>
              <w:t xml:space="preserve">court order. </w:t>
            </w:r>
            <w:r w:rsidR="00C40FB1" w:rsidRPr="00FA0644">
              <w:rPr>
                <w:rFonts w:ascii="Arial Narrow" w:hAnsi="Arial Narrow" w:cs="Times-Roman"/>
                <w:sz w:val="24"/>
                <w:szCs w:val="24"/>
              </w:rPr>
              <w:t>The blatant disregard of the court order caused the court, after hearing the respondent, to attend to this matter as an unopposed matter</w:t>
            </w:r>
            <w:r w:rsidR="00E0194F">
              <w:rPr>
                <w:rFonts w:ascii="Arial Narrow" w:hAnsi="Arial Narrow" w:cs="Times-Roman"/>
                <w:sz w:val="24"/>
                <w:szCs w:val="24"/>
              </w:rPr>
              <w:t>.</w:t>
            </w:r>
          </w:p>
          <w:p w:rsidR="00412EBB" w:rsidRPr="00FA0644" w:rsidRDefault="00412EBB" w:rsidP="00FA0644">
            <w:pPr>
              <w:pStyle w:val="ListParagraph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2EBB" w:rsidRPr="00FA0644" w:rsidTr="00A51B65">
        <w:tc>
          <w:tcPr>
            <w:tcW w:w="4770" w:type="dxa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Judge’s signature:</w:t>
            </w:r>
          </w:p>
        </w:tc>
        <w:tc>
          <w:tcPr>
            <w:tcW w:w="4950" w:type="dxa"/>
            <w:gridSpan w:val="3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>Note to the parties:</w:t>
            </w:r>
          </w:p>
        </w:tc>
      </w:tr>
      <w:tr w:rsidR="00412EBB" w:rsidRPr="00FA0644" w:rsidTr="00A51B65">
        <w:trPr>
          <w:trHeight w:val="1114"/>
        </w:trPr>
        <w:tc>
          <w:tcPr>
            <w:tcW w:w="4770" w:type="dxa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412EBB" w:rsidRPr="00FA0644" w:rsidRDefault="00412EBB" w:rsidP="00FA064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96869" w:rsidRPr="00FA0644" w:rsidRDefault="00E96869" w:rsidP="00FA064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1B65" w:rsidRPr="00FA0644" w:rsidTr="00A51B65">
        <w:tc>
          <w:tcPr>
            <w:tcW w:w="9720" w:type="dxa"/>
            <w:gridSpan w:val="4"/>
          </w:tcPr>
          <w:p w:rsidR="00A51B65" w:rsidRPr="00FA0644" w:rsidRDefault="00A51B65" w:rsidP="00FE5F31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>Counsel:</w:t>
            </w:r>
          </w:p>
        </w:tc>
      </w:tr>
      <w:tr w:rsidR="00A51B65" w:rsidRPr="00FA0644" w:rsidTr="00A51B65">
        <w:tc>
          <w:tcPr>
            <w:tcW w:w="4950" w:type="dxa"/>
            <w:gridSpan w:val="2"/>
          </w:tcPr>
          <w:p w:rsidR="00A51B65" w:rsidRPr="00FA0644" w:rsidRDefault="00A51B65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4770" w:type="dxa"/>
            <w:gridSpan w:val="2"/>
          </w:tcPr>
          <w:p w:rsidR="00A51B65" w:rsidRPr="00FA0644" w:rsidRDefault="00A51B65" w:rsidP="00FA064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644">
              <w:rPr>
                <w:rFonts w:ascii="Arial Narrow" w:hAnsi="Arial Narrow" w:cs="Arial"/>
                <w:b/>
                <w:sz w:val="24"/>
                <w:szCs w:val="24"/>
              </w:rPr>
              <w:t>Respondent</w:t>
            </w:r>
          </w:p>
        </w:tc>
      </w:tr>
      <w:tr w:rsidR="00A51B65" w:rsidRPr="00FA0644" w:rsidTr="00A51B65">
        <w:tc>
          <w:tcPr>
            <w:tcW w:w="4950" w:type="dxa"/>
            <w:gridSpan w:val="2"/>
          </w:tcPr>
          <w:p w:rsidR="00FE5F31" w:rsidRDefault="00FE5F31" w:rsidP="00FE5F31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Mr J</w:t>
            </w:r>
            <w:r w:rsidRPr="00FE5F31">
              <w:rPr>
                <w:rFonts w:ascii="Arial Narrow" w:hAnsi="Arial Narrow" w:cs="Arial"/>
                <w:sz w:val="24"/>
                <w:szCs w:val="24"/>
              </w:rPr>
              <w:t xml:space="preserve"> Ncube</w:t>
            </w:r>
          </w:p>
          <w:p w:rsidR="00A51B65" w:rsidRPr="00FA0644" w:rsidRDefault="00FE5F31" w:rsidP="00FE5F31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Of Office of the Government Attorney</w:t>
            </w:r>
          </w:p>
        </w:tc>
        <w:tc>
          <w:tcPr>
            <w:tcW w:w="4770" w:type="dxa"/>
            <w:gridSpan w:val="2"/>
          </w:tcPr>
          <w:p w:rsidR="00FE5F31" w:rsidRDefault="00FE5F31" w:rsidP="00FE5F31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Ms L</w:t>
            </w:r>
            <w:r w:rsidRPr="00FE5F31">
              <w:rPr>
                <w:rFonts w:ascii="Arial Narrow" w:hAnsi="Arial Narrow" w:cs="Arial"/>
                <w:sz w:val="24"/>
                <w:szCs w:val="24"/>
              </w:rPr>
              <w:t xml:space="preserve"> Mbaeva</w:t>
            </w:r>
          </w:p>
          <w:p w:rsidR="00A51B65" w:rsidRPr="00FA0644" w:rsidRDefault="00FE5F31" w:rsidP="00FE5F31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Of </w:t>
            </w:r>
            <w:proofErr w:type="spellStart"/>
            <w:r w:rsidR="002012C7" w:rsidRPr="00FA0644">
              <w:rPr>
                <w:rFonts w:ascii="Arial Narrow" w:hAnsi="Arial Narrow" w:cs="Arial"/>
                <w:sz w:val="24"/>
                <w:szCs w:val="24"/>
              </w:rPr>
              <w:t>Brockerhoff</w:t>
            </w:r>
            <w:proofErr w:type="spellEnd"/>
            <w:r w:rsidR="002012C7" w:rsidRPr="00FA0644">
              <w:rPr>
                <w:rFonts w:ascii="Arial Narrow" w:hAnsi="Arial Narrow" w:cs="Arial"/>
                <w:sz w:val="24"/>
                <w:szCs w:val="24"/>
              </w:rPr>
              <w:t xml:space="preserve"> Legal Practitioner</w:t>
            </w:r>
          </w:p>
        </w:tc>
      </w:tr>
    </w:tbl>
    <w:p w:rsidR="002E66BE" w:rsidRPr="00FA0644" w:rsidRDefault="002E66BE" w:rsidP="00FA064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2E66BE" w:rsidRPr="00FA0644" w:rsidSect="00070D69">
      <w:headerReference w:type="default" r:id="rId8"/>
      <w:footerReference w:type="default" r:id="rId9"/>
      <w:headerReference w:type="first" r:id="rId10"/>
      <w:pgSz w:w="11906" w:h="16838"/>
      <w:pgMar w:top="1080" w:right="1440" w:bottom="993" w:left="1440" w:header="708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5C" w:rsidRDefault="00B63C5C">
      <w:pPr>
        <w:spacing w:after="0" w:line="240" w:lineRule="auto"/>
      </w:pPr>
      <w:r>
        <w:separator/>
      </w:r>
    </w:p>
  </w:endnote>
  <w:endnote w:type="continuationSeparator" w:id="0">
    <w:p w:rsidR="00B63C5C" w:rsidRDefault="00B6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8A" w:rsidRDefault="005142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5C" w:rsidRDefault="00B63C5C">
      <w:pPr>
        <w:spacing w:after="0" w:line="240" w:lineRule="auto"/>
      </w:pPr>
      <w:r>
        <w:separator/>
      </w:r>
    </w:p>
  </w:footnote>
  <w:footnote w:type="continuationSeparator" w:id="0">
    <w:p w:rsidR="00B63C5C" w:rsidRDefault="00B63C5C">
      <w:pPr>
        <w:spacing w:after="0" w:line="240" w:lineRule="auto"/>
      </w:pPr>
      <w:r>
        <w:continuationSeparator/>
      </w:r>
    </w:p>
  </w:footnote>
  <w:footnote w:id="1">
    <w:p w:rsidR="00CA06D7" w:rsidRPr="00CA06D7" w:rsidRDefault="00CA06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9 of 2012.</w:t>
      </w:r>
    </w:p>
  </w:footnote>
  <w:footnote w:id="2">
    <w:p w:rsidR="002D4570" w:rsidRPr="002D4570" w:rsidRDefault="002D45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19 of 1990.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1885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0D69" w:rsidRDefault="00A613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D69" w:rsidRDefault="00514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69" w:rsidRDefault="005142F9">
    <w:pPr>
      <w:pStyle w:val="Header"/>
      <w:jc w:val="right"/>
    </w:pPr>
  </w:p>
  <w:p w:rsidR="00070D69" w:rsidRDefault="00514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7D2F"/>
    <w:multiLevelType w:val="hybridMultilevel"/>
    <w:tmpl w:val="655C0D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0DD4"/>
    <w:multiLevelType w:val="hybridMultilevel"/>
    <w:tmpl w:val="6158D202"/>
    <w:lvl w:ilvl="0" w:tplc="656A31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0648"/>
    <w:multiLevelType w:val="hybridMultilevel"/>
    <w:tmpl w:val="4EE8ACE2"/>
    <w:lvl w:ilvl="0" w:tplc="E166A6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BB"/>
    <w:rsid w:val="000C6060"/>
    <w:rsid w:val="000D3FE7"/>
    <w:rsid w:val="00193B6E"/>
    <w:rsid w:val="001B04C6"/>
    <w:rsid w:val="002012C7"/>
    <w:rsid w:val="002C62DB"/>
    <w:rsid w:val="002D4570"/>
    <w:rsid w:val="002E66BE"/>
    <w:rsid w:val="002F5D21"/>
    <w:rsid w:val="00412EBB"/>
    <w:rsid w:val="004A4F87"/>
    <w:rsid w:val="005142F9"/>
    <w:rsid w:val="00575859"/>
    <w:rsid w:val="007978F4"/>
    <w:rsid w:val="007C2158"/>
    <w:rsid w:val="008E3979"/>
    <w:rsid w:val="0090265E"/>
    <w:rsid w:val="009A4CC6"/>
    <w:rsid w:val="00A51B65"/>
    <w:rsid w:val="00A6135B"/>
    <w:rsid w:val="00AC5F91"/>
    <w:rsid w:val="00B63C5C"/>
    <w:rsid w:val="00C40FB1"/>
    <w:rsid w:val="00CA06D7"/>
    <w:rsid w:val="00CB7919"/>
    <w:rsid w:val="00DD08F0"/>
    <w:rsid w:val="00E0194F"/>
    <w:rsid w:val="00E01E2E"/>
    <w:rsid w:val="00E96869"/>
    <w:rsid w:val="00FA0644"/>
    <w:rsid w:val="00FD0989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5F6E1-B6F7-4ECA-9D8A-D98E2478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BB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EB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BB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1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BB"/>
    <w:rPr>
      <w:lang w:val="en-ZA"/>
    </w:rPr>
  </w:style>
  <w:style w:type="paragraph" w:styleId="ListParagraph">
    <w:name w:val="List Paragraph"/>
    <w:basedOn w:val="Normal"/>
    <w:uiPriority w:val="34"/>
    <w:qFormat/>
    <w:rsid w:val="00412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65"/>
    <w:rPr>
      <w:rFonts w:ascii="Segoe UI" w:hAnsi="Segoe UI" w:cs="Segoe UI"/>
      <w:sz w:val="18"/>
      <w:szCs w:val="18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6D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CA0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2019-12-04T18:30:00+00:00</Judgment_x0020_Date>
    <Year xmlns="c1afb1bd-f2fb-40fd-9abb-aea55b4d7662">2019</Year>
  </documentManagement>
</p:properties>
</file>

<file path=customXml/itemProps1.xml><?xml version="1.0" encoding="utf-8"?>
<ds:datastoreItem xmlns:ds="http://schemas.openxmlformats.org/officeDocument/2006/customXml" ds:itemID="{793A0C3A-807A-4382-B34C-5700EAD31FF2}"/>
</file>

<file path=customXml/itemProps2.xml><?xml version="1.0" encoding="utf-8"?>
<ds:datastoreItem xmlns:ds="http://schemas.openxmlformats.org/officeDocument/2006/customXml" ds:itemID="{FEC19D38-F838-43CE-8ED6-359335C88EAA}"/>
</file>

<file path=customXml/itemProps3.xml><?xml version="1.0" encoding="utf-8"?>
<ds:datastoreItem xmlns:ds="http://schemas.openxmlformats.org/officeDocument/2006/customXml" ds:itemID="{E0BB048D-8EEE-4960-8D50-E87112CEB451}"/>
</file>

<file path=customXml/itemProps4.xml><?xml version="1.0" encoding="utf-8"?>
<ds:datastoreItem xmlns:ds="http://schemas.openxmlformats.org/officeDocument/2006/customXml" ds:itemID="{C07F44CF-92D8-4A09-B997-5559AAD37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 Nande</dc:creator>
  <cp:lastModifiedBy>Lotta N. Ambunda</cp:lastModifiedBy>
  <cp:revision>2</cp:revision>
  <cp:lastPrinted>2018-09-18T10:20:00Z</cp:lastPrinted>
  <dcterms:created xsi:type="dcterms:W3CDTF">2019-12-12T14:31:00Z</dcterms:created>
  <dcterms:modified xsi:type="dcterms:W3CDTF">2019-12-12T14:31:00Z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