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Pr="006120C2" w:rsidRDefault="00BA1C4C" w:rsidP="00BA1C4C">
                            <w:pPr>
                              <w:jc w:val="right"/>
                              <w:rPr>
                                <w:rFonts w:ascii="Arial" w:hAnsi="Arial" w:cs="Arial"/>
                              </w:rPr>
                            </w:pPr>
                            <w:r w:rsidRPr="006120C2">
                              <w:rPr>
                                <w:rFonts w:ascii="Arial" w:hAnsi="Arial" w:cs="Arial"/>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Pr="006120C2" w:rsidRDefault="00BA1C4C" w:rsidP="00BA1C4C">
                      <w:pPr>
                        <w:jc w:val="right"/>
                        <w:rPr>
                          <w:rFonts w:ascii="Arial" w:hAnsi="Arial" w:cs="Arial"/>
                        </w:rPr>
                      </w:pPr>
                      <w:r w:rsidRPr="006120C2">
                        <w:rPr>
                          <w:rFonts w:ascii="Arial" w:hAnsi="Arial" w:cs="Arial"/>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BA1C4C" w:rsidRDefault="00921A15" w:rsidP="006120C2">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CE684D">
        <w:rPr>
          <w:rFonts w:ascii="Arial" w:hAnsi="Arial" w:cs="Arial"/>
          <w:b/>
          <w:sz w:val="24"/>
          <w:szCs w:val="24"/>
        </w:rPr>
        <w:t xml:space="preserve"> 21/2019</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6120C2">
        <w:rPr>
          <w:rFonts w:ascii="Arial" w:hAnsi="Arial" w:cs="Arial"/>
          <w:sz w:val="24"/>
          <w:szCs w:val="24"/>
        </w:rPr>
        <w:t>:</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6120C2" w:rsidP="00D52600">
      <w:pPr>
        <w:spacing w:line="360" w:lineRule="auto"/>
        <w:rPr>
          <w:rFonts w:ascii="Arial" w:hAnsi="Arial" w:cs="Arial"/>
          <w:sz w:val="24"/>
          <w:szCs w:val="24"/>
        </w:rPr>
      </w:pPr>
      <w:r>
        <w:rPr>
          <w:rFonts w:ascii="Arial" w:hAnsi="Arial" w:cs="Arial"/>
          <w:sz w:val="24"/>
          <w:szCs w:val="24"/>
        </w:rPr>
        <w:t>v</w:t>
      </w:r>
    </w:p>
    <w:p w:rsidR="00170268" w:rsidRPr="00470E7C" w:rsidRDefault="00170268" w:rsidP="00D52600">
      <w:pPr>
        <w:spacing w:line="360" w:lineRule="auto"/>
        <w:rPr>
          <w:rFonts w:ascii="Arial" w:hAnsi="Arial" w:cs="Arial"/>
          <w:sz w:val="24"/>
          <w:szCs w:val="24"/>
        </w:rPr>
      </w:pPr>
    </w:p>
    <w:p w:rsidR="00170268" w:rsidRPr="00470E7C" w:rsidRDefault="00A95CCC" w:rsidP="00D52600">
      <w:pPr>
        <w:spacing w:line="360" w:lineRule="auto"/>
        <w:rPr>
          <w:rFonts w:ascii="Arial" w:hAnsi="Arial" w:cs="Arial"/>
          <w:b/>
          <w:sz w:val="24"/>
          <w:szCs w:val="24"/>
        </w:rPr>
      </w:pPr>
      <w:r>
        <w:rPr>
          <w:rFonts w:ascii="Arial" w:hAnsi="Arial" w:cs="Arial"/>
          <w:b/>
          <w:sz w:val="24"/>
          <w:szCs w:val="24"/>
        </w:rPr>
        <w:t>EDWARDO FABIAN ENGELBRECHT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A95CCC">
        <w:rPr>
          <w:rFonts w:ascii="Arial" w:hAnsi="Arial" w:cs="Arial"/>
          <w:b/>
          <w:sz w:val="24"/>
          <w:szCs w:val="24"/>
        </w:rPr>
        <w:t xml:space="preserve"> 140/2019</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A95CCC">
        <w:rPr>
          <w:rFonts w:ascii="Arial" w:hAnsi="Arial" w:cs="Arial"/>
          <w:i/>
          <w:sz w:val="24"/>
          <w:szCs w:val="24"/>
        </w:rPr>
        <w:t>S v Engelbrecht</w:t>
      </w:r>
      <w:r w:rsidR="00CB0D30" w:rsidRPr="00470E7C">
        <w:rPr>
          <w:rFonts w:ascii="Arial" w:hAnsi="Arial" w:cs="Arial"/>
          <w:i/>
          <w:sz w:val="24"/>
          <w:szCs w:val="24"/>
        </w:rPr>
        <w:t xml:space="preserve"> </w:t>
      </w:r>
      <w:r w:rsidR="00CE684D">
        <w:rPr>
          <w:rFonts w:ascii="Arial" w:hAnsi="Arial" w:cs="Arial"/>
          <w:sz w:val="24"/>
          <w:szCs w:val="24"/>
        </w:rPr>
        <w:t>(CR 21/2019) [2019] NAHCMD 62 (22</w:t>
      </w:r>
      <w:r w:rsidR="00B86B40">
        <w:rPr>
          <w:rFonts w:ascii="Arial" w:hAnsi="Arial" w:cs="Arial"/>
          <w:sz w:val="24"/>
          <w:szCs w:val="24"/>
        </w:rPr>
        <w:t xml:space="preserve"> </w:t>
      </w:r>
      <w:r w:rsidR="00A95CCC">
        <w:rPr>
          <w:rFonts w:ascii="Arial" w:hAnsi="Arial" w:cs="Arial"/>
          <w:sz w:val="24"/>
          <w:szCs w:val="24"/>
        </w:rPr>
        <w:t>March</w:t>
      </w:r>
      <w:r w:rsidR="00CE684D">
        <w:rPr>
          <w:rFonts w:ascii="Arial" w:hAnsi="Arial" w:cs="Arial"/>
          <w:sz w:val="24"/>
          <w:szCs w:val="24"/>
        </w:rPr>
        <w:t xml:space="preserve"> 2019</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A95CCC">
        <w:rPr>
          <w:rFonts w:ascii="Arial" w:hAnsi="Arial" w:cs="Arial"/>
          <w:b/>
          <w:sz w:val="24"/>
          <w:szCs w:val="24"/>
        </w:rPr>
        <w:t>SHIVUTE J</w:t>
      </w:r>
    </w:p>
    <w:p w:rsidR="00170268" w:rsidRPr="006120C2" w:rsidRDefault="00CE684D" w:rsidP="006120C2">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22</w:t>
      </w:r>
      <w:r w:rsidR="00A95CCC">
        <w:rPr>
          <w:rFonts w:ascii="Arial" w:hAnsi="Arial" w:cs="Arial"/>
          <w:b/>
          <w:sz w:val="24"/>
          <w:szCs w:val="24"/>
        </w:rPr>
        <w:t xml:space="preserve"> March</w:t>
      </w:r>
      <w:r>
        <w:rPr>
          <w:rFonts w:ascii="Arial" w:hAnsi="Arial" w:cs="Arial"/>
          <w:b/>
          <w:sz w:val="24"/>
          <w:szCs w:val="24"/>
        </w:rPr>
        <w:t xml:space="preserve"> 2019</w:t>
      </w:r>
    </w:p>
    <w:p w:rsidR="00170268" w:rsidRPr="00470E7C" w:rsidRDefault="00170268" w:rsidP="006120C2">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sidR="00815C18">
        <w:rPr>
          <w:rFonts w:ascii="Arial" w:hAnsi="Arial" w:cs="Arial"/>
          <w:sz w:val="24"/>
          <w:szCs w:val="24"/>
        </w:rPr>
        <w:tab/>
        <w:t>Criminal review</w:t>
      </w:r>
      <w:r w:rsidR="00815C18" w:rsidRPr="00815C18">
        <w:rPr>
          <w:rFonts w:ascii="Arial" w:hAnsi="Arial" w:cs="Arial"/>
          <w:sz w:val="24"/>
          <w:szCs w:val="24"/>
        </w:rPr>
        <w:t xml:space="preserve"> - Sentence - </w:t>
      </w:r>
      <w:r w:rsidR="00097813">
        <w:rPr>
          <w:rFonts w:ascii="Arial" w:hAnsi="Arial" w:cs="Arial"/>
          <w:sz w:val="24"/>
          <w:szCs w:val="24"/>
        </w:rPr>
        <w:t>Previous convictions - Aggravating factor – Other factors also to be considered</w:t>
      </w:r>
      <w:r w:rsidR="00815C18" w:rsidRPr="00815C18">
        <w:rPr>
          <w:rFonts w:ascii="Arial" w:hAnsi="Arial" w:cs="Arial"/>
          <w:sz w:val="24"/>
          <w:szCs w:val="24"/>
        </w:rPr>
        <w:t xml:space="preserve"> - Nature of previous convictions as well as seriousness of present crime - Circumstances of each particular case</w:t>
      </w:r>
      <w:r w:rsidR="00097813">
        <w:rPr>
          <w:rFonts w:ascii="Arial" w:hAnsi="Arial" w:cs="Arial"/>
          <w:sz w:val="24"/>
          <w:szCs w:val="24"/>
        </w:rPr>
        <w:t xml:space="preserve"> taken into account</w:t>
      </w:r>
      <w:r w:rsidR="00815C18" w:rsidRPr="00815C18">
        <w:rPr>
          <w:rFonts w:ascii="Arial" w:hAnsi="Arial" w:cs="Arial"/>
          <w:sz w:val="24"/>
          <w:szCs w:val="24"/>
        </w:rPr>
        <w:t>.</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815C18" w:rsidRPr="00815C18" w:rsidRDefault="00815C18" w:rsidP="00815C18">
      <w:pPr>
        <w:pStyle w:val="ListParagraph"/>
        <w:numPr>
          <w:ilvl w:val="0"/>
          <w:numId w:val="1"/>
        </w:numPr>
        <w:spacing w:line="360" w:lineRule="auto"/>
        <w:jc w:val="both"/>
        <w:rPr>
          <w:rFonts w:ascii="Arial" w:hAnsi="Arial" w:cs="Arial"/>
          <w:sz w:val="24"/>
          <w:szCs w:val="24"/>
        </w:rPr>
      </w:pPr>
      <w:r w:rsidRPr="00815C18">
        <w:rPr>
          <w:rFonts w:ascii="Arial" w:hAnsi="Arial" w:cs="Arial"/>
          <w:sz w:val="24"/>
          <w:szCs w:val="24"/>
        </w:rPr>
        <w:t>The conviction is confirmed.</w:t>
      </w:r>
    </w:p>
    <w:p w:rsidR="00815C18" w:rsidRPr="00815C18" w:rsidRDefault="00815C18" w:rsidP="00815C18">
      <w:pPr>
        <w:pStyle w:val="ListParagraph"/>
        <w:numPr>
          <w:ilvl w:val="0"/>
          <w:numId w:val="1"/>
        </w:numPr>
        <w:spacing w:line="360" w:lineRule="auto"/>
        <w:jc w:val="both"/>
        <w:rPr>
          <w:rFonts w:ascii="Arial" w:hAnsi="Arial" w:cs="Arial"/>
          <w:sz w:val="24"/>
          <w:szCs w:val="24"/>
        </w:rPr>
      </w:pPr>
      <w:r w:rsidRPr="00815C18">
        <w:rPr>
          <w:rFonts w:ascii="Arial" w:hAnsi="Arial" w:cs="Arial"/>
          <w:sz w:val="24"/>
          <w:szCs w:val="24"/>
        </w:rPr>
        <w:t xml:space="preserve">The sentence is set aside and substituted with the following: The accused is sentenced to a period of two years’ imprisonment, </w:t>
      </w:r>
      <w:r w:rsidR="00097813">
        <w:rPr>
          <w:rFonts w:ascii="Arial" w:hAnsi="Arial" w:cs="Arial"/>
          <w:sz w:val="24"/>
          <w:szCs w:val="24"/>
        </w:rPr>
        <w:t>wholly suspended for five years</w:t>
      </w:r>
      <w:r w:rsidRPr="00815C18">
        <w:rPr>
          <w:rFonts w:ascii="Arial" w:hAnsi="Arial" w:cs="Arial"/>
          <w:sz w:val="24"/>
          <w:szCs w:val="24"/>
        </w:rPr>
        <w:t xml:space="preserve"> on condition that the accused is not convicted of the offence of housebreaking with intent to steal</w:t>
      </w:r>
      <w:r w:rsidR="00097813">
        <w:rPr>
          <w:rFonts w:ascii="Arial" w:hAnsi="Arial" w:cs="Arial"/>
          <w:sz w:val="24"/>
          <w:szCs w:val="24"/>
        </w:rPr>
        <w:t xml:space="preserve"> or theft</w:t>
      </w:r>
      <w:r w:rsidRPr="00815C18">
        <w:rPr>
          <w:rFonts w:ascii="Arial" w:hAnsi="Arial" w:cs="Arial"/>
          <w:sz w:val="24"/>
          <w:szCs w:val="24"/>
        </w:rPr>
        <w:t>, committed during the period of suspension.</w:t>
      </w:r>
    </w:p>
    <w:p w:rsidR="00170268" w:rsidRPr="006120C2" w:rsidRDefault="00815C18" w:rsidP="00D52600">
      <w:pPr>
        <w:pStyle w:val="ListParagraph"/>
        <w:numPr>
          <w:ilvl w:val="0"/>
          <w:numId w:val="1"/>
        </w:numPr>
        <w:spacing w:line="360" w:lineRule="auto"/>
        <w:jc w:val="both"/>
        <w:rPr>
          <w:rFonts w:ascii="Arial" w:hAnsi="Arial" w:cs="Arial"/>
          <w:sz w:val="24"/>
          <w:szCs w:val="24"/>
        </w:rPr>
      </w:pPr>
      <w:r w:rsidRPr="00815C18">
        <w:rPr>
          <w:rFonts w:ascii="Arial" w:hAnsi="Arial" w:cs="Arial"/>
          <w:sz w:val="24"/>
          <w:szCs w:val="24"/>
        </w:rPr>
        <w:t>The sentence is antedated to 13 December 2018.</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6120C2">
        <w:rPr>
          <w:rFonts w:ascii="Arial" w:hAnsi="Arial" w:cs="Arial"/>
          <w:sz w:val="24"/>
          <w:szCs w:val="24"/>
        </w:rPr>
        <w:t>IEBENBERG J: (c</w:t>
      </w:r>
      <w:r w:rsidR="00A95CCC">
        <w:rPr>
          <w:rFonts w:ascii="Arial" w:hAnsi="Arial" w:cs="Arial"/>
          <w:sz w:val="24"/>
          <w:szCs w:val="24"/>
        </w:rPr>
        <w:t>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710547" w:rsidRDefault="00170268" w:rsidP="00A95CCC">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A95CCC">
        <w:rPr>
          <w:rFonts w:ascii="Arial" w:hAnsi="Arial" w:cs="Arial"/>
          <w:sz w:val="24"/>
          <w:szCs w:val="24"/>
        </w:rPr>
        <w:t xml:space="preserve">The accused appeared in the magistrate’s court for the district of Luderitz </w:t>
      </w:r>
      <w:r w:rsidR="00097813">
        <w:rPr>
          <w:rFonts w:ascii="Arial" w:hAnsi="Arial" w:cs="Arial"/>
          <w:sz w:val="24"/>
          <w:szCs w:val="24"/>
        </w:rPr>
        <w:t>on a charge</w:t>
      </w:r>
      <w:r w:rsidR="00A95CCC">
        <w:rPr>
          <w:rFonts w:ascii="Arial" w:hAnsi="Arial" w:cs="Arial"/>
          <w:sz w:val="24"/>
          <w:szCs w:val="24"/>
        </w:rPr>
        <w:t xml:space="preserve"> of housebreaking with intent to steal and theft of one pillow valued at N$70.00. He pleaded not guilty but after evidence was heard he was convicted as charged and sentenced to five years’ imprisonment, wholly suspended on</w:t>
      </w:r>
      <w:r w:rsidR="00097813">
        <w:rPr>
          <w:rFonts w:ascii="Arial" w:hAnsi="Arial" w:cs="Arial"/>
          <w:sz w:val="24"/>
          <w:szCs w:val="24"/>
        </w:rPr>
        <w:t xml:space="preserve"> condition of good conduct</w:t>
      </w:r>
      <w:r w:rsidR="00A95CCC">
        <w:rPr>
          <w:rFonts w:ascii="Arial" w:hAnsi="Arial" w:cs="Arial"/>
          <w:sz w:val="24"/>
          <w:szCs w:val="24"/>
        </w:rPr>
        <w:t>. The conviction is in accordance with justice and will be confirmed.</w:t>
      </w:r>
    </w:p>
    <w:p w:rsidR="00C71759" w:rsidRDefault="00710547" w:rsidP="00A95CCC">
      <w:pPr>
        <w:spacing w:line="360" w:lineRule="auto"/>
        <w:jc w:val="both"/>
        <w:rPr>
          <w:rFonts w:ascii="Arial" w:hAnsi="Arial" w:cs="Arial"/>
          <w:sz w:val="24"/>
          <w:szCs w:val="24"/>
        </w:rPr>
      </w:pPr>
      <w:r>
        <w:rPr>
          <w:rFonts w:ascii="Arial" w:hAnsi="Arial" w:cs="Arial"/>
          <w:sz w:val="24"/>
          <w:szCs w:val="24"/>
        </w:rPr>
        <w:t>[</w:t>
      </w:r>
      <w:r w:rsidR="00097813">
        <w:rPr>
          <w:rFonts w:ascii="Arial" w:hAnsi="Arial" w:cs="Arial"/>
          <w:sz w:val="24"/>
          <w:szCs w:val="24"/>
        </w:rPr>
        <w:t>2</w:t>
      </w:r>
      <w:r>
        <w:rPr>
          <w:rFonts w:ascii="Arial" w:hAnsi="Arial" w:cs="Arial"/>
          <w:sz w:val="24"/>
          <w:szCs w:val="24"/>
        </w:rPr>
        <w:t>]</w:t>
      </w:r>
      <w:r>
        <w:rPr>
          <w:rFonts w:ascii="Arial" w:hAnsi="Arial" w:cs="Arial"/>
          <w:sz w:val="24"/>
          <w:szCs w:val="24"/>
        </w:rPr>
        <w:tab/>
      </w:r>
      <w:r w:rsidR="00905342">
        <w:rPr>
          <w:rFonts w:ascii="Arial" w:hAnsi="Arial" w:cs="Arial"/>
          <w:sz w:val="24"/>
          <w:szCs w:val="24"/>
        </w:rPr>
        <w:t>When the matter came before me on review I directed a query to the presiding magistrate questioning the relation between the offence committed and the accused’s blameworthiness, notwithstanding two previous convictions of theft proved against the accused</w:t>
      </w:r>
      <w:r w:rsidR="00C71759">
        <w:rPr>
          <w:rFonts w:ascii="Arial" w:hAnsi="Arial" w:cs="Arial"/>
          <w:sz w:val="24"/>
          <w:szCs w:val="24"/>
        </w:rPr>
        <w:t xml:space="preserve">. </w:t>
      </w:r>
      <w:r w:rsidR="00862417">
        <w:rPr>
          <w:rFonts w:ascii="Arial" w:hAnsi="Arial" w:cs="Arial"/>
          <w:sz w:val="24"/>
          <w:szCs w:val="24"/>
        </w:rPr>
        <w:t xml:space="preserve">Unfortunately the magistrate misread the query addressed to him and in his </w:t>
      </w:r>
      <w:r w:rsidR="00862417">
        <w:rPr>
          <w:rFonts w:ascii="Arial" w:hAnsi="Arial" w:cs="Arial"/>
          <w:sz w:val="24"/>
          <w:szCs w:val="24"/>
        </w:rPr>
        <w:lastRenderedPageBreak/>
        <w:t>reply defended the conviction, arguing that the State presented reliable evidence. It was further submitted that despite the low value of the property stole</w:t>
      </w:r>
      <w:r w:rsidR="00097813">
        <w:rPr>
          <w:rFonts w:ascii="Arial" w:hAnsi="Arial" w:cs="Arial"/>
          <w:sz w:val="24"/>
          <w:szCs w:val="24"/>
        </w:rPr>
        <w:t>n</w:t>
      </w:r>
      <w:r w:rsidR="00862417">
        <w:rPr>
          <w:rFonts w:ascii="Arial" w:hAnsi="Arial" w:cs="Arial"/>
          <w:sz w:val="24"/>
          <w:szCs w:val="24"/>
        </w:rPr>
        <w:t xml:space="preserve">, the offence is very serious. Regard was </w:t>
      </w:r>
      <w:r w:rsidR="00097813">
        <w:rPr>
          <w:rFonts w:ascii="Arial" w:hAnsi="Arial" w:cs="Arial"/>
          <w:sz w:val="24"/>
          <w:szCs w:val="24"/>
        </w:rPr>
        <w:t xml:space="preserve">particularly </w:t>
      </w:r>
      <w:r w:rsidR="00862417">
        <w:rPr>
          <w:rFonts w:ascii="Arial" w:hAnsi="Arial" w:cs="Arial"/>
          <w:sz w:val="24"/>
          <w:szCs w:val="24"/>
        </w:rPr>
        <w:t>had to the accused’s previous convictions which, like the present offence, cont</w:t>
      </w:r>
      <w:r w:rsidR="00097813">
        <w:rPr>
          <w:rFonts w:ascii="Arial" w:hAnsi="Arial" w:cs="Arial"/>
          <w:sz w:val="24"/>
          <w:szCs w:val="24"/>
        </w:rPr>
        <w:t>ained the element of dishonesty.</w:t>
      </w:r>
      <w:r w:rsidR="00862417">
        <w:rPr>
          <w:rFonts w:ascii="Arial" w:hAnsi="Arial" w:cs="Arial"/>
          <w:sz w:val="24"/>
          <w:szCs w:val="24"/>
        </w:rPr>
        <w:t xml:space="preserve"> </w:t>
      </w:r>
      <w:r w:rsidR="00097813">
        <w:rPr>
          <w:rFonts w:ascii="Arial" w:hAnsi="Arial" w:cs="Arial"/>
          <w:sz w:val="24"/>
          <w:szCs w:val="24"/>
        </w:rPr>
        <w:t xml:space="preserve">The magistrate reasoned </w:t>
      </w:r>
      <w:r w:rsidR="00862417">
        <w:rPr>
          <w:rFonts w:ascii="Arial" w:hAnsi="Arial" w:cs="Arial"/>
          <w:sz w:val="24"/>
          <w:szCs w:val="24"/>
        </w:rPr>
        <w:t>that a suspended sentence of five years’ imprisonment would deter the accused from re-offending.</w:t>
      </w:r>
    </w:p>
    <w:p w:rsidR="00C71759" w:rsidRDefault="00C71759" w:rsidP="00A95CCC">
      <w:pPr>
        <w:spacing w:line="360" w:lineRule="auto"/>
        <w:jc w:val="both"/>
        <w:rPr>
          <w:rFonts w:ascii="Arial" w:hAnsi="Arial" w:cs="Arial"/>
          <w:sz w:val="24"/>
          <w:szCs w:val="24"/>
        </w:rPr>
      </w:pPr>
      <w:r>
        <w:rPr>
          <w:rFonts w:ascii="Arial" w:hAnsi="Arial" w:cs="Arial"/>
          <w:sz w:val="24"/>
          <w:szCs w:val="24"/>
        </w:rPr>
        <w:t>[</w:t>
      </w:r>
      <w:r w:rsidR="00097813">
        <w:rPr>
          <w:rFonts w:ascii="Arial" w:hAnsi="Arial" w:cs="Arial"/>
          <w:sz w:val="24"/>
          <w:szCs w:val="24"/>
        </w:rPr>
        <w:t>3</w:t>
      </w:r>
      <w:r>
        <w:rPr>
          <w:rFonts w:ascii="Arial" w:hAnsi="Arial" w:cs="Arial"/>
          <w:sz w:val="24"/>
          <w:szCs w:val="24"/>
        </w:rPr>
        <w:t>]</w:t>
      </w:r>
      <w:r>
        <w:rPr>
          <w:rFonts w:ascii="Arial" w:hAnsi="Arial" w:cs="Arial"/>
          <w:sz w:val="24"/>
          <w:szCs w:val="24"/>
        </w:rPr>
        <w:tab/>
        <w:t xml:space="preserve">From a reading </w:t>
      </w:r>
      <w:r w:rsidR="00905342">
        <w:rPr>
          <w:rFonts w:ascii="Arial" w:hAnsi="Arial" w:cs="Arial"/>
          <w:sz w:val="24"/>
          <w:szCs w:val="24"/>
        </w:rPr>
        <w:t xml:space="preserve">of the records </w:t>
      </w:r>
      <w:r>
        <w:rPr>
          <w:rFonts w:ascii="Arial" w:hAnsi="Arial" w:cs="Arial"/>
          <w:sz w:val="24"/>
          <w:szCs w:val="24"/>
        </w:rPr>
        <w:t xml:space="preserve">of previous convictions </w:t>
      </w:r>
      <w:r w:rsidR="00905342">
        <w:rPr>
          <w:rFonts w:ascii="Arial" w:hAnsi="Arial" w:cs="Arial"/>
          <w:sz w:val="24"/>
          <w:szCs w:val="24"/>
        </w:rPr>
        <w:t xml:space="preserve">submitted by the State, it is evident that </w:t>
      </w:r>
      <w:r>
        <w:rPr>
          <w:rFonts w:ascii="Arial" w:hAnsi="Arial" w:cs="Arial"/>
          <w:sz w:val="24"/>
          <w:szCs w:val="24"/>
        </w:rPr>
        <w:t>in respect of the second conviction and sentence</w:t>
      </w:r>
      <w:r w:rsidR="00862417">
        <w:rPr>
          <w:rFonts w:ascii="Arial" w:hAnsi="Arial" w:cs="Arial"/>
          <w:sz w:val="24"/>
          <w:szCs w:val="24"/>
        </w:rPr>
        <w:t>,</w:t>
      </w:r>
      <w:r>
        <w:rPr>
          <w:rFonts w:ascii="Arial" w:hAnsi="Arial" w:cs="Arial"/>
          <w:sz w:val="24"/>
          <w:szCs w:val="24"/>
        </w:rPr>
        <w:t xml:space="preserve"> dated 25 October 2016, the court should not have </w:t>
      </w:r>
      <w:r w:rsidR="00862417">
        <w:rPr>
          <w:rFonts w:ascii="Arial" w:hAnsi="Arial" w:cs="Arial"/>
          <w:sz w:val="24"/>
          <w:szCs w:val="24"/>
        </w:rPr>
        <w:t>accepted</w:t>
      </w:r>
      <w:r>
        <w:rPr>
          <w:rFonts w:ascii="Arial" w:hAnsi="Arial" w:cs="Arial"/>
          <w:sz w:val="24"/>
          <w:szCs w:val="24"/>
        </w:rPr>
        <w:t xml:space="preserve"> it </w:t>
      </w:r>
      <w:r w:rsidR="00862417">
        <w:rPr>
          <w:rFonts w:ascii="Arial" w:hAnsi="Arial" w:cs="Arial"/>
          <w:sz w:val="24"/>
          <w:szCs w:val="24"/>
        </w:rPr>
        <w:t>as a second conviction because</w:t>
      </w:r>
      <w:r>
        <w:rPr>
          <w:rFonts w:ascii="Arial" w:hAnsi="Arial" w:cs="Arial"/>
          <w:sz w:val="24"/>
          <w:szCs w:val="24"/>
        </w:rPr>
        <w:t xml:space="preserve"> t</w:t>
      </w:r>
      <w:r w:rsidR="00862417">
        <w:rPr>
          <w:rFonts w:ascii="Arial" w:hAnsi="Arial" w:cs="Arial"/>
          <w:sz w:val="24"/>
          <w:szCs w:val="24"/>
        </w:rPr>
        <w:t>he two convictions were</w:t>
      </w:r>
      <w:r>
        <w:rPr>
          <w:rFonts w:ascii="Arial" w:hAnsi="Arial" w:cs="Arial"/>
          <w:sz w:val="24"/>
          <w:szCs w:val="24"/>
        </w:rPr>
        <w:t xml:space="preserve"> only one day </w:t>
      </w:r>
      <w:r w:rsidR="00862417">
        <w:rPr>
          <w:rFonts w:ascii="Arial" w:hAnsi="Arial" w:cs="Arial"/>
          <w:sz w:val="24"/>
          <w:szCs w:val="24"/>
        </w:rPr>
        <w:t>apart</w:t>
      </w:r>
      <w:r>
        <w:rPr>
          <w:rFonts w:ascii="Arial" w:hAnsi="Arial" w:cs="Arial"/>
          <w:sz w:val="24"/>
          <w:szCs w:val="24"/>
        </w:rPr>
        <w:t xml:space="preserve"> i.e. 24 October 2016. </w:t>
      </w:r>
      <w:r w:rsidR="00862417">
        <w:rPr>
          <w:rFonts w:ascii="Arial" w:hAnsi="Arial" w:cs="Arial"/>
          <w:sz w:val="24"/>
          <w:szCs w:val="24"/>
        </w:rPr>
        <w:t xml:space="preserve">This </w:t>
      </w:r>
      <w:r w:rsidR="002A2560">
        <w:rPr>
          <w:rFonts w:ascii="Arial" w:hAnsi="Arial" w:cs="Arial"/>
          <w:sz w:val="24"/>
          <w:szCs w:val="24"/>
        </w:rPr>
        <w:t xml:space="preserve">clearly </w:t>
      </w:r>
      <w:r w:rsidR="00862417">
        <w:rPr>
          <w:rFonts w:ascii="Arial" w:hAnsi="Arial" w:cs="Arial"/>
          <w:sz w:val="24"/>
          <w:szCs w:val="24"/>
        </w:rPr>
        <w:t>suggests that the second offence</w:t>
      </w:r>
      <w:r w:rsidR="002A2560">
        <w:rPr>
          <w:rFonts w:ascii="Arial" w:hAnsi="Arial" w:cs="Arial"/>
          <w:sz w:val="24"/>
          <w:szCs w:val="24"/>
        </w:rPr>
        <w:t xml:space="preserve"> was committed </w:t>
      </w:r>
      <w:r w:rsidR="002A2560" w:rsidRPr="002A2560">
        <w:rPr>
          <w:rFonts w:ascii="Arial" w:hAnsi="Arial" w:cs="Arial"/>
          <w:i/>
          <w:sz w:val="24"/>
          <w:szCs w:val="24"/>
        </w:rPr>
        <w:t>before</w:t>
      </w:r>
      <w:r w:rsidR="002A2560">
        <w:rPr>
          <w:rFonts w:ascii="Arial" w:hAnsi="Arial" w:cs="Arial"/>
          <w:sz w:val="24"/>
          <w:szCs w:val="24"/>
        </w:rPr>
        <w:t xml:space="preserve"> the accused was sentence</w:t>
      </w:r>
      <w:r w:rsidR="00570E9A">
        <w:rPr>
          <w:rFonts w:ascii="Arial" w:hAnsi="Arial" w:cs="Arial"/>
          <w:sz w:val="24"/>
          <w:szCs w:val="24"/>
        </w:rPr>
        <w:t>d</w:t>
      </w:r>
      <w:r w:rsidR="002A2560">
        <w:rPr>
          <w:rFonts w:ascii="Arial" w:hAnsi="Arial" w:cs="Arial"/>
          <w:sz w:val="24"/>
          <w:szCs w:val="24"/>
        </w:rPr>
        <w:t xml:space="preserve"> on the first case. </w:t>
      </w:r>
      <w:r>
        <w:rPr>
          <w:rFonts w:ascii="Arial" w:hAnsi="Arial" w:cs="Arial"/>
          <w:sz w:val="24"/>
          <w:szCs w:val="24"/>
        </w:rPr>
        <w:t>On each case the accused was sentenced to a fine of N$500, alternatively two months’ imprisonment.</w:t>
      </w:r>
    </w:p>
    <w:p w:rsidR="002A2560" w:rsidRDefault="00C71759" w:rsidP="00A95CCC">
      <w:pPr>
        <w:spacing w:line="360" w:lineRule="auto"/>
        <w:jc w:val="both"/>
        <w:rPr>
          <w:rFonts w:ascii="Arial" w:hAnsi="Arial" w:cs="Arial"/>
          <w:sz w:val="24"/>
          <w:szCs w:val="24"/>
        </w:rPr>
      </w:pPr>
      <w:r>
        <w:rPr>
          <w:rFonts w:ascii="Arial" w:hAnsi="Arial" w:cs="Arial"/>
          <w:sz w:val="24"/>
          <w:szCs w:val="24"/>
        </w:rPr>
        <w:t>[</w:t>
      </w:r>
      <w:r w:rsidR="00097813">
        <w:rPr>
          <w:rFonts w:ascii="Arial" w:hAnsi="Arial" w:cs="Arial"/>
          <w:sz w:val="24"/>
          <w:szCs w:val="24"/>
        </w:rPr>
        <w:t>4</w:t>
      </w:r>
      <w:r>
        <w:rPr>
          <w:rFonts w:ascii="Arial" w:hAnsi="Arial" w:cs="Arial"/>
          <w:sz w:val="24"/>
          <w:szCs w:val="24"/>
        </w:rPr>
        <w:t>]</w:t>
      </w:r>
      <w:r>
        <w:rPr>
          <w:rFonts w:ascii="Arial" w:hAnsi="Arial" w:cs="Arial"/>
          <w:sz w:val="24"/>
          <w:szCs w:val="24"/>
        </w:rPr>
        <w:tab/>
      </w:r>
      <w:r w:rsidR="002A2560">
        <w:rPr>
          <w:rFonts w:ascii="Arial" w:hAnsi="Arial" w:cs="Arial"/>
          <w:sz w:val="24"/>
          <w:szCs w:val="24"/>
        </w:rPr>
        <w:t xml:space="preserve">This court in the appeal matter of </w:t>
      </w:r>
      <w:r w:rsidR="002A2560">
        <w:rPr>
          <w:rFonts w:ascii="Arial" w:hAnsi="Arial" w:cs="Arial"/>
          <w:i/>
          <w:sz w:val="24"/>
          <w:szCs w:val="24"/>
        </w:rPr>
        <w:t>Paulus v The State</w:t>
      </w:r>
      <w:r w:rsidR="002A2560">
        <w:rPr>
          <w:rStyle w:val="FootnoteReference"/>
          <w:rFonts w:ascii="Arial" w:hAnsi="Arial" w:cs="Arial"/>
          <w:i/>
          <w:sz w:val="24"/>
          <w:szCs w:val="24"/>
        </w:rPr>
        <w:footnoteReference w:id="1"/>
      </w:r>
      <w:r w:rsidR="002A2560">
        <w:rPr>
          <w:rFonts w:ascii="Arial" w:hAnsi="Arial" w:cs="Arial"/>
          <w:i/>
          <w:sz w:val="24"/>
          <w:szCs w:val="24"/>
        </w:rPr>
        <w:t xml:space="preserve"> </w:t>
      </w:r>
      <w:r w:rsidR="002A2560">
        <w:rPr>
          <w:rFonts w:ascii="Arial" w:hAnsi="Arial" w:cs="Arial"/>
          <w:sz w:val="24"/>
          <w:szCs w:val="24"/>
        </w:rPr>
        <w:t>on the question of the weight to be accorded to previous convictions at sentencing</w:t>
      </w:r>
      <w:r w:rsidR="00097813">
        <w:rPr>
          <w:rFonts w:ascii="Arial" w:hAnsi="Arial" w:cs="Arial"/>
          <w:sz w:val="24"/>
          <w:szCs w:val="24"/>
        </w:rPr>
        <w:t>,</w:t>
      </w:r>
      <w:r w:rsidR="002A2560">
        <w:rPr>
          <w:rFonts w:ascii="Arial" w:hAnsi="Arial" w:cs="Arial"/>
          <w:sz w:val="24"/>
          <w:szCs w:val="24"/>
        </w:rPr>
        <w:t xml:space="preserve"> stated the following at par 7:</w:t>
      </w:r>
    </w:p>
    <w:p w:rsidR="00570E9A" w:rsidRPr="006120C2" w:rsidRDefault="002A2560" w:rsidP="00A95CCC">
      <w:pPr>
        <w:spacing w:line="360" w:lineRule="auto"/>
        <w:jc w:val="both"/>
        <w:rPr>
          <w:rFonts w:ascii="Arial" w:hAnsi="Arial" w:cs="Arial"/>
          <w:sz w:val="24"/>
          <w:szCs w:val="24"/>
        </w:rPr>
      </w:pPr>
      <w:r>
        <w:rPr>
          <w:rFonts w:ascii="Arial" w:hAnsi="Arial" w:cs="Arial"/>
          <w:sz w:val="24"/>
          <w:szCs w:val="24"/>
        </w:rPr>
        <w:tab/>
      </w:r>
      <w:r>
        <w:rPr>
          <w:rFonts w:ascii="Arial" w:hAnsi="Arial" w:cs="Arial"/>
        </w:rPr>
        <w:t>‘[7]   It is settled law that previous convictions are invariably regarded as aggravating factors and the weight to be accorded thereto by the sentencer will largely depend on the nature and relevance thereof to the present offence; the</w:t>
      </w:r>
      <w:r w:rsidR="00097813">
        <w:rPr>
          <w:rFonts w:ascii="Arial" w:hAnsi="Arial" w:cs="Arial"/>
        </w:rPr>
        <w:t xml:space="preserve"> number of previous convictions</w:t>
      </w:r>
      <w:r>
        <w:rPr>
          <w:rFonts w:ascii="Arial" w:hAnsi="Arial" w:cs="Arial"/>
        </w:rPr>
        <w:t xml:space="preserve"> and the time laps in between. Though previous convictions would in appropriate cases lead to the imposition of a heavier sentence, </w:t>
      </w:r>
      <w:r w:rsidRPr="002A2560">
        <w:rPr>
          <w:rFonts w:ascii="Arial" w:hAnsi="Arial" w:cs="Arial"/>
          <w:u w:val="single"/>
        </w:rPr>
        <w:t>such sentence should still be reasonable in relation to the seriousness of the offence under consideration and the circumstances under which it was committed</w:t>
      </w:r>
      <w:r>
        <w:rPr>
          <w:rFonts w:ascii="Arial" w:hAnsi="Arial" w:cs="Arial"/>
        </w:rPr>
        <w:t xml:space="preserve"> (</w:t>
      </w:r>
      <w:r w:rsidRPr="005C44B9">
        <w:rPr>
          <w:rFonts w:ascii="Arial" w:hAnsi="Arial" w:cs="Arial"/>
          <w:i/>
        </w:rPr>
        <w:t>S v Stuurman</w:t>
      </w:r>
      <w:r w:rsidRPr="008C3403">
        <w:rPr>
          <w:rFonts w:ascii="Arial" w:hAnsi="Arial" w:cs="Arial"/>
        </w:rPr>
        <w:t xml:space="preserve"> 2005 NR 396 (HC)</w:t>
      </w:r>
      <w:r>
        <w:rPr>
          <w:rFonts w:ascii="Arial" w:hAnsi="Arial" w:cs="Arial"/>
        </w:rPr>
        <w:t xml:space="preserve">; </w:t>
      </w:r>
      <w:r w:rsidRPr="005C44B9">
        <w:rPr>
          <w:rFonts w:ascii="Arial" w:hAnsi="Arial" w:cs="Arial"/>
          <w:i/>
        </w:rPr>
        <w:t>S v Muggel</w:t>
      </w:r>
      <w:r w:rsidRPr="008C3403">
        <w:rPr>
          <w:rFonts w:ascii="Arial" w:hAnsi="Arial" w:cs="Arial"/>
        </w:rPr>
        <w:t xml:space="preserve"> 1998 (2) SACR 414 (C) at 419d-f</w:t>
      </w:r>
      <w:r>
        <w:rPr>
          <w:rFonts w:ascii="Arial" w:hAnsi="Arial" w:cs="Arial"/>
        </w:rPr>
        <w:t xml:space="preserve">). Punishment should fit the crime and where it may be justifiable to impose escalating sentences on a repeat offender, there are boundaries to the extent to which sentences may be increased when dealing with petty crimes. </w:t>
      </w:r>
      <w:r w:rsidRPr="002A2560">
        <w:rPr>
          <w:rFonts w:ascii="Arial" w:hAnsi="Arial" w:cs="Arial"/>
          <w:u w:val="single"/>
        </w:rPr>
        <w:t>It has also been said that the accused must be punished for the present crime committed and not for his previous convictions for which he had already been punished</w:t>
      </w:r>
      <w:r>
        <w:rPr>
          <w:rFonts w:ascii="Arial" w:hAnsi="Arial" w:cs="Arial"/>
        </w:rPr>
        <w:t xml:space="preserve"> (</w:t>
      </w:r>
      <w:r w:rsidRPr="006F5054">
        <w:rPr>
          <w:rFonts w:ascii="Arial" w:hAnsi="Arial" w:cs="Arial"/>
          <w:i/>
        </w:rPr>
        <w:t>S v Baartman</w:t>
      </w:r>
      <w:r w:rsidRPr="008C3403">
        <w:rPr>
          <w:rFonts w:ascii="Arial" w:hAnsi="Arial" w:cs="Arial"/>
        </w:rPr>
        <w:t xml:space="preserve"> 1997 (1) SACR 304 (E)</w:t>
      </w:r>
      <w:r>
        <w:rPr>
          <w:rFonts w:ascii="Arial" w:hAnsi="Arial" w:cs="Arial"/>
        </w:rPr>
        <w:t>).’</w:t>
      </w:r>
      <w:r w:rsidR="00570E9A">
        <w:rPr>
          <w:rFonts w:ascii="Arial" w:hAnsi="Arial" w:cs="Arial"/>
        </w:rPr>
        <w:t xml:space="preserve"> </w:t>
      </w:r>
      <w:r w:rsidRPr="002A2560">
        <w:rPr>
          <w:rFonts w:ascii="Arial" w:hAnsi="Arial" w:cs="Arial"/>
          <w:sz w:val="24"/>
          <w:szCs w:val="24"/>
        </w:rPr>
        <w:t>(Emphasis provided)</w:t>
      </w:r>
    </w:p>
    <w:p w:rsidR="009C0889" w:rsidRDefault="002A2560" w:rsidP="001277D6">
      <w:pPr>
        <w:spacing w:line="360" w:lineRule="auto"/>
        <w:jc w:val="both"/>
        <w:rPr>
          <w:rFonts w:ascii="Arial" w:hAnsi="Arial" w:cs="Arial"/>
          <w:sz w:val="24"/>
          <w:szCs w:val="24"/>
        </w:rPr>
      </w:pPr>
      <w:r>
        <w:rPr>
          <w:rFonts w:ascii="Arial" w:hAnsi="Arial" w:cs="Arial"/>
          <w:sz w:val="24"/>
          <w:szCs w:val="24"/>
        </w:rPr>
        <w:t>[</w:t>
      </w:r>
      <w:r w:rsidR="00097813">
        <w:rPr>
          <w:rFonts w:ascii="Arial" w:hAnsi="Arial" w:cs="Arial"/>
          <w:sz w:val="24"/>
          <w:szCs w:val="24"/>
        </w:rPr>
        <w:t>5</w:t>
      </w:r>
      <w:r>
        <w:rPr>
          <w:rFonts w:ascii="Arial" w:hAnsi="Arial" w:cs="Arial"/>
          <w:sz w:val="24"/>
          <w:szCs w:val="24"/>
        </w:rPr>
        <w:t>]</w:t>
      </w:r>
      <w:r>
        <w:rPr>
          <w:rFonts w:ascii="Arial" w:hAnsi="Arial" w:cs="Arial"/>
          <w:sz w:val="24"/>
          <w:szCs w:val="24"/>
        </w:rPr>
        <w:tab/>
        <w:t xml:space="preserve">Though there can be little doubt that the offence of housebreaking with intent to steal and theft </w:t>
      </w:r>
      <w:r w:rsidR="001277D6">
        <w:rPr>
          <w:rFonts w:ascii="Arial" w:hAnsi="Arial" w:cs="Arial"/>
          <w:sz w:val="24"/>
          <w:szCs w:val="24"/>
        </w:rPr>
        <w:t xml:space="preserve">is serious, the court in this instance clearly over emphasised the nature </w:t>
      </w:r>
      <w:r w:rsidR="001277D6">
        <w:rPr>
          <w:rFonts w:ascii="Arial" w:hAnsi="Arial" w:cs="Arial"/>
          <w:sz w:val="24"/>
          <w:szCs w:val="24"/>
        </w:rPr>
        <w:lastRenderedPageBreak/>
        <w:t xml:space="preserve">and extent of the offence committed. After force was used to open a window of one of the guest rooms at a pub, the accused stole one continental pillow which was subsequently recovered. </w:t>
      </w:r>
      <w:r w:rsidR="009C0889">
        <w:rPr>
          <w:rFonts w:ascii="Arial" w:hAnsi="Arial" w:cs="Arial"/>
          <w:sz w:val="24"/>
          <w:szCs w:val="24"/>
        </w:rPr>
        <w:t>What is also evident from the sentence imposed is that considerable weight was given to</w:t>
      </w:r>
      <w:r w:rsidR="001277D6">
        <w:rPr>
          <w:rFonts w:ascii="Arial" w:hAnsi="Arial" w:cs="Arial"/>
          <w:sz w:val="24"/>
          <w:szCs w:val="24"/>
        </w:rPr>
        <w:t xml:space="preserve"> the </w:t>
      </w:r>
      <w:r w:rsidR="009C0889">
        <w:rPr>
          <w:rFonts w:ascii="Arial" w:hAnsi="Arial" w:cs="Arial"/>
          <w:sz w:val="24"/>
          <w:szCs w:val="24"/>
        </w:rPr>
        <w:t xml:space="preserve">accused’s </w:t>
      </w:r>
      <w:r w:rsidR="001277D6">
        <w:rPr>
          <w:rFonts w:ascii="Arial" w:hAnsi="Arial" w:cs="Arial"/>
          <w:sz w:val="24"/>
          <w:szCs w:val="24"/>
        </w:rPr>
        <w:t>previous convictions in aggravation of sentence.</w:t>
      </w:r>
      <w:r w:rsidR="009C0889">
        <w:rPr>
          <w:rFonts w:ascii="Arial" w:hAnsi="Arial" w:cs="Arial"/>
          <w:sz w:val="24"/>
          <w:szCs w:val="24"/>
        </w:rPr>
        <w:t xml:space="preserve"> </w:t>
      </w:r>
    </w:p>
    <w:p w:rsidR="00CE684D" w:rsidRDefault="009C0889" w:rsidP="001277D6">
      <w:pPr>
        <w:spacing w:line="360" w:lineRule="auto"/>
        <w:jc w:val="both"/>
        <w:rPr>
          <w:rFonts w:ascii="Arial" w:hAnsi="Arial" w:cs="Arial"/>
          <w:sz w:val="24"/>
          <w:szCs w:val="24"/>
        </w:rPr>
      </w:pPr>
      <w:r>
        <w:rPr>
          <w:rFonts w:ascii="Arial" w:hAnsi="Arial" w:cs="Arial"/>
          <w:sz w:val="24"/>
          <w:szCs w:val="24"/>
        </w:rPr>
        <w:t>[</w:t>
      </w:r>
      <w:r w:rsidR="00097813">
        <w:rPr>
          <w:rFonts w:ascii="Arial" w:hAnsi="Arial" w:cs="Arial"/>
          <w:sz w:val="24"/>
          <w:szCs w:val="24"/>
        </w:rPr>
        <w:t>6</w:t>
      </w:r>
      <w:r>
        <w:rPr>
          <w:rFonts w:ascii="Arial" w:hAnsi="Arial" w:cs="Arial"/>
          <w:sz w:val="24"/>
          <w:szCs w:val="24"/>
        </w:rPr>
        <w:t>]</w:t>
      </w:r>
      <w:r>
        <w:rPr>
          <w:rFonts w:ascii="Arial" w:hAnsi="Arial" w:cs="Arial"/>
          <w:sz w:val="24"/>
          <w:szCs w:val="24"/>
        </w:rPr>
        <w:tab/>
        <w:t xml:space="preserve">While sentence pre-eminently lies with the trial court, it is settled law that the court must exercise its discretion in accordance with judicial principles. When applying the principles set out in </w:t>
      </w:r>
      <w:r>
        <w:rPr>
          <w:rFonts w:ascii="Arial" w:hAnsi="Arial" w:cs="Arial"/>
          <w:i/>
          <w:sz w:val="24"/>
          <w:szCs w:val="24"/>
        </w:rPr>
        <w:t>S v Tjiho</w:t>
      </w:r>
      <w:r>
        <w:rPr>
          <w:rStyle w:val="FootnoteReference"/>
          <w:rFonts w:ascii="Arial" w:hAnsi="Arial" w:cs="Arial"/>
          <w:i/>
          <w:sz w:val="24"/>
          <w:szCs w:val="24"/>
        </w:rPr>
        <w:footnoteReference w:id="2"/>
      </w:r>
      <w:r>
        <w:rPr>
          <w:rFonts w:ascii="Arial" w:hAnsi="Arial" w:cs="Arial"/>
          <w:i/>
          <w:sz w:val="24"/>
          <w:szCs w:val="24"/>
        </w:rPr>
        <w:t xml:space="preserve"> </w:t>
      </w:r>
      <w:r>
        <w:rPr>
          <w:rFonts w:ascii="Arial" w:hAnsi="Arial" w:cs="Arial"/>
          <w:sz w:val="24"/>
          <w:szCs w:val="24"/>
        </w:rPr>
        <w:t xml:space="preserve">I am satisfied that the court </w:t>
      </w:r>
      <w:r>
        <w:rPr>
          <w:rFonts w:ascii="Arial" w:hAnsi="Arial" w:cs="Arial"/>
          <w:i/>
          <w:sz w:val="24"/>
          <w:szCs w:val="24"/>
        </w:rPr>
        <w:t xml:space="preserve">a quo </w:t>
      </w:r>
      <w:r>
        <w:rPr>
          <w:rFonts w:ascii="Arial" w:hAnsi="Arial" w:cs="Arial"/>
          <w:sz w:val="24"/>
          <w:szCs w:val="24"/>
        </w:rPr>
        <w:t xml:space="preserve">misdirected itself on the </w:t>
      </w:r>
      <w:r w:rsidR="00097813">
        <w:rPr>
          <w:rFonts w:ascii="Arial" w:hAnsi="Arial" w:cs="Arial"/>
          <w:sz w:val="24"/>
          <w:szCs w:val="24"/>
        </w:rPr>
        <w:t xml:space="preserve">application of the </w:t>
      </w:r>
      <w:r>
        <w:rPr>
          <w:rFonts w:ascii="Arial" w:hAnsi="Arial" w:cs="Arial"/>
          <w:sz w:val="24"/>
          <w:szCs w:val="24"/>
        </w:rPr>
        <w:t xml:space="preserve">law by according too much weight to the accused’s criminal record, resulting in a </w:t>
      </w:r>
      <w:r w:rsidR="00097813">
        <w:rPr>
          <w:rFonts w:ascii="Arial" w:hAnsi="Arial" w:cs="Arial"/>
          <w:sz w:val="24"/>
          <w:szCs w:val="24"/>
        </w:rPr>
        <w:t>distorted sentence which</w:t>
      </w:r>
      <w:r>
        <w:rPr>
          <w:rFonts w:ascii="Arial" w:hAnsi="Arial" w:cs="Arial"/>
          <w:sz w:val="24"/>
          <w:szCs w:val="24"/>
        </w:rPr>
        <w:t xml:space="preserve"> is sta</w:t>
      </w:r>
      <w:r w:rsidR="00F96C80">
        <w:rPr>
          <w:rFonts w:ascii="Arial" w:hAnsi="Arial" w:cs="Arial"/>
          <w:sz w:val="24"/>
          <w:szCs w:val="24"/>
        </w:rPr>
        <w:t>rtlingly inappropriate and</w:t>
      </w:r>
      <w:r>
        <w:rPr>
          <w:rFonts w:ascii="Arial" w:hAnsi="Arial" w:cs="Arial"/>
          <w:sz w:val="24"/>
          <w:szCs w:val="24"/>
        </w:rPr>
        <w:t xml:space="preserve"> induces a sense of shock</w:t>
      </w:r>
      <w:r w:rsidR="00815C18">
        <w:rPr>
          <w:rFonts w:ascii="Arial" w:hAnsi="Arial" w:cs="Arial"/>
          <w:sz w:val="24"/>
          <w:szCs w:val="24"/>
        </w:rPr>
        <w:t>.</w:t>
      </w:r>
      <w:r>
        <w:rPr>
          <w:rFonts w:ascii="Arial" w:hAnsi="Arial" w:cs="Arial"/>
          <w:sz w:val="24"/>
          <w:szCs w:val="24"/>
        </w:rPr>
        <w:t xml:space="preserve"> </w:t>
      </w:r>
      <w:r w:rsidR="00815C18">
        <w:rPr>
          <w:rFonts w:ascii="Arial" w:hAnsi="Arial" w:cs="Arial"/>
          <w:sz w:val="24"/>
          <w:szCs w:val="24"/>
        </w:rPr>
        <w:t xml:space="preserve">Though a deterrent sentence is called for, a sentence of five years’ imprisonment – even when suspended </w:t>
      </w:r>
      <w:r w:rsidR="00815C18">
        <w:rPr>
          <w:rFonts w:ascii="Arial" w:hAnsi="Arial" w:cs="Arial"/>
          <w:i/>
          <w:sz w:val="24"/>
          <w:szCs w:val="24"/>
        </w:rPr>
        <w:t xml:space="preserve">in toto </w:t>
      </w:r>
      <w:r w:rsidR="00815C18">
        <w:rPr>
          <w:rFonts w:ascii="Arial" w:hAnsi="Arial" w:cs="Arial"/>
          <w:sz w:val="24"/>
          <w:szCs w:val="24"/>
        </w:rPr>
        <w:t>– is excessive and unjustified in the circumstances of the case. Accordingly, the sentence cannot be permitted to stand.</w:t>
      </w:r>
    </w:p>
    <w:p w:rsidR="00815C18" w:rsidRDefault="00815C18" w:rsidP="001277D6">
      <w:pPr>
        <w:spacing w:line="360" w:lineRule="auto"/>
        <w:jc w:val="both"/>
        <w:rPr>
          <w:rFonts w:ascii="Arial" w:hAnsi="Arial" w:cs="Arial"/>
          <w:sz w:val="24"/>
          <w:szCs w:val="24"/>
        </w:rPr>
      </w:pPr>
      <w:r>
        <w:rPr>
          <w:rFonts w:ascii="Arial" w:hAnsi="Arial" w:cs="Arial"/>
          <w:sz w:val="24"/>
          <w:szCs w:val="24"/>
        </w:rPr>
        <w:t>[</w:t>
      </w:r>
      <w:r w:rsidR="00F96C80">
        <w:rPr>
          <w:rFonts w:ascii="Arial" w:hAnsi="Arial" w:cs="Arial"/>
          <w:sz w:val="24"/>
          <w:szCs w:val="24"/>
        </w:rPr>
        <w:t>7</w:t>
      </w:r>
      <w:r>
        <w:rPr>
          <w:rFonts w:ascii="Arial" w:hAnsi="Arial" w:cs="Arial"/>
          <w:sz w:val="24"/>
          <w:szCs w:val="24"/>
        </w:rPr>
        <w:t>]</w:t>
      </w:r>
      <w:r>
        <w:rPr>
          <w:rFonts w:ascii="Arial" w:hAnsi="Arial" w:cs="Arial"/>
          <w:sz w:val="24"/>
          <w:szCs w:val="24"/>
        </w:rPr>
        <w:tab/>
        <w:t>In the result, it is ordered:</w:t>
      </w:r>
    </w:p>
    <w:p w:rsidR="00815C18" w:rsidRPr="00815C18" w:rsidRDefault="00815C18" w:rsidP="00815C18">
      <w:pPr>
        <w:pStyle w:val="ListParagraph"/>
        <w:numPr>
          <w:ilvl w:val="0"/>
          <w:numId w:val="2"/>
        </w:numPr>
        <w:spacing w:line="360" w:lineRule="auto"/>
        <w:jc w:val="both"/>
        <w:rPr>
          <w:rFonts w:ascii="Arial" w:hAnsi="Arial" w:cs="Arial"/>
          <w:sz w:val="24"/>
          <w:szCs w:val="24"/>
        </w:rPr>
      </w:pPr>
      <w:r w:rsidRPr="00815C18">
        <w:rPr>
          <w:rFonts w:ascii="Arial" w:hAnsi="Arial" w:cs="Arial"/>
          <w:sz w:val="24"/>
          <w:szCs w:val="24"/>
        </w:rPr>
        <w:t>The conviction is confirmed.</w:t>
      </w:r>
    </w:p>
    <w:p w:rsidR="00815C18" w:rsidRPr="00815C18" w:rsidRDefault="00815C18" w:rsidP="00815C18">
      <w:pPr>
        <w:pStyle w:val="ListParagraph"/>
        <w:numPr>
          <w:ilvl w:val="0"/>
          <w:numId w:val="2"/>
        </w:numPr>
        <w:spacing w:line="360" w:lineRule="auto"/>
        <w:jc w:val="both"/>
        <w:rPr>
          <w:rFonts w:ascii="Arial" w:hAnsi="Arial" w:cs="Arial"/>
          <w:sz w:val="24"/>
          <w:szCs w:val="24"/>
        </w:rPr>
      </w:pPr>
      <w:r w:rsidRPr="00815C18">
        <w:rPr>
          <w:rFonts w:ascii="Arial" w:hAnsi="Arial" w:cs="Arial"/>
          <w:sz w:val="24"/>
          <w:szCs w:val="24"/>
        </w:rPr>
        <w:t xml:space="preserve">The sentence is set aside and substituted with the following: The accused is sentenced to a period of two years’ imprisonment, </w:t>
      </w:r>
      <w:r w:rsidR="00097813">
        <w:rPr>
          <w:rFonts w:ascii="Arial" w:hAnsi="Arial" w:cs="Arial"/>
          <w:sz w:val="24"/>
          <w:szCs w:val="24"/>
        </w:rPr>
        <w:t>wholly suspended for five years</w:t>
      </w:r>
      <w:r w:rsidRPr="00815C18">
        <w:rPr>
          <w:rFonts w:ascii="Arial" w:hAnsi="Arial" w:cs="Arial"/>
          <w:sz w:val="24"/>
          <w:szCs w:val="24"/>
        </w:rPr>
        <w:t xml:space="preserve"> on condition that the accused is not convicted of the offence of housebreaking with intent to steal</w:t>
      </w:r>
      <w:r w:rsidR="00097813">
        <w:rPr>
          <w:rFonts w:ascii="Arial" w:hAnsi="Arial" w:cs="Arial"/>
          <w:sz w:val="24"/>
          <w:szCs w:val="24"/>
        </w:rPr>
        <w:t xml:space="preserve"> or theft</w:t>
      </w:r>
      <w:r w:rsidRPr="00815C18">
        <w:rPr>
          <w:rFonts w:ascii="Arial" w:hAnsi="Arial" w:cs="Arial"/>
          <w:sz w:val="24"/>
          <w:szCs w:val="24"/>
        </w:rPr>
        <w:t>, committed during the period of suspension.</w:t>
      </w:r>
    </w:p>
    <w:p w:rsidR="00815C18" w:rsidRPr="00815C18" w:rsidRDefault="00815C18" w:rsidP="00815C18">
      <w:pPr>
        <w:pStyle w:val="ListParagraph"/>
        <w:numPr>
          <w:ilvl w:val="0"/>
          <w:numId w:val="2"/>
        </w:numPr>
        <w:spacing w:line="360" w:lineRule="auto"/>
        <w:jc w:val="both"/>
        <w:rPr>
          <w:rFonts w:ascii="Arial" w:hAnsi="Arial" w:cs="Arial"/>
          <w:sz w:val="24"/>
          <w:szCs w:val="24"/>
        </w:rPr>
      </w:pPr>
      <w:r w:rsidRPr="00815C18">
        <w:rPr>
          <w:rFonts w:ascii="Arial" w:hAnsi="Arial" w:cs="Arial"/>
          <w:sz w:val="24"/>
          <w:szCs w:val="24"/>
        </w:rPr>
        <w:t>The sentence is antedated to 13 December 2018.</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815C18" w:rsidRDefault="00170268" w:rsidP="00D52600">
      <w:pPr>
        <w:spacing w:line="360" w:lineRule="auto"/>
        <w:jc w:val="right"/>
        <w:rPr>
          <w:rFonts w:ascii="Arial" w:hAnsi="Arial" w:cs="Arial"/>
          <w:sz w:val="24"/>
          <w:szCs w:val="24"/>
        </w:rPr>
      </w:pPr>
      <w:r w:rsidRPr="00815C18">
        <w:rPr>
          <w:rFonts w:ascii="Arial" w:hAnsi="Arial" w:cs="Arial"/>
          <w:sz w:val="24"/>
          <w:szCs w:val="24"/>
        </w:rPr>
        <w:t>J C LIEBENBERG</w:t>
      </w:r>
    </w:p>
    <w:p w:rsidR="00170268" w:rsidRPr="00815C18" w:rsidRDefault="00170268" w:rsidP="00D52600">
      <w:pPr>
        <w:spacing w:line="360" w:lineRule="auto"/>
        <w:jc w:val="right"/>
        <w:rPr>
          <w:rFonts w:ascii="Arial" w:hAnsi="Arial" w:cs="Arial"/>
          <w:sz w:val="24"/>
          <w:szCs w:val="24"/>
        </w:rPr>
      </w:pPr>
      <w:r w:rsidRPr="00815C18">
        <w:rPr>
          <w:rFonts w:ascii="Arial" w:hAnsi="Arial" w:cs="Arial"/>
          <w:sz w:val="24"/>
          <w:szCs w:val="24"/>
        </w:rPr>
        <w:t>JUDGE</w:t>
      </w: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lastRenderedPageBreak/>
        <w:t>___________________</w:t>
      </w:r>
    </w:p>
    <w:p w:rsidR="00170268" w:rsidRPr="00815C18" w:rsidRDefault="00815C18" w:rsidP="00170268">
      <w:pPr>
        <w:jc w:val="right"/>
        <w:rPr>
          <w:rFonts w:ascii="Arial" w:hAnsi="Arial" w:cs="Arial"/>
          <w:sz w:val="24"/>
          <w:szCs w:val="24"/>
        </w:rPr>
      </w:pPr>
      <w:r w:rsidRPr="00815C18">
        <w:rPr>
          <w:rFonts w:ascii="Arial" w:hAnsi="Arial" w:cs="Arial"/>
          <w:sz w:val="24"/>
          <w:szCs w:val="24"/>
        </w:rPr>
        <w:t>N N SHIVUTE</w:t>
      </w:r>
    </w:p>
    <w:p w:rsidR="00170268" w:rsidRPr="00815C18" w:rsidRDefault="00170268" w:rsidP="00170268">
      <w:pPr>
        <w:jc w:val="right"/>
        <w:rPr>
          <w:rFonts w:ascii="Arial" w:hAnsi="Arial" w:cs="Arial"/>
          <w:sz w:val="24"/>
          <w:szCs w:val="24"/>
        </w:rPr>
      </w:pPr>
      <w:r w:rsidRPr="00815C18">
        <w:rPr>
          <w:rFonts w:ascii="Arial" w:hAnsi="Arial" w:cs="Arial"/>
          <w:sz w:val="24"/>
          <w:szCs w:val="24"/>
        </w:rPr>
        <w:t>JUDGE</w:t>
      </w:r>
    </w:p>
    <w:p w:rsidR="00170268" w:rsidRPr="00815C18" w:rsidRDefault="00170268">
      <w:pPr>
        <w:rPr>
          <w:rFonts w:ascii="Arial" w:hAnsi="Arial" w:cs="Arial"/>
          <w:sz w:val="24"/>
          <w:szCs w:val="24"/>
        </w:rPr>
      </w:pPr>
    </w:p>
    <w:sectPr w:rsidR="00170268" w:rsidRPr="00815C1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40" w:rsidRDefault="00737140" w:rsidP="0048420C">
      <w:pPr>
        <w:spacing w:after="0" w:line="240" w:lineRule="auto"/>
      </w:pPr>
      <w:r>
        <w:separator/>
      </w:r>
    </w:p>
  </w:endnote>
  <w:endnote w:type="continuationSeparator" w:id="0">
    <w:p w:rsidR="00737140" w:rsidRDefault="00737140"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40" w:rsidRDefault="00737140" w:rsidP="0048420C">
      <w:pPr>
        <w:spacing w:after="0" w:line="240" w:lineRule="auto"/>
      </w:pPr>
      <w:r>
        <w:separator/>
      </w:r>
    </w:p>
  </w:footnote>
  <w:footnote w:type="continuationSeparator" w:id="0">
    <w:p w:rsidR="00737140" w:rsidRDefault="00737140" w:rsidP="0048420C">
      <w:pPr>
        <w:spacing w:after="0" w:line="240" w:lineRule="auto"/>
      </w:pPr>
      <w:r>
        <w:continuationSeparator/>
      </w:r>
    </w:p>
  </w:footnote>
  <w:footnote w:id="1">
    <w:p w:rsidR="002A2560" w:rsidRPr="002A2560" w:rsidRDefault="002A2560">
      <w:pPr>
        <w:pStyle w:val="FootnoteText"/>
        <w:rPr>
          <w:rFonts w:ascii="Arial" w:hAnsi="Arial" w:cs="Arial"/>
          <w:lang w:val="en-US"/>
        </w:rPr>
      </w:pPr>
      <w:r>
        <w:rPr>
          <w:rStyle w:val="FootnoteReference"/>
        </w:rPr>
        <w:footnoteRef/>
      </w:r>
      <w:r>
        <w:t xml:space="preserve"> </w:t>
      </w:r>
      <w:r>
        <w:rPr>
          <w:rFonts w:ascii="Arial" w:hAnsi="Arial" w:cs="Arial"/>
          <w:lang w:val="en-US"/>
        </w:rPr>
        <w:t>(CA 40/2015) [2015] NAHCMD 211 (11 September 2015).</w:t>
      </w:r>
    </w:p>
  </w:footnote>
  <w:footnote w:id="2">
    <w:p w:rsidR="009C0889" w:rsidRPr="009C0889" w:rsidRDefault="009C0889">
      <w:pPr>
        <w:pStyle w:val="FootnoteText"/>
        <w:rPr>
          <w:rFonts w:ascii="Arial" w:hAnsi="Arial" w:cs="Arial"/>
          <w:lang w:val="en-US"/>
        </w:rPr>
      </w:pPr>
      <w:r>
        <w:rPr>
          <w:rStyle w:val="FootnoteReference"/>
        </w:rPr>
        <w:footnoteRef/>
      </w:r>
      <w:r>
        <w:t xml:space="preserve"> </w:t>
      </w:r>
      <w:r>
        <w:rPr>
          <w:rFonts w:ascii="Arial" w:hAnsi="Arial" w:cs="Arial"/>
          <w:lang w:val="en-US"/>
        </w:rPr>
        <w:t>1991 NR 361 (HC) at 362A-B.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6120C2">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1533"/>
    <w:multiLevelType w:val="hybridMultilevel"/>
    <w:tmpl w:val="FED8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61CC0"/>
    <w:multiLevelType w:val="hybridMultilevel"/>
    <w:tmpl w:val="53AA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97813"/>
    <w:rsid w:val="000B367F"/>
    <w:rsid w:val="000B58CA"/>
    <w:rsid w:val="001277D6"/>
    <w:rsid w:val="00170268"/>
    <w:rsid w:val="0019238E"/>
    <w:rsid w:val="002A2560"/>
    <w:rsid w:val="00396AD1"/>
    <w:rsid w:val="003B39C3"/>
    <w:rsid w:val="00470E7C"/>
    <w:rsid w:val="0048420C"/>
    <w:rsid w:val="00570E9A"/>
    <w:rsid w:val="00581E8A"/>
    <w:rsid w:val="006120C2"/>
    <w:rsid w:val="006B7C1C"/>
    <w:rsid w:val="00710547"/>
    <w:rsid w:val="00737140"/>
    <w:rsid w:val="007D5ABE"/>
    <w:rsid w:val="00815C18"/>
    <w:rsid w:val="00862417"/>
    <w:rsid w:val="008F03C3"/>
    <w:rsid w:val="008F1AC9"/>
    <w:rsid w:val="00905342"/>
    <w:rsid w:val="00921A15"/>
    <w:rsid w:val="009C0889"/>
    <w:rsid w:val="009D25EC"/>
    <w:rsid w:val="00A34327"/>
    <w:rsid w:val="00A44EE8"/>
    <w:rsid w:val="00A70BA2"/>
    <w:rsid w:val="00A95CCC"/>
    <w:rsid w:val="00AE2289"/>
    <w:rsid w:val="00B7175E"/>
    <w:rsid w:val="00B86B40"/>
    <w:rsid w:val="00BA1C4C"/>
    <w:rsid w:val="00C71759"/>
    <w:rsid w:val="00CB0D30"/>
    <w:rsid w:val="00CE684D"/>
    <w:rsid w:val="00D221E3"/>
    <w:rsid w:val="00D46569"/>
    <w:rsid w:val="00D52600"/>
    <w:rsid w:val="00D741DA"/>
    <w:rsid w:val="00D804EC"/>
    <w:rsid w:val="00E23B50"/>
    <w:rsid w:val="00E401CB"/>
    <w:rsid w:val="00EE0D6A"/>
    <w:rsid w:val="00EF3EEF"/>
    <w:rsid w:val="00F7223C"/>
    <w:rsid w:val="00F96C80"/>
    <w:rsid w:val="00FA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815C18"/>
    <w:pPr>
      <w:ind w:left="720"/>
      <w:contextualSpacing/>
    </w:pPr>
  </w:style>
  <w:style w:type="paragraph" w:styleId="BalloonText">
    <w:name w:val="Balloon Text"/>
    <w:basedOn w:val="Normal"/>
    <w:link w:val="BalloonTextChar"/>
    <w:uiPriority w:val="99"/>
    <w:semiHidden/>
    <w:unhideWhenUsed/>
    <w:rsid w:val="00F9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8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2019-03-21T18:30:00+00:00</Judgment_x0020_Date>
  </documentManagement>
</p:properties>
</file>

<file path=customXml/itemProps1.xml><?xml version="1.0" encoding="utf-8"?>
<ds:datastoreItem xmlns:ds="http://schemas.openxmlformats.org/officeDocument/2006/customXml" ds:itemID="{E9E8B794-DC09-45F2-9C40-17A0E6E7EBE7}"/>
</file>

<file path=customXml/itemProps2.xml><?xml version="1.0" encoding="utf-8"?>
<ds:datastoreItem xmlns:ds="http://schemas.openxmlformats.org/officeDocument/2006/customXml" ds:itemID="{878D9C71-5840-4F5B-83C8-39982EB733CC}"/>
</file>

<file path=customXml/itemProps3.xml><?xml version="1.0" encoding="utf-8"?>
<ds:datastoreItem xmlns:ds="http://schemas.openxmlformats.org/officeDocument/2006/customXml" ds:itemID="{46043F0C-F22E-4069-A22D-9E1DF0D64F97}"/>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Engelbrecht (CR 21-2019) [2019] NAHCMD 62 (22 March 2019)</dc:title>
  <dc:subject/>
  <dc:creator>User</dc:creator>
  <cp:keywords/>
  <dc:description/>
  <cp:lastModifiedBy>Charlet Mokomele</cp:lastModifiedBy>
  <cp:revision>2</cp:revision>
  <cp:lastPrinted>2019-03-20T09:52:00Z</cp:lastPrinted>
  <dcterms:created xsi:type="dcterms:W3CDTF">2019-03-26T12:20:00Z</dcterms:created>
  <dcterms:modified xsi:type="dcterms:W3CDTF">2019-03-26T12:20:00Z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