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E24883" w:rsidRDefault="00B70AD7" w:rsidP="00E24883">
      <w:pPr>
        <w:spacing w:line="360" w:lineRule="auto"/>
        <w:jc w:val="right"/>
        <w:rPr>
          <w:rFonts w:ascii="Arial" w:hAnsi="Arial" w:cs="Arial"/>
          <w:sz w:val="24"/>
          <w:szCs w:val="24"/>
        </w:rPr>
      </w:pPr>
      <w:bookmarkStart w:id="0" w:name="_GoBack"/>
      <w:bookmarkEnd w:id="0"/>
      <w:r w:rsidRPr="00E24883">
        <w:rPr>
          <w:rFonts w:ascii="Arial" w:hAnsi="Arial" w:cs="Arial"/>
          <w:sz w:val="24"/>
          <w:szCs w:val="24"/>
        </w:rPr>
        <w:t>REPORTABLE</w:t>
      </w:r>
    </w:p>
    <w:p w:rsidR="005A03B6" w:rsidRDefault="005A03B6" w:rsidP="00F95223">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F95223">
      <w:pPr>
        <w:spacing w:line="360" w:lineRule="auto"/>
        <w:jc w:val="center"/>
        <w:rPr>
          <w:rFonts w:ascii="Arial" w:hAnsi="Arial" w:cs="Arial"/>
          <w:b/>
          <w:sz w:val="24"/>
          <w:szCs w:val="24"/>
        </w:rPr>
      </w:pPr>
      <w:r>
        <w:rPr>
          <w:rFonts w:ascii="Arial" w:hAnsi="Arial" w:cs="Arial"/>
          <w:noProof/>
          <w:sz w:val="24"/>
          <w:szCs w:val="24"/>
          <w:lang w:val="en-GB" w:eastAsia="en-GB"/>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r>
        <w:rPr>
          <w:rFonts w:ascii="Arial" w:hAnsi="Arial" w:cs="Arial"/>
          <w:b/>
          <w:sz w:val="24"/>
          <w:szCs w:val="24"/>
        </w:rPr>
        <w:tab/>
      </w:r>
    </w:p>
    <w:p w:rsidR="005A03B6" w:rsidRDefault="005A03B6" w:rsidP="00F95223">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5A03B6" w:rsidRDefault="005A03B6" w:rsidP="00F95223">
      <w:pPr>
        <w:spacing w:line="360" w:lineRule="auto"/>
        <w:jc w:val="center"/>
        <w:rPr>
          <w:rFonts w:ascii="Arial" w:hAnsi="Arial" w:cs="Arial"/>
          <w:b/>
          <w:sz w:val="24"/>
          <w:szCs w:val="24"/>
        </w:rPr>
      </w:pPr>
    </w:p>
    <w:p w:rsidR="001339C4" w:rsidRDefault="001339C4" w:rsidP="00F95223">
      <w:pPr>
        <w:spacing w:line="360" w:lineRule="auto"/>
        <w:jc w:val="center"/>
        <w:rPr>
          <w:rFonts w:ascii="Arial" w:hAnsi="Arial" w:cs="Arial"/>
          <w:b/>
          <w:sz w:val="24"/>
          <w:szCs w:val="24"/>
        </w:rPr>
      </w:pPr>
      <w:r>
        <w:rPr>
          <w:rFonts w:ascii="Arial" w:hAnsi="Arial" w:cs="Arial"/>
          <w:b/>
          <w:sz w:val="24"/>
          <w:szCs w:val="24"/>
        </w:rPr>
        <w:t xml:space="preserve">EXERCISING </w:t>
      </w:r>
      <w:r w:rsidR="00CB03CE">
        <w:rPr>
          <w:rFonts w:ascii="Arial" w:hAnsi="Arial" w:cs="Arial"/>
          <w:b/>
          <w:sz w:val="24"/>
          <w:szCs w:val="24"/>
        </w:rPr>
        <w:t xml:space="preserve">ITS </w:t>
      </w:r>
      <w:r>
        <w:rPr>
          <w:rFonts w:ascii="Arial" w:hAnsi="Arial" w:cs="Arial"/>
          <w:b/>
          <w:sz w:val="24"/>
          <w:szCs w:val="24"/>
        </w:rPr>
        <w:t>ADMIRALTY JURISDICTION</w:t>
      </w:r>
    </w:p>
    <w:p w:rsidR="005A03B6" w:rsidRDefault="000A5C45" w:rsidP="00F95223">
      <w:pPr>
        <w:spacing w:line="360" w:lineRule="auto"/>
        <w:jc w:val="center"/>
        <w:rPr>
          <w:rFonts w:ascii="Arial" w:hAnsi="Arial" w:cs="Arial"/>
          <w:b/>
          <w:sz w:val="24"/>
          <w:szCs w:val="24"/>
        </w:rPr>
      </w:pPr>
      <w:r>
        <w:rPr>
          <w:rFonts w:ascii="Arial" w:hAnsi="Arial" w:cs="Arial"/>
          <w:b/>
          <w:sz w:val="24"/>
          <w:szCs w:val="24"/>
        </w:rPr>
        <w:t xml:space="preserve">ADMIRALTY </w:t>
      </w:r>
      <w:r w:rsidR="005A03B6">
        <w:rPr>
          <w:rFonts w:ascii="Arial" w:hAnsi="Arial" w:cs="Arial"/>
          <w:b/>
          <w:sz w:val="24"/>
          <w:szCs w:val="24"/>
        </w:rPr>
        <w:t>JUDGMENT</w:t>
      </w:r>
    </w:p>
    <w:p w:rsidR="005A03B6" w:rsidRDefault="005A03B6" w:rsidP="00F95223">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w:t>
      </w:r>
      <w:r w:rsidR="000A5C45">
        <w:rPr>
          <w:rFonts w:ascii="Arial" w:hAnsi="Arial" w:cs="Arial"/>
          <w:sz w:val="24"/>
          <w:szCs w:val="24"/>
        </w:rPr>
        <w:t>AC</w:t>
      </w:r>
      <w:r>
        <w:rPr>
          <w:rFonts w:ascii="Arial" w:hAnsi="Arial" w:cs="Arial"/>
          <w:sz w:val="24"/>
          <w:szCs w:val="24"/>
        </w:rPr>
        <w:t xml:space="preserve"> </w:t>
      </w:r>
      <w:r w:rsidR="000A5C45">
        <w:rPr>
          <w:rFonts w:ascii="Arial" w:hAnsi="Arial" w:cs="Arial"/>
          <w:sz w:val="24"/>
          <w:szCs w:val="24"/>
        </w:rPr>
        <w:t>11/2018</w:t>
      </w:r>
    </w:p>
    <w:p w:rsidR="005A03B6" w:rsidRDefault="005A03B6" w:rsidP="00F95223">
      <w:pPr>
        <w:spacing w:line="360" w:lineRule="auto"/>
        <w:jc w:val="right"/>
        <w:rPr>
          <w:rFonts w:ascii="Arial" w:hAnsi="Arial" w:cs="Arial"/>
          <w:sz w:val="24"/>
          <w:szCs w:val="24"/>
        </w:rPr>
      </w:pPr>
    </w:p>
    <w:p w:rsidR="000A5C45" w:rsidRDefault="000A5C45" w:rsidP="00F95223">
      <w:pPr>
        <w:spacing w:line="360" w:lineRule="auto"/>
        <w:jc w:val="left"/>
        <w:rPr>
          <w:rFonts w:ascii="Arial" w:hAnsi="Arial" w:cs="Arial"/>
          <w:sz w:val="24"/>
          <w:szCs w:val="24"/>
        </w:rPr>
      </w:pPr>
      <w:r>
        <w:rPr>
          <w:rFonts w:ascii="Arial" w:hAnsi="Arial" w:cs="Arial"/>
          <w:sz w:val="24"/>
          <w:szCs w:val="24"/>
        </w:rPr>
        <w:t>Name of vessel: MT “</w:t>
      </w:r>
      <w:r w:rsidR="004C4E12" w:rsidRPr="004C4E12">
        <w:rPr>
          <w:rFonts w:ascii="Arial" w:hAnsi="Arial" w:cs="Arial"/>
          <w:b/>
          <w:sz w:val="24"/>
          <w:szCs w:val="24"/>
        </w:rPr>
        <w:t xml:space="preserve">PALENQUE </w:t>
      </w:r>
      <w:r w:rsidR="004C4E12">
        <w:rPr>
          <w:rFonts w:ascii="Arial" w:hAnsi="Arial" w:cs="Arial"/>
          <w:b/>
          <w:sz w:val="24"/>
          <w:szCs w:val="24"/>
        </w:rPr>
        <w:t>l</w:t>
      </w:r>
      <w:r>
        <w:rPr>
          <w:rFonts w:ascii="Arial" w:hAnsi="Arial" w:cs="Arial"/>
          <w:sz w:val="24"/>
          <w:szCs w:val="24"/>
        </w:rPr>
        <w:t>”</w:t>
      </w:r>
    </w:p>
    <w:p w:rsidR="000A5C45" w:rsidRDefault="000A5C45" w:rsidP="00F95223">
      <w:pPr>
        <w:spacing w:line="360" w:lineRule="auto"/>
        <w:jc w:val="left"/>
        <w:rPr>
          <w:rFonts w:ascii="Arial" w:hAnsi="Arial" w:cs="Arial"/>
          <w:sz w:val="24"/>
          <w:szCs w:val="24"/>
        </w:rPr>
      </w:pPr>
    </w:p>
    <w:p w:rsidR="005A03B6" w:rsidRDefault="005A03B6" w:rsidP="00F95223">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F95223">
      <w:pPr>
        <w:spacing w:line="360" w:lineRule="auto"/>
        <w:rPr>
          <w:rFonts w:ascii="Arial" w:hAnsi="Arial" w:cs="Arial"/>
          <w:b/>
          <w:sz w:val="24"/>
          <w:szCs w:val="24"/>
        </w:rPr>
      </w:pPr>
    </w:p>
    <w:p w:rsidR="005A03B6" w:rsidRPr="000A5C45" w:rsidRDefault="000A5C45" w:rsidP="000A5C45">
      <w:pPr>
        <w:tabs>
          <w:tab w:val="right" w:pos="9026"/>
        </w:tabs>
        <w:spacing w:line="360" w:lineRule="auto"/>
        <w:rPr>
          <w:rFonts w:ascii="Arial" w:hAnsi="Arial" w:cs="Arial"/>
          <w:b/>
          <w:sz w:val="24"/>
          <w:szCs w:val="24"/>
        </w:rPr>
      </w:pPr>
      <w:r w:rsidRPr="000A5C45">
        <w:rPr>
          <w:rFonts w:ascii="Arial" w:hAnsi="Arial" w:cs="Arial"/>
          <w:b/>
          <w:sz w:val="24"/>
          <w:szCs w:val="24"/>
        </w:rPr>
        <w:t xml:space="preserve">GMTC </w:t>
      </w:r>
      <w:r w:rsidR="004C4E12">
        <w:rPr>
          <w:rFonts w:ascii="Arial" w:hAnsi="Arial" w:cs="Arial"/>
          <w:b/>
          <w:sz w:val="24"/>
          <w:szCs w:val="24"/>
        </w:rPr>
        <w:t>l</w:t>
      </w:r>
      <w:r w:rsidRPr="000A5C45">
        <w:rPr>
          <w:rFonts w:ascii="Arial" w:hAnsi="Arial" w:cs="Arial"/>
          <w:b/>
          <w:sz w:val="24"/>
          <w:szCs w:val="24"/>
        </w:rPr>
        <w:t xml:space="preserve"> LLC</w:t>
      </w:r>
      <w:r>
        <w:rPr>
          <w:rFonts w:ascii="Arial" w:hAnsi="Arial" w:cs="Arial"/>
          <w:b/>
          <w:sz w:val="24"/>
          <w:szCs w:val="24"/>
        </w:rPr>
        <w:tab/>
        <w:t>APPLICANT</w:t>
      </w:r>
    </w:p>
    <w:p w:rsidR="000A5C45" w:rsidRDefault="000A5C45" w:rsidP="00F95223">
      <w:pPr>
        <w:spacing w:line="360" w:lineRule="auto"/>
        <w:rPr>
          <w:rFonts w:ascii="Arial" w:hAnsi="Arial" w:cs="Arial"/>
          <w:sz w:val="24"/>
          <w:szCs w:val="24"/>
        </w:rPr>
      </w:pPr>
    </w:p>
    <w:p w:rsidR="005A03B6" w:rsidRDefault="00B70AD7" w:rsidP="00F95223">
      <w:pPr>
        <w:spacing w:line="360" w:lineRule="auto"/>
        <w:rPr>
          <w:rFonts w:ascii="Arial" w:hAnsi="Arial" w:cs="Arial"/>
          <w:sz w:val="24"/>
          <w:szCs w:val="24"/>
        </w:rPr>
      </w:pPr>
      <w:r>
        <w:rPr>
          <w:rFonts w:ascii="Arial" w:hAnsi="Arial" w:cs="Arial"/>
          <w:sz w:val="24"/>
          <w:szCs w:val="24"/>
        </w:rPr>
        <w:t>v</w:t>
      </w:r>
    </w:p>
    <w:p w:rsidR="005A03B6" w:rsidRDefault="005A03B6" w:rsidP="00F95223">
      <w:pPr>
        <w:spacing w:line="360" w:lineRule="auto"/>
        <w:rPr>
          <w:rFonts w:ascii="Arial" w:hAnsi="Arial" w:cs="Arial"/>
          <w:b/>
          <w:sz w:val="24"/>
          <w:szCs w:val="24"/>
        </w:rPr>
      </w:pPr>
    </w:p>
    <w:p w:rsidR="00C77560" w:rsidRDefault="000A5C45" w:rsidP="00C77560">
      <w:pPr>
        <w:tabs>
          <w:tab w:val="right" w:pos="9026"/>
        </w:tabs>
        <w:spacing w:line="360" w:lineRule="auto"/>
        <w:ind w:left="2160" w:hanging="2160"/>
        <w:rPr>
          <w:rFonts w:ascii="Arial" w:hAnsi="Arial" w:cs="Arial"/>
          <w:b/>
          <w:sz w:val="24"/>
          <w:szCs w:val="24"/>
        </w:rPr>
      </w:pPr>
      <w:r>
        <w:rPr>
          <w:rFonts w:ascii="Arial" w:hAnsi="Arial" w:cs="Arial"/>
          <w:b/>
          <w:sz w:val="24"/>
          <w:szCs w:val="24"/>
        </w:rPr>
        <w:t xml:space="preserve">THE FUND CONSTITUTED FROM THE SALE OF </w:t>
      </w:r>
    </w:p>
    <w:p w:rsidR="005A03B6" w:rsidRDefault="000A5C45" w:rsidP="00C77560">
      <w:pPr>
        <w:tabs>
          <w:tab w:val="right" w:pos="9026"/>
        </w:tabs>
        <w:spacing w:line="360" w:lineRule="auto"/>
        <w:ind w:left="2160" w:hanging="2160"/>
        <w:jc w:val="left"/>
        <w:rPr>
          <w:rFonts w:ascii="Arial" w:hAnsi="Arial" w:cs="Arial"/>
          <w:b/>
          <w:sz w:val="24"/>
          <w:szCs w:val="24"/>
        </w:rPr>
      </w:pPr>
      <w:r>
        <w:rPr>
          <w:rFonts w:ascii="Arial" w:hAnsi="Arial" w:cs="Arial"/>
          <w:b/>
          <w:sz w:val="24"/>
          <w:szCs w:val="24"/>
        </w:rPr>
        <w:t>THE MV “PALENQUE 1</w:t>
      </w:r>
      <w:r w:rsidR="00C77560">
        <w:rPr>
          <w:rFonts w:ascii="Arial" w:hAnsi="Arial" w:cs="Arial"/>
          <w:b/>
          <w:sz w:val="24"/>
          <w:szCs w:val="24"/>
        </w:rPr>
        <w:tab/>
        <w:t>1</w:t>
      </w:r>
      <w:r w:rsidR="00C77560" w:rsidRPr="00C77560">
        <w:rPr>
          <w:rFonts w:ascii="Arial" w:hAnsi="Arial" w:cs="Arial"/>
          <w:b/>
          <w:sz w:val="24"/>
          <w:szCs w:val="24"/>
          <w:vertAlign w:val="superscript"/>
        </w:rPr>
        <w:t>ST</w:t>
      </w:r>
      <w:r w:rsidR="00C77560">
        <w:rPr>
          <w:rFonts w:ascii="Arial" w:hAnsi="Arial" w:cs="Arial"/>
          <w:b/>
          <w:sz w:val="24"/>
          <w:szCs w:val="24"/>
        </w:rPr>
        <w:t xml:space="preserve"> RESPONDENT</w:t>
      </w:r>
    </w:p>
    <w:p w:rsidR="00C77560" w:rsidRDefault="00C77560" w:rsidP="00C77560">
      <w:pPr>
        <w:tabs>
          <w:tab w:val="right" w:pos="9026"/>
        </w:tabs>
        <w:spacing w:line="360" w:lineRule="auto"/>
        <w:jc w:val="left"/>
        <w:rPr>
          <w:rFonts w:ascii="Arial" w:hAnsi="Arial" w:cs="Arial"/>
          <w:b/>
          <w:sz w:val="24"/>
          <w:szCs w:val="24"/>
        </w:rPr>
      </w:pPr>
      <w:r>
        <w:rPr>
          <w:rFonts w:ascii="Arial" w:hAnsi="Arial" w:cs="Arial"/>
          <w:b/>
          <w:sz w:val="24"/>
          <w:szCs w:val="24"/>
        </w:rPr>
        <w:t xml:space="preserve">THE FUND CONSTITUTED FROM THE SALE OF </w:t>
      </w:r>
    </w:p>
    <w:p w:rsidR="00C77560" w:rsidRDefault="00C77560" w:rsidP="00C77560">
      <w:pPr>
        <w:tabs>
          <w:tab w:val="right" w:pos="9026"/>
        </w:tabs>
        <w:spacing w:line="360" w:lineRule="auto"/>
        <w:jc w:val="left"/>
        <w:rPr>
          <w:rFonts w:ascii="Arial" w:hAnsi="Arial" w:cs="Arial"/>
          <w:b/>
          <w:sz w:val="24"/>
          <w:szCs w:val="24"/>
        </w:rPr>
      </w:pPr>
      <w:r>
        <w:rPr>
          <w:rFonts w:ascii="Arial" w:hAnsi="Arial" w:cs="Arial"/>
          <w:b/>
          <w:sz w:val="24"/>
          <w:szCs w:val="24"/>
        </w:rPr>
        <w:t>THE BUNKERS ON BOARD THE MV “PALENQUE 1”</w:t>
      </w:r>
      <w:r>
        <w:rPr>
          <w:rFonts w:ascii="Arial" w:hAnsi="Arial" w:cs="Arial"/>
          <w:b/>
          <w:sz w:val="24"/>
          <w:szCs w:val="24"/>
        </w:rPr>
        <w:tab/>
        <w:t>2</w:t>
      </w:r>
      <w:r w:rsidRPr="00C77560">
        <w:rPr>
          <w:rFonts w:ascii="Arial" w:hAnsi="Arial" w:cs="Arial"/>
          <w:b/>
          <w:sz w:val="24"/>
          <w:szCs w:val="24"/>
          <w:vertAlign w:val="superscript"/>
        </w:rPr>
        <w:t>ND</w:t>
      </w:r>
      <w:r>
        <w:rPr>
          <w:rFonts w:ascii="Arial" w:hAnsi="Arial" w:cs="Arial"/>
          <w:b/>
          <w:sz w:val="24"/>
          <w:szCs w:val="24"/>
        </w:rPr>
        <w:t xml:space="preserve"> RESPONDENT</w:t>
      </w:r>
    </w:p>
    <w:p w:rsidR="00C77560" w:rsidRDefault="00C77560" w:rsidP="00C77560">
      <w:pPr>
        <w:tabs>
          <w:tab w:val="right" w:pos="9026"/>
        </w:tabs>
        <w:spacing w:line="360" w:lineRule="auto"/>
        <w:jc w:val="left"/>
        <w:rPr>
          <w:rFonts w:ascii="Arial" w:hAnsi="Arial" w:cs="Arial"/>
          <w:b/>
          <w:sz w:val="24"/>
          <w:szCs w:val="24"/>
        </w:rPr>
      </w:pPr>
      <w:r>
        <w:rPr>
          <w:rFonts w:ascii="Arial" w:hAnsi="Arial" w:cs="Arial"/>
          <w:b/>
          <w:sz w:val="24"/>
          <w:szCs w:val="24"/>
        </w:rPr>
        <w:t>JACK MARINE INTERNATIONAL LIMITED</w:t>
      </w:r>
      <w:r>
        <w:rPr>
          <w:rFonts w:ascii="Arial" w:hAnsi="Arial" w:cs="Arial"/>
          <w:b/>
          <w:sz w:val="24"/>
          <w:szCs w:val="24"/>
        </w:rPr>
        <w:tab/>
        <w:t>3</w:t>
      </w:r>
      <w:r w:rsidRPr="00C77560">
        <w:rPr>
          <w:rFonts w:ascii="Arial" w:hAnsi="Arial" w:cs="Arial"/>
          <w:b/>
          <w:sz w:val="24"/>
          <w:szCs w:val="24"/>
          <w:vertAlign w:val="superscript"/>
        </w:rPr>
        <w:t>RD</w:t>
      </w:r>
      <w:r>
        <w:rPr>
          <w:rFonts w:ascii="Arial" w:hAnsi="Arial" w:cs="Arial"/>
          <w:b/>
          <w:sz w:val="24"/>
          <w:szCs w:val="24"/>
        </w:rPr>
        <w:t xml:space="preserve"> RESPONDENT</w:t>
      </w:r>
    </w:p>
    <w:p w:rsidR="00C77560" w:rsidRDefault="00C77560" w:rsidP="00C77560">
      <w:pPr>
        <w:tabs>
          <w:tab w:val="right" w:pos="9026"/>
        </w:tabs>
        <w:spacing w:line="360" w:lineRule="auto"/>
        <w:jc w:val="left"/>
        <w:rPr>
          <w:rFonts w:ascii="Arial" w:hAnsi="Arial" w:cs="Arial"/>
          <w:b/>
          <w:sz w:val="24"/>
          <w:szCs w:val="24"/>
        </w:rPr>
      </w:pPr>
      <w:r>
        <w:rPr>
          <w:rFonts w:ascii="Arial" w:hAnsi="Arial" w:cs="Arial"/>
          <w:b/>
          <w:sz w:val="24"/>
          <w:szCs w:val="24"/>
        </w:rPr>
        <w:t>BUNKERNET LIMITED</w:t>
      </w:r>
      <w:r>
        <w:rPr>
          <w:rFonts w:ascii="Arial" w:hAnsi="Arial" w:cs="Arial"/>
          <w:b/>
          <w:sz w:val="24"/>
          <w:szCs w:val="24"/>
        </w:rPr>
        <w:tab/>
        <w:t>4</w:t>
      </w:r>
      <w:r w:rsidRPr="00C77560">
        <w:rPr>
          <w:rFonts w:ascii="Arial" w:hAnsi="Arial" w:cs="Arial"/>
          <w:b/>
          <w:sz w:val="24"/>
          <w:szCs w:val="24"/>
          <w:vertAlign w:val="superscript"/>
        </w:rPr>
        <w:t>TH</w:t>
      </w:r>
      <w:r>
        <w:rPr>
          <w:rFonts w:ascii="Arial" w:hAnsi="Arial" w:cs="Arial"/>
          <w:b/>
          <w:sz w:val="24"/>
          <w:szCs w:val="24"/>
        </w:rPr>
        <w:t xml:space="preserve"> RESPONDENT</w:t>
      </w:r>
    </w:p>
    <w:p w:rsidR="00C77560" w:rsidRDefault="00C77560" w:rsidP="00C77560">
      <w:pPr>
        <w:tabs>
          <w:tab w:val="right" w:pos="9026"/>
        </w:tabs>
        <w:spacing w:line="360" w:lineRule="auto"/>
        <w:jc w:val="left"/>
        <w:rPr>
          <w:rFonts w:ascii="Arial" w:hAnsi="Arial" w:cs="Arial"/>
          <w:b/>
          <w:sz w:val="24"/>
          <w:szCs w:val="24"/>
        </w:rPr>
      </w:pPr>
      <w:r>
        <w:rPr>
          <w:rFonts w:ascii="Arial" w:hAnsi="Arial" w:cs="Arial"/>
          <w:b/>
          <w:sz w:val="24"/>
          <w:szCs w:val="24"/>
        </w:rPr>
        <w:t xml:space="preserve">ACTING DEPUTY SHERIFF FOR THE DISTRICT </w:t>
      </w:r>
    </w:p>
    <w:p w:rsidR="00C77560" w:rsidRPr="00AB5720" w:rsidRDefault="00C77560" w:rsidP="00C77560">
      <w:pPr>
        <w:tabs>
          <w:tab w:val="right" w:pos="9026"/>
        </w:tabs>
        <w:spacing w:line="360" w:lineRule="auto"/>
        <w:jc w:val="left"/>
        <w:rPr>
          <w:rFonts w:ascii="Arial" w:hAnsi="Arial" w:cs="Arial"/>
          <w:b/>
          <w:sz w:val="24"/>
          <w:szCs w:val="24"/>
        </w:rPr>
      </w:pPr>
      <w:r>
        <w:rPr>
          <w:rFonts w:ascii="Arial" w:hAnsi="Arial" w:cs="Arial"/>
          <w:b/>
          <w:sz w:val="24"/>
          <w:szCs w:val="24"/>
        </w:rPr>
        <w:t>OF WALVIS BAY</w:t>
      </w:r>
      <w:r>
        <w:rPr>
          <w:rFonts w:ascii="Arial" w:hAnsi="Arial" w:cs="Arial"/>
          <w:b/>
          <w:sz w:val="24"/>
          <w:szCs w:val="24"/>
        </w:rPr>
        <w:tab/>
        <w:t>5</w:t>
      </w:r>
      <w:r w:rsidRPr="00C77560">
        <w:rPr>
          <w:rFonts w:ascii="Arial" w:hAnsi="Arial" w:cs="Arial"/>
          <w:b/>
          <w:sz w:val="24"/>
          <w:szCs w:val="24"/>
          <w:vertAlign w:val="superscript"/>
        </w:rPr>
        <w:t>TH</w:t>
      </w:r>
      <w:r>
        <w:rPr>
          <w:rFonts w:ascii="Arial" w:hAnsi="Arial" w:cs="Arial"/>
          <w:b/>
          <w:sz w:val="24"/>
          <w:szCs w:val="24"/>
        </w:rPr>
        <w:t xml:space="preserve"> RESPONDENT</w:t>
      </w:r>
    </w:p>
    <w:p w:rsidR="005A03B6" w:rsidRDefault="005A03B6" w:rsidP="00F95223">
      <w:pPr>
        <w:spacing w:line="360" w:lineRule="auto"/>
        <w:ind w:left="2160" w:hanging="2160"/>
        <w:rPr>
          <w:rFonts w:ascii="Arial" w:hAnsi="Arial" w:cs="Arial"/>
          <w:sz w:val="24"/>
          <w:szCs w:val="24"/>
        </w:rPr>
      </w:pPr>
    </w:p>
    <w:p w:rsidR="005A03B6" w:rsidRDefault="005A03B6" w:rsidP="00F95223">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FD06B2">
        <w:rPr>
          <w:rFonts w:ascii="Arial" w:hAnsi="Arial" w:cs="Arial"/>
          <w:i/>
          <w:sz w:val="24"/>
          <w:szCs w:val="24"/>
        </w:rPr>
        <w:t>GMTC</w:t>
      </w:r>
      <w:r w:rsidR="00807F86">
        <w:rPr>
          <w:rFonts w:ascii="Arial" w:hAnsi="Arial" w:cs="Arial"/>
          <w:i/>
          <w:sz w:val="24"/>
          <w:szCs w:val="24"/>
        </w:rPr>
        <w:t xml:space="preserve"> </w:t>
      </w:r>
      <w:r w:rsidR="00B70AD7">
        <w:rPr>
          <w:rFonts w:ascii="Arial" w:hAnsi="Arial" w:cs="Arial"/>
          <w:i/>
          <w:sz w:val="24"/>
          <w:szCs w:val="24"/>
        </w:rPr>
        <w:t>I</w:t>
      </w:r>
      <w:r w:rsidR="00807F86">
        <w:rPr>
          <w:rFonts w:ascii="Arial" w:hAnsi="Arial" w:cs="Arial"/>
          <w:i/>
          <w:sz w:val="24"/>
          <w:szCs w:val="24"/>
        </w:rPr>
        <w:t xml:space="preserve"> LLC v </w:t>
      </w:r>
      <w:r w:rsidR="00B70AD7">
        <w:rPr>
          <w:rFonts w:ascii="Arial" w:hAnsi="Arial" w:cs="Arial"/>
          <w:i/>
          <w:sz w:val="24"/>
          <w:szCs w:val="24"/>
        </w:rPr>
        <w:t xml:space="preserve">THE </w:t>
      </w:r>
      <w:r w:rsidR="00807F86">
        <w:rPr>
          <w:rFonts w:ascii="Arial" w:hAnsi="Arial" w:cs="Arial"/>
          <w:i/>
          <w:sz w:val="24"/>
          <w:szCs w:val="24"/>
        </w:rPr>
        <w:t>M</w:t>
      </w:r>
      <w:r w:rsidR="00B70AD7">
        <w:rPr>
          <w:rFonts w:ascii="Arial" w:hAnsi="Arial" w:cs="Arial"/>
          <w:i/>
          <w:sz w:val="24"/>
          <w:szCs w:val="24"/>
        </w:rPr>
        <w:t xml:space="preserve">OTOR </w:t>
      </w:r>
      <w:r w:rsidR="00807F86">
        <w:rPr>
          <w:rFonts w:ascii="Arial" w:hAnsi="Arial" w:cs="Arial"/>
          <w:i/>
          <w:sz w:val="24"/>
          <w:szCs w:val="24"/>
        </w:rPr>
        <w:t>V</w:t>
      </w:r>
      <w:r w:rsidR="00B70AD7">
        <w:rPr>
          <w:rFonts w:ascii="Arial" w:hAnsi="Arial" w:cs="Arial"/>
          <w:i/>
          <w:sz w:val="24"/>
          <w:szCs w:val="24"/>
        </w:rPr>
        <w:t>ESSEL</w:t>
      </w:r>
      <w:r w:rsidR="00807F86">
        <w:rPr>
          <w:rFonts w:ascii="Arial" w:hAnsi="Arial" w:cs="Arial"/>
          <w:i/>
          <w:sz w:val="24"/>
          <w:szCs w:val="24"/>
        </w:rPr>
        <w:t xml:space="preserve"> “Palenque 1”</w:t>
      </w:r>
      <w:r>
        <w:rPr>
          <w:rFonts w:ascii="Arial" w:hAnsi="Arial" w:cs="Arial"/>
          <w:i/>
          <w:sz w:val="24"/>
          <w:szCs w:val="24"/>
        </w:rPr>
        <w:t xml:space="preserve"> </w:t>
      </w:r>
      <w:r>
        <w:rPr>
          <w:rFonts w:ascii="Arial" w:hAnsi="Arial" w:cs="Arial"/>
          <w:sz w:val="24"/>
          <w:szCs w:val="24"/>
        </w:rPr>
        <w:t>(</w:t>
      </w:r>
      <w:r w:rsidR="004E2F3D">
        <w:rPr>
          <w:rFonts w:ascii="Arial" w:hAnsi="Arial" w:cs="Arial"/>
          <w:sz w:val="24"/>
          <w:szCs w:val="24"/>
        </w:rPr>
        <w:t>AC 11</w:t>
      </w:r>
      <w:r>
        <w:rPr>
          <w:rFonts w:ascii="Arial" w:hAnsi="Arial" w:cs="Arial"/>
          <w:sz w:val="24"/>
          <w:szCs w:val="24"/>
        </w:rPr>
        <w:t>/201</w:t>
      </w:r>
      <w:r w:rsidR="004E2F3D">
        <w:rPr>
          <w:rFonts w:ascii="Arial" w:hAnsi="Arial" w:cs="Arial"/>
          <w:sz w:val="24"/>
          <w:szCs w:val="24"/>
        </w:rPr>
        <w:t>8</w:t>
      </w:r>
      <w:r>
        <w:rPr>
          <w:rFonts w:ascii="Arial" w:hAnsi="Arial" w:cs="Arial"/>
          <w:sz w:val="24"/>
          <w:szCs w:val="24"/>
        </w:rPr>
        <w:t>) [201</w:t>
      </w:r>
      <w:r w:rsidR="0048671E">
        <w:rPr>
          <w:rFonts w:ascii="Arial" w:hAnsi="Arial" w:cs="Arial"/>
          <w:sz w:val="24"/>
          <w:szCs w:val="24"/>
        </w:rPr>
        <w:t>9</w:t>
      </w:r>
      <w:r>
        <w:rPr>
          <w:rFonts w:ascii="Arial" w:hAnsi="Arial" w:cs="Arial"/>
          <w:sz w:val="24"/>
          <w:szCs w:val="24"/>
        </w:rPr>
        <w:t>] NAHCMD</w:t>
      </w:r>
      <w:r w:rsidR="00A65E1A">
        <w:rPr>
          <w:rFonts w:ascii="Arial" w:hAnsi="Arial" w:cs="Arial"/>
          <w:sz w:val="24"/>
          <w:szCs w:val="24"/>
        </w:rPr>
        <w:t xml:space="preserve"> 68</w:t>
      </w:r>
      <w:r>
        <w:rPr>
          <w:rFonts w:ascii="Arial" w:hAnsi="Arial" w:cs="Arial"/>
          <w:sz w:val="24"/>
          <w:szCs w:val="24"/>
        </w:rPr>
        <w:t xml:space="preserve"> (</w:t>
      </w:r>
      <w:r w:rsidR="0048671E">
        <w:rPr>
          <w:rFonts w:ascii="Arial" w:hAnsi="Arial" w:cs="Arial"/>
          <w:sz w:val="24"/>
          <w:szCs w:val="24"/>
        </w:rPr>
        <w:t>2</w:t>
      </w:r>
      <w:r w:rsidR="004E2F3D">
        <w:rPr>
          <w:rFonts w:ascii="Arial" w:hAnsi="Arial" w:cs="Arial"/>
          <w:sz w:val="24"/>
          <w:szCs w:val="24"/>
        </w:rPr>
        <w:t>8</w:t>
      </w:r>
      <w:r>
        <w:rPr>
          <w:rFonts w:ascii="Arial" w:hAnsi="Arial" w:cs="Arial"/>
          <w:sz w:val="24"/>
          <w:szCs w:val="24"/>
        </w:rPr>
        <w:t xml:space="preserve"> </w:t>
      </w:r>
      <w:r w:rsidR="004E2F3D">
        <w:rPr>
          <w:rFonts w:ascii="Arial" w:hAnsi="Arial" w:cs="Arial"/>
          <w:sz w:val="24"/>
          <w:szCs w:val="24"/>
        </w:rPr>
        <w:t>March</w:t>
      </w:r>
      <w:r>
        <w:rPr>
          <w:rFonts w:ascii="Arial" w:hAnsi="Arial" w:cs="Arial"/>
          <w:sz w:val="24"/>
          <w:szCs w:val="24"/>
        </w:rPr>
        <w:t xml:space="preserve"> 201</w:t>
      </w:r>
      <w:r w:rsidR="0048671E">
        <w:rPr>
          <w:rFonts w:ascii="Arial" w:hAnsi="Arial" w:cs="Arial"/>
          <w:sz w:val="24"/>
          <w:szCs w:val="24"/>
        </w:rPr>
        <w:t>9</w:t>
      </w:r>
      <w:r>
        <w:rPr>
          <w:rFonts w:ascii="Arial" w:hAnsi="Arial" w:cs="Arial"/>
          <w:sz w:val="24"/>
          <w:szCs w:val="24"/>
        </w:rPr>
        <w:t>)</w:t>
      </w:r>
    </w:p>
    <w:p w:rsidR="00F3273F" w:rsidRDefault="00F3273F" w:rsidP="00F95223">
      <w:pPr>
        <w:spacing w:line="360" w:lineRule="auto"/>
        <w:ind w:left="2160" w:hanging="2160"/>
        <w:rPr>
          <w:rFonts w:ascii="Arial" w:hAnsi="Arial" w:cs="Arial"/>
          <w:sz w:val="24"/>
          <w:szCs w:val="24"/>
        </w:rPr>
      </w:pPr>
    </w:p>
    <w:p w:rsidR="005A03B6" w:rsidRDefault="005A03B6" w:rsidP="00F95223">
      <w:pPr>
        <w:spacing w:line="360" w:lineRule="auto"/>
        <w:rPr>
          <w:rFonts w:ascii="Arial" w:hAnsi="Arial" w:cs="Arial"/>
          <w:b/>
          <w:sz w:val="24"/>
          <w:szCs w:val="24"/>
        </w:rPr>
      </w:pPr>
      <w:r>
        <w:rPr>
          <w:rFonts w:ascii="Arial" w:hAnsi="Arial" w:cs="Arial"/>
          <w:b/>
          <w:sz w:val="24"/>
          <w:szCs w:val="24"/>
        </w:rPr>
        <w:lastRenderedPageBreak/>
        <w:t>CORAM:</w:t>
      </w:r>
      <w:r>
        <w:rPr>
          <w:rFonts w:ascii="Arial" w:hAnsi="Arial" w:cs="Arial"/>
          <w:b/>
          <w:sz w:val="24"/>
          <w:szCs w:val="24"/>
        </w:rPr>
        <w:tab/>
      </w:r>
      <w:r w:rsidRPr="008D2E13">
        <w:rPr>
          <w:rFonts w:ascii="Arial" w:hAnsi="Arial" w:cs="Arial"/>
          <w:sz w:val="24"/>
          <w:szCs w:val="24"/>
        </w:rPr>
        <w:t>NDAUENDAPO J</w:t>
      </w:r>
    </w:p>
    <w:p w:rsidR="005A03B6" w:rsidRPr="00A07ECA" w:rsidRDefault="005A03B6" w:rsidP="00F95223">
      <w:pPr>
        <w:spacing w:line="360" w:lineRule="auto"/>
        <w:rPr>
          <w:rFonts w:ascii="Arial" w:hAnsi="Arial" w:cs="Arial"/>
          <w:b/>
          <w:sz w:val="24"/>
          <w:szCs w:val="24"/>
        </w:rPr>
      </w:pPr>
    </w:p>
    <w:p w:rsidR="005A03B6" w:rsidRPr="00807F86" w:rsidRDefault="005A03B6" w:rsidP="00F95223">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5516FE" w:rsidRPr="00807F86">
        <w:rPr>
          <w:rFonts w:ascii="Arial" w:hAnsi="Arial" w:cs="Arial"/>
          <w:b/>
          <w:sz w:val="24"/>
          <w:szCs w:val="24"/>
        </w:rPr>
        <w:t>28 October 2018</w:t>
      </w:r>
    </w:p>
    <w:p w:rsidR="005A03B6" w:rsidRPr="00807F86" w:rsidRDefault="005A03B6" w:rsidP="00F95223">
      <w:pPr>
        <w:spacing w:line="360" w:lineRule="auto"/>
        <w:rPr>
          <w:rFonts w:ascii="Arial" w:hAnsi="Arial" w:cs="Arial"/>
          <w:b/>
          <w:sz w:val="24"/>
          <w:szCs w:val="24"/>
        </w:rPr>
      </w:pPr>
      <w:r w:rsidRPr="00807F86">
        <w:rPr>
          <w:rFonts w:ascii="Arial" w:hAnsi="Arial" w:cs="Arial"/>
          <w:b/>
          <w:bCs/>
          <w:sz w:val="24"/>
          <w:szCs w:val="24"/>
        </w:rPr>
        <w:t>Delivered</w:t>
      </w:r>
      <w:r w:rsidRPr="00807F86">
        <w:rPr>
          <w:rFonts w:ascii="Arial" w:hAnsi="Arial" w:cs="Arial"/>
          <w:b/>
          <w:sz w:val="24"/>
          <w:szCs w:val="24"/>
        </w:rPr>
        <w:t>:</w:t>
      </w:r>
      <w:r w:rsidRPr="00807F86">
        <w:rPr>
          <w:rFonts w:ascii="Arial" w:hAnsi="Arial" w:cs="Arial"/>
          <w:b/>
          <w:sz w:val="24"/>
          <w:szCs w:val="24"/>
        </w:rPr>
        <w:tab/>
      </w:r>
      <w:r w:rsidR="0048671E" w:rsidRPr="00807F86">
        <w:rPr>
          <w:rFonts w:ascii="Arial" w:hAnsi="Arial" w:cs="Arial"/>
          <w:b/>
          <w:sz w:val="24"/>
          <w:szCs w:val="24"/>
        </w:rPr>
        <w:t>2</w:t>
      </w:r>
      <w:r w:rsidR="005516FE" w:rsidRPr="00807F86">
        <w:rPr>
          <w:rFonts w:ascii="Arial" w:hAnsi="Arial" w:cs="Arial"/>
          <w:b/>
          <w:sz w:val="24"/>
          <w:szCs w:val="24"/>
        </w:rPr>
        <w:t>8</w:t>
      </w:r>
      <w:r w:rsidR="0048671E" w:rsidRPr="00807F86">
        <w:rPr>
          <w:rFonts w:ascii="Arial" w:hAnsi="Arial" w:cs="Arial"/>
          <w:b/>
          <w:sz w:val="24"/>
          <w:szCs w:val="24"/>
        </w:rPr>
        <w:t xml:space="preserve"> </w:t>
      </w:r>
      <w:r w:rsidR="005516FE" w:rsidRPr="00807F86">
        <w:rPr>
          <w:rFonts w:ascii="Arial" w:hAnsi="Arial" w:cs="Arial"/>
          <w:b/>
          <w:sz w:val="24"/>
          <w:szCs w:val="24"/>
        </w:rPr>
        <w:t>March</w:t>
      </w:r>
      <w:r w:rsidR="0048671E" w:rsidRPr="00807F86">
        <w:rPr>
          <w:rFonts w:ascii="Arial" w:hAnsi="Arial" w:cs="Arial"/>
          <w:b/>
          <w:sz w:val="24"/>
          <w:szCs w:val="24"/>
        </w:rPr>
        <w:t xml:space="preserve"> 2019</w:t>
      </w:r>
    </w:p>
    <w:p w:rsidR="005A03B6" w:rsidRDefault="005A03B6" w:rsidP="00F95223">
      <w:pPr>
        <w:spacing w:line="360" w:lineRule="auto"/>
        <w:rPr>
          <w:rFonts w:ascii="Arial" w:hAnsi="Arial" w:cs="Arial"/>
          <w:b/>
          <w:sz w:val="24"/>
          <w:szCs w:val="24"/>
        </w:rPr>
      </w:pPr>
    </w:p>
    <w:p w:rsidR="005A03B6" w:rsidRPr="00AB051A" w:rsidRDefault="005A03B6" w:rsidP="00B101EF">
      <w:pPr>
        <w:spacing w:line="360" w:lineRule="auto"/>
        <w:rPr>
          <w:rFonts w:ascii="Arial" w:hAnsi="Arial" w:cs="Arial"/>
          <w:sz w:val="24"/>
          <w:szCs w:val="24"/>
        </w:rPr>
      </w:pPr>
      <w:r>
        <w:rPr>
          <w:rFonts w:ascii="Arial" w:hAnsi="Arial" w:cs="Arial"/>
          <w:b/>
          <w:sz w:val="24"/>
          <w:szCs w:val="24"/>
        </w:rPr>
        <w:t>Flynote:</w:t>
      </w:r>
      <w:r w:rsidRPr="00AB051A">
        <w:rPr>
          <w:rFonts w:ascii="Arial" w:hAnsi="Arial" w:cs="Arial"/>
          <w:sz w:val="24"/>
          <w:szCs w:val="24"/>
        </w:rPr>
        <w:tab/>
      </w:r>
      <w:r w:rsidR="004C4E12">
        <w:rPr>
          <w:rFonts w:ascii="Arial" w:hAnsi="Arial" w:cs="Arial"/>
          <w:sz w:val="24"/>
          <w:szCs w:val="24"/>
        </w:rPr>
        <w:t>Admiralty Practice – W</w:t>
      </w:r>
      <w:r w:rsidR="00AB051A" w:rsidRPr="00AB051A">
        <w:rPr>
          <w:rFonts w:ascii="Arial" w:hAnsi="Arial" w:cs="Arial"/>
          <w:sz w:val="24"/>
          <w:szCs w:val="24"/>
        </w:rPr>
        <w:t>hether to confirm Referee’s report – Priorities – Recommendation to rank mortgagee ahead of necessaries supplie</w:t>
      </w:r>
      <w:r w:rsidR="004C4E12">
        <w:rPr>
          <w:rFonts w:ascii="Arial" w:hAnsi="Arial" w:cs="Arial"/>
          <w:sz w:val="24"/>
          <w:szCs w:val="24"/>
        </w:rPr>
        <w:t>r</w:t>
      </w:r>
      <w:r w:rsidR="00AB051A" w:rsidRPr="00AB051A">
        <w:rPr>
          <w:rFonts w:ascii="Arial" w:hAnsi="Arial" w:cs="Arial"/>
          <w:sz w:val="24"/>
          <w:szCs w:val="24"/>
        </w:rPr>
        <w:t xml:space="preserve"> </w:t>
      </w:r>
      <w:r w:rsidR="00AB051A">
        <w:rPr>
          <w:rFonts w:ascii="Arial" w:hAnsi="Arial" w:cs="Arial"/>
          <w:sz w:val="24"/>
          <w:szCs w:val="24"/>
        </w:rPr>
        <w:t>–</w:t>
      </w:r>
      <w:r w:rsidR="00AB051A" w:rsidRPr="00AB051A">
        <w:rPr>
          <w:rFonts w:ascii="Arial" w:hAnsi="Arial" w:cs="Arial"/>
          <w:sz w:val="24"/>
          <w:szCs w:val="24"/>
        </w:rPr>
        <w:t xml:space="preserve"> </w:t>
      </w:r>
      <w:r w:rsidR="00AB051A">
        <w:rPr>
          <w:rFonts w:ascii="Arial" w:hAnsi="Arial" w:cs="Arial"/>
          <w:sz w:val="24"/>
          <w:szCs w:val="24"/>
        </w:rPr>
        <w:t>Priorities (ranking) – Whether mortgage</w:t>
      </w:r>
      <w:r w:rsidR="00CB03CE">
        <w:rPr>
          <w:rFonts w:ascii="Arial" w:hAnsi="Arial" w:cs="Arial"/>
          <w:sz w:val="24"/>
          <w:szCs w:val="24"/>
        </w:rPr>
        <w:t>e</w:t>
      </w:r>
      <w:r w:rsidR="00AB051A">
        <w:rPr>
          <w:rFonts w:ascii="Arial" w:hAnsi="Arial" w:cs="Arial"/>
          <w:sz w:val="24"/>
          <w:szCs w:val="24"/>
        </w:rPr>
        <w:t xml:space="preserve"> or necessaries supplier should have preference on proceeds of sale of vessel – Whether powerful reason existed to disturb established order of priorities</w:t>
      </w:r>
      <w:r w:rsidR="004C4E12">
        <w:rPr>
          <w:rFonts w:ascii="Arial" w:hAnsi="Arial" w:cs="Arial"/>
          <w:sz w:val="24"/>
          <w:szCs w:val="24"/>
        </w:rPr>
        <w:t xml:space="preserve">- Referee’s report – Recommendation that existing order of priorities not to be altered – </w:t>
      </w:r>
      <w:r w:rsidR="00EA4510">
        <w:rPr>
          <w:rFonts w:ascii="Arial" w:hAnsi="Arial" w:cs="Arial"/>
          <w:sz w:val="24"/>
          <w:szCs w:val="24"/>
        </w:rPr>
        <w:t>Referee’s report confirmed</w:t>
      </w:r>
      <w:r w:rsidR="004C4E12">
        <w:rPr>
          <w:rFonts w:ascii="Arial" w:hAnsi="Arial" w:cs="Arial"/>
          <w:sz w:val="24"/>
          <w:szCs w:val="24"/>
        </w:rPr>
        <w:t>.</w:t>
      </w:r>
    </w:p>
    <w:p w:rsidR="00B3527C" w:rsidRPr="00AB051A" w:rsidRDefault="00B3527C" w:rsidP="00F95223">
      <w:pPr>
        <w:spacing w:line="360" w:lineRule="auto"/>
        <w:rPr>
          <w:rFonts w:ascii="Arial" w:hAnsi="Arial" w:cs="Arial"/>
          <w:sz w:val="24"/>
          <w:szCs w:val="24"/>
        </w:rPr>
      </w:pPr>
    </w:p>
    <w:p w:rsidR="003C0128" w:rsidRDefault="005A03B6" w:rsidP="0048671E">
      <w:pPr>
        <w:spacing w:line="360" w:lineRule="auto"/>
        <w:rPr>
          <w:rFonts w:ascii="Arial" w:hAnsi="Arial" w:cs="Arial"/>
          <w:sz w:val="24"/>
          <w:szCs w:val="24"/>
        </w:rPr>
      </w:pPr>
      <w:r>
        <w:rPr>
          <w:rFonts w:ascii="Arial" w:hAnsi="Arial" w:cs="Arial"/>
          <w:b/>
          <w:sz w:val="24"/>
          <w:szCs w:val="24"/>
        </w:rPr>
        <w:t>Summary:</w:t>
      </w:r>
      <w:r w:rsidRPr="00C37CE3">
        <w:rPr>
          <w:rFonts w:ascii="Arial" w:hAnsi="Arial" w:cs="Arial"/>
          <w:sz w:val="24"/>
          <w:szCs w:val="24"/>
        </w:rPr>
        <w:tab/>
      </w:r>
      <w:r w:rsidR="00860816">
        <w:rPr>
          <w:rFonts w:ascii="Arial" w:hAnsi="Arial" w:cs="Arial"/>
          <w:sz w:val="24"/>
          <w:szCs w:val="24"/>
        </w:rPr>
        <w:t xml:space="preserve">The applicant </w:t>
      </w:r>
      <w:r w:rsidR="00E24883">
        <w:rPr>
          <w:rFonts w:ascii="Arial" w:hAnsi="Arial" w:cs="Arial"/>
          <w:sz w:val="24"/>
          <w:szCs w:val="24"/>
        </w:rPr>
        <w:t xml:space="preserve">(the Lender) </w:t>
      </w:r>
      <w:r w:rsidR="00860816">
        <w:rPr>
          <w:rFonts w:ascii="Arial" w:hAnsi="Arial" w:cs="Arial"/>
          <w:sz w:val="24"/>
          <w:szCs w:val="24"/>
        </w:rPr>
        <w:t xml:space="preserve">seeks an order confirming and implementing the </w:t>
      </w:r>
      <w:r w:rsidR="003C0128">
        <w:rPr>
          <w:rFonts w:ascii="Arial" w:hAnsi="Arial" w:cs="Arial"/>
          <w:sz w:val="24"/>
          <w:szCs w:val="24"/>
        </w:rPr>
        <w:t xml:space="preserve">report of the </w:t>
      </w:r>
      <w:r w:rsidR="00860816">
        <w:rPr>
          <w:rFonts w:ascii="Arial" w:hAnsi="Arial" w:cs="Arial"/>
          <w:sz w:val="24"/>
          <w:szCs w:val="24"/>
        </w:rPr>
        <w:t xml:space="preserve">Referee. </w:t>
      </w:r>
      <w:r w:rsidR="003C0128">
        <w:rPr>
          <w:rFonts w:ascii="Arial" w:hAnsi="Arial" w:cs="Arial"/>
          <w:sz w:val="24"/>
          <w:szCs w:val="24"/>
        </w:rPr>
        <w:t xml:space="preserve">In that report, the Referee recommended that the </w:t>
      </w:r>
      <w:r w:rsidR="00E24883">
        <w:rPr>
          <w:rFonts w:ascii="Arial" w:hAnsi="Arial" w:cs="Arial"/>
          <w:sz w:val="24"/>
          <w:szCs w:val="24"/>
        </w:rPr>
        <w:t>Lender’s</w:t>
      </w:r>
      <w:r w:rsidR="003C0128">
        <w:rPr>
          <w:rFonts w:ascii="Arial" w:hAnsi="Arial" w:cs="Arial"/>
          <w:sz w:val="24"/>
          <w:szCs w:val="24"/>
        </w:rPr>
        <w:t xml:space="preserve"> mortgage claim on the proceeds of the sale of the Vessel should rank above Bunkernet’s claim for necessaries supplied to the Vessel. Bunkernet is unhappy with that recommendation and argues that its necessaries claim should rank above the Lender’s claim because there are powerful reasons and special circumstances warranting its claim to rank above the Lender’s claim. The Lender </w:t>
      </w:r>
      <w:r w:rsidR="00D97DEE">
        <w:rPr>
          <w:rFonts w:ascii="Arial" w:hAnsi="Arial" w:cs="Arial"/>
          <w:sz w:val="24"/>
          <w:szCs w:val="24"/>
        </w:rPr>
        <w:t>lend</w:t>
      </w:r>
      <w:r w:rsidR="003C0128">
        <w:rPr>
          <w:rFonts w:ascii="Arial" w:hAnsi="Arial" w:cs="Arial"/>
          <w:sz w:val="24"/>
          <w:szCs w:val="24"/>
        </w:rPr>
        <w:t xml:space="preserve"> money to the owner of MV Palenque I (the Vessel). The Lender registered a Panamanian mortgage bond over the Vessel as security for its money. The owner defaulted on the repayment and the Vessel was sold and the proceeds went into a fund. Two funds, the ship fund and bunker fund were created. Adv</w:t>
      </w:r>
      <w:r w:rsidR="00BF57B2">
        <w:rPr>
          <w:rFonts w:ascii="Arial" w:hAnsi="Arial" w:cs="Arial"/>
          <w:sz w:val="24"/>
          <w:szCs w:val="24"/>
        </w:rPr>
        <w:t>.</w:t>
      </w:r>
      <w:r w:rsidR="003C0128">
        <w:rPr>
          <w:rFonts w:ascii="Arial" w:hAnsi="Arial" w:cs="Arial"/>
          <w:sz w:val="24"/>
          <w:szCs w:val="24"/>
        </w:rPr>
        <w:t xml:space="preserve"> Cooke was appointed as a Referee to receive, examine and determine the validity and quantum of those claims. The </w:t>
      </w:r>
      <w:r w:rsidR="00953B00">
        <w:rPr>
          <w:rFonts w:ascii="Arial" w:hAnsi="Arial" w:cs="Arial"/>
          <w:sz w:val="24"/>
          <w:szCs w:val="24"/>
        </w:rPr>
        <w:t>Lender</w:t>
      </w:r>
      <w:r w:rsidR="003C0128">
        <w:rPr>
          <w:rFonts w:ascii="Arial" w:hAnsi="Arial" w:cs="Arial"/>
          <w:sz w:val="24"/>
          <w:szCs w:val="24"/>
        </w:rPr>
        <w:t xml:space="preserve"> lodged a mortgage claim in the total amount of USD</w:t>
      </w:r>
      <w:r w:rsidR="00953B00">
        <w:rPr>
          <w:rFonts w:ascii="Arial" w:hAnsi="Arial" w:cs="Arial"/>
          <w:sz w:val="24"/>
          <w:szCs w:val="24"/>
        </w:rPr>
        <w:t>4,205,607.28</w:t>
      </w:r>
      <w:r w:rsidR="003C0128">
        <w:rPr>
          <w:rFonts w:ascii="Arial" w:hAnsi="Arial" w:cs="Arial"/>
          <w:sz w:val="24"/>
          <w:szCs w:val="24"/>
        </w:rPr>
        <w:t xml:space="preserve">. </w:t>
      </w:r>
    </w:p>
    <w:p w:rsidR="003C0128" w:rsidRDefault="003C0128" w:rsidP="0048671E">
      <w:pPr>
        <w:spacing w:line="360" w:lineRule="auto"/>
        <w:rPr>
          <w:rFonts w:ascii="Arial" w:hAnsi="Arial" w:cs="Arial"/>
          <w:sz w:val="24"/>
          <w:szCs w:val="24"/>
        </w:rPr>
      </w:pPr>
    </w:p>
    <w:p w:rsidR="00DD4D31" w:rsidRDefault="003C0128" w:rsidP="0048671E">
      <w:pPr>
        <w:spacing w:line="360" w:lineRule="auto"/>
        <w:rPr>
          <w:rFonts w:ascii="Arial" w:hAnsi="Arial" w:cs="Arial"/>
          <w:sz w:val="24"/>
          <w:szCs w:val="24"/>
        </w:rPr>
      </w:pPr>
      <w:r>
        <w:rPr>
          <w:rFonts w:ascii="Arial" w:hAnsi="Arial" w:cs="Arial"/>
          <w:sz w:val="24"/>
          <w:szCs w:val="24"/>
        </w:rPr>
        <w:t xml:space="preserve">Bunkernet lodged 3 claims. Bunkernet claimed that its claim for necessaries (bunkers and lubricants) supplied to the Vessel should rank above the </w:t>
      </w:r>
      <w:r w:rsidR="00953B00">
        <w:rPr>
          <w:rFonts w:ascii="Arial" w:hAnsi="Arial" w:cs="Arial"/>
          <w:sz w:val="24"/>
          <w:szCs w:val="24"/>
        </w:rPr>
        <w:t>L</w:t>
      </w:r>
      <w:r>
        <w:rPr>
          <w:rFonts w:ascii="Arial" w:hAnsi="Arial" w:cs="Arial"/>
          <w:sz w:val="24"/>
          <w:szCs w:val="24"/>
        </w:rPr>
        <w:t>ender</w:t>
      </w:r>
      <w:r w:rsidR="00953B00">
        <w:rPr>
          <w:rFonts w:ascii="Arial" w:hAnsi="Arial" w:cs="Arial"/>
          <w:sz w:val="24"/>
          <w:szCs w:val="24"/>
        </w:rPr>
        <w:t>’s</w:t>
      </w:r>
      <w:r>
        <w:rPr>
          <w:rFonts w:ascii="Arial" w:hAnsi="Arial" w:cs="Arial"/>
          <w:sz w:val="24"/>
          <w:szCs w:val="24"/>
        </w:rPr>
        <w:t xml:space="preserve"> claim because (1) </w:t>
      </w:r>
      <w:r w:rsidR="00953B00">
        <w:rPr>
          <w:rFonts w:ascii="Arial" w:hAnsi="Arial" w:cs="Arial"/>
          <w:sz w:val="24"/>
          <w:szCs w:val="24"/>
        </w:rPr>
        <w:t>the L</w:t>
      </w:r>
      <w:r>
        <w:rPr>
          <w:rFonts w:ascii="Arial" w:hAnsi="Arial" w:cs="Arial"/>
          <w:sz w:val="24"/>
          <w:szCs w:val="24"/>
        </w:rPr>
        <w:t xml:space="preserve">ender was aware that the owner of the Vessel was insolvent at the time the loan agreement was </w:t>
      </w:r>
      <w:r w:rsidR="00953B00">
        <w:rPr>
          <w:rFonts w:ascii="Arial" w:hAnsi="Arial" w:cs="Arial"/>
          <w:sz w:val="24"/>
          <w:szCs w:val="24"/>
        </w:rPr>
        <w:t>concluded (2) the L</w:t>
      </w:r>
      <w:r>
        <w:rPr>
          <w:rFonts w:ascii="Arial" w:hAnsi="Arial" w:cs="Arial"/>
          <w:sz w:val="24"/>
          <w:szCs w:val="24"/>
        </w:rPr>
        <w:t xml:space="preserve">ender was aware of the nature and extent of the expenditure incurred by Bunkernet (3) the bunkers and lubricants supplied to the Vessel was for the benefit of the lender. Bunkernet argued that for the sake of equities and to prevent an obvious injustice, its claim should rank above the Lender. The </w:t>
      </w:r>
      <w:r>
        <w:rPr>
          <w:rFonts w:ascii="Arial" w:hAnsi="Arial" w:cs="Arial"/>
          <w:sz w:val="24"/>
          <w:szCs w:val="24"/>
        </w:rPr>
        <w:lastRenderedPageBreak/>
        <w:t>Referee ruled that the established priorities of ranking in English admiralty law was that the mortgagee (Lender)’s claim should rank above the necessaries claim</w:t>
      </w:r>
      <w:r w:rsidR="00473F15">
        <w:rPr>
          <w:rFonts w:ascii="Arial" w:hAnsi="Arial" w:cs="Arial"/>
          <w:sz w:val="24"/>
          <w:szCs w:val="24"/>
        </w:rPr>
        <w:t>s. The established order can only be altered if ‘powerful reason’ or exceptional circumstances exist to av</w:t>
      </w:r>
      <w:r w:rsidR="007C555F">
        <w:rPr>
          <w:rFonts w:ascii="Arial" w:hAnsi="Arial" w:cs="Arial"/>
          <w:sz w:val="24"/>
          <w:szCs w:val="24"/>
        </w:rPr>
        <w:t>o</w:t>
      </w:r>
      <w:r w:rsidR="00473F15">
        <w:rPr>
          <w:rFonts w:ascii="Arial" w:hAnsi="Arial" w:cs="Arial"/>
          <w:sz w:val="24"/>
          <w:szCs w:val="24"/>
        </w:rPr>
        <w:t>id an obvious justice</w:t>
      </w:r>
      <w:r w:rsidR="007C555F">
        <w:rPr>
          <w:rFonts w:ascii="Arial" w:hAnsi="Arial" w:cs="Arial"/>
          <w:sz w:val="24"/>
          <w:szCs w:val="24"/>
        </w:rPr>
        <w:t>.</w:t>
      </w:r>
      <w:r w:rsidR="00473F15">
        <w:rPr>
          <w:rFonts w:ascii="Arial" w:hAnsi="Arial" w:cs="Arial"/>
          <w:sz w:val="24"/>
          <w:szCs w:val="24"/>
        </w:rPr>
        <w:t xml:space="preserve"> The Referee found that the Lender did not have knowledge that the owner was insolvent. The Referee also found that the Lender did not have advance knowledge of the nature and extent of the expenditure incurred by Bunkernet as the day to day management of the Vessel was in the hands of the owner</w:t>
      </w:r>
      <w:r w:rsidR="007C555F">
        <w:rPr>
          <w:rFonts w:ascii="Arial" w:hAnsi="Arial" w:cs="Arial"/>
          <w:sz w:val="24"/>
          <w:szCs w:val="24"/>
        </w:rPr>
        <w:t xml:space="preserve"> or agent</w:t>
      </w:r>
      <w:r w:rsidR="00473F15">
        <w:rPr>
          <w:rFonts w:ascii="Arial" w:hAnsi="Arial" w:cs="Arial"/>
          <w:sz w:val="24"/>
          <w:szCs w:val="24"/>
        </w:rPr>
        <w:t>. The Referee also found that the bunkers and lubricants were supplied to the Vessel so that it could sail to Alang (India) and once there, the purchase price would be paid and the money could be used to pay all the creditors, and not only the Lender.</w:t>
      </w:r>
    </w:p>
    <w:p w:rsidR="00473F15" w:rsidRDefault="00473F15" w:rsidP="0048671E">
      <w:pPr>
        <w:spacing w:line="360" w:lineRule="auto"/>
        <w:rPr>
          <w:rFonts w:ascii="Arial" w:hAnsi="Arial" w:cs="Arial"/>
          <w:sz w:val="24"/>
          <w:szCs w:val="24"/>
        </w:rPr>
      </w:pPr>
    </w:p>
    <w:p w:rsidR="00473F15" w:rsidRDefault="00473F15" w:rsidP="0048671E">
      <w:pPr>
        <w:spacing w:line="360" w:lineRule="auto"/>
        <w:rPr>
          <w:rFonts w:ascii="Arial" w:hAnsi="Arial" w:cs="Arial"/>
          <w:sz w:val="24"/>
          <w:szCs w:val="24"/>
        </w:rPr>
      </w:pPr>
      <w:r>
        <w:rPr>
          <w:rFonts w:ascii="Arial" w:hAnsi="Arial" w:cs="Arial"/>
          <w:sz w:val="24"/>
          <w:szCs w:val="24"/>
        </w:rPr>
        <w:t xml:space="preserve">The Referee rejected the arguments of Bunkernet and found that there was no reason to alter the established priorities and therefore recommended that the Lender’s mortgage </w:t>
      </w:r>
      <w:r w:rsidR="007C555F">
        <w:rPr>
          <w:rFonts w:ascii="Arial" w:hAnsi="Arial" w:cs="Arial"/>
          <w:sz w:val="24"/>
          <w:szCs w:val="24"/>
        </w:rPr>
        <w:t xml:space="preserve">claim </w:t>
      </w:r>
      <w:r>
        <w:rPr>
          <w:rFonts w:ascii="Arial" w:hAnsi="Arial" w:cs="Arial"/>
          <w:sz w:val="24"/>
          <w:szCs w:val="24"/>
        </w:rPr>
        <w:t>should rank above Bunkernet’s claim for necessaries.</w:t>
      </w:r>
    </w:p>
    <w:p w:rsidR="007E6051" w:rsidRDefault="007E6051" w:rsidP="0048671E">
      <w:pPr>
        <w:spacing w:line="360" w:lineRule="auto"/>
        <w:rPr>
          <w:rFonts w:ascii="Arial" w:hAnsi="Arial" w:cs="Arial"/>
          <w:sz w:val="24"/>
          <w:szCs w:val="24"/>
        </w:rPr>
      </w:pPr>
    </w:p>
    <w:p w:rsidR="007E6051" w:rsidRDefault="007E6051" w:rsidP="0048671E">
      <w:pPr>
        <w:spacing w:line="360" w:lineRule="auto"/>
        <w:rPr>
          <w:rFonts w:ascii="Arial" w:hAnsi="Arial" w:cs="Arial"/>
          <w:sz w:val="24"/>
          <w:szCs w:val="24"/>
        </w:rPr>
      </w:pPr>
      <w:r>
        <w:rPr>
          <w:rFonts w:ascii="Arial" w:hAnsi="Arial" w:cs="Arial"/>
          <w:sz w:val="24"/>
          <w:szCs w:val="24"/>
        </w:rPr>
        <w:t>The Lender applied to this court to confirm the report of the Referee. Bunkernet opposed the application. Bunkernet submitted that the Referee erred in recommending that the Lender’s mortgage claim should rank above its claim for necessaries supplied. Bunkernet argued that there are powerful reasons and special circumstances to warrant that its claim should rank above the Lender because (1) the Lender knew about the insolvency of the borrower (2) the Lender knew about the nature and extent of the necessaries supplied to the Vessel (3) it was for the benefit of the Lender that the necessaries were supplied.</w:t>
      </w:r>
    </w:p>
    <w:p w:rsidR="007E6051" w:rsidRDefault="007E6051" w:rsidP="0048671E">
      <w:pPr>
        <w:spacing w:line="360" w:lineRule="auto"/>
        <w:rPr>
          <w:rFonts w:ascii="Arial" w:hAnsi="Arial" w:cs="Arial"/>
          <w:sz w:val="24"/>
          <w:szCs w:val="24"/>
        </w:rPr>
      </w:pPr>
    </w:p>
    <w:p w:rsidR="007E6051" w:rsidRDefault="007E6051" w:rsidP="0048671E">
      <w:pPr>
        <w:spacing w:line="360" w:lineRule="auto"/>
        <w:rPr>
          <w:rFonts w:ascii="Arial" w:hAnsi="Arial" w:cs="Arial"/>
          <w:sz w:val="24"/>
          <w:szCs w:val="24"/>
        </w:rPr>
      </w:pPr>
      <w:r>
        <w:rPr>
          <w:rFonts w:ascii="Arial" w:hAnsi="Arial" w:cs="Arial"/>
          <w:sz w:val="24"/>
          <w:szCs w:val="24"/>
        </w:rPr>
        <w:t xml:space="preserve">Bunkernet also filed a counter application seeking an order that its necessaries claim must be paid out of the fund before the Lender’s claim. In the alternative Bunkernet prayed that the matter be referred to oral evidence and that full discovery be done by the </w:t>
      </w:r>
      <w:r w:rsidR="007C555F">
        <w:rPr>
          <w:rFonts w:ascii="Arial" w:hAnsi="Arial" w:cs="Arial"/>
          <w:sz w:val="24"/>
          <w:szCs w:val="24"/>
        </w:rPr>
        <w:t>Lender</w:t>
      </w:r>
      <w:r>
        <w:rPr>
          <w:rFonts w:ascii="Arial" w:hAnsi="Arial" w:cs="Arial"/>
          <w:sz w:val="24"/>
          <w:szCs w:val="24"/>
        </w:rPr>
        <w:t>.</w:t>
      </w:r>
    </w:p>
    <w:p w:rsidR="007E6051" w:rsidRDefault="007E6051" w:rsidP="0048671E">
      <w:pPr>
        <w:spacing w:line="360" w:lineRule="auto"/>
        <w:rPr>
          <w:rFonts w:ascii="Arial" w:hAnsi="Arial" w:cs="Arial"/>
          <w:sz w:val="24"/>
          <w:szCs w:val="24"/>
        </w:rPr>
      </w:pPr>
    </w:p>
    <w:p w:rsidR="007E6051" w:rsidRDefault="007E6051" w:rsidP="0048671E">
      <w:pPr>
        <w:spacing w:line="360" w:lineRule="auto"/>
        <w:rPr>
          <w:rFonts w:ascii="Arial" w:hAnsi="Arial" w:cs="Arial"/>
          <w:sz w:val="24"/>
          <w:szCs w:val="24"/>
        </w:rPr>
      </w:pPr>
      <w:r>
        <w:rPr>
          <w:rFonts w:ascii="Arial" w:hAnsi="Arial" w:cs="Arial"/>
          <w:sz w:val="24"/>
          <w:szCs w:val="24"/>
        </w:rPr>
        <w:t>Held</w:t>
      </w:r>
      <w:r w:rsidR="00C52845">
        <w:rPr>
          <w:rFonts w:ascii="Arial" w:hAnsi="Arial" w:cs="Arial"/>
          <w:sz w:val="24"/>
          <w:szCs w:val="24"/>
        </w:rPr>
        <w:t>,</w:t>
      </w:r>
      <w:r>
        <w:rPr>
          <w:rFonts w:ascii="Arial" w:hAnsi="Arial" w:cs="Arial"/>
          <w:sz w:val="24"/>
          <w:szCs w:val="24"/>
        </w:rPr>
        <w:t xml:space="preserve"> that, the Colonial Court of admiralty Act 1890 is part of Namibia Law by virtue of s 1(i) of </w:t>
      </w:r>
      <w:r w:rsidR="00C52845">
        <w:rPr>
          <w:rFonts w:ascii="Arial" w:hAnsi="Arial" w:cs="Arial"/>
          <w:sz w:val="24"/>
          <w:szCs w:val="24"/>
        </w:rPr>
        <w:t>Proclamation 21 of 1990.</w:t>
      </w:r>
    </w:p>
    <w:p w:rsidR="00C52845" w:rsidRDefault="00C52845" w:rsidP="0048671E">
      <w:pPr>
        <w:spacing w:line="360" w:lineRule="auto"/>
        <w:rPr>
          <w:rFonts w:ascii="Arial" w:hAnsi="Arial" w:cs="Arial"/>
          <w:sz w:val="24"/>
          <w:szCs w:val="24"/>
        </w:rPr>
      </w:pPr>
    </w:p>
    <w:p w:rsidR="00C52845" w:rsidRDefault="00C52845" w:rsidP="0048671E">
      <w:pPr>
        <w:spacing w:line="360" w:lineRule="auto"/>
        <w:rPr>
          <w:rFonts w:ascii="Arial" w:hAnsi="Arial" w:cs="Arial"/>
          <w:sz w:val="24"/>
          <w:szCs w:val="24"/>
        </w:rPr>
      </w:pPr>
      <w:r>
        <w:rPr>
          <w:rFonts w:ascii="Arial" w:hAnsi="Arial" w:cs="Arial"/>
          <w:sz w:val="24"/>
          <w:szCs w:val="24"/>
        </w:rPr>
        <w:lastRenderedPageBreak/>
        <w:t xml:space="preserve">Held, further that in terms of the Colonial Court of Admiralty Act 1890, the Law to be applied is English Admiralty Law as at 1890 and subsequent decisions which clarify or expand on the Law as </w:t>
      </w:r>
      <w:r w:rsidR="007C555F">
        <w:rPr>
          <w:rFonts w:ascii="Arial" w:hAnsi="Arial" w:cs="Arial"/>
          <w:sz w:val="24"/>
          <w:szCs w:val="24"/>
        </w:rPr>
        <w:t>at</w:t>
      </w:r>
      <w:r>
        <w:rPr>
          <w:rFonts w:ascii="Arial" w:hAnsi="Arial" w:cs="Arial"/>
          <w:sz w:val="24"/>
          <w:szCs w:val="24"/>
        </w:rPr>
        <w:t xml:space="preserve"> 1890 also apply.</w:t>
      </w:r>
    </w:p>
    <w:p w:rsidR="00C52845" w:rsidRDefault="00C52845" w:rsidP="0048671E">
      <w:pPr>
        <w:spacing w:line="360" w:lineRule="auto"/>
        <w:rPr>
          <w:rFonts w:ascii="Arial" w:hAnsi="Arial" w:cs="Arial"/>
          <w:sz w:val="24"/>
          <w:szCs w:val="24"/>
        </w:rPr>
      </w:pPr>
    </w:p>
    <w:p w:rsidR="00C52845" w:rsidRDefault="00C52845" w:rsidP="0048671E">
      <w:pPr>
        <w:spacing w:line="360" w:lineRule="auto"/>
        <w:rPr>
          <w:rFonts w:ascii="Arial" w:hAnsi="Arial" w:cs="Arial"/>
          <w:sz w:val="24"/>
          <w:szCs w:val="24"/>
        </w:rPr>
      </w:pPr>
      <w:r>
        <w:rPr>
          <w:rFonts w:ascii="Arial" w:hAnsi="Arial" w:cs="Arial"/>
          <w:sz w:val="24"/>
          <w:szCs w:val="24"/>
        </w:rPr>
        <w:t xml:space="preserve">Held, further, that in terms of Admiralty Law, there is a </w:t>
      </w:r>
      <w:r w:rsidRPr="00C52845">
        <w:rPr>
          <w:rFonts w:ascii="Arial" w:hAnsi="Arial" w:cs="Arial"/>
          <w:i/>
          <w:sz w:val="24"/>
          <w:szCs w:val="24"/>
        </w:rPr>
        <w:t>prima facie</w:t>
      </w:r>
      <w:r>
        <w:rPr>
          <w:rFonts w:ascii="Arial" w:hAnsi="Arial" w:cs="Arial"/>
          <w:sz w:val="24"/>
          <w:szCs w:val="24"/>
        </w:rPr>
        <w:t xml:space="preserve"> </w:t>
      </w:r>
      <w:r w:rsidR="007C555F">
        <w:rPr>
          <w:rFonts w:ascii="Arial" w:hAnsi="Arial" w:cs="Arial"/>
          <w:sz w:val="24"/>
          <w:szCs w:val="24"/>
        </w:rPr>
        <w:t xml:space="preserve">established order of </w:t>
      </w:r>
      <w:r>
        <w:rPr>
          <w:rFonts w:ascii="Arial" w:hAnsi="Arial" w:cs="Arial"/>
          <w:sz w:val="24"/>
          <w:szCs w:val="24"/>
        </w:rPr>
        <w:t>priorities and i</w:t>
      </w:r>
      <w:r w:rsidR="00A24A80">
        <w:rPr>
          <w:rFonts w:ascii="Arial" w:hAnsi="Arial" w:cs="Arial"/>
          <w:sz w:val="24"/>
          <w:szCs w:val="24"/>
        </w:rPr>
        <w:t>n</w:t>
      </w:r>
      <w:r>
        <w:rPr>
          <w:rFonts w:ascii="Arial" w:hAnsi="Arial" w:cs="Arial"/>
          <w:sz w:val="24"/>
          <w:szCs w:val="24"/>
        </w:rPr>
        <w:t xml:space="preserve"> terms of that, the mortgagee claim rank above the necessaries’ claim.</w:t>
      </w:r>
    </w:p>
    <w:p w:rsidR="00C52845" w:rsidRDefault="00C52845" w:rsidP="0048671E">
      <w:pPr>
        <w:spacing w:line="360" w:lineRule="auto"/>
        <w:rPr>
          <w:rFonts w:ascii="Arial" w:hAnsi="Arial" w:cs="Arial"/>
          <w:sz w:val="24"/>
          <w:szCs w:val="24"/>
        </w:rPr>
      </w:pPr>
    </w:p>
    <w:p w:rsidR="00C52845" w:rsidRDefault="00C52845" w:rsidP="0048671E">
      <w:pPr>
        <w:spacing w:line="360" w:lineRule="auto"/>
        <w:rPr>
          <w:rFonts w:ascii="Arial" w:hAnsi="Arial" w:cs="Arial"/>
          <w:sz w:val="24"/>
          <w:szCs w:val="24"/>
        </w:rPr>
      </w:pPr>
      <w:r>
        <w:rPr>
          <w:rFonts w:ascii="Arial" w:hAnsi="Arial" w:cs="Arial"/>
          <w:sz w:val="24"/>
          <w:szCs w:val="24"/>
        </w:rPr>
        <w:t>Held, further, that the established order of priorities should not be altered, unless powerful reason or exceptional reasons exist to avoid an obvious injustice.</w:t>
      </w:r>
    </w:p>
    <w:p w:rsidR="00C52845" w:rsidRDefault="00C52845" w:rsidP="0048671E">
      <w:pPr>
        <w:spacing w:line="360" w:lineRule="auto"/>
        <w:rPr>
          <w:rFonts w:ascii="Arial" w:hAnsi="Arial" w:cs="Arial"/>
          <w:sz w:val="24"/>
          <w:szCs w:val="24"/>
        </w:rPr>
      </w:pPr>
    </w:p>
    <w:p w:rsidR="00C52845" w:rsidRDefault="00C52845" w:rsidP="0048671E">
      <w:pPr>
        <w:spacing w:line="360" w:lineRule="auto"/>
        <w:rPr>
          <w:rFonts w:ascii="Arial" w:hAnsi="Arial" w:cs="Arial"/>
          <w:sz w:val="24"/>
          <w:szCs w:val="24"/>
        </w:rPr>
      </w:pPr>
      <w:r>
        <w:rPr>
          <w:rFonts w:ascii="Arial" w:hAnsi="Arial" w:cs="Arial"/>
          <w:sz w:val="24"/>
          <w:szCs w:val="24"/>
        </w:rPr>
        <w:t xml:space="preserve">Held, further, that Bunkernet had </w:t>
      </w:r>
      <w:r w:rsidR="007C555F">
        <w:rPr>
          <w:rFonts w:ascii="Arial" w:hAnsi="Arial" w:cs="Arial"/>
          <w:sz w:val="24"/>
          <w:szCs w:val="24"/>
        </w:rPr>
        <w:t xml:space="preserve">not </w:t>
      </w:r>
      <w:r>
        <w:rPr>
          <w:rFonts w:ascii="Arial" w:hAnsi="Arial" w:cs="Arial"/>
          <w:sz w:val="24"/>
          <w:szCs w:val="24"/>
        </w:rPr>
        <w:t>shown that the Lender knew of the insolvency of the borrowers, nor that the Lender was aware in advance of the nature and extent of the expenditure incurred.</w:t>
      </w:r>
    </w:p>
    <w:p w:rsidR="00C52845" w:rsidRDefault="00C52845" w:rsidP="0048671E">
      <w:pPr>
        <w:spacing w:line="360" w:lineRule="auto"/>
        <w:rPr>
          <w:rFonts w:ascii="Arial" w:hAnsi="Arial" w:cs="Arial"/>
          <w:sz w:val="24"/>
          <w:szCs w:val="24"/>
        </w:rPr>
      </w:pPr>
    </w:p>
    <w:p w:rsidR="00C52845" w:rsidRDefault="00C52845" w:rsidP="0048671E">
      <w:pPr>
        <w:spacing w:line="360" w:lineRule="auto"/>
        <w:rPr>
          <w:rFonts w:ascii="Arial" w:hAnsi="Arial" w:cs="Arial"/>
          <w:sz w:val="24"/>
          <w:szCs w:val="24"/>
        </w:rPr>
      </w:pPr>
      <w:r>
        <w:rPr>
          <w:rFonts w:ascii="Arial" w:hAnsi="Arial" w:cs="Arial"/>
          <w:sz w:val="24"/>
          <w:szCs w:val="24"/>
        </w:rPr>
        <w:t>Held, further, that the necessaries supplied was not only for the benefit of the Lender, but also for other creditors.</w:t>
      </w:r>
    </w:p>
    <w:p w:rsidR="00C52845" w:rsidRDefault="00C52845" w:rsidP="0048671E">
      <w:pPr>
        <w:spacing w:line="360" w:lineRule="auto"/>
        <w:rPr>
          <w:rFonts w:ascii="Arial" w:hAnsi="Arial" w:cs="Arial"/>
          <w:sz w:val="24"/>
          <w:szCs w:val="24"/>
        </w:rPr>
      </w:pPr>
    </w:p>
    <w:p w:rsidR="00C52845" w:rsidRDefault="00C52845" w:rsidP="0048671E">
      <w:pPr>
        <w:spacing w:line="360" w:lineRule="auto"/>
        <w:rPr>
          <w:rFonts w:ascii="Arial" w:hAnsi="Arial" w:cs="Arial"/>
          <w:sz w:val="24"/>
          <w:szCs w:val="24"/>
        </w:rPr>
      </w:pPr>
      <w:r>
        <w:rPr>
          <w:rFonts w:ascii="Arial" w:hAnsi="Arial" w:cs="Arial"/>
          <w:sz w:val="24"/>
          <w:szCs w:val="24"/>
        </w:rPr>
        <w:t>Held, further, that the Referee was correct in rejecting the argument of Bunkernet that its claim for necessaries supplied should rank above the Lender’s claim.</w:t>
      </w:r>
    </w:p>
    <w:p w:rsidR="00C52845" w:rsidRDefault="00C52845" w:rsidP="0048671E">
      <w:pPr>
        <w:spacing w:line="360" w:lineRule="auto"/>
        <w:rPr>
          <w:rFonts w:ascii="Arial" w:hAnsi="Arial" w:cs="Arial"/>
          <w:sz w:val="24"/>
          <w:szCs w:val="24"/>
        </w:rPr>
      </w:pPr>
    </w:p>
    <w:p w:rsidR="00C52845" w:rsidRDefault="00C52845" w:rsidP="0048671E">
      <w:pPr>
        <w:spacing w:line="360" w:lineRule="auto"/>
        <w:rPr>
          <w:rFonts w:ascii="Arial" w:hAnsi="Arial" w:cs="Arial"/>
          <w:sz w:val="24"/>
          <w:szCs w:val="24"/>
        </w:rPr>
      </w:pPr>
      <w:r>
        <w:rPr>
          <w:rFonts w:ascii="Arial" w:hAnsi="Arial" w:cs="Arial"/>
          <w:sz w:val="24"/>
          <w:szCs w:val="24"/>
        </w:rPr>
        <w:t>Held, further, that there is no dispute of fact on the paper before me to warrant the referral of the case to oral evidence.</w:t>
      </w:r>
    </w:p>
    <w:p w:rsidR="00C52845" w:rsidRDefault="00C52845" w:rsidP="0048671E">
      <w:pPr>
        <w:spacing w:line="360" w:lineRule="auto"/>
        <w:rPr>
          <w:rFonts w:ascii="Arial" w:hAnsi="Arial" w:cs="Arial"/>
          <w:sz w:val="24"/>
          <w:szCs w:val="24"/>
        </w:rPr>
      </w:pPr>
    </w:p>
    <w:p w:rsidR="00C52845" w:rsidRDefault="00C52845" w:rsidP="0048671E">
      <w:pPr>
        <w:spacing w:line="360" w:lineRule="auto"/>
        <w:rPr>
          <w:rFonts w:ascii="Arial" w:hAnsi="Arial" w:cs="Arial"/>
          <w:sz w:val="24"/>
          <w:szCs w:val="24"/>
        </w:rPr>
      </w:pPr>
      <w:r>
        <w:rPr>
          <w:rFonts w:ascii="Arial" w:hAnsi="Arial" w:cs="Arial"/>
          <w:sz w:val="24"/>
          <w:szCs w:val="24"/>
        </w:rPr>
        <w:t>Held, further, that the application for str</w:t>
      </w:r>
      <w:r w:rsidR="004A4D0B">
        <w:rPr>
          <w:rFonts w:ascii="Arial" w:hAnsi="Arial" w:cs="Arial"/>
          <w:sz w:val="24"/>
          <w:szCs w:val="24"/>
        </w:rPr>
        <w:t>iking out has no merits as there is no prejudice to Bunkernet if such averments remain on the affidavit.</w:t>
      </w:r>
    </w:p>
    <w:p w:rsidR="005A03B6" w:rsidRPr="001A6087" w:rsidRDefault="005A03B6" w:rsidP="00F95223">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F95223">
      <w:pPr>
        <w:spacing w:line="360" w:lineRule="auto"/>
        <w:jc w:val="center"/>
        <w:rPr>
          <w:rFonts w:ascii="Arial" w:hAnsi="Arial" w:cs="Arial"/>
          <w:b/>
          <w:sz w:val="24"/>
          <w:szCs w:val="24"/>
        </w:rPr>
      </w:pPr>
      <w:r>
        <w:rPr>
          <w:rFonts w:ascii="Arial" w:hAnsi="Arial" w:cs="Arial"/>
          <w:b/>
          <w:sz w:val="24"/>
          <w:szCs w:val="24"/>
        </w:rPr>
        <w:t>ORDER</w:t>
      </w:r>
    </w:p>
    <w:p w:rsidR="005A03B6" w:rsidRDefault="005A03B6" w:rsidP="00F95223">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4A02EC" w:rsidRDefault="004A02EC" w:rsidP="004A02EC">
      <w:pPr>
        <w:spacing w:line="360" w:lineRule="auto"/>
        <w:ind w:left="720" w:hanging="720"/>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 xml:space="preserve">The application to confirm and implement the Referee’s report </w:t>
      </w:r>
      <w:r w:rsidR="004C4E12">
        <w:rPr>
          <w:rFonts w:ascii="Arial" w:eastAsia="Calibri" w:hAnsi="Arial" w:cs="Arial"/>
          <w:sz w:val="24"/>
          <w:szCs w:val="24"/>
        </w:rPr>
        <w:t>in terms of the order marked “X”</w:t>
      </w:r>
      <w:r>
        <w:rPr>
          <w:rFonts w:ascii="Arial" w:eastAsia="Calibri" w:hAnsi="Arial" w:cs="Arial"/>
          <w:sz w:val="24"/>
          <w:szCs w:val="24"/>
        </w:rPr>
        <w:t xml:space="preserve"> is granted.</w:t>
      </w:r>
    </w:p>
    <w:p w:rsidR="004A02EC" w:rsidRDefault="004A02EC" w:rsidP="004A02EC">
      <w:pPr>
        <w:spacing w:line="360" w:lineRule="auto"/>
        <w:ind w:left="720" w:hanging="720"/>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fourth respondent is ordered to pay the costs of the applicant</w:t>
      </w:r>
      <w:r w:rsidR="004C4E12">
        <w:rPr>
          <w:rFonts w:ascii="Arial" w:eastAsia="Calibri" w:hAnsi="Arial" w:cs="Arial"/>
          <w:sz w:val="24"/>
          <w:szCs w:val="24"/>
        </w:rPr>
        <w:t>,</w:t>
      </w:r>
      <w:r w:rsidR="00EC32DB">
        <w:rPr>
          <w:rFonts w:ascii="Arial" w:eastAsia="Calibri" w:hAnsi="Arial" w:cs="Arial"/>
          <w:sz w:val="24"/>
          <w:szCs w:val="24"/>
        </w:rPr>
        <w:t xml:space="preserve"> such costs to include the costs</w:t>
      </w:r>
      <w:r>
        <w:rPr>
          <w:rFonts w:ascii="Arial" w:eastAsia="Calibri" w:hAnsi="Arial" w:cs="Arial"/>
          <w:sz w:val="24"/>
          <w:szCs w:val="24"/>
        </w:rPr>
        <w:t xml:space="preserve"> of one instructing and two instructed counsel.</w:t>
      </w:r>
    </w:p>
    <w:p w:rsidR="004A02EC" w:rsidRDefault="004A02EC" w:rsidP="004A02EC">
      <w:pPr>
        <w:spacing w:line="360" w:lineRule="auto"/>
        <w:rPr>
          <w:rFonts w:ascii="Arial" w:eastAsia="Calibri" w:hAnsi="Arial" w:cs="Arial"/>
          <w:sz w:val="24"/>
          <w:szCs w:val="24"/>
        </w:rPr>
      </w:pPr>
      <w:r>
        <w:rPr>
          <w:rFonts w:ascii="Arial" w:eastAsia="Calibri" w:hAnsi="Arial" w:cs="Arial"/>
          <w:sz w:val="24"/>
          <w:szCs w:val="24"/>
        </w:rPr>
        <w:lastRenderedPageBreak/>
        <w:t>3.</w:t>
      </w:r>
      <w:r>
        <w:rPr>
          <w:rFonts w:ascii="Arial" w:eastAsia="Calibri" w:hAnsi="Arial" w:cs="Arial"/>
          <w:sz w:val="24"/>
          <w:szCs w:val="24"/>
        </w:rPr>
        <w:tab/>
        <w:t>The counter application is dismissed.</w:t>
      </w:r>
    </w:p>
    <w:p w:rsidR="005516FE" w:rsidRDefault="004A02EC" w:rsidP="004A02EC">
      <w:pPr>
        <w:spacing w:line="360" w:lineRule="auto"/>
        <w:ind w:left="720" w:hanging="720"/>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The fourth respondent is ordered to pay the costs </w:t>
      </w:r>
      <w:r w:rsidR="00EC32DB">
        <w:rPr>
          <w:rFonts w:ascii="Arial" w:eastAsia="Calibri" w:hAnsi="Arial" w:cs="Arial"/>
          <w:sz w:val="24"/>
          <w:szCs w:val="24"/>
        </w:rPr>
        <w:t>of the applicant, such costs to include the costs of one instructing and two</w:t>
      </w:r>
      <w:r>
        <w:rPr>
          <w:rFonts w:ascii="Arial" w:eastAsia="Calibri" w:hAnsi="Arial" w:cs="Arial"/>
          <w:sz w:val="24"/>
          <w:szCs w:val="24"/>
        </w:rPr>
        <w:t xml:space="preserve"> instructed counsel</w:t>
      </w:r>
      <w:r w:rsidR="004C4E12">
        <w:rPr>
          <w:rFonts w:ascii="Arial" w:eastAsia="Calibri" w:hAnsi="Arial" w:cs="Arial"/>
          <w:sz w:val="24"/>
          <w:szCs w:val="24"/>
        </w:rPr>
        <w:t>.</w:t>
      </w:r>
    </w:p>
    <w:p w:rsidR="004C4E12" w:rsidRDefault="004C4E12" w:rsidP="004A02EC">
      <w:pPr>
        <w:spacing w:line="360" w:lineRule="auto"/>
        <w:ind w:left="720" w:hanging="720"/>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The application in terms of Rule 17(4) is dismissed.</w:t>
      </w:r>
    </w:p>
    <w:p w:rsidR="004C4E12" w:rsidRDefault="004C4E12" w:rsidP="004A02EC">
      <w:pPr>
        <w:spacing w:line="360" w:lineRule="auto"/>
        <w:ind w:left="720" w:hanging="720"/>
        <w:rPr>
          <w:rFonts w:ascii="Arial" w:hAnsi="Arial" w:cs="Arial"/>
          <w:sz w:val="24"/>
          <w:szCs w:val="24"/>
          <w:u w:val="single"/>
        </w:rPr>
      </w:pPr>
      <w:r>
        <w:rPr>
          <w:rFonts w:ascii="Arial" w:eastAsia="Calibri" w:hAnsi="Arial" w:cs="Arial"/>
          <w:sz w:val="24"/>
          <w:szCs w:val="24"/>
        </w:rPr>
        <w:t>6.</w:t>
      </w:r>
      <w:r>
        <w:rPr>
          <w:rFonts w:ascii="Arial" w:eastAsia="Calibri" w:hAnsi="Arial" w:cs="Arial"/>
          <w:sz w:val="24"/>
          <w:szCs w:val="24"/>
        </w:rPr>
        <w:tab/>
        <w:t>The fourth respondent is ordered to pay the costs of the applicant, such costs to include the costs of one instructing and two instructed counsel.</w:t>
      </w:r>
    </w:p>
    <w:p w:rsidR="005A03B6" w:rsidRPr="004C026A" w:rsidRDefault="005A03B6" w:rsidP="00F95223">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t>__</w:t>
      </w:r>
    </w:p>
    <w:p w:rsidR="005A03B6" w:rsidRPr="00AB5720" w:rsidRDefault="005A03B6" w:rsidP="00F95223">
      <w:pPr>
        <w:spacing w:line="360" w:lineRule="auto"/>
        <w:jc w:val="center"/>
        <w:rPr>
          <w:rFonts w:ascii="Arial" w:hAnsi="Arial" w:cs="Arial"/>
          <w:b/>
          <w:sz w:val="24"/>
          <w:szCs w:val="24"/>
        </w:rPr>
      </w:pPr>
      <w:r w:rsidRPr="00AB5720">
        <w:rPr>
          <w:rFonts w:ascii="Arial" w:hAnsi="Arial" w:cs="Arial"/>
          <w:b/>
          <w:sz w:val="24"/>
          <w:szCs w:val="24"/>
        </w:rPr>
        <w:t xml:space="preserve">JUDGMENT </w:t>
      </w:r>
    </w:p>
    <w:p w:rsidR="005A03B6" w:rsidRPr="004C026A" w:rsidRDefault="00555872" w:rsidP="00F95223">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__</w:t>
      </w:r>
    </w:p>
    <w:p w:rsidR="005A03B6" w:rsidRDefault="005A03B6" w:rsidP="00F95223">
      <w:pPr>
        <w:spacing w:line="360" w:lineRule="auto"/>
        <w:rPr>
          <w:rFonts w:ascii="Arial" w:hAnsi="Arial" w:cs="Arial"/>
          <w:sz w:val="24"/>
          <w:szCs w:val="24"/>
        </w:rPr>
      </w:pPr>
    </w:p>
    <w:p w:rsidR="005A03B6" w:rsidRDefault="005A03B6" w:rsidP="00F95223">
      <w:pPr>
        <w:spacing w:line="360" w:lineRule="auto"/>
        <w:rPr>
          <w:rFonts w:ascii="Arial" w:hAnsi="Arial" w:cs="Arial"/>
          <w:sz w:val="24"/>
          <w:szCs w:val="24"/>
        </w:rPr>
      </w:pPr>
      <w:r w:rsidRPr="0004570C">
        <w:rPr>
          <w:rFonts w:ascii="Arial" w:hAnsi="Arial" w:cs="Arial"/>
          <w:sz w:val="24"/>
          <w:szCs w:val="24"/>
        </w:rPr>
        <w:t>NDAUENDAPO, J</w:t>
      </w:r>
    </w:p>
    <w:p w:rsidR="00555872" w:rsidRDefault="00555872" w:rsidP="00F95223">
      <w:pPr>
        <w:spacing w:line="360" w:lineRule="auto"/>
        <w:rPr>
          <w:rFonts w:ascii="Arial" w:hAnsi="Arial" w:cs="Arial"/>
          <w:sz w:val="24"/>
          <w:szCs w:val="24"/>
        </w:rPr>
      </w:pPr>
    </w:p>
    <w:p w:rsidR="00592A94" w:rsidRPr="00592A94" w:rsidRDefault="005516FE" w:rsidP="00F95223">
      <w:pPr>
        <w:spacing w:line="360" w:lineRule="auto"/>
        <w:rPr>
          <w:rFonts w:ascii="Arial" w:hAnsi="Arial" w:cs="Arial"/>
          <w:sz w:val="24"/>
          <w:szCs w:val="24"/>
          <w:u w:val="single"/>
        </w:rPr>
      </w:pPr>
      <w:r>
        <w:rPr>
          <w:rFonts w:ascii="Arial" w:hAnsi="Arial" w:cs="Arial"/>
          <w:sz w:val="24"/>
          <w:szCs w:val="24"/>
          <w:u w:val="single"/>
        </w:rPr>
        <w:t>Introduction</w:t>
      </w:r>
    </w:p>
    <w:p w:rsidR="005A03B6" w:rsidRDefault="005A03B6" w:rsidP="00F95223">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r>
      <w:r w:rsidR="005516FE">
        <w:rPr>
          <w:rFonts w:ascii="Arial" w:hAnsi="Arial" w:cs="Arial"/>
          <w:sz w:val="24"/>
          <w:szCs w:val="24"/>
        </w:rPr>
        <w:t xml:space="preserve">The applicant </w:t>
      </w:r>
      <w:r w:rsidR="00CB03CE">
        <w:rPr>
          <w:rFonts w:ascii="Arial" w:hAnsi="Arial" w:cs="Arial"/>
          <w:sz w:val="24"/>
          <w:szCs w:val="24"/>
        </w:rPr>
        <w:t>(</w:t>
      </w:r>
      <w:r w:rsidR="00215BE9">
        <w:rPr>
          <w:rFonts w:ascii="Arial" w:hAnsi="Arial" w:cs="Arial"/>
          <w:sz w:val="24"/>
          <w:szCs w:val="24"/>
        </w:rPr>
        <w:t>“</w:t>
      </w:r>
      <w:r w:rsidR="00CB03CE">
        <w:rPr>
          <w:rFonts w:ascii="Arial" w:hAnsi="Arial" w:cs="Arial"/>
          <w:sz w:val="24"/>
          <w:szCs w:val="24"/>
        </w:rPr>
        <w:t>the Lender</w:t>
      </w:r>
      <w:r w:rsidR="00215BE9">
        <w:rPr>
          <w:rFonts w:ascii="Arial" w:hAnsi="Arial" w:cs="Arial"/>
          <w:sz w:val="24"/>
          <w:szCs w:val="24"/>
        </w:rPr>
        <w:t>”</w:t>
      </w:r>
      <w:r w:rsidR="00CB03CE">
        <w:rPr>
          <w:rFonts w:ascii="Arial" w:hAnsi="Arial" w:cs="Arial"/>
          <w:sz w:val="24"/>
          <w:szCs w:val="24"/>
        </w:rPr>
        <w:t xml:space="preserve">) </w:t>
      </w:r>
      <w:r w:rsidR="005516FE">
        <w:rPr>
          <w:rFonts w:ascii="Arial" w:hAnsi="Arial" w:cs="Arial"/>
          <w:sz w:val="24"/>
          <w:szCs w:val="24"/>
        </w:rPr>
        <w:t xml:space="preserve">seeks an order confirming </w:t>
      </w:r>
      <w:r w:rsidR="003B2604">
        <w:rPr>
          <w:rFonts w:ascii="Arial" w:hAnsi="Arial" w:cs="Arial"/>
          <w:sz w:val="24"/>
          <w:szCs w:val="24"/>
        </w:rPr>
        <w:t>and</w:t>
      </w:r>
      <w:r w:rsidR="00B73BD1">
        <w:rPr>
          <w:rFonts w:ascii="Arial" w:hAnsi="Arial" w:cs="Arial"/>
          <w:sz w:val="24"/>
          <w:szCs w:val="24"/>
        </w:rPr>
        <w:t xml:space="preserve"> implemen</w:t>
      </w:r>
      <w:r w:rsidR="00D63D2D">
        <w:rPr>
          <w:rFonts w:ascii="Arial" w:hAnsi="Arial" w:cs="Arial"/>
          <w:sz w:val="24"/>
          <w:szCs w:val="24"/>
        </w:rPr>
        <w:t xml:space="preserve">ting the </w:t>
      </w:r>
      <w:r w:rsidR="00C7657D">
        <w:rPr>
          <w:rFonts w:ascii="Arial" w:hAnsi="Arial" w:cs="Arial"/>
          <w:sz w:val="24"/>
          <w:szCs w:val="24"/>
        </w:rPr>
        <w:t>R</w:t>
      </w:r>
      <w:r w:rsidR="00D63D2D">
        <w:rPr>
          <w:rFonts w:ascii="Arial" w:hAnsi="Arial" w:cs="Arial"/>
          <w:sz w:val="24"/>
          <w:szCs w:val="24"/>
        </w:rPr>
        <w:t xml:space="preserve">eferee’s report marked </w:t>
      </w:r>
      <w:r w:rsidR="00A30480">
        <w:rPr>
          <w:rFonts w:ascii="Arial" w:hAnsi="Arial" w:cs="Arial"/>
          <w:sz w:val="24"/>
          <w:szCs w:val="24"/>
        </w:rPr>
        <w:t>“</w:t>
      </w:r>
      <w:r w:rsidR="00D63D2D">
        <w:rPr>
          <w:rFonts w:ascii="Arial" w:hAnsi="Arial" w:cs="Arial"/>
          <w:sz w:val="24"/>
          <w:szCs w:val="24"/>
        </w:rPr>
        <w:t>X</w:t>
      </w:r>
      <w:r w:rsidR="00A30480">
        <w:rPr>
          <w:rFonts w:ascii="Arial" w:hAnsi="Arial" w:cs="Arial"/>
          <w:sz w:val="24"/>
          <w:szCs w:val="24"/>
        </w:rPr>
        <w:t>” in terms of the</w:t>
      </w:r>
      <w:r w:rsidR="00B73BD1">
        <w:rPr>
          <w:rFonts w:ascii="Arial" w:hAnsi="Arial" w:cs="Arial"/>
          <w:sz w:val="24"/>
          <w:szCs w:val="24"/>
        </w:rPr>
        <w:t xml:space="preserve"> draft order.</w:t>
      </w:r>
      <w:r w:rsidR="00D63D2D">
        <w:rPr>
          <w:rFonts w:ascii="Arial" w:hAnsi="Arial" w:cs="Arial"/>
          <w:sz w:val="24"/>
          <w:szCs w:val="24"/>
        </w:rPr>
        <w:t xml:space="preserve"> The fourth respondent, to whom I shall refer as Bunke</w:t>
      </w:r>
      <w:r w:rsidR="008F2C8E">
        <w:rPr>
          <w:rFonts w:ascii="Arial" w:hAnsi="Arial" w:cs="Arial"/>
          <w:sz w:val="24"/>
          <w:szCs w:val="24"/>
        </w:rPr>
        <w:t>r</w:t>
      </w:r>
      <w:r w:rsidR="00D63D2D">
        <w:rPr>
          <w:rFonts w:ascii="Arial" w:hAnsi="Arial" w:cs="Arial"/>
          <w:sz w:val="24"/>
          <w:szCs w:val="24"/>
        </w:rPr>
        <w:t xml:space="preserve">net throughout the judgment, opposes the application. The central issue for determination is under what circumstances </w:t>
      </w:r>
      <w:r w:rsidR="00367834">
        <w:rPr>
          <w:rFonts w:ascii="Arial" w:hAnsi="Arial" w:cs="Arial"/>
          <w:sz w:val="24"/>
          <w:szCs w:val="24"/>
        </w:rPr>
        <w:t xml:space="preserve">should </w:t>
      </w:r>
      <w:r w:rsidR="00D63D2D">
        <w:rPr>
          <w:rFonts w:ascii="Arial" w:hAnsi="Arial" w:cs="Arial"/>
          <w:sz w:val="24"/>
          <w:szCs w:val="24"/>
        </w:rPr>
        <w:t xml:space="preserve">the claim of Bunkernet for necessaries supplied </w:t>
      </w:r>
      <w:r w:rsidR="00A30480">
        <w:rPr>
          <w:rFonts w:ascii="Arial" w:hAnsi="Arial" w:cs="Arial"/>
          <w:sz w:val="24"/>
          <w:szCs w:val="24"/>
        </w:rPr>
        <w:t>to the Vessel rank above t</w:t>
      </w:r>
      <w:r w:rsidR="00D63D2D">
        <w:rPr>
          <w:rFonts w:ascii="Arial" w:hAnsi="Arial" w:cs="Arial"/>
          <w:sz w:val="24"/>
          <w:szCs w:val="24"/>
        </w:rPr>
        <w:t xml:space="preserve">he claim of the </w:t>
      </w:r>
      <w:r w:rsidR="00367834">
        <w:rPr>
          <w:rFonts w:ascii="Arial" w:hAnsi="Arial" w:cs="Arial"/>
          <w:sz w:val="24"/>
          <w:szCs w:val="24"/>
        </w:rPr>
        <w:t xml:space="preserve">Lender </w:t>
      </w:r>
      <w:r w:rsidR="006C4BEF">
        <w:rPr>
          <w:rFonts w:ascii="Arial" w:hAnsi="Arial" w:cs="Arial"/>
          <w:sz w:val="24"/>
          <w:szCs w:val="24"/>
        </w:rPr>
        <w:t xml:space="preserve">(mortgagee) </w:t>
      </w:r>
      <w:r w:rsidR="00D63D2D">
        <w:rPr>
          <w:rFonts w:ascii="Arial" w:hAnsi="Arial" w:cs="Arial"/>
          <w:sz w:val="24"/>
          <w:szCs w:val="24"/>
        </w:rPr>
        <w:t xml:space="preserve">on the proceeds of </w:t>
      </w:r>
      <w:r w:rsidR="00367834">
        <w:rPr>
          <w:rFonts w:ascii="Arial" w:hAnsi="Arial" w:cs="Arial"/>
          <w:sz w:val="24"/>
          <w:szCs w:val="24"/>
        </w:rPr>
        <w:t xml:space="preserve">the </w:t>
      </w:r>
      <w:r w:rsidR="00D63D2D">
        <w:rPr>
          <w:rFonts w:ascii="Arial" w:hAnsi="Arial" w:cs="Arial"/>
          <w:sz w:val="24"/>
          <w:szCs w:val="24"/>
        </w:rPr>
        <w:t xml:space="preserve">sale of </w:t>
      </w:r>
      <w:r w:rsidR="00A30480">
        <w:rPr>
          <w:rFonts w:ascii="Arial" w:hAnsi="Arial" w:cs="Arial"/>
          <w:sz w:val="24"/>
          <w:szCs w:val="24"/>
        </w:rPr>
        <w:t xml:space="preserve">the </w:t>
      </w:r>
      <w:r w:rsidR="00367834">
        <w:rPr>
          <w:rFonts w:ascii="Arial" w:hAnsi="Arial" w:cs="Arial"/>
          <w:sz w:val="24"/>
          <w:szCs w:val="24"/>
        </w:rPr>
        <w:t>V</w:t>
      </w:r>
      <w:r w:rsidR="00D63D2D">
        <w:rPr>
          <w:rFonts w:ascii="Arial" w:hAnsi="Arial" w:cs="Arial"/>
          <w:sz w:val="24"/>
          <w:szCs w:val="24"/>
        </w:rPr>
        <w:t xml:space="preserve">essel. In other words, who should get </w:t>
      </w:r>
      <w:r w:rsidR="00A94A3C">
        <w:rPr>
          <w:rFonts w:ascii="Arial" w:hAnsi="Arial" w:cs="Arial"/>
          <w:sz w:val="24"/>
          <w:szCs w:val="24"/>
        </w:rPr>
        <w:t>precedence</w:t>
      </w:r>
      <w:r w:rsidR="00790EEC">
        <w:rPr>
          <w:rFonts w:ascii="Arial" w:hAnsi="Arial" w:cs="Arial"/>
          <w:sz w:val="24"/>
          <w:szCs w:val="24"/>
        </w:rPr>
        <w:t xml:space="preserve"> on the proceeds of sale of a V</w:t>
      </w:r>
      <w:r w:rsidR="00D63D2D">
        <w:rPr>
          <w:rFonts w:ascii="Arial" w:hAnsi="Arial" w:cs="Arial"/>
          <w:sz w:val="24"/>
          <w:szCs w:val="24"/>
        </w:rPr>
        <w:t>essel?</w:t>
      </w:r>
      <w:r w:rsidR="00296FEB">
        <w:rPr>
          <w:rFonts w:ascii="Arial" w:hAnsi="Arial" w:cs="Arial"/>
          <w:sz w:val="24"/>
          <w:szCs w:val="24"/>
        </w:rPr>
        <w:t xml:space="preserve"> </w:t>
      </w:r>
      <w:r w:rsidR="00790EEC">
        <w:rPr>
          <w:rFonts w:ascii="Arial" w:hAnsi="Arial" w:cs="Arial"/>
          <w:sz w:val="24"/>
          <w:szCs w:val="24"/>
        </w:rPr>
        <w:t>Secondly, w</w:t>
      </w:r>
      <w:r w:rsidR="00296FEB">
        <w:rPr>
          <w:rFonts w:ascii="Arial" w:hAnsi="Arial" w:cs="Arial"/>
          <w:sz w:val="24"/>
          <w:szCs w:val="24"/>
        </w:rPr>
        <w:t xml:space="preserve">as the Referee correct to recommend that the claim of the </w:t>
      </w:r>
      <w:r w:rsidR="00367834">
        <w:rPr>
          <w:rFonts w:ascii="Arial" w:hAnsi="Arial" w:cs="Arial"/>
          <w:sz w:val="24"/>
          <w:szCs w:val="24"/>
        </w:rPr>
        <w:t>Lender</w:t>
      </w:r>
      <w:r w:rsidR="00296FEB">
        <w:rPr>
          <w:rFonts w:ascii="Arial" w:hAnsi="Arial" w:cs="Arial"/>
          <w:sz w:val="24"/>
          <w:szCs w:val="24"/>
        </w:rPr>
        <w:t>, should rank above Bunkernet’s claim for necessaries?</w:t>
      </w:r>
    </w:p>
    <w:p w:rsidR="001339C4" w:rsidRDefault="001339C4" w:rsidP="00F95223">
      <w:pPr>
        <w:spacing w:line="360" w:lineRule="auto"/>
        <w:rPr>
          <w:rFonts w:ascii="Arial" w:hAnsi="Arial" w:cs="Arial"/>
          <w:sz w:val="24"/>
          <w:szCs w:val="24"/>
        </w:rPr>
      </w:pPr>
    </w:p>
    <w:p w:rsidR="00FA7A2E" w:rsidRPr="005516FE" w:rsidRDefault="005516FE" w:rsidP="00F95223">
      <w:pPr>
        <w:spacing w:line="360" w:lineRule="auto"/>
        <w:rPr>
          <w:rFonts w:ascii="Arial" w:hAnsi="Arial" w:cs="Arial"/>
          <w:sz w:val="24"/>
          <w:szCs w:val="24"/>
          <w:u w:val="single"/>
        </w:rPr>
      </w:pPr>
      <w:r w:rsidRPr="005516FE">
        <w:rPr>
          <w:rFonts w:ascii="Arial" w:hAnsi="Arial" w:cs="Arial"/>
          <w:sz w:val="24"/>
          <w:szCs w:val="24"/>
          <w:u w:val="single"/>
        </w:rPr>
        <w:t>The parties</w:t>
      </w:r>
    </w:p>
    <w:p w:rsidR="008E57E9" w:rsidRDefault="00555872" w:rsidP="00F95223">
      <w:pPr>
        <w:spacing w:line="360" w:lineRule="auto"/>
        <w:rPr>
          <w:rFonts w:ascii="Arial" w:hAnsi="Arial" w:cs="Arial"/>
          <w:sz w:val="24"/>
          <w:szCs w:val="24"/>
        </w:rPr>
      </w:pPr>
      <w:r>
        <w:rPr>
          <w:rFonts w:ascii="Arial" w:hAnsi="Arial" w:cs="Arial"/>
          <w:sz w:val="24"/>
          <w:szCs w:val="24"/>
        </w:rPr>
        <w:t>[</w:t>
      </w:r>
      <w:r w:rsidR="007A42CF">
        <w:rPr>
          <w:rFonts w:ascii="Arial" w:hAnsi="Arial" w:cs="Arial"/>
          <w:sz w:val="24"/>
          <w:szCs w:val="24"/>
        </w:rPr>
        <w:t>2</w:t>
      </w:r>
      <w:r>
        <w:rPr>
          <w:rFonts w:ascii="Arial" w:hAnsi="Arial" w:cs="Arial"/>
          <w:sz w:val="24"/>
          <w:szCs w:val="24"/>
        </w:rPr>
        <w:t>]</w:t>
      </w:r>
      <w:r w:rsidR="00FA7A2E">
        <w:rPr>
          <w:rFonts w:ascii="Arial" w:hAnsi="Arial" w:cs="Arial"/>
          <w:sz w:val="24"/>
          <w:szCs w:val="24"/>
        </w:rPr>
        <w:tab/>
      </w:r>
      <w:r w:rsidR="00B73BD1">
        <w:rPr>
          <w:rFonts w:ascii="Arial" w:hAnsi="Arial" w:cs="Arial"/>
          <w:sz w:val="24"/>
          <w:szCs w:val="24"/>
        </w:rPr>
        <w:t>The applicant is GMTC</w:t>
      </w:r>
      <w:r w:rsidR="00367834">
        <w:rPr>
          <w:rFonts w:ascii="Arial" w:hAnsi="Arial" w:cs="Arial"/>
          <w:sz w:val="24"/>
          <w:szCs w:val="24"/>
        </w:rPr>
        <w:t xml:space="preserve"> 1 LLC (“t</w:t>
      </w:r>
      <w:r w:rsidR="005516FE">
        <w:rPr>
          <w:rFonts w:ascii="Arial" w:hAnsi="Arial" w:cs="Arial"/>
          <w:sz w:val="24"/>
          <w:szCs w:val="24"/>
        </w:rPr>
        <w:t xml:space="preserve">he </w:t>
      </w:r>
      <w:r w:rsidR="00B73BD1">
        <w:rPr>
          <w:rFonts w:ascii="Arial" w:hAnsi="Arial" w:cs="Arial"/>
          <w:sz w:val="24"/>
          <w:szCs w:val="24"/>
        </w:rPr>
        <w:t>L</w:t>
      </w:r>
      <w:r w:rsidR="005516FE">
        <w:rPr>
          <w:rFonts w:ascii="Arial" w:hAnsi="Arial" w:cs="Arial"/>
          <w:sz w:val="24"/>
          <w:szCs w:val="24"/>
        </w:rPr>
        <w:t>ender”), a company incorporated in the United States of America, carrying on business at 15 River Road, Suite 320, Wilton, connectio</w:t>
      </w:r>
      <w:r w:rsidR="002E69CC">
        <w:rPr>
          <w:rFonts w:ascii="Arial" w:hAnsi="Arial" w:cs="Arial"/>
          <w:sz w:val="24"/>
          <w:szCs w:val="24"/>
        </w:rPr>
        <w:t>n 06897, United States of America.</w:t>
      </w:r>
    </w:p>
    <w:p w:rsidR="001339C4" w:rsidRDefault="001339C4" w:rsidP="00F95223">
      <w:pPr>
        <w:spacing w:line="360" w:lineRule="auto"/>
        <w:rPr>
          <w:rFonts w:ascii="Arial" w:hAnsi="Arial" w:cs="Arial"/>
          <w:sz w:val="24"/>
          <w:szCs w:val="24"/>
        </w:rPr>
      </w:pPr>
    </w:p>
    <w:p w:rsidR="002E69CC" w:rsidRDefault="001339C4" w:rsidP="00F95223">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2E69CC">
        <w:rPr>
          <w:rFonts w:ascii="Arial" w:hAnsi="Arial" w:cs="Arial"/>
          <w:sz w:val="24"/>
          <w:szCs w:val="24"/>
        </w:rPr>
        <w:t>The first respondent</w:t>
      </w:r>
      <w:r>
        <w:rPr>
          <w:rFonts w:ascii="Arial" w:hAnsi="Arial" w:cs="Arial"/>
          <w:sz w:val="24"/>
          <w:szCs w:val="24"/>
        </w:rPr>
        <w:t xml:space="preserve"> is the fund constituted by the proceeds of the sale of the motor vessel “PALENQUE”</w:t>
      </w:r>
      <w:r w:rsidR="009F1E4E">
        <w:rPr>
          <w:rFonts w:ascii="Arial" w:hAnsi="Arial" w:cs="Arial"/>
          <w:sz w:val="24"/>
          <w:szCs w:val="24"/>
        </w:rPr>
        <w:t xml:space="preserve"> 1 (“t</w:t>
      </w:r>
      <w:r>
        <w:rPr>
          <w:rFonts w:ascii="Arial" w:hAnsi="Arial" w:cs="Arial"/>
          <w:sz w:val="24"/>
          <w:szCs w:val="24"/>
        </w:rPr>
        <w:t xml:space="preserve">he </w:t>
      </w:r>
      <w:r w:rsidR="00B73BD1">
        <w:rPr>
          <w:rFonts w:ascii="Arial" w:hAnsi="Arial" w:cs="Arial"/>
          <w:sz w:val="24"/>
          <w:szCs w:val="24"/>
        </w:rPr>
        <w:t>V</w:t>
      </w:r>
      <w:r>
        <w:rPr>
          <w:rFonts w:ascii="Arial" w:hAnsi="Arial" w:cs="Arial"/>
          <w:sz w:val="24"/>
          <w:szCs w:val="24"/>
        </w:rPr>
        <w:t>essel”) which took place on 20 April 2018 pursuant to a final order for the sale of the vessel granted by this Honourable Court on 17 April 2018 (“the Ship Fund”).</w:t>
      </w:r>
    </w:p>
    <w:p w:rsidR="001339C4" w:rsidRDefault="001339C4" w:rsidP="00F95223">
      <w:pPr>
        <w:spacing w:line="360" w:lineRule="auto"/>
        <w:rPr>
          <w:rFonts w:ascii="Arial" w:hAnsi="Arial" w:cs="Arial"/>
          <w:sz w:val="24"/>
          <w:szCs w:val="24"/>
        </w:rPr>
      </w:pPr>
    </w:p>
    <w:p w:rsidR="001339C4" w:rsidRDefault="001339C4" w:rsidP="00F95223">
      <w:pPr>
        <w:spacing w:line="360" w:lineRule="auto"/>
        <w:rPr>
          <w:rFonts w:ascii="Arial" w:hAnsi="Arial" w:cs="Arial"/>
          <w:sz w:val="24"/>
          <w:szCs w:val="24"/>
        </w:rPr>
      </w:pPr>
      <w:r>
        <w:rPr>
          <w:rFonts w:ascii="Arial" w:hAnsi="Arial" w:cs="Arial"/>
          <w:sz w:val="24"/>
          <w:szCs w:val="24"/>
        </w:rPr>
        <w:lastRenderedPageBreak/>
        <w:t>[4]</w:t>
      </w:r>
      <w:r>
        <w:rPr>
          <w:rFonts w:ascii="Arial" w:hAnsi="Arial" w:cs="Arial"/>
          <w:sz w:val="24"/>
          <w:szCs w:val="24"/>
        </w:rPr>
        <w:tab/>
        <w:t>The second respondent is the fund constituted by the proceeds from the sale of the</w:t>
      </w:r>
      <w:r w:rsidR="009F1E4E">
        <w:rPr>
          <w:rFonts w:ascii="Arial" w:hAnsi="Arial" w:cs="Arial"/>
          <w:sz w:val="24"/>
          <w:szCs w:val="24"/>
        </w:rPr>
        <w:t xml:space="preserve"> bunkers on board the vessel (“t</w:t>
      </w:r>
      <w:r>
        <w:rPr>
          <w:rFonts w:ascii="Arial" w:hAnsi="Arial" w:cs="Arial"/>
          <w:sz w:val="24"/>
          <w:szCs w:val="24"/>
        </w:rPr>
        <w:t>he Bunker Fund”).</w:t>
      </w:r>
    </w:p>
    <w:p w:rsidR="001339C4" w:rsidRDefault="001339C4" w:rsidP="00F95223">
      <w:pPr>
        <w:spacing w:line="360" w:lineRule="auto"/>
        <w:rPr>
          <w:rFonts w:ascii="Arial" w:hAnsi="Arial" w:cs="Arial"/>
          <w:sz w:val="24"/>
          <w:szCs w:val="24"/>
        </w:rPr>
      </w:pPr>
    </w:p>
    <w:p w:rsidR="001339C4" w:rsidRDefault="001339C4" w:rsidP="00F95223">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The third respondent is JACK MARINE INTERNATIONAL LIMITED (:Jack Marine”), a company duly incorporated under the laws of Nigeria and having its registered office at 73A Marine Road, Apapa, Lagos, Nigeria. Jack Marine is represented by Simms showers LLP.</w:t>
      </w:r>
    </w:p>
    <w:p w:rsidR="001339C4" w:rsidRDefault="001339C4" w:rsidP="00F95223">
      <w:pPr>
        <w:spacing w:line="360" w:lineRule="auto"/>
        <w:rPr>
          <w:rFonts w:ascii="Arial" w:hAnsi="Arial" w:cs="Arial"/>
          <w:sz w:val="24"/>
          <w:szCs w:val="24"/>
        </w:rPr>
      </w:pPr>
    </w:p>
    <w:p w:rsidR="001339C4" w:rsidRDefault="005879CA" w:rsidP="00F95223">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The f</w:t>
      </w:r>
      <w:r w:rsidR="001339C4">
        <w:rPr>
          <w:rFonts w:ascii="Arial" w:hAnsi="Arial" w:cs="Arial"/>
          <w:sz w:val="24"/>
          <w:szCs w:val="24"/>
        </w:rPr>
        <w:t xml:space="preserve">ourth respondent is Bunkernet Limited (“Bunkernet”), a company duly incorporated in Cyprus and which carries on business at Panteli Modestou 3A, 3090, Limassol, Cyprus. </w:t>
      </w:r>
    </w:p>
    <w:p w:rsidR="001339C4" w:rsidRDefault="001339C4" w:rsidP="00F95223">
      <w:pPr>
        <w:spacing w:line="360" w:lineRule="auto"/>
        <w:rPr>
          <w:rFonts w:ascii="Arial" w:hAnsi="Arial" w:cs="Arial"/>
          <w:sz w:val="24"/>
          <w:szCs w:val="24"/>
        </w:rPr>
      </w:pPr>
    </w:p>
    <w:p w:rsidR="001339C4" w:rsidRDefault="001339C4" w:rsidP="00F95223">
      <w:pPr>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t xml:space="preserve">The fifth respondent is the Acting Deputy Sheriff for the district of Walvis Bay (“the Sheriff”), currently residing at 43 </w:t>
      </w:r>
      <w:r w:rsidR="00A83330">
        <w:rPr>
          <w:rFonts w:ascii="Arial" w:hAnsi="Arial" w:cs="Arial"/>
          <w:sz w:val="24"/>
          <w:szCs w:val="24"/>
        </w:rPr>
        <w:t>Moses Garoeb Street, Walvis Bay, Namibia.</w:t>
      </w:r>
    </w:p>
    <w:p w:rsidR="00A83330" w:rsidRDefault="00A83330" w:rsidP="00F95223">
      <w:pPr>
        <w:spacing w:line="360" w:lineRule="auto"/>
        <w:rPr>
          <w:rFonts w:ascii="Arial" w:hAnsi="Arial" w:cs="Arial"/>
          <w:sz w:val="24"/>
          <w:szCs w:val="24"/>
        </w:rPr>
      </w:pPr>
    </w:p>
    <w:p w:rsidR="00A83330" w:rsidRDefault="00A83330" w:rsidP="00F95223">
      <w:pPr>
        <w:spacing w:line="360" w:lineRule="auto"/>
        <w:rPr>
          <w:rFonts w:ascii="Arial" w:hAnsi="Arial" w:cs="Arial"/>
          <w:sz w:val="24"/>
          <w:szCs w:val="24"/>
        </w:rPr>
      </w:pPr>
      <w:r>
        <w:rPr>
          <w:rFonts w:ascii="Arial" w:hAnsi="Arial" w:cs="Arial"/>
          <w:sz w:val="24"/>
          <w:szCs w:val="24"/>
        </w:rPr>
        <w:t>[8]</w:t>
      </w:r>
      <w:r>
        <w:rPr>
          <w:rFonts w:ascii="Arial" w:hAnsi="Arial" w:cs="Arial"/>
          <w:sz w:val="24"/>
          <w:szCs w:val="24"/>
        </w:rPr>
        <w:tab/>
        <w:t>Tilman Enterprises Inc. (“</w:t>
      </w:r>
      <w:r w:rsidR="0096091F">
        <w:rPr>
          <w:rFonts w:ascii="Arial" w:hAnsi="Arial" w:cs="Arial"/>
          <w:sz w:val="24"/>
          <w:szCs w:val="24"/>
        </w:rPr>
        <w:t>t</w:t>
      </w:r>
      <w:r>
        <w:rPr>
          <w:rFonts w:ascii="Arial" w:hAnsi="Arial" w:cs="Arial"/>
          <w:sz w:val="24"/>
          <w:szCs w:val="24"/>
        </w:rPr>
        <w:t xml:space="preserve">he </w:t>
      </w:r>
      <w:r w:rsidR="00B73BD1">
        <w:rPr>
          <w:rFonts w:ascii="Arial" w:hAnsi="Arial" w:cs="Arial"/>
          <w:sz w:val="24"/>
          <w:szCs w:val="24"/>
        </w:rPr>
        <w:t>O</w:t>
      </w:r>
      <w:r>
        <w:rPr>
          <w:rFonts w:ascii="Arial" w:hAnsi="Arial" w:cs="Arial"/>
          <w:sz w:val="24"/>
          <w:szCs w:val="24"/>
        </w:rPr>
        <w:t>wner”), the former owner of the vessel, is not cited as a respondent as it did not participate in the claims adjudication process and no longer has an interest in the matter.</w:t>
      </w:r>
    </w:p>
    <w:p w:rsidR="00B73BD1" w:rsidRDefault="00B73BD1" w:rsidP="00F95223">
      <w:pPr>
        <w:spacing w:line="360" w:lineRule="auto"/>
        <w:rPr>
          <w:rFonts w:ascii="Arial" w:hAnsi="Arial" w:cs="Arial"/>
          <w:b/>
          <w:sz w:val="24"/>
          <w:szCs w:val="24"/>
        </w:rPr>
      </w:pPr>
    </w:p>
    <w:p w:rsidR="00741F18" w:rsidRPr="00741F18" w:rsidRDefault="002E69CC" w:rsidP="00F95223">
      <w:pPr>
        <w:spacing w:line="360" w:lineRule="auto"/>
        <w:rPr>
          <w:rFonts w:ascii="Arial" w:hAnsi="Arial" w:cs="Arial"/>
          <w:sz w:val="24"/>
          <w:szCs w:val="24"/>
          <w:u w:val="single"/>
        </w:rPr>
      </w:pPr>
      <w:r>
        <w:rPr>
          <w:rFonts w:ascii="Arial" w:hAnsi="Arial" w:cs="Arial"/>
          <w:sz w:val="24"/>
          <w:szCs w:val="24"/>
          <w:u w:val="single"/>
        </w:rPr>
        <w:t>Background facts</w:t>
      </w:r>
      <w:r w:rsidR="0096117B">
        <w:rPr>
          <w:rStyle w:val="FootnoteReference"/>
          <w:rFonts w:ascii="Arial" w:hAnsi="Arial" w:cs="Arial"/>
          <w:sz w:val="24"/>
          <w:szCs w:val="24"/>
          <w:u w:val="single"/>
        </w:rPr>
        <w:footnoteReference w:id="1"/>
      </w:r>
    </w:p>
    <w:p w:rsidR="00DA1471" w:rsidRDefault="00451648" w:rsidP="00A83330">
      <w:pPr>
        <w:spacing w:line="360" w:lineRule="auto"/>
        <w:rPr>
          <w:rFonts w:ascii="Arial" w:hAnsi="Arial" w:cs="Arial"/>
          <w:sz w:val="24"/>
          <w:szCs w:val="24"/>
        </w:rPr>
      </w:pPr>
      <w:r>
        <w:rPr>
          <w:rFonts w:ascii="Arial" w:hAnsi="Arial" w:cs="Arial"/>
          <w:sz w:val="24"/>
          <w:szCs w:val="24"/>
        </w:rPr>
        <w:t>[</w:t>
      </w:r>
      <w:r w:rsidR="00A83330">
        <w:rPr>
          <w:rFonts w:ascii="Arial" w:hAnsi="Arial" w:cs="Arial"/>
          <w:sz w:val="24"/>
          <w:szCs w:val="24"/>
        </w:rPr>
        <w:t>9</w:t>
      </w:r>
      <w:r>
        <w:rPr>
          <w:rFonts w:ascii="Arial" w:hAnsi="Arial" w:cs="Arial"/>
          <w:sz w:val="24"/>
          <w:szCs w:val="24"/>
        </w:rPr>
        <w:t>]</w:t>
      </w:r>
      <w:r>
        <w:rPr>
          <w:rFonts w:ascii="Arial" w:hAnsi="Arial" w:cs="Arial"/>
          <w:sz w:val="24"/>
          <w:szCs w:val="24"/>
        </w:rPr>
        <w:tab/>
      </w:r>
      <w:r w:rsidR="00B73BD1">
        <w:rPr>
          <w:rFonts w:ascii="Arial" w:hAnsi="Arial" w:cs="Arial"/>
          <w:sz w:val="24"/>
          <w:szCs w:val="24"/>
        </w:rPr>
        <w:t>On 9 November 2017, the L</w:t>
      </w:r>
      <w:r w:rsidR="00A83330">
        <w:rPr>
          <w:rFonts w:ascii="Arial" w:hAnsi="Arial" w:cs="Arial"/>
          <w:sz w:val="24"/>
          <w:szCs w:val="24"/>
        </w:rPr>
        <w:t>ender concluded a loan agreement (</w:t>
      </w:r>
      <w:r w:rsidR="005879CA">
        <w:rPr>
          <w:rFonts w:ascii="Arial" w:hAnsi="Arial" w:cs="Arial"/>
          <w:sz w:val="24"/>
          <w:szCs w:val="24"/>
        </w:rPr>
        <w:t>“the loan agreement”) with the O</w:t>
      </w:r>
      <w:r w:rsidR="00A83330">
        <w:rPr>
          <w:rFonts w:ascii="Arial" w:hAnsi="Arial" w:cs="Arial"/>
          <w:sz w:val="24"/>
          <w:szCs w:val="24"/>
        </w:rPr>
        <w:t xml:space="preserve">wner, Bondi Shipholding S.A (“Bondi”) and Nodol Trading S.A (“Nodol”) as joint and several borrowers (collectively “the Borrowers”). The loan facility was up to </w:t>
      </w:r>
      <w:r w:rsidR="00206AAF">
        <w:rPr>
          <w:rFonts w:ascii="Arial" w:hAnsi="Arial" w:cs="Arial"/>
          <w:sz w:val="24"/>
          <w:szCs w:val="24"/>
        </w:rPr>
        <w:t>USD</w:t>
      </w:r>
      <w:r w:rsidR="00A83330">
        <w:rPr>
          <w:rFonts w:ascii="Arial" w:hAnsi="Arial" w:cs="Arial"/>
          <w:sz w:val="24"/>
          <w:szCs w:val="24"/>
        </w:rPr>
        <w:t xml:space="preserve">12,500,000.00 (“the loan”) and it was to assist the Borrowers to refinance their existing </w:t>
      </w:r>
      <w:r w:rsidR="00B73BD1">
        <w:rPr>
          <w:rFonts w:ascii="Arial" w:hAnsi="Arial" w:cs="Arial"/>
          <w:sz w:val="24"/>
          <w:szCs w:val="24"/>
        </w:rPr>
        <w:t>indebtedness in respect of the V</w:t>
      </w:r>
      <w:r w:rsidR="00A83330">
        <w:rPr>
          <w:rFonts w:ascii="Arial" w:hAnsi="Arial" w:cs="Arial"/>
          <w:sz w:val="24"/>
          <w:szCs w:val="24"/>
        </w:rPr>
        <w:t xml:space="preserve">essel, the mt “Sea Pioneer” and the mt “Huascar”. The loan was secured by a First Preferred Panamanian Ship Mortgage </w:t>
      </w:r>
      <w:r w:rsidR="005879CA">
        <w:rPr>
          <w:rFonts w:ascii="Arial" w:hAnsi="Arial" w:cs="Arial"/>
          <w:sz w:val="24"/>
          <w:szCs w:val="24"/>
        </w:rPr>
        <w:t>(“the m</w:t>
      </w:r>
      <w:r w:rsidR="00FF5869">
        <w:rPr>
          <w:rFonts w:ascii="Arial" w:hAnsi="Arial" w:cs="Arial"/>
          <w:sz w:val="24"/>
          <w:szCs w:val="24"/>
        </w:rPr>
        <w:t xml:space="preserve">ortgage”) over the vessel executed </w:t>
      </w:r>
      <w:r w:rsidR="00C7657D">
        <w:rPr>
          <w:rFonts w:ascii="Arial" w:hAnsi="Arial" w:cs="Arial"/>
          <w:sz w:val="24"/>
          <w:szCs w:val="24"/>
        </w:rPr>
        <w:t>preliminary</w:t>
      </w:r>
      <w:r w:rsidR="00FF5869">
        <w:rPr>
          <w:rFonts w:ascii="Arial" w:hAnsi="Arial" w:cs="Arial"/>
          <w:sz w:val="24"/>
          <w:szCs w:val="24"/>
        </w:rPr>
        <w:t xml:space="preserve"> on 14 November 2017 and permanently registered on 11 December 2017.</w:t>
      </w:r>
    </w:p>
    <w:p w:rsidR="00FF5869" w:rsidRDefault="00FF5869" w:rsidP="00A83330">
      <w:pPr>
        <w:spacing w:line="360" w:lineRule="auto"/>
        <w:rPr>
          <w:rFonts w:ascii="Arial" w:hAnsi="Arial" w:cs="Arial"/>
          <w:sz w:val="24"/>
          <w:szCs w:val="24"/>
        </w:rPr>
      </w:pPr>
    </w:p>
    <w:p w:rsidR="00FF5869" w:rsidRDefault="00FF5869" w:rsidP="00A83330">
      <w:pPr>
        <w:spacing w:line="36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C7657D">
        <w:rPr>
          <w:rFonts w:ascii="Arial" w:hAnsi="Arial" w:cs="Arial"/>
          <w:sz w:val="24"/>
          <w:szCs w:val="24"/>
        </w:rPr>
        <w:t>The Borrowers breached the agreement by</w:t>
      </w:r>
      <w:r>
        <w:rPr>
          <w:rFonts w:ascii="Arial" w:hAnsi="Arial" w:cs="Arial"/>
          <w:sz w:val="24"/>
          <w:szCs w:val="24"/>
        </w:rPr>
        <w:t xml:space="preserve"> </w:t>
      </w:r>
      <w:r w:rsidRPr="00B73BD1">
        <w:rPr>
          <w:rFonts w:ascii="Arial" w:hAnsi="Arial" w:cs="Arial"/>
          <w:i/>
          <w:sz w:val="24"/>
          <w:szCs w:val="24"/>
        </w:rPr>
        <w:t>inter alia</w:t>
      </w:r>
      <w:r w:rsidR="00C7657D">
        <w:rPr>
          <w:rFonts w:ascii="Arial" w:hAnsi="Arial" w:cs="Arial"/>
          <w:sz w:val="24"/>
          <w:szCs w:val="24"/>
        </w:rPr>
        <w:t>, failing</w:t>
      </w:r>
      <w:r>
        <w:rPr>
          <w:rFonts w:ascii="Arial" w:hAnsi="Arial" w:cs="Arial"/>
          <w:sz w:val="24"/>
          <w:szCs w:val="24"/>
        </w:rPr>
        <w:t xml:space="preserve"> to pay one third of the repayment instalment plus interest as per clause 17.4 of the Loan Agreement by 13 December 2017 and </w:t>
      </w:r>
      <w:r w:rsidR="00C7657D">
        <w:rPr>
          <w:rFonts w:ascii="Arial" w:hAnsi="Arial" w:cs="Arial"/>
          <w:sz w:val="24"/>
          <w:szCs w:val="24"/>
        </w:rPr>
        <w:t>by failing</w:t>
      </w:r>
      <w:r>
        <w:rPr>
          <w:rFonts w:ascii="Arial" w:hAnsi="Arial" w:cs="Arial"/>
          <w:sz w:val="24"/>
          <w:szCs w:val="24"/>
        </w:rPr>
        <w:t xml:space="preserve"> to pay an amount equal to the shortfall in the </w:t>
      </w:r>
      <w:r>
        <w:rPr>
          <w:rFonts w:ascii="Arial" w:hAnsi="Arial" w:cs="Arial"/>
          <w:sz w:val="24"/>
          <w:szCs w:val="24"/>
        </w:rPr>
        <w:lastRenderedPageBreak/>
        <w:t>earnings account due to be transferred to the retention accounts in accordance with clause 17.5 of the Loan Agreement.</w:t>
      </w:r>
    </w:p>
    <w:p w:rsidR="00FF5869" w:rsidRDefault="00FF5869" w:rsidP="00A83330">
      <w:pPr>
        <w:spacing w:line="360" w:lineRule="auto"/>
        <w:rPr>
          <w:rFonts w:ascii="Arial" w:hAnsi="Arial" w:cs="Arial"/>
          <w:sz w:val="24"/>
          <w:szCs w:val="24"/>
        </w:rPr>
      </w:pPr>
    </w:p>
    <w:p w:rsidR="00FF5869" w:rsidRDefault="00FF5869" w:rsidP="00A83330">
      <w:pPr>
        <w:spacing w:line="360" w:lineRule="auto"/>
        <w:rPr>
          <w:rFonts w:ascii="Arial" w:hAnsi="Arial" w:cs="Arial"/>
          <w:sz w:val="24"/>
          <w:szCs w:val="24"/>
        </w:rPr>
      </w:pPr>
      <w:r>
        <w:rPr>
          <w:rFonts w:ascii="Arial" w:hAnsi="Arial" w:cs="Arial"/>
          <w:sz w:val="24"/>
          <w:szCs w:val="24"/>
        </w:rPr>
        <w:t>[11]</w:t>
      </w:r>
      <w:r>
        <w:rPr>
          <w:rFonts w:ascii="Arial" w:hAnsi="Arial" w:cs="Arial"/>
          <w:sz w:val="24"/>
          <w:szCs w:val="24"/>
        </w:rPr>
        <w:tab/>
        <w:t>On 10 January 2018 a notice o</w:t>
      </w:r>
      <w:r w:rsidR="00171A6C">
        <w:rPr>
          <w:rFonts w:ascii="Arial" w:hAnsi="Arial" w:cs="Arial"/>
          <w:sz w:val="24"/>
          <w:szCs w:val="24"/>
        </w:rPr>
        <w:t xml:space="preserve">f default and acceleration was </w:t>
      </w:r>
      <w:r>
        <w:rPr>
          <w:rFonts w:ascii="Arial" w:hAnsi="Arial" w:cs="Arial"/>
          <w:sz w:val="24"/>
          <w:szCs w:val="24"/>
        </w:rPr>
        <w:t xml:space="preserve">communicated </w:t>
      </w:r>
      <w:r w:rsidR="00B73BD1">
        <w:rPr>
          <w:rFonts w:ascii="Arial" w:hAnsi="Arial" w:cs="Arial"/>
          <w:sz w:val="24"/>
          <w:szCs w:val="24"/>
        </w:rPr>
        <w:t>to the Borrowers draw</w:t>
      </w:r>
      <w:r>
        <w:rPr>
          <w:rFonts w:ascii="Arial" w:hAnsi="Arial" w:cs="Arial"/>
          <w:sz w:val="24"/>
          <w:szCs w:val="24"/>
        </w:rPr>
        <w:t>ing their attention to Events</w:t>
      </w:r>
      <w:r w:rsidR="00B73BD1">
        <w:rPr>
          <w:rFonts w:ascii="Arial" w:hAnsi="Arial" w:cs="Arial"/>
          <w:sz w:val="24"/>
          <w:szCs w:val="24"/>
        </w:rPr>
        <w:t xml:space="preserve"> of D</w:t>
      </w:r>
      <w:r w:rsidR="009D2154">
        <w:rPr>
          <w:rFonts w:ascii="Arial" w:hAnsi="Arial" w:cs="Arial"/>
          <w:sz w:val="24"/>
          <w:szCs w:val="24"/>
        </w:rPr>
        <w:t xml:space="preserve">efault and declaring that all sums under the Loan Agreement was due and payable with immediate effect. The Accelerated amount due and payable was </w:t>
      </w:r>
      <w:r w:rsidR="00206AAF">
        <w:rPr>
          <w:rFonts w:ascii="Arial" w:hAnsi="Arial" w:cs="Arial"/>
          <w:sz w:val="24"/>
          <w:szCs w:val="24"/>
        </w:rPr>
        <w:t>USD</w:t>
      </w:r>
      <w:r w:rsidR="009D2154">
        <w:rPr>
          <w:rFonts w:ascii="Arial" w:hAnsi="Arial" w:cs="Arial"/>
          <w:sz w:val="24"/>
          <w:szCs w:val="24"/>
        </w:rPr>
        <w:t>13,494,778.68 plus interest accrued and accruing thereon.</w:t>
      </w:r>
    </w:p>
    <w:p w:rsidR="009D2154" w:rsidRDefault="009D2154" w:rsidP="00A83330">
      <w:pPr>
        <w:spacing w:line="360" w:lineRule="auto"/>
        <w:rPr>
          <w:rFonts w:ascii="Arial" w:hAnsi="Arial" w:cs="Arial"/>
          <w:sz w:val="24"/>
          <w:szCs w:val="24"/>
        </w:rPr>
      </w:pPr>
    </w:p>
    <w:p w:rsidR="009D2154" w:rsidRDefault="009D2154" w:rsidP="00A83330">
      <w:pPr>
        <w:spacing w:line="360" w:lineRule="auto"/>
        <w:rPr>
          <w:rFonts w:ascii="Arial" w:hAnsi="Arial" w:cs="Arial"/>
          <w:sz w:val="24"/>
          <w:szCs w:val="24"/>
        </w:rPr>
      </w:pPr>
      <w:r>
        <w:rPr>
          <w:rFonts w:ascii="Arial" w:hAnsi="Arial" w:cs="Arial"/>
          <w:sz w:val="24"/>
          <w:szCs w:val="24"/>
        </w:rPr>
        <w:t>[12]</w:t>
      </w:r>
      <w:r>
        <w:rPr>
          <w:rFonts w:ascii="Arial" w:hAnsi="Arial" w:cs="Arial"/>
          <w:sz w:val="24"/>
          <w:szCs w:val="24"/>
        </w:rPr>
        <w:tab/>
        <w:t>On 28 February 2018, the Lender</w:t>
      </w:r>
      <w:r w:rsidR="00A94A3C">
        <w:rPr>
          <w:rFonts w:ascii="Arial" w:hAnsi="Arial" w:cs="Arial"/>
          <w:sz w:val="24"/>
          <w:szCs w:val="24"/>
        </w:rPr>
        <w:t xml:space="preserve">, as the </w:t>
      </w:r>
      <w:r w:rsidR="00D7739E">
        <w:rPr>
          <w:rFonts w:ascii="Arial" w:hAnsi="Arial" w:cs="Arial"/>
          <w:sz w:val="24"/>
          <w:szCs w:val="24"/>
        </w:rPr>
        <w:t>p</w:t>
      </w:r>
      <w:r>
        <w:rPr>
          <w:rFonts w:ascii="Arial" w:hAnsi="Arial" w:cs="Arial"/>
          <w:sz w:val="24"/>
          <w:szCs w:val="24"/>
        </w:rPr>
        <w:t>laintiff</w:t>
      </w:r>
      <w:r w:rsidR="00D7739E">
        <w:rPr>
          <w:rFonts w:ascii="Arial" w:hAnsi="Arial" w:cs="Arial"/>
          <w:sz w:val="24"/>
          <w:szCs w:val="24"/>
        </w:rPr>
        <w:t>,</w:t>
      </w:r>
      <w:r>
        <w:rPr>
          <w:rFonts w:ascii="Arial" w:hAnsi="Arial" w:cs="Arial"/>
          <w:sz w:val="24"/>
          <w:szCs w:val="24"/>
        </w:rPr>
        <w:t xml:space="preserve"> inst</w:t>
      </w:r>
      <w:r w:rsidR="00B73BD1">
        <w:rPr>
          <w:rFonts w:ascii="Arial" w:hAnsi="Arial" w:cs="Arial"/>
          <w:sz w:val="24"/>
          <w:szCs w:val="24"/>
        </w:rPr>
        <w:t>ituted proceedings against the V</w:t>
      </w:r>
      <w:r>
        <w:rPr>
          <w:rFonts w:ascii="Arial" w:hAnsi="Arial" w:cs="Arial"/>
          <w:sz w:val="24"/>
          <w:szCs w:val="24"/>
        </w:rPr>
        <w:t xml:space="preserve">essel </w:t>
      </w:r>
      <w:r w:rsidRPr="009D2154">
        <w:rPr>
          <w:rFonts w:ascii="Arial" w:hAnsi="Arial" w:cs="Arial"/>
          <w:i/>
          <w:sz w:val="24"/>
          <w:szCs w:val="24"/>
        </w:rPr>
        <w:t>in rem</w:t>
      </w:r>
      <w:r w:rsidR="00171A6C">
        <w:rPr>
          <w:rFonts w:ascii="Arial" w:hAnsi="Arial" w:cs="Arial"/>
          <w:sz w:val="24"/>
          <w:szCs w:val="24"/>
        </w:rPr>
        <w:t xml:space="preserve"> and arrested the V</w:t>
      </w:r>
      <w:r>
        <w:rPr>
          <w:rFonts w:ascii="Arial" w:hAnsi="Arial" w:cs="Arial"/>
          <w:sz w:val="24"/>
          <w:szCs w:val="24"/>
        </w:rPr>
        <w:t xml:space="preserve">essel under </w:t>
      </w:r>
      <w:r w:rsidR="00BB4951">
        <w:rPr>
          <w:rFonts w:ascii="Arial" w:hAnsi="Arial" w:cs="Arial"/>
          <w:sz w:val="24"/>
          <w:szCs w:val="24"/>
        </w:rPr>
        <w:t xml:space="preserve">case no AC 11/2018. On 14 March 2018 </w:t>
      </w:r>
      <w:r w:rsidR="0096091F">
        <w:rPr>
          <w:rFonts w:ascii="Arial" w:hAnsi="Arial" w:cs="Arial"/>
          <w:sz w:val="24"/>
          <w:szCs w:val="24"/>
        </w:rPr>
        <w:t>t</w:t>
      </w:r>
      <w:r w:rsidR="00BB4951">
        <w:rPr>
          <w:rFonts w:ascii="Arial" w:hAnsi="Arial" w:cs="Arial"/>
          <w:sz w:val="24"/>
          <w:szCs w:val="24"/>
        </w:rPr>
        <w:t>he Lender filed an urgent a</w:t>
      </w:r>
      <w:r w:rsidR="000214CF">
        <w:rPr>
          <w:rFonts w:ascii="Arial" w:hAnsi="Arial" w:cs="Arial"/>
          <w:sz w:val="24"/>
          <w:szCs w:val="24"/>
        </w:rPr>
        <w:t>pplication for the sale of the V</w:t>
      </w:r>
      <w:r w:rsidR="00BB4951">
        <w:rPr>
          <w:rFonts w:ascii="Arial" w:hAnsi="Arial" w:cs="Arial"/>
          <w:sz w:val="24"/>
          <w:szCs w:val="24"/>
        </w:rPr>
        <w:t xml:space="preserve">essel. On 20 March 2018 a </w:t>
      </w:r>
      <w:r w:rsidR="00BB4951" w:rsidRPr="00B73BD1">
        <w:rPr>
          <w:rFonts w:ascii="Arial" w:hAnsi="Arial" w:cs="Arial"/>
          <w:i/>
          <w:sz w:val="24"/>
          <w:szCs w:val="24"/>
        </w:rPr>
        <w:t>rule nisi</w:t>
      </w:r>
      <w:r w:rsidR="00BB4951">
        <w:rPr>
          <w:rFonts w:ascii="Arial" w:hAnsi="Arial" w:cs="Arial"/>
          <w:sz w:val="24"/>
          <w:szCs w:val="24"/>
        </w:rPr>
        <w:t xml:space="preserve"> was issued with the return date of 17 April 2018. On 10 April 2018, Bunkernet filed an application to intervene and thereafter an amended order was granted by agreement between the Lender and Bunkernet.</w:t>
      </w:r>
    </w:p>
    <w:p w:rsidR="00171A6C" w:rsidRDefault="00171A6C" w:rsidP="00A83330">
      <w:pPr>
        <w:spacing w:line="360" w:lineRule="auto"/>
        <w:rPr>
          <w:rFonts w:ascii="Arial" w:hAnsi="Arial" w:cs="Arial"/>
          <w:sz w:val="24"/>
          <w:szCs w:val="24"/>
        </w:rPr>
      </w:pPr>
    </w:p>
    <w:p w:rsidR="00DA1471" w:rsidRDefault="00DA1471" w:rsidP="00F95223">
      <w:pPr>
        <w:spacing w:line="360" w:lineRule="auto"/>
        <w:rPr>
          <w:rFonts w:ascii="Arial" w:hAnsi="Arial" w:cs="Arial"/>
          <w:sz w:val="24"/>
          <w:szCs w:val="24"/>
        </w:rPr>
      </w:pPr>
      <w:r>
        <w:rPr>
          <w:rFonts w:ascii="Arial" w:hAnsi="Arial" w:cs="Arial"/>
          <w:sz w:val="24"/>
          <w:szCs w:val="24"/>
        </w:rPr>
        <w:t>[</w:t>
      </w:r>
      <w:r w:rsidR="004A02EC">
        <w:rPr>
          <w:rFonts w:ascii="Arial" w:hAnsi="Arial" w:cs="Arial"/>
          <w:sz w:val="24"/>
          <w:szCs w:val="24"/>
        </w:rPr>
        <w:t>13</w:t>
      </w:r>
      <w:r>
        <w:rPr>
          <w:rFonts w:ascii="Arial" w:hAnsi="Arial" w:cs="Arial"/>
          <w:sz w:val="24"/>
          <w:szCs w:val="24"/>
        </w:rPr>
        <w:t>]</w:t>
      </w:r>
      <w:r>
        <w:rPr>
          <w:rFonts w:ascii="Arial" w:hAnsi="Arial" w:cs="Arial"/>
          <w:sz w:val="24"/>
          <w:szCs w:val="24"/>
        </w:rPr>
        <w:tab/>
        <w:t>In terms of the final sale</w:t>
      </w:r>
      <w:r w:rsidR="002F1EDC">
        <w:rPr>
          <w:rFonts w:ascii="Arial" w:hAnsi="Arial" w:cs="Arial"/>
          <w:sz w:val="24"/>
          <w:szCs w:val="24"/>
        </w:rPr>
        <w:t xml:space="preserve"> order granted, two funds, the </w:t>
      </w:r>
      <w:r w:rsidR="002F1EDC" w:rsidRPr="006E0C7D">
        <w:rPr>
          <w:rFonts w:ascii="Arial" w:hAnsi="Arial" w:cs="Arial"/>
          <w:b/>
          <w:sz w:val="24"/>
          <w:szCs w:val="24"/>
        </w:rPr>
        <w:t>S</w:t>
      </w:r>
      <w:r w:rsidRPr="006E0C7D">
        <w:rPr>
          <w:rFonts w:ascii="Arial" w:hAnsi="Arial" w:cs="Arial"/>
          <w:b/>
          <w:sz w:val="24"/>
          <w:szCs w:val="24"/>
        </w:rPr>
        <w:t xml:space="preserve">hip </w:t>
      </w:r>
      <w:r w:rsidR="002F1EDC" w:rsidRPr="006E0C7D">
        <w:rPr>
          <w:rFonts w:ascii="Arial" w:hAnsi="Arial" w:cs="Arial"/>
          <w:b/>
          <w:sz w:val="24"/>
          <w:szCs w:val="24"/>
        </w:rPr>
        <w:t>Fund</w:t>
      </w:r>
      <w:r w:rsidR="002F1EDC">
        <w:rPr>
          <w:rFonts w:ascii="Arial" w:hAnsi="Arial" w:cs="Arial"/>
          <w:sz w:val="24"/>
          <w:szCs w:val="24"/>
        </w:rPr>
        <w:t xml:space="preserve"> and the </w:t>
      </w:r>
      <w:r w:rsidR="002F1EDC" w:rsidRPr="006E0C7D">
        <w:rPr>
          <w:rFonts w:ascii="Arial" w:hAnsi="Arial" w:cs="Arial"/>
          <w:b/>
          <w:sz w:val="24"/>
          <w:szCs w:val="24"/>
        </w:rPr>
        <w:t>B</w:t>
      </w:r>
      <w:r w:rsidRPr="006E0C7D">
        <w:rPr>
          <w:rFonts w:ascii="Arial" w:hAnsi="Arial" w:cs="Arial"/>
          <w:b/>
          <w:sz w:val="24"/>
          <w:szCs w:val="24"/>
        </w:rPr>
        <w:t xml:space="preserve">unker </w:t>
      </w:r>
      <w:r w:rsidR="002F1EDC" w:rsidRPr="006E0C7D">
        <w:rPr>
          <w:rFonts w:ascii="Arial" w:hAnsi="Arial" w:cs="Arial"/>
          <w:b/>
          <w:sz w:val="24"/>
          <w:szCs w:val="24"/>
        </w:rPr>
        <w:t>F</w:t>
      </w:r>
      <w:r w:rsidRPr="006E0C7D">
        <w:rPr>
          <w:rFonts w:ascii="Arial" w:hAnsi="Arial" w:cs="Arial"/>
          <w:b/>
          <w:sz w:val="24"/>
          <w:szCs w:val="24"/>
        </w:rPr>
        <w:t>und</w:t>
      </w:r>
      <w:r>
        <w:rPr>
          <w:rFonts w:ascii="Arial" w:hAnsi="Arial" w:cs="Arial"/>
          <w:sz w:val="24"/>
          <w:szCs w:val="24"/>
        </w:rPr>
        <w:t xml:space="preserve">, were </w:t>
      </w:r>
      <w:r w:rsidR="00171A6C">
        <w:rPr>
          <w:rFonts w:ascii="Arial" w:hAnsi="Arial" w:cs="Arial"/>
          <w:sz w:val="24"/>
          <w:szCs w:val="24"/>
        </w:rPr>
        <w:t>established</w:t>
      </w:r>
      <w:r>
        <w:rPr>
          <w:rFonts w:ascii="Arial" w:hAnsi="Arial" w:cs="Arial"/>
          <w:sz w:val="24"/>
          <w:szCs w:val="24"/>
        </w:rPr>
        <w:t xml:space="preserve">. After </w:t>
      </w:r>
      <w:r w:rsidR="00C7657D">
        <w:rPr>
          <w:rFonts w:ascii="Arial" w:hAnsi="Arial" w:cs="Arial"/>
          <w:sz w:val="24"/>
          <w:szCs w:val="24"/>
        </w:rPr>
        <w:t>the right</w:t>
      </w:r>
      <w:r w:rsidR="002F1EDC">
        <w:rPr>
          <w:rFonts w:ascii="Arial" w:hAnsi="Arial" w:cs="Arial"/>
          <w:sz w:val="24"/>
          <w:szCs w:val="24"/>
        </w:rPr>
        <w:t xml:space="preserve"> procedures were followed, the V</w:t>
      </w:r>
      <w:r>
        <w:rPr>
          <w:rFonts w:ascii="Arial" w:hAnsi="Arial" w:cs="Arial"/>
          <w:sz w:val="24"/>
          <w:szCs w:val="24"/>
        </w:rPr>
        <w:t>essel was sold by judicial private treat</w:t>
      </w:r>
      <w:r w:rsidR="006E0C7D">
        <w:rPr>
          <w:rFonts w:ascii="Arial" w:hAnsi="Arial" w:cs="Arial"/>
          <w:sz w:val="24"/>
          <w:szCs w:val="24"/>
        </w:rPr>
        <w:t>y to NKD Maritime Company SA (“t</w:t>
      </w:r>
      <w:r>
        <w:rPr>
          <w:rFonts w:ascii="Arial" w:hAnsi="Arial" w:cs="Arial"/>
          <w:sz w:val="24"/>
          <w:szCs w:val="24"/>
        </w:rPr>
        <w:t xml:space="preserve">he purchaser”) for the sum of </w:t>
      </w:r>
      <w:r w:rsidR="00206AAF">
        <w:rPr>
          <w:rFonts w:ascii="Arial" w:hAnsi="Arial" w:cs="Arial"/>
          <w:sz w:val="24"/>
          <w:szCs w:val="24"/>
        </w:rPr>
        <w:t>USD</w:t>
      </w:r>
      <w:r>
        <w:rPr>
          <w:rFonts w:ascii="Arial" w:hAnsi="Arial" w:cs="Arial"/>
          <w:sz w:val="24"/>
          <w:szCs w:val="24"/>
        </w:rPr>
        <w:t>2,250,</w:t>
      </w:r>
      <w:r w:rsidR="00454574">
        <w:rPr>
          <w:rFonts w:ascii="Arial" w:hAnsi="Arial" w:cs="Arial"/>
          <w:sz w:val="24"/>
          <w:szCs w:val="24"/>
        </w:rPr>
        <w:t>000.00 (</w:t>
      </w:r>
      <w:r w:rsidR="00206AAF">
        <w:rPr>
          <w:rFonts w:ascii="Arial" w:hAnsi="Arial" w:cs="Arial"/>
          <w:sz w:val="24"/>
          <w:szCs w:val="24"/>
        </w:rPr>
        <w:t>USD</w:t>
      </w:r>
      <w:r w:rsidR="00171A6C">
        <w:rPr>
          <w:rFonts w:ascii="Arial" w:hAnsi="Arial" w:cs="Arial"/>
          <w:sz w:val="24"/>
          <w:szCs w:val="24"/>
        </w:rPr>
        <w:t>,164,400.00 in respect of the V</w:t>
      </w:r>
      <w:r>
        <w:rPr>
          <w:rFonts w:ascii="Arial" w:hAnsi="Arial" w:cs="Arial"/>
          <w:sz w:val="24"/>
          <w:szCs w:val="24"/>
        </w:rPr>
        <w:t>essel an</w:t>
      </w:r>
      <w:r w:rsidR="002F1EDC">
        <w:rPr>
          <w:rFonts w:ascii="Arial" w:hAnsi="Arial" w:cs="Arial"/>
          <w:sz w:val="24"/>
          <w:szCs w:val="24"/>
        </w:rPr>
        <w:t>d US85 600.80 for the bunkers). S</w:t>
      </w:r>
      <w:r>
        <w:rPr>
          <w:rFonts w:ascii="Arial" w:hAnsi="Arial" w:cs="Arial"/>
          <w:sz w:val="24"/>
          <w:szCs w:val="24"/>
        </w:rPr>
        <w:t>he was delivered to the owner on 20 April 2018.</w:t>
      </w:r>
    </w:p>
    <w:p w:rsidR="00DA1471" w:rsidRDefault="00DA1471" w:rsidP="00F95223">
      <w:pPr>
        <w:spacing w:line="360" w:lineRule="auto"/>
        <w:rPr>
          <w:rFonts w:ascii="Arial" w:hAnsi="Arial" w:cs="Arial"/>
          <w:sz w:val="24"/>
          <w:szCs w:val="24"/>
        </w:rPr>
      </w:pPr>
    </w:p>
    <w:p w:rsidR="00A72F02" w:rsidRDefault="00DA1471" w:rsidP="00F95223">
      <w:pPr>
        <w:spacing w:line="360" w:lineRule="auto"/>
        <w:rPr>
          <w:rFonts w:ascii="Arial" w:hAnsi="Arial" w:cs="Arial"/>
          <w:sz w:val="24"/>
          <w:szCs w:val="24"/>
        </w:rPr>
      </w:pPr>
      <w:r>
        <w:rPr>
          <w:rFonts w:ascii="Arial" w:hAnsi="Arial" w:cs="Arial"/>
          <w:sz w:val="24"/>
          <w:szCs w:val="24"/>
        </w:rPr>
        <w:t>[</w:t>
      </w:r>
      <w:r w:rsidR="004A02EC">
        <w:rPr>
          <w:rFonts w:ascii="Arial" w:hAnsi="Arial" w:cs="Arial"/>
          <w:sz w:val="24"/>
          <w:szCs w:val="24"/>
        </w:rPr>
        <w:t>14</w:t>
      </w:r>
      <w:r>
        <w:rPr>
          <w:rFonts w:ascii="Arial" w:hAnsi="Arial" w:cs="Arial"/>
          <w:sz w:val="24"/>
          <w:szCs w:val="24"/>
        </w:rPr>
        <w:t>]</w:t>
      </w:r>
      <w:r>
        <w:rPr>
          <w:rFonts w:ascii="Arial" w:hAnsi="Arial" w:cs="Arial"/>
          <w:sz w:val="24"/>
          <w:szCs w:val="24"/>
        </w:rPr>
        <w:tab/>
        <w:t>Adv</w:t>
      </w:r>
      <w:r w:rsidR="002F1EDC">
        <w:rPr>
          <w:rFonts w:ascii="Arial" w:hAnsi="Arial" w:cs="Arial"/>
          <w:sz w:val="24"/>
          <w:szCs w:val="24"/>
        </w:rPr>
        <w:t xml:space="preserve"> Darryl Cooke of the Ca</w:t>
      </w:r>
      <w:r>
        <w:rPr>
          <w:rFonts w:ascii="Arial" w:hAnsi="Arial" w:cs="Arial"/>
          <w:sz w:val="24"/>
          <w:szCs w:val="24"/>
        </w:rPr>
        <w:t>pe B</w:t>
      </w:r>
      <w:r w:rsidR="002F1EDC">
        <w:rPr>
          <w:rFonts w:ascii="Arial" w:hAnsi="Arial" w:cs="Arial"/>
          <w:sz w:val="24"/>
          <w:szCs w:val="24"/>
        </w:rPr>
        <w:t>a</w:t>
      </w:r>
      <w:r>
        <w:rPr>
          <w:rFonts w:ascii="Arial" w:hAnsi="Arial" w:cs="Arial"/>
          <w:sz w:val="24"/>
          <w:szCs w:val="24"/>
        </w:rPr>
        <w:t xml:space="preserve">r was appointed as a </w:t>
      </w:r>
      <w:r w:rsidR="002F1EDC">
        <w:rPr>
          <w:rFonts w:ascii="Arial" w:hAnsi="Arial" w:cs="Arial"/>
          <w:sz w:val="24"/>
          <w:szCs w:val="24"/>
        </w:rPr>
        <w:t>R</w:t>
      </w:r>
      <w:r>
        <w:rPr>
          <w:rFonts w:ascii="Arial" w:hAnsi="Arial" w:cs="Arial"/>
          <w:sz w:val="24"/>
          <w:szCs w:val="24"/>
        </w:rPr>
        <w:t xml:space="preserve">eferee </w:t>
      </w:r>
      <w:r w:rsidR="002F1EDC">
        <w:rPr>
          <w:rFonts w:ascii="Arial" w:hAnsi="Arial" w:cs="Arial"/>
          <w:sz w:val="24"/>
          <w:szCs w:val="24"/>
        </w:rPr>
        <w:t>in respect of the F</w:t>
      </w:r>
      <w:r>
        <w:rPr>
          <w:rFonts w:ascii="Arial" w:hAnsi="Arial" w:cs="Arial"/>
          <w:sz w:val="24"/>
          <w:szCs w:val="24"/>
        </w:rPr>
        <w:t>unds to recei</w:t>
      </w:r>
      <w:r w:rsidR="002F1EDC">
        <w:rPr>
          <w:rFonts w:ascii="Arial" w:hAnsi="Arial" w:cs="Arial"/>
          <w:sz w:val="24"/>
          <w:szCs w:val="24"/>
        </w:rPr>
        <w:t>ve, examine and report to this C</w:t>
      </w:r>
      <w:r>
        <w:rPr>
          <w:rFonts w:ascii="Arial" w:hAnsi="Arial" w:cs="Arial"/>
          <w:sz w:val="24"/>
          <w:szCs w:val="24"/>
        </w:rPr>
        <w:t>ourt</w:t>
      </w:r>
      <w:r w:rsidR="000A7F47">
        <w:rPr>
          <w:rFonts w:ascii="Arial" w:hAnsi="Arial" w:cs="Arial"/>
          <w:sz w:val="24"/>
          <w:szCs w:val="24"/>
        </w:rPr>
        <w:t xml:space="preserve"> on the validity, quantum and ranking of claims against the </w:t>
      </w:r>
      <w:r w:rsidR="002F1EDC">
        <w:rPr>
          <w:rFonts w:ascii="Arial" w:hAnsi="Arial" w:cs="Arial"/>
          <w:sz w:val="24"/>
          <w:szCs w:val="24"/>
        </w:rPr>
        <w:t xml:space="preserve">Funds. </w:t>
      </w:r>
    </w:p>
    <w:p w:rsidR="00BF194A" w:rsidRDefault="00BF194A" w:rsidP="00F95223">
      <w:pPr>
        <w:spacing w:line="360" w:lineRule="auto"/>
        <w:rPr>
          <w:rFonts w:ascii="Arial" w:hAnsi="Arial" w:cs="Arial"/>
          <w:sz w:val="24"/>
          <w:szCs w:val="24"/>
        </w:rPr>
      </w:pPr>
    </w:p>
    <w:p w:rsidR="00DA1471" w:rsidRDefault="002F1EDC" w:rsidP="00F95223">
      <w:pPr>
        <w:spacing w:line="360" w:lineRule="auto"/>
        <w:rPr>
          <w:rFonts w:ascii="Arial" w:hAnsi="Arial" w:cs="Arial"/>
          <w:sz w:val="24"/>
          <w:szCs w:val="24"/>
        </w:rPr>
      </w:pPr>
      <w:r w:rsidRPr="00213120">
        <w:rPr>
          <w:rFonts w:ascii="Arial" w:hAnsi="Arial" w:cs="Arial"/>
          <w:sz w:val="24"/>
          <w:szCs w:val="24"/>
          <w:u w:val="single"/>
        </w:rPr>
        <w:t>The L</w:t>
      </w:r>
      <w:r w:rsidR="000A7F47" w:rsidRPr="00213120">
        <w:rPr>
          <w:rFonts w:ascii="Arial" w:hAnsi="Arial" w:cs="Arial"/>
          <w:sz w:val="24"/>
          <w:szCs w:val="24"/>
          <w:u w:val="single"/>
        </w:rPr>
        <w:t>e</w:t>
      </w:r>
      <w:r w:rsidRPr="00213120">
        <w:rPr>
          <w:rFonts w:ascii="Arial" w:hAnsi="Arial" w:cs="Arial"/>
          <w:sz w:val="24"/>
          <w:szCs w:val="24"/>
          <w:u w:val="single"/>
        </w:rPr>
        <w:t>nder</w:t>
      </w:r>
      <w:r w:rsidR="00213120">
        <w:rPr>
          <w:rFonts w:ascii="Arial" w:hAnsi="Arial" w:cs="Arial"/>
          <w:sz w:val="24"/>
          <w:szCs w:val="24"/>
        </w:rPr>
        <w:t xml:space="preserve"> </w:t>
      </w:r>
      <w:r>
        <w:rPr>
          <w:rFonts w:ascii="Arial" w:hAnsi="Arial" w:cs="Arial"/>
          <w:sz w:val="24"/>
          <w:szCs w:val="24"/>
        </w:rPr>
        <w:t>lodged claims against the F</w:t>
      </w:r>
      <w:r w:rsidR="000A7F47">
        <w:rPr>
          <w:rFonts w:ascii="Arial" w:hAnsi="Arial" w:cs="Arial"/>
          <w:sz w:val="24"/>
          <w:szCs w:val="24"/>
        </w:rPr>
        <w:t>unds claiming:</w:t>
      </w:r>
    </w:p>
    <w:p w:rsidR="000A7F47" w:rsidRDefault="004A02EC" w:rsidP="00F95223">
      <w:pPr>
        <w:spacing w:line="360" w:lineRule="auto"/>
        <w:rPr>
          <w:rFonts w:ascii="Arial" w:hAnsi="Arial" w:cs="Arial"/>
          <w:sz w:val="24"/>
          <w:szCs w:val="24"/>
        </w:rPr>
      </w:pPr>
      <w:r>
        <w:rPr>
          <w:rFonts w:ascii="Arial" w:hAnsi="Arial" w:cs="Arial"/>
          <w:sz w:val="24"/>
          <w:szCs w:val="24"/>
        </w:rPr>
        <w:t>14</w:t>
      </w:r>
      <w:r w:rsidR="002F1EDC">
        <w:rPr>
          <w:rFonts w:ascii="Arial" w:hAnsi="Arial" w:cs="Arial"/>
          <w:sz w:val="24"/>
          <w:szCs w:val="24"/>
        </w:rPr>
        <w:t>.1</w:t>
      </w:r>
      <w:r w:rsidR="002F1EDC">
        <w:rPr>
          <w:rFonts w:ascii="Arial" w:hAnsi="Arial" w:cs="Arial"/>
          <w:sz w:val="24"/>
          <w:szCs w:val="24"/>
        </w:rPr>
        <w:tab/>
      </w:r>
      <w:r w:rsidR="00454574">
        <w:rPr>
          <w:rFonts w:ascii="Arial" w:hAnsi="Arial" w:cs="Arial"/>
          <w:sz w:val="24"/>
          <w:szCs w:val="24"/>
        </w:rPr>
        <w:t xml:space="preserve">payment of the sum of </w:t>
      </w:r>
      <w:r w:rsidR="00206AAF">
        <w:rPr>
          <w:rFonts w:ascii="Arial" w:hAnsi="Arial" w:cs="Arial"/>
          <w:sz w:val="24"/>
          <w:szCs w:val="24"/>
        </w:rPr>
        <w:t>USD</w:t>
      </w:r>
      <w:r w:rsidR="000A7F47">
        <w:rPr>
          <w:rFonts w:ascii="Arial" w:hAnsi="Arial" w:cs="Arial"/>
          <w:sz w:val="24"/>
          <w:szCs w:val="24"/>
        </w:rPr>
        <w:t>5,779,401.98 (</w:t>
      </w:r>
      <w:r w:rsidR="000A7F47" w:rsidRPr="00A72F02">
        <w:rPr>
          <w:rFonts w:ascii="Arial" w:hAnsi="Arial" w:cs="Arial"/>
          <w:b/>
          <w:sz w:val="24"/>
          <w:szCs w:val="24"/>
        </w:rPr>
        <w:t>the mortgage claim</w:t>
      </w:r>
      <w:r w:rsidR="000A7F47">
        <w:rPr>
          <w:rFonts w:ascii="Arial" w:hAnsi="Arial" w:cs="Arial"/>
          <w:sz w:val="24"/>
          <w:szCs w:val="24"/>
        </w:rPr>
        <w:t>);</w:t>
      </w:r>
    </w:p>
    <w:p w:rsidR="000A7F47" w:rsidRDefault="004A02EC" w:rsidP="00F95223">
      <w:pPr>
        <w:spacing w:line="360" w:lineRule="auto"/>
        <w:rPr>
          <w:rFonts w:ascii="Arial" w:hAnsi="Arial" w:cs="Arial"/>
          <w:sz w:val="24"/>
          <w:szCs w:val="24"/>
        </w:rPr>
      </w:pPr>
      <w:r>
        <w:rPr>
          <w:rFonts w:ascii="Arial" w:hAnsi="Arial" w:cs="Arial"/>
          <w:sz w:val="24"/>
          <w:szCs w:val="24"/>
        </w:rPr>
        <w:t>14</w:t>
      </w:r>
      <w:r w:rsidR="002F1EDC">
        <w:rPr>
          <w:rFonts w:ascii="Arial" w:hAnsi="Arial" w:cs="Arial"/>
          <w:sz w:val="24"/>
          <w:szCs w:val="24"/>
        </w:rPr>
        <w:t>.2</w:t>
      </w:r>
      <w:r w:rsidR="002F1EDC">
        <w:rPr>
          <w:rFonts w:ascii="Arial" w:hAnsi="Arial" w:cs="Arial"/>
          <w:sz w:val="24"/>
          <w:szCs w:val="24"/>
        </w:rPr>
        <w:tab/>
      </w:r>
      <w:r w:rsidR="000A7F47">
        <w:rPr>
          <w:rFonts w:ascii="Arial" w:hAnsi="Arial" w:cs="Arial"/>
          <w:sz w:val="24"/>
          <w:szCs w:val="24"/>
        </w:rPr>
        <w:t xml:space="preserve">Payment of the sum of </w:t>
      </w:r>
      <w:r w:rsidR="00206AAF">
        <w:rPr>
          <w:rFonts w:ascii="Arial" w:hAnsi="Arial" w:cs="Arial"/>
          <w:sz w:val="24"/>
          <w:szCs w:val="24"/>
        </w:rPr>
        <w:t>USD</w:t>
      </w:r>
      <w:r w:rsidR="000A7F47">
        <w:rPr>
          <w:rFonts w:ascii="Arial" w:hAnsi="Arial" w:cs="Arial"/>
          <w:sz w:val="24"/>
          <w:szCs w:val="24"/>
        </w:rPr>
        <w:t xml:space="preserve">737,075.98 (expenses claim) for additional costs </w:t>
      </w:r>
      <w:r w:rsidR="00454574">
        <w:rPr>
          <w:rFonts w:ascii="Arial" w:hAnsi="Arial" w:cs="Arial"/>
          <w:sz w:val="24"/>
          <w:szCs w:val="24"/>
        </w:rPr>
        <w:tab/>
      </w:r>
      <w:r w:rsidR="00171A6C">
        <w:rPr>
          <w:rFonts w:ascii="Arial" w:hAnsi="Arial" w:cs="Arial"/>
          <w:sz w:val="24"/>
          <w:szCs w:val="24"/>
        </w:rPr>
        <w:t>and expenses incurred by the L</w:t>
      </w:r>
      <w:r w:rsidR="000A7F47">
        <w:rPr>
          <w:rFonts w:ascii="Arial" w:hAnsi="Arial" w:cs="Arial"/>
          <w:sz w:val="24"/>
          <w:szCs w:val="24"/>
        </w:rPr>
        <w:t xml:space="preserve">ender in connection with the enforcement and </w:t>
      </w:r>
      <w:r w:rsidR="000A7F47">
        <w:rPr>
          <w:rFonts w:ascii="Arial" w:hAnsi="Arial" w:cs="Arial"/>
          <w:sz w:val="24"/>
          <w:szCs w:val="24"/>
        </w:rPr>
        <w:tab/>
        <w:t>preservation of its rights under the loan agreement and mortgage.</w:t>
      </w:r>
    </w:p>
    <w:p w:rsidR="000A7F47" w:rsidRDefault="004A02EC" w:rsidP="00F95223">
      <w:pPr>
        <w:spacing w:line="360" w:lineRule="auto"/>
        <w:rPr>
          <w:rFonts w:ascii="Arial" w:hAnsi="Arial" w:cs="Arial"/>
          <w:sz w:val="24"/>
          <w:szCs w:val="24"/>
        </w:rPr>
      </w:pPr>
      <w:r>
        <w:rPr>
          <w:rFonts w:ascii="Arial" w:hAnsi="Arial" w:cs="Arial"/>
          <w:sz w:val="24"/>
          <w:szCs w:val="24"/>
        </w:rPr>
        <w:lastRenderedPageBreak/>
        <w:t>14</w:t>
      </w:r>
      <w:r w:rsidR="002F1EDC">
        <w:rPr>
          <w:rFonts w:ascii="Arial" w:hAnsi="Arial" w:cs="Arial"/>
          <w:sz w:val="24"/>
          <w:szCs w:val="24"/>
        </w:rPr>
        <w:t>.3</w:t>
      </w:r>
      <w:r w:rsidR="002F1EDC">
        <w:rPr>
          <w:rFonts w:ascii="Arial" w:hAnsi="Arial" w:cs="Arial"/>
          <w:sz w:val="24"/>
          <w:szCs w:val="24"/>
        </w:rPr>
        <w:tab/>
      </w:r>
      <w:r w:rsidR="00454574">
        <w:rPr>
          <w:rFonts w:ascii="Arial" w:hAnsi="Arial" w:cs="Arial"/>
          <w:sz w:val="24"/>
          <w:szCs w:val="24"/>
        </w:rPr>
        <w:t xml:space="preserve">Payment in the sum of </w:t>
      </w:r>
      <w:r w:rsidR="00206AAF">
        <w:rPr>
          <w:rFonts w:ascii="Arial" w:hAnsi="Arial" w:cs="Arial"/>
          <w:sz w:val="24"/>
          <w:szCs w:val="24"/>
        </w:rPr>
        <w:t>USD</w:t>
      </w:r>
      <w:r w:rsidR="000A7F47">
        <w:rPr>
          <w:rFonts w:ascii="Arial" w:hAnsi="Arial" w:cs="Arial"/>
          <w:sz w:val="24"/>
          <w:szCs w:val="24"/>
        </w:rPr>
        <w:t>168,244.80 for costs</w:t>
      </w:r>
      <w:r w:rsidR="00171A6C">
        <w:rPr>
          <w:rFonts w:ascii="Arial" w:hAnsi="Arial" w:cs="Arial"/>
          <w:sz w:val="24"/>
          <w:szCs w:val="24"/>
        </w:rPr>
        <w:t xml:space="preserve"> and expenses incurred by the </w:t>
      </w:r>
      <w:r w:rsidR="00171A6C">
        <w:rPr>
          <w:rFonts w:ascii="Arial" w:hAnsi="Arial" w:cs="Arial"/>
          <w:sz w:val="24"/>
          <w:szCs w:val="24"/>
        </w:rPr>
        <w:tab/>
        <w:t>Lender to preserve the V</w:t>
      </w:r>
      <w:r w:rsidR="000A7F47">
        <w:rPr>
          <w:rFonts w:ascii="Arial" w:hAnsi="Arial" w:cs="Arial"/>
          <w:sz w:val="24"/>
          <w:szCs w:val="24"/>
        </w:rPr>
        <w:t xml:space="preserve">essel from the arrest at Walvis Bay until conclusion of </w:t>
      </w:r>
      <w:r w:rsidR="000A7F47">
        <w:rPr>
          <w:rFonts w:ascii="Arial" w:hAnsi="Arial" w:cs="Arial"/>
          <w:sz w:val="24"/>
          <w:szCs w:val="24"/>
        </w:rPr>
        <w:tab/>
        <w:t>the sale.</w:t>
      </w:r>
    </w:p>
    <w:p w:rsidR="000A7F47" w:rsidRDefault="004A02EC" w:rsidP="00F95223">
      <w:pPr>
        <w:spacing w:line="360" w:lineRule="auto"/>
        <w:rPr>
          <w:rFonts w:ascii="Arial" w:hAnsi="Arial" w:cs="Arial"/>
          <w:sz w:val="24"/>
          <w:szCs w:val="24"/>
        </w:rPr>
      </w:pPr>
      <w:r>
        <w:rPr>
          <w:rFonts w:ascii="Arial" w:hAnsi="Arial" w:cs="Arial"/>
          <w:sz w:val="24"/>
          <w:szCs w:val="24"/>
        </w:rPr>
        <w:t>14</w:t>
      </w:r>
      <w:r w:rsidR="002F1EDC">
        <w:rPr>
          <w:rFonts w:ascii="Arial" w:hAnsi="Arial" w:cs="Arial"/>
          <w:sz w:val="24"/>
          <w:szCs w:val="24"/>
        </w:rPr>
        <w:t>.4</w:t>
      </w:r>
      <w:r w:rsidR="002F1EDC">
        <w:rPr>
          <w:rFonts w:ascii="Arial" w:hAnsi="Arial" w:cs="Arial"/>
          <w:sz w:val="24"/>
          <w:szCs w:val="24"/>
        </w:rPr>
        <w:tab/>
      </w:r>
      <w:r w:rsidR="00171A6C">
        <w:rPr>
          <w:rFonts w:ascii="Arial" w:hAnsi="Arial" w:cs="Arial"/>
          <w:sz w:val="24"/>
          <w:szCs w:val="24"/>
        </w:rPr>
        <w:t>legal costs incurred by the L</w:t>
      </w:r>
      <w:r w:rsidR="000A7F47">
        <w:rPr>
          <w:rFonts w:ascii="Arial" w:hAnsi="Arial" w:cs="Arial"/>
          <w:sz w:val="24"/>
          <w:szCs w:val="24"/>
        </w:rPr>
        <w:t xml:space="preserve">ender to procure the sale of the </w:t>
      </w:r>
      <w:r w:rsidR="00171A6C">
        <w:rPr>
          <w:rFonts w:ascii="Arial" w:hAnsi="Arial" w:cs="Arial"/>
          <w:sz w:val="24"/>
          <w:szCs w:val="24"/>
        </w:rPr>
        <w:t>V</w:t>
      </w:r>
      <w:r w:rsidR="000A7F47">
        <w:rPr>
          <w:rFonts w:ascii="Arial" w:hAnsi="Arial" w:cs="Arial"/>
          <w:sz w:val="24"/>
          <w:szCs w:val="24"/>
        </w:rPr>
        <w:t xml:space="preserve">essel and the </w:t>
      </w:r>
      <w:r w:rsidR="000A7F47">
        <w:rPr>
          <w:rFonts w:ascii="Arial" w:hAnsi="Arial" w:cs="Arial"/>
          <w:sz w:val="24"/>
          <w:szCs w:val="24"/>
        </w:rPr>
        <w:tab/>
        <w:t>distribution of the proceeds of the sale.</w:t>
      </w:r>
    </w:p>
    <w:p w:rsidR="000A7F47" w:rsidRDefault="004A02EC" w:rsidP="00F95223">
      <w:pPr>
        <w:spacing w:line="360" w:lineRule="auto"/>
        <w:rPr>
          <w:rFonts w:ascii="Arial" w:hAnsi="Arial" w:cs="Arial"/>
          <w:sz w:val="24"/>
          <w:szCs w:val="24"/>
        </w:rPr>
      </w:pPr>
      <w:r>
        <w:rPr>
          <w:rFonts w:ascii="Arial" w:hAnsi="Arial" w:cs="Arial"/>
          <w:sz w:val="24"/>
          <w:szCs w:val="24"/>
        </w:rPr>
        <w:t>14</w:t>
      </w:r>
      <w:r w:rsidR="002F1EDC">
        <w:rPr>
          <w:rFonts w:ascii="Arial" w:hAnsi="Arial" w:cs="Arial"/>
          <w:sz w:val="24"/>
          <w:szCs w:val="24"/>
        </w:rPr>
        <w:t>.5</w:t>
      </w:r>
      <w:r w:rsidR="002F1EDC">
        <w:rPr>
          <w:rFonts w:ascii="Arial" w:hAnsi="Arial" w:cs="Arial"/>
          <w:sz w:val="24"/>
          <w:szCs w:val="24"/>
        </w:rPr>
        <w:tab/>
      </w:r>
      <w:r w:rsidR="00454574">
        <w:rPr>
          <w:rFonts w:ascii="Arial" w:hAnsi="Arial" w:cs="Arial"/>
          <w:sz w:val="24"/>
          <w:szCs w:val="24"/>
        </w:rPr>
        <w:t>Interest on the claim amounts.</w:t>
      </w:r>
    </w:p>
    <w:p w:rsidR="00454574" w:rsidRDefault="00454574" w:rsidP="00F95223">
      <w:pPr>
        <w:spacing w:line="360" w:lineRule="auto"/>
        <w:rPr>
          <w:rFonts w:ascii="Arial" w:hAnsi="Arial" w:cs="Arial"/>
          <w:sz w:val="24"/>
          <w:szCs w:val="24"/>
        </w:rPr>
      </w:pPr>
    </w:p>
    <w:p w:rsidR="00454574" w:rsidRDefault="00454574" w:rsidP="00F95223">
      <w:pPr>
        <w:spacing w:line="360" w:lineRule="auto"/>
        <w:rPr>
          <w:rFonts w:ascii="Arial" w:hAnsi="Arial" w:cs="Arial"/>
          <w:sz w:val="24"/>
          <w:szCs w:val="24"/>
        </w:rPr>
      </w:pPr>
      <w:r>
        <w:rPr>
          <w:rFonts w:ascii="Arial" w:hAnsi="Arial" w:cs="Arial"/>
          <w:sz w:val="24"/>
          <w:szCs w:val="24"/>
        </w:rPr>
        <w:t>[</w:t>
      </w:r>
      <w:r w:rsidR="004A02EC">
        <w:rPr>
          <w:rFonts w:ascii="Arial" w:hAnsi="Arial" w:cs="Arial"/>
          <w:sz w:val="24"/>
          <w:szCs w:val="24"/>
        </w:rPr>
        <w:t>15</w:t>
      </w:r>
      <w:r w:rsidR="002F1EDC">
        <w:rPr>
          <w:rFonts w:ascii="Arial" w:hAnsi="Arial" w:cs="Arial"/>
          <w:sz w:val="24"/>
          <w:szCs w:val="24"/>
        </w:rPr>
        <w:t>]</w:t>
      </w:r>
      <w:r w:rsidR="002F1EDC">
        <w:rPr>
          <w:rFonts w:ascii="Arial" w:hAnsi="Arial" w:cs="Arial"/>
          <w:sz w:val="24"/>
          <w:szCs w:val="24"/>
        </w:rPr>
        <w:tab/>
        <w:t>The L</w:t>
      </w:r>
      <w:r>
        <w:rPr>
          <w:rFonts w:ascii="Arial" w:hAnsi="Arial" w:cs="Arial"/>
          <w:sz w:val="24"/>
          <w:szCs w:val="24"/>
        </w:rPr>
        <w:t xml:space="preserve">ender also lodged a claim of </w:t>
      </w:r>
      <w:r w:rsidR="00206AAF">
        <w:rPr>
          <w:rFonts w:ascii="Arial" w:hAnsi="Arial" w:cs="Arial"/>
          <w:sz w:val="24"/>
          <w:szCs w:val="24"/>
        </w:rPr>
        <w:t>USD</w:t>
      </w:r>
      <w:r w:rsidR="002F1EDC">
        <w:rPr>
          <w:rFonts w:ascii="Arial" w:hAnsi="Arial" w:cs="Arial"/>
          <w:sz w:val="24"/>
          <w:szCs w:val="24"/>
        </w:rPr>
        <w:t>67,466.17 against the Bunker F</w:t>
      </w:r>
      <w:r>
        <w:rPr>
          <w:rFonts w:ascii="Arial" w:hAnsi="Arial" w:cs="Arial"/>
          <w:sz w:val="24"/>
          <w:szCs w:val="24"/>
        </w:rPr>
        <w:t>und for MGO (M</w:t>
      </w:r>
      <w:r w:rsidR="002F1EDC">
        <w:rPr>
          <w:rFonts w:ascii="Arial" w:hAnsi="Arial" w:cs="Arial"/>
          <w:sz w:val="24"/>
          <w:szCs w:val="24"/>
        </w:rPr>
        <w:t>arine Gas Oil) supplied to the V</w:t>
      </w:r>
      <w:r>
        <w:rPr>
          <w:rFonts w:ascii="Arial" w:hAnsi="Arial" w:cs="Arial"/>
          <w:sz w:val="24"/>
          <w:szCs w:val="24"/>
        </w:rPr>
        <w:t xml:space="preserve">essel </w:t>
      </w:r>
      <w:r w:rsidR="000214CF">
        <w:rPr>
          <w:rFonts w:ascii="Arial" w:hAnsi="Arial" w:cs="Arial"/>
          <w:sz w:val="24"/>
          <w:szCs w:val="24"/>
        </w:rPr>
        <w:t>at</w:t>
      </w:r>
      <w:r>
        <w:rPr>
          <w:rFonts w:ascii="Arial" w:hAnsi="Arial" w:cs="Arial"/>
          <w:sz w:val="24"/>
          <w:szCs w:val="24"/>
        </w:rPr>
        <w:t xml:space="preserve"> Luanda on 6 February 2018 and at Walvis Bay after</w:t>
      </w:r>
      <w:r w:rsidR="00171A6C">
        <w:rPr>
          <w:rFonts w:ascii="Arial" w:hAnsi="Arial" w:cs="Arial"/>
          <w:sz w:val="24"/>
          <w:szCs w:val="24"/>
        </w:rPr>
        <w:t xml:space="preserve"> the V</w:t>
      </w:r>
      <w:r>
        <w:rPr>
          <w:rFonts w:ascii="Arial" w:hAnsi="Arial" w:cs="Arial"/>
          <w:sz w:val="24"/>
          <w:szCs w:val="24"/>
        </w:rPr>
        <w:t xml:space="preserve">essel was arrested. </w:t>
      </w:r>
      <w:r w:rsidR="002F1EDC">
        <w:rPr>
          <w:rFonts w:ascii="Arial" w:hAnsi="Arial" w:cs="Arial"/>
          <w:sz w:val="24"/>
          <w:szCs w:val="24"/>
        </w:rPr>
        <w:t>The L</w:t>
      </w:r>
      <w:r>
        <w:rPr>
          <w:rFonts w:ascii="Arial" w:hAnsi="Arial" w:cs="Arial"/>
          <w:sz w:val="24"/>
          <w:szCs w:val="24"/>
        </w:rPr>
        <w:t xml:space="preserve">ender’s claim was later amended so that a portion of </w:t>
      </w:r>
      <w:r w:rsidR="000214CF">
        <w:rPr>
          <w:rFonts w:ascii="Arial" w:hAnsi="Arial" w:cs="Arial"/>
          <w:sz w:val="24"/>
          <w:szCs w:val="24"/>
        </w:rPr>
        <w:t>such</w:t>
      </w:r>
      <w:r>
        <w:rPr>
          <w:rFonts w:ascii="Arial" w:hAnsi="Arial" w:cs="Arial"/>
          <w:sz w:val="24"/>
          <w:szCs w:val="24"/>
        </w:rPr>
        <w:t xml:space="preserve"> claim in the sum o</w:t>
      </w:r>
      <w:r w:rsidR="002F1EDC">
        <w:rPr>
          <w:rFonts w:ascii="Arial" w:hAnsi="Arial" w:cs="Arial"/>
          <w:sz w:val="24"/>
          <w:szCs w:val="24"/>
        </w:rPr>
        <w:t xml:space="preserve">f </w:t>
      </w:r>
      <w:r w:rsidR="00206AAF">
        <w:rPr>
          <w:rFonts w:ascii="Arial" w:hAnsi="Arial" w:cs="Arial"/>
          <w:sz w:val="24"/>
          <w:szCs w:val="24"/>
        </w:rPr>
        <w:t>USD</w:t>
      </w:r>
      <w:r w:rsidR="002F1EDC">
        <w:rPr>
          <w:rFonts w:ascii="Arial" w:hAnsi="Arial" w:cs="Arial"/>
          <w:sz w:val="24"/>
          <w:szCs w:val="24"/>
        </w:rPr>
        <w:t>60 968.52 was against the S</w:t>
      </w:r>
      <w:r>
        <w:rPr>
          <w:rFonts w:ascii="Arial" w:hAnsi="Arial" w:cs="Arial"/>
          <w:sz w:val="24"/>
          <w:szCs w:val="24"/>
        </w:rPr>
        <w:t xml:space="preserve">hip </w:t>
      </w:r>
      <w:r w:rsidR="002F1EDC">
        <w:rPr>
          <w:rFonts w:ascii="Arial" w:hAnsi="Arial" w:cs="Arial"/>
          <w:sz w:val="24"/>
          <w:szCs w:val="24"/>
        </w:rPr>
        <w:t>F</w:t>
      </w:r>
      <w:r>
        <w:rPr>
          <w:rFonts w:ascii="Arial" w:hAnsi="Arial" w:cs="Arial"/>
          <w:sz w:val="24"/>
          <w:szCs w:val="24"/>
        </w:rPr>
        <w:t xml:space="preserve">und and only </w:t>
      </w:r>
      <w:r w:rsidR="00206AAF">
        <w:rPr>
          <w:rFonts w:ascii="Arial" w:hAnsi="Arial" w:cs="Arial"/>
          <w:sz w:val="24"/>
          <w:szCs w:val="24"/>
        </w:rPr>
        <w:t>USD</w:t>
      </w:r>
      <w:r w:rsidR="00E9370B">
        <w:rPr>
          <w:rFonts w:ascii="Arial" w:hAnsi="Arial" w:cs="Arial"/>
          <w:sz w:val="24"/>
          <w:szCs w:val="24"/>
        </w:rPr>
        <w:t>6</w:t>
      </w:r>
      <w:r w:rsidR="000214CF">
        <w:rPr>
          <w:rFonts w:ascii="Arial" w:hAnsi="Arial" w:cs="Arial"/>
          <w:sz w:val="24"/>
          <w:szCs w:val="24"/>
        </w:rPr>
        <w:t>,</w:t>
      </w:r>
      <w:r w:rsidR="00E9370B">
        <w:rPr>
          <w:rFonts w:ascii="Arial" w:hAnsi="Arial" w:cs="Arial"/>
          <w:sz w:val="24"/>
          <w:szCs w:val="24"/>
        </w:rPr>
        <w:t>497</w:t>
      </w:r>
      <w:r w:rsidR="00171A6C">
        <w:rPr>
          <w:rFonts w:ascii="Arial" w:hAnsi="Arial" w:cs="Arial"/>
          <w:sz w:val="24"/>
          <w:szCs w:val="24"/>
        </w:rPr>
        <w:t>.65 be claimed from the Bunker F</w:t>
      </w:r>
      <w:r w:rsidR="00E9370B">
        <w:rPr>
          <w:rFonts w:ascii="Arial" w:hAnsi="Arial" w:cs="Arial"/>
          <w:sz w:val="24"/>
          <w:szCs w:val="24"/>
        </w:rPr>
        <w:t xml:space="preserve">und. Jack Marine and </w:t>
      </w:r>
      <w:r w:rsidR="00E462D0">
        <w:rPr>
          <w:rFonts w:ascii="Arial" w:hAnsi="Arial" w:cs="Arial"/>
          <w:sz w:val="24"/>
          <w:szCs w:val="24"/>
        </w:rPr>
        <w:t>Bunkernet</w:t>
      </w:r>
      <w:r w:rsidR="00E9370B">
        <w:rPr>
          <w:rFonts w:ascii="Arial" w:hAnsi="Arial" w:cs="Arial"/>
          <w:sz w:val="24"/>
          <w:szCs w:val="24"/>
        </w:rPr>
        <w:t xml:space="preserve"> </w:t>
      </w:r>
      <w:r w:rsidR="002F1EDC">
        <w:rPr>
          <w:rFonts w:ascii="Arial" w:hAnsi="Arial" w:cs="Arial"/>
          <w:sz w:val="24"/>
          <w:szCs w:val="24"/>
        </w:rPr>
        <w:t>objected to the ranking of the L</w:t>
      </w:r>
      <w:r w:rsidR="00E9370B">
        <w:rPr>
          <w:rFonts w:ascii="Arial" w:hAnsi="Arial" w:cs="Arial"/>
          <w:sz w:val="24"/>
          <w:szCs w:val="24"/>
        </w:rPr>
        <w:t xml:space="preserve">ender’s mortgage claim against the </w:t>
      </w:r>
      <w:r w:rsidR="009200BC">
        <w:rPr>
          <w:rFonts w:ascii="Arial" w:hAnsi="Arial" w:cs="Arial"/>
          <w:sz w:val="24"/>
          <w:szCs w:val="24"/>
        </w:rPr>
        <w:t xml:space="preserve">ship </w:t>
      </w:r>
      <w:r w:rsidR="00E9370B">
        <w:rPr>
          <w:rFonts w:ascii="Arial" w:hAnsi="Arial" w:cs="Arial"/>
          <w:sz w:val="24"/>
          <w:szCs w:val="24"/>
        </w:rPr>
        <w:t xml:space="preserve">fund. </w:t>
      </w:r>
      <w:r w:rsidR="00E462D0">
        <w:rPr>
          <w:rFonts w:ascii="Arial" w:hAnsi="Arial" w:cs="Arial"/>
          <w:sz w:val="24"/>
          <w:szCs w:val="24"/>
        </w:rPr>
        <w:t>Bunkernet</w:t>
      </w:r>
      <w:r w:rsidR="00171A6C">
        <w:rPr>
          <w:rFonts w:ascii="Arial" w:hAnsi="Arial" w:cs="Arial"/>
          <w:sz w:val="24"/>
          <w:szCs w:val="24"/>
        </w:rPr>
        <w:t xml:space="preserve"> </w:t>
      </w:r>
      <w:r w:rsidR="009200BC">
        <w:rPr>
          <w:rFonts w:ascii="Arial" w:hAnsi="Arial" w:cs="Arial"/>
          <w:sz w:val="24"/>
          <w:szCs w:val="24"/>
        </w:rPr>
        <w:t xml:space="preserve">also </w:t>
      </w:r>
      <w:r w:rsidR="00171A6C">
        <w:rPr>
          <w:rFonts w:ascii="Arial" w:hAnsi="Arial" w:cs="Arial"/>
          <w:sz w:val="24"/>
          <w:szCs w:val="24"/>
        </w:rPr>
        <w:t>objected to the L</w:t>
      </w:r>
      <w:r w:rsidR="00E9370B">
        <w:rPr>
          <w:rFonts w:ascii="Arial" w:hAnsi="Arial" w:cs="Arial"/>
          <w:sz w:val="24"/>
          <w:szCs w:val="24"/>
        </w:rPr>
        <w:t xml:space="preserve">ender’s claim against </w:t>
      </w:r>
      <w:r w:rsidR="000214CF">
        <w:rPr>
          <w:rFonts w:ascii="Arial" w:hAnsi="Arial" w:cs="Arial"/>
          <w:sz w:val="24"/>
          <w:szCs w:val="24"/>
        </w:rPr>
        <w:t>b</w:t>
      </w:r>
      <w:r w:rsidR="00E462D0">
        <w:rPr>
          <w:rFonts w:ascii="Arial" w:hAnsi="Arial" w:cs="Arial"/>
          <w:sz w:val="24"/>
          <w:szCs w:val="24"/>
        </w:rPr>
        <w:t>unker</w:t>
      </w:r>
      <w:r w:rsidR="000214CF">
        <w:rPr>
          <w:rFonts w:ascii="Arial" w:hAnsi="Arial" w:cs="Arial"/>
          <w:sz w:val="24"/>
          <w:szCs w:val="24"/>
        </w:rPr>
        <w:t xml:space="preserve"> f</w:t>
      </w:r>
      <w:r w:rsidR="00E9370B">
        <w:rPr>
          <w:rFonts w:ascii="Arial" w:hAnsi="Arial" w:cs="Arial"/>
          <w:sz w:val="24"/>
          <w:szCs w:val="24"/>
        </w:rPr>
        <w:t>und.</w:t>
      </w:r>
    </w:p>
    <w:p w:rsidR="002F1EDC" w:rsidRDefault="002F1EDC" w:rsidP="00F95223">
      <w:pPr>
        <w:spacing w:line="360" w:lineRule="auto"/>
        <w:rPr>
          <w:rFonts w:ascii="Arial" w:hAnsi="Arial" w:cs="Arial"/>
          <w:sz w:val="24"/>
          <w:szCs w:val="24"/>
        </w:rPr>
      </w:pPr>
    </w:p>
    <w:p w:rsidR="00353C40" w:rsidRPr="00E9370B" w:rsidRDefault="00A72F02" w:rsidP="0013018B">
      <w:pPr>
        <w:spacing w:line="360" w:lineRule="auto"/>
        <w:rPr>
          <w:rFonts w:ascii="Arial" w:eastAsia="Calibri" w:hAnsi="Arial" w:cs="Arial"/>
          <w:sz w:val="24"/>
          <w:szCs w:val="24"/>
          <w:u w:val="single"/>
        </w:rPr>
      </w:pPr>
      <w:r>
        <w:rPr>
          <w:rFonts w:ascii="Arial" w:eastAsia="Calibri" w:hAnsi="Arial" w:cs="Arial"/>
          <w:sz w:val="24"/>
          <w:szCs w:val="24"/>
          <w:u w:val="single"/>
        </w:rPr>
        <w:t>The Sheriff</w:t>
      </w:r>
    </w:p>
    <w:p w:rsidR="00E81BC3" w:rsidRDefault="00E9370B"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16</w:t>
      </w:r>
      <w:r>
        <w:rPr>
          <w:rFonts w:ascii="Arial" w:eastAsia="Calibri" w:hAnsi="Arial" w:cs="Arial"/>
          <w:sz w:val="24"/>
          <w:szCs w:val="24"/>
        </w:rPr>
        <w:t>]</w:t>
      </w:r>
      <w:r>
        <w:rPr>
          <w:rFonts w:ascii="Arial" w:eastAsia="Calibri" w:hAnsi="Arial" w:cs="Arial"/>
          <w:sz w:val="24"/>
          <w:szCs w:val="24"/>
        </w:rPr>
        <w:tab/>
        <w:t xml:space="preserve">The </w:t>
      </w:r>
      <w:r w:rsidRPr="006C6C6C">
        <w:rPr>
          <w:rFonts w:ascii="Arial" w:eastAsia="Calibri" w:hAnsi="Arial" w:cs="Arial"/>
          <w:b/>
          <w:sz w:val="24"/>
          <w:szCs w:val="24"/>
        </w:rPr>
        <w:t>Sheriff</w:t>
      </w:r>
      <w:r>
        <w:rPr>
          <w:rFonts w:ascii="Arial" w:eastAsia="Calibri" w:hAnsi="Arial" w:cs="Arial"/>
          <w:sz w:val="24"/>
          <w:szCs w:val="24"/>
        </w:rPr>
        <w:t xml:space="preserve"> claim</w:t>
      </w:r>
      <w:r w:rsidR="009200BC">
        <w:rPr>
          <w:rFonts w:ascii="Arial" w:eastAsia="Calibri" w:hAnsi="Arial" w:cs="Arial"/>
          <w:sz w:val="24"/>
          <w:szCs w:val="24"/>
        </w:rPr>
        <w:t>ed</w:t>
      </w:r>
      <w:r>
        <w:rPr>
          <w:rFonts w:ascii="Arial" w:eastAsia="Calibri" w:hAnsi="Arial" w:cs="Arial"/>
          <w:sz w:val="24"/>
          <w:szCs w:val="24"/>
        </w:rPr>
        <w:t xml:space="preserve"> a sum of N$23 952.25 </w:t>
      </w:r>
      <w:r w:rsidR="000214CF">
        <w:rPr>
          <w:rFonts w:ascii="Arial" w:eastAsia="Calibri" w:hAnsi="Arial" w:cs="Arial"/>
          <w:sz w:val="24"/>
          <w:szCs w:val="24"/>
        </w:rPr>
        <w:t xml:space="preserve">plus interest </w:t>
      </w:r>
      <w:r>
        <w:rPr>
          <w:rFonts w:ascii="Arial" w:eastAsia="Calibri" w:hAnsi="Arial" w:cs="Arial"/>
          <w:sz w:val="24"/>
          <w:szCs w:val="24"/>
        </w:rPr>
        <w:t>in respect of s</w:t>
      </w:r>
      <w:r w:rsidR="006C6C6C">
        <w:rPr>
          <w:rFonts w:ascii="Arial" w:eastAsia="Calibri" w:hAnsi="Arial" w:cs="Arial"/>
          <w:sz w:val="24"/>
          <w:szCs w:val="24"/>
        </w:rPr>
        <w:t>upervision expenses whilst the V</w:t>
      </w:r>
      <w:r>
        <w:rPr>
          <w:rFonts w:ascii="Arial" w:eastAsia="Calibri" w:hAnsi="Arial" w:cs="Arial"/>
          <w:sz w:val="24"/>
          <w:szCs w:val="24"/>
        </w:rPr>
        <w:t xml:space="preserve">essel was under arrest and costs of assessment, </w:t>
      </w:r>
      <w:r w:rsidR="002F1EDC" w:rsidRPr="002F1EDC">
        <w:rPr>
          <w:rFonts w:ascii="Arial" w:eastAsia="Calibri" w:hAnsi="Arial" w:cs="Arial"/>
          <w:sz w:val="24"/>
          <w:szCs w:val="24"/>
        </w:rPr>
        <w:t>collation</w:t>
      </w:r>
      <w:r w:rsidR="00B61EAA">
        <w:rPr>
          <w:rFonts w:ascii="Arial" w:eastAsia="Calibri" w:hAnsi="Arial" w:cs="Arial"/>
          <w:sz w:val="24"/>
          <w:szCs w:val="24"/>
        </w:rPr>
        <w:t xml:space="preserve"> and </w:t>
      </w:r>
      <w:r w:rsidR="002F1EDC" w:rsidRPr="002F1EDC">
        <w:rPr>
          <w:rFonts w:ascii="Arial" w:eastAsia="Calibri" w:hAnsi="Arial" w:cs="Arial"/>
          <w:sz w:val="24"/>
          <w:szCs w:val="24"/>
        </w:rPr>
        <w:t>submission</w:t>
      </w:r>
      <w:r w:rsidR="00B61EAA">
        <w:rPr>
          <w:rFonts w:ascii="Arial" w:eastAsia="Calibri" w:hAnsi="Arial" w:cs="Arial"/>
          <w:sz w:val="24"/>
          <w:szCs w:val="24"/>
        </w:rPr>
        <w:t xml:space="preserve"> of </w:t>
      </w:r>
      <w:r w:rsidR="00A72F02">
        <w:rPr>
          <w:rFonts w:ascii="Arial" w:eastAsia="Calibri" w:hAnsi="Arial" w:cs="Arial"/>
          <w:sz w:val="24"/>
          <w:szCs w:val="24"/>
        </w:rPr>
        <w:t>his</w:t>
      </w:r>
      <w:r w:rsidR="00B61EAA">
        <w:rPr>
          <w:rFonts w:ascii="Arial" w:eastAsia="Calibri" w:hAnsi="Arial" w:cs="Arial"/>
          <w:sz w:val="24"/>
          <w:szCs w:val="24"/>
        </w:rPr>
        <w:t xml:space="preserve"> claim against the fund. The sheriff argues that </w:t>
      </w:r>
      <w:r w:rsidR="00A72F02">
        <w:rPr>
          <w:rFonts w:ascii="Arial" w:eastAsia="Calibri" w:hAnsi="Arial" w:cs="Arial"/>
          <w:sz w:val="24"/>
          <w:szCs w:val="24"/>
        </w:rPr>
        <w:t>his</w:t>
      </w:r>
      <w:r w:rsidR="00B61EAA">
        <w:rPr>
          <w:rFonts w:ascii="Arial" w:eastAsia="Calibri" w:hAnsi="Arial" w:cs="Arial"/>
          <w:sz w:val="24"/>
          <w:szCs w:val="24"/>
        </w:rPr>
        <w:t xml:space="preserve"> claim </w:t>
      </w:r>
      <w:r w:rsidR="009200BC">
        <w:rPr>
          <w:rFonts w:ascii="Arial" w:eastAsia="Calibri" w:hAnsi="Arial" w:cs="Arial"/>
          <w:sz w:val="24"/>
          <w:szCs w:val="24"/>
        </w:rPr>
        <w:t xml:space="preserve">should </w:t>
      </w:r>
      <w:r w:rsidR="00B61EAA">
        <w:rPr>
          <w:rFonts w:ascii="Arial" w:eastAsia="Calibri" w:hAnsi="Arial" w:cs="Arial"/>
          <w:sz w:val="24"/>
          <w:szCs w:val="24"/>
        </w:rPr>
        <w:t xml:space="preserve">rank as </w:t>
      </w:r>
      <w:r w:rsidR="00891665">
        <w:rPr>
          <w:rFonts w:ascii="Arial" w:eastAsia="Calibri" w:hAnsi="Arial" w:cs="Arial"/>
          <w:sz w:val="24"/>
          <w:szCs w:val="24"/>
        </w:rPr>
        <w:t xml:space="preserve">a first </w:t>
      </w:r>
      <w:r w:rsidR="00B61EAA">
        <w:rPr>
          <w:rFonts w:ascii="Arial" w:eastAsia="Calibri" w:hAnsi="Arial" w:cs="Arial"/>
          <w:sz w:val="24"/>
          <w:szCs w:val="24"/>
        </w:rPr>
        <w:t xml:space="preserve">charge against the ship fund. </w:t>
      </w:r>
    </w:p>
    <w:p w:rsidR="009E14BA" w:rsidRDefault="009E14BA" w:rsidP="0013018B">
      <w:pPr>
        <w:spacing w:line="360" w:lineRule="auto"/>
        <w:rPr>
          <w:rFonts w:ascii="Arial" w:eastAsia="Calibri" w:hAnsi="Arial" w:cs="Arial"/>
          <w:sz w:val="24"/>
          <w:szCs w:val="24"/>
        </w:rPr>
      </w:pPr>
    </w:p>
    <w:p w:rsidR="00B61EAA" w:rsidRDefault="00885B40" w:rsidP="0013018B">
      <w:pPr>
        <w:spacing w:line="360" w:lineRule="auto"/>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r>
      <w:r w:rsidR="00B61EAA" w:rsidRPr="00A72F02">
        <w:rPr>
          <w:rFonts w:ascii="Arial" w:eastAsia="Calibri" w:hAnsi="Arial" w:cs="Arial"/>
          <w:b/>
          <w:sz w:val="24"/>
          <w:szCs w:val="24"/>
          <w:u w:val="single"/>
        </w:rPr>
        <w:t>Jack Marine</w:t>
      </w:r>
      <w:r w:rsidR="00B61EAA">
        <w:rPr>
          <w:rFonts w:ascii="Arial" w:eastAsia="Calibri" w:hAnsi="Arial" w:cs="Arial"/>
          <w:sz w:val="24"/>
          <w:szCs w:val="24"/>
        </w:rPr>
        <w:t xml:space="preserve"> claim</w:t>
      </w:r>
      <w:r w:rsidR="00095D33">
        <w:rPr>
          <w:rFonts w:ascii="Arial" w:eastAsia="Calibri" w:hAnsi="Arial" w:cs="Arial"/>
          <w:sz w:val="24"/>
          <w:szCs w:val="24"/>
        </w:rPr>
        <w:t>ed</w:t>
      </w:r>
      <w:r w:rsidR="00B61EAA">
        <w:rPr>
          <w:rFonts w:ascii="Arial" w:eastAsia="Calibri" w:hAnsi="Arial" w:cs="Arial"/>
          <w:sz w:val="24"/>
          <w:szCs w:val="24"/>
        </w:rPr>
        <w:t xml:space="preserve"> a sum of </w:t>
      </w:r>
      <w:r w:rsidR="00206AAF">
        <w:rPr>
          <w:rFonts w:ascii="Arial" w:eastAsia="Calibri" w:hAnsi="Arial" w:cs="Arial"/>
          <w:sz w:val="24"/>
          <w:szCs w:val="24"/>
        </w:rPr>
        <w:t>USD</w:t>
      </w:r>
      <w:r w:rsidR="00B61EAA">
        <w:rPr>
          <w:rFonts w:ascii="Arial" w:eastAsia="Calibri" w:hAnsi="Arial" w:cs="Arial"/>
          <w:sz w:val="24"/>
          <w:szCs w:val="24"/>
        </w:rPr>
        <w:t>170 133 in respect of good</w:t>
      </w:r>
      <w:r w:rsidR="006C6C6C">
        <w:rPr>
          <w:rFonts w:ascii="Arial" w:eastAsia="Calibri" w:hAnsi="Arial" w:cs="Arial"/>
          <w:sz w:val="24"/>
          <w:szCs w:val="24"/>
        </w:rPr>
        <w:t>s and services supplied to the V</w:t>
      </w:r>
      <w:r w:rsidR="00B61EAA">
        <w:rPr>
          <w:rFonts w:ascii="Arial" w:eastAsia="Calibri" w:hAnsi="Arial" w:cs="Arial"/>
          <w:sz w:val="24"/>
          <w:szCs w:val="24"/>
        </w:rPr>
        <w:t xml:space="preserve">essel. The referee rejected the argument of Jack Marine that its </w:t>
      </w:r>
      <w:r w:rsidR="006C6C6C">
        <w:rPr>
          <w:rFonts w:ascii="Arial" w:eastAsia="Calibri" w:hAnsi="Arial" w:cs="Arial"/>
          <w:sz w:val="24"/>
          <w:szCs w:val="24"/>
        </w:rPr>
        <w:t>claim should rank above the L</w:t>
      </w:r>
      <w:r w:rsidR="00B61EAA">
        <w:rPr>
          <w:rFonts w:ascii="Arial" w:eastAsia="Calibri" w:hAnsi="Arial" w:cs="Arial"/>
          <w:sz w:val="24"/>
          <w:szCs w:val="24"/>
        </w:rPr>
        <w:t>ender and argued that ‘Jack Marine had not ‘discharged’ the heavy burden of the proof which rests upon</w:t>
      </w:r>
      <w:r w:rsidR="00E471DE">
        <w:rPr>
          <w:rFonts w:ascii="Arial" w:eastAsia="Calibri" w:hAnsi="Arial" w:cs="Arial"/>
          <w:sz w:val="24"/>
          <w:szCs w:val="24"/>
        </w:rPr>
        <w:t xml:space="preserve"> it.”</w:t>
      </w:r>
    </w:p>
    <w:p w:rsidR="009B10A7" w:rsidRDefault="009B10A7" w:rsidP="0013018B">
      <w:pPr>
        <w:spacing w:line="360" w:lineRule="auto"/>
        <w:rPr>
          <w:rFonts w:ascii="Arial" w:eastAsia="Calibri" w:hAnsi="Arial" w:cs="Arial"/>
          <w:sz w:val="24"/>
          <w:szCs w:val="24"/>
        </w:rPr>
      </w:pPr>
    </w:p>
    <w:p w:rsidR="0045417D" w:rsidRPr="0045417D" w:rsidRDefault="0028667C" w:rsidP="0013018B">
      <w:pPr>
        <w:spacing w:line="360" w:lineRule="auto"/>
        <w:rPr>
          <w:rFonts w:ascii="Arial" w:eastAsia="Calibri" w:hAnsi="Arial" w:cs="Arial"/>
          <w:sz w:val="24"/>
          <w:szCs w:val="24"/>
          <w:u w:val="single"/>
        </w:rPr>
      </w:pPr>
      <w:r>
        <w:rPr>
          <w:rFonts w:ascii="Arial" w:eastAsia="Calibri" w:hAnsi="Arial" w:cs="Arial"/>
          <w:sz w:val="24"/>
          <w:szCs w:val="24"/>
          <w:u w:val="single"/>
        </w:rPr>
        <w:t>Bunkernet’s</w:t>
      </w:r>
      <w:r w:rsidR="0045417D" w:rsidRPr="0045417D">
        <w:rPr>
          <w:rFonts w:ascii="Arial" w:eastAsia="Calibri" w:hAnsi="Arial" w:cs="Arial"/>
          <w:sz w:val="24"/>
          <w:szCs w:val="24"/>
          <w:u w:val="single"/>
        </w:rPr>
        <w:t xml:space="preserve"> claims</w:t>
      </w:r>
    </w:p>
    <w:p w:rsidR="0045417D" w:rsidRDefault="0045417D"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1</w:t>
      </w:r>
      <w:r w:rsidR="00114E65">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6C6C6C">
        <w:rPr>
          <w:rFonts w:ascii="Arial" w:eastAsia="Calibri" w:hAnsi="Arial" w:cs="Arial"/>
          <w:sz w:val="24"/>
          <w:szCs w:val="24"/>
        </w:rPr>
        <w:t>Three (3) claims were lodged:</w:t>
      </w:r>
      <w:r>
        <w:rPr>
          <w:rFonts w:ascii="Arial" w:eastAsia="Calibri" w:hAnsi="Arial" w:cs="Arial"/>
          <w:sz w:val="24"/>
          <w:szCs w:val="24"/>
        </w:rPr>
        <w:t xml:space="preserve"> </w:t>
      </w:r>
      <w:r w:rsidR="006C6C6C">
        <w:rPr>
          <w:rFonts w:ascii="Arial" w:eastAsia="Calibri" w:hAnsi="Arial" w:cs="Arial"/>
          <w:sz w:val="24"/>
          <w:szCs w:val="24"/>
        </w:rPr>
        <w:t xml:space="preserve">(1) </w:t>
      </w:r>
      <w:r w:rsidR="00A72F02">
        <w:rPr>
          <w:rFonts w:ascii="Arial" w:eastAsia="Calibri" w:hAnsi="Arial" w:cs="Arial"/>
          <w:sz w:val="24"/>
          <w:szCs w:val="24"/>
        </w:rPr>
        <w:t xml:space="preserve">A preferential ranking for the </w:t>
      </w:r>
      <w:r>
        <w:rPr>
          <w:rFonts w:ascii="Arial" w:eastAsia="Calibri" w:hAnsi="Arial" w:cs="Arial"/>
          <w:sz w:val="24"/>
          <w:szCs w:val="24"/>
        </w:rPr>
        <w:t>costs of intervening in the sale application (</w:t>
      </w:r>
      <w:r w:rsidR="006C6C6C">
        <w:rPr>
          <w:rFonts w:ascii="Arial" w:eastAsia="Calibri" w:hAnsi="Arial" w:cs="Arial"/>
          <w:sz w:val="24"/>
          <w:szCs w:val="24"/>
        </w:rPr>
        <w:t>2</w:t>
      </w:r>
      <w:r w:rsidR="00A72F02">
        <w:rPr>
          <w:rFonts w:ascii="Arial" w:eastAsia="Calibri" w:hAnsi="Arial" w:cs="Arial"/>
          <w:sz w:val="24"/>
          <w:szCs w:val="24"/>
        </w:rPr>
        <w:t xml:space="preserve">) </w:t>
      </w:r>
      <w:r w:rsidR="00206AAF">
        <w:rPr>
          <w:rFonts w:ascii="Arial" w:eastAsia="Calibri" w:hAnsi="Arial" w:cs="Arial"/>
          <w:sz w:val="24"/>
          <w:szCs w:val="24"/>
        </w:rPr>
        <w:t>USD</w:t>
      </w:r>
      <w:r>
        <w:rPr>
          <w:rFonts w:ascii="Arial" w:eastAsia="Calibri" w:hAnsi="Arial" w:cs="Arial"/>
          <w:sz w:val="24"/>
          <w:szCs w:val="24"/>
        </w:rPr>
        <w:t xml:space="preserve">90 347.31 in respect of bunkers </w:t>
      </w:r>
      <w:r w:rsidR="006C6C6C">
        <w:rPr>
          <w:rFonts w:ascii="Arial" w:eastAsia="Calibri" w:hAnsi="Arial" w:cs="Arial"/>
          <w:sz w:val="24"/>
          <w:szCs w:val="24"/>
        </w:rPr>
        <w:t>and lubricants consumed by the V</w:t>
      </w:r>
      <w:r>
        <w:rPr>
          <w:rFonts w:ascii="Arial" w:eastAsia="Calibri" w:hAnsi="Arial" w:cs="Arial"/>
          <w:sz w:val="24"/>
          <w:szCs w:val="24"/>
        </w:rPr>
        <w:t>essel whilst under arrest in Walvis Bay plus interest. (</w:t>
      </w:r>
      <w:r w:rsidR="006C6C6C">
        <w:rPr>
          <w:rFonts w:ascii="Arial" w:eastAsia="Calibri" w:hAnsi="Arial" w:cs="Arial"/>
          <w:sz w:val="24"/>
          <w:szCs w:val="24"/>
        </w:rPr>
        <w:t>3</w:t>
      </w:r>
      <w:r>
        <w:rPr>
          <w:rFonts w:ascii="Arial" w:eastAsia="Calibri" w:hAnsi="Arial" w:cs="Arial"/>
          <w:sz w:val="24"/>
          <w:szCs w:val="24"/>
        </w:rPr>
        <w:t xml:space="preserve">) the sum of </w:t>
      </w:r>
      <w:r w:rsidR="00206AAF">
        <w:rPr>
          <w:rFonts w:ascii="Arial" w:eastAsia="Calibri" w:hAnsi="Arial" w:cs="Arial"/>
          <w:sz w:val="24"/>
          <w:szCs w:val="24"/>
        </w:rPr>
        <w:t>USD</w:t>
      </w:r>
      <w:r>
        <w:rPr>
          <w:rFonts w:ascii="Arial" w:eastAsia="Calibri" w:hAnsi="Arial" w:cs="Arial"/>
          <w:sz w:val="24"/>
          <w:szCs w:val="24"/>
        </w:rPr>
        <w:t>151 837.95 in respect of bunkers and lu</w:t>
      </w:r>
      <w:r w:rsidR="006C6C6C">
        <w:rPr>
          <w:rFonts w:ascii="Arial" w:eastAsia="Calibri" w:hAnsi="Arial" w:cs="Arial"/>
          <w:sz w:val="24"/>
          <w:szCs w:val="24"/>
        </w:rPr>
        <w:t>bricants supplied by it to the V</w:t>
      </w:r>
      <w:r>
        <w:rPr>
          <w:rFonts w:ascii="Arial" w:eastAsia="Calibri" w:hAnsi="Arial" w:cs="Arial"/>
          <w:sz w:val="24"/>
          <w:szCs w:val="24"/>
        </w:rPr>
        <w:t>essel at Lomé</w:t>
      </w:r>
      <w:r w:rsidR="00E05D8F">
        <w:rPr>
          <w:rFonts w:ascii="Arial" w:eastAsia="Calibri" w:hAnsi="Arial" w:cs="Arial"/>
          <w:sz w:val="24"/>
          <w:szCs w:val="24"/>
        </w:rPr>
        <w:t>,</w:t>
      </w:r>
      <w:r>
        <w:rPr>
          <w:rFonts w:ascii="Arial" w:eastAsia="Calibri" w:hAnsi="Arial" w:cs="Arial"/>
          <w:sz w:val="24"/>
          <w:szCs w:val="24"/>
        </w:rPr>
        <w:t xml:space="preserve"> Togo on 16 November 2017</w:t>
      </w:r>
      <w:r w:rsidR="006B6C7D">
        <w:rPr>
          <w:rFonts w:ascii="Arial" w:eastAsia="Calibri" w:hAnsi="Arial" w:cs="Arial"/>
          <w:sz w:val="24"/>
          <w:szCs w:val="24"/>
        </w:rPr>
        <w:t xml:space="preserve">, less the value of the bunkers and </w:t>
      </w:r>
      <w:r w:rsidR="006B6C7D">
        <w:rPr>
          <w:rFonts w:ascii="Arial" w:eastAsia="Calibri" w:hAnsi="Arial" w:cs="Arial"/>
          <w:sz w:val="24"/>
          <w:szCs w:val="24"/>
        </w:rPr>
        <w:lastRenderedPageBreak/>
        <w:t>lubricants on board the Vessel at the time of her first arrest</w:t>
      </w:r>
      <w:r>
        <w:rPr>
          <w:rFonts w:ascii="Arial" w:eastAsia="Calibri" w:hAnsi="Arial" w:cs="Arial"/>
          <w:sz w:val="24"/>
          <w:szCs w:val="24"/>
        </w:rPr>
        <w:t xml:space="preserve">. </w:t>
      </w:r>
      <w:r w:rsidR="004B32C7">
        <w:rPr>
          <w:rFonts w:ascii="Arial" w:eastAsia="Calibri" w:hAnsi="Arial" w:cs="Arial"/>
          <w:sz w:val="24"/>
          <w:szCs w:val="24"/>
        </w:rPr>
        <w:t>It</w:t>
      </w:r>
      <w:r>
        <w:rPr>
          <w:rFonts w:ascii="Arial" w:eastAsia="Calibri" w:hAnsi="Arial" w:cs="Arial"/>
          <w:sz w:val="24"/>
          <w:szCs w:val="24"/>
        </w:rPr>
        <w:t xml:space="preserve"> also claim</w:t>
      </w:r>
      <w:r w:rsidR="004B32C7">
        <w:rPr>
          <w:rFonts w:ascii="Arial" w:eastAsia="Calibri" w:hAnsi="Arial" w:cs="Arial"/>
          <w:sz w:val="24"/>
          <w:szCs w:val="24"/>
        </w:rPr>
        <w:t>ed</w:t>
      </w:r>
      <w:r>
        <w:rPr>
          <w:rFonts w:ascii="Arial" w:eastAsia="Calibri" w:hAnsi="Arial" w:cs="Arial"/>
          <w:sz w:val="24"/>
          <w:szCs w:val="24"/>
        </w:rPr>
        <w:t xml:space="preserve"> the costs of preparing and </w:t>
      </w:r>
      <w:r w:rsidR="002F1EDC">
        <w:rPr>
          <w:rFonts w:ascii="Arial" w:eastAsia="Calibri" w:hAnsi="Arial" w:cs="Arial"/>
          <w:sz w:val="24"/>
          <w:szCs w:val="24"/>
        </w:rPr>
        <w:t xml:space="preserve">lodging of </w:t>
      </w:r>
      <w:r w:rsidR="00E05D8F">
        <w:rPr>
          <w:rFonts w:ascii="Arial" w:eastAsia="Calibri" w:hAnsi="Arial" w:cs="Arial"/>
          <w:sz w:val="24"/>
          <w:szCs w:val="24"/>
        </w:rPr>
        <w:t>the</w:t>
      </w:r>
      <w:r w:rsidR="002F1EDC">
        <w:rPr>
          <w:rFonts w:ascii="Arial" w:eastAsia="Calibri" w:hAnsi="Arial" w:cs="Arial"/>
          <w:sz w:val="24"/>
          <w:szCs w:val="24"/>
        </w:rPr>
        <w:t xml:space="preserve"> claims with the R</w:t>
      </w:r>
      <w:r>
        <w:rPr>
          <w:rFonts w:ascii="Arial" w:eastAsia="Calibri" w:hAnsi="Arial" w:cs="Arial"/>
          <w:sz w:val="24"/>
          <w:szCs w:val="24"/>
        </w:rPr>
        <w:t>eferee.</w:t>
      </w:r>
    </w:p>
    <w:p w:rsidR="0045417D" w:rsidRDefault="0045417D" w:rsidP="0013018B">
      <w:pPr>
        <w:spacing w:line="360" w:lineRule="auto"/>
        <w:rPr>
          <w:rFonts w:ascii="Arial" w:eastAsia="Calibri" w:hAnsi="Arial" w:cs="Arial"/>
          <w:sz w:val="24"/>
          <w:szCs w:val="24"/>
        </w:rPr>
      </w:pPr>
    </w:p>
    <w:p w:rsidR="0016321E" w:rsidRDefault="000E6B0A" w:rsidP="0013018B">
      <w:pPr>
        <w:spacing w:line="360" w:lineRule="auto"/>
        <w:rPr>
          <w:rFonts w:ascii="Arial" w:eastAsia="Calibri" w:hAnsi="Arial" w:cs="Arial"/>
          <w:sz w:val="24"/>
          <w:szCs w:val="24"/>
        </w:rPr>
      </w:pPr>
      <w:r>
        <w:rPr>
          <w:rFonts w:ascii="Arial" w:eastAsia="Calibri" w:hAnsi="Arial" w:cs="Arial"/>
          <w:sz w:val="24"/>
          <w:szCs w:val="24"/>
        </w:rPr>
        <w:t>[</w:t>
      </w:r>
      <w:r w:rsidR="00A4074A">
        <w:rPr>
          <w:rFonts w:ascii="Arial" w:eastAsia="Calibri" w:hAnsi="Arial" w:cs="Arial"/>
          <w:sz w:val="24"/>
          <w:szCs w:val="24"/>
        </w:rPr>
        <w:t>1</w:t>
      </w:r>
      <w:r w:rsidR="00114E65">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6B6C7D">
        <w:rPr>
          <w:rFonts w:ascii="Arial" w:eastAsia="Calibri" w:hAnsi="Arial" w:cs="Arial"/>
          <w:sz w:val="24"/>
          <w:szCs w:val="24"/>
        </w:rPr>
        <w:t xml:space="preserve">Bunkernet </w:t>
      </w:r>
      <w:r w:rsidR="004B32C7">
        <w:rPr>
          <w:rFonts w:ascii="Arial" w:eastAsia="Calibri" w:hAnsi="Arial" w:cs="Arial"/>
          <w:sz w:val="24"/>
          <w:szCs w:val="24"/>
        </w:rPr>
        <w:t>argued</w:t>
      </w:r>
      <w:r w:rsidR="006B6C7D">
        <w:rPr>
          <w:rFonts w:ascii="Arial" w:eastAsia="Calibri" w:hAnsi="Arial" w:cs="Arial"/>
          <w:sz w:val="24"/>
          <w:szCs w:val="24"/>
        </w:rPr>
        <w:t xml:space="preserve"> that claim 2 </w:t>
      </w:r>
      <w:r w:rsidR="004B32C7">
        <w:rPr>
          <w:rFonts w:ascii="Arial" w:eastAsia="Calibri" w:hAnsi="Arial" w:cs="Arial"/>
          <w:sz w:val="24"/>
          <w:szCs w:val="24"/>
        </w:rPr>
        <w:t xml:space="preserve">should </w:t>
      </w:r>
      <w:r w:rsidR="006B6C7D">
        <w:rPr>
          <w:rFonts w:ascii="Arial" w:eastAsia="Calibri" w:hAnsi="Arial" w:cs="Arial"/>
          <w:sz w:val="24"/>
          <w:szCs w:val="24"/>
        </w:rPr>
        <w:t xml:space="preserve">rank as preservation claim. </w:t>
      </w:r>
      <w:r>
        <w:rPr>
          <w:rFonts w:ascii="Arial" w:eastAsia="Calibri" w:hAnsi="Arial" w:cs="Arial"/>
          <w:sz w:val="24"/>
          <w:szCs w:val="24"/>
        </w:rPr>
        <w:t xml:space="preserve">As far as claim 3 is concerned, </w:t>
      </w:r>
      <w:r w:rsidR="0028667C">
        <w:rPr>
          <w:rFonts w:ascii="Arial" w:eastAsia="Calibri" w:hAnsi="Arial" w:cs="Arial"/>
          <w:sz w:val="24"/>
          <w:szCs w:val="24"/>
        </w:rPr>
        <w:t>Bunkernet</w:t>
      </w:r>
      <w:r>
        <w:rPr>
          <w:rFonts w:ascii="Arial" w:eastAsia="Calibri" w:hAnsi="Arial" w:cs="Arial"/>
          <w:sz w:val="24"/>
          <w:szCs w:val="24"/>
        </w:rPr>
        <w:t xml:space="preserve"> argued that </w:t>
      </w:r>
      <w:r w:rsidR="00777828">
        <w:rPr>
          <w:rFonts w:ascii="Arial" w:eastAsia="Calibri" w:hAnsi="Arial" w:cs="Arial"/>
          <w:sz w:val="24"/>
          <w:szCs w:val="24"/>
        </w:rPr>
        <w:t>its</w:t>
      </w:r>
      <w:r>
        <w:rPr>
          <w:rFonts w:ascii="Arial" w:eastAsia="Calibri" w:hAnsi="Arial" w:cs="Arial"/>
          <w:sz w:val="24"/>
          <w:szCs w:val="24"/>
        </w:rPr>
        <w:t xml:space="preserve"> claim should rank as a statutory clai</w:t>
      </w:r>
      <w:r w:rsidR="002F1EDC">
        <w:rPr>
          <w:rFonts w:ascii="Arial" w:eastAsia="Calibri" w:hAnsi="Arial" w:cs="Arial"/>
          <w:sz w:val="24"/>
          <w:szCs w:val="24"/>
        </w:rPr>
        <w:t xml:space="preserve">m in </w:t>
      </w:r>
      <w:r w:rsidR="002F1EDC" w:rsidRPr="006B6C7D">
        <w:rPr>
          <w:rFonts w:ascii="Arial" w:eastAsia="Calibri" w:hAnsi="Arial" w:cs="Arial"/>
          <w:i/>
          <w:sz w:val="24"/>
          <w:szCs w:val="24"/>
        </w:rPr>
        <w:t>rem</w:t>
      </w:r>
      <w:r w:rsidR="002F1EDC">
        <w:rPr>
          <w:rFonts w:ascii="Arial" w:eastAsia="Calibri" w:hAnsi="Arial" w:cs="Arial"/>
          <w:sz w:val="24"/>
          <w:szCs w:val="24"/>
        </w:rPr>
        <w:t xml:space="preserve"> and rank </w:t>
      </w:r>
      <w:r w:rsidR="00021B18" w:rsidRPr="00021B18">
        <w:rPr>
          <w:rFonts w:ascii="Arial" w:eastAsia="Calibri" w:hAnsi="Arial" w:cs="Arial"/>
          <w:b/>
          <w:sz w:val="24"/>
          <w:szCs w:val="24"/>
        </w:rPr>
        <w:t>above</w:t>
      </w:r>
      <w:r w:rsidR="002F1EDC">
        <w:rPr>
          <w:rFonts w:ascii="Arial" w:eastAsia="Calibri" w:hAnsi="Arial" w:cs="Arial"/>
          <w:sz w:val="24"/>
          <w:szCs w:val="24"/>
        </w:rPr>
        <w:t xml:space="preserve"> the Lender’s claim</w:t>
      </w:r>
      <w:r w:rsidR="006B6C7D">
        <w:rPr>
          <w:rFonts w:ascii="Arial" w:eastAsia="Calibri" w:hAnsi="Arial" w:cs="Arial"/>
          <w:sz w:val="24"/>
          <w:szCs w:val="24"/>
        </w:rPr>
        <w:t xml:space="preserve"> (mortgage claim)</w:t>
      </w:r>
      <w:r w:rsidR="002F1EDC">
        <w:rPr>
          <w:rFonts w:ascii="Arial" w:eastAsia="Calibri" w:hAnsi="Arial" w:cs="Arial"/>
          <w:sz w:val="24"/>
          <w:szCs w:val="24"/>
        </w:rPr>
        <w:t>. The L</w:t>
      </w:r>
      <w:r>
        <w:rPr>
          <w:rFonts w:ascii="Arial" w:eastAsia="Calibri" w:hAnsi="Arial" w:cs="Arial"/>
          <w:sz w:val="24"/>
          <w:szCs w:val="24"/>
        </w:rPr>
        <w:t xml:space="preserve">ender on the other hand, objected to the quantum of claim 2 as well as the ranking </w:t>
      </w:r>
      <w:r w:rsidR="0028667C">
        <w:rPr>
          <w:rFonts w:ascii="Arial" w:eastAsia="Calibri" w:hAnsi="Arial" w:cs="Arial"/>
          <w:sz w:val="24"/>
          <w:szCs w:val="24"/>
        </w:rPr>
        <w:t>Bunkernet</w:t>
      </w:r>
      <w:r>
        <w:rPr>
          <w:rFonts w:ascii="Arial" w:eastAsia="Calibri" w:hAnsi="Arial" w:cs="Arial"/>
          <w:sz w:val="24"/>
          <w:szCs w:val="24"/>
        </w:rPr>
        <w:t xml:space="preserve"> sought in respect of claim 3. </w:t>
      </w:r>
    </w:p>
    <w:p w:rsidR="00A4074A" w:rsidRDefault="00A4074A" w:rsidP="0013018B">
      <w:pPr>
        <w:spacing w:line="360" w:lineRule="auto"/>
        <w:rPr>
          <w:rFonts w:ascii="Arial" w:eastAsia="Calibri" w:hAnsi="Arial" w:cs="Arial"/>
          <w:sz w:val="24"/>
          <w:szCs w:val="24"/>
        </w:rPr>
      </w:pPr>
    </w:p>
    <w:p w:rsidR="00A4074A" w:rsidRPr="00E9370B" w:rsidRDefault="00A4074A" w:rsidP="00A4074A">
      <w:pPr>
        <w:spacing w:line="360" w:lineRule="auto"/>
        <w:rPr>
          <w:rFonts w:ascii="Arial" w:hAnsi="Arial" w:cs="Arial"/>
          <w:sz w:val="24"/>
          <w:szCs w:val="24"/>
          <w:u w:val="single"/>
        </w:rPr>
      </w:pPr>
      <w:r w:rsidRPr="00E9370B">
        <w:rPr>
          <w:rFonts w:ascii="Arial" w:hAnsi="Arial" w:cs="Arial"/>
          <w:sz w:val="24"/>
          <w:szCs w:val="24"/>
          <w:u w:val="single"/>
        </w:rPr>
        <w:t xml:space="preserve">The </w:t>
      </w:r>
      <w:r>
        <w:rPr>
          <w:rFonts w:ascii="Arial" w:hAnsi="Arial" w:cs="Arial"/>
          <w:sz w:val="24"/>
          <w:szCs w:val="24"/>
          <w:u w:val="single"/>
        </w:rPr>
        <w:t>R</w:t>
      </w:r>
      <w:r w:rsidRPr="00E9370B">
        <w:rPr>
          <w:rFonts w:ascii="Arial" w:hAnsi="Arial" w:cs="Arial"/>
          <w:sz w:val="24"/>
          <w:szCs w:val="24"/>
          <w:u w:val="single"/>
        </w:rPr>
        <w:t>eferee’s report</w:t>
      </w:r>
    </w:p>
    <w:p w:rsidR="007F0A11" w:rsidRPr="00021B18" w:rsidRDefault="00A4074A" w:rsidP="007F0A11">
      <w:pPr>
        <w:spacing w:line="360" w:lineRule="auto"/>
        <w:rPr>
          <w:rFonts w:ascii="Arial" w:hAnsi="Arial" w:cs="Arial"/>
          <w:sz w:val="24"/>
          <w:szCs w:val="24"/>
        </w:rPr>
      </w:pPr>
      <w:r>
        <w:rPr>
          <w:rFonts w:ascii="Arial" w:hAnsi="Arial" w:cs="Arial"/>
          <w:sz w:val="24"/>
          <w:szCs w:val="24"/>
        </w:rPr>
        <w:t>[</w:t>
      </w:r>
      <w:r w:rsidR="00114E65">
        <w:rPr>
          <w:rFonts w:ascii="Arial" w:hAnsi="Arial" w:cs="Arial"/>
          <w:sz w:val="24"/>
          <w:szCs w:val="24"/>
        </w:rPr>
        <w:t>20</w:t>
      </w:r>
      <w:r>
        <w:rPr>
          <w:rFonts w:ascii="Arial" w:hAnsi="Arial" w:cs="Arial"/>
          <w:sz w:val="24"/>
          <w:szCs w:val="24"/>
        </w:rPr>
        <w:t>]</w:t>
      </w:r>
      <w:r>
        <w:rPr>
          <w:rFonts w:ascii="Arial" w:hAnsi="Arial" w:cs="Arial"/>
          <w:sz w:val="24"/>
          <w:szCs w:val="24"/>
        </w:rPr>
        <w:tab/>
        <w:t>On 27 July 2018 the Referee’s final report was published in which he made recommendations concerning the validity, quantum and ranking of claims lodged against the fund</w:t>
      </w:r>
      <w:r w:rsidR="00C92FD0">
        <w:rPr>
          <w:rFonts w:ascii="Arial" w:hAnsi="Arial" w:cs="Arial"/>
          <w:sz w:val="24"/>
          <w:szCs w:val="24"/>
        </w:rPr>
        <w:t>s.</w:t>
      </w:r>
      <w:r w:rsidR="00021B18">
        <w:rPr>
          <w:rFonts w:ascii="Arial" w:hAnsi="Arial" w:cs="Arial"/>
          <w:sz w:val="24"/>
          <w:szCs w:val="24"/>
        </w:rPr>
        <w:t xml:space="preserve"> </w:t>
      </w:r>
      <w:r w:rsidR="007F0A11" w:rsidRPr="007F0A11">
        <w:rPr>
          <w:rFonts w:ascii="Arial" w:eastAsia="Calibri" w:hAnsi="Arial" w:cs="Arial"/>
          <w:sz w:val="24"/>
          <w:szCs w:val="24"/>
        </w:rPr>
        <w:t>The Referee submitted his report with the following recommendations</w:t>
      </w:r>
      <w:r w:rsidR="00F77946">
        <w:rPr>
          <w:rFonts w:ascii="Arial" w:eastAsia="Calibri" w:hAnsi="Arial" w:cs="Arial"/>
          <w:sz w:val="24"/>
          <w:szCs w:val="24"/>
        </w:rPr>
        <w:t>:</w:t>
      </w:r>
      <w:r w:rsidR="007F0A11" w:rsidRPr="007F0A11">
        <w:rPr>
          <w:rFonts w:ascii="Arial" w:eastAsia="Calibri" w:hAnsi="Arial" w:cs="Arial"/>
          <w:sz w:val="24"/>
          <w:szCs w:val="24"/>
        </w:rPr>
        <w:t xml:space="preserve"> (a) that the claim of the Sheriff in the amount of N$23 952.25 pl</w:t>
      </w:r>
      <w:r w:rsidR="00237E62">
        <w:rPr>
          <w:rFonts w:ascii="Arial" w:eastAsia="Calibri" w:hAnsi="Arial" w:cs="Arial"/>
          <w:sz w:val="24"/>
          <w:szCs w:val="24"/>
        </w:rPr>
        <w:t>us interest be paid from the ship f</w:t>
      </w:r>
      <w:r w:rsidR="007F0A11" w:rsidRPr="007F0A11">
        <w:rPr>
          <w:rFonts w:ascii="Arial" w:eastAsia="Calibri" w:hAnsi="Arial" w:cs="Arial"/>
          <w:sz w:val="24"/>
          <w:szCs w:val="24"/>
        </w:rPr>
        <w:t>und as a first charge</w:t>
      </w:r>
      <w:r w:rsidR="00F77946">
        <w:rPr>
          <w:rFonts w:ascii="Arial" w:eastAsia="Calibri" w:hAnsi="Arial" w:cs="Arial"/>
          <w:sz w:val="24"/>
          <w:szCs w:val="24"/>
        </w:rPr>
        <w:t>;</w:t>
      </w:r>
      <w:r w:rsidR="007F0A11" w:rsidRPr="007F0A11">
        <w:rPr>
          <w:rFonts w:ascii="Arial" w:eastAsia="Calibri" w:hAnsi="Arial" w:cs="Arial"/>
          <w:sz w:val="24"/>
          <w:szCs w:val="24"/>
        </w:rPr>
        <w:t xml:space="preserve"> (b) Bunk</w:t>
      </w:r>
      <w:r w:rsidR="00B75CDE">
        <w:rPr>
          <w:rFonts w:ascii="Arial" w:eastAsia="Calibri" w:hAnsi="Arial" w:cs="Arial"/>
          <w:sz w:val="24"/>
          <w:szCs w:val="24"/>
        </w:rPr>
        <w:t>ernet’s claim for the price of b</w:t>
      </w:r>
      <w:r w:rsidR="007F0A11" w:rsidRPr="007F0A11">
        <w:rPr>
          <w:rFonts w:ascii="Arial" w:eastAsia="Calibri" w:hAnsi="Arial" w:cs="Arial"/>
          <w:sz w:val="24"/>
          <w:szCs w:val="24"/>
        </w:rPr>
        <w:t xml:space="preserve">unkers used to preserve the Vessel while under arrest be accepted in the amount of </w:t>
      </w:r>
      <w:r w:rsidR="00206AAF">
        <w:rPr>
          <w:rFonts w:ascii="Arial" w:eastAsia="Calibri" w:hAnsi="Arial" w:cs="Arial"/>
          <w:sz w:val="24"/>
          <w:szCs w:val="24"/>
        </w:rPr>
        <w:t>USD</w:t>
      </w:r>
      <w:r w:rsidR="00237E62">
        <w:rPr>
          <w:rFonts w:ascii="Arial" w:eastAsia="Calibri" w:hAnsi="Arial" w:cs="Arial"/>
          <w:sz w:val="24"/>
          <w:szCs w:val="24"/>
        </w:rPr>
        <w:t>81 684.55 and paid out of ship f</w:t>
      </w:r>
      <w:r w:rsidR="007F0A11" w:rsidRPr="007F0A11">
        <w:rPr>
          <w:rFonts w:ascii="Arial" w:eastAsia="Calibri" w:hAnsi="Arial" w:cs="Arial"/>
          <w:sz w:val="24"/>
          <w:szCs w:val="24"/>
        </w:rPr>
        <w:t>und</w:t>
      </w:r>
      <w:r w:rsidR="00F77946">
        <w:rPr>
          <w:rFonts w:ascii="Arial" w:eastAsia="Calibri" w:hAnsi="Arial" w:cs="Arial"/>
          <w:sz w:val="24"/>
          <w:szCs w:val="24"/>
        </w:rPr>
        <w:t>;</w:t>
      </w:r>
      <w:r w:rsidR="007F0A11" w:rsidRPr="007F0A11">
        <w:rPr>
          <w:rFonts w:ascii="Arial" w:eastAsia="Calibri" w:hAnsi="Arial" w:cs="Arial"/>
          <w:sz w:val="24"/>
          <w:szCs w:val="24"/>
        </w:rPr>
        <w:t xml:space="preserve"> (c) </w:t>
      </w:r>
      <w:r w:rsidR="00095D33">
        <w:rPr>
          <w:rFonts w:ascii="Arial" w:eastAsia="Calibri" w:hAnsi="Arial" w:cs="Arial"/>
          <w:sz w:val="24"/>
          <w:szCs w:val="24"/>
        </w:rPr>
        <w:t>the Lender</w:t>
      </w:r>
      <w:r w:rsidR="00B75CDE">
        <w:rPr>
          <w:rFonts w:ascii="Arial" w:eastAsia="Calibri" w:hAnsi="Arial" w:cs="Arial"/>
          <w:sz w:val="24"/>
          <w:szCs w:val="24"/>
        </w:rPr>
        <w:t>’s</w:t>
      </w:r>
      <w:r w:rsidR="007F0A11" w:rsidRPr="007F0A11">
        <w:rPr>
          <w:rFonts w:ascii="Arial" w:eastAsia="Calibri" w:hAnsi="Arial" w:cs="Arial"/>
          <w:sz w:val="24"/>
          <w:szCs w:val="24"/>
        </w:rPr>
        <w:t xml:space="preserve"> claim of </w:t>
      </w:r>
      <w:r w:rsidR="00206AAF">
        <w:rPr>
          <w:rFonts w:ascii="Arial" w:eastAsia="Calibri" w:hAnsi="Arial" w:cs="Arial"/>
          <w:sz w:val="24"/>
          <w:szCs w:val="24"/>
        </w:rPr>
        <w:t>USD</w:t>
      </w:r>
      <w:r w:rsidR="007F0A11" w:rsidRPr="007F0A11">
        <w:rPr>
          <w:rFonts w:ascii="Arial" w:eastAsia="Calibri" w:hAnsi="Arial" w:cs="Arial"/>
          <w:sz w:val="24"/>
          <w:szCs w:val="24"/>
        </w:rPr>
        <w:t xml:space="preserve">4,205,607.28 be approved for payment, with the result that </w:t>
      </w:r>
      <w:r w:rsidR="00237E62">
        <w:rPr>
          <w:rFonts w:ascii="Arial" w:eastAsia="Calibri" w:hAnsi="Arial" w:cs="Arial"/>
          <w:sz w:val="24"/>
          <w:szCs w:val="24"/>
        </w:rPr>
        <w:t xml:space="preserve">the </w:t>
      </w:r>
      <w:r w:rsidR="00095D33">
        <w:rPr>
          <w:rFonts w:ascii="Arial" w:eastAsia="Calibri" w:hAnsi="Arial" w:cs="Arial"/>
          <w:sz w:val="24"/>
          <w:szCs w:val="24"/>
        </w:rPr>
        <w:t>Lender</w:t>
      </w:r>
      <w:r w:rsidR="007F0A11" w:rsidRPr="007F0A11">
        <w:rPr>
          <w:rFonts w:ascii="Arial" w:eastAsia="Calibri" w:hAnsi="Arial" w:cs="Arial"/>
          <w:sz w:val="24"/>
          <w:szCs w:val="24"/>
        </w:rPr>
        <w:t xml:space="preserve"> be paid the balance of the Ship Fund remaining after payment of the Sheriff, the Referee, </w:t>
      </w:r>
      <w:r w:rsidR="00237E62" w:rsidRPr="007F0A11">
        <w:rPr>
          <w:rFonts w:ascii="Arial" w:eastAsia="Calibri" w:hAnsi="Arial" w:cs="Arial"/>
          <w:sz w:val="24"/>
          <w:szCs w:val="24"/>
        </w:rPr>
        <w:t>Infolog</w:t>
      </w:r>
      <w:r w:rsidR="007D1F18">
        <w:rPr>
          <w:rFonts w:ascii="Arial" w:eastAsia="Calibri" w:hAnsi="Arial" w:cs="Arial"/>
          <w:sz w:val="24"/>
          <w:szCs w:val="24"/>
        </w:rPr>
        <w:t>y</w:t>
      </w:r>
      <w:r w:rsidR="007F0A11" w:rsidRPr="007F0A11">
        <w:rPr>
          <w:rFonts w:ascii="Arial" w:eastAsia="Calibri" w:hAnsi="Arial" w:cs="Arial"/>
          <w:sz w:val="24"/>
          <w:szCs w:val="24"/>
        </w:rPr>
        <w:t xml:space="preserve"> </w:t>
      </w:r>
      <w:r w:rsidR="00237E62">
        <w:rPr>
          <w:rFonts w:ascii="Arial" w:eastAsia="Calibri" w:hAnsi="Arial" w:cs="Arial"/>
          <w:sz w:val="24"/>
          <w:szCs w:val="24"/>
        </w:rPr>
        <w:t xml:space="preserve">(a document storage website used by the Referee) </w:t>
      </w:r>
      <w:r w:rsidR="007F0A11" w:rsidRPr="007F0A11">
        <w:rPr>
          <w:rFonts w:ascii="Arial" w:eastAsia="Calibri" w:hAnsi="Arial" w:cs="Arial"/>
          <w:sz w:val="24"/>
          <w:szCs w:val="24"/>
        </w:rPr>
        <w:t xml:space="preserve">and Bunkernet’s claim in </w:t>
      </w:r>
      <w:r w:rsidR="00982A75">
        <w:rPr>
          <w:rFonts w:ascii="Arial" w:eastAsia="Calibri" w:hAnsi="Arial" w:cs="Arial"/>
          <w:sz w:val="24"/>
          <w:szCs w:val="24"/>
        </w:rPr>
        <w:t>the</w:t>
      </w:r>
      <w:r w:rsidR="007F0A11" w:rsidRPr="007F0A11">
        <w:rPr>
          <w:rFonts w:ascii="Arial" w:eastAsia="Calibri" w:hAnsi="Arial" w:cs="Arial"/>
          <w:sz w:val="24"/>
          <w:szCs w:val="24"/>
        </w:rPr>
        <w:t xml:space="preserve"> amount of </w:t>
      </w:r>
      <w:r w:rsidR="00206AAF">
        <w:rPr>
          <w:rFonts w:ascii="Arial" w:eastAsia="Calibri" w:hAnsi="Arial" w:cs="Arial"/>
          <w:sz w:val="24"/>
          <w:szCs w:val="24"/>
        </w:rPr>
        <w:t>USD</w:t>
      </w:r>
      <w:r w:rsidR="007F0A11" w:rsidRPr="007F0A11">
        <w:rPr>
          <w:rFonts w:ascii="Arial" w:eastAsia="Calibri" w:hAnsi="Arial" w:cs="Arial"/>
          <w:sz w:val="24"/>
          <w:szCs w:val="24"/>
        </w:rPr>
        <w:t xml:space="preserve">81 684.55 (d) The balance of Bunkernet’s claim for payment out of the Ship Fund being </w:t>
      </w:r>
      <w:r w:rsidR="00206AAF">
        <w:rPr>
          <w:rFonts w:ascii="Arial" w:eastAsia="Calibri" w:hAnsi="Arial" w:cs="Arial"/>
          <w:sz w:val="24"/>
          <w:szCs w:val="24"/>
        </w:rPr>
        <w:t>USD</w:t>
      </w:r>
      <w:r w:rsidR="007F0A11" w:rsidRPr="007F0A11">
        <w:rPr>
          <w:rFonts w:ascii="Arial" w:eastAsia="Calibri" w:hAnsi="Arial" w:cs="Arial"/>
          <w:sz w:val="24"/>
          <w:szCs w:val="24"/>
        </w:rPr>
        <w:t xml:space="preserve">166 998.36 plus interest be accepted, but that this claim rank after </w:t>
      </w:r>
      <w:r w:rsidR="00095D33">
        <w:rPr>
          <w:rFonts w:ascii="Arial" w:eastAsia="Calibri" w:hAnsi="Arial" w:cs="Arial"/>
          <w:sz w:val="24"/>
          <w:szCs w:val="24"/>
        </w:rPr>
        <w:t>applicant’s</w:t>
      </w:r>
      <w:r w:rsidR="007F0A11" w:rsidRPr="007F0A11">
        <w:rPr>
          <w:rFonts w:ascii="Arial" w:eastAsia="Calibri" w:hAnsi="Arial" w:cs="Arial"/>
          <w:sz w:val="24"/>
          <w:szCs w:val="24"/>
        </w:rPr>
        <w:t xml:space="preserve"> claim, with the result that no part of it would be paid out of the Ship Fund.</w:t>
      </w:r>
    </w:p>
    <w:p w:rsidR="007F0A11" w:rsidRDefault="007F0A11" w:rsidP="007F0A11">
      <w:pPr>
        <w:spacing w:line="360" w:lineRule="auto"/>
        <w:rPr>
          <w:rFonts w:ascii="Arial" w:eastAsia="Calibri" w:hAnsi="Arial" w:cs="Arial"/>
          <w:sz w:val="24"/>
          <w:szCs w:val="24"/>
        </w:rPr>
      </w:pPr>
    </w:p>
    <w:p w:rsidR="000E6B0A" w:rsidRDefault="000E6B0A"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2</w:t>
      </w:r>
      <w:r w:rsidR="00982A75">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 xml:space="preserve">The </w:t>
      </w:r>
      <w:r w:rsidR="002F1EDC">
        <w:rPr>
          <w:rFonts w:ascii="Arial" w:eastAsia="Calibri" w:hAnsi="Arial" w:cs="Arial"/>
          <w:sz w:val="24"/>
          <w:szCs w:val="24"/>
        </w:rPr>
        <w:t>Referee</w:t>
      </w:r>
      <w:r>
        <w:rPr>
          <w:rFonts w:ascii="Arial" w:eastAsia="Calibri" w:hAnsi="Arial" w:cs="Arial"/>
          <w:sz w:val="24"/>
          <w:szCs w:val="24"/>
        </w:rPr>
        <w:t xml:space="preserve"> in his report rejected the ranking sought by </w:t>
      </w:r>
      <w:r w:rsidR="0028667C">
        <w:rPr>
          <w:rFonts w:ascii="Arial" w:eastAsia="Calibri" w:hAnsi="Arial" w:cs="Arial"/>
          <w:sz w:val="24"/>
          <w:szCs w:val="24"/>
        </w:rPr>
        <w:t>Bunkernet</w:t>
      </w:r>
      <w:r>
        <w:rPr>
          <w:rFonts w:ascii="Arial" w:eastAsia="Calibri" w:hAnsi="Arial" w:cs="Arial"/>
          <w:sz w:val="24"/>
          <w:szCs w:val="24"/>
        </w:rPr>
        <w:t xml:space="preserve"> and ruled that the </w:t>
      </w:r>
      <w:r w:rsidR="002F1EDC">
        <w:rPr>
          <w:rFonts w:ascii="Arial" w:eastAsia="Calibri" w:hAnsi="Arial" w:cs="Arial"/>
          <w:sz w:val="24"/>
          <w:szCs w:val="24"/>
        </w:rPr>
        <w:t>L</w:t>
      </w:r>
      <w:r>
        <w:rPr>
          <w:rFonts w:ascii="Arial" w:eastAsia="Calibri" w:hAnsi="Arial" w:cs="Arial"/>
          <w:sz w:val="24"/>
          <w:szCs w:val="24"/>
        </w:rPr>
        <w:t xml:space="preserve">ender’s mortgage claim must rank above </w:t>
      </w:r>
      <w:r w:rsidR="0028667C">
        <w:rPr>
          <w:rFonts w:ascii="Arial" w:eastAsia="Calibri" w:hAnsi="Arial" w:cs="Arial"/>
          <w:sz w:val="24"/>
          <w:szCs w:val="24"/>
        </w:rPr>
        <w:t>Bunkernet</w:t>
      </w:r>
      <w:r w:rsidR="007F0A11">
        <w:rPr>
          <w:rFonts w:ascii="Arial" w:eastAsia="Calibri" w:hAnsi="Arial" w:cs="Arial"/>
          <w:sz w:val="24"/>
          <w:szCs w:val="24"/>
        </w:rPr>
        <w:t>’s</w:t>
      </w:r>
      <w:r>
        <w:rPr>
          <w:rFonts w:ascii="Arial" w:eastAsia="Calibri" w:hAnsi="Arial" w:cs="Arial"/>
          <w:sz w:val="24"/>
          <w:szCs w:val="24"/>
        </w:rPr>
        <w:t xml:space="preserve"> claim.</w:t>
      </w:r>
    </w:p>
    <w:p w:rsidR="002F1EDC" w:rsidRDefault="002F1EDC" w:rsidP="0013018B">
      <w:pPr>
        <w:spacing w:line="360" w:lineRule="auto"/>
        <w:rPr>
          <w:rFonts w:ascii="Arial" w:eastAsia="Calibri" w:hAnsi="Arial" w:cs="Arial"/>
          <w:sz w:val="24"/>
          <w:szCs w:val="24"/>
        </w:rPr>
      </w:pPr>
    </w:p>
    <w:p w:rsidR="00CB2D44" w:rsidRDefault="00702947"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2</w:t>
      </w:r>
      <w:r w:rsidR="00A623A5">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r>
      <w:r w:rsidR="00610FDB">
        <w:rPr>
          <w:rFonts w:ascii="Arial" w:eastAsia="Calibri" w:hAnsi="Arial" w:cs="Arial"/>
          <w:sz w:val="24"/>
          <w:szCs w:val="24"/>
        </w:rPr>
        <w:t>The Referee ruled that i</w:t>
      </w:r>
      <w:r>
        <w:rPr>
          <w:rFonts w:ascii="Arial" w:eastAsia="Calibri" w:hAnsi="Arial" w:cs="Arial"/>
          <w:sz w:val="24"/>
          <w:szCs w:val="24"/>
        </w:rPr>
        <w:t>n terms of the Admiralty Court Act, 1890 the law to be applied is the English Admiralty law as at 1890 including English Admiralty law</w:t>
      </w:r>
      <w:r w:rsidR="00CB2D44">
        <w:rPr>
          <w:rFonts w:ascii="Arial" w:eastAsia="Calibri" w:hAnsi="Arial" w:cs="Arial"/>
          <w:sz w:val="24"/>
          <w:szCs w:val="24"/>
        </w:rPr>
        <w:t xml:space="preserve"> decisions that clarified or expanded on the law as at 1890. In terms of </w:t>
      </w:r>
      <w:r w:rsidR="00610FDB">
        <w:rPr>
          <w:rFonts w:ascii="Arial" w:eastAsia="Calibri" w:hAnsi="Arial" w:cs="Arial"/>
          <w:sz w:val="24"/>
          <w:szCs w:val="24"/>
        </w:rPr>
        <w:t xml:space="preserve">English Admiralty law and therefore Namibian Admiralty law </w:t>
      </w:r>
      <w:r w:rsidR="00CB2D44">
        <w:rPr>
          <w:rFonts w:ascii="Arial" w:eastAsia="Calibri" w:hAnsi="Arial" w:cs="Arial"/>
          <w:sz w:val="24"/>
          <w:szCs w:val="24"/>
        </w:rPr>
        <w:t xml:space="preserve">the ranking is based </w:t>
      </w:r>
      <w:r w:rsidR="00610FDB">
        <w:rPr>
          <w:rFonts w:ascii="Arial" w:eastAsia="Calibri" w:hAnsi="Arial" w:cs="Arial"/>
          <w:sz w:val="24"/>
          <w:szCs w:val="24"/>
        </w:rPr>
        <w:t xml:space="preserve">on the </w:t>
      </w:r>
      <w:r w:rsidR="00610FDB">
        <w:rPr>
          <w:rFonts w:ascii="Arial" w:eastAsia="Calibri" w:hAnsi="Arial" w:cs="Arial"/>
          <w:sz w:val="24"/>
          <w:szCs w:val="24"/>
        </w:rPr>
        <w:lastRenderedPageBreak/>
        <w:t xml:space="preserve">scheme of priorities </w:t>
      </w:r>
      <w:r w:rsidR="007F0A11">
        <w:rPr>
          <w:rFonts w:ascii="Arial" w:eastAsia="Calibri" w:hAnsi="Arial" w:cs="Arial"/>
          <w:sz w:val="24"/>
          <w:szCs w:val="24"/>
        </w:rPr>
        <w:t>based</w:t>
      </w:r>
      <w:r w:rsidR="00610FDB">
        <w:rPr>
          <w:rFonts w:ascii="Arial" w:eastAsia="Calibri" w:hAnsi="Arial" w:cs="Arial"/>
          <w:sz w:val="24"/>
          <w:szCs w:val="24"/>
        </w:rPr>
        <w:t xml:space="preserve"> </w:t>
      </w:r>
      <w:r w:rsidR="00CB2D44">
        <w:rPr>
          <w:rFonts w:ascii="Arial" w:eastAsia="Calibri" w:hAnsi="Arial" w:cs="Arial"/>
          <w:sz w:val="24"/>
          <w:szCs w:val="24"/>
        </w:rPr>
        <w:t>on consideration of equity</w:t>
      </w:r>
      <w:r w:rsidR="00610FDB">
        <w:rPr>
          <w:rFonts w:ascii="Arial" w:eastAsia="Calibri" w:hAnsi="Arial" w:cs="Arial"/>
          <w:sz w:val="24"/>
          <w:szCs w:val="24"/>
        </w:rPr>
        <w:t>.</w:t>
      </w:r>
      <w:r w:rsidR="00013BD9">
        <w:rPr>
          <w:rFonts w:ascii="Arial" w:eastAsia="Calibri" w:hAnsi="Arial" w:cs="Arial"/>
          <w:sz w:val="24"/>
          <w:szCs w:val="24"/>
        </w:rPr>
        <w:t xml:space="preserve"> </w:t>
      </w:r>
      <w:r w:rsidR="00777828">
        <w:rPr>
          <w:rFonts w:ascii="Arial" w:eastAsia="Calibri" w:hAnsi="Arial" w:cs="Arial"/>
          <w:sz w:val="24"/>
          <w:szCs w:val="24"/>
        </w:rPr>
        <w:t>According</w:t>
      </w:r>
      <w:r w:rsidR="00CB2D44">
        <w:rPr>
          <w:rFonts w:ascii="Arial" w:eastAsia="Calibri" w:hAnsi="Arial" w:cs="Arial"/>
          <w:sz w:val="24"/>
          <w:szCs w:val="24"/>
        </w:rPr>
        <w:t xml:space="preserve"> to </w:t>
      </w:r>
      <w:r w:rsidR="00D247EA">
        <w:rPr>
          <w:rFonts w:ascii="Arial" w:eastAsia="Calibri" w:hAnsi="Arial" w:cs="Arial"/>
          <w:sz w:val="24"/>
          <w:szCs w:val="24"/>
        </w:rPr>
        <w:t xml:space="preserve">the learned author </w:t>
      </w:r>
      <w:r w:rsidR="00CB2D44" w:rsidRPr="00D247EA">
        <w:rPr>
          <w:rFonts w:ascii="Arial" w:eastAsia="Calibri" w:hAnsi="Arial" w:cs="Arial"/>
          <w:i/>
          <w:sz w:val="24"/>
          <w:szCs w:val="24"/>
        </w:rPr>
        <w:t>Nigel Messon</w:t>
      </w:r>
      <w:r w:rsidR="00D247EA">
        <w:rPr>
          <w:rStyle w:val="FootnoteReference"/>
          <w:rFonts w:ascii="Arial" w:eastAsia="Calibri" w:hAnsi="Arial" w:cs="Arial"/>
          <w:i/>
          <w:sz w:val="24"/>
          <w:szCs w:val="24"/>
        </w:rPr>
        <w:footnoteReference w:id="2"/>
      </w:r>
      <w:r w:rsidR="00CB2D44">
        <w:rPr>
          <w:rFonts w:ascii="Arial" w:eastAsia="Calibri" w:hAnsi="Arial" w:cs="Arial"/>
          <w:sz w:val="24"/>
          <w:szCs w:val="24"/>
        </w:rPr>
        <w:t xml:space="preserve"> English law recognizes a </w:t>
      </w:r>
      <w:r w:rsidR="00CB2D44" w:rsidRPr="00CB2D44">
        <w:rPr>
          <w:rFonts w:ascii="Arial" w:eastAsia="Calibri" w:hAnsi="Arial" w:cs="Arial"/>
          <w:i/>
          <w:sz w:val="24"/>
          <w:szCs w:val="24"/>
        </w:rPr>
        <w:t>prima facie</w:t>
      </w:r>
      <w:r w:rsidR="00CB2D44">
        <w:rPr>
          <w:rFonts w:ascii="Arial" w:eastAsia="Calibri" w:hAnsi="Arial" w:cs="Arial"/>
          <w:sz w:val="24"/>
          <w:szCs w:val="24"/>
        </w:rPr>
        <w:t xml:space="preserve"> ranking as follows:</w:t>
      </w:r>
    </w:p>
    <w:p w:rsidR="00CB2D44" w:rsidRDefault="00CB2D44" w:rsidP="0013018B">
      <w:pPr>
        <w:spacing w:line="360" w:lineRule="auto"/>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 xml:space="preserve">Charges and expenses of the admiralty </w:t>
      </w:r>
      <w:r w:rsidR="00777828">
        <w:rPr>
          <w:rFonts w:ascii="Arial" w:eastAsia="Calibri" w:hAnsi="Arial" w:cs="Arial"/>
          <w:sz w:val="24"/>
          <w:szCs w:val="24"/>
        </w:rPr>
        <w:t>Marshall</w:t>
      </w:r>
      <w:r w:rsidR="00013BD9">
        <w:rPr>
          <w:rFonts w:ascii="Arial" w:eastAsia="Calibri" w:hAnsi="Arial" w:cs="Arial"/>
          <w:sz w:val="24"/>
          <w:szCs w:val="24"/>
        </w:rPr>
        <w:t xml:space="preserve"> (i.e. the s</w:t>
      </w:r>
      <w:r>
        <w:rPr>
          <w:rFonts w:ascii="Arial" w:eastAsia="Calibri" w:hAnsi="Arial" w:cs="Arial"/>
          <w:sz w:val="24"/>
          <w:szCs w:val="24"/>
        </w:rPr>
        <w:t>heriff)</w:t>
      </w:r>
    </w:p>
    <w:p w:rsidR="00CB2D44" w:rsidRDefault="00CB2D44" w:rsidP="0013018B">
      <w:pPr>
        <w:spacing w:line="360" w:lineRule="auto"/>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777828">
        <w:rPr>
          <w:rFonts w:ascii="Arial" w:eastAsia="Calibri" w:hAnsi="Arial" w:cs="Arial"/>
          <w:sz w:val="24"/>
          <w:szCs w:val="24"/>
        </w:rPr>
        <w:t>Costs</w:t>
      </w:r>
      <w:r w:rsidR="00CB749A">
        <w:rPr>
          <w:rFonts w:ascii="Arial" w:eastAsia="Calibri" w:hAnsi="Arial" w:cs="Arial"/>
          <w:sz w:val="24"/>
          <w:szCs w:val="24"/>
        </w:rPr>
        <w:t xml:space="preserve"> of the producer of the F</w:t>
      </w:r>
      <w:r>
        <w:rPr>
          <w:rFonts w:ascii="Arial" w:eastAsia="Calibri" w:hAnsi="Arial" w:cs="Arial"/>
          <w:sz w:val="24"/>
          <w:szCs w:val="24"/>
        </w:rPr>
        <w:t>und</w:t>
      </w:r>
    </w:p>
    <w:p w:rsidR="00CB2D44" w:rsidRDefault="00CB2D44" w:rsidP="0013018B">
      <w:pPr>
        <w:spacing w:line="360" w:lineRule="auto"/>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Marit</w:t>
      </w:r>
      <w:r w:rsidR="00D247EA">
        <w:rPr>
          <w:rFonts w:ascii="Arial" w:eastAsia="Calibri" w:hAnsi="Arial" w:cs="Arial"/>
          <w:sz w:val="24"/>
          <w:szCs w:val="24"/>
        </w:rPr>
        <w:t>i</w:t>
      </w:r>
      <w:r>
        <w:rPr>
          <w:rFonts w:ascii="Arial" w:eastAsia="Calibri" w:hAnsi="Arial" w:cs="Arial"/>
          <w:sz w:val="24"/>
          <w:szCs w:val="24"/>
        </w:rPr>
        <w:t xml:space="preserve">me </w:t>
      </w:r>
      <w:r w:rsidR="00FC6D3A">
        <w:rPr>
          <w:rFonts w:ascii="Arial" w:eastAsia="Calibri" w:hAnsi="Arial" w:cs="Arial"/>
          <w:sz w:val="24"/>
          <w:szCs w:val="24"/>
        </w:rPr>
        <w:t>liens</w:t>
      </w:r>
    </w:p>
    <w:p w:rsidR="00CB2D44" w:rsidRDefault="00CB2D44" w:rsidP="0013018B">
      <w:pPr>
        <w:spacing w:line="360" w:lineRule="auto"/>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Mortgages</w:t>
      </w:r>
    </w:p>
    <w:p w:rsidR="00CB2D44" w:rsidRDefault="00CB2D44" w:rsidP="0013018B">
      <w:pPr>
        <w:spacing w:line="360" w:lineRule="auto"/>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Statutory rights action in rem.</w:t>
      </w:r>
    </w:p>
    <w:p w:rsidR="00CB2D44" w:rsidRDefault="00CB2D44" w:rsidP="0013018B">
      <w:pPr>
        <w:spacing w:line="360" w:lineRule="auto"/>
        <w:rPr>
          <w:rFonts w:ascii="Arial" w:eastAsia="Calibri" w:hAnsi="Arial" w:cs="Arial"/>
          <w:sz w:val="24"/>
          <w:szCs w:val="24"/>
        </w:rPr>
      </w:pPr>
    </w:p>
    <w:p w:rsidR="00A4074A" w:rsidRDefault="00A4074A" w:rsidP="0013018B">
      <w:pPr>
        <w:spacing w:line="360" w:lineRule="auto"/>
        <w:rPr>
          <w:rFonts w:ascii="Arial" w:eastAsia="Calibri" w:hAnsi="Arial" w:cs="Arial"/>
          <w:sz w:val="24"/>
          <w:szCs w:val="24"/>
        </w:rPr>
      </w:pPr>
      <w:r>
        <w:rPr>
          <w:rFonts w:ascii="Arial" w:eastAsia="Calibri" w:hAnsi="Arial" w:cs="Arial"/>
          <w:sz w:val="24"/>
          <w:szCs w:val="24"/>
        </w:rPr>
        <w:t>[</w:t>
      </w:r>
      <w:r w:rsidR="00F3171C">
        <w:rPr>
          <w:rFonts w:ascii="Arial" w:eastAsia="Calibri" w:hAnsi="Arial" w:cs="Arial"/>
          <w:sz w:val="24"/>
          <w:szCs w:val="24"/>
        </w:rPr>
        <w:t>2</w:t>
      </w:r>
      <w:r w:rsidR="00A623A5">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874380">
        <w:rPr>
          <w:rFonts w:ascii="Arial" w:eastAsia="Calibri" w:hAnsi="Arial" w:cs="Arial"/>
          <w:sz w:val="24"/>
          <w:szCs w:val="24"/>
        </w:rPr>
        <w:t xml:space="preserve">The main issue for determination before the Referee was: </w:t>
      </w:r>
      <w:r w:rsidR="00874380" w:rsidRPr="00D708FA">
        <w:rPr>
          <w:rFonts w:ascii="Arial" w:eastAsia="Calibri" w:hAnsi="Arial" w:cs="Arial"/>
          <w:b/>
          <w:sz w:val="24"/>
          <w:szCs w:val="24"/>
        </w:rPr>
        <w:t>when and in what circumstances a court will permit a departure from the recognized order of priorities so that necessaries claims take precedence over mortgage claims</w:t>
      </w:r>
      <w:r w:rsidR="00874380">
        <w:rPr>
          <w:rFonts w:ascii="Arial" w:eastAsia="Calibri" w:hAnsi="Arial" w:cs="Arial"/>
          <w:sz w:val="24"/>
          <w:szCs w:val="24"/>
        </w:rPr>
        <w:t xml:space="preserve">? </w:t>
      </w:r>
      <w:r>
        <w:rPr>
          <w:rFonts w:ascii="Arial" w:eastAsia="Calibri" w:hAnsi="Arial" w:cs="Arial"/>
          <w:sz w:val="24"/>
          <w:szCs w:val="24"/>
        </w:rPr>
        <w:t xml:space="preserve">Bunkernet argued that the equities </w:t>
      </w:r>
      <w:r w:rsidR="009C163A">
        <w:rPr>
          <w:rFonts w:ascii="Arial" w:eastAsia="Calibri" w:hAnsi="Arial" w:cs="Arial"/>
          <w:sz w:val="24"/>
          <w:szCs w:val="24"/>
        </w:rPr>
        <w:t>require</w:t>
      </w:r>
      <w:r w:rsidR="00874380">
        <w:rPr>
          <w:rFonts w:ascii="Arial" w:eastAsia="Calibri" w:hAnsi="Arial" w:cs="Arial"/>
          <w:sz w:val="24"/>
          <w:szCs w:val="24"/>
        </w:rPr>
        <w:t>d</w:t>
      </w:r>
      <w:r>
        <w:rPr>
          <w:rFonts w:ascii="Arial" w:eastAsia="Calibri" w:hAnsi="Arial" w:cs="Arial"/>
          <w:sz w:val="24"/>
          <w:szCs w:val="24"/>
        </w:rPr>
        <w:t xml:space="preserve"> its necessaries claim </w:t>
      </w:r>
      <w:r w:rsidR="002642B3">
        <w:rPr>
          <w:rFonts w:ascii="Arial" w:eastAsia="Calibri" w:hAnsi="Arial" w:cs="Arial"/>
          <w:sz w:val="24"/>
          <w:szCs w:val="24"/>
        </w:rPr>
        <w:t xml:space="preserve">being given priority over the mortgage’s claim for the following reasons: (1) the Lender must have been aware that the owner was in financial difficulties, (2) At the time of registration of the </w:t>
      </w:r>
      <w:r w:rsidR="006572D6">
        <w:rPr>
          <w:rFonts w:ascii="Arial" w:eastAsia="Calibri" w:hAnsi="Arial" w:cs="Arial"/>
          <w:sz w:val="24"/>
          <w:szCs w:val="24"/>
        </w:rPr>
        <w:t>preliminary</w:t>
      </w:r>
      <w:r w:rsidR="002642B3">
        <w:rPr>
          <w:rFonts w:ascii="Arial" w:eastAsia="Calibri" w:hAnsi="Arial" w:cs="Arial"/>
          <w:sz w:val="24"/>
          <w:szCs w:val="24"/>
        </w:rPr>
        <w:t xml:space="preserve"> mortgage, the Lender must have known </w:t>
      </w:r>
      <w:r w:rsidR="006572D6">
        <w:rPr>
          <w:rFonts w:ascii="Arial" w:eastAsia="Calibri" w:hAnsi="Arial" w:cs="Arial"/>
          <w:sz w:val="24"/>
          <w:szCs w:val="24"/>
        </w:rPr>
        <w:t xml:space="preserve">that </w:t>
      </w:r>
      <w:r w:rsidR="002642B3">
        <w:rPr>
          <w:rFonts w:ascii="Arial" w:eastAsia="Calibri" w:hAnsi="Arial" w:cs="Arial"/>
          <w:sz w:val="24"/>
          <w:szCs w:val="24"/>
        </w:rPr>
        <w:t xml:space="preserve">the Vessel would require bunkers and lubricants, (3) the bunkers and lubricants were supplied before permanent registration of the Lender’s mortgage on 11 December 2017, (4) It was for the benefit of the Lender that the Vessel was bunkered in that it initially allowed the Vessel to be delivered to a buyer, and the payment of the loan facility would have been made from the proceeds of the sale, but in the result allowed the Vessel to be directed to Walvis Bay for the purpose of execution in a </w:t>
      </w:r>
      <w:r w:rsidR="008423D9">
        <w:rPr>
          <w:rFonts w:ascii="Arial" w:eastAsia="Calibri" w:hAnsi="Arial" w:cs="Arial"/>
          <w:sz w:val="24"/>
          <w:szCs w:val="24"/>
        </w:rPr>
        <w:t>favourable</w:t>
      </w:r>
      <w:r w:rsidR="002642B3">
        <w:rPr>
          <w:rFonts w:ascii="Arial" w:eastAsia="Calibri" w:hAnsi="Arial" w:cs="Arial"/>
          <w:sz w:val="24"/>
          <w:szCs w:val="24"/>
        </w:rPr>
        <w:t xml:space="preserve"> jurisdiction to the </w:t>
      </w:r>
      <w:r w:rsidR="008423D9">
        <w:rPr>
          <w:rFonts w:ascii="Arial" w:eastAsia="Calibri" w:hAnsi="Arial" w:cs="Arial"/>
          <w:sz w:val="24"/>
          <w:szCs w:val="24"/>
        </w:rPr>
        <w:t>m</w:t>
      </w:r>
      <w:r w:rsidR="002642B3">
        <w:rPr>
          <w:rFonts w:ascii="Arial" w:eastAsia="Calibri" w:hAnsi="Arial" w:cs="Arial"/>
          <w:sz w:val="24"/>
          <w:szCs w:val="24"/>
        </w:rPr>
        <w:t>ortgage</w:t>
      </w:r>
      <w:r w:rsidR="008423D9">
        <w:rPr>
          <w:rFonts w:ascii="Arial" w:eastAsia="Calibri" w:hAnsi="Arial" w:cs="Arial"/>
          <w:sz w:val="24"/>
          <w:szCs w:val="24"/>
        </w:rPr>
        <w:t>e</w:t>
      </w:r>
      <w:r w:rsidR="002642B3">
        <w:rPr>
          <w:rFonts w:ascii="Arial" w:eastAsia="Calibri" w:hAnsi="Arial" w:cs="Arial"/>
          <w:sz w:val="24"/>
          <w:szCs w:val="24"/>
        </w:rPr>
        <w:t xml:space="preserve">. </w:t>
      </w:r>
    </w:p>
    <w:p w:rsidR="00A4074A" w:rsidRDefault="00A4074A" w:rsidP="0013018B">
      <w:pPr>
        <w:spacing w:line="360" w:lineRule="auto"/>
        <w:rPr>
          <w:rFonts w:ascii="Arial" w:eastAsia="Calibri" w:hAnsi="Arial" w:cs="Arial"/>
          <w:sz w:val="24"/>
          <w:szCs w:val="24"/>
        </w:rPr>
      </w:pPr>
    </w:p>
    <w:p w:rsidR="00B223A9" w:rsidRDefault="00CB2D44"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2</w:t>
      </w:r>
      <w:r w:rsidR="00B223A9">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Bunkernet </w:t>
      </w:r>
      <w:r w:rsidR="00796050">
        <w:rPr>
          <w:rFonts w:ascii="Arial" w:eastAsia="Calibri" w:hAnsi="Arial" w:cs="Arial"/>
          <w:sz w:val="24"/>
          <w:szCs w:val="24"/>
        </w:rPr>
        <w:t>relie</w:t>
      </w:r>
      <w:r w:rsidR="00E21C10">
        <w:rPr>
          <w:rFonts w:ascii="Arial" w:eastAsia="Calibri" w:hAnsi="Arial" w:cs="Arial"/>
          <w:sz w:val="24"/>
          <w:szCs w:val="24"/>
        </w:rPr>
        <w:t>d</w:t>
      </w:r>
      <w:r w:rsidR="00796050">
        <w:rPr>
          <w:rFonts w:ascii="Arial" w:eastAsia="Calibri" w:hAnsi="Arial" w:cs="Arial"/>
          <w:sz w:val="24"/>
          <w:szCs w:val="24"/>
        </w:rPr>
        <w:t xml:space="preserve"> on </w:t>
      </w:r>
      <w:r w:rsidR="00E21C10">
        <w:rPr>
          <w:rFonts w:ascii="Arial" w:eastAsia="Calibri" w:hAnsi="Arial" w:cs="Arial"/>
          <w:sz w:val="24"/>
          <w:szCs w:val="24"/>
        </w:rPr>
        <w:t xml:space="preserve">a case of </w:t>
      </w:r>
      <w:r w:rsidR="00796050" w:rsidRPr="00E21C10">
        <w:rPr>
          <w:rFonts w:ascii="Arial" w:eastAsia="Calibri" w:hAnsi="Arial" w:cs="Arial"/>
          <w:i/>
          <w:sz w:val="24"/>
          <w:szCs w:val="24"/>
        </w:rPr>
        <w:t>T</w:t>
      </w:r>
      <w:r w:rsidRPr="00E21C10">
        <w:rPr>
          <w:rFonts w:ascii="Arial" w:eastAsia="Calibri" w:hAnsi="Arial" w:cs="Arial"/>
          <w:i/>
          <w:sz w:val="24"/>
          <w:szCs w:val="24"/>
        </w:rPr>
        <w:t xml:space="preserve">he </w:t>
      </w:r>
      <w:r w:rsidR="0055421A" w:rsidRPr="00E21C10">
        <w:rPr>
          <w:rFonts w:ascii="Arial" w:eastAsia="Calibri" w:hAnsi="Arial" w:cs="Arial"/>
          <w:i/>
          <w:sz w:val="24"/>
          <w:szCs w:val="24"/>
        </w:rPr>
        <w:t>P</w:t>
      </w:r>
      <w:r w:rsidRPr="00E21C10">
        <w:rPr>
          <w:rFonts w:ascii="Arial" w:eastAsia="Calibri" w:hAnsi="Arial" w:cs="Arial"/>
          <w:i/>
          <w:sz w:val="24"/>
          <w:szCs w:val="24"/>
        </w:rPr>
        <w:t>osi</w:t>
      </w:r>
      <w:r w:rsidR="00796050" w:rsidRPr="00E21C10">
        <w:rPr>
          <w:rFonts w:ascii="Arial" w:eastAsia="Calibri" w:hAnsi="Arial" w:cs="Arial"/>
          <w:i/>
          <w:sz w:val="24"/>
          <w:szCs w:val="24"/>
        </w:rPr>
        <w:t>d</w:t>
      </w:r>
      <w:r w:rsidRPr="00E21C10">
        <w:rPr>
          <w:rFonts w:ascii="Arial" w:eastAsia="Calibri" w:hAnsi="Arial" w:cs="Arial"/>
          <w:i/>
          <w:sz w:val="24"/>
          <w:szCs w:val="24"/>
        </w:rPr>
        <w:t>on</w:t>
      </w:r>
      <w:r w:rsidR="00592A94">
        <w:rPr>
          <w:rFonts w:ascii="Arial" w:eastAsia="Calibri" w:hAnsi="Arial" w:cs="Arial"/>
          <w:i/>
          <w:sz w:val="24"/>
          <w:szCs w:val="24"/>
        </w:rPr>
        <w:t>,</w:t>
      </w:r>
      <w:r w:rsidR="00566809">
        <w:rPr>
          <w:rStyle w:val="FootnoteReference"/>
          <w:rFonts w:ascii="Arial" w:eastAsia="Calibri" w:hAnsi="Arial" w:cs="Arial"/>
          <w:i/>
          <w:sz w:val="24"/>
          <w:szCs w:val="24"/>
        </w:rPr>
        <w:footnoteReference w:id="3"/>
      </w:r>
      <w:r>
        <w:rPr>
          <w:rFonts w:ascii="Arial" w:eastAsia="Calibri" w:hAnsi="Arial" w:cs="Arial"/>
          <w:sz w:val="24"/>
          <w:szCs w:val="24"/>
        </w:rPr>
        <w:t xml:space="preserve"> a judgment of the Singapore High Court</w:t>
      </w:r>
      <w:r w:rsidR="00917BA8">
        <w:rPr>
          <w:rFonts w:ascii="Arial" w:eastAsia="Calibri" w:hAnsi="Arial" w:cs="Arial"/>
          <w:sz w:val="24"/>
          <w:szCs w:val="24"/>
        </w:rPr>
        <w:t>,</w:t>
      </w:r>
      <w:r w:rsidR="00796050">
        <w:rPr>
          <w:rFonts w:ascii="Arial" w:eastAsia="Calibri" w:hAnsi="Arial" w:cs="Arial"/>
          <w:sz w:val="24"/>
          <w:szCs w:val="24"/>
        </w:rPr>
        <w:t xml:space="preserve"> in arguing that its claim should rank above the Lender’s mortgage claim</w:t>
      </w:r>
      <w:r w:rsidR="00917BA8">
        <w:rPr>
          <w:rFonts w:ascii="Arial" w:eastAsia="Calibri" w:hAnsi="Arial" w:cs="Arial"/>
          <w:sz w:val="24"/>
          <w:szCs w:val="24"/>
        </w:rPr>
        <w:t xml:space="preserve">. In </w:t>
      </w:r>
      <w:r w:rsidR="004B0BC3" w:rsidRPr="004B0BC3">
        <w:rPr>
          <w:rFonts w:ascii="Arial" w:eastAsia="Calibri" w:hAnsi="Arial" w:cs="Arial"/>
          <w:i/>
          <w:sz w:val="24"/>
          <w:szCs w:val="24"/>
        </w:rPr>
        <w:t>T</w:t>
      </w:r>
      <w:r w:rsidR="00917BA8" w:rsidRPr="004B0BC3">
        <w:rPr>
          <w:rFonts w:ascii="Arial" w:eastAsia="Calibri" w:hAnsi="Arial" w:cs="Arial"/>
          <w:i/>
          <w:sz w:val="24"/>
          <w:szCs w:val="24"/>
        </w:rPr>
        <w:t>he Posido</w:t>
      </w:r>
      <w:r w:rsidR="00917BA8">
        <w:rPr>
          <w:rFonts w:ascii="Arial" w:eastAsia="Calibri" w:hAnsi="Arial" w:cs="Arial"/>
          <w:sz w:val="24"/>
          <w:szCs w:val="24"/>
        </w:rPr>
        <w:t>n the</w:t>
      </w:r>
      <w:r>
        <w:rPr>
          <w:rFonts w:ascii="Arial" w:eastAsia="Calibri" w:hAnsi="Arial" w:cs="Arial"/>
          <w:sz w:val="24"/>
          <w:szCs w:val="24"/>
        </w:rPr>
        <w:t xml:space="preserve"> court applied the same English law prin</w:t>
      </w:r>
      <w:r w:rsidR="00796050">
        <w:rPr>
          <w:rFonts w:ascii="Arial" w:eastAsia="Calibri" w:hAnsi="Arial" w:cs="Arial"/>
          <w:sz w:val="24"/>
          <w:szCs w:val="24"/>
        </w:rPr>
        <w:t>ciple as appl</w:t>
      </w:r>
      <w:r w:rsidR="00E21C10">
        <w:rPr>
          <w:rFonts w:ascii="Arial" w:eastAsia="Calibri" w:hAnsi="Arial" w:cs="Arial"/>
          <w:sz w:val="24"/>
          <w:szCs w:val="24"/>
        </w:rPr>
        <w:t>ied</w:t>
      </w:r>
      <w:r w:rsidR="00796050">
        <w:rPr>
          <w:rFonts w:ascii="Arial" w:eastAsia="Calibri" w:hAnsi="Arial" w:cs="Arial"/>
          <w:sz w:val="24"/>
          <w:szCs w:val="24"/>
        </w:rPr>
        <w:t xml:space="preserve"> in Namibia. </w:t>
      </w:r>
    </w:p>
    <w:p w:rsidR="00B223A9" w:rsidRDefault="00B223A9" w:rsidP="0013018B">
      <w:pPr>
        <w:spacing w:line="360" w:lineRule="auto"/>
        <w:rPr>
          <w:rFonts w:ascii="Arial" w:eastAsia="Calibri" w:hAnsi="Arial" w:cs="Arial"/>
          <w:sz w:val="24"/>
          <w:szCs w:val="24"/>
        </w:rPr>
      </w:pPr>
    </w:p>
    <w:p w:rsidR="00B223A9" w:rsidRDefault="00B223A9" w:rsidP="0013018B">
      <w:pPr>
        <w:spacing w:line="360" w:lineRule="auto"/>
        <w:rPr>
          <w:rFonts w:ascii="Arial" w:eastAsia="Calibri" w:hAnsi="Arial" w:cs="Arial"/>
          <w:i/>
          <w:sz w:val="24"/>
          <w:szCs w:val="24"/>
        </w:rPr>
      </w:pPr>
      <w:r>
        <w:rPr>
          <w:rFonts w:ascii="Arial" w:eastAsia="Calibri" w:hAnsi="Arial" w:cs="Arial"/>
          <w:sz w:val="24"/>
          <w:szCs w:val="24"/>
        </w:rPr>
        <w:t xml:space="preserve">In </w:t>
      </w:r>
      <w:r w:rsidR="004B0BC3" w:rsidRPr="004B0BC3">
        <w:rPr>
          <w:rFonts w:ascii="Arial" w:eastAsia="Calibri" w:hAnsi="Arial" w:cs="Arial"/>
          <w:i/>
          <w:sz w:val="24"/>
          <w:szCs w:val="24"/>
        </w:rPr>
        <w:t>T</w:t>
      </w:r>
      <w:r w:rsidR="00CB2D44" w:rsidRPr="004B0BC3">
        <w:rPr>
          <w:rFonts w:ascii="Arial" w:eastAsia="Calibri" w:hAnsi="Arial" w:cs="Arial"/>
          <w:i/>
          <w:sz w:val="24"/>
          <w:szCs w:val="24"/>
        </w:rPr>
        <w:t xml:space="preserve">he </w:t>
      </w:r>
      <w:r w:rsidR="0055421A" w:rsidRPr="004B0BC3">
        <w:rPr>
          <w:rFonts w:ascii="Arial" w:eastAsia="Calibri" w:hAnsi="Arial" w:cs="Arial"/>
          <w:i/>
          <w:sz w:val="24"/>
          <w:szCs w:val="24"/>
        </w:rPr>
        <w:t>P</w:t>
      </w:r>
      <w:r w:rsidR="00796050" w:rsidRPr="004B0BC3">
        <w:rPr>
          <w:rFonts w:ascii="Arial" w:eastAsia="Calibri" w:hAnsi="Arial" w:cs="Arial"/>
          <w:i/>
          <w:sz w:val="24"/>
          <w:szCs w:val="24"/>
        </w:rPr>
        <w:t>osidon</w:t>
      </w:r>
      <w:r w:rsidR="00CB2D44" w:rsidRPr="00E533E1">
        <w:rPr>
          <w:rFonts w:ascii="Arial" w:eastAsia="Calibri" w:hAnsi="Arial" w:cs="Arial"/>
          <w:i/>
          <w:sz w:val="24"/>
          <w:szCs w:val="24"/>
        </w:rPr>
        <w:t xml:space="preserve"> </w:t>
      </w:r>
      <w:r w:rsidR="00CB2D44" w:rsidRPr="00B223A9">
        <w:rPr>
          <w:rFonts w:ascii="Arial" w:eastAsia="Calibri" w:hAnsi="Arial" w:cs="Arial"/>
          <w:sz w:val="24"/>
          <w:szCs w:val="24"/>
        </w:rPr>
        <w:t>the court held that</w:t>
      </w:r>
      <w:r w:rsidR="00796050" w:rsidRPr="00E533E1">
        <w:rPr>
          <w:rFonts w:ascii="Arial" w:eastAsia="Calibri" w:hAnsi="Arial" w:cs="Arial"/>
          <w:i/>
          <w:sz w:val="24"/>
          <w:szCs w:val="24"/>
        </w:rPr>
        <w:t>:</w:t>
      </w:r>
      <w:r w:rsidR="00CB2D44" w:rsidRPr="00E533E1">
        <w:rPr>
          <w:rFonts w:ascii="Arial" w:eastAsia="Calibri" w:hAnsi="Arial" w:cs="Arial"/>
          <w:i/>
          <w:sz w:val="24"/>
          <w:szCs w:val="24"/>
        </w:rPr>
        <w:t xml:space="preserve"> </w:t>
      </w:r>
    </w:p>
    <w:p w:rsidR="00CB2D44" w:rsidRDefault="00592A94" w:rsidP="0013018B">
      <w:pPr>
        <w:spacing w:line="360" w:lineRule="auto"/>
        <w:rPr>
          <w:rFonts w:ascii="Arial" w:eastAsia="Calibri" w:hAnsi="Arial" w:cs="Arial"/>
          <w:sz w:val="24"/>
          <w:szCs w:val="24"/>
        </w:rPr>
      </w:pPr>
      <w:r>
        <w:rPr>
          <w:rFonts w:ascii="Arial" w:eastAsia="Calibri" w:hAnsi="Arial" w:cs="Arial"/>
          <w:i/>
          <w:sz w:val="24"/>
          <w:szCs w:val="24"/>
        </w:rPr>
        <w:t>‘</w:t>
      </w:r>
      <w:r>
        <w:rPr>
          <w:rFonts w:ascii="Arial" w:eastAsia="Calibri" w:hAnsi="Arial" w:cs="Arial"/>
        </w:rPr>
        <w:t>T</w:t>
      </w:r>
      <w:r w:rsidR="00CB2D44" w:rsidRPr="00592A94">
        <w:rPr>
          <w:rFonts w:ascii="Arial" w:eastAsia="Calibri" w:hAnsi="Arial" w:cs="Arial"/>
        </w:rPr>
        <w:t xml:space="preserve">he established order of priorities might be altered if the equities demanded, but only if there was a </w:t>
      </w:r>
      <w:r w:rsidR="00796050" w:rsidRPr="00592A94">
        <w:rPr>
          <w:rFonts w:ascii="Arial" w:eastAsia="Calibri" w:hAnsi="Arial" w:cs="Arial"/>
        </w:rPr>
        <w:t>‘</w:t>
      </w:r>
      <w:r w:rsidR="00CB2D44" w:rsidRPr="00592A94">
        <w:rPr>
          <w:rFonts w:ascii="Arial" w:eastAsia="Calibri" w:hAnsi="Arial" w:cs="Arial"/>
        </w:rPr>
        <w:t>powerful reason</w:t>
      </w:r>
      <w:r w:rsidR="00796050" w:rsidRPr="00592A94">
        <w:rPr>
          <w:rFonts w:ascii="Arial" w:eastAsia="Calibri" w:hAnsi="Arial" w:cs="Arial"/>
        </w:rPr>
        <w:t>’</w:t>
      </w:r>
      <w:r w:rsidR="00CB2D44" w:rsidRPr="00592A94">
        <w:rPr>
          <w:rFonts w:ascii="Arial" w:eastAsia="Calibri" w:hAnsi="Arial" w:cs="Arial"/>
        </w:rPr>
        <w:t xml:space="preserve"> to do so. There had to be truly exceptional or special circumstances, and the departure had to be essential to prevent an obvious injustice. Three main factors </w:t>
      </w:r>
      <w:r w:rsidR="002642B3" w:rsidRPr="00592A94">
        <w:rPr>
          <w:rFonts w:ascii="Arial" w:eastAsia="Calibri" w:hAnsi="Arial" w:cs="Arial"/>
        </w:rPr>
        <w:t>we</w:t>
      </w:r>
      <w:r w:rsidR="009D481F" w:rsidRPr="00592A94">
        <w:rPr>
          <w:rFonts w:ascii="Arial" w:eastAsia="Calibri" w:hAnsi="Arial" w:cs="Arial"/>
        </w:rPr>
        <w:t>nt</w:t>
      </w:r>
      <w:r w:rsidR="00CB2D44" w:rsidRPr="00592A94">
        <w:rPr>
          <w:rFonts w:ascii="Arial" w:eastAsia="Calibri" w:hAnsi="Arial" w:cs="Arial"/>
        </w:rPr>
        <w:t xml:space="preserve"> </w:t>
      </w:r>
      <w:r w:rsidR="00CB2D44" w:rsidRPr="00592A94">
        <w:rPr>
          <w:rFonts w:ascii="Arial" w:eastAsia="Calibri" w:hAnsi="Arial" w:cs="Arial"/>
        </w:rPr>
        <w:lastRenderedPageBreak/>
        <w:t>to the equities of the particular case to warrant a departure from the established order of priorities. First, it had to be shown that the mortgagee knew the mortgag</w:t>
      </w:r>
      <w:r w:rsidR="009D481F" w:rsidRPr="00592A94">
        <w:rPr>
          <w:rFonts w:ascii="Arial" w:eastAsia="Calibri" w:hAnsi="Arial" w:cs="Arial"/>
        </w:rPr>
        <w:t>o</w:t>
      </w:r>
      <w:r w:rsidR="00CB2D44" w:rsidRPr="00592A94">
        <w:rPr>
          <w:rFonts w:ascii="Arial" w:eastAsia="Calibri" w:hAnsi="Arial" w:cs="Arial"/>
        </w:rPr>
        <w:t>r was insolvent. Secondly, it had to be shown that the mortgagee was fully aware, in advance, of the nature and extent of the expenditure inc</w:t>
      </w:r>
      <w:r w:rsidR="009D481F" w:rsidRPr="00592A94">
        <w:rPr>
          <w:rFonts w:ascii="Arial" w:eastAsia="Calibri" w:hAnsi="Arial" w:cs="Arial"/>
        </w:rPr>
        <w:t>urred by the competing claimant</w:t>
      </w:r>
      <w:r w:rsidR="00E533E1" w:rsidRPr="00592A94">
        <w:rPr>
          <w:rFonts w:ascii="Arial" w:eastAsia="Calibri" w:hAnsi="Arial" w:cs="Arial"/>
        </w:rPr>
        <w:t>.</w:t>
      </w:r>
      <w:r w:rsidR="009D481F" w:rsidRPr="00592A94">
        <w:rPr>
          <w:rFonts w:ascii="Arial" w:eastAsia="Calibri" w:hAnsi="Arial" w:cs="Arial"/>
        </w:rPr>
        <w:t xml:space="preserve"> </w:t>
      </w:r>
      <w:r w:rsidR="00E533E1" w:rsidRPr="00592A94">
        <w:rPr>
          <w:rFonts w:ascii="Arial" w:eastAsia="Calibri" w:hAnsi="Arial" w:cs="Arial"/>
        </w:rPr>
        <w:t>T</w:t>
      </w:r>
      <w:r w:rsidR="009D481F" w:rsidRPr="00592A94">
        <w:rPr>
          <w:rFonts w:ascii="Arial" w:eastAsia="Calibri" w:hAnsi="Arial" w:cs="Arial"/>
        </w:rPr>
        <w:t>hirdly</w:t>
      </w:r>
      <w:r w:rsidR="00E533E1" w:rsidRPr="00592A94">
        <w:rPr>
          <w:rFonts w:ascii="Arial" w:eastAsia="Calibri" w:hAnsi="Arial" w:cs="Arial"/>
        </w:rPr>
        <w:t>,</w:t>
      </w:r>
      <w:r w:rsidR="00CB2D44" w:rsidRPr="00592A94">
        <w:rPr>
          <w:rFonts w:ascii="Arial" w:eastAsia="Calibri" w:hAnsi="Arial" w:cs="Arial"/>
        </w:rPr>
        <w:t xml:space="preserve"> it had to be shown that such expenditure brought about some benefit to the mortgagee.</w:t>
      </w:r>
      <w:r w:rsidR="008725B4" w:rsidRPr="00592A94">
        <w:rPr>
          <w:rFonts w:ascii="Arial" w:eastAsia="Calibri" w:hAnsi="Arial" w:cs="Arial"/>
        </w:rPr>
        <w:t xml:space="preserve">’ </w:t>
      </w:r>
      <w:r w:rsidR="0055421A" w:rsidRPr="00592A94">
        <w:rPr>
          <w:rFonts w:ascii="Arial" w:eastAsia="Calibri" w:hAnsi="Arial" w:cs="Arial"/>
          <w:sz w:val="24"/>
          <w:szCs w:val="24"/>
        </w:rPr>
        <w:t xml:space="preserve">The court </w:t>
      </w:r>
      <w:r w:rsidR="00CB2D44" w:rsidRPr="00592A94">
        <w:rPr>
          <w:rFonts w:ascii="Arial" w:eastAsia="Calibri" w:hAnsi="Arial" w:cs="Arial"/>
          <w:sz w:val="24"/>
          <w:szCs w:val="24"/>
        </w:rPr>
        <w:t>further held that the burden of proof (onus) is on the party seeking departure from the established order of priorities and will have to adduce cogent evidence of the special circumstances.</w:t>
      </w:r>
    </w:p>
    <w:p w:rsidR="00CB2D44" w:rsidRDefault="00CB2D44" w:rsidP="0013018B">
      <w:pPr>
        <w:spacing w:line="360" w:lineRule="auto"/>
        <w:rPr>
          <w:rFonts w:ascii="Arial" w:eastAsia="Calibri" w:hAnsi="Arial" w:cs="Arial"/>
          <w:sz w:val="24"/>
          <w:szCs w:val="24"/>
        </w:rPr>
      </w:pPr>
    </w:p>
    <w:p w:rsidR="00DA39FA" w:rsidRDefault="008725B4"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2</w:t>
      </w:r>
      <w:r w:rsidR="00FC6CCF">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15265F" w:rsidRPr="004928EB">
        <w:rPr>
          <w:rFonts w:ascii="Arial" w:eastAsia="Calibri" w:hAnsi="Arial" w:cs="Arial"/>
          <w:sz w:val="24"/>
          <w:szCs w:val="24"/>
        </w:rPr>
        <w:t>The Referee</w:t>
      </w:r>
      <w:r>
        <w:rPr>
          <w:rFonts w:ascii="Arial" w:eastAsia="Calibri" w:hAnsi="Arial" w:cs="Arial"/>
          <w:sz w:val="24"/>
          <w:szCs w:val="24"/>
        </w:rPr>
        <w:t xml:space="preserve"> f</w:t>
      </w:r>
      <w:r w:rsidR="00144262" w:rsidRPr="008725B4">
        <w:rPr>
          <w:rFonts w:ascii="Arial" w:eastAsia="Calibri" w:hAnsi="Arial" w:cs="Arial"/>
          <w:sz w:val="24"/>
          <w:szCs w:val="24"/>
        </w:rPr>
        <w:t>ound</w:t>
      </w:r>
      <w:r w:rsidR="00144262">
        <w:rPr>
          <w:rFonts w:ascii="Arial" w:eastAsia="Calibri" w:hAnsi="Arial" w:cs="Arial"/>
          <w:sz w:val="24"/>
          <w:szCs w:val="24"/>
        </w:rPr>
        <w:t xml:space="preserve"> that: </w:t>
      </w:r>
      <w:r w:rsidR="000C6907">
        <w:rPr>
          <w:rFonts w:ascii="Arial" w:eastAsia="Calibri" w:hAnsi="Arial" w:cs="Arial"/>
          <w:sz w:val="24"/>
          <w:szCs w:val="24"/>
        </w:rPr>
        <w:t>‘</w:t>
      </w:r>
      <w:r w:rsidR="00E533E1" w:rsidRPr="00592A94">
        <w:rPr>
          <w:rFonts w:ascii="Arial" w:eastAsia="Calibri" w:hAnsi="Arial" w:cs="Arial"/>
        </w:rPr>
        <w:t xml:space="preserve">No evidence was adduced to show that at the time the necessaries were supplied to the Vessel the owner was insolvent nor have they shown that the Lender knew of the owner’s insolvency. Also a temporary lack of liquidity does not amount to insolvency. The Referee also found that the Event of Default only occurred on 13 December 2017 after Bunkernet supplied necessaries to the Vessel. </w:t>
      </w:r>
      <w:r w:rsidR="00144262" w:rsidRPr="00592A94">
        <w:rPr>
          <w:rFonts w:ascii="Arial" w:eastAsia="Calibri" w:hAnsi="Arial" w:cs="Arial"/>
        </w:rPr>
        <w:t xml:space="preserve">At the time the Bunkers were supplied to the Vessel in Lomé, the ‘Sea Pioneer’ was held up and the </w:t>
      </w:r>
      <w:r w:rsidR="0094570D" w:rsidRPr="00592A94">
        <w:rPr>
          <w:rFonts w:ascii="Arial" w:eastAsia="Calibri" w:hAnsi="Arial" w:cs="Arial"/>
        </w:rPr>
        <w:t>“</w:t>
      </w:r>
      <w:r w:rsidR="00144262" w:rsidRPr="00592A94">
        <w:rPr>
          <w:rFonts w:ascii="Arial" w:eastAsia="Calibri" w:hAnsi="Arial" w:cs="Arial"/>
        </w:rPr>
        <w:t>Huascar</w:t>
      </w:r>
      <w:r w:rsidR="0094570D" w:rsidRPr="00592A94">
        <w:rPr>
          <w:rFonts w:ascii="Arial" w:eastAsia="Calibri" w:hAnsi="Arial" w:cs="Arial"/>
        </w:rPr>
        <w:t>”</w:t>
      </w:r>
      <w:r w:rsidR="00144262" w:rsidRPr="00592A94">
        <w:rPr>
          <w:rFonts w:ascii="Arial" w:eastAsia="Calibri" w:hAnsi="Arial" w:cs="Arial"/>
        </w:rPr>
        <w:t xml:space="preserve"> and the Vessel had been sold for almost </w:t>
      </w:r>
      <w:r w:rsidR="00206AAF" w:rsidRPr="00592A94">
        <w:rPr>
          <w:rFonts w:ascii="Arial" w:eastAsia="Calibri" w:hAnsi="Arial" w:cs="Arial"/>
        </w:rPr>
        <w:t>USD</w:t>
      </w:r>
      <w:r w:rsidR="00144262" w:rsidRPr="00592A94">
        <w:rPr>
          <w:rFonts w:ascii="Arial" w:eastAsia="Calibri" w:hAnsi="Arial" w:cs="Arial"/>
        </w:rPr>
        <w:t xml:space="preserve">3 million. Upon delivery of the two Vessels in Alang, </w:t>
      </w:r>
      <w:r w:rsidR="00206AAF" w:rsidRPr="00592A94">
        <w:rPr>
          <w:rFonts w:ascii="Arial" w:eastAsia="Calibri" w:hAnsi="Arial" w:cs="Arial"/>
        </w:rPr>
        <w:t>USD</w:t>
      </w:r>
      <w:r w:rsidR="00144262" w:rsidRPr="00592A94">
        <w:rPr>
          <w:rFonts w:ascii="Arial" w:eastAsia="Calibri" w:hAnsi="Arial" w:cs="Arial"/>
        </w:rPr>
        <w:t xml:space="preserve">4.5 million was to be repaid to the Lender. The balance of loan was to be repaid by quarterly payments of </w:t>
      </w:r>
      <w:r w:rsidR="00206AAF" w:rsidRPr="00592A94">
        <w:rPr>
          <w:rFonts w:ascii="Arial" w:eastAsia="Calibri" w:hAnsi="Arial" w:cs="Arial"/>
        </w:rPr>
        <w:t>USD</w:t>
      </w:r>
      <w:r w:rsidR="00144262" w:rsidRPr="00592A94">
        <w:rPr>
          <w:rFonts w:ascii="Arial" w:eastAsia="Calibri" w:hAnsi="Arial" w:cs="Arial"/>
        </w:rPr>
        <w:t xml:space="preserve">250 000 and final balloon payment of </w:t>
      </w:r>
      <w:r w:rsidR="00206AAF" w:rsidRPr="00592A94">
        <w:rPr>
          <w:rFonts w:ascii="Arial" w:eastAsia="Calibri" w:hAnsi="Arial" w:cs="Arial"/>
        </w:rPr>
        <w:t>USD</w:t>
      </w:r>
      <w:r w:rsidR="00144262" w:rsidRPr="00592A94">
        <w:rPr>
          <w:rFonts w:ascii="Arial" w:eastAsia="Calibri" w:hAnsi="Arial" w:cs="Arial"/>
        </w:rPr>
        <w:t>3 million and from the purchase price of the two Vessels, about US</w:t>
      </w:r>
      <w:r w:rsidR="006A3183" w:rsidRPr="00592A94">
        <w:rPr>
          <w:rFonts w:ascii="Arial" w:eastAsia="Calibri" w:hAnsi="Arial" w:cs="Arial"/>
        </w:rPr>
        <w:t>D</w:t>
      </w:r>
      <w:r w:rsidR="00144262" w:rsidRPr="00592A94">
        <w:rPr>
          <w:rFonts w:ascii="Arial" w:eastAsia="Calibri" w:hAnsi="Arial" w:cs="Arial"/>
        </w:rPr>
        <w:t>1.8 million was available to pay creditors other than the Lender. The Referee concluded that he does not agree with the assertion by Bunkernet that at the time that the bunkers and lubricants were supplied to the Vessel at Lomé, the Lender was aware that the owner and other borro</w:t>
      </w:r>
      <w:r w:rsidR="004A4754" w:rsidRPr="00592A94">
        <w:rPr>
          <w:rFonts w:ascii="Arial" w:eastAsia="Calibri" w:hAnsi="Arial" w:cs="Arial"/>
        </w:rPr>
        <w:t>wers</w:t>
      </w:r>
      <w:r w:rsidR="00144262" w:rsidRPr="00592A94">
        <w:rPr>
          <w:rFonts w:ascii="Arial" w:eastAsia="Calibri" w:hAnsi="Arial" w:cs="Arial"/>
        </w:rPr>
        <w:t xml:space="preserve"> could not settle their indebtedness and were insolvent.</w:t>
      </w:r>
      <w:r w:rsidR="000C6907">
        <w:rPr>
          <w:rFonts w:ascii="Arial" w:eastAsia="Calibri" w:hAnsi="Arial" w:cs="Arial"/>
          <w:sz w:val="24"/>
          <w:szCs w:val="24"/>
        </w:rPr>
        <w:t>’</w:t>
      </w:r>
    </w:p>
    <w:p w:rsidR="00144262" w:rsidRDefault="00144262" w:rsidP="0013018B">
      <w:pPr>
        <w:spacing w:line="360" w:lineRule="auto"/>
        <w:rPr>
          <w:rFonts w:ascii="Arial" w:eastAsia="Calibri" w:hAnsi="Arial" w:cs="Arial"/>
          <w:sz w:val="24"/>
          <w:szCs w:val="24"/>
        </w:rPr>
      </w:pPr>
    </w:p>
    <w:p w:rsidR="00144262" w:rsidRPr="00144262" w:rsidRDefault="00144262" w:rsidP="0013018B">
      <w:pPr>
        <w:spacing w:line="360" w:lineRule="auto"/>
        <w:rPr>
          <w:rFonts w:ascii="Arial" w:eastAsia="Calibri" w:hAnsi="Arial" w:cs="Arial"/>
          <w:sz w:val="24"/>
          <w:szCs w:val="24"/>
          <w:u w:val="single"/>
        </w:rPr>
      </w:pPr>
      <w:r w:rsidRPr="00144262">
        <w:rPr>
          <w:rFonts w:ascii="Arial" w:eastAsia="Calibri" w:hAnsi="Arial" w:cs="Arial"/>
          <w:sz w:val="24"/>
          <w:szCs w:val="24"/>
          <w:u w:val="single"/>
        </w:rPr>
        <w:t>Full knowledge of the nature and extent of the expenditure</w:t>
      </w:r>
    </w:p>
    <w:p w:rsidR="00144262" w:rsidRDefault="00144262"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2</w:t>
      </w:r>
      <w:r w:rsidR="00FC6CCF">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25726B">
        <w:rPr>
          <w:rFonts w:ascii="Arial" w:eastAsia="Calibri" w:hAnsi="Arial" w:cs="Arial"/>
          <w:sz w:val="24"/>
          <w:szCs w:val="24"/>
        </w:rPr>
        <w:t xml:space="preserve">The Referee also found that </w:t>
      </w:r>
      <w:r>
        <w:rPr>
          <w:rFonts w:ascii="Arial" w:eastAsia="Calibri" w:hAnsi="Arial" w:cs="Arial"/>
          <w:sz w:val="24"/>
          <w:szCs w:val="24"/>
        </w:rPr>
        <w:t>Bunkernet have not shown that the Lender knew in advance of the full nature and extent of expenditure incurred by it. There must be full awareness in advance.</w:t>
      </w:r>
    </w:p>
    <w:p w:rsidR="00257457" w:rsidRDefault="00257457" w:rsidP="0013018B">
      <w:pPr>
        <w:spacing w:line="360" w:lineRule="auto"/>
        <w:rPr>
          <w:rFonts w:ascii="Arial" w:eastAsia="Calibri" w:hAnsi="Arial" w:cs="Arial"/>
          <w:sz w:val="24"/>
          <w:szCs w:val="24"/>
        </w:rPr>
      </w:pPr>
    </w:p>
    <w:p w:rsidR="00144262" w:rsidRPr="00257457" w:rsidRDefault="00144262" w:rsidP="0013018B">
      <w:pPr>
        <w:spacing w:line="360" w:lineRule="auto"/>
        <w:rPr>
          <w:rFonts w:ascii="Arial" w:eastAsia="Calibri" w:hAnsi="Arial" w:cs="Arial"/>
          <w:sz w:val="24"/>
          <w:szCs w:val="24"/>
          <w:u w:val="single"/>
        </w:rPr>
      </w:pPr>
      <w:r w:rsidRPr="00257457">
        <w:rPr>
          <w:rFonts w:ascii="Arial" w:eastAsia="Calibri" w:hAnsi="Arial" w:cs="Arial"/>
          <w:sz w:val="24"/>
          <w:szCs w:val="24"/>
          <w:u w:val="single"/>
        </w:rPr>
        <w:t>Benefit to the Lender</w:t>
      </w:r>
    </w:p>
    <w:p w:rsidR="006D6C0F" w:rsidRDefault="00EB31EA"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2</w:t>
      </w:r>
      <w:r w:rsidR="00FC6CCF">
        <w:rPr>
          <w:rFonts w:ascii="Arial" w:eastAsia="Calibri" w:hAnsi="Arial" w:cs="Arial"/>
          <w:sz w:val="24"/>
          <w:szCs w:val="24"/>
        </w:rPr>
        <w:t>7</w:t>
      </w:r>
      <w:r w:rsidR="00144262">
        <w:rPr>
          <w:rFonts w:ascii="Arial" w:eastAsia="Calibri" w:hAnsi="Arial" w:cs="Arial"/>
          <w:sz w:val="24"/>
          <w:szCs w:val="24"/>
        </w:rPr>
        <w:t>]</w:t>
      </w:r>
      <w:r w:rsidR="00144262">
        <w:rPr>
          <w:rFonts w:ascii="Arial" w:eastAsia="Calibri" w:hAnsi="Arial" w:cs="Arial"/>
          <w:sz w:val="24"/>
          <w:szCs w:val="24"/>
        </w:rPr>
        <w:tab/>
      </w:r>
      <w:r w:rsidR="0025726B">
        <w:rPr>
          <w:rFonts w:ascii="Arial" w:eastAsia="Calibri" w:hAnsi="Arial" w:cs="Arial"/>
          <w:sz w:val="24"/>
          <w:szCs w:val="24"/>
        </w:rPr>
        <w:t>The Referee also found that n</w:t>
      </w:r>
      <w:r w:rsidR="00144262">
        <w:rPr>
          <w:rFonts w:ascii="Arial" w:eastAsia="Calibri" w:hAnsi="Arial" w:cs="Arial"/>
          <w:sz w:val="24"/>
          <w:szCs w:val="24"/>
        </w:rPr>
        <w:t xml:space="preserve">o evidence that the expenditure brought some benefits for the Lender. </w:t>
      </w:r>
      <w:r w:rsidR="003D22B1">
        <w:rPr>
          <w:rFonts w:ascii="Arial" w:eastAsia="Calibri" w:hAnsi="Arial" w:cs="Arial"/>
          <w:sz w:val="24"/>
          <w:szCs w:val="24"/>
        </w:rPr>
        <w:t>‘</w:t>
      </w:r>
      <w:r w:rsidR="00144262">
        <w:rPr>
          <w:rFonts w:ascii="Arial" w:eastAsia="Calibri" w:hAnsi="Arial" w:cs="Arial"/>
          <w:sz w:val="24"/>
          <w:szCs w:val="24"/>
        </w:rPr>
        <w:t xml:space="preserve">At the time of the supply of </w:t>
      </w:r>
      <w:r w:rsidR="00257457">
        <w:rPr>
          <w:rFonts w:ascii="Arial" w:eastAsia="Calibri" w:hAnsi="Arial" w:cs="Arial"/>
          <w:sz w:val="24"/>
          <w:szCs w:val="24"/>
        </w:rPr>
        <w:t>necessaries</w:t>
      </w:r>
      <w:r w:rsidR="00144262">
        <w:rPr>
          <w:rFonts w:ascii="Arial" w:eastAsia="Calibri" w:hAnsi="Arial" w:cs="Arial"/>
          <w:sz w:val="24"/>
          <w:szCs w:val="24"/>
        </w:rPr>
        <w:t xml:space="preserve"> by Bunkernet, a fortnight earlier</w:t>
      </w:r>
      <w:r w:rsidR="001C5A92">
        <w:rPr>
          <w:rFonts w:ascii="Arial" w:eastAsia="Calibri" w:hAnsi="Arial" w:cs="Arial"/>
          <w:sz w:val="24"/>
          <w:szCs w:val="24"/>
        </w:rPr>
        <w:t>,</w:t>
      </w:r>
      <w:r w:rsidR="00144262">
        <w:rPr>
          <w:rFonts w:ascii="Arial" w:eastAsia="Calibri" w:hAnsi="Arial" w:cs="Arial"/>
          <w:sz w:val="24"/>
          <w:szCs w:val="24"/>
        </w:rPr>
        <w:t xml:space="preserve"> the </w:t>
      </w:r>
      <w:r w:rsidR="004928EB">
        <w:rPr>
          <w:rFonts w:ascii="Arial" w:eastAsia="Calibri" w:hAnsi="Arial" w:cs="Arial"/>
          <w:sz w:val="24"/>
          <w:szCs w:val="24"/>
        </w:rPr>
        <w:t>owner had sold the Vessel to NKD</w:t>
      </w:r>
      <w:r w:rsidR="00144262">
        <w:rPr>
          <w:rFonts w:ascii="Arial" w:eastAsia="Calibri" w:hAnsi="Arial" w:cs="Arial"/>
          <w:sz w:val="24"/>
          <w:szCs w:val="24"/>
        </w:rPr>
        <w:t xml:space="preserve"> and in terms of the sale agreement the owner had to </w:t>
      </w:r>
      <w:r w:rsidR="00C50640">
        <w:rPr>
          <w:rFonts w:ascii="Arial" w:eastAsia="Calibri" w:hAnsi="Arial" w:cs="Arial"/>
          <w:sz w:val="24"/>
          <w:szCs w:val="24"/>
        </w:rPr>
        <w:t>deliver</w:t>
      </w:r>
      <w:r w:rsidR="00144262">
        <w:rPr>
          <w:rFonts w:ascii="Arial" w:eastAsia="Calibri" w:hAnsi="Arial" w:cs="Arial"/>
          <w:sz w:val="24"/>
          <w:szCs w:val="24"/>
        </w:rPr>
        <w:t xml:space="preserve"> that Vessel to NKD in Alang</w:t>
      </w:r>
      <w:r w:rsidR="00C50640">
        <w:rPr>
          <w:rFonts w:ascii="Arial" w:eastAsia="Calibri" w:hAnsi="Arial" w:cs="Arial"/>
          <w:sz w:val="24"/>
          <w:szCs w:val="24"/>
        </w:rPr>
        <w:t xml:space="preserve">, </w:t>
      </w:r>
      <w:r w:rsidR="00D175B2">
        <w:rPr>
          <w:rFonts w:ascii="Arial" w:eastAsia="Calibri" w:hAnsi="Arial" w:cs="Arial"/>
          <w:sz w:val="24"/>
          <w:szCs w:val="24"/>
        </w:rPr>
        <w:t>Bangladesh</w:t>
      </w:r>
      <w:r w:rsidR="00C50640">
        <w:rPr>
          <w:rFonts w:ascii="Arial" w:eastAsia="Calibri" w:hAnsi="Arial" w:cs="Arial"/>
          <w:sz w:val="24"/>
          <w:szCs w:val="24"/>
        </w:rPr>
        <w:t xml:space="preserve">. The sale agreement was only cancelled on 16 February 2018, so by the time Bunkernet </w:t>
      </w:r>
      <w:r w:rsidR="00C50640">
        <w:rPr>
          <w:rFonts w:ascii="Arial" w:eastAsia="Calibri" w:hAnsi="Arial" w:cs="Arial"/>
          <w:sz w:val="24"/>
          <w:szCs w:val="24"/>
        </w:rPr>
        <w:lastRenderedPageBreak/>
        <w:t xml:space="preserve">supplied the fuel in Lomé, it was contemplated by the owner that the Vessel </w:t>
      </w:r>
      <w:r w:rsidR="004928EB">
        <w:rPr>
          <w:rFonts w:ascii="Arial" w:eastAsia="Calibri" w:hAnsi="Arial" w:cs="Arial"/>
          <w:sz w:val="24"/>
          <w:szCs w:val="24"/>
        </w:rPr>
        <w:t xml:space="preserve">will </w:t>
      </w:r>
      <w:r w:rsidR="00C50640">
        <w:rPr>
          <w:rFonts w:ascii="Arial" w:eastAsia="Calibri" w:hAnsi="Arial" w:cs="Arial"/>
          <w:sz w:val="24"/>
          <w:szCs w:val="24"/>
        </w:rPr>
        <w:t xml:space="preserve">be sailing to Alang. </w:t>
      </w:r>
      <w:r w:rsidR="00623276">
        <w:rPr>
          <w:rFonts w:ascii="Arial" w:eastAsia="Calibri" w:hAnsi="Arial" w:cs="Arial"/>
          <w:sz w:val="24"/>
          <w:szCs w:val="24"/>
        </w:rPr>
        <w:t>A</w:t>
      </w:r>
      <w:r w:rsidR="00C50640">
        <w:rPr>
          <w:rFonts w:ascii="Arial" w:eastAsia="Calibri" w:hAnsi="Arial" w:cs="Arial"/>
          <w:sz w:val="24"/>
          <w:szCs w:val="24"/>
        </w:rPr>
        <w:t xml:space="preserve">t Alang the owner would </w:t>
      </w:r>
      <w:r w:rsidR="003D22B1">
        <w:rPr>
          <w:rFonts w:ascii="Arial" w:eastAsia="Calibri" w:hAnsi="Arial" w:cs="Arial"/>
          <w:sz w:val="24"/>
          <w:szCs w:val="24"/>
        </w:rPr>
        <w:t xml:space="preserve">have </w:t>
      </w:r>
      <w:r w:rsidR="00C50640">
        <w:rPr>
          <w:rFonts w:ascii="Arial" w:eastAsia="Calibri" w:hAnsi="Arial" w:cs="Arial"/>
          <w:sz w:val="24"/>
          <w:szCs w:val="24"/>
        </w:rPr>
        <w:t>receive</w:t>
      </w:r>
      <w:r w:rsidR="003D22B1">
        <w:rPr>
          <w:rFonts w:ascii="Arial" w:eastAsia="Calibri" w:hAnsi="Arial" w:cs="Arial"/>
          <w:sz w:val="24"/>
          <w:szCs w:val="24"/>
        </w:rPr>
        <w:t>d</w:t>
      </w:r>
      <w:r w:rsidR="00C50640">
        <w:rPr>
          <w:rFonts w:ascii="Arial" w:eastAsia="Calibri" w:hAnsi="Arial" w:cs="Arial"/>
          <w:sz w:val="24"/>
          <w:szCs w:val="24"/>
        </w:rPr>
        <w:t xml:space="preserve"> the balance of the purchase payment from NKD (</w:t>
      </w:r>
      <w:r w:rsidR="00206AAF">
        <w:rPr>
          <w:rFonts w:ascii="Arial" w:eastAsia="Calibri" w:hAnsi="Arial" w:cs="Arial"/>
          <w:sz w:val="24"/>
          <w:szCs w:val="24"/>
        </w:rPr>
        <w:t>USD</w:t>
      </w:r>
      <w:r w:rsidR="00C50640">
        <w:rPr>
          <w:rFonts w:ascii="Arial" w:eastAsia="Calibri" w:hAnsi="Arial" w:cs="Arial"/>
          <w:sz w:val="24"/>
          <w:szCs w:val="24"/>
        </w:rPr>
        <w:t xml:space="preserve">2 457 019.10) of this amount </w:t>
      </w:r>
      <w:r w:rsidR="00206AAF">
        <w:rPr>
          <w:rFonts w:ascii="Arial" w:eastAsia="Calibri" w:hAnsi="Arial" w:cs="Arial"/>
          <w:sz w:val="24"/>
          <w:szCs w:val="24"/>
        </w:rPr>
        <w:t>USD</w:t>
      </w:r>
      <w:r w:rsidR="00C50640">
        <w:rPr>
          <w:rFonts w:ascii="Arial" w:eastAsia="Calibri" w:hAnsi="Arial" w:cs="Arial"/>
          <w:sz w:val="24"/>
          <w:szCs w:val="24"/>
        </w:rPr>
        <w:t xml:space="preserve">2 million was due to be repaid to the Lender, the repayment of </w:t>
      </w:r>
      <w:r w:rsidR="003F4A47">
        <w:rPr>
          <w:rFonts w:ascii="Arial" w:eastAsia="Calibri" w:hAnsi="Arial" w:cs="Arial"/>
          <w:sz w:val="24"/>
          <w:szCs w:val="24"/>
        </w:rPr>
        <w:t>Drawing</w:t>
      </w:r>
      <w:r w:rsidR="00C50640">
        <w:rPr>
          <w:rFonts w:ascii="Arial" w:eastAsia="Calibri" w:hAnsi="Arial" w:cs="Arial"/>
          <w:sz w:val="24"/>
          <w:szCs w:val="24"/>
        </w:rPr>
        <w:t xml:space="preserve"> C. It would seem then that the balance of </w:t>
      </w:r>
      <w:r w:rsidR="00206AAF">
        <w:rPr>
          <w:rFonts w:ascii="Arial" w:eastAsia="Calibri" w:hAnsi="Arial" w:cs="Arial"/>
          <w:sz w:val="24"/>
          <w:szCs w:val="24"/>
        </w:rPr>
        <w:t>USD</w:t>
      </w:r>
      <w:r w:rsidR="00C50640">
        <w:rPr>
          <w:rFonts w:ascii="Arial" w:eastAsia="Calibri" w:hAnsi="Arial" w:cs="Arial"/>
          <w:sz w:val="24"/>
          <w:szCs w:val="24"/>
        </w:rPr>
        <w:t xml:space="preserve">457,019.10 would be available to pay the owners other </w:t>
      </w:r>
      <w:r w:rsidR="001C5A92">
        <w:rPr>
          <w:rFonts w:ascii="Arial" w:eastAsia="Calibri" w:hAnsi="Arial" w:cs="Arial"/>
          <w:sz w:val="24"/>
          <w:szCs w:val="24"/>
        </w:rPr>
        <w:t>creditors</w:t>
      </w:r>
      <w:r w:rsidR="00C50640">
        <w:rPr>
          <w:rFonts w:ascii="Arial" w:eastAsia="Calibri" w:hAnsi="Arial" w:cs="Arial"/>
          <w:sz w:val="24"/>
          <w:szCs w:val="24"/>
        </w:rPr>
        <w:t xml:space="preserve">, so the supply of bunkers was therefore made for the benefit of </w:t>
      </w:r>
      <w:r w:rsidR="00C50640" w:rsidRPr="001C5A92">
        <w:rPr>
          <w:rFonts w:ascii="Arial" w:eastAsia="Calibri" w:hAnsi="Arial" w:cs="Arial"/>
          <w:sz w:val="24"/>
          <w:szCs w:val="24"/>
          <w:u w:val="single"/>
        </w:rPr>
        <w:t>all</w:t>
      </w:r>
      <w:r w:rsidR="00C50640">
        <w:rPr>
          <w:rFonts w:ascii="Arial" w:eastAsia="Calibri" w:hAnsi="Arial" w:cs="Arial"/>
          <w:sz w:val="24"/>
          <w:szCs w:val="24"/>
        </w:rPr>
        <w:t xml:space="preserve"> creditors of the Vessel, not only the Lender.</w:t>
      </w:r>
      <w:r w:rsidR="003D22B1">
        <w:rPr>
          <w:rFonts w:ascii="Arial" w:eastAsia="Calibri" w:hAnsi="Arial" w:cs="Arial"/>
          <w:sz w:val="24"/>
          <w:szCs w:val="24"/>
        </w:rPr>
        <w:t>’</w:t>
      </w:r>
      <w:r w:rsidR="00C50640">
        <w:rPr>
          <w:rFonts w:ascii="Arial" w:eastAsia="Calibri" w:hAnsi="Arial" w:cs="Arial"/>
          <w:sz w:val="24"/>
          <w:szCs w:val="24"/>
        </w:rPr>
        <w:t xml:space="preserve"> No evidence that the Lender knowingly accepted benefits at the expense of Bunkernet </w:t>
      </w:r>
      <w:r w:rsidR="004928EB">
        <w:rPr>
          <w:rFonts w:ascii="Arial" w:eastAsia="Calibri" w:hAnsi="Arial" w:cs="Arial"/>
          <w:sz w:val="24"/>
          <w:szCs w:val="24"/>
        </w:rPr>
        <w:t>or</w:t>
      </w:r>
      <w:r w:rsidR="00C50640">
        <w:rPr>
          <w:rFonts w:ascii="Arial" w:eastAsia="Calibri" w:hAnsi="Arial" w:cs="Arial"/>
          <w:sz w:val="24"/>
          <w:szCs w:val="24"/>
        </w:rPr>
        <w:t xml:space="preserve"> Jack Ma</w:t>
      </w:r>
      <w:r w:rsidR="006D6C0F">
        <w:rPr>
          <w:rFonts w:ascii="Arial" w:eastAsia="Calibri" w:hAnsi="Arial" w:cs="Arial"/>
          <w:sz w:val="24"/>
          <w:szCs w:val="24"/>
        </w:rPr>
        <w:t xml:space="preserve">rine. </w:t>
      </w:r>
    </w:p>
    <w:p w:rsidR="006D6C0F" w:rsidRDefault="006D6C0F" w:rsidP="0013018B">
      <w:pPr>
        <w:spacing w:line="360" w:lineRule="auto"/>
        <w:rPr>
          <w:rFonts w:ascii="Arial" w:eastAsia="Calibri" w:hAnsi="Arial" w:cs="Arial"/>
          <w:sz w:val="24"/>
          <w:szCs w:val="24"/>
        </w:rPr>
      </w:pPr>
    </w:p>
    <w:p w:rsidR="00C50640" w:rsidRDefault="006D6C0F" w:rsidP="0013018B">
      <w:pPr>
        <w:spacing w:line="360" w:lineRule="auto"/>
        <w:rPr>
          <w:rFonts w:ascii="Arial" w:eastAsia="Calibri" w:hAnsi="Arial" w:cs="Arial"/>
          <w:sz w:val="24"/>
          <w:szCs w:val="24"/>
        </w:rPr>
      </w:pPr>
      <w:r>
        <w:rPr>
          <w:rFonts w:ascii="Arial" w:eastAsia="Calibri" w:hAnsi="Arial" w:cs="Arial"/>
          <w:sz w:val="24"/>
          <w:szCs w:val="24"/>
        </w:rPr>
        <w:t>[2</w:t>
      </w:r>
      <w:r w:rsidR="00FC6CCF">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The Referee stated that: ‘</w:t>
      </w:r>
      <w:r w:rsidR="00C50640" w:rsidRPr="00592A94">
        <w:rPr>
          <w:rFonts w:ascii="Arial" w:eastAsia="Calibri" w:hAnsi="Arial" w:cs="Arial"/>
        </w:rPr>
        <w:t>Bunkernet complains that if the ranking order is not disturbed, the Lender will recover its expenditure on bunkers, while Bunkernet will not. This is a consequence of the Lender having secured its claims by way of a mortgage. Bunkernet, on the other hand, chose to supply bunkers on credit without obtaining security for its cl</w:t>
      </w:r>
      <w:r w:rsidR="0052546E" w:rsidRPr="00592A94">
        <w:rPr>
          <w:rFonts w:ascii="Arial" w:eastAsia="Calibri" w:hAnsi="Arial" w:cs="Arial"/>
        </w:rPr>
        <w:t xml:space="preserve">aims </w:t>
      </w:r>
      <w:r w:rsidR="00C46593" w:rsidRPr="00592A94">
        <w:rPr>
          <w:rFonts w:ascii="Arial" w:eastAsia="Calibri" w:hAnsi="Arial" w:cs="Arial"/>
        </w:rPr>
        <w:t>save</w:t>
      </w:r>
      <w:r w:rsidR="0052546E" w:rsidRPr="00592A94">
        <w:rPr>
          <w:rFonts w:ascii="Arial" w:eastAsia="Calibri" w:hAnsi="Arial" w:cs="Arial"/>
        </w:rPr>
        <w:t xml:space="preserve"> for the retention of</w:t>
      </w:r>
      <w:r w:rsidR="00C50640" w:rsidRPr="00592A94">
        <w:rPr>
          <w:rFonts w:ascii="Arial" w:eastAsia="Calibri" w:hAnsi="Arial" w:cs="Arial"/>
        </w:rPr>
        <w:t xml:space="preserve"> ownership. The arrangement is typical of bunker</w:t>
      </w:r>
      <w:r w:rsidR="0052546E" w:rsidRPr="00592A94">
        <w:rPr>
          <w:rFonts w:ascii="Arial" w:eastAsia="Calibri" w:hAnsi="Arial" w:cs="Arial"/>
        </w:rPr>
        <w:t xml:space="preserve"> supplie</w:t>
      </w:r>
      <w:r w:rsidR="00C46593" w:rsidRPr="00592A94">
        <w:rPr>
          <w:rFonts w:ascii="Arial" w:eastAsia="Calibri" w:hAnsi="Arial" w:cs="Arial"/>
        </w:rPr>
        <w:t>r</w:t>
      </w:r>
      <w:r w:rsidR="0052546E" w:rsidRPr="00592A94">
        <w:rPr>
          <w:rFonts w:ascii="Arial" w:eastAsia="Calibri" w:hAnsi="Arial" w:cs="Arial"/>
        </w:rPr>
        <w:t>s. Bunkernet’s choice amounts to a commercial risk which is mitigated, to a degree, by the application of a very high rate of interest of 3% per month. I therefore do not think it is particularly inequitable that the Lender should outranks Bunkernet.</w:t>
      </w:r>
      <w:r w:rsidR="004928EB" w:rsidRPr="00592A94">
        <w:rPr>
          <w:rFonts w:ascii="Arial" w:eastAsia="Calibri" w:hAnsi="Arial" w:cs="Arial"/>
        </w:rPr>
        <w:t>’</w:t>
      </w:r>
      <w:r w:rsidR="0052546E">
        <w:rPr>
          <w:rFonts w:ascii="Arial" w:eastAsia="Calibri" w:hAnsi="Arial" w:cs="Arial"/>
          <w:sz w:val="24"/>
          <w:szCs w:val="24"/>
        </w:rPr>
        <w:t xml:space="preserve"> The timing of registration is immaterial as the necessaries were provided after registration of the mortgage. </w:t>
      </w:r>
    </w:p>
    <w:p w:rsidR="0052546E" w:rsidRDefault="0052546E" w:rsidP="0013018B">
      <w:pPr>
        <w:spacing w:line="360" w:lineRule="auto"/>
        <w:rPr>
          <w:rFonts w:ascii="Arial" w:eastAsia="Calibri" w:hAnsi="Arial" w:cs="Arial"/>
          <w:sz w:val="24"/>
          <w:szCs w:val="24"/>
        </w:rPr>
      </w:pPr>
    </w:p>
    <w:p w:rsidR="0052546E" w:rsidRDefault="00D00F9D"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2</w:t>
      </w:r>
      <w:r w:rsidR="00D22390">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52546E">
        <w:rPr>
          <w:rFonts w:ascii="Arial" w:eastAsia="Calibri" w:hAnsi="Arial" w:cs="Arial"/>
          <w:sz w:val="24"/>
          <w:szCs w:val="24"/>
        </w:rPr>
        <w:t xml:space="preserve">In the result the Referee ruled that </w:t>
      </w:r>
      <w:r w:rsidR="00911DD3">
        <w:rPr>
          <w:rFonts w:ascii="Arial" w:eastAsia="Calibri" w:hAnsi="Arial" w:cs="Arial"/>
          <w:sz w:val="24"/>
          <w:szCs w:val="24"/>
        </w:rPr>
        <w:t>an</w:t>
      </w:r>
      <w:r w:rsidR="00AD07FC">
        <w:rPr>
          <w:rFonts w:ascii="Arial" w:eastAsia="Calibri" w:hAnsi="Arial" w:cs="Arial"/>
          <w:sz w:val="24"/>
          <w:szCs w:val="24"/>
        </w:rPr>
        <w:t xml:space="preserve"> </w:t>
      </w:r>
      <w:r w:rsidR="004928EB">
        <w:rPr>
          <w:rFonts w:ascii="Arial" w:eastAsia="Calibri" w:hAnsi="Arial" w:cs="Arial"/>
          <w:sz w:val="24"/>
          <w:szCs w:val="24"/>
        </w:rPr>
        <w:t>alteration</w:t>
      </w:r>
      <w:r w:rsidR="0052546E">
        <w:rPr>
          <w:rFonts w:ascii="Arial" w:eastAsia="Calibri" w:hAnsi="Arial" w:cs="Arial"/>
          <w:sz w:val="24"/>
          <w:szCs w:val="24"/>
        </w:rPr>
        <w:t xml:space="preserve"> of the usual order of priorities </w:t>
      </w:r>
      <w:r w:rsidR="00911DD3">
        <w:rPr>
          <w:rFonts w:ascii="Arial" w:eastAsia="Calibri" w:hAnsi="Arial" w:cs="Arial"/>
          <w:sz w:val="24"/>
          <w:szCs w:val="24"/>
        </w:rPr>
        <w:t>was not</w:t>
      </w:r>
      <w:r w:rsidR="00AD07FC">
        <w:rPr>
          <w:rFonts w:ascii="Arial" w:eastAsia="Calibri" w:hAnsi="Arial" w:cs="Arial"/>
          <w:sz w:val="24"/>
          <w:szCs w:val="24"/>
        </w:rPr>
        <w:t xml:space="preserve"> </w:t>
      </w:r>
      <w:r w:rsidR="0052546E">
        <w:rPr>
          <w:rFonts w:ascii="Arial" w:eastAsia="Calibri" w:hAnsi="Arial" w:cs="Arial"/>
          <w:sz w:val="24"/>
          <w:szCs w:val="24"/>
        </w:rPr>
        <w:t>required to prevent an obvious injustice.</w:t>
      </w:r>
    </w:p>
    <w:p w:rsidR="00144262" w:rsidRDefault="00144262" w:rsidP="0013018B">
      <w:pPr>
        <w:spacing w:line="360" w:lineRule="auto"/>
        <w:rPr>
          <w:rFonts w:ascii="Arial" w:eastAsia="Calibri" w:hAnsi="Arial" w:cs="Arial"/>
          <w:sz w:val="24"/>
          <w:szCs w:val="24"/>
        </w:rPr>
      </w:pPr>
    </w:p>
    <w:p w:rsidR="002B7DA2" w:rsidRDefault="00D22390" w:rsidP="0013018B">
      <w:pPr>
        <w:spacing w:line="360" w:lineRule="auto"/>
        <w:rPr>
          <w:rFonts w:ascii="Arial" w:eastAsia="Calibri" w:hAnsi="Arial" w:cs="Arial"/>
          <w:sz w:val="24"/>
          <w:szCs w:val="24"/>
        </w:rPr>
      </w:pPr>
      <w:r>
        <w:rPr>
          <w:rFonts w:ascii="Arial" w:eastAsia="Calibri" w:hAnsi="Arial" w:cs="Arial"/>
          <w:sz w:val="24"/>
          <w:szCs w:val="24"/>
        </w:rPr>
        <w:t>[30]</w:t>
      </w:r>
      <w:r>
        <w:rPr>
          <w:rFonts w:ascii="Arial" w:eastAsia="Calibri" w:hAnsi="Arial" w:cs="Arial"/>
          <w:sz w:val="24"/>
          <w:szCs w:val="24"/>
        </w:rPr>
        <w:tab/>
      </w:r>
      <w:r w:rsidR="002863B0">
        <w:rPr>
          <w:rFonts w:ascii="Arial" w:eastAsia="Calibri" w:hAnsi="Arial" w:cs="Arial"/>
          <w:sz w:val="24"/>
          <w:szCs w:val="24"/>
        </w:rPr>
        <w:t>After the report,</w:t>
      </w:r>
      <w:r w:rsidR="00911DD3">
        <w:rPr>
          <w:rFonts w:ascii="Arial" w:eastAsia="Calibri" w:hAnsi="Arial" w:cs="Arial"/>
          <w:sz w:val="24"/>
          <w:szCs w:val="24"/>
        </w:rPr>
        <w:t xml:space="preserve"> the </w:t>
      </w:r>
      <w:r>
        <w:rPr>
          <w:rFonts w:ascii="Arial" w:eastAsia="Calibri" w:hAnsi="Arial" w:cs="Arial"/>
          <w:sz w:val="24"/>
          <w:szCs w:val="24"/>
        </w:rPr>
        <w:t>Lender</w:t>
      </w:r>
      <w:r w:rsidR="00911DD3">
        <w:rPr>
          <w:rFonts w:ascii="Arial" w:eastAsia="Calibri" w:hAnsi="Arial" w:cs="Arial"/>
          <w:sz w:val="24"/>
          <w:szCs w:val="24"/>
        </w:rPr>
        <w:t xml:space="preserve"> applied to this C</w:t>
      </w:r>
      <w:r w:rsidR="008C31BB">
        <w:rPr>
          <w:rFonts w:ascii="Arial" w:eastAsia="Calibri" w:hAnsi="Arial" w:cs="Arial"/>
          <w:sz w:val="24"/>
          <w:szCs w:val="24"/>
        </w:rPr>
        <w:t>ourt to have the report confirmed and the recommendations implemented.</w:t>
      </w:r>
      <w:r w:rsidR="002863B0">
        <w:rPr>
          <w:rFonts w:ascii="Arial" w:eastAsia="Calibri" w:hAnsi="Arial" w:cs="Arial"/>
          <w:sz w:val="24"/>
          <w:szCs w:val="24"/>
        </w:rPr>
        <w:t xml:space="preserve"> Bunkernet opposed the application and file</w:t>
      </w:r>
      <w:r w:rsidR="000C6907">
        <w:rPr>
          <w:rFonts w:ascii="Arial" w:eastAsia="Calibri" w:hAnsi="Arial" w:cs="Arial"/>
          <w:sz w:val="24"/>
          <w:szCs w:val="24"/>
        </w:rPr>
        <w:t>d</w:t>
      </w:r>
      <w:r w:rsidR="002863B0">
        <w:rPr>
          <w:rFonts w:ascii="Arial" w:eastAsia="Calibri" w:hAnsi="Arial" w:cs="Arial"/>
          <w:sz w:val="24"/>
          <w:szCs w:val="24"/>
        </w:rPr>
        <w:t xml:space="preserve"> a counter application.</w:t>
      </w:r>
    </w:p>
    <w:p w:rsidR="00D22390" w:rsidRDefault="00D22390" w:rsidP="004928EB">
      <w:pPr>
        <w:spacing w:line="360" w:lineRule="auto"/>
        <w:rPr>
          <w:rFonts w:ascii="Arial" w:eastAsia="Calibri" w:hAnsi="Arial" w:cs="Arial"/>
          <w:b/>
          <w:sz w:val="24"/>
          <w:szCs w:val="24"/>
          <w:u w:val="single"/>
        </w:rPr>
      </w:pPr>
    </w:p>
    <w:p w:rsidR="00282E6C" w:rsidRPr="00282E6C" w:rsidRDefault="00282E6C" w:rsidP="004928EB">
      <w:pPr>
        <w:spacing w:line="360" w:lineRule="auto"/>
        <w:rPr>
          <w:rFonts w:ascii="Arial" w:eastAsia="Calibri" w:hAnsi="Arial" w:cs="Arial"/>
          <w:sz w:val="24"/>
          <w:szCs w:val="24"/>
          <w:u w:val="single"/>
        </w:rPr>
      </w:pPr>
      <w:r w:rsidRPr="00282E6C">
        <w:rPr>
          <w:rFonts w:ascii="Arial" w:eastAsia="Calibri" w:hAnsi="Arial" w:cs="Arial"/>
          <w:sz w:val="24"/>
          <w:szCs w:val="24"/>
          <w:u w:val="single"/>
        </w:rPr>
        <w:t>Counter application</w:t>
      </w:r>
    </w:p>
    <w:p w:rsidR="00DA39FA" w:rsidRDefault="00CC39BC" w:rsidP="0013018B">
      <w:pPr>
        <w:spacing w:line="360" w:lineRule="auto"/>
        <w:rPr>
          <w:rFonts w:ascii="Arial" w:eastAsia="Calibri" w:hAnsi="Arial" w:cs="Arial"/>
          <w:sz w:val="24"/>
          <w:szCs w:val="24"/>
        </w:rPr>
      </w:pPr>
      <w:r>
        <w:rPr>
          <w:rFonts w:ascii="Arial" w:eastAsia="Calibri" w:hAnsi="Arial" w:cs="Arial"/>
          <w:sz w:val="24"/>
          <w:szCs w:val="24"/>
        </w:rPr>
        <w:t>[</w:t>
      </w:r>
      <w:r w:rsidR="00D22390">
        <w:rPr>
          <w:rFonts w:ascii="Arial" w:eastAsia="Calibri" w:hAnsi="Arial" w:cs="Arial"/>
          <w:sz w:val="24"/>
          <w:szCs w:val="24"/>
        </w:rPr>
        <w:t>31</w:t>
      </w:r>
      <w:r>
        <w:rPr>
          <w:rFonts w:ascii="Arial" w:eastAsia="Calibri" w:hAnsi="Arial" w:cs="Arial"/>
          <w:sz w:val="24"/>
          <w:szCs w:val="24"/>
        </w:rPr>
        <w:t>]</w:t>
      </w:r>
      <w:r>
        <w:rPr>
          <w:rFonts w:ascii="Arial" w:eastAsia="Calibri" w:hAnsi="Arial" w:cs="Arial"/>
          <w:sz w:val="24"/>
          <w:szCs w:val="24"/>
        </w:rPr>
        <w:tab/>
      </w:r>
      <w:r w:rsidR="005E1573">
        <w:rPr>
          <w:rFonts w:ascii="Arial" w:eastAsia="Calibri" w:hAnsi="Arial" w:cs="Arial"/>
          <w:sz w:val="24"/>
          <w:szCs w:val="24"/>
        </w:rPr>
        <w:t>In the counter application, Bunkernet filed one affidavit as an answering affidavit to the application of the</w:t>
      </w:r>
      <w:r w:rsidR="001A1A24">
        <w:rPr>
          <w:rFonts w:ascii="Arial" w:eastAsia="Calibri" w:hAnsi="Arial" w:cs="Arial"/>
          <w:sz w:val="24"/>
          <w:szCs w:val="24"/>
        </w:rPr>
        <w:t xml:space="preserve"> </w:t>
      </w:r>
      <w:r w:rsidR="005E1573">
        <w:rPr>
          <w:rFonts w:ascii="Arial" w:eastAsia="Calibri" w:hAnsi="Arial" w:cs="Arial"/>
          <w:sz w:val="24"/>
          <w:szCs w:val="24"/>
        </w:rPr>
        <w:t>Lender and the same affidavit as the founding affidavit to the counter application</w:t>
      </w:r>
      <w:r w:rsidR="00282E6C">
        <w:rPr>
          <w:rFonts w:ascii="Arial" w:eastAsia="Calibri" w:hAnsi="Arial" w:cs="Arial"/>
          <w:sz w:val="24"/>
          <w:szCs w:val="24"/>
        </w:rPr>
        <w:t xml:space="preserve"> a</w:t>
      </w:r>
      <w:r w:rsidR="00DA39FA">
        <w:rPr>
          <w:rFonts w:ascii="Arial" w:eastAsia="Calibri" w:hAnsi="Arial" w:cs="Arial"/>
          <w:sz w:val="24"/>
          <w:szCs w:val="24"/>
        </w:rPr>
        <w:t>n</w:t>
      </w:r>
      <w:r w:rsidR="00282E6C">
        <w:rPr>
          <w:rFonts w:ascii="Arial" w:eastAsia="Calibri" w:hAnsi="Arial" w:cs="Arial"/>
          <w:sz w:val="24"/>
          <w:szCs w:val="24"/>
        </w:rPr>
        <w:t>d sought</w:t>
      </w:r>
      <w:r w:rsidR="00DA39FA">
        <w:rPr>
          <w:rFonts w:ascii="Arial" w:eastAsia="Calibri" w:hAnsi="Arial" w:cs="Arial"/>
          <w:sz w:val="24"/>
          <w:szCs w:val="24"/>
        </w:rPr>
        <w:t xml:space="preserve"> </w:t>
      </w:r>
      <w:r w:rsidR="00282E6C">
        <w:rPr>
          <w:rFonts w:ascii="Arial" w:eastAsia="Calibri" w:hAnsi="Arial" w:cs="Arial"/>
          <w:sz w:val="24"/>
          <w:szCs w:val="24"/>
        </w:rPr>
        <w:t xml:space="preserve">an </w:t>
      </w:r>
      <w:r w:rsidR="00DA39FA">
        <w:rPr>
          <w:rFonts w:ascii="Arial" w:eastAsia="Calibri" w:hAnsi="Arial" w:cs="Arial"/>
          <w:sz w:val="24"/>
          <w:szCs w:val="24"/>
        </w:rPr>
        <w:t>order in the following terms</w:t>
      </w:r>
      <w:r w:rsidR="005E1573">
        <w:rPr>
          <w:rFonts w:ascii="Arial" w:eastAsia="Calibri" w:hAnsi="Arial" w:cs="Arial"/>
          <w:sz w:val="24"/>
          <w:szCs w:val="24"/>
        </w:rPr>
        <w:t>:</w:t>
      </w:r>
    </w:p>
    <w:p w:rsidR="00A834D6" w:rsidRDefault="00A834D6" w:rsidP="0013018B">
      <w:pPr>
        <w:spacing w:line="360" w:lineRule="auto"/>
        <w:rPr>
          <w:rFonts w:ascii="Arial" w:eastAsia="Calibri" w:hAnsi="Arial" w:cs="Arial"/>
          <w:sz w:val="24"/>
          <w:szCs w:val="24"/>
        </w:rPr>
      </w:pPr>
    </w:p>
    <w:p w:rsidR="00DA39FA" w:rsidRPr="00A834D6" w:rsidRDefault="00143A7D" w:rsidP="00592A94">
      <w:pPr>
        <w:spacing w:line="360" w:lineRule="auto"/>
        <w:rPr>
          <w:rFonts w:ascii="Arial" w:eastAsia="Calibri" w:hAnsi="Arial" w:cs="Arial"/>
        </w:rPr>
      </w:pPr>
      <w:r w:rsidRPr="00A834D6">
        <w:rPr>
          <w:rFonts w:ascii="Arial" w:eastAsia="Calibri" w:hAnsi="Arial" w:cs="Arial"/>
        </w:rPr>
        <w:t>‘</w:t>
      </w:r>
      <w:r w:rsidR="00414352" w:rsidRPr="00A834D6">
        <w:rPr>
          <w:rFonts w:ascii="Arial" w:eastAsia="Calibri" w:hAnsi="Arial" w:cs="Arial"/>
        </w:rPr>
        <w:t>1.</w:t>
      </w:r>
      <w:r w:rsidR="00414352" w:rsidRPr="00A834D6">
        <w:rPr>
          <w:rFonts w:ascii="Arial" w:eastAsia="Calibri" w:hAnsi="Arial" w:cs="Arial"/>
        </w:rPr>
        <w:tab/>
      </w:r>
      <w:r w:rsidR="00442A04" w:rsidRPr="00A834D6">
        <w:rPr>
          <w:rFonts w:ascii="Arial" w:eastAsia="Calibri" w:hAnsi="Arial" w:cs="Arial"/>
        </w:rPr>
        <w:t>That the fourth respondent’s claim as described in the report of the Referee dated 26 July 2018 at lines 6 to 9 be paid out of the first respondent fund;</w:t>
      </w:r>
    </w:p>
    <w:p w:rsidR="00442A04" w:rsidRPr="00A834D6" w:rsidRDefault="00414352" w:rsidP="00592A94">
      <w:pPr>
        <w:spacing w:line="360" w:lineRule="auto"/>
        <w:rPr>
          <w:rFonts w:ascii="Arial" w:eastAsia="Calibri" w:hAnsi="Arial" w:cs="Arial"/>
        </w:rPr>
      </w:pPr>
      <w:r w:rsidRPr="00A834D6">
        <w:rPr>
          <w:rFonts w:ascii="Arial" w:eastAsia="Calibri" w:hAnsi="Arial" w:cs="Arial"/>
        </w:rPr>
        <w:lastRenderedPageBreak/>
        <w:t>2.</w:t>
      </w:r>
      <w:r w:rsidRPr="00A834D6">
        <w:rPr>
          <w:rFonts w:ascii="Arial" w:eastAsia="Calibri" w:hAnsi="Arial" w:cs="Arial"/>
        </w:rPr>
        <w:tab/>
      </w:r>
      <w:r w:rsidR="00442A04" w:rsidRPr="00A834D6">
        <w:rPr>
          <w:rFonts w:ascii="Arial" w:eastAsia="Calibri" w:hAnsi="Arial" w:cs="Arial"/>
        </w:rPr>
        <w:t>That after payment of the fourth respondent’s claim, the costs of the preparation and submission thereof, and the costs of the application and this counter-application, the balance of the first respondent fund be paid to the applicant;</w:t>
      </w:r>
    </w:p>
    <w:p w:rsidR="00442A04" w:rsidRPr="00A834D6" w:rsidRDefault="00414352" w:rsidP="00592A94">
      <w:pPr>
        <w:spacing w:line="360" w:lineRule="auto"/>
        <w:rPr>
          <w:rFonts w:ascii="Arial" w:eastAsia="Calibri" w:hAnsi="Arial" w:cs="Arial"/>
        </w:rPr>
      </w:pPr>
      <w:r w:rsidRPr="00A834D6">
        <w:rPr>
          <w:rFonts w:ascii="Arial" w:eastAsia="Calibri" w:hAnsi="Arial" w:cs="Arial"/>
        </w:rPr>
        <w:t>3.</w:t>
      </w:r>
      <w:r w:rsidRPr="00A834D6">
        <w:rPr>
          <w:rFonts w:ascii="Arial" w:eastAsia="Calibri" w:hAnsi="Arial" w:cs="Arial"/>
        </w:rPr>
        <w:tab/>
      </w:r>
      <w:r w:rsidR="00442A04" w:rsidRPr="00A834D6">
        <w:rPr>
          <w:rFonts w:ascii="Arial" w:eastAsia="Calibri" w:hAnsi="Arial" w:cs="Arial"/>
        </w:rPr>
        <w:t>That the applicant be directed to pay the costs of this application.</w:t>
      </w:r>
    </w:p>
    <w:p w:rsidR="00442A04" w:rsidRPr="00A834D6" w:rsidRDefault="00414352" w:rsidP="00592A94">
      <w:pPr>
        <w:spacing w:line="360" w:lineRule="auto"/>
        <w:rPr>
          <w:rFonts w:ascii="Arial" w:eastAsia="Calibri" w:hAnsi="Arial" w:cs="Arial"/>
        </w:rPr>
      </w:pPr>
      <w:r w:rsidRPr="00A834D6">
        <w:rPr>
          <w:rFonts w:ascii="Arial" w:eastAsia="Calibri" w:hAnsi="Arial" w:cs="Arial"/>
        </w:rPr>
        <w:t>4.</w:t>
      </w:r>
      <w:r w:rsidRPr="00A834D6">
        <w:rPr>
          <w:rFonts w:ascii="Arial" w:eastAsia="Calibri" w:hAnsi="Arial" w:cs="Arial"/>
        </w:rPr>
        <w:tab/>
      </w:r>
      <w:r w:rsidR="00442A04" w:rsidRPr="00A834D6">
        <w:rPr>
          <w:rFonts w:ascii="Arial" w:eastAsia="Calibri" w:hAnsi="Arial" w:cs="Arial"/>
        </w:rPr>
        <w:t>In th</w:t>
      </w:r>
      <w:r w:rsidR="006E7B38" w:rsidRPr="00A834D6">
        <w:rPr>
          <w:rFonts w:ascii="Arial" w:eastAsia="Calibri" w:hAnsi="Arial" w:cs="Arial"/>
        </w:rPr>
        <w:t xml:space="preserve">e </w:t>
      </w:r>
      <w:r w:rsidR="006E7B38" w:rsidRPr="00A834D6">
        <w:rPr>
          <w:rFonts w:ascii="Arial" w:eastAsia="Calibri" w:hAnsi="Arial" w:cs="Arial"/>
          <w:u w:val="single"/>
        </w:rPr>
        <w:t>alternative</w:t>
      </w:r>
      <w:r w:rsidR="006E7B38" w:rsidRPr="00A834D6">
        <w:rPr>
          <w:rFonts w:ascii="Arial" w:eastAsia="Calibri" w:hAnsi="Arial" w:cs="Arial"/>
        </w:rPr>
        <w:t xml:space="preserve"> to paragraphs 1, 2</w:t>
      </w:r>
      <w:r w:rsidR="00442A04" w:rsidRPr="00A834D6">
        <w:rPr>
          <w:rFonts w:ascii="Arial" w:eastAsia="Calibri" w:hAnsi="Arial" w:cs="Arial"/>
        </w:rPr>
        <w:t xml:space="preserve"> and 3 above:</w:t>
      </w:r>
    </w:p>
    <w:p w:rsidR="00442A04" w:rsidRPr="00A834D6" w:rsidRDefault="00057242" w:rsidP="00592A94">
      <w:pPr>
        <w:spacing w:line="360" w:lineRule="auto"/>
        <w:rPr>
          <w:rFonts w:ascii="Arial" w:eastAsia="Calibri" w:hAnsi="Arial" w:cs="Arial"/>
        </w:rPr>
      </w:pPr>
      <w:r w:rsidRPr="00A834D6">
        <w:rPr>
          <w:rFonts w:ascii="Arial" w:eastAsia="Calibri" w:hAnsi="Arial" w:cs="Arial"/>
        </w:rPr>
        <w:t>4.1</w:t>
      </w:r>
      <w:r w:rsidRPr="00A834D6">
        <w:rPr>
          <w:rFonts w:ascii="Arial" w:eastAsia="Calibri" w:hAnsi="Arial" w:cs="Arial"/>
        </w:rPr>
        <w:tab/>
      </w:r>
      <w:r w:rsidR="00442A04" w:rsidRPr="00A834D6">
        <w:rPr>
          <w:rFonts w:ascii="Arial" w:eastAsia="Calibri" w:hAnsi="Arial" w:cs="Arial"/>
        </w:rPr>
        <w:t xml:space="preserve">That the applicant be directed to make available for examination and cross-examination Mr. Dimitri Andonatos and Mr. Nicholas Dracolis or, failing them other witnesses who are competent to give </w:t>
      </w:r>
      <w:r w:rsidR="00143A7D" w:rsidRPr="00A834D6">
        <w:rPr>
          <w:rFonts w:ascii="Arial" w:eastAsia="Calibri" w:hAnsi="Arial" w:cs="Arial"/>
        </w:rPr>
        <w:t xml:space="preserve">oral </w:t>
      </w:r>
      <w:r w:rsidR="00442A04" w:rsidRPr="00A834D6">
        <w:rPr>
          <w:rFonts w:ascii="Arial" w:eastAsia="Calibri" w:hAnsi="Arial" w:cs="Arial"/>
        </w:rPr>
        <w:t>evidence on the following issues:</w:t>
      </w:r>
    </w:p>
    <w:p w:rsidR="00442A04" w:rsidRPr="00A834D6" w:rsidRDefault="00057242" w:rsidP="003F3AF1">
      <w:pPr>
        <w:spacing w:line="360" w:lineRule="auto"/>
        <w:ind w:left="2160" w:hanging="720"/>
        <w:rPr>
          <w:rFonts w:ascii="Arial" w:eastAsia="Calibri" w:hAnsi="Arial" w:cs="Arial"/>
        </w:rPr>
      </w:pPr>
      <w:r w:rsidRPr="00A834D6">
        <w:rPr>
          <w:rFonts w:ascii="Arial" w:eastAsia="Calibri" w:hAnsi="Arial" w:cs="Arial"/>
        </w:rPr>
        <w:t>4.1.1</w:t>
      </w:r>
      <w:r w:rsidRPr="00A834D6">
        <w:rPr>
          <w:rFonts w:ascii="Arial" w:eastAsia="Calibri" w:hAnsi="Arial" w:cs="Arial"/>
        </w:rPr>
        <w:tab/>
      </w:r>
      <w:r w:rsidR="00442A04" w:rsidRPr="00A834D6">
        <w:rPr>
          <w:rFonts w:ascii="Arial" w:eastAsia="Calibri" w:hAnsi="Arial" w:cs="Arial"/>
        </w:rPr>
        <w:t>The financial circumstances of Tillman Enterprises Inc</w:t>
      </w:r>
      <w:r w:rsidR="00A25847" w:rsidRPr="00A834D6">
        <w:rPr>
          <w:rFonts w:ascii="Arial" w:eastAsia="Calibri" w:hAnsi="Arial" w:cs="Arial"/>
        </w:rPr>
        <w:t>.</w:t>
      </w:r>
      <w:r w:rsidR="00442A04" w:rsidRPr="00A834D6">
        <w:rPr>
          <w:rFonts w:ascii="Arial" w:eastAsia="Calibri" w:hAnsi="Arial" w:cs="Arial"/>
        </w:rPr>
        <w:t>; the erstwhile owne</w:t>
      </w:r>
      <w:r w:rsidR="00143A7D" w:rsidRPr="00A834D6">
        <w:rPr>
          <w:rFonts w:ascii="Arial" w:eastAsia="Calibri" w:hAnsi="Arial" w:cs="Arial"/>
        </w:rPr>
        <w:t>r of the MV “Palenque 1” (“the V</w:t>
      </w:r>
      <w:r w:rsidR="00442A04" w:rsidRPr="00A834D6">
        <w:rPr>
          <w:rFonts w:ascii="Arial" w:eastAsia="Calibri" w:hAnsi="Arial" w:cs="Arial"/>
        </w:rPr>
        <w:t>esse</w:t>
      </w:r>
      <w:r w:rsidR="00CC39BC" w:rsidRPr="00A834D6">
        <w:rPr>
          <w:rFonts w:ascii="Arial" w:eastAsia="Calibri" w:hAnsi="Arial" w:cs="Arial"/>
        </w:rPr>
        <w:t>l</w:t>
      </w:r>
      <w:r w:rsidR="00442A04" w:rsidRPr="00A834D6">
        <w:rPr>
          <w:rFonts w:ascii="Arial" w:eastAsia="Calibri" w:hAnsi="Arial" w:cs="Arial"/>
        </w:rPr>
        <w:t>”) at the time that the bunkers and lubricants were supplied to the vessel at Lomé on or about 14 and 15 November 2017;</w:t>
      </w:r>
    </w:p>
    <w:p w:rsidR="00442A04" w:rsidRPr="00A834D6" w:rsidRDefault="0013112B" w:rsidP="003F3AF1">
      <w:pPr>
        <w:spacing w:line="360" w:lineRule="auto"/>
        <w:ind w:left="2160" w:hanging="720"/>
        <w:rPr>
          <w:rFonts w:ascii="Arial" w:eastAsia="Calibri" w:hAnsi="Arial" w:cs="Arial"/>
        </w:rPr>
      </w:pPr>
      <w:r w:rsidRPr="00A834D6">
        <w:rPr>
          <w:rFonts w:ascii="Arial" w:eastAsia="Calibri" w:hAnsi="Arial" w:cs="Arial"/>
        </w:rPr>
        <w:t>4.1.2</w:t>
      </w:r>
      <w:r w:rsidRPr="00A834D6">
        <w:rPr>
          <w:rFonts w:ascii="Arial" w:eastAsia="Calibri" w:hAnsi="Arial" w:cs="Arial"/>
        </w:rPr>
        <w:tab/>
      </w:r>
      <w:r w:rsidR="00442A04" w:rsidRPr="00A834D6">
        <w:rPr>
          <w:rFonts w:ascii="Arial" w:eastAsia="Calibri" w:hAnsi="Arial" w:cs="Arial"/>
        </w:rPr>
        <w:t>The applicant’s knowledge relating to the supply of the</w:t>
      </w:r>
      <w:r w:rsidR="00143A7D" w:rsidRPr="00A834D6">
        <w:rPr>
          <w:rFonts w:ascii="Arial" w:eastAsia="Calibri" w:hAnsi="Arial" w:cs="Arial"/>
        </w:rPr>
        <w:t xml:space="preserve"> bunkers and lubricants to the V</w:t>
      </w:r>
      <w:r w:rsidR="00442A04" w:rsidRPr="00A834D6">
        <w:rPr>
          <w:rFonts w:ascii="Arial" w:eastAsia="Calibri" w:hAnsi="Arial" w:cs="Arial"/>
        </w:rPr>
        <w:t>essel.</w:t>
      </w:r>
    </w:p>
    <w:p w:rsidR="00442A04" w:rsidRPr="00A834D6" w:rsidRDefault="00F92BFD" w:rsidP="003F3AF1">
      <w:pPr>
        <w:spacing w:line="360" w:lineRule="auto"/>
        <w:ind w:left="2160" w:hanging="720"/>
        <w:rPr>
          <w:rFonts w:ascii="Arial" w:eastAsia="Calibri" w:hAnsi="Arial" w:cs="Arial"/>
        </w:rPr>
      </w:pPr>
      <w:r w:rsidRPr="00A834D6">
        <w:rPr>
          <w:rFonts w:ascii="Arial" w:eastAsia="Calibri" w:hAnsi="Arial" w:cs="Arial"/>
        </w:rPr>
        <w:t>4.1.3</w:t>
      </w:r>
      <w:r w:rsidRPr="00A834D6">
        <w:rPr>
          <w:rFonts w:ascii="Arial" w:eastAsia="Calibri" w:hAnsi="Arial" w:cs="Arial"/>
        </w:rPr>
        <w:tab/>
      </w:r>
      <w:r w:rsidR="00442A04" w:rsidRPr="00A834D6">
        <w:rPr>
          <w:rFonts w:ascii="Arial" w:eastAsia="Calibri" w:hAnsi="Arial" w:cs="Arial"/>
        </w:rPr>
        <w:t>The benefit accruing to the applicant arising from the supply of the bunkers and lubricants to the vessel at Lomé; and</w:t>
      </w:r>
    </w:p>
    <w:p w:rsidR="00442A04" w:rsidRPr="00A834D6" w:rsidRDefault="00F92BFD" w:rsidP="003F3AF1">
      <w:pPr>
        <w:spacing w:line="360" w:lineRule="auto"/>
        <w:ind w:left="2160" w:hanging="720"/>
        <w:rPr>
          <w:rFonts w:ascii="Arial" w:eastAsia="Calibri" w:hAnsi="Arial" w:cs="Arial"/>
        </w:rPr>
      </w:pPr>
      <w:r w:rsidRPr="00A834D6">
        <w:rPr>
          <w:rFonts w:ascii="Arial" w:eastAsia="Calibri" w:hAnsi="Arial" w:cs="Arial"/>
        </w:rPr>
        <w:t>4.1.4</w:t>
      </w:r>
      <w:r w:rsidRPr="00A834D6">
        <w:rPr>
          <w:rFonts w:ascii="Arial" w:eastAsia="Calibri" w:hAnsi="Arial" w:cs="Arial"/>
        </w:rPr>
        <w:tab/>
      </w:r>
      <w:r w:rsidR="00442A04" w:rsidRPr="00A834D6">
        <w:rPr>
          <w:rFonts w:ascii="Arial" w:eastAsia="Calibri" w:hAnsi="Arial" w:cs="Arial"/>
        </w:rPr>
        <w:t>All other issues relevant to the equities of subordinating the applicant’s claim to that of the fourth respondent.</w:t>
      </w:r>
    </w:p>
    <w:p w:rsidR="00442A04" w:rsidRPr="00A834D6" w:rsidRDefault="00442A04" w:rsidP="00442A04">
      <w:pPr>
        <w:pStyle w:val="ListParagraph"/>
        <w:spacing w:line="360" w:lineRule="auto"/>
        <w:ind w:left="1800"/>
        <w:rPr>
          <w:rFonts w:ascii="Arial" w:eastAsia="Calibri" w:hAnsi="Arial" w:cs="Arial"/>
        </w:rPr>
      </w:pPr>
    </w:p>
    <w:p w:rsidR="00442A04" w:rsidRPr="00A834D6" w:rsidRDefault="005D1A50" w:rsidP="00592A94">
      <w:pPr>
        <w:spacing w:line="360" w:lineRule="auto"/>
        <w:rPr>
          <w:rFonts w:ascii="Arial" w:eastAsia="Calibri" w:hAnsi="Arial" w:cs="Arial"/>
        </w:rPr>
      </w:pPr>
      <w:r w:rsidRPr="00A834D6">
        <w:rPr>
          <w:rFonts w:ascii="Arial" w:eastAsia="Calibri" w:hAnsi="Arial" w:cs="Arial"/>
        </w:rPr>
        <w:t>4.2</w:t>
      </w:r>
      <w:r w:rsidRPr="00A834D6">
        <w:rPr>
          <w:rFonts w:ascii="Arial" w:eastAsia="Calibri" w:hAnsi="Arial" w:cs="Arial"/>
        </w:rPr>
        <w:tab/>
      </w:r>
      <w:r w:rsidR="00442A04" w:rsidRPr="00A834D6">
        <w:rPr>
          <w:rFonts w:ascii="Arial" w:eastAsia="Calibri" w:hAnsi="Arial" w:cs="Arial"/>
        </w:rPr>
        <w:t xml:space="preserve">That the applicant be directed to discover, in terms of High Court Rule 28, all documents relevant to the </w:t>
      </w:r>
      <w:r w:rsidR="00342CB1" w:rsidRPr="00A834D6">
        <w:rPr>
          <w:rFonts w:ascii="Arial" w:eastAsia="Calibri" w:hAnsi="Arial" w:cs="Arial"/>
        </w:rPr>
        <w:t>determination</w:t>
      </w:r>
      <w:r w:rsidR="00442A04" w:rsidRPr="00A834D6">
        <w:rPr>
          <w:rFonts w:ascii="Arial" w:eastAsia="Calibri" w:hAnsi="Arial" w:cs="Arial"/>
        </w:rPr>
        <w:t xml:space="preserve"> of the above issues one </w:t>
      </w:r>
      <w:r w:rsidR="00342CB1" w:rsidRPr="00A834D6">
        <w:rPr>
          <w:rFonts w:ascii="Arial" w:eastAsia="Calibri" w:hAnsi="Arial" w:cs="Arial"/>
        </w:rPr>
        <w:t>calendar</w:t>
      </w:r>
      <w:r w:rsidR="00442A04" w:rsidRPr="00A834D6">
        <w:rPr>
          <w:rFonts w:ascii="Arial" w:eastAsia="Calibri" w:hAnsi="Arial" w:cs="Arial"/>
        </w:rPr>
        <w:t xml:space="preserve"> month of this order being made</w:t>
      </w:r>
      <w:r w:rsidR="00342CB1" w:rsidRPr="00A834D6">
        <w:rPr>
          <w:rFonts w:ascii="Arial" w:eastAsia="Calibri" w:hAnsi="Arial" w:cs="Arial"/>
        </w:rPr>
        <w:t>.</w:t>
      </w:r>
    </w:p>
    <w:p w:rsidR="00342CB1" w:rsidRPr="00A834D6" w:rsidRDefault="00CA09DD" w:rsidP="00592A94">
      <w:pPr>
        <w:spacing w:line="360" w:lineRule="auto"/>
        <w:rPr>
          <w:rFonts w:ascii="Arial" w:eastAsia="Calibri" w:hAnsi="Arial" w:cs="Arial"/>
        </w:rPr>
      </w:pPr>
      <w:r w:rsidRPr="00A834D6">
        <w:rPr>
          <w:rFonts w:ascii="Arial" w:eastAsia="Calibri" w:hAnsi="Arial" w:cs="Arial"/>
        </w:rPr>
        <w:t>4.3</w:t>
      </w:r>
      <w:r w:rsidRPr="00A834D6">
        <w:rPr>
          <w:rFonts w:ascii="Arial" w:eastAsia="Calibri" w:hAnsi="Arial" w:cs="Arial"/>
        </w:rPr>
        <w:tab/>
      </w:r>
      <w:r w:rsidR="00342CB1" w:rsidRPr="00A834D6">
        <w:rPr>
          <w:rFonts w:ascii="Arial" w:eastAsia="Calibri" w:hAnsi="Arial" w:cs="Arial"/>
        </w:rPr>
        <w:t>That the hearing of the oral evidence be conducted according to the High Court Rules and Namibian law of evidence and on a date allocated by the Registrar of this court.</w:t>
      </w:r>
    </w:p>
    <w:p w:rsidR="00342CB1" w:rsidRPr="00A834D6" w:rsidRDefault="004320FB" w:rsidP="00592A94">
      <w:pPr>
        <w:spacing w:line="360" w:lineRule="auto"/>
        <w:rPr>
          <w:rFonts w:ascii="Arial" w:eastAsia="Calibri" w:hAnsi="Arial" w:cs="Arial"/>
        </w:rPr>
      </w:pPr>
      <w:r w:rsidRPr="00A834D6">
        <w:rPr>
          <w:rFonts w:ascii="Arial" w:eastAsia="Calibri" w:hAnsi="Arial" w:cs="Arial"/>
        </w:rPr>
        <w:t>4.4</w:t>
      </w:r>
      <w:r w:rsidRPr="00A834D6">
        <w:rPr>
          <w:rFonts w:ascii="Arial" w:eastAsia="Calibri" w:hAnsi="Arial" w:cs="Arial"/>
        </w:rPr>
        <w:tab/>
      </w:r>
      <w:r w:rsidR="00342CB1" w:rsidRPr="00A834D6">
        <w:rPr>
          <w:rFonts w:ascii="Arial" w:eastAsia="Calibri" w:hAnsi="Arial" w:cs="Arial"/>
        </w:rPr>
        <w:t>That the costs of this counter-application stand over for later determination.</w:t>
      </w:r>
    </w:p>
    <w:p w:rsidR="00342CB1" w:rsidRPr="00A834D6" w:rsidRDefault="004320FB" w:rsidP="00592A94">
      <w:pPr>
        <w:spacing w:line="360" w:lineRule="auto"/>
        <w:rPr>
          <w:rFonts w:ascii="Arial" w:eastAsia="Calibri" w:hAnsi="Arial" w:cs="Arial"/>
        </w:rPr>
      </w:pPr>
      <w:r w:rsidRPr="00A834D6">
        <w:rPr>
          <w:rFonts w:ascii="Arial" w:eastAsia="Calibri" w:hAnsi="Arial" w:cs="Arial"/>
        </w:rPr>
        <w:t>4.5</w:t>
      </w:r>
      <w:r w:rsidRPr="00A834D6">
        <w:rPr>
          <w:rFonts w:ascii="Arial" w:eastAsia="Calibri" w:hAnsi="Arial" w:cs="Arial"/>
        </w:rPr>
        <w:tab/>
      </w:r>
      <w:r w:rsidR="00342CB1" w:rsidRPr="00A834D6">
        <w:rPr>
          <w:rFonts w:ascii="Arial" w:eastAsia="Calibri" w:hAnsi="Arial" w:cs="Arial"/>
        </w:rPr>
        <w:t>That, after the hearing of oral evidence as described above, the first respondent fund be dealt with in the manner that this honourable court shall order.</w:t>
      </w:r>
    </w:p>
    <w:p w:rsidR="00342CB1" w:rsidRPr="00A834D6" w:rsidRDefault="00414352" w:rsidP="00592A94">
      <w:pPr>
        <w:spacing w:line="360" w:lineRule="auto"/>
        <w:rPr>
          <w:rFonts w:ascii="Arial" w:eastAsia="Calibri" w:hAnsi="Arial" w:cs="Arial"/>
        </w:rPr>
      </w:pPr>
      <w:r w:rsidRPr="00A834D6">
        <w:rPr>
          <w:rFonts w:ascii="Arial" w:eastAsia="Calibri" w:hAnsi="Arial" w:cs="Arial"/>
        </w:rPr>
        <w:t>5.</w:t>
      </w:r>
      <w:r w:rsidRPr="00A834D6">
        <w:rPr>
          <w:rFonts w:ascii="Arial" w:eastAsia="Calibri" w:hAnsi="Arial" w:cs="Arial"/>
        </w:rPr>
        <w:tab/>
      </w:r>
      <w:r w:rsidR="00342CB1" w:rsidRPr="00A834D6">
        <w:rPr>
          <w:rFonts w:ascii="Arial" w:eastAsia="Calibri" w:hAnsi="Arial" w:cs="Arial"/>
        </w:rPr>
        <w:t>Further and/alternative relief.</w:t>
      </w:r>
      <w:r w:rsidR="00C1424A" w:rsidRPr="00A834D6">
        <w:rPr>
          <w:rFonts w:ascii="Arial" w:eastAsia="Calibri" w:hAnsi="Arial" w:cs="Arial"/>
        </w:rPr>
        <w:t>’</w:t>
      </w:r>
    </w:p>
    <w:p w:rsidR="00DA39FA" w:rsidRDefault="00DA39FA" w:rsidP="0013018B">
      <w:pPr>
        <w:spacing w:line="360" w:lineRule="auto"/>
        <w:rPr>
          <w:rFonts w:ascii="Arial" w:eastAsia="Calibri" w:hAnsi="Arial" w:cs="Arial"/>
          <w:sz w:val="24"/>
          <w:szCs w:val="24"/>
        </w:rPr>
      </w:pPr>
    </w:p>
    <w:p w:rsidR="00CC39BC" w:rsidRPr="00F2736F" w:rsidRDefault="00F2736F" w:rsidP="0013018B">
      <w:pPr>
        <w:spacing w:line="360" w:lineRule="auto"/>
        <w:rPr>
          <w:rFonts w:ascii="Arial" w:eastAsia="Calibri" w:hAnsi="Arial" w:cs="Arial"/>
          <w:sz w:val="24"/>
          <w:szCs w:val="24"/>
        </w:rPr>
      </w:pPr>
      <w:r w:rsidRPr="00F2736F">
        <w:rPr>
          <w:rFonts w:ascii="Arial" w:eastAsia="Calibri" w:hAnsi="Arial" w:cs="Arial"/>
          <w:sz w:val="24"/>
          <w:szCs w:val="24"/>
          <w:u w:val="single"/>
        </w:rPr>
        <w:t>Background facts</w:t>
      </w:r>
      <w:r w:rsidR="00366753">
        <w:rPr>
          <w:rFonts w:ascii="Arial" w:eastAsia="Calibri" w:hAnsi="Arial" w:cs="Arial"/>
          <w:sz w:val="24"/>
          <w:szCs w:val="24"/>
          <w:u w:val="single"/>
        </w:rPr>
        <w:t xml:space="preserve"> to the counter application</w:t>
      </w:r>
      <w:r>
        <w:rPr>
          <w:rFonts w:ascii="Arial" w:eastAsia="Calibri" w:hAnsi="Arial" w:cs="Arial"/>
          <w:sz w:val="24"/>
          <w:szCs w:val="24"/>
        </w:rPr>
        <w:t xml:space="preserve"> </w:t>
      </w:r>
    </w:p>
    <w:p w:rsidR="00952733" w:rsidRDefault="00952733" w:rsidP="0013018B">
      <w:pPr>
        <w:spacing w:line="360" w:lineRule="auto"/>
        <w:rPr>
          <w:rFonts w:ascii="Arial" w:eastAsia="Calibri" w:hAnsi="Arial" w:cs="Arial"/>
          <w:sz w:val="24"/>
          <w:szCs w:val="24"/>
        </w:rPr>
      </w:pPr>
      <w:r>
        <w:rPr>
          <w:rFonts w:ascii="Arial" w:eastAsia="Calibri" w:hAnsi="Arial" w:cs="Arial"/>
          <w:sz w:val="24"/>
          <w:szCs w:val="24"/>
        </w:rPr>
        <w:t>[32]</w:t>
      </w:r>
      <w:r>
        <w:rPr>
          <w:rFonts w:ascii="Arial" w:eastAsia="Calibri" w:hAnsi="Arial" w:cs="Arial"/>
          <w:sz w:val="24"/>
          <w:szCs w:val="24"/>
        </w:rPr>
        <w:tab/>
      </w:r>
      <w:r w:rsidR="00C1424A">
        <w:rPr>
          <w:rFonts w:ascii="Arial" w:eastAsia="Calibri" w:hAnsi="Arial" w:cs="Arial"/>
          <w:sz w:val="24"/>
          <w:szCs w:val="24"/>
        </w:rPr>
        <w:t>The facts, as per the answering and founding affidavit</w:t>
      </w:r>
      <w:r w:rsidR="00366753">
        <w:rPr>
          <w:rFonts w:ascii="Arial" w:eastAsia="Calibri" w:hAnsi="Arial" w:cs="Arial"/>
          <w:sz w:val="24"/>
          <w:szCs w:val="24"/>
        </w:rPr>
        <w:t xml:space="preserve"> of Mr. Pfeiffer</w:t>
      </w:r>
      <w:r w:rsidR="00C1424A">
        <w:rPr>
          <w:rFonts w:ascii="Arial" w:eastAsia="Calibri" w:hAnsi="Arial" w:cs="Arial"/>
          <w:sz w:val="24"/>
          <w:szCs w:val="24"/>
        </w:rPr>
        <w:t>, may be summarized as follows:</w:t>
      </w:r>
    </w:p>
    <w:p w:rsidR="00592A94" w:rsidRDefault="00592A94" w:rsidP="0013018B">
      <w:pPr>
        <w:spacing w:line="360" w:lineRule="auto"/>
        <w:rPr>
          <w:rFonts w:ascii="Arial" w:eastAsia="Calibri" w:hAnsi="Arial" w:cs="Arial"/>
          <w:sz w:val="24"/>
          <w:szCs w:val="24"/>
        </w:rPr>
      </w:pPr>
    </w:p>
    <w:p w:rsidR="00DA39FA" w:rsidRDefault="00CC39BC" w:rsidP="0013018B">
      <w:pPr>
        <w:spacing w:line="360" w:lineRule="auto"/>
        <w:rPr>
          <w:rFonts w:ascii="Arial" w:eastAsia="Calibri" w:hAnsi="Arial" w:cs="Arial"/>
          <w:sz w:val="24"/>
          <w:szCs w:val="24"/>
        </w:rPr>
      </w:pPr>
      <w:r>
        <w:rPr>
          <w:rFonts w:ascii="Arial" w:eastAsia="Calibri" w:hAnsi="Arial" w:cs="Arial"/>
          <w:sz w:val="24"/>
          <w:szCs w:val="24"/>
        </w:rPr>
        <w:t xml:space="preserve">On 29 September 2016 GMTC (“the lender”) </w:t>
      </w:r>
      <w:r w:rsidR="00C1424A">
        <w:rPr>
          <w:rFonts w:ascii="Arial" w:eastAsia="Calibri" w:hAnsi="Arial" w:cs="Arial"/>
          <w:sz w:val="24"/>
          <w:szCs w:val="24"/>
        </w:rPr>
        <w:t>lent an amount of USD</w:t>
      </w:r>
      <w:r>
        <w:rPr>
          <w:rFonts w:ascii="Arial" w:eastAsia="Calibri" w:hAnsi="Arial" w:cs="Arial"/>
          <w:sz w:val="24"/>
          <w:szCs w:val="24"/>
        </w:rPr>
        <w:t>15,500,000.00 to 4 entities, including Tillman Ente</w:t>
      </w:r>
      <w:r w:rsidR="004F79EF">
        <w:rPr>
          <w:rFonts w:ascii="Arial" w:eastAsia="Calibri" w:hAnsi="Arial" w:cs="Arial"/>
          <w:sz w:val="24"/>
          <w:szCs w:val="24"/>
        </w:rPr>
        <w:t>rprises Inc., the owner of the V</w:t>
      </w:r>
      <w:r>
        <w:rPr>
          <w:rFonts w:ascii="Arial" w:eastAsia="Calibri" w:hAnsi="Arial" w:cs="Arial"/>
          <w:sz w:val="24"/>
          <w:szCs w:val="24"/>
        </w:rPr>
        <w:t xml:space="preserve">essel. As at 9 November 2017 there was an amount of </w:t>
      </w:r>
      <w:r w:rsidR="00206AAF">
        <w:rPr>
          <w:rFonts w:ascii="Arial" w:eastAsia="Calibri" w:hAnsi="Arial" w:cs="Arial"/>
          <w:sz w:val="24"/>
          <w:szCs w:val="24"/>
        </w:rPr>
        <w:t>USD</w:t>
      </w:r>
      <w:r>
        <w:rPr>
          <w:rFonts w:ascii="Arial" w:eastAsia="Calibri" w:hAnsi="Arial" w:cs="Arial"/>
          <w:sz w:val="24"/>
          <w:szCs w:val="24"/>
        </w:rPr>
        <w:t xml:space="preserve">8,268,424,86, plus interest outstanding </w:t>
      </w:r>
      <w:r>
        <w:rPr>
          <w:rFonts w:ascii="Arial" w:eastAsia="Calibri" w:hAnsi="Arial" w:cs="Arial"/>
          <w:sz w:val="24"/>
          <w:szCs w:val="24"/>
        </w:rPr>
        <w:lastRenderedPageBreak/>
        <w:t>and ‘back end fee’. On 30 October 201</w:t>
      </w:r>
      <w:r w:rsidR="00E87B07">
        <w:rPr>
          <w:rFonts w:ascii="Arial" w:eastAsia="Calibri" w:hAnsi="Arial" w:cs="Arial"/>
          <w:sz w:val="24"/>
          <w:szCs w:val="24"/>
        </w:rPr>
        <w:t>7 Tillman Enterprises sold the V</w:t>
      </w:r>
      <w:r>
        <w:rPr>
          <w:rFonts w:ascii="Arial" w:eastAsia="Calibri" w:hAnsi="Arial" w:cs="Arial"/>
          <w:sz w:val="24"/>
          <w:szCs w:val="24"/>
        </w:rPr>
        <w:t xml:space="preserve">essel to NKD Maritime Limited for </w:t>
      </w:r>
      <w:r w:rsidR="00206AAF">
        <w:rPr>
          <w:rFonts w:ascii="Arial" w:eastAsia="Calibri" w:hAnsi="Arial" w:cs="Arial"/>
          <w:sz w:val="24"/>
          <w:szCs w:val="24"/>
        </w:rPr>
        <w:t>USD</w:t>
      </w:r>
      <w:r>
        <w:rPr>
          <w:rFonts w:ascii="Arial" w:eastAsia="Calibri" w:hAnsi="Arial" w:cs="Arial"/>
          <w:sz w:val="24"/>
          <w:szCs w:val="24"/>
        </w:rPr>
        <w:t>3,264,000.00. Delivery was to take place in Alang</w:t>
      </w:r>
      <w:r w:rsidR="004F79EF">
        <w:rPr>
          <w:rFonts w:ascii="Arial" w:eastAsia="Calibri" w:hAnsi="Arial" w:cs="Arial"/>
          <w:sz w:val="24"/>
          <w:szCs w:val="24"/>
        </w:rPr>
        <w:t xml:space="preserve">, </w:t>
      </w:r>
      <w:r w:rsidR="00E87B07">
        <w:rPr>
          <w:rFonts w:ascii="Arial" w:eastAsia="Calibri" w:hAnsi="Arial" w:cs="Arial"/>
          <w:sz w:val="24"/>
          <w:szCs w:val="24"/>
        </w:rPr>
        <w:t>India</w:t>
      </w:r>
      <w:r>
        <w:rPr>
          <w:rFonts w:ascii="Arial" w:eastAsia="Calibri" w:hAnsi="Arial" w:cs="Arial"/>
          <w:sz w:val="24"/>
          <w:szCs w:val="24"/>
        </w:rPr>
        <w:t xml:space="preserve">. On 9 November 2017 the lender entered into a Loan Agreement with Tillman and two other </w:t>
      </w:r>
      <w:r w:rsidR="009412C6">
        <w:rPr>
          <w:rFonts w:ascii="Arial" w:eastAsia="Calibri" w:hAnsi="Arial" w:cs="Arial"/>
          <w:sz w:val="24"/>
          <w:szCs w:val="24"/>
        </w:rPr>
        <w:t xml:space="preserve">entities </w:t>
      </w:r>
      <w:r>
        <w:rPr>
          <w:rFonts w:ascii="Arial" w:eastAsia="Calibri" w:hAnsi="Arial" w:cs="Arial"/>
          <w:sz w:val="24"/>
          <w:szCs w:val="24"/>
        </w:rPr>
        <w:t xml:space="preserve">pursuant to which </w:t>
      </w:r>
      <w:r w:rsidR="009412C6">
        <w:rPr>
          <w:rFonts w:ascii="Arial" w:eastAsia="Calibri" w:hAnsi="Arial" w:cs="Arial"/>
          <w:sz w:val="24"/>
          <w:szCs w:val="24"/>
        </w:rPr>
        <w:t>i</w:t>
      </w:r>
      <w:r>
        <w:rPr>
          <w:rFonts w:ascii="Arial" w:eastAsia="Calibri" w:hAnsi="Arial" w:cs="Arial"/>
          <w:sz w:val="24"/>
          <w:szCs w:val="24"/>
        </w:rPr>
        <w:t>t</w:t>
      </w:r>
      <w:r w:rsidR="00255F81">
        <w:rPr>
          <w:rFonts w:ascii="Arial" w:eastAsia="Calibri" w:hAnsi="Arial" w:cs="Arial"/>
          <w:sz w:val="24"/>
          <w:szCs w:val="24"/>
        </w:rPr>
        <w:t xml:space="preserve"> </w:t>
      </w:r>
      <w:r w:rsidR="009412C6">
        <w:rPr>
          <w:rFonts w:ascii="Arial" w:eastAsia="Calibri" w:hAnsi="Arial" w:cs="Arial"/>
          <w:sz w:val="24"/>
          <w:szCs w:val="24"/>
        </w:rPr>
        <w:t>lent</w:t>
      </w:r>
      <w:r w:rsidR="00255F81">
        <w:rPr>
          <w:rFonts w:ascii="Arial" w:eastAsia="Calibri" w:hAnsi="Arial" w:cs="Arial"/>
          <w:sz w:val="24"/>
          <w:szCs w:val="24"/>
        </w:rPr>
        <w:t xml:space="preserve"> </w:t>
      </w:r>
      <w:r>
        <w:rPr>
          <w:rFonts w:ascii="Arial" w:eastAsia="Calibri" w:hAnsi="Arial" w:cs="Arial"/>
          <w:sz w:val="24"/>
          <w:szCs w:val="24"/>
        </w:rPr>
        <w:t xml:space="preserve">these entities a total of </w:t>
      </w:r>
      <w:r w:rsidR="00206AAF">
        <w:rPr>
          <w:rFonts w:ascii="Arial" w:eastAsia="Calibri" w:hAnsi="Arial" w:cs="Arial"/>
          <w:sz w:val="24"/>
          <w:szCs w:val="24"/>
        </w:rPr>
        <w:t>USD</w:t>
      </w:r>
      <w:r>
        <w:rPr>
          <w:rFonts w:ascii="Arial" w:eastAsia="Calibri" w:hAnsi="Arial" w:cs="Arial"/>
          <w:sz w:val="24"/>
          <w:szCs w:val="24"/>
        </w:rPr>
        <w:t>12</w:t>
      </w:r>
      <w:r w:rsidR="00BA5FEC">
        <w:rPr>
          <w:rFonts w:ascii="Arial" w:eastAsia="Calibri" w:hAnsi="Arial" w:cs="Arial"/>
          <w:sz w:val="24"/>
          <w:szCs w:val="24"/>
        </w:rPr>
        <w:t> </w:t>
      </w:r>
      <w:r>
        <w:rPr>
          <w:rFonts w:ascii="Arial" w:eastAsia="Calibri" w:hAnsi="Arial" w:cs="Arial"/>
          <w:sz w:val="24"/>
          <w:szCs w:val="24"/>
        </w:rPr>
        <w:t>500</w:t>
      </w:r>
      <w:r w:rsidR="00BA5FEC">
        <w:rPr>
          <w:rFonts w:ascii="Arial" w:eastAsia="Calibri" w:hAnsi="Arial" w:cs="Arial"/>
          <w:sz w:val="24"/>
          <w:szCs w:val="24"/>
        </w:rPr>
        <w:t>,000</w:t>
      </w:r>
      <w:r w:rsidR="00255F81">
        <w:rPr>
          <w:rFonts w:ascii="Arial" w:eastAsia="Calibri" w:hAnsi="Arial" w:cs="Arial"/>
          <w:sz w:val="24"/>
          <w:szCs w:val="24"/>
        </w:rPr>
        <w:t>,</w:t>
      </w:r>
      <w:r>
        <w:rPr>
          <w:rFonts w:ascii="Arial" w:eastAsia="Calibri" w:hAnsi="Arial" w:cs="Arial"/>
          <w:sz w:val="24"/>
          <w:szCs w:val="24"/>
        </w:rPr>
        <w:t>00</w:t>
      </w:r>
      <w:r w:rsidR="00255F81">
        <w:rPr>
          <w:rFonts w:ascii="Arial" w:eastAsia="Calibri" w:hAnsi="Arial" w:cs="Arial"/>
          <w:sz w:val="24"/>
          <w:szCs w:val="24"/>
        </w:rPr>
        <w:t xml:space="preserve">. </w:t>
      </w:r>
      <w:r w:rsidR="009412C6">
        <w:rPr>
          <w:rFonts w:ascii="Arial" w:eastAsia="Calibri" w:hAnsi="Arial" w:cs="Arial"/>
          <w:sz w:val="24"/>
          <w:szCs w:val="24"/>
        </w:rPr>
        <w:t>Of</w:t>
      </w:r>
      <w:r w:rsidR="00255F81">
        <w:rPr>
          <w:rFonts w:ascii="Arial" w:eastAsia="Calibri" w:hAnsi="Arial" w:cs="Arial"/>
          <w:sz w:val="24"/>
          <w:szCs w:val="24"/>
        </w:rPr>
        <w:t xml:space="preserve"> that amount</w:t>
      </w:r>
      <w:r w:rsidR="00E87B07">
        <w:rPr>
          <w:rFonts w:ascii="Arial" w:eastAsia="Calibri" w:hAnsi="Arial" w:cs="Arial"/>
          <w:sz w:val="24"/>
          <w:szCs w:val="24"/>
        </w:rPr>
        <w:t>,</w:t>
      </w:r>
      <w:r w:rsidR="00255F81">
        <w:rPr>
          <w:rFonts w:ascii="Arial" w:eastAsia="Calibri" w:hAnsi="Arial" w:cs="Arial"/>
          <w:sz w:val="24"/>
          <w:szCs w:val="24"/>
        </w:rPr>
        <w:t xml:space="preserve"> </w:t>
      </w:r>
      <w:r w:rsidR="00206AAF">
        <w:rPr>
          <w:rFonts w:ascii="Arial" w:eastAsia="Calibri" w:hAnsi="Arial" w:cs="Arial"/>
          <w:sz w:val="24"/>
          <w:szCs w:val="24"/>
        </w:rPr>
        <w:t>USD</w:t>
      </w:r>
      <w:r w:rsidR="00255F81">
        <w:rPr>
          <w:rFonts w:ascii="Arial" w:eastAsia="Calibri" w:hAnsi="Arial" w:cs="Arial"/>
          <w:sz w:val="24"/>
          <w:szCs w:val="24"/>
        </w:rPr>
        <w:t>2,000,000.00</w:t>
      </w:r>
      <w:r w:rsidR="00B573BB">
        <w:rPr>
          <w:rFonts w:ascii="Arial" w:eastAsia="Calibri" w:hAnsi="Arial" w:cs="Arial"/>
          <w:sz w:val="24"/>
          <w:szCs w:val="24"/>
        </w:rPr>
        <w:t>,</w:t>
      </w:r>
      <w:r>
        <w:rPr>
          <w:rFonts w:ascii="Arial" w:eastAsia="Calibri" w:hAnsi="Arial" w:cs="Arial"/>
          <w:sz w:val="24"/>
          <w:szCs w:val="24"/>
        </w:rPr>
        <w:t xml:space="preserve"> </w:t>
      </w:r>
      <w:r w:rsidR="00BA5FEC">
        <w:rPr>
          <w:rFonts w:ascii="Arial" w:eastAsia="Calibri" w:hAnsi="Arial" w:cs="Arial"/>
          <w:sz w:val="24"/>
          <w:szCs w:val="24"/>
        </w:rPr>
        <w:t xml:space="preserve">was allocated to Tillman as ‘Drawing C’. On 9 November 2017 Tillman and the two other borrowers requested </w:t>
      </w:r>
      <w:r w:rsidR="00366753">
        <w:rPr>
          <w:rFonts w:ascii="Arial" w:eastAsia="Calibri" w:hAnsi="Arial" w:cs="Arial"/>
          <w:sz w:val="24"/>
          <w:szCs w:val="24"/>
        </w:rPr>
        <w:t>the Lender</w:t>
      </w:r>
      <w:r w:rsidR="00BA5FEC">
        <w:rPr>
          <w:rFonts w:ascii="Arial" w:eastAsia="Calibri" w:hAnsi="Arial" w:cs="Arial"/>
          <w:sz w:val="24"/>
          <w:szCs w:val="24"/>
        </w:rPr>
        <w:t xml:space="preserve"> to advance the full loan amount, being </w:t>
      </w:r>
      <w:r w:rsidR="00206AAF">
        <w:rPr>
          <w:rFonts w:ascii="Arial" w:eastAsia="Calibri" w:hAnsi="Arial" w:cs="Arial"/>
          <w:sz w:val="24"/>
          <w:szCs w:val="24"/>
        </w:rPr>
        <w:t>USD</w:t>
      </w:r>
      <w:r w:rsidR="00BA5FEC">
        <w:rPr>
          <w:rFonts w:ascii="Arial" w:eastAsia="Calibri" w:hAnsi="Arial" w:cs="Arial"/>
          <w:sz w:val="24"/>
          <w:szCs w:val="24"/>
        </w:rPr>
        <w:t xml:space="preserve">12 500,000.00. Of that amount </w:t>
      </w:r>
      <w:r w:rsidR="00206AAF">
        <w:rPr>
          <w:rFonts w:ascii="Arial" w:eastAsia="Calibri" w:hAnsi="Arial" w:cs="Arial"/>
          <w:sz w:val="24"/>
          <w:szCs w:val="24"/>
        </w:rPr>
        <w:t>USD</w:t>
      </w:r>
      <w:r w:rsidR="00BA5FEC">
        <w:rPr>
          <w:rFonts w:ascii="Arial" w:eastAsia="Calibri" w:hAnsi="Arial" w:cs="Arial"/>
          <w:sz w:val="24"/>
          <w:szCs w:val="24"/>
        </w:rPr>
        <w:t>1,916,041.00 was paid to the credit of Tillman</w:t>
      </w:r>
      <w:r w:rsidR="00013058">
        <w:rPr>
          <w:rFonts w:ascii="Arial" w:eastAsia="Calibri" w:hAnsi="Arial" w:cs="Arial"/>
          <w:sz w:val="24"/>
          <w:szCs w:val="24"/>
        </w:rPr>
        <w:t>. A</w:t>
      </w:r>
      <w:r w:rsidR="00BA5FEC">
        <w:rPr>
          <w:rFonts w:ascii="Arial" w:eastAsia="Calibri" w:hAnsi="Arial" w:cs="Arial"/>
          <w:sz w:val="24"/>
          <w:szCs w:val="24"/>
        </w:rPr>
        <w:t xml:space="preserve">s security for the loan amount of </w:t>
      </w:r>
      <w:r w:rsidR="00206AAF">
        <w:rPr>
          <w:rFonts w:ascii="Arial" w:eastAsia="Calibri" w:hAnsi="Arial" w:cs="Arial"/>
          <w:sz w:val="24"/>
          <w:szCs w:val="24"/>
        </w:rPr>
        <w:t>USD</w:t>
      </w:r>
      <w:r w:rsidR="00BA5FEC">
        <w:rPr>
          <w:rFonts w:ascii="Arial" w:eastAsia="Calibri" w:hAnsi="Arial" w:cs="Arial"/>
          <w:sz w:val="24"/>
          <w:szCs w:val="24"/>
        </w:rPr>
        <w:t xml:space="preserve">12,500,000.00 plus interest a </w:t>
      </w:r>
      <w:r w:rsidR="00013058">
        <w:rPr>
          <w:rFonts w:ascii="Arial" w:eastAsia="Calibri" w:hAnsi="Arial" w:cs="Arial"/>
          <w:sz w:val="24"/>
          <w:szCs w:val="24"/>
        </w:rPr>
        <w:t xml:space="preserve">Panamanian </w:t>
      </w:r>
      <w:r w:rsidR="00BA5FEC">
        <w:rPr>
          <w:rFonts w:ascii="Arial" w:eastAsia="Calibri" w:hAnsi="Arial" w:cs="Arial"/>
          <w:sz w:val="24"/>
          <w:szCs w:val="24"/>
        </w:rPr>
        <w:t>provisional mortgage bond was registered over the vessel on 14 November 2017 and permanently registered on 11 December 2017.</w:t>
      </w:r>
    </w:p>
    <w:p w:rsidR="00BA5FEC" w:rsidRDefault="00BA5FEC" w:rsidP="0013018B">
      <w:pPr>
        <w:spacing w:line="360" w:lineRule="auto"/>
        <w:rPr>
          <w:rFonts w:ascii="Arial" w:eastAsia="Calibri" w:hAnsi="Arial" w:cs="Arial"/>
          <w:sz w:val="24"/>
          <w:szCs w:val="24"/>
        </w:rPr>
      </w:pPr>
    </w:p>
    <w:p w:rsidR="00BA5FEC" w:rsidRDefault="00E63966"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3</w:t>
      </w:r>
      <w:r w:rsidR="002A580B">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BA5FEC">
        <w:rPr>
          <w:rFonts w:ascii="Arial" w:eastAsia="Calibri" w:hAnsi="Arial" w:cs="Arial"/>
          <w:sz w:val="24"/>
          <w:szCs w:val="24"/>
        </w:rPr>
        <w:t>On or about 14 November 2017 Tillman or the vessel’s manager acting on behalf of the Tillman placed an order with Bunkernet for the supply of approximately 480 mt of marine fuel oil (</w:t>
      </w:r>
      <w:r w:rsidR="00D51502">
        <w:rPr>
          <w:rFonts w:ascii="Arial" w:eastAsia="Calibri" w:hAnsi="Arial" w:cs="Arial"/>
          <w:sz w:val="24"/>
          <w:szCs w:val="24"/>
        </w:rPr>
        <w:t>IFO</w:t>
      </w:r>
      <w:r w:rsidR="00BA5FEC">
        <w:rPr>
          <w:rFonts w:ascii="Arial" w:eastAsia="Calibri" w:hAnsi="Arial" w:cs="Arial"/>
          <w:sz w:val="24"/>
          <w:szCs w:val="24"/>
        </w:rPr>
        <w:t>) and 60 mt of marine ga</w:t>
      </w:r>
      <w:r w:rsidR="00013058">
        <w:rPr>
          <w:rFonts w:ascii="Arial" w:eastAsia="Calibri" w:hAnsi="Arial" w:cs="Arial"/>
          <w:sz w:val="24"/>
          <w:szCs w:val="24"/>
        </w:rPr>
        <w:t>s</w:t>
      </w:r>
      <w:r w:rsidR="00ED0EB0">
        <w:rPr>
          <w:rFonts w:ascii="Arial" w:eastAsia="Calibri" w:hAnsi="Arial" w:cs="Arial"/>
          <w:sz w:val="24"/>
          <w:szCs w:val="24"/>
        </w:rPr>
        <w:t xml:space="preserve"> oil</w:t>
      </w:r>
      <w:r w:rsidR="00013058">
        <w:rPr>
          <w:rFonts w:ascii="Arial" w:eastAsia="Calibri" w:hAnsi="Arial" w:cs="Arial"/>
          <w:sz w:val="24"/>
          <w:szCs w:val="24"/>
        </w:rPr>
        <w:t xml:space="preserve"> (MGO) to be delivered to the V</w:t>
      </w:r>
      <w:r w:rsidR="00BA5FEC">
        <w:rPr>
          <w:rFonts w:ascii="Arial" w:eastAsia="Calibri" w:hAnsi="Arial" w:cs="Arial"/>
          <w:sz w:val="24"/>
          <w:szCs w:val="24"/>
        </w:rPr>
        <w:t>essel at Lomé, Togo. Bunkernet accepted the offer. On 16 November 2017 Tillman or the vessel’s manager acting on behalf of Tillman, placed an order with Bunkernet for the supply of 92 drums of lubricants, to be delivered at the vessel at Lomé, Togo. Bunkernet accepted this offer.</w:t>
      </w:r>
    </w:p>
    <w:p w:rsidR="00DB4C39" w:rsidRDefault="00DB4C39" w:rsidP="0013018B">
      <w:pPr>
        <w:spacing w:line="360" w:lineRule="auto"/>
        <w:rPr>
          <w:rFonts w:ascii="Arial" w:eastAsia="Calibri" w:hAnsi="Arial" w:cs="Arial"/>
          <w:sz w:val="24"/>
          <w:szCs w:val="24"/>
        </w:rPr>
      </w:pPr>
    </w:p>
    <w:p w:rsidR="00EE5FC1" w:rsidRDefault="0076348B"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3</w:t>
      </w:r>
      <w:r w:rsidR="002A580B">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DB4C39">
        <w:rPr>
          <w:rFonts w:ascii="Arial" w:eastAsia="Calibri" w:hAnsi="Arial" w:cs="Arial"/>
          <w:sz w:val="24"/>
          <w:szCs w:val="24"/>
        </w:rPr>
        <w:t>A quantity of 450</w:t>
      </w:r>
      <w:r w:rsidR="00ED0EB0">
        <w:rPr>
          <w:rFonts w:ascii="Arial" w:eastAsia="Calibri" w:hAnsi="Arial" w:cs="Arial"/>
          <w:sz w:val="24"/>
          <w:szCs w:val="24"/>
        </w:rPr>
        <w:t xml:space="preserve">.04 mt of </w:t>
      </w:r>
      <w:r w:rsidR="00D51502">
        <w:rPr>
          <w:rFonts w:ascii="Arial" w:eastAsia="Calibri" w:hAnsi="Arial" w:cs="Arial"/>
          <w:sz w:val="24"/>
          <w:szCs w:val="24"/>
        </w:rPr>
        <w:t>IFO</w:t>
      </w:r>
      <w:r w:rsidR="00ED0EB0">
        <w:rPr>
          <w:rFonts w:ascii="Arial" w:eastAsia="Calibri" w:hAnsi="Arial" w:cs="Arial"/>
          <w:sz w:val="24"/>
          <w:szCs w:val="24"/>
        </w:rPr>
        <w:t xml:space="preserve"> and 60 044 mt of M</w:t>
      </w:r>
      <w:r w:rsidR="00DB4C39">
        <w:rPr>
          <w:rFonts w:ascii="Arial" w:eastAsia="Calibri" w:hAnsi="Arial" w:cs="Arial"/>
          <w:sz w:val="24"/>
          <w:szCs w:val="24"/>
        </w:rPr>
        <w:t>GO was dully pumped on board the Vessel at Lomé on 15 November 2017 and o</w:t>
      </w:r>
      <w:r w:rsidR="00B64525">
        <w:rPr>
          <w:rFonts w:ascii="Arial" w:eastAsia="Calibri" w:hAnsi="Arial" w:cs="Arial"/>
          <w:sz w:val="24"/>
          <w:szCs w:val="24"/>
        </w:rPr>
        <w:t xml:space="preserve">n 16 November 2017 </w:t>
      </w:r>
      <w:r w:rsidR="00ED0EB0">
        <w:rPr>
          <w:rFonts w:ascii="Arial" w:eastAsia="Calibri" w:hAnsi="Arial" w:cs="Arial"/>
          <w:sz w:val="24"/>
          <w:szCs w:val="24"/>
        </w:rPr>
        <w:t xml:space="preserve">the </w:t>
      </w:r>
      <w:r w:rsidR="00B64525">
        <w:rPr>
          <w:rFonts w:ascii="Arial" w:eastAsia="Calibri" w:hAnsi="Arial" w:cs="Arial"/>
          <w:sz w:val="24"/>
          <w:szCs w:val="24"/>
        </w:rPr>
        <w:t>92 drums of L</w:t>
      </w:r>
      <w:r w:rsidR="00DB4C39">
        <w:rPr>
          <w:rFonts w:ascii="Arial" w:eastAsia="Calibri" w:hAnsi="Arial" w:cs="Arial"/>
          <w:sz w:val="24"/>
          <w:szCs w:val="24"/>
        </w:rPr>
        <w:t xml:space="preserve">ubricants were delivered to the Vessel. Tilman was accordingly indebted to Bunkernet in a total amount of </w:t>
      </w:r>
      <w:r w:rsidR="00206AAF">
        <w:rPr>
          <w:rFonts w:ascii="Arial" w:eastAsia="Calibri" w:hAnsi="Arial" w:cs="Arial"/>
          <w:sz w:val="24"/>
          <w:szCs w:val="24"/>
        </w:rPr>
        <w:t>USD</w:t>
      </w:r>
      <w:r w:rsidR="00DB4C39">
        <w:rPr>
          <w:rFonts w:ascii="Arial" w:eastAsia="Calibri" w:hAnsi="Arial" w:cs="Arial"/>
          <w:sz w:val="24"/>
          <w:szCs w:val="24"/>
        </w:rPr>
        <w:t>327 786.06</w:t>
      </w:r>
      <w:r w:rsidR="00B64525">
        <w:rPr>
          <w:rFonts w:ascii="Arial" w:eastAsia="Calibri" w:hAnsi="Arial" w:cs="Arial"/>
          <w:sz w:val="24"/>
          <w:szCs w:val="24"/>
        </w:rPr>
        <w:t xml:space="preserve">. The amount was due </w:t>
      </w:r>
      <w:r w:rsidR="00ED0EB0">
        <w:rPr>
          <w:rFonts w:ascii="Arial" w:eastAsia="Calibri" w:hAnsi="Arial" w:cs="Arial"/>
          <w:sz w:val="24"/>
          <w:szCs w:val="24"/>
        </w:rPr>
        <w:t>on 14 and 15</w:t>
      </w:r>
      <w:r w:rsidR="00B64525">
        <w:rPr>
          <w:rFonts w:ascii="Arial" w:eastAsia="Calibri" w:hAnsi="Arial" w:cs="Arial"/>
          <w:sz w:val="24"/>
          <w:szCs w:val="24"/>
        </w:rPr>
        <w:t xml:space="preserve"> January 2018, but Tilman did not pay any amounts. Pa</w:t>
      </w:r>
      <w:r w:rsidR="001D22ED">
        <w:rPr>
          <w:rFonts w:ascii="Arial" w:eastAsia="Calibri" w:hAnsi="Arial" w:cs="Arial"/>
          <w:sz w:val="24"/>
          <w:szCs w:val="24"/>
        </w:rPr>
        <w:t>rt of the invoice value of the b</w:t>
      </w:r>
      <w:r w:rsidR="00B64525">
        <w:rPr>
          <w:rFonts w:ascii="Arial" w:eastAsia="Calibri" w:hAnsi="Arial" w:cs="Arial"/>
          <w:sz w:val="24"/>
          <w:szCs w:val="24"/>
        </w:rPr>
        <w:t xml:space="preserve">unkers and </w:t>
      </w:r>
      <w:r w:rsidR="001D22ED">
        <w:rPr>
          <w:rFonts w:ascii="Arial" w:eastAsia="Calibri" w:hAnsi="Arial" w:cs="Arial"/>
          <w:sz w:val="24"/>
          <w:szCs w:val="24"/>
        </w:rPr>
        <w:t>l</w:t>
      </w:r>
      <w:r w:rsidR="00B64525">
        <w:rPr>
          <w:rFonts w:ascii="Arial" w:eastAsia="Calibri" w:hAnsi="Arial" w:cs="Arial"/>
          <w:sz w:val="24"/>
          <w:szCs w:val="24"/>
        </w:rPr>
        <w:t xml:space="preserve">ubricants had been paid out of the ship fund and the Bunker fund. The Vessel arrived </w:t>
      </w:r>
      <w:r w:rsidR="001D22ED">
        <w:rPr>
          <w:rFonts w:ascii="Arial" w:eastAsia="Calibri" w:hAnsi="Arial" w:cs="Arial"/>
          <w:sz w:val="24"/>
          <w:szCs w:val="24"/>
        </w:rPr>
        <w:t>at</w:t>
      </w:r>
      <w:r w:rsidR="00B64525">
        <w:rPr>
          <w:rFonts w:ascii="Arial" w:eastAsia="Calibri" w:hAnsi="Arial" w:cs="Arial"/>
          <w:sz w:val="24"/>
          <w:szCs w:val="24"/>
        </w:rPr>
        <w:t xml:space="preserve"> Walvis Bay on 21 February 2018 and was arrested on 23 February 2018 by Jack Marine and on 28 February 2018 by </w:t>
      </w:r>
      <w:r w:rsidR="00D51502">
        <w:rPr>
          <w:rFonts w:ascii="Arial" w:eastAsia="Calibri" w:hAnsi="Arial" w:cs="Arial"/>
          <w:sz w:val="24"/>
          <w:szCs w:val="24"/>
        </w:rPr>
        <w:t>t</w:t>
      </w:r>
      <w:r w:rsidR="00B64525">
        <w:rPr>
          <w:rFonts w:ascii="Arial" w:eastAsia="Calibri" w:hAnsi="Arial" w:cs="Arial"/>
          <w:sz w:val="24"/>
          <w:szCs w:val="24"/>
        </w:rPr>
        <w:t xml:space="preserve">he Lender to enforce </w:t>
      </w:r>
      <w:r w:rsidR="00EE5FC1">
        <w:rPr>
          <w:rFonts w:ascii="Arial" w:eastAsia="Calibri" w:hAnsi="Arial" w:cs="Arial"/>
          <w:sz w:val="24"/>
          <w:szCs w:val="24"/>
        </w:rPr>
        <w:t>its</w:t>
      </w:r>
      <w:r w:rsidR="00B64525">
        <w:rPr>
          <w:rFonts w:ascii="Arial" w:eastAsia="Calibri" w:hAnsi="Arial" w:cs="Arial"/>
          <w:sz w:val="24"/>
          <w:szCs w:val="24"/>
        </w:rPr>
        <w:t xml:space="preserve"> claim under the mortgage for payment of </w:t>
      </w:r>
      <w:r w:rsidR="00206AAF">
        <w:rPr>
          <w:rFonts w:ascii="Arial" w:eastAsia="Calibri" w:hAnsi="Arial" w:cs="Arial"/>
          <w:sz w:val="24"/>
          <w:szCs w:val="24"/>
        </w:rPr>
        <w:t>USD</w:t>
      </w:r>
      <w:r w:rsidR="00B64525">
        <w:rPr>
          <w:rFonts w:ascii="Arial" w:eastAsia="Calibri" w:hAnsi="Arial" w:cs="Arial"/>
          <w:sz w:val="24"/>
          <w:szCs w:val="24"/>
        </w:rPr>
        <w:t>13,494,779.65 plus interest. On 17 April 2018 the Ve</w:t>
      </w:r>
      <w:r w:rsidR="00ED0EB0">
        <w:rPr>
          <w:rFonts w:ascii="Arial" w:eastAsia="Calibri" w:hAnsi="Arial" w:cs="Arial"/>
          <w:sz w:val="24"/>
          <w:szCs w:val="24"/>
        </w:rPr>
        <w:t>ssel was sold by order of this C</w:t>
      </w:r>
      <w:r w:rsidR="00B64525">
        <w:rPr>
          <w:rFonts w:ascii="Arial" w:eastAsia="Calibri" w:hAnsi="Arial" w:cs="Arial"/>
          <w:sz w:val="24"/>
          <w:szCs w:val="24"/>
        </w:rPr>
        <w:t>ourt. The Funds, the Ship and Bunker Fund</w:t>
      </w:r>
      <w:r w:rsidR="00ED0EB0">
        <w:rPr>
          <w:rFonts w:ascii="Arial" w:eastAsia="Calibri" w:hAnsi="Arial" w:cs="Arial"/>
          <w:sz w:val="24"/>
          <w:szCs w:val="24"/>
        </w:rPr>
        <w:t>s</w:t>
      </w:r>
      <w:r w:rsidR="00B64525">
        <w:rPr>
          <w:rFonts w:ascii="Arial" w:eastAsia="Calibri" w:hAnsi="Arial" w:cs="Arial"/>
          <w:sz w:val="24"/>
          <w:szCs w:val="24"/>
        </w:rPr>
        <w:t xml:space="preserve"> were created</w:t>
      </w:r>
      <w:r w:rsidR="002A580B">
        <w:rPr>
          <w:rFonts w:ascii="Arial" w:eastAsia="Calibri" w:hAnsi="Arial" w:cs="Arial"/>
          <w:sz w:val="24"/>
          <w:szCs w:val="24"/>
        </w:rPr>
        <w:t xml:space="preserve"> and</w:t>
      </w:r>
      <w:r w:rsidR="00B64525">
        <w:rPr>
          <w:rFonts w:ascii="Arial" w:eastAsia="Calibri" w:hAnsi="Arial" w:cs="Arial"/>
          <w:sz w:val="24"/>
          <w:szCs w:val="24"/>
        </w:rPr>
        <w:t xml:space="preserve"> Adv. Cooke was appointed as a Referee</w:t>
      </w:r>
      <w:r w:rsidR="00ED0EB0">
        <w:rPr>
          <w:rFonts w:ascii="Arial" w:eastAsia="Calibri" w:hAnsi="Arial" w:cs="Arial"/>
          <w:sz w:val="24"/>
          <w:szCs w:val="24"/>
        </w:rPr>
        <w:t xml:space="preserve"> and made recommendations as to how the proceeds should be paid out. Most importantly, </w:t>
      </w:r>
      <w:r w:rsidR="00D51502">
        <w:rPr>
          <w:rFonts w:ascii="Arial" w:eastAsia="Calibri" w:hAnsi="Arial" w:cs="Arial"/>
          <w:sz w:val="24"/>
          <w:szCs w:val="24"/>
        </w:rPr>
        <w:t xml:space="preserve">the </w:t>
      </w:r>
      <w:r w:rsidR="00ED0EB0">
        <w:rPr>
          <w:rFonts w:ascii="Arial" w:eastAsia="Calibri" w:hAnsi="Arial" w:cs="Arial"/>
          <w:sz w:val="24"/>
          <w:szCs w:val="24"/>
        </w:rPr>
        <w:t>Referee recommended that the Lender’s claim should rank above Bunkernet’s claim</w:t>
      </w:r>
      <w:r w:rsidR="00B64525">
        <w:rPr>
          <w:rFonts w:ascii="Arial" w:eastAsia="Calibri" w:hAnsi="Arial" w:cs="Arial"/>
          <w:sz w:val="24"/>
          <w:szCs w:val="24"/>
        </w:rPr>
        <w:t xml:space="preserve">. </w:t>
      </w:r>
    </w:p>
    <w:p w:rsidR="00EE5FC1" w:rsidRDefault="00EE5FC1" w:rsidP="0013018B">
      <w:pPr>
        <w:spacing w:line="360" w:lineRule="auto"/>
        <w:rPr>
          <w:rFonts w:ascii="Arial" w:eastAsia="Calibri" w:hAnsi="Arial" w:cs="Arial"/>
          <w:sz w:val="24"/>
          <w:szCs w:val="24"/>
        </w:rPr>
      </w:pPr>
    </w:p>
    <w:p w:rsidR="0076348B" w:rsidRDefault="0076348B" w:rsidP="0013018B">
      <w:pPr>
        <w:spacing w:line="360" w:lineRule="auto"/>
        <w:rPr>
          <w:rFonts w:ascii="Arial" w:eastAsia="Calibri" w:hAnsi="Arial" w:cs="Arial"/>
          <w:sz w:val="24"/>
          <w:szCs w:val="24"/>
        </w:rPr>
      </w:pPr>
      <w:r>
        <w:rPr>
          <w:rFonts w:ascii="Arial" w:eastAsia="Calibri" w:hAnsi="Arial" w:cs="Arial"/>
          <w:sz w:val="24"/>
          <w:szCs w:val="24"/>
        </w:rPr>
        <w:lastRenderedPageBreak/>
        <w:t>[</w:t>
      </w:r>
      <w:r w:rsidR="004A02EC">
        <w:rPr>
          <w:rFonts w:ascii="Arial" w:eastAsia="Calibri" w:hAnsi="Arial" w:cs="Arial"/>
          <w:sz w:val="24"/>
          <w:szCs w:val="24"/>
        </w:rPr>
        <w:t>3</w:t>
      </w:r>
      <w:r w:rsidR="002A580B">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Bunkernet is </w:t>
      </w:r>
      <w:r w:rsidR="0075741E">
        <w:rPr>
          <w:rFonts w:ascii="Arial" w:eastAsia="Calibri" w:hAnsi="Arial" w:cs="Arial"/>
          <w:sz w:val="24"/>
          <w:szCs w:val="24"/>
        </w:rPr>
        <w:t>unhappy with</w:t>
      </w:r>
      <w:r>
        <w:rPr>
          <w:rFonts w:ascii="Arial" w:eastAsia="Calibri" w:hAnsi="Arial" w:cs="Arial"/>
          <w:sz w:val="24"/>
          <w:szCs w:val="24"/>
        </w:rPr>
        <w:t xml:space="preserve"> that recommendation and argues that its claim should rank for payment before the Lender’s claim. Bunkernet </w:t>
      </w:r>
      <w:r w:rsidR="00E10EBD">
        <w:rPr>
          <w:rFonts w:ascii="Arial" w:eastAsia="Calibri" w:hAnsi="Arial" w:cs="Arial"/>
          <w:sz w:val="24"/>
          <w:szCs w:val="24"/>
        </w:rPr>
        <w:t>argued</w:t>
      </w:r>
      <w:r>
        <w:rPr>
          <w:rFonts w:ascii="Arial" w:eastAsia="Calibri" w:hAnsi="Arial" w:cs="Arial"/>
          <w:sz w:val="24"/>
          <w:szCs w:val="24"/>
        </w:rPr>
        <w:t xml:space="preserve"> that, the Referee </w:t>
      </w:r>
      <w:r w:rsidRPr="00E10EBD">
        <w:rPr>
          <w:rFonts w:ascii="Arial" w:eastAsia="Calibri" w:hAnsi="Arial" w:cs="Arial"/>
          <w:b/>
          <w:sz w:val="24"/>
          <w:szCs w:val="24"/>
        </w:rPr>
        <w:t>erred</w:t>
      </w:r>
      <w:r>
        <w:rPr>
          <w:rFonts w:ascii="Arial" w:eastAsia="Calibri" w:hAnsi="Arial" w:cs="Arial"/>
          <w:sz w:val="24"/>
          <w:szCs w:val="24"/>
        </w:rPr>
        <w:t xml:space="preserve"> in ranking the claim of the Lender above Bunker</w:t>
      </w:r>
      <w:r w:rsidR="00ED0EB0">
        <w:rPr>
          <w:rFonts w:ascii="Arial" w:eastAsia="Calibri" w:hAnsi="Arial" w:cs="Arial"/>
          <w:sz w:val="24"/>
          <w:szCs w:val="24"/>
        </w:rPr>
        <w:t>net</w:t>
      </w:r>
      <w:r>
        <w:rPr>
          <w:rFonts w:ascii="Arial" w:eastAsia="Calibri" w:hAnsi="Arial" w:cs="Arial"/>
          <w:sz w:val="24"/>
          <w:szCs w:val="24"/>
        </w:rPr>
        <w:t xml:space="preserve">, by </w:t>
      </w:r>
      <w:r w:rsidR="001D22ED">
        <w:rPr>
          <w:rFonts w:ascii="Arial" w:eastAsia="Calibri" w:hAnsi="Arial" w:cs="Arial"/>
          <w:sz w:val="24"/>
          <w:szCs w:val="24"/>
        </w:rPr>
        <w:t xml:space="preserve">having </w:t>
      </w:r>
      <w:r>
        <w:rPr>
          <w:rFonts w:ascii="Arial" w:eastAsia="Calibri" w:hAnsi="Arial" w:cs="Arial"/>
          <w:sz w:val="24"/>
          <w:szCs w:val="24"/>
        </w:rPr>
        <w:t xml:space="preserve">regard to only the </w:t>
      </w:r>
      <w:r w:rsidR="005516B2">
        <w:rPr>
          <w:rFonts w:ascii="Arial" w:eastAsia="Calibri" w:hAnsi="Arial" w:cs="Arial"/>
          <w:sz w:val="24"/>
          <w:szCs w:val="24"/>
        </w:rPr>
        <w:t xml:space="preserve">three factors as stated in </w:t>
      </w:r>
      <w:r w:rsidR="005516B2" w:rsidRPr="0075741E">
        <w:rPr>
          <w:rFonts w:ascii="Arial" w:eastAsia="Calibri" w:hAnsi="Arial" w:cs="Arial"/>
          <w:i/>
          <w:sz w:val="24"/>
          <w:szCs w:val="24"/>
        </w:rPr>
        <w:t>The Posidon</w:t>
      </w:r>
      <w:r w:rsidR="0075741E">
        <w:rPr>
          <w:rFonts w:ascii="Arial" w:eastAsia="Calibri" w:hAnsi="Arial" w:cs="Arial"/>
          <w:sz w:val="24"/>
          <w:szCs w:val="24"/>
        </w:rPr>
        <w:t xml:space="preserve"> judgment</w:t>
      </w:r>
      <w:r w:rsidR="005516B2">
        <w:rPr>
          <w:rFonts w:ascii="Arial" w:eastAsia="Calibri" w:hAnsi="Arial" w:cs="Arial"/>
          <w:sz w:val="24"/>
          <w:szCs w:val="24"/>
        </w:rPr>
        <w:t xml:space="preserve">. Bunkernet </w:t>
      </w:r>
      <w:r w:rsidR="00E10EBD">
        <w:rPr>
          <w:rFonts w:ascii="Arial" w:eastAsia="Calibri" w:hAnsi="Arial" w:cs="Arial"/>
          <w:sz w:val="24"/>
          <w:szCs w:val="24"/>
        </w:rPr>
        <w:t>argued</w:t>
      </w:r>
      <w:r w:rsidR="005516B2">
        <w:rPr>
          <w:rFonts w:ascii="Arial" w:eastAsia="Calibri" w:hAnsi="Arial" w:cs="Arial"/>
          <w:sz w:val="24"/>
          <w:szCs w:val="24"/>
        </w:rPr>
        <w:t xml:space="preserve"> that there are ‘powerful reason’ for subordinating the Lender’s </w:t>
      </w:r>
      <w:r w:rsidR="002B7DA2">
        <w:rPr>
          <w:rFonts w:ascii="Arial" w:eastAsia="Calibri" w:hAnsi="Arial" w:cs="Arial"/>
          <w:sz w:val="24"/>
          <w:szCs w:val="24"/>
        </w:rPr>
        <w:t>claim</w:t>
      </w:r>
      <w:r w:rsidR="005516B2">
        <w:rPr>
          <w:rFonts w:ascii="Arial" w:eastAsia="Calibri" w:hAnsi="Arial" w:cs="Arial"/>
          <w:sz w:val="24"/>
          <w:szCs w:val="24"/>
        </w:rPr>
        <w:t xml:space="preserve"> to that of Bunkernet and for those reasons the recommendation of the Referee that the generally accepted scheme of priorities should apply</w:t>
      </w:r>
      <w:r w:rsidR="00E10EBD">
        <w:rPr>
          <w:rFonts w:ascii="Arial" w:eastAsia="Calibri" w:hAnsi="Arial" w:cs="Arial"/>
          <w:sz w:val="24"/>
          <w:szCs w:val="24"/>
        </w:rPr>
        <w:t>,</w:t>
      </w:r>
      <w:r w:rsidR="005516B2">
        <w:rPr>
          <w:rFonts w:ascii="Arial" w:eastAsia="Calibri" w:hAnsi="Arial" w:cs="Arial"/>
          <w:sz w:val="24"/>
          <w:szCs w:val="24"/>
        </w:rPr>
        <w:t xml:space="preserve"> should not be followed and implemented. Bunkernet </w:t>
      </w:r>
      <w:r w:rsidR="00E10EBD">
        <w:rPr>
          <w:rFonts w:ascii="Arial" w:eastAsia="Calibri" w:hAnsi="Arial" w:cs="Arial"/>
          <w:sz w:val="24"/>
          <w:szCs w:val="24"/>
        </w:rPr>
        <w:t>contended</w:t>
      </w:r>
      <w:r w:rsidR="005516B2">
        <w:rPr>
          <w:rFonts w:ascii="Arial" w:eastAsia="Calibri" w:hAnsi="Arial" w:cs="Arial"/>
          <w:sz w:val="24"/>
          <w:szCs w:val="24"/>
        </w:rPr>
        <w:t xml:space="preserve"> that general consideration of equity, commercial expediency and justice have application.</w:t>
      </w:r>
      <w:r w:rsidR="00393B91">
        <w:rPr>
          <w:rFonts w:ascii="Arial" w:eastAsia="Calibri" w:hAnsi="Arial" w:cs="Arial"/>
          <w:sz w:val="24"/>
          <w:szCs w:val="24"/>
        </w:rPr>
        <w:t xml:space="preserve"> The Lender relied on the repayment of that part of the debt allocated to Tillman on the Vessel completing its voyage to Alang and when it became evident to the Lender that the Vessel might not complete its voyage without an arrest, it caused the Vessel to be diverted to Walvis Bay so as to take advantage of the rules of the </w:t>
      </w:r>
      <w:r w:rsidR="001D22ED">
        <w:rPr>
          <w:rFonts w:ascii="Arial" w:eastAsia="Calibri" w:hAnsi="Arial" w:cs="Arial"/>
          <w:i/>
          <w:sz w:val="24"/>
          <w:szCs w:val="24"/>
        </w:rPr>
        <w:t>lex f</w:t>
      </w:r>
      <w:r w:rsidR="00393B91" w:rsidRPr="00393B91">
        <w:rPr>
          <w:rFonts w:ascii="Arial" w:eastAsia="Calibri" w:hAnsi="Arial" w:cs="Arial"/>
          <w:i/>
          <w:sz w:val="24"/>
          <w:szCs w:val="24"/>
        </w:rPr>
        <w:t>o</w:t>
      </w:r>
      <w:r w:rsidR="00ED0EB0">
        <w:rPr>
          <w:rFonts w:ascii="Arial" w:eastAsia="Calibri" w:hAnsi="Arial" w:cs="Arial"/>
          <w:i/>
          <w:sz w:val="24"/>
          <w:szCs w:val="24"/>
        </w:rPr>
        <w:t>ri</w:t>
      </w:r>
      <w:r w:rsidR="00393B91">
        <w:rPr>
          <w:rFonts w:ascii="Arial" w:eastAsia="Calibri" w:hAnsi="Arial" w:cs="Arial"/>
          <w:sz w:val="24"/>
          <w:szCs w:val="24"/>
        </w:rPr>
        <w:t xml:space="preserve"> which afford a favourable priority to the claims of mortgagees.</w:t>
      </w:r>
    </w:p>
    <w:p w:rsidR="005516B2" w:rsidRDefault="005516B2" w:rsidP="0013018B">
      <w:pPr>
        <w:spacing w:line="360" w:lineRule="auto"/>
        <w:rPr>
          <w:rFonts w:ascii="Arial" w:eastAsia="Calibri" w:hAnsi="Arial" w:cs="Arial"/>
          <w:sz w:val="24"/>
          <w:szCs w:val="24"/>
        </w:rPr>
      </w:pPr>
    </w:p>
    <w:p w:rsidR="005516B2" w:rsidRDefault="005516B2"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3</w:t>
      </w:r>
      <w:r w:rsidR="002A580B">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Bunkernet argue</w:t>
      </w:r>
      <w:r w:rsidR="00E10EBD">
        <w:rPr>
          <w:rFonts w:ascii="Arial" w:eastAsia="Calibri" w:hAnsi="Arial" w:cs="Arial"/>
          <w:sz w:val="24"/>
          <w:szCs w:val="24"/>
        </w:rPr>
        <w:t>d</w:t>
      </w:r>
      <w:r>
        <w:rPr>
          <w:rFonts w:ascii="Arial" w:eastAsia="Calibri" w:hAnsi="Arial" w:cs="Arial"/>
          <w:sz w:val="24"/>
          <w:szCs w:val="24"/>
        </w:rPr>
        <w:t xml:space="preserve"> that by the time the Loan Agreement was concluded, the Lender was aware that Tilman was insolvent. Furthermore the mortgage on which the Lender relies on was registered on 11 December 2017, one month after the Bunkers and Lubricants supplied by Bunkernet had been delivered to the Vessel.</w:t>
      </w:r>
    </w:p>
    <w:p w:rsidR="008C5043" w:rsidRDefault="008C5043" w:rsidP="0013018B">
      <w:pPr>
        <w:spacing w:line="360" w:lineRule="auto"/>
        <w:rPr>
          <w:rFonts w:ascii="Arial" w:eastAsia="Calibri" w:hAnsi="Arial" w:cs="Arial"/>
          <w:sz w:val="24"/>
          <w:szCs w:val="24"/>
        </w:rPr>
      </w:pPr>
    </w:p>
    <w:p w:rsidR="008C5043" w:rsidRDefault="008C5043"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3</w:t>
      </w:r>
      <w:r w:rsidR="002A580B">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Bunkernet </w:t>
      </w:r>
      <w:r w:rsidR="00510369">
        <w:rPr>
          <w:rFonts w:ascii="Arial" w:eastAsia="Calibri" w:hAnsi="Arial" w:cs="Arial"/>
          <w:sz w:val="24"/>
          <w:szCs w:val="24"/>
        </w:rPr>
        <w:t>submitted</w:t>
      </w:r>
      <w:r>
        <w:rPr>
          <w:rFonts w:ascii="Arial" w:eastAsia="Calibri" w:hAnsi="Arial" w:cs="Arial"/>
          <w:sz w:val="24"/>
          <w:szCs w:val="24"/>
        </w:rPr>
        <w:t xml:space="preserve"> that the Lender must have known that Tillman would not have been able to repay its loan from the time that loan agreement was concluded, the mortgage was </w:t>
      </w:r>
      <w:r w:rsidR="00703EEC">
        <w:rPr>
          <w:rFonts w:ascii="Arial" w:eastAsia="Calibri" w:hAnsi="Arial" w:cs="Arial"/>
          <w:sz w:val="24"/>
          <w:szCs w:val="24"/>
        </w:rPr>
        <w:t>‘</w:t>
      </w:r>
      <w:r>
        <w:rPr>
          <w:rFonts w:ascii="Arial" w:eastAsia="Calibri" w:hAnsi="Arial" w:cs="Arial"/>
          <w:sz w:val="24"/>
          <w:szCs w:val="24"/>
        </w:rPr>
        <w:t>provisionally registered</w:t>
      </w:r>
      <w:r w:rsidR="00703EEC">
        <w:rPr>
          <w:rFonts w:ascii="Arial" w:eastAsia="Calibri" w:hAnsi="Arial" w:cs="Arial"/>
          <w:sz w:val="24"/>
          <w:szCs w:val="24"/>
        </w:rPr>
        <w:t>’ and the bunkers and lubricants were supplied.</w:t>
      </w:r>
    </w:p>
    <w:p w:rsidR="002A580B" w:rsidRDefault="002A580B" w:rsidP="0013018B">
      <w:pPr>
        <w:spacing w:line="360" w:lineRule="auto"/>
        <w:rPr>
          <w:rFonts w:ascii="Arial" w:eastAsia="Calibri" w:hAnsi="Arial" w:cs="Arial"/>
          <w:sz w:val="24"/>
          <w:szCs w:val="24"/>
        </w:rPr>
      </w:pPr>
    </w:p>
    <w:p w:rsidR="00703EEC" w:rsidRDefault="00703EEC"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3</w:t>
      </w:r>
      <w:r w:rsidR="002A580B">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Bunkernet further </w:t>
      </w:r>
      <w:r w:rsidR="00510369">
        <w:rPr>
          <w:rFonts w:ascii="Arial" w:eastAsia="Calibri" w:hAnsi="Arial" w:cs="Arial"/>
          <w:sz w:val="24"/>
          <w:szCs w:val="24"/>
        </w:rPr>
        <w:t>submitted</w:t>
      </w:r>
      <w:r>
        <w:rPr>
          <w:rFonts w:ascii="Arial" w:eastAsia="Calibri" w:hAnsi="Arial" w:cs="Arial"/>
          <w:sz w:val="24"/>
          <w:szCs w:val="24"/>
        </w:rPr>
        <w:t xml:space="preserve"> that the supply of bunkers and lubricants were for the benefit of the Lender because they were to be used to sail the Vessel to Alang for delivery to NKD, then the Lender was going to benefit from the payment of the purchase price as third repayment of Tillman’s debt. The Vessel was directed to Walvis Bay where she was sold. The use of bunkers and lubricants owned by Bunkernet to sail the Vessel to Walvis Bay was for the benefit of the mortgagee and with the intention of depriving unpaid necessary such as Bunkernet of any prospect of effecting a recovery from the Ship Fund. Bunkernet </w:t>
      </w:r>
      <w:r w:rsidR="00510369">
        <w:rPr>
          <w:rFonts w:ascii="Arial" w:eastAsia="Calibri" w:hAnsi="Arial" w:cs="Arial"/>
          <w:sz w:val="24"/>
          <w:szCs w:val="24"/>
        </w:rPr>
        <w:t>submitted</w:t>
      </w:r>
      <w:r>
        <w:rPr>
          <w:rFonts w:ascii="Arial" w:eastAsia="Calibri" w:hAnsi="Arial" w:cs="Arial"/>
          <w:sz w:val="24"/>
          <w:szCs w:val="24"/>
        </w:rPr>
        <w:t xml:space="preserve"> that consideration of justice and </w:t>
      </w:r>
      <w:r>
        <w:rPr>
          <w:rFonts w:ascii="Arial" w:eastAsia="Calibri" w:hAnsi="Arial" w:cs="Arial"/>
          <w:sz w:val="24"/>
          <w:szCs w:val="24"/>
        </w:rPr>
        <w:lastRenderedPageBreak/>
        <w:t>equity dictate that its claim for payment of the unsatisfied balance be given priority over the Lender’s claim of mortgagee.</w:t>
      </w:r>
    </w:p>
    <w:p w:rsidR="0076348B" w:rsidRDefault="0076348B" w:rsidP="0013018B">
      <w:pPr>
        <w:spacing w:line="360" w:lineRule="auto"/>
        <w:rPr>
          <w:rFonts w:ascii="Arial" w:eastAsia="Calibri" w:hAnsi="Arial" w:cs="Arial"/>
          <w:sz w:val="24"/>
          <w:szCs w:val="24"/>
        </w:rPr>
      </w:pPr>
    </w:p>
    <w:p w:rsidR="0024522A" w:rsidRDefault="0024522A" w:rsidP="0013018B">
      <w:pPr>
        <w:spacing w:line="360" w:lineRule="auto"/>
        <w:rPr>
          <w:rFonts w:ascii="Arial" w:eastAsia="Calibri" w:hAnsi="Arial" w:cs="Arial"/>
          <w:sz w:val="24"/>
          <w:szCs w:val="24"/>
        </w:rPr>
      </w:pPr>
      <w:r w:rsidRPr="0024522A">
        <w:rPr>
          <w:rFonts w:ascii="Arial" w:eastAsia="Calibri" w:hAnsi="Arial" w:cs="Arial"/>
          <w:b/>
          <w:sz w:val="24"/>
          <w:szCs w:val="24"/>
        </w:rPr>
        <w:t>Did the Referee err by recommending that the Lender’s claim (mortgage claim) should rank above Bunkernet’s claim for necessaries supplied</w:t>
      </w:r>
      <w:r w:rsidR="00510369">
        <w:rPr>
          <w:rFonts w:ascii="Arial" w:eastAsia="Calibri" w:hAnsi="Arial" w:cs="Arial"/>
          <w:b/>
          <w:sz w:val="24"/>
          <w:szCs w:val="24"/>
        </w:rPr>
        <w:t xml:space="preserve"> to the Vessel</w:t>
      </w:r>
      <w:r w:rsidR="00ED0EB0">
        <w:rPr>
          <w:rFonts w:ascii="Arial" w:eastAsia="Calibri" w:hAnsi="Arial" w:cs="Arial"/>
          <w:sz w:val="24"/>
          <w:szCs w:val="24"/>
        </w:rPr>
        <w:t>?</w:t>
      </w:r>
    </w:p>
    <w:p w:rsidR="0024522A" w:rsidRDefault="0024522A" w:rsidP="0013018B">
      <w:pPr>
        <w:spacing w:line="360" w:lineRule="auto"/>
        <w:rPr>
          <w:rFonts w:ascii="Arial" w:eastAsia="Calibri" w:hAnsi="Arial" w:cs="Arial"/>
          <w:sz w:val="24"/>
          <w:szCs w:val="24"/>
        </w:rPr>
      </w:pPr>
    </w:p>
    <w:p w:rsidR="0045417D" w:rsidRPr="00120DC8" w:rsidRDefault="00151B4D" w:rsidP="0013018B">
      <w:pPr>
        <w:spacing w:line="360" w:lineRule="auto"/>
        <w:rPr>
          <w:rFonts w:ascii="Arial" w:eastAsia="Calibri" w:hAnsi="Arial" w:cs="Arial"/>
          <w:sz w:val="24"/>
          <w:szCs w:val="24"/>
          <w:u w:val="single"/>
        </w:rPr>
      </w:pPr>
      <w:r>
        <w:rPr>
          <w:rFonts w:ascii="Arial" w:eastAsia="Calibri" w:hAnsi="Arial" w:cs="Arial"/>
          <w:sz w:val="24"/>
          <w:szCs w:val="24"/>
          <w:u w:val="single"/>
        </w:rPr>
        <w:t>S</w:t>
      </w:r>
      <w:r w:rsidR="00E63966" w:rsidRPr="00120DC8">
        <w:rPr>
          <w:rFonts w:ascii="Arial" w:eastAsia="Calibri" w:hAnsi="Arial" w:cs="Arial"/>
          <w:sz w:val="24"/>
          <w:szCs w:val="24"/>
          <w:u w:val="single"/>
        </w:rPr>
        <w:t>ubmissions</w:t>
      </w:r>
      <w:r>
        <w:rPr>
          <w:rFonts w:ascii="Arial" w:eastAsia="Calibri" w:hAnsi="Arial" w:cs="Arial"/>
          <w:sz w:val="24"/>
          <w:szCs w:val="24"/>
          <w:u w:val="single"/>
        </w:rPr>
        <w:t xml:space="preserve"> on behalf of the Lender (applicant)</w:t>
      </w:r>
    </w:p>
    <w:p w:rsidR="00E63966" w:rsidRDefault="00E63966"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3</w:t>
      </w:r>
      <w:r w:rsidR="002A580B">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Counsel argued that no ‘powerful reason’ exist to disturb the priorities of ranking and to rank Bunkernet</w:t>
      </w:r>
      <w:r w:rsidR="00AF6553">
        <w:rPr>
          <w:rFonts w:ascii="Arial" w:eastAsia="Calibri" w:hAnsi="Arial" w:cs="Arial"/>
          <w:sz w:val="24"/>
          <w:szCs w:val="24"/>
        </w:rPr>
        <w:t>’s</w:t>
      </w:r>
      <w:r>
        <w:rPr>
          <w:rFonts w:ascii="Arial" w:eastAsia="Calibri" w:hAnsi="Arial" w:cs="Arial"/>
          <w:sz w:val="24"/>
          <w:szCs w:val="24"/>
        </w:rPr>
        <w:t xml:space="preserve"> claim ahead of the lender’s claim. Counsel further argued that the lender’s claim arises in consequence of the breach by Tillman of </w:t>
      </w:r>
      <w:r w:rsidR="00A72F01">
        <w:rPr>
          <w:rFonts w:ascii="Arial" w:eastAsia="Calibri" w:hAnsi="Arial" w:cs="Arial"/>
          <w:sz w:val="24"/>
          <w:szCs w:val="24"/>
        </w:rPr>
        <w:t>its</w:t>
      </w:r>
      <w:r>
        <w:rPr>
          <w:rFonts w:ascii="Arial" w:eastAsia="Calibri" w:hAnsi="Arial" w:cs="Arial"/>
          <w:sz w:val="24"/>
          <w:szCs w:val="24"/>
        </w:rPr>
        <w:t xml:space="preserve"> obligation under a loan agreement w</w:t>
      </w:r>
      <w:r w:rsidR="00CB2860">
        <w:rPr>
          <w:rFonts w:ascii="Arial" w:eastAsia="Calibri" w:hAnsi="Arial" w:cs="Arial"/>
          <w:sz w:val="24"/>
          <w:szCs w:val="24"/>
        </w:rPr>
        <w:t xml:space="preserve">hich was secured by </w:t>
      </w:r>
      <w:r w:rsidR="00AF6553">
        <w:rPr>
          <w:rFonts w:ascii="Arial" w:eastAsia="Calibri" w:hAnsi="Arial" w:cs="Arial"/>
          <w:sz w:val="24"/>
          <w:szCs w:val="24"/>
        </w:rPr>
        <w:t xml:space="preserve">registration </w:t>
      </w:r>
      <w:r w:rsidR="00CB2860">
        <w:rPr>
          <w:rFonts w:ascii="Arial" w:eastAsia="Calibri" w:hAnsi="Arial" w:cs="Arial"/>
          <w:sz w:val="24"/>
          <w:szCs w:val="24"/>
        </w:rPr>
        <w:t>of a mortgage bond. Although there was a preliminary registration of the bond, such preliminary registration becomes complete if all the required formalities are compl</w:t>
      </w:r>
      <w:r w:rsidR="00813507">
        <w:rPr>
          <w:rFonts w:ascii="Arial" w:eastAsia="Calibri" w:hAnsi="Arial" w:cs="Arial"/>
          <w:sz w:val="24"/>
          <w:szCs w:val="24"/>
        </w:rPr>
        <w:t>i</w:t>
      </w:r>
      <w:r w:rsidR="00CB2860">
        <w:rPr>
          <w:rFonts w:ascii="Arial" w:eastAsia="Calibri" w:hAnsi="Arial" w:cs="Arial"/>
          <w:sz w:val="24"/>
          <w:szCs w:val="24"/>
        </w:rPr>
        <w:t xml:space="preserve">ed within 6 months period, if so, final registration occurs immediately and the security offered by such registration thus operates </w:t>
      </w:r>
      <w:r w:rsidR="00CB2860" w:rsidRPr="00CB2860">
        <w:rPr>
          <w:rFonts w:ascii="Arial" w:eastAsia="Calibri" w:hAnsi="Arial" w:cs="Arial"/>
          <w:i/>
          <w:sz w:val="24"/>
          <w:szCs w:val="24"/>
        </w:rPr>
        <w:t>ex tunc</w:t>
      </w:r>
      <w:r w:rsidR="00373874">
        <w:rPr>
          <w:rFonts w:ascii="Arial" w:eastAsia="Calibri" w:hAnsi="Arial" w:cs="Arial"/>
          <w:sz w:val="24"/>
          <w:szCs w:val="24"/>
        </w:rPr>
        <w:t xml:space="preserve"> (f</w:t>
      </w:r>
      <w:r w:rsidR="00CB2860">
        <w:rPr>
          <w:rFonts w:ascii="Arial" w:eastAsia="Calibri" w:hAnsi="Arial" w:cs="Arial"/>
          <w:sz w:val="24"/>
          <w:szCs w:val="24"/>
        </w:rPr>
        <w:t>r</w:t>
      </w:r>
      <w:r w:rsidR="00373874">
        <w:rPr>
          <w:rFonts w:ascii="Arial" w:eastAsia="Calibri" w:hAnsi="Arial" w:cs="Arial"/>
          <w:sz w:val="24"/>
          <w:szCs w:val="24"/>
        </w:rPr>
        <w:t>o</w:t>
      </w:r>
      <w:r w:rsidR="00CB2860">
        <w:rPr>
          <w:rFonts w:ascii="Arial" w:eastAsia="Calibri" w:hAnsi="Arial" w:cs="Arial"/>
          <w:sz w:val="24"/>
          <w:szCs w:val="24"/>
        </w:rPr>
        <w:t xml:space="preserve">m the </w:t>
      </w:r>
      <w:r w:rsidR="00373874">
        <w:rPr>
          <w:rFonts w:ascii="Arial" w:eastAsia="Calibri" w:hAnsi="Arial" w:cs="Arial"/>
          <w:sz w:val="24"/>
          <w:szCs w:val="24"/>
        </w:rPr>
        <w:t>outset</w:t>
      </w:r>
      <w:r w:rsidR="00CB2860">
        <w:rPr>
          <w:rFonts w:ascii="Arial" w:eastAsia="Calibri" w:hAnsi="Arial" w:cs="Arial"/>
          <w:sz w:val="24"/>
          <w:szCs w:val="24"/>
        </w:rPr>
        <w:t>). C</w:t>
      </w:r>
      <w:r w:rsidR="002A580B">
        <w:rPr>
          <w:rFonts w:ascii="Arial" w:eastAsia="Calibri" w:hAnsi="Arial" w:cs="Arial"/>
          <w:sz w:val="24"/>
          <w:szCs w:val="24"/>
        </w:rPr>
        <w:t>ounsel further argued that the L</w:t>
      </w:r>
      <w:r w:rsidR="00CB2860">
        <w:rPr>
          <w:rFonts w:ascii="Arial" w:eastAsia="Calibri" w:hAnsi="Arial" w:cs="Arial"/>
          <w:sz w:val="24"/>
          <w:szCs w:val="24"/>
        </w:rPr>
        <w:t xml:space="preserve">ender was not aware that Tillman was insolvent at the time the bunkers were supplied to the vessel, as contended by Bunkernet. Nor was the lender aware of the nature and extent of the expenditure incurred in the purchase of the </w:t>
      </w:r>
      <w:r w:rsidR="00111488">
        <w:rPr>
          <w:rFonts w:ascii="Arial" w:eastAsia="Calibri" w:hAnsi="Arial" w:cs="Arial"/>
          <w:sz w:val="24"/>
          <w:szCs w:val="24"/>
        </w:rPr>
        <w:t xml:space="preserve">bunkers supplied by Bunkernet. </w:t>
      </w:r>
      <w:r w:rsidR="00CB2860">
        <w:rPr>
          <w:rFonts w:ascii="Arial" w:eastAsia="Calibri" w:hAnsi="Arial" w:cs="Arial"/>
          <w:sz w:val="24"/>
          <w:szCs w:val="24"/>
        </w:rPr>
        <w:t>At all material times the management and operation of the vessel was attende</w:t>
      </w:r>
      <w:r w:rsidR="00111488">
        <w:rPr>
          <w:rFonts w:ascii="Arial" w:eastAsia="Calibri" w:hAnsi="Arial" w:cs="Arial"/>
          <w:sz w:val="24"/>
          <w:szCs w:val="24"/>
        </w:rPr>
        <w:t>d to by the owner or its agent.’</w:t>
      </w:r>
    </w:p>
    <w:p w:rsidR="00CB2860" w:rsidRDefault="00CB2860" w:rsidP="0013018B">
      <w:pPr>
        <w:spacing w:line="360" w:lineRule="auto"/>
        <w:rPr>
          <w:rFonts w:ascii="Arial" w:eastAsia="Calibri" w:hAnsi="Arial" w:cs="Arial"/>
          <w:sz w:val="24"/>
          <w:szCs w:val="24"/>
        </w:rPr>
      </w:pPr>
    </w:p>
    <w:p w:rsidR="00CB2860" w:rsidRDefault="00CB2860" w:rsidP="0013018B">
      <w:pPr>
        <w:spacing w:line="360" w:lineRule="auto"/>
        <w:rPr>
          <w:rFonts w:ascii="Arial" w:eastAsia="Calibri" w:hAnsi="Arial" w:cs="Arial"/>
          <w:sz w:val="24"/>
          <w:szCs w:val="24"/>
        </w:rPr>
      </w:pPr>
      <w:r>
        <w:rPr>
          <w:rFonts w:ascii="Arial" w:eastAsia="Calibri" w:hAnsi="Arial" w:cs="Arial"/>
          <w:sz w:val="24"/>
          <w:szCs w:val="24"/>
        </w:rPr>
        <w:t>[</w:t>
      </w:r>
      <w:r w:rsidR="00614E71">
        <w:rPr>
          <w:rFonts w:ascii="Arial" w:eastAsia="Calibri" w:hAnsi="Arial" w:cs="Arial"/>
          <w:sz w:val="24"/>
          <w:szCs w:val="24"/>
        </w:rPr>
        <w:t>40</w:t>
      </w:r>
      <w:r w:rsidR="00A72F01">
        <w:rPr>
          <w:rFonts w:ascii="Arial" w:eastAsia="Calibri" w:hAnsi="Arial" w:cs="Arial"/>
          <w:sz w:val="24"/>
          <w:szCs w:val="24"/>
        </w:rPr>
        <w:t>]</w:t>
      </w:r>
      <w:r w:rsidR="00A72F01">
        <w:rPr>
          <w:rFonts w:ascii="Arial" w:eastAsia="Calibri" w:hAnsi="Arial" w:cs="Arial"/>
          <w:sz w:val="24"/>
          <w:szCs w:val="24"/>
        </w:rPr>
        <w:tab/>
        <w:t>Counsel argued</w:t>
      </w:r>
      <w:r w:rsidR="00111488">
        <w:rPr>
          <w:rFonts w:ascii="Arial" w:eastAsia="Calibri" w:hAnsi="Arial" w:cs="Arial"/>
          <w:sz w:val="24"/>
          <w:szCs w:val="24"/>
        </w:rPr>
        <w:t xml:space="preserve"> that</w:t>
      </w:r>
      <w:r w:rsidR="00A72F01">
        <w:rPr>
          <w:rFonts w:ascii="Arial" w:eastAsia="Calibri" w:hAnsi="Arial" w:cs="Arial"/>
          <w:sz w:val="24"/>
          <w:szCs w:val="24"/>
        </w:rPr>
        <w:t xml:space="preserve"> ‘g</w:t>
      </w:r>
      <w:r>
        <w:rPr>
          <w:rFonts w:ascii="Arial" w:eastAsia="Calibri" w:hAnsi="Arial" w:cs="Arial"/>
          <w:sz w:val="24"/>
          <w:szCs w:val="24"/>
        </w:rPr>
        <w:t xml:space="preserve">iven therefore the fact of the security offered to the </w:t>
      </w:r>
      <w:r w:rsidR="00614E71">
        <w:rPr>
          <w:rFonts w:ascii="Arial" w:eastAsia="Calibri" w:hAnsi="Arial" w:cs="Arial"/>
          <w:sz w:val="24"/>
          <w:szCs w:val="24"/>
        </w:rPr>
        <w:t>L</w:t>
      </w:r>
      <w:r>
        <w:rPr>
          <w:rFonts w:ascii="Arial" w:eastAsia="Calibri" w:hAnsi="Arial" w:cs="Arial"/>
          <w:sz w:val="24"/>
          <w:szCs w:val="24"/>
        </w:rPr>
        <w:t xml:space="preserve">ender by means of the registration of the mortgage bond, the existence of which is not disputed by Bunkernet and the indisputable fact that Tillman was in beach thereof, </w:t>
      </w:r>
      <w:r w:rsidR="00306C63">
        <w:rPr>
          <w:rFonts w:ascii="Arial" w:eastAsia="Calibri" w:hAnsi="Arial" w:cs="Arial"/>
          <w:sz w:val="24"/>
          <w:szCs w:val="24"/>
        </w:rPr>
        <w:t>coupled</w:t>
      </w:r>
      <w:r w:rsidR="002735AF">
        <w:rPr>
          <w:rFonts w:ascii="Arial" w:eastAsia="Calibri" w:hAnsi="Arial" w:cs="Arial"/>
          <w:sz w:val="24"/>
          <w:szCs w:val="24"/>
        </w:rPr>
        <w:t xml:space="preserve"> with the lack of an</w:t>
      </w:r>
      <w:r w:rsidR="00614E71">
        <w:rPr>
          <w:rFonts w:ascii="Arial" w:eastAsia="Calibri" w:hAnsi="Arial" w:cs="Arial"/>
          <w:sz w:val="24"/>
          <w:szCs w:val="24"/>
        </w:rPr>
        <w:t>y knowledge on the part of the L</w:t>
      </w:r>
      <w:r w:rsidR="002735AF">
        <w:rPr>
          <w:rFonts w:ascii="Arial" w:eastAsia="Calibri" w:hAnsi="Arial" w:cs="Arial"/>
          <w:sz w:val="24"/>
          <w:szCs w:val="24"/>
        </w:rPr>
        <w:t xml:space="preserve">ender that there was any hint of insolvency on the part of Tillman read also with the fact that the bunkers were supplied in the ordinary </w:t>
      </w:r>
      <w:r w:rsidR="00306C63">
        <w:rPr>
          <w:rFonts w:ascii="Arial" w:eastAsia="Calibri" w:hAnsi="Arial" w:cs="Arial"/>
          <w:sz w:val="24"/>
          <w:szCs w:val="24"/>
        </w:rPr>
        <w:t>course</w:t>
      </w:r>
      <w:r w:rsidR="002735AF">
        <w:rPr>
          <w:rFonts w:ascii="Arial" w:eastAsia="Calibri" w:hAnsi="Arial" w:cs="Arial"/>
          <w:sz w:val="24"/>
          <w:szCs w:val="24"/>
        </w:rPr>
        <w:t xml:space="preserve"> of business at the request of the owner and or manage</w:t>
      </w:r>
      <w:r w:rsidR="00614E71">
        <w:rPr>
          <w:rFonts w:ascii="Arial" w:eastAsia="Calibri" w:hAnsi="Arial" w:cs="Arial"/>
          <w:sz w:val="24"/>
          <w:szCs w:val="24"/>
        </w:rPr>
        <w:t>ment of the vessel and not the L</w:t>
      </w:r>
      <w:r w:rsidR="002735AF">
        <w:rPr>
          <w:rFonts w:ascii="Arial" w:eastAsia="Calibri" w:hAnsi="Arial" w:cs="Arial"/>
          <w:sz w:val="24"/>
          <w:szCs w:val="24"/>
        </w:rPr>
        <w:t xml:space="preserve">ender, it </w:t>
      </w:r>
      <w:r w:rsidR="00614E71">
        <w:rPr>
          <w:rFonts w:ascii="Arial" w:eastAsia="Calibri" w:hAnsi="Arial" w:cs="Arial"/>
          <w:sz w:val="24"/>
          <w:szCs w:val="24"/>
        </w:rPr>
        <w:t>was</w:t>
      </w:r>
      <w:r w:rsidR="002735AF">
        <w:rPr>
          <w:rFonts w:ascii="Arial" w:eastAsia="Calibri" w:hAnsi="Arial" w:cs="Arial"/>
          <w:sz w:val="24"/>
          <w:szCs w:val="24"/>
        </w:rPr>
        <w:t xml:space="preserve"> submitted that no ‘powerful reasons’ exist to depart from the order of priorit</w:t>
      </w:r>
      <w:r w:rsidR="00A72F01">
        <w:rPr>
          <w:rFonts w:ascii="Arial" w:eastAsia="Calibri" w:hAnsi="Arial" w:cs="Arial"/>
          <w:sz w:val="24"/>
          <w:szCs w:val="24"/>
        </w:rPr>
        <w:t>ies ordinarily applied by this C</w:t>
      </w:r>
      <w:r w:rsidR="002735AF">
        <w:rPr>
          <w:rFonts w:ascii="Arial" w:eastAsia="Calibri" w:hAnsi="Arial" w:cs="Arial"/>
          <w:sz w:val="24"/>
          <w:szCs w:val="24"/>
        </w:rPr>
        <w:t xml:space="preserve">ourt, sitting </w:t>
      </w:r>
      <w:r w:rsidR="00A72F01">
        <w:rPr>
          <w:rFonts w:ascii="Arial" w:eastAsia="Calibri" w:hAnsi="Arial" w:cs="Arial"/>
          <w:sz w:val="24"/>
          <w:szCs w:val="24"/>
        </w:rPr>
        <w:t>as a court of</w:t>
      </w:r>
      <w:r w:rsidR="002735AF">
        <w:rPr>
          <w:rFonts w:ascii="Arial" w:eastAsia="Calibri" w:hAnsi="Arial" w:cs="Arial"/>
          <w:sz w:val="24"/>
          <w:szCs w:val="24"/>
        </w:rPr>
        <w:t xml:space="preserve"> admiralty.</w:t>
      </w:r>
      <w:r w:rsidR="00A72F01">
        <w:rPr>
          <w:rFonts w:ascii="Arial" w:eastAsia="Calibri" w:hAnsi="Arial" w:cs="Arial"/>
          <w:sz w:val="24"/>
          <w:szCs w:val="24"/>
        </w:rPr>
        <w:t>’</w:t>
      </w:r>
    </w:p>
    <w:p w:rsidR="00273E04" w:rsidRDefault="00273E04" w:rsidP="0013018B">
      <w:pPr>
        <w:spacing w:line="360" w:lineRule="auto"/>
        <w:rPr>
          <w:rFonts w:ascii="Arial" w:eastAsia="Calibri" w:hAnsi="Arial" w:cs="Arial"/>
          <w:sz w:val="24"/>
          <w:szCs w:val="24"/>
        </w:rPr>
      </w:pPr>
    </w:p>
    <w:p w:rsidR="00273E04" w:rsidRDefault="00273E04" w:rsidP="0013018B">
      <w:pPr>
        <w:spacing w:line="360" w:lineRule="auto"/>
        <w:rPr>
          <w:rFonts w:ascii="Arial" w:eastAsia="Calibri" w:hAnsi="Arial" w:cs="Arial"/>
          <w:sz w:val="24"/>
          <w:szCs w:val="24"/>
        </w:rPr>
      </w:pPr>
    </w:p>
    <w:p w:rsidR="002735AF" w:rsidRDefault="002735AF" w:rsidP="0013018B">
      <w:pPr>
        <w:spacing w:line="360" w:lineRule="auto"/>
        <w:rPr>
          <w:rFonts w:ascii="Arial" w:eastAsia="Calibri" w:hAnsi="Arial" w:cs="Arial"/>
          <w:sz w:val="24"/>
          <w:szCs w:val="24"/>
        </w:rPr>
      </w:pPr>
    </w:p>
    <w:p w:rsidR="005F051A" w:rsidRPr="005F051A" w:rsidRDefault="005F051A" w:rsidP="0013018B">
      <w:pPr>
        <w:spacing w:line="360" w:lineRule="auto"/>
        <w:rPr>
          <w:rFonts w:ascii="Arial" w:eastAsia="Calibri" w:hAnsi="Arial" w:cs="Arial"/>
          <w:sz w:val="24"/>
          <w:szCs w:val="24"/>
          <w:u w:val="single"/>
        </w:rPr>
      </w:pPr>
      <w:r w:rsidRPr="005F051A">
        <w:rPr>
          <w:rFonts w:ascii="Arial" w:eastAsia="Calibri" w:hAnsi="Arial" w:cs="Arial"/>
          <w:sz w:val="24"/>
          <w:szCs w:val="24"/>
          <w:u w:val="single"/>
        </w:rPr>
        <w:lastRenderedPageBreak/>
        <w:t xml:space="preserve">Submissions by </w:t>
      </w:r>
      <w:r w:rsidR="00646095">
        <w:rPr>
          <w:rFonts w:ascii="Arial" w:eastAsia="Calibri" w:hAnsi="Arial" w:cs="Arial"/>
          <w:sz w:val="24"/>
          <w:szCs w:val="24"/>
          <w:u w:val="single"/>
        </w:rPr>
        <w:t>Bunkernet (fourth respondent)</w:t>
      </w:r>
    </w:p>
    <w:p w:rsidR="005F051A" w:rsidRDefault="00D00F9D" w:rsidP="0013018B">
      <w:pPr>
        <w:spacing w:line="360" w:lineRule="auto"/>
        <w:rPr>
          <w:rFonts w:ascii="Arial" w:eastAsia="Calibri" w:hAnsi="Arial" w:cs="Arial"/>
          <w:sz w:val="24"/>
          <w:szCs w:val="24"/>
        </w:rPr>
      </w:pPr>
      <w:r>
        <w:rPr>
          <w:rFonts w:ascii="Arial" w:eastAsia="Calibri" w:hAnsi="Arial" w:cs="Arial"/>
          <w:sz w:val="24"/>
          <w:szCs w:val="24"/>
        </w:rPr>
        <w:t>[</w:t>
      </w:r>
      <w:r w:rsidR="00B70AD7">
        <w:rPr>
          <w:rFonts w:ascii="Arial" w:eastAsia="Calibri" w:hAnsi="Arial" w:cs="Arial"/>
          <w:sz w:val="24"/>
          <w:szCs w:val="24"/>
        </w:rPr>
        <w:t>41</w:t>
      </w:r>
      <w:r>
        <w:rPr>
          <w:rFonts w:ascii="Arial" w:eastAsia="Calibri" w:hAnsi="Arial" w:cs="Arial"/>
          <w:sz w:val="24"/>
          <w:szCs w:val="24"/>
        </w:rPr>
        <w:t>]</w:t>
      </w:r>
      <w:r>
        <w:rPr>
          <w:rFonts w:ascii="Arial" w:eastAsia="Calibri" w:hAnsi="Arial" w:cs="Arial"/>
          <w:sz w:val="24"/>
          <w:szCs w:val="24"/>
        </w:rPr>
        <w:tab/>
      </w:r>
      <w:r w:rsidR="005F051A">
        <w:rPr>
          <w:rFonts w:ascii="Arial" w:eastAsia="Calibri" w:hAnsi="Arial" w:cs="Arial"/>
          <w:sz w:val="24"/>
          <w:szCs w:val="24"/>
        </w:rPr>
        <w:t xml:space="preserve">Counsel argued that </w:t>
      </w:r>
      <w:r w:rsidR="00666520">
        <w:rPr>
          <w:rFonts w:ascii="Arial" w:eastAsia="Calibri" w:hAnsi="Arial" w:cs="Arial"/>
          <w:sz w:val="24"/>
          <w:szCs w:val="24"/>
        </w:rPr>
        <w:t>‘</w:t>
      </w:r>
      <w:r w:rsidR="001C42C4">
        <w:rPr>
          <w:rFonts w:ascii="Arial" w:eastAsia="Calibri" w:hAnsi="Arial" w:cs="Arial"/>
          <w:sz w:val="24"/>
          <w:szCs w:val="24"/>
        </w:rPr>
        <w:t xml:space="preserve">Bunkernet </w:t>
      </w:r>
      <w:r w:rsidR="005F051A">
        <w:rPr>
          <w:rFonts w:ascii="Arial" w:eastAsia="Calibri" w:hAnsi="Arial" w:cs="Arial"/>
          <w:sz w:val="24"/>
          <w:szCs w:val="24"/>
        </w:rPr>
        <w:t>accepts that, in ordinary circumstances, the claim of a mortgage should rank for payment before the claim of a supplier of necessaries such as Bunkernet’s two claim</w:t>
      </w:r>
      <w:r w:rsidR="0021557B">
        <w:rPr>
          <w:rFonts w:ascii="Arial" w:eastAsia="Calibri" w:hAnsi="Arial" w:cs="Arial"/>
          <w:sz w:val="24"/>
          <w:szCs w:val="24"/>
        </w:rPr>
        <w:t>s</w:t>
      </w:r>
      <w:r w:rsidR="005F051A">
        <w:rPr>
          <w:rFonts w:ascii="Arial" w:eastAsia="Calibri" w:hAnsi="Arial" w:cs="Arial"/>
          <w:sz w:val="24"/>
          <w:szCs w:val="24"/>
        </w:rPr>
        <w:t>. However, in this matter there are strong indications that special circumstances exist which warrant this court departing from the scheme of priorities that would ordinarily be applicable and that its third claim should rank for payment ahead of the Lender’s claim. This is necessary to prevent an obvious justice.</w:t>
      </w:r>
    </w:p>
    <w:p w:rsidR="005F051A" w:rsidRDefault="005F051A" w:rsidP="0013018B">
      <w:pPr>
        <w:spacing w:line="360" w:lineRule="auto"/>
        <w:rPr>
          <w:rFonts w:ascii="Arial" w:eastAsia="Calibri" w:hAnsi="Arial" w:cs="Arial"/>
          <w:sz w:val="24"/>
          <w:szCs w:val="24"/>
        </w:rPr>
      </w:pPr>
    </w:p>
    <w:p w:rsidR="005F051A" w:rsidRDefault="005F051A" w:rsidP="0013018B">
      <w:pPr>
        <w:spacing w:line="360" w:lineRule="auto"/>
        <w:rPr>
          <w:rFonts w:ascii="Arial" w:eastAsia="Calibri" w:hAnsi="Arial" w:cs="Arial"/>
          <w:sz w:val="24"/>
          <w:szCs w:val="24"/>
        </w:rPr>
      </w:pPr>
      <w:r>
        <w:rPr>
          <w:rFonts w:ascii="Arial" w:eastAsia="Calibri" w:hAnsi="Arial" w:cs="Arial"/>
          <w:sz w:val="24"/>
          <w:szCs w:val="24"/>
        </w:rPr>
        <w:t>[</w:t>
      </w:r>
      <w:r w:rsidR="00B70AD7">
        <w:rPr>
          <w:rFonts w:ascii="Arial" w:eastAsia="Calibri" w:hAnsi="Arial" w:cs="Arial"/>
          <w:sz w:val="24"/>
          <w:szCs w:val="24"/>
        </w:rPr>
        <w:t>42</w:t>
      </w:r>
      <w:r>
        <w:rPr>
          <w:rFonts w:ascii="Arial" w:eastAsia="Calibri" w:hAnsi="Arial" w:cs="Arial"/>
          <w:sz w:val="24"/>
          <w:szCs w:val="24"/>
        </w:rPr>
        <w:t>]</w:t>
      </w:r>
      <w:r>
        <w:rPr>
          <w:rFonts w:ascii="Arial" w:eastAsia="Calibri" w:hAnsi="Arial" w:cs="Arial"/>
          <w:sz w:val="24"/>
          <w:szCs w:val="24"/>
        </w:rPr>
        <w:tab/>
        <w:t xml:space="preserve">Counsel </w:t>
      </w:r>
      <w:r w:rsidR="001C42C4">
        <w:rPr>
          <w:rFonts w:ascii="Arial" w:eastAsia="Calibri" w:hAnsi="Arial" w:cs="Arial"/>
          <w:sz w:val="24"/>
          <w:szCs w:val="24"/>
        </w:rPr>
        <w:t xml:space="preserve">further </w:t>
      </w:r>
      <w:r>
        <w:rPr>
          <w:rFonts w:ascii="Arial" w:eastAsia="Calibri" w:hAnsi="Arial" w:cs="Arial"/>
          <w:sz w:val="24"/>
          <w:szCs w:val="24"/>
        </w:rPr>
        <w:t xml:space="preserve">argued that the discretion of a court to depart from the usual scheme of priorities is an unfettered discretion. There is no </w:t>
      </w:r>
      <w:r w:rsidRPr="0024522A">
        <w:rPr>
          <w:rFonts w:ascii="Arial" w:eastAsia="Calibri" w:hAnsi="Arial" w:cs="Arial"/>
          <w:i/>
          <w:sz w:val="24"/>
          <w:szCs w:val="24"/>
        </w:rPr>
        <w:t xml:space="preserve">numerus </w:t>
      </w:r>
      <w:r w:rsidR="0024522A" w:rsidRPr="0024522A">
        <w:rPr>
          <w:rFonts w:ascii="Arial" w:eastAsia="Calibri" w:hAnsi="Arial" w:cs="Arial"/>
          <w:i/>
          <w:sz w:val="24"/>
          <w:szCs w:val="24"/>
        </w:rPr>
        <w:t>clausus</w:t>
      </w:r>
      <w:r>
        <w:rPr>
          <w:rFonts w:ascii="Arial" w:eastAsia="Calibri" w:hAnsi="Arial" w:cs="Arial"/>
          <w:sz w:val="24"/>
          <w:szCs w:val="24"/>
        </w:rPr>
        <w:t xml:space="preserve"> of requirements that must be satisfied before this court can conclude that justice demands that the usual scheme of priorities should not be applied. Counsel argued that the Referee erred in fettering his discretion as regards the ranking of Bunkernet’s and the Lender’s claims by having regard to only 3 fact</w:t>
      </w:r>
      <w:r w:rsidR="0063058E">
        <w:rPr>
          <w:rFonts w:ascii="Arial" w:eastAsia="Calibri" w:hAnsi="Arial" w:cs="Arial"/>
          <w:sz w:val="24"/>
          <w:szCs w:val="24"/>
        </w:rPr>
        <w:t>or</w:t>
      </w:r>
      <w:r>
        <w:rPr>
          <w:rFonts w:ascii="Arial" w:eastAsia="Calibri" w:hAnsi="Arial" w:cs="Arial"/>
          <w:sz w:val="24"/>
          <w:szCs w:val="24"/>
        </w:rPr>
        <w:t>s.</w:t>
      </w:r>
    </w:p>
    <w:p w:rsidR="005F051A" w:rsidRDefault="005F051A" w:rsidP="0013018B">
      <w:pPr>
        <w:spacing w:line="360" w:lineRule="auto"/>
        <w:rPr>
          <w:rFonts w:ascii="Arial" w:eastAsia="Calibri" w:hAnsi="Arial" w:cs="Arial"/>
          <w:sz w:val="24"/>
          <w:szCs w:val="24"/>
        </w:rPr>
      </w:pPr>
      <w:r>
        <w:rPr>
          <w:rFonts w:ascii="Arial" w:eastAsia="Calibri" w:hAnsi="Arial" w:cs="Arial"/>
          <w:sz w:val="24"/>
          <w:szCs w:val="24"/>
        </w:rPr>
        <w:t xml:space="preserve">As regard the 3 factors identified in </w:t>
      </w:r>
      <w:r w:rsidRPr="00A92238">
        <w:rPr>
          <w:rFonts w:ascii="Arial" w:eastAsia="Calibri" w:hAnsi="Arial" w:cs="Arial"/>
          <w:i/>
          <w:sz w:val="24"/>
          <w:szCs w:val="24"/>
        </w:rPr>
        <w:t>The Posidon</w:t>
      </w:r>
      <w:r w:rsidR="00441D15">
        <w:rPr>
          <w:rFonts w:ascii="Arial" w:eastAsia="Calibri" w:hAnsi="Arial" w:cs="Arial"/>
          <w:sz w:val="24"/>
          <w:szCs w:val="24"/>
        </w:rPr>
        <w:t>:</w:t>
      </w:r>
    </w:p>
    <w:p w:rsidR="00273E04" w:rsidRDefault="00273E04" w:rsidP="0013018B">
      <w:pPr>
        <w:spacing w:line="360" w:lineRule="auto"/>
        <w:rPr>
          <w:rFonts w:ascii="Arial" w:eastAsia="Calibri" w:hAnsi="Arial" w:cs="Arial"/>
          <w:sz w:val="24"/>
          <w:szCs w:val="24"/>
        </w:rPr>
      </w:pPr>
    </w:p>
    <w:p w:rsidR="00441D15" w:rsidRDefault="005F051A" w:rsidP="005F051A">
      <w:pPr>
        <w:spacing w:line="360" w:lineRule="auto"/>
        <w:rPr>
          <w:rFonts w:ascii="Arial" w:eastAsia="Calibri" w:hAnsi="Arial" w:cs="Arial"/>
          <w:sz w:val="24"/>
          <w:szCs w:val="24"/>
          <w:u w:val="single"/>
        </w:rPr>
      </w:pPr>
      <w:r>
        <w:rPr>
          <w:rFonts w:ascii="Arial" w:eastAsia="Calibri" w:hAnsi="Arial" w:cs="Arial"/>
          <w:sz w:val="24"/>
          <w:szCs w:val="24"/>
        </w:rPr>
        <w:t xml:space="preserve">(1) </w:t>
      </w:r>
      <w:r w:rsidRPr="005F051A">
        <w:rPr>
          <w:rFonts w:ascii="Arial" w:eastAsia="Calibri" w:hAnsi="Arial" w:cs="Arial"/>
          <w:sz w:val="24"/>
          <w:szCs w:val="24"/>
          <w:u w:val="single"/>
        </w:rPr>
        <w:t>Knowledge of insolvency</w:t>
      </w:r>
      <w:r w:rsidR="00441D15">
        <w:rPr>
          <w:rFonts w:ascii="Arial" w:eastAsia="Calibri" w:hAnsi="Arial" w:cs="Arial"/>
          <w:sz w:val="24"/>
          <w:szCs w:val="24"/>
          <w:u w:val="single"/>
        </w:rPr>
        <w:t>:</w:t>
      </w:r>
    </w:p>
    <w:p w:rsidR="005F051A" w:rsidRDefault="00441D15" w:rsidP="005F051A">
      <w:pPr>
        <w:spacing w:line="360" w:lineRule="auto"/>
        <w:rPr>
          <w:rFonts w:ascii="Arial" w:eastAsia="Calibri" w:hAnsi="Arial" w:cs="Arial"/>
          <w:sz w:val="24"/>
          <w:szCs w:val="24"/>
        </w:rPr>
      </w:pPr>
      <w:r>
        <w:rPr>
          <w:rFonts w:ascii="Arial" w:eastAsia="Calibri" w:hAnsi="Arial" w:cs="Arial"/>
          <w:sz w:val="24"/>
          <w:szCs w:val="24"/>
        </w:rPr>
        <w:t>C</w:t>
      </w:r>
      <w:r w:rsidR="000645FE">
        <w:rPr>
          <w:rFonts w:ascii="Arial" w:eastAsia="Calibri" w:hAnsi="Arial" w:cs="Arial"/>
          <w:sz w:val="24"/>
          <w:szCs w:val="24"/>
        </w:rPr>
        <w:t>ounsel submitted that there was no r</w:t>
      </w:r>
      <w:r w:rsidR="00167861">
        <w:rPr>
          <w:rFonts w:ascii="Arial" w:eastAsia="Calibri" w:hAnsi="Arial" w:cs="Arial"/>
          <w:sz w:val="24"/>
          <w:szCs w:val="24"/>
        </w:rPr>
        <w:t>eason for the Referee to have re</w:t>
      </w:r>
      <w:r w:rsidR="000645FE">
        <w:rPr>
          <w:rFonts w:ascii="Arial" w:eastAsia="Calibri" w:hAnsi="Arial" w:cs="Arial"/>
          <w:sz w:val="24"/>
          <w:szCs w:val="24"/>
        </w:rPr>
        <w:t xml:space="preserve">quired Bunkernet </w:t>
      </w:r>
      <w:r w:rsidR="00167861">
        <w:rPr>
          <w:rFonts w:ascii="Arial" w:eastAsia="Calibri" w:hAnsi="Arial" w:cs="Arial"/>
          <w:sz w:val="24"/>
          <w:szCs w:val="24"/>
        </w:rPr>
        <w:t xml:space="preserve">to </w:t>
      </w:r>
      <w:r w:rsidR="000645FE">
        <w:rPr>
          <w:rFonts w:ascii="Arial" w:eastAsia="Calibri" w:hAnsi="Arial" w:cs="Arial"/>
          <w:sz w:val="24"/>
          <w:szCs w:val="24"/>
        </w:rPr>
        <w:t>demonstrate that Til</w:t>
      </w:r>
      <w:r w:rsidR="00A92238">
        <w:rPr>
          <w:rFonts w:ascii="Arial" w:eastAsia="Calibri" w:hAnsi="Arial" w:cs="Arial"/>
          <w:sz w:val="24"/>
          <w:szCs w:val="24"/>
        </w:rPr>
        <w:t>l</w:t>
      </w:r>
      <w:r w:rsidR="000645FE">
        <w:rPr>
          <w:rFonts w:ascii="Arial" w:eastAsia="Calibri" w:hAnsi="Arial" w:cs="Arial"/>
          <w:sz w:val="24"/>
          <w:szCs w:val="24"/>
        </w:rPr>
        <w:t xml:space="preserve">man was in fact insolvent at the time that the necessaries were supplied. Counsel argued that in </w:t>
      </w:r>
      <w:r w:rsidR="000645FE" w:rsidRPr="0025048C">
        <w:rPr>
          <w:rFonts w:ascii="Arial" w:eastAsia="Calibri" w:hAnsi="Arial" w:cs="Arial"/>
          <w:i/>
          <w:sz w:val="24"/>
          <w:szCs w:val="24"/>
        </w:rPr>
        <w:t>The Pickanin</w:t>
      </w:r>
      <w:r w:rsidR="00024C6E" w:rsidRPr="0025048C">
        <w:rPr>
          <w:rFonts w:ascii="Arial" w:eastAsia="Calibri" w:hAnsi="Arial" w:cs="Arial"/>
          <w:i/>
          <w:sz w:val="24"/>
          <w:szCs w:val="24"/>
        </w:rPr>
        <w:t>ny</w:t>
      </w:r>
      <w:r w:rsidR="0025048C">
        <w:rPr>
          <w:rStyle w:val="FootnoteReference"/>
          <w:rFonts w:ascii="Arial" w:eastAsia="Calibri" w:hAnsi="Arial" w:cs="Arial"/>
          <w:i/>
          <w:sz w:val="24"/>
          <w:szCs w:val="24"/>
        </w:rPr>
        <w:footnoteReference w:id="4"/>
      </w:r>
      <w:r w:rsidR="000645FE">
        <w:rPr>
          <w:rFonts w:ascii="Arial" w:eastAsia="Calibri" w:hAnsi="Arial" w:cs="Arial"/>
          <w:sz w:val="24"/>
          <w:szCs w:val="24"/>
        </w:rPr>
        <w:t xml:space="preserve"> </w:t>
      </w:r>
      <w:r w:rsidR="00167861">
        <w:rPr>
          <w:rFonts w:ascii="Arial" w:eastAsia="Calibri" w:hAnsi="Arial" w:cs="Arial"/>
          <w:sz w:val="24"/>
          <w:szCs w:val="24"/>
        </w:rPr>
        <w:t xml:space="preserve">judgment </w:t>
      </w:r>
      <w:r w:rsidR="000645FE">
        <w:rPr>
          <w:rFonts w:ascii="Arial" w:eastAsia="Calibri" w:hAnsi="Arial" w:cs="Arial"/>
          <w:sz w:val="24"/>
          <w:szCs w:val="24"/>
        </w:rPr>
        <w:t xml:space="preserve">the issue of insolvency of the Ship owner was raised by the necessaries </w:t>
      </w:r>
      <w:r w:rsidR="00172239">
        <w:rPr>
          <w:rFonts w:ascii="Arial" w:eastAsia="Calibri" w:hAnsi="Arial" w:cs="Arial"/>
          <w:sz w:val="24"/>
          <w:szCs w:val="24"/>
        </w:rPr>
        <w:t>me</w:t>
      </w:r>
      <w:r w:rsidR="000645FE">
        <w:rPr>
          <w:rFonts w:ascii="Arial" w:eastAsia="Calibri" w:hAnsi="Arial" w:cs="Arial"/>
          <w:sz w:val="24"/>
          <w:szCs w:val="24"/>
        </w:rPr>
        <w:t xml:space="preserve">n as an argument in favour of departing from the ordinary scheme of priorities. The learned judge, Hewson J, did not accept this argument because there was no evidence before him upon which he could find that at the material time the Ship owner was insolvent. In </w:t>
      </w:r>
      <w:r w:rsidR="000645FE" w:rsidRPr="00A92238">
        <w:rPr>
          <w:rFonts w:ascii="Arial" w:eastAsia="Calibri" w:hAnsi="Arial" w:cs="Arial"/>
          <w:i/>
          <w:sz w:val="24"/>
          <w:szCs w:val="24"/>
        </w:rPr>
        <w:t>The Posidon</w:t>
      </w:r>
      <w:r w:rsidR="000645FE">
        <w:rPr>
          <w:rFonts w:ascii="Arial" w:eastAsia="Calibri" w:hAnsi="Arial" w:cs="Arial"/>
          <w:sz w:val="24"/>
          <w:szCs w:val="24"/>
        </w:rPr>
        <w:t xml:space="preserve"> the court applied the law of Singapore to determine whether the Ship owner was insolvent and held that the question to be asked is: When was the company unable to pay its debts as they fell due? And found that as a matter of Singapore law a temporary lack of liquidity did not amount to insolvency.</w:t>
      </w:r>
    </w:p>
    <w:p w:rsidR="00273E04" w:rsidRDefault="00273E04" w:rsidP="005F051A">
      <w:pPr>
        <w:spacing w:line="360" w:lineRule="auto"/>
        <w:rPr>
          <w:rFonts w:ascii="Arial" w:eastAsia="Calibri" w:hAnsi="Arial" w:cs="Arial"/>
          <w:sz w:val="24"/>
          <w:szCs w:val="24"/>
        </w:rPr>
      </w:pPr>
    </w:p>
    <w:p w:rsidR="00273E04" w:rsidRDefault="00273E04" w:rsidP="005F051A">
      <w:pPr>
        <w:spacing w:line="360" w:lineRule="auto"/>
        <w:rPr>
          <w:rFonts w:ascii="Arial" w:eastAsia="Calibri" w:hAnsi="Arial" w:cs="Arial"/>
          <w:sz w:val="24"/>
          <w:szCs w:val="24"/>
        </w:rPr>
      </w:pPr>
    </w:p>
    <w:p w:rsidR="009C0B31" w:rsidRDefault="009C0B31" w:rsidP="005F051A">
      <w:pPr>
        <w:spacing w:line="360" w:lineRule="auto"/>
        <w:rPr>
          <w:rFonts w:ascii="Arial" w:eastAsia="Calibri" w:hAnsi="Arial" w:cs="Arial"/>
          <w:sz w:val="24"/>
          <w:szCs w:val="24"/>
        </w:rPr>
      </w:pPr>
    </w:p>
    <w:p w:rsidR="000645FE" w:rsidRDefault="00666520" w:rsidP="005F051A">
      <w:pPr>
        <w:spacing w:line="360" w:lineRule="auto"/>
        <w:rPr>
          <w:rFonts w:ascii="Arial" w:eastAsia="Calibri" w:hAnsi="Arial" w:cs="Arial"/>
          <w:sz w:val="24"/>
          <w:szCs w:val="24"/>
        </w:rPr>
      </w:pPr>
      <w:r>
        <w:rPr>
          <w:rFonts w:ascii="Arial" w:eastAsia="Calibri" w:hAnsi="Arial" w:cs="Arial"/>
          <w:sz w:val="24"/>
          <w:szCs w:val="24"/>
        </w:rPr>
        <w:lastRenderedPageBreak/>
        <w:t xml:space="preserve">(2) </w:t>
      </w:r>
      <w:r w:rsidR="000645FE" w:rsidRPr="006C473E">
        <w:rPr>
          <w:rFonts w:ascii="Arial" w:eastAsia="Calibri" w:hAnsi="Arial" w:cs="Arial"/>
          <w:sz w:val="24"/>
          <w:szCs w:val="24"/>
          <w:u w:val="single"/>
        </w:rPr>
        <w:t>Knowledge of the nature and extent of the expenditure</w:t>
      </w:r>
      <w:r w:rsidR="006C473E">
        <w:rPr>
          <w:rFonts w:ascii="Arial" w:eastAsia="Calibri" w:hAnsi="Arial" w:cs="Arial"/>
          <w:sz w:val="24"/>
          <w:szCs w:val="24"/>
        </w:rPr>
        <w:t>:</w:t>
      </w:r>
    </w:p>
    <w:p w:rsidR="000645FE" w:rsidRDefault="006C473E" w:rsidP="005F051A">
      <w:pPr>
        <w:spacing w:line="360" w:lineRule="auto"/>
        <w:rPr>
          <w:rFonts w:ascii="Arial" w:eastAsia="Calibri" w:hAnsi="Arial" w:cs="Arial"/>
          <w:sz w:val="24"/>
          <w:szCs w:val="24"/>
        </w:rPr>
      </w:pPr>
      <w:r>
        <w:rPr>
          <w:rFonts w:ascii="Arial" w:eastAsia="Calibri" w:hAnsi="Arial" w:cs="Arial"/>
          <w:sz w:val="24"/>
          <w:szCs w:val="24"/>
        </w:rPr>
        <w:t>(a)</w:t>
      </w:r>
      <w:r w:rsidR="000645FE">
        <w:rPr>
          <w:rFonts w:ascii="Arial" w:eastAsia="Calibri" w:hAnsi="Arial" w:cs="Arial"/>
          <w:sz w:val="24"/>
          <w:szCs w:val="24"/>
        </w:rPr>
        <w:tab/>
        <w:t xml:space="preserve">In </w:t>
      </w:r>
      <w:r w:rsidR="000645FE" w:rsidRPr="00E130EF">
        <w:rPr>
          <w:rFonts w:ascii="Arial" w:eastAsia="Calibri" w:hAnsi="Arial" w:cs="Arial"/>
          <w:i/>
          <w:sz w:val="24"/>
          <w:szCs w:val="24"/>
        </w:rPr>
        <w:t>The Posidon</w:t>
      </w:r>
      <w:r w:rsidR="000645FE">
        <w:rPr>
          <w:rFonts w:ascii="Arial" w:eastAsia="Calibri" w:hAnsi="Arial" w:cs="Arial"/>
          <w:sz w:val="24"/>
          <w:szCs w:val="24"/>
        </w:rPr>
        <w:t xml:space="preserve"> the learned judge endorsed the finding of Hewson J, in </w:t>
      </w:r>
      <w:r w:rsidR="000645FE" w:rsidRPr="00E130EF">
        <w:rPr>
          <w:rFonts w:ascii="Arial" w:eastAsia="Calibri" w:hAnsi="Arial" w:cs="Arial"/>
          <w:i/>
          <w:sz w:val="24"/>
          <w:szCs w:val="24"/>
        </w:rPr>
        <w:t>The Pickaninny</w:t>
      </w:r>
      <w:r w:rsidR="000645FE">
        <w:rPr>
          <w:rFonts w:ascii="Arial" w:eastAsia="Calibri" w:hAnsi="Arial" w:cs="Arial"/>
          <w:sz w:val="24"/>
          <w:szCs w:val="24"/>
        </w:rPr>
        <w:t xml:space="preserve"> that a factor that should be taken into account in a consideration of the equities and the avoidance of unjust result is whether the mortgagee had full knowledge of the nature and extent of the supplies that resulted in the claims brought by the necessaries men.</w:t>
      </w:r>
    </w:p>
    <w:p w:rsidR="004C69F0" w:rsidRDefault="004C69F0" w:rsidP="005F051A">
      <w:pPr>
        <w:spacing w:line="360" w:lineRule="auto"/>
        <w:rPr>
          <w:rFonts w:ascii="Arial" w:eastAsia="Calibri" w:hAnsi="Arial" w:cs="Arial"/>
          <w:sz w:val="24"/>
          <w:szCs w:val="24"/>
        </w:rPr>
      </w:pPr>
    </w:p>
    <w:p w:rsidR="00172239" w:rsidRDefault="004C69F0" w:rsidP="005F051A">
      <w:pPr>
        <w:spacing w:line="360" w:lineRule="auto"/>
        <w:rPr>
          <w:rFonts w:ascii="Arial" w:eastAsia="Calibri" w:hAnsi="Arial" w:cs="Arial"/>
          <w:sz w:val="24"/>
          <w:szCs w:val="24"/>
        </w:rPr>
      </w:pPr>
      <w:r>
        <w:rPr>
          <w:rFonts w:ascii="Arial" w:eastAsia="Calibri" w:hAnsi="Arial" w:cs="Arial"/>
          <w:sz w:val="24"/>
          <w:szCs w:val="24"/>
        </w:rPr>
        <w:t>(b)</w:t>
      </w:r>
      <w:r w:rsidR="00172239">
        <w:rPr>
          <w:rFonts w:ascii="Arial" w:eastAsia="Calibri" w:hAnsi="Arial" w:cs="Arial"/>
          <w:sz w:val="24"/>
          <w:szCs w:val="24"/>
        </w:rPr>
        <w:tab/>
        <w:t>The Referee took the view that more was required than a general awareness that operational costs would be incurred.</w:t>
      </w:r>
      <w:r w:rsidR="00704D4B">
        <w:rPr>
          <w:rFonts w:ascii="Arial" w:eastAsia="Calibri" w:hAnsi="Arial" w:cs="Arial"/>
          <w:sz w:val="24"/>
          <w:szCs w:val="24"/>
        </w:rPr>
        <w:t xml:space="preserve"> “There must be full awareness </w:t>
      </w:r>
      <w:r w:rsidR="00172239">
        <w:rPr>
          <w:rFonts w:ascii="Arial" w:eastAsia="Calibri" w:hAnsi="Arial" w:cs="Arial"/>
          <w:sz w:val="24"/>
          <w:szCs w:val="24"/>
        </w:rPr>
        <w:t>in advance.” He concluded that this level of awareness had not been demonstrated by Bunkernet.</w:t>
      </w:r>
    </w:p>
    <w:p w:rsidR="004C69F0" w:rsidRDefault="004C69F0" w:rsidP="005F051A">
      <w:pPr>
        <w:spacing w:line="360" w:lineRule="auto"/>
        <w:rPr>
          <w:rFonts w:ascii="Arial" w:eastAsia="Calibri" w:hAnsi="Arial" w:cs="Arial"/>
          <w:sz w:val="24"/>
          <w:szCs w:val="24"/>
        </w:rPr>
      </w:pPr>
    </w:p>
    <w:p w:rsidR="00172239" w:rsidRDefault="004C69F0" w:rsidP="005F051A">
      <w:pPr>
        <w:spacing w:line="360" w:lineRule="auto"/>
        <w:rPr>
          <w:rFonts w:ascii="Arial" w:eastAsia="Calibri" w:hAnsi="Arial" w:cs="Arial"/>
          <w:sz w:val="24"/>
          <w:szCs w:val="24"/>
        </w:rPr>
      </w:pPr>
      <w:r>
        <w:rPr>
          <w:rFonts w:ascii="Arial" w:eastAsia="Calibri" w:hAnsi="Arial" w:cs="Arial"/>
          <w:sz w:val="24"/>
          <w:szCs w:val="24"/>
        </w:rPr>
        <w:t>(c)</w:t>
      </w:r>
      <w:r w:rsidR="00172239">
        <w:rPr>
          <w:rFonts w:ascii="Arial" w:eastAsia="Calibri" w:hAnsi="Arial" w:cs="Arial"/>
          <w:sz w:val="24"/>
          <w:szCs w:val="24"/>
        </w:rPr>
        <w:tab/>
      </w:r>
      <w:r w:rsidR="00192629">
        <w:rPr>
          <w:rFonts w:ascii="Arial" w:eastAsia="Calibri" w:hAnsi="Arial" w:cs="Arial"/>
          <w:sz w:val="24"/>
          <w:szCs w:val="24"/>
        </w:rPr>
        <w:t>Counsel argued</w:t>
      </w:r>
      <w:r w:rsidR="00172239">
        <w:rPr>
          <w:rFonts w:ascii="Arial" w:eastAsia="Calibri" w:hAnsi="Arial" w:cs="Arial"/>
          <w:sz w:val="24"/>
          <w:szCs w:val="24"/>
        </w:rPr>
        <w:t xml:space="preserve"> that there is no logical reason why a mortgagee should be required to have full and detailed knowledge that the costs are being incurred. In this case Bunkernet avers that the evidence leads to the </w:t>
      </w:r>
      <w:r w:rsidR="00181CF2">
        <w:rPr>
          <w:rFonts w:ascii="Arial" w:eastAsia="Calibri" w:hAnsi="Arial" w:cs="Arial"/>
          <w:sz w:val="24"/>
          <w:szCs w:val="24"/>
        </w:rPr>
        <w:t>inescapable</w:t>
      </w:r>
      <w:r w:rsidR="00172239">
        <w:rPr>
          <w:rFonts w:ascii="Arial" w:eastAsia="Calibri" w:hAnsi="Arial" w:cs="Arial"/>
          <w:sz w:val="24"/>
          <w:szCs w:val="24"/>
        </w:rPr>
        <w:t xml:space="preserve"> conclusion that the Lender must have been aware that Tillman would need to purchase bunkers and lubricants to enable the vessel to sail from Lomé to Alang. There can be no need to insist that the Lender should have had knowledge of the precise quantities and other details of the purchase.</w:t>
      </w:r>
    </w:p>
    <w:p w:rsidR="004C69F0" w:rsidRDefault="004C69F0" w:rsidP="005F051A">
      <w:pPr>
        <w:spacing w:line="360" w:lineRule="auto"/>
        <w:rPr>
          <w:rFonts w:ascii="Arial" w:eastAsia="Calibri" w:hAnsi="Arial" w:cs="Arial"/>
          <w:sz w:val="24"/>
          <w:szCs w:val="24"/>
        </w:rPr>
      </w:pPr>
    </w:p>
    <w:p w:rsidR="00246DD7" w:rsidRDefault="004C69F0" w:rsidP="005F051A">
      <w:pPr>
        <w:spacing w:line="360" w:lineRule="auto"/>
        <w:rPr>
          <w:rFonts w:ascii="Arial" w:eastAsia="Calibri" w:hAnsi="Arial" w:cs="Arial"/>
          <w:sz w:val="24"/>
          <w:szCs w:val="24"/>
          <w:u w:val="single"/>
        </w:rPr>
      </w:pPr>
      <w:r>
        <w:rPr>
          <w:rFonts w:ascii="Arial" w:eastAsia="Calibri" w:hAnsi="Arial" w:cs="Arial"/>
          <w:sz w:val="24"/>
          <w:szCs w:val="24"/>
        </w:rPr>
        <w:t>(d)</w:t>
      </w:r>
      <w:r w:rsidR="00172239">
        <w:rPr>
          <w:rFonts w:ascii="Arial" w:eastAsia="Calibri" w:hAnsi="Arial" w:cs="Arial"/>
          <w:sz w:val="24"/>
          <w:szCs w:val="24"/>
        </w:rPr>
        <w:tab/>
      </w:r>
      <w:r w:rsidR="00C2447A" w:rsidRPr="00172239">
        <w:rPr>
          <w:rFonts w:ascii="Arial" w:eastAsia="Calibri" w:hAnsi="Arial" w:cs="Arial"/>
          <w:sz w:val="24"/>
          <w:szCs w:val="24"/>
          <w:u w:val="single"/>
        </w:rPr>
        <w:t>Benefit to the Lender</w:t>
      </w:r>
    </w:p>
    <w:p w:rsidR="00172239" w:rsidRDefault="003B1746" w:rsidP="005F051A">
      <w:pPr>
        <w:spacing w:line="360" w:lineRule="auto"/>
        <w:rPr>
          <w:rFonts w:ascii="Arial" w:eastAsia="Calibri" w:hAnsi="Arial" w:cs="Arial"/>
          <w:sz w:val="24"/>
          <w:szCs w:val="24"/>
        </w:rPr>
      </w:pPr>
      <w:r>
        <w:rPr>
          <w:rFonts w:ascii="Arial" w:eastAsia="Calibri" w:hAnsi="Arial" w:cs="Arial"/>
          <w:sz w:val="24"/>
          <w:szCs w:val="24"/>
        </w:rPr>
        <w:t>Counsel argued that i</w:t>
      </w:r>
      <w:r w:rsidR="00172239">
        <w:rPr>
          <w:rFonts w:ascii="Arial" w:eastAsia="Calibri" w:hAnsi="Arial" w:cs="Arial"/>
          <w:sz w:val="24"/>
          <w:szCs w:val="24"/>
        </w:rPr>
        <w:t>n</w:t>
      </w:r>
      <w:r w:rsidR="00172239" w:rsidRPr="003B1746">
        <w:rPr>
          <w:rFonts w:ascii="Arial" w:eastAsia="Calibri" w:hAnsi="Arial" w:cs="Arial"/>
          <w:sz w:val="24"/>
          <w:szCs w:val="24"/>
        </w:rPr>
        <w:t xml:space="preserve"> </w:t>
      </w:r>
      <w:r w:rsidR="00172239" w:rsidRPr="004C69F0">
        <w:rPr>
          <w:rFonts w:ascii="Arial" w:eastAsia="Calibri" w:hAnsi="Arial" w:cs="Arial"/>
          <w:i/>
          <w:sz w:val="24"/>
          <w:szCs w:val="24"/>
          <w:u w:val="single"/>
        </w:rPr>
        <w:t>The Posidon</w:t>
      </w:r>
      <w:r w:rsidR="00172239">
        <w:rPr>
          <w:rFonts w:ascii="Arial" w:eastAsia="Calibri" w:hAnsi="Arial" w:cs="Arial"/>
          <w:sz w:val="24"/>
          <w:szCs w:val="24"/>
        </w:rPr>
        <w:t xml:space="preserve"> the learned judge articulated this requirement as being satisfied if the expenditure has the effect of bringing about “some benefit to the mortgagee.” The learned judge did not suggest that the requirement that only the mortgagee must have derived some benefit from the expenditure. So, for example, the learned judge accepted that, as was the case in </w:t>
      </w:r>
      <w:r w:rsidR="00172239" w:rsidRPr="00172239">
        <w:rPr>
          <w:rFonts w:ascii="Arial" w:eastAsia="Calibri" w:hAnsi="Arial" w:cs="Arial"/>
          <w:sz w:val="24"/>
          <w:szCs w:val="24"/>
          <w:u w:val="single"/>
        </w:rPr>
        <w:t>The Pickaninny</w:t>
      </w:r>
      <w:r w:rsidR="00172239">
        <w:rPr>
          <w:rFonts w:ascii="Arial" w:eastAsia="Calibri" w:hAnsi="Arial" w:cs="Arial"/>
          <w:sz w:val="24"/>
          <w:szCs w:val="24"/>
        </w:rPr>
        <w:t>, repairs to a mortgaged vessel “do result in something that is physical tangible and capable of deriving benefit from.” In the same way, the supply of bunkers and lubricants had a result that the Lender was capable of deriving a benefit therefrom.</w:t>
      </w:r>
    </w:p>
    <w:p w:rsidR="00F957F8" w:rsidRDefault="00F957F8" w:rsidP="005F051A">
      <w:pPr>
        <w:spacing w:line="360" w:lineRule="auto"/>
        <w:rPr>
          <w:rFonts w:ascii="Arial" w:eastAsia="Calibri" w:hAnsi="Arial" w:cs="Arial"/>
          <w:sz w:val="24"/>
          <w:szCs w:val="24"/>
        </w:rPr>
      </w:pPr>
    </w:p>
    <w:p w:rsidR="00172239" w:rsidRDefault="00F957F8" w:rsidP="005F051A">
      <w:pPr>
        <w:spacing w:line="360" w:lineRule="auto"/>
        <w:rPr>
          <w:rFonts w:ascii="Arial" w:eastAsia="Calibri" w:hAnsi="Arial" w:cs="Arial"/>
          <w:sz w:val="24"/>
          <w:szCs w:val="24"/>
        </w:rPr>
      </w:pPr>
      <w:r>
        <w:rPr>
          <w:rFonts w:ascii="Arial" w:eastAsia="Calibri" w:hAnsi="Arial" w:cs="Arial"/>
          <w:sz w:val="24"/>
          <w:szCs w:val="24"/>
        </w:rPr>
        <w:t>(e)</w:t>
      </w:r>
      <w:r w:rsidR="00172239">
        <w:rPr>
          <w:rFonts w:ascii="Arial" w:eastAsia="Calibri" w:hAnsi="Arial" w:cs="Arial"/>
          <w:sz w:val="24"/>
          <w:szCs w:val="24"/>
        </w:rPr>
        <w:tab/>
      </w:r>
      <w:r w:rsidR="001C5649">
        <w:rPr>
          <w:rFonts w:ascii="Arial" w:eastAsia="Calibri" w:hAnsi="Arial" w:cs="Arial"/>
          <w:sz w:val="24"/>
          <w:szCs w:val="24"/>
        </w:rPr>
        <w:t xml:space="preserve">The Referee concluded that the supply of bunkers to the vessel was made for the benefit of all creditors of the vessel, including the Lender. It is submitted that, whatever the position might have been regarding other creditors, the supply of bunkers and lubricants to the vessel was effected in order for Tillman to deliver the vessel to </w:t>
      </w:r>
      <w:r w:rsidR="001C5649">
        <w:rPr>
          <w:rFonts w:ascii="Arial" w:eastAsia="Calibri" w:hAnsi="Arial" w:cs="Arial"/>
          <w:sz w:val="24"/>
          <w:szCs w:val="24"/>
        </w:rPr>
        <w:lastRenderedPageBreak/>
        <w:t>NKD at Alang. The benefit to the Lender was that when delivery was effected it would obtain payment of the loan together with interest thereon and all other charges due to the Lender in terms of the agreement.</w:t>
      </w:r>
    </w:p>
    <w:p w:rsidR="00172239" w:rsidRDefault="00172239" w:rsidP="005F051A">
      <w:pPr>
        <w:spacing w:line="360" w:lineRule="auto"/>
        <w:rPr>
          <w:rFonts w:ascii="Arial" w:eastAsia="Calibri" w:hAnsi="Arial" w:cs="Arial"/>
          <w:sz w:val="24"/>
          <w:szCs w:val="24"/>
        </w:rPr>
      </w:pPr>
    </w:p>
    <w:p w:rsidR="00A25847" w:rsidRPr="00A25847" w:rsidRDefault="00A25847" w:rsidP="0013018B">
      <w:pPr>
        <w:spacing w:line="360" w:lineRule="auto"/>
        <w:rPr>
          <w:rFonts w:ascii="Arial" w:eastAsia="Calibri" w:hAnsi="Arial" w:cs="Arial"/>
          <w:sz w:val="24"/>
          <w:szCs w:val="24"/>
          <w:u w:val="single"/>
        </w:rPr>
      </w:pPr>
      <w:r w:rsidRPr="00A25847">
        <w:rPr>
          <w:rFonts w:ascii="Arial" w:eastAsia="Calibri" w:hAnsi="Arial" w:cs="Arial"/>
          <w:sz w:val="24"/>
          <w:szCs w:val="24"/>
          <w:u w:val="single"/>
        </w:rPr>
        <w:t>Analysis</w:t>
      </w:r>
      <w:r w:rsidR="00871C13">
        <w:rPr>
          <w:rFonts w:ascii="Arial" w:eastAsia="Calibri" w:hAnsi="Arial" w:cs="Arial"/>
          <w:sz w:val="24"/>
          <w:szCs w:val="24"/>
          <w:u w:val="single"/>
        </w:rPr>
        <w:t xml:space="preserve"> </w:t>
      </w:r>
      <w:r w:rsidR="00350E21">
        <w:rPr>
          <w:rFonts w:ascii="Arial" w:eastAsia="Calibri" w:hAnsi="Arial" w:cs="Arial"/>
          <w:sz w:val="24"/>
          <w:szCs w:val="24"/>
          <w:u w:val="single"/>
        </w:rPr>
        <w:t>and discussions</w:t>
      </w:r>
    </w:p>
    <w:p w:rsidR="00A25847" w:rsidRPr="0028667C" w:rsidRDefault="00A25847" w:rsidP="00A25847">
      <w:pPr>
        <w:spacing w:line="360" w:lineRule="auto"/>
        <w:rPr>
          <w:rFonts w:ascii="Arial" w:eastAsia="Calibri" w:hAnsi="Arial" w:cs="Arial"/>
          <w:sz w:val="24"/>
          <w:szCs w:val="24"/>
          <w:u w:val="single"/>
        </w:rPr>
      </w:pPr>
      <w:r w:rsidRPr="0028667C">
        <w:rPr>
          <w:rFonts w:ascii="Arial" w:eastAsia="Calibri" w:hAnsi="Arial" w:cs="Arial"/>
          <w:sz w:val="24"/>
          <w:szCs w:val="24"/>
          <w:u w:val="single"/>
        </w:rPr>
        <w:t>Ranking of claims</w:t>
      </w:r>
      <w:r>
        <w:rPr>
          <w:rFonts w:ascii="Arial" w:eastAsia="Calibri" w:hAnsi="Arial" w:cs="Arial"/>
          <w:sz w:val="24"/>
          <w:szCs w:val="24"/>
          <w:u w:val="single"/>
        </w:rPr>
        <w:t xml:space="preserve"> </w:t>
      </w:r>
      <w:r w:rsidR="0060092C">
        <w:rPr>
          <w:rFonts w:ascii="Arial" w:eastAsia="Calibri" w:hAnsi="Arial" w:cs="Arial"/>
          <w:sz w:val="24"/>
          <w:szCs w:val="24"/>
          <w:u w:val="single"/>
        </w:rPr>
        <w:t>and the law to be applied</w:t>
      </w:r>
    </w:p>
    <w:p w:rsidR="00072C33" w:rsidRDefault="00125714" w:rsidP="00072C33">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4</w:t>
      </w:r>
      <w:r w:rsidR="00B70AD7">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072C33">
        <w:rPr>
          <w:rFonts w:ascii="Arial" w:eastAsia="Calibri" w:hAnsi="Arial" w:cs="Arial"/>
          <w:sz w:val="24"/>
          <w:szCs w:val="24"/>
        </w:rPr>
        <w:t xml:space="preserve">The Namibian High Court exercising its admiralty jurisdiction derives its jurisdiction from the English </w:t>
      </w:r>
      <w:r w:rsidR="00871C13">
        <w:rPr>
          <w:rFonts w:ascii="Arial" w:eastAsia="Calibri" w:hAnsi="Arial" w:cs="Arial"/>
          <w:sz w:val="24"/>
          <w:szCs w:val="24"/>
        </w:rPr>
        <w:t>Statutes, namely the Admiralty C</w:t>
      </w:r>
      <w:r w:rsidR="00072C33">
        <w:rPr>
          <w:rFonts w:ascii="Arial" w:eastAsia="Calibri" w:hAnsi="Arial" w:cs="Arial"/>
          <w:sz w:val="24"/>
          <w:szCs w:val="24"/>
        </w:rPr>
        <w:t xml:space="preserve">ourt Act of 1840, the Admiralty Court Act of 1861 and the Colonial courts of Admiralty Act of 1890. </w:t>
      </w:r>
      <w:r w:rsidR="00233973">
        <w:rPr>
          <w:rFonts w:ascii="Arial" w:eastAsia="Calibri" w:hAnsi="Arial" w:cs="Arial"/>
          <w:sz w:val="24"/>
          <w:szCs w:val="24"/>
        </w:rPr>
        <w:t xml:space="preserve">In </w:t>
      </w:r>
      <w:r w:rsidR="00233973" w:rsidRPr="00192629">
        <w:rPr>
          <w:rFonts w:ascii="Arial" w:eastAsia="Calibri" w:hAnsi="Arial" w:cs="Arial"/>
          <w:i/>
          <w:sz w:val="24"/>
          <w:szCs w:val="24"/>
        </w:rPr>
        <w:t>Freiremar v The Prosecutor General of Namibia and Others</w:t>
      </w:r>
      <w:r w:rsidR="00192629">
        <w:rPr>
          <w:rStyle w:val="FootnoteReference"/>
          <w:rFonts w:ascii="Arial" w:eastAsia="Calibri" w:hAnsi="Arial" w:cs="Arial"/>
          <w:i/>
          <w:sz w:val="24"/>
          <w:szCs w:val="24"/>
        </w:rPr>
        <w:footnoteReference w:id="5"/>
      </w:r>
      <w:r w:rsidR="00233973">
        <w:rPr>
          <w:rFonts w:ascii="Arial" w:eastAsia="Calibri" w:hAnsi="Arial" w:cs="Arial"/>
          <w:sz w:val="24"/>
          <w:szCs w:val="24"/>
        </w:rPr>
        <w:t>, the court held that by virtue of s 1(i) of Proclamation 21 of 1919 all statutes which applied in the Province of Cape of Good Hope as at 1 January 1920 were made applicable to t</w:t>
      </w:r>
      <w:r w:rsidR="00871C13">
        <w:rPr>
          <w:rFonts w:ascii="Arial" w:eastAsia="Calibri" w:hAnsi="Arial" w:cs="Arial"/>
          <w:sz w:val="24"/>
          <w:szCs w:val="24"/>
        </w:rPr>
        <w:t>he then South West Africa. The C</w:t>
      </w:r>
      <w:r w:rsidR="00233973">
        <w:rPr>
          <w:rFonts w:ascii="Arial" w:eastAsia="Calibri" w:hAnsi="Arial" w:cs="Arial"/>
          <w:sz w:val="24"/>
          <w:szCs w:val="24"/>
        </w:rPr>
        <w:t xml:space="preserve">olonial </w:t>
      </w:r>
      <w:r w:rsidR="00871C13">
        <w:rPr>
          <w:rFonts w:ascii="Arial" w:eastAsia="Calibri" w:hAnsi="Arial" w:cs="Arial"/>
          <w:sz w:val="24"/>
          <w:szCs w:val="24"/>
        </w:rPr>
        <w:t>C</w:t>
      </w:r>
      <w:r w:rsidR="00233973">
        <w:rPr>
          <w:rFonts w:ascii="Arial" w:eastAsia="Calibri" w:hAnsi="Arial" w:cs="Arial"/>
          <w:sz w:val="24"/>
          <w:szCs w:val="24"/>
        </w:rPr>
        <w:t xml:space="preserve">ourts of Admiralty Act 1890 was part of the statute law of the Province of Cape of Good Hope as at 1 January 1890 and accordingly it became part of Namibia. </w:t>
      </w:r>
      <w:r w:rsidR="00072C33">
        <w:rPr>
          <w:rFonts w:ascii="Arial" w:eastAsia="Calibri" w:hAnsi="Arial" w:cs="Arial"/>
          <w:sz w:val="24"/>
          <w:szCs w:val="24"/>
        </w:rPr>
        <w:t>Those English statutes are archaic and Namibia is the only country in the world that still appl</w:t>
      </w:r>
      <w:r w:rsidR="000A2D2B">
        <w:rPr>
          <w:rFonts w:ascii="Arial" w:eastAsia="Calibri" w:hAnsi="Arial" w:cs="Arial"/>
          <w:sz w:val="24"/>
          <w:szCs w:val="24"/>
        </w:rPr>
        <w:t>ies</w:t>
      </w:r>
      <w:r w:rsidR="00072C33">
        <w:rPr>
          <w:rFonts w:ascii="Arial" w:eastAsia="Calibri" w:hAnsi="Arial" w:cs="Arial"/>
          <w:sz w:val="24"/>
          <w:szCs w:val="24"/>
        </w:rPr>
        <w:t xml:space="preserve"> the limited jurisdiction conferred by the </w:t>
      </w:r>
      <w:r w:rsidR="00233973">
        <w:rPr>
          <w:rFonts w:ascii="Arial" w:eastAsia="Calibri" w:hAnsi="Arial" w:cs="Arial"/>
          <w:sz w:val="24"/>
          <w:szCs w:val="24"/>
        </w:rPr>
        <w:t xml:space="preserve">Colonial Courts of </w:t>
      </w:r>
      <w:r w:rsidR="00072C33">
        <w:rPr>
          <w:rFonts w:ascii="Arial" w:eastAsia="Calibri" w:hAnsi="Arial" w:cs="Arial"/>
          <w:sz w:val="24"/>
          <w:szCs w:val="24"/>
        </w:rPr>
        <w:t xml:space="preserve">Admiralty Act of 1890. </w:t>
      </w:r>
      <w:r w:rsidR="00233973">
        <w:rPr>
          <w:rFonts w:ascii="Arial" w:eastAsia="Calibri" w:hAnsi="Arial" w:cs="Arial"/>
          <w:sz w:val="24"/>
          <w:szCs w:val="24"/>
        </w:rPr>
        <w:t xml:space="preserve">The Colonial Courts of Admiralty Act of 1890 is archaic, outdated and belongs to the colonial era. Its heads of jurisdiction are very limited. Claims relating to or arising out </w:t>
      </w:r>
      <w:r w:rsidR="000A2D2B">
        <w:rPr>
          <w:rFonts w:ascii="Arial" w:eastAsia="Calibri" w:hAnsi="Arial" w:cs="Arial"/>
          <w:sz w:val="24"/>
          <w:szCs w:val="24"/>
        </w:rPr>
        <w:t xml:space="preserve">of </w:t>
      </w:r>
      <w:r w:rsidR="00233973">
        <w:rPr>
          <w:rFonts w:ascii="Arial" w:eastAsia="Calibri" w:hAnsi="Arial" w:cs="Arial"/>
          <w:sz w:val="24"/>
          <w:szCs w:val="24"/>
        </w:rPr>
        <w:t xml:space="preserve">charter parties, marine insurance, container, which should be dealt with under admiralty jurisdiction are excluded under the Colonial Courts </w:t>
      </w:r>
      <w:r w:rsidR="00E1195A">
        <w:rPr>
          <w:rFonts w:ascii="Arial" w:eastAsia="Calibri" w:hAnsi="Arial" w:cs="Arial"/>
          <w:sz w:val="24"/>
          <w:szCs w:val="24"/>
        </w:rPr>
        <w:t>of Admiralty Act of 1890.</w:t>
      </w:r>
      <w:r w:rsidR="00871C13">
        <w:rPr>
          <w:rFonts w:ascii="Arial" w:eastAsia="Calibri" w:hAnsi="Arial" w:cs="Arial"/>
          <w:sz w:val="24"/>
          <w:szCs w:val="24"/>
        </w:rPr>
        <w:t xml:space="preserve"> There is an urgent need for reform and updating of our maritime laws.</w:t>
      </w:r>
    </w:p>
    <w:p w:rsidR="00E1195A" w:rsidRDefault="00E1195A" w:rsidP="00072C33">
      <w:pPr>
        <w:spacing w:line="360" w:lineRule="auto"/>
        <w:rPr>
          <w:rFonts w:ascii="Arial" w:eastAsia="Calibri" w:hAnsi="Arial" w:cs="Arial"/>
          <w:sz w:val="24"/>
          <w:szCs w:val="24"/>
        </w:rPr>
      </w:pPr>
    </w:p>
    <w:p w:rsidR="00E1195A" w:rsidRDefault="006410FC" w:rsidP="00072C33">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4</w:t>
      </w:r>
      <w:r w:rsidR="00B70AD7">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E1195A">
        <w:rPr>
          <w:rFonts w:ascii="Arial" w:eastAsia="Calibri" w:hAnsi="Arial" w:cs="Arial"/>
          <w:sz w:val="24"/>
          <w:szCs w:val="24"/>
        </w:rPr>
        <w:t xml:space="preserve">In terms of the Colonial Courts of Admiralty Act of 1890 the law to be applied is English admiralty law as at 1890. </w:t>
      </w:r>
      <w:r w:rsidR="00B237C9" w:rsidRPr="00B237C9">
        <w:rPr>
          <w:rFonts w:ascii="Arial" w:eastAsia="Calibri" w:hAnsi="Arial" w:cs="Arial"/>
          <w:sz w:val="24"/>
          <w:szCs w:val="24"/>
        </w:rPr>
        <w:t>Subsequent decisions that clarify or expand on the law as at 1890</w:t>
      </w:r>
      <w:r w:rsidR="00B237C9">
        <w:rPr>
          <w:rFonts w:ascii="Arial" w:eastAsia="Calibri" w:hAnsi="Arial" w:cs="Arial"/>
          <w:sz w:val="24"/>
          <w:szCs w:val="24"/>
        </w:rPr>
        <w:t xml:space="preserve"> also apply. </w:t>
      </w:r>
      <w:r w:rsidR="00E1195A">
        <w:rPr>
          <w:rFonts w:ascii="Arial" w:eastAsia="Calibri" w:hAnsi="Arial" w:cs="Arial"/>
          <w:sz w:val="24"/>
          <w:szCs w:val="24"/>
        </w:rPr>
        <w:t>Subsequent English admiralty statutes are not applicable to Namibia. Since 1890 English admiralty law has been updated and modernized. Some of the provisions of international maritime conventions such as the Arrest Convention have been incorporated into English domestic laws.</w:t>
      </w:r>
    </w:p>
    <w:p w:rsidR="00072C33" w:rsidRDefault="00072C33" w:rsidP="00A25847">
      <w:pPr>
        <w:spacing w:line="360" w:lineRule="auto"/>
        <w:rPr>
          <w:rFonts w:ascii="Arial" w:eastAsia="Calibri" w:hAnsi="Arial" w:cs="Arial"/>
          <w:sz w:val="24"/>
          <w:szCs w:val="24"/>
        </w:rPr>
      </w:pPr>
    </w:p>
    <w:p w:rsidR="00A25847" w:rsidRDefault="00A25847" w:rsidP="00A25847">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4</w:t>
      </w:r>
      <w:r w:rsidR="00B70AD7">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0A2D2B">
        <w:rPr>
          <w:rFonts w:ascii="Arial" w:eastAsia="Calibri" w:hAnsi="Arial" w:cs="Arial"/>
          <w:sz w:val="24"/>
          <w:szCs w:val="24"/>
        </w:rPr>
        <w:t>In terms of the C</w:t>
      </w:r>
      <w:r>
        <w:rPr>
          <w:rFonts w:ascii="Arial" w:eastAsia="Calibri" w:hAnsi="Arial" w:cs="Arial"/>
          <w:sz w:val="24"/>
          <w:szCs w:val="24"/>
        </w:rPr>
        <w:t>olonia</w:t>
      </w:r>
      <w:r w:rsidR="000A2D2B">
        <w:rPr>
          <w:rFonts w:ascii="Arial" w:eastAsia="Calibri" w:hAnsi="Arial" w:cs="Arial"/>
          <w:sz w:val="24"/>
          <w:szCs w:val="24"/>
        </w:rPr>
        <w:t>l Courts of Admiralty, Act 1890</w:t>
      </w:r>
      <w:r>
        <w:rPr>
          <w:rFonts w:ascii="Arial" w:eastAsia="Calibri" w:hAnsi="Arial" w:cs="Arial"/>
          <w:sz w:val="24"/>
          <w:szCs w:val="24"/>
        </w:rPr>
        <w:t>. Namibian Admiralty ranking</w:t>
      </w:r>
      <w:r w:rsidR="000A2D2B">
        <w:rPr>
          <w:rFonts w:ascii="Arial" w:eastAsia="Calibri" w:hAnsi="Arial" w:cs="Arial"/>
          <w:sz w:val="24"/>
          <w:szCs w:val="24"/>
        </w:rPr>
        <w:t xml:space="preserve"> of claims</w:t>
      </w:r>
      <w:r>
        <w:rPr>
          <w:rFonts w:ascii="Arial" w:eastAsia="Calibri" w:hAnsi="Arial" w:cs="Arial"/>
          <w:sz w:val="24"/>
          <w:szCs w:val="24"/>
        </w:rPr>
        <w:t xml:space="preserve"> is based on equitable distribution and the usual order is as follows:</w:t>
      </w:r>
    </w:p>
    <w:p w:rsidR="00A25847" w:rsidRDefault="00A25847" w:rsidP="00A25847">
      <w:pPr>
        <w:spacing w:line="360" w:lineRule="auto"/>
        <w:rPr>
          <w:rFonts w:ascii="Arial" w:eastAsia="Calibri" w:hAnsi="Arial" w:cs="Arial"/>
          <w:sz w:val="24"/>
          <w:szCs w:val="24"/>
        </w:rPr>
      </w:pPr>
      <w:r>
        <w:rPr>
          <w:rFonts w:ascii="Arial" w:eastAsia="Calibri" w:hAnsi="Arial" w:cs="Arial"/>
          <w:sz w:val="24"/>
          <w:szCs w:val="24"/>
        </w:rPr>
        <w:lastRenderedPageBreak/>
        <w:t>1.</w:t>
      </w:r>
      <w:r>
        <w:rPr>
          <w:rFonts w:ascii="Arial" w:eastAsia="Calibri" w:hAnsi="Arial" w:cs="Arial"/>
          <w:sz w:val="24"/>
          <w:szCs w:val="24"/>
        </w:rPr>
        <w:tab/>
        <w:t>Charges and expenses of the admiralty Marshall (Deputy Sheriff)</w:t>
      </w:r>
    </w:p>
    <w:p w:rsidR="00A25847" w:rsidRDefault="00A25847" w:rsidP="00A25847">
      <w:pPr>
        <w:spacing w:line="360" w:lineRule="auto"/>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Costs of the producer of the funds(s)</w:t>
      </w:r>
    </w:p>
    <w:p w:rsidR="00A25847" w:rsidRDefault="00A25847" w:rsidP="00A25847">
      <w:pPr>
        <w:spacing w:line="360" w:lineRule="auto"/>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Maritime liens</w:t>
      </w:r>
    </w:p>
    <w:p w:rsidR="00A25847" w:rsidRDefault="00A25847" w:rsidP="00A25847">
      <w:pPr>
        <w:spacing w:line="360" w:lineRule="auto"/>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Mortgages</w:t>
      </w:r>
    </w:p>
    <w:p w:rsidR="00A25847" w:rsidRDefault="00A25847" w:rsidP="00A25847">
      <w:pPr>
        <w:spacing w:line="360" w:lineRule="auto"/>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 xml:space="preserve">Statutory rights of action </w:t>
      </w:r>
      <w:r w:rsidRPr="00FC6D3A">
        <w:rPr>
          <w:rFonts w:ascii="Arial" w:eastAsia="Calibri" w:hAnsi="Arial" w:cs="Arial"/>
          <w:i/>
          <w:sz w:val="24"/>
          <w:szCs w:val="24"/>
        </w:rPr>
        <w:t>in rem</w:t>
      </w:r>
      <w:r>
        <w:rPr>
          <w:rFonts w:ascii="Arial" w:eastAsia="Calibri" w:hAnsi="Arial" w:cs="Arial"/>
          <w:sz w:val="24"/>
          <w:szCs w:val="24"/>
        </w:rPr>
        <w:t>.</w:t>
      </w:r>
    </w:p>
    <w:p w:rsidR="00A25847" w:rsidRDefault="00A25847" w:rsidP="0013018B">
      <w:pPr>
        <w:spacing w:line="360" w:lineRule="auto"/>
        <w:rPr>
          <w:rFonts w:ascii="Arial" w:eastAsia="Calibri" w:hAnsi="Arial" w:cs="Arial"/>
          <w:sz w:val="24"/>
          <w:szCs w:val="24"/>
        </w:rPr>
      </w:pPr>
    </w:p>
    <w:p w:rsidR="0081304C" w:rsidRDefault="007843B1" w:rsidP="00170692">
      <w:pPr>
        <w:spacing w:line="360" w:lineRule="auto"/>
        <w:rPr>
          <w:rFonts w:ascii="Arial" w:eastAsia="Calibri" w:hAnsi="Arial" w:cs="Arial"/>
          <w:sz w:val="24"/>
          <w:szCs w:val="24"/>
        </w:rPr>
      </w:pPr>
      <w:r>
        <w:rPr>
          <w:rFonts w:ascii="Arial" w:eastAsia="Calibri" w:hAnsi="Arial" w:cs="Arial"/>
          <w:sz w:val="24"/>
          <w:szCs w:val="24"/>
        </w:rPr>
        <w:t>[</w:t>
      </w:r>
      <w:r w:rsidR="00B70AD7">
        <w:rPr>
          <w:rFonts w:ascii="Arial" w:eastAsia="Calibri" w:hAnsi="Arial" w:cs="Arial"/>
          <w:sz w:val="24"/>
          <w:szCs w:val="24"/>
        </w:rPr>
        <w:t>46</w:t>
      </w:r>
      <w:r>
        <w:rPr>
          <w:rFonts w:ascii="Arial" w:eastAsia="Calibri" w:hAnsi="Arial" w:cs="Arial"/>
          <w:sz w:val="24"/>
          <w:szCs w:val="24"/>
        </w:rPr>
        <w:t>]</w:t>
      </w:r>
      <w:r>
        <w:rPr>
          <w:rFonts w:ascii="Arial" w:eastAsia="Calibri" w:hAnsi="Arial" w:cs="Arial"/>
          <w:sz w:val="24"/>
          <w:szCs w:val="24"/>
        </w:rPr>
        <w:tab/>
      </w:r>
      <w:r w:rsidR="00B237C9">
        <w:rPr>
          <w:rFonts w:ascii="Arial" w:eastAsia="Calibri" w:hAnsi="Arial" w:cs="Arial"/>
          <w:sz w:val="24"/>
          <w:szCs w:val="24"/>
        </w:rPr>
        <w:t xml:space="preserve">The Referee was therefore correct in his finding as to the Law to be applied and the order of priorities. </w:t>
      </w:r>
      <w:r w:rsidR="0081304C">
        <w:rPr>
          <w:rFonts w:ascii="Arial" w:eastAsia="Calibri" w:hAnsi="Arial" w:cs="Arial"/>
          <w:sz w:val="24"/>
          <w:szCs w:val="24"/>
        </w:rPr>
        <w:t>The established order of priorities may be altered if it can be shown that ‘powerful reason’ or special circumstances exist to avoid an obvious injustice</w:t>
      </w:r>
      <w:r w:rsidR="009870DD">
        <w:rPr>
          <w:rFonts w:ascii="Arial" w:eastAsia="Calibri" w:hAnsi="Arial" w:cs="Arial"/>
          <w:sz w:val="24"/>
          <w:szCs w:val="24"/>
        </w:rPr>
        <w:t>.</w:t>
      </w:r>
      <w:r w:rsidR="00B237C9">
        <w:rPr>
          <w:rFonts w:ascii="Arial" w:eastAsia="Calibri" w:hAnsi="Arial" w:cs="Arial"/>
          <w:sz w:val="24"/>
          <w:szCs w:val="24"/>
        </w:rPr>
        <w:t xml:space="preserve"> </w:t>
      </w:r>
      <w:r w:rsidR="009870DD">
        <w:rPr>
          <w:rFonts w:ascii="Arial" w:eastAsia="Calibri" w:hAnsi="Arial" w:cs="Arial"/>
          <w:sz w:val="24"/>
          <w:szCs w:val="24"/>
        </w:rPr>
        <w:t>F</w:t>
      </w:r>
      <w:r w:rsidR="00B237C9">
        <w:rPr>
          <w:rFonts w:ascii="Arial" w:eastAsia="Calibri" w:hAnsi="Arial" w:cs="Arial"/>
          <w:sz w:val="24"/>
          <w:szCs w:val="24"/>
        </w:rPr>
        <w:t>or the sake of certainty and uniformity the order of priorities should not be lightly overturned</w:t>
      </w:r>
      <w:r w:rsidR="00273E04">
        <w:rPr>
          <w:rFonts w:ascii="Arial" w:eastAsia="Calibri" w:hAnsi="Arial" w:cs="Arial"/>
          <w:sz w:val="24"/>
          <w:szCs w:val="24"/>
        </w:rPr>
        <w:t>.</w:t>
      </w:r>
      <w:r w:rsidR="00B237C9">
        <w:rPr>
          <w:rStyle w:val="FootnoteReference"/>
          <w:rFonts w:ascii="Arial" w:eastAsia="Calibri" w:hAnsi="Arial" w:cs="Arial"/>
          <w:sz w:val="24"/>
          <w:szCs w:val="24"/>
        </w:rPr>
        <w:footnoteReference w:id="6"/>
      </w:r>
      <w:r w:rsidR="0081304C">
        <w:rPr>
          <w:rFonts w:ascii="Arial" w:eastAsia="Calibri" w:hAnsi="Arial" w:cs="Arial"/>
          <w:sz w:val="24"/>
          <w:szCs w:val="24"/>
        </w:rPr>
        <w:t xml:space="preserve"> </w:t>
      </w:r>
    </w:p>
    <w:p w:rsidR="0081304C" w:rsidRDefault="0081304C" w:rsidP="0013018B">
      <w:pPr>
        <w:spacing w:line="360" w:lineRule="auto"/>
        <w:rPr>
          <w:rFonts w:ascii="Arial" w:eastAsia="Calibri" w:hAnsi="Arial" w:cs="Arial"/>
          <w:sz w:val="24"/>
          <w:szCs w:val="24"/>
        </w:rPr>
      </w:pPr>
    </w:p>
    <w:p w:rsidR="00AB214C" w:rsidRDefault="00D17477" w:rsidP="0013018B">
      <w:pPr>
        <w:spacing w:line="360" w:lineRule="auto"/>
        <w:rPr>
          <w:rFonts w:ascii="Arial" w:eastAsia="Calibri" w:hAnsi="Arial" w:cs="Arial"/>
          <w:sz w:val="24"/>
          <w:szCs w:val="24"/>
        </w:rPr>
      </w:pPr>
      <w:r>
        <w:rPr>
          <w:rFonts w:ascii="Arial" w:eastAsia="Calibri" w:hAnsi="Arial" w:cs="Arial"/>
          <w:sz w:val="24"/>
          <w:szCs w:val="24"/>
        </w:rPr>
        <w:t>[</w:t>
      </w:r>
      <w:r w:rsidR="00B70AD7">
        <w:rPr>
          <w:rFonts w:ascii="Arial" w:eastAsia="Calibri" w:hAnsi="Arial" w:cs="Arial"/>
          <w:sz w:val="24"/>
          <w:szCs w:val="24"/>
        </w:rPr>
        <w:t>47</w:t>
      </w:r>
      <w:r>
        <w:rPr>
          <w:rFonts w:ascii="Arial" w:eastAsia="Calibri" w:hAnsi="Arial" w:cs="Arial"/>
          <w:sz w:val="24"/>
          <w:szCs w:val="24"/>
        </w:rPr>
        <w:t>]</w:t>
      </w:r>
      <w:r>
        <w:rPr>
          <w:rFonts w:ascii="Arial" w:eastAsia="Calibri" w:hAnsi="Arial" w:cs="Arial"/>
          <w:sz w:val="24"/>
          <w:szCs w:val="24"/>
        </w:rPr>
        <w:tab/>
      </w:r>
      <w:r w:rsidR="00AB214C">
        <w:rPr>
          <w:rFonts w:ascii="Arial" w:eastAsia="Calibri" w:hAnsi="Arial" w:cs="Arial"/>
          <w:sz w:val="24"/>
          <w:szCs w:val="24"/>
        </w:rPr>
        <w:t>The onus is on the party seeking deviation from the establish</w:t>
      </w:r>
      <w:r w:rsidR="0065499B">
        <w:rPr>
          <w:rFonts w:ascii="Arial" w:eastAsia="Calibri" w:hAnsi="Arial" w:cs="Arial"/>
          <w:sz w:val="24"/>
          <w:szCs w:val="24"/>
        </w:rPr>
        <w:t>ed</w:t>
      </w:r>
      <w:r w:rsidR="00AB214C">
        <w:rPr>
          <w:rFonts w:ascii="Arial" w:eastAsia="Calibri" w:hAnsi="Arial" w:cs="Arial"/>
          <w:sz w:val="24"/>
          <w:szCs w:val="24"/>
        </w:rPr>
        <w:t xml:space="preserve"> order of priorities to adduce cogent evidence as to why the established order must be altered. Bunkernet argued that its third claim for bunkers and lubricants supplied to the Vessel should rank above the mortgage claim of the Lender. As security for the loan, the Lender registered a preliminary mortgage bond on 14 November 2017 and a permanent mortgage bond on 11 December 2017 in the Panamanian registry. In terms of Panamanian law a temporary registration is valid for 6 months and if within the 6 months all the formalities are complied with, then the mortgage bond is registered permanently. Security for the loan advanced operates immediately once temporary registration is done. What is also important to note is that according to Bunkernet the bunkers and lubricants were ordered on 14 and 16 November 2017 and delivered on 15 and 16 November 2017 that is on the same date or a day later after the temporary registration of the bond. The final registration took place on 11 December 2017. Bunkernet accepts that there was registration of the mortgage bond and then the Lender ranks above Bunkernet. The next issue that the court must consider is whether Bunkernet discharge the onus of proving the 3 factors mentioned in </w:t>
      </w:r>
      <w:r w:rsidR="00AB214C" w:rsidRPr="00662BA7">
        <w:rPr>
          <w:rFonts w:ascii="Arial" w:eastAsia="Calibri" w:hAnsi="Arial" w:cs="Arial"/>
          <w:i/>
          <w:sz w:val="24"/>
          <w:szCs w:val="24"/>
          <w:u w:val="single"/>
        </w:rPr>
        <w:t>The Posidon</w:t>
      </w:r>
      <w:r w:rsidR="00AB214C">
        <w:rPr>
          <w:rFonts w:ascii="Arial" w:eastAsia="Calibri" w:hAnsi="Arial" w:cs="Arial"/>
          <w:sz w:val="24"/>
          <w:szCs w:val="24"/>
        </w:rPr>
        <w:t xml:space="preserve"> judgment</w:t>
      </w:r>
      <w:r w:rsidR="006B2F2C">
        <w:rPr>
          <w:rFonts w:ascii="Arial" w:eastAsia="Calibri" w:hAnsi="Arial" w:cs="Arial"/>
          <w:sz w:val="24"/>
          <w:szCs w:val="24"/>
        </w:rPr>
        <w:t>.</w:t>
      </w:r>
      <w:r w:rsidR="00AB214C">
        <w:rPr>
          <w:rFonts w:ascii="Arial" w:eastAsia="Calibri" w:hAnsi="Arial" w:cs="Arial"/>
          <w:sz w:val="24"/>
          <w:szCs w:val="24"/>
        </w:rPr>
        <w:t xml:space="preserve"> </w:t>
      </w:r>
      <w:r w:rsidR="006B2F2C">
        <w:rPr>
          <w:rFonts w:ascii="Arial" w:eastAsia="Calibri" w:hAnsi="Arial" w:cs="Arial"/>
          <w:sz w:val="24"/>
          <w:szCs w:val="24"/>
        </w:rPr>
        <w:t>(</w:t>
      </w:r>
      <w:r w:rsidR="00AB214C">
        <w:rPr>
          <w:rFonts w:ascii="Arial" w:eastAsia="Calibri" w:hAnsi="Arial" w:cs="Arial"/>
          <w:sz w:val="24"/>
          <w:szCs w:val="24"/>
        </w:rPr>
        <w:t>1</w:t>
      </w:r>
      <w:r w:rsidR="006B2F2C">
        <w:rPr>
          <w:rFonts w:ascii="Arial" w:eastAsia="Calibri" w:hAnsi="Arial" w:cs="Arial"/>
          <w:sz w:val="24"/>
          <w:szCs w:val="24"/>
        </w:rPr>
        <w:t>)</w:t>
      </w:r>
      <w:r w:rsidR="00AB214C">
        <w:rPr>
          <w:rFonts w:ascii="Arial" w:eastAsia="Calibri" w:hAnsi="Arial" w:cs="Arial"/>
          <w:sz w:val="24"/>
          <w:szCs w:val="24"/>
        </w:rPr>
        <w:t xml:space="preserve"> knowledge of insolvency</w:t>
      </w:r>
      <w:r w:rsidR="00A833F6">
        <w:rPr>
          <w:rFonts w:ascii="Arial" w:eastAsia="Calibri" w:hAnsi="Arial" w:cs="Arial"/>
          <w:sz w:val="24"/>
          <w:szCs w:val="24"/>
        </w:rPr>
        <w:t>.</w:t>
      </w:r>
      <w:r w:rsidR="004B5E45">
        <w:rPr>
          <w:rFonts w:ascii="Arial" w:eastAsia="Calibri" w:hAnsi="Arial" w:cs="Arial"/>
          <w:sz w:val="24"/>
          <w:szCs w:val="24"/>
        </w:rPr>
        <w:t xml:space="preserve"> There is no evidence that the borrowers have been liquidated or subjected to winding up proceedings at the time the loan was advanced. The Lender rejects the argument that it knew that the borrowers were insolvent at the time the loan was advanced The Referee found that at the time th</w:t>
      </w:r>
      <w:r w:rsidR="006B2F2C">
        <w:rPr>
          <w:rFonts w:ascii="Arial" w:eastAsia="Calibri" w:hAnsi="Arial" w:cs="Arial"/>
          <w:sz w:val="24"/>
          <w:szCs w:val="24"/>
        </w:rPr>
        <w:t xml:space="preserve">e </w:t>
      </w:r>
      <w:r w:rsidR="006B2F2C">
        <w:rPr>
          <w:rFonts w:ascii="Arial" w:eastAsia="Calibri" w:hAnsi="Arial" w:cs="Arial"/>
          <w:sz w:val="24"/>
          <w:szCs w:val="24"/>
        </w:rPr>
        <w:lastRenderedPageBreak/>
        <w:t>bunkers were supplied to the V</w:t>
      </w:r>
      <w:r w:rsidR="004B5E45">
        <w:rPr>
          <w:rFonts w:ascii="Arial" w:eastAsia="Calibri" w:hAnsi="Arial" w:cs="Arial"/>
          <w:sz w:val="24"/>
          <w:szCs w:val="24"/>
        </w:rPr>
        <w:t>essel in Lomé, the sea Pioneer was trading and the ‘Huascar’ and the Vessel had been sold for almost USD6.3 million. Upon delivery of the 2 vessels in Alang, USD4.5 million was to be repaid to the Lender, the balance of the loan was to be repaid by quarterly payments of USD250 000 and a final balloon payment of USD3 million from the purchase price for the 2 vessels approx. USD1.8 million was available to pay creditors other than the Lender. The Referee was therefore correct to come to the conclusion that the Lender was not aware of any insolvency on the part of the borrowers. Did the mortgagee have full knowledge of the nature and extent of the supplies that resulted in the claim for necessaries by Bunkernet</w:t>
      </w:r>
      <w:r w:rsidR="003912AA">
        <w:rPr>
          <w:rFonts w:ascii="Arial" w:eastAsia="Calibri" w:hAnsi="Arial" w:cs="Arial"/>
          <w:sz w:val="24"/>
          <w:szCs w:val="24"/>
        </w:rPr>
        <w:t xml:space="preserve">? In the ordinary course of </w:t>
      </w:r>
      <w:r w:rsidR="006B2F2C">
        <w:rPr>
          <w:rFonts w:ascii="Arial" w:eastAsia="Calibri" w:hAnsi="Arial" w:cs="Arial"/>
          <w:sz w:val="24"/>
          <w:szCs w:val="24"/>
        </w:rPr>
        <w:t xml:space="preserve">shipping </w:t>
      </w:r>
      <w:r w:rsidR="003912AA">
        <w:rPr>
          <w:rFonts w:ascii="Arial" w:eastAsia="Calibri" w:hAnsi="Arial" w:cs="Arial"/>
          <w:sz w:val="24"/>
          <w:szCs w:val="24"/>
        </w:rPr>
        <w:t xml:space="preserve">business, the Lender is not involved in the </w:t>
      </w:r>
      <w:r w:rsidR="006B2F2C">
        <w:rPr>
          <w:rFonts w:ascii="Arial" w:eastAsia="Calibri" w:hAnsi="Arial" w:cs="Arial"/>
          <w:sz w:val="24"/>
          <w:szCs w:val="24"/>
        </w:rPr>
        <w:t xml:space="preserve">day to day </w:t>
      </w:r>
      <w:r w:rsidR="003912AA">
        <w:rPr>
          <w:rFonts w:ascii="Arial" w:eastAsia="Calibri" w:hAnsi="Arial" w:cs="Arial"/>
          <w:sz w:val="24"/>
          <w:szCs w:val="24"/>
        </w:rPr>
        <w:t xml:space="preserve">management of the ship and to expect the Lender to have full knowledge in advance of operational costs to be incurred is not fair. The Referee was therefore correct to accept the argument that ‘at all material times the management and operation of the Vessel was attended to by the owner or it’s </w:t>
      </w:r>
      <w:r w:rsidR="006B2F2C">
        <w:rPr>
          <w:rFonts w:ascii="Arial" w:eastAsia="Calibri" w:hAnsi="Arial" w:cs="Arial"/>
          <w:sz w:val="24"/>
          <w:szCs w:val="24"/>
        </w:rPr>
        <w:t>agent and the Lenders was not aware in advance of the nature and extent of the necessary supplied to the Vessel</w:t>
      </w:r>
      <w:r w:rsidR="003912AA">
        <w:rPr>
          <w:rFonts w:ascii="Arial" w:eastAsia="Calibri" w:hAnsi="Arial" w:cs="Arial"/>
          <w:sz w:val="24"/>
          <w:szCs w:val="24"/>
        </w:rPr>
        <w:t>.</w:t>
      </w:r>
    </w:p>
    <w:p w:rsidR="00AB214C" w:rsidRDefault="00AB214C" w:rsidP="0013018B">
      <w:pPr>
        <w:spacing w:line="360" w:lineRule="auto"/>
        <w:rPr>
          <w:rFonts w:ascii="Arial" w:eastAsia="Calibri" w:hAnsi="Arial" w:cs="Arial"/>
          <w:sz w:val="24"/>
          <w:szCs w:val="24"/>
        </w:rPr>
      </w:pPr>
    </w:p>
    <w:p w:rsidR="0081304C" w:rsidRDefault="004A02EC" w:rsidP="0013018B">
      <w:pPr>
        <w:spacing w:line="360" w:lineRule="auto"/>
        <w:rPr>
          <w:rFonts w:ascii="Arial" w:eastAsia="Calibri" w:hAnsi="Arial" w:cs="Arial"/>
          <w:sz w:val="24"/>
          <w:szCs w:val="24"/>
        </w:rPr>
      </w:pPr>
      <w:r>
        <w:rPr>
          <w:rFonts w:ascii="Arial" w:eastAsia="Calibri" w:hAnsi="Arial" w:cs="Arial"/>
          <w:sz w:val="24"/>
          <w:szCs w:val="24"/>
        </w:rPr>
        <w:t>[4</w:t>
      </w:r>
      <w:r w:rsidR="00B70AD7">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6B2F2C">
        <w:rPr>
          <w:rFonts w:ascii="Arial" w:eastAsia="Calibri" w:hAnsi="Arial" w:cs="Arial"/>
          <w:sz w:val="24"/>
          <w:szCs w:val="24"/>
        </w:rPr>
        <w:t>Bunkernet argued that the supply of the bunkers and lubricants benefited the Lender (Mortgagee) and therefore its claim should rank above the mortgagee’s claim. Bunkernet argued that the supply of bunkers and lubricants to the vessel was effected in order for Tillman to deliver to NKD at Alang and when delivery was effected it would obtain payment of the loan and other charges due to the Lender. The supply of bunkers to the Vessel was to enable the Vessel to sail to Alang and upon arrival NKD would have paid the balance of the purchase price which would have been used to all the creditors, including Bunkernet. It is therefore not correct to argue that the supply of bunkers was only for the benefit of the Lender. There is also no evidence that the Lender directed the Vessel to Walvis Bay, but it was a decision of the Master because the Vessel had run out of fresh water. In the circumstances there is no merit in the argument of Bunkernet. The Referee was also correct to reject that argument.</w:t>
      </w:r>
    </w:p>
    <w:p w:rsidR="00AB214C" w:rsidRDefault="00AB214C" w:rsidP="0013018B">
      <w:pPr>
        <w:spacing w:line="360" w:lineRule="auto"/>
        <w:rPr>
          <w:rFonts w:ascii="Arial" w:eastAsia="Calibri" w:hAnsi="Arial" w:cs="Arial"/>
          <w:sz w:val="24"/>
          <w:szCs w:val="24"/>
        </w:rPr>
      </w:pPr>
    </w:p>
    <w:p w:rsidR="00EF739E" w:rsidRPr="002735AF" w:rsidRDefault="00EF739E" w:rsidP="00EF739E">
      <w:pPr>
        <w:spacing w:line="360" w:lineRule="auto"/>
        <w:rPr>
          <w:rFonts w:ascii="Arial" w:eastAsia="Calibri" w:hAnsi="Arial" w:cs="Arial"/>
          <w:sz w:val="24"/>
          <w:szCs w:val="24"/>
          <w:u w:val="single"/>
        </w:rPr>
      </w:pPr>
      <w:r w:rsidRPr="002735AF">
        <w:rPr>
          <w:rFonts w:ascii="Arial" w:eastAsia="Calibri" w:hAnsi="Arial" w:cs="Arial"/>
          <w:sz w:val="24"/>
          <w:szCs w:val="24"/>
          <w:u w:val="single"/>
        </w:rPr>
        <w:t>Referral to oral evidence</w:t>
      </w:r>
    </w:p>
    <w:p w:rsidR="00EF739E" w:rsidRDefault="00EF739E" w:rsidP="00EF739E">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4</w:t>
      </w:r>
      <w:r w:rsidR="00B70AD7">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DD2C12">
        <w:rPr>
          <w:rFonts w:ascii="Arial" w:eastAsia="Calibri" w:hAnsi="Arial" w:cs="Arial"/>
          <w:sz w:val="24"/>
          <w:szCs w:val="24"/>
        </w:rPr>
        <w:t>In the alternative</w:t>
      </w:r>
      <w:r w:rsidR="00580C24">
        <w:rPr>
          <w:rFonts w:ascii="Arial" w:eastAsia="Calibri" w:hAnsi="Arial" w:cs="Arial"/>
          <w:sz w:val="24"/>
          <w:szCs w:val="24"/>
        </w:rPr>
        <w:t>,</w:t>
      </w:r>
      <w:r w:rsidR="00DD2C12">
        <w:rPr>
          <w:rFonts w:ascii="Arial" w:eastAsia="Calibri" w:hAnsi="Arial" w:cs="Arial"/>
          <w:sz w:val="24"/>
          <w:szCs w:val="24"/>
        </w:rPr>
        <w:t xml:space="preserve"> </w:t>
      </w:r>
      <w:r>
        <w:rPr>
          <w:rFonts w:ascii="Arial" w:eastAsia="Calibri" w:hAnsi="Arial" w:cs="Arial"/>
          <w:sz w:val="24"/>
          <w:szCs w:val="24"/>
        </w:rPr>
        <w:t xml:space="preserve">Bunkernet argued that should a genuine dispute of fact arise or should this court conclude that serious doubt exists that the Lender’s claim should </w:t>
      </w:r>
      <w:r>
        <w:rPr>
          <w:rFonts w:ascii="Arial" w:eastAsia="Calibri" w:hAnsi="Arial" w:cs="Arial"/>
          <w:sz w:val="24"/>
          <w:szCs w:val="24"/>
        </w:rPr>
        <w:lastRenderedPageBreak/>
        <w:t>be ranked for payment ahead of Bunkernet’s claim, Bunkernet submits that this is a case where the issue of whether or not the equities are in favour of subordinating the Lender’s claim to that of Bunkernet should be referred to oral evidence after proper discovery of all document relevant to its claim, all documents relevant to the Lender’s knowledge of the financial circumstances of Tillman at the time the bunkers were supplied to the Vessel at Lomé, the Lender’s knowledge of the circumstances in which the bunkers and lubricants were supplied to the Vessel and the purpose for which the Vessel was diverted from Luanda to Walvis Bay.</w:t>
      </w:r>
    </w:p>
    <w:p w:rsidR="00EF739E" w:rsidRDefault="00EF739E" w:rsidP="00EF739E">
      <w:pPr>
        <w:spacing w:line="360" w:lineRule="auto"/>
        <w:rPr>
          <w:rFonts w:ascii="Arial" w:eastAsia="Calibri" w:hAnsi="Arial" w:cs="Arial"/>
          <w:sz w:val="24"/>
          <w:szCs w:val="24"/>
        </w:rPr>
      </w:pPr>
    </w:p>
    <w:p w:rsidR="00EF739E" w:rsidRDefault="00EF739E" w:rsidP="00EF739E">
      <w:pPr>
        <w:spacing w:line="360" w:lineRule="auto"/>
        <w:rPr>
          <w:rFonts w:ascii="Arial" w:eastAsia="Calibri" w:hAnsi="Arial" w:cs="Arial"/>
          <w:sz w:val="24"/>
          <w:szCs w:val="24"/>
        </w:rPr>
      </w:pPr>
      <w:r>
        <w:rPr>
          <w:rFonts w:ascii="Arial" w:eastAsia="Calibri" w:hAnsi="Arial" w:cs="Arial"/>
          <w:sz w:val="24"/>
          <w:szCs w:val="24"/>
        </w:rPr>
        <w:t>[</w:t>
      </w:r>
      <w:r w:rsidR="00B70AD7">
        <w:rPr>
          <w:rFonts w:ascii="Arial" w:eastAsia="Calibri" w:hAnsi="Arial" w:cs="Arial"/>
          <w:sz w:val="24"/>
          <w:szCs w:val="24"/>
        </w:rPr>
        <w:t>50</w:t>
      </w:r>
      <w:r>
        <w:rPr>
          <w:rFonts w:ascii="Arial" w:eastAsia="Calibri" w:hAnsi="Arial" w:cs="Arial"/>
          <w:sz w:val="24"/>
          <w:szCs w:val="24"/>
        </w:rPr>
        <w:t>]</w:t>
      </w:r>
      <w:r>
        <w:rPr>
          <w:rFonts w:ascii="Arial" w:eastAsia="Calibri" w:hAnsi="Arial" w:cs="Arial"/>
          <w:sz w:val="24"/>
          <w:szCs w:val="24"/>
        </w:rPr>
        <w:tab/>
      </w:r>
      <w:r w:rsidR="00DD2C12">
        <w:rPr>
          <w:rFonts w:ascii="Arial" w:eastAsia="Calibri" w:hAnsi="Arial" w:cs="Arial"/>
          <w:sz w:val="24"/>
          <w:szCs w:val="24"/>
        </w:rPr>
        <w:t>C</w:t>
      </w:r>
      <w:r>
        <w:rPr>
          <w:rFonts w:ascii="Arial" w:eastAsia="Calibri" w:hAnsi="Arial" w:cs="Arial"/>
          <w:sz w:val="24"/>
          <w:szCs w:val="24"/>
        </w:rPr>
        <w:t xml:space="preserve">ounsel </w:t>
      </w:r>
      <w:r w:rsidR="00DD2C12">
        <w:rPr>
          <w:rFonts w:ascii="Arial" w:eastAsia="Calibri" w:hAnsi="Arial" w:cs="Arial"/>
          <w:sz w:val="24"/>
          <w:szCs w:val="24"/>
        </w:rPr>
        <w:t xml:space="preserve">for the applicant </w:t>
      </w:r>
      <w:r>
        <w:rPr>
          <w:rFonts w:ascii="Arial" w:eastAsia="Calibri" w:hAnsi="Arial" w:cs="Arial"/>
          <w:sz w:val="24"/>
          <w:szCs w:val="24"/>
        </w:rPr>
        <w:t xml:space="preserve">argued that there is no genuine or material dispute of fact. </w:t>
      </w:r>
      <w:r w:rsidR="00DD2C12">
        <w:rPr>
          <w:rFonts w:ascii="Arial" w:eastAsia="Calibri" w:hAnsi="Arial" w:cs="Arial"/>
          <w:sz w:val="24"/>
          <w:szCs w:val="24"/>
        </w:rPr>
        <w:t>‘</w:t>
      </w:r>
      <w:r>
        <w:rPr>
          <w:rFonts w:ascii="Arial" w:eastAsia="Calibri" w:hAnsi="Arial" w:cs="Arial"/>
          <w:sz w:val="24"/>
          <w:szCs w:val="24"/>
        </w:rPr>
        <w:t>No objective facts are set out to justify any dispute of the fact or the existence of serious doubts. In regard to the claim of the lender and its ranking furthermore counsel argued that oral evidence will ordinarily only be permitted where such evidence may disturb the probabilities. The version of the lender in regard to these issues is already available to the court on oath and there is no reason to doubt the veracity thereof and the inherent probabilities flowing therefrom will not be disturbed by way of oral evidence.</w:t>
      </w:r>
      <w:r w:rsidR="00DD2C12">
        <w:rPr>
          <w:rFonts w:ascii="Arial" w:eastAsia="Calibri" w:hAnsi="Arial" w:cs="Arial"/>
          <w:sz w:val="24"/>
          <w:szCs w:val="24"/>
        </w:rPr>
        <w:t>’</w:t>
      </w:r>
    </w:p>
    <w:p w:rsidR="00823A7A" w:rsidRDefault="00823A7A" w:rsidP="00EF739E">
      <w:pPr>
        <w:spacing w:line="360" w:lineRule="auto"/>
        <w:rPr>
          <w:rFonts w:ascii="Arial" w:eastAsia="Calibri" w:hAnsi="Arial" w:cs="Arial"/>
          <w:sz w:val="24"/>
          <w:szCs w:val="24"/>
        </w:rPr>
      </w:pPr>
    </w:p>
    <w:p w:rsidR="00EF739E" w:rsidRPr="001C0403" w:rsidRDefault="00B70AD7" w:rsidP="00EF739E">
      <w:pPr>
        <w:spacing w:line="360" w:lineRule="auto"/>
        <w:rPr>
          <w:rFonts w:ascii="Arial" w:eastAsia="Calibri" w:hAnsi="Arial" w:cs="Arial"/>
          <w:sz w:val="24"/>
          <w:szCs w:val="24"/>
          <w:u w:val="single"/>
        </w:rPr>
      </w:pPr>
      <w:r>
        <w:rPr>
          <w:rFonts w:ascii="Arial" w:eastAsia="Calibri" w:hAnsi="Arial" w:cs="Arial"/>
          <w:sz w:val="24"/>
          <w:szCs w:val="24"/>
        </w:rPr>
        <w:t>[51</w:t>
      </w:r>
      <w:r w:rsidR="00CA6E93">
        <w:rPr>
          <w:rFonts w:ascii="Arial" w:eastAsia="Calibri" w:hAnsi="Arial" w:cs="Arial"/>
          <w:sz w:val="24"/>
          <w:szCs w:val="24"/>
        </w:rPr>
        <w:t>]</w:t>
      </w:r>
      <w:r w:rsidR="00CA6E93">
        <w:rPr>
          <w:rFonts w:ascii="Arial" w:eastAsia="Calibri" w:hAnsi="Arial" w:cs="Arial"/>
          <w:sz w:val="24"/>
          <w:szCs w:val="24"/>
        </w:rPr>
        <w:tab/>
      </w:r>
      <w:r w:rsidR="00EF739E" w:rsidRPr="001C0403">
        <w:rPr>
          <w:rFonts w:ascii="Arial" w:eastAsia="Calibri" w:hAnsi="Arial" w:cs="Arial"/>
          <w:sz w:val="24"/>
          <w:szCs w:val="24"/>
          <w:u w:val="single"/>
        </w:rPr>
        <w:t>Rule 67(1) provides:</w:t>
      </w:r>
    </w:p>
    <w:p w:rsidR="00EF739E" w:rsidRPr="00357B27" w:rsidRDefault="00CA6E93" w:rsidP="00EF739E">
      <w:pPr>
        <w:spacing w:line="360" w:lineRule="auto"/>
        <w:rPr>
          <w:rFonts w:ascii="Arial" w:eastAsia="Calibri" w:hAnsi="Arial" w:cs="Arial"/>
        </w:rPr>
      </w:pPr>
      <w:r>
        <w:rPr>
          <w:rFonts w:ascii="Arial" w:eastAsia="Calibri" w:hAnsi="Arial" w:cs="Arial"/>
          <w:i/>
          <w:sz w:val="24"/>
          <w:szCs w:val="24"/>
        </w:rPr>
        <w:t>‘</w:t>
      </w:r>
      <w:r w:rsidR="00EF739E" w:rsidRPr="00357B27">
        <w:rPr>
          <w:rFonts w:ascii="Arial" w:eastAsia="Calibri" w:hAnsi="Arial" w:cs="Arial"/>
        </w:rPr>
        <w:t>Where an application cannot properly be decided on the affidavits the court may dismiss the application or make any order the court considers suitable or proper with the view to ensuring a just and expeditious decision and in particular, but without affecting the generality of the foregoing, it may –</w:t>
      </w:r>
    </w:p>
    <w:p w:rsidR="00EF739E" w:rsidRPr="00357B27" w:rsidRDefault="00EF739E" w:rsidP="00CA6E93">
      <w:pPr>
        <w:spacing w:line="360" w:lineRule="auto"/>
        <w:ind w:left="720" w:hanging="720"/>
        <w:rPr>
          <w:rFonts w:ascii="Arial" w:eastAsia="Calibri" w:hAnsi="Arial" w:cs="Arial"/>
        </w:rPr>
      </w:pPr>
      <w:r w:rsidRPr="00357B27">
        <w:rPr>
          <w:rFonts w:ascii="Arial" w:eastAsia="Calibri" w:hAnsi="Arial" w:cs="Arial"/>
        </w:rPr>
        <w:t>(a)</w:t>
      </w:r>
      <w:r w:rsidRPr="00357B27">
        <w:rPr>
          <w:rFonts w:ascii="Arial" w:eastAsia="Calibri" w:hAnsi="Arial" w:cs="Arial"/>
        </w:rPr>
        <w:tab/>
        <w:t>direct that oral evidence be heard on specified issues with a view to resolving any dispute of fact and to that end may order any deponent to appear personally or grant leave for him or her or any other person to be subpoenaed to appear be examined and cross-examined as a witness; or</w:t>
      </w:r>
    </w:p>
    <w:p w:rsidR="00EF739E" w:rsidRPr="00580C24" w:rsidRDefault="00EF739E" w:rsidP="00CA6E93">
      <w:pPr>
        <w:spacing w:line="360" w:lineRule="auto"/>
        <w:ind w:left="720" w:hanging="720"/>
        <w:rPr>
          <w:rFonts w:ascii="Arial" w:eastAsia="Calibri" w:hAnsi="Arial" w:cs="Arial"/>
          <w:i/>
          <w:sz w:val="24"/>
          <w:szCs w:val="24"/>
        </w:rPr>
      </w:pPr>
      <w:r w:rsidRPr="00357B27">
        <w:rPr>
          <w:rFonts w:ascii="Arial" w:eastAsia="Calibri" w:hAnsi="Arial" w:cs="Arial"/>
        </w:rPr>
        <w:t>(b)</w:t>
      </w:r>
      <w:r w:rsidRPr="00357B27">
        <w:rPr>
          <w:rFonts w:ascii="Arial" w:eastAsia="Calibri" w:hAnsi="Arial" w:cs="Arial"/>
        </w:rPr>
        <w:tab/>
        <w:t>refer the matter to trial with appropriate directions as to pleadings, definition of issues or any other relevant matter.</w:t>
      </w:r>
      <w:r w:rsidR="00CA6E93">
        <w:rPr>
          <w:rFonts w:ascii="Arial" w:eastAsia="Calibri" w:hAnsi="Arial" w:cs="Arial"/>
          <w:i/>
          <w:sz w:val="24"/>
          <w:szCs w:val="24"/>
        </w:rPr>
        <w:t>’</w:t>
      </w:r>
    </w:p>
    <w:p w:rsidR="00EF739E" w:rsidRDefault="00EF739E" w:rsidP="00EF739E">
      <w:pPr>
        <w:spacing w:line="360" w:lineRule="auto"/>
        <w:rPr>
          <w:rFonts w:ascii="Arial" w:eastAsia="Calibri" w:hAnsi="Arial" w:cs="Arial"/>
          <w:sz w:val="24"/>
          <w:szCs w:val="24"/>
        </w:rPr>
      </w:pPr>
    </w:p>
    <w:p w:rsidR="00865D89" w:rsidRDefault="00EF739E" w:rsidP="00865D89">
      <w:pPr>
        <w:spacing w:line="360" w:lineRule="auto"/>
        <w:rPr>
          <w:rFonts w:ascii="Arial" w:eastAsia="Calibri" w:hAnsi="Arial" w:cs="Arial"/>
          <w:sz w:val="24"/>
          <w:szCs w:val="24"/>
        </w:rPr>
      </w:pPr>
      <w:r>
        <w:rPr>
          <w:rFonts w:ascii="Arial" w:eastAsia="Calibri" w:hAnsi="Arial" w:cs="Arial"/>
          <w:sz w:val="24"/>
          <w:szCs w:val="24"/>
        </w:rPr>
        <w:t>[</w:t>
      </w:r>
      <w:r w:rsidR="00B70AD7">
        <w:rPr>
          <w:rFonts w:ascii="Arial" w:eastAsia="Calibri" w:hAnsi="Arial" w:cs="Arial"/>
          <w:sz w:val="24"/>
          <w:szCs w:val="24"/>
        </w:rPr>
        <w:t>52</w:t>
      </w:r>
      <w:r>
        <w:rPr>
          <w:rFonts w:ascii="Arial" w:eastAsia="Calibri" w:hAnsi="Arial" w:cs="Arial"/>
          <w:sz w:val="24"/>
          <w:szCs w:val="24"/>
        </w:rPr>
        <w:t>]</w:t>
      </w:r>
      <w:r>
        <w:rPr>
          <w:rFonts w:ascii="Arial" w:eastAsia="Calibri" w:hAnsi="Arial" w:cs="Arial"/>
          <w:sz w:val="24"/>
          <w:szCs w:val="24"/>
        </w:rPr>
        <w:tab/>
        <w:t>The applicant submitted that there is no need to refer the matter to oral evidence as there is no genuine dispute of fact. The evidence is before court under oath</w:t>
      </w:r>
      <w:r w:rsidR="00865D89">
        <w:rPr>
          <w:rFonts w:ascii="Arial" w:eastAsia="Calibri" w:hAnsi="Arial" w:cs="Arial"/>
          <w:sz w:val="24"/>
          <w:szCs w:val="24"/>
        </w:rPr>
        <w:t xml:space="preserve"> and no genuine dispute of fact</w:t>
      </w:r>
      <w:r>
        <w:rPr>
          <w:rFonts w:ascii="Arial" w:eastAsia="Calibri" w:hAnsi="Arial" w:cs="Arial"/>
          <w:sz w:val="24"/>
          <w:szCs w:val="24"/>
        </w:rPr>
        <w:t xml:space="preserve"> exist.</w:t>
      </w:r>
      <w:r w:rsidR="00865D89">
        <w:rPr>
          <w:rFonts w:ascii="Arial" w:eastAsia="Calibri" w:hAnsi="Arial" w:cs="Arial"/>
          <w:sz w:val="24"/>
          <w:szCs w:val="24"/>
        </w:rPr>
        <w:t xml:space="preserve"> In addition, Bunkernet did not file a replying affidavit in the counter application and in the absence of that, the allegations of Mr. Cunningham </w:t>
      </w:r>
      <w:r w:rsidR="00865D89">
        <w:rPr>
          <w:rFonts w:ascii="Arial" w:eastAsia="Calibri" w:hAnsi="Arial" w:cs="Arial"/>
          <w:sz w:val="24"/>
          <w:szCs w:val="24"/>
        </w:rPr>
        <w:lastRenderedPageBreak/>
        <w:t xml:space="preserve">in the answering affidavit are undisputed. The allegations cannot be ignored, as counsel for the </w:t>
      </w:r>
      <w:r w:rsidR="002E420B">
        <w:rPr>
          <w:rFonts w:ascii="Arial" w:eastAsia="Calibri" w:hAnsi="Arial" w:cs="Arial"/>
          <w:sz w:val="24"/>
          <w:szCs w:val="24"/>
        </w:rPr>
        <w:t>Lender</w:t>
      </w:r>
      <w:r w:rsidR="00865D89">
        <w:rPr>
          <w:rFonts w:ascii="Arial" w:eastAsia="Calibri" w:hAnsi="Arial" w:cs="Arial"/>
          <w:sz w:val="24"/>
          <w:szCs w:val="24"/>
        </w:rPr>
        <w:t xml:space="preserve"> put it, but must be accepted. If Bunkernet elected not to file a relying affidavit then it must suffer the consequences. </w:t>
      </w:r>
    </w:p>
    <w:p w:rsidR="00865D89" w:rsidRDefault="00865D89" w:rsidP="00865D89">
      <w:pPr>
        <w:spacing w:line="360" w:lineRule="auto"/>
        <w:rPr>
          <w:rFonts w:ascii="Arial" w:eastAsia="Calibri" w:hAnsi="Arial" w:cs="Arial"/>
          <w:sz w:val="24"/>
          <w:szCs w:val="24"/>
        </w:rPr>
      </w:pPr>
    </w:p>
    <w:p w:rsidR="00EF739E" w:rsidRDefault="00EF739E" w:rsidP="00EF739E">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5</w:t>
      </w:r>
      <w:r w:rsidR="00B70AD7">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I agree with the submissions </w:t>
      </w:r>
      <w:r w:rsidR="00F176F5">
        <w:rPr>
          <w:rFonts w:ascii="Arial" w:eastAsia="Calibri" w:hAnsi="Arial" w:cs="Arial"/>
          <w:sz w:val="24"/>
          <w:szCs w:val="24"/>
        </w:rPr>
        <w:t>made by the Lender</w:t>
      </w:r>
      <w:r>
        <w:rPr>
          <w:rFonts w:ascii="Arial" w:eastAsia="Calibri" w:hAnsi="Arial" w:cs="Arial"/>
          <w:sz w:val="24"/>
          <w:szCs w:val="24"/>
        </w:rPr>
        <w:t xml:space="preserve"> that there is no dispute of fact on the affidavits</w:t>
      </w:r>
      <w:r w:rsidR="00991BDC">
        <w:rPr>
          <w:rFonts w:ascii="Arial" w:eastAsia="Calibri" w:hAnsi="Arial" w:cs="Arial"/>
          <w:sz w:val="24"/>
          <w:szCs w:val="24"/>
        </w:rPr>
        <w:t xml:space="preserve"> submitted before me. The issues </w:t>
      </w:r>
      <w:r>
        <w:rPr>
          <w:rFonts w:ascii="Arial" w:eastAsia="Calibri" w:hAnsi="Arial" w:cs="Arial"/>
          <w:sz w:val="24"/>
          <w:szCs w:val="24"/>
        </w:rPr>
        <w:t xml:space="preserve">of </w:t>
      </w:r>
      <w:r w:rsidR="00991BDC">
        <w:rPr>
          <w:rFonts w:ascii="Arial" w:eastAsia="Calibri" w:hAnsi="Arial" w:cs="Arial"/>
          <w:sz w:val="24"/>
          <w:szCs w:val="24"/>
        </w:rPr>
        <w:t>why Bunkernet wants its claim to rank above</w:t>
      </w:r>
      <w:r>
        <w:rPr>
          <w:rFonts w:ascii="Arial" w:eastAsia="Calibri" w:hAnsi="Arial" w:cs="Arial"/>
          <w:sz w:val="24"/>
          <w:szCs w:val="24"/>
        </w:rPr>
        <w:t xml:space="preserve"> the Lender</w:t>
      </w:r>
      <w:r w:rsidR="00991BDC">
        <w:rPr>
          <w:rFonts w:ascii="Arial" w:eastAsia="Calibri" w:hAnsi="Arial" w:cs="Arial"/>
          <w:sz w:val="24"/>
          <w:szCs w:val="24"/>
        </w:rPr>
        <w:t>’s claim</w:t>
      </w:r>
      <w:r>
        <w:rPr>
          <w:rFonts w:ascii="Arial" w:eastAsia="Calibri" w:hAnsi="Arial" w:cs="Arial"/>
          <w:sz w:val="24"/>
          <w:szCs w:val="24"/>
        </w:rPr>
        <w:t xml:space="preserve"> </w:t>
      </w:r>
      <w:r w:rsidR="00991BDC">
        <w:rPr>
          <w:rFonts w:ascii="Arial" w:eastAsia="Calibri" w:hAnsi="Arial" w:cs="Arial"/>
          <w:sz w:val="24"/>
          <w:szCs w:val="24"/>
        </w:rPr>
        <w:t xml:space="preserve">are </w:t>
      </w:r>
      <w:r>
        <w:rPr>
          <w:rFonts w:ascii="Arial" w:eastAsia="Calibri" w:hAnsi="Arial" w:cs="Arial"/>
          <w:sz w:val="24"/>
          <w:szCs w:val="24"/>
        </w:rPr>
        <w:t>set out in detail on the papers</w:t>
      </w:r>
      <w:r w:rsidR="00991BDC">
        <w:rPr>
          <w:rFonts w:ascii="Arial" w:eastAsia="Calibri" w:hAnsi="Arial" w:cs="Arial"/>
          <w:sz w:val="24"/>
          <w:szCs w:val="24"/>
        </w:rPr>
        <w:t>.</w:t>
      </w:r>
    </w:p>
    <w:p w:rsidR="00EF739E" w:rsidRDefault="00EF739E" w:rsidP="00EF739E">
      <w:pPr>
        <w:spacing w:line="360" w:lineRule="auto"/>
        <w:rPr>
          <w:rFonts w:ascii="Arial" w:eastAsia="Calibri" w:hAnsi="Arial" w:cs="Arial"/>
          <w:sz w:val="24"/>
          <w:szCs w:val="24"/>
        </w:rPr>
      </w:pPr>
    </w:p>
    <w:p w:rsidR="00EF739E" w:rsidRDefault="00EF739E" w:rsidP="00EF739E">
      <w:pPr>
        <w:spacing w:line="360" w:lineRule="auto"/>
        <w:rPr>
          <w:rFonts w:ascii="Arial" w:eastAsia="Calibri" w:hAnsi="Arial" w:cs="Arial"/>
          <w:sz w:val="24"/>
          <w:szCs w:val="24"/>
        </w:rPr>
      </w:pPr>
      <w:r>
        <w:rPr>
          <w:rFonts w:ascii="Arial" w:eastAsia="Calibri" w:hAnsi="Arial" w:cs="Arial"/>
          <w:sz w:val="24"/>
          <w:szCs w:val="24"/>
        </w:rPr>
        <w:t>[</w:t>
      </w:r>
      <w:r w:rsidR="00B70AD7">
        <w:rPr>
          <w:rFonts w:ascii="Arial" w:eastAsia="Calibri" w:hAnsi="Arial" w:cs="Arial"/>
          <w:sz w:val="24"/>
          <w:szCs w:val="24"/>
        </w:rPr>
        <w:t>54</w:t>
      </w:r>
      <w:r>
        <w:rPr>
          <w:rFonts w:ascii="Arial" w:eastAsia="Calibri" w:hAnsi="Arial" w:cs="Arial"/>
          <w:sz w:val="24"/>
          <w:szCs w:val="24"/>
        </w:rPr>
        <w:t>]</w:t>
      </w:r>
      <w:r>
        <w:rPr>
          <w:rFonts w:ascii="Arial" w:eastAsia="Calibri" w:hAnsi="Arial" w:cs="Arial"/>
          <w:sz w:val="24"/>
          <w:szCs w:val="24"/>
        </w:rPr>
        <w:tab/>
        <w:t xml:space="preserve">In </w:t>
      </w:r>
      <w:r w:rsidRPr="003B47FE">
        <w:rPr>
          <w:rFonts w:ascii="Arial" w:eastAsia="Calibri" w:hAnsi="Arial" w:cs="Arial"/>
          <w:i/>
          <w:sz w:val="24"/>
          <w:szCs w:val="24"/>
        </w:rPr>
        <w:t>CF Kalilo v Decotes</w:t>
      </w:r>
      <w:r>
        <w:rPr>
          <w:rFonts w:ascii="Arial" w:eastAsia="Calibri" w:hAnsi="Arial" w:cs="Arial"/>
          <w:sz w:val="24"/>
          <w:szCs w:val="24"/>
        </w:rPr>
        <w:t xml:space="preserve"> (Pty) Ltd and another</w:t>
      </w:r>
      <w:r>
        <w:rPr>
          <w:rStyle w:val="FootnoteReference"/>
          <w:rFonts w:ascii="Arial" w:eastAsia="Calibri" w:hAnsi="Arial" w:cs="Arial"/>
          <w:sz w:val="24"/>
          <w:szCs w:val="24"/>
        </w:rPr>
        <w:footnoteReference w:id="7"/>
      </w:r>
      <w:r>
        <w:rPr>
          <w:rFonts w:ascii="Arial" w:eastAsia="Calibri" w:hAnsi="Arial" w:cs="Arial"/>
          <w:sz w:val="24"/>
          <w:szCs w:val="24"/>
        </w:rPr>
        <w:t xml:space="preserve"> </w:t>
      </w:r>
      <w:r w:rsidR="00F176F5">
        <w:rPr>
          <w:rFonts w:ascii="Arial" w:eastAsia="Calibri" w:hAnsi="Arial" w:cs="Arial"/>
          <w:sz w:val="24"/>
          <w:szCs w:val="24"/>
        </w:rPr>
        <w:t>i</w:t>
      </w:r>
      <w:r w:rsidR="00EB3797">
        <w:rPr>
          <w:rFonts w:ascii="Arial" w:eastAsia="Calibri" w:hAnsi="Arial" w:cs="Arial"/>
          <w:sz w:val="24"/>
          <w:szCs w:val="24"/>
        </w:rPr>
        <w:t xml:space="preserve">t was said that </w:t>
      </w:r>
      <w:r>
        <w:rPr>
          <w:rFonts w:ascii="Arial" w:eastAsia="Calibri" w:hAnsi="Arial" w:cs="Arial"/>
          <w:sz w:val="24"/>
          <w:szCs w:val="24"/>
        </w:rPr>
        <w:t>oral evidence will ordinarily only be permitted where such evidence may disturb the probability.</w:t>
      </w:r>
    </w:p>
    <w:p w:rsidR="00EF739E" w:rsidRDefault="00EF739E" w:rsidP="0013018B">
      <w:pPr>
        <w:spacing w:line="360" w:lineRule="auto"/>
        <w:rPr>
          <w:rFonts w:ascii="Arial" w:eastAsia="Calibri" w:hAnsi="Arial" w:cs="Arial"/>
          <w:sz w:val="24"/>
          <w:szCs w:val="24"/>
        </w:rPr>
      </w:pPr>
    </w:p>
    <w:p w:rsidR="000B7AF7" w:rsidRDefault="006238A4"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5</w:t>
      </w:r>
      <w:r w:rsidR="00B70AD7">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991BDC">
        <w:rPr>
          <w:rFonts w:ascii="Arial" w:eastAsia="Calibri" w:hAnsi="Arial" w:cs="Arial"/>
          <w:sz w:val="24"/>
          <w:szCs w:val="24"/>
        </w:rPr>
        <w:t xml:space="preserve">Rule 67(1)(a) </w:t>
      </w:r>
      <w:r w:rsidR="00710B9B">
        <w:rPr>
          <w:rFonts w:ascii="Arial" w:eastAsia="Calibri" w:hAnsi="Arial" w:cs="Arial"/>
          <w:sz w:val="24"/>
          <w:szCs w:val="24"/>
        </w:rPr>
        <w:t>of the rules</w:t>
      </w:r>
      <w:r w:rsidR="006D5BC8">
        <w:rPr>
          <w:rFonts w:ascii="Arial" w:eastAsia="Calibri" w:hAnsi="Arial" w:cs="Arial"/>
          <w:sz w:val="24"/>
          <w:szCs w:val="24"/>
        </w:rPr>
        <w:t xml:space="preserve"> of court, </w:t>
      </w:r>
      <w:r w:rsidR="000B7AF7">
        <w:rPr>
          <w:rFonts w:ascii="Arial" w:eastAsia="Calibri" w:hAnsi="Arial" w:cs="Arial"/>
          <w:sz w:val="24"/>
          <w:szCs w:val="24"/>
        </w:rPr>
        <w:t>permits referral to or</w:t>
      </w:r>
      <w:r w:rsidR="0038302C">
        <w:rPr>
          <w:rFonts w:ascii="Arial" w:eastAsia="Calibri" w:hAnsi="Arial" w:cs="Arial"/>
          <w:sz w:val="24"/>
          <w:szCs w:val="24"/>
        </w:rPr>
        <w:t xml:space="preserve">al evidence on </w:t>
      </w:r>
      <w:r w:rsidR="0038302C" w:rsidRPr="007308FA">
        <w:rPr>
          <w:rFonts w:ascii="Arial" w:eastAsia="Calibri" w:hAnsi="Arial" w:cs="Arial"/>
          <w:sz w:val="24"/>
          <w:szCs w:val="24"/>
          <w:u w:val="single"/>
        </w:rPr>
        <w:t>specified issues</w:t>
      </w:r>
      <w:r w:rsidR="0038302C">
        <w:rPr>
          <w:rFonts w:ascii="Arial" w:eastAsia="Calibri" w:hAnsi="Arial" w:cs="Arial"/>
          <w:sz w:val="24"/>
          <w:szCs w:val="24"/>
        </w:rPr>
        <w:t xml:space="preserve"> whilst</w:t>
      </w:r>
      <w:r w:rsidR="000B7AF7">
        <w:rPr>
          <w:rFonts w:ascii="Arial" w:eastAsia="Calibri" w:hAnsi="Arial" w:cs="Arial"/>
          <w:sz w:val="24"/>
          <w:szCs w:val="24"/>
        </w:rPr>
        <w:t xml:space="preserve"> Bunkernet</w:t>
      </w:r>
      <w:r w:rsidR="00BB6CBE">
        <w:rPr>
          <w:rFonts w:ascii="Arial" w:eastAsia="Calibri" w:hAnsi="Arial" w:cs="Arial"/>
          <w:sz w:val="24"/>
          <w:szCs w:val="24"/>
        </w:rPr>
        <w:t>,</w:t>
      </w:r>
      <w:r w:rsidR="000B7AF7">
        <w:rPr>
          <w:rFonts w:ascii="Arial" w:eastAsia="Calibri" w:hAnsi="Arial" w:cs="Arial"/>
          <w:sz w:val="24"/>
          <w:szCs w:val="24"/>
        </w:rPr>
        <w:t xml:space="preserve"> in their papers </w:t>
      </w:r>
      <w:r w:rsidR="0038302C">
        <w:rPr>
          <w:rFonts w:ascii="Arial" w:eastAsia="Calibri" w:hAnsi="Arial" w:cs="Arial"/>
          <w:sz w:val="24"/>
          <w:szCs w:val="24"/>
        </w:rPr>
        <w:t xml:space="preserve">in para 4.1.4 </w:t>
      </w:r>
      <w:r w:rsidR="00BB6CBE">
        <w:rPr>
          <w:rFonts w:ascii="Arial" w:eastAsia="Calibri" w:hAnsi="Arial" w:cs="Arial"/>
          <w:sz w:val="24"/>
          <w:szCs w:val="24"/>
        </w:rPr>
        <w:t xml:space="preserve">of the relief, </w:t>
      </w:r>
      <w:r w:rsidR="000B7AF7">
        <w:rPr>
          <w:rFonts w:ascii="Arial" w:eastAsia="Calibri" w:hAnsi="Arial" w:cs="Arial"/>
          <w:sz w:val="24"/>
          <w:szCs w:val="24"/>
        </w:rPr>
        <w:t xml:space="preserve">are asking </w:t>
      </w:r>
      <w:r w:rsidR="0038302C">
        <w:rPr>
          <w:rFonts w:ascii="Arial" w:eastAsia="Calibri" w:hAnsi="Arial" w:cs="Arial"/>
          <w:sz w:val="24"/>
          <w:szCs w:val="24"/>
        </w:rPr>
        <w:t>for</w:t>
      </w:r>
      <w:r w:rsidR="00865D89">
        <w:rPr>
          <w:rFonts w:ascii="Arial" w:eastAsia="Calibri" w:hAnsi="Arial" w:cs="Arial"/>
          <w:sz w:val="24"/>
          <w:szCs w:val="24"/>
        </w:rPr>
        <w:t xml:space="preserve"> </w:t>
      </w:r>
      <w:r w:rsidR="000B7AF7">
        <w:rPr>
          <w:rFonts w:ascii="Arial" w:eastAsia="Calibri" w:hAnsi="Arial" w:cs="Arial"/>
          <w:sz w:val="24"/>
          <w:szCs w:val="24"/>
        </w:rPr>
        <w:t xml:space="preserve">all other issues relevant to the </w:t>
      </w:r>
      <w:r w:rsidR="00487C30">
        <w:rPr>
          <w:rFonts w:ascii="Arial" w:eastAsia="Calibri" w:hAnsi="Arial" w:cs="Arial"/>
          <w:sz w:val="24"/>
          <w:szCs w:val="24"/>
        </w:rPr>
        <w:t>equities</w:t>
      </w:r>
      <w:r w:rsidR="000B7AF7">
        <w:rPr>
          <w:rFonts w:ascii="Arial" w:eastAsia="Calibri" w:hAnsi="Arial" w:cs="Arial"/>
          <w:sz w:val="24"/>
          <w:szCs w:val="24"/>
        </w:rPr>
        <w:t xml:space="preserve"> of subordinating the Lender’s claim to that of Bunkernet</w:t>
      </w:r>
      <w:r w:rsidR="00865D89">
        <w:rPr>
          <w:rFonts w:ascii="Arial" w:eastAsia="Calibri" w:hAnsi="Arial" w:cs="Arial"/>
          <w:sz w:val="24"/>
          <w:szCs w:val="24"/>
        </w:rPr>
        <w:t xml:space="preserve"> to be referred to oral evidence</w:t>
      </w:r>
      <w:r w:rsidR="000B7AF7">
        <w:rPr>
          <w:rFonts w:ascii="Arial" w:eastAsia="Calibri" w:hAnsi="Arial" w:cs="Arial"/>
          <w:sz w:val="24"/>
          <w:szCs w:val="24"/>
        </w:rPr>
        <w:t xml:space="preserve">. It appears that is not permissible under the Rule and that is also another reason why the court is not inclined to </w:t>
      </w:r>
      <w:r w:rsidR="009E59DA">
        <w:rPr>
          <w:rFonts w:ascii="Arial" w:eastAsia="Calibri" w:hAnsi="Arial" w:cs="Arial"/>
          <w:sz w:val="24"/>
          <w:szCs w:val="24"/>
        </w:rPr>
        <w:t xml:space="preserve">refer the matter to oral evidence. </w:t>
      </w:r>
      <w:r w:rsidR="00697C60">
        <w:rPr>
          <w:rFonts w:ascii="Arial" w:eastAsia="Calibri" w:hAnsi="Arial" w:cs="Arial"/>
          <w:sz w:val="24"/>
          <w:szCs w:val="24"/>
        </w:rPr>
        <w:t>There is in my view no genuine dispute of fact to warrant referral to oral evidence.</w:t>
      </w:r>
    </w:p>
    <w:p w:rsidR="004A512C" w:rsidRDefault="004A512C" w:rsidP="0013018B">
      <w:pPr>
        <w:spacing w:line="360" w:lineRule="auto"/>
        <w:rPr>
          <w:rFonts w:ascii="Arial" w:eastAsia="Calibri" w:hAnsi="Arial" w:cs="Arial"/>
          <w:sz w:val="24"/>
          <w:szCs w:val="24"/>
        </w:rPr>
      </w:pPr>
    </w:p>
    <w:p w:rsidR="006238A4" w:rsidRPr="00E44DA4" w:rsidRDefault="006238A4" w:rsidP="0013018B">
      <w:pPr>
        <w:spacing w:line="360" w:lineRule="auto"/>
        <w:rPr>
          <w:rFonts w:ascii="Arial" w:eastAsia="Calibri" w:hAnsi="Arial" w:cs="Arial"/>
          <w:b/>
          <w:sz w:val="24"/>
          <w:szCs w:val="24"/>
          <w:u w:val="single"/>
        </w:rPr>
      </w:pPr>
      <w:r w:rsidRPr="00E44DA4">
        <w:rPr>
          <w:rFonts w:ascii="Arial" w:eastAsia="Calibri" w:hAnsi="Arial" w:cs="Arial"/>
          <w:b/>
          <w:sz w:val="24"/>
          <w:szCs w:val="24"/>
          <w:u w:val="single"/>
        </w:rPr>
        <w:t>Striking out application</w:t>
      </w:r>
    </w:p>
    <w:p w:rsidR="0045417D" w:rsidRDefault="006238A4" w:rsidP="0013018B">
      <w:pPr>
        <w:spacing w:line="360" w:lineRule="auto"/>
        <w:rPr>
          <w:rFonts w:ascii="Arial" w:eastAsia="Calibri" w:hAnsi="Arial" w:cs="Arial"/>
          <w:sz w:val="24"/>
          <w:szCs w:val="24"/>
        </w:rPr>
      </w:pPr>
      <w:r>
        <w:rPr>
          <w:rFonts w:ascii="Arial" w:eastAsia="Calibri" w:hAnsi="Arial" w:cs="Arial"/>
          <w:sz w:val="24"/>
          <w:szCs w:val="24"/>
        </w:rPr>
        <w:t>[</w:t>
      </w:r>
      <w:r w:rsidR="004A02EC">
        <w:rPr>
          <w:rFonts w:ascii="Arial" w:eastAsia="Calibri" w:hAnsi="Arial" w:cs="Arial"/>
          <w:sz w:val="24"/>
          <w:szCs w:val="24"/>
        </w:rPr>
        <w:t>5</w:t>
      </w:r>
      <w:r w:rsidR="00B70AD7">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Bunkernet filed a notice in terms of Rule 17(4) seeking to strike out paragraphs 37 – 45 of the replying affidavit of Mr. C. Cunningham on the grounds that the </w:t>
      </w:r>
      <w:r w:rsidR="00E44DA4">
        <w:rPr>
          <w:rFonts w:ascii="Arial" w:eastAsia="Calibri" w:hAnsi="Arial" w:cs="Arial"/>
          <w:sz w:val="24"/>
          <w:szCs w:val="24"/>
        </w:rPr>
        <w:t>averments</w:t>
      </w:r>
      <w:r>
        <w:rPr>
          <w:rFonts w:ascii="Arial" w:eastAsia="Calibri" w:hAnsi="Arial" w:cs="Arial"/>
          <w:sz w:val="24"/>
          <w:szCs w:val="24"/>
        </w:rPr>
        <w:t xml:space="preserve"> made in those paragraphs are vexatio</w:t>
      </w:r>
      <w:r w:rsidR="00823A7A">
        <w:rPr>
          <w:rFonts w:ascii="Arial" w:eastAsia="Calibri" w:hAnsi="Arial" w:cs="Arial"/>
          <w:sz w:val="24"/>
          <w:szCs w:val="24"/>
        </w:rPr>
        <w:t>u</w:t>
      </w:r>
      <w:r>
        <w:rPr>
          <w:rFonts w:ascii="Arial" w:eastAsia="Calibri" w:hAnsi="Arial" w:cs="Arial"/>
          <w:sz w:val="24"/>
          <w:szCs w:val="24"/>
        </w:rPr>
        <w:t xml:space="preserve">s and inadmissible. </w:t>
      </w:r>
    </w:p>
    <w:p w:rsidR="00C5402A" w:rsidRDefault="00C5402A" w:rsidP="0013018B">
      <w:pPr>
        <w:spacing w:line="360" w:lineRule="auto"/>
        <w:rPr>
          <w:rFonts w:ascii="Arial" w:eastAsia="Calibri" w:hAnsi="Arial" w:cs="Arial"/>
          <w:sz w:val="24"/>
          <w:szCs w:val="24"/>
        </w:rPr>
      </w:pPr>
    </w:p>
    <w:p w:rsidR="006238A4" w:rsidRDefault="006238A4" w:rsidP="0013018B">
      <w:pPr>
        <w:spacing w:line="360" w:lineRule="auto"/>
        <w:rPr>
          <w:rFonts w:ascii="Arial" w:eastAsia="Calibri" w:hAnsi="Arial" w:cs="Arial"/>
          <w:sz w:val="24"/>
          <w:szCs w:val="24"/>
        </w:rPr>
      </w:pPr>
      <w:r>
        <w:rPr>
          <w:rFonts w:ascii="Arial" w:eastAsia="Calibri" w:hAnsi="Arial" w:cs="Arial"/>
          <w:sz w:val="24"/>
          <w:szCs w:val="24"/>
        </w:rPr>
        <w:t>The grounds are as follows:</w:t>
      </w:r>
    </w:p>
    <w:p w:rsidR="006238A4" w:rsidRPr="00670153" w:rsidRDefault="00E44DA4" w:rsidP="00670153">
      <w:pPr>
        <w:spacing w:line="360" w:lineRule="auto"/>
        <w:ind w:left="720" w:hanging="720"/>
        <w:rPr>
          <w:rFonts w:ascii="Arial" w:eastAsia="Calibri" w:hAnsi="Arial" w:cs="Arial"/>
        </w:rPr>
      </w:pPr>
      <w:r>
        <w:rPr>
          <w:rFonts w:ascii="Arial" w:eastAsia="Calibri" w:hAnsi="Arial" w:cs="Arial"/>
          <w:sz w:val="24"/>
          <w:szCs w:val="24"/>
        </w:rPr>
        <w:t>‘</w:t>
      </w:r>
      <w:r w:rsidRPr="00670153">
        <w:rPr>
          <w:rFonts w:ascii="Arial" w:eastAsia="Calibri" w:hAnsi="Arial" w:cs="Arial"/>
        </w:rPr>
        <w:t>1.</w:t>
      </w:r>
      <w:r w:rsidRPr="00670153">
        <w:rPr>
          <w:rFonts w:ascii="Arial" w:eastAsia="Calibri" w:hAnsi="Arial" w:cs="Arial"/>
        </w:rPr>
        <w:tab/>
        <w:t xml:space="preserve">The averments made in these paragraphs constitute foreign law which falls the </w:t>
      </w:r>
      <w:r w:rsidR="00823A7A" w:rsidRPr="00670153">
        <w:rPr>
          <w:rFonts w:ascii="Arial" w:eastAsia="Calibri" w:hAnsi="Arial" w:cs="Arial"/>
        </w:rPr>
        <w:t xml:space="preserve">(sic) </w:t>
      </w:r>
      <w:r w:rsidRPr="00670153">
        <w:rPr>
          <w:rFonts w:ascii="Arial" w:eastAsia="Calibri" w:hAnsi="Arial" w:cs="Arial"/>
        </w:rPr>
        <w:t>be proved by mean of expert evidence;</w:t>
      </w:r>
    </w:p>
    <w:p w:rsidR="00E44DA4" w:rsidRPr="00670153" w:rsidRDefault="00E44DA4" w:rsidP="00670153">
      <w:pPr>
        <w:spacing w:line="360" w:lineRule="auto"/>
        <w:ind w:left="720" w:hanging="720"/>
        <w:rPr>
          <w:rFonts w:ascii="Arial" w:eastAsia="Calibri" w:hAnsi="Arial" w:cs="Arial"/>
        </w:rPr>
      </w:pPr>
      <w:r w:rsidRPr="00670153">
        <w:rPr>
          <w:rFonts w:ascii="Arial" w:eastAsia="Calibri" w:hAnsi="Arial" w:cs="Arial"/>
        </w:rPr>
        <w:t>2.</w:t>
      </w:r>
      <w:r w:rsidRPr="00670153">
        <w:rPr>
          <w:rFonts w:ascii="Arial" w:eastAsia="Calibri" w:hAnsi="Arial" w:cs="Arial"/>
        </w:rPr>
        <w:tab/>
        <w:t>Insofar as the averments refer to provisions of statutory Pan</w:t>
      </w:r>
      <w:r w:rsidR="00823A7A" w:rsidRPr="00670153">
        <w:rPr>
          <w:rFonts w:ascii="Arial" w:eastAsia="Calibri" w:hAnsi="Arial" w:cs="Arial"/>
        </w:rPr>
        <w:t>amanian law, the relevant statut</w:t>
      </w:r>
      <w:r w:rsidRPr="00670153">
        <w:rPr>
          <w:rFonts w:ascii="Arial" w:eastAsia="Calibri" w:hAnsi="Arial" w:cs="Arial"/>
        </w:rPr>
        <w:t>es have not been put before this honourable Court;</w:t>
      </w:r>
    </w:p>
    <w:p w:rsidR="00E44DA4" w:rsidRPr="00670153" w:rsidRDefault="00E44DA4" w:rsidP="00670153">
      <w:pPr>
        <w:spacing w:line="360" w:lineRule="auto"/>
        <w:ind w:left="720" w:hanging="720"/>
        <w:rPr>
          <w:rFonts w:ascii="Arial" w:eastAsia="Calibri" w:hAnsi="Arial" w:cs="Arial"/>
        </w:rPr>
      </w:pPr>
      <w:r w:rsidRPr="00670153">
        <w:rPr>
          <w:rFonts w:ascii="Arial" w:eastAsia="Calibri" w:hAnsi="Arial" w:cs="Arial"/>
        </w:rPr>
        <w:t>3.</w:t>
      </w:r>
      <w:r w:rsidRPr="00670153">
        <w:rPr>
          <w:rFonts w:ascii="Arial" w:eastAsia="Calibri" w:hAnsi="Arial" w:cs="Arial"/>
        </w:rPr>
        <w:tab/>
        <w:t>No averments are made which might suggest that the deponent to the replying affidavit and the persons identified in paragraph 3 are qualified or have the necessary expertise to give evidence as regards the Panamanian law relating to marine mortgages;</w:t>
      </w:r>
    </w:p>
    <w:p w:rsidR="00E44DA4" w:rsidRPr="00670153" w:rsidRDefault="00E44DA4" w:rsidP="0013018B">
      <w:pPr>
        <w:spacing w:line="360" w:lineRule="auto"/>
        <w:rPr>
          <w:rFonts w:ascii="Arial" w:eastAsia="Calibri" w:hAnsi="Arial" w:cs="Arial"/>
        </w:rPr>
      </w:pPr>
      <w:r w:rsidRPr="00670153">
        <w:rPr>
          <w:rFonts w:ascii="Arial" w:eastAsia="Calibri" w:hAnsi="Arial" w:cs="Arial"/>
        </w:rPr>
        <w:lastRenderedPageBreak/>
        <w:t>4.</w:t>
      </w:r>
      <w:r w:rsidRPr="00670153">
        <w:rPr>
          <w:rFonts w:ascii="Arial" w:eastAsia="Calibri" w:hAnsi="Arial" w:cs="Arial"/>
        </w:rPr>
        <w:tab/>
        <w:t>The fourth respondent will be prejudiced should this application not be granted.</w:t>
      </w:r>
      <w:r w:rsidR="00670153">
        <w:rPr>
          <w:rFonts w:ascii="Arial" w:eastAsia="Calibri" w:hAnsi="Arial" w:cs="Arial"/>
        </w:rPr>
        <w:t>’</w:t>
      </w:r>
    </w:p>
    <w:p w:rsidR="006238A4" w:rsidRDefault="006238A4" w:rsidP="0013018B">
      <w:pPr>
        <w:spacing w:line="360" w:lineRule="auto"/>
        <w:rPr>
          <w:rFonts w:ascii="Arial" w:eastAsia="Calibri" w:hAnsi="Arial" w:cs="Arial"/>
          <w:sz w:val="24"/>
          <w:szCs w:val="24"/>
        </w:rPr>
      </w:pPr>
    </w:p>
    <w:p w:rsidR="006238A4" w:rsidRDefault="006238A4" w:rsidP="0013018B">
      <w:pPr>
        <w:spacing w:line="360" w:lineRule="auto"/>
        <w:rPr>
          <w:rFonts w:ascii="Arial" w:eastAsia="Calibri" w:hAnsi="Arial" w:cs="Arial"/>
          <w:sz w:val="24"/>
          <w:szCs w:val="24"/>
        </w:rPr>
      </w:pPr>
      <w:r>
        <w:rPr>
          <w:rFonts w:ascii="Arial" w:eastAsia="Calibri" w:hAnsi="Arial" w:cs="Arial"/>
          <w:sz w:val="24"/>
          <w:szCs w:val="24"/>
        </w:rPr>
        <w:t>[</w:t>
      </w:r>
      <w:r w:rsidR="00AB5848">
        <w:rPr>
          <w:rFonts w:ascii="Arial" w:eastAsia="Calibri" w:hAnsi="Arial" w:cs="Arial"/>
          <w:sz w:val="24"/>
          <w:szCs w:val="24"/>
        </w:rPr>
        <w:t>5</w:t>
      </w:r>
      <w:r w:rsidR="00B70AD7">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Mr. Cunningham replied that the information contained in paragraphs 37 to 45 at his replying affidavit is submitted solely in direct response to the allegations raised in the answering affidavit of Pfeiffer where he submits that provisional registration of a mortgage bond provides a lesser form of security interest than a finally registered mortgage bond. </w:t>
      </w:r>
      <w:r w:rsidR="00EB21F4">
        <w:rPr>
          <w:rFonts w:ascii="Arial" w:eastAsia="Calibri" w:hAnsi="Arial" w:cs="Arial"/>
          <w:sz w:val="24"/>
          <w:szCs w:val="24"/>
        </w:rPr>
        <w:t xml:space="preserve">In </w:t>
      </w:r>
      <w:r w:rsidR="00EB21F4" w:rsidRPr="00C00A5B">
        <w:rPr>
          <w:rFonts w:ascii="Arial" w:eastAsia="Calibri" w:hAnsi="Arial" w:cs="Arial"/>
          <w:i/>
          <w:sz w:val="24"/>
          <w:szCs w:val="24"/>
        </w:rPr>
        <w:t>Vaatz v Law Society of Namibia</w:t>
      </w:r>
      <w:r w:rsidR="00F96E18">
        <w:rPr>
          <w:rFonts w:ascii="Arial" w:eastAsia="Calibri" w:hAnsi="Arial" w:cs="Arial"/>
          <w:i/>
          <w:sz w:val="24"/>
          <w:szCs w:val="24"/>
        </w:rPr>
        <w:t>,</w:t>
      </w:r>
      <w:r w:rsidR="00C00A5B">
        <w:rPr>
          <w:rStyle w:val="FootnoteReference"/>
          <w:rFonts w:ascii="Arial" w:eastAsia="Calibri" w:hAnsi="Arial" w:cs="Arial"/>
          <w:sz w:val="24"/>
          <w:szCs w:val="24"/>
        </w:rPr>
        <w:footnoteReference w:id="8"/>
      </w:r>
      <w:r w:rsidR="00C00A5B">
        <w:rPr>
          <w:rFonts w:ascii="Arial" w:eastAsia="Calibri" w:hAnsi="Arial" w:cs="Arial"/>
          <w:sz w:val="24"/>
          <w:szCs w:val="24"/>
        </w:rPr>
        <w:t xml:space="preserve"> the court held that: </w:t>
      </w:r>
      <w:r w:rsidR="00F07030">
        <w:rPr>
          <w:rFonts w:ascii="Arial" w:eastAsia="Calibri" w:hAnsi="Arial" w:cs="Arial"/>
          <w:sz w:val="24"/>
          <w:szCs w:val="24"/>
        </w:rPr>
        <w:t>‘</w:t>
      </w:r>
      <w:r w:rsidR="00C00A5B">
        <w:rPr>
          <w:rFonts w:ascii="Arial" w:eastAsia="Calibri" w:hAnsi="Arial" w:cs="Arial"/>
          <w:sz w:val="24"/>
          <w:szCs w:val="24"/>
        </w:rPr>
        <w:t>v</w:t>
      </w:r>
      <w:r w:rsidR="00EB21F4">
        <w:rPr>
          <w:rFonts w:ascii="Arial" w:eastAsia="Calibri" w:hAnsi="Arial" w:cs="Arial"/>
          <w:sz w:val="24"/>
          <w:szCs w:val="24"/>
        </w:rPr>
        <w:t>exatio</w:t>
      </w:r>
      <w:r w:rsidR="00C00A5B">
        <w:rPr>
          <w:rFonts w:ascii="Arial" w:eastAsia="Calibri" w:hAnsi="Arial" w:cs="Arial"/>
          <w:sz w:val="24"/>
          <w:szCs w:val="24"/>
        </w:rPr>
        <w:t>u</w:t>
      </w:r>
      <w:r w:rsidR="00EB21F4">
        <w:rPr>
          <w:rFonts w:ascii="Arial" w:eastAsia="Calibri" w:hAnsi="Arial" w:cs="Arial"/>
          <w:sz w:val="24"/>
          <w:szCs w:val="24"/>
        </w:rPr>
        <w:t xml:space="preserve">s matter are allegations that may or </w:t>
      </w:r>
      <w:r w:rsidR="00C00A5B">
        <w:rPr>
          <w:rFonts w:ascii="Arial" w:eastAsia="Calibri" w:hAnsi="Arial" w:cs="Arial"/>
          <w:sz w:val="24"/>
          <w:szCs w:val="24"/>
        </w:rPr>
        <w:t>may not be relevant but are so w</w:t>
      </w:r>
      <w:r w:rsidR="00EB21F4">
        <w:rPr>
          <w:rFonts w:ascii="Arial" w:eastAsia="Calibri" w:hAnsi="Arial" w:cs="Arial"/>
          <w:sz w:val="24"/>
          <w:szCs w:val="24"/>
        </w:rPr>
        <w:t>orded as to convey an intention to harass or annoy. With regard to the requirement of prejudice</w:t>
      </w:r>
      <w:r w:rsidR="00F07030">
        <w:rPr>
          <w:rFonts w:ascii="Arial" w:eastAsia="Calibri" w:hAnsi="Arial" w:cs="Arial"/>
          <w:sz w:val="24"/>
          <w:szCs w:val="24"/>
        </w:rPr>
        <w:t>’</w:t>
      </w:r>
      <w:r w:rsidR="00EB21F4">
        <w:rPr>
          <w:rFonts w:ascii="Arial" w:eastAsia="Calibri" w:hAnsi="Arial" w:cs="Arial"/>
          <w:sz w:val="24"/>
          <w:szCs w:val="24"/>
        </w:rPr>
        <w:t xml:space="preserve"> the court held that </w:t>
      </w:r>
      <w:r w:rsidR="00F07030">
        <w:rPr>
          <w:rFonts w:ascii="Arial" w:eastAsia="Calibri" w:hAnsi="Arial" w:cs="Arial"/>
          <w:sz w:val="24"/>
          <w:szCs w:val="24"/>
        </w:rPr>
        <w:t>‘</w:t>
      </w:r>
      <w:r w:rsidR="00EB21F4">
        <w:rPr>
          <w:rFonts w:ascii="Arial" w:eastAsia="Calibri" w:hAnsi="Arial" w:cs="Arial"/>
          <w:sz w:val="24"/>
          <w:szCs w:val="24"/>
        </w:rPr>
        <w:t>the phrase ‘prejudice’ to the applicant’s case, clearly does not mean that, if the offending allegation</w:t>
      </w:r>
      <w:r w:rsidR="00603CEB">
        <w:rPr>
          <w:rFonts w:ascii="Arial" w:eastAsia="Calibri" w:hAnsi="Arial" w:cs="Arial"/>
          <w:sz w:val="24"/>
          <w:szCs w:val="24"/>
        </w:rPr>
        <w:t>s</w:t>
      </w:r>
      <w:r w:rsidR="00EB21F4">
        <w:rPr>
          <w:rFonts w:ascii="Arial" w:eastAsia="Calibri" w:hAnsi="Arial" w:cs="Arial"/>
          <w:sz w:val="24"/>
          <w:szCs w:val="24"/>
        </w:rPr>
        <w:t xml:space="preserve"> remain</w:t>
      </w:r>
      <w:r w:rsidR="00F07030">
        <w:rPr>
          <w:rFonts w:ascii="Arial" w:eastAsia="Calibri" w:hAnsi="Arial" w:cs="Arial"/>
          <w:sz w:val="24"/>
          <w:szCs w:val="24"/>
        </w:rPr>
        <w:t>,</w:t>
      </w:r>
      <w:r w:rsidR="00EB21F4">
        <w:rPr>
          <w:rFonts w:ascii="Arial" w:eastAsia="Calibri" w:hAnsi="Arial" w:cs="Arial"/>
          <w:sz w:val="24"/>
          <w:szCs w:val="24"/>
        </w:rPr>
        <w:t xml:space="preserve"> the innocent party’s chances of success will be reduced. It is substantially less than that. How much less depends on all the circumstances; for instance, in motion proceedings it is necessary to answer the other party’s allegations and a party does not do so at his own risk.</w:t>
      </w:r>
      <w:r w:rsidR="00F07030">
        <w:rPr>
          <w:rFonts w:ascii="Arial" w:eastAsia="Calibri" w:hAnsi="Arial" w:cs="Arial"/>
          <w:sz w:val="24"/>
          <w:szCs w:val="24"/>
        </w:rPr>
        <w:t>’</w:t>
      </w:r>
      <w:r w:rsidR="00EB21F4">
        <w:rPr>
          <w:rFonts w:ascii="Arial" w:eastAsia="Calibri" w:hAnsi="Arial" w:cs="Arial"/>
          <w:sz w:val="24"/>
          <w:szCs w:val="24"/>
        </w:rPr>
        <w:t xml:space="preserve"> </w:t>
      </w:r>
      <w:r>
        <w:rPr>
          <w:rFonts w:ascii="Arial" w:eastAsia="Calibri" w:hAnsi="Arial" w:cs="Arial"/>
          <w:sz w:val="24"/>
          <w:szCs w:val="24"/>
        </w:rPr>
        <w:t xml:space="preserve">Different countries place information regarding ship </w:t>
      </w:r>
      <w:r w:rsidR="00215F45">
        <w:rPr>
          <w:rFonts w:ascii="Arial" w:eastAsia="Calibri" w:hAnsi="Arial" w:cs="Arial"/>
          <w:sz w:val="24"/>
          <w:szCs w:val="24"/>
        </w:rPr>
        <w:t>registration on the internet. In this case Panama ship registry information is also accessible on the internet. All what Mr. Cunningham did was to draw this court’s attention to the requirements of ship registration in Panama</w:t>
      </w:r>
      <w:r w:rsidR="00C95973">
        <w:rPr>
          <w:rFonts w:ascii="Arial" w:eastAsia="Calibri" w:hAnsi="Arial" w:cs="Arial"/>
          <w:sz w:val="24"/>
          <w:szCs w:val="24"/>
        </w:rPr>
        <w:t xml:space="preserve"> and to answer to the allegations regarding ship registration</w:t>
      </w:r>
      <w:r w:rsidR="00215F45">
        <w:rPr>
          <w:rFonts w:ascii="Arial" w:eastAsia="Calibri" w:hAnsi="Arial" w:cs="Arial"/>
          <w:sz w:val="24"/>
          <w:szCs w:val="24"/>
        </w:rPr>
        <w:t xml:space="preserve">. There is no prejudice whatsoever to </w:t>
      </w:r>
      <w:r w:rsidR="00467967">
        <w:rPr>
          <w:rFonts w:ascii="Arial" w:eastAsia="Calibri" w:hAnsi="Arial" w:cs="Arial"/>
          <w:sz w:val="24"/>
          <w:szCs w:val="24"/>
        </w:rPr>
        <w:t>Bunkernet</w:t>
      </w:r>
      <w:r w:rsidR="00215F45">
        <w:rPr>
          <w:rFonts w:ascii="Arial" w:eastAsia="Calibri" w:hAnsi="Arial" w:cs="Arial"/>
          <w:sz w:val="24"/>
          <w:szCs w:val="24"/>
        </w:rPr>
        <w:t xml:space="preserve"> if such information remains on the affidavit.</w:t>
      </w:r>
    </w:p>
    <w:p w:rsidR="00215F45" w:rsidRDefault="00215F45" w:rsidP="0013018B">
      <w:pPr>
        <w:spacing w:line="360" w:lineRule="auto"/>
        <w:rPr>
          <w:rFonts w:ascii="Arial" w:eastAsia="Calibri" w:hAnsi="Arial" w:cs="Arial"/>
          <w:sz w:val="24"/>
          <w:szCs w:val="24"/>
        </w:rPr>
      </w:pPr>
    </w:p>
    <w:p w:rsidR="00260F89" w:rsidRDefault="004A02EC" w:rsidP="0013018B">
      <w:pPr>
        <w:spacing w:line="360" w:lineRule="auto"/>
        <w:rPr>
          <w:rFonts w:ascii="Arial" w:eastAsia="Calibri" w:hAnsi="Arial" w:cs="Arial"/>
          <w:sz w:val="24"/>
          <w:szCs w:val="24"/>
        </w:rPr>
      </w:pPr>
      <w:r>
        <w:rPr>
          <w:rFonts w:ascii="Arial" w:eastAsia="Calibri" w:hAnsi="Arial" w:cs="Arial"/>
          <w:sz w:val="24"/>
          <w:szCs w:val="24"/>
        </w:rPr>
        <w:t>[</w:t>
      </w:r>
      <w:r w:rsidR="00AB5848">
        <w:rPr>
          <w:rFonts w:ascii="Arial" w:eastAsia="Calibri" w:hAnsi="Arial" w:cs="Arial"/>
          <w:sz w:val="24"/>
          <w:szCs w:val="24"/>
        </w:rPr>
        <w:t>5</w:t>
      </w:r>
      <w:r w:rsidR="00B70AD7">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BF11BF">
        <w:rPr>
          <w:rFonts w:ascii="Arial" w:eastAsia="Calibri" w:hAnsi="Arial" w:cs="Arial"/>
          <w:sz w:val="24"/>
          <w:szCs w:val="24"/>
        </w:rPr>
        <w:t>For all those reasons, I make the following o</w:t>
      </w:r>
      <w:r>
        <w:rPr>
          <w:rFonts w:ascii="Arial" w:eastAsia="Calibri" w:hAnsi="Arial" w:cs="Arial"/>
          <w:sz w:val="24"/>
          <w:szCs w:val="24"/>
        </w:rPr>
        <w:t>rder</w:t>
      </w:r>
      <w:r w:rsidR="00BF11BF">
        <w:rPr>
          <w:rFonts w:ascii="Arial" w:eastAsia="Calibri" w:hAnsi="Arial" w:cs="Arial"/>
          <w:sz w:val="24"/>
          <w:szCs w:val="24"/>
        </w:rPr>
        <w:t>:</w:t>
      </w:r>
    </w:p>
    <w:p w:rsidR="004A02EC" w:rsidRDefault="004A02EC" w:rsidP="004A02EC">
      <w:pPr>
        <w:spacing w:line="360" w:lineRule="auto"/>
        <w:ind w:left="720" w:hanging="720"/>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 xml:space="preserve">The application to confirm and implement the Referee’s report </w:t>
      </w:r>
      <w:r w:rsidR="00603CEB">
        <w:rPr>
          <w:rFonts w:ascii="Arial" w:eastAsia="Calibri" w:hAnsi="Arial" w:cs="Arial"/>
          <w:sz w:val="24"/>
          <w:szCs w:val="24"/>
        </w:rPr>
        <w:t>in terms of the order marked “X” is granted</w:t>
      </w:r>
      <w:r>
        <w:rPr>
          <w:rFonts w:ascii="Arial" w:eastAsia="Calibri" w:hAnsi="Arial" w:cs="Arial"/>
          <w:sz w:val="24"/>
          <w:szCs w:val="24"/>
        </w:rPr>
        <w:t>.</w:t>
      </w:r>
    </w:p>
    <w:p w:rsidR="004A02EC" w:rsidRDefault="004A02EC" w:rsidP="004A02EC">
      <w:pPr>
        <w:spacing w:line="360" w:lineRule="auto"/>
        <w:ind w:left="720" w:hanging="720"/>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fourth respondent is ordered to pay the costs of the applicant</w:t>
      </w:r>
      <w:r w:rsidR="007E44F9">
        <w:rPr>
          <w:rFonts w:ascii="Arial" w:eastAsia="Calibri" w:hAnsi="Arial" w:cs="Arial"/>
          <w:sz w:val="24"/>
          <w:szCs w:val="24"/>
        </w:rPr>
        <w:t>, such costs to include the costs of one instructing and two instructed counsel</w:t>
      </w:r>
      <w:r>
        <w:rPr>
          <w:rFonts w:ascii="Arial" w:eastAsia="Calibri" w:hAnsi="Arial" w:cs="Arial"/>
          <w:sz w:val="24"/>
          <w:szCs w:val="24"/>
        </w:rPr>
        <w:t>.</w:t>
      </w:r>
    </w:p>
    <w:p w:rsidR="004A02EC" w:rsidRDefault="004A02EC" w:rsidP="0013018B">
      <w:pPr>
        <w:spacing w:line="360" w:lineRule="auto"/>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The counter application is dismissed.</w:t>
      </w:r>
    </w:p>
    <w:p w:rsidR="004A02EC" w:rsidRDefault="004A02EC" w:rsidP="004A02EC">
      <w:pPr>
        <w:spacing w:line="360" w:lineRule="auto"/>
        <w:ind w:left="720" w:hanging="720"/>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The fourth respondent is ordered to pay the costs </w:t>
      </w:r>
      <w:r w:rsidR="007D719B">
        <w:rPr>
          <w:rFonts w:ascii="Arial" w:eastAsia="Calibri" w:hAnsi="Arial" w:cs="Arial"/>
          <w:sz w:val="24"/>
          <w:szCs w:val="24"/>
        </w:rPr>
        <w:t>of the applicant, such costs to include the costs of one instructing and two instructed counsel.</w:t>
      </w:r>
    </w:p>
    <w:p w:rsidR="00603CEB" w:rsidRDefault="00603CEB" w:rsidP="004A02EC">
      <w:pPr>
        <w:spacing w:line="360" w:lineRule="auto"/>
        <w:ind w:left="720" w:hanging="720"/>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The application in terms of Rule 17(4) is dismissed.</w:t>
      </w:r>
    </w:p>
    <w:p w:rsidR="00603CEB" w:rsidRDefault="00603CEB" w:rsidP="004A02EC">
      <w:pPr>
        <w:spacing w:line="360" w:lineRule="auto"/>
        <w:ind w:left="720" w:hanging="720"/>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The fourth respondent is ordered to pay the costs of the applicant, such costs to include the costs of one instructing and two instructed counsel.</w:t>
      </w:r>
    </w:p>
    <w:p w:rsidR="00260F89" w:rsidRDefault="00260F89" w:rsidP="0013018B">
      <w:pPr>
        <w:spacing w:line="360" w:lineRule="auto"/>
        <w:rPr>
          <w:rFonts w:ascii="Arial" w:eastAsia="Calibri" w:hAnsi="Arial" w:cs="Arial"/>
          <w:sz w:val="24"/>
          <w:szCs w:val="24"/>
        </w:rPr>
      </w:pPr>
    </w:p>
    <w:p w:rsidR="00215F45" w:rsidRDefault="00215F45" w:rsidP="0013018B">
      <w:pPr>
        <w:spacing w:line="360" w:lineRule="auto"/>
        <w:rPr>
          <w:rFonts w:ascii="Arial" w:eastAsia="Calibri" w:hAnsi="Arial" w:cs="Arial"/>
          <w:sz w:val="24"/>
          <w:szCs w:val="24"/>
        </w:rPr>
      </w:pPr>
    </w:p>
    <w:p w:rsidR="005D4BC7" w:rsidRDefault="005D4BC7" w:rsidP="0013018B">
      <w:pPr>
        <w:spacing w:line="360" w:lineRule="auto"/>
        <w:rPr>
          <w:rFonts w:ascii="Arial" w:eastAsia="Calibri" w:hAnsi="Arial" w:cs="Arial"/>
          <w:sz w:val="24"/>
          <w:szCs w:val="24"/>
        </w:rPr>
      </w:pPr>
    </w:p>
    <w:p w:rsidR="00CE7CEC" w:rsidRPr="0013018B" w:rsidRDefault="00CE7CEC" w:rsidP="0013018B">
      <w:pPr>
        <w:spacing w:line="360" w:lineRule="auto"/>
        <w:rPr>
          <w:rFonts w:ascii="Arial" w:eastAsia="Calibri" w:hAnsi="Arial" w:cs="Arial"/>
          <w:sz w:val="24"/>
          <w:szCs w:val="24"/>
        </w:rPr>
      </w:pPr>
    </w:p>
    <w:p w:rsidR="0013018B" w:rsidRPr="0013018B" w:rsidRDefault="0013018B" w:rsidP="0013018B">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13018B" w:rsidRDefault="0013018B" w:rsidP="0013018B">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G N NDAUENDAPO</w:t>
      </w:r>
    </w:p>
    <w:p w:rsidR="0013018B" w:rsidRPr="0013018B" w:rsidRDefault="0013018B" w:rsidP="0013018B">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ab/>
        <w:t>Judge</w:t>
      </w:r>
    </w:p>
    <w:p w:rsidR="0013018B" w:rsidRPr="0013018B" w:rsidRDefault="0013018B" w:rsidP="0013018B">
      <w:pPr>
        <w:spacing w:line="360" w:lineRule="auto"/>
        <w:jc w:val="left"/>
        <w:rPr>
          <w:rFonts w:ascii="Arial" w:eastAsia="Calibri" w:hAnsi="Arial" w:cs="Arial"/>
          <w:sz w:val="24"/>
          <w:szCs w:val="24"/>
        </w:rPr>
      </w:pPr>
      <w:r w:rsidRPr="0013018B">
        <w:rPr>
          <w:rFonts w:ascii="Arial" w:eastAsia="Calibri" w:hAnsi="Arial" w:cs="Arial"/>
          <w:sz w:val="24"/>
          <w:szCs w:val="24"/>
        </w:rPr>
        <w:br w:type="page"/>
      </w:r>
    </w:p>
    <w:p w:rsidR="0013018B" w:rsidRPr="0013018B" w:rsidRDefault="0013018B" w:rsidP="0013018B">
      <w:pPr>
        <w:spacing w:line="360" w:lineRule="auto"/>
        <w:contextualSpacing/>
        <w:rPr>
          <w:rFonts w:ascii="Arial" w:eastAsia="Calibri" w:hAnsi="Arial" w:cs="Arial"/>
          <w:sz w:val="24"/>
          <w:szCs w:val="24"/>
        </w:rPr>
      </w:pPr>
    </w:p>
    <w:p w:rsidR="0013018B" w:rsidRPr="0013018B" w:rsidRDefault="0013018B" w:rsidP="0013018B">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r w:rsidR="00F96E18">
        <w:rPr>
          <w:rFonts w:ascii="Arial" w:eastAsia="Calibri" w:hAnsi="Arial" w:cs="Arial"/>
          <w:b/>
          <w:sz w:val="24"/>
          <w:szCs w:val="24"/>
        </w:rPr>
        <w:t>:</w:t>
      </w:r>
    </w:p>
    <w:p w:rsidR="0013018B" w:rsidRPr="0013018B" w:rsidRDefault="0013018B" w:rsidP="0013018B">
      <w:pPr>
        <w:spacing w:line="360" w:lineRule="auto"/>
        <w:contextualSpacing/>
        <w:rPr>
          <w:rFonts w:ascii="Arial" w:eastAsia="Calibri" w:hAnsi="Arial" w:cs="Arial"/>
          <w:b/>
          <w:sz w:val="24"/>
          <w:szCs w:val="24"/>
        </w:rPr>
      </w:pPr>
    </w:p>
    <w:p w:rsidR="0013018B" w:rsidRPr="0013018B" w:rsidRDefault="0013018B" w:rsidP="0013018B">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THE </w:t>
      </w:r>
      <w:r w:rsidR="00382665">
        <w:rPr>
          <w:rFonts w:ascii="Arial" w:eastAsia="Calibri" w:hAnsi="Arial" w:cs="Arial"/>
          <w:b/>
          <w:sz w:val="24"/>
          <w:szCs w:val="24"/>
        </w:rPr>
        <w:t>APPLICANT</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00451648">
        <w:rPr>
          <w:rFonts w:ascii="Arial" w:eastAsia="Calibri" w:hAnsi="Arial" w:cs="Arial"/>
          <w:sz w:val="24"/>
          <w:szCs w:val="24"/>
        </w:rPr>
        <w:t xml:space="preserve">Mr. </w:t>
      </w:r>
      <w:r w:rsidR="005544AA">
        <w:rPr>
          <w:rFonts w:ascii="Arial" w:eastAsia="Calibri" w:hAnsi="Arial" w:cs="Arial"/>
          <w:sz w:val="24"/>
          <w:szCs w:val="24"/>
        </w:rPr>
        <w:t>Fitzgerald SC</w:t>
      </w:r>
      <w:r w:rsidR="004E2B40">
        <w:rPr>
          <w:rFonts w:ascii="Arial" w:eastAsia="Calibri" w:hAnsi="Arial" w:cs="Arial"/>
          <w:sz w:val="24"/>
          <w:szCs w:val="24"/>
        </w:rPr>
        <w:t xml:space="preserve"> (assisted by </w:t>
      </w:r>
      <w:r w:rsidR="00992E8A">
        <w:rPr>
          <w:rFonts w:ascii="Arial" w:eastAsia="Calibri" w:hAnsi="Arial" w:cs="Arial"/>
          <w:sz w:val="24"/>
          <w:szCs w:val="24"/>
        </w:rPr>
        <w:t>Ms De Bruin)</w:t>
      </w:r>
    </w:p>
    <w:p w:rsidR="0013018B" w:rsidRPr="0013018B" w:rsidRDefault="0013018B" w:rsidP="0013018B">
      <w:pPr>
        <w:spacing w:line="360" w:lineRule="auto"/>
        <w:contextualSpacing/>
        <w:rPr>
          <w:rFonts w:ascii="Arial" w:eastAsia="Calibri" w:hAnsi="Arial" w:cs="Arial"/>
          <w:sz w:val="24"/>
          <w:szCs w:val="24"/>
        </w:rPr>
      </w:pP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005544AA">
        <w:rPr>
          <w:rFonts w:ascii="Arial" w:eastAsia="Calibri" w:hAnsi="Arial" w:cs="Arial"/>
          <w:sz w:val="24"/>
          <w:szCs w:val="24"/>
        </w:rPr>
        <w:t>Instructed by Koep &amp; Partners</w:t>
      </w:r>
      <w:r w:rsidR="00F96E18">
        <w:rPr>
          <w:rFonts w:ascii="Arial" w:eastAsia="Calibri" w:hAnsi="Arial" w:cs="Arial"/>
          <w:sz w:val="24"/>
          <w:szCs w:val="24"/>
        </w:rPr>
        <w:t>, Windhoek</w:t>
      </w:r>
    </w:p>
    <w:p w:rsidR="0013018B" w:rsidRPr="0013018B" w:rsidRDefault="0013018B" w:rsidP="0013018B">
      <w:pPr>
        <w:spacing w:line="360" w:lineRule="auto"/>
        <w:contextualSpacing/>
        <w:rPr>
          <w:rFonts w:ascii="Arial" w:eastAsia="Calibri" w:hAnsi="Arial" w:cs="Arial"/>
          <w:b/>
          <w:sz w:val="24"/>
          <w:szCs w:val="24"/>
        </w:rPr>
      </w:pPr>
    </w:p>
    <w:p w:rsidR="0013018B" w:rsidRPr="0013018B" w:rsidRDefault="0013018B" w:rsidP="0013018B">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w:t>
      </w:r>
      <w:r w:rsidR="00382665">
        <w:rPr>
          <w:rFonts w:ascii="Arial" w:eastAsia="Calibri" w:hAnsi="Arial" w:cs="Arial"/>
          <w:b/>
          <w:sz w:val="24"/>
          <w:szCs w:val="24"/>
        </w:rPr>
        <w:t>THE FOURTH RESPONDENT</w:t>
      </w:r>
      <w:r w:rsidRPr="0013018B">
        <w:rPr>
          <w:rFonts w:ascii="Arial" w:eastAsia="Calibri" w:hAnsi="Arial" w:cs="Arial"/>
          <w:b/>
          <w:sz w:val="24"/>
          <w:szCs w:val="24"/>
        </w:rPr>
        <w:tab/>
      </w:r>
      <w:r w:rsidRPr="0013018B">
        <w:rPr>
          <w:rFonts w:ascii="Arial" w:eastAsia="Calibri" w:hAnsi="Arial" w:cs="Arial"/>
          <w:sz w:val="24"/>
          <w:szCs w:val="24"/>
        </w:rPr>
        <w:t xml:space="preserve">Mr. </w:t>
      </w:r>
      <w:r w:rsidR="005544AA">
        <w:rPr>
          <w:rFonts w:ascii="Arial" w:eastAsia="Calibri" w:hAnsi="Arial" w:cs="Arial"/>
          <w:sz w:val="24"/>
          <w:szCs w:val="24"/>
        </w:rPr>
        <w:t>Wragge SC</w:t>
      </w:r>
      <w:r w:rsidR="004E2B40">
        <w:rPr>
          <w:rFonts w:ascii="Arial" w:eastAsia="Calibri" w:hAnsi="Arial" w:cs="Arial"/>
          <w:sz w:val="24"/>
          <w:szCs w:val="24"/>
        </w:rPr>
        <w:t xml:space="preserve"> (assisted by </w:t>
      </w:r>
      <w:r w:rsidR="009A056A">
        <w:rPr>
          <w:rFonts w:ascii="Arial" w:eastAsia="Calibri" w:hAnsi="Arial" w:cs="Arial"/>
          <w:sz w:val="24"/>
          <w:szCs w:val="24"/>
        </w:rPr>
        <w:t>Mr. Pfeiffer)</w:t>
      </w:r>
    </w:p>
    <w:p w:rsidR="0013018B" w:rsidRPr="0013018B" w:rsidRDefault="005544AA" w:rsidP="00F96E18">
      <w:pPr>
        <w:spacing w:line="360" w:lineRule="auto"/>
        <w:ind w:left="4320"/>
        <w:contextualSpacing/>
        <w:rPr>
          <w:rFonts w:ascii="Arial" w:eastAsia="Calibri" w:hAnsi="Arial" w:cs="Arial"/>
          <w:sz w:val="24"/>
          <w:szCs w:val="24"/>
        </w:rPr>
      </w:pPr>
      <w:r>
        <w:rPr>
          <w:rFonts w:ascii="Arial" w:eastAsia="Calibri" w:hAnsi="Arial" w:cs="Arial"/>
          <w:sz w:val="24"/>
          <w:szCs w:val="24"/>
        </w:rPr>
        <w:t>Instructed by</w:t>
      </w:r>
      <w:r w:rsidR="0013018B" w:rsidRPr="0013018B">
        <w:rPr>
          <w:rFonts w:ascii="Arial" w:eastAsia="Calibri" w:hAnsi="Arial" w:cs="Arial"/>
          <w:sz w:val="24"/>
          <w:szCs w:val="24"/>
        </w:rPr>
        <w:t xml:space="preserve"> </w:t>
      </w:r>
      <w:r w:rsidR="001A1EDC">
        <w:rPr>
          <w:rFonts w:ascii="Arial" w:eastAsia="Calibri" w:hAnsi="Arial" w:cs="Arial"/>
          <w:sz w:val="24"/>
          <w:szCs w:val="24"/>
        </w:rPr>
        <w:t>Fisher Quarmby &amp; Pfeiffer</w:t>
      </w:r>
      <w:r w:rsidR="00F96E18">
        <w:rPr>
          <w:rFonts w:ascii="Arial" w:eastAsia="Calibri" w:hAnsi="Arial" w:cs="Arial"/>
          <w:sz w:val="24"/>
          <w:szCs w:val="24"/>
        </w:rPr>
        <w:t>, Windhoek</w:t>
      </w:r>
    </w:p>
    <w:p w:rsidR="0013018B" w:rsidRPr="0013018B" w:rsidRDefault="0013018B" w:rsidP="0013018B">
      <w:pPr>
        <w:spacing w:line="360" w:lineRule="auto"/>
        <w:rPr>
          <w:rFonts w:ascii="Arial" w:eastAsia="Calibri" w:hAnsi="Arial" w:cs="Arial"/>
          <w:sz w:val="24"/>
          <w:szCs w:val="24"/>
        </w:rPr>
      </w:pPr>
    </w:p>
    <w:p w:rsidR="00AB0177" w:rsidRDefault="00AB0177" w:rsidP="00F95223">
      <w:pPr>
        <w:spacing w:line="360" w:lineRule="auto"/>
        <w:rPr>
          <w:rFonts w:ascii="Arial" w:hAnsi="Arial" w:cs="Arial"/>
          <w:sz w:val="24"/>
          <w:szCs w:val="24"/>
        </w:rPr>
      </w:pPr>
    </w:p>
    <w:p w:rsidR="004A57EF" w:rsidRDefault="004A57EF" w:rsidP="00F95223">
      <w:pPr>
        <w:spacing w:line="360" w:lineRule="auto"/>
        <w:rPr>
          <w:rFonts w:ascii="Arial" w:hAnsi="Arial" w:cs="Arial"/>
          <w:sz w:val="24"/>
          <w:szCs w:val="24"/>
        </w:rPr>
      </w:pPr>
    </w:p>
    <w:p w:rsidR="004A57EF" w:rsidRDefault="004A57EF" w:rsidP="00F95223">
      <w:pPr>
        <w:spacing w:line="360" w:lineRule="auto"/>
        <w:rPr>
          <w:rFonts w:ascii="Arial" w:hAnsi="Arial" w:cs="Arial"/>
          <w:sz w:val="24"/>
          <w:szCs w:val="24"/>
        </w:rPr>
      </w:pPr>
    </w:p>
    <w:sectPr w:rsidR="004A57EF"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76D" w:rsidRDefault="0062276D" w:rsidP="00BC6EFF">
      <w:pPr>
        <w:spacing w:line="240" w:lineRule="auto"/>
      </w:pPr>
      <w:r>
        <w:separator/>
      </w:r>
    </w:p>
  </w:endnote>
  <w:endnote w:type="continuationSeparator" w:id="0">
    <w:p w:rsidR="0062276D" w:rsidRDefault="0062276D"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76D" w:rsidRDefault="0062276D" w:rsidP="00BC6EFF">
      <w:pPr>
        <w:spacing w:line="240" w:lineRule="auto"/>
      </w:pPr>
      <w:r>
        <w:separator/>
      </w:r>
    </w:p>
  </w:footnote>
  <w:footnote w:type="continuationSeparator" w:id="0">
    <w:p w:rsidR="0062276D" w:rsidRDefault="0062276D" w:rsidP="00BC6EFF">
      <w:pPr>
        <w:spacing w:line="240" w:lineRule="auto"/>
      </w:pPr>
      <w:r>
        <w:continuationSeparator/>
      </w:r>
    </w:p>
  </w:footnote>
  <w:footnote w:id="1">
    <w:p w:rsidR="0096117B" w:rsidRPr="0096117B" w:rsidRDefault="0096117B">
      <w:pPr>
        <w:pStyle w:val="FootnoteText"/>
        <w:rPr>
          <w:lang w:val="en-ZA"/>
        </w:rPr>
      </w:pPr>
      <w:r>
        <w:rPr>
          <w:rStyle w:val="FootnoteReference"/>
        </w:rPr>
        <w:footnoteRef/>
      </w:r>
      <w:r>
        <w:t xml:space="preserve"> </w:t>
      </w:r>
      <w:r>
        <w:rPr>
          <w:lang w:val="en-ZA"/>
        </w:rPr>
        <w:t>Mr. Craig Neil Cunningham deposed to the founding affidavit</w:t>
      </w:r>
      <w:r w:rsidR="00AC1782">
        <w:rPr>
          <w:lang w:val="en-ZA"/>
        </w:rPr>
        <w:t>.</w:t>
      </w:r>
    </w:p>
  </w:footnote>
  <w:footnote w:id="2">
    <w:p w:rsidR="00EB21F4" w:rsidRPr="00D247EA" w:rsidRDefault="00EB21F4">
      <w:pPr>
        <w:pStyle w:val="FootnoteText"/>
        <w:rPr>
          <w:lang w:val="en-ZA"/>
        </w:rPr>
      </w:pPr>
      <w:r>
        <w:rPr>
          <w:rStyle w:val="FootnoteReference"/>
        </w:rPr>
        <w:footnoteRef/>
      </w:r>
      <w:r>
        <w:t xml:space="preserve"> </w:t>
      </w:r>
      <w:r w:rsidRPr="00D247EA">
        <w:rPr>
          <w:rFonts w:ascii="Arial" w:eastAsia="Calibri" w:hAnsi="Arial" w:cs="Arial"/>
        </w:rPr>
        <w:t>Nigel Messon</w:t>
      </w:r>
      <w:r w:rsidRPr="00D247EA">
        <w:rPr>
          <w:rStyle w:val="FootnoteReference"/>
          <w:rFonts w:ascii="Arial" w:eastAsia="Calibri" w:hAnsi="Arial" w:cs="Arial"/>
        </w:rPr>
        <w:footnoteRef/>
      </w:r>
      <w:r w:rsidRPr="00D247EA">
        <w:rPr>
          <w:rFonts w:ascii="Arial" w:eastAsia="Calibri" w:hAnsi="Arial" w:cs="Arial"/>
        </w:rPr>
        <w:t xml:space="preserve"> Admiralty Jurisdiction and Practice (2ed) 2000</w:t>
      </w:r>
      <w:r w:rsidR="00592A94">
        <w:rPr>
          <w:rFonts w:ascii="Arial" w:eastAsia="Calibri" w:hAnsi="Arial" w:cs="Arial"/>
        </w:rPr>
        <w:t>.</w:t>
      </w:r>
    </w:p>
  </w:footnote>
  <w:footnote w:id="3">
    <w:p w:rsidR="00EB21F4" w:rsidRPr="00566809" w:rsidRDefault="00EB21F4">
      <w:pPr>
        <w:pStyle w:val="FootnoteText"/>
        <w:rPr>
          <w:lang w:val="en-ZA"/>
        </w:rPr>
      </w:pPr>
      <w:r>
        <w:rPr>
          <w:rStyle w:val="FootnoteReference"/>
        </w:rPr>
        <w:footnoteRef/>
      </w:r>
      <w:r>
        <w:t xml:space="preserve"> </w:t>
      </w:r>
      <w:r w:rsidRPr="00566809">
        <w:rPr>
          <w:rFonts w:ascii="Arial" w:hAnsi="Arial" w:cs="Arial"/>
        </w:rPr>
        <w:t>The ‘Posidon’</w:t>
      </w:r>
      <w:r>
        <w:rPr>
          <w:rFonts w:ascii="Arial" w:hAnsi="Arial" w:cs="Arial"/>
        </w:rPr>
        <w:t xml:space="preserve"> and another matter, High court of Singapore Lloyd’s Law Reports 2017 vol. 2 at 390.</w:t>
      </w:r>
    </w:p>
  </w:footnote>
  <w:footnote w:id="4">
    <w:p w:rsidR="00EB21F4" w:rsidRPr="0025048C" w:rsidRDefault="00EB21F4">
      <w:pPr>
        <w:pStyle w:val="FootnoteText"/>
        <w:rPr>
          <w:lang w:val="en-ZA"/>
        </w:rPr>
      </w:pPr>
      <w:r>
        <w:rPr>
          <w:rStyle w:val="FootnoteReference"/>
        </w:rPr>
        <w:footnoteRef/>
      </w:r>
      <w:r>
        <w:t xml:space="preserve"> </w:t>
      </w:r>
      <w:r w:rsidR="0095549E">
        <w:t>The “</w:t>
      </w:r>
      <w:r>
        <w:rPr>
          <w:lang w:val="en-ZA"/>
        </w:rPr>
        <w:t>Pickaninny</w:t>
      </w:r>
      <w:r w:rsidR="0095549E">
        <w:rPr>
          <w:lang w:val="en-ZA"/>
        </w:rPr>
        <w:t>” Geor Hammond &amp; Co. Lloyd’s list Law Reports September 16, 1960 533.</w:t>
      </w:r>
    </w:p>
  </w:footnote>
  <w:footnote w:id="5">
    <w:p w:rsidR="00EB21F4" w:rsidRPr="00192629" w:rsidRDefault="00EB21F4">
      <w:pPr>
        <w:pStyle w:val="FootnoteText"/>
        <w:rPr>
          <w:lang w:val="en-ZA"/>
        </w:rPr>
      </w:pPr>
      <w:r>
        <w:rPr>
          <w:rStyle w:val="FootnoteReference"/>
        </w:rPr>
        <w:footnoteRef/>
      </w:r>
      <w:r>
        <w:t xml:space="preserve"> </w:t>
      </w:r>
      <w:r w:rsidRPr="00192629">
        <w:rPr>
          <w:rFonts w:ascii="Arial" w:eastAsia="Calibri" w:hAnsi="Arial" w:cs="Arial"/>
        </w:rPr>
        <w:t>Freiremar v The Prosecutor General of Namibia and Others</w:t>
      </w:r>
      <w:r>
        <w:rPr>
          <w:rFonts w:ascii="Arial" w:eastAsia="Calibri" w:hAnsi="Arial" w:cs="Arial"/>
        </w:rPr>
        <w:t xml:space="preserve"> 1996 NR 18 (HC)</w:t>
      </w:r>
      <w:r w:rsidR="00273E04">
        <w:rPr>
          <w:rFonts w:ascii="Arial" w:eastAsia="Calibri" w:hAnsi="Arial" w:cs="Arial"/>
        </w:rPr>
        <w:t>.</w:t>
      </w:r>
    </w:p>
  </w:footnote>
  <w:footnote w:id="6">
    <w:p w:rsidR="00EB21F4" w:rsidRPr="00B237C9" w:rsidRDefault="00EB21F4">
      <w:pPr>
        <w:pStyle w:val="FootnoteText"/>
        <w:rPr>
          <w:lang w:val="en-ZA"/>
        </w:rPr>
      </w:pPr>
      <w:r>
        <w:rPr>
          <w:rStyle w:val="FootnoteReference"/>
        </w:rPr>
        <w:footnoteRef/>
      </w:r>
      <w:r>
        <w:t xml:space="preserve"> </w:t>
      </w:r>
      <w:r>
        <w:rPr>
          <w:lang w:val="en-ZA"/>
        </w:rPr>
        <w:t xml:space="preserve">Prof. William Tetley QC, Maritime </w:t>
      </w:r>
      <w:r w:rsidR="009870DD">
        <w:rPr>
          <w:lang w:val="en-ZA"/>
        </w:rPr>
        <w:t>liens</w:t>
      </w:r>
      <w:r>
        <w:rPr>
          <w:lang w:val="en-ZA"/>
        </w:rPr>
        <w:t xml:space="preserve"> and claims 1</w:t>
      </w:r>
      <w:r w:rsidRPr="00B237C9">
        <w:rPr>
          <w:vertAlign w:val="superscript"/>
          <w:lang w:val="en-ZA"/>
        </w:rPr>
        <w:t>st</w:t>
      </w:r>
      <w:r>
        <w:rPr>
          <w:lang w:val="en-ZA"/>
        </w:rPr>
        <w:t xml:space="preserve"> ed, Business Law Communication Ltd 1985.</w:t>
      </w:r>
    </w:p>
  </w:footnote>
  <w:footnote w:id="7">
    <w:p w:rsidR="00EF739E" w:rsidRPr="00D477C5" w:rsidRDefault="00EF739E" w:rsidP="00EF739E">
      <w:pPr>
        <w:pStyle w:val="FootnoteText"/>
        <w:rPr>
          <w:lang w:val="en-ZA"/>
        </w:rPr>
      </w:pPr>
      <w:r>
        <w:rPr>
          <w:rStyle w:val="FootnoteReference"/>
        </w:rPr>
        <w:footnoteRef/>
      </w:r>
      <w:r>
        <w:t xml:space="preserve"> </w:t>
      </w:r>
      <w:r w:rsidRPr="00D477C5">
        <w:rPr>
          <w:rFonts w:ascii="Arial" w:eastAsia="Calibri" w:hAnsi="Arial" w:cs="Arial"/>
          <w:i/>
        </w:rPr>
        <w:t>CF Kalilo v Decotes</w:t>
      </w:r>
      <w:r>
        <w:rPr>
          <w:rFonts w:ascii="Arial" w:eastAsia="Calibri" w:hAnsi="Arial" w:cs="Arial"/>
          <w:i/>
        </w:rPr>
        <w:t xml:space="preserve"> </w:t>
      </w:r>
      <w:r w:rsidRPr="00D477C5">
        <w:rPr>
          <w:rFonts w:ascii="Arial" w:eastAsia="Calibri" w:hAnsi="Arial" w:cs="Arial"/>
        </w:rPr>
        <w:t xml:space="preserve"> (Pty) Ltd and another </w:t>
      </w:r>
      <w:r w:rsidR="005B050A">
        <w:rPr>
          <w:rFonts w:ascii="Arial" w:eastAsia="Calibri" w:hAnsi="Arial" w:cs="Arial"/>
        </w:rPr>
        <w:t>[1988] 2 ALL 5A 159(</w:t>
      </w:r>
      <w:r w:rsidR="0092412D">
        <w:rPr>
          <w:rFonts w:ascii="Arial" w:eastAsia="Calibri" w:hAnsi="Arial" w:cs="Arial"/>
        </w:rPr>
        <w:t>A</w:t>
      </w:r>
      <w:r w:rsidR="005B050A">
        <w:rPr>
          <w:rFonts w:ascii="Arial" w:eastAsia="Calibri" w:hAnsi="Arial" w:cs="Arial"/>
        </w:rPr>
        <w:t>)</w:t>
      </w:r>
      <w:r w:rsidR="00F96E18">
        <w:rPr>
          <w:rFonts w:ascii="Arial" w:eastAsia="Calibri" w:hAnsi="Arial" w:cs="Arial"/>
        </w:rPr>
        <w:t>.</w:t>
      </w:r>
    </w:p>
  </w:footnote>
  <w:footnote w:id="8">
    <w:p w:rsidR="00C00A5B" w:rsidRPr="00C00A5B" w:rsidRDefault="00C00A5B">
      <w:pPr>
        <w:pStyle w:val="FootnoteText"/>
        <w:rPr>
          <w:lang w:val="en-ZA"/>
        </w:rPr>
      </w:pPr>
      <w:r>
        <w:rPr>
          <w:rStyle w:val="FootnoteReference"/>
        </w:rPr>
        <w:footnoteRef/>
      </w:r>
      <w:r>
        <w:t xml:space="preserve"> </w:t>
      </w:r>
      <w:r w:rsidRPr="00C00A5B">
        <w:rPr>
          <w:rFonts w:ascii="Arial" w:eastAsia="Calibri" w:hAnsi="Arial" w:cs="Arial"/>
        </w:rPr>
        <w:t>Vaatz v Law Society of Namibia 1991 (3) SA</w:t>
      </w:r>
      <w:r>
        <w:rPr>
          <w:rFonts w:ascii="Arial" w:eastAsia="Calibri" w:hAnsi="Arial" w:cs="Arial"/>
        </w:rPr>
        <w:t xml:space="preserve"> 563 (NM) at 566C-E</w:t>
      </w:r>
      <w:r w:rsidR="00F07030">
        <w:rPr>
          <w:rFonts w:ascii="Arial" w:eastAsia="Calibri" w:hAnsi="Arial" w:cs="Arial"/>
        </w:rPr>
        <w:t>, 566 – 567J-A</w:t>
      </w:r>
      <w:r>
        <w:rPr>
          <w:rFonts w:ascii="Arial" w:eastAsia="Calibri"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EB21F4" w:rsidRDefault="00EB21F4">
        <w:pPr>
          <w:pStyle w:val="Header"/>
          <w:jc w:val="right"/>
        </w:pPr>
        <w:r>
          <w:fldChar w:fldCharType="begin"/>
        </w:r>
        <w:r>
          <w:instrText xml:space="preserve"> PAGE   \* MERGEFORMAT </w:instrText>
        </w:r>
        <w:r>
          <w:fldChar w:fldCharType="separate"/>
        </w:r>
        <w:r w:rsidR="007B3942">
          <w:rPr>
            <w:noProof/>
          </w:rPr>
          <w:t>2</w:t>
        </w:r>
        <w:r>
          <w:rPr>
            <w:noProof/>
          </w:rPr>
          <w:fldChar w:fldCharType="end"/>
        </w:r>
      </w:p>
    </w:sdtContent>
  </w:sdt>
  <w:p w:rsidR="00EB21F4" w:rsidRDefault="00EB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4005"/>
    <w:rsid w:val="000041B4"/>
    <w:rsid w:val="0000472C"/>
    <w:rsid w:val="00013058"/>
    <w:rsid w:val="00013BD9"/>
    <w:rsid w:val="0001627A"/>
    <w:rsid w:val="0001641C"/>
    <w:rsid w:val="000214CF"/>
    <w:rsid w:val="000215B6"/>
    <w:rsid w:val="00021B18"/>
    <w:rsid w:val="000245B4"/>
    <w:rsid w:val="00024C6E"/>
    <w:rsid w:val="00025648"/>
    <w:rsid w:val="000270ED"/>
    <w:rsid w:val="00036AE3"/>
    <w:rsid w:val="00037718"/>
    <w:rsid w:val="00037E3C"/>
    <w:rsid w:val="00042F8E"/>
    <w:rsid w:val="00043CD4"/>
    <w:rsid w:val="00043D7C"/>
    <w:rsid w:val="00050BFD"/>
    <w:rsid w:val="0005530C"/>
    <w:rsid w:val="00056C32"/>
    <w:rsid w:val="00057083"/>
    <w:rsid w:val="00057242"/>
    <w:rsid w:val="000645FE"/>
    <w:rsid w:val="00066621"/>
    <w:rsid w:val="000708EB"/>
    <w:rsid w:val="00071D83"/>
    <w:rsid w:val="00072C33"/>
    <w:rsid w:val="00074952"/>
    <w:rsid w:val="00074E35"/>
    <w:rsid w:val="00076A70"/>
    <w:rsid w:val="00077A38"/>
    <w:rsid w:val="000827DD"/>
    <w:rsid w:val="00082B17"/>
    <w:rsid w:val="000900BD"/>
    <w:rsid w:val="0009111B"/>
    <w:rsid w:val="0009338E"/>
    <w:rsid w:val="00095D33"/>
    <w:rsid w:val="000A28FA"/>
    <w:rsid w:val="000A2D2B"/>
    <w:rsid w:val="000A5202"/>
    <w:rsid w:val="000A5C45"/>
    <w:rsid w:val="000A7F47"/>
    <w:rsid w:val="000B0943"/>
    <w:rsid w:val="000B7AF7"/>
    <w:rsid w:val="000C070F"/>
    <w:rsid w:val="000C2898"/>
    <w:rsid w:val="000C5B58"/>
    <w:rsid w:val="000C6907"/>
    <w:rsid w:val="000D22CE"/>
    <w:rsid w:val="000D7179"/>
    <w:rsid w:val="000E12C8"/>
    <w:rsid w:val="000E6B0A"/>
    <w:rsid w:val="000F04F1"/>
    <w:rsid w:val="000F0F0B"/>
    <w:rsid w:val="000F2EA2"/>
    <w:rsid w:val="000F45A9"/>
    <w:rsid w:val="000F5AA2"/>
    <w:rsid w:val="00101AE0"/>
    <w:rsid w:val="001108A5"/>
    <w:rsid w:val="0011146D"/>
    <w:rsid w:val="00111488"/>
    <w:rsid w:val="00114E65"/>
    <w:rsid w:val="001157B1"/>
    <w:rsid w:val="00120DC8"/>
    <w:rsid w:val="001223E6"/>
    <w:rsid w:val="0012479A"/>
    <w:rsid w:val="00125714"/>
    <w:rsid w:val="00125D38"/>
    <w:rsid w:val="00126236"/>
    <w:rsid w:val="0013018B"/>
    <w:rsid w:val="0013112B"/>
    <w:rsid w:val="001335E1"/>
    <w:rsid w:val="001339C4"/>
    <w:rsid w:val="0014348B"/>
    <w:rsid w:val="00143A7D"/>
    <w:rsid w:val="00144262"/>
    <w:rsid w:val="001463BE"/>
    <w:rsid w:val="00151B4D"/>
    <w:rsid w:val="0015265F"/>
    <w:rsid w:val="0015390A"/>
    <w:rsid w:val="001612E5"/>
    <w:rsid w:val="00161DBB"/>
    <w:rsid w:val="0016321E"/>
    <w:rsid w:val="00163B21"/>
    <w:rsid w:val="00165ED3"/>
    <w:rsid w:val="00167861"/>
    <w:rsid w:val="00170692"/>
    <w:rsid w:val="00171A6C"/>
    <w:rsid w:val="00172239"/>
    <w:rsid w:val="00176698"/>
    <w:rsid w:val="00180435"/>
    <w:rsid w:val="00181CF2"/>
    <w:rsid w:val="00182B19"/>
    <w:rsid w:val="001923F8"/>
    <w:rsid w:val="00192629"/>
    <w:rsid w:val="00192EF8"/>
    <w:rsid w:val="00196482"/>
    <w:rsid w:val="001A0A9D"/>
    <w:rsid w:val="001A1A24"/>
    <w:rsid w:val="001A1EDC"/>
    <w:rsid w:val="001B2CC6"/>
    <w:rsid w:val="001B5102"/>
    <w:rsid w:val="001C03C9"/>
    <w:rsid w:val="001C0403"/>
    <w:rsid w:val="001C056A"/>
    <w:rsid w:val="001C0F77"/>
    <w:rsid w:val="001C2025"/>
    <w:rsid w:val="001C42C4"/>
    <w:rsid w:val="001C5649"/>
    <w:rsid w:val="001C5A92"/>
    <w:rsid w:val="001C6F72"/>
    <w:rsid w:val="001D0832"/>
    <w:rsid w:val="001D22ED"/>
    <w:rsid w:val="001D4993"/>
    <w:rsid w:val="001E6E8A"/>
    <w:rsid w:val="001E7340"/>
    <w:rsid w:val="001E7C05"/>
    <w:rsid w:val="001F2CA2"/>
    <w:rsid w:val="001F2FF6"/>
    <w:rsid w:val="00206AAF"/>
    <w:rsid w:val="00213120"/>
    <w:rsid w:val="0021557B"/>
    <w:rsid w:val="00215BE9"/>
    <w:rsid w:val="00215F45"/>
    <w:rsid w:val="0021661A"/>
    <w:rsid w:val="00233973"/>
    <w:rsid w:val="00237E62"/>
    <w:rsid w:val="002413EC"/>
    <w:rsid w:val="00242FE4"/>
    <w:rsid w:val="0024522A"/>
    <w:rsid w:val="002456A5"/>
    <w:rsid w:val="00246DD7"/>
    <w:rsid w:val="0025048C"/>
    <w:rsid w:val="00250F2E"/>
    <w:rsid w:val="0025370F"/>
    <w:rsid w:val="00255F81"/>
    <w:rsid w:val="0025662C"/>
    <w:rsid w:val="0025726B"/>
    <w:rsid w:val="00257457"/>
    <w:rsid w:val="002608C5"/>
    <w:rsid w:val="00260F89"/>
    <w:rsid w:val="00262B61"/>
    <w:rsid w:val="002642B3"/>
    <w:rsid w:val="00270CA1"/>
    <w:rsid w:val="002726CB"/>
    <w:rsid w:val="002733C2"/>
    <w:rsid w:val="002735AF"/>
    <w:rsid w:val="00273E04"/>
    <w:rsid w:val="00274390"/>
    <w:rsid w:val="00275A0E"/>
    <w:rsid w:val="00277807"/>
    <w:rsid w:val="00277E11"/>
    <w:rsid w:val="00282E6C"/>
    <w:rsid w:val="0028476A"/>
    <w:rsid w:val="002856DA"/>
    <w:rsid w:val="002863B0"/>
    <w:rsid w:val="0028667C"/>
    <w:rsid w:val="00291E7D"/>
    <w:rsid w:val="00292D2B"/>
    <w:rsid w:val="00296FEB"/>
    <w:rsid w:val="002A5257"/>
    <w:rsid w:val="002A580B"/>
    <w:rsid w:val="002A6F8F"/>
    <w:rsid w:val="002B0240"/>
    <w:rsid w:val="002B24CF"/>
    <w:rsid w:val="002B4086"/>
    <w:rsid w:val="002B7DA2"/>
    <w:rsid w:val="002C3802"/>
    <w:rsid w:val="002C55FA"/>
    <w:rsid w:val="002C5FF0"/>
    <w:rsid w:val="002D0D8D"/>
    <w:rsid w:val="002D57D5"/>
    <w:rsid w:val="002D6503"/>
    <w:rsid w:val="002D6DBA"/>
    <w:rsid w:val="002E420B"/>
    <w:rsid w:val="002E6639"/>
    <w:rsid w:val="002E69CC"/>
    <w:rsid w:val="002F1EDC"/>
    <w:rsid w:val="002F3655"/>
    <w:rsid w:val="002F3D2F"/>
    <w:rsid w:val="002F6057"/>
    <w:rsid w:val="00306C63"/>
    <w:rsid w:val="003163B9"/>
    <w:rsid w:val="003170FC"/>
    <w:rsid w:val="0031729E"/>
    <w:rsid w:val="00317D02"/>
    <w:rsid w:val="003205E5"/>
    <w:rsid w:val="0032109B"/>
    <w:rsid w:val="00324F2D"/>
    <w:rsid w:val="003265C7"/>
    <w:rsid w:val="00326D06"/>
    <w:rsid w:val="00335425"/>
    <w:rsid w:val="00337CCA"/>
    <w:rsid w:val="00340698"/>
    <w:rsid w:val="00342CB1"/>
    <w:rsid w:val="00343CA2"/>
    <w:rsid w:val="00350E21"/>
    <w:rsid w:val="00353C40"/>
    <w:rsid w:val="003548B0"/>
    <w:rsid w:val="00357B27"/>
    <w:rsid w:val="00360B48"/>
    <w:rsid w:val="003612A2"/>
    <w:rsid w:val="00366753"/>
    <w:rsid w:val="00367834"/>
    <w:rsid w:val="00371FCD"/>
    <w:rsid w:val="00373874"/>
    <w:rsid w:val="00382665"/>
    <w:rsid w:val="0038302C"/>
    <w:rsid w:val="003912AA"/>
    <w:rsid w:val="00393B91"/>
    <w:rsid w:val="00393E35"/>
    <w:rsid w:val="003B1746"/>
    <w:rsid w:val="003B2604"/>
    <w:rsid w:val="003B2773"/>
    <w:rsid w:val="003B4268"/>
    <w:rsid w:val="003B47FE"/>
    <w:rsid w:val="003C0128"/>
    <w:rsid w:val="003C17C8"/>
    <w:rsid w:val="003C203B"/>
    <w:rsid w:val="003C59BC"/>
    <w:rsid w:val="003D22B1"/>
    <w:rsid w:val="003E4F32"/>
    <w:rsid w:val="003F3AF1"/>
    <w:rsid w:val="003F4A47"/>
    <w:rsid w:val="003F5479"/>
    <w:rsid w:val="003F6982"/>
    <w:rsid w:val="003F7E38"/>
    <w:rsid w:val="00403050"/>
    <w:rsid w:val="00406DF1"/>
    <w:rsid w:val="004126BE"/>
    <w:rsid w:val="00414352"/>
    <w:rsid w:val="00414AA8"/>
    <w:rsid w:val="004165DC"/>
    <w:rsid w:val="004172C3"/>
    <w:rsid w:val="00417D1B"/>
    <w:rsid w:val="00423413"/>
    <w:rsid w:val="00423EF5"/>
    <w:rsid w:val="00427AB0"/>
    <w:rsid w:val="004320FB"/>
    <w:rsid w:val="0043247C"/>
    <w:rsid w:val="00440983"/>
    <w:rsid w:val="00441D15"/>
    <w:rsid w:val="00442A04"/>
    <w:rsid w:val="00451648"/>
    <w:rsid w:val="0045389C"/>
    <w:rsid w:val="0045417D"/>
    <w:rsid w:val="00454574"/>
    <w:rsid w:val="00454781"/>
    <w:rsid w:val="00463E72"/>
    <w:rsid w:val="00465ECF"/>
    <w:rsid w:val="00467967"/>
    <w:rsid w:val="00471747"/>
    <w:rsid w:val="00473F15"/>
    <w:rsid w:val="004745B1"/>
    <w:rsid w:val="0047638E"/>
    <w:rsid w:val="0048360C"/>
    <w:rsid w:val="0048671E"/>
    <w:rsid w:val="00487685"/>
    <w:rsid w:val="00487C30"/>
    <w:rsid w:val="0049198B"/>
    <w:rsid w:val="0049234F"/>
    <w:rsid w:val="004928EB"/>
    <w:rsid w:val="00493C0D"/>
    <w:rsid w:val="00495D10"/>
    <w:rsid w:val="004A02EC"/>
    <w:rsid w:val="004A10B0"/>
    <w:rsid w:val="004A4754"/>
    <w:rsid w:val="004A4D0B"/>
    <w:rsid w:val="004A512C"/>
    <w:rsid w:val="004A57EF"/>
    <w:rsid w:val="004A7627"/>
    <w:rsid w:val="004B0965"/>
    <w:rsid w:val="004B0BC3"/>
    <w:rsid w:val="004B0DEB"/>
    <w:rsid w:val="004B13EB"/>
    <w:rsid w:val="004B32C7"/>
    <w:rsid w:val="004B5E45"/>
    <w:rsid w:val="004C31AF"/>
    <w:rsid w:val="004C4E12"/>
    <w:rsid w:val="004C66C3"/>
    <w:rsid w:val="004C69F0"/>
    <w:rsid w:val="004D03A4"/>
    <w:rsid w:val="004D6316"/>
    <w:rsid w:val="004D7DB6"/>
    <w:rsid w:val="004E2B40"/>
    <w:rsid w:val="004E2F3D"/>
    <w:rsid w:val="004E6AD9"/>
    <w:rsid w:val="004F1AD9"/>
    <w:rsid w:val="004F1B14"/>
    <w:rsid w:val="004F662F"/>
    <w:rsid w:val="004F79EF"/>
    <w:rsid w:val="0050229A"/>
    <w:rsid w:val="005025CF"/>
    <w:rsid w:val="00503097"/>
    <w:rsid w:val="00510369"/>
    <w:rsid w:val="00512C49"/>
    <w:rsid w:val="0051407C"/>
    <w:rsid w:val="00521880"/>
    <w:rsid w:val="0052546E"/>
    <w:rsid w:val="00531CA6"/>
    <w:rsid w:val="005516B2"/>
    <w:rsid w:val="005516FE"/>
    <w:rsid w:val="0055421A"/>
    <w:rsid w:val="005544AA"/>
    <w:rsid w:val="00555872"/>
    <w:rsid w:val="005654CE"/>
    <w:rsid w:val="00566809"/>
    <w:rsid w:val="00573C4C"/>
    <w:rsid w:val="00575B78"/>
    <w:rsid w:val="00580C24"/>
    <w:rsid w:val="00584929"/>
    <w:rsid w:val="005879CA"/>
    <w:rsid w:val="00592A94"/>
    <w:rsid w:val="00594D54"/>
    <w:rsid w:val="00595767"/>
    <w:rsid w:val="005960DB"/>
    <w:rsid w:val="005A03B6"/>
    <w:rsid w:val="005A05E5"/>
    <w:rsid w:val="005A1059"/>
    <w:rsid w:val="005A4978"/>
    <w:rsid w:val="005B050A"/>
    <w:rsid w:val="005B08EF"/>
    <w:rsid w:val="005B4CD6"/>
    <w:rsid w:val="005C4BEB"/>
    <w:rsid w:val="005C530C"/>
    <w:rsid w:val="005C5A33"/>
    <w:rsid w:val="005C635F"/>
    <w:rsid w:val="005D1A50"/>
    <w:rsid w:val="005D4BC7"/>
    <w:rsid w:val="005D7724"/>
    <w:rsid w:val="005E1573"/>
    <w:rsid w:val="005E774A"/>
    <w:rsid w:val="005F051A"/>
    <w:rsid w:val="005F243D"/>
    <w:rsid w:val="005F637B"/>
    <w:rsid w:val="0060092C"/>
    <w:rsid w:val="006016DB"/>
    <w:rsid w:val="006033DF"/>
    <w:rsid w:val="00603CEB"/>
    <w:rsid w:val="006074A7"/>
    <w:rsid w:val="00610FDB"/>
    <w:rsid w:val="006135EE"/>
    <w:rsid w:val="00614E71"/>
    <w:rsid w:val="006154A1"/>
    <w:rsid w:val="006160E7"/>
    <w:rsid w:val="00616792"/>
    <w:rsid w:val="0062276D"/>
    <w:rsid w:val="00623276"/>
    <w:rsid w:val="006238A4"/>
    <w:rsid w:val="00625D0E"/>
    <w:rsid w:val="00626D9A"/>
    <w:rsid w:val="0063058E"/>
    <w:rsid w:val="00632304"/>
    <w:rsid w:val="00632AFB"/>
    <w:rsid w:val="00636080"/>
    <w:rsid w:val="006360AD"/>
    <w:rsid w:val="00640041"/>
    <w:rsid w:val="006410FC"/>
    <w:rsid w:val="00643CCD"/>
    <w:rsid w:val="00646095"/>
    <w:rsid w:val="00646AB5"/>
    <w:rsid w:val="00647E59"/>
    <w:rsid w:val="00650726"/>
    <w:rsid w:val="00650DA8"/>
    <w:rsid w:val="006511C0"/>
    <w:rsid w:val="0065499B"/>
    <w:rsid w:val="006572D6"/>
    <w:rsid w:val="00657680"/>
    <w:rsid w:val="00657940"/>
    <w:rsid w:val="00657FE7"/>
    <w:rsid w:val="00662BA7"/>
    <w:rsid w:val="006655CD"/>
    <w:rsid w:val="00666520"/>
    <w:rsid w:val="0066753C"/>
    <w:rsid w:val="00670153"/>
    <w:rsid w:val="0067049D"/>
    <w:rsid w:val="006707D7"/>
    <w:rsid w:val="0067662E"/>
    <w:rsid w:val="00676984"/>
    <w:rsid w:val="006773F8"/>
    <w:rsid w:val="00681CA4"/>
    <w:rsid w:val="006830E1"/>
    <w:rsid w:val="006876CF"/>
    <w:rsid w:val="006907CC"/>
    <w:rsid w:val="00696D04"/>
    <w:rsid w:val="00697C60"/>
    <w:rsid w:val="006A201C"/>
    <w:rsid w:val="006A2929"/>
    <w:rsid w:val="006A3183"/>
    <w:rsid w:val="006A611C"/>
    <w:rsid w:val="006B2F2C"/>
    <w:rsid w:val="006B6C7D"/>
    <w:rsid w:val="006C473E"/>
    <w:rsid w:val="006C4BEF"/>
    <w:rsid w:val="006C6985"/>
    <w:rsid w:val="006C6C6C"/>
    <w:rsid w:val="006C6DA2"/>
    <w:rsid w:val="006C70AB"/>
    <w:rsid w:val="006D137F"/>
    <w:rsid w:val="006D138C"/>
    <w:rsid w:val="006D4864"/>
    <w:rsid w:val="006D5BC8"/>
    <w:rsid w:val="006D6C0F"/>
    <w:rsid w:val="006D7008"/>
    <w:rsid w:val="006E0C7D"/>
    <w:rsid w:val="006E5227"/>
    <w:rsid w:val="006E7B38"/>
    <w:rsid w:val="006F125A"/>
    <w:rsid w:val="006F1E41"/>
    <w:rsid w:val="006F20B2"/>
    <w:rsid w:val="006F6831"/>
    <w:rsid w:val="006F716C"/>
    <w:rsid w:val="00701BF9"/>
    <w:rsid w:val="00702947"/>
    <w:rsid w:val="00703EEC"/>
    <w:rsid w:val="00704D4B"/>
    <w:rsid w:val="0071059E"/>
    <w:rsid w:val="00710B9B"/>
    <w:rsid w:val="00711DAF"/>
    <w:rsid w:val="00712B88"/>
    <w:rsid w:val="007142A4"/>
    <w:rsid w:val="00715420"/>
    <w:rsid w:val="0072123C"/>
    <w:rsid w:val="00724238"/>
    <w:rsid w:val="00726A1A"/>
    <w:rsid w:val="007308FA"/>
    <w:rsid w:val="0073440D"/>
    <w:rsid w:val="00737402"/>
    <w:rsid w:val="007406D6"/>
    <w:rsid w:val="00741F18"/>
    <w:rsid w:val="007455B3"/>
    <w:rsid w:val="0074588D"/>
    <w:rsid w:val="00745B32"/>
    <w:rsid w:val="007548E6"/>
    <w:rsid w:val="0075741E"/>
    <w:rsid w:val="0076348B"/>
    <w:rsid w:val="0076454F"/>
    <w:rsid w:val="0076781B"/>
    <w:rsid w:val="00774905"/>
    <w:rsid w:val="00775E31"/>
    <w:rsid w:val="00777828"/>
    <w:rsid w:val="00777BF4"/>
    <w:rsid w:val="00782F95"/>
    <w:rsid w:val="007843B1"/>
    <w:rsid w:val="00790EEC"/>
    <w:rsid w:val="00796050"/>
    <w:rsid w:val="00797783"/>
    <w:rsid w:val="00797DCC"/>
    <w:rsid w:val="007A1125"/>
    <w:rsid w:val="007A424B"/>
    <w:rsid w:val="007A42CF"/>
    <w:rsid w:val="007A57D4"/>
    <w:rsid w:val="007A6FC7"/>
    <w:rsid w:val="007A7ACC"/>
    <w:rsid w:val="007B1369"/>
    <w:rsid w:val="007B3942"/>
    <w:rsid w:val="007B53A5"/>
    <w:rsid w:val="007B5D08"/>
    <w:rsid w:val="007B6EFA"/>
    <w:rsid w:val="007C4B43"/>
    <w:rsid w:val="007C555F"/>
    <w:rsid w:val="007C6C08"/>
    <w:rsid w:val="007D1F18"/>
    <w:rsid w:val="007D719B"/>
    <w:rsid w:val="007D7FCD"/>
    <w:rsid w:val="007E3C68"/>
    <w:rsid w:val="007E44F9"/>
    <w:rsid w:val="007E6051"/>
    <w:rsid w:val="007E62A0"/>
    <w:rsid w:val="007F0772"/>
    <w:rsid w:val="007F0A11"/>
    <w:rsid w:val="007F26DE"/>
    <w:rsid w:val="007F5A42"/>
    <w:rsid w:val="00804240"/>
    <w:rsid w:val="00804C2E"/>
    <w:rsid w:val="00807F86"/>
    <w:rsid w:val="0081304C"/>
    <w:rsid w:val="00813507"/>
    <w:rsid w:val="00813C1F"/>
    <w:rsid w:val="008168F2"/>
    <w:rsid w:val="00820D24"/>
    <w:rsid w:val="00823A7A"/>
    <w:rsid w:val="00823E42"/>
    <w:rsid w:val="00825BD3"/>
    <w:rsid w:val="00832EC6"/>
    <w:rsid w:val="00840435"/>
    <w:rsid w:val="008412FF"/>
    <w:rsid w:val="008423D9"/>
    <w:rsid w:val="00845F0A"/>
    <w:rsid w:val="008473C7"/>
    <w:rsid w:val="00847562"/>
    <w:rsid w:val="00847A29"/>
    <w:rsid w:val="00850010"/>
    <w:rsid w:val="0085482E"/>
    <w:rsid w:val="00856263"/>
    <w:rsid w:val="00860816"/>
    <w:rsid w:val="00865D89"/>
    <w:rsid w:val="00871C13"/>
    <w:rsid w:val="008725B4"/>
    <w:rsid w:val="0087368F"/>
    <w:rsid w:val="00874380"/>
    <w:rsid w:val="00885B40"/>
    <w:rsid w:val="00886811"/>
    <w:rsid w:val="00887AAC"/>
    <w:rsid w:val="00887C62"/>
    <w:rsid w:val="00891665"/>
    <w:rsid w:val="00895722"/>
    <w:rsid w:val="008A0E52"/>
    <w:rsid w:val="008A197F"/>
    <w:rsid w:val="008B1CC0"/>
    <w:rsid w:val="008B2563"/>
    <w:rsid w:val="008C31BB"/>
    <w:rsid w:val="008C33FA"/>
    <w:rsid w:val="008C4970"/>
    <w:rsid w:val="008C5043"/>
    <w:rsid w:val="008C74C1"/>
    <w:rsid w:val="008C7953"/>
    <w:rsid w:val="008D11CA"/>
    <w:rsid w:val="008D204C"/>
    <w:rsid w:val="008D2F8E"/>
    <w:rsid w:val="008D33A7"/>
    <w:rsid w:val="008D51C5"/>
    <w:rsid w:val="008E2BAC"/>
    <w:rsid w:val="008E57E9"/>
    <w:rsid w:val="008E5FA5"/>
    <w:rsid w:val="008F2C8E"/>
    <w:rsid w:val="008F4776"/>
    <w:rsid w:val="00903121"/>
    <w:rsid w:val="00911DD3"/>
    <w:rsid w:val="00916834"/>
    <w:rsid w:val="00917BA8"/>
    <w:rsid w:val="009200BC"/>
    <w:rsid w:val="0092233B"/>
    <w:rsid w:val="00922462"/>
    <w:rsid w:val="009235F7"/>
    <w:rsid w:val="0092412D"/>
    <w:rsid w:val="00925F7E"/>
    <w:rsid w:val="00931209"/>
    <w:rsid w:val="00932EF8"/>
    <w:rsid w:val="0093307D"/>
    <w:rsid w:val="00934FE6"/>
    <w:rsid w:val="00935137"/>
    <w:rsid w:val="00936BEB"/>
    <w:rsid w:val="009412C6"/>
    <w:rsid w:val="00942606"/>
    <w:rsid w:val="00942F66"/>
    <w:rsid w:val="00945654"/>
    <w:rsid w:val="0094570D"/>
    <w:rsid w:val="00946F74"/>
    <w:rsid w:val="00952733"/>
    <w:rsid w:val="00953B00"/>
    <w:rsid w:val="0095549E"/>
    <w:rsid w:val="00955BA7"/>
    <w:rsid w:val="0096091F"/>
    <w:rsid w:val="0096117B"/>
    <w:rsid w:val="009635C3"/>
    <w:rsid w:val="00976F0E"/>
    <w:rsid w:val="00982A65"/>
    <w:rsid w:val="00982A75"/>
    <w:rsid w:val="009865AE"/>
    <w:rsid w:val="009870DD"/>
    <w:rsid w:val="00991BDC"/>
    <w:rsid w:val="00991DB3"/>
    <w:rsid w:val="00992E8A"/>
    <w:rsid w:val="00993016"/>
    <w:rsid w:val="00995650"/>
    <w:rsid w:val="009A056A"/>
    <w:rsid w:val="009A072C"/>
    <w:rsid w:val="009A2DC4"/>
    <w:rsid w:val="009A4729"/>
    <w:rsid w:val="009B10A7"/>
    <w:rsid w:val="009C0174"/>
    <w:rsid w:val="009C0B31"/>
    <w:rsid w:val="009C163A"/>
    <w:rsid w:val="009C7667"/>
    <w:rsid w:val="009C7927"/>
    <w:rsid w:val="009D2154"/>
    <w:rsid w:val="009D481F"/>
    <w:rsid w:val="009D5DF3"/>
    <w:rsid w:val="009E14BA"/>
    <w:rsid w:val="009E59DA"/>
    <w:rsid w:val="009E6E2B"/>
    <w:rsid w:val="009F1E4E"/>
    <w:rsid w:val="009F551E"/>
    <w:rsid w:val="009F578D"/>
    <w:rsid w:val="00A01F21"/>
    <w:rsid w:val="00A04143"/>
    <w:rsid w:val="00A0462B"/>
    <w:rsid w:val="00A05F99"/>
    <w:rsid w:val="00A07AD1"/>
    <w:rsid w:val="00A168FB"/>
    <w:rsid w:val="00A22EA1"/>
    <w:rsid w:val="00A24A80"/>
    <w:rsid w:val="00A24B77"/>
    <w:rsid w:val="00A24F30"/>
    <w:rsid w:val="00A25847"/>
    <w:rsid w:val="00A30480"/>
    <w:rsid w:val="00A40232"/>
    <w:rsid w:val="00A4074A"/>
    <w:rsid w:val="00A41846"/>
    <w:rsid w:val="00A43DEB"/>
    <w:rsid w:val="00A46583"/>
    <w:rsid w:val="00A46D3C"/>
    <w:rsid w:val="00A5020E"/>
    <w:rsid w:val="00A51D61"/>
    <w:rsid w:val="00A558FD"/>
    <w:rsid w:val="00A61490"/>
    <w:rsid w:val="00A623A5"/>
    <w:rsid w:val="00A65E1A"/>
    <w:rsid w:val="00A700CA"/>
    <w:rsid w:val="00A70AA6"/>
    <w:rsid w:val="00A718C4"/>
    <w:rsid w:val="00A72F01"/>
    <w:rsid w:val="00A72F02"/>
    <w:rsid w:val="00A83330"/>
    <w:rsid w:val="00A833F6"/>
    <w:rsid w:val="00A834D6"/>
    <w:rsid w:val="00A84263"/>
    <w:rsid w:val="00A9084A"/>
    <w:rsid w:val="00A91BC3"/>
    <w:rsid w:val="00A92238"/>
    <w:rsid w:val="00A94A3C"/>
    <w:rsid w:val="00A94F8A"/>
    <w:rsid w:val="00A95943"/>
    <w:rsid w:val="00AA3B43"/>
    <w:rsid w:val="00AB0177"/>
    <w:rsid w:val="00AB051A"/>
    <w:rsid w:val="00AB214C"/>
    <w:rsid w:val="00AB5848"/>
    <w:rsid w:val="00AC1782"/>
    <w:rsid w:val="00AC3374"/>
    <w:rsid w:val="00AC730D"/>
    <w:rsid w:val="00AC7F5A"/>
    <w:rsid w:val="00AD07FC"/>
    <w:rsid w:val="00AD42FD"/>
    <w:rsid w:val="00AD4C0B"/>
    <w:rsid w:val="00AE0AEB"/>
    <w:rsid w:val="00AE4CC4"/>
    <w:rsid w:val="00AE7EB3"/>
    <w:rsid w:val="00AF1DB7"/>
    <w:rsid w:val="00AF2373"/>
    <w:rsid w:val="00AF6553"/>
    <w:rsid w:val="00B0127F"/>
    <w:rsid w:val="00B101EF"/>
    <w:rsid w:val="00B11C54"/>
    <w:rsid w:val="00B223A9"/>
    <w:rsid w:val="00B237C9"/>
    <w:rsid w:val="00B31FB1"/>
    <w:rsid w:val="00B32254"/>
    <w:rsid w:val="00B3527C"/>
    <w:rsid w:val="00B36FF3"/>
    <w:rsid w:val="00B40A43"/>
    <w:rsid w:val="00B459A8"/>
    <w:rsid w:val="00B519A7"/>
    <w:rsid w:val="00B530C2"/>
    <w:rsid w:val="00B533A5"/>
    <w:rsid w:val="00B573BB"/>
    <w:rsid w:val="00B61EAA"/>
    <w:rsid w:val="00B64525"/>
    <w:rsid w:val="00B70AD7"/>
    <w:rsid w:val="00B718AC"/>
    <w:rsid w:val="00B71A00"/>
    <w:rsid w:val="00B71AC9"/>
    <w:rsid w:val="00B72059"/>
    <w:rsid w:val="00B73BD1"/>
    <w:rsid w:val="00B75CDE"/>
    <w:rsid w:val="00B83EE4"/>
    <w:rsid w:val="00B93CF0"/>
    <w:rsid w:val="00BA5FEC"/>
    <w:rsid w:val="00BA6262"/>
    <w:rsid w:val="00BB4951"/>
    <w:rsid w:val="00BB6974"/>
    <w:rsid w:val="00BB6CBE"/>
    <w:rsid w:val="00BB6D96"/>
    <w:rsid w:val="00BB6F77"/>
    <w:rsid w:val="00BC2D6E"/>
    <w:rsid w:val="00BC63BD"/>
    <w:rsid w:val="00BC654E"/>
    <w:rsid w:val="00BC6EFF"/>
    <w:rsid w:val="00BC7403"/>
    <w:rsid w:val="00BC7BD8"/>
    <w:rsid w:val="00BD3F9D"/>
    <w:rsid w:val="00BD4527"/>
    <w:rsid w:val="00BD5285"/>
    <w:rsid w:val="00BD5EA5"/>
    <w:rsid w:val="00BD7C2E"/>
    <w:rsid w:val="00BE4259"/>
    <w:rsid w:val="00BE63D4"/>
    <w:rsid w:val="00BF0885"/>
    <w:rsid w:val="00BF11BF"/>
    <w:rsid w:val="00BF194A"/>
    <w:rsid w:val="00BF27F8"/>
    <w:rsid w:val="00BF57B2"/>
    <w:rsid w:val="00BF5D35"/>
    <w:rsid w:val="00BF6D18"/>
    <w:rsid w:val="00C00A5B"/>
    <w:rsid w:val="00C01A00"/>
    <w:rsid w:val="00C10A97"/>
    <w:rsid w:val="00C1424A"/>
    <w:rsid w:val="00C2447A"/>
    <w:rsid w:val="00C302E4"/>
    <w:rsid w:val="00C34369"/>
    <w:rsid w:val="00C34AEC"/>
    <w:rsid w:val="00C4257D"/>
    <w:rsid w:val="00C44D94"/>
    <w:rsid w:val="00C46593"/>
    <w:rsid w:val="00C4699B"/>
    <w:rsid w:val="00C4727E"/>
    <w:rsid w:val="00C50640"/>
    <w:rsid w:val="00C52845"/>
    <w:rsid w:val="00C5402A"/>
    <w:rsid w:val="00C553D5"/>
    <w:rsid w:val="00C60FCB"/>
    <w:rsid w:val="00C74A86"/>
    <w:rsid w:val="00C75BCC"/>
    <w:rsid w:val="00C7657D"/>
    <w:rsid w:val="00C77560"/>
    <w:rsid w:val="00C84F46"/>
    <w:rsid w:val="00C861CD"/>
    <w:rsid w:val="00C863BF"/>
    <w:rsid w:val="00C92FD0"/>
    <w:rsid w:val="00C93583"/>
    <w:rsid w:val="00C95973"/>
    <w:rsid w:val="00CA09DD"/>
    <w:rsid w:val="00CA6E93"/>
    <w:rsid w:val="00CB03CE"/>
    <w:rsid w:val="00CB1F4A"/>
    <w:rsid w:val="00CB2860"/>
    <w:rsid w:val="00CB2ACF"/>
    <w:rsid w:val="00CB2D44"/>
    <w:rsid w:val="00CB347B"/>
    <w:rsid w:val="00CB3A2D"/>
    <w:rsid w:val="00CB5FF6"/>
    <w:rsid w:val="00CB615B"/>
    <w:rsid w:val="00CB749A"/>
    <w:rsid w:val="00CC39BC"/>
    <w:rsid w:val="00CC3C23"/>
    <w:rsid w:val="00CC764F"/>
    <w:rsid w:val="00CD1EED"/>
    <w:rsid w:val="00CD4BC0"/>
    <w:rsid w:val="00CD577E"/>
    <w:rsid w:val="00CD6691"/>
    <w:rsid w:val="00CE63A9"/>
    <w:rsid w:val="00CE7CEC"/>
    <w:rsid w:val="00CF7663"/>
    <w:rsid w:val="00D00F9D"/>
    <w:rsid w:val="00D11F68"/>
    <w:rsid w:val="00D15694"/>
    <w:rsid w:val="00D162F0"/>
    <w:rsid w:val="00D17477"/>
    <w:rsid w:val="00D175B2"/>
    <w:rsid w:val="00D21412"/>
    <w:rsid w:val="00D22390"/>
    <w:rsid w:val="00D247EA"/>
    <w:rsid w:val="00D3036A"/>
    <w:rsid w:val="00D32E3B"/>
    <w:rsid w:val="00D41DAE"/>
    <w:rsid w:val="00D431B3"/>
    <w:rsid w:val="00D477C5"/>
    <w:rsid w:val="00D51502"/>
    <w:rsid w:val="00D518A5"/>
    <w:rsid w:val="00D51B5B"/>
    <w:rsid w:val="00D5779D"/>
    <w:rsid w:val="00D63D2D"/>
    <w:rsid w:val="00D6798F"/>
    <w:rsid w:val="00D708FA"/>
    <w:rsid w:val="00D70B44"/>
    <w:rsid w:val="00D7239F"/>
    <w:rsid w:val="00D731B8"/>
    <w:rsid w:val="00D7739E"/>
    <w:rsid w:val="00D97D13"/>
    <w:rsid w:val="00D97DEE"/>
    <w:rsid w:val="00DA1471"/>
    <w:rsid w:val="00DA39FA"/>
    <w:rsid w:val="00DA45A3"/>
    <w:rsid w:val="00DB0C90"/>
    <w:rsid w:val="00DB2F15"/>
    <w:rsid w:val="00DB4C39"/>
    <w:rsid w:val="00DC16C4"/>
    <w:rsid w:val="00DC636A"/>
    <w:rsid w:val="00DC7397"/>
    <w:rsid w:val="00DD24DB"/>
    <w:rsid w:val="00DD2C12"/>
    <w:rsid w:val="00DD4D31"/>
    <w:rsid w:val="00DE4A23"/>
    <w:rsid w:val="00DF31D0"/>
    <w:rsid w:val="00DF326E"/>
    <w:rsid w:val="00DF3F8E"/>
    <w:rsid w:val="00DF54AF"/>
    <w:rsid w:val="00E023F6"/>
    <w:rsid w:val="00E03921"/>
    <w:rsid w:val="00E05D8F"/>
    <w:rsid w:val="00E10EBD"/>
    <w:rsid w:val="00E1195A"/>
    <w:rsid w:val="00E130EF"/>
    <w:rsid w:val="00E204D3"/>
    <w:rsid w:val="00E211F4"/>
    <w:rsid w:val="00E21C10"/>
    <w:rsid w:val="00E21CCB"/>
    <w:rsid w:val="00E22C4B"/>
    <w:rsid w:val="00E2348E"/>
    <w:rsid w:val="00E24883"/>
    <w:rsid w:val="00E314A7"/>
    <w:rsid w:val="00E31A08"/>
    <w:rsid w:val="00E336D7"/>
    <w:rsid w:val="00E4210E"/>
    <w:rsid w:val="00E43D5D"/>
    <w:rsid w:val="00E44DA4"/>
    <w:rsid w:val="00E462D0"/>
    <w:rsid w:val="00E471DE"/>
    <w:rsid w:val="00E5094B"/>
    <w:rsid w:val="00E52E07"/>
    <w:rsid w:val="00E533E1"/>
    <w:rsid w:val="00E54456"/>
    <w:rsid w:val="00E636DE"/>
    <w:rsid w:val="00E63966"/>
    <w:rsid w:val="00E81BC3"/>
    <w:rsid w:val="00E84AA9"/>
    <w:rsid w:val="00E8739C"/>
    <w:rsid w:val="00E87B07"/>
    <w:rsid w:val="00E9370B"/>
    <w:rsid w:val="00E953E2"/>
    <w:rsid w:val="00E9711B"/>
    <w:rsid w:val="00EA3873"/>
    <w:rsid w:val="00EA4510"/>
    <w:rsid w:val="00EA5DA2"/>
    <w:rsid w:val="00EB21F4"/>
    <w:rsid w:val="00EB282A"/>
    <w:rsid w:val="00EB31EA"/>
    <w:rsid w:val="00EB3797"/>
    <w:rsid w:val="00EB6AF1"/>
    <w:rsid w:val="00EC1542"/>
    <w:rsid w:val="00EC32DB"/>
    <w:rsid w:val="00ED0EB0"/>
    <w:rsid w:val="00EE36BA"/>
    <w:rsid w:val="00EE5FC1"/>
    <w:rsid w:val="00EF42B1"/>
    <w:rsid w:val="00EF64D9"/>
    <w:rsid w:val="00EF7376"/>
    <w:rsid w:val="00EF739E"/>
    <w:rsid w:val="00F02E01"/>
    <w:rsid w:val="00F07030"/>
    <w:rsid w:val="00F13D5B"/>
    <w:rsid w:val="00F176F5"/>
    <w:rsid w:val="00F200DA"/>
    <w:rsid w:val="00F2052A"/>
    <w:rsid w:val="00F2128E"/>
    <w:rsid w:val="00F25FAD"/>
    <w:rsid w:val="00F2736F"/>
    <w:rsid w:val="00F3171C"/>
    <w:rsid w:val="00F3273F"/>
    <w:rsid w:val="00F37DBA"/>
    <w:rsid w:val="00F4656F"/>
    <w:rsid w:val="00F53105"/>
    <w:rsid w:val="00F55528"/>
    <w:rsid w:val="00F56165"/>
    <w:rsid w:val="00F641D0"/>
    <w:rsid w:val="00F64BEF"/>
    <w:rsid w:val="00F655DE"/>
    <w:rsid w:val="00F74B7F"/>
    <w:rsid w:val="00F7698C"/>
    <w:rsid w:val="00F77946"/>
    <w:rsid w:val="00F82C10"/>
    <w:rsid w:val="00F92BFD"/>
    <w:rsid w:val="00F94CDE"/>
    <w:rsid w:val="00F95223"/>
    <w:rsid w:val="00F957F8"/>
    <w:rsid w:val="00F96E18"/>
    <w:rsid w:val="00FA2FE5"/>
    <w:rsid w:val="00FA53DC"/>
    <w:rsid w:val="00FA7055"/>
    <w:rsid w:val="00FA7A2E"/>
    <w:rsid w:val="00FB1051"/>
    <w:rsid w:val="00FB4014"/>
    <w:rsid w:val="00FB48EC"/>
    <w:rsid w:val="00FC46F5"/>
    <w:rsid w:val="00FC6CCF"/>
    <w:rsid w:val="00FC6D3A"/>
    <w:rsid w:val="00FC759F"/>
    <w:rsid w:val="00FC7AA7"/>
    <w:rsid w:val="00FD06B2"/>
    <w:rsid w:val="00FD358D"/>
    <w:rsid w:val="00FF0792"/>
    <w:rsid w:val="00FF1666"/>
    <w:rsid w:val="00FF425E"/>
    <w:rsid w:val="00FF5869"/>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2019-03-27T18:30:00+00:00</Judgment_x0020_Date>
    <Year xmlns="c1afb1bd-f2fb-40fd-9abb-aea55b4d7662">2019</Year>
  </documentManagement>
</p:properties>
</file>

<file path=customXml/itemProps1.xml><?xml version="1.0" encoding="utf-8"?>
<ds:datastoreItem xmlns:ds="http://schemas.openxmlformats.org/officeDocument/2006/customXml" ds:itemID="{74794CF2-2002-4A89-A2B3-DA1C43C8D120}"/>
</file>

<file path=customXml/itemProps2.xml><?xml version="1.0" encoding="utf-8"?>
<ds:datastoreItem xmlns:ds="http://schemas.openxmlformats.org/officeDocument/2006/customXml" ds:itemID="{E498CA22-B57B-4B26-98C7-DB0843E17C46}"/>
</file>

<file path=customXml/itemProps3.xml><?xml version="1.0" encoding="utf-8"?>
<ds:datastoreItem xmlns:ds="http://schemas.openxmlformats.org/officeDocument/2006/customXml" ds:itemID="{A29CDCA0-0DD0-4B22-9018-C37C6D7D4D2F}"/>
</file>

<file path=customXml/itemProps4.xml><?xml version="1.0" encoding="utf-8"?>
<ds:datastoreItem xmlns:ds="http://schemas.openxmlformats.org/officeDocument/2006/customXml" ds:itemID="{DF1AA8BC-45D8-4C5A-A9CD-FCD2BD71062E}"/>
</file>

<file path=docProps/app.xml><?xml version="1.0" encoding="utf-8"?>
<Properties xmlns="http://schemas.openxmlformats.org/officeDocument/2006/extended-properties" xmlns:vt="http://schemas.openxmlformats.org/officeDocument/2006/docPropsVTypes">
  <Template>Normal</Template>
  <TotalTime>0</TotalTime>
  <Pages>26</Pages>
  <Words>7399</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2</cp:revision>
  <cp:lastPrinted>2019-03-28T07:11:00Z</cp:lastPrinted>
  <dcterms:created xsi:type="dcterms:W3CDTF">2019-03-28T13:55:00Z</dcterms:created>
  <dcterms:modified xsi:type="dcterms:W3CDTF">2019-03-28T13:55:00Z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