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7D" w:rsidRPr="004D017D" w:rsidRDefault="004D017D" w:rsidP="004D017D">
      <w:pPr>
        <w:spacing w:after="0" w:line="360" w:lineRule="auto"/>
        <w:jc w:val="center"/>
        <w:rPr>
          <w:rFonts w:ascii="Arial" w:hAnsi="Arial" w:cs="Arial"/>
          <w:b/>
          <w:color w:val="0D0D0D" w:themeColor="text1" w:themeTint="F2"/>
          <w:sz w:val="24"/>
          <w:szCs w:val="24"/>
        </w:rPr>
      </w:pPr>
      <w:bookmarkStart w:id="0" w:name="_GoBack"/>
      <w:bookmarkEnd w:id="0"/>
      <w:r w:rsidRPr="004D017D">
        <w:rPr>
          <w:rFonts w:ascii="Arial" w:hAnsi="Arial" w:cs="Arial"/>
          <w:b/>
          <w:color w:val="0D0D0D" w:themeColor="text1" w:themeTint="F2"/>
          <w:sz w:val="24"/>
          <w:szCs w:val="24"/>
        </w:rPr>
        <w:t>REPUBLIC OF NAMIBIA</w:t>
      </w:r>
    </w:p>
    <w:p w:rsidR="004D017D" w:rsidRPr="004D017D" w:rsidRDefault="004D017D" w:rsidP="004D017D">
      <w:pPr>
        <w:spacing w:after="0" w:line="360" w:lineRule="auto"/>
        <w:rPr>
          <w:rFonts w:ascii="Arial" w:hAnsi="Arial" w:cs="Arial"/>
          <w:b/>
          <w:color w:val="0D0D0D" w:themeColor="text1" w:themeTint="F2"/>
          <w:sz w:val="24"/>
          <w:szCs w:val="24"/>
          <w:lang w:val="en-GB"/>
        </w:rPr>
      </w:pPr>
      <w:r w:rsidRPr="004D017D">
        <w:rPr>
          <w:rFonts w:ascii="Arial" w:eastAsia="Calibri" w:hAnsi="Arial" w:cs="Arial"/>
          <w:b/>
          <w:noProof/>
          <w:color w:val="0D0D0D" w:themeColor="text1" w:themeTint="F2"/>
          <w:sz w:val="24"/>
          <w:szCs w:val="24"/>
        </w:rPr>
        <w:drawing>
          <wp:anchor distT="0" distB="0" distL="114300" distR="114300" simplePos="0" relativeHeight="251659264" behindDoc="0" locked="0" layoutInCell="1" allowOverlap="1" wp14:anchorId="5EE24D36" wp14:editId="2AB90522">
            <wp:simplePos x="0" y="0"/>
            <wp:positionH relativeFrom="column">
              <wp:posOffset>2238375</wp:posOffset>
            </wp:positionH>
            <wp:positionV relativeFrom="paragraph">
              <wp:posOffset>9525</wp:posOffset>
            </wp:positionV>
            <wp:extent cx="1273175" cy="1325245"/>
            <wp:effectExtent l="0" t="0" r="3175" b="825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sidRPr="004D017D">
        <w:rPr>
          <w:rFonts w:ascii="Arial" w:hAnsi="Arial" w:cs="Arial"/>
          <w:b/>
          <w:color w:val="0D0D0D" w:themeColor="text1" w:themeTint="F2"/>
          <w:sz w:val="24"/>
          <w:szCs w:val="24"/>
          <w:lang w:val="en-GB"/>
        </w:rPr>
        <w:br w:type="textWrapping" w:clear="all"/>
      </w:r>
    </w:p>
    <w:p w:rsidR="004D017D" w:rsidRPr="004D017D" w:rsidRDefault="004D017D" w:rsidP="004D017D">
      <w:pPr>
        <w:spacing w:after="0" w:line="360" w:lineRule="auto"/>
        <w:jc w:val="both"/>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 xml:space="preserve">                     HIGH COURT OF NAMIBIA, MAIN DIVISION, WINDHOEK</w:t>
      </w:r>
    </w:p>
    <w:p w:rsidR="004D017D" w:rsidRPr="004D017D" w:rsidRDefault="004D017D" w:rsidP="004D017D">
      <w:pPr>
        <w:spacing w:after="0" w:line="360" w:lineRule="auto"/>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 xml:space="preserve">                                                 </w:t>
      </w:r>
    </w:p>
    <w:p w:rsidR="004D017D" w:rsidRPr="004D017D" w:rsidRDefault="004D017D" w:rsidP="004D017D">
      <w:pPr>
        <w:spacing w:after="0" w:line="360" w:lineRule="auto"/>
        <w:jc w:val="center"/>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JUDGMENT</w:t>
      </w:r>
    </w:p>
    <w:p w:rsidR="004D017D" w:rsidRPr="004D017D" w:rsidRDefault="004D017D" w:rsidP="004D017D">
      <w:pPr>
        <w:spacing w:after="0" w:line="360" w:lineRule="auto"/>
        <w:jc w:val="both"/>
        <w:rPr>
          <w:rFonts w:ascii="Arial" w:hAnsi="Arial" w:cs="Arial"/>
          <w:b/>
          <w:color w:val="0D0D0D" w:themeColor="text1" w:themeTint="F2"/>
          <w:sz w:val="24"/>
          <w:szCs w:val="24"/>
          <w:lang w:val="en-GB"/>
        </w:rPr>
      </w:pPr>
    </w:p>
    <w:p w:rsidR="004D017D" w:rsidRPr="004D017D" w:rsidRDefault="004D017D" w:rsidP="004D017D">
      <w:pPr>
        <w:spacing w:after="200" w:line="360" w:lineRule="auto"/>
        <w:jc w:val="right"/>
        <w:rPr>
          <w:rFonts w:ascii="Arial" w:hAnsi="Arial" w:cs="Arial"/>
          <w:color w:val="0D0D0D" w:themeColor="text1" w:themeTint="F2"/>
          <w:sz w:val="24"/>
          <w:szCs w:val="24"/>
          <w:lang w:val="en-GB"/>
        </w:rPr>
      </w:pPr>
      <w:r w:rsidRPr="004D017D">
        <w:rPr>
          <w:rFonts w:ascii="Arial" w:hAnsi="Arial" w:cs="Arial"/>
          <w:b/>
          <w:color w:val="0D0D0D" w:themeColor="text1" w:themeTint="F2"/>
          <w:sz w:val="24"/>
          <w:szCs w:val="24"/>
          <w:lang w:val="en-GB"/>
        </w:rPr>
        <w:t xml:space="preserve">                    CASE NO: HC-MD-CIV-APP-ATL-2018/00002</w:t>
      </w:r>
    </w:p>
    <w:p w:rsidR="004D017D" w:rsidRPr="004D017D" w:rsidRDefault="004D017D" w:rsidP="004D017D">
      <w:pPr>
        <w:spacing w:after="0" w:line="360" w:lineRule="auto"/>
        <w:jc w:val="center"/>
        <w:rPr>
          <w:rFonts w:ascii="Arial" w:hAnsi="Arial" w:cs="Arial"/>
          <w:b/>
          <w:color w:val="0D0D0D" w:themeColor="text1" w:themeTint="F2"/>
          <w:sz w:val="24"/>
          <w:szCs w:val="24"/>
          <w:lang w:val="en-GB"/>
        </w:rPr>
      </w:pPr>
    </w:p>
    <w:p w:rsidR="004D017D" w:rsidRPr="004D017D" w:rsidRDefault="004D017D" w:rsidP="004D017D">
      <w:pPr>
        <w:spacing w:after="0" w:line="360" w:lineRule="auto"/>
        <w:jc w:val="center"/>
        <w:rPr>
          <w:rFonts w:ascii="Arial" w:hAnsi="Arial" w:cs="Arial"/>
          <w:b/>
          <w:color w:val="0D0D0D" w:themeColor="text1" w:themeTint="F2"/>
          <w:sz w:val="24"/>
          <w:szCs w:val="24"/>
          <w:lang w:val="en-GB"/>
        </w:rPr>
      </w:pPr>
    </w:p>
    <w:p w:rsidR="004D017D" w:rsidRPr="004D017D" w:rsidRDefault="004D017D" w:rsidP="004D017D">
      <w:pPr>
        <w:spacing w:after="0" w:line="360" w:lineRule="auto"/>
        <w:jc w:val="both"/>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In the matter between:</w:t>
      </w:r>
    </w:p>
    <w:p w:rsidR="004D017D" w:rsidRPr="004D017D" w:rsidRDefault="004D017D" w:rsidP="004D017D">
      <w:pPr>
        <w:spacing w:after="0" w:line="360" w:lineRule="auto"/>
        <w:jc w:val="both"/>
        <w:rPr>
          <w:rFonts w:ascii="Arial" w:hAnsi="Arial" w:cs="Arial"/>
          <w:b/>
          <w:color w:val="0D0D0D" w:themeColor="text1" w:themeTint="F2"/>
          <w:sz w:val="24"/>
          <w:szCs w:val="24"/>
          <w:lang w:val="en-GB"/>
        </w:rPr>
      </w:pPr>
    </w:p>
    <w:p w:rsidR="004D017D" w:rsidRPr="004D017D" w:rsidRDefault="004D017D" w:rsidP="004D017D">
      <w:pPr>
        <w:tabs>
          <w:tab w:val="right" w:pos="9356"/>
        </w:tabs>
        <w:spacing w:after="0" w:line="360" w:lineRule="auto"/>
        <w:jc w:val="both"/>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JOSEPHINA KAMATI</w:t>
      </w:r>
      <w:r w:rsidR="00310F48">
        <w:rPr>
          <w:rFonts w:ascii="Arial" w:hAnsi="Arial" w:cs="Arial"/>
          <w:b/>
          <w:color w:val="0D0D0D" w:themeColor="text1" w:themeTint="F2"/>
          <w:sz w:val="24"/>
          <w:szCs w:val="24"/>
          <w:lang w:val="en-GB"/>
        </w:rPr>
        <w:t xml:space="preserve"> (BORN ABNER)</w:t>
      </w:r>
      <w:r w:rsidRPr="004D017D">
        <w:rPr>
          <w:rFonts w:ascii="Arial" w:hAnsi="Arial" w:cs="Arial"/>
          <w:b/>
          <w:color w:val="0D0D0D" w:themeColor="text1" w:themeTint="F2"/>
          <w:sz w:val="24"/>
          <w:szCs w:val="24"/>
          <w:lang w:val="en-GB"/>
        </w:rPr>
        <w:tab/>
        <w:t>APPELLANT</w:t>
      </w:r>
    </w:p>
    <w:p w:rsidR="004D017D" w:rsidRPr="004D017D" w:rsidRDefault="004D017D" w:rsidP="004D017D">
      <w:pPr>
        <w:spacing w:after="0" w:line="360" w:lineRule="auto"/>
        <w:jc w:val="both"/>
        <w:rPr>
          <w:rFonts w:ascii="Arial" w:hAnsi="Arial" w:cs="Arial"/>
          <w:b/>
          <w:color w:val="0D0D0D" w:themeColor="text1" w:themeTint="F2"/>
          <w:sz w:val="24"/>
          <w:szCs w:val="24"/>
          <w:lang w:val="en-GB"/>
        </w:rPr>
      </w:pPr>
    </w:p>
    <w:p w:rsidR="004D017D" w:rsidRPr="004D017D" w:rsidRDefault="004D017D" w:rsidP="004D017D">
      <w:pPr>
        <w:spacing w:after="0" w:line="360" w:lineRule="auto"/>
        <w:jc w:val="both"/>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and</w:t>
      </w:r>
    </w:p>
    <w:p w:rsidR="004D017D" w:rsidRPr="004D017D" w:rsidRDefault="004D017D" w:rsidP="004D017D">
      <w:pPr>
        <w:spacing w:after="0" w:line="360" w:lineRule="auto"/>
        <w:jc w:val="both"/>
        <w:rPr>
          <w:rFonts w:ascii="Arial" w:hAnsi="Arial" w:cs="Arial"/>
          <w:color w:val="0D0D0D" w:themeColor="text1" w:themeTint="F2"/>
          <w:sz w:val="24"/>
          <w:szCs w:val="24"/>
          <w:lang w:val="en-GB"/>
        </w:rPr>
      </w:pPr>
    </w:p>
    <w:p w:rsidR="004D017D" w:rsidRPr="004D017D" w:rsidRDefault="004D017D" w:rsidP="004D017D">
      <w:pPr>
        <w:tabs>
          <w:tab w:val="right" w:pos="9356"/>
        </w:tabs>
        <w:spacing w:after="0" w:line="360" w:lineRule="auto"/>
        <w:jc w:val="both"/>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THE CHAIRPERSON OF THE VETERANS BOARD</w:t>
      </w:r>
      <w:r w:rsidRPr="004D017D">
        <w:rPr>
          <w:rFonts w:ascii="Arial" w:hAnsi="Arial" w:cs="Arial"/>
          <w:b/>
          <w:color w:val="0D0D0D" w:themeColor="text1" w:themeTint="F2"/>
          <w:sz w:val="24"/>
          <w:szCs w:val="24"/>
          <w:lang w:val="en-GB"/>
        </w:rPr>
        <w:tab/>
        <w:t>RESPONDENT</w:t>
      </w:r>
    </w:p>
    <w:p w:rsidR="004D017D" w:rsidRPr="004D017D" w:rsidRDefault="004D017D" w:rsidP="004D017D">
      <w:pPr>
        <w:spacing w:after="0" w:line="360" w:lineRule="auto"/>
        <w:jc w:val="both"/>
        <w:rPr>
          <w:rFonts w:ascii="Arial" w:hAnsi="Arial" w:cs="Arial"/>
          <w:b/>
          <w:color w:val="0D0D0D" w:themeColor="text1" w:themeTint="F2"/>
          <w:sz w:val="24"/>
          <w:szCs w:val="24"/>
          <w:lang w:val="en-GB"/>
        </w:rPr>
      </w:pPr>
    </w:p>
    <w:p w:rsidR="004D017D" w:rsidRPr="004D017D" w:rsidRDefault="004D017D" w:rsidP="004D017D">
      <w:pPr>
        <w:spacing w:after="0" w:line="360" w:lineRule="auto"/>
        <w:ind w:left="2160" w:hanging="2160"/>
        <w:jc w:val="both"/>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Neutral Citation:</w:t>
      </w:r>
      <w:r w:rsidRPr="004D017D">
        <w:rPr>
          <w:rFonts w:ascii="Arial" w:hAnsi="Arial" w:cs="Arial"/>
          <w:sz w:val="24"/>
          <w:szCs w:val="24"/>
          <w:lang w:val="en-GB"/>
        </w:rPr>
        <w:tab/>
      </w:r>
      <w:r w:rsidR="00310F48">
        <w:rPr>
          <w:rFonts w:ascii="Arial" w:hAnsi="Arial" w:cs="Arial"/>
          <w:i/>
          <w:sz w:val="24"/>
          <w:szCs w:val="24"/>
          <w:lang w:val="en-GB"/>
        </w:rPr>
        <w:t>Josephina Kamati (</w:t>
      </w:r>
      <w:r w:rsidRPr="004D017D">
        <w:rPr>
          <w:rFonts w:ascii="Arial" w:hAnsi="Arial" w:cs="Arial"/>
          <w:i/>
          <w:sz w:val="24"/>
          <w:szCs w:val="24"/>
          <w:lang w:val="en-GB"/>
        </w:rPr>
        <w:t xml:space="preserve">Abner) v The Chairperson Of The Veterans Board </w:t>
      </w:r>
      <w:r w:rsidRPr="004D017D">
        <w:rPr>
          <w:rFonts w:ascii="Arial" w:hAnsi="Arial" w:cs="Arial"/>
          <w:sz w:val="24"/>
          <w:szCs w:val="24"/>
          <w:lang w:val="en-GB"/>
        </w:rPr>
        <w:t xml:space="preserve">(HC-MD-CIV-APP-ATL-2018/00002) [2019] NAHCMD </w:t>
      </w:r>
      <w:r w:rsidR="005860D5">
        <w:rPr>
          <w:rFonts w:ascii="Arial" w:hAnsi="Arial" w:cs="Arial"/>
          <w:sz w:val="24"/>
          <w:szCs w:val="24"/>
          <w:lang w:val="en-GB"/>
        </w:rPr>
        <w:t>70</w:t>
      </w:r>
      <w:r w:rsidRPr="004D017D">
        <w:rPr>
          <w:rFonts w:ascii="Arial" w:hAnsi="Arial" w:cs="Arial"/>
          <w:sz w:val="24"/>
          <w:szCs w:val="24"/>
          <w:lang w:val="en-GB"/>
        </w:rPr>
        <w:t xml:space="preserve"> (6 March 2018)</w:t>
      </w:r>
    </w:p>
    <w:p w:rsidR="004D017D" w:rsidRPr="004D017D" w:rsidRDefault="004D017D" w:rsidP="004D017D">
      <w:pPr>
        <w:spacing w:after="0" w:line="360" w:lineRule="auto"/>
        <w:jc w:val="both"/>
        <w:rPr>
          <w:rFonts w:ascii="Arial" w:hAnsi="Arial" w:cs="Arial"/>
          <w:b/>
          <w:color w:val="0D0D0D" w:themeColor="text1" w:themeTint="F2"/>
          <w:sz w:val="24"/>
          <w:szCs w:val="24"/>
          <w:lang w:val="en-GB"/>
        </w:rPr>
      </w:pPr>
    </w:p>
    <w:p w:rsidR="004D017D" w:rsidRPr="003B2362" w:rsidRDefault="004D017D" w:rsidP="004D017D">
      <w:pPr>
        <w:spacing w:after="0" w:line="360" w:lineRule="auto"/>
        <w:jc w:val="both"/>
        <w:rPr>
          <w:rFonts w:ascii="Arial" w:hAnsi="Arial" w:cs="Arial"/>
          <w:color w:val="0D0D0D" w:themeColor="text1" w:themeTint="F2"/>
          <w:sz w:val="24"/>
          <w:szCs w:val="24"/>
          <w:lang w:val="en-GB"/>
        </w:rPr>
      </w:pPr>
      <w:r w:rsidRPr="004D017D">
        <w:rPr>
          <w:rFonts w:ascii="Arial" w:hAnsi="Arial" w:cs="Arial"/>
          <w:b/>
          <w:color w:val="0D0D0D" w:themeColor="text1" w:themeTint="F2"/>
          <w:sz w:val="24"/>
          <w:szCs w:val="24"/>
          <w:lang w:val="en-GB"/>
        </w:rPr>
        <w:t>CORAM:</w:t>
      </w:r>
      <w:r w:rsidRPr="004D017D">
        <w:rPr>
          <w:rFonts w:ascii="Arial" w:hAnsi="Arial" w:cs="Arial"/>
          <w:b/>
          <w:color w:val="0D0D0D" w:themeColor="text1" w:themeTint="F2"/>
          <w:sz w:val="24"/>
          <w:szCs w:val="24"/>
          <w:lang w:val="en-GB"/>
        </w:rPr>
        <w:tab/>
      </w:r>
      <w:r w:rsidRPr="004D017D">
        <w:rPr>
          <w:rFonts w:ascii="Arial" w:hAnsi="Arial" w:cs="Arial"/>
          <w:color w:val="0D0D0D" w:themeColor="text1" w:themeTint="F2"/>
          <w:sz w:val="24"/>
          <w:szCs w:val="24"/>
          <w:lang w:val="en-GB"/>
        </w:rPr>
        <w:t>CLAASEN, AJ</w:t>
      </w:r>
    </w:p>
    <w:p w:rsidR="004D017D" w:rsidRPr="004D017D" w:rsidRDefault="004D017D" w:rsidP="004D017D">
      <w:pPr>
        <w:spacing w:after="0" w:line="360" w:lineRule="auto"/>
        <w:jc w:val="both"/>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Heard:</w:t>
      </w:r>
      <w:r w:rsidRPr="004D017D">
        <w:rPr>
          <w:rFonts w:ascii="Arial" w:hAnsi="Arial" w:cs="Arial"/>
          <w:b/>
          <w:color w:val="0D0D0D" w:themeColor="text1" w:themeTint="F2"/>
          <w:sz w:val="24"/>
          <w:szCs w:val="24"/>
          <w:lang w:val="en-GB"/>
        </w:rPr>
        <w:tab/>
        <w:t>25 January 2019</w:t>
      </w:r>
    </w:p>
    <w:p w:rsidR="004D017D" w:rsidRDefault="004D017D" w:rsidP="004D017D">
      <w:pPr>
        <w:spacing w:after="0" w:line="360" w:lineRule="auto"/>
        <w:jc w:val="both"/>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Delivered:</w:t>
      </w:r>
      <w:r w:rsidRPr="004D017D">
        <w:rPr>
          <w:rFonts w:ascii="Arial" w:hAnsi="Arial" w:cs="Arial"/>
          <w:b/>
          <w:color w:val="0D0D0D" w:themeColor="text1" w:themeTint="F2"/>
          <w:sz w:val="24"/>
          <w:szCs w:val="24"/>
          <w:lang w:val="en-GB"/>
        </w:rPr>
        <w:tab/>
        <w:t>06 March 2019</w:t>
      </w:r>
    </w:p>
    <w:p w:rsidR="00310F48" w:rsidRPr="004D017D" w:rsidRDefault="00310F48" w:rsidP="004D017D">
      <w:pPr>
        <w:spacing w:after="0" w:line="360" w:lineRule="auto"/>
        <w:jc w:val="both"/>
        <w:rPr>
          <w:rFonts w:ascii="Arial" w:hAnsi="Arial" w:cs="Arial"/>
          <w:b/>
          <w:color w:val="0D0D0D" w:themeColor="text1" w:themeTint="F2"/>
          <w:sz w:val="24"/>
          <w:szCs w:val="24"/>
          <w:lang w:val="en-GB"/>
        </w:rPr>
      </w:pPr>
      <w:r>
        <w:rPr>
          <w:rFonts w:ascii="Arial" w:hAnsi="Arial" w:cs="Arial"/>
          <w:b/>
          <w:color w:val="0D0D0D" w:themeColor="text1" w:themeTint="F2"/>
          <w:sz w:val="24"/>
          <w:szCs w:val="24"/>
          <w:lang w:val="en-GB"/>
        </w:rPr>
        <w:t xml:space="preserve">Reasons Released: </w:t>
      </w:r>
      <w:r w:rsidR="005860D5">
        <w:rPr>
          <w:rFonts w:ascii="Arial" w:hAnsi="Arial" w:cs="Arial"/>
          <w:b/>
          <w:color w:val="0D0D0D" w:themeColor="text1" w:themeTint="F2"/>
          <w:sz w:val="24"/>
          <w:szCs w:val="24"/>
          <w:lang w:val="en-GB"/>
        </w:rPr>
        <w:t>29 March 2019</w:t>
      </w:r>
    </w:p>
    <w:p w:rsidR="004D017D" w:rsidRPr="004D017D" w:rsidRDefault="004D017D" w:rsidP="004D017D">
      <w:pPr>
        <w:spacing w:after="0" w:line="360" w:lineRule="auto"/>
        <w:jc w:val="both"/>
        <w:rPr>
          <w:rFonts w:ascii="Arial" w:hAnsi="Arial" w:cs="Arial"/>
          <w:b/>
          <w:color w:val="0D0D0D" w:themeColor="text1" w:themeTint="F2"/>
          <w:sz w:val="24"/>
          <w:szCs w:val="24"/>
          <w:lang w:val="en-GB"/>
        </w:rPr>
      </w:pPr>
    </w:p>
    <w:p w:rsidR="002F5E71" w:rsidRPr="00443DCA" w:rsidRDefault="002F5E71" w:rsidP="002F5E71">
      <w:pPr>
        <w:spacing w:after="0" w:line="360" w:lineRule="auto"/>
        <w:jc w:val="both"/>
        <w:rPr>
          <w:rFonts w:ascii="Arial" w:hAnsi="Arial" w:cs="Arial"/>
          <w:bCs/>
          <w:color w:val="FF0000"/>
          <w:sz w:val="24"/>
          <w:szCs w:val="24"/>
        </w:rPr>
      </w:pPr>
      <w:r>
        <w:rPr>
          <w:rFonts w:ascii="Arial" w:hAnsi="Arial" w:cs="Arial"/>
          <w:b/>
          <w:bCs/>
          <w:sz w:val="24"/>
          <w:szCs w:val="24"/>
        </w:rPr>
        <w:lastRenderedPageBreak/>
        <w:t>Flynote:</w:t>
      </w:r>
      <w:r>
        <w:rPr>
          <w:rFonts w:ascii="Arial" w:hAnsi="Arial" w:cs="Arial"/>
          <w:b/>
          <w:bCs/>
          <w:sz w:val="24"/>
          <w:szCs w:val="24"/>
        </w:rPr>
        <w:tab/>
      </w:r>
      <w:r>
        <w:rPr>
          <w:rFonts w:ascii="Arial" w:hAnsi="Arial" w:cs="Arial"/>
          <w:bCs/>
          <w:sz w:val="24"/>
          <w:szCs w:val="24"/>
        </w:rPr>
        <w:t>Veterans Act</w:t>
      </w:r>
      <w:r w:rsidRPr="008A0D80">
        <w:rPr>
          <w:rFonts w:ascii="Arial" w:hAnsi="Arial" w:cs="Arial"/>
          <w:bCs/>
          <w:sz w:val="24"/>
          <w:szCs w:val="24"/>
        </w:rPr>
        <w:t xml:space="preserve"> – </w:t>
      </w:r>
      <w:r>
        <w:rPr>
          <w:rFonts w:ascii="Arial" w:hAnsi="Arial" w:cs="Arial"/>
          <w:bCs/>
          <w:sz w:val="24"/>
          <w:szCs w:val="24"/>
        </w:rPr>
        <w:t>Registration as a veteran</w:t>
      </w:r>
      <w:r w:rsidRPr="008A0D80">
        <w:rPr>
          <w:rFonts w:ascii="Arial" w:hAnsi="Arial" w:cs="Arial"/>
          <w:bCs/>
          <w:sz w:val="24"/>
          <w:szCs w:val="24"/>
        </w:rPr>
        <w:t xml:space="preserve"> – </w:t>
      </w:r>
      <w:r>
        <w:rPr>
          <w:rFonts w:ascii="Arial" w:hAnsi="Arial" w:cs="Arial"/>
          <w:bCs/>
          <w:sz w:val="24"/>
          <w:szCs w:val="24"/>
        </w:rPr>
        <w:t xml:space="preserve">Requirements of section 27(2)(b) – Appeal from Veteran’s Board - </w:t>
      </w:r>
      <w:r w:rsidRPr="008A0D80">
        <w:rPr>
          <w:rFonts w:ascii="Arial" w:hAnsi="Arial" w:cs="Arial"/>
          <w:bCs/>
          <w:sz w:val="24"/>
          <w:szCs w:val="24"/>
        </w:rPr>
        <w:t xml:space="preserve">Court upholding decision </w:t>
      </w:r>
      <w:r>
        <w:rPr>
          <w:rFonts w:ascii="Arial" w:hAnsi="Arial" w:cs="Arial"/>
          <w:bCs/>
          <w:sz w:val="24"/>
          <w:szCs w:val="24"/>
        </w:rPr>
        <w:t xml:space="preserve">by the Veterans Appeal Board – Court finding that the appeal record pointed to the fact that appellant did not provide evidence that she consistently and persistently </w:t>
      </w:r>
      <w:r w:rsidRPr="00D57AF7">
        <w:rPr>
          <w:rFonts w:ascii="Arial" w:hAnsi="Arial" w:cs="Arial"/>
          <w:bCs/>
          <w:sz w:val="24"/>
          <w:szCs w:val="24"/>
        </w:rPr>
        <w:t>participated or engaged in any political, diplomatic or under-ground activity in furtherance of the liberation struggle up to the date of independence</w:t>
      </w:r>
      <w:r>
        <w:rPr>
          <w:rFonts w:ascii="Arial" w:hAnsi="Arial" w:cs="Arial"/>
          <w:bCs/>
          <w:sz w:val="24"/>
          <w:szCs w:val="24"/>
        </w:rPr>
        <w:t xml:space="preserve"> as required by section 27(2)(b) </w:t>
      </w:r>
      <w:r w:rsidR="00C01217">
        <w:rPr>
          <w:rFonts w:ascii="Arial" w:hAnsi="Arial" w:cs="Arial"/>
          <w:bCs/>
          <w:sz w:val="24"/>
          <w:szCs w:val="24"/>
        </w:rPr>
        <w:t>– Consequently, the Veterans Appeal B</w:t>
      </w:r>
      <w:r w:rsidRPr="00D57AF7">
        <w:rPr>
          <w:rFonts w:ascii="Arial" w:hAnsi="Arial" w:cs="Arial"/>
          <w:bCs/>
          <w:sz w:val="24"/>
          <w:szCs w:val="24"/>
        </w:rPr>
        <w:t>oard’s decision not to register the appellant as a veteran in terms of section 27 was not wrong</w:t>
      </w:r>
      <w:r>
        <w:rPr>
          <w:rFonts w:ascii="Arial" w:hAnsi="Arial" w:cs="Arial"/>
          <w:bCs/>
          <w:sz w:val="24"/>
          <w:szCs w:val="24"/>
        </w:rPr>
        <w:t>.</w:t>
      </w:r>
    </w:p>
    <w:p w:rsidR="002F5E71" w:rsidRDefault="002F5E71" w:rsidP="002F5E71">
      <w:pPr>
        <w:spacing w:after="0" w:line="360" w:lineRule="auto"/>
        <w:jc w:val="both"/>
        <w:rPr>
          <w:rFonts w:ascii="Arial" w:hAnsi="Arial" w:cs="Arial"/>
          <w:bCs/>
          <w:sz w:val="24"/>
          <w:szCs w:val="24"/>
        </w:rPr>
      </w:pPr>
    </w:p>
    <w:p w:rsidR="002F5E71" w:rsidRDefault="002F5E71" w:rsidP="002F5E71">
      <w:pPr>
        <w:spacing w:after="0" w:line="360" w:lineRule="auto"/>
        <w:jc w:val="both"/>
        <w:rPr>
          <w:rFonts w:ascii="Arial" w:hAnsi="Arial" w:cs="Arial"/>
          <w:sz w:val="24"/>
          <w:szCs w:val="24"/>
        </w:rPr>
      </w:pPr>
      <w:r>
        <w:rPr>
          <w:rFonts w:ascii="Arial" w:hAnsi="Arial" w:cs="Arial"/>
          <w:b/>
          <w:bCs/>
          <w:sz w:val="24"/>
          <w:szCs w:val="24"/>
        </w:rPr>
        <w:t>Summary:</w:t>
      </w:r>
      <w:r>
        <w:rPr>
          <w:rFonts w:ascii="Arial" w:hAnsi="Arial" w:cs="Arial"/>
          <w:bCs/>
          <w:sz w:val="24"/>
          <w:szCs w:val="24"/>
        </w:rPr>
        <w:tab/>
        <w:t xml:space="preserve">Veterans Act – </w:t>
      </w:r>
      <w:r w:rsidRPr="00D97419">
        <w:rPr>
          <w:rFonts w:ascii="Arial" w:hAnsi="Arial" w:cs="Arial"/>
          <w:bCs/>
          <w:sz w:val="24"/>
          <w:szCs w:val="24"/>
        </w:rPr>
        <w:t>Registration as a veteran – Requirements of section</w:t>
      </w:r>
      <w:r w:rsidR="00C01217">
        <w:rPr>
          <w:rFonts w:ascii="Arial" w:hAnsi="Arial" w:cs="Arial"/>
          <w:bCs/>
          <w:sz w:val="24"/>
          <w:szCs w:val="24"/>
        </w:rPr>
        <w:t xml:space="preserve"> 27(2)(b) – Appeal from Veteran</w:t>
      </w:r>
      <w:r w:rsidRPr="00D97419">
        <w:rPr>
          <w:rFonts w:ascii="Arial" w:hAnsi="Arial" w:cs="Arial"/>
          <w:bCs/>
          <w:sz w:val="24"/>
          <w:szCs w:val="24"/>
        </w:rPr>
        <w:t>s</w:t>
      </w:r>
      <w:r w:rsidR="00C01217">
        <w:rPr>
          <w:rFonts w:ascii="Arial" w:hAnsi="Arial" w:cs="Arial"/>
          <w:bCs/>
          <w:sz w:val="24"/>
          <w:szCs w:val="24"/>
        </w:rPr>
        <w:t xml:space="preserve"> Appeal</w:t>
      </w:r>
      <w:r w:rsidRPr="00D97419">
        <w:rPr>
          <w:rFonts w:ascii="Arial" w:hAnsi="Arial" w:cs="Arial"/>
          <w:bCs/>
          <w:sz w:val="24"/>
          <w:szCs w:val="24"/>
        </w:rPr>
        <w:t xml:space="preserve"> Board </w:t>
      </w:r>
      <w:r>
        <w:rPr>
          <w:rFonts w:ascii="Arial" w:hAnsi="Arial" w:cs="Arial"/>
          <w:bCs/>
          <w:sz w:val="24"/>
          <w:szCs w:val="24"/>
        </w:rPr>
        <w:t>- The appellant, M</w:t>
      </w:r>
      <w:r w:rsidR="003B2362">
        <w:rPr>
          <w:rFonts w:ascii="Arial" w:hAnsi="Arial" w:cs="Arial"/>
          <w:bCs/>
          <w:sz w:val="24"/>
          <w:szCs w:val="24"/>
        </w:rPr>
        <w:t>r</w:t>
      </w:r>
      <w:r>
        <w:rPr>
          <w:rFonts w:ascii="Arial" w:hAnsi="Arial" w:cs="Arial"/>
          <w:bCs/>
          <w:sz w:val="24"/>
          <w:szCs w:val="24"/>
        </w:rPr>
        <w:t>s Kamati, filed an appe</w:t>
      </w:r>
      <w:r w:rsidR="00C01217">
        <w:rPr>
          <w:rFonts w:ascii="Arial" w:hAnsi="Arial" w:cs="Arial"/>
          <w:bCs/>
          <w:sz w:val="24"/>
          <w:szCs w:val="24"/>
        </w:rPr>
        <w:t>al against the decision of the Veterans Appeal B</w:t>
      </w:r>
      <w:r>
        <w:rPr>
          <w:rFonts w:ascii="Arial" w:hAnsi="Arial" w:cs="Arial"/>
          <w:bCs/>
          <w:sz w:val="24"/>
          <w:szCs w:val="24"/>
        </w:rPr>
        <w:t xml:space="preserve">oard not to register her as a veteran in terms of the Veterans Act </w:t>
      </w:r>
      <w:r w:rsidRPr="00595A7E">
        <w:rPr>
          <w:rFonts w:ascii="Arial" w:hAnsi="Arial" w:cs="Arial"/>
          <w:bCs/>
          <w:sz w:val="24"/>
          <w:szCs w:val="24"/>
        </w:rPr>
        <w:t>2 of 2008</w:t>
      </w:r>
      <w:r>
        <w:rPr>
          <w:rFonts w:ascii="Arial" w:hAnsi="Arial" w:cs="Arial"/>
          <w:bCs/>
          <w:sz w:val="24"/>
          <w:szCs w:val="24"/>
        </w:rPr>
        <w:t xml:space="preserve">. - </w:t>
      </w:r>
      <w:r>
        <w:rPr>
          <w:rFonts w:ascii="Arial" w:hAnsi="Arial" w:cs="Arial"/>
          <w:sz w:val="24"/>
          <w:szCs w:val="24"/>
        </w:rPr>
        <w:t>T</w:t>
      </w:r>
      <w:r w:rsidRPr="00AE12CC">
        <w:rPr>
          <w:rFonts w:ascii="Arial" w:hAnsi="Arial" w:cs="Arial"/>
          <w:sz w:val="24"/>
          <w:szCs w:val="24"/>
        </w:rPr>
        <w:t xml:space="preserve">he court </w:t>
      </w:r>
      <w:r>
        <w:rPr>
          <w:rFonts w:ascii="Arial" w:hAnsi="Arial" w:cs="Arial"/>
          <w:sz w:val="24"/>
          <w:szCs w:val="24"/>
        </w:rPr>
        <w:t>was tasked</w:t>
      </w:r>
      <w:r w:rsidRPr="00AE12CC">
        <w:rPr>
          <w:rFonts w:ascii="Arial" w:hAnsi="Arial" w:cs="Arial"/>
          <w:sz w:val="24"/>
          <w:szCs w:val="24"/>
        </w:rPr>
        <w:t xml:space="preserve"> to consider the grounds of appeal to determine whether appellant has satisfied the court that good grounds exist to uphold the appeal</w:t>
      </w:r>
      <w:r>
        <w:rPr>
          <w:rFonts w:ascii="Arial" w:hAnsi="Arial" w:cs="Arial"/>
          <w:sz w:val="24"/>
          <w:szCs w:val="24"/>
        </w:rPr>
        <w:t>. – It was further the task of this court to determine whether the</w:t>
      </w:r>
      <w:r w:rsidR="00C01217">
        <w:rPr>
          <w:rFonts w:ascii="Arial" w:hAnsi="Arial" w:cs="Arial"/>
          <w:sz w:val="24"/>
          <w:szCs w:val="24"/>
        </w:rPr>
        <w:t xml:space="preserve"> Veterans Appeal B</w:t>
      </w:r>
      <w:r>
        <w:rPr>
          <w:rFonts w:ascii="Arial" w:hAnsi="Arial" w:cs="Arial"/>
          <w:sz w:val="24"/>
          <w:szCs w:val="24"/>
        </w:rPr>
        <w:t>oard applied the requirements section 27(2)(b) correctly.</w:t>
      </w:r>
    </w:p>
    <w:p w:rsidR="002F5E71" w:rsidRDefault="002F5E71" w:rsidP="002F5E71">
      <w:pPr>
        <w:spacing w:after="0" w:line="360" w:lineRule="auto"/>
        <w:jc w:val="both"/>
        <w:rPr>
          <w:rFonts w:ascii="Arial" w:hAnsi="Arial" w:cs="Arial"/>
          <w:sz w:val="24"/>
          <w:szCs w:val="24"/>
        </w:rPr>
      </w:pPr>
    </w:p>
    <w:p w:rsidR="004D017D" w:rsidRDefault="002F5E71" w:rsidP="004D017D">
      <w:pPr>
        <w:spacing w:after="0" w:line="360" w:lineRule="auto"/>
        <w:jc w:val="both"/>
        <w:rPr>
          <w:rFonts w:ascii="Arial" w:hAnsi="Arial" w:cs="Arial"/>
          <w:bCs/>
          <w:sz w:val="24"/>
          <w:szCs w:val="24"/>
        </w:rPr>
      </w:pPr>
      <w:r w:rsidRPr="008B3081">
        <w:rPr>
          <w:rFonts w:ascii="Arial" w:hAnsi="Arial" w:cs="Arial"/>
          <w:i/>
          <w:sz w:val="24"/>
          <w:szCs w:val="24"/>
        </w:rPr>
        <w:t>Held</w:t>
      </w:r>
      <w:r>
        <w:rPr>
          <w:rFonts w:ascii="Arial" w:hAnsi="Arial" w:cs="Arial"/>
          <w:sz w:val="24"/>
          <w:szCs w:val="24"/>
        </w:rPr>
        <w:t xml:space="preserve"> –    The appellant failed to satisfy court that she </w:t>
      </w:r>
      <w:r w:rsidRPr="008B3081">
        <w:rPr>
          <w:rFonts w:ascii="Arial" w:hAnsi="Arial" w:cs="Arial"/>
          <w:bCs/>
          <w:sz w:val="24"/>
          <w:szCs w:val="24"/>
        </w:rPr>
        <w:t>consistently and persistently participated or engaged in any political, diplomatic or under-ground activity in furtherance of the liberation struggle up to the date of independence</w:t>
      </w:r>
      <w:r>
        <w:rPr>
          <w:rFonts w:ascii="Arial" w:hAnsi="Arial" w:cs="Arial"/>
          <w:bCs/>
          <w:sz w:val="24"/>
          <w:szCs w:val="24"/>
        </w:rPr>
        <w:t xml:space="preserve">. </w:t>
      </w:r>
    </w:p>
    <w:p w:rsidR="002F5E71" w:rsidRDefault="002F5E71" w:rsidP="004D017D">
      <w:pPr>
        <w:spacing w:after="0" w:line="360" w:lineRule="auto"/>
        <w:jc w:val="both"/>
        <w:rPr>
          <w:rFonts w:ascii="Arial" w:hAnsi="Arial" w:cs="Arial"/>
          <w:bCs/>
          <w:sz w:val="24"/>
          <w:szCs w:val="24"/>
        </w:rPr>
      </w:pPr>
    </w:p>
    <w:p w:rsidR="002F5E71" w:rsidRPr="002F5E71" w:rsidRDefault="002F5E71" w:rsidP="004D017D">
      <w:pPr>
        <w:spacing w:after="0" w:line="360" w:lineRule="auto"/>
        <w:jc w:val="both"/>
        <w:rPr>
          <w:rFonts w:ascii="Arial" w:hAnsi="Arial" w:cs="Arial"/>
          <w:bCs/>
          <w:color w:val="FF0000"/>
          <w:sz w:val="24"/>
          <w:szCs w:val="24"/>
        </w:rPr>
      </w:pPr>
      <w:r w:rsidRPr="002F5E71">
        <w:rPr>
          <w:rFonts w:ascii="Arial" w:hAnsi="Arial" w:cs="Arial"/>
          <w:bCs/>
          <w:i/>
          <w:sz w:val="24"/>
          <w:szCs w:val="24"/>
        </w:rPr>
        <w:t>Held further</w:t>
      </w:r>
      <w:r>
        <w:rPr>
          <w:rFonts w:ascii="Arial" w:hAnsi="Arial" w:cs="Arial"/>
          <w:bCs/>
          <w:sz w:val="24"/>
          <w:szCs w:val="24"/>
        </w:rPr>
        <w:t xml:space="preserve"> -</w:t>
      </w:r>
      <w:r>
        <w:rPr>
          <w:rFonts w:ascii="Arial" w:hAnsi="Arial" w:cs="Arial"/>
          <w:bCs/>
          <w:sz w:val="24"/>
          <w:szCs w:val="24"/>
        </w:rPr>
        <w:tab/>
        <w:t>The decision of the appeal board was in accordance with the requirements of section 27(2)(b).</w:t>
      </w:r>
    </w:p>
    <w:p w:rsidR="004D017D" w:rsidRPr="004D017D" w:rsidRDefault="004D017D" w:rsidP="004D017D">
      <w:pPr>
        <w:spacing w:after="0" w:line="360" w:lineRule="auto"/>
        <w:jc w:val="both"/>
        <w:rPr>
          <w:rFonts w:ascii="Arial" w:hAnsi="Arial" w:cs="Arial"/>
          <w:b/>
          <w:color w:val="0D0D0D" w:themeColor="text1" w:themeTint="F2"/>
          <w:sz w:val="24"/>
          <w:szCs w:val="24"/>
          <w:lang w:val="en-GB"/>
        </w:rPr>
      </w:pPr>
    </w:p>
    <w:p w:rsidR="004D017D" w:rsidRPr="004D017D" w:rsidRDefault="004D017D" w:rsidP="004D017D">
      <w:pPr>
        <w:pBdr>
          <w:top w:val="single" w:sz="4" w:space="1" w:color="auto"/>
        </w:pBdr>
        <w:spacing w:after="0" w:line="360" w:lineRule="auto"/>
        <w:jc w:val="both"/>
        <w:rPr>
          <w:rFonts w:ascii="Arial" w:hAnsi="Arial" w:cs="Arial"/>
          <w:b/>
          <w:color w:val="0D0D0D" w:themeColor="text1" w:themeTint="F2"/>
          <w:sz w:val="24"/>
          <w:szCs w:val="24"/>
          <w:lang w:val="en-GB"/>
        </w:rPr>
      </w:pPr>
    </w:p>
    <w:p w:rsidR="004D017D" w:rsidRPr="004D017D" w:rsidRDefault="004D017D" w:rsidP="004D017D">
      <w:pPr>
        <w:spacing w:after="0" w:line="360" w:lineRule="auto"/>
        <w:jc w:val="center"/>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ORDER</w:t>
      </w:r>
    </w:p>
    <w:p w:rsidR="004D017D" w:rsidRPr="004D017D" w:rsidRDefault="004D017D" w:rsidP="004D017D">
      <w:pPr>
        <w:spacing w:after="0" w:line="360" w:lineRule="auto"/>
        <w:jc w:val="both"/>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______________________________________________________________________</w:t>
      </w:r>
    </w:p>
    <w:p w:rsidR="004D017D" w:rsidRPr="004D017D" w:rsidRDefault="004D017D" w:rsidP="004D017D">
      <w:pPr>
        <w:spacing w:after="0" w:line="360" w:lineRule="auto"/>
        <w:ind w:left="720"/>
        <w:jc w:val="both"/>
        <w:rPr>
          <w:rFonts w:ascii="Arial" w:hAnsi="Arial" w:cs="Arial"/>
          <w:color w:val="0D0D0D" w:themeColor="text1" w:themeTint="F2"/>
          <w:sz w:val="24"/>
          <w:szCs w:val="24"/>
          <w:lang w:val="en-GB"/>
        </w:rPr>
      </w:pPr>
    </w:p>
    <w:p w:rsidR="004D017D" w:rsidRPr="004D017D" w:rsidRDefault="004D017D" w:rsidP="004D017D">
      <w:pPr>
        <w:numPr>
          <w:ilvl w:val="0"/>
          <w:numId w:val="21"/>
        </w:numPr>
        <w:spacing w:after="0" w:line="360" w:lineRule="auto"/>
        <w:jc w:val="both"/>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The appeal is hereby dismissed.</w:t>
      </w:r>
    </w:p>
    <w:p w:rsidR="004D017D" w:rsidRPr="004D017D" w:rsidRDefault="004D017D" w:rsidP="004D017D">
      <w:pPr>
        <w:numPr>
          <w:ilvl w:val="0"/>
          <w:numId w:val="21"/>
        </w:numPr>
        <w:spacing w:after="0" w:line="360" w:lineRule="auto"/>
        <w:jc w:val="both"/>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The matter is removed from the roll and regarded as finalised.</w:t>
      </w:r>
    </w:p>
    <w:p w:rsidR="004D017D" w:rsidRPr="004D017D" w:rsidRDefault="004D017D" w:rsidP="004D017D">
      <w:pPr>
        <w:spacing w:after="200" w:line="360" w:lineRule="auto"/>
        <w:jc w:val="both"/>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______________________________________________________________________</w:t>
      </w:r>
    </w:p>
    <w:p w:rsidR="004D017D" w:rsidRPr="004D017D" w:rsidRDefault="004D017D" w:rsidP="004D017D">
      <w:pPr>
        <w:spacing w:after="200" w:line="360" w:lineRule="auto"/>
        <w:jc w:val="center"/>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lastRenderedPageBreak/>
        <w:t xml:space="preserve">JUDGMENT </w:t>
      </w:r>
    </w:p>
    <w:p w:rsidR="004D017D" w:rsidRPr="004D017D" w:rsidRDefault="004D017D" w:rsidP="004D017D">
      <w:pPr>
        <w:spacing w:after="200" w:line="360" w:lineRule="auto"/>
        <w:jc w:val="both"/>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______________________________________________________________________</w:t>
      </w:r>
    </w:p>
    <w:p w:rsidR="00BA54E0" w:rsidRPr="004D017D" w:rsidRDefault="004D017D" w:rsidP="004D017D">
      <w:pPr>
        <w:spacing w:after="200" w:line="360" w:lineRule="auto"/>
        <w:jc w:val="both"/>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CLAASEN A J:</w:t>
      </w:r>
    </w:p>
    <w:p w:rsidR="004D017D" w:rsidRDefault="004D017D" w:rsidP="003B2362">
      <w:pPr>
        <w:spacing w:after="200" w:line="360" w:lineRule="auto"/>
        <w:jc w:val="both"/>
        <w:rPr>
          <w:rFonts w:ascii="Arial" w:hAnsi="Arial" w:cs="Arial"/>
          <w:color w:val="0D0D0D" w:themeColor="text1" w:themeTint="F2"/>
          <w:sz w:val="24"/>
          <w:szCs w:val="24"/>
          <w:u w:val="single"/>
          <w:lang w:val="en-GB"/>
        </w:rPr>
      </w:pPr>
      <w:r w:rsidRPr="004D017D">
        <w:rPr>
          <w:rFonts w:ascii="Arial" w:hAnsi="Arial" w:cs="Arial"/>
          <w:color w:val="0D0D0D" w:themeColor="text1" w:themeTint="F2"/>
          <w:sz w:val="24"/>
          <w:szCs w:val="24"/>
          <w:u w:val="single"/>
          <w:lang w:val="en-GB"/>
        </w:rPr>
        <w:t xml:space="preserve">Introduction </w:t>
      </w:r>
      <w:r w:rsidR="0061035D">
        <w:rPr>
          <w:rFonts w:ascii="Arial" w:hAnsi="Arial" w:cs="Arial"/>
          <w:color w:val="0D0D0D" w:themeColor="text1" w:themeTint="F2"/>
          <w:sz w:val="24"/>
          <w:szCs w:val="24"/>
          <w:u w:val="single"/>
          <w:lang w:val="en-GB"/>
        </w:rPr>
        <w:t>3</w:t>
      </w:r>
    </w:p>
    <w:p w:rsidR="0061035D" w:rsidRPr="004D017D" w:rsidRDefault="0061035D" w:rsidP="003B2362">
      <w:pPr>
        <w:spacing w:after="200" w:line="360" w:lineRule="auto"/>
        <w:jc w:val="both"/>
        <w:rPr>
          <w:rFonts w:ascii="Arial" w:hAnsi="Arial" w:cs="Arial"/>
          <w:color w:val="0D0D0D" w:themeColor="text1" w:themeTint="F2"/>
          <w:sz w:val="24"/>
          <w:szCs w:val="24"/>
          <w:u w:val="single"/>
          <w:lang w:val="en-GB"/>
        </w:rPr>
      </w:pPr>
    </w:p>
    <w:p w:rsidR="0061035D" w:rsidRDefault="00446F20" w:rsidP="00446F20">
      <w:pPr>
        <w:spacing w:after="0" w:line="360" w:lineRule="auto"/>
        <w:contextualSpacing/>
        <w:jc w:val="both"/>
        <w:rPr>
          <w:rFonts w:ascii="Arial" w:eastAsia="Calibri" w:hAnsi="Arial" w:cs="Arial"/>
          <w:color w:val="262626" w:themeColor="text1" w:themeTint="D9"/>
          <w:sz w:val="24"/>
          <w:szCs w:val="24"/>
        </w:rPr>
      </w:pPr>
      <w:r>
        <w:rPr>
          <w:rFonts w:ascii="Arial" w:eastAsia="Calibri" w:hAnsi="Arial" w:cs="Arial"/>
          <w:color w:val="262626" w:themeColor="text1" w:themeTint="D9"/>
          <w:sz w:val="24"/>
          <w:szCs w:val="24"/>
        </w:rPr>
        <w:t>[1]</w:t>
      </w:r>
      <w:r>
        <w:rPr>
          <w:rFonts w:ascii="Arial" w:eastAsia="Calibri" w:hAnsi="Arial" w:cs="Arial"/>
          <w:color w:val="262626" w:themeColor="text1" w:themeTint="D9"/>
          <w:sz w:val="24"/>
          <w:szCs w:val="24"/>
        </w:rPr>
        <w:tab/>
      </w:r>
      <w:r w:rsidR="0061035D">
        <w:rPr>
          <w:rFonts w:ascii="Arial" w:eastAsia="Calibri" w:hAnsi="Arial" w:cs="Arial"/>
          <w:color w:val="262626" w:themeColor="text1" w:themeTint="D9"/>
          <w:sz w:val="24"/>
          <w:szCs w:val="24"/>
        </w:rPr>
        <w:t>The appellant in this matter appealed against the decision of the Veterans Appeal Board. The citation of the respondent refers to the Chairperson of the Veterans Board. The citation is a simple grammatical error and the citation of the respondent should have been the Chairperson of the Veterans Appeal Board.</w:t>
      </w:r>
    </w:p>
    <w:p w:rsidR="0061035D" w:rsidRDefault="0061035D" w:rsidP="00446F20">
      <w:pPr>
        <w:spacing w:after="0" w:line="360" w:lineRule="auto"/>
        <w:contextualSpacing/>
        <w:jc w:val="both"/>
        <w:rPr>
          <w:rFonts w:ascii="Arial" w:eastAsia="Calibri" w:hAnsi="Arial" w:cs="Arial"/>
          <w:color w:val="262626" w:themeColor="text1" w:themeTint="D9"/>
          <w:sz w:val="24"/>
          <w:szCs w:val="24"/>
        </w:rPr>
      </w:pPr>
    </w:p>
    <w:p w:rsidR="00310F48" w:rsidRDefault="0061035D" w:rsidP="00446F20">
      <w:pPr>
        <w:spacing w:after="0" w:line="360" w:lineRule="auto"/>
        <w:contextualSpacing/>
        <w:jc w:val="both"/>
        <w:rPr>
          <w:rFonts w:ascii="Arial" w:eastAsia="Calibri" w:hAnsi="Arial" w:cs="Arial"/>
          <w:color w:val="262626" w:themeColor="text1" w:themeTint="D9"/>
          <w:sz w:val="24"/>
          <w:szCs w:val="24"/>
        </w:rPr>
      </w:pPr>
      <w:r>
        <w:rPr>
          <w:rFonts w:ascii="Arial" w:eastAsia="Calibri" w:hAnsi="Arial" w:cs="Arial"/>
          <w:color w:val="262626" w:themeColor="text1" w:themeTint="D9"/>
          <w:sz w:val="24"/>
          <w:szCs w:val="24"/>
        </w:rPr>
        <w:t>[2]</w:t>
      </w:r>
      <w:r>
        <w:rPr>
          <w:rFonts w:ascii="Arial" w:eastAsia="Calibri" w:hAnsi="Arial" w:cs="Arial"/>
          <w:color w:val="262626" w:themeColor="text1" w:themeTint="D9"/>
          <w:sz w:val="24"/>
          <w:szCs w:val="24"/>
        </w:rPr>
        <w:tab/>
      </w:r>
      <w:r w:rsidR="004D017D" w:rsidRPr="004D017D">
        <w:rPr>
          <w:rFonts w:ascii="Arial" w:eastAsia="Calibri" w:hAnsi="Arial" w:cs="Arial"/>
          <w:color w:val="262626" w:themeColor="text1" w:themeTint="D9"/>
          <w:sz w:val="24"/>
          <w:szCs w:val="24"/>
        </w:rPr>
        <w:t>This matter brings to mind the words of Rev</w:t>
      </w:r>
      <w:r w:rsidR="00CA5D84">
        <w:rPr>
          <w:rFonts w:ascii="Arial" w:eastAsia="Calibri" w:hAnsi="Arial" w:cs="Arial"/>
          <w:color w:val="262626" w:themeColor="text1" w:themeTint="D9"/>
          <w:sz w:val="24"/>
          <w:szCs w:val="24"/>
        </w:rPr>
        <w:t>ere</w:t>
      </w:r>
      <w:r w:rsidR="00310F48">
        <w:rPr>
          <w:rFonts w:ascii="Arial" w:eastAsia="Calibri" w:hAnsi="Arial" w:cs="Arial"/>
          <w:color w:val="262626" w:themeColor="text1" w:themeTint="D9"/>
          <w:sz w:val="24"/>
          <w:szCs w:val="24"/>
        </w:rPr>
        <w:t xml:space="preserve">nd </w:t>
      </w:r>
      <w:r w:rsidR="004D017D" w:rsidRPr="004D017D">
        <w:rPr>
          <w:rFonts w:ascii="Arial" w:eastAsia="Calibri" w:hAnsi="Arial" w:cs="Arial"/>
          <w:color w:val="262626" w:themeColor="text1" w:themeTint="D9"/>
          <w:sz w:val="24"/>
          <w:szCs w:val="24"/>
        </w:rPr>
        <w:t xml:space="preserve">Martin Luther King </w:t>
      </w:r>
      <w:r w:rsidR="004E3847">
        <w:rPr>
          <w:rFonts w:ascii="Arial" w:eastAsia="Calibri" w:hAnsi="Arial" w:cs="Arial"/>
          <w:color w:val="262626" w:themeColor="text1" w:themeTint="D9"/>
          <w:sz w:val="24"/>
          <w:szCs w:val="24"/>
        </w:rPr>
        <w:t>‘</w:t>
      </w:r>
      <w:r w:rsidR="004D017D" w:rsidRPr="004D017D">
        <w:rPr>
          <w:rFonts w:ascii="Arial" w:eastAsia="Calibri" w:hAnsi="Arial" w:cs="Arial"/>
          <w:color w:val="262626" w:themeColor="text1" w:themeTint="D9"/>
          <w:sz w:val="24"/>
          <w:szCs w:val="24"/>
        </w:rPr>
        <w:t>freedom is never voluntarily given by the oppressor; it must be demanded by the oppressed.</w:t>
      </w:r>
      <w:r w:rsidR="004E3847">
        <w:rPr>
          <w:rFonts w:ascii="Arial" w:eastAsia="Calibri" w:hAnsi="Arial" w:cs="Arial"/>
          <w:color w:val="262626" w:themeColor="text1" w:themeTint="D9"/>
          <w:sz w:val="24"/>
          <w:szCs w:val="24"/>
        </w:rPr>
        <w:t>’</w:t>
      </w:r>
      <w:r w:rsidR="004D017D" w:rsidRPr="004D017D">
        <w:rPr>
          <w:rFonts w:ascii="Arial" w:eastAsia="Calibri" w:hAnsi="Arial" w:cs="Arial"/>
          <w:color w:val="262626" w:themeColor="text1" w:themeTint="D9"/>
          <w:sz w:val="24"/>
          <w:szCs w:val="24"/>
        </w:rPr>
        <w:t xml:space="preserve">  Many Namibians citizens have served in the arduous passage to freedom from South African reign. Their contribution was not in vain, as on 21 March 1990, Namibia gained its independence as a sovereign state.</w:t>
      </w:r>
    </w:p>
    <w:p w:rsidR="00310F48" w:rsidRDefault="00310F48" w:rsidP="00310F48">
      <w:pPr>
        <w:spacing w:after="0" w:line="360" w:lineRule="auto"/>
        <w:ind w:left="720"/>
        <w:contextualSpacing/>
        <w:jc w:val="both"/>
        <w:rPr>
          <w:rFonts w:ascii="Arial" w:eastAsia="Calibri" w:hAnsi="Arial" w:cs="Arial"/>
          <w:color w:val="262626" w:themeColor="text1" w:themeTint="D9"/>
          <w:sz w:val="24"/>
          <w:szCs w:val="24"/>
        </w:rPr>
      </w:pPr>
    </w:p>
    <w:p w:rsidR="004D017D" w:rsidRPr="004D017D" w:rsidRDefault="00446F20" w:rsidP="00446F20">
      <w:pPr>
        <w:spacing w:after="0" w:line="360" w:lineRule="auto"/>
        <w:contextualSpacing/>
        <w:jc w:val="both"/>
        <w:rPr>
          <w:rFonts w:ascii="Arial" w:eastAsia="Calibri" w:hAnsi="Arial" w:cs="Arial"/>
          <w:color w:val="262626" w:themeColor="text1" w:themeTint="D9"/>
          <w:sz w:val="24"/>
          <w:szCs w:val="24"/>
        </w:rPr>
      </w:pPr>
      <w:r>
        <w:rPr>
          <w:rFonts w:ascii="Arial" w:eastAsia="Calibri" w:hAnsi="Arial" w:cs="Arial"/>
          <w:color w:val="262626" w:themeColor="text1" w:themeTint="D9"/>
          <w:sz w:val="24"/>
          <w:szCs w:val="24"/>
        </w:rPr>
        <w:t>[</w:t>
      </w:r>
      <w:r w:rsidR="0061035D">
        <w:rPr>
          <w:rFonts w:ascii="Arial" w:eastAsia="Calibri" w:hAnsi="Arial" w:cs="Arial"/>
          <w:color w:val="262626" w:themeColor="text1" w:themeTint="D9"/>
          <w:sz w:val="24"/>
          <w:szCs w:val="24"/>
        </w:rPr>
        <w:t>3</w:t>
      </w:r>
      <w:r>
        <w:rPr>
          <w:rFonts w:ascii="Arial" w:eastAsia="Calibri" w:hAnsi="Arial" w:cs="Arial"/>
          <w:color w:val="262626" w:themeColor="text1" w:themeTint="D9"/>
          <w:sz w:val="24"/>
          <w:szCs w:val="24"/>
        </w:rPr>
        <w:t>]</w:t>
      </w:r>
      <w:r>
        <w:rPr>
          <w:rFonts w:ascii="Arial" w:eastAsia="Calibri" w:hAnsi="Arial" w:cs="Arial"/>
          <w:color w:val="262626" w:themeColor="text1" w:themeTint="D9"/>
          <w:sz w:val="24"/>
          <w:szCs w:val="24"/>
        </w:rPr>
        <w:tab/>
      </w:r>
      <w:r w:rsidR="004D017D" w:rsidRPr="004D017D">
        <w:rPr>
          <w:rFonts w:ascii="Arial" w:eastAsia="Calibri" w:hAnsi="Arial" w:cs="Arial"/>
          <w:color w:val="262626" w:themeColor="text1" w:themeTint="D9"/>
          <w:sz w:val="24"/>
          <w:szCs w:val="24"/>
        </w:rPr>
        <w:t xml:space="preserve">Eighteen years </w:t>
      </w:r>
      <w:r w:rsidR="00310F48">
        <w:rPr>
          <w:rFonts w:ascii="Arial" w:eastAsia="Calibri" w:hAnsi="Arial" w:cs="Arial"/>
          <w:color w:val="262626" w:themeColor="text1" w:themeTint="D9"/>
          <w:sz w:val="24"/>
          <w:szCs w:val="24"/>
        </w:rPr>
        <w:t xml:space="preserve">after Namibia’s independence </w:t>
      </w:r>
      <w:r w:rsidR="004D017D" w:rsidRPr="004D017D">
        <w:rPr>
          <w:rFonts w:ascii="Arial" w:eastAsia="Calibri" w:hAnsi="Arial" w:cs="Arial"/>
          <w:color w:val="262626" w:themeColor="text1" w:themeTint="D9"/>
          <w:sz w:val="24"/>
          <w:szCs w:val="24"/>
        </w:rPr>
        <w:t xml:space="preserve">the </w:t>
      </w:r>
      <w:r w:rsidR="00310F48">
        <w:rPr>
          <w:rFonts w:ascii="Arial" w:eastAsia="Calibri" w:hAnsi="Arial" w:cs="Arial"/>
          <w:color w:val="262626" w:themeColor="text1" w:themeTint="D9"/>
          <w:sz w:val="24"/>
          <w:szCs w:val="24"/>
        </w:rPr>
        <w:t xml:space="preserve">government </w:t>
      </w:r>
      <w:r w:rsidR="004D017D" w:rsidRPr="004D017D">
        <w:rPr>
          <w:rFonts w:ascii="Arial" w:eastAsia="Calibri" w:hAnsi="Arial" w:cs="Arial"/>
          <w:color w:val="262626" w:themeColor="text1" w:themeTint="D9"/>
          <w:sz w:val="24"/>
          <w:szCs w:val="24"/>
        </w:rPr>
        <w:t xml:space="preserve">enacted </w:t>
      </w:r>
      <w:r w:rsidR="00310F48">
        <w:rPr>
          <w:rFonts w:ascii="Arial" w:eastAsia="Calibri" w:hAnsi="Arial" w:cs="Arial"/>
          <w:color w:val="262626" w:themeColor="text1" w:themeTint="D9"/>
          <w:sz w:val="24"/>
          <w:szCs w:val="24"/>
        </w:rPr>
        <w:t>the Veterans Act, 2008</w:t>
      </w:r>
      <w:r w:rsidR="00395A15">
        <w:rPr>
          <w:rStyle w:val="FootnoteReference"/>
          <w:rFonts w:ascii="Arial" w:eastAsia="Calibri" w:hAnsi="Arial" w:cs="Arial"/>
          <w:color w:val="262626" w:themeColor="text1" w:themeTint="D9"/>
          <w:sz w:val="24"/>
          <w:szCs w:val="24"/>
        </w:rPr>
        <w:footnoteReference w:id="1"/>
      </w:r>
      <w:r w:rsidR="00310F48">
        <w:rPr>
          <w:rFonts w:ascii="Arial" w:eastAsia="Calibri" w:hAnsi="Arial" w:cs="Arial"/>
          <w:color w:val="262626" w:themeColor="text1" w:themeTint="D9"/>
          <w:sz w:val="24"/>
          <w:szCs w:val="24"/>
        </w:rPr>
        <w:t xml:space="preserve"> </w:t>
      </w:r>
      <w:r w:rsidR="004D017D" w:rsidRPr="004D017D">
        <w:rPr>
          <w:rFonts w:ascii="Arial" w:eastAsia="Calibri" w:hAnsi="Arial" w:cs="Arial"/>
          <w:color w:val="262626" w:themeColor="text1" w:themeTint="D9"/>
          <w:sz w:val="24"/>
          <w:szCs w:val="24"/>
        </w:rPr>
        <w:t xml:space="preserve">to attend to the plight of the veterans of the liberation struggle. The objects of the Act are to provide for mechanisms to register persons as veterans, to establish a fund to benefit veterans, to initiate projects to assist veterans and for matters incidental thereto.   </w:t>
      </w:r>
    </w:p>
    <w:p w:rsidR="004D017D" w:rsidRPr="004D017D" w:rsidRDefault="004D017D" w:rsidP="004D017D">
      <w:pPr>
        <w:spacing w:after="0" w:line="360" w:lineRule="auto"/>
        <w:ind w:left="360"/>
        <w:jc w:val="both"/>
        <w:rPr>
          <w:rFonts w:ascii="Arial" w:eastAsia="Calibri" w:hAnsi="Arial" w:cs="Arial"/>
          <w:color w:val="262626" w:themeColor="text1" w:themeTint="D9"/>
          <w:sz w:val="24"/>
          <w:szCs w:val="24"/>
        </w:rPr>
      </w:pPr>
    </w:p>
    <w:p w:rsidR="005C1917" w:rsidRDefault="00446F20" w:rsidP="00446F20">
      <w:pPr>
        <w:spacing w:after="0" w:line="360" w:lineRule="auto"/>
        <w:contextualSpacing/>
        <w:jc w:val="both"/>
        <w:rPr>
          <w:rFonts w:ascii="Arial" w:eastAsia="Calibri" w:hAnsi="Arial" w:cs="Arial"/>
          <w:color w:val="262626" w:themeColor="text1" w:themeTint="D9"/>
          <w:sz w:val="24"/>
          <w:szCs w:val="24"/>
        </w:rPr>
      </w:pPr>
      <w:r>
        <w:rPr>
          <w:rFonts w:ascii="Arial" w:eastAsia="Calibri" w:hAnsi="Arial" w:cs="Arial"/>
          <w:color w:val="262626" w:themeColor="text1" w:themeTint="D9"/>
          <w:sz w:val="24"/>
          <w:szCs w:val="24"/>
        </w:rPr>
        <w:t>[</w:t>
      </w:r>
      <w:r w:rsidR="0061035D">
        <w:rPr>
          <w:rFonts w:ascii="Arial" w:eastAsia="Calibri" w:hAnsi="Arial" w:cs="Arial"/>
          <w:color w:val="262626" w:themeColor="text1" w:themeTint="D9"/>
          <w:sz w:val="24"/>
          <w:szCs w:val="24"/>
        </w:rPr>
        <w:t>4</w:t>
      </w:r>
      <w:r>
        <w:rPr>
          <w:rFonts w:ascii="Arial" w:eastAsia="Calibri" w:hAnsi="Arial" w:cs="Arial"/>
          <w:color w:val="262626" w:themeColor="text1" w:themeTint="D9"/>
          <w:sz w:val="24"/>
          <w:szCs w:val="24"/>
        </w:rPr>
        <w:t>]</w:t>
      </w:r>
      <w:r>
        <w:rPr>
          <w:rFonts w:ascii="Arial" w:eastAsia="Calibri" w:hAnsi="Arial" w:cs="Arial"/>
          <w:color w:val="262626" w:themeColor="text1" w:themeTint="D9"/>
          <w:sz w:val="24"/>
          <w:szCs w:val="24"/>
        </w:rPr>
        <w:tab/>
      </w:r>
      <w:r w:rsidR="00395A15">
        <w:rPr>
          <w:rFonts w:ascii="Arial" w:eastAsia="Calibri" w:hAnsi="Arial" w:cs="Arial"/>
          <w:color w:val="262626" w:themeColor="text1" w:themeTint="D9"/>
          <w:sz w:val="24"/>
          <w:szCs w:val="24"/>
        </w:rPr>
        <w:t xml:space="preserve">Mrs Kamati, </w:t>
      </w:r>
      <w:r w:rsidR="004D017D" w:rsidRPr="004D017D">
        <w:rPr>
          <w:rFonts w:ascii="Arial" w:eastAsia="Calibri" w:hAnsi="Arial" w:cs="Arial"/>
          <w:color w:val="262626" w:themeColor="text1" w:themeTint="D9"/>
          <w:sz w:val="24"/>
          <w:szCs w:val="24"/>
        </w:rPr>
        <w:t xml:space="preserve">born </w:t>
      </w:r>
      <w:r w:rsidR="00277F8B" w:rsidRPr="004D017D">
        <w:rPr>
          <w:rFonts w:ascii="Arial" w:eastAsia="Calibri" w:hAnsi="Arial" w:cs="Arial"/>
          <w:color w:val="262626" w:themeColor="text1" w:themeTint="D9"/>
          <w:sz w:val="24"/>
          <w:szCs w:val="24"/>
        </w:rPr>
        <w:t xml:space="preserve">Abner </w:t>
      </w:r>
      <w:r w:rsidR="00277F8B">
        <w:rPr>
          <w:rFonts w:ascii="Arial" w:eastAsia="Calibri" w:hAnsi="Arial" w:cs="Arial"/>
          <w:color w:val="262626" w:themeColor="text1" w:themeTint="D9"/>
          <w:sz w:val="24"/>
          <w:szCs w:val="24"/>
        </w:rPr>
        <w:t>(I</w:t>
      </w:r>
      <w:r w:rsidR="00395A15">
        <w:rPr>
          <w:rFonts w:ascii="Arial" w:eastAsia="Calibri" w:hAnsi="Arial" w:cs="Arial"/>
          <w:color w:val="262626" w:themeColor="text1" w:themeTint="D9"/>
          <w:sz w:val="24"/>
          <w:szCs w:val="24"/>
        </w:rPr>
        <w:t xml:space="preserve"> will in this judgment refer to her as Mrs </w:t>
      </w:r>
      <w:r w:rsidR="00A27E3C">
        <w:rPr>
          <w:rFonts w:ascii="Arial" w:eastAsia="Calibri" w:hAnsi="Arial" w:cs="Arial"/>
          <w:color w:val="262626" w:themeColor="text1" w:themeTint="D9"/>
          <w:sz w:val="24"/>
          <w:szCs w:val="24"/>
        </w:rPr>
        <w:t>Kamati)</w:t>
      </w:r>
      <w:r w:rsidR="00395A15">
        <w:rPr>
          <w:rFonts w:ascii="Arial" w:eastAsia="Calibri" w:hAnsi="Arial" w:cs="Arial"/>
          <w:color w:val="262626" w:themeColor="text1" w:themeTint="D9"/>
          <w:sz w:val="24"/>
          <w:szCs w:val="24"/>
        </w:rPr>
        <w:t xml:space="preserve"> </w:t>
      </w:r>
      <w:r w:rsidR="004D017D" w:rsidRPr="004D017D">
        <w:rPr>
          <w:rFonts w:ascii="Arial" w:eastAsia="Calibri" w:hAnsi="Arial" w:cs="Arial"/>
          <w:color w:val="262626" w:themeColor="text1" w:themeTint="D9"/>
          <w:sz w:val="24"/>
          <w:szCs w:val="24"/>
        </w:rPr>
        <w:t xml:space="preserve">a senior citizen who hails from the Uukwambi district in northern Namibia and who now resides in Windhoek, exercised her rights </w:t>
      </w:r>
      <w:r w:rsidR="00395A15">
        <w:rPr>
          <w:rFonts w:ascii="Arial" w:eastAsia="Calibri" w:hAnsi="Arial" w:cs="Arial"/>
          <w:color w:val="262626" w:themeColor="text1" w:themeTint="D9"/>
          <w:sz w:val="24"/>
          <w:szCs w:val="24"/>
        </w:rPr>
        <w:t>under the Veterans Act</w:t>
      </w:r>
      <w:r w:rsidR="005C1917">
        <w:rPr>
          <w:rFonts w:ascii="Arial" w:eastAsia="Calibri" w:hAnsi="Arial" w:cs="Arial"/>
          <w:color w:val="262626" w:themeColor="text1" w:themeTint="D9"/>
          <w:sz w:val="24"/>
          <w:szCs w:val="24"/>
        </w:rPr>
        <w:t xml:space="preserve"> and applied for registration as a veteran. </w:t>
      </w:r>
      <w:r w:rsidR="004D017D" w:rsidRPr="004D017D">
        <w:rPr>
          <w:rFonts w:ascii="Arial" w:eastAsia="Calibri" w:hAnsi="Arial" w:cs="Arial"/>
          <w:color w:val="262626" w:themeColor="text1" w:themeTint="D9"/>
          <w:sz w:val="24"/>
          <w:szCs w:val="24"/>
        </w:rPr>
        <w:t xml:space="preserve">In a notice dated 11 April 2014, the </w:t>
      </w:r>
      <w:r w:rsidR="005C1917">
        <w:rPr>
          <w:rFonts w:ascii="Arial" w:eastAsia="Calibri" w:hAnsi="Arial" w:cs="Arial"/>
          <w:color w:val="262626" w:themeColor="text1" w:themeTint="D9"/>
          <w:sz w:val="24"/>
          <w:szCs w:val="24"/>
        </w:rPr>
        <w:t>Veterans B</w:t>
      </w:r>
      <w:r w:rsidR="004D017D" w:rsidRPr="004D017D">
        <w:rPr>
          <w:rFonts w:ascii="Arial" w:eastAsia="Calibri" w:hAnsi="Arial" w:cs="Arial"/>
          <w:color w:val="262626" w:themeColor="text1" w:themeTint="D9"/>
          <w:sz w:val="24"/>
          <w:szCs w:val="24"/>
        </w:rPr>
        <w:t>oard informed her that the application was rejected. The reason that was given was that she does not meet the qualifying criteria.</w:t>
      </w:r>
    </w:p>
    <w:p w:rsidR="005C1917" w:rsidRDefault="005C1917" w:rsidP="005C1917">
      <w:pPr>
        <w:pStyle w:val="ListParagraph"/>
        <w:rPr>
          <w:rFonts w:ascii="Arial" w:eastAsia="Calibri" w:hAnsi="Arial" w:cs="Arial"/>
          <w:color w:val="262626" w:themeColor="text1" w:themeTint="D9"/>
          <w:sz w:val="24"/>
          <w:szCs w:val="24"/>
        </w:rPr>
      </w:pPr>
    </w:p>
    <w:p w:rsidR="004D017D" w:rsidRPr="004D017D" w:rsidRDefault="00446F20" w:rsidP="00446F20">
      <w:pPr>
        <w:spacing w:after="0" w:line="360" w:lineRule="auto"/>
        <w:contextualSpacing/>
        <w:jc w:val="both"/>
        <w:rPr>
          <w:rFonts w:ascii="Arial" w:eastAsia="Calibri" w:hAnsi="Arial" w:cs="Arial"/>
          <w:color w:val="262626" w:themeColor="text1" w:themeTint="D9"/>
          <w:sz w:val="24"/>
          <w:szCs w:val="24"/>
        </w:rPr>
      </w:pPr>
      <w:r>
        <w:rPr>
          <w:rFonts w:ascii="Arial" w:eastAsia="Calibri" w:hAnsi="Arial" w:cs="Arial"/>
          <w:color w:val="262626" w:themeColor="text1" w:themeTint="D9"/>
          <w:sz w:val="24"/>
          <w:szCs w:val="24"/>
        </w:rPr>
        <w:t>[</w:t>
      </w:r>
      <w:r w:rsidR="0061035D">
        <w:rPr>
          <w:rFonts w:ascii="Arial" w:eastAsia="Calibri" w:hAnsi="Arial" w:cs="Arial"/>
          <w:color w:val="262626" w:themeColor="text1" w:themeTint="D9"/>
          <w:sz w:val="24"/>
          <w:szCs w:val="24"/>
        </w:rPr>
        <w:t>5</w:t>
      </w:r>
      <w:r>
        <w:rPr>
          <w:rFonts w:ascii="Arial" w:eastAsia="Calibri" w:hAnsi="Arial" w:cs="Arial"/>
          <w:color w:val="262626" w:themeColor="text1" w:themeTint="D9"/>
          <w:sz w:val="24"/>
          <w:szCs w:val="24"/>
        </w:rPr>
        <w:t>]</w:t>
      </w:r>
      <w:r>
        <w:rPr>
          <w:rFonts w:ascii="Arial" w:eastAsia="Calibri" w:hAnsi="Arial" w:cs="Arial"/>
          <w:color w:val="262626" w:themeColor="text1" w:themeTint="D9"/>
          <w:sz w:val="24"/>
          <w:szCs w:val="24"/>
        </w:rPr>
        <w:tab/>
      </w:r>
      <w:r w:rsidR="004D017D" w:rsidRPr="004D017D">
        <w:rPr>
          <w:rFonts w:ascii="Arial" w:eastAsia="Calibri" w:hAnsi="Arial" w:cs="Arial"/>
          <w:color w:val="262626" w:themeColor="text1" w:themeTint="D9"/>
          <w:sz w:val="24"/>
          <w:szCs w:val="24"/>
        </w:rPr>
        <w:t xml:space="preserve">Aggrieved by the refusal, she filed a notice of appeal to the Veterans Appeal </w:t>
      </w:r>
      <w:r w:rsidR="004D017D" w:rsidRPr="00A86DFD">
        <w:rPr>
          <w:rFonts w:ascii="Arial" w:eastAsia="Calibri" w:hAnsi="Arial" w:cs="Arial"/>
          <w:color w:val="262626" w:themeColor="text1" w:themeTint="D9"/>
          <w:sz w:val="24"/>
          <w:szCs w:val="24"/>
        </w:rPr>
        <w:t xml:space="preserve">Board on 12 May 2014. The </w:t>
      </w:r>
      <w:r w:rsidR="005C1917" w:rsidRPr="00A86DFD">
        <w:rPr>
          <w:rFonts w:ascii="Arial" w:eastAsia="Calibri" w:hAnsi="Arial" w:cs="Arial"/>
          <w:color w:val="262626" w:themeColor="text1" w:themeTint="D9"/>
          <w:sz w:val="24"/>
          <w:szCs w:val="24"/>
        </w:rPr>
        <w:t>Veterans A</w:t>
      </w:r>
      <w:r w:rsidR="004D017D" w:rsidRPr="00A86DFD">
        <w:rPr>
          <w:rFonts w:ascii="Arial" w:eastAsia="Calibri" w:hAnsi="Arial" w:cs="Arial"/>
          <w:color w:val="262626" w:themeColor="text1" w:themeTint="D9"/>
          <w:sz w:val="24"/>
          <w:szCs w:val="24"/>
        </w:rPr>
        <w:t xml:space="preserve">ppeal </w:t>
      </w:r>
      <w:r w:rsidR="005C1917" w:rsidRPr="00A86DFD">
        <w:rPr>
          <w:rFonts w:ascii="Arial" w:eastAsia="Calibri" w:hAnsi="Arial" w:cs="Arial"/>
          <w:color w:val="262626" w:themeColor="text1" w:themeTint="D9"/>
          <w:sz w:val="24"/>
          <w:szCs w:val="24"/>
        </w:rPr>
        <w:t>B</w:t>
      </w:r>
      <w:r w:rsidR="004D017D" w:rsidRPr="00A86DFD">
        <w:rPr>
          <w:rFonts w:ascii="Arial" w:eastAsia="Calibri" w:hAnsi="Arial" w:cs="Arial"/>
          <w:color w:val="262626" w:themeColor="text1" w:themeTint="D9"/>
          <w:sz w:val="24"/>
          <w:szCs w:val="24"/>
        </w:rPr>
        <w:t xml:space="preserve">oard </w:t>
      </w:r>
      <w:r w:rsidR="005C1917" w:rsidRPr="00A86DFD">
        <w:rPr>
          <w:rFonts w:ascii="Arial" w:eastAsia="Calibri" w:hAnsi="Arial" w:cs="Arial"/>
          <w:color w:val="262626" w:themeColor="text1" w:themeTint="D9"/>
          <w:sz w:val="24"/>
          <w:szCs w:val="24"/>
        </w:rPr>
        <w:t xml:space="preserve">heard her appeal </w:t>
      </w:r>
      <w:r w:rsidR="004D017D" w:rsidRPr="00A86DFD">
        <w:rPr>
          <w:rFonts w:ascii="Arial" w:eastAsia="Calibri" w:hAnsi="Arial" w:cs="Arial"/>
          <w:color w:val="262626" w:themeColor="text1" w:themeTint="D9"/>
          <w:sz w:val="24"/>
          <w:szCs w:val="24"/>
        </w:rPr>
        <w:t>during February 2017 and</w:t>
      </w:r>
      <w:r w:rsidR="005C1917" w:rsidRPr="00A86DFD">
        <w:rPr>
          <w:rFonts w:ascii="Arial" w:eastAsia="Calibri" w:hAnsi="Arial" w:cs="Arial"/>
          <w:color w:val="262626" w:themeColor="text1" w:themeTint="D9"/>
          <w:sz w:val="24"/>
          <w:szCs w:val="24"/>
        </w:rPr>
        <w:t xml:space="preserve"> made their </w:t>
      </w:r>
      <w:r w:rsidR="004D017D" w:rsidRPr="00A86DFD">
        <w:rPr>
          <w:rFonts w:ascii="Arial" w:eastAsia="Calibri" w:hAnsi="Arial" w:cs="Arial"/>
          <w:color w:val="262626" w:themeColor="text1" w:themeTint="D9"/>
          <w:sz w:val="24"/>
          <w:szCs w:val="24"/>
        </w:rPr>
        <w:t xml:space="preserve">decision </w:t>
      </w:r>
      <w:r w:rsidR="005C1917" w:rsidRPr="00A86DFD">
        <w:rPr>
          <w:rFonts w:ascii="Arial" w:eastAsia="Calibri" w:hAnsi="Arial" w:cs="Arial"/>
          <w:color w:val="262626" w:themeColor="text1" w:themeTint="D9"/>
          <w:sz w:val="24"/>
          <w:szCs w:val="24"/>
        </w:rPr>
        <w:t>known by 1</w:t>
      </w:r>
      <w:r w:rsidR="004D017D" w:rsidRPr="00A86DFD">
        <w:rPr>
          <w:rFonts w:ascii="Arial" w:eastAsia="Calibri" w:hAnsi="Arial" w:cs="Arial"/>
          <w:color w:val="262626" w:themeColor="text1" w:themeTint="D9"/>
          <w:sz w:val="24"/>
          <w:szCs w:val="24"/>
        </w:rPr>
        <w:t>6 Ju</w:t>
      </w:r>
      <w:r w:rsidR="005C1917" w:rsidRPr="00A86DFD">
        <w:rPr>
          <w:rFonts w:ascii="Arial" w:eastAsia="Calibri" w:hAnsi="Arial" w:cs="Arial"/>
          <w:color w:val="262626" w:themeColor="text1" w:themeTint="D9"/>
          <w:sz w:val="24"/>
          <w:szCs w:val="24"/>
        </w:rPr>
        <w:t>ne 201</w:t>
      </w:r>
      <w:r w:rsidR="002267E5" w:rsidRPr="00A86DFD">
        <w:rPr>
          <w:rFonts w:ascii="Arial" w:eastAsia="Calibri" w:hAnsi="Arial" w:cs="Arial"/>
          <w:color w:val="262626" w:themeColor="text1" w:themeTint="D9"/>
          <w:sz w:val="24"/>
          <w:szCs w:val="24"/>
        </w:rPr>
        <w:t>7</w:t>
      </w:r>
      <w:r w:rsidR="005C1917" w:rsidRPr="00A86DFD">
        <w:rPr>
          <w:rFonts w:ascii="Arial" w:eastAsia="Calibri" w:hAnsi="Arial" w:cs="Arial"/>
          <w:color w:val="262626" w:themeColor="text1" w:themeTint="D9"/>
          <w:sz w:val="24"/>
          <w:szCs w:val="24"/>
        </w:rPr>
        <w:t xml:space="preserve">. </w:t>
      </w:r>
      <w:r w:rsidR="005C1917">
        <w:rPr>
          <w:rFonts w:ascii="Arial" w:eastAsia="Calibri" w:hAnsi="Arial" w:cs="Arial"/>
          <w:color w:val="262626" w:themeColor="text1" w:themeTint="D9"/>
          <w:sz w:val="24"/>
          <w:szCs w:val="24"/>
        </w:rPr>
        <w:t>The conclusion of the Veterans A</w:t>
      </w:r>
      <w:r w:rsidR="004D017D" w:rsidRPr="004D017D">
        <w:rPr>
          <w:rFonts w:ascii="Arial" w:eastAsia="Calibri" w:hAnsi="Arial" w:cs="Arial"/>
          <w:color w:val="262626" w:themeColor="text1" w:themeTint="D9"/>
          <w:sz w:val="24"/>
          <w:szCs w:val="24"/>
        </w:rPr>
        <w:t>ppeal</w:t>
      </w:r>
      <w:r w:rsidR="005C1917">
        <w:rPr>
          <w:rFonts w:ascii="Arial" w:eastAsia="Calibri" w:hAnsi="Arial" w:cs="Arial"/>
          <w:color w:val="262626" w:themeColor="text1" w:themeTint="D9"/>
          <w:sz w:val="24"/>
          <w:szCs w:val="24"/>
        </w:rPr>
        <w:t xml:space="preserve"> B</w:t>
      </w:r>
      <w:r w:rsidR="004D017D" w:rsidRPr="004D017D">
        <w:rPr>
          <w:rFonts w:ascii="Arial" w:eastAsia="Calibri" w:hAnsi="Arial" w:cs="Arial"/>
          <w:color w:val="262626" w:themeColor="text1" w:themeTint="D9"/>
          <w:sz w:val="24"/>
          <w:szCs w:val="24"/>
        </w:rPr>
        <w:t>oard was that it concur</w:t>
      </w:r>
      <w:r w:rsidR="005C1917">
        <w:rPr>
          <w:rFonts w:ascii="Arial" w:eastAsia="Calibri" w:hAnsi="Arial" w:cs="Arial"/>
          <w:color w:val="262626" w:themeColor="text1" w:themeTint="D9"/>
          <w:sz w:val="24"/>
          <w:szCs w:val="24"/>
        </w:rPr>
        <w:t xml:space="preserve">red </w:t>
      </w:r>
      <w:r w:rsidR="004D017D" w:rsidRPr="004D017D">
        <w:rPr>
          <w:rFonts w:ascii="Arial" w:eastAsia="Calibri" w:hAnsi="Arial" w:cs="Arial"/>
          <w:color w:val="262626" w:themeColor="text1" w:themeTint="D9"/>
          <w:sz w:val="24"/>
          <w:szCs w:val="24"/>
        </w:rPr>
        <w:t xml:space="preserve">with the decision of the </w:t>
      </w:r>
      <w:r w:rsidR="005C1917">
        <w:rPr>
          <w:rFonts w:ascii="Arial" w:eastAsia="Calibri" w:hAnsi="Arial" w:cs="Arial"/>
          <w:color w:val="262626" w:themeColor="text1" w:themeTint="D9"/>
          <w:sz w:val="24"/>
          <w:szCs w:val="24"/>
        </w:rPr>
        <w:t>V</w:t>
      </w:r>
      <w:r w:rsidR="004D017D" w:rsidRPr="004D017D">
        <w:rPr>
          <w:rFonts w:ascii="Arial" w:eastAsia="Calibri" w:hAnsi="Arial" w:cs="Arial"/>
          <w:color w:val="262626" w:themeColor="text1" w:themeTint="D9"/>
          <w:sz w:val="24"/>
          <w:szCs w:val="24"/>
        </w:rPr>
        <w:t xml:space="preserve">eterans </w:t>
      </w:r>
      <w:r w:rsidR="005C1917">
        <w:rPr>
          <w:rFonts w:ascii="Arial" w:eastAsia="Calibri" w:hAnsi="Arial" w:cs="Arial"/>
          <w:color w:val="262626" w:themeColor="text1" w:themeTint="D9"/>
          <w:sz w:val="24"/>
          <w:szCs w:val="24"/>
        </w:rPr>
        <w:t>B</w:t>
      </w:r>
      <w:r w:rsidR="004D017D" w:rsidRPr="004D017D">
        <w:rPr>
          <w:rFonts w:ascii="Arial" w:eastAsia="Calibri" w:hAnsi="Arial" w:cs="Arial"/>
          <w:color w:val="262626" w:themeColor="text1" w:themeTint="D9"/>
          <w:sz w:val="24"/>
          <w:szCs w:val="24"/>
        </w:rPr>
        <w:t xml:space="preserve">oard. </w:t>
      </w:r>
      <w:r w:rsidR="005C1917">
        <w:rPr>
          <w:rFonts w:ascii="Arial" w:eastAsia="Calibri" w:hAnsi="Arial" w:cs="Arial"/>
          <w:color w:val="262626" w:themeColor="text1" w:themeTint="D9"/>
          <w:sz w:val="24"/>
          <w:szCs w:val="24"/>
        </w:rPr>
        <w:t>Still aggrieved by the Veterans Appeal Board’</w:t>
      </w:r>
      <w:r w:rsidR="00277616">
        <w:rPr>
          <w:rFonts w:ascii="Arial" w:eastAsia="Calibri" w:hAnsi="Arial" w:cs="Arial"/>
          <w:color w:val="262626" w:themeColor="text1" w:themeTint="D9"/>
          <w:sz w:val="24"/>
          <w:szCs w:val="24"/>
        </w:rPr>
        <w:t>s d</w:t>
      </w:r>
      <w:r w:rsidR="005C1917">
        <w:rPr>
          <w:rFonts w:ascii="Arial" w:eastAsia="Calibri" w:hAnsi="Arial" w:cs="Arial"/>
          <w:color w:val="262626" w:themeColor="text1" w:themeTint="D9"/>
          <w:sz w:val="24"/>
          <w:szCs w:val="24"/>
        </w:rPr>
        <w:t xml:space="preserve">ecision Mrs </w:t>
      </w:r>
      <w:r w:rsidR="00277616">
        <w:rPr>
          <w:rFonts w:ascii="Arial" w:eastAsia="Calibri" w:hAnsi="Arial" w:cs="Arial"/>
          <w:color w:val="262626" w:themeColor="text1" w:themeTint="D9"/>
          <w:sz w:val="24"/>
          <w:szCs w:val="24"/>
        </w:rPr>
        <w:t>K</w:t>
      </w:r>
      <w:r w:rsidR="004D017D" w:rsidRPr="004D017D">
        <w:rPr>
          <w:rFonts w:ascii="Arial" w:eastAsia="Calibri" w:hAnsi="Arial" w:cs="Arial"/>
          <w:color w:val="262626" w:themeColor="text1" w:themeTint="D9"/>
          <w:sz w:val="24"/>
          <w:szCs w:val="24"/>
        </w:rPr>
        <w:t>amati approached the High Court to appe</w:t>
      </w:r>
      <w:r w:rsidR="005C1917">
        <w:rPr>
          <w:rFonts w:ascii="Arial" w:eastAsia="Calibri" w:hAnsi="Arial" w:cs="Arial"/>
          <w:color w:val="262626" w:themeColor="text1" w:themeTint="D9"/>
          <w:sz w:val="24"/>
          <w:szCs w:val="24"/>
        </w:rPr>
        <w:t>al against the decision of the V</w:t>
      </w:r>
      <w:r w:rsidR="004D017D" w:rsidRPr="004D017D">
        <w:rPr>
          <w:rFonts w:ascii="Arial" w:eastAsia="Calibri" w:hAnsi="Arial" w:cs="Arial"/>
          <w:color w:val="262626" w:themeColor="text1" w:themeTint="D9"/>
          <w:sz w:val="24"/>
          <w:szCs w:val="24"/>
        </w:rPr>
        <w:t xml:space="preserve">eterans </w:t>
      </w:r>
      <w:r w:rsidR="005C1917">
        <w:rPr>
          <w:rFonts w:ascii="Arial" w:eastAsia="Calibri" w:hAnsi="Arial" w:cs="Arial"/>
          <w:color w:val="262626" w:themeColor="text1" w:themeTint="D9"/>
          <w:sz w:val="24"/>
          <w:szCs w:val="24"/>
        </w:rPr>
        <w:t>Appeal B</w:t>
      </w:r>
      <w:r w:rsidR="004D017D" w:rsidRPr="004D017D">
        <w:rPr>
          <w:rFonts w:ascii="Arial" w:eastAsia="Calibri" w:hAnsi="Arial" w:cs="Arial"/>
          <w:color w:val="262626" w:themeColor="text1" w:themeTint="D9"/>
          <w:sz w:val="24"/>
          <w:szCs w:val="24"/>
        </w:rPr>
        <w:t>oard, as she is entitled to by virtue of s 43 of the Act</w:t>
      </w:r>
      <w:r w:rsidR="00AF11BE">
        <w:rPr>
          <w:rFonts w:ascii="Arial" w:eastAsia="Calibri" w:hAnsi="Arial" w:cs="Arial"/>
          <w:color w:val="262626" w:themeColor="text1" w:themeTint="D9"/>
          <w:sz w:val="24"/>
          <w:szCs w:val="24"/>
        </w:rPr>
        <w:t>.</w:t>
      </w:r>
      <w:r w:rsidR="004D017D" w:rsidRPr="004D017D">
        <w:rPr>
          <w:rFonts w:ascii="Arial" w:eastAsia="Calibri" w:hAnsi="Arial" w:cs="Arial"/>
          <w:color w:val="262626" w:themeColor="text1" w:themeTint="D9"/>
          <w:sz w:val="24"/>
          <w:szCs w:val="24"/>
        </w:rPr>
        <w:t xml:space="preserve">   </w:t>
      </w:r>
    </w:p>
    <w:p w:rsidR="004D017D" w:rsidRPr="004D017D" w:rsidRDefault="004D017D" w:rsidP="004D017D">
      <w:pPr>
        <w:spacing w:after="0" w:line="360" w:lineRule="auto"/>
        <w:jc w:val="both"/>
        <w:rPr>
          <w:rFonts w:ascii="Arial" w:eastAsia="Calibri" w:hAnsi="Arial" w:cs="Arial"/>
          <w:color w:val="262626" w:themeColor="text1" w:themeTint="D9"/>
          <w:sz w:val="24"/>
          <w:szCs w:val="24"/>
        </w:rPr>
      </w:pPr>
    </w:p>
    <w:p w:rsidR="004D017D" w:rsidRPr="004D017D" w:rsidRDefault="00A00DC4" w:rsidP="003B2362">
      <w:pPr>
        <w:spacing w:after="0" w:line="360" w:lineRule="auto"/>
        <w:jc w:val="both"/>
        <w:rPr>
          <w:rFonts w:ascii="Arial" w:eastAsia="Calibri" w:hAnsi="Arial" w:cs="Arial"/>
          <w:color w:val="262626" w:themeColor="text1" w:themeTint="D9"/>
          <w:sz w:val="24"/>
          <w:szCs w:val="24"/>
          <w:u w:val="single"/>
        </w:rPr>
      </w:pPr>
      <w:r>
        <w:rPr>
          <w:rFonts w:ascii="Arial" w:eastAsia="Calibri" w:hAnsi="Arial" w:cs="Arial"/>
          <w:color w:val="262626" w:themeColor="text1" w:themeTint="D9"/>
          <w:sz w:val="24"/>
          <w:szCs w:val="24"/>
          <w:u w:val="single"/>
        </w:rPr>
        <w:t xml:space="preserve">Basis of </w:t>
      </w:r>
      <w:r w:rsidR="004D017D" w:rsidRPr="004D017D">
        <w:rPr>
          <w:rFonts w:ascii="Arial" w:eastAsia="Calibri" w:hAnsi="Arial" w:cs="Arial"/>
          <w:color w:val="262626" w:themeColor="text1" w:themeTint="D9"/>
          <w:sz w:val="24"/>
          <w:szCs w:val="24"/>
          <w:u w:val="single"/>
        </w:rPr>
        <w:t>appeal</w:t>
      </w:r>
    </w:p>
    <w:p w:rsidR="004D017D" w:rsidRPr="004D017D" w:rsidRDefault="004D017D" w:rsidP="004D017D">
      <w:pPr>
        <w:spacing w:after="0" w:line="360" w:lineRule="auto"/>
        <w:ind w:left="720"/>
        <w:jc w:val="both"/>
        <w:rPr>
          <w:rFonts w:ascii="Arial" w:eastAsia="Calibri" w:hAnsi="Arial" w:cs="Arial"/>
          <w:color w:val="262626" w:themeColor="text1" w:themeTint="D9"/>
          <w:sz w:val="24"/>
          <w:szCs w:val="24"/>
        </w:rPr>
      </w:pPr>
    </w:p>
    <w:p w:rsidR="00A00DC4" w:rsidRDefault="0061035D" w:rsidP="00446F20">
      <w:p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[6]</w:t>
      </w:r>
      <w:r w:rsidR="00446F20">
        <w:rPr>
          <w:rFonts w:ascii="Arial" w:eastAsia="Times New Roman" w:hAnsi="Arial" w:cs="Arial"/>
          <w:color w:val="262626" w:themeColor="text1" w:themeTint="D9"/>
          <w:sz w:val="24"/>
          <w:szCs w:val="24"/>
          <w:lang w:val="en-GB"/>
        </w:rPr>
        <w:t xml:space="preserve">      </w:t>
      </w:r>
      <w:r w:rsidR="00A00DC4">
        <w:rPr>
          <w:rFonts w:ascii="Arial" w:eastAsia="Times New Roman" w:hAnsi="Arial" w:cs="Arial"/>
          <w:color w:val="262626" w:themeColor="text1" w:themeTint="D9"/>
          <w:sz w:val="24"/>
          <w:szCs w:val="24"/>
          <w:lang w:val="en-GB"/>
        </w:rPr>
        <w:t>In her notice of appeal filed on 06 November 2017 Mrs Kamati grounds her appeal on the following: She alleges that the p</w:t>
      </w:r>
      <w:r w:rsidR="00C01217">
        <w:rPr>
          <w:rFonts w:ascii="Arial" w:eastAsia="Times New Roman" w:hAnsi="Arial" w:cs="Arial"/>
          <w:color w:val="262626" w:themeColor="text1" w:themeTint="D9"/>
          <w:sz w:val="24"/>
          <w:szCs w:val="24"/>
          <w:lang w:val="en-GB"/>
        </w:rPr>
        <w:t>residing officer of the Veteran</w:t>
      </w:r>
      <w:r w:rsidR="00A00DC4">
        <w:rPr>
          <w:rFonts w:ascii="Arial" w:eastAsia="Times New Roman" w:hAnsi="Arial" w:cs="Arial"/>
          <w:color w:val="262626" w:themeColor="text1" w:themeTint="D9"/>
          <w:sz w:val="24"/>
          <w:szCs w:val="24"/>
          <w:lang w:val="en-GB"/>
        </w:rPr>
        <w:t>s Appeal Board erred:</w:t>
      </w:r>
    </w:p>
    <w:p w:rsidR="00A00DC4" w:rsidRDefault="00A00DC4" w:rsidP="00A00DC4">
      <w:pPr>
        <w:pStyle w:val="ListParagraph"/>
        <w:numPr>
          <w:ilvl w:val="0"/>
          <w:numId w:val="22"/>
        </w:num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In finding that because she was acting on the instructions of her parents to further the liberation struggle, she is not a veteran;</w:t>
      </w:r>
    </w:p>
    <w:p w:rsidR="00A00DC4" w:rsidRDefault="00A00DC4" w:rsidP="00A00DC4">
      <w:pPr>
        <w:pStyle w:val="ListParagraph"/>
        <w:numPr>
          <w:ilvl w:val="0"/>
          <w:numId w:val="22"/>
        </w:num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In finding that because she did not have a house of her own she cannot be recognised as a veteran;</w:t>
      </w:r>
    </w:p>
    <w:p w:rsidR="00A00DC4" w:rsidRDefault="00A00DC4" w:rsidP="00A00DC4">
      <w:pPr>
        <w:pStyle w:val="ListParagraph"/>
        <w:numPr>
          <w:ilvl w:val="0"/>
          <w:numId w:val="22"/>
        </w:num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In finding that she was only 18 years at the time of the involvement of the furtherance of the liberation struggle and she was therefore not a ve</w:t>
      </w:r>
      <w:r w:rsidR="00D411F8">
        <w:rPr>
          <w:rFonts w:ascii="Arial" w:eastAsia="Times New Roman" w:hAnsi="Arial" w:cs="Arial"/>
          <w:color w:val="262626" w:themeColor="text1" w:themeTint="D9"/>
          <w:sz w:val="24"/>
          <w:szCs w:val="24"/>
          <w:lang w:val="en-GB"/>
        </w:rPr>
        <w:t>t</w:t>
      </w:r>
      <w:r>
        <w:rPr>
          <w:rFonts w:ascii="Arial" w:eastAsia="Times New Roman" w:hAnsi="Arial" w:cs="Arial"/>
          <w:color w:val="262626" w:themeColor="text1" w:themeTint="D9"/>
          <w:sz w:val="24"/>
          <w:szCs w:val="24"/>
          <w:lang w:val="en-GB"/>
        </w:rPr>
        <w:t>eran; and</w:t>
      </w:r>
    </w:p>
    <w:p w:rsidR="004D017D" w:rsidRPr="00A00DC4" w:rsidRDefault="00A00DC4" w:rsidP="00A00DC4">
      <w:pPr>
        <w:pStyle w:val="ListParagraph"/>
        <w:numPr>
          <w:ilvl w:val="0"/>
          <w:numId w:val="22"/>
        </w:num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In law in failing to apply the requiremen</w:t>
      </w:r>
      <w:r w:rsidR="007259DB">
        <w:rPr>
          <w:rFonts w:ascii="Arial" w:eastAsia="Times New Roman" w:hAnsi="Arial" w:cs="Arial"/>
          <w:color w:val="262626" w:themeColor="text1" w:themeTint="D9"/>
          <w:sz w:val="24"/>
          <w:szCs w:val="24"/>
          <w:lang w:val="en-GB"/>
        </w:rPr>
        <w:t>t</w:t>
      </w:r>
      <w:r>
        <w:rPr>
          <w:rFonts w:ascii="Arial" w:eastAsia="Times New Roman" w:hAnsi="Arial" w:cs="Arial"/>
          <w:color w:val="262626" w:themeColor="text1" w:themeTint="D9"/>
          <w:sz w:val="24"/>
          <w:szCs w:val="24"/>
          <w:lang w:val="en-GB"/>
        </w:rPr>
        <w:t>s of s 2</w:t>
      </w:r>
      <w:r w:rsidR="004D017D" w:rsidRPr="00A00DC4">
        <w:rPr>
          <w:rFonts w:ascii="Arial" w:eastAsia="Times New Roman" w:hAnsi="Arial" w:cs="Arial"/>
          <w:color w:val="262626" w:themeColor="text1" w:themeTint="D9"/>
          <w:sz w:val="24"/>
          <w:szCs w:val="24"/>
          <w:lang w:val="en-GB"/>
        </w:rPr>
        <w:t>7(2)(b) of the Act and considered matters not prescribed by law.</w:t>
      </w:r>
    </w:p>
    <w:p w:rsidR="00491DE8" w:rsidRDefault="00491DE8" w:rsidP="004D017D">
      <w:pPr>
        <w:tabs>
          <w:tab w:val="left" w:pos="1890"/>
        </w:tabs>
        <w:spacing w:after="0" w:line="360" w:lineRule="auto"/>
        <w:jc w:val="both"/>
        <w:rPr>
          <w:rFonts w:ascii="Arial" w:eastAsia="Times New Roman" w:hAnsi="Arial" w:cs="Arial"/>
          <w:color w:val="262626" w:themeColor="text1" w:themeTint="D9"/>
          <w:sz w:val="24"/>
          <w:szCs w:val="24"/>
          <w:lang w:val="en-GB"/>
        </w:rPr>
      </w:pPr>
    </w:p>
    <w:p w:rsidR="004D017D" w:rsidRPr="004D017D" w:rsidRDefault="004D017D" w:rsidP="004D017D">
      <w:pPr>
        <w:tabs>
          <w:tab w:val="left" w:pos="1890"/>
        </w:tabs>
        <w:spacing w:after="0" w:line="360" w:lineRule="auto"/>
        <w:jc w:val="both"/>
        <w:rPr>
          <w:rFonts w:ascii="Arial" w:eastAsia="Times New Roman" w:hAnsi="Arial" w:cs="Arial"/>
          <w:color w:val="262626" w:themeColor="text1" w:themeTint="D9"/>
          <w:sz w:val="24"/>
          <w:szCs w:val="24"/>
          <w:u w:val="single"/>
          <w:lang w:val="en-GB"/>
        </w:rPr>
      </w:pPr>
      <w:r w:rsidRPr="004D017D">
        <w:rPr>
          <w:rFonts w:ascii="Arial" w:eastAsia="Times New Roman" w:hAnsi="Arial" w:cs="Arial"/>
          <w:color w:val="262626" w:themeColor="text1" w:themeTint="D9"/>
          <w:sz w:val="24"/>
          <w:szCs w:val="24"/>
          <w:u w:val="single"/>
          <w:lang w:val="en-GB"/>
        </w:rPr>
        <w:t>Issues before the court</w:t>
      </w:r>
    </w:p>
    <w:p w:rsidR="004D017D" w:rsidRPr="004D017D" w:rsidRDefault="004D017D" w:rsidP="004D017D">
      <w:pPr>
        <w:tabs>
          <w:tab w:val="left" w:pos="1890"/>
        </w:tabs>
        <w:spacing w:after="0" w:line="360" w:lineRule="auto"/>
        <w:jc w:val="both"/>
        <w:rPr>
          <w:rFonts w:ascii="Arial" w:eastAsia="Times New Roman" w:hAnsi="Arial" w:cs="Arial"/>
          <w:color w:val="262626" w:themeColor="text1" w:themeTint="D9"/>
          <w:sz w:val="24"/>
          <w:szCs w:val="24"/>
          <w:lang w:val="en-GB"/>
        </w:rPr>
      </w:pPr>
    </w:p>
    <w:p w:rsidR="004D017D" w:rsidRPr="00446F20" w:rsidRDefault="00446F20" w:rsidP="00446F20">
      <w:pPr>
        <w:spacing w:after="200" w:line="360" w:lineRule="auto"/>
        <w:jc w:val="both"/>
        <w:rPr>
          <w:rFonts w:ascii="Arial" w:eastAsia="Calibri" w:hAnsi="Arial" w:cs="Arial"/>
          <w:color w:val="262626" w:themeColor="text1" w:themeTint="D9"/>
          <w:sz w:val="24"/>
          <w:szCs w:val="24"/>
        </w:rPr>
      </w:pPr>
      <w:r>
        <w:rPr>
          <w:rFonts w:ascii="Arial" w:eastAsia="Calibri" w:hAnsi="Arial" w:cs="Arial"/>
          <w:color w:val="262626" w:themeColor="text1" w:themeTint="D9"/>
          <w:sz w:val="24"/>
          <w:szCs w:val="24"/>
        </w:rPr>
        <w:t>[</w:t>
      </w:r>
      <w:r w:rsidR="0061035D">
        <w:rPr>
          <w:rFonts w:ascii="Arial" w:eastAsia="Calibri" w:hAnsi="Arial" w:cs="Arial"/>
          <w:color w:val="262626" w:themeColor="text1" w:themeTint="D9"/>
          <w:sz w:val="24"/>
          <w:szCs w:val="24"/>
        </w:rPr>
        <w:t>7</w:t>
      </w:r>
      <w:r>
        <w:rPr>
          <w:rFonts w:ascii="Arial" w:eastAsia="Calibri" w:hAnsi="Arial" w:cs="Arial"/>
          <w:color w:val="262626" w:themeColor="text1" w:themeTint="D9"/>
          <w:sz w:val="24"/>
          <w:szCs w:val="24"/>
        </w:rPr>
        <w:t>]</w:t>
      </w:r>
      <w:r>
        <w:rPr>
          <w:rFonts w:ascii="Arial" w:eastAsia="Calibri" w:hAnsi="Arial" w:cs="Arial"/>
          <w:color w:val="262626" w:themeColor="text1" w:themeTint="D9"/>
          <w:sz w:val="24"/>
          <w:szCs w:val="24"/>
        </w:rPr>
        <w:tab/>
      </w:r>
      <w:r w:rsidR="004157C4" w:rsidRPr="00446F20">
        <w:rPr>
          <w:rFonts w:ascii="Arial" w:eastAsia="Calibri" w:hAnsi="Arial" w:cs="Arial"/>
          <w:color w:val="262626" w:themeColor="text1" w:themeTint="D9"/>
          <w:sz w:val="24"/>
          <w:szCs w:val="24"/>
        </w:rPr>
        <w:t xml:space="preserve">From the grounds of appeal in the notice of appeal I am of the view that the issues which I am called upon to resolve are: </w:t>
      </w:r>
      <w:r w:rsidR="004D017D" w:rsidRPr="00446F20">
        <w:rPr>
          <w:rFonts w:ascii="Arial" w:eastAsia="Calibri" w:hAnsi="Arial" w:cs="Arial"/>
          <w:color w:val="262626" w:themeColor="text1" w:themeTint="D9"/>
          <w:sz w:val="24"/>
          <w:szCs w:val="24"/>
        </w:rPr>
        <w:t xml:space="preserve"> </w:t>
      </w:r>
    </w:p>
    <w:p w:rsidR="004D017D" w:rsidRPr="004D017D" w:rsidRDefault="004157C4" w:rsidP="004D017D">
      <w:pPr>
        <w:numPr>
          <w:ilvl w:val="0"/>
          <w:numId w:val="18"/>
        </w:numPr>
        <w:spacing w:after="200" w:line="360" w:lineRule="auto"/>
        <w:contextualSpacing/>
        <w:jc w:val="both"/>
        <w:rPr>
          <w:rFonts w:ascii="Arial" w:eastAsia="Calibri" w:hAnsi="Arial" w:cs="Arial"/>
          <w:color w:val="262626" w:themeColor="text1" w:themeTint="D9"/>
          <w:sz w:val="24"/>
          <w:szCs w:val="24"/>
        </w:rPr>
      </w:pPr>
      <w:r>
        <w:rPr>
          <w:rFonts w:ascii="Arial" w:eastAsia="Calibri" w:hAnsi="Arial" w:cs="Arial"/>
          <w:color w:val="262626" w:themeColor="text1" w:themeTint="D9"/>
          <w:sz w:val="24"/>
          <w:szCs w:val="24"/>
        </w:rPr>
        <w:t xml:space="preserve">Whether the </w:t>
      </w:r>
      <w:r w:rsidR="004D017D" w:rsidRPr="004D017D">
        <w:rPr>
          <w:rFonts w:ascii="Arial" w:eastAsia="Calibri" w:hAnsi="Arial" w:cs="Arial"/>
          <w:color w:val="262626" w:themeColor="text1" w:themeTint="D9"/>
          <w:sz w:val="24"/>
          <w:szCs w:val="24"/>
        </w:rPr>
        <w:t xml:space="preserve">Veterans </w:t>
      </w:r>
      <w:r>
        <w:rPr>
          <w:rFonts w:ascii="Arial" w:eastAsia="Calibri" w:hAnsi="Arial" w:cs="Arial"/>
          <w:color w:val="262626" w:themeColor="text1" w:themeTint="D9"/>
          <w:sz w:val="24"/>
          <w:szCs w:val="24"/>
        </w:rPr>
        <w:t>Appeal Board took</w:t>
      </w:r>
      <w:r w:rsidR="004D017D" w:rsidRPr="004D017D">
        <w:rPr>
          <w:rFonts w:ascii="Arial" w:eastAsia="Calibri" w:hAnsi="Arial" w:cs="Arial"/>
          <w:color w:val="262626" w:themeColor="text1" w:themeTint="D9"/>
          <w:sz w:val="24"/>
          <w:szCs w:val="24"/>
        </w:rPr>
        <w:t xml:space="preserve"> into account irrelevant factual considerations? </w:t>
      </w:r>
    </w:p>
    <w:p w:rsidR="004D017D" w:rsidRPr="00A41282" w:rsidRDefault="004157C4" w:rsidP="004D017D">
      <w:pPr>
        <w:numPr>
          <w:ilvl w:val="0"/>
          <w:numId w:val="18"/>
        </w:numPr>
        <w:spacing w:after="200" w:line="360" w:lineRule="auto"/>
        <w:contextualSpacing/>
        <w:jc w:val="both"/>
        <w:rPr>
          <w:rFonts w:ascii="Arial" w:hAnsi="Arial" w:cs="Arial"/>
          <w:color w:val="262626" w:themeColor="text1" w:themeTint="D9"/>
        </w:rPr>
      </w:pPr>
      <w:r>
        <w:rPr>
          <w:rFonts w:ascii="Arial" w:eastAsia="Calibri" w:hAnsi="Arial" w:cs="Arial"/>
          <w:color w:val="262626" w:themeColor="text1" w:themeTint="D9"/>
          <w:sz w:val="24"/>
          <w:szCs w:val="24"/>
        </w:rPr>
        <w:lastRenderedPageBreak/>
        <w:t xml:space="preserve">Whether </w:t>
      </w:r>
      <w:r w:rsidR="004D017D" w:rsidRPr="004D017D">
        <w:rPr>
          <w:rFonts w:ascii="Arial" w:eastAsia="Calibri" w:hAnsi="Arial" w:cs="Arial"/>
          <w:color w:val="262626" w:themeColor="text1" w:themeTint="D9"/>
          <w:sz w:val="24"/>
          <w:szCs w:val="24"/>
        </w:rPr>
        <w:t>the appellant’s evidence meet the requirements to qualify as a veteran in terms of s 27(2)(b) of the Act?</w:t>
      </w:r>
    </w:p>
    <w:p w:rsidR="00A41282" w:rsidRPr="009D1D93" w:rsidRDefault="00A41282" w:rsidP="00A41282">
      <w:pPr>
        <w:spacing w:after="200" w:line="360" w:lineRule="auto"/>
        <w:ind w:left="1215"/>
        <w:contextualSpacing/>
        <w:jc w:val="both"/>
        <w:rPr>
          <w:rFonts w:ascii="Arial" w:hAnsi="Arial" w:cs="Arial"/>
          <w:color w:val="262626" w:themeColor="text1" w:themeTint="D9"/>
        </w:rPr>
      </w:pPr>
    </w:p>
    <w:p w:rsidR="009D1D93" w:rsidRPr="004D017D" w:rsidRDefault="00446F20" w:rsidP="00446F20">
      <w:pPr>
        <w:spacing w:after="200" w:line="360" w:lineRule="auto"/>
        <w:contextualSpacing/>
        <w:jc w:val="both"/>
        <w:rPr>
          <w:rFonts w:ascii="Arial" w:hAnsi="Arial" w:cs="Arial"/>
          <w:color w:val="262626" w:themeColor="text1" w:themeTint="D9"/>
        </w:rPr>
      </w:pPr>
      <w:r>
        <w:rPr>
          <w:rFonts w:ascii="Arial" w:eastAsia="Calibri" w:hAnsi="Arial" w:cs="Arial"/>
          <w:color w:val="262626" w:themeColor="text1" w:themeTint="D9"/>
          <w:sz w:val="24"/>
          <w:szCs w:val="24"/>
        </w:rPr>
        <w:t>[</w:t>
      </w:r>
      <w:r w:rsidR="0061035D">
        <w:rPr>
          <w:rFonts w:ascii="Arial" w:eastAsia="Calibri" w:hAnsi="Arial" w:cs="Arial"/>
          <w:color w:val="262626" w:themeColor="text1" w:themeTint="D9"/>
          <w:sz w:val="24"/>
          <w:szCs w:val="24"/>
        </w:rPr>
        <w:t>8</w:t>
      </w:r>
      <w:r>
        <w:rPr>
          <w:rFonts w:ascii="Arial" w:eastAsia="Calibri" w:hAnsi="Arial" w:cs="Arial"/>
          <w:color w:val="262626" w:themeColor="text1" w:themeTint="D9"/>
          <w:sz w:val="24"/>
          <w:szCs w:val="24"/>
        </w:rPr>
        <w:t>]</w:t>
      </w:r>
      <w:r>
        <w:rPr>
          <w:rFonts w:ascii="Arial" w:eastAsia="Calibri" w:hAnsi="Arial" w:cs="Arial"/>
          <w:color w:val="262626" w:themeColor="text1" w:themeTint="D9"/>
          <w:sz w:val="24"/>
          <w:szCs w:val="24"/>
        </w:rPr>
        <w:tab/>
      </w:r>
      <w:r w:rsidR="009D1D93">
        <w:rPr>
          <w:rFonts w:ascii="Arial" w:eastAsia="Calibri" w:hAnsi="Arial" w:cs="Arial"/>
          <w:color w:val="262626" w:themeColor="text1" w:themeTint="D9"/>
          <w:sz w:val="24"/>
          <w:szCs w:val="24"/>
        </w:rPr>
        <w:t>The consideration of the issues will require me to briefly set out the evidence led at the hearing of the appeal. I now turn to the evidence</w:t>
      </w:r>
      <w:r w:rsidR="00AF11BE">
        <w:rPr>
          <w:rFonts w:ascii="Arial" w:eastAsia="Calibri" w:hAnsi="Arial" w:cs="Arial"/>
          <w:color w:val="262626" w:themeColor="text1" w:themeTint="D9"/>
          <w:sz w:val="24"/>
          <w:szCs w:val="24"/>
        </w:rPr>
        <w:t xml:space="preserve">. </w:t>
      </w:r>
    </w:p>
    <w:p w:rsidR="00491DE8" w:rsidRDefault="00491DE8" w:rsidP="004D017D">
      <w:pPr>
        <w:tabs>
          <w:tab w:val="left" w:pos="720"/>
          <w:tab w:val="left" w:pos="1890"/>
        </w:tabs>
        <w:spacing w:after="0" w:line="360" w:lineRule="auto"/>
        <w:jc w:val="both"/>
        <w:rPr>
          <w:rFonts w:ascii="Arial" w:eastAsia="Times New Roman" w:hAnsi="Arial" w:cs="Arial"/>
          <w:color w:val="262626" w:themeColor="text1" w:themeTint="D9"/>
          <w:sz w:val="24"/>
          <w:szCs w:val="24"/>
          <w:lang w:val="en-GB"/>
        </w:rPr>
      </w:pPr>
    </w:p>
    <w:p w:rsidR="004D017D" w:rsidRPr="004D017D" w:rsidRDefault="00CE620C" w:rsidP="004D017D">
      <w:pPr>
        <w:tabs>
          <w:tab w:val="left" w:pos="720"/>
          <w:tab w:val="left" w:pos="1890"/>
        </w:tabs>
        <w:spacing w:after="0" w:line="360" w:lineRule="auto"/>
        <w:jc w:val="both"/>
        <w:rPr>
          <w:rFonts w:ascii="Arial" w:eastAsia="Times New Roman" w:hAnsi="Arial" w:cs="Arial"/>
          <w:color w:val="262626" w:themeColor="text1" w:themeTint="D9"/>
          <w:sz w:val="24"/>
          <w:szCs w:val="24"/>
          <w:u w:val="single"/>
          <w:lang w:val="en-GB"/>
        </w:rPr>
      </w:pPr>
      <w:r>
        <w:rPr>
          <w:rFonts w:ascii="Arial" w:eastAsia="Times New Roman" w:hAnsi="Arial" w:cs="Arial"/>
          <w:color w:val="262626" w:themeColor="text1" w:themeTint="D9"/>
          <w:sz w:val="24"/>
          <w:szCs w:val="24"/>
          <w:u w:val="single"/>
          <w:lang w:val="en-GB"/>
        </w:rPr>
        <w:t xml:space="preserve">Evidence </w:t>
      </w:r>
    </w:p>
    <w:p w:rsidR="004D017D" w:rsidRPr="004D017D" w:rsidRDefault="004157C4" w:rsidP="004D017D">
      <w:pPr>
        <w:tabs>
          <w:tab w:val="left" w:pos="720"/>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ab/>
        <w:t xml:space="preserve">    </w:t>
      </w:r>
    </w:p>
    <w:p w:rsidR="004D017D" w:rsidRPr="00446F20" w:rsidRDefault="0061035D" w:rsidP="00446F20">
      <w:p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[9</w:t>
      </w:r>
      <w:r w:rsidR="00446F20">
        <w:rPr>
          <w:rFonts w:ascii="Arial" w:eastAsia="Times New Roman" w:hAnsi="Arial" w:cs="Arial"/>
          <w:color w:val="262626" w:themeColor="text1" w:themeTint="D9"/>
          <w:sz w:val="24"/>
          <w:szCs w:val="24"/>
          <w:lang w:val="en-GB"/>
        </w:rPr>
        <w:t xml:space="preserve">]     </w:t>
      </w:r>
      <w:r w:rsidR="00491DE8">
        <w:rPr>
          <w:rFonts w:ascii="Arial" w:eastAsia="Times New Roman" w:hAnsi="Arial" w:cs="Arial"/>
          <w:color w:val="262626" w:themeColor="text1" w:themeTint="D9"/>
          <w:sz w:val="24"/>
          <w:szCs w:val="24"/>
          <w:lang w:val="en-GB"/>
        </w:rPr>
        <w:t>Mrs Kamati’s</w:t>
      </w:r>
      <w:r w:rsidR="00AF11BE" w:rsidRPr="00446F20">
        <w:rPr>
          <w:rFonts w:ascii="Arial" w:eastAsia="Times New Roman" w:hAnsi="Arial" w:cs="Arial"/>
          <w:color w:val="262626" w:themeColor="text1" w:themeTint="D9"/>
          <w:sz w:val="24"/>
          <w:szCs w:val="24"/>
          <w:lang w:val="en-GB"/>
        </w:rPr>
        <w:t xml:space="preserve"> testimony took pla</w:t>
      </w:r>
      <w:r w:rsidR="00D826FB" w:rsidRPr="00446F20">
        <w:rPr>
          <w:rFonts w:ascii="Arial" w:eastAsia="Times New Roman" w:hAnsi="Arial" w:cs="Arial"/>
          <w:color w:val="262626" w:themeColor="text1" w:themeTint="D9"/>
          <w:sz w:val="24"/>
          <w:szCs w:val="24"/>
          <w:lang w:val="en-GB"/>
        </w:rPr>
        <w:t>ce on 2 days. On the first date of 14 February 2017 she testified t</w:t>
      </w:r>
      <w:r w:rsidR="00491DE8">
        <w:rPr>
          <w:rFonts w:ascii="Arial" w:eastAsia="Times New Roman" w:hAnsi="Arial" w:cs="Arial"/>
          <w:color w:val="262626" w:themeColor="text1" w:themeTint="D9"/>
          <w:sz w:val="24"/>
          <w:szCs w:val="24"/>
          <w:lang w:val="en-GB"/>
        </w:rPr>
        <w:t>hat her father was involved in</w:t>
      </w:r>
      <w:r w:rsidR="00D826FB" w:rsidRPr="00446F20">
        <w:rPr>
          <w:rFonts w:ascii="Arial" w:eastAsia="Times New Roman" w:hAnsi="Arial" w:cs="Arial"/>
          <w:color w:val="262626" w:themeColor="text1" w:themeTint="D9"/>
          <w:sz w:val="24"/>
          <w:szCs w:val="24"/>
          <w:lang w:val="en-GB"/>
        </w:rPr>
        <w:t xml:space="preserve"> the liberation war and when he was at home she used to cook for the P</w:t>
      </w:r>
      <w:r w:rsidR="004D017D" w:rsidRPr="00446F20">
        <w:rPr>
          <w:rFonts w:ascii="Arial" w:eastAsia="Times New Roman" w:hAnsi="Arial" w:cs="Arial"/>
          <w:color w:val="262626" w:themeColor="text1" w:themeTint="D9"/>
          <w:sz w:val="24"/>
          <w:szCs w:val="24"/>
          <w:lang w:val="en-GB"/>
        </w:rPr>
        <w:t>LAN</w:t>
      </w:r>
      <w:r w:rsidR="00D826FB">
        <w:rPr>
          <w:rStyle w:val="FootnoteReference"/>
          <w:rFonts w:ascii="Arial" w:eastAsia="Times New Roman" w:hAnsi="Arial" w:cs="Arial"/>
          <w:color w:val="262626" w:themeColor="text1" w:themeTint="D9"/>
          <w:sz w:val="24"/>
          <w:szCs w:val="24"/>
          <w:lang w:val="en-GB"/>
        </w:rPr>
        <w:footnoteReference w:id="2"/>
      </w:r>
      <w:r w:rsidR="004D017D" w:rsidRPr="00446F20">
        <w:rPr>
          <w:rFonts w:ascii="Arial" w:eastAsia="Times New Roman" w:hAnsi="Arial" w:cs="Arial"/>
          <w:color w:val="262626" w:themeColor="text1" w:themeTint="D9"/>
          <w:sz w:val="24"/>
          <w:szCs w:val="24"/>
          <w:lang w:val="en-GB"/>
        </w:rPr>
        <w:t xml:space="preserve"> fighter</w:t>
      </w:r>
      <w:r w:rsidR="00D826FB" w:rsidRPr="00446F20">
        <w:rPr>
          <w:rFonts w:ascii="Arial" w:eastAsia="Times New Roman" w:hAnsi="Arial" w:cs="Arial"/>
          <w:color w:val="262626" w:themeColor="text1" w:themeTint="D9"/>
          <w:sz w:val="24"/>
          <w:szCs w:val="24"/>
          <w:lang w:val="en-GB"/>
        </w:rPr>
        <w:t>s</w:t>
      </w:r>
      <w:r w:rsidR="004D017D" w:rsidRPr="00446F20">
        <w:rPr>
          <w:rFonts w:ascii="Arial" w:eastAsia="Times New Roman" w:hAnsi="Arial" w:cs="Arial"/>
          <w:color w:val="262626" w:themeColor="text1" w:themeTint="D9"/>
          <w:sz w:val="24"/>
          <w:szCs w:val="24"/>
          <w:lang w:val="en-GB"/>
        </w:rPr>
        <w:t xml:space="preserve"> who came to their house.  She attested of an incident in 1977 wherein she was arrested by SWATF</w:t>
      </w:r>
      <w:r w:rsidR="00D826FB">
        <w:rPr>
          <w:rStyle w:val="FootnoteReference"/>
          <w:rFonts w:ascii="Arial" w:eastAsia="Times New Roman" w:hAnsi="Arial" w:cs="Arial"/>
          <w:color w:val="262626" w:themeColor="text1" w:themeTint="D9"/>
          <w:sz w:val="24"/>
          <w:szCs w:val="24"/>
          <w:lang w:val="en-GB"/>
        </w:rPr>
        <w:footnoteReference w:id="3"/>
      </w:r>
      <w:r w:rsidR="004D017D" w:rsidRPr="00446F20">
        <w:rPr>
          <w:rFonts w:ascii="Arial" w:eastAsia="Times New Roman" w:hAnsi="Arial" w:cs="Arial"/>
          <w:color w:val="262626" w:themeColor="text1" w:themeTint="D9"/>
          <w:sz w:val="24"/>
          <w:szCs w:val="24"/>
          <w:lang w:val="en-GB"/>
        </w:rPr>
        <w:t xml:space="preserve"> members and taken to Oshakati. She was interrogated and her leg was burned for her refusal to give up the location of the PLAN fighters.</w:t>
      </w:r>
      <w:r w:rsidR="004D017D" w:rsidRPr="004D017D">
        <w:rPr>
          <w:vertAlign w:val="superscript"/>
          <w:lang w:val="en-GB"/>
        </w:rPr>
        <w:footnoteReference w:id="4"/>
      </w:r>
      <w:r w:rsidR="004D017D" w:rsidRPr="00446F20">
        <w:rPr>
          <w:rFonts w:ascii="Arial" w:eastAsia="Times New Roman" w:hAnsi="Arial" w:cs="Arial"/>
          <w:color w:val="262626" w:themeColor="text1" w:themeTint="D9"/>
          <w:sz w:val="24"/>
          <w:szCs w:val="24"/>
          <w:lang w:val="en-GB"/>
        </w:rPr>
        <w:t xml:space="preserve"> After a few days she was released and returned to her parent’s home in Onenongo. </w:t>
      </w:r>
    </w:p>
    <w:p w:rsidR="004D017D" w:rsidRPr="004D017D" w:rsidRDefault="004D017D" w:rsidP="004D017D">
      <w:pPr>
        <w:tabs>
          <w:tab w:val="left" w:pos="1890"/>
        </w:tabs>
        <w:spacing w:after="0" w:line="360" w:lineRule="auto"/>
        <w:jc w:val="both"/>
        <w:rPr>
          <w:rFonts w:ascii="Arial" w:eastAsia="Times New Roman" w:hAnsi="Arial" w:cs="Arial"/>
          <w:color w:val="262626" w:themeColor="text1" w:themeTint="D9"/>
          <w:sz w:val="24"/>
          <w:szCs w:val="24"/>
          <w:lang w:val="en-GB"/>
        </w:rPr>
      </w:pPr>
    </w:p>
    <w:p w:rsidR="004D017D" w:rsidRPr="004D017D" w:rsidRDefault="00446F20" w:rsidP="00446F20">
      <w:p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w:t>
      </w:r>
      <w:r w:rsidR="0061035D">
        <w:rPr>
          <w:rFonts w:ascii="Arial" w:eastAsia="Times New Roman" w:hAnsi="Arial" w:cs="Arial"/>
          <w:color w:val="262626" w:themeColor="text1" w:themeTint="D9"/>
          <w:sz w:val="24"/>
          <w:szCs w:val="24"/>
          <w:lang w:val="en-GB"/>
        </w:rPr>
        <w:t>10</w:t>
      </w:r>
      <w:r>
        <w:rPr>
          <w:rFonts w:ascii="Arial" w:eastAsia="Times New Roman" w:hAnsi="Arial" w:cs="Arial"/>
          <w:color w:val="262626" w:themeColor="text1" w:themeTint="D9"/>
          <w:sz w:val="24"/>
          <w:szCs w:val="24"/>
          <w:lang w:val="en-GB"/>
        </w:rPr>
        <w:t xml:space="preserve">]    </w:t>
      </w:r>
      <w:r w:rsidR="00C64C81">
        <w:rPr>
          <w:rFonts w:ascii="Arial" w:eastAsia="Times New Roman" w:hAnsi="Arial" w:cs="Arial"/>
          <w:color w:val="262626" w:themeColor="text1" w:themeTint="D9"/>
          <w:sz w:val="24"/>
          <w:szCs w:val="24"/>
          <w:lang w:val="en-GB"/>
        </w:rPr>
        <w:t>She further testified that b</w:t>
      </w:r>
      <w:r w:rsidR="004D017D" w:rsidRPr="004D017D">
        <w:rPr>
          <w:rFonts w:ascii="Arial" w:eastAsia="Times New Roman" w:hAnsi="Arial" w:cs="Arial"/>
          <w:color w:val="262626" w:themeColor="text1" w:themeTint="D9"/>
          <w:sz w:val="24"/>
          <w:szCs w:val="24"/>
          <w:lang w:val="en-GB"/>
        </w:rPr>
        <w:t xml:space="preserve">etween the years of 1982 and 1983, she moved to Windhoek, where she met her husband and they attended </w:t>
      </w:r>
      <w:r w:rsidR="00C64C81">
        <w:rPr>
          <w:rFonts w:ascii="Arial" w:eastAsia="Times New Roman" w:hAnsi="Arial" w:cs="Arial"/>
          <w:color w:val="262626" w:themeColor="text1" w:themeTint="D9"/>
          <w:sz w:val="24"/>
          <w:szCs w:val="24"/>
          <w:lang w:val="en-GB"/>
        </w:rPr>
        <w:t xml:space="preserve">SWAPO </w:t>
      </w:r>
      <w:r w:rsidR="004D017D" w:rsidRPr="004D017D">
        <w:rPr>
          <w:rFonts w:ascii="Arial" w:eastAsia="Times New Roman" w:hAnsi="Arial" w:cs="Arial"/>
          <w:color w:val="262626" w:themeColor="text1" w:themeTint="D9"/>
          <w:sz w:val="24"/>
          <w:szCs w:val="24"/>
          <w:lang w:val="en-GB"/>
        </w:rPr>
        <w:t xml:space="preserve">meetings at </w:t>
      </w:r>
      <w:r w:rsidR="00C64C81">
        <w:rPr>
          <w:rFonts w:ascii="Arial" w:eastAsia="Times New Roman" w:hAnsi="Arial" w:cs="Arial"/>
          <w:color w:val="262626" w:themeColor="text1" w:themeTint="D9"/>
          <w:sz w:val="24"/>
          <w:szCs w:val="24"/>
          <w:lang w:val="en-GB"/>
        </w:rPr>
        <w:t xml:space="preserve">a certain </w:t>
      </w:r>
      <w:r w:rsidR="004D017D" w:rsidRPr="004D017D">
        <w:rPr>
          <w:rFonts w:ascii="Arial" w:eastAsia="Times New Roman" w:hAnsi="Arial" w:cs="Arial"/>
          <w:color w:val="262626" w:themeColor="text1" w:themeTint="D9"/>
          <w:sz w:val="24"/>
          <w:szCs w:val="24"/>
          <w:lang w:val="en-GB"/>
        </w:rPr>
        <w:t>Mr Namalambo’s house who was described as an organiser of SWAPO meetings. Thereafter the hearing was adjourned.</w:t>
      </w:r>
    </w:p>
    <w:p w:rsidR="004D017D" w:rsidRPr="004D017D" w:rsidRDefault="004D017D" w:rsidP="004D017D">
      <w:pPr>
        <w:ind w:left="720"/>
        <w:contextualSpacing/>
        <w:rPr>
          <w:rFonts w:ascii="Arial" w:hAnsi="Arial" w:cs="Arial"/>
          <w:color w:val="262626" w:themeColor="text1" w:themeTint="D9"/>
        </w:rPr>
      </w:pPr>
    </w:p>
    <w:p w:rsidR="004D017D" w:rsidRPr="004D017D" w:rsidRDefault="00446F20" w:rsidP="00446F20">
      <w:p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[1</w:t>
      </w:r>
      <w:r w:rsidR="0061035D">
        <w:rPr>
          <w:rFonts w:ascii="Arial" w:eastAsia="Times New Roman" w:hAnsi="Arial" w:cs="Arial"/>
          <w:color w:val="262626" w:themeColor="text1" w:themeTint="D9"/>
          <w:sz w:val="24"/>
          <w:szCs w:val="24"/>
          <w:lang w:val="en-GB"/>
        </w:rPr>
        <w:t>1</w:t>
      </w:r>
      <w:r>
        <w:rPr>
          <w:rFonts w:ascii="Arial" w:eastAsia="Times New Roman" w:hAnsi="Arial" w:cs="Arial"/>
          <w:color w:val="262626" w:themeColor="text1" w:themeTint="D9"/>
          <w:sz w:val="24"/>
          <w:szCs w:val="24"/>
          <w:lang w:val="en-GB"/>
        </w:rPr>
        <w:t xml:space="preserve">]    </w:t>
      </w:r>
      <w:r w:rsidR="004D017D" w:rsidRPr="004D017D">
        <w:rPr>
          <w:rFonts w:ascii="Arial" w:eastAsia="Times New Roman" w:hAnsi="Arial" w:cs="Arial"/>
          <w:color w:val="262626" w:themeColor="text1" w:themeTint="D9"/>
          <w:sz w:val="24"/>
          <w:szCs w:val="24"/>
          <w:lang w:val="en-GB"/>
        </w:rPr>
        <w:t>Upon resumption of the hearing on 24 February 2017, Mrs Kamati narrated an incident that occurred in 1975 where three PLAN combatants came to their house and her mother offered them a place to sleep and food. One of the combatants had an injury and the appellant treated it with salt and water. The combatants stayed for about a week and left.</w:t>
      </w:r>
      <w:r w:rsidR="004D017D" w:rsidRPr="004D017D">
        <w:rPr>
          <w:rFonts w:ascii="Arial" w:eastAsia="Times New Roman" w:hAnsi="Arial" w:cs="Arial"/>
          <w:color w:val="262626" w:themeColor="text1" w:themeTint="D9"/>
          <w:sz w:val="24"/>
          <w:szCs w:val="24"/>
          <w:vertAlign w:val="superscript"/>
          <w:lang w:val="en-GB"/>
        </w:rPr>
        <w:footnoteReference w:id="5"/>
      </w:r>
      <w:r w:rsidR="004D017D" w:rsidRPr="004D017D">
        <w:rPr>
          <w:rFonts w:ascii="Arial" w:eastAsia="Times New Roman" w:hAnsi="Arial" w:cs="Arial"/>
          <w:color w:val="262626" w:themeColor="text1" w:themeTint="D9"/>
          <w:sz w:val="24"/>
          <w:szCs w:val="24"/>
          <w:lang w:val="en-GB"/>
        </w:rPr>
        <w:t xml:space="preserve"> When prompted for another activity Mrs Kamati referred to the incident wherein she was taken to Oshakati prison for interrogation, but this time around, she recollected it to have been during 1976.  She continued her evidence that she came to Windhoek in 1977. In response to a question by the chairperson whether it was indeed </w:t>
      </w:r>
      <w:r w:rsidR="004D017D" w:rsidRPr="004D017D">
        <w:rPr>
          <w:rFonts w:ascii="Arial" w:eastAsia="Times New Roman" w:hAnsi="Arial" w:cs="Arial"/>
          <w:color w:val="262626" w:themeColor="text1" w:themeTint="D9"/>
          <w:sz w:val="24"/>
          <w:szCs w:val="24"/>
          <w:lang w:val="en-GB"/>
        </w:rPr>
        <w:lastRenderedPageBreak/>
        <w:t>that year</w:t>
      </w:r>
      <w:r w:rsidR="00EC71A4">
        <w:rPr>
          <w:rFonts w:ascii="Arial" w:eastAsia="Times New Roman" w:hAnsi="Arial" w:cs="Arial"/>
          <w:color w:val="262626" w:themeColor="text1" w:themeTint="D9"/>
          <w:sz w:val="24"/>
          <w:szCs w:val="24"/>
          <w:lang w:val="en-GB"/>
        </w:rPr>
        <w:t xml:space="preserve"> in which</w:t>
      </w:r>
      <w:r w:rsidR="004D017D" w:rsidRPr="004D017D">
        <w:rPr>
          <w:rFonts w:ascii="Arial" w:eastAsia="Times New Roman" w:hAnsi="Arial" w:cs="Arial"/>
          <w:color w:val="262626" w:themeColor="text1" w:themeTint="D9"/>
          <w:sz w:val="24"/>
          <w:szCs w:val="24"/>
          <w:lang w:val="en-GB"/>
        </w:rPr>
        <w:t xml:space="preserve"> she came to Windhoek, she first answered in the positive but retracted it and indicated that it was during 1980 that she came to Windhoek. </w:t>
      </w:r>
    </w:p>
    <w:p w:rsidR="004D017D" w:rsidRPr="004D017D" w:rsidRDefault="004D017D" w:rsidP="004D017D">
      <w:pPr>
        <w:spacing w:line="360" w:lineRule="auto"/>
        <w:ind w:left="720"/>
        <w:contextualSpacing/>
        <w:jc w:val="both"/>
        <w:rPr>
          <w:rFonts w:ascii="Arial" w:hAnsi="Arial" w:cs="Arial"/>
          <w:color w:val="262626" w:themeColor="text1" w:themeTint="D9"/>
        </w:rPr>
      </w:pPr>
    </w:p>
    <w:p w:rsidR="004D017D" w:rsidRDefault="00446F20" w:rsidP="00446F20">
      <w:p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[1</w:t>
      </w:r>
      <w:r w:rsidR="0061035D">
        <w:rPr>
          <w:rFonts w:ascii="Arial" w:eastAsia="Times New Roman" w:hAnsi="Arial" w:cs="Arial"/>
          <w:color w:val="262626" w:themeColor="text1" w:themeTint="D9"/>
          <w:sz w:val="24"/>
          <w:szCs w:val="24"/>
          <w:lang w:val="en-GB"/>
        </w:rPr>
        <w:t>2</w:t>
      </w:r>
      <w:r>
        <w:rPr>
          <w:rFonts w:ascii="Arial" w:eastAsia="Times New Roman" w:hAnsi="Arial" w:cs="Arial"/>
          <w:color w:val="262626" w:themeColor="text1" w:themeTint="D9"/>
          <w:sz w:val="24"/>
          <w:szCs w:val="24"/>
          <w:lang w:val="en-GB"/>
        </w:rPr>
        <w:t xml:space="preserve">]    </w:t>
      </w:r>
      <w:r w:rsidR="004D017D" w:rsidRPr="004D017D">
        <w:rPr>
          <w:rFonts w:ascii="Arial" w:eastAsia="Times New Roman" w:hAnsi="Arial" w:cs="Arial"/>
          <w:color w:val="262626" w:themeColor="text1" w:themeTint="D9"/>
          <w:sz w:val="24"/>
          <w:szCs w:val="24"/>
          <w:lang w:val="en-GB"/>
        </w:rPr>
        <w:t>A sibling of the appellant, Liven Rufusa gave testimony in support of the appellant</w:t>
      </w:r>
      <w:r w:rsidR="00EC71A4">
        <w:rPr>
          <w:rFonts w:ascii="Arial" w:eastAsia="Times New Roman" w:hAnsi="Arial" w:cs="Arial"/>
          <w:color w:val="262626" w:themeColor="text1" w:themeTint="D9"/>
          <w:sz w:val="24"/>
          <w:szCs w:val="24"/>
          <w:lang w:val="en-GB"/>
        </w:rPr>
        <w:t>’s</w:t>
      </w:r>
      <w:r w:rsidR="004D017D" w:rsidRPr="004D017D">
        <w:rPr>
          <w:rFonts w:ascii="Arial" w:eastAsia="Times New Roman" w:hAnsi="Arial" w:cs="Arial"/>
          <w:color w:val="262626" w:themeColor="text1" w:themeTint="D9"/>
          <w:sz w:val="24"/>
          <w:szCs w:val="24"/>
          <w:lang w:val="en-GB"/>
        </w:rPr>
        <w:t xml:space="preserve"> case. Nothing turns on the evidence of this witness, as towards the end of the session she stated that her testimony was based on what she was told by her mother and the appellant. </w:t>
      </w:r>
    </w:p>
    <w:p w:rsidR="004208F6" w:rsidRDefault="004208F6" w:rsidP="004208F6">
      <w:pPr>
        <w:pStyle w:val="ListParagraph"/>
        <w:rPr>
          <w:rFonts w:ascii="Arial" w:eastAsia="Times New Roman" w:hAnsi="Arial" w:cs="Arial"/>
          <w:color w:val="262626" w:themeColor="text1" w:themeTint="D9"/>
          <w:sz w:val="24"/>
          <w:szCs w:val="24"/>
          <w:lang w:val="en-GB"/>
        </w:rPr>
      </w:pPr>
    </w:p>
    <w:p w:rsidR="004208F6" w:rsidRPr="00446F20" w:rsidRDefault="00446F20" w:rsidP="00446F20">
      <w:pPr>
        <w:spacing w:line="360" w:lineRule="auto"/>
        <w:rPr>
          <w:rFonts w:ascii="Arial" w:hAnsi="Arial" w:cs="Arial"/>
          <w:color w:val="262626" w:themeColor="text1" w:themeTint="D9"/>
          <w:sz w:val="24"/>
          <w:szCs w:val="24"/>
        </w:rPr>
      </w:pPr>
      <w:r>
        <w:rPr>
          <w:rFonts w:ascii="Arial" w:hAnsi="Arial" w:cs="Arial"/>
          <w:color w:val="262626" w:themeColor="text1" w:themeTint="D9"/>
          <w:sz w:val="24"/>
          <w:szCs w:val="24"/>
        </w:rPr>
        <w:t>[1</w:t>
      </w:r>
      <w:r w:rsidR="0061035D">
        <w:rPr>
          <w:rFonts w:ascii="Arial" w:hAnsi="Arial" w:cs="Arial"/>
          <w:color w:val="262626" w:themeColor="text1" w:themeTint="D9"/>
          <w:sz w:val="24"/>
          <w:szCs w:val="24"/>
        </w:rPr>
        <w:t>3</w:t>
      </w:r>
      <w:r>
        <w:rPr>
          <w:rFonts w:ascii="Arial" w:hAnsi="Arial" w:cs="Arial"/>
          <w:color w:val="262626" w:themeColor="text1" w:themeTint="D9"/>
          <w:sz w:val="24"/>
          <w:szCs w:val="24"/>
        </w:rPr>
        <w:t>]</w:t>
      </w:r>
      <w:r>
        <w:rPr>
          <w:rFonts w:ascii="Arial" w:hAnsi="Arial" w:cs="Arial"/>
          <w:color w:val="262626" w:themeColor="text1" w:themeTint="D9"/>
          <w:sz w:val="24"/>
          <w:szCs w:val="24"/>
        </w:rPr>
        <w:tab/>
      </w:r>
      <w:r w:rsidR="004208F6" w:rsidRPr="00446F20">
        <w:rPr>
          <w:rFonts w:ascii="Arial" w:hAnsi="Arial" w:cs="Arial"/>
          <w:color w:val="262626" w:themeColor="text1" w:themeTint="D9"/>
          <w:sz w:val="24"/>
          <w:szCs w:val="24"/>
        </w:rPr>
        <w:t>With this brief but crux of Mrs Kamati’s evidence I now proceed to consider whether the Chairperson of the Veterans Appeal Board erred as alleged by Mrs Kamati.</w:t>
      </w:r>
    </w:p>
    <w:p w:rsidR="00A41282" w:rsidRPr="00A41282" w:rsidRDefault="00A41282" w:rsidP="00A41282">
      <w:pPr>
        <w:pStyle w:val="ListParagraph"/>
        <w:rPr>
          <w:rFonts w:ascii="Arial" w:hAnsi="Arial" w:cs="Arial"/>
          <w:color w:val="262626" w:themeColor="text1" w:themeTint="D9"/>
          <w:sz w:val="24"/>
          <w:szCs w:val="24"/>
        </w:rPr>
      </w:pPr>
    </w:p>
    <w:p w:rsidR="004D017D" w:rsidRPr="004D017D" w:rsidRDefault="004D017D" w:rsidP="00491DE8">
      <w:pPr>
        <w:tabs>
          <w:tab w:val="left" w:pos="1890"/>
        </w:tabs>
        <w:spacing w:after="0" w:line="360" w:lineRule="auto"/>
        <w:jc w:val="both"/>
        <w:rPr>
          <w:rFonts w:ascii="Arial" w:eastAsia="Times New Roman" w:hAnsi="Arial" w:cs="Arial"/>
          <w:color w:val="262626" w:themeColor="text1" w:themeTint="D9"/>
          <w:sz w:val="24"/>
          <w:szCs w:val="24"/>
          <w:u w:val="single"/>
          <w:lang w:val="en-GB"/>
        </w:rPr>
      </w:pPr>
      <w:r w:rsidRPr="004D017D">
        <w:rPr>
          <w:rFonts w:ascii="Arial" w:eastAsia="Times New Roman" w:hAnsi="Arial" w:cs="Arial"/>
          <w:color w:val="262626" w:themeColor="text1" w:themeTint="D9"/>
          <w:sz w:val="24"/>
          <w:szCs w:val="24"/>
          <w:u w:val="single"/>
          <w:lang w:val="en-GB"/>
        </w:rPr>
        <w:t>Evaluation of the matter</w:t>
      </w:r>
    </w:p>
    <w:p w:rsidR="004D017D" w:rsidRPr="004D017D" w:rsidRDefault="004D017D" w:rsidP="004D017D">
      <w:pPr>
        <w:ind w:left="720"/>
        <w:contextualSpacing/>
        <w:rPr>
          <w:rFonts w:ascii="Arial" w:hAnsi="Arial" w:cs="Arial"/>
          <w:color w:val="262626" w:themeColor="text1" w:themeTint="D9"/>
        </w:rPr>
      </w:pPr>
    </w:p>
    <w:p w:rsidR="004E3847" w:rsidRDefault="00446F20" w:rsidP="00446F20">
      <w:pPr>
        <w:spacing w:after="200" w:line="360" w:lineRule="auto"/>
        <w:contextualSpacing/>
        <w:jc w:val="both"/>
        <w:rPr>
          <w:rFonts w:ascii="Arial" w:hAnsi="Arial" w:cs="Arial"/>
          <w:color w:val="262626" w:themeColor="text1" w:themeTint="D9"/>
          <w:sz w:val="24"/>
          <w:szCs w:val="24"/>
        </w:rPr>
      </w:pPr>
      <w:r>
        <w:rPr>
          <w:rFonts w:ascii="Arial" w:hAnsi="Arial" w:cs="Arial"/>
          <w:color w:val="262626" w:themeColor="text1" w:themeTint="D9"/>
          <w:sz w:val="24"/>
          <w:szCs w:val="24"/>
        </w:rPr>
        <w:t>[1</w:t>
      </w:r>
      <w:r w:rsidR="0061035D">
        <w:rPr>
          <w:rFonts w:ascii="Arial" w:hAnsi="Arial" w:cs="Arial"/>
          <w:color w:val="262626" w:themeColor="text1" w:themeTint="D9"/>
          <w:sz w:val="24"/>
          <w:szCs w:val="24"/>
        </w:rPr>
        <w:t>4</w:t>
      </w:r>
      <w:r>
        <w:rPr>
          <w:rFonts w:ascii="Arial" w:hAnsi="Arial" w:cs="Arial"/>
          <w:color w:val="262626" w:themeColor="text1" w:themeTint="D9"/>
          <w:sz w:val="24"/>
          <w:szCs w:val="24"/>
        </w:rPr>
        <w:t>]</w:t>
      </w:r>
      <w:r>
        <w:rPr>
          <w:rFonts w:ascii="Arial" w:hAnsi="Arial" w:cs="Arial"/>
          <w:color w:val="262626" w:themeColor="text1" w:themeTint="D9"/>
          <w:sz w:val="24"/>
          <w:szCs w:val="24"/>
        </w:rPr>
        <w:tab/>
      </w:r>
      <w:r w:rsidR="004E3847" w:rsidRPr="004E3847">
        <w:rPr>
          <w:rFonts w:ascii="Arial" w:hAnsi="Arial" w:cs="Arial"/>
          <w:color w:val="262626" w:themeColor="text1" w:themeTint="D9"/>
          <w:sz w:val="24"/>
          <w:szCs w:val="24"/>
        </w:rPr>
        <w:t>The findings of the Veterans A</w:t>
      </w:r>
      <w:r w:rsidR="004D017D" w:rsidRPr="004E3847">
        <w:rPr>
          <w:rFonts w:ascii="Arial" w:hAnsi="Arial" w:cs="Arial"/>
          <w:color w:val="262626" w:themeColor="text1" w:themeTint="D9"/>
          <w:sz w:val="24"/>
          <w:szCs w:val="24"/>
        </w:rPr>
        <w:t xml:space="preserve">ppeal </w:t>
      </w:r>
      <w:r w:rsidR="004E3847" w:rsidRPr="004E3847">
        <w:rPr>
          <w:rFonts w:ascii="Arial" w:hAnsi="Arial" w:cs="Arial"/>
          <w:color w:val="262626" w:themeColor="text1" w:themeTint="D9"/>
          <w:sz w:val="24"/>
          <w:szCs w:val="24"/>
        </w:rPr>
        <w:t>B</w:t>
      </w:r>
      <w:r w:rsidR="004D017D" w:rsidRPr="004E3847">
        <w:rPr>
          <w:rFonts w:ascii="Arial" w:hAnsi="Arial" w:cs="Arial"/>
          <w:color w:val="262626" w:themeColor="text1" w:themeTint="D9"/>
          <w:sz w:val="24"/>
          <w:szCs w:val="24"/>
        </w:rPr>
        <w:t xml:space="preserve">oard </w:t>
      </w:r>
      <w:r w:rsidR="004E3847" w:rsidRPr="004E3847">
        <w:rPr>
          <w:rFonts w:ascii="Arial" w:hAnsi="Arial" w:cs="Arial"/>
          <w:color w:val="262626" w:themeColor="text1" w:themeTint="D9"/>
          <w:sz w:val="24"/>
          <w:szCs w:val="24"/>
        </w:rPr>
        <w:t xml:space="preserve">are captured in the following extract: </w:t>
      </w:r>
    </w:p>
    <w:p w:rsidR="004D017D" w:rsidRPr="004E3847" w:rsidRDefault="00446F20" w:rsidP="00C87E9C">
      <w:pPr>
        <w:spacing w:after="200" w:line="360" w:lineRule="auto"/>
        <w:contextualSpacing/>
        <w:jc w:val="both"/>
        <w:rPr>
          <w:rFonts w:ascii="Arial" w:hAnsi="Arial" w:cs="Arial"/>
          <w:color w:val="262626" w:themeColor="text1" w:themeTint="D9"/>
          <w:sz w:val="24"/>
          <w:szCs w:val="24"/>
        </w:rPr>
      </w:pPr>
      <w:r>
        <w:rPr>
          <w:rFonts w:ascii="Arial" w:hAnsi="Arial" w:cs="Arial"/>
          <w:color w:val="262626" w:themeColor="text1" w:themeTint="D9"/>
          <w:sz w:val="24"/>
          <w:szCs w:val="24"/>
        </w:rPr>
        <w:t>‘‘i</w:t>
      </w:r>
      <w:r w:rsidR="004D017D" w:rsidRPr="004E3847">
        <w:rPr>
          <w:rFonts w:ascii="Arial" w:hAnsi="Arial" w:cs="Arial"/>
          <w:color w:val="262626" w:themeColor="text1" w:themeTint="D9"/>
          <w:sz w:val="24"/>
          <w:szCs w:val="24"/>
        </w:rPr>
        <w:t>) It is doubtful whether the appellant’s claim is correct because it was never confirmed by any witness. In addition, she admitted that she had no house of her own and surely if she did cook for PLAN combatants, was under the instruction of her parents.</w:t>
      </w:r>
    </w:p>
    <w:p w:rsidR="004D017D" w:rsidRPr="004D017D" w:rsidRDefault="004D017D" w:rsidP="00C87E9C">
      <w:pPr>
        <w:spacing w:line="360" w:lineRule="auto"/>
        <w:contextualSpacing/>
        <w:jc w:val="both"/>
        <w:rPr>
          <w:rFonts w:ascii="Arial" w:hAnsi="Arial" w:cs="Arial"/>
          <w:color w:val="262626" w:themeColor="text1" w:themeTint="D9"/>
          <w:sz w:val="24"/>
          <w:szCs w:val="24"/>
        </w:rPr>
      </w:pPr>
      <w:r w:rsidRPr="004D017D">
        <w:rPr>
          <w:rFonts w:ascii="Arial" w:hAnsi="Arial" w:cs="Arial"/>
          <w:color w:val="262626" w:themeColor="text1" w:themeTint="D9"/>
          <w:sz w:val="24"/>
          <w:szCs w:val="24"/>
        </w:rPr>
        <w:t xml:space="preserve">ii) Her claim of attending meetings at Mr. Namalambo’s house in Windhoek was also not confirmed. Hence, the Appeal Board is doubtful whether her story is correct. </w:t>
      </w:r>
    </w:p>
    <w:p w:rsidR="004D017D" w:rsidRPr="004D017D" w:rsidRDefault="004D017D" w:rsidP="00C87E9C">
      <w:pPr>
        <w:spacing w:line="360" w:lineRule="auto"/>
        <w:contextualSpacing/>
        <w:jc w:val="both"/>
        <w:rPr>
          <w:rFonts w:ascii="Arial" w:hAnsi="Arial" w:cs="Arial"/>
          <w:color w:val="262626" w:themeColor="text1" w:themeTint="D9"/>
          <w:sz w:val="24"/>
          <w:szCs w:val="24"/>
        </w:rPr>
      </w:pPr>
      <w:r w:rsidRPr="004D017D">
        <w:rPr>
          <w:rFonts w:ascii="Arial" w:hAnsi="Arial" w:cs="Arial"/>
          <w:color w:val="262626" w:themeColor="text1" w:themeTint="D9"/>
          <w:sz w:val="24"/>
          <w:szCs w:val="24"/>
        </w:rPr>
        <w:t>iii) The Appeal Board, therefore concurs with the Veterans’ Board decision.</w:t>
      </w:r>
    </w:p>
    <w:p w:rsidR="004D017D" w:rsidRPr="004D017D" w:rsidRDefault="004D017D" w:rsidP="00C87E9C">
      <w:pPr>
        <w:spacing w:line="360" w:lineRule="auto"/>
        <w:contextualSpacing/>
        <w:jc w:val="both"/>
        <w:rPr>
          <w:rFonts w:ascii="Arial" w:hAnsi="Arial" w:cs="Arial"/>
          <w:color w:val="262626" w:themeColor="text1" w:themeTint="D9"/>
          <w:sz w:val="24"/>
          <w:szCs w:val="24"/>
        </w:rPr>
      </w:pPr>
      <w:r w:rsidRPr="004D017D">
        <w:rPr>
          <w:rFonts w:ascii="Arial" w:hAnsi="Arial" w:cs="Arial"/>
          <w:color w:val="262626" w:themeColor="text1" w:themeTint="D9"/>
          <w:sz w:val="24"/>
          <w:szCs w:val="24"/>
        </w:rPr>
        <w:t>iv)</w:t>
      </w:r>
      <w:r w:rsidR="004E3847">
        <w:rPr>
          <w:rFonts w:ascii="Arial" w:hAnsi="Arial" w:cs="Arial"/>
          <w:color w:val="262626" w:themeColor="text1" w:themeTint="D9"/>
          <w:sz w:val="24"/>
          <w:szCs w:val="24"/>
        </w:rPr>
        <w:t xml:space="preserve"> Order: Appeal not successful. ‘</w:t>
      </w:r>
    </w:p>
    <w:p w:rsidR="004D017D" w:rsidRPr="004D017D" w:rsidRDefault="004D017D" w:rsidP="004D017D">
      <w:pPr>
        <w:tabs>
          <w:tab w:val="left" w:pos="720"/>
          <w:tab w:val="left" w:pos="1890"/>
        </w:tabs>
        <w:spacing w:after="0" w:line="360" w:lineRule="auto"/>
        <w:jc w:val="both"/>
        <w:rPr>
          <w:rFonts w:ascii="Arial" w:eastAsia="Times New Roman" w:hAnsi="Arial" w:cs="Arial"/>
          <w:color w:val="262626" w:themeColor="text1" w:themeTint="D9"/>
          <w:sz w:val="24"/>
          <w:szCs w:val="24"/>
          <w:lang w:val="en-GB"/>
        </w:rPr>
      </w:pPr>
    </w:p>
    <w:p w:rsidR="004D017D" w:rsidRPr="004D017D" w:rsidRDefault="00C87E9C" w:rsidP="00C87E9C">
      <w:pPr>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[1</w:t>
      </w:r>
      <w:r w:rsidR="0061035D">
        <w:rPr>
          <w:rFonts w:ascii="Arial" w:eastAsia="Times New Roman" w:hAnsi="Arial" w:cs="Arial"/>
          <w:color w:val="262626" w:themeColor="text1" w:themeTint="D9"/>
          <w:sz w:val="24"/>
          <w:szCs w:val="24"/>
          <w:lang w:val="en-GB"/>
        </w:rPr>
        <w:t>5</w:t>
      </w:r>
      <w:r>
        <w:rPr>
          <w:rFonts w:ascii="Arial" w:eastAsia="Times New Roman" w:hAnsi="Arial" w:cs="Arial"/>
          <w:color w:val="262626" w:themeColor="text1" w:themeTint="D9"/>
          <w:sz w:val="24"/>
          <w:szCs w:val="24"/>
          <w:lang w:val="en-GB"/>
        </w:rPr>
        <w:t>]</w:t>
      </w:r>
      <w:r>
        <w:rPr>
          <w:rFonts w:ascii="Arial" w:eastAsia="Times New Roman" w:hAnsi="Arial" w:cs="Arial"/>
          <w:color w:val="262626" w:themeColor="text1" w:themeTint="D9"/>
          <w:sz w:val="24"/>
          <w:szCs w:val="24"/>
          <w:lang w:val="en-GB"/>
        </w:rPr>
        <w:tab/>
      </w:r>
      <w:r w:rsidR="004D017D" w:rsidRPr="004D017D">
        <w:rPr>
          <w:rFonts w:ascii="Arial" w:eastAsia="Times New Roman" w:hAnsi="Arial" w:cs="Arial"/>
          <w:color w:val="262626" w:themeColor="text1" w:themeTint="D9"/>
          <w:sz w:val="24"/>
          <w:szCs w:val="24"/>
          <w:lang w:val="en-GB"/>
        </w:rPr>
        <w:t>Counsel for the appellant, Mr Ntinda argued that the</w:t>
      </w:r>
      <w:r w:rsidR="00BA54E0">
        <w:rPr>
          <w:rFonts w:ascii="Arial" w:eastAsia="Times New Roman" w:hAnsi="Arial" w:cs="Arial"/>
          <w:color w:val="262626" w:themeColor="text1" w:themeTint="D9"/>
          <w:sz w:val="24"/>
          <w:szCs w:val="24"/>
          <w:lang w:val="en-GB"/>
        </w:rPr>
        <w:t xml:space="preserve"> Veterans Appeal Board con</w:t>
      </w:r>
      <w:r w:rsidR="004D017D" w:rsidRPr="004D017D">
        <w:rPr>
          <w:rFonts w:ascii="Arial" w:eastAsia="Times New Roman" w:hAnsi="Arial" w:cs="Arial"/>
          <w:color w:val="262626" w:themeColor="text1" w:themeTint="D9"/>
          <w:sz w:val="24"/>
          <w:szCs w:val="24"/>
          <w:lang w:val="en-GB"/>
        </w:rPr>
        <w:t>sidered factors that were not prescribed by law</w:t>
      </w:r>
      <w:r w:rsidR="00BA54E0">
        <w:rPr>
          <w:rFonts w:ascii="Arial" w:eastAsia="Times New Roman" w:hAnsi="Arial" w:cs="Arial"/>
          <w:color w:val="262626" w:themeColor="text1" w:themeTint="D9"/>
          <w:sz w:val="24"/>
          <w:szCs w:val="24"/>
          <w:lang w:val="en-GB"/>
        </w:rPr>
        <w:t xml:space="preserve">. He further submitted </w:t>
      </w:r>
      <w:r w:rsidR="004D017D" w:rsidRPr="004D017D">
        <w:rPr>
          <w:rFonts w:ascii="Arial" w:eastAsia="Times New Roman" w:hAnsi="Arial" w:cs="Arial"/>
          <w:color w:val="262626" w:themeColor="text1" w:themeTint="D9"/>
          <w:sz w:val="24"/>
          <w:szCs w:val="24"/>
          <w:lang w:val="en-GB"/>
        </w:rPr>
        <w:t xml:space="preserve">that based on the evidence the appellant indeed met the requirements of s 27(2)(b) of the Act.  </w:t>
      </w:r>
    </w:p>
    <w:p w:rsidR="004D017D" w:rsidRPr="004D017D" w:rsidRDefault="004D017D" w:rsidP="004D017D">
      <w:pPr>
        <w:ind w:left="720"/>
        <w:contextualSpacing/>
        <w:rPr>
          <w:rFonts w:ascii="Arial" w:hAnsi="Arial" w:cs="Arial"/>
          <w:color w:val="262626" w:themeColor="text1" w:themeTint="D9"/>
        </w:rPr>
      </w:pPr>
    </w:p>
    <w:p w:rsidR="004D017D" w:rsidRDefault="00C87E9C" w:rsidP="00C87E9C">
      <w:pPr>
        <w:spacing w:after="0" w:line="360" w:lineRule="auto"/>
        <w:jc w:val="both"/>
        <w:rPr>
          <w:rFonts w:ascii="Arial" w:eastAsia="Calibri" w:hAnsi="Arial" w:cs="Arial"/>
          <w:color w:val="262626" w:themeColor="text1" w:themeTint="D9"/>
          <w:sz w:val="24"/>
          <w:szCs w:val="24"/>
        </w:rPr>
      </w:pPr>
      <w:r>
        <w:rPr>
          <w:rFonts w:ascii="Arial" w:eastAsia="Calibri" w:hAnsi="Arial" w:cs="Arial"/>
          <w:color w:val="262626" w:themeColor="text1" w:themeTint="D9"/>
          <w:sz w:val="24"/>
          <w:szCs w:val="24"/>
        </w:rPr>
        <w:t>[1</w:t>
      </w:r>
      <w:r w:rsidR="0061035D">
        <w:rPr>
          <w:rFonts w:ascii="Arial" w:eastAsia="Calibri" w:hAnsi="Arial" w:cs="Arial"/>
          <w:color w:val="262626" w:themeColor="text1" w:themeTint="D9"/>
          <w:sz w:val="24"/>
          <w:szCs w:val="24"/>
        </w:rPr>
        <w:t>6</w:t>
      </w:r>
      <w:r>
        <w:rPr>
          <w:rFonts w:ascii="Arial" w:eastAsia="Calibri" w:hAnsi="Arial" w:cs="Arial"/>
          <w:color w:val="262626" w:themeColor="text1" w:themeTint="D9"/>
          <w:sz w:val="24"/>
          <w:szCs w:val="24"/>
        </w:rPr>
        <w:t>]</w:t>
      </w:r>
      <w:r>
        <w:rPr>
          <w:rFonts w:ascii="Arial" w:eastAsia="Calibri" w:hAnsi="Arial" w:cs="Arial"/>
          <w:color w:val="262626" w:themeColor="text1" w:themeTint="D9"/>
          <w:sz w:val="24"/>
          <w:szCs w:val="24"/>
        </w:rPr>
        <w:tab/>
        <w:t>Mr</w:t>
      </w:r>
      <w:r w:rsidR="00D559CA">
        <w:rPr>
          <w:rFonts w:ascii="Arial" w:eastAsia="Calibri" w:hAnsi="Arial" w:cs="Arial"/>
          <w:color w:val="262626" w:themeColor="text1" w:themeTint="D9"/>
          <w:sz w:val="24"/>
          <w:szCs w:val="24"/>
        </w:rPr>
        <w:t xml:space="preserve"> </w:t>
      </w:r>
      <w:r w:rsidR="004D017D" w:rsidRPr="004D017D">
        <w:rPr>
          <w:rFonts w:ascii="Arial" w:eastAsia="Calibri" w:hAnsi="Arial" w:cs="Arial"/>
          <w:color w:val="262626" w:themeColor="text1" w:themeTint="D9"/>
          <w:sz w:val="24"/>
          <w:szCs w:val="24"/>
        </w:rPr>
        <w:t xml:space="preserve">Hamunyela, on behalf of the respondent contended </w:t>
      </w:r>
      <w:r w:rsidR="00BA54E0">
        <w:rPr>
          <w:rFonts w:ascii="Arial" w:eastAsia="Calibri" w:hAnsi="Arial" w:cs="Arial"/>
          <w:color w:val="262626" w:themeColor="text1" w:themeTint="D9"/>
          <w:sz w:val="24"/>
          <w:szCs w:val="24"/>
        </w:rPr>
        <w:t xml:space="preserve">that </w:t>
      </w:r>
      <w:r w:rsidR="004D017D" w:rsidRPr="004D017D">
        <w:rPr>
          <w:rFonts w:ascii="Arial" w:eastAsia="Calibri" w:hAnsi="Arial" w:cs="Arial"/>
          <w:color w:val="262626" w:themeColor="text1" w:themeTint="D9"/>
          <w:sz w:val="24"/>
          <w:szCs w:val="24"/>
        </w:rPr>
        <w:t>there was no evidence on record that the appellant consistently and persistently participated in the liberation struggle up to the date of independence and that it was permissible for the Veterans Appeal Board to have</w:t>
      </w:r>
      <w:r w:rsidR="00BA54E0">
        <w:rPr>
          <w:rFonts w:ascii="Arial" w:eastAsia="Calibri" w:hAnsi="Arial" w:cs="Arial"/>
          <w:color w:val="262626" w:themeColor="text1" w:themeTint="D9"/>
          <w:sz w:val="24"/>
          <w:szCs w:val="24"/>
        </w:rPr>
        <w:t>,</w:t>
      </w:r>
      <w:r w:rsidR="004D017D" w:rsidRPr="004D017D">
        <w:rPr>
          <w:rFonts w:ascii="Arial" w:eastAsia="Calibri" w:hAnsi="Arial" w:cs="Arial"/>
          <w:color w:val="262626" w:themeColor="text1" w:themeTint="D9"/>
          <w:sz w:val="24"/>
          <w:szCs w:val="24"/>
        </w:rPr>
        <w:t xml:space="preserve"> on a balance of probabilities</w:t>
      </w:r>
      <w:r w:rsidR="00BA54E0">
        <w:rPr>
          <w:rFonts w:ascii="Arial" w:eastAsia="Calibri" w:hAnsi="Arial" w:cs="Arial"/>
          <w:color w:val="262626" w:themeColor="text1" w:themeTint="D9"/>
          <w:sz w:val="24"/>
          <w:szCs w:val="24"/>
        </w:rPr>
        <w:t>,</w:t>
      </w:r>
      <w:r w:rsidR="004D017D" w:rsidRPr="004D017D">
        <w:rPr>
          <w:rFonts w:ascii="Arial" w:eastAsia="Calibri" w:hAnsi="Arial" w:cs="Arial"/>
          <w:color w:val="262626" w:themeColor="text1" w:themeTint="D9"/>
          <w:sz w:val="24"/>
          <w:szCs w:val="24"/>
        </w:rPr>
        <w:t xml:space="preserve"> doubted the correctness and/or truthfulness of the appellant’s uncorroborated and contradictory evidence.  </w:t>
      </w:r>
      <w:r w:rsidR="00D411F8">
        <w:rPr>
          <w:rFonts w:ascii="Arial" w:eastAsia="Calibri" w:hAnsi="Arial" w:cs="Arial"/>
          <w:color w:val="262626" w:themeColor="text1" w:themeTint="D9"/>
          <w:sz w:val="24"/>
          <w:szCs w:val="24"/>
        </w:rPr>
        <w:t xml:space="preserve"> </w:t>
      </w:r>
    </w:p>
    <w:p w:rsidR="00D411F8" w:rsidRDefault="00D411F8" w:rsidP="00D411F8">
      <w:pPr>
        <w:pStyle w:val="ListParagraph"/>
        <w:rPr>
          <w:rFonts w:ascii="Arial" w:eastAsia="Calibri" w:hAnsi="Arial" w:cs="Arial"/>
          <w:color w:val="262626" w:themeColor="text1" w:themeTint="D9"/>
          <w:sz w:val="24"/>
          <w:szCs w:val="24"/>
        </w:rPr>
      </w:pPr>
    </w:p>
    <w:p w:rsidR="00D411F8" w:rsidRPr="004D017D" w:rsidRDefault="00C87E9C" w:rsidP="00C87E9C">
      <w:pPr>
        <w:spacing w:after="0" w:line="360" w:lineRule="auto"/>
        <w:jc w:val="both"/>
        <w:rPr>
          <w:rFonts w:ascii="Arial" w:eastAsia="Calibri" w:hAnsi="Arial" w:cs="Arial"/>
          <w:color w:val="262626" w:themeColor="text1" w:themeTint="D9"/>
          <w:sz w:val="24"/>
          <w:szCs w:val="24"/>
        </w:rPr>
      </w:pPr>
      <w:r>
        <w:rPr>
          <w:rFonts w:ascii="Arial" w:eastAsia="Calibri" w:hAnsi="Arial" w:cs="Arial"/>
          <w:color w:val="262626" w:themeColor="text1" w:themeTint="D9"/>
          <w:sz w:val="24"/>
          <w:szCs w:val="24"/>
        </w:rPr>
        <w:lastRenderedPageBreak/>
        <w:t>[1</w:t>
      </w:r>
      <w:r w:rsidR="0061035D">
        <w:rPr>
          <w:rFonts w:ascii="Arial" w:eastAsia="Calibri" w:hAnsi="Arial" w:cs="Arial"/>
          <w:color w:val="262626" w:themeColor="text1" w:themeTint="D9"/>
          <w:sz w:val="24"/>
          <w:szCs w:val="24"/>
        </w:rPr>
        <w:t>7</w:t>
      </w:r>
      <w:r>
        <w:rPr>
          <w:rFonts w:ascii="Arial" w:eastAsia="Calibri" w:hAnsi="Arial" w:cs="Arial"/>
          <w:color w:val="262626" w:themeColor="text1" w:themeTint="D9"/>
          <w:sz w:val="24"/>
          <w:szCs w:val="24"/>
        </w:rPr>
        <w:t>]</w:t>
      </w:r>
      <w:r>
        <w:rPr>
          <w:rFonts w:ascii="Arial" w:eastAsia="Calibri" w:hAnsi="Arial" w:cs="Arial"/>
          <w:color w:val="262626" w:themeColor="text1" w:themeTint="D9"/>
          <w:sz w:val="24"/>
          <w:szCs w:val="24"/>
        </w:rPr>
        <w:tab/>
      </w:r>
      <w:r w:rsidR="00D411F8">
        <w:rPr>
          <w:rFonts w:ascii="Arial" w:eastAsia="Calibri" w:hAnsi="Arial" w:cs="Arial"/>
          <w:color w:val="262626" w:themeColor="text1" w:themeTint="D9"/>
          <w:sz w:val="24"/>
          <w:szCs w:val="24"/>
        </w:rPr>
        <w:t>The critical question is thus whether the Veterans Ap</w:t>
      </w:r>
      <w:r w:rsidR="00EE5FA1">
        <w:rPr>
          <w:rFonts w:ascii="Arial" w:eastAsia="Calibri" w:hAnsi="Arial" w:cs="Arial"/>
          <w:color w:val="262626" w:themeColor="text1" w:themeTint="D9"/>
          <w:sz w:val="24"/>
          <w:szCs w:val="24"/>
        </w:rPr>
        <w:t xml:space="preserve">peal Board or the Appeal Board </w:t>
      </w:r>
      <w:r w:rsidR="00D411F8">
        <w:rPr>
          <w:rFonts w:ascii="Arial" w:eastAsia="Calibri" w:hAnsi="Arial" w:cs="Arial"/>
          <w:color w:val="262626" w:themeColor="text1" w:themeTint="D9"/>
          <w:sz w:val="24"/>
          <w:szCs w:val="24"/>
        </w:rPr>
        <w:t xml:space="preserve">could have taken into account the factors </w:t>
      </w:r>
      <w:r w:rsidR="00C01217">
        <w:rPr>
          <w:rFonts w:ascii="Arial" w:eastAsia="Calibri" w:hAnsi="Arial" w:cs="Arial"/>
          <w:color w:val="262626" w:themeColor="text1" w:themeTint="D9"/>
          <w:sz w:val="24"/>
          <w:szCs w:val="24"/>
        </w:rPr>
        <w:t>referred to in para 6</w:t>
      </w:r>
      <w:r w:rsidR="00AD3F65">
        <w:rPr>
          <w:rFonts w:ascii="Arial" w:eastAsia="Calibri" w:hAnsi="Arial" w:cs="Arial"/>
          <w:color w:val="262626" w:themeColor="text1" w:themeTint="D9"/>
          <w:sz w:val="24"/>
          <w:szCs w:val="24"/>
        </w:rPr>
        <w:t xml:space="preserve"> </w:t>
      </w:r>
      <w:r w:rsidR="00D411F8">
        <w:rPr>
          <w:rFonts w:ascii="Arial" w:eastAsia="Calibri" w:hAnsi="Arial" w:cs="Arial"/>
          <w:color w:val="262626" w:themeColor="text1" w:themeTint="D9"/>
          <w:sz w:val="24"/>
          <w:szCs w:val="24"/>
        </w:rPr>
        <w:t xml:space="preserve">when it considered Mrs Kamati’s application. </w:t>
      </w:r>
    </w:p>
    <w:p w:rsidR="004D017D" w:rsidRPr="004D017D" w:rsidRDefault="004D017D" w:rsidP="004D017D">
      <w:pPr>
        <w:ind w:left="720"/>
        <w:contextualSpacing/>
        <w:rPr>
          <w:rFonts w:ascii="Arial" w:hAnsi="Arial" w:cs="Arial"/>
          <w:color w:val="262626" w:themeColor="text1" w:themeTint="D9"/>
          <w:sz w:val="24"/>
          <w:szCs w:val="24"/>
        </w:rPr>
      </w:pPr>
    </w:p>
    <w:p w:rsidR="00AD3F65" w:rsidRPr="00C87E9C" w:rsidRDefault="00C87E9C" w:rsidP="00C87E9C">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[1</w:t>
      </w:r>
      <w:r w:rsidR="0061035D">
        <w:rPr>
          <w:rFonts w:ascii="Arial" w:hAnsi="Arial" w:cs="Arial"/>
          <w:color w:val="262626" w:themeColor="text1" w:themeTint="D9"/>
          <w:sz w:val="24"/>
          <w:szCs w:val="24"/>
        </w:rPr>
        <w:t>8</w:t>
      </w:r>
      <w:r>
        <w:rPr>
          <w:rFonts w:ascii="Arial" w:hAnsi="Arial" w:cs="Arial"/>
          <w:color w:val="262626" w:themeColor="text1" w:themeTint="D9"/>
          <w:sz w:val="24"/>
          <w:szCs w:val="24"/>
        </w:rPr>
        <w:t>]</w:t>
      </w:r>
      <w:r>
        <w:rPr>
          <w:rFonts w:ascii="Arial" w:hAnsi="Arial" w:cs="Arial"/>
          <w:color w:val="262626" w:themeColor="text1" w:themeTint="D9"/>
          <w:sz w:val="24"/>
          <w:szCs w:val="24"/>
        </w:rPr>
        <w:tab/>
      </w:r>
      <w:r w:rsidR="00AD3F65" w:rsidRPr="00C87E9C">
        <w:rPr>
          <w:rFonts w:ascii="Arial" w:hAnsi="Arial" w:cs="Arial"/>
          <w:color w:val="262626" w:themeColor="text1" w:themeTint="D9"/>
          <w:sz w:val="24"/>
          <w:szCs w:val="24"/>
        </w:rPr>
        <w:t xml:space="preserve">The record of proceedings that was placed before me included the proceedings that were before the Veterans Board. It is apparent that the Veterans Board rejected her appeal because she does not meet the qualifying criteria.  The Veterans Appeal Board confirmed that finding. Apart from that they also found that she did not have a house of her own, acted under parental instruction and her claim of attending SWAPO meetings is not corroborated. </w:t>
      </w:r>
    </w:p>
    <w:p w:rsidR="00AD3F65" w:rsidRPr="00F3532E" w:rsidRDefault="00AD3F65" w:rsidP="00AD3F65">
      <w:pPr>
        <w:pStyle w:val="ListParagraph"/>
        <w:rPr>
          <w:rFonts w:ascii="Arial" w:hAnsi="Arial" w:cs="Arial"/>
          <w:color w:val="262626" w:themeColor="text1" w:themeTint="D9"/>
          <w:sz w:val="24"/>
          <w:szCs w:val="24"/>
        </w:rPr>
      </w:pPr>
    </w:p>
    <w:p w:rsidR="00AD3F65" w:rsidRPr="00C87E9C" w:rsidRDefault="00C87E9C" w:rsidP="00C87E9C">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[1</w:t>
      </w:r>
      <w:r w:rsidR="0061035D">
        <w:rPr>
          <w:rFonts w:ascii="Arial" w:hAnsi="Arial" w:cs="Arial"/>
          <w:color w:val="262626" w:themeColor="text1" w:themeTint="D9"/>
          <w:sz w:val="24"/>
          <w:szCs w:val="24"/>
        </w:rPr>
        <w:t>9</w:t>
      </w:r>
      <w:r>
        <w:rPr>
          <w:rFonts w:ascii="Arial" w:hAnsi="Arial" w:cs="Arial"/>
          <w:color w:val="262626" w:themeColor="text1" w:themeTint="D9"/>
          <w:sz w:val="24"/>
          <w:szCs w:val="24"/>
        </w:rPr>
        <w:t>]</w:t>
      </w:r>
      <w:r>
        <w:rPr>
          <w:rFonts w:ascii="Arial" w:hAnsi="Arial" w:cs="Arial"/>
          <w:color w:val="262626" w:themeColor="text1" w:themeTint="D9"/>
          <w:sz w:val="24"/>
          <w:szCs w:val="24"/>
        </w:rPr>
        <w:tab/>
      </w:r>
      <w:r w:rsidR="00AD3F65" w:rsidRPr="00C87E9C">
        <w:rPr>
          <w:rFonts w:ascii="Arial" w:hAnsi="Arial" w:cs="Arial"/>
          <w:color w:val="262626" w:themeColor="text1" w:themeTint="D9"/>
          <w:sz w:val="24"/>
          <w:szCs w:val="24"/>
        </w:rPr>
        <w:t>The Act in s 42(1)</w:t>
      </w:r>
      <w:r w:rsidR="00AD3F65">
        <w:rPr>
          <w:rStyle w:val="FootnoteReference"/>
          <w:rFonts w:ascii="Arial" w:hAnsi="Arial" w:cs="Arial"/>
          <w:color w:val="262626" w:themeColor="text1" w:themeTint="D9"/>
          <w:sz w:val="24"/>
          <w:szCs w:val="24"/>
        </w:rPr>
        <w:footnoteReference w:id="6"/>
      </w:r>
      <w:r w:rsidR="00EE5FA1">
        <w:rPr>
          <w:rFonts w:ascii="Arial" w:hAnsi="Arial" w:cs="Arial"/>
          <w:color w:val="262626" w:themeColor="text1" w:themeTint="D9"/>
          <w:sz w:val="24"/>
          <w:szCs w:val="24"/>
        </w:rPr>
        <w:t xml:space="preserve"> </w:t>
      </w:r>
      <w:r w:rsidR="00AD3F65" w:rsidRPr="00C87E9C">
        <w:rPr>
          <w:rFonts w:ascii="Arial" w:hAnsi="Arial" w:cs="Arial"/>
          <w:color w:val="262626" w:themeColor="text1" w:themeTint="D9"/>
          <w:sz w:val="24"/>
          <w:szCs w:val="24"/>
        </w:rPr>
        <w:t xml:space="preserve">permits the </w:t>
      </w:r>
      <w:r w:rsidR="00D559CA" w:rsidRPr="00C87E9C">
        <w:rPr>
          <w:rFonts w:ascii="Arial" w:hAnsi="Arial" w:cs="Arial"/>
          <w:color w:val="262626" w:themeColor="text1" w:themeTint="D9"/>
          <w:sz w:val="24"/>
          <w:szCs w:val="24"/>
        </w:rPr>
        <w:t>V</w:t>
      </w:r>
      <w:r w:rsidR="00AD3F65" w:rsidRPr="00C87E9C">
        <w:rPr>
          <w:rFonts w:ascii="Arial" w:hAnsi="Arial" w:cs="Arial"/>
          <w:color w:val="262626" w:themeColor="text1" w:themeTint="D9"/>
          <w:sz w:val="24"/>
          <w:szCs w:val="24"/>
        </w:rPr>
        <w:t xml:space="preserve">eterans </w:t>
      </w:r>
      <w:r w:rsidR="00D559CA" w:rsidRPr="00C87E9C">
        <w:rPr>
          <w:rFonts w:ascii="Arial" w:hAnsi="Arial" w:cs="Arial"/>
          <w:color w:val="262626" w:themeColor="text1" w:themeTint="D9"/>
          <w:sz w:val="24"/>
          <w:szCs w:val="24"/>
        </w:rPr>
        <w:t>Appeal B</w:t>
      </w:r>
      <w:r w:rsidR="00AD3F65" w:rsidRPr="00C87E9C">
        <w:rPr>
          <w:rFonts w:ascii="Arial" w:hAnsi="Arial" w:cs="Arial"/>
          <w:color w:val="262626" w:themeColor="text1" w:themeTint="D9"/>
          <w:sz w:val="24"/>
          <w:szCs w:val="24"/>
        </w:rPr>
        <w:t xml:space="preserve">oard </w:t>
      </w:r>
      <w:r>
        <w:rPr>
          <w:rFonts w:ascii="Arial" w:hAnsi="Arial" w:cs="Arial"/>
          <w:color w:val="262626" w:themeColor="text1" w:themeTint="D9"/>
          <w:sz w:val="24"/>
          <w:szCs w:val="24"/>
        </w:rPr>
        <w:t xml:space="preserve">to have regard to, inter alia </w:t>
      </w:r>
      <w:r w:rsidR="00AD3F65" w:rsidRPr="00C87E9C">
        <w:rPr>
          <w:rFonts w:ascii="Arial" w:hAnsi="Arial" w:cs="Arial"/>
          <w:color w:val="262626" w:themeColor="text1" w:themeTint="D9"/>
          <w:sz w:val="24"/>
          <w:szCs w:val="24"/>
        </w:rPr>
        <w:t xml:space="preserve">the </w:t>
      </w:r>
      <w:r w:rsidR="00AD3F65" w:rsidRPr="00C87E9C">
        <w:rPr>
          <w:rFonts w:ascii="Arial" w:eastAsia="Calibri" w:hAnsi="Arial" w:cs="Arial"/>
          <w:color w:val="262626" w:themeColor="text1" w:themeTint="D9"/>
          <w:sz w:val="24"/>
          <w:szCs w:val="24"/>
        </w:rPr>
        <w:t>circumstances which were considered in taking the decision of the act appealed against as well as other information at the disposal of the Appeal Board.  It therefore</w:t>
      </w:r>
      <w:r w:rsidR="00EE5FA1">
        <w:rPr>
          <w:rFonts w:ascii="Arial" w:eastAsia="Calibri" w:hAnsi="Arial" w:cs="Arial"/>
          <w:color w:val="262626" w:themeColor="text1" w:themeTint="D9"/>
          <w:sz w:val="24"/>
          <w:szCs w:val="24"/>
        </w:rPr>
        <w:t>,</w:t>
      </w:r>
      <w:r w:rsidR="00AD3F65" w:rsidRPr="00C87E9C">
        <w:rPr>
          <w:rFonts w:ascii="Arial" w:eastAsia="Calibri" w:hAnsi="Arial" w:cs="Arial"/>
          <w:color w:val="262626" w:themeColor="text1" w:themeTint="D9"/>
          <w:sz w:val="24"/>
          <w:szCs w:val="24"/>
        </w:rPr>
        <w:t xml:space="preserve"> appears that the Veterans Appeal Board could legitimately take into account those factors. </w:t>
      </w:r>
    </w:p>
    <w:p w:rsidR="004D017D" w:rsidRPr="004D017D" w:rsidRDefault="004D017D" w:rsidP="004D017D">
      <w:pPr>
        <w:ind w:left="720"/>
        <w:contextualSpacing/>
        <w:rPr>
          <w:rFonts w:ascii="Arial" w:hAnsi="Arial" w:cs="Arial"/>
          <w:color w:val="262626" w:themeColor="text1" w:themeTint="D9"/>
          <w:sz w:val="24"/>
          <w:szCs w:val="24"/>
        </w:rPr>
      </w:pPr>
    </w:p>
    <w:p w:rsidR="004D017D" w:rsidRPr="004D017D" w:rsidRDefault="00C87E9C" w:rsidP="00C87E9C">
      <w:pPr>
        <w:spacing w:after="200" w:line="360" w:lineRule="auto"/>
        <w:contextualSpacing/>
        <w:jc w:val="both"/>
        <w:rPr>
          <w:rFonts w:ascii="Arial" w:hAnsi="Arial" w:cs="Arial"/>
          <w:color w:val="262626" w:themeColor="text1" w:themeTint="D9"/>
          <w:sz w:val="24"/>
          <w:szCs w:val="24"/>
        </w:rPr>
      </w:pPr>
      <w:r>
        <w:rPr>
          <w:rFonts w:ascii="Arial" w:hAnsi="Arial" w:cs="Arial"/>
          <w:color w:val="262626" w:themeColor="text1" w:themeTint="D9"/>
          <w:sz w:val="24"/>
          <w:szCs w:val="24"/>
        </w:rPr>
        <w:t>[</w:t>
      </w:r>
      <w:r w:rsidR="0061035D">
        <w:rPr>
          <w:rFonts w:ascii="Arial" w:hAnsi="Arial" w:cs="Arial"/>
          <w:color w:val="262626" w:themeColor="text1" w:themeTint="D9"/>
          <w:sz w:val="24"/>
          <w:szCs w:val="24"/>
        </w:rPr>
        <w:t>20</w:t>
      </w:r>
      <w:r>
        <w:rPr>
          <w:rFonts w:ascii="Arial" w:hAnsi="Arial" w:cs="Arial"/>
          <w:color w:val="262626" w:themeColor="text1" w:themeTint="D9"/>
          <w:sz w:val="24"/>
          <w:szCs w:val="24"/>
        </w:rPr>
        <w:t>]</w:t>
      </w:r>
      <w:r>
        <w:rPr>
          <w:rFonts w:ascii="Arial" w:hAnsi="Arial" w:cs="Arial"/>
          <w:color w:val="262626" w:themeColor="text1" w:themeTint="D9"/>
          <w:sz w:val="24"/>
          <w:szCs w:val="24"/>
        </w:rPr>
        <w:tab/>
      </w:r>
      <w:r w:rsidR="00A76794">
        <w:rPr>
          <w:rFonts w:ascii="Arial" w:hAnsi="Arial" w:cs="Arial"/>
          <w:color w:val="262626" w:themeColor="text1" w:themeTint="D9"/>
          <w:sz w:val="24"/>
          <w:szCs w:val="24"/>
        </w:rPr>
        <w:t xml:space="preserve">The next question </w:t>
      </w:r>
      <w:r w:rsidR="004D017D" w:rsidRPr="004D017D">
        <w:rPr>
          <w:rFonts w:ascii="Arial" w:hAnsi="Arial" w:cs="Arial"/>
          <w:color w:val="262626" w:themeColor="text1" w:themeTint="D9"/>
          <w:sz w:val="24"/>
          <w:szCs w:val="24"/>
        </w:rPr>
        <w:t>is whether the evidence submitted by the applicant satisf</w:t>
      </w:r>
      <w:r w:rsidR="008F0E1F">
        <w:rPr>
          <w:rFonts w:ascii="Arial" w:hAnsi="Arial" w:cs="Arial"/>
          <w:color w:val="262626" w:themeColor="text1" w:themeTint="D9"/>
          <w:sz w:val="24"/>
          <w:szCs w:val="24"/>
        </w:rPr>
        <w:t>ies</w:t>
      </w:r>
      <w:r w:rsidR="004D017D" w:rsidRPr="004D017D">
        <w:rPr>
          <w:rFonts w:ascii="Arial" w:hAnsi="Arial" w:cs="Arial"/>
          <w:color w:val="262626" w:themeColor="text1" w:themeTint="D9"/>
          <w:sz w:val="24"/>
          <w:szCs w:val="24"/>
        </w:rPr>
        <w:t xml:space="preserve"> the provisions of the law.</w:t>
      </w:r>
    </w:p>
    <w:p w:rsidR="004D017D" w:rsidRPr="004D017D" w:rsidRDefault="004D017D" w:rsidP="004D017D">
      <w:pPr>
        <w:ind w:left="720"/>
        <w:contextualSpacing/>
        <w:rPr>
          <w:rFonts w:ascii="Arial" w:hAnsi="Arial" w:cs="Arial"/>
          <w:color w:val="262626" w:themeColor="text1" w:themeTint="D9"/>
          <w:sz w:val="24"/>
          <w:szCs w:val="24"/>
        </w:rPr>
      </w:pPr>
    </w:p>
    <w:p w:rsidR="004D017D" w:rsidRPr="004D017D" w:rsidRDefault="00C87E9C" w:rsidP="00C87E9C">
      <w:pPr>
        <w:tabs>
          <w:tab w:val="left" w:pos="1890"/>
        </w:tabs>
        <w:spacing w:after="200" w:line="360" w:lineRule="auto"/>
        <w:contextualSpacing/>
        <w:jc w:val="both"/>
        <w:rPr>
          <w:rFonts w:ascii="Arial" w:hAnsi="Arial" w:cs="Arial"/>
          <w:color w:val="262626" w:themeColor="text1" w:themeTint="D9"/>
        </w:rPr>
      </w:pPr>
      <w:r>
        <w:rPr>
          <w:rFonts w:ascii="Arial" w:hAnsi="Arial" w:cs="Arial"/>
          <w:color w:val="262626" w:themeColor="text1" w:themeTint="D9"/>
          <w:sz w:val="24"/>
          <w:szCs w:val="24"/>
        </w:rPr>
        <w:t>[2</w:t>
      </w:r>
      <w:r w:rsidR="0061035D">
        <w:rPr>
          <w:rFonts w:ascii="Arial" w:hAnsi="Arial" w:cs="Arial"/>
          <w:color w:val="262626" w:themeColor="text1" w:themeTint="D9"/>
          <w:sz w:val="24"/>
          <w:szCs w:val="24"/>
        </w:rPr>
        <w:t>1</w:t>
      </w:r>
      <w:r>
        <w:rPr>
          <w:rFonts w:ascii="Arial" w:hAnsi="Arial" w:cs="Arial"/>
          <w:color w:val="262626" w:themeColor="text1" w:themeTint="D9"/>
          <w:sz w:val="24"/>
          <w:szCs w:val="24"/>
        </w:rPr>
        <w:t xml:space="preserve">]    </w:t>
      </w:r>
      <w:r w:rsidR="004D017D" w:rsidRPr="004D017D">
        <w:rPr>
          <w:rFonts w:ascii="Arial" w:hAnsi="Arial" w:cs="Arial"/>
          <w:color w:val="262626" w:themeColor="text1" w:themeTint="D9"/>
          <w:sz w:val="24"/>
          <w:szCs w:val="24"/>
        </w:rPr>
        <w:t>In order to answer this question, it is crucial to start with the definition of a veteran.  S 27(2) of the Act provides that a veteran is a person who:</w:t>
      </w:r>
    </w:p>
    <w:p w:rsidR="004D017D" w:rsidRPr="004D017D" w:rsidRDefault="008F0E1F" w:rsidP="008F0E1F">
      <w:pPr>
        <w:spacing w:after="200" w:line="360" w:lineRule="auto"/>
        <w:ind w:left="810"/>
        <w:contextualSpacing/>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(a) </w:t>
      </w:r>
      <w:r w:rsidR="004D017D" w:rsidRPr="004D017D">
        <w:rPr>
          <w:rFonts w:ascii="Arial" w:hAnsi="Arial" w:cs="Arial"/>
          <w:color w:val="262626" w:themeColor="text1" w:themeTint="D9"/>
          <w:sz w:val="24"/>
          <w:szCs w:val="24"/>
        </w:rPr>
        <w:t>was a member of the liberation forces, provided the person was above 18 years of age on 21 March 1990;</w:t>
      </w:r>
    </w:p>
    <w:p w:rsidR="004D017D" w:rsidRPr="004D017D" w:rsidRDefault="004D017D" w:rsidP="004D017D">
      <w:pPr>
        <w:tabs>
          <w:tab w:val="left" w:pos="1890"/>
        </w:tabs>
        <w:spacing w:line="360" w:lineRule="auto"/>
        <w:ind w:left="720"/>
        <w:contextualSpacing/>
        <w:jc w:val="both"/>
        <w:rPr>
          <w:rFonts w:ascii="Arial" w:hAnsi="Arial" w:cs="Arial"/>
          <w:color w:val="262626" w:themeColor="text1" w:themeTint="D9"/>
          <w:sz w:val="24"/>
          <w:szCs w:val="24"/>
        </w:rPr>
      </w:pPr>
      <w:r w:rsidRPr="004D017D">
        <w:rPr>
          <w:rFonts w:ascii="Arial" w:hAnsi="Arial" w:cs="Arial"/>
          <w:color w:val="262626" w:themeColor="text1" w:themeTint="D9"/>
          <w:sz w:val="24"/>
          <w:szCs w:val="24"/>
        </w:rPr>
        <w:t xml:space="preserve"> (b) Consistently and persistently participated or engaged in any political, diplomatic or under-ground activity in furtherance of the liberation struggle up to the date of independence; or</w:t>
      </w:r>
    </w:p>
    <w:p w:rsidR="004D017D" w:rsidRPr="004D017D" w:rsidRDefault="004D017D" w:rsidP="004D017D">
      <w:pPr>
        <w:tabs>
          <w:tab w:val="left" w:pos="1890"/>
        </w:tabs>
        <w:spacing w:line="360" w:lineRule="auto"/>
        <w:ind w:left="720"/>
        <w:contextualSpacing/>
        <w:jc w:val="both"/>
        <w:rPr>
          <w:rFonts w:ascii="Arial" w:hAnsi="Arial" w:cs="Arial"/>
          <w:color w:val="262626" w:themeColor="text1" w:themeTint="D9"/>
        </w:rPr>
      </w:pPr>
      <w:r w:rsidRPr="004D017D">
        <w:rPr>
          <w:rFonts w:ascii="Arial" w:hAnsi="Arial" w:cs="Arial"/>
          <w:color w:val="262626" w:themeColor="text1" w:themeTint="D9"/>
          <w:sz w:val="24"/>
          <w:szCs w:val="24"/>
        </w:rPr>
        <w:lastRenderedPageBreak/>
        <w:t>(c) Owing to his or her participation in the liberation struggle was convicted, whether in Namibia or elsewhere, of any offense closely connected to the struggle and sentenced to imprisonment, provided the person continued with the liberation struggle activities after being released.</w:t>
      </w:r>
    </w:p>
    <w:p w:rsidR="004D017D" w:rsidRPr="004D017D" w:rsidRDefault="004D017D" w:rsidP="004D017D">
      <w:pPr>
        <w:tabs>
          <w:tab w:val="left" w:pos="1890"/>
        </w:tabs>
        <w:spacing w:line="360" w:lineRule="auto"/>
        <w:ind w:left="720"/>
        <w:contextualSpacing/>
        <w:jc w:val="both"/>
        <w:rPr>
          <w:rFonts w:ascii="Arial" w:hAnsi="Arial" w:cs="Arial"/>
          <w:color w:val="262626" w:themeColor="text1" w:themeTint="D9"/>
        </w:rPr>
      </w:pPr>
    </w:p>
    <w:p w:rsidR="004D017D" w:rsidRPr="004D017D" w:rsidRDefault="00C87E9C" w:rsidP="00C87E9C">
      <w:pPr>
        <w:tabs>
          <w:tab w:val="left" w:pos="1890"/>
        </w:tabs>
        <w:spacing w:after="200" w:line="360" w:lineRule="auto"/>
        <w:contextualSpacing/>
        <w:jc w:val="both"/>
        <w:rPr>
          <w:rFonts w:ascii="Arial" w:hAnsi="Arial" w:cs="Arial"/>
          <w:color w:val="262626" w:themeColor="text1" w:themeTint="D9"/>
        </w:rPr>
      </w:pPr>
      <w:r>
        <w:rPr>
          <w:rFonts w:ascii="Arial" w:hAnsi="Arial" w:cs="Arial"/>
          <w:color w:val="262626" w:themeColor="text1" w:themeTint="D9"/>
          <w:sz w:val="24"/>
          <w:szCs w:val="24"/>
        </w:rPr>
        <w:t>[2</w:t>
      </w:r>
      <w:r w:rsidR="00035EB2">
        <w:rPr>
          <w:rFonts w:ascii="Arial" w:hAnsi="Arial" w:cs="Arial"/>
          <w:color w:val="262626" w:themeColor="text1" w:themeTint="D9"/>
          <w:sz w:val="24"/>
          <w:szCs w:val="24"/>
        </w:rPr>
        <w:t>2</w:t>
      </w:r>
      <w:r>
        <w:rPr>
          <w:rFonts w:ascii="Arial" w:hAnsi="Arial" w:cs="Arial"/>
          <w:color w:val="262626" w:themeColor="text1" w:themeTint="D9"/>
          <w:sz w:val="24"/>
          <w:szCs w:val="24"/>
        </w:rPr>
        <w:t xml:space="preserve">]    </w:t>
      </w:r>
      <w:r w:rsidR="004D017D" w:rsidRPr="004D017D">
        <w:rPr>
          <w:rFonts w:ascii="Arial" w:hAnsi="Arial" w:cs="Arial"/>
          <w:color w:val="262626" w:themeColor="text1" w:themeTint="D9"/>
          <w:sz w:val="24"/>
          <w:szCs w:val="24"/>
        </w:rPr>
        <w:t>Although s 27(2)(b) has to be read with subsection (3), it is not necessary to probe into the said subsection for purposes of this matter.</w:t>
      </w:r>
    </w:p>
    <w:p w:rsidR="004D017D" w:rsidRPr="004D017D" w:rsidRDefault="004D017D" w:rsidP="004D017D">
      <w:pPr>
        <w:tabs>
          <w:tab w:val="left" w:pos="1890"/>
        </w:tabs>
        <w:spacing w:line="360" w:lineRule="auto"/>
        <w:ind w:left="720"/>
        <w:contextualSpacing/>
        <w:jc w:val="both"/>
        <w:rPr>
          <w:rFonts w:ascii="Arial" w:hAnsi="Arial" w:cs="Arial"/>
          <w:color w:val="262626" w:themeColor="text1" w:themeTint="D9"/>
        </w:rPr>
      </w:pPr>
    </w:p>
    <w:p w:rsidR="004D017D" w:rsidRPr="004D017D" w:rsidRDefault="00035EB2" w:rsidP="00C87E9C">
      <w:p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[23</w:t>
      </w:r>
      <w:r w:rsidR="00C87E9C">
        <w:rPr>
          <w:rFonts w:ascii="Arial" w:eastAsia="Times New Roman" w:hAnsi="Arial" w:cs="Arial"/>
          <w:color w:val="262626" w:themeColor="text1" w:themeTint="D9"/>
          <w:sz w:val="24"/>
          <w:szCs w:val="24"/>
          <w:lang w:val="en-GB"/>
        </w:rPr>
        <w:t xml:space="preserve">]     </w:t>
      </w:r>
      <w:r w:rsidR="004D017D" w:rsidRPr="004D017D">
        <w:rPr>
          <w:rFonts w:ascii="Arial" w:eastAsia="Times New Roman" w:hAnsi="Arial" w:cs="Arial"/>
          <w:color w:val="262626" w:themeColor="text1" w:themeTint="D9"/>
          <w:sz w:val="24"/>
          <w:szCs w:val="24"/>
          <w:lang w:val="en-GB"/>
        </w:rPr>
        <w:t>In interpreting w</w:t>
      </w:r>
      <w:r w:rsidR="00C01217">
        <w:rPr>
          <w:rFonts w:ascii="Arial" w:eastAsia="Times New Roman" w:hAnsi="Arial" w:cs="Arial"/>
          <w:color w:val="262626" w:themeColor="text1" w:themeTint="D9"/>
          <w:sz w:val="24"/>
          <w:szCs w:val="24"/>
          <w:lang w:val="en-GB"/>
        </w:rPr>
        <w:t>hat the section entails, it is</w:t>
      </w:r>
      <w:r w:rsidR="004D017D" w:rsidRPr="004D017D">
        <w:rPr>
          <w:rFonts w:ascii="Arial" w:eastAsia="Times New Roman" w:hAnsi="Arial" w:cs="Arial"/>
          <w:color w:val="262626" w:themeColor="text1" w:themeTint="D9"/>
          <w:sz w:val="24"/>
          <w:szCs w:val="24"/>
          <w:lang w:val="en-GB"/>
        </w:rPr>
        <w:t xml:space="preserve"> inexorable that an applicant must have participated or engaged in activities of the liberation struggle. The Act defines ‘liberation struggle’ as the political, diplomatic, military or underground struggle waged against colonialism, racism and apartheid which struggle was waged in Namibia and other countries and resulted in the attainment of the independence of Namibia of 21 March 1990.</w:t>
      </w:r>
      <w:r w:rsidR="004D017D" w:rsidRPr="004D017D">
        <w:rPr>
          <w:rFonts w:ascii="Arial" w:eastAsia="Times New Roman" w:hAnsi="Arial" w:cs="Arial"/>
          <w:color w:val="262626" w:themeColor="text1" w:themeTint="D9"/>
          <w:sz w:val="24"/>
          <w:szCs w:val="24"/>
          <w:vertAlign w:val="superscript"/>
          <w:lang w:val="en-GB"/>
        </w:rPr>
        <w:footnoteReference w:id="7"/>
      </w:r>
      <w:r w:rsidR="004D017D" w:rsidRPr="004D017D">
        <w:rPr>
          <w:rFonts w:ascii="Arial" w:eastAsia="Times New Roman" w:hAnsi="Arial" w:cs="Arial"/>
          <w:color w:val="262626" w:themeColor="text1" w:themeTint="D9"/>
          <w:sz w:val="24"/>
          <w:szCs w:val="24"/>
          <w:lang w:val="en-GB"/>
        </w:rPr>
        <w:t xml:space="preserve"> </w:t>
      </w:r>
    </w:p>
    <w:p w:rsidR="004D017D" w:rsidRPr="004D017D" w:rsidRDefault="004D017D" w:rsidP="004D017D">
      <w:pPr>
        <w:ind w:left="720"/>
        <w:contextualSpacing/>
        <w:rPr>
          <w:rFonts w:ascii="Arial" w:hAnsi="Arial" w:cs="Arial"/>
          <w:color w:val="262626" w:themeColor="text1" w:themeTint="D9"/>
        </w:rPr>
      </w:pPr>
    </w:p>
    <w:p w:rsidR="004D017D" w:rsidRPr="004D017D" w:rsidRDefault="00C87E9C" w:rsidP="00C87E9C">
      <w:p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[2</w:t>
      </w:r>
      <w:r w:rsidR="00035EB2">
        <w:rPr>
          <w:rFonts w:ascii="Arial" w:eastAsia="Times New Roman" w:hAnsi="Arial" w:cs="Arial"/>
          <w:color w:val="262626" w:themeColor="text1" w:themeTint="D9"/>
          <w:sz w:val="24"/>
          <w:szCs w:val="24"/>
          <w:lang w:val="en-GB"/>
        </w:rPr>
        <w:t>4</w:t>
      </w:r>
      <w:r>
        <w:rPr>
          <w:rFonts w:ascii="Arial" w:eastAsia="Times New Roman" w:hAnsi="Arial" w:cs="Arial"/>
          <w:color w:val="262626" w:themeColor="text1" w:themeTint="D9"/>
          <w:sz w:val="24"/>
          <w:szCs w:val="24"/>
          <w:lang w:val="en-GB"/>
        </w:rPr>
        <w:t xml:space="preserve">]      </w:t>
      </w:r>
      <w:r w:rsidR="004D017D" w:rsidRPr="004D017D">
        <w:rPr>
          <w:rFonts w:ascii="Arial" w:eastAsia="Times New Roman" w:hAnsi="Arial" w:cs="Arial"/>
          <w:color w:val="262626" w:themeColor="text1" w:themeTint="D9"/>
          <w:sz w:val="24"/>
          <w:szCs w:val="24"/>
          <w:lang w:val="en-GB"/>
        </w:rPr>
        <w:t>The question arises as to the meaning of the words consi</w:t>
      </w:r>
      <w:r w:rsidR="00EE5FA1">
        <w:rPr>
          <w:rFonts w:ascii="Arial" w:eastAsia="Times New Roman" w:hAnsi="Arial" w:cs="Arial"/>
          <w:color w:val="262626" w:themeColor="text1" w:themeTint="D9"/>
          <w:sz w:val="24"/>
          <w:szCs w:val="24"/>
          <w:lang w:val="en-GB"/>
        </w:rPr>
        <w:t>stently and persistently that are</w:t>
      </w:r>
      <w:r w:rsidR="004D017D" w:rsidRPr="004D017D">
        <w:rPr>
          <w:rFonts w:ascii="Arial" w:eastAsia="Times New Roman" w:hAnsi="Arial" w:cs="Arial"/>
          <w:color w:val="262626" w:themeColor="text1" w:themeTint="D9"/>
          <w:sz w:val="24"/>
          <w:szCs w:val="24"/>
          <w:lang w:val="en-GB"/>
        </w:rPr>
        <w:t xml:space="preserve"> used in section 27(2)(b) of the Act to describe the extent of engagement or participation in the liberation struggle. According to the Concise </w:t>
      </w:r>
      <w:r w:rsidR="00A76794">
        <w:rPr>
          <w:rFonts w:ascii="Arial" w:eastAsia="Times New Roman" w:hAnsi="Arial" w:cs="Arial"/>
          <w:color w:val="262626" w:themeColor="text1" w:themeTint="D9"/>
          <w:sz w:val="24"/>
          <w:szCs w:val="24"/>
          <w:lang w:val="en-GB"/>
        </w:rPr>
        <w:t xml:space="preserve">Oxford </w:t>
      </w:r>
      <w:r w:rsidR="004D017D" w:rsidRPr="004D017D">
        <w:rPr>
          <w:rFonts w:ascii="Arial" w:eastAsia="Times New Roman" w:hAnsi="Arial" w:cs="Arial"/>
          <w:color w:val="262626" w:themeColor="text1" w:themeTint="D9"/>
          <w:sz w:val="24"/>
          <w:szCs w:val="24"/>
          <w:lang w:val="en-GB"/>
        </w:rPr>
        <w:t>English Dictionary the word “consistent” means “acting or done in the same way over time…”</w:t>
      </w:r>
      <w:r w:rsidR="004D017D" w:rsidRPr="004D017D">
        <w:rPr>
          <w:rFonts w:ascii="Arial" w:eastAsia="Times New Roman" w:hAnsi="Arial" w:cs="Arial"/>
          <w:color w:val="262626" w:themeColor="text1" w:themeTint="D9"/>
          <w:sz w:val="24"/>
          <w:szCs w:val="24"/>
          <w:vertAlign w:val="superscript"/>
          <w:lang w:val="en-GB"/>
        </w:rPr>
        <w:footnoteReference w:id="8"/>
      </w:r>
      <w:r w:rsidR="004D017D" w:rsidRPr="004D017D">
        <w:rPr>
          <w:rFonts w:ascii="Arial" w:eastAsia="Times New Roman" w:hAnsi="Arial" w:cs="Arial"/>
          <w:color w:val="262626" w:themeColor="text1" w:themeTint="D9"/>
          <w:sz w:val="24"/>
          <w:szCs w:val="24"/>
          <w:lang w:val="en-GB"/>
        </w:rPr>
        <w:t xml:space="preserve">  In harmony with that  is the meaning ascribed to the word “persistent” as “lasting for a long time…”</w:t>
      </w:r>
      <w:r w:rsidR="004D017D" w:rsidRPr="004D017D">
        <w:rPr>
          <w:rFonts w:ascii="Arial" w:eastAsia="Times New Roman" w:hAnsi="Arial" w:cs="Arial"/>
          <w:color w:val="262626" w:themeColor="text1" w:themeTint="D9"/>
          <w:sz w:val="24"/>
          <w:szCs w:val="24"/>
          <w:vertAlign w:val="superscript"/>
          <w:lang w:val="en-GB"/>
        </w:rPr>
        <w:footnoteReference w:id="9"/>
      </w:r>
      <w:r w:rsidR="004D017D" w:rsidRPr="004D017D">
        <w:rPr>
          <w:rFonts w:ascii="Arial" w:eastAsia="Times New Roman" w:hAnsi="Arial" w:cs="Arial"/>
          <w:color w:val="262626" w:themeColor="text1" w:themeTint="D9"/>
          <w:sz w:val="24"/>
          <w:szCs w:val="24"/>
          <w:lang w:val="en-GB"/>
        </w:rPr>
        <w:t xml:space="preserve"> in the Cambridge </w:t>
      </w:r>
      <w:r>
        <w:rPr>
          <w:rFonts w:ascii="Arial" w:eastAsia="Times New Roman" w:hAnsi="Arial" w:cs="Arial"/>
          <w:color w:val="262626" w:themeColor="text1" w:themeTint="D9"/>
          <w:sz w:val="24"/>
          <w:szCs w:val="24"/>
          <w:lang w:val="en-GB"/>
        </w:rPr>
        <w:t xml:space="preserve">Advanced Learners Dictionary. </w:t>
      </w:r>
      <w:r w:rsidR="004D017D" w:rsidRPr="004D017D">
        <w:rPr>
          <w:rFonts w:ascii="Arial" w:eastAsia="Times New Roman" w:hAnsi="Arial" w:cs="Arial"/>
          <w:color w:val="262626" w:themeColor="text1" w:themeTint="D9"/>
          <w:sz w:val="24"/>
          <w:szCs w:val="24"/>
          <w:lang w:val="en-GB"/>
        </w:rPr>
        <w:t xml:space="preserve">In addition, the Legislature included a phrase </w:t>
      </w:r>
      <w:r w:rsidR="00A41282">
        <w:rPr>
          <w:rFonts w:ascii="Arial" w:eastAsia="Times New Roman" w:hAnsi="Arial" w:cs="Arial"/>
          <w:color w:val="262626" w:themeColor="text1" w:themeTint="D9"/>
          <w:sz w:val="24"/>
          <w:szCs w:val="24"/>
          <w:lang w:val="en-GB"/>
        </w:rPr>
        <w:t>‘</w:t>
      </w:r>
      <w:r w:rsidR="004D017D" w:rsidRPr="004D017D">
        <w:rPr>
          <w:rFonts w:ascii="Arial" w:eastAsia="Times New Roman" w:hAnsi="Arial" w:cs="Arial"/>
          <w:color w:val="262626" w:themeColor="text1" w:themeTint="D9"/>
          <w:sz w:val="24"/>
          <w:szCs w:val="24"/>
          <w:lang w:val="en-GB"/>
        </w:rPr>
        <w:t>up until the date of independence</w:t>
      </w:r>
      <w:r w:rsidR="00A41282">
        <w:rPr>
          <w:rFonts w:ascii="Arial" w:eastAsia="Times New Roman" w:hAnsi="Arial" w:cs="Arial"/>
          <w:color w:val="262626" w:themeColor="text1" w:themeTint="D9"/>
          <w:sz w:val="24"/>
          <w:szCs w:val="24"/>
          <w:lang w:val="en-GB"/>
        </w:rPr>
        <w:t>’</w:t>
      </w:r>
      <w:r w:rsidR="004D017D" w:rsidRPr="004D017D">
        <w:rPr>
          <w:rFonts w:ascii="Arial" w:eastAsia="Times New Roman" w:hAnsi="Arial" w:cs="Arial"/>
          <w:color w:val="262626" w:themeColor="text1" w:themeTint="D9"/>
          <w:sz w:val="24"/>
          <w:szCs w:val="24"/>
          <w:lang w:val="en-GB"/>
        </w:rPr>
        <w:t xml:space="preserve"> to further qualify an applicant’s participation and engagement in activities in the furtherance of the liberation struggle. </w:t>
      </w:r>
    </w:p>
    <w:p w:rsidR="004D017D" w:rsidRPr="004D017D" w:rsidRDefault="004D017D" w:rsidP="004D017D">
      <w:pPr>
        <w:tabs>
          <w:tab w:val="left" w:pos="1890"/>
        </w:tabs>
        <w:spacing w:after="0" w:line="360" w:lineRule="auto"/>
        <w:ind w:left="360"/>
        <w:jc w:val="both"/>
        <w:rPr>
          <w:rFonts w:ascii="Arial" w:eastAsia="Times New Roman" w:hAnsi="Arial" w:cs="Arial"/>
          <w:color w:val="262626" w:themeColor="text1" w:themeTint="D9"/>
          <w:sz w:val="24"/>
          <w:szCs w:val="24"/>
          <w:lang w:val="en-GB"/>
        </w:rPr>
      </w:pPr>
      <w:r w:rsidRPr="004D017D">
        <w:rPr>
          <w:rFonts w:ascii="Arial" w:eastAsia="Times New Roman" w:hAnsi="Arial" w:cs="Arial"/>
          <w:color w:val="262626" w:themeColor="text1" w:themeTint="D9"/>
          <w:sz w:val="24"/>
          <w:szCs w:val="24"/>
          <w:lang w:val="en-GB"/>
        </w:rPr>
        <w:t xml:space="preserve"> </w:t>
      </w:r>
    </w:p>
    <w:p w:rsidR="004D017D" w:rsidRPr="004D017D" w:rsidRDefault="00C87E9C" w:rsidP="00C87E9C">
      <w:p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[2</w:t>
      </w:r>
      <w:r w:rsidR="00035EB2">
        <w:rPr>
          <w:rFonts w:ascii="Arial" w:eastAsia="Times New Roman" w:hAnsi="Arial" w:cs="Arial"/>
          <w:color w:val="262626" w:themeColor="text1" w:themeTint="D9"/>
          <w:sz w:val="24"/>
          <w:szCs w:val="24"/>
          <w:lang w:val="en-GB"/>
        </w:rPr>
        <w:t>5</w:t>
      </w:r>
      <w:r>
        <w:rPr>
          <w:rFonts w:ascii="Arial" w:eastAsia="Times New Roman" w:hAnsi="Arial" w:cs="Arial"/>
          <w:color w:val="262626" w:themeColor="text1" w:themeTint="D9"/>
          <w:sz w:val="24"/>
          <w:szCs w:val="24"/>
          <w:lang w:val="en-GB"/>
        </w:rPr>
        <w:t xml:space="preserve">]   </w:t>
      </w:r>
      <w:r w:rsidR="004D017D" w:rsidRPr="004D017D">
        <w:rPr>
          <w:rFonts w:ascii="Arial" w:eastAsia="Times New Roman" w:hAnsi="Arial" w:cs="Arial"/>
          <w:color w:val="262626" w:themeColor="text1" w:themeTint="D9"/>
          <w:sz w:val="24"/>
          <w:szCs w:val="24"/>
          <w:lang w:val="en-GB"/>
        </w:rPr>
        <w:t>From the</w:t>
      </w:r>
      <w:r w:rsidR="004D017D" w:rsidRPr="00A86DFD">
        <w:rPr>
          <w:rFonts w:ascii="Arial" w:eastAsia="Times New Roman" w:hAnsi="Arial" w:cs="Arial"/>
          <w:color w:val="0D0D0D" w:themeColor="text1" w:themeTint="F2"/>
          <w:sz w:val="24"/>
          <w:szCs w:val="24"/>
          <w:lang w:val="en-GB"/>
        </w:rPr>
        <w:t xml:space="preserve"> afore</w:t>
      </w:r>
      <w:r w:rsidR="00A86DFD" w:rsidRPr="00A86DFD">
        <w:rPr>
          <w:rFonts w:ascii="Arial" w:eastAsia="Times New Roman" w:hAnsi="Arial" w:cs="Arial"/>
          <w:color w:val="0D0D0D" w:themeColor="text1" w:themeTint="F2"/>
          <w:sz w:val="24"/>
          <w:szCs w:val="24"/>
          <w:lang w:val="en-GB"/>
        </w:rPr>
        <w:t>mentioned</w:t>
      </w:r>
      <w:r w:rsidR="004D017D" w:rsidRPr="00A86DFD">
        <w:rPr>
          <w:rFonts w:ascii="Arial" w:eastAsia="Times New Roman" w:hAnsi="Arial" w:cs="Arial"/>
          <w:color w:val="0D0D0D" w:themeColor="text1" w:themeTint="F2"/>
          <w:sz w:val="24"/>
          <w:szCs w:val="24"/>
          <w:lang w:val="en-GB"/>
        </w:rPr>
        <w:t xml:space="preserve"> </w:t>
      </w:r>
      <w:r w:rsidR="004D017D" w:rsidRPr="004D017D">
        <w:rPr>
          <w:rFonts w:ascii="Arial" w:eastAsia="Times New Roman" w:hAnsi="Arial" w:cs="Arial"/>
          <w:color w:val="262626" w:themeColor="text1" w:themeTint="D9"/>
          <w:sz w:val="24"/>
          <w:szCs w:val="24"/>
          <w:lang w:val="en-GB"/>
        </w:rPr>
        <w:t xml:space="preserve">it follows that the level of participation that the Legislature contemplated in terms of s 27(2)(b) of the Act is that of perpetual nature until the date of independence. </w:t>
      </w:r>
    </w:p>
    <w:p w:rsidR="004D017D" w:rsidRPr="004D017D" w:rsidRDefault="004D017D" w:rsidP="004D017D">
      <w:pPr>
        <w:tabs>
          <w:tab w:val="left" w:pos="1890"/>
        </w:tabs>
        <w:spacing w:after="0" w:line="360" w:lineRule="auto"/>
        <w:ind w:left="720"/>
        <w:jc w:val="both"/>
        <w:rPr>
          <w:rFonts w:ascii="Arial" w:eastAsia="Times New Roman" w:hAnsi="Arial" w:cs="Arial"/>
          <w:color w:val="262626" w:themeColor="text1" w:themeTint="D9"/>
          <w:sz w:val="24"/>
          <w:szCs w:val="24"/>
          <w:lang w:val="en-GB"/>
        </w:rPr>
      </w:pPr>
    </w:p>
    <w:p w:rsidR="004D017D" w:rsidRPr="004D017D" w:rsidRDefault="00035EB2" w:rsidP="00C87E9C">
      <w:p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lastRenderedPageBreak/>
        <w:t>[26</w:t>
      </w:r>
      <w:r w:rsidR="00C87E9C">
        <w:rPr>
          <w:rFonts w:ascii="Arial" w:eastAsia="Times New Roman" w:hAnsi="Arial" w:cs="Arial"/>
          <w:color w:val="262626" w:themeColor="text1" w:themeTint="D9"/>
          <w:sz w:val="24"/>
          <w:szCs w:val="24"/>
          <w:lang w:val="en-GB"/>
        </w:rPr>
        <w:t xml:space="preserve">]    </w:t>
      </w:r>
      <w:r w:rsidR="004D017D" w:rsidRPr="004D017D">
        <w:rPr>
          <w:rFonts w:ascii="Arial" w:eastAsia="Times New Roman" w:hAnsi="Arial" w:cs="Arial"/>
          <w:color w:val="262626" w:themeColor="text1" w:themeTint="D9"/>
          <w:sz w:val="24"/>
          <w:szCs w:val="24"/>
          <w:lang w:val="en-GB"/>
        </w:rPr>
        <w:t>On the application of the requirements to the facts, the question is whether Mrs Kamati’s participation was sufficient to satisfy the requirement of continuous participation. Although</w:t>
      </w:r>
      <w:r w:rsidR="00C87E9C">
        <w:rPr>
          <w:rFonts w:ascii="Arial" w:eastAsia="Times New Roman" w:hAnsi="Arial" w:cs="Arial"/>
          <w:color w:val="262626" w:themeColor="text1" w:themeTint="D9"/>
          <w:sz w:val="24"/>
          <w:szCs w:val="24"/>
          <w:lang w:val="en-GB"/>
        </w:rPr>
        <w:t>,</w:t>
      </w:r>
      <w:r w:rsidR="004D017D" w:rsidRPr="004D017D">
        <w:rPr>
          <w:rFonts w:ascii="Arial" w:eastAsia="Times New Roman" w:hAnsi="Arial" w:cs="Arial"/>
          <w:color w:val="262626" w:themeColor="text1" w:themeTint="D9"/>
          <w:sz w:val="24"/>
          <w:szCs w:val="24"/>
          <w:lang w:val="en-GB"/>
        </w:rPr>
        <w:t xml:space="preserve"> the appellant’s evidence contains incidents of engagement, it did not persist until the year that Namibia attained independence.  Her testimony referred to relevant activities that occurred in</w:t>
      </w:r>
      <w:r w:rsidR="00B02F24">
        <w:rPr>
          <w:rFonts w:ascii="Arial" w:eastAsia="Times New Roman" w:hAnsi="Arial" w:cs="Arial"/>
          <w:color w:val="262626" w:themeColor="text1" w:themeTint="D9"/>
          <w:sz w:val="24"/>
          <w:szCs w:val="24"/>
          <w:lang w:val="en-GB"/>
        </w:rPr>
        <w:t xml:space="preserve"> certain years such as 1975, 19</w:t>
      </w:r>
      <w:r w:rsidR="004D017D" w:rsidRPr="004D017D">
        <w:rPr>
          <w:rFonts w:ascii="Arial" w:eastAsia="Times New Roman" w:hAnsi="Arial" w:cs="Arial"/>
          <w:color w:val="262626" w:themeColor="text1" w:themeTint="D9"/>
          <w:sz w:val="24"/>
          <w:szCs w:val="24"/>
          <w:lang w:val="en-GB"/>
        </w:rPr>
        <w:t>7</w:t>
      </w:r>
      <w:r w:rsidR="00B02F24">
        <w:rPr>
          <w:rFonts w:ascii="Arial" w:eastAsia="Times New Roman" w:hAnsi="Arial" w:cs="Arial"/>
          <w:color w:val="262626" w:themeColor="text1" w:themeTint="D9"/>
          <w:sz w:val="24"/>
          <w:szCs w:val="24"/>
          <w:lang w:val="en-GB"/>
        </w:rPr>
        <w:t>6</w:t>
      </w:r>
      <w:r w:rsidR="004D017D" w:rsidRPr="004D017D">
        <w:rPr>
          <w:rFonts w:ascii="Arial" w:eastAsia="Times New Roman" w:hAnsi="Arial" w:cs="Arial"/>
          <w:color w:val="262626" w:themeColor="text1" w:themeTint="D9"/>
          <w:sz w:val="24"/>
          <w:szCs w:val="24"/>
          <w:lang w:val="en-GB"/>
        </w:rPr>
        <w:t xml:space="preserve">, 1977 but it leaves </w:t>
      </w:r>
      <w:r w:rsidR="00B02F24">
        <w:rPr>
          <w:rFonts w:ascii="Arial" w:eastAsia="Times New Roman" w:hAnsi="Arial" w:cs="Arial"/>
          <w:color w:val="262626" w:themeColor="text1" w:themeTint="D9"/>
          <w:sz w:val="24"/>
          <w:szCs w:val="24"/>
          <w:lang w:val="en-GB"/>
        </w:rPr>
        <w:t>a gap</w:t>
      </w:r>
      <w:r w:rsidR="004D017D" w:rsidRPr="004D017D">
        <w:rPr>
          <w:rFonts w:ascii="Arial" w:eastAsia="Times New Roman" w:hAnsi="Arial" w:cs="Arial"/>
          <w:color w:val="262626" w:themeColor="text1" w:themeTint="D9"/>
          <w:sz w:val="24"/>
          <w:szCs w:val="24"/>
          <w:lang w:val="en-GB"/>
        </w:rPr>
        <w:t xml:space="preserve"> in respect of the remaining years until 1990. There is no</w:t>
      </w:r>
      <w:r w:rsidR="00B02F24">
        <w:rPr>
          <w:rFonts w:ascii="Arial" w:eastAsia="Times New Roman" w:hAnsi="Arial" w:cs="Arial"/>
          <w:color w:val="262626" w:themeColor="text1" w:themeTint="D9"/>
          <w:sz w:val="24"/>
          <w:szCs w:val="24"/>
          <w:lang w:val="en-GB"/>
        </w:rPr>
        <w:t xml:space="preserve"> ambiguity </w:t>
      </w:r>
      <w:r w:rsidR="004D017D" w:rsidRPr="004D017D">
        <w:rPr>
          <w:rFonts w:ascii="Arial" w:eastAsia="Times New Roman" w:hAnsi="Arial" w:cs="Arial"/>
          <w:color w:val="262626" w:themeColor="text1" w:themeTint="D9"/>
          <w:sz w:val="24"/>
          <w:szCs w:val="24"/>
          <w:lang w:val="en-GB"/>
        </w:rPr>
        <w:t>as to the meaning of up until independence and her evidence does not sustain a finding favourable in this respect.</w:t>
      </w:r>
    </w:p>
    <w:p w:rsidR="004D017D" w:rsidRPr="004D017D" w:rsidRDefault="004D017D" w:rsidP="004D017D">
      <w:pPr>
        <w:ind w:left="720"/>
        <w:contextualSpacing/>
        <w:rPr>
          <w:rFonts w:ascii="Arial" w:hAnsi="Arial" w:cs="Arial"/>
          <w:color w:val="262626" w:themeColor="text1" w:themeTint="D9"/>
        </w:rPr>
      </w:pPr>
    </w:p>
    <w:p w:rsidR="004D017D" w:rsidRPr="004D017D" w:rsidRDefault="004D017D" w:rsidP="002510CF">
      <w:pPr>
        <w:contextualSpacing/>
        <w:rPr>
          <w:rFonts w:ascii="Arial" w:hAnsi="Arial" w:cs="Arial"/>
          <w:color w:val="262626" w:themeColor="text1" w:themeTint="D9"/>
          <w:sz w:val="24"/>
          <w:szCs w:val="24"/>
          <w:u w:val="single"/>
        </w:rPr>
      </w:pPr>
      <w:r w:rsidRPr="004D017D">
        <w:rPr>
          <w:rFonts w:ascii="Arial" w:hAnsi="Arial" w:cs="Arial"/>
          <w:color w:val="262626" w:themeColor="text1" w:themeTint="D9"/>
          <w:sz w:val="24"/>
          <w:szCs w:val="24"/>
          <w:u w:val="single"/>
        </w:rPr>
        <w:t xml:space="preserve">Conclusion </w:t>
      </w:r>
    </w:p>
    <w:p w:rsidR="004D017D" w:rsidRPr="004D017D" w:rsidRDefault="004D017D" w:rsidP="004D017D">
      <w:pPr>
        <w:ind w:left="720"/>
        <w:contextualSpacing/>
        <w:rPr>
          <w:rFonts w:ascii="Arial" w:hAnsi="Arial" w:cs="Arial"/>
          <w:color w:val="262626" w:themeColor="text1" w:themeTint="D9"/>
          <w:sz w:val="24"/>
          <w:szCs w:val="24"/>
        </w:rPr>
      </w:pPr>
    </w:p>
    <w:p w:rsidR="004D017D" w:rsidRPr="004D017D" w:rsidRDefault="00C87E9C" w:rsidP="00C87E9C">
      <w:p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[2</w:t>
      </w:r>
      <w:r w:rsidR="00035EB2">
        <w:rPr>
          <w:rFonts w:ascii="Arial" w:eastAsia="Times New Roman" w:hAnsi="Arial" w:cs="Arial"/>
          <w:color w:val="262626" w:themeColor="text1" w:themeTint="D9"/>
          <w:sz w:val="24"/>
          <w:szCs w:val="24"/>
          <w:lang w:val="en-GB"/>
        </w:rPr>
        <w:t>7</w:t>
      </w:r>
      <w:r>
        <w:rPr>
          <w:rFonts w:ascii="Arial" w:eastAsia="Times New Roman" w:hAnsi="Arial" w:cs="Arial"/>
          <w:color w:val="262626" w:themeColor="text1" w:themeTint="D9"/>
          <w:sz w:val="24"/>
          <w:szCs w:val="24"/>
          <w:lang w:val="en-GB"/>
        </w:rPr>
        <w:t xml:space="preserve">]    </w:t>
      </w:r>
      <w:r w:rsidR="004D017D" w:rsidRPr="004D017D">
        <w:rPr>
          <w:rFonts w:ascii="Arial" w:eastAsia="Times New Roman" w:hAnsi="Arial" w:cs="Arial"/>
          <w:color w:val="262626" w:themeColor="text1" w:themeTint="D9"/>
          <w:sz w:val="24"/>
          <w:szCs w:val="24"/>
          <w:lang w:val="en-GB"/>
        </w:rPr>
        <w:t>Based on the evidence on the record, I find that the evidence submitted by Mrs Kamati is not sufficient for her to qualify as a veteran in terms of the criteria of s 27(2)(b) of the Act. In</w:t>
      </w:r>
      <w:r w:rsidR="001B7691">
        <w:rPr>
          <w:rFonts w:ascii="Arial" w:eastAsia="Times New Roman" w:hAnsi="Arial" w:cs="Arial"/>
          <w:color w:val="262626" w:themeColor="text1" w:themeTint="D9"/>
          <w:sz w:val="24"/>
          <w:szCs w:val="24"/>
          <w:lang w:val="en-GB"/>
        </w:rPr>
        <w:t xml:space="preserve"> the result, the ruling of the Veterans Appeal B</w:t>
      </w:r>
      <w:r w:rsidR="004D017D" w:rsidRPr="004D017D">
        <w:rPr>
          <w:rFonts w:ascii="Arial" w:eastAsia="Times New Roman" w:hAnsi="Arial" w:cs="Arial"/>
          <w:color w:val="262626" w:themeColor="text1" w:themeTint="D9"/>
          <w:sz w:val="24"/>
          <w:szCs w:val="24"/>
          <w:lang w:val="en-GB"/>
        </w:rPr>
        <w:t xml:space="preserve">oard is confirmed and the appeal is dismissed.   </w:t>
      </w:r>
    </w:p>
    <w:p w:rsidR="004D017D" w:rsidRPr="004D017D" w:rsidRDefault="004D017D" w:rsidP="004D017D">
      <w:pPr>
        <w:tabs>
          <w:tab w:val="left" w:pos="1890"/>
        </w:tabs>
        <w:spacing w:after="0" w:line="360" w:lineRule="auto"/>
        <w:jc w:val="both"/>
        <w:rPr>
          <w:rFonts w:ascii="Arial" w:eastAsia="Times New Roman" w:hAnsi="Arial" w:cs="Arial"/>
          <w:color w:val="262626" w:themeColor="text1" w:themeTint="D9"/>
          <w:sz w:val="24"/>
          <w:szCs w:val="24"/>
          <w:lang w:val="en-GB"/>
        </w:rPr>
      </w:pPr>
    </w:p>
    <w:p w:rsidR="004D017D" w:rsidRPr="004D017D" w:rsidRDefault="00C87E9C" w:rsidP="00C87E9C">
      <w:pPr>
        <w:tabs>
          <w:tab w:val="left" w:pos="1890"/>
        </w:tabs>
        <w:spacing w:after="0" w:line="360" w:lineRule="auto"/>
        <w:jc w:val="both"/>
        <w:rPr>
          <w:rFonts w:ascii="Arial" w:eastAsia="Times New Roman" w:hAnsi="Arial" w:cs="Arial"/>
          <w:color w:val="262626" w:themeColor="text1" w:themeTint="D9"/>
          <w:sz w:val="24"/>
          <w:szCs w:val="24"/>
          <w:lang w:val="en-GB"/>
        </w:rPr>
      </w:pPr>
      <w:r>
        <w:rPr>
          <w:rFonts w:ascii="Arial" w:eastAsia="Times New Roman" w:hAnsi="Arial" w:cs="Arial"/>
          <w:color w:val="262626" w:themeColor="text1" w:themeTint="D9"/>
          <w:sz w:val="24"/>
          <w:szCs w:val="24"/>
          <w:lang w:val="en-GB"/>
        </w:rPr>
        <w:t>[2</w:t>
      </w:r>
      <w:r w:rsidR="00AE1F3A">
        <w:rPr>
          <w:rFonts w:ascii="Arial" w:eastAsia="Times New Roman" w:hAnsi="Arial" w:cs="Arial"/>
          <w:color w:val="262626" w:themeColor="text1" w:themeTint="D9"/>
          <w:sz w:val="24"/>
          <w:szCs w:val="24"/>
          <w:lang w:val="en-GB"/>
        </w:rPr>
        <w:t>8</w:t>
      </w:r>
      <w:r>
        <w:rPr>
          <w:rFonts w:ascii="Arial" w:eastAsia="Times New Roman" w:hAnsi="Arial" w:cs="Arial"/>
          <w:color w:val="262626" w:themeColor="text1" w:themeTint="D9"/>
          <w:sz w:val="24"/>
          <w:szCs w:val="24"/>
          <w:lang w:val="en-GB"/>
        </w:rPr>
        <w:t xml:space="preserve">]     </w:t>
      </w:r>
      <w:r w:rsidR="004D017D" w:rsidRPr="004D017D">
        <w:rPr>
          <w:rFonts w:ascii="Arial" w:eastAsia="Times New Roman" w:hAnsi="Arial" w:cs="Arial"/>
          <w:color w:val="262626" w:themeColor="text1" w:themeTint="D9"/>
          <w:sz w:val="24"/>
          <w:szCs w:val="24"/>
          <w:lang w:val="en-GB"/>
        </w:rPr>
        <w:t>In accordance with regulation 24</w:t>
      </w:r>
      <w:r w:rsidR="00B02F24">
        <w:rPr>
          <w:rFonts w:ascii="Arial" w:eastAsia="Times New Roman" w:hAnsi="Arial" w:cs="Arial"/>
          <w:color w:val="262626" w:themeColor="text1" w:themeTint="D9"/>
          <w:sz w:val="24"/>
          <w:szCs w:val="24"/>
          <w:lang w:val="en-GB"/>
        </w:rPr>
        <w:t>,</w:t>
      </w:r>
      <w:r w:rsidR="004D017D" w:rsidRPr="004D017D">
        <w:rPr>
          <w:rFonts w:ascii="Arial" w:eastAsia="Times New Roman" w:hAnsi="Arial" w:cs="Arial"/>
          <w:color w:val="262626" w:themeColor="text1" w:themeTint="D9"/>
          <w:sz w:val="24"/>
          <w:szCs w:val="24"/>
          <w:vertAlign w:val="superscript"/>
          <w:lang w:val="en-GB"/>
        </w:rPr>
        <w:footnoteReference w:id="10"/>
      </w:r>
      <w:r w:rsidR="004D017D" w:rsidRPr="004D017D">
        <w:rPr>
          <w:rFonts w:ascii="Arial" w:eastAsia="Times New Roman" w:hAnsi="Arial" w:cs="Arial"/>
          <w:color w:val="262626" w:themeColor="text1" w:themeTint="D9"/>
          <w:sz w:val="24"/>
          <w:szCs w:val="24"/>
          <w:lang w:val="en-GB"/>
        </w:rPr>
        <w:t xml:space="preserve"> there is no order as to cost.  </w:t>
      </w:r>
    </w:p>
    <w:p w:rsidR="004D017D" w:rsidRPr="004D017D" w:rsidRDefault="004D017D" w:rsidP="004D017D">
      <w:pPr>
        <w:spacing w:after="0" w:line="360" w:lineRule="auto"/>
        <w:jc w:val="both"/>
        <w:rPr>
          <w:rFonts w:ascii="Arial" w:eastAsia="Times New Roman" w:hAnsi="Arial" w:cs="Arial"/>
          <w:color w:val="262626" w:themeColor="text1" w:themeTint="D9"/>
          <w:sz w:val="24"/>
          <w:szCs w:val="24"/>
          <w:lang w:val="en-GB"/>
        </w:rPr>
      </w:pPr>
    </w:p>
    <w:p w:rsidR="004D017D" w:rsidRPr="004D017D" w:rsidRDefault="004D017D" w:rsidP="004D017D">
      <w:pPr>
        <w:spacing w:after="0" w:line="360" w:lineRule="auto"/>
        <w:jc w:val="both"/>
        <w:rPr>
          <w:rFonts w:ascii="Arial" w:eastAsia="Times New Roman" w:hAnsi="Arial" w:cs="Arial"/>
          <w:color w:val="262626" w:themeColor="text1" w:themeTint="D9"/>
          <w:sz w:val="24"/>
          <w:szCs w:val="24"/>
          <w:lang w:val="en-GB"/>
        </w:rPr>
      </w:pPr>
    </w:p>
    <w:p w:rsidR="004D017D" w:rsidRPr="004D017D" w:rsidRDefault="004D017D" w:rsidP="004D017D">
      <w:pPr>
        <w:spacing w:after="0" w:line="360" w:lineRule="auto"/>
        <w:jc w:val="both"/>
        <w:rPr>
          <w:rFonts w:ascii="Arial" w:eastAsia="Times New Roman" w:hAnsi="Arial" w:cs="Arial"/>
          <w:color w:val="262626" w:themeColor="text1" w:themeTint="D9"/>
          <w:sz w:val="24"/>
          <w:szCs w:val="24"/>
          <w:lang w:val="en-GB"/>
        </w:rPr>
      </w:pPr>
    </w:p>
    <w:p w:rsidR="004D017D" w:rsidRPr="004D017D" w:rsidRDefault="004D017D" w:rsidP="004D017D">
      <w:pPr>
        <w:spacing w:after="0" w:line="360" w:lineRule="auto"/>
        <w:jc w:val="both"/>
        <w:rPr>
          <w:rFonts w:ascii="Arial" w:eastAsia="Times New Roman" w:hAnsi="Arial" w:cs="Arial"/>
          <w:color w:val="262626" w:themeColor="text1" w:themeTint="D9"/>
          <w:sz w:val="24"/>
          <w:szCs w:val="24"/>
          <w:lang w:val="en-GB"/>
        </w:rPr>
      </w:pPr>
      <w:r w:rsidRPr="004D017D">
        <w:rPr>
          <w:rFonts w:ascii="Arial" w:eastAsia="Times New Roman" w:hAnsi="Arial" w:cs="Arial"/>
          <w:color w:val="262626" w:themeColor="text1" w:themeTint="D9"/>
          <w:sz w:val="24"/>
          <w:szCs w:val="24"/>
          <w:lang w:val="en-GB"/>
        </w:rPr>
        <w:t>ORDER</w:t>
      </w:r>
    </w:p>
    <w:p w:rsidR="004D017D" w:rsidRPr="004D017D" w:rsidRDefault="004D017D" w:rsidP="004D017D">
      <w:pPr>
        <w:spacing w:after="0" w:line="360" w:lineRule="auto"/>
        <w:jc w:val="both"/>
        <w:rPr>
          <w:rFonts w:ascii="Arial" w:eastAsia="Times New Roman" w:hAnsi="Arial" w:cs="Arial"/>
          <w:color w:val="262626" w:themeColor="text1" w:themeTint="D9"/>
          <w:sz w:val="24"/>
          <w:szCs w:val="24"/>
          <w:lang w:val="en-GB"/>
        </w:rPr>
      </w:pPr>
    </w:p>
    <w:p w:rsidR="00991A44" w:rsidRPr="00991A44" w:rsidRDefault="00991A44" w:rsidP="00991A44">
      <w:pPr>
        <w:pStyle w:val="ListParagraph"/>
        <w:numPr>
          <w:ilvl w:val="0"/>
          <w:numId w:val="24"/>
        </w:numPr>
        <w:spacing w:after="0" w:line="360" w:lineRule="auto"/>
        <w:jc w:val="both"/>
        <w:rPr>
          <w:rFonts w:ascii="Arial" w:hAnsi="Arial" w:cs="Arial"/>
          <w:color w:val="0D0D0D" w:themeColor="text1" w:themeTint="F2"/>
          <w:sz w:val="24"/>
          <w:szCs w:val="24"/>
          <w:lang w:val="en-GB"/>
        </w:rPr>
      </w:pPr>
      <w:r w:rsidRPr="00991A44">
        <w:rPr>
          <w:rFonts w:ascii="Arial" w:hAnsi="Arial" w:cs="Arial"/>
          <w:color w:val="0D0D0D" w:themeColor="text1" w:themeTint="F2"/>
          <w:sz w:val="24"/>
          <w:szCs w:val="24"/>
          <w:lang w:val="en-GB"/>
        </w:rPr>
        <w:t>The appeal is hereby dismissed.</w:t>
      </w:r>
    </w:p>
    <w:p w:rsidR="00991A44" w:rsidRPr="00991A44" w:rsidRDefault="00991A44" w:rsidP="00991A44">
      <w:pPr>
        <w:pStyle w:val="ListParagraph"/>
        <w:numPr>
          <w:ilvl w:val="0"/>
          <w:numId w:val="24"/>
        </w:numPr>
        <w:spacing w:after="0" w:line="360" w:lineRule="auto"/>
        <w:jc w:val="both"/>
        <w:rPr>
          <w:rFonts w:ascii="Arial" w:hAnsi="Arial" w:cs="Arial"/>
          <w:color w:val="0D0D0D" w:themeColor="text1" w:themeTint="F2"/>
          <w:sz w:val="24"/>
          <w:szCs w:val="24"/>
          <w:lang w:val="en-GB"/>
        </w:rPr>
      </w:pPr>
      <w:r w:rsidRPr="00991A44">
        <w:rPr>
          <w:rFonts w:ascii="Arial" w:hAnsi="Arial" w:cs="Arial"/>
          <w:color w:val="0D0D0D" w:themeColor="text1" w:themeTint="F2"/>
          <w:sz w:val="24"/>
          <w:szCs w:val="24"/>
          <w:lang w:val="en-GB"/>
        </w:rPr>
        <w:t>The matter is removed from the roll and regarded as finalised.</w:t>
      </w:r>
    </w:p>
    <w:p w:rsidR="004D017D" w:rsidRPr="004D017D" w:rsidRDefault="004D017D" w:rsidP="004D017D">
      <w:pPr>
        <w:spacing w:after="0" w:line="360" w:lineRule="auto"/>
        <w:jc w:val="both"/>
        <w:rPr>
          <w:rFonts w:ascii="Arial" w:hAnsi="Arial" w:cs="Arial"/>
          <w:color w:val="0D0D0D" w:themeColor="text1" w:themeTint="F2"/>
          <w:sz w:val="24"/>
          <w:szCs w:val="24"/>
          <w:lang w:val="en-GB"/>
        </w:rPr>
      </w:pPr>
    </w:p>
    <w:p w:rsidR="004D017D" w:rsidRPr="004D017D" w:rsidRDefault="004D017D" w:rsidP="004D017D">
      <w:pPr>
        <w:spacing w:after="0" w:line="360" w:lineRule="auto"/>
        <w:jc w:val="both"/>
        <w:rPr>
          <w:rFonts w:ascii="Arial" w:hAnsi="Arial" w:cs="Arial"/>
          <w:color w:val="0D0D0D" w:themeColor="text1" w:themeTint="F2"/>
          <w:sz w:val="24"/>
          <w:szCs w:val="24"/>
          <w:lang w:val="en-GB"/>
        </w:rPr>
      </w:pPr>
    </w:p>
    <w:p w:rsidR="004D017D" w:rsidRPr="004D017D" w:rsidRDefault="004D017D" w:rsidP="004D017D">
      <w:pPr>
        <w:spacing w:after="0" w:line="360" w:lineRule="auto"/>
        <w:jc w:val="right"/>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___________________</w:t>
      </w:r>
    </w:p>
    <w:p w:rsidR="004D017D" w:rsidRPr="004D017D" w:rsidRDefault="004D017D" w:rsidP="004D017D">
      <w:pPr>
        <w:spacing w:after="0" w:line="360" w:lineRule="auto"/>
        <w:jc w:val="right"/>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C CLAASEN</w:t>
      </w:r>
    </w:p>
    <w:p w:rsidR="004D017D" w:rsidRPr="004D017D" w:rsidRDefault="004D017D" w:rsidP="004D017D">
      <w:pPr>
        <w:spacing w:after="0" w:line="360" w:lineRule="auto"/>
        <w:jc w:val="right"/>
        <w:rPr>
          <w:rFonts w:ascii="Arial" w:hAnsi="Arial" w:cs="Arial"/>
          <w:b/>
          <w:color w:val="0D0D0D" w:themeColor="text1" w:themeTint="F2"/>
          <w:sz w:val="24"/>
          <w:szCs w:val="24"/>
          <w:lang w:val="en-GB"/>
        </w:rPr>
      </w:pPr>
      <w:r w:rsidRPr="004D017D">
        <w:rPr>
          <w:rFonts w:ascii="Arial" w:hAnsi="Arial" w:cs="Arial"/>
          <w:b/>
          <w:color w:val="0D0D0D" w:themeColor="text1" w:themeTint="F2"/>
          <w:sz w:val="24"/>
          <w:szCs w:val="24"/>
          <w:lang w:val="en-GB"/>
        </w:rPr>
        <w:t>ACTING JUDGE</w:t>
      </w:r>
    </w:p>
    <w:p w:rsidR="004D017D" w:rsidRPr="004D017D" w:rsidRDefault="004D017D" w:rsidP="004D017D">
      <w:pPr>
        <w:spacing w:after="200" w:line="360" w:lineRule="auto"/>
        <w:ind w:left="720"/>
        <w:contextualSpacing/>
        <w:rPr>
          <w:rFonts w:ascii="Arial" w:hAnsi="Arial" w:cs="Arial"/>
          <w:color w:val="0D0D0D" w:themeColor="text1" w:themeTint="F2"/>
          <w:sz w:val="24"/>
          <w:szCs w:val="24"/>
          <w:lang w:val="en-GB"/>
        </w:rPr>
      </w:pPr>
    </w:p>
    <w:p w:rsidR="004D017D" w:rsidRPr="004D017D" w:rsidRDefault="004D017D" w:rsidP="004D017D">
      <w:pPr>
        <w:spacing w:after="200" w:line="360" w:lineRule="auto"/>
        <w:ind w:left="720"/>
        <w:contextualSpacing/>
        <w:rPr>
          <w:rFonts w:ascii="Arial" w:hAnsi="Arial" w:cs="Arial"/>
          <w:color w:val="0D0D0D" w:themeColor="text1" w:themeTint="F2"/>
          <w:sz w:val="24"/>
          <w:szCs w:val="24"/>
          <w:lang w:val="en-GB"/>
        </w:rPr>
      </w:pPr>
    </w:p>
    <w:p w:rsidR="004D017D" w:rsidRPr="004D017D" w:rsidRDefault="004D017D" w:rsidP="004D017D">
      <w:pPr>
        <w:spacing w:after="200" w:line="360" w:lineRule="auto"/>
        <w:ind w:left="720"/>
        <w:contextualSpacing/>
        <w:rPr>
          <w:rFonts w:ascii="Arial" w:hAnsi="Arial" w:cs="Arial"/>
          <w:color w:val="0D0D0D" w:themeColor="text1" w:themeTint="F2"/>
          <w:sz w:val="24"/>
          <w:szCs w:val="24"/>
          <w:lang w:val="en-GB"/>
        </w:rPr>
      </w:pPr>
    </w:p>
    <w:p w:rsidR="004D017D" w:rsidRPr="004D017D" w:rsidRDefault="004D017D" w:rsidP="004D017D">
      <w:pPr>
        <w:spacing w:after="200" w:line="360" w:lineRule="auto"/>
        <w:ind w:left="720"/>
        <w:contextualSpacing/>
        <w:rPr>
          <w:rFonts w:ascii="Arial" w:hAnsi="Arial" w:cs="Arial"/>
          <w:color w:val="0D0D0D" w:themeColor="text1" w:themeTint="F2"/>
          <w:sz w:val="24"/>
          <w:szCs w:val="24"/>
          <w:lang w:val="en-GB"/>
        </w:rPr>
      </w:pPr>
    </w:p>
    <w:p w:rsidR="004D017D" w:rsidRPr="004D017D" w:rsidRDefault="004D017D" w:rsidP="004D017D">
      <w:pPr>
        <w:spacing w:after="200" w:line="360" w:lineRule="auto"/>
        <w:ind w:firstLine="720"/>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 xml:space="preserve">APPEARANCES:     </w:t>
      </w:r>
    </w:p>
    <w:p w:rsidR="004D017D" w:rsidRPr="004D017D" w:rsidRDefault="004D017D" w:rsidP="004D017D">
      <w:pPr>
        <w:spacing w:after="200" w:line="360" w:lineRule="auto"/>
        <w:ind w:left="720"/>
        <w:contextualSpacing/>
        <w:rPr>
          <w:rFonts w:ascii="Arial" w:hAnsi="Arial" w:cs="Arial"/>
          <w:color w:val="0D0D0D" w:themeColor="text1" w:themeTint="F2"/>
          <w:sz w:val="24"/>
          <w:szCs w:val="24"/>
          <w:lang w:val="en-GB"/>
        </w:rPr>
      </w:pPr>
    </w:p>
    <w:p w:rsidR="00C87E9C" w:rsidRDefault="004D017D" w:rsidP="004D017D">
      <w:pPr>
        <w:spacing w:after="200" w:line="360" w:lineRule="auto"/>
        <w:ind w:left="720"/>
        <w:contextualSpacing/>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 xml:space="preserve">APPLICANT:            </w:t>
      </w:r>
      <w:r w:rsidRPr="004D017D">
        <w:rPr>
          <w:rFonts w:ascii="Arial" w:hAnsi="Arial" w:cs="Arial"/>
          <w:color w:val="0D0D0D" w:themeColor="text1" w:themeTint="F2"/>
          <w:sz w:val="24"/>
          <w:szCs w:val="24"/>
          <w:lang w:val="en-GB"/>
        </w:rPr>
        <w:tab/>
      </w:r>
      <w:r w:rsidR="00C87E9C">
        <w:rPr>
          <w:rFonts w:ascii="Arial" w:hAnsi="Arial" w:cs="Arial"/>
          <w:color w:val="0D0D0D" w:themeColor="text1" w:themeTint="F2"/>
          <w:sz w:val="24"/>
          <w:szCs w:val="24"/>
          <w:lang w:val="en-GB"/>
        </w:rPr>
        <w:t>M Ntinda</w:t>
      </w:r>
    </w:p>
    <w:p w:rsidR="004D017D" w:rsidRPr="004D017D" w:rsidRDefault="00C87E9C" w:rsidP="004D017D">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ab/>
      </w:r>
      <w:r>
        <w:rPr>
          <w:rFonts w:ascii="Arial" w:hAnsi="Arial" w:cs="Arial"/>
          <w:color w:val="0D0D0D" w:themeColor="text1" w:themeTint="F2"/>
          <w:sz w:val="24"/>
          <w:szCs w:val="24"/>
          <w:lang w:val="en-GB"/>
        </w:rPr>
        <w:tab/>
      </w:r>
      <w:r>
        <w:rPr>
          <w:rFonts w:ascii="Arial" w:hAnsi="Arial" w:cs="Arial"/>
          <w:color w:val="0D0D0D" w:themeColor="text1" w:themeTint="F2"/>
          <w:sz w:val="24"/>
          <w:szCs w:val="24"/>
          <w:lang w:val="en-GB"/>
        </w:rPr>
        <w:tab/>
      </w:r>
      <w:r>
        <w:rPr>
          <w:rFonts w:ascii="Arial" w:hAnsi="Arial" w:cs="Arial"/>
          <w:color w:val="0D0D0D" w:themeColor="text1" w:themeTint="F2"/>
          <w:sz w:val="24"/>
          <w:szCs w:val="24"/>
          <w:lang w:val="en-GB"/>
        </w:rPr>
        <w:tab/>
        <w:t xml:space="preserve">of Sisa Namandje </w:t>
      </w:r>
      <w:r w:rsidR="00900D6E">
        <w:rPr>
          <w:rFonts w:ascii="Arial" w:hAnsi="Arial" w:cs="Arial"/>
          <w:color w:val="0D0D0D" w:themeColor="text1" w:themeTint="F2"/>
          <w:sz w:val="24"/>
          <w:szCs w:val="24"/>
          <w:lang w:val="en-GB"/>
        </w:rPr>
        <w:t xml:space="preserve">&amp; Co </w:t>
      </w:r>
      <w:r>
        <w:rPr>
          <w:rFonts w:ascii="Arial" w:hAnsi="Arial" w:cs="Arial"/>
          <w:color w:val="0D0D0D" w:themeColor="text1" w:themeTint="F2"/>
          <w:sz w:val="24"/>
          <w:szCs w:val="24"/>
          <w:lang w:val="en-GB"/>
        </w:rPr>
        <w:t>Inc, Windhoek</w:t>
      </w:r>
      <w:r w:rsidR="004D017D" w:rsidRPr="004D017D">
        <w:rPr>
          <w:rFonts w:ascii="Arial" w:hAnsi="Arial" w:cs="Arial"/>
          <w:color w:val="0D0D0D" w:themeColor="text1" w:themeTint="F2"/>
          <w:sz w:val="24"/>
          <w:szCs w:val="24"/>
          <w:lang w:val="en-GB"/>
        </w:rPr>
        <w:tab/>
      </w:r>
    </w:p>
    <w:p w:rsidR="004D017D" w:rsidRPr="004D017D" w:rsidRDefault="004D017D" w:rsidP="004D017D">
      <w:pPr>
        <w:spacing w:after="200" w:line="360" w:lineRule="auto"/>
        <w:ind w:left="720"/>
        <w:contextualSpacing/>
        <w:rPr>
          <w:rFonts w:ascii="Arial" w:hAnsi="Arial" w:cs="Arial"/>
          <w:color w:val="0D0D0D" w:themeColor="text1" w:themeTint="F2"/>
          <w:sz w:val="24"/>
          <w:szCs w:val="24"/>
          <w:lang w:val="en-GB"/>
        </w:rPr>
      </w:pPr>
    </w:p>
    <w:p w:rsidR="004D017D" w:rsidRPr="004D017D" w:rsidRDefault="004D017D" w:rsidP="004D017D">
      <w:pPr>
        <w:spacing w:after="200" w:line="360" w:lineRule="auto"/>
        <w:ind w:left="720"/>
        <w:contextualSpacing/>
        <w:rPr>
          <w:rFonts w:ascii="Arial" w:hAnsi="Arial" w:cs="Arial"/>
          <w:color w:val="0D0D0D" w:themeColor="text1" w:themeTint="F2"/>
          <w:sz w:val="24"/>
          <w:szCs w:val="24"/>
          <w:lang w:val="en-GB"/>
        </w:rPr>
      </w:pPr>
    </w:p>
    <w:p w:rsidR="00C87E9C" w:rsidRDefault="004D017D" w:rsidP="004D017D">
      <w:pPr>
        <w:spacing w:after="200" w:line="360" w:lineRule="auto"/>
        <w:ind w:left="720"/>
        <w:contextualSpacing/>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 xml:space="preserve">RESPONDENT:       </w:t>
      </w:r>
      <w:r w:rsidR="00C87E9C">
        <w:rPr>
          <w:rFonts w:ascii="Arial" w:hAnsi="Arial" w:cs="Arial"/>
          <w:color w:val="0D0D0D" w:themeColor="text1" w:themeTint="F2"/>
          <w:sz w:val="24"/>
          <w:szCs w:val="24"/>
          <w:lang w:val="en-GB"/>
        </w:rPr>
        <w:tab/>
      </w:r>
      <w:r w:rsidR="00900D6E">
        <w:rPr>
          <w:rFonts w:ascii="Arial" w:hAnsi="Arial" w:cs="Arial"/>
          <w:color w:val="0D0D0D" w:themeColor="text1" w:themeTint="F2"/>
          <w:sz w:val="24"/>
          <w:szCs w:val="24"/>
          <w:lang w:val="en-GB"/>
        </w:rPr>
        <w:t xml:space="preserve">H </w:t>
      </w:r>
      <w:r w:rsidR="00C87E9C">
        <w:rPr>
          <w:rFonts w:ascii="Arial" w:hAnsi="Arial" w:cs="Arial"/>
          <w:color w:val="0D0D0D" w:themeColor="text1" w:themeTint="F2"/>
          <w:sz w:val="24"/>
          <w:szCs w:val="24"/>
          <w:lang w:val="en-GB"/>
        </w:rPr>
        <w:t>Hamunyela</w:t>
      </w:r>
    </w:p>
    <w:p w:rsidR="004D017D" w:rsidRPr="004D017D" w:rsidRDefault="00C87E9C" w:rsidP="004D017D">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ab/>
      </w:r>
      <w:r>
        <w:rPr>
          <w:rFonts w:ascii="Arial" w:hAnsi="Arial" w:cs="Arial"/>
          <w:color w:val="0D0D0D" w:themeColor="text1" w:themeTint="F2"/>
          <w:sz w:val="24"/>
          <w:szCs w:val="24"/>
          <w:lang w:val="en-GB"/>
        </w:rPr>
        <w:tab/>
      </w:r>
      <w:r>
        <w:rPr>
          <w:rFonts w:ascii="Arial" w:hAnsi="Arial" w:cs="Arial"/>
          <w:color w:val="0D0D0D" w:themeColor="text1" w:themeTint="F2"/>
          <w:sz w:val="24"/>
          <w:szCs w:val="24"/>
          <w:lang w:val="en-GB"/>
        </w:rPr>
        <w:tab/>
      </w:r>
      <w:r>
        <w:rPr>
          <w:rFonts w:ascii="Arial" w:hAnsi="Arial" w:cs="Arial"/>
          <w:color w:val="0D0D0D" w:themeColor="text1" w:themeTint="F2"/>
          <w:sz w:val="24"/>
          <w:szCs w:val="24"/>
          <w:lang w:val="en-GB"/>
        </w:rPr>
        <w:tab/>
        <w:t>of Government Attorneys, Windhoek</w:t>
      </w:r>
      <w:r w:rsidR="004D017D" w:rsidRPr="004D017D">
        <w:rPr>
          <w:rFonts w:ascii="Arial" w:hAnsi="Arial" w:cs="Arial"/>
          <w:color w:val="0D0D0D" w:themeColor="text1" w:themeTint="F2"/>
          <w:sz w:val="24"/>
          <w:szCs w:val="24"/>
          <w:lang w:val="en-GB"/>
        </w:rPr>
        <w:tab/>
        <w:t xml:space="preserve">     </w:t>
      </w:r>
      <w:r w:rsidR="004D017D" w:rsidRPr="004D017D">
        <w:rPr>
          <w:rFonts w:ascii="Arial" w:hAnsi="Arial" w:cs="Arial"/>
          <w:color w:val="0D0D0D" w:themeColor="text1" w:themeTint="F2"/>
          <w:sz w:val="24"/>
          <w:szCs w:val="24"/>
          <w:lang w:val="en-GB"/>
        </w:rPr>
        <w:tab/>
      </w:r>
    </w:p>
    <w:p w:rsidR="004D017D" w:rsidRPr="004D017D" w:rsidRDefault="004D017D" w:rsidP="004D017D">
      <w:pPr>
        <w:spacing w:after="200" w:line="360" w:lineRule="auto"/>
        <w:ind w:left="720"/>
        <w:contextualSpacing/>
        <w:rPr>
          <w:rFonts w:ascii="Arial" w:hAnsi="Arial" w:cs="Arial"/>
          <w:color w:val="0D0D0D" w:themeColor="text1" w:themeTint="F2"/>
          <w:sz w:val="24"/>
          <w:szCs w:val="24"/>
          <w:lang w:val="en-GB"/>
        </w:rPr>
      </w:pPr>
      <w:r w:rsidRPr="004D017D">
        <w:rPr>
          <w:rFonts w:ascii="Arial" w:hAnsi="Arial" w:cs="Arial"/>
          <w:color w:val="0D0D0D" w:themeColor="text1" w:themeTint="F2"/>
          <w:sz w:val="24"/>
          <w:szCs w:val="24"/>
          <w:lang w:val="en-GB"/>
        </w:rPr>
        <w:t xml:space="preserve">                                                         </w:t>
      </w:r>
    </w:p>
    <w:p w:rsidR="004D017D" w:rsidRPr="004D017D" w:rsidRDefault="004D017D" w:rsidP="004D017D">
      <w:pPr>
        <w:spacing w:after="0" w:line="360" w:lineRule="auto"/>
        <w:ind w:left="720"/>
        <w:contextualSpacing/>
        <w:jc w:val="right"/>
        <w:rPr>
          <w:rFonts w:ascii="Arial" w:hAnsi="Arial" w:cs="Arial"/>
          <w:color w:val="0D0D0D" w:themeColor="text1" w:themeTint="F2"/>
          <w:sz w:val="24"/>
          <w:szCs w:val="24"/>
          <w:lang w:val="en-GB"/>
        </w:rPr>
      </w:pPr>
    </w:p>
    <w:p w:rsidR="004D017D" w:rsidRPr="004D017D" w:rsidRDefault="004D017D" w:rsidP="004D017D">
      <w:pPr>
        <w:spacing w:after="0" w:line="360" w:lineRule="auto"/>
        <w:ind w:left="720"/>
        <w:contextualSpacing/>
        <w:jc w:val="both"/>
        <w:rPr>
          <w:rFonts w:ascii="Arial" w:hAnsi="Arial" w:cs="Arial"/>
          <w:color w:val="0D0D0D" w:themeColor="text1" w:themeTint="F2"/>
          <w:sz w:val="24"/>
          <w:szCs w:val="24"/>
          <w:lang w:val="en-GB"/>
        </w:rPr>
      </w:pPr>
    </w:p>
    <w:p w:rsidR="004D017D" w:rsidRPr="004D017D" w:rsidRDefault="004D017D" w:rsidP="004D017D">
      <w:pPr>
        <w:spacing w:after="0" w:line="360" w:lineRule="auto"/>
        <w:ind w:left="720"/>
        <w:jc w:val="both"/>
        <w:rPr>
          <w:rFonts w:ascii="Arial" w:hAnsi="Arial" w:cs="Arial"/>
          <w:color w:val="0D0D0D" w:themeColor="text1" w:themeTint="F2"/>
          <w:sz w:val="24"/>
          <w:szCs w:val="24"/>
          <w:lang w:val="en-GB"/>
        </w:rPr>
      </w:pPr>
    </w:p>
    <w:p w:rsidR="004D017D" w:rsidRPr="004D017D" w:rsidRDefault="004D017D" w:rsidP="004D017D">
      <w:pPr>
        <w:spacing w:after="0" w:line="360" w:lineRule="auto"/>
        <w:jc w:val="both"/>
        <w:rPr>
          <w:rFonts w:ascii="Arial" w:hAnsi="Arial" w:cs="Arial"/>
          <w:color w:val="0D0D0D" w:themeColor="text1" w:themeTint="F2"/>
          <w:sz w:val="24"/>
          <w:szCs w:val="24"/>
          <w:lang w:val="en-GB"/>
        </w:rPr>
      </w:pPr>
    </w:p>
    <w:p w:rsidR="004D017D" w:rsidRPr="004D017D" w:rsidRDefault="004D017D" w:rsidP="004D017D">
      <w:pPr>
        <w:spacing w:after="0" w:line="360" w:lineRule="auto"/>
        <w:jc w:val="both"/>
        <w:rPr>
          <w:rFonts w:ascii="Arial" w:hAnsi="Arial" w:cs="Arial"/>
          <w:color w:val="0D0D0D" w:themeColor="text1" w:themeTint="F2"/>
          <w:sz w:val="24"/>
          <w:szCs w:val="24"/>
          <w:lang w:val="en-GB"/>
        </w:rPr>
      </w:pPr>
    </w:p>
    <w:p w:rsidR="004D017D" w:rsidRPr="004D017D" w:rsidRDefault="004D017D" w:rsidP="004D017D">
      <w:pPr>
        <w:spacing w:after="0" w:line="360" w:lineRule="auto"/>
        <w:jc w:val="both"/>
        <w:rPr>
          <w:rFonts w:ascii="Arial" w:hAnsi="Arial" w:cs="Arial"/>
          <w:color w:val="0D0D0D" w:themeColor="text1" w:themeTint="F2"/>
          <w:sz w:val="24"/>
          <w:szCs w:val="24"/>
          <w:lang w:val="en-GB"/>
        </w:rPr>
      </w:pPr>
    </w:p>
    <w:p w:rsidR="004D017D" w:rsidRPr="004D017D" w:rsidRDefault="004D017D" w:rsidP="004D017D">
      <w:pPr>
        <w:spacing w:after="0" w:line="360" w:lineRule="auto"/>
        <w:jc w:val="both"/>
        <w:rPr>
          <w:rFonts w:ascii="Arial" w:hAnsi="Arial" w:cs="Arial"/>
          <w:color w:val="0D0D0D" w:themeColor="text1" w:themeTint="F2"/>
          <w:sz w:val="24"/>
          <w:szCs w:val="24"/>
          <w:lang w:val="en-GB"/>
        </w:rPr>
      </w:pPr>
    </w:p>
    <w:p w:rsidR="004D017D" w:rsidRPr="004D017D" w:rsidRDefault="004D017D" w:rsidP="004D017D">
      <w:pPr>
        <w:spacing w:after="0" w:line="360" w:lineRule="auto"/>
        <w:ind w:left="720"/>
        <w:contextualSpacing/>
        <w:jc w:val="both"/>
        <w:rPr>
          <w:rFonts w:ascii="Arial" w:hAnsi="Arial" w:cs="Arial"/>
          <w:color w:val="0D0D0D" w:themeColor="text1" w:themeTint="F2"/>
          <w:sz w:val="24"/>
          <w:szCs w:val="24"/>
          <w:lang w:val="en-GB"/>
        </w:rPr>
      </w:pPr>
    </w:p>
    <w:p w:rsidR="004D017D" w:rsidRPr="004D017D" w:rsidRDefault="004D017D" w:rsidP="004D017D">
      <w:pPr>
        <w:spacing w:after="0" w:line="360" w:lineRule="auto"/>
        <w:ind w:left="720"/>
        <w:contextualSpacing/>
        <w:jc w:val="both"/>
        <w:rPr>
          <w:rFonts w:ascii="Arial" w:hAnsi="Arial" w:cs="Arial"/>
          <w:color w:val="0D0D0D" w:themeColor="text1" w:themeTint="F2"/>
          <w:sz w:val="24"/>
          <w:szCs w:val="24"/>
          <w:lang w:val="en-GB"/>
        </w:rPr>
      </w:pPr>
    </w:p>
    <w:p w:rsidR="004D017D" w:rsidRPr="004D017D" w:rsidRDefault="004D017D" w:rsidP="004D017D">
      <w:pPr>
        <w:spacing w:after="200" w:line="276" w:lineRule="auto"/>
        <w:rPr>
          <w:lang w:val="en-GB"/>
        </w:rPr>
      </w:pPr>
    </w:p>
    <w:p w:rsidR="0074613D" w:rsidRPr="004D017D" w:rsidRDefault="0074613D" w:rsidP="004D017D"/>
    <w:sectPr w:rsidR="0074613D" w:rsidRPr="004D017D" w:rsidSect="002B5F3F">
      <w:headerReference w:type="default" r:id="rId9"/>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71" w:rsidRDefault="00A82871" w:rsidP="00FA30C8">
      <w:pPr>
        <w:spacing w:after="0" w:line="240" w:lineRule="auto"/>
      </w:pPr>
      <w:r>
        <w:separator/>
      </w:r>
    </w:p>
  </w:endnote>
  <w:endnote w:type="continuationSeparator" w:id="0">
    <w:p w:rsidR="00A82871" w:rsidRDefault="00A82871" w:rsidP="00FA3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71" w:rsidRDefault="00A82871" w:rsidP="00FA30C8">
      <w:pPr>
        <w:spacing w:after="0" w:line="240" w:lineRule="auto"/>
      </w:pPr>
      <w:r>
        <w:separator/>
      </w:r>
    </w:p>
  </w:footnote>
  <w:footnote w:type="continuationSeparator" w:id="0">
    <w:p w:rsidR="00A82871" w:rsidRDefault="00A82871" w:rsidP="00FA30C8">
      <w:pPr>
        <w:spacing w:after="0" w:line="240" w:lineRule="auto"/>
      </w:pPr>
      <w:r>
        <w:continuationSeparator/>
      </w:r>
    </w:p>
  </w:footnote>
  <w:footnote w:id="1">
    <w:p w:rsidR="00395A15" w:rsidRPr="00847CED" w:rsidRDefault="00395A15">
      <w:pPr>
        <w:pStyle w:val="FootnoteText"/>
        <w:rPr>
          <w:rFonts w:ascii="Arial" w:hAnsi="Arial" w:cs="Arial"/>
        </w:rPr>
      </w:pPr>
      <w:r w:rsidRPr="00847CED">
        <w:rPr>
          <w:rStyle w:val="FootnoteReference"/>
          <w:rFonts w:ascii="Arial" w:hAnsi="Arial" w:cs="Arial"/>
        </w:rPr>
        <w:footnoteRef/>
      </w:r>
      <w:r w:rsidRPr="00847CED">
        <w:rPr>
          <w:rFonts w:ascii="Arial" w:hAnsi="Arial" w:cs="Arial"/>
        </w:rPr>
        <w:t xml:space="preserve"> Veterans Act  (Act No.2 of 2008)</w:t>
      </w:r>
    </w:p>
  </w:footnote>
  <w:footnote w:id="2">
    <w:p w:rsidR="00D826FB" w:rsidRPr="00847CED" w:rsidRDefault="00D826FB">
      <w:pPr>
        <w:pStyle w:val="FootnoteText"/>
        <w:rPr>
          <w:rFonts w:ascii="Arial" w:hAnsi="Arial" w:cs="Arial"/>
        </w:rPr>
      </w:pPr>
      <w:r w:rsidRPr="00847CED">
        <w:rPr>
          <w:rStyle w:val="FootnoteReference"/>
          <w:rFonts w:ascii="Arial" w:hAnsi="Arial" w:cs="Arial"/>
        </w:rPr>
        <w:footnoteRef/>
      </w:r>
      <w:r w:rsidRPr="00847CED">
        <w:rPr>
          <w:rFonts w:ascii="Arial" w:hAnsi="Arial" w:cs="Arial"/>
        </w:rPr>
        <w:t xml:space="preserve"> PLAN – The People’s Liberation Army of Namibia which was the military wing of SWAPO.</w:t>
      </w:r>
    </w:p>
  </w:footnote>
  <w:footnote w:id="3">
    <w:p w:rsidR="00D826FB" w:rsidRPr="00847CED" w:rsidRDefault="00D826FB">
      <w:pPr>
        <w:pStyle w:val="FootnoteText"/>
        <w:rPr>
          <w:rFonts w:ascii="Arial" w:hAnsi="Arial" w:cs="Arial"/>
        </w:rPr>
      </w:pPr>
      <w:r w:rsidRPr="00847CED">
        <w:rPr>
          <w:rStyle w:val="FootnoteReference"/>
          <w:rFonts w:ascii="Arial" w:hAnsi="Arial" w:cs="Arial"/>
        </w:rPr>
        <w:footnoteRef/>
      </w:r>
      <w:r w:rsidRPr="00847CED">
        <w:rPr>
          <w:rFonts w:ascii="Arial" w:hAnsi="Arial" w:cs="Arial"/>
        </w:rPr>
        <w:t xml:space="preserve"> SWATF – South West Africa Territorial Force which was an extension of the South African defense force. </w:t>
      </w:r>
    </w:p>
  </w:footnote>
  <w:footnote w:id="4">
    <w:p w:rsidR="004D017D" w:rsidRPr="00847CED" w:rsidRDefault="004D017D" w:rsidP="004D017D">
      <w:pPr>
        <w:pStyle w:val="FootnoteText"/>
        <w:rPr>
          <w:rFonts w:ascii="Arial" w:hAnsi="Arial" w:cs="Arial"/>
        </w:rPr>
      </w:pPr>
      <w:r w:rsidRPr="00847CED">
        <w:rPr>
          <w:rStyle w:val="FootnoteReference"/>
          <w:rFonts w:ascii="Arial" w:hAnsi="Arial" w:cs="Arial"/>
        </w:rPr>
        <w:footnoteRef/>
      </w:r>
      <w:r w:rsidRPr="00847CED">
        <w:rPr>
          <w:rFonts w:ascii="Arial" w:hAnsi="Arial" w:cs="Arial"/>
        </w:rPr>
        <w:t xml:space="preserve"> Page 23 of amended record. </w:t>
      </w:r>
    </w:p>
  </w:footnote>
  <w:footnote w:id="5">
    <w:p w:rsidR="004D017D" w:rsidRDefault="004D017D" w:rsidP="004D017D">
      <w:pPr>
        <w:pStyle w:val="FootnoteText"/>
      </w:pPr>
      <w:r w:rsidRPr="00847CED">
        <w:rPr>
          <w:rStyle w:val="FootnoteReference"/>
          <w:rFonts w:ascii="Arial" w:hAnsi="Arial" w:cs="Arial"/>
        </w:rPr>
        <w:footnoteRef/>
      </w:r>
      <w:r w:rsidRPr="00847CED">
        <w:rPr>
          <w:rFonts w:ascii="Arial" w:hAnsi="Arial" w:cs="Arial"/>
        </w:rPr>
        <w:t xml:space="preserve"> Page 26-27 of amended record.</w:t>
      </w:r>
    </w:p>
  </w:footnote>
  <w:footnote w:id="6">
    <w:p w:rsidR="00AD3F65" w:rsidRPr="00847CED" w:rsidRDefault="00AD3F65" w:rsidP="00AD3F65">
      <w:pPr>
        <w:pStyle w:val="FootnoteText"/>
        <w:rPr>
          <w:rFonts w:ascii="Arial" w:hAnsi="Arial" w:cs="Arial"/>
        </w:rPr>
      </w:pPr>
      <w:r w:rsidRPr="00847CED">
        <w:rPr>
          <w:rStyle w:val="FootnoteReference"/>
          <w:rFonts w:ascii="Arial" w:hAnsi="Arial" w:cs="Arial"/>
        </w:rPr>
        <w:footnoteRef/>
      </w:r>
      <w:r w:rsidRPr="00847CED">
        <w:rPr>
          <w:rFonts w:ascii="Arial" w:hAnsi="Arial" w:cs="Arial"/>
        </w:rPr>
        <w:t xml:space="preserve"> Section 42 (1)  The Appeal Board hearing an appeal in terms of this section – (a ) must deal with the appeal with due regard to</w:t>
      </w:r>
      <w:r w:rsidR="00D559CA" w:rsidRPr="00847CED">
        <w:rPr>
          <w:rFonts w:ascii="Arial" w:hAnsi="Arial" w:cs="Arial"/>
        </w:rPr>
        <w:t xml:space="preserve"> -  </w:t>
      </w:r>
      <w:r w:rsidRPr="00847CED">
        <w:rPr>
          <w:rFonts w:ascii="Arial" w:hAnsi="Arial" w:cs="Arial"/>
        </w:rPr>
        <w:t>(i) the circumstances which were considered in taking the decision or performance of the act appealed against; (ii) the grounds of appeal; (iii) the documentary or oral evidence submitted or given by the person at the request or with the permission of the Appe</w:t>
      </w:r>
      <w:r w:rsidR="00D559CA" w:rsidRPr="00847CED">
        <w:rPr>
          <w:rFonts w:ascii="Arial" w:hAnsi="Arial" w:cs="Arial"/>
        </w:rPr>
        <w:t>a</w:t>
      </w:r>
      <w:r w:rsidRPr="00847CED">
        <w:rPr>
          <w:rFonts w:ascii="Arial" w:hAnsi="Arial" w:cs="Arial"/>
        </w:rPr>
        <w:t>l Board; and (iv) any other information at the disposal of the appeal board; (b) may confirm, vary or set aside the decision or act to which the appeal relates.</w:t>
      </w:r>
    </w:p>
  </w:footnote>
  <w:footnote w:id="7">
    <w:p w:rsidR="004D017D" w:rsidRPr="002510CF" w:rsidRDefault="004D017D" w:rsidP="004D017D">
      <w:pPr>
        <w:pStyle w:val="FootnoteText"/>
        <w:rPr>
          <w:rFonts w:ascii="Arial" w:hAnsi="Arial" w:cs="Arial"/>
        </w:rPr>
      </w:pPr>
      <w:r w:rsidRPr="002510CF">
        <w:rPr>
          <w:rStyle w:val="FootnoteReference"/>
          <w:rFonts w:ascii="Arial" w:hAnsi="Arial" w:cs="Arial"/>
        </w:rPr>
        <w:footnoteRef/>
      </w:r>
      <w:r w:rsidRPr="002510CF">
        <w:rPr>
          <w:rFonts w:ascii="Arial" w:hAnsi="Arial" w:cs="Arial"/>
        </w:rPr>
        <w:t xml:space="preserve"> Section 1 of Act 2 of 2008.</w:t>
      </w:r>
    </w:p>
  </w:footnote>
  <w:footnote w:id="8">
    <w:p w:rsidR="004D017D" w:rsidRPr="002510CF" w:rsidRDefault="004D017D" w:rsidP="004D017D">
      <w:pPr>
        <w:pStyle w:val="FootnoteText"/>
        <w:rPr>
          <w:rFonts w:ascii="Arial" w:hAnsi="Arial" w:cs="Arial"/>
        </w:rPr>
      </w:pPr>
      <w:r w:rsidRPr="002510CF">
        <w:rPr>
          <w:rStyle w:val="FootnoteReference"/>
          <w:rFonts w:ascii="Arial" w:hAnsi="Arial" w:cs="Arial"/>
        </w:rPr>
        <w:footnoteRef/>
      </w:r>
      <w:r w:rsidRPr="002510CF">
        <w:rPr>
          <w:rFonts w:ascii="Arial" w:hAnsi="Arial" w:cs="Arial"/>
        </w:rPr>
        <w:t xml:space="preserve"> </w:t>
      </w:r>
      <w:r w:rsidR="002510CF" w:rsidRPr="002510CF">
        <w:rPr>
          <w:rFonts w:ascii="Arial" w:hAnsi="Arial" w:cs="Arial"/>
        </w:rPr>
        <w:t xml:space="preserve">Stevenson &amp; Waite </w:t>
      </w:r>
      <w:r w:rsidRPr="002510CF">
        <w:rPr>
          <w:rFonts w:ascii="Arial" w:hAnsi="Arial" w:cs="Arial"/>
          <w:i/>
        </w:rPr>
        <w:t xml:space="preserve">Concise </w:t>
      </w:r>
      <w:r w:rsidR="003917BB" w:rsidRPr="002510CF">
        <w:rPr>
          <w:rFonts w:ascii="Arial" w:hAnsi="Arial" w:cs="Arial"/>
          <w:i/>
        </w:rPr>
        <w:t xml:space="preserve">Oxford </w:t>
      </w:r>
      <w:r w:rsidRPr="002510CF">
        <w:rPr>
          <w:rFonts w:ascii="Arial" w:hAnsi="Arial" w:cs="Arial"/>
          <w:i/>
        </w:rPr>
        <w:t>English Dictionary</w:t>
      </w:r>
      <w:r w:rsidRPr="002510CF">
        <w:rPr>
          <w:rFonts w:ascii="Arial" w:hAnsi="Arial" w:cs="Arial"/>
        </w:rPr>
        <w:t xml:space="preserve"> 1</w:t>
      </w:r>
      <w:r w:rsidR="003917BB" w:rsidRPr="002510CF">
        <w:rPr>
          <w:rFonts w:ascii="Arial" w:hAnsi="Arial" w:cs="Arial"/>
        </w:rPr>
        <w:t>2</w:t>
      </w:r>
      <w:r w:rsidRPr="002510CF">
        <w:rPr>
          <w:rFonts w:ascii="Arial" w:hAnsi="Arial" w:cs="Arial"/>
          <w:vertAlign w:val="superscript"/>
        </w:rPr>
        <w:t>th</w:t>
      </w:r>
      <w:r w:rsidR="002510CF" w:rsidRPr="002510CF">
        <w:rPr>
          <w:rFonts w:ascii="Arial" w:hAnsi="Arial" w:cs="Arial"/>
        </w:rPr>
        <w:t xml:space="preserve"> ed, </w:t>
      </w:r>
      <w:r w:rsidRPr="002510CF">
        <w:rPr>
          <w:rFonts w:ascii="Arial" w:hAnsi="Arial" w:cs="Arial"/>
        </w:rPr>
        <w:t>Oxford University Press.</w:t>
      </w:r>
      <w:r w:rsidR="002510CF">
        <w:rPr>
          <w:rFonts w:ascii="Arial" w:hAnsi="Arial" w:cs="Arial"/>
        </w:rPr>
        <w:t xml:space="preserve"> (2011).</w:t>
      </w:r>
    </w:p>
  </w:footnote>
  <w:footnote w:id="9">
    <w:p w:rsidR="004D017D" w:rsidRDefault="004D017D" w:rsidP="004D017D">
      <w:pPr>
        <w:pStyle w:val="FootnoteText"/>
      </w:pPr>
      <w:r w:rsidRPr="002510CF">
        <w:rPr>
          <w:rStyle w:val="FootnoteReference"/>
          <w:rFonts w:ascii="Arial" w:hAnsi="Arial" w:cs="Arial"/>
        </w:rPr>
        <w:footnoteRef/>
      </w:r>
      <w:r w:rsidR="006D29B1" w:rsidRPr="002510CF">
        <w:rPr>
          <w:rFonts w:ascii="Arial" w:hAnsi="Arial" w:cs="Arial"/>
        </w:rPr>
        <w:t xml:space="preserve"> </w:t>
      </w:r>
      <w:r w:rsidR="002510CF" w:rsidRPr="002510CF">
        <w:rPr>
          <w:rFonts w:ascii="Arial" w:hAnsi="Arial" w:cs="Arial"/>
        </w:rPr>
        <w:t xml:space="preserve">C Mc Intosh </w:t>
      </w:r>
      <w:r w:rsidRPr="002510CF">
        <w:rPr>
          <w:rFonts w:ascii="Arial" w:hAnsi="Arial" w:cs="Arial"/>
          <w:i/>
        </w:rPr>
        <w:t>Cambridge Advanced Learners Dictionary</w:t>
      </w:r>
      <w:r w:rsidRPr="002510CF">
        <w:rPr>
          <w:rFonts w:ascii="Arial" w:hAnsi="Arial" w:cs="Arial"/>
        </w:rPr>
        <w:t xml:space="preserve"> 4</w:t>
      </w:r>
      <w:r w:rsidRPr="002510CF">
        <w:rPr>
          <w:rFonts w:ascii="Arial" w:hAnsi="Arial" w:cs="Arial"/>
          <w:vertAlign w:val="superscript"/>
        </w:rPr>
        <w:t>th</w:t>
      </w:r>
      <w:r w:rsidRPr="002510CF">
        <w:rPr>
          <w:rFonts w:ascii="Arial" w:hAnsi="Arial" w:cs="Arial"/>
        </w:rPr>
        <w:t xml:space="preserve"> </w:t>
      </w:r>
      <w:r w:rsidR="002510CF" w:rsidRPr="002510CF">
        <w:rPr>
          <w:rFonts w:ascii="Arial" w:hAnsi="Arial" w:cs="Arial"/>
        </w:rPr>
        <w:t xml:space="preserve">ed, </w:t>
      </w:r>
      <w:r w:rsidR="006D29B1" w:rsidRPr="00847CED">
        <w:rPr>
          <w:rFonts w:ascii="Arial" w:hAnsi="Arial" w:cs="Arial"/>
        </w:rPr>
        <w:t>C</w:t>
      </w:r>
      <w:r w:rsidRPr="00847CED">
        <w:rPr>
          <w:rFonts w:ascii="Arial" w:hAnsi="Arial" w:cs="Arial"/>
        </w:rPr>
        <w:t>ambridge University Press.</w:t>
      </w:r>
      <w:r w:rsidR="002510CF" w:rsidRPr="00847CED">
        <w:rPr>
          <w:rFonts w:ascii="Arial" w:hAnsi="Arial" w:cs="Arial"/>
        </w:rPr>
        <w:t xml:space="preserve"> (</w:t>
      </w:r>
      <w:r w:rsidR="00847CED" w:rsidRPr="00847CED">
        <w:rPr>
          <w:rFonts w:ascii="Arial" w:hAnsi="Arial" w:cs="Arial"/>
        </w:rPr>
        <w:t>2013)</w:t>
      </w:r>
      <w:r w:rsidR="00847CED">
        <w:rPr>
          <w:rFonts w:ascii="Arial" w:hAnsi="Arial" w:cs="Arial"/>
        </w:rPr>
        <w:t>.</w:t>
      </w:r>
    </w:p>
  </w:footnote>
  <w:footnote w:id="10">
    <w:p w:rsidR="004D017D" w:rsidRDefault="004D017D" w:rsidP="004D017D">
      <w:pPr>
        <w:pStyle w:val="FootnoteText"/>
      </w:pPr>
      <w:r>
        <w:rPr>
          <w:rStyle w:val="FootnoteReference"/>
        </w:rPr>
        <w:footnoteRef/>
      </w:r>
      <w:r w:rsidR="00900D6E">
        <w:t xml:space="preserve"> Regulations relating to the Appeals of the Veterans Appeal B</w:t>
      </w:r>
      <w:r>
        <w:t>oard and th</w:t>
      </w:r>
      <w:r w:rsidR="00900D6E">
        <w:t xml:space="preserve">e High Court: Veterans </w:t>
      </w:r>
      <w:r w:rsidR="002510CF">
        <w:t>Act, 2008</w:t>
      </w:r>
      <w:r>
        <w:t>, No 45 of 2011</w:t>
      </w:r>
      <w:r w:rsidR="00900D6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75726"/>
      <w:docPartObj>
        <w:docPartGallery w:val="Page Numbers (Top of Page)"/>
        <w:docPartUnique/>
      </w:docPartObj>
    </w:sdtPr>
    <w:sdtEndPr>
      <w:rPr>
        <w:noProof/>
      </w:rPr>
    </w:sdtEndPr>
    <w:sdtContent>
      <w:p w:rsidR="004D017D" w:rsidRDefault="004D017D">
        <w:pPr>
          <w:pStyle w:val="Header"/>
          <w:jc w:val="right"/>
        </w:pPr>
        <w:r>
          <w:fldChar w:fldCharType="begin"/>
        </w:r>
        <w:r>
          <w:instrText xml:space="preserve"> PAGE   \* MERGEFORMAT </w:instrText>
        </w:r>
        <w:r>
          <w:fldChar w:fldCharType="separate"/>
        </w:r>
        <w:r w:rsidR="006A7F2F">
          <w:rPr>
            <w:noProof/>
          </w:rPr>
          <w:t>2</w:t>
        </w:r>
        <w:r>
          <w:rPr>
            <w:noProof/>
          </w:rPr>
          <w:fldChar w:fldCharType="end"/>
        </w:r>
      </w:p>
    </w:sdtContent>
  </w:sdt>
  <w:p w:rsidR="004D017D" w:rsidRDefault="004D0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332"/>
    <w:multiLevelType w:val="hybridMultilevel"/>
    <w:tmpl w:val="158875D6"/>
    <w:lvl w:ilvl="0" w:tplc="60C4CB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A6CF8"/>
    <w:multiLevelType w:val="hybridMultilevel"/>
    <w:tmpl w:val="4A0C4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42E92"/>
    <w:multiLevelType w:val="hybridMultilevel"/>
    <w:tmpl w:val="262E2CB0"/>
    <w:lvl w:ilvl="0" w:tplc="20EA3734">
      <w:start w:val="1"/>
      <w:numFmt w:val="lowerLetter"/>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27862"/>
    <w:multiLevelType w:val="hybridMultilevel"/>
    <w:tmpl w:val="728A9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12C9B"/>
    <w:multiLevelType w:val="hybridMultilevel"/>
    <w:tmpl w:val="2F44A916"/>
    <w:lvl w:ilvl="0" w:tplc="05FE609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C349A"/>
    <w:multiLevelType w:val="multilevel"/>
    <w:tmpl w:val="78EC75AA"/>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7D5863"/>
    <w:multiLevelType w:val="hybridMultilevel"/>
    <w:tmpl w:val="9C5059E8"/>
    <w:lvl w:ilvl="0" w:tplc="AB1A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DB57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14033C"/>
    <w:multiLevelType w:val="multilevel"/>
    <w:tmpl w:val="78F6FF22"/>
    <w:lvl w:ilvl="0">
      <w:start w:val="1"/>
      <w:numFmt w:val="low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96A59B8"/>
    <w:multiLevelType w:val="hybridMultilevel"/>
    <w:tmpl w:val="26FE5532"/>
    <w:lvl w:ilvl="0" w:tplc="1CD22FC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42D11CEC"/>
    <w:multiLevelType w:val="hybridMultilevel"/>
    <w:tmpl w:val="B7E4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D6D91"/>
    <w:multiLevelType w:val="hybridMultilevel"/>
    <w:tmpl w:val="D254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01FC2"/>
    <w:multiLevelType w:val="hybridMultilevel"/>
    <w:tmpl w:val="E39A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F127C"/>
    <w:multiLevelType w:val="hybridMultilevel"/>
    <w:tmpl w:val="6E1CA2CA"/>
    <w:lvl w:ilvl="0" w:tplc="27FC6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CA105E"/>
    <w:multiLevelType w:val="hybridMultilevel"/>
    <w:tmpl w:val="14DA3D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7704E"/>
    <w:multiLevelType w:val="hybridMultilevel"/>
    <w:tmpl w:val="6AAA59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37F80"/>
    <w:multiLevelType w:val="hybridMultilevel"/>
    <w:tmpl w:val="A7C47310"/>
    <w:lvl w:ilvl="0" w:tplc="AD7E4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DF7BD7"/>
    <w:multiLevelType w:val="hybridMultilevel"/>
    <w:tmpl w:val="6A56F28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6C1414E9"/>
    <w:multiLevelType w:val="hybridMultilevel"/>
    <w:tmpl w:val="DBC00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278BF"/>
    <w:multiLevelType w:val="hybridMultilevel"/>
    <w:tmpl w:val="B7C8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4108C"/>
    <w:multiLevelType w:val="hybridMultilevel"/>
    <w:tmpl w:val="DFC89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428DA"/>
    <w:multiLevelType w:val="hybridMultilevel"/>
    <w:tmpl w:val="B7C8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33E52"/>
    <w:multiLevelType w:val="hybridMultilevel"/>
    <w:tmpl w:val="BB72A600"/>
    <w:lvl w:ilvl="0" w:tplc="A6208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C7A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2"/>
  </w:num>
  <w:num w:numId="3">
    <w:abstractNumId w:val="4"/>
  </w:num>
  <w:num w:numId="4">
    <w:abstractNumId w:val="18"/>
  </w:num>
  <w:num w:numId="5">
    <w:abstractNumId w:val="12"/>
  </w:num>
  <w:num w:numId="6">
    <w:abstractNumId w:val="14"/>
  </w:num>
  <w:num w:numId="7">
    <w:abstractNumId w:val="15"/>
  </w:num>
  <w:num w:numId="8">
    <w:abstractNumId w:val="7"/>
  </w:num>
  <w:num w:numId="9">
    <w:abstractNumId w:val="23"/>
  </w:num>
  <w:num w:numId="10">
    <w:abstractNumId w:val="5"/>
  </w:num>
  <w:num w:numId="11">
    <w:abstractNumId w:val="8"/>
  </w:num>
  <w:num w:numId="12">
    <w:abstractNumId w:val="1"/>
  </w:num>
  <w:num w:numId="13">
    <w:abstractNumId w:val="20"/>
  </w:num>
  <w:num w:numId="14">
    <w:abstractNumId w:val="0"/>
  </w:num>
  <w:num w:numId="15">
    <w:abstractNumId w:val="13"/>
  </w:num>
  <w:num w:numId="16">
    <w:abstractNumId w:val="9"/>
  </w:num>
  <w:num w:numId="17">
    <w:abstractNumId w:val="3"/>
  </w:num>
  <w:num w:numId="18">
    <w:abstractNumId w:val="2"/>
  </w:num>
  <w:num w:numId="19">
    <w:abstractNumId w:val="10"/>
  </w:num>
  <w:num w:numId="20">
    <w:abstractNumId w:val="6"/>
  </w:num>
  <w:num w:numId="21">
    <w:abstractNumId w:val="19"/>
  </w:num>
  <w:num w:numId="22">
    <w:abstractNumId w:val="16"/>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C8"/>
    <w:rsid w:val="00020F74"/>
    <w:rsid w:val="000242C0"/>
    <w:rsid w:val="00031A5C"/>
    <w:rsid w:val="00035EB2"/>
    <w:rsid w:val="00072411"/>
    <w:rsid w:val="00076D2C"/>
    <w:rsid w:val="000774FD"/>
    <w:rsid w:val="00083861"/>
    <w:rsid w:val="00083BE2"/>
    <w:rsid w:val="0009504F"/>
    <w:rsid w:val="00095B3E"/>
    <w:rsid w:val="000A225A"/>
    <w:rsid w:val="000B00A4"/>
    <w:rsid w:val="000B61D6"/>
    <w:rsid w:val="000C05D1"/>
    <w:rsid w:val="000C2673"/>
    <w:rsid w:val="000C60C4"/>
    <w:rsid w:val="000C71BB"/>
    <w:rsid w:val="000D4084"/>
    <w:rsid w:val="000D51C7"/>
    <w:rsid w:val="000E766B"/>
    <w:rsid w:val="000F46A7"/>
    <w:rsid w:val="00101CC9"/>
    <w:rsid w:val="00107F77"/>
    <w:rsid w:val="001130EA"/>
    <w:rsid w:val="001326A3"/>
    <w:rsid w:val="00133B66"/>
    <w:rsid w:val="00136B41"/>
    <w:rsid w:val="00142E92"/>
    <w:rsid w:val="00145671"/>
    <w:rsid w:val="00147E49"/>
    <w:rsid w:val="00163F9F"/>
    <w:rsid w:val="00165252"/>
    <w:rsid w:val="00182957"/>
    <w:rsid w:val="00183441"/>
    <w:rsid w:val="00183536"/>
    <w:rsid w:val="00193821"/>
    <w:rsid w:val="001947AA"/>
    <w:rsid w:val="001A53DB"/>
    <w:rsid w:val="001B13F5"/>
    <w:rsid w:val="001B60CA"/>
    <w:rsid w:val="001B7691"/>
    <w:rsid w:val="001C6ACD"/>
    <w:rsid w:val="001D6A06"/>
    <w:rsid w:val="001E02A9"/>
    <w:rsid w:val="001E2102"/>
    <w:rsid w:val="001F7949"/>
    <w:rsid w:val="00202595"/>
    <w:rsid w:val="002267E5"/>
    <w:rsid w:val="0023185C"/>
    <w:rsid w:val="00235394"/>
    <w:rsid w:val="00235D21"/>
    <w:rsid w:val="002368AE"/>
    <w:rsid w:val="0024304C"/>
    <w:rsid w:val="00247575"/>
    <w:rsid w:val="002510CF"/>
    <w:rsid w:val="00254CE9"/>
    <w:rsid w:val="00256A1D"/>
    <w:rsid w:val="002627ED"/>
    <w:rsid w:val="00277616"/>
    <w:rsid w:val="00277F8B"/>
    <w:rsid w:val="00284FE8"/>
    <w:rsid w:val="00291933"/>
    <w:rsid w:val="0029548A"/>
    <w:rsid w:val="00296E59"/>
    <w:rsid w:val="002A1E55"/>
    <w:rsid w:val="002A6E03"/>
    <w:rsid w:val="002B3AC8"/>
    <w:rsid w:val="002B5AB8"/>
    <w:rsid w:val="002D1E89"/>
    <w:rsid w:val="002D7FAA"/>
    <w:rsid w:val="002E333E"/>
    <w:rsid w:val="002F5E71"/>
    <w:rsid w:val="00306B46"/>
    <w:rsid w:val="00310F48"/>
    <w:rsid w:val="003230B0"/>
    <w:rsid w:val="00335333"/>
    <w:rsid w:val="0033775F"/>
    <w:rsid w:val="00350E31"/>
    <w:rsid w:val="003552EB"/>
    <w:rsid w:val="00356E92"/>
    <w:rsid w:val="00362A7F"/>
    <w:rsid w:val="003660E7"/>
    <w:rsid w:val="003703C7"/>
    <w:rsid w:val="00375BCE"/>
    <w:rsid w:val="003818F1"/>
    <w:rsid w:val="00384528"/>
    <w:rsid w:val="003917BB"/>
    <w:rsid w:val="00395A15"/>
    <w:rsid w:val="003A4951"/>
    <w:rsid w:val="003B0CF5"/>
    <w:rsid w:val="003B2362"/>
    <w:rsid w:val="003B53F5"/>
    <w:rsid w:val="003B6C74"/>
    <w:rsid w:val="003C222B"/>
    <w:rsid w:val="003C2670"/>
    <w:rsid w:val="003C5E3F"/>
    <w:rsid w:val="003F447C"/>
    <w:rsid w:val="0040722E"/>
    <w:rsid w:val="00411681"/>
    <w:rsid w:val="0041327F"/>
    <w:rsid w:val="004157C4"/>
    <w:rsid w:val="004208F6"/>
    <w:rsid w:val="00422A04"/>
    <w:rsid w:val="00425AAD"/>
    <w:rsid w:val="00446F20"/>
    <w:rsid w:val="00450F16"/>
    <w:rsid w:val="004535EC"/>
    <w:rsid w:val="0047172E"/>
    <w:rsid w:val="004745F5"/>
    <w:rsid w:val="0048139D"/>
    <w:rsid w:val="00486FEE"/>
    <w:rsid w:val="00491DE8"/>
    <w:rsid w:val="004A50EF"/>
    <w:rsid w:val="004B00EB"/>
    <w:rsid w:val="004B0347"/>
    <w:rsid w:val="004B0D9D"/>
    <w:rsid w:val="004B4387"/>
    <w:rsid w:val="004B46BA"/>
    <w:rsid w:val="004B5079"/>
    <w:rsid w:val="004B7A85"/>
    <w:rsid w:val="004C1772"/>
    <w:rsid w:val="004C4329"/>
    <w:rsid w:val="004C76D7"/>
    <w:rsid w:val="004D017D"/>
    <w:rsid w:val="004E0FD5"/>
    <w:rsid w:val="004E1836"/>
    <w:rsid w:val="004E3847"/>
    <w:rsid w:val="004F1B87"/>
    <w:rsid w:val="004F7E49"/>
    <w:rsid w:val="0051118D"/>
    <w:rsid w:val="00512363"/>
    <w:rsid w:val="005178F3"/>
    <w:rsid w:val="005264C0"/>
    <w:rsid w:val="00527E0B"/>
    <w:rsid w:val="00532691"/>
    <w:rsid w:val="005344B0"/>
    <w:rsid w:val="00547A02"/>
    <w:rsid w:val="005525BB"/>
    <w:rsid w:val="00557633"/>
    <w:rsid w:val="00567DD4"/>
    <w:rsid w:val="00571163"/>
    <w:rsid w:val="00580280"/>
    <w:rsid w:val="00580D28"/>
    <w:rsid w:val="00583248"/>
    <w:rsid w:val="005860D5"/>
    <w:rsid w:val="00591442"/>
    <w:rsid w:val="005A4A7B"/>
    <w:rsid w:val="005B0599"/>
    <w:rsid w:val="005B0BBF"/>
    <w:rsid w:val="005C1917"/>
    <w:rsid w:val="005D12B6"/>
    <w:rsid w:val="005D3C3F"/>
    <w:rsid w:val="005E1076"/>
    <w:rsid w:val="005E6572"/>
    <w:rsid w:val="005F5189"/>
    <w:rsid w:val="005F5203"/>
    <w:rsid w:val="006029F1"/>
    <w:rsid w:val="00607068"/>
    <w:rsid w:val="00607C02"/>
    <w:rsid w:val="0061035D"/>
    <w:rsid w:val="006112B4"/>
    <w:rsid w:val="0061135D"/>
    <w:rsid w:val="0061500C"/>
    <w:rsid w:val="00616F45"/>
    <w:rsid w:val="006220E8"/>
    <w:rsid w:val="0062502F"/>
    <w:rsid w:val="006253AC"/>
    <w:rsid w:val="006343EC"/>
    <w:rsid w:val="00655C7D"/>
    <w:rsid w:val="00661617"/>
    <w:rsid w:val="006675D7"/>
    <w:rsid w:val="0068242B"/>
    <w:rsid w:val="00684390"/>
    <w:rsid w:val="00695289"/>
    <w:rsid w:val="006969B1"/>
    <w:rsid w:val="00697C4A"/>
    <w:rsid w:val="006A2E54"/>
    <w:rsid w:val="006A7C7E"/>
    <w:rsid w:val="006A7F2F"/>
    <w:rsid w:val="006B0792"/>
    <w:rsid w:val="006B1DA8"/>
    <w:rsid w:val="006B270B"/>
    <w:rsid w:val="006D29B1"/>
    <w:rsid w:val="006D3D72"/>
    <w:rsid w:val="006D4AC3"/>
    <w:rsid w:val="006E7BB0"/>
    <w:rsid w:val="006F0A34"/>
    <w:rsid w:val="006F2F83"/>
    <w:rsid w:val="006F3605"/>
    <w:rsid w:val="00715F49"/>
    <w:rsid w:val="007259DB"/>
    <w:rsid w:val="00731249"/>
    <w:rsid w:val="0073713A"/>
    <w:rsid w:val="0073731F"/>
    <w:rsid w:val="0074022B"/>
    <w:rsid w:val="00745093"/>
    <w:rsid w:val="0074613D"/>
    <w:rsid w:val="00752C49"/>
    <w:rsid w:val="0075554F"/>
    <w:rsid w:val="0075695A"/>
    <w:rsid w:val="00762F49"/>
    <w:rsid w:val="007632E9"/>
    <w:rsid w:val="007707C1"/>
    <w:rsid w:val="00774DA6"/>
    <w:rsid w:val="0077788B"/>
    <w:rsid w:val="00780216"/>
    <w:rsid w:val="00786F60"/>
    <w:rsid w:val="00796882"/>
    <w:rsid w:val="007A0213"/>
    <w:rsid w:val="007A67CA"/>
    <w:rsid w:val="007B19C2"/>
    <w:rsid w:val="007B732F"/>
    <w:rsid w:val="007C1C57"/>
    <w:rsid w:val="007C46A2"/>
    <w:rsid w:val="007D148B"/>
    <w:rsid w:val="007D6DD0"/>
    <w:rsid w:val="007E08EC"/>
    <w:rsid w:val="007E13E3"/>
    <w:rsid w:val="007F28ED"/>
    <w:rsid w:val="00800C86"/>
    <w:rsid w:val="00804423"/>
    <w:rsid w:val="00811344"/>
    <w:rsid w:val="008143CD"/>
    <w:rsid w:val="00817291"/>
    <w:rsid w:val="00825B6E"/>
    <w:rsid w:val="008326B4"/>
    <w:rsid w:val="0083504E"/>
    <w:rsid w:val="00836513"/>
    <w:rsid w:val="00836E42"/>
    <w:rsid w:val="00847CED"/>
    <w:rsid w:val="008501A0"/>
    <w:rsid w:val="00852EC1"/>
    <w:rsid w:val="00853437"/>
    <w:rsid w:val="00864892"/>
    <w:rsid w:val="0086575D"/>
    <w:rsid w:val="00872972"/>
    <w:rsid w:val="00881F9A"/>
    <w:rsid w:val="00894BAC"/>
    <w:rsid w:val="008A7012"/>
    <w:rsid w:val="008B1C93"/>
    <w:rsid w:val="008B217C"/>
    <w:rsid w:val="008D4073"/>
    <w:rsid w:val="008D7971"/>
    <w:rsid w:val="008F0E1F"/>
    <w:rsid w:val="008F60A5"/>
    <w:rsid w:val="008F6F07"/>
    <w:rsid w:val="00900D6E"/>
    <w:rsid w:val="0090108B"/>
    <w:rsid w:val="0090115B"/>
    <w:rsid w:val="00903CC3"/>
    <w:rsid w:val="0090477C"/>
    <w:rsid w:val="009151E2"/>
    <w:rsid w:val="00916EA5"/>
    <w:rsid w:val="00960DCA"/>
    <w:rsid w:val="0096354F"/>
    <w:rsid w:val="00971A64"/>
    <w:rsid w:val="0097476E"/>
    <w:rsid w:val="00984296"/>
    <w:rsid w:val="00991A44"/>
    <w:rsid w:val="009974F0"/>
    <w:rsid w:val="009B03EA"/>
    <w:rsid w:val="009B156A"/>
    <w:rsid w:val="009B33BF"/>
    <w:rsid w:val="009B3ED8"/>
    <w:rsid w:val="009B435C"/>
    <w:rsid w:val="009C1494"/>
    <w:rsid w:val="009C3D8E"/>
    <w:rsid w:val="009C79DE"/>
    <w:rsid w:val="009D0906"/>
    <w:rsid w:val="009D1D93"/>
    <w:rsid w:val="009E55D5"/>
    <w:rsid w:val="009E5A52"/>
    <w:rsid w:val="009F0A38"/>
    <w:rsid w:val="009F37E1"/>
    <w:rsid w:val="00A00DC4"/>
    <w:rsid w:val="00A04D2F"/>
    <w:rsid w:val="00A07028"/>
    <w:rsid w:val="00A1039A"/>
    <w:rsid w:val="00A11C00"/>
    <w:rsid w:val="00A22C57"/>
    <w:rsid w:val="00A27E3C"/>
    <w:rsid w:val="00A308BD"/>
    <w:rsid w:val="00A41282"/>
    <w:rsid w:val="00A76794"/>
    <w:rsid w:val="00A82871"/>
    <w:rsid w:val="00A86DFD"/>
    <w:rsid w:val="00AA20EA"/>
    <w:rsid w:val="00AB468D"/>
    <w:rsid w:val="00AC1227"/>
    <w:rsid w:val="00AC3CEB"/>
    <w:rsid w:val="00AD3F65"/>
    <w:rsid w:val="00AD57D9"/>
    <w:rsid w:val="00AE1F3A"/>
    <w:rsid w:val="00AE3BBC"/>
    <w:rsid w:val="00AF0B0C"/>
    <w:rsid w:val="00AF11BE"/>
    <w:rsid w:val="00AF2F0B"/>
    <w:rsid w:val="00AF5A5F"/>
    <w:rsid w:val="00B02F24"/>
    <w:rsid w:val="00B30E16"/>
    <w:rsid w:val="00B31657"/>
    <w:rsid w:val="00B41FFC"/>
    <w:rsid w:val="00B4636D"/>
    <w:rsid w:val="00B5249D"/>
    <w:rsid w:val="00B54038"/>
    <w:rsid w:val="00B757F4"/>
    <w:rsid w:val="00B86A49"/>
    <w:rsid w:val="00B960F6"/>
    <w:rsid w:val="00BA54E0"/>
    <w:rsid w:val="00BA55CD"/>
    <w:rsid w:val="00BA5D9C"/>
    <w:rsid w:val="00BC31AD"/>
    <w:rsid w:val="00BE1765"/>
    <w:rsid w:val="00BE36BB"/>
    <w:rsid w:val="00BE7BD5"/>
    <w:rsid w:val="00BF4F81"/>
    <w:rsid w:val="00C0054E"/>
    <w:rsid w:val="00C01217"/>
    <w:rsid w:val="00C02111"/>
    <w:rsid w:val="00C038A0"/>
    <w:rsid w:val="00C15C2F"/>
    <w:rsid w:val="00C3557C"/>
    <w:rsid w:val="00C40DCD"/>
    <w:rsid w:val="00C4530A"/>
    <w:rsid w:val="00C56307"/>
    <w:rsid w:val="00C64C81"/>
    <w:rsid w:val="00C669D3"/>
    <w:rsid w:val="00C700ED"/>
    <w:rsid w:val="00C7554D"/>
    <w:rsid w:val="00C82236"/>
    <w:rsid w:val="00C823C7"/>
    <w:rsid w:val="00C87E9C"/>
    <w:rsid w:val="00C93DFC"/>
    <w:rsid w:val="00CA5D84"/>
    <w:rsid w:val="00CB3D3B"/>
    <w:rsid w:val="00CB798D"/>
    <w:rsid w:val="00CC0482"/>
    <w:rsid w:val="00CC17FE"/>
    <w:rsid w:val="00CC57FE"/>
    <w:rsid w:val="00CC5AFF"/>
    <w:rsid w:val="00CC7051"/>
    <w:rsid w:val="00CE620C"/>
    <w:rsid w:val="00CF2FAF"/>
    <w:rsid w:val="00CF38DF"/>
    <w:rsid w:val="00CF7C78"/>
    <w:rsid w:val="00D0280B"/>
    <w:rsid w:val="00D04C8C"/>
    <w:rsid w:val="00D11DBE"/>
    <w:rsid w:val="00D16002"/>
    <w:rsid w:val="00D16F66"/>
    <w:rsid w:val="00D20E9D"/>
    <w:rsid w:val="00D211F4"/>
    <w:rsid w:val="00D26BEE"/>
    <w:rsid w:val="00D30094"/>
    <w:rsid w:val="00D410E0"/>
    <w:rsid w:val="00D411BB"/>
    <w:rsid w:val="00D411F8"/>
    <w:rsid w:val="00D559CA"/>
    <w:rsid w:val="00D7265B"/>
    <w:rsid w:val="00D72F2F"/>
    <w:rsid w:val="00D737E8"/>
    <w:rsid w:val="00D75A9E"/>
    <w:rsid w:val="00D808D8"/>
    <w:rsid w:val="00D80C1C"/>
    <w:rsid w:val="00D826FB"/>
    <w:rsid w:val="00DA4DDD"/>
    <w:rsid w:val="00DA6D6E"/>
    <w:rsid w:val="00DB4BA9"/>
    <w:rsid w:val="00DC0743"/>
    <w:rsid w:val="00DD6B42"/>
    <w:rsid w:val="00DE6AD2"/>
    <w:rsid w:val="00DE73B4"/>
    <w:rsid w:val="00E02C02"/>
    <w:rsid w:val="00E0567C"/>
    <w:rsid w:val="00E1176D"/>
    <w:rsid w:val="00E13298"/>
    <w:rsid w:val="00E1367C"/>
    <w:rsid w:val="00E17EE8"/>
    <w:rsid w:val="00E31088"/>
    <w:rsid w:val="00E326A9"/>
    <w:rsid w:val="00E41880"/>
    <w:rsid w:val="00E5003C"/>
    <w:rsid w:val="00E53FD2"/>
    <w:rsid w:val="00E81CDD"/>
    <w:rsid w:val="00E9373E"/>
    <w:rsid w:val="00E96191"/>
    <w:rsid w:val="00EA68B5"/>
    <w:rsid w:val="00EB2D30"/>
    <w:rsid w:val="00EB38E6"/>
    <w:rsid w:val="00EB7305"/>
    <w:rsid w:val="00EC21E9"/>
    <w:rsid w:val="00EC430F"/>
    <w:rsid w:val="00EC71A4"/>
    <w:rsid w:val="00EC71D6"/>
    <w:rsid w:val="00ED164D"/>
    <w:rsid w:val="00ED7294"/>
    <w:rsid w:val="00ED7879"/>
    <w:rsid w:val="00EE0141"/>
    <w:rsid w:val="00EE3632"/>
    <w:rsid w:val="00EE5FA1"/>
    <w:rsid w:val="00F07FEB"/>
    <w:rsid w:val="00F106E0"/>
    <w:rsid w:val="00F24179"/>
    <w:rsid w:val="00F35ED3"/>
    <w:rsid w:val="00F546A3"/>
    <w:rsid w:val="00F70A43"/>
    <w:rsid w:val="00F72F96"/>
    <w:rsid w:val="00F8402A"/>
    <w:rsid w:val="00F86F80"/>
    <w:rsid w:val="00F90BC3"/>
    <w:rsid w:val="00F935FC"/>
    <w:rsid w:val="00F9436C"/>
    <w:rsid w:val="00F9744A"/>
    <w:rsid w:val="00FA30C8"/>
    <w:rsid w:val="00FA5F31"/>
    <w:rsid w:val="00FB0024"/>
    <w:rsid w:val="00FC1AD7"/>
    <w:rsid w:val="00FC5D73"/>
    <w:rsid w:val="00FC6BDF"/>
    <w:rsid w:val="00FD3E9A"/>
    <w:rsid w:val="00FD7713"/>
    <w:rsid w:val="00FD7D96"/>
    <w:rsid w:val="00FF397C"/>
    <w:rsid w:val="00FF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AE34C-6DDD-4E29-A1A8-01CF4DE3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0C8"/>
  </w:style>
  <w:style w:type="paragraph" w:styleId="Heading2">
    <w:name w:val="heading 2"/>
    <w:basedOn w:val="Normal"/>
    <w:link w:val="Heading2Char"/>
    <w:uiPriority w:val="9"/>
    <w:qFormat/>
    <w:rsid w:val="00FA30C8"/>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0C8"/>
    <w:rPr>
      <w:rFonts w:ascii="Times New Roman" w:eastAsia="Times New Roman" w:hAnsi="Times New Roman" w:cs="Times New Roman"/>
      <w:b/>
      <w:bCs/>
      <w:sz w:val="36"/>
      <w:szCs w:val="36"/>
      <w:lang w:val="en-ZA" w:eastAsia="en-ZA"/>
    </w:rPr>
  </w:style>
  <w:style w:type="paragraph" w:styleId="ListParagraph">
    <w:name w:val="List Paragraph"/>
    <w:basedOn w:val="Normal"/>
    <w:uiPriority w:val="34"/>
    <w:qFormat/>
    <w:rsid w:val="00FA30C8"/>
    <w:pPr>
      <w:ind w:left="720"/>
      <w:contextualSpacing/>
    </w:pPr>
  </w:style>
  <w:style w:type="paragraph" w:styleId="BodyText">
    <w:name w:val="Body Text"/>
    <w:basedOn w:val="Normal"/>
    <w:link w:val="BodyTextChar"/>
    <w:rsid w:val="00FA30C8"/>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A30C8"/>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unhideWhenUsed/>
    <w:rsid w:val="00FA30C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FA30C8"/>
    <w:rPr>
      <w:rFonts w:eastAsia="Times New Roman" w:cs="Times New Roman"/>
      <w:sz w:val="20"/>
      <w:szCs w:val="20"/>
    </w:rPr>
  </w:style>
  <w:style w:type="character" w:styleId="FootnoteReference">
    <w:name w:val="footnote reference"/>
    <w:basedOn w:val="DefaultParagraphFont"/>
    <w:unhideWhenUsed/>
    <w:rsid w:val="00FA30C8"/>
    <w:rPr>
      <w:vertAlign w:val="superscript"/>
    </w:rPr>
  </w:style>
  <w:style w:type="paragraph" w:customStyle="1" w:styleId="para">
    <w:name w:val="para"/>
    <w:basedOn w:val="Normal"/>
    <w:rsid w:val="00FA30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F16"/>
    <w:rPr>
      <w:rFonts w:ascii="Segoe UI" w:hAnsi="Segoe UI" w:cs="Segoe UI"/>
      <w:sz w:val="18"/>
      <w:szCs w:val="18"/>
    </w:rPr>
  </w:style>
  <w:style w:type="paragraph" w:styleId="Header">
    <w:name w:val="header"/>
    <w:basedOn w:val="Normal"/>
    <w:link w:val="HeaderChar"/>
    <w:uiPriority w:val="99"/>
    <w:unhideWhenUsed/>
    <w:rsid w:val="00607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068"/>
  </w:style>
  <w:style w:type="paragraph" w:styleId="Footer">
    <w:name w:val="footer"/>
    <w:basedOn w:val="Normal"/>
    <w:link w:val="FooterChar"/>
    <w:uiPriority w:val="99"/>
    <w:unhideWhenUsed/>
    <w:rsid w:val="00607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2019-03-05T18:30:00+00:00</Judgment_x0020_Date>
    <Year xmlns="c1afb1bd-f2fb-40fd-9abb-aea55b4d7662">2019</Year>
  </documentManagement>
</p:properties>
</file>

<file path=customXml/itemProps1.xml><?xml version="1.0" encoding="utf-8"?>
<ds:datastoreItem xmlns:ds="http://schemas.openxmlformats.org/officeDocument/2006/customXml" ds:itemID="{47D3605D-BE55-4897-BE7E-040587D39196}"/>
</file>

<file path=customXml/itemProps2.xml><?xml version="1.0" encoding="utf-8"?>
<ds:datastoreItem xmlns:ds="http://schemas.openxmlformats.org/officeDocument/2006/customXml" ds:itemID="{A066B222-C76F-43C6-A399-7FA6CA7022F9}"/>
</file>

<file path=customXml/itemProps3.xml><?xml version="1.0" encoding="utf-8"?>
<ds:datastoreItem xmlns:ds="http://schemas.openxmlformats.org/officeDocument/2006/customXml" ds:itemID="{9391362B-818A-41E7-BB68-A4E5ACCB89F8}"/>
</file>

<file path=customXml/itemProps4.xml><?xml version="1.0" encoding="utf-8"?>
<ds:datastoreItem xmlns:ds="http://schemas.openxmlformats.org/officeDocument/2006/customXml" ds:itemID="{7E42B800-112A-4370-B700-E84C11D166AF}"/>
</file>

<file path=docProps/app.xml><?xml version="1.0" encoding="utf-8"?>
<Properties xmlns="http://schemas.openxmlformats.org/officeDocument/2006/extended-properties" xmlns:vt="http://schemas.openxmlformats.org/officeDocument/2006/docPropsVTypes">
  <Template>Normal</Template>
  <TotalTime>0</TotalTime>
  <Pages>10</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Mbeurora Karamata</dc:creator>
  <cp:lastModifiedBy>Mbeurora Karamata</cp:lastModifiedBy>
  <cp:revision>2</cp:revision>
  <cp:lastPrinted>2019-04-01T08:44:00Z</cp:lastPrinted>
  <dcterms:created xsi:type="dcterms:W3CDTF">2019-04-01T10:02:00Z</dcterms:created>
  <dcterms:modified xsi:type="dcterms:W3CDTF">2019-04-01T10:02:00Z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