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3A" w:rsidRPr="00E6083A" w:rsidRDefault="00E6083A" w:rsidP="00E6083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E6083A">
        <w:rPr>
          <w:lang w:val="en-US"/>
        </w:rPr>
        <w:t>“</w:t>
      </w:r>
      <w:r w:rsidRPr="00E6083A">
        <w:rPr>
          <w:rFonts w:ascii="Arial" w:hAnsi="Arial" w:cs="Arial"/>
          <w:sz w:val="24"/>
          <w:szCs w:val="24"/>
          <w:lang w:val="en-US"/>
        </w:rPr>
        <w:t>ANNEXURE 11”</w:t>
      </w:r>
    </w:p>
    <w:p w:rsidR="00E6083A" w:rsidRPr="00E6083A" w:rsidRDefault="00C94861" w:rsidP="00E6083A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Practice Direction</w:t>
      </w:r>
      <w:r w:rsidR="00E6083A" w:rsidRPr="00E6083A">
        <w:rPr>
          <w:rFonts w:ascii="Arial" w:hAnsi="Arial" w:cs="Arial"/>
          <w:sz w:val="24"/>
          <w:szCs w:val="24"/>
          <w:lang w:val="en-US"/>
        </w:rPr>
        <w:t xml:space="preserve"> 61</w:t>
      </w:r>
    </w:p>
    <w:p w:rsidR="00E6083A" w:rsidRPr="00E6083A" w:rsidRDefault="00E6083A" w:rsidP="00E6083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6083A">
        <w:rPr>
          <w:rFonts w:ascii="Arial" w:hAnsi="Arial" w:cs="Arial"/>
          <w:b/>
          <w:sz w:val="24"/>
          <w:szCs w:val="24"/>
          <w:lang w:val="en-US"/>
        </w:rPr>
        <w:t>IN THE HIGH COURT OF NAMIBIA</w:t>
      </w:r>
    </w:p>
    <w:p w:rsidR="00E6083A" w:rsidRPr="00E6083A" w:rsidRDefault="00E6083A" w:rsidP="00E6083A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E6083A" w:rsidRPr="00E6083A" w:rsidTr="006E4D22">
        <w:tc>
          <w:tcPr>
            <w:tcW w:w="4950" w:type="dxa"/>
            <w:vMerge w:val="restart"/>
          </w:tcPr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E6083A" w:rsidRDefault="00E6083A" w:rsidP="00E6083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Agricultural Bank of Namibia Limited v</w:t>
            </w:r>
            <w:r w:rsidRPr="00E6083A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Frans Gaoseb</w:t>
            </w:r>
          </w:p>
        </w:tc>
        <w:tc>
          <w:tcPr>
            <w:tcW w:w="5130" w:type="dxa"/>
          </w:tcPr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Case No.: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HC-MD-CIV-ACT-CONT-2018/03546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083A" w:rsidRPr="00E6083A" w:rsidTr="006E4D22">
        <w:tc>
          <w:tcPr>
            <w:tcW w:w="4950" w:type="dxa"/>
            <w:vMerge/>
          </w:tcPr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Division of Court</w:t>
            </w: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>High Court (Main Division)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083A" w:rsidRPr="00E6083A" w:rsidTr="006E4D22">
        <w:tc>
          <w:tcPr>
            <w:tcW w:w="4950" w:type="dxa"/>
            <w:vMerge w:val="restart"/>
          </w:tcPr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Heard/tried before: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>Honourable Mr</w:t>
            </w:r>
            <w:r w:rsidR="003B6B15">
              <w:rPr>
                <w:rFonts w:ascii="Arial" w:hAnsi="Arial" w:cs="Arial"/>
                <w:sz w:val="24"/>
                <w:szCs w:val="24"/>
                <w:lang w:val="en-US"/>
              </w:rPr>
              <w:t xml:space="preserve">. Justice Usiku </w:t>
            </w:r>
          </w:p>
        </w:tc>
        <w:tc>
          <w:tcPr>
            <w:tcW w:w="5130" w:type="dxa"/>
          </w:tcPr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of hearing: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 April 2019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083A" w:rsidRPr="00E6083A" w:rsidTr="006E4D22">
        <w:tc>
          <w:tcPr>
            <w:tcW w:w="4950" w:type="dxa"/>
            <w:vMerge/>
          </w:tcPr>
          <w:p w:rsidR="00E6083A" w:rsidRPr="00E6083A" w:rsidRDefault="00E6083A" w:rsidP="00E6083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Delivered on: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 April 2019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6083A" w:rsidRPr="00E6083A" w:rsidTr="006E4D22">
        <w:tc>
          <w:tcPr>
            <w:tcW w:w="10080" w:type="dxa"/>
            <w:gridSpan w:val="2"/>
          </w:tcPr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Agricultural Bank of Namibia Limited</w:t>
            </w:r>
            <w:r w:rsidRPr="00E6083A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3B6B1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Gaoseb</w:t>
            </w:r>
            <w:r w:rsidRPr="00E6083A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(HC-MD-CIV-ACT-CONT-2018/03546</w:t>
            </w:r>
            <w:r w:rsidR="003B6B15">
              <w:rPr>
                <w:rFonts w:ascii="Arial" w:hAnsi="Arial" w:cs="Arial"/>
                <w:sz w:val="24"/>
                <w:szCs w:val="24"/>
                <w:lang w:val="en-US"/>
              </w:rPr>
              <w:t xml:space="preserve">) [2019] NACHMD </w:t>
            </w:r>
            <w:r w:rsidR="009958B6"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08 April 2019</w:t>
            </w: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E6083A" w:rsidRPr="00E6083A" w:rsidRDefault="00E6083A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083A" w:rsidRPr="00E6083A" w:rsidTr="006E4D22">
        <w:tc>
          <w:tcPr>
            <w:tcW w:w="10080" w:type="dxa"/>
            <w:gridSpan w:val="2"/>
          </w:tcPr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6083A" w:rsidRPr="00E6083A" w:rsidRDefault="00E6083A" w:rsidP="00E6083A">
            <w:pPr>
              <w:tabs>
                <w:tab w:val="left" w:pos="68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The Order: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 xml:space="preserve">Having heard </w:t>
            </w:r>
            <w:r w:rsidR="005D791D">
              <w:rPr>
                <w:rFonts w:ascii="Arial" w:hAnsi="Arial" w:cs="Arial"/>
                <w:b/>
                <w:sz w:val="24"/>
                <w:szCs w:val="24"/>
                <w:lang w:val="en-US"/>
              </w:rPr>
              <w:t>Ms Janke</w:t>
            </w: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 xml:space="preserve"> on behalf of the Plaintiff and having read documents filed of record:</w:t>
            </w: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083A" w:rsidRPr="00E6083A" w:rsidRDefault="00E6083A" w:rsidP="00E608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IT IS ORDERED THAT:</w:t>
            </w:r>
          </w:p>
          <w:p w:rsidR="00E6083A" w:rsidRDefault="006C018D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Judg</w:t>
            </w:r>
            <w:r w:rsidR="005D791D">
              <w:rPr>
                <w:rFonts w:ascii="Arial" w:hAnsi="Arial" w:cs="Arial"/>
                <w:sz w:val="24"/>
                <w:szCs w:val="24"/>
                <w:lang w:val="en-US"/>
              </w:rPr>
              <w:t>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nt is granted in favour of the p</w:t>
            </w:r>
            <w:r w:rsidR="005D791D">
              <w:rPr>
                <w:rFonts w:ascii="Arial" w:hAnsi="Arial" w:cs="Arial"/>
                <w:sz w:val="24"/>
                <w:szCs w:val="24"/>
                <w:lang w:val="en-US"/>
              </w:rPr>
              <w:t>laintiff against the defendant, in the following terms:</w:t>
            </w:r>
          </w:p>
          <w:p w:rsidR="00FA5B14" w:rsidRPr="00E6083A" w:rsidRDefault="00FA5B14" w:rsidP="00E6083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791D" w:rsidRDefault="00E6083A" w:rsidP="005D791D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FA5B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5D791D">
              <w:rPr>
                <w:rFonts w:ascii="Arial" w:hAnsi="Arial" w:cs="Arial"/>
                <w:sz w:val="24"/>
                <w:szCs w:val="24"/>
                <w:lang w:val="en-US"/>
              </w:rPr>
              <w:t>ayment in the amount of N$ 76,015.89;</w:t>
            </w:r>
          </w:p>
          <w:p w:rsidR="005D791D" w:rsidRDefault="00FA5B14" w:rsidP="005D791D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I</w:t>
            </w:r>
            <w:r w:rsidR="005D791D">
              <w:rPr>
                <w:rFonts w:ascii="Arial" w:hAnsi="Arial" w:cs="Arial"/>
                <w:sz w:val="24"/>
                <w:szCs w:val="24"/>
                <w:lang w:val="en-US"/>
              </w:rPr>
              <w:t xml:space="preserve">nterest at the rate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of 6% calculated on N$ 75,505.89 as from 31 August 2018 to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date of payment calculated at the end of each month and added to the interest-bearing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sum(s);</w:t>
            </w:r>
          </w:p>
          <w:p w:rsidR="00FA5B14" w:rsidRDefault="00FA5B14" w:rsidP="00FA5B14">
            <w:pPr>
              <w:tabs>
                <w:tab w:val="left" w:pos="432"/>
              </w:tabs>
              <w:spacing w:line="360" w:lineRule="auto"/>
              <w:ind w:left="432" w:hanging="43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The court makes no order as to costs.</w:t>
            </w:r>
          </w:p>
          <w:p w:rsidR="00FA5B14" w:rsidRPr="00E6083A" w:rsidRDefault="00FA5B14" w:rsidP="005D791D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The matter is removed from the roll and regarded finalised.</w:t>
            </w:r>
          </w:p>
          <w:p w:rsidR="00E6083A" w:rsidRPr="00E6083A" w:rsidRDefault="00E6083A" w:rsidP="00E6083A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083A" w:rsidRPr="00E6083A" w:rsidTr="006E4D22">
        <w:tc>
          <w:tcPr>
            <w:tcW w:w="10080" w:type="dxa"/>
            <w:gridSpan w:val="2"/>
          </w:tcPr>
          <w:p w:rsidR="00E6083A" w:rsidRPr="00E6083A" w:rsidRDefault="00E6083A" w:rsidP="00FA5B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Reason</w:t>
            </w:r>
            <w:r w:rsidR="009C102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s: </w:t>
            </w: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C102E">
              <w:rPr>
                <w:rFonts w:ascii="Arial" w:hAnsi="Arial" w:cs="Arial"/>
                <w:b/>
                <w:sz w:val="24"/>
                <w:szCs w:val="24"/>
                <w:lang w:val="en-US"/>
              </w:rPr>
              <w:t>Practice Direction</w:t>
            </w:r>
            <w:r w:rsidR="008E1F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61(9)</w:t>
            </w:r>
          </w:p>
          <w:p w:rsidR="00E6083A" w:rsidRPr="00E6083A" w:rsidRDefault="00E6083A" w:rsidP="00E6083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6083A" w:rsidRPr="00E6083A" w:rsidTr="006E4D22">
        <w:tc>
          <w:tcPr>
            <w:tcW w:w="10080" w:type="dxa"/>
            <w:gridSpan w:val="2"/>
          </w:tcPr>
          <w:p w:rsidR="00E6083A" w:rsidRPr="00E6083A" w:rsidRDefault="00E6083A" w:rsidP="00E608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E6083A" w:rsidRPr="00E6083A" w:rsidRDefault="00E6083A" w:rsidP="00E6083A">
            <w:pPr>
              <w:tabs>
                <w:tab w:val="left" w:pos="70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E6083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Introduction</w:t>
            </w:r>
          </w:p>
          <w:p w:rsidR="00E6083A" w:rsidRPr="00E6083A" w:rsidRDefault="00E6083A" w:rsidP="00E608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083A" w:rsidRDefault="00E6083A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>[1]</w:t>
            </w: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8E1F23">
              <w:rPr>
                <w:rFonts w:ascii="Arial" w:hAnsi="Arial" w:cs="Arial"/>
                <w:sz w:val="24"/>
                <w:szCs w:val="24"/>
                <w:lang w:val="en-US"/>
              </w:rPr>
              <w:t>This is an application by plaintiff, against the defendant, for summary judgment.  The plaintiff seeks for an order in the following terms:</w:t>
            </w:r>
          </w:p>
          <w:p w:rsidR="008E1F23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‘1.  Payment in the amount of 76, 015.89;</w:t>
            </w:r>
          </w:p>
          <w:p w:rsidR="008E1F23" w:rsidRDefault="009C102E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  I</w:t>
            </w:r>
            <w:r w:rsidR="008E1F23">
              <w:rPr>
                <w:rFonts w:ascii="Arial" w:hAnsi="Arial" w:cs="Arial"/>
                <w:lang w:val="en-US"/>
              </w:rPr>
              <w:t>nterest thereon at the rate of 6 % on N$ 75 505.89 as from 31 August 2018 to date of payment calculated at the end of each month and added to the interest-bearing sum(s);</w:t>
            </w:r>
          </w:p>
          <w:p w:rsidR="008E1F23" w:rsidRDefault="009C102E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  <w:r w:rsidR="008E1F23">
              <w:rPr>
                <w:rFonts w:ascii="Arial" w:hAnsi="Arial" w:cs="Arial"/>
                <w:lang w:val="en-US"/>
              </w:rPr>
              <w:t>An order in terms whereof the immovable property:</w:t>
            </w:r>
          </w:p>
          <w:p w:rsidR="008E1F23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CERTAIN: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>ERF NO. 535, USAB</w:t>
            </w:r>
          </w:p>
          <w:p w:rsidR="008E1F23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SITUATE:</w:t>
            </w:r>
            <w:r>
              <w:rPr>
                <w:rFonts w:ascii="Arial" w:hAnsi="Arial" w:cs="Arial"/>
                <w:lang w:val="en-US"/>
              </w:rPr>
              <w:tab/>
            </w:r>
            <w:r w:rsidR="006C018D">
              <w:rPr>
                <w:rFonts w:ascii="Arial" w:hAnsi="Arial" w:cs="Arial"/>
                <w:lang w:val="en-US"/>
              </w:rPr>
              <w:tab/>
              <w:t>IN THE MUNICIPALITY OF KARIBIB</w:t>
            </w:r>
          </w:p>
          <w:p w:rsidR="008E1F23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>REGISTRATION DIVISION “H”</w:t>
            </w:r>
          </w:p>
          <w:p w:rsidR="008E1F23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>ERONG</w:t>
            </w:r>
            <w:r w:rsidR="009C102E"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lang w:val="en-US"/>
              </w:rPr>
              <w:t xml:space="preserve"> REGION</w:t>
            </w:r>
          </w:p>
          <w:p w:rsidR="008E1F23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MEASURING:</w:t>
            </w:r>
            <w:r>
              <w:rPr>
                <w:rFonts w:ascii="Arial" w:hAnsi="Arial" w:cs="Arial"/>
                <w:lang w:val="en-US"/>
              </w:rPr>
              <w:tab/>
              <w:t>262 (TWO SIX TWO) SQUARE METERS</w:t>
            </w:r>
          </w:p>
          <w:p w:rsidR="008E1F23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HELD BY: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 xml:space="preserve">DEED OF TRANSFER NO. </w:t>
            </w:r>
            <w:r w:rsidR="006C018D">
              <w:rPr>
                <w:rFonts w:ascii="Arial" w:hAnsi="Arial" w:cs="Arial"/>
                <w:lang w:val="en-US"/>
              </w:rPr>
              <w:t>T4470/1991</w:t>
            </w:r>
          </w:p>
          <w:p w:rsidR="008E1F23" w:rsidRDefault="006C018D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8E1F23">
              <w:rPr>
                <w:rFonts w:ascii="Arial" w:hAnsi="Arial" w:cs="Arial"/>
                <w:lang w:val="en-US"/>
              </w:rPr>
              <w:t>s declared especially executable as provided for in terms of rule 108(2)</w:t>
            </w:r>
            <w:r w:rsidR="00E075A6">
              <w:rPr>
                <w:rFonts w:ascii="Arial" w:hAnsi="Arial" w:cs="Arial"/>
                <w:lang w:val="en-US"/>
              </w:rPr>
              <w:t>;</w:t>
            </w:r>
          </w:p>
          <w:p w:rsidR="008E1F23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 Costs of suit</w:t>
            </w:r>
            <w:r w:rsidR="009C102E">
              <w:rPr>
                <w:rFonts w:ascii="Arial" w:hAnsi="Arial" w:cs="Arial"/>
                <w:lang w:val="en-US"/>
              </w:rPr>
              <w:t>;</w:t>
            </w:r>
          </w:p>
          <w:p w:rsidR="008E1F23" w:rsidRDefault="00651B39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 Further</w:t>
            </w:r>
            <w:r w:rsidR="009C102E">
              <w:rPr>
                <w:rFonts w:ascii="Arial" w:hAnsi="Arial" w:cs="Arial"/>
                <w:lang w:val="en-US"/>
              </w:rPr>
              <w:t xml:space="preserve"> and/or alternative.’</w:t>
            </w:r>
          </w:p>
          <w:p w:rsidR="008E1F23" w:rsidRPr="00E6083A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8E1F23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</w:t>
            </w:r>
            <w:r w:rsidR="00E6083A" w:rsidRPr="00E6083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  <w:r w:rsidR="00E6083A" w:rsidRPr="00E6083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By court order dated the 6</w:t>
            </w:r>
            <w:r w:rsidRPr="008E1F23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November 2018, the defendant was directed </w:t>
            </w:r>
            <w:r w:rsidR="00901CA9">
              <w:rPr>
                <w:rFonts w:ascii="Arial" w:hAnsi="Arial" w:cs="Arial"/>
                <w:sz w:val="24"/>
                <w:szCs w:val="24"/>
                <w:lang w:val="en-US"/>
              </w:rPr>
              <w:t>file an opposing affidavit, (or give security to the plaintiff), if any, on or before 15 February 2019.  The defendant did not do so and is</w:t>
            </w:r>
            <w:r w:rsidR="00331319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901CA9">
              <w:rPr>
                <w:rFonts w:ascii="Arial" w:hAnsi="Arial" w:cs="Arial"/>
                <w:sz w:val="24"/>
                <w:szCs w:val="24"/>
                <w:lang w:val="en-US"/>
              </w:rPr>
              <w:t xml:space="preserve"> therefore</w:t>
            </w:r>
            <w:r w:rsidR="00331319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901C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01CA9" w:rsidRPr="00901CA9">
              <w:rPr>
                <w:rFonts w:ascii="Arial" w:hAnsi="Arial" w:cs="Arial"/>
                <w:i/>
                <w:sz w:val="24"/>
                <w:szCs w:val="24"/>
                <w:lang w:val="en-US"/>
              </w:rPr>
              <w:t>ipso facto</w:t>
            </w:r>
            <w:r w:rsidR="00901CA9">
              <w:rPr>
                <w:rFonts w:ascii="Arial" w:hAnsi="Arial" w:cs="Arial"/>
                <w:sz w:val="24"/>
                <w:szCs w:val="24"/>
                <w:lang w:val="en-US"/>
              </w:rPr>
              <w:t xml:space="preserve"> barred in terms of rule 54(3). The defendant has not filed any application for condonation and/or for uplifting of the automatic bar.  Therefore</w:t>
            </w:r>
            <w:r w:rsidR="00331319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901CA9">
              <w:rPr>
                <w:rFonts w:ascii="Arial" w:hAnsi="Arial" w:cs="Arial"/>
                <w:sz w:val="24"/>
                <w:szCs w:val="24"/>
                <w:lang w:val="en-US"/>
              </w:rPr>
              <w:t xml:space="preserve"> the application for summary judgment proceeds on an unopposed basis.</w:t>
            </w:r>
          </w:p>
          <w:p w:rsidR="00901CA9" w:rsidRDefault="00901CA9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1CA9" w:rsidRPr="007C58DC" w:rsidRDefault="00901CA9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7C58D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Cause of action </w:t>
            </w:r>
          </w:p>
          <w:p w:rsidR="008E1F23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E1F23" w:rsidRDefault="00901CA9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[3]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The plaintiff’s cause of action is based on a written loan agreement dated 24 June 2005 entered into between the plaintiff and the defendant, in terms of which the plaintiff lent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and adv</w:t>
            </w:r>
            <w:r w:rsidR="003B6B15">
              <w:rPr>
                <w:rFonts w:ascii="Arial" w:hAnsi="Arial" w:cs="Arial"/>
                <w:sz w:val="24"/>
                <w:szCs w:val="24"/>
                <w:lang w:val="en-US"/>
              </w:rPr>
              <w:t>anced the amount of N$ 41 600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defendant.  A certain Petrus Rebebe (not a party to the proceedings) bound himself as surety and co-principal debtor for the due payment of the aforesaid sum and interest thereon, and executed a deed of suretyship on 24 June 2005.  Petrus Rebebe also executed a surety </w:t>
            </w:r>
            <w:r w:rsidR="007C58DC">
              <w:rPr>
                <w:rFonts w:ascii="Arial" w:hAnsi="Arial" w:cs="Arial"/>
                <w:sz w:val="24"/>
                <w:szCs w:val="24"/>
                <w:lang w:val="en-US"/>
              </w:rPr>
              <w:t>mortgage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bond in favour of the plaintiff, providing as security for the payment of the debt, certain Erf No. 535, Usab, situated</w:t>
            </w:r>
            <w:r w:rsidR="00E65FD9"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Municipality of Karibib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in the event </w:t>
            </w:r>
            <w:r w:rsidR="00292E0A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principal debtor failing to fulfil any of the obligations under the principal debt.</w:t>
            </w:r>
          </w:p>
          <w:p w:rsidR="00901CA9" w:rsidRDefault="00901CA9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1CA9" w:rsidRDefault="00901CA9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[4]</w:t>
            </w:r>
            <w:r w:rsidR="00AB1898">
              <w:rPr>
                <w:rFonts w:ascii="Arial" w:hAnsi="Arial" w:cs="Arial"/>
                <w:sz w:val="24"/>
                <w:szCs w:val="24"/>
                <w:lang w:val="en-US"/>
              </w:rPr>
              <w:tab/>
              <w:t>Deed of Transfer No. T4470/1991 is att</w:t>
            </w:r>
            <w:r w:rsidR="00E65FD9">
              <w:rPr>
                <w:rFonts w:ascii="Arial" w:hAnsi="Arial" w:cs="Arial"/>
                <w:sz w:val="24"/>
                <w:szCs w:val="24"/>
                <w:lang w:val="en-US"/>
              </w:rPr>
              <w:t>ached</w:t>
            </w:r>
            <w:r w:rsidR="00AB1898"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pleadings</w:t>
            </w:r>
            <w:r w:rsidR="00E65FD9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AB1898">
              <w:rPr>
                <w:rFonts w:ascii="Arial" w:hAnsi="Arial" w:cs="Arial"/>
                <w:sz w:val="24"/>
                <w:szCs w:val="24"/>
                <w:lang w:val="en-US"/>
              </w:rPr>
              <w:t xml:space="preserve"> confirming that Petrus Rebebe is the own</w:t>
            </w:r>
            <w:r w:rsidR="00E65FD9">
              <w:rPr>
                <w:rFonts w:ascii="Arial" w:hAnsi="Arial" w:cs="Arial"/>
                <w:sz w:val="24"/>
                <w:szCs w:val="24"/>
                <w:lang w:val="en-US"/>
              </w:rPr>
              <w:t>er of Erf No. 535 Usab, Karibib</w:t>
            </w:r>
            <w:r w:rsidR="00AB189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AB1898" w:rsidRDefault="00AB189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B1898" w:rsidRPr="007C58DC" w:rsidRDefault="00AB189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7C58D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The application for summary judgment</w:t>
            </w:r>
          </w:p>
          <w:p w:rsidR="00AB1898" w:rsidRDefault="00AB189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B1898" w:rsidRDefault="00AB189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[5]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The application for summary judgment appears</w:t>
            </w:r>
            <w:r w:rsidR="00E75079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prima facie, to fall within the ambit of summary judgment proceedings, in terms of rule 60.</w:t>
            </w:r>
          </w:p>
          <w:p w:rsidR="00AB1898" w:rsidRDefault="00AB189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B1898" w:rsidRDefault="00AB189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[6]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As was stated earlier, the defendant did not file an opposing affidavit to the application, and in my opinion, the plaintiff is entitled to the relief in terms of prayer</w:t>
            </w:r>
            <w:r w:rsidR="003B6B1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 and 2 as set out under para [1] hereof.</w:t>
            </w:r>
          </w:p>
          <w:p w:rsidR="00AB1898" w:rsidRDefault="00AB189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B1898" w:rsidRDefault="00AB189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[7]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As regards the relief set out under prayer 3, as appears under para [1] hereof, the plaintiff is clearly not entitled to such relief. The surety (Petrus Rebebe) is not a party to the present proceedings and has not been afforded any opportunity to answer to the allegations, conc</w:t>
            </w:r>
            <w:r w:rsidR="003B6B15">
              <w:rPr>
                <w:rFonts w:ascii="Arial" w:hAnsi="Arial" w:cs="Arial"/>
                <w:sz w:val="24"/>
                <w:szCs w:val="24"/>
                <w:lang w:val="en-US"/>
              </w:rPr>
              <w:t xml:space="preserve">erning his immovable property.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 relief claimed by the plaintiff to have the immov</w:t>
            </w:r>
            <w:r w:rsidR="0021622A">
              <w:rPr>
                <w:rFonts w:ascii="Arial" w:hAnsi="Arial" w:cs="Arial"/>
                <w:sz w:val="24"/>
                <w:szCs w:val="24"/>
                <w:lang w:val="en-US"/>
              </w:rPr>
              <w:t>able property of Petrus Rebebe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declared specially </w:t>
            </w:r>
            <w:r w:rsidR="0021622A">
              <w:rPr>
                <w:rFonts w:ascii="Arial" w:hAnsi="Arial" w:cs="Arial"/>
                <w:sz w:val="24"/>
                <w:szCs w:val="24"/>
                <w:lang w:val="en-US"/>
              </w:rPr>
              <w:t>executable obviously violates 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 fundamental principle of justice, which </w:t>
            </w:r>
            <w:r w:rsidR="0003669F">
              <w:rPr>
                <w:rFonts w:ascii="Arial" w:hAnsi="Arial" w:cs="Arial"/>
                <w:sz w:val="24"/>
                <w:szCs w:val="24"/>
                <w:lang w:val="en-US"/>
              </w:rPr>
              <w:t>requires that a person who has substantial interest in the outcome of a matter before court or whose rights may be affected by an order sought, must be afforded opportunity to be hear</w:t>
            </w:r>
            <w:r w:rsidR="0021622A">
              <w:rPr>
                <w:rFonts w:ascii="Arial" w:hAnsi="Arial" w:cs="Arial"/>
                <w:sz w:val="24"/>
                <w:szCs w:val="24"/>
                <w:lang w:val="en-US"/>
              </w:rPr>
              <w:t>d before such relief is granted.</w:t>
            </w:r>
          </w:p>
          <w:p w:rsidR="00BE77C8" w:rsidRDefault="00BE77C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E77C8" w:rsidRDefault="00BE77C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[8]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For seek</w:t>
            </w:r>
            <w:r w:rsidR="0021622A">
              <w:rPr>
                <w:rFonts w:ascii="Arial" w:hAnsi="Arial" w:cs="Arial"/>
                <w:sz w:val="24"/>
                <w:szCs w:val="24"/>
                <w:lang w:val="en-US"/>
              </w:rPr>
              <w:t>ing to violate a tenet, so basic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principle of justice, I am inclined to believe that this is an appropriate matter to deny the plaintiff the costs of suit in this matter.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This step, as drastic as it may seem, is aimed to alert the plain</w:t>
            </w:r>
            <w:r w:rsidR="005F7B3B">
              <w:rPr>
                <w:rFonts w:ascii="Arial" w:hAnsi="Arial" w:cs="Arial"/>
                <w:sz w:val="24"/>
                <w:szCs w:val="24"/>
                <w:lang w:val="en-US"/>
              </w:rPr>
              <w:t>tiff to be cautiou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 when seeking to have other people’s immovable property</w:t>
            </w:r>
            <w:r w:rsidR="005F7B3B">
              <w:rPr>
                <w:rFonts w:ascii="Arial" w:hAnsi="Arial" w:cs="Arial"/>
                <w:sz w:val="24"/>
                <w:szCs w:val="24"/>
                <w:lang w:val="en-US"/>
              </w:rPr>
              <w:t xml:space="preserve"> declared spec</w:t>
            </w:r>
            <w:r w:rsidR="00B1261A">
              <w:rPr>
                <w:rFonts w:ascii="Arial" w:hAnsi="Arial" w:cs="Arial"/>
                <w:sz w:val="24"/>
                <w:szCs w:val="24"/>
                <w:lang w:val="en-US"/>
              </w:rPr>
              <w:t>ially executable and to first assure itself in advance that it is indeed entitled to the order it seeks to obtain.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I shall, therefore, make no order as to costs in the present matter.</w:t>
            </w:r>
          </w:p>
          <w:p w:rsidR="00BE77C8" w:rsidRDefault="00BE77C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E77C8" w:rsidRDefault="00BE77C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[9]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In the result I make the following order :</w:t>
            </w:r>
          </w:p>
          <w:p w:rsidR="00BE77C8" w:rsidRDefault="00BE77C8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3599E" w:rsidRDefault="00B82B01" w:rsidP="0033599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Judg</w:t>
            </w:r>
            <w:r w:rsidR="0033599E">
              <w:rPr>
                <w:rFonts w:ascii="Arial" w:hAnsi="Arial" w:cs="Arial"/>
                <w:sz w:val="24"/>
                <w:szCs w:val="24"/>
                <w:lang w:val="en-US"/>
              </w:rPr>
              <w:t>ment is granted in favour of the Plaintiff against the defendant, in the following terms:</w:t>
            </w:r>
          </w:p>
          <w:p w:rsidR="0033599E" w:rsidRPr="00E6083A" w:rsidRDefault="0033599E" w:rsidP="0033599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3599E" w:rsidRDefault="0033599E" w:rsidP="0033599E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Payment in the amount of N$ 76,015.89;</w:t>
            </w:r>
          </w:p>
          <w:p w:rsidR="0033599E" w:rsidRDefault="0033599E" w:rsidP="0033599E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Interest at the rate of 6% calculated on N$ 75,505.89 as from 31 August 2018 to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date of payment calculated at the end of each month and added to the interest-bearing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sum(s);</w:t>
            </w:r>
          </w:p>
          <w:p w:rsidR="0033599E" w:rsidRDefault="0033599E" w:rsidP="0033599E">
            <w:pPr>
              <w:tabs>
                <w:tab w:val="left" w:pos="432"/>
              </w:tabs>
              <w:spacing w:line="360" w:lineRule="auto"/>
              <w:ind w:left="432" w:hanging="43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The court makes no order as to costs.</w:t>
            </w:r>
          </w:p>
          <w:p w:rsidR="0033599E" w:rsidRPr="00E6083A" w:rsidRDefault="0033599E" w:rsidP="0033599E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The matter is removed from the roll and regarded finalised.</w:t>
            </w:r>
          </w:p>
          <w:p w:rsidR="008E1F23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E1F23" w:rsidRPr="00E6083A" w:rsidRDefault="008E1F23" w:rsidP="005D791D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083A" w:rsidRPr="00E6083A" w:rsidTr="006E4D22">
        <w:tc>
          <w:tcPr>
            <w:tcW w:w="4950" w:type="dxa"/>
          </w:tcPr>
          <w:p w:rsidR="00E6083A" w:rsidRPr="00E6083A" w:rsidRDefault="00E6083A" w:rsidP="00E6083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ab/>
              <w:t>Judge’s signature</w:t>
            </w:r>
          </w:p>
          <w:p w:rsidR="00E6083A" w:rsidRPr="00E6083A" w:rsidRDefault="00E6083A" w:rsidP="00E6083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E6083A" w:rsidRPr="00E6083A" w:rsidRDefault="00E6083A" w:rsidP="00E6083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Note to the parties:</w:t>
            </w:r>
          </w:p>
        </w:tc>
      </w:tr>
      <w:tr w:rsidR="00E6083A" w:rsidRPr="00E6083A" w:rsidTr="006E4D22">
        <w:tc>
          <w:tcPr>
            <w:tcW w:w="4950" w:type="dxa"/>
          </w:tcPr>
          <w:p w:rsidR="00E6083A" w:rsidRPr="00E6083A" w:rsidRDefault="00E6083A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083A" w:rsidRPr="00E6083A" w:rsidRDefault="00E6083A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083A" w:rsidRPr="00E6083A" w:rsidRDefault="00E6083A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083A" w:rsidRPr="00E6083A" w:rsidRDefault="00E6083A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E6083A" w:rsidRPr="00E6083A" w:rsidRDefault="00E6083A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 xml:space="preserve">Not applicable </w:t>
            </w:r>
          </w:p>
        </w:tc>
      </w:tr>
      <w:tr w:rsidR="00E6083A" w:rsidRPr="00E6083A" w:rsidTr="006E4D22">
        <w:tc>
          <w:tcPr>
            <w:tcW w:w="10080" w:type="dxa"/>
            <w:gridSpan w:val="2"/>
          </w:tcPr>
          <w:p w:rsidR="00E6083A" w:rsidRPr="00E6083A" w:rsidRDefault="00E6083A" w:rsidP="00E608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Counsel:</w:t>
            </w:r>
          </w:p>
        </w:tc>
      </w:tr>
      <w:tr w:rsidR="00E6083A" w:rsidRPr="00E6083A" w:rsidTr="006E4D22">
        <w:tc>
          <w:tcPr>
            <w:tcW w:w="4950" w:type="dxa"/>
          </w:tcPr>
          <w:p w:rsidR="00E6083A" w:rsidRPr="00E6083A" w:rsidRDefault="00E6083A" w:rsidP="00E6083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b/>
                <w:sz w:val="24"/>
                <w:szCs w:val="24"/>
                <w:lang w:val="en-US"/>
              </w:rPr>
              <w:t>Applicant</w:t>
            </w:r>
          </w:p>
        </w:tc>
        <w:tc>
          <w:tcPr>
            <w:tcW w:w="5130" w:type="dxa"/>
          </w:tcPr>
          <w:p w:rsidR="00E6083A" w:rsidRPr="00E6083A" w:rsidRDefault="00B82B01" w:rsidP="00E6083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Defendant</w:t>
            </w:r>
          </w:p>
          <w:p w:rsidR="00E6083A" w:rsidRPr="00E6083A" w:rsidRDefault="00E6083A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083A" w:rsidRPr="00E6083A" w:rsidTr="006E4D22">
        <w:tc>
          <w:tcPr>
            <w:tcW w:w="4950" w:type="dxa"/>
          </w:tcPr>
          <w:p w:rsidR="00E6083A" w:rsidRPr="00E6083A" w:rsidRDefault="0033599E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J.A Janke</w:t>
            </w:r>
          </w:p>
          <w:p w:rsidR="00E6083A" w:rsidRPr="00E6083A" w:rsidRDefault="00E6083A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083A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="0033599E">
              <w:rPr>
                <w:rFonts w:ascii="Arial" w:hAnsi="Arial" w:cs="Arial"/>
                <w:sz w:val="24"/>
                <w:szCs w:val="24"/>
                <w:lang w:val="en-US"/>
              </w:rPr>
              <w:t xml:space="preserve">Sisa Namadje </w:t>
            </w:r>
            <w:r w:rsidR="008D12DB">
              <w:rPr>
                <w:rFonts w:ascii="Arial" w:hAnsi="Arial" w:cs="Arial"/>
                <w:sz w:val="24"/>
                <w:szCs w:val="24"/>
                <w:lang w:val="en-US"/>
              </w:rPr>
              <w:t>&amp;</w:t>
            </w:r>
            <w:r w:rsidR="003B6B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D12DB">
              <w:rPr>
                <w:rFonts w:ascii="Arial" w:hAnsi="Arial" w:cs="Arial"/>
                <w:sz w:val="24"/>
                <w:szCs w:val="24"/>
                <w:lang w:val="en-US"/>
              </w:rPr>
              <w:t>Co Inc</w:t>
            </w:r>
            <w:r w:rsidR="003B6B15">
              <w:rPr>
                <w:rFonts w:ascii="Arial" w:hAnsi="Arial" w:cs="Arial"/>
                <w:sz w:val="24"/>
                <w:szCs w:val="24"/>
                <w:lang w:val="en-US"/>
              </w:rPr>
              <w:t>, Windhoek</w:t>
            </w:r>
          </w:p>
          <w:p w:rsidR="00E6083A" w:rsidRPr="00E6083A" w:rsidRDefault="00E6083A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083A" w:rsidRPr="00E6083A" w:rsidRDefault="00E6083A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083A" w:rsidRPr="00E6083A" w:rsidRDefault="00E6083A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E6083A" w:rsidRPr="00E6083A" w:rsidRDefault="00B82B01" w:rsidP="00E60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r w:rsidR="003B6B15">
              <w:rPr>
                <w:rFonts w:ascii="Arial" w:hAnsi="Arial" w:cs="Arial"/>
                <w:sz w:val="24"/>
                <w:szCs w:val="24"/>
                <w:lang w:val="en-US"/>
              </w:rPr>
              <w:t>appearance</w:t>
            </w:r>
            <w:r w:rsidR="008D12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23B3B" w:rsidRDefault="00923B3B" w:rsidP="00AF5FE7">
      <w:bookmarkStart w:id="0" w:name="_GoBack"/>
      <w:bookmarkEnd w:id="0"/>
    </w:p>
    <w:sectPr w:rsidR="00923B3B" w:rsidSect="000F149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91" w:rsidRDefault="00F26991" w:rsidP="00E6083A">
      <w:pPr>
        <w:spacing w:after="0" w:line="240" w:lineRule="auto"/>
      </w:pPr>
      <w:r>
        <w:separator/>
      </w:r>
    </w:p>
  </w:endnote>
  <w:endnote w:type="continuationSeparator" w:id="0">
    <w:p w:rsidR="00F26991" w:rsidRDefault="00F26991" w:rsidP="00E6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91" w:rsidRDefault="00F26991" w:rsidP="00E6083A">
      <w:pPr>
        <w:spacing w:after="0" w:line="240" w:lineRule="auto"/>
      </w:pPr>
      <w:r>
        <w:separator/>
      </w:r>
    </w:p>
  </w:footnote>
  <w:footnote w:type="continuationSeparator" w:id="0">
    <w:p w:rsidR="00F26991" w:rsidRDefault="00F26991" w:rsidP="00E6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879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23B0" w:rsidRDefault="00AB58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F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23B0" w:rsidRDefault="00F2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3A"/>
    <w:rsid w:val="0003669F"/>
    <w:rsid w:val="0021622A"/>
    <w:rsid w:val="00292E0A"/>
    <w:rsid w:val="00331319"/>
    <w:rsid w:val="0033599E"/>
    <w:rsid w:val="003B6B15"/>
    <w:rsid w:val="00512236"/>
    <w:rsid w:val="005D791D"/>
    <w:rsid w:val="005F7B3B"/>
    <w:rsid w:val="00651B39"/>
    <w:rsid w:val="006C018D"/>
    <w:rsid w:val="007C58DC"/>
    <w:rsid w:val="008D12DB"/>
    <w:rsid w:val="008E1F23"/>
    <w:rsid w:val="00901CA9"/>
    <w:rsid w:val="00923B3B"/>
    <w:rsid w:val="00961333"/>
    <w:rsid w:val="009958B6"/>
    <w:rsid w:val="009C102E"/>
    <w:rsid w:val="00AB1898"/>
    <w:rsid w:val="00AB5811"/>
    <w:rsid w:val="00AF5FE7"/>
    <w:rsid w:val="00B1261A"/>
    <w:rsid w:val="00B82B01"/>
    <w:rsid w:val="00BE77C8"/>
    <w:rsid w:val="00C94861"/>
    <w:rsid w:val="00CE293A"/>
    <w:rsid w:val="00E075A6"/>
    <w:rsid w:val="00E6083A"/>
    <w:rsid w:val="00E65FD9"/>
    <w:rsid w:val="00E75079"/>
    <w:rsid w:val="00EF1697"/>
    <w:rsid w:val="00F26991"/>
    <w:rsid w:val="00F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29AB8-3AB0-4282-9FAC-18B2FC11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83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083A"/>
  </w:style>
  <w:style w:type="paragraph" w:styleId="FootnoteText">
    <w:name w:val="footnote text"/>
    <w:basedOn w:val="Normal"/>
    <w:link w:val="FootnoteTextChar"/>
    <w:uiPriority w:val="99"/>
    <w:semiHidden/>
    <w:unhideWhenUsed/>
    <w:rsid w:val="00E608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83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08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8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2019-04-07T18:30:00+00:00</Judgment_x0020_Date>
    <Year xmlns="c1afb1bd-f2fb-40fd-9abb-aea55b4d7662">2019</Year>
  </documentManagement>
</p:properties>
</file>

<file path=customXml/itemProps1.xml><?xml version="1.0" encoding="utf-8"?>
<ds:datastoreItem xmlns:ds="http://schemas.openxmlformats.org/officeDocument/2006/customXml" ds:itemID="{1B9078C9-27EC-478C-89EB-34B53A329A38}"/>
</file>

<file path=customXml/itemProps2.xml><?xml version="1.0" encoding="utf-8"?>
<ds:datastoreItem xmlns:ds="http://schemas.openxmlformats.org/officeDocument/2006/customXml" ds:itemID="{90790C27-D922-4533-A5C9-C850F72CFA0D}"/>
</file>

<file path=customXml/itemProps3.xml><?xml version="1.0" encoding="utf-8"?>
<ds:datastoreItem xmlns:ds="http://schemas.openxmlformats.org/officeDocument/2006/customXml" ds:itemID="{C111E822-63CE-40AD-8A88-FEE9A7860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Loide Shilongo</dc:creator>
  <cp:keywords/>
  <dc:description/>
  <cp:lastModifiedBy>Lotta N. Ambunda</cp:lastModifiedBy>
  <cp:revision>2</cp:revision>
  <cp:lastPrinted>2019-04-09T12:04:00Z</cp:lastPrinted>
  <dcterms:created xsi:type="dcterms:W3CDTF">2019-04-17T06:51:00Z</dcterms:created>
  <dcterms:modified xsi:type="dcterms:W3CDTF">2019-04-17T06:51:00Z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