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E9F" w:rsidRPr="00001364" w:rsidRDefault="00001364" w:rsidP="00607E9F">
      <w:pPr>
        <w:spacing w:after="0" w:line="360" w:lineRule="auto"/>
        <w:jc w:val="center"/>
        <w:rPr>
          <w:rFonts w:ascii="Arial Narrow" w:hAnsi="Arial Narrow" w:cs="Arial"/>
          <w:sz w:val="24"/>
          <w:szCs w:val="24"/>
        </w:rPr>
      </w:pPr>
      <w:r>
        <w:rPr>
          <w:rFonts w:ascii="Arial Narrow" w:hAnsi="Arial Narrow" w:cs="Arial"/>
          <w:sz w:val="24"/>
          <w:szCs w:val="24"/>
        </w:rPr>
        <w:t>Practice Directive 61</w:t>
      </w:r>
    </w:p>
    <w:p w:rsidR="00607E9F" w:rsidRPr="00001364" w:rsidRDefault="00607E9F" w:rsidP="00607E9F">
      <w:pPr>
        <w:spacing w:after="0" w:line="360" w:lineRule="auto"/>
        <w:jc w:val="center"/>
        <w:rPr>
          <w:rFonts w:ascii="Arial Narrow" w:hAnsi="Arial Narrow" w:cs="Arial"/>
          <w:b/>
          <w:sz w:val="24"/>
          <w:szCs w:val="24"/>
        </w:rPr>
      </w:pPr>
      <w:r w:rsidRPr="00001364">
        <w:rPr>
          <w:rFonts w:ascii="Arial Narrow" w:hAnsi="Arial Narrow" w:cs="Arial"/>
          <w:b/>
          <w:sz w:val="24"/>
          <w:szCs w:val="24"/>
        </w:rPr>
        <w:t>IN THE HIGH COURT OF NAMIBIA</w:t>
      </w:r>
    </w:p>
    <w:p w:rsidR="00607E9F" w:rsidRPr="00001364" w:rsidRDefault="00607E9F" w:rsidP="00607E9F">
      <w:pPr>
        <w:spacing w:after="0" w:line="360" w:lineRule="auto"/>
        <w:jc w:val="both"/>
        <w:rPr>
          <w:rFonts w:ascii="Arial Narrow" w:hAnsi="Arial Narrow" w:cs="Arial"/>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607E9F" w:rsidRPr="00001364" w:rsidTr="00E314C4">
        <w:trPr>
          <w:trHeight w:val="744"/>
        </w:trPr>
        <w:tc>
          <w:tcPr>
            <w:tcW w:w="5397" w:type="dxa"/>
            <w:gridSpan w:val="2"/>
            <w:vMerge w:val="restart"/>
          </w:tcPr>
          <w:p w:rsidR="00607E9F" w:rsidRPr="00001364" w:rsidRDefault="00607E9F" w:rsidP="00E314C4">
            <w:pPr>
              <w:spacing w:line="360" w:lineRule="auto"/>
              <w:jc w:val="both"/>
              <w:rPr>
                <w:rFonts w:ascii="Arial Narrow" w:hAnsi="Arial Narrow" w:cs="Arial"/>
                <w:b/>
                <w:sz w:val="24"/>
                <w:szCs w:val="24"/>
              </w:rPr>
            </w:pPr>
            <w:r w:rsidRPr="00001364">
              <w:rPr>
                <w:rFonts w:ascii="Arial Narrow" w:hAnsi="Arial Narrow" w:cs="Arial"/>
                <w:b/>
                <w:sz w:val="24"/>
                <w:szCs w:val="24"/>
              </w:rPr>
              <w:t>Case Title:</w:t>
            </w:r>
          </w:p>
          <w:p w:rsidR="00607E9F" w:rsidRPr="00976F1F" w:rsidRDefault="00D1047E" w:rsidP="00E314C4">
            <w:pPr>
              <w:spacing w:line="360" w:lineRule="auto"/>
              <w:jc w:val="both"/>
              <w:rPr>
                <w:rFonts w:ascii="Arial Narrow" w:hAnsi="Arial Narrow" w:cs="Arial"/>
                <w:sz w:val="24"/>
                <w:szCs w:val="24"/>
              </w:rPr>
            </w:pPr>
            <w:r w:rsidRPr="00001364">
              <w:rPr>
                <w:rFonts w:ascii="Arial Narrow" w:hAnsi="Arial Narrow" w:cs="Arial"/>
                <w:sz w:val="24"/>
                <w:szCs w:val="24"/>
              </w:rPr>
              <w:t>SO</w:t>
            </w:r>
            <w:r w:rsidR="00B61408" w:rsidRPr="00001364">
              <w:rPr>
                <w:rFonts w:ascii="Arial Narrow" w:hAnsi="Arial Narrow" w:cs="Arial"/>
                <w:sz w:val="24"/>
                <w:szCs w:val="24"/>
              </w:rPr>
              <w:t xml:space="preserve">UTH AFRICAN AIRWAYS SOC LIMITED V </w:t>
            </w:r>
            <w:r w:rsidRPr="00001364">
              <w:rPr>
                <w:rFonts w:ascii="Arial Narrow" w:hAnsi="Arial Narrow" w:cs="Arial"/>
                <w:sz w:val="24"/>
                <w:szCs w:val="24"/>
              </w:rPr>
              <w:t>JAMES ROBERT CAMM</w:t>
            </w:r>
          </w:p>
        </w:tc>
        <w:tc>
          <w:tcPr>
            <w:tcW w:w="4323" w:type="dxa"/>
          </w:tcPr>
          <w:p w:rsidR="00607E9F" w:rsidRPr="00001364" w:rsidRDefault="00607E9F" w:rsidP="00E314C4">
            <w:pPr>
              <w:spacing w:line="360" w:lineRule="auto"/>
              <w:jc w:val="both"/>
              <w:rPr>
                <w:rFonts w:ascii="Arial Narrow" w:hAnsi="Arial Narrow" w:cs="Arial"/>
                <w:sz w:val="24"/>
                <w:szCs w:val="24"/>
              </w:rPr>
            </w:pPr>
            <w:r w:rsidRPr="00001364">
              <w:rPr>
                <w:rFonts w:ascii="Arial Narrow" w:hAnsi="Arial Narrow" w:cs="Arial"/>
                <w:b/>
                <w:sz w:val="24"/>
                <w:szCs w:val="24"/>
              </w:rPr>
              <w:t>Case No:</w:t>
            </w:r>
          </w:p>
          <w:p w:rsidR="00607E9F" w:rsidRPr="00001364" w:rsidRDefault="00D1047E" w:rsidP="00E314C4">
            <w:pPr>
              <w:spacing w:line="360" w:lineRule="auto"/>
              <w:jc w:val="both"/>
              <w:rPr>
                <w:rFonts w:ascii="Arial Narrow" w:hAnsi="Arial Narrow" w:cs="Arial"/>
                <w:sz w:val="24"/>
                <w:szCs w:val="24"/>
              </w:rPr>
            </w:pPr>
            <w:r w:rsidRPr="00001364">
              <w:rPr>
                <w:rFonts w:ascii="Arial Narrow" w:hAnsi="Arial Narrow" w:cs="Arial"/>
                <w:sz w:val="24"/>
                <w:szCs w:val="24"/>
              </w:rPr>
              <w:t>HC-MD-CIV-ACT-DEL-2016/02479</w:t>
            </w:r>
          </w:p>
        </w:tc>
      </w:tr>
      <w:tr w:rsidR="00607E9F" w:rsidRPr="00001364" w:rsidTr="00E314C4">
        <w:trPr>
          <w:trHeight w:val="844"/>
        </w:trPr>
        <w:tc>
          <w:tcPr>
            <w:tcW w:w="5397" w:type="dxa"/>
            <w:gridSpan w:val="2"/>
            <w:vMerge/>
          </w:tcPr>
          <w:p w:rsidR="00607E9F" w:rsidRPr="00001364" w:rsidRDefault="00607E9F" w:rsidP="00E314C4">
            <w:pPr>
              <w:spacing w:line="360" w:lineRule="auto"/>
              <w:jc w:val="both"/>
              <w:rPr>
                <w:rFonts w:ascii="Arial Narrow" w:hAnsi="Arial Narrow" w:cs="Arial"/>
                <w:sz w:val="24"/>
                <w:szCs w:val="24"/>
              </w:rPr>
            </w:pPr>
          </w:p>
        </w:tc>
        <w:tc>
          <w:tcPr>
            <w:tcW w:w="4323" w:type="dxa"/>
          </w:tcPr>
          <w:p w:rsidR="00607E9F" w:rsidRPr="00001364" w:rsidRDefault="00607E9F" w:rsidP="00E314C4">
            <w:pPr>
              <w:spacing w:line="360" w:lineRule="auto"/>
              <w:jc w:val="both"/>
              <w:rPr>
                <w:rFonts w:ascii="Arial Narrow" w:hAnsi="Arial Narrow" w:cs="Arial"/>
                <w:sz w:val="24"/>
                <w:szCs w:val="24"/>
              </w:rPr>
            </w:pPr>
            <w:r w:rsidRPr="00001364">
              <w:rPr>
                <w:rFonts w:ascii="Arial Narrow" w:hAnsi="Arial Narrow" w:cs="Arial"/>
                <w:b/>
                <w:sz w:val="24"/>
                <w:szCs w:val="24"/>
              </w:rPr>
              <w:t>Division of Court:</w:t>
            </w:r>
          </w:p>
          <w:p w:rsidR="00607E9F" w:rsidRPr="00001364" w:rsidRDefault="00607E9F" w:rsidP="00E314C4">
            <w:pPr>
              <w:spacing w:line="360" w:lineRule="auto"/>
              <w:jc w:val="both"/>
              <w:rPr>
                <w:rFonts w:ascii="Arial Narrow" w:hAnsi="Arial Narrow" w:cs="Arial"/>
                <w:sz w:val="24"/>
                <w:szCs w:val="24"/>
              </w:rPr>
            </w:pPr>
            <w:r w:rsidRPr="00001364">
              <w:rPr>
                <w:rFonts w:ascii="Arial Narrow" w:hAnsi="Arial Narrow" w:cs="Arial"/>
                <w:sz w:val="24"/>
                <w:szCs w:val="24"/>
              </w:rPr>
              <w:t>HIGH COURT(MAIN DIVISION)</w:t>
            </w:r>
          </w:p>
        </w:tc>
      </w:tr>
      <w:tr w:rsidR="00607E9F" w:rsidRPr="00001364" w:rsidTr="00E314C4">
        <w:trPr>
          <w:trHeight w:val="645"/>
        </w:trPr>
        <w:tc>
          <w:tcPr>
            <w:tcW w:w="5397" w:type="dxa"/>
            <w:gridSpan w:val="2"/>
            <w:vMerge w:val="restart"/>
          </w:tcPr>
          <w:p w:rsidR="00607E9F" w:rsidRPr="00001364" w:rsidRDefault="00607E9F" w:rsidP="00E314C4">
            <w:pPr>
              <w:spacing w:line="360" w:lineRule="auto"/>
              <w:jc w:val="both"/>
              <w:rPr>
                <w:rFonts w:ascii="Arial Narrow" w:hAnsi="Arial Narrow" w:cs="Arial"/>
                <w:b/>
                <w:sz w:val="24"/>
                <w:szCs w:val="24"/>
              </w:rPr>
            </w:pPr>
            <w:r w:rsidRPr="00001364">
              <w:rPr>
                <w:rFonts w:ascii="Arial Narrow" w:hAnsi="Arial Narrow" w:cs="Arial"/>
                <w:b/>
                <w:sz w:val="24"/>
                <w:szCs w:val="24"/>
              </w:rPr>
              <w:t>Heard before:</w:t>
            </w:r>
          </w:p>
          <w:p w:rsidR="00607E9F" w:rsidRPr="00001364" w:rsidRDefault="00607E9F" w:rsidP="00E314C4">
            <w:pPr>
              <w:spacing w:line="360" w:lineRule="auto"/>
              <w:jc w:val="both"/>
              <w:rPr>
                <w:rFonts w:ascii="Arial Narrow" w:hAnsi="Arial Narrow" w:cs="Arial"/>
                <w:sz w:val="24"/>
                <w:szCs w:val="24"/>
              </w:rPr>
            </w:pPr>
            <w:r w:rsidRPr="00001364">
              <w:rPr>
                <w:rFonts w:ascii="Arial Narrow" w:hAnsi="Arial Narrow" w:cs="Arial"/>
                <w:sz w:val="24"/>
                <w:szCs w:val="24"/>
              </w:rPr>
              <w:t>HONOURABLE LADY JUSTICE PRINSLOO, JUDGE</w:t>
            </w:r>
          </w:p>
        </w:tc>
        <w:tc>
          <w:tcPr>
            <w:tcW w:w="4323" w:type="dxa"/>
          </w:tcPr>
          <w:p w:rsidR="00607E9F" w:rsidRPr="00001364" w:rsidRDefault="00607E9F" w:rsidP="00E314C4">
            <w:pPr>
              <w:spacing w:line="360" w:lineRule="auto"/>
              <w:jc w:val="both"/>
              <w:rPr>
                <w:rFonts w:ascii="Arial Narrow" w:hAnsi="Arial Narrow" w:cs="Arial"/>
                <w:b/>
                <w:sz w:val="24"/>
                <w:szCs w:val="24"/>
              </w:rPr>
            </w:pPr>
            <w:r w:rsidRPr="00001364">
              <w:rPr>
                <w:rFonts w:ascii="Arial Narrow" w:hAnsi="Arial Narrow" w:cs="Arial"/>
                <w:b/>
                <w:sz w:val="24"/>
                <w:szCs w:val="24"/>
              </w:rPr>
              <w:t>Date of hearing:</w:t>
            </w:r>
          </w:p>
          <w:p w:rsidR="00607E9F" w:rsidRDefault="00D1047E" w:rsidP="00E314C4">
            <w:pPr>
              <w:spacing w:line="360" w:lineRule="auto"/>
              <w:jc w:val="both"/>
              <w:rPr>
                <w:rFonts w:ascii="Arial Narrow" w:hAnsi="Arial Narrow" w:cs="Arial"/>
                <w:sz w:val="24"/>
                <w:szCs w:val="24"/>
              </w:rPr>
            </w:pPr>
            <w:r w:rsidRPr="00001364">
              <w:rPr>
                <w:rFonts w:ascii="Arial Narrow" w:hAnsi="Arial Narrow" w:cs="Arial"/>
                <w:sz w:val="24"/>
                <w:szCs w:val="24"/>
              </w:rPr>
              <w:t>21</w:t>
            </w:r>
            <w:r w:rsidR="00607E9F" w:rsidRPr="00001364">
              <w:rPr>
                <w:rFonts w:ascii="Arial Narrow" w:hAnsi="Arial Narrow" w:cs="Arial"/>
                <w:sz w:val="24"/>
                <w:szCs w:val="24"/>
              </w:rPr>
              <w:t xml:space="preserve"> FEBRUARY 2020</w:t>
            </w:r>
          </w:p>
          <w:p w:rsidR="00976F1F" w:rsidRPr="00976F1F" w:rsidRDefault="007F7CF1" w:rsidP="00E314C4">
            <w:pPr>
              <w:spacing w:line="360" w:lineRule="auto"/>
              <w:jc w:val="both"/>
              <w:rPr>
                <w:rFonts w:ascii="Arial Narrow" w:hAnsi="Arial Narrow" w:cs="Arial"/>
                <w:b/>
                <w:sz w:val="24"/>
                <w:szCs w:val="24"/>
              </w:rPr>
            </w:pPr>
            <w:r w:rsidRPr="00976F1F">
              <w:rPr>
                <w:rFonts w:ascii="Arial Narrow" w:hAnsi="Arial Narrow" w:cs="Arial"/>
                <w:b/>
                <w:sz w:val="24"/>
                <w:szCs w:val="24"/>
              </w:rPr>
              <w:t xml:space="preserve">Further arguments: </w:t>
            </w:r>
          </w:p>
          <w:p w:rsidR="007F7CF1" w:rsidRPr="00001364" w:rsidRDefault="007F7CF1" w:rsidP="00E314C4">
            <w:pPr>
              <w:spacing w:line="360" w:lineRule="auto"/>
              <w:jc w:val="both"/>
              <w:rPr>
                <w:rFonts w:ascii="Arial Narrow" w:hAnsi="Arial Narrow" w:cs="Arial"/>
                <w:sz w:val="24"/>
                <w:szCs w:val="24"/>
              </w:rPr>
            </w:pPr>
            <w:r>
              <w:rPr>
                <w:rFonts w:ascii="Arial Narrow" w:hAnsi="Arial Narrow" w:cs="Arial"/>
                <w:sz w:val="24"/>
                <w:szCs w:val="24"/>
              </w:rPr>
              <w:t>18 MARCH 2020</w:t>
            </w:r>
          </w:p>
        </w:tc>
      </w:tr>
      <w:tr w:rsidR="00607E9F" w:rsidRPr="00001364" w:rsidTr="00E314C4">
        <w:trPr>
          <w:trHeight w:val="588"/>
        </w:trPr>
        <w:tc>
          <w:tcPr>
            <w:tcW w:w="5397" w:type="dxa"/>
            <w:gridSpan w:val="2"/>
            <w:vMerge/>
          </w:tcPr>
          <w:p w:rsidR="00607E9F" w:rsidRPr="00001364" w:rsidRDefault="00607E9F" w:rsidP="00E314C4">
            <w:pPr>
              <w:spacing w:line="360" w:lineRule="auto"/>
              <w:jc w:val="both"/>
              <w:rPr>
                <w:rFonts w:ascii="Arial Narrow" w:hAnsi="Arial Narrow" w:cs="Arial"/>
                <w:b/>
                <w:sz w:val="24"/>
                <w:szCs w:val="24"/>
              </w:rPr>
            </w:pPr>
          </w:p>
        </w:tc>
        <w:tc>
          <w:tcPr>
            <w:tcW w:w="4323" w:type="dxa"/>
          </w:tcPr>
          <w:p w:rsidR="00607E9F" w:rsidRPr="00001364" w:rsidRDefault="00001364" w:rsidP="00E314C4">
            <w:pPr>
              <w:spacing w:line="360" w:lineRule="auto"/>
              <w:jc w:val="both"/>
              <w:rPr>
                <w:rFonts w:ascii="Arial Narrow" w:hAnsi="Arial Narrow" w:cs="Arial"/>
                <w:b/>
                <w:sz w:val="24"/>
                <w:szCs w:val="24"/>
              </w:rPr>
            </w:pPr>
            <w:r>
              <w:rPr>
                <w:rFonts w:ascii="Arial Narrow" w:hAnsi="Arial Narrow" w:cs="Arial"/>
                <w:b/>
                <w:sz w:val="24"/>
                <w:szCs w:val="24"/>
              </w:rPr>
              <w:t>D</w:t>
            </w:r>
            <w:r w:rsidR="00607E9F" w:rsidRPr="00001364">
              <w:rPr>
                <w:rFonts w:ascii="Arial Narrow" w:hAnsi="Arial Narrow" w:cs="Arial"/>
                <w:b/>
                <w:sz w:val="24"/>
                <w:szCs w:val="24"/>
              </w:rPr>
              <w:t>elivered on:</w:t>
            </w:r>
          </w:p>
          <w:p w:rsidR="00607E9F" w:rsidRPr="00001364" w:rsidRDefault="00616BA4" w:rsidP="00E314C4">
            <w:pPr>
              <w:spacing w:line="360" w:lineRule="auto"/>
              <w:jc w:val="both"/>
              <w:rPr>
                <w:rFonts w:ascii="Arial Narrow" w:hAnsi="Arial Narrow" w:cs="Arial"/>
                <w:sz w:val="24"/>
                <w:szCs w:val="24"/>
              </w:rPr>
            </w:pPr>
            <w:r w:rsidRPr="00001364">
              <w:rPr>
                <w:rFonts w:ascii="Arial Narrow" w:hAnsi="Arial Narrow" w:cs="Arial"/>
                <w:sz w:val="24"/>
                <w:szCs w:val="24"/>
              </w:rPr>
              <w:t>20 MARCH</w:t>
            </w:r>
            <w:r w:rsidR="00607E9F" w:rsidRPr="00001364">
              <w:rPr>
                <w:rFonts w:ascii="Arial Narrow" w:hAnsi="Arial Narrow" w:cs="Arial"/>
                <w:sz w:val="24"/>
                <w:szCs w:val="24"/>
              </w:rPr>
              <w:t xml:space="preserve"> 2020</w:t>
            </w:r>
          </w:p>
        </w:tc>
      </w:tr>
      <w:tr w:rsidR="00607E9F" w:rsidRPr="00001364" w:rsidTr="00E314C4">
        <w:tc>
          <w:tcPr>
            <w:tcW w:w="9720" w:type="dxa"/>
            <w:gridSpan w:val="3"/>
          </w:tcPr>
          <w:p w:rsidR="00607E9F" w:rsidRPr="00001364" w:rsidRDefault="00607E9F" w:rsidP="00B61408">
            <w:pPr>
              <w:pStyle w:val="form-control-static"/>
              <w:shd w:val="clear" w:color="auto" w:fill="FFFFFF"/>
              <w:spacing w:before="0" w:beforeAutospacing="0" w:after="0" w:afterAutospacing="0" w:line="360" w:lineRule="auto"/>
              <w:jc w:val="both"/>
              <w:rPr>
                <w:rFonts w:ascii="Arial Narrow" w:hAnsi="Arial Narrow" w:cs="Arial"/>
              </w:rPr>
            </w:pPr>
            <w:r w:rsidRPr="00001364">
              <w:rPr>
                <w:rFonts w:ascii="Arial Narrow" w:hAnsi="Arial Narrow" w:cs="Arial"/>
                <w:b/>
              </w:rPr>
              <w:t>Neutral citation:</w:t>
            </w:r>
            <w:r w:rsidRPr="00001364">
              <w:rPr>
                <w:rFonts w:ascii="Arial Narrow" w:hAnsi="Arial Narrow" w:cs="Arial"/>
              </w:rPr>
              <w:t xml:space="preserve"> </w:t>
            </w:r>
            <w:bookmarkStart w:id="0" w:name="_GoBack"/>
            <w:r w:rsidR="00B61408" w:rsidRPr="00001364">
              <w:rPr>
                <w:rFonts w:ascii="Arial Narrow" w:hAnsi="Arial Narrow" w:cs="Arial"/>
                <w:i/>
                <w:lang w:val="en-ZA"/>
              </w:rPr>
              <w:t>South African Airways Soc Limited v Camm</w:t>
            </w:r>
            <w:r w:rsidR="00B61408" w:rsidRPr="00001364">
              <w:rPr>
                <w:rFonts w:ascii="Arial Narrow" w:eastAsiaTheme="minorHAnsi" w:hAnsi="Arial Narrow" w:cs="Arial"/>
                <w:lang w:val="en-ZA"/>
              </w:rPr>
              <w:t xml:space="preserve"> (</w:t>
            </w:r>
            <w:r w:rsidR="00B61408" w:rsidRPr="00001364">
              <w:rPr>
                <w:rFonts w:ascii="Arial Narrow" w:hAnsi="Arial Narrow" w:cs="Arial"/>
                <w:lang w:val="en-ZA"/>
              </w:rPr>
              <w:t xml:space="preserve">HC-MD-CIV-ACT-DEL-2016/02479) [2020] NAHCMD </w:t>
            </w:r>
            <w:r w:rsidR="00CD6D90">
              <w:rPr>
                <w:rFonts w:ascii="Arial Narrow" w:hAnsi="Arial Narrow" w:cs="Arial"/>
                <w:lang w:val="en-ZA"/>
              </w:rPr>
              <w:t>103</w:t>
            </w:r>
            <w:r w:rsidR="00B61408" w:rsidRPr="00001364">
              <w:rPr>
                <w:rFonts w:ascii="Arial Narrow" w:hAnsi="Arial Narrow" w:cs="Arial"/>
                <w:lang w:val="en-ZA"/>
              </w:rPr>
              <w:t xml:space="preserve"> (20 March 2020)</w:t>
            </w:r>
            <w:bookmarkEnd w:id="0"/>
          </w:p>
        </w:tc>
      </w:tr>
      <w:tr w:rsidR="00607E9F" w:rsidRPr="00001364" w:rsidTr="00E314C4">
        <w:tc>
          <w:tcPr>
            <w:tcW w:w="9720" w:type="dxa"/>
            <w:gridSpan w:val="3"/>
          </w:tcPr>
          <w:p w:rsidR="00607E9F" w:rsidRPr="00001364" w:rsidRDefault="00607E9F" w:rsidP="00E314C4">
            <w:pPr>
              <w:pStyle w:val="form-control-static"/>
              <w:shd w:val="clear" w:color="auto" w:fill="FFFFFF"/>
              <w:spacing w:before="0" w:beforeAutospacing="0" w:after="0" w:afterAutospacing="0" w:line="360" w:lineRule="auto"/>
              <w:jc w:val="both"/>
              <w:rPr>
                <w:rFonts w:ascii="Arial Narrow" w:hAnsi="Arial Narrow" w:cs="Arial"/>
                <w:b/>
              </w:rPr>
            </w:pPr>
            <w:r w:rsidRPr="00001364">
              <w:rPr>
                <w:rFonts w:ascii="Arial Narrow" w:hAnsi="Arial Narrow" w:cs="Arial"/>
                <w:b/>
              </w:rPr>
              <w:t>Results on merits:</w:t>
            </w:r>
          </w:p>
          <w:p w:rsidR="00607E9F" w:rsidRPr="00001364" w:rsidRDefault="00607E9F" w:rsidP="006B3B95">
            <w:pPr>
              <w:pStyle w:val="form-control-static"/>
              <w:shd w:val="clear" w:color="auto" w:fill="FFFFFF"/>
              <w:spacing w:before="0" w:beforeAutospacing="0" w:after="0" w:afterAutospacing="0" w:line="360" w:lineRule="auto"/>
              <w:jc w:val="both"/>
              <w:rPr>
                <w:rFonts w:ascii="Arial Narrow" w:hAnsi="Arial Narrow" w:cs="Arial"/>
              </w:rPr>
            </w:pPr>
            <w:r w:rsidRPr="00001364">
              <w:rPr>
                <w:rFonts w:ascii="Arial Narrow" w:hAnsi="Arial Narrow" w:cs="Arial"/>
              </w:rPr>
              <w:t>Merits were considered</w:t>
            </w:r>
          </w:p>
        </w:tc>
      </w:tr>
      <w:tr w:rsidR="00607E9F" w:rsidRPr="00001364" w:rsidTr="00E314C4">
        <w:tc>
          <w:tcPr>
            <w:tcW w:w="9720" w:type="dxa"/>
            <w:gridSpan w:val="3"/>
          </w:tcPr>
          <w:p w:rsidR="00607E9F" w:rsidRPr="00001364" w:rsidRDefault="00607E9F" w:rsidP="00E314C4">
            <w:pPr>
              <w:spacing w:line="360" w:lineRule="auto"/>
              <w:jc w:val="both"/>
              <w:rPr>
                <w:rFonts w:ascii="Arial Narrow" w:hAnsi="Arial Narrow" w:cs="Arial"/>
                <w:b/>
                <w:sz w:val="24"/>
                <w:szCs w:val="24"/>
              </w:rPr>
            </w:pPr>
            <w:r w:rsidRPr="00001364">
              <w:rPr>
                <w:rFonts w:ascii="Arial Narrow" w:hAnsi="Arial Narrow" w:cs="Arial"/>
                <w:b/>
                <w:sz w:val="24"/>
                <w:szCs w:val="24"/>
              </w:rPr>
              <w:t>The order:</w:t>
            </w:r>
          </w:p>
          <w:p w:rsidR="00D1047E" w:rsidRPr="00001364" w:rsidRDefault="00D1047E" w:rsidP="00554D2D">
            <w:pPr>
              <w:spacing w:before="100" w:beforeAutospacing="1" w:after="100" w:afterAutospacing="1"/>
              <w:jc w:val="both"/>
              <w:rPr>
                <w:rFonts w:ascii="Arial Narrow" w:eastAsia="Times New Roman" w:hAnsi="Arial Narrow" w:cs="Times New Roman"/>
                <w:b/>
                <w:bCs/>
                <w:sz w:val="24"/>
                <w:szCs w:val="24"/>
                <w:lang w:eastAsia="en-ZA"/>
              </w:rPr>
            </w:pPr>
            <w:r w:rsidRPr="00001364">
              <w:rPr>
                <w:rFonts w:ascii="Arial Narrow" w:eastAsia="Times New Roman" w:hAnsi="Arial Narrow" w:cs="Times New Roman"/>
                <w:b/>
                <w:bCs/>
                <w:sz w:val="24"/>
                <w:szCs w:val="24"/>
                <w:lang w:eastAsia="en-ZA"/>
              </w:rPr>
              <w:lastRenderedPageBreak/>
              <w:t>Rule 43 Application:</w:t>
            </w:r>
          </w:p>
          <w:p w:rsidR="00D1047E" w:rsidRPr="00001364" w:rsidRDefault="00D1047E" w:rsidP="00554D2D">
            <w:pPr>
              <w:spacing w:before="100" w:beforeAutospacing="1" w:after="100" w:afterAutospacing="1"/>
              <w:jc w:val="both"/>
              <w:rPr>
                <w:rFonts w:ascii="Arial Narrow" w:eastAsia="Times New Roman" w:hAnsi="Arial Narrow" w:cs="Times New Roman"/>
                <w:bCs/>
                <w:sz w:val="24"/>
                <w:szCs w:val="24"/>
                <w:lang w:eastAsia="en-ZA"/>
              </w:rPr>
            </w:pPr>
            <w:r w:rsidRPr="00001364">
              <w:rPr>
                <w:rFonts w:ascii="Arial Narrow" w:eastAsia="Times New Roman" w:hAnsi="Arial Narrow" w:cs="Times New Roman"/>
                <w:bCs/>
                <w:sz w:val="24"/>
                <w:szCs w:val="24"/>
                <w:lang w:eastAsia="en-ZA"/>
              </w:rPr>
              <w:t xml:space="preserve">Namflex </w:t>
            </w:r>
            <w:r w:rsidRPr="007F7CF1">
              <w:rPr>
                <w:rFonts w:ascii="Arial Narrow" w:eastAsia="Times New Roman" w:hAnsi="Arial Narrow" w:cs="Times New Roman"/>
                <w:bCs/>
                <w:sz w:val="24"/>
                <w:szCs w:val="24"/>
                <w:lang w:eastAsia="en-ZA"/>
              </w:rPr>
              <w:t xml:space="preserve">Pension Fund (the </w:t>
            </w:r>
            <w:r w:rsidR="00554D2D" w:rsidRPr="007F7CF1">
              <w:rPr>
                <w:rFonts w:ascii="Arial Narrow" w:eastAsia="Times New Roman" w:hAnsi="Arial Narrow" w:cs="Times New Roman"/>
                <w:bCs/>
                <w:sz w:val="24"/>
                <w:szCs w:val="24"/>
                <w:lang w:eastAsia="en-ZA"/>
              </w:rPr>
              <w:t>T</w:t>
            </w:r>
            <w:r w:rsidRPr="007F7CF1">
              <w:rPr>
                <w:rFonts w:ascii="Arial Narrow" w:eastAsia="Times New Roman" w:hAnsi="Arial Narrow" w:cs="Times New Roman"/>
                <w:bCs/>
                <w:sz w:val="24"/>
                <w:szCs w:val="24"/>
                <w:lang w:eastAsia="en-ZA"/>
              </w:rPr>
              <w:t xml:space="preserve">enth </w:t>
            </w:r>
            <w:r w:rsidR="00554D2D" w:rsidRPr="007F7CF1">
              <w:rPr>
                <w:rFonts w:ascii="Arial Narrow" w:eastAsia="Times New Roman" w:hAnsi="Arial Narrow" w:cs="Times New Roman"/>
                <w:bCs/>
                <w:sz w:val="24"/>
                <w:szCs w:val="24"/>
                <w:lang w:eastAsia="en-ZA"/>
              </w:rPr>
              <w:t>D</w:t>
            </w:r>
            <w:r w:rsidRPr="007F7CF1">
              <w:rPr>
                <w:rFonts w:ascii="Arial Narrow" w:eastAsia="Times New Roman" w:hAnsi="Arial Narrow" w:cs="Times New Roman"/>
                <w:bCs/>
                <w:sz w:val="24"/>
                <w:szCs w:val="24"/>
                <w:lang w:eastAsia="en-ZA"/>
              </w:rPr>
              <w:t xml:space="preserve">efendant) is substituted with Alexander Forbes Namibia Retirement Fund (Pension Section) as </w:t>
            </w:r>
            <w:r w:rsidR="00554D2D" w:rsidRPr="007F7CF1">
              <w:rPr>
                <w:rFonts w:ascii="Arial Narrow" w:eastAsia="Times New Roman" w:hAnsi="Arial Narrow" w:cs="Times New Roman"/>
                <w:bCs/>
                <w:sz w:val="24"/>
                <w:szCs w:val="24"/>
                <w:lang w:eastAsia="en-ZA"/>
              </w:rPr>
              <w:t>T</w:t>
            </w:r>
            <w:r w:rsidRPr="007F7CF1">
              <w:rPr>
                <w:rFonts w:ascii="Arial Narrow" w:eastAsia="Times New Roman" w:hAnsi="Arial Narrow" w:cs="Times New Roman"/>
                <w:bCs/>
                <w:sz w:val="24"/>
                <w:szCs w:val="24"/>
                <w:lang w:eastAsia="en-ZA"/>
              </w:rPr>
              <w:t xml:space="preserve">enth </w:t>
            </w:r>
            <w:r w:rsidR="00554D2D" w:rsidRPr="007F7CF1">
              <w:rPr>
                <w:rFonts w:ascii="Arial Narrow" w:eastAsia="Times New Roman" w:hAnsi="Arial Narrow" w:cs="Times New Roman"/>
                <w:bCs/>
                <w:sz w:val="24"/>
                <w:szCs w:val="24"/>
                <w:lang w:eastAsia="en-ZA"/>
              </w:rPr>
              <w:t>D</w:t>
            </w:r>
            <w:r w:rsidRPr="007F7CF1">
              <w:rPr>
                <w:rFonts w:ascii="Arial Narrow" w:eastAsia="Times New Roman" w:hAnsi="Arial Narrow" w:cs="Times New Roman"/>
                <w:bCs/>
                <w:sz w:val="24"/>
                <w:szCs w:val="24"/>
                <w:lang w:eastAsia="en-ZA"/>
              </w:rPr>
              <w:t>efendant</w:t>
            </w:r>
            <w:r w:rsidR="00EC69C5">
              <w:rPr>
                <w:rFonts w:ascii="Arial Narrow" w:eastAsia="Times New Roman" w:hAnsi="Arial Narrow" w:cs="Times New Roman"/>
                <w:bCs/>
                <w:sz w:val="24"/>
                <w:szCs w:val="24"/>
                <w:lang w:eastAsia="en-ZA"/>
              </w:rPr>
              <w:t>.</w:t>
            </w:r>
          </w:p>
          <w:p w:rsidR="00EC69C5" w:rsidRPr="00F3655C" w:rsidRDefault="00EC69C5" w:rsidP="00EC69C5">
            <w:pPr>
              <w:spacing w:before="100" w:beforeAutospacing="1" w:after="100" w:afterAutospacing="1"/>
              <w:jc w:val="both"/>
              <w:rPr>
                <w:rFonts w:ascii="Arial Narrow" w:eastAsia="Times New Roman" w:hAnsi="Arial Narrow" w:cs="Times New Roman"/>
                <w:color w:val="000000"/>
                <w:sz w:val="24"/>
                <w:szCs w:val="24"/>
                <w:lang w:eastAsia="en-ZA"/>
              </w:rPr>
            </w:pPr>
            <w:r w:rsidRPr="00EC69C5">
              <w:rPr>
                <w:rFonts w:ascii="Arial Narrow" w:eastAsia="Times New Roman" w:hAnsi="Arial Narrow" w:cs="Times New Roman"/>
                <w:b/>
                <w:bCs/>
                <w:color w:val="000000"/>
                <w:sz w:val="24"/>
                <w:szCs w:val="24"/>
                <w:lang w:eastAsia="en-ZA"/>
              </w:rPr>
              <w:t>Default Judgment application</w:t>
            </w:r>
            <w:r w:rsidRPr="00F3655C">
              <w:rPr>
                <w:rFonts w:ascii="Arial Narrow" w:eastAsia="Times New Roman" w:hAnsi="Arial Narrow" w:cs="Times New Roman"/>
                <w:color w:val="000000"/>
                <w:sz w:val="24"/>
                <w:szCs w:val="24"/>
                <w:lang w:eastAsia="en-ZA"/>
              </w:rPr>
              <w:t>:</w:t>
            </w:r>
          </w:p>
          <w:p w:rsidR="00D1047E" w:rsidRPr="00001364" w:rsidRDefault="00D1047E" w:rsidP="00D1047E">
            <w:pPr>
              <w:spacing w:line="360" w:lineRule="auto"/>
              <w:jc w:val="both"/>
              <w:rPr>
                <w:rFonts w:ascii="Arial Narrow" w:hAnsi="Arial Narrow" w:cs="Arial"/>
                <w:b/>
                <w:sz w:val="24"/>
                <w:szCs w:val="24"/>
              </w:rPr>
            </w:pPr>
            <w:r w:rsidRPr="007F7CF1">
              <w:rPr>
                <w:rFonts w:ascii="Arial Narrow" w:hAnsi="Arial Narrow" w:cs="Arial"/>
                <w:b/>
                <w:sz w:val="24"/>
                <w:szCs w:val="24"/>
              </w:rPr>
              <w:t xml:space="preserve">Default judgment is granted against the </w:t>
            </w:r>
            <w:r w:rsidR="00554D2D" w:rsidRPr="007F7CF1">
              <w:rPr>
                <w:rFonts w:ascii="Arial Narrow" w:hAnsi="Arial Narrow" w:cs="Arial"/>
                <w:b/>
                <w:sz w:val="24"/>
                <w:szCs w:val="24"/>
              </w:rPr>
              <w:t>F</w:t>
            </w:r>
            <w:r w:rsidRPr="007F7CF1">
              <w:rPr>
                <w:rFonts w:ascii="Arial Narrow" w:hAnsi="Arial Narrow" w:cs="Arial"/>
                <w:b/>
                <w:sz w:val="24"/>
                <w:szCs w:val="24"/>
              </w:rPr>
              <w:t xml:space="preserve">irst, </w:t>
            </w:r>
            <w:r w:rsidR="00554D2D" w:rsidRPr="007F7CF1">
              <w:rPr>
                <w:rFonts w:ascii="Arial Narrow" w:hAnsi="Arial Narrow" w:cs="Arial"/>
                <w:b/>
                <w:sz w:val="24"/>
                <w:szCs w:val="24"/>
              </w:rPr>
              <w:t>S</w:t>
            </w:r>
            <w:r w:rsidRPr="007F7CF1">
              <w:rPr>
                <w:rFonts w:ascii="Arial Narrow" w:hAnsi="Arial Narrow" w:cs="Arial"/>
                <w:b/>
                <w:sz w:val="24"/>
                <w:szCs w:val="24"/>
              </w:rPr>
              <w:t xml:space="preserve">econd and </w:t>
            </w:r>
            <w:r w:rsidR="00554D2D" w:rsidRPr="007F7CF1">
              <w:rPr>
                <w:rFonts w:ascii="Arial Narrow" w:hAnsi="Arial Narrow" w:cs="Arial"/>
                <w:b/>
                <w:sz w:val="24"/>
                <w:szCs w:val="24"/>
              </w:rPr>
              <w:t>S</w:t>
            </w:r>
            <w:r w:rsidRPr="007F7CF1">
              <w:rPr>
                <w:rFonts w:ascii="Arial Narrow" w:hAnsi="Arial Narrow" w:cs="Arial"/>
                <w:b/>
                <w:sz w:val="24"/>
                <w:szCs w:val="24"/>
              </w:rPr>
              <w:t xml:space="preserve">eventh </w:t>
            </w:r>
            <w:r w:rsidR="00554D2D" w:rsidRPr="007F7CF1">
              <w:rPr>
                <w:rFonts w:ascii="Arial Narrow" w:hAnsi="Arial Narrow" w:cs="Arial"/>
                <w:b/>
                <w:sz w:val="24"/>
                <w:szCs w:val="24"/>
              </w:rPr>
              <w:t>D</w:t>
            </w:r>
            <w:r w:rsidRPr="007F7CF1">
              <w:rPr>
                <w:rFonts w:ascii="Arial Narrow" w:hAnsi="Arial Narrow" w:cs="Arial"/>
                <w:b/>
                <w:sz w:val="24"/>
                <w:szCs w:val="24"/>
              </w:rPr>
              <w:t>efendants jointly and severally, the one paying first to absolve the others, in the following terms</w:t>
            </w:r>
            <w:r w:rsidRPr="00001364">
              <w:rPr>
                <w:rFonts w:ascii="Arial Narrow" w:hAnsi="Arial Narrow" w:cs="Arial"/>
                <w:b/>
                <w:sz w:val="24"/>
                <w:szCs w:val="24"/>
              </w:rPr>
              <w:t>:</w:t>
            </w:r>
          </w:p>
          <w:p w:rsidR="00D1047E" w:rsidRPr="00001364" w:rsidRDefault="00554D2D" w:rsidP="00D1047E">
            <w:pPr>
              <w:pStyle w:val="ListParagraph"/>
              <w:numPr>
                <w:ilvl w:val="0"/>
                <w:numId w:val="3"/>
              </w:numPr>
              <w:spacing w:line="360" w:lineRule="auto"/>
              <w:jc w:val="both"/>
              <w:rPr>
                <w:rFonts w:ascii="Arial Narrow" w:hAnsi="Arial Narrow" w:cs="Helvetica"/>
                <w:sz w:val="24"/>
                <w:szCs w:val="24"/>
              </w:rPr>
            </w:pPr>
            <w:r>
              <w:rPr>
                <w:rFonts w:ascii="Arial Narrow" w:hAnsi="Arial Narrow" w:cs="Helvetica"/>
                <w:sz w:val="24"/>
                <w:szCs w:val="24"/>
              </w:rPr>
              <w:t xml:space="preserve">Payment in the amount of N$ 13 265 </w:t>
            </w:r>
            <w:r w:rsidR="00D1047E" w:rsidRPr="00001364">
              <w:rPr>
                <w:rFonts w:ascii="Arial Narrow" w:hAnsi="Arial Narrow" w:cs="Helvetica"/>
                <w:sz w:val="24"/>
                <w:szCs w:val="24"/>
              </w:rPr>
              <w:t>298.05;</w:t>
            </w:r>
          </w:p>
          <w:p w:rsidR="00D1047E" w:rsidRPr="00001364" w:rsidRDefault="00D1047E" w:rsidP="00D1047E">
            <w:pPr>
              <w:pStyle w:val="ListParagraph"/>
              <w:numPr>
                <w:ilvl w:val="0"/>
                <w:numId w:val="3"/>
              </w:numPr>
              <w:spacing w:line="360" w:lineRule="auto"/>
              <w:jc w:val="both"/>
              <w:rPr>
                <w:rFonts w:ascii="Arial Narrow" w:hAnsi="Arial Narrow" w:cs="Helvetica"/>
                <w:sz w:val="24"/>
                <w:szCs w:val="24"/>
              </w:rPr>
            </w:pPr>
            <w:r w:rsidRPr="00001364">
              <w:rPr>
                <w:rFonts w:ascii="Arial Narrow" w:hAnsi="Arial Narrow" w:cs="Helvetica"/>
                <w:sz w:val="24"/>
                <w:szCs w:val="24"/>
              </w:rPr>
              <w:t>Interest at a rate of 20% per annum calculated from 19 August 2013 until date of payment in full;</w:t>
            </w:r>
          </w:p>
          <w:p w:rsidR="00013FC5" w:rsidRPr="007F7CF1" w:rsidRDefault="00D1047E" w:rsidP="00013FC5">
            <w:pPr>
              <w:pStyle w:val="ListParagraph"/>
              <w:numPr>
                <w:ilvl w:val="0"/>
                <w:numId w:val="3"/>
              </w:numPr>
              <w:spacing w:line="360" w:lineRule="auto"/>
              <w:jc w:val="both"/>
              <w:rPr>
                <w:rFonts w:ascii="Arial Narrow" w:hAnsi="Arial Narrow" w:cs="Helvetica"/>
                <w:sz w:val="24"/>
                <w:szCs w:val="24"/>
              </w:rPr>
            </w:pPr>
            <w:r w:rsidRPr="007F7CF1">
              <w:rPr>
                <w:rFonts w:ascii="Arial Narrow" w:hAnsi="Arial Narrow" w:cs="Helvetica"/>
                <w:sz w:val="24"/>
                <w:szCs w:val="24"/>
              </w:rPr>
              <w:t>Cost of suit including such cost as occasioned by the employment of one instructed and one instructing counsel.</w:t>
            </w:r>
          </w:p>
          <w:p w:rsidR="00D1047E" w:rsidRPr="007F7CF1" w:rsidRDefault="00D1047E" w:rsidP="00013FC5">
            <w:pPr>
              <w:spacing w:line="360" w:lineRule="auto"/>
              <w:jc w:val="both"/>
              <w:rPr>
                <w:rFonts w:ascii="Arial Narrow" w:hAnsi="Arial Narrow" w:cs="Helvetica"/>
                <w:b/>
                <w:sz w:val="24"/>
                <w:szCs w:val="24"/>
              </w:rPr>
            </w:pPr>
            <w:r w:rsidRPr="00001364">
              <w:rPr>
                <w:rFonts w:ascii="Arial Narrow" w:hAnsi="Arial Narrow" w:cs="Helvetica"/>
                <w:b/>
                <w:sz w:val="24"/>
                <w:szCs w:val="24"/>
              </w:rPr>
              <w:t xml:space="preserve">As against the </w:t>
            </w:r>
            <w:r w:rsidR="00554D2D" w:rsidRPr="007F7CF1">
              <w:rPr>
                <w:rFonts w:ascii="Arial Narrow" w:hAnsi="Arial Narrow" w:cs="Helvetica"/>
                <w:b/>
                <w:sz w:val="24"/>
                <w:szCs w:val="24"/>
              </w:rPr>
              <w:t>T</w:t>
            </w:r>
            <w:r w:rsidRPr="007F7CF1">
              <w:rPr>
                <w:rFonts w:ascii="Arial Narrow" w:hAnsi="Arial Narrow" w:cs="Helvetica"/>
                <w:b/>
                <w:sz w:val="24"/>
                <w:szCs w:val="24"/>
              </w:rPr>
              <w:t xml:space="preserve">enth </w:t>
            </w:r>
            <w:r w:rsidR="00554D2D" w:rsidRPr="007F7CF1">
              <w:rPr>
                <w:rFonts w:ascii="Arial Narrow" w:hAnsi="Arial Narrow" w:cs="Helvetica"/>
                <w:b/>
                <w:sz w:val="24"/>
                <w:szCs w:val="24"/>
              </w:rPr>
              <w:t>D</w:t>
            </w:r>
            <w:r w:rsidRPr="007F7CF1">
              <w:rPr>
                <w:rFonts w:ascii="Arial Narrow" w:hAnsi="Arial Narrow" w:cs="Helvetica"/>
                <w:b/>
                <w:sz w:val="24"/>
                <w:szCs w:val="24"/>
              </w:rPr>
              <w:t>efendant</w:t>
            </w:r>
          </w:p>
          <w:p w:rsidR="00D1047E" w:rsidRPr="00001364" w:rsidRDefault="00D1047E" w:rsidP="00D1047E">
            <w:pPr>
              <w:pStyle w:val="ListParagraph"/>
              <w:numPr>
                <w:ilvl w:val="0"/>
                <w:numId w:val="3"/>
              </w:numPr>
              <w:spacing w:line="360" w:lineRule="auto"/>
              <w:jc w:val="both"/>
              <w:rPr>
                <w:rFonts w:ascii="Arial Narrow" w:hAnsi="Arial Narrow" w:cs="Helvetica"/>
                <w:sz w:val="24"/>
                <w:szCs w:val="24"/>
              </w:rPr>
            </w:pPr>
            <w:r w:rsidRPr="007F7CF1">
              <w:rPr>
                <w:rFonts w:ascii="Arial Narrow" w:hAnsi="Arial Narrow" w:cs="Helvetica"/>
                <w:sz w:val="24"/>
                <w:szCs w:val="24"/>
              </w:rPr>
              <w:t xml:space="preserve">The </w:t>
            </w:r>
            <w:r w:rsidR="007F7CF1" w:rsidRPr="007F7CF1">
              <w:rPr>
                <w:rFonts w:ascii="Arial Narrow" w:hAnsi="Arial Narrow" w:cs="Helvetica"/>
                <w:sz w:val="24"/>
                <w:szCs w:val="24"/>
              </w:rPr>
              <w:t>T</w:t>
            </w:r>
            <w:r w:rsidRPr="007F7CF1">
              <w:rPr>
                <w:rFonts w:ascii="Arial Narrow" w:hAnsi="Arial Narrow" w:cs="Helvetica"/>
                <w:sz w:val="24"/>
                <w:szCs w:val="24"/>
              </w:rPr>
              <w:t xml:space="preserve">enth </w:t>
            </w:r>
            <w:r w:rsidR="007F7CF1" w:rsidRPr="007F7CF1">
              <w:rPr>
                <w:rFonts w:ascii="Arial Narrow" w:hAnsi="Arial Narrow" w:cs="Helvetica"/>
                <w:sz w:val="24"/>
                <w:szCs w:val="24"/>
              </w:rPr>
              <w:t>D</w:t>
            </w:r>
            <w:r w:rsidRPr="007F7CF1">
              <w:rPr>
                <w:rFonts w:ascii="Arial Narrow" w:hAnsi="Arial Narrow" w:cs="Helvetica"/>
                <w:sz w:val="24"/>
                <w:szCs w:val="24"/>
              </w:rPr>
              <w:t>efendant is hereby authorized and ordered in terms of secti</w:t>
            </w:r>
            <w:r w:rsidR="00554D2D" w:rsidRPr="007F7CF1">
              <w:rPr>
                <w:rFonts w:ascii="Arial Narrow" w:hAnsi="Arial Narrow" w:cs="Helvetica"/>
                <w:sz w:val="24"/>
                <w:szCs w:val="24"/>
              </w:rPr>
              <w:t>on 37D of the Pension Funds Act</w:t>
            </w:r>
            <w:r w:rsidRPr="007F7CF1">
              <w:rPr>
                <w:rFonts w:ascii="Arial Narrow" w:hAnsi="Arial Narrow" w:cs="Helvetica"/>
                <w:sz w:val="24"/>
                <w:szCs w:val="24"/>
              </w:rPr>
              <w:t xml:space="preserve"> 24 of 1956, to deduct from the </w:t>
            </w:r>
            <w:r w:rsidR="00554D2D" w:rsidRPr="007F7CF1">
              <w:rPr>
                <w:rFonts w:ascii="Arial Narrow" w:hAnsi="Arial Narrow" w:cs="Helvetica"/>
                <w:sz w:val="24"/>
                <w:szCs w:val="24"/>
              </w:rPr>
              <w:t>F</w:t>
            </w:r>
            <w:r w:rsidRPr="007F7CF1">
              <w:rPr>
                <w:rFonts w:ascii="Arial Narrow" w:hAnsi="Arial Narrow" w:cs="Helvetica"/>
                <w:sz w:val="24"/>
                <w:szCs w:val="24"/>
              </w:rPr>
              <w:t xml:space="preserve">irst, </w:t>
            </w:r>
            <w:r w:rsidR="00554D2D" w:rsidRPr="007F7CF1">
              <w:rPr>
                <w:rFonts w:ascii="Arial Narrow" w:hAnsi="Arial Narrow" w:cs="Helvetica"/>
                <w:sz w:val="24"/>
                <w:szCs w:val="24"/>
              </w:rPr>
              <w:t>S</w:t>
            </w:r>
            <w:r w:rsidRPr="007F7CF1">
              <w:rPr>
                <w:rFonts w:ascii="Arial Narrow" w:hAnsi="Arial Narrow" w:cs="Helvetica"/>
                <w:sz w:val="24"/>
                <w:szCs w:val="24"/>
              </w:rPr>
              <w:t xml:space="preserve">econd and </w:t>
            </w:r>
            <w:r w:rsidR="00554D2D" w:rsidRPr="007F7CF1">
              <w:rPr>
                <w:rFonts w:ascii="Arial Narrow" w:hAnsi="Arial Narrow" w:cs="Helvetica"/>
                <w:sz w:val="24"/>
                <w:szCs w:val="24"/>
              </w:rPr>
              <w:t>S</w:t>
            </w:r>
            <w:r w:rsidRPr="007F7CF1">
              <w:rPr>
                <w:rFonts w:ascii="Arial Narrow" w:hAnsi="Arial Narrow" w:cs="Helvetica"/>
                <w:sz w:val="24"/>
                <w:szCs w:val="24"/>
              </w:rPr>
              <w:t xml:space="preserve">eventh </w:t>
            </w:r>
            <w:r w:rsidRPr="00001364">
              <w:rPr>
                <w:rFonts w:ascii="Arial Narrow" w:hAnsi="Arial Narrow" w:cs="Helvetica"/>
                <w:sz w:val="24"/>
                <w:szCs w:val="24"/>
              </w:rPr>
              <w:t>defendants as former members of the Namflex Pension fund now known as the Alexander Forbes Namibia Retirement Fund (Pension Section) as follows:</w:t>
            </w:r>
          </w:p>
          <w:p w:rsidR="00D1047E" w:rsidRPr="007F7CF1" w:rsidRDefault="00D1047E" w:rsidP="00D1047E">
            <w:pPr>
              <w:spacing w:line="360" w:lineRule="auto"/>
              <w:ind w:left="720"/>
              <w:jc w:val="both"/>
              <w:rPr>
                <w:rFonts w:ascii="Arial Narrow" w:hAnsi="Arial Narrow" w:cs="Helvetica"/>
                <w:sz w:val="24"/>
                <w:szCs w:val="24"/>
              </w:rPr>
            </w:pPr>
            <w:r w:rsidRPr="00001364">
              <w:rPr>
                <w:rFonts w:ascii="Arial Narrow" w:hAnsi="Arial Narrow" w:cs="Helvetica"/>
                <w:sz w:val="24"/>
                <w:szCs w:val="24"/>
              </w:rPr>
              <w:t xml:space="preserve">4.1 </w:t>
            </w:r>
            <w:r w:rsidRPr="00001364">
              <w:rPr>
                <w:rFonts w:ascii="Arial Narrow" w:hAnsi="Arial Narrow" w:cs="Helvetica"/>
                <w:sz w:val="24"/>
                <w:szCs w:val="24"/>
              </w:rPr>
              <w:tab/>
              <w:t xml:space="preserve">In respect </w:t>
            </w:r>
            <w:r w:rsidRPr="007F7CF1">
              <w:rPr>
                <w:rFonts w:ascii="Arial Narrow" w:hAnsi="Arial Narrow" w:cs="Helvetica"/>
                <w:sz w:val="24"/>
                <w:szCs w:val="24"/>
              </w:rPr>
              <w:t xml:space="preserve">of the </w:t>
            </w:r>
            <w:r w:rsidR="00554D2D" w:rsidRPr="007F7CF1">
              <w:rPr>
                <w:rFonts w:ascii="Arial Narrow" w:hAnsi="Arial Narrow" w:cs="Helvetica"/>
                <w:sz w:val="24"/>
                <w:szCs w:val="24"/>
              </w:rPr>
              <w:t>F</w:t>
            </w:r>
            <w:r w:rsidRPr="007F7CF1">
              <w:rPr>
                <w:rFonts w:ascii="Arial Narrow" w:hAnsi="Arial Narrow" w:cs="Helvetica"/>
                <w:sz w:val="24"/>
                <w:szCs w:val="24"/>
              </w:rPr>
              <w:t xml:space="preserve">irst </w:t>
            </w:r>
            <w:r w:rsidR="00554D2D" w:rsidRPr="007F7CF1">
              <w:rPr>
                <w:rFonts w:ascii="Arial Narrow" w:hAnsi="Arial Narrow" w:cs="Helvetica"/>
                <w:sz w:val="24"/>
                <w:szCs w:val="24"/>
              </w:rPr>
              <w:t>D</w:t>
            </w:r>
            <w:r w:rsidRPr="007F7CF1">
              <w:rPr>
                <w:rFonts w:ascii="Arial Narrow" w:hAnsi="Arial Narrow" w:cs="Helvetica"/>
                <w:sz w:val="24"/>
                <w:szCs w:val="24"/>
              </w:rPr>
              <w:t>efendant (James Ro</w:t>
            </w:r>
            <w:r w:rsidR="00554D2D" w:rsidRPr="007F7CF1">
              <w:rPr>
                <w:rFonts w:ascii="Arial Narrow" w:hAnsi="Arial Narrow" w:cs="Helvetica"/>
                <w:sz w:val="24"/>
                <w:szCs w:val="24"/>
              </w:rPr>
              <w:t xml:space="preserve">bert Camm), an amount of N$ 196 </w:t>
            </w:r>
            <w:r w:rsidRPr="007F7CF1">
              <w:rPr>
                <w:rFonts w:ascii="Arial Narrow" w:hAnsi="Arial Narrow" w:cs="Helvetica"/>
                <w:sz w:val="24"/>
                <w:szCs w:val="24"/>
              </w:rPr>
              <w:t>488.46.</w:t>
            </w:r>
          </w:p>
          <w:p w:rsidR="00D1047E" w:rsidRPr="007F7CF1" w:rsidRDefault="00D1047E" w:rsidP="00D1047E">
            <w:pPr>
              <w:spacing w:line="360" w:lineRule="auto"/>
              <w:ind w:left="720"/>
              <w:jc w:val="both"/>
              <w:rPr>
                <w:rFonts w:ascii="Arial Narrow" w:hAnsi="Arial Narrow" w:cs="Helvetica"/>
                <w:sz w:val="24"/>
                <w:szCs w:val="24"/>
              </w:rPr>
            </w:pPr>
            <w:r w:rsidRPr="007F7CF1">
              <w:rPr>
                <w:rFonts w:ascii="Arial Narrow" w:hAnsi="Arial Narrow" w:cs="Helvetica"/>
                <w:sz w:val="24"/>
                <w:szCs w:val="24"/>
              </w:rPr>
              <w:t>4.1</w:t>
            </w:r>
            <w:r w:rsidRPr="007F7CF1">
              <w:rPr>
                <w:rFonts w:ascii="Arial Narrow" w:hAnsi="Arial Narrow" w:cs="Helvetica"/>
                <w:sz w:val="24"/>
                <w:szCs w:val="24"/>
              </w:rPr>
              <w:tab/>
              <w:t xml:space="preserve">In respect of the </w:t>
            </w:r>
            <w:r w:rsidR="00554D2D" w:rsidRPr="007F7CF1">
              <w:rPr>
                <w:rFonts w:ascii="Arial Narrow" w:hAnsi="Arial Narrow" w:cs="Helvetica"/>
                <w:sz w:val="24"/>
                <w:szCs w:val="24"/>
              </w:rPr>
              <w:t>S</w:t>
            </w:r>
            <w:r w:rsidRPr="007F7CF1">
              <w:rPr>
                <w:rFonts w:ascii="Arial Narrow" w:hAnsi="Arial Narrow" w:cs="Helvetica"/>
                <w:sz w:val="24"/>
                <w:szCs w:val="24"/>
              </w:rPr>
              <w:t xml:space="preserve">econd </w:t>
            </w:r>
            <w:r w:rsidR="00554D2D" w:rsidRPr="007F7CF1">
              <w:rPr>
                <w:rFonts w:ascii="Arial Narrow" w:hAnsi="Arial Narrow" w:cs="Helvetica"/>
                <w:sz w:val="24"/>
                <w:szCs w:val="24"/>
              </w:rPr>
              <w:t>D</w:t>
            </w:r>
            <w:r w:rsidRPr="007F7CF1">
              <w:rPr>
                <w:rFonts w:ascii="Arial Narrow" w:hAnsi="Arial Narrow" w:cs="Helvetica"/>
                <w:sz w:val="24"/>
                <w:szCs w:val="24"/>
              </w:rPr>
              <w:t>efendant (Sonya Petrin</w:t>
            </w:r>
            <w:r w:rsidR="00554D2D" w:rsidRPr="007F7CF1">
              <w:rPr>
                <w:rFonts w:ascii="Arial Narrow" w:hAnsi="Arial Narrow" w:cs="Helvetica"/>
                <w:sz w:val="24"/>
                <w:szCs w:val="24"/>
              </w:rPr>
              <w:t xml:space="preserve">a Nanuses), an amount of N$ 683 </w:t>
            </w:r>
            <w:r w:rsidRPr="007F7CF1">
              <w:rPr>
                <w:rFonts w:ascii="Arial Narrow" w:hAnsi="Arial Narrow" w:cs="Helvetica"/>
                <w:sz w:val="24"/>
                <w:szCs w:val="24"/>
              </w:rPr>
              <w:t>452.46.</w:t>
            </w:r>
          </w:p>
          <w:p w:rsidR="00D1047E" w:rsidRPr="007F7CF1" w:rsidRDefault="00D1047E" w:rsidP="00684D49">
            <w:pPr>
              <w:spacing w:line="360" w:lineRule="auto"/>
              <w:ind w:left="1422" w:hanging="702"/>
              <w:jc w:val="both"/>
              <w:rPr>
                <w:rFonts w:ascii="Arial Narrow" w:hAnsi="Arial Narrow" w:cs="Helvetica"/>
                <w:sz w:val="24"/>
                <w:szCs w:val="24"/>
              </w:rPr>
            </w:pPr>
            <w:r w:rsidRPr="007F7CF1">
              <w:rPr>
                <w:rFonts w:ascii="Arial Narrow" w:hAnsi="Arial Narrow" w:cs="Helvetica"/>
                <w:sz w:val="24"/>
                <w:szCs w:val="24"/>
              </w:rPr>
              <w:t>4.3</w:t>
            </w:r>
            <w:r w:rsidRPr="007F7CF1">
              <w:rPr>
                <w:rFonts w:ascii="Arial Narrow" w:hAnsi="Arial Narrow" w:cs="Helvetica"/>
                <w:sz w:val="24"/>
                <w:szCs w:val="24"/>
              </w:rPr>
              <w:tab/>
              <w:t xml:space="preserve">In respect of the </w:t>
            </w:r>
            <w:r w:rsidR="00554D2D" w:rsidRPr="007F7CF1">
              <w:rPr>
                <w:rFonts w:ascii="Arial Narrow" w:hAnsi="Arial Narrow" w:cs="Helvetica"/>
                <w:sz w:val="24"/>
                <w:szCs w:val="24"/>
              </w:rPr>
              <w:t>S</w:t>
            </w:r>
            <w:r w:rsidRPr="007F7CF1">
              <w:rPr>
                <w:rFonts w:ascii="Arial Narrow" w:hAnsi="Arial Narrow" w:cs="Helvetica"/>
                <w:sz w:val="24"/>
                <w:szCs w:val="24"/>
              </w:rPr>
              <w:t xml:space="preserve">eventh </w:t>
            </w:r>
            <w:r w:rsidR="00554D2D" w:rsidRPr="007F7CF1">
              <w:rPr>
                <w:rFonts w:ascii="Arial Narrow" w:hAnsi="Arial Narrow" w:cs="Helvetica"/>
                <w:sz w:val="24"/>
                <w:szCs w:val="24"/>
              </w:rPr>
              <w:t>D</w:t>
            </w:r>
            <w:r w:rsidRPr="007F7CF1">
              <w:rPr>
                <w:rFonts w:ascii="Arial Narrow" w:hAnsi="Arial Narrow" w:cs="Helvetica"/>
                <w:sz w:val="24"/>
                <w:szCs w:val="24"/>
              </w:rPr>
              <w:t>efendant (Juanita So</w:t>
            </w:r>
            <w:r w:rsidR="00554D2D" w:rsidRPr="007F7CF1">
              <w:rPr>
                <w:rFonts w:ascii="Arial Narrow" w:hAnsi="Arial Narrow" w:cs="Helvetica"/>
                <w:sz w:val="24"/>
                <w:szCs w:val="24"/>
              </w:rPr>
              <w:t xml:space="preserve">nya Klassen), and amount of N$1 078 </w:t>
            </w:r>
            <w:r w:rsidRPr="007F7CF1">
              <w:rPr>
                <w:rFonts w:ascii="Arial Narrow" w:hAnsi="Arial Narrow" w:cs="Helvetica"/>
                <w:sz w:val="24"/>
                <w:szCs w:val="24"/>
              </w:rPr>
              <w:t>035.74.</w:t>
            </w:r>
          </w:p>
          <w:p w:rsidR="00D1047E" w:rsidRPr="00615177" w:rsidRDefault="00D1047E" w:rsidP="00615177">
            <w:pPr>
              <w:pStyle w:val="ListParagraph"/>
              <w:numPr>
                <w:ilvl w:val="0"/>
                <w:numId w:val="3"/>
              </w:numPr>
              <w:spacing w:line="360" w:lineRule="auto"/>
              <w:jc w:val="both"/>
              <w:rPr>
                <w:rFonts w:ascii="Arial Narrow" w:hAnsi="Arial Narrow" w:cs="Helvetica"/>
                <w:sz w:val="24"/>
                <w:szCs w:val="24"/>
              </w:rPr>
            </w:pPr>
            <w:r w:rsidRPr="00615177">
              <w:rPr>
                <w:rFonts w:ascii="Arial Narrow" w:hAnsi="Arial Narrow" w:cs="Helvetica"/>
                <w:sz w:val="24"/>
                <w:szCs w:val="24"/>
              </w:rPr>
              <w:lastRenderedPageBreak/>
              <w:t xml:space="preserve">The </w:t>
            </w:r>
            <w:r w:rsidR="00554D2D" w:rsidRPr="00615177">
              <w:rPr>
                <w:rFonts w:ascii="Arial Narrow" w:hAnsi="Arial Narrow" w:cs="Helvetica"/>
                <w:sz w:val="24"/>
                <w:szCs w:val="24"/>
              </w:rPr>
              <w:t>T</w:t>
            </w:r>
            <w:r w:rsidRPr="00615177">
              <w:rPr>
                <w:rFonts w:ascii="Arial Narrow" w:hAnsi="Arial Narrow" w:cs="Helvetica"/>
                <w:sz w:val="24"/>
                <w:szCs w:val="24"/>
              </w:rPr>
              <w:t xml:space="preserve">enth </w:t>
            </w:r>
            <w:r w:rsidR="00554D2D" w:rsidRPr="00615177">
              <w:rPr>
                <w:rFonts w:ascii="Arial Narrow" w:hAnsi="Arial Narrow" w:cs="Helvetica"/>
                <w:sz w:val="24"/>
                <w:szCs w:val="24"/>
              </w:rPr>
              <w:t>D</w:t>
            </w:r>
            <w:r w:rsidRPr="00615177">
              <w:rPr>
                <w:rFonts w:ascii="Arial Narrow" w:hAnsi="Arial Narrow" w:cs="Helvetica"/>
                <w:sz w:val="24"/>
                <w:szCs w:val="24"/>
              </w:rPr>
              <w:t>efendant is hereby authorized and ordered in terms of section 37 D of the Pension Fund Act, 24 of 1956 to pay the amounts prayed</w:t>
            </w:r>
            <w:r w:rsidR="00554D2D" w:rsidRPr="00615177">
              <w:rPr>
                <w:rFonts w:ascii="Arial Narrow" w:hAnsi="Arial Narrow" w:cs="Helvetica"/>
                <w:sz w:val="24"/>
                <w:szCs w:val="24"/>
              </w:rPr>
              <w:t xml:space="preserve"> for</w:t>
            </w:r>
            <w:r w:rsidRPr="00615177">
              <w:rPr>
                <w:rFonts w:ascii="Arial Narrow" w:hAnsi="Arial Narrow" w:cs="Helvetica"/>
                <w:sz w:val="24"/>
                <w:szCs w:val="24"/>
              </w:rPr>
              <w:t xml:space="preserve"> in 4.1, 4.2, </w:t>
            </w:r>
            <w:r w:rsidR="00554D2D" w:rsidRPr="00615177">
              <w:rPr>
                <w:rFonts w:ascii="Arial Narrow" w:hAnsi="Arial Narrow" w:cs="Helvetica"/>
                <w:sz w:val="24"/>
                <w:szCs w:val="24"/>
              </w:rPr>
              <w:t>and 4.3</w:t>
            </w:r>
            <w:r w:rsidRPr="00615177">
              <w:rPr>
                <w:rFonts w:ascii="Arial Narrow" w:hAnsi="Arial Narrow" w:cs="Helvetica"/>
                <w:sz w:val="24"/>
                <w:szCs w:val="24"/>
              </w:rPr>
              <w:t xml:space="preserve"> to the </w:t>
            </w:r>
            <w:r w:rsidR="00554D2D" w:rsidRPr="00615177">
              <w:rPr>
                <w:rFonts w:ascii="Arial Narrow" w:hAnsi="Arial Narrow" w:cs="Helvetica"/>
                <w:sz w:val="24"/>
                <w:szCs w:val="24"/>
              </w:rPr>
              <w:t>P</w:t>
            </w:r>
            <w:r w:rsidRPr="00615177">
              <w:rPr>
                <w:rFonts w:ascii="Arial Narrow" w:hAnsi="Arial Narrow" w:cs="Helvetica"/>
                <w:sz w:val="24"/>
                <w:szCs w:val="24"/>
              </w:rPr>
              <w:t xml:space="preserve">laintiff or its nominees. </w:t>
            </w:r>
          </w:p>
          <w:p w:rsidR="007F7CF1" w:rsidRPr="00F3655C" w:rsidRDefault="007F7CF1" w:rsidP="00615177">
            <w:pPr>
              <w:spacing w:before="100" w:beforeAutospacing="1" w:after="100" w:afterAutospacing="1" w:line="360" w:lineRule="auto"/>
              <w:jc w:val="both"/>
              <w:rPr>
                <w:rFonts w:ascii="Arial Narrow" w:eastAsia="Times New Roman" w:hAnsi="Arial Narrow" w:cs="Times New Roman"/>
                <w:color w:val="000000"/>
                <w:sz w:val="24"/>
                <w:szCs w:val="24"/>
                <w:lang w:eastAsia="en-ZA"/>
              </w:rPr>
            </w:pPr>
            <w:r w:rsidRPr="00F3655C">
              <w:rPr>
                <w:rFonts w:ascii="Arial Narrow" w:eastAsia="Times New Roman" w:hAnsi="Arial Narrow" w:cs="Times New Roman"/>
                <w:b/>
                <w:bCs/>
                <w:color w:val="000000"/>
                <w:sz w:val="24"/>
                <w:szCs w:val="24"/>
                <w:u w:val="single"/>
                <w:lang w:eastAsia="en-ZA"/>
              </w:rPr>
              <w:t>Further conduct of the matter</w:t>
            </w:r>
            <w:r w:rsidRPr="00F3655C">
              <w:rPr>
                <w:rFonts w:ascii="Arial Narrow" w:eastAsia="Times New Roman" w:hAnsi="Arial Narrow" w:cs="Times New Roman"/>
                <w:color w:val="000000"/>
                <w:sz w:val="24"/>
                <w:szCs w:val="24"/>
                <w:lang w:eastAsia="en-ZA"/>
              </w:rPr>
              <w:t>:</w:t>
            </w:r>
          </w:p>
          <w:p w:rsidR="00615177" w:rsidRDefault="007F7CF1" w:rsidP="00615177">
            <w:pPr>
              <w:pStyle w:val="ListParagraph"/>
              <w:numPr>
                <w:ilvl w:val="0"/>
                <w:numId w:val="3"/>
              </w:numPr>
              <w:spacing w:before="100" w:beforeAutospacing="1" w:after="100" w:afterAutospacing="1" w:line="360" w:lineRule="auto"/>
              <w:jc w:val="both"/>
              <w:rPr>
                <w:rFonts w:ascii="Arial Narrow" w:eastAsia="Times New Roman" w:hAnsi="Arial Narrow" w:cs="Times New Roman"/>
                <w:color w:val="000000"/>
                <w:sz w:val="24"/>
                <w:szCs w:val="24"/>
                <w:lang w:eastAsia="en-ZA"/>
              </w:rPr>
            </w:pPr>
            <w:r w:rsidRPr="00615177">
              <w:rPr>
                <w:rFonts w:ascii="Arial Narrow" w:eastAsia="Times New Roman" w:hAnsi="Arial Narrow" w:cs="Times New Roman"/>
                <w:color w:val="000000"/>
                <w:sz w:val="24"/>
                <w:szCs w:val="24"/>
                <w:lang w:eastAsia="en-ZA"/>
              </w:rPr>
              <w:t>The case is postponed to </w:t>
            </w:r>
            <w:r w:rsidRPr="00615177">
              <w:rPr>
                <w:rFonts w:ascii="Arial Narrow" w:eastAsia="Times New Roman" w:hAnsi="Arial Narrow" w:cs="Times New Roman"/>
                <w:b/>
                <w:bCs/>
                <w:color w:val="000000"/>
                <w:sz w:val="24"/>
                <w:szCs w:val="24"/>
                <w:lang w:eastAsia="en-ZA"/>
              </w:rPr>
              <w:t>03/04/2020</w:t>
            </w:r>
            <w:r w:rsidRPr="00615177">
              <w:rPr>
                <w:rFonts w:ascii="Arial Narrow" w:eastAsia="Times New Roman" w:hAnsi="Arial Narrow" w:cs="Times New Roman"/>
                <w:color w:val="000000"/>
                <w:sz w:val="24"/>
                <w:szCs w:val="24"/>
                <w:lang w:eastAsia="en-ZA"/>
              </w:rPr>
              <w:t> at</w:t>
            </w:r>
            <w:r w:rsidRPr="00615177">
              <w:rPr>
                <w:rFonts w:ascii="Arial Narrow" w:eastAsia="Times New Roman" w:hAnsi="Arial Narrow" w:cs="Times New Roman"/>
                <w:b/>
                <w:bCs/>
                <w:color w:val="000000"/>
                <w:sz w:val="24"/>
                <w:szCs w:val="24"/>
                <w:lang w:eastAsia="en-ZA"/>
              </w:rPr>
              <w:t> 09:00</w:t>
            </w:r>
            <w:r w:rsidRPr="00615177">
              <w:rPr>
                <w:rFonts w:ascii="Arial Narrow" w:eastAsia="Times New Roman" w:hAnsi="Arial Narrow" w:cs="Times New Roman"/>
                <w:color w:val="000000"/>
                <w:sz w:val="24"/>
                <w:szCs w:val="24"/>
                <w:lang w:eastAsia="en-ZA"/>
              </w:rPr>
              <w:t> for Status hearing.</w:t>
            </w:r>
          </w:p>
          <w:p w:rsidR="00607E9F" w:rsidRPr="00615177" w:rsidRDefault="007F7CF1" w:rsidP="00615177">
            <w:pPr>
              <w:pStyle w:val="ListParagraph"/>
              <w:numPr>
                <w:ilvl w:val="0"/>
                <w:numId w:val="3"/>
              </w:numPr>
              <w:spacing w:before="100" w:beforeAutospacing="1" w:after="100" w:afterAutospacing="1" w:line="360" w:lineRule="auto"/>
              <w:jc w:val="both"/>
              <w:rPr>
                <w:rFonts w:ascii="Arial Narrow" w:eastAsia="Times New Roman" w:hAnsi="Arial Narrow" w:cs="Times New Roman"/>
                <w:color w:val="000000"/>
                <w:sz w:val="24"/>
                <w:szCs w:val="24"/>
                <w:lang w:eastAsia="en-ZA"/>
              </w:rPr>
            </w:pPr>
            <w:r w:rsidRPr="00615177">
              <w:rPr>
                <w:rFonts w:ascii="Arial Narrow" w:eastAsia="Times New Roman" w:hAnsi="Arial Narrow" w:cs="Times New Roman"/>
                <w:color w:val="000000"/>
                <w:sz w:val="24"/>
                <w:szCs w:val="24"/>
                <w:lang w:eastAsia="en-ZA"/>
              </w:rPr>
              <w:t>The remaining parties must file a joint status report wherein the further conduct of the matter is dealt with. Said status report must be filed on or before 31 March 2020 to enable the Managing Judge to issue further directions from Chambers. </w:t>
            </w:r>
          </w:p>
          <w:p w:rsidR="007F7CF1" w:rsidRPr="00001364" w:rsidRDefault="007F7CF1" w:rsidP="007F7CF1">
            <w:pPr>
              <w:spacing w:before="100" w:beforeAutospacing="1" w:after="100" w:afterAutospacing="1"/>
              <w:jc w:val="both"/>
              <w:rPr>
                <w:rFonts w:ascii="Arial Narrow" w:hAnsi="Arial Narrow" w:cs="Arial"/>
                <w:sz w:val="24"/>
                <w:szCs w:val="24"/>
              </w:rPr>
            </w:pPr>
          </w:p>
        </w:tc>
      </w:tr>
      <w:tr w:rsidR="00607E9F" w:rsidRPr="00001364" w:rsidTr="00E314C4">
        <w:tc>
          <w:tcPr>
            <w:tcW w:w="9720" w:type="dxa"/>
            <w:gridSpan w:val="3"/>
          </w:tcPr>
          <w:p w:rsidR="00607E9F" w:rsidRPr="00001364" w:rsidRDefault="006B3B95" w:rsidP="006B3B95">
            <w:pPr>
              <w:spacing w:line="360" w:lineRule="auto"/>
              <w:jc w:val="both"/>
              <w:rPr>
                <w:rFonts w:ascii="Arial Narrow" w:hAnsi="Arial Narrow" w:cs="Arial"/>
                <w:b/>
                <w:sz w:val="24"/>
                <w:szCs w:val="24"/>
              </w:rPr>
            </w:pPr>
            <w:r w:rsidRPr="00001364">
              <w:rPr>
                <w:rFonts w:ascii="Arial Narrow" w:hAnsi="Arial Narrow" w:cs="Arial"/>
                <w:b/>
                <w:sz w:val="24"/>
                <w:szCs w:val="24"/>
              </w:rPr>
              <w:lastRenderedPageBreak/>
              <w:t xml:space="preserve">                                                                  </w:t>
            </w:r>
            <w:r w:rsidR="00607E9F" w:rsidRPr="00001364">
              <w:rPr>
                <w:rFonts w:ascii="Arial Narrow" w:hAnsi="Arial Narrow" w:cs="Arial"/>
                <w:b/>
                <w:sz w:val="24"/>
                <w:szCs w:val="24"/>
              </w:rPr>
              <w:t>Reasons for orders</w:t>
            </w:r>
          </w:p>
        </w:tc>
      </w:tr>
      <w:tr w:rsidR="00607E9F" w:rsidRPr="00001364" w:rsidTr="00E314C4">
        <w:tc>
          <w:tcPr>
            <w:tcW w:w="9720" w:type="dxa"/>
            <w:gridSpan w:val="3"/>
            <w:shd w:val="clear" w:color="auto" w:fill="auto"/>
          </w:tcPr>
          <w:p w:rsidR="00607E9F" w:rsidRPr="00001364" w:rsidRDefault="00607E9F" w:rsidP="00E314C4">
            <w:pPr>
              <w:tabs>
                <w:tab w:val="left" w:pos="1275"/>
              </w:tabs>
              <w:spacing w:line="360" w:lineRule="auto"/>
              <w:jc w:val="both"/>
              <w:rPr>
                <w:rFonts w:ascii="Arial Narrow" w:hAnsi="Arial Narrow" w:cs="Arial"/>
                <w:sz w:val="24"/>
                <w:szCs w:val="24"/>
              </w:rPr>
            </w:pPr>
          </w:p>
          <w:p w:rsidR="00D1047E" w:rsidRDefault="00D1047E" w:rsidP="003A41D7">
            <w:pPr>
              <w:spacing w:line="360" w:lineRule="auto"/>
              <w:jc w:val="both"/>
              <w:rPr>
                <w:rFonts w:ascii="Arial Narrow" w:hAnsi="Arial Narrow"/>
                <w:sz w:val="24"/>
                <w:szCs w:val="24"/>
              </w:rPr>
            </w:pPr>
            <w:r w:rsidRPr="00001364">
              <w:rPr>
                <w:rFonts w:ascii="Arial Narrow" w:hAnsi="Arial Narrow"/>
                <w:sz w:val="24"/>
                <w:szCs w:val="24"/>
              </w:rPr>
              <w:t>[</w:t>
            </w:r>
            <w:r w:rsidR="006B3B95" w:rsidRPr="00001364">
              <w:rPr>
                <w:rFonts w:ascii="Arial Narrow" w:hAnsi="Arial Narrow"/>
                <w:sz w:val="24"/>
                <w:szCs w:val="24"/>
              </w:rPr>
              <w:t>1</w:t>
            </w:r>
            <w:r w:rsidRPr="00001364">
              <w:rPr>
                <w:rFonts w:ascii="Arial Narrow" w:hAnsi="Arial Narrow"/>
                <w:sz w:val="24"/>
                <w:szCs w:val="24"/>
              </w:rPr>
              <w:t>]</w:t>
            </w:r>
            <w:r w:rsidRPr="00001364">
              <w:rPr>
                <w:rFonts w:ascii="Arial Narrow" w:hAnsi="Arial Narrow"/>
                <w:sz w:val="24"/>
                <w:szCs w:val="24"/>
              </w:rPr>
              <w:tab/>
              <w:t xml:space="preserve">The application before me is an application for default judgment. The plaintiff is only moving for default judgment against the first, second and seventh defendants. </w:t>
            </w:r>
          </w:p>
          <w:p w:rsidR="00554D2D" w:rsidRPr="00001364" w:rsidRDefault="00554D2D" w:rsidP="003A41D7">
            <w:pPr>
              <w:spacing w:line="360" w:lineRule="auto"/>
              <w:jc w:val="both"/>
              <w:rPr>
                <w:rFonts w:ascii="Arial Narrow" w:hAnsi="Arial Narrow"/>
                <w:sz w:val="24"/>
                <w:szCs w:val="24"/>
              </w:rPr>
            </w:pPr>
          </w:p>
          <w:p w:rsidR="00D1047E" w:rsidRPr="00001364" w:rsidRDefault="00D1047E" w:rsidP="003A41D7">
            <w:pPr>
              <w:spacing w:line="360" w:lineRule="auto"/>
              <w:jc w:val="both"/>
              <w:rPr>
                <w:rFonts w:ascii="Arial Narrow" w:hAnsi="Arial Narrow"/>
                <w:sz w:val="24"/>
                <w:szCs w:val="24"/>
              </w:rPr>
            </w:pPr>
            <w:r w:rsidRPr="00001364">
              <w:rPr>
                <w:rFonts w:ascii="Arial Narrow" w:hAnsi="Arial Narrow"/>
                <w:sz w:val="24"/>
                <w:szCs w:val="24"/>
              </w:rPr>
              <w:t>[</w:t>
            </w:r>
            <w:r w:rsidR="006B3B95" w:rsidRPr="00001364">
              <w:rPr>
                <w:rFonts w:ascii="Arial Narrow" w:hAnsi="Arial Narrow"/>
                <w:sz w:val="24"/>
                <w:szCs w:val="24"/>
              </w:rPr>
              <w:t>2</w:t>
            </w:r>
            <w:r w:rsidRPr="00001364">
              <w:rPr>
                <w:rFonts w:ascii="Arial Narrow" w:hAnsi="Arial Narrow"/>
                <w:sz w:val="24"/>
                <w:szCs w:val="24"/>
              </w:rPr>
              <w:t>]</w:t>
            </w:r>
            <w:r w:rsidRPr="00001364">
              <w:rPr>
                <w:rFonts w:ascii="Arial Narrow" w:hAnsi="Arial Narrow"/>
                <w:sz w:val="24"/>
                <w:szCs w:val="24"/>
              </w:rPr>
              <w:tab/>
              <w:t>The pleas of the first, second and seventh defendants (</w:t>
            </w:r>
            <w:r w:rsidR="00EB513B" w:rsidRPr="007F7CF1">
              <w:rPr>
                <w:rFonts w:ascii="Arial Narrow" w:hAnsi="Arial Narrow"/>
                <w:sz w:val="24"/>
                <w:szCs w:val="24"/>
              </w:rPr>
              <w:t>herein</w:t>
            </w:r>
            <w:r w:rsidR="00EB513B">
              <w:rPr>
                <w:rFonts w:ascii="Arial Narrow" w:hAnsi="Arial Narrow"/>
                <w:color w:val="FF0000"/>
                <w:sz w:val="24"/>
                <w:szCs w:val="24"/>
              </w:rPr>
              <w:t xml:space="preserve"> </w:t>
            </w:r>
            <w:r w:rsidRPr="00001364">
              <w:rPr>
                <w:rFonts w:ascii="Arial Narrow" w:hAnsi="Arial Narrow"/>
                <w:sz w:val="24"/>
                <w:szCs w:val="24"/>
              </w:rPr>
              <w:t>the defendants) were struck out in terms of Rule 53</w:t>
            </w:r>
            <w:r w:rsidR="00263369">
              <w:rPr>
                <w:rFonts w:ascii="Arial Narrow" w:hAnsi="Arial Narrow"/>
                <w:sz w:val="24"/>
                <w:szCs w:val="24"/>
              </w:rPr>
              <w:t xml:space="preserve"> </w:t>
            </w:r>
            <w:r w:rsidRPr="00001364">
              <w:rPr>
                <w:rFonts w:ascii="Arial Narrow" w:hAnsi="Arial Narrow"/>
                <w:sz w:val="24"/>
                <w:szCs w:val="24"/>
              </w:rPr>
              <w:t>(2</w:t>
            </w:r>
            <w:r w:rsidR="00554D2D" w:rsidRPr="00001364">
              <w:rPr>
                <w:rFonts w:ascii="Arial Narrow" w:hAnsi="Arial Narrow"/>
                <w:sz w:val="24"/>
                <w:szCs w:val="24"/>
              </w:rPr>
              <w:t>) (</w:t>
            </w:r>
            <w:r w:rsidRPr="00001364">
              <w:rPr>
                <w:rFonts w:ascii="Arial Narrow" w:hAnsi="Arial Narrow"/>
                <w:sz w:val="24"/>
                <w:szCs w:val="24"/>
              </w:rPr>
              <w:t>c) of the Rules of Court on 11 September 2019</w:t>
            </w:r>
            <w:r w:rsidRPr="00001364">
              <w:rPr>
                <w:rStyle w:val="FootnoteReference"/>
                <w:rFonts w:ascii="Arial Narrow" w:hAnsi="Arial Narrow"/>
                <w:sz w:val="24"/>
                <w:szCs w:val="24"/>
              </w:rPr>
              <w:footnoteReference w:id="1"/>
            </w:r>
            <w:r w:rsidRPr="00001364">
              <w:rPr>
                <w:rFonts w:ascii="Arial Narrow" w:hAnsi="Arial Narrow"/>
                <w:sz w:val="24"/>
                <w:szCs w:val="24"/>
              </w:rPr>
              <w:t>.</w:t>
            </w:r>
          </w:p>
          <w:p w:rsidR="00D1047E" w:rsidRPr="00001364" w:rsidRDefault="00D1047E" w:rsidP="003A41D7">
            <w:pPr>
              <w:spacing w:line="360" w:lineRule="auto"/>
              <w:jc w:val="both"/>
              <w:rPr>
                <w:rFonts w:ascii="Arial Narrow" w:hAnsi="Arial Narrow"/>
                <w:sz w:val="24"/>
                <w:szCs w:val="24"/>
              </w:rPr>
            </w:pPr>
          </w:p>
          <w:p w:rsidR="006B3B95" w:rsidRDefault="006B3B95" w:rsidP="003A41D7">
            <w:pPr>
              <w:spacing w:line="360" w:lineRule="auto"/>
              <w:jc w:val="both"/>
              <w:rPr>
                <w:rFonts w:ascii="Arial Narrow" w:hAnsi="Arial Narrow"/>
                <w:sz w:val="24"/>
                <w:szCs w:val="24"/>
                <w:u w:val="single"/>
              </w:rPr>
            </w:pPr>
            <w:r w:rsidRPr="00001364">
              <w:rPr>
                <w:rFonts w:ascii="Arial Narrow" w:hAnsi="Arial Narrow"/>
                <w:sz w:val="24"/>
                <w:szCs w:val="24"/>
                <w:u w:val="single"/>
              </w:rPr>
              <w:lastRenderedPageBreak/>
              <w:t>Background</w:t>
            </w:r>
          </w:p>
          <w:p w:rsidR="00263369" w:rsidRPr="00001364" w:rsidRDefault="00263369" w:rsidP="003A41D7">
            <w:pPr>
              <w:spacing w:line="360" w:lineRule="auto"/>
              <w:jc w:val="both"/>
              <w:rPr>
                <w:rFonts w:ascii="Arial Narrow" w:hAnsi="Arial Narrow"/>
                <w:sz w:val="24"/>
                <w:szCs w:val="24"/>
              </w:rPr>
            </w:pPr>
          </w:p>
          <w:p w:rsidR="006B3B95" w:rsidRPr="00001364" w:rsidRDefault="006B3B95" w:rsidP="003A41D7">
            <w:pPr>
              <w:spacing w:line="360" w:lineRule="auto"/>
              <w:jc w:val="both"/>
              <w:rPr>
                <w:rFonts w:ascii="Arial Narrow" w:hAnsi="Arial Narrow"/>
                <w:sz w:val="24"/>
                <w:szCs w:val="24"/>
              </w:rPr>
            </w:pPr>
            <w:r w:rsidRPr="00001364">
              <w:rPr>
                <w:rFonts w:ascii="Arial Narrow" w:hAnsi="Arial Narrow"/>
                <w:sz w:val="24"/>
                <w:szCs w:val="24"/>
              </w:rPr>
              <w:t>[3]</w:t>
            </w:r>
            <w:r w:rsidRPr="00001364">
              <w:rPr>
                <w:rFonts w:ascii="Arial Narrow" w:hAnsi="Arial Narrow"/>
                <w:sz w:val="24"/>
                <w:szCs w:val="24"/>
              </w:rPr>
              <w:tab/>
              <w:t xml:space="preserve">During March 2009 and September 2013 the defendants were employed by the plaintiff in various positions at the plaintiff’s Windhoek </w:t>
            </w:r>
            <w:r w:rsidR="009F15FD" w:rsidRPr="007F7CF1">
              <w:rPr>
                <w:rFonts w:ascii="Arial Narrow" w:hAnsi="Arial Narrow"/>
                <w:sz w:val="24"/>
                <w:szCs w:val="24"/>
              </w:rPr>
              <w:t>o</w:t>
            </w:r>
            <w:r w:rsidRPr="00001364">
              <w:rPr>
                <w:rFonts w:ascii="Arial Narrow" w:hAnsi="Arial Narrow"/>
                <w:sz w:val="24"/>
                <w:szCs w:val="24"/>
              </w:rPr>
              <w:t>ffice.  The first and the second defendants were employed as Customer Sales Age</w:t>
            </w:r>
            <w:r w:rsidR="00B2600D">
              <w:rPr>
                <w:rFonts w:ascii="Arial Narrow" w:hAnsi="Arial Narrow"/>
                <w:sz w:val="24"/>
                <w:szCs w:val="24"/>
              </w:rPr>
              <w:t xml:space="preserve">nts </w:t>
            </w:r>
            <w:r w:rsidRPr="00001364">
              <w:rPr>
                <w:rFonts w:ascii="Arial Narrow" w:hAnsi="Arial Narrow"/>
                <w:sz w:val="24"/>
                <w:szCs w:val="24"/>
              </w:rPr>
              <w:t>and the seventh defendant was employed as the Country Manager.</w:t>
            </w:r>
          </w:p>
          <w:p w:rsidR="00BF2025" w:rsidRPr="00001364" w:rsidRDefault="00BF2025" w:rsidP="003A41D7">
            <w:pPr>
              <w:spacing w:line="360" w:lineRule="auto"/>
              <w:jc w:val="both"/>
              <w:rPr>
                <w:rFonts w:ascii="Arial Narrow" w:hAnsi="Arial Narrow"/>
                <w:sz w:val="24"/>
                <w:szCs w:val="24"/>
              </w:rPr>
            </w:pPr>
          </w:p>
          <w:p w:rsidR="006B3B95" w:rsidRPr="00001364" w:rsidRDefault="006B3B95" w:rsidP="003A41D7">
            <w:pPr>
              <w:spacing w:line="360" w:lineRule="auto"/>
              <w:jc w:val="both"/>
              <w:rPr>
                <w:rFonts w:ascii="Arial Narrow" w:hAnsi="Arial Narrow"/>
                <w:sz w:val="24"/>
                <w:szCs w:val="24"/>
              </w:rPr>
            </w:pPr>
            <w:r w:rsidRPr="00001364">
              <w:rPr>
                <w:rFonts w:ascii="Arial Narrow" w:hAnsi="Arial Narrow"/>
                <w:sz w:val="24"/>
                <w:szCs w:val="24"/>
              </w:rPr>
              <w:t>[4]</w:t>
            </w:r>
            <w:r w:rsidRPr="00001364">
              <w:rPr>
                <w:rFonts w:ascii="Arial Narrow" w:hAnsi="Arial Narrow"/>
                <w:sz w:val="24"/>
                <w:szCs w:val="24"/>
              </w:rPr>
              <w:tab/>
              <w:t>During 19 August 2013 to 23 August 2013 the plaintiff</w:t>
            </w:r>
            <w:r w:rsidR="00D4716A">
              <w:rPr>
                <w:rFonts w:ascii="Arial Narrow" w:hAnsi="Arial Narrow"/>
                <w:sz w:val="24"/>
                <w:szCs w:val="24"/>
              </w:rPr>
              <w:t>,</w:t>
            </w:r>
            <w:r w:rsidRPr="00001364">
              <w:rPr>
                <w:rFonts w:ascii="Arial Narrow" w:hAnsi="Arial Narrow"/>
                <w:sz w:val="24"/>
                <w:szCs w:val="24"/>
              </w:rPr>
              <w:t xml:space="preserve"> through its finance department in South Africa conducted an investigation into irregular and high baggage </w:t>
            </w:r>
            <w:r w:rsidRPr="007F7CF1">
              <w:rPr>
                <w:rFonts w:ascii="Arial Narrow" w:hAnsi="Arial Narrow"/>
                <w:sz w:val="24"/>
                <w:szCs w:val="24"/>
              </w:rPr>
              <w:t>expenditure</w:t>
            </w:r>
            <w:r w:rsidR="009F15FD" w:rsidRPr="007F7CF1">
              <w:rPr>
                <w:rFonts w:ascii="Arial Narrow" w:hAnsi="Arial Narrow"/>
                <w:sz w:val="24"/>
                <w:szCs w:val="24"/>
              </w:rPr>
              <w:t xml:space="preserve"> claims</w:t>
            </w:r>
            <w:r w:rsidRPr="007F7CF1">
              <w:rPr>
                <w:rFonts w:ascii="Arial Narrow" w:hAnsi="Arial Narrow"/>
                <w:sz w:val="24"/>
                <w:szCs w:val="24"/>
              </w:rPr>
              <w:t xml:space="preserve"> </w:t>
            </w:r>
            <w:r w:rsidRPr="00001364">
              <w:rPr>
                <w:rFonts w:ascii="Arial Narrow" w:hAnsi="Arial Narrow"/>
                <w:sz w:val="24"/>
                <w:szCs w:val="24"/>
              </w:rPr>
              <w:t xml:space="preserve">by the Windhoek Station. </w:t>
            </w:r>
          </w:p>
          <w:p w:rsidR="00BF2025" w:rsidRPr="00001364" w:rsidRDefault="00BF2025" w:rsidP="003A41D7">
            <w:pPr>
              <w:spacing w:line="360" w:lineRule="auto"/>
              <w:jc w:val="both"/>
              <w:rPr>
                <w:rFonts w:ascii="Arial Narrow" w:hAnsi="Arial Narrow"/>
                <w:sz w:val="24"/>
                <w:szCs w:val="24"/>
              </w:rPr>
            </w:pPr>
          </w:p>
          <w:p w:rsidR="006B3B95" w:rsidRPr="00001364" w:rsidRDefault="006B3B95" w:rsidP="003A41D7">
            <w:pPr>
              <w:spacing w:line="360" w:lineRule="auto"/>
              <w:jc w:val="both"/>
              <w:rPr>
                <w:rFonts w:ascii="Arial Narrow" w:hAnsi="Arial Narrow"/>
                <w:sz w:val="24"/>
                <w:szCs w:val="24"/>
              </w:rPr>
            </w:pPr>
            <w:r w:rsidRPr="00001364">
              <w:rPr>
                <w:rFonts w:ascii="Arial Narrow" w:hAnsi="Arial Narrow"/>
                <w:sz w:val="24"/>
                <w:szCs w:val="24"/>
              </w:rPr>
              <w:t>[5]</w:t>
            </w:r>
            <w:r w:rsidRPr="00001364">
              <w:rPr>
                <w:rFonts w:ascii="Arial Narrow" w:hAnsi="Arial Narrow"/>
                <w:sz w:val="24"/>
                <w:szCs w:val="24"/>
              </w:rPr>
              <w:tab/>
              <w:t xml:space="preserve">A further independent forensic investigation was conducted by the plaintiff’s insurers during April 2014 and the results were provided to the plaintiff. The plaintiff, after coming to have knowledge of the results of the aforementioned investigations, came to realise that extensive fraud, theft and irregularities in respect </w:t>
            </w:r>
            <w:r w:rsidR="009F15FD" w:rsidRPr="007F7CF1">
              <w:rPr>
                <w:rFonts w:ascii="Arial Narrow" w:hAnsi="Arial Narrow"/>
                <w:sz w:val="24"/>
                <w:szCs w:val="24"/>
              </w:rPr>
              <w:t>of</w:t>
            </w:r>
            <w:r w:rsidR="009F15FD">
              <w:rPr>
                <w:rFonts w:ascii="Arial Narrow" w:hAnsi="Arial Narrow"/>
                <w:color w:val="FF0000"/>
                <w:sz w:val="24"/>
                <w:szCs w:val="24"/>
              </w:rPr>
              <w:t xml:space="preserve"> </w:t>
            </w:r>
            <w:r w:rsidRPr="00001364">
              <w:rPr>
                <w:rFonts w:ascii="Arial Narrow" w:hAnsi="Arial Narrow"/>
                <w:sz w:val="24"/>
                <w:szCs w:val="24"/>
              </w:rPr>
              <w:t xml:space="preserve">and involving fraudulent baggage claims had taken place at the plaintiff’s Windhoek office during the period concerned. </w:t>
            </w:r>
          </w:p>
          <w:p w:rsidR="00BF2025" w:rsidRPr="00001364" w:rsidRDefault="00BF2025" w:rsidP="003A41D7">
            <w:pPr>
              <w:spacing w:line="360" w:lineRule="auto"/>
              <w:jc w:val="both"/>
              <w:rPr>
                <w:rFonts w:ascii="Arial Narrow" w:hAnsi="Arial Narrow"/>
                <w:sz w:val="24"/>
                <w:szCs w:val="24"/>
              </w:rPr>
            </w:pPr>
          </w:p>
          <w:p w:rsidR="006B3B95" w:rsidRDefault="006B3B95" w:rsidP="003A41D7">
            <w:pPr>
              <w:spacing w:line="360" w:lineRule="auto"/>
              <w:jc w:val="both"/>
              <w:rPr>
                <w:rFonts w:ascii="Arial Narrow" w:hAnsi="Arial Narrow"/>
                <w:sz w:val="24"/>
                <w:szCs w:val="24"/>
              </w:rPr>
            </w:pPr>
            <w:r w:rsidRPr="00001364">
              <w:rPr>
                <w:rFonts w:ascii="Arial Narrow" w:hAnsi="Arial Narrow"/>
                <w:sz w:val="24"/>
                <w:szCs w:val="24"/>
              </w:rPr>
              <w:t>[6]</w:t>
            </w:r>
            <w:r w:rsidRPr="00001364">
              <w:rPr>
                <w:rFonts w:ascii="Arial Narrow" w:hAnsi="Arial Narrow"/>
                <w:sz w:val="24"/>
                <w:szCs w:val="24"/>
              </w:rPr>
              <w:tab/>
              <w:t>The plaintiff make</w:t>
            </w:r>
            <w:r w:rsidR="00F26CFC" w:rsidRPr="007F7CF1">
              <w:rPr>
                <w:rFonts w:ascii="Arial Narrow" w:hAnsi="Arial Narrow"/>
                <w:sz w:val="24"/>
                <w:szCs w:val="24"/>
              </w:rPr>
              <w:t>s</w:t>
            </w:r>
            <w:r w:rsidRPr="00001364">
              <w:rPr>
                <w:rFonts w:ascii="Arial Narrow" w:hAnsi="Arial Narrow"/>
                <w:sz w:val="24"/>
                <w:szCs w:val="24"/>
              </w:rPr>
              <w:t xml:space="preserve"> the allegation that the defendants</w:t>
            </w:r>
            <w:r w:rsidR="00F26CFC">
              <w:rPr>
                <w:rFonts w:ascii="Arial Narrow" w:hAnsi="Arial Narrow"/>
                <w:sz w:val="24"/>
                <w:szCs w:val="24"/>
              </w:rPr>
              <w:t>,</w:t>
            </w:r>
            <w:r w:rsidRPr="00001364">
              <w:rPr>
                <w:rFonts w:ascii="Arial Narrow" w:hAnsi="Arial Narrow"/>
                <w:sz w:val="24"/>
                <w:szCs w:val="24"/>
              </w:rPr>
              <w:t xml:space="preserve"> jointly and severally, and while all the time assisting one another, acted as follows:</w:t>
            </w:r>
          </w:p>
          <w:p w:rsidR="0081195E" w:rsidRPr="00001364" w:rsidRDefault="0081195E" w:rsidP="003A41D7">
            <w:pPr>
              <w:spacing w:line="360" w:lineRule="auto"/>
              <w:jc w:val="both"/>
              <w:rPr>
                <w:rFonts w:ascii="Arial Narrow" w:hAnsi="Arial Narrow"/>
                <w:sz w:val="24"/>
                <w:szCs w:val="24"/>
              </w:rPr>
            </w:pPr>
          </w:p>
          <w:p w:rsidR="00AF5E62" w:rsidRDefault="00725250" w:rsidP="00AF5E62">
            <w:pPr>
              <w:pStyle w:val="ListParagraph"/>
              <w:numPr>
                <w:ilvl w:val="0"/>
                <w:numId w:val="4"/>
              </w:numPr>
              <w:spacing w:line="360" w:lineRule="auto"/>
              <w:jc w:val="both"/>
              <w:rPr>
                <w:rFonts w:ascii="Arial Narrow" w:hAnsi="Arial Narrow"/>
                <w:sz w:val="24"/>
                <w:szCs w:val="24"/>
              </w:rPr>
            </w:pPr>
            <w:r w:rsidRPr="00AF5E62">
              <w:rPr>
                <w:rFonts w:ascii="Arial Narrow" w:hAnsi="Arial Narrow"/>
                <w:sz w:val="24"/>
                <w:szCs w:val="24"/>
              </w:rPr>
              <w:lastRenderedPageBreak/>
              <w:t>T</w:t>
            </w:r>
            <w:r w:rsidR="006B3B95" w:rsidRPr="00AF5E62">
              <w:rPr>
                <w:rFonts w:ascii="Arial Narrow" w:hAnsi="Arial Narrow"/>
                <w:sz w:val="24"/>
                <w:szCs w:val="24"/>
              </w:rPr>
              <w:t>he defendants from time to time represen</w:t>
            </w:r>
            <w:r w:rsidR="006B3B95" w:rsidRPr="007F7CF1">
              <w:rPr>
                <w:rFonts w:ascii="Arial Narrow" w:hAnsi="Arial Narrow"/>
                <w:sz w:val="24"/>
                <w:szCs w:val="24"/>
              </w:rPr>
              <w:t>t</w:t>
            </w:r>
            <w:r w:rsidR="003B00F8" w:rsidRPr="007F7CF1">
              <w:rPr>
                <w:rFonts w:ascii="Arial Narrow" w:hAnsi="Arial Narrow"/>
                <w:sz w:val="24"/>
                <w:szCs w:val="24"/>
              </w:rPr>
              <w:t>ed</w:t>
            </w:r>
            <w:r w:rsidR="006B3B95" w:rsidRPr="007F7CF1">
              <w:rPr>
                <w:rFonts w:ascii="Arial Narrow" w:hAnsi="Arial Narrow"/>
                <w:sz w:val="24"/>
                <w:szCs w:val="24"/>
              </w:rPr>
              <w:t xml:space="preserve"> </w:t>
            </w:r>
            <w:r w:rsidR="006B3B95" w:rsidRPr="00AF5E62">
              <w:rPr>
                <w:rFonts w:ascii="Arial Narrow" w:hAnsi="Arial Narrow"/>
                <w:sz w:val="24"/>
                <w:szCs w:val="24"/>
              </w:rPr>
              <w:t>to the plaintiff that a lost baggage claim had been registered on the international baggage tracking system known as ‘WorldTracer;</w:t>
            </w:r>
          </w:p>
          <w:p w:rsidR="00AF5E62" w:rsidRDefault="00725250" w:rsidP="00AF5E62">
            <w:pPr>
              <w:pStyle w:val="ListParagraph"/>
              <w:numPr>
                <w:ilvl w:val="0"/>
                <w:numId w:val="4"/>
              </w:numPr>
              <w:spacing w:line="360" w:lineRule="auto"/>
              <w:jc w:val="both"/>
              <w:rPr>
                <w:rFonts w:ascii="Arial Narrow" w:hAnsi="Arial Narrow"/>
                <w:sz w:val="24"/>
                <w:szCs w:val="24"/>
              </w:rPr>
            </w:pPr>
            <w:r w:rsidRPr="00AF5E62">
              <w:rPr>
                <w:rFonts w:ascii="Arial Narrow" w:hAnsi="Arial Narrow"/>
                <w:sz w:val="24"/>
                <w:szCs w:val="24"/>
              </w:rPr>
              <w:t>T</w:t>
            </w:r>
            <w:r w:rsidR="006B3B95" w:rsidRPr="00AF5E62">
              <w:rPr>
                <w:rFonts w:ascii="Arial Narrow" w:hAnsi="Arial Narrow"/>
                <w:sz w:val="24"/>
                <w:szCs w:val="24"/>
              </w:rPr>
              <w:t xml:space="preserve">he defendants generated false ‘WorldTracer’ claim reference numbers and would then use the ‘WordTracer’ reference number to generate false claims in order to authorize the procurement of quotation for the replacement of a fictitious passenger’s lost luggage. The defendants would misrepresent to the plaintiff that a fictitious passenger’s luggage was damaged beyond repair and the basis of this </w:t>
            </w:r>
            <w:r w:rsidR="00CC7B58" w:rsidRPr="00AF5E62">
              <w:rPr>
                <w:rFonts w:ascii="Arial Narrow" w:hAnsi="Arial Narrow"/>
                <w:sz w:val="24"/>
                <w:szCs w:val="24"/>
              </w:rPr>
              <w:t xml:space="preserve">a </w:t>
            </w:r>
            <w:r w:rsidR="006B3B95" w:rsidRPr="00AF5E62">
              <w:rPr>
                <w:rFonts w:ascii="Arial Narrow" w:hAnsi="Arial Narrow"/>
                <w:sz w:val="24"/>
                <w:szCs w:val="24"/>
              </w:rPr>
              <w:t>quotation was obtained and represented to the plaintiff for payment</w:t>
            </w:r>
            <w:r w:rsidR="006B3B95" w:rsidRPr="007F7CF1">
              <w:rPr>
                <w:rFonts w:ascii="Arial Narrow" w:hAnsi="Arial Narrow"/>
                <w:sz w:val="24"/>
                <w:szCs w:val="24"/>
              </w:rPr>
              <w:t xml:space="preserve"> </w:t>
            </w:r>
            <w:r w:rsidR="003B00F8" w:rsidRPr="007F7CF1">
              <w:rPr>
                <w:rFonts w:ascii="Arial Narrow" w:hAnsi="Arial Narrow"/>
                <w:sz w:val="24"/>
                <w:szCs w:val="24"/>
              </w:rPr>
              <w:t xml:space="preserve">for </w:t>
            </w:r>
            <w:r w:rsidR="006B3B95" w:rsidRPr="00AF5E62">
              <w:rPr>
                <w:rFonts w:ascii="Arial Narrow" w:hAnsi="Arial Narrow"/>
                <w:sz w:val="24"/>
                <w:szCs w:val="24"/>
              </w:rPr>
              <w:t>the replacement value of the fictitious luggage;</w:t>
            </w:r>
          </w:p>
          <w:p w:rsidR="00AF5E62" w:rsidRDefault="00725250" w:rsidP="00AF5E62">
            <w:pPr>
              <w:pStyle w:val="ListParagraph"/>
              <w:numPr>
                <w:ilvl w:val="0"/>
                <w:numId w:val="4"/>
              </w:numPr>
              <w:spacing w:line="360" w:lineRule="auto"/>
              <w:jc w:val="both"/>
              <w:rPr>
                <w:rFonts w:ascii="Arial Narrow" w:hAnsi="Arial Narrow"/>
                <w:sz w:val="24"/>
                <w:szCs w:val="24"/>
              </w:rPr>
            </w:pPr>
            <w:r w:rsidRPr="00AF5E62">
              <w:rPr>
                <w:rFonts w:ascii="Arial Narrow" w:hAnsi="Arial Narrow"/>
                <w:sz w:val="24"/>
                <w:szCs w:val="24"/>
              </w:rPr>
              <w:t>A</w:t>
            </w:r>
            <w:r w:rsidR="006B3B95" w:rsidRPr="00AF5E62">
              <w:rPr>
                <w:rFonts w:ascii="Arial Narrow" w:hAnsi="Arial Narrow"/>
                <w:sz w:val="24"/>
                <w:szCs w:val="24"/>
              </w:rPr>
              <w:t>t all material times and in the course and scope of the plaintiff’s business the plaintiff used an internal control document when disbursing cas</w:t>
            </w:r>
            <w:r w:rsidR="00012DAB">
              <w:rPr>
                <w:rFonts w:ascii="Arial Narrow" w:hAnsi="Arial Narrow"/>
                <w:sz w:val="24"/>
                <w:szCs w:val="24"/>
              </w:rPr>
              <w:t xml:space="preserve">h, referred to as an ‘AW307’. </w:t>
            </w:r>
            <w:r w:rsidR="00CC7B58" w:rsidRPr="00AF5E62">
              <w:rPr>
                <w:rFonts w:ascii="Arial Narrow" w:hAnsi="Arial Narrow"/>
                <w:sz w:val="24"/>
                <w:szCs w:val="24"/>
              </w:rPr>
              <w:t>T</w:t>
            </w:r>
            <w:r w:rsidR="006B3B95" w:rsidRPr="00AF5E62">
              <w:rPr>
                <w:rFonts w:ascii="Arial Narrow" w:hAnsi="Arial Narrow"/>
                <w:sz w:val="24"/>
                <w:szCs w:val="24"/>
              </w:rPr>
              <w:t>he defendants would assist each other in signing off on the AW307 (which was issued on the strength of the fraudulent quotation) and also in distributing the cash to the fictitious passenger in order to replace fictitious luggage;</w:t>
            </w:r>
          </w:p>
          <w:p w:rsidR="00AF5E62" w:rsidRDefault="006B3B95" w:rsidP="00AF5E62">
            <w:pPr>
              <w:pStyle w:val="ListParagraph"/>
              <w:numPr>
                <w:ilvl w:val="0"/>
                <w:numId w:val="4"/>
              </w:numPr>
              <w:spacing w:line="360" w:lineRule="auto"/>
              <w:jc w:val="both"/>
              <w:rPr>
                <w:rFonts w:ascii="Arial Narrow" w:hAnsi="Arial Narrow"/>
                <w:sz w:val="24"/>
                <w:szCs w:val="24"/>
              </w:rPr>
            </w:pPr>
            <w:r w:rsidRPr="00AF5E62">
              <w:rPr>
                <w:rFonts w:ascii="Arial Narrow" w:hAnsi="Arial Narrow"/>
                <w:sz w:val="24"/>
                <w:szCs w:val="24"/>
              </w:rPr>
              <w:t xml:space="preserve">After the cash was distributed a false tax invoice for the fictitious baggage purchase was obtained and presented to the plaintiff, following which one of the employee defendants would submit an ‘SAA Expense Authorization’ form together with the AW307 form and false invoice to the financial supervisor for approval. The fraudulent expenditure was then approved and paid out. </w:t>
            </w:r>
            <w:r w:rsidR="00725250" w:rsidRPr="00AF5E62">
              <w:rPr>
                <w:rFonts w:ascii="Arial Narrow" w:hAnsi="Arial Narrow"/>
                <w:sz w:val="24"/>
                <w:szCs w:val="24"/>
              </w:rPr>
              <w:t xml:space="preserve">The false invoices were obtained from vendors </w:t>
            </w:r>
            <w:r w:rsidR="003A0E10" w:rsidRPr="007F7CF1">
              <w:rPr>
                <w:rFonts w:ascii="Arial Narrow" w:hAnsi="Arial Narrow"/>
                <w:sz w:val="24"/>
                <w:szCs w:val="24"/>
              </w:rPr>
              <w:t>who</w:t>
            </w:r>
            <w:r w:rsidR="003A0E10">
              <w:rPr>
                <w:rFonts w:ascii="Arial Narrow" w:hAnsi="Arial Narrow"/>
                <w:color w:val="FF0000"/>
                <w:sz w:val="24"/>
                <w:szCs w:val="24"/>
              </w:rPr>
              <w:t xml:space="preserve"> </w:t>
            </w:r>
            <w:r w:rsidR="00725250" w:rsidRPr="00AF5E62">
              <w:rPr>
                <w:rFonts w:ascii="Arial Narrow" w:hAnsi="Arial Narrow"/>
                <w:sz w:val="24"/>
                <w:szCs w:val="24"/>
              </w:rPr>
              <w:t xml:space="preserve">were not </w:t>
            </w:r>
            <w:r w:rsidR="003A0E10" w:rsidRPr="007F7CF1">
              <w:rPr>
                <w:rFonts w:ascii="Arial Narrow" w:hAnsi="Arial Narrow"/>
                <w:sz w:val="24"/>
                <w:szCs w:val="24"/>
              </w:rPr>
              <w:t>registered</w:t>
            </w:r>
            <w:r w:rsidR="003A0E10">
              <w:rPr>
                <w:rFonts w:ascii="Arial Narrow" w:hAnsi="Arial Narrow"/>
                <w:color w:val="FF0000"/>
                <w:sz w:val="24"/>
                <w:szCs w:val="24"/>
              </w:rPr>
              <w:t xml:space="preserve"> </w:t>
            </w:r>
            <w:r w:rsidR="00725250" w:rsidRPr="00AF5E62">
              <w:rPr>
                <w:rFonts w:ascii="Arial Narrow" w:hAnsi="Arial Narrow"/>
                <w:sz w:val="24"/>
                <w:szCs w:val="24"/>
              </w:rPr>
              <w:t xml:space="preserve">by the </w:t>
            </w:r>
            <w:r w:rsidR="00725250" w:rsidRPr="00AF5E62">
              <w:rPr>
                <w:rFonts w:ascii="Arial Narrow" w:hAnsi="Arial Narrow"/>
                <w:sz w:val="24"/>
                <w:szCs w:val="24"/>
              </w:rPr>
              <w:lastRenderedPageBreak/>
              <w:t xml:space="preserve">plaintiff. The </w:t>
            </w:r>
            <w:r w:rsidR="00247098" w:rsidRPr="007F7CF1">
              <w:rPr>
                <w:rFonts w:ascii="Arial Narrow" w:hAnsi="Arial Narrow"/>
                <w:sz w:val="24"/>
                <w:szCs w:val="24"/>
              </w:rPr>
              <w:t>F</w:t>
            </w:r>
            <w:r w:rsidR="00725250" w:rsidRPr="007F7CF1">
              <w:rPr>
                <w:rFonts w:ascii="Arial Narrow" w:hAnsi="Arial Narrow"/>
                <w:sz w:val="24"/>
                <w:szCs w:val="24"/>
              </w:rPr>
              <w:t xml:space="preserve">inance officer, </w:t>
            </w:r>
            <w:r w:rsidR="00247098" w:rsidRPr="007F7CF1">
              <w:rPr>
                <w:rFonts w:ascii="Arial Narrow" w:hAnsi="Arial Narrow"/>
                <w:sz w:val="24"/>
                <w:szCs w:val="24"/>
              </w:rPr>
              <w:t>F</w:t>
            </w:r>
            <w:r w:rsidR="00725250" w:rsidRPr="007F7CF1">
              <w:rPr>
                <w:rFonts w:ascii="Arial Narrow" w:hAnsi="Arial Narrow"/>
                <w:sz w:val="24"/>
                <w:szCs w:val="24"/>
              </w:rPr>
              <w:t xml:space="preserve">inance </w:t>
            </w:r>
            <w:r w:rsidR="00247098" w:rsidRPr="007F7CF1">
              <w:rPr>
                <w:rFonts w:ascii="Arial Narrow" w:hAnsi="Arial Narrow"/>
                <w:sz w:val="24"/>
                <w:szCs w:val="24"/>
              </w:rPr>
              <w:t>S</w:t>
            </w:r>
            <w:r w:rsidR="00725250" w:rsidRPr="007F7CF1">
              <w:rPr>
                <w:rFonts w:ascii="Arial Narrow" w:hAnsi="Arial Narrow"/>
                <w:sz w:val="24"/>
                <w:szCs w:val="24"/>
              </w:rPr>
              <w:t xml:space="preserve">upervisor and </w:t>
            </w:r>
            <w:r w:rsidR="00247098" w:rsidRPr="007F7CF1">
              <w:rPr>
                <w:rFonts w:ascii="Arial Narrow" w:hAnsi="Arial Narrow"/>
                <w:sz w:val="24"/>
                <w:szCs w:val="24"/>
              </w:rPr>
              <w:t>C</w:t>
            </w:r>
            <w:r w:rsidR="00725250" w:rsidRPr="007F7CF1">
              <w:rPr>
                <w:rFonts w:ascii="Arial Narrow" w:hAnsi="Arial Narrow"/>
                <w:sz w:val="24"/>
                <w:szCs w:val="24"/>
              </w:rPr>
              <w:t xml:space="preserve">ountry </w:t>
            </w:r>
            <w:r w:rsidR="00247098" w:rsidRPr="007F7CF1">
              <w:rPr>
                <w:rFonts w:ascii="Arial Narrow" w:hAnsi="Arial Narrow"/>
                <w:sz w:val="24"/>
                <w:szCs w:val="24"/>
              </w:rPr>
              <w:t>M</w:t>
            </w:r>
            <w:r w:rsidR="00725250" w:rsidRPr="007F7CF1">
              <w:rPr>
                <w:rFonts w:ascii="Arial Narrow" w:hAnsi="Arial Narrow"/>
                <w:sz w:val="24"/>
                <w:szCs w:val="24"/>
              </w:rPr>
              <w:t xml:space="preserve">anager </w:t>
            </w:r>
            <w:r w:rsidR="00725250" w:rsidRPr="00AF5E62">
              <w:rPr>
                <w:rFonts w:ascii="Arial Narrow" w:hAnsi="Arial Narrow"/>
                <w:sz w:val="24"/>
                <w:szCs w:val="24"/>
              </w:rPr>
              <w:t xml:space="preserve">were well aware of which vendors were recognised by plaintiff. </w:t>
            </w:r>
          </w:p>
          <w:p w:rsidR="00AF5E62" w:rsidRDefault="00725250" w:rsidP="00AF5E62">
            <w:pPr>
              <w:pStyle w:val="ListParagraph"/>
              <w:numPr>
                <w:ilvl w:val="0"/>
                <w:numId w:val="4"/>
              </w:numPr>
              <w:spacing w:line="360" w:lineRule="auto"/>
              <w:jc w:val="both"/>
              <w:rPr>
                <w:rFonts w:ascii="Arial Narrow" w:hAnsi="Arial Narrow"/>
                <w:sz w:val="24"/>
                <w:szCs w:val="24"/>
              </w:rPr>
            </w:pPr>
            <w:r w:rsidRPr="00AF5E62">
              <w:rPr>
                <w:rFonts w:ascii="Arial Narrow" w:hAnsi="Arial Narrow"/>
                <w:sz w:val="24"/>
                <w:szCs w:val="24"/>
              </w:rPr>
              <w:t>A</w:t>
            </w:r>
            <w:r w:rsidR="006B3B95" w:rsidRPr="00AF5E62">
              <w:rPr>
                <w:rFonts w:ascii="Arial Narrow" w:hAnsi="Arial Narrow"/>
                <w:sz w:val="24"/>
                <w:szCs w:val="24"/>
              </w:rPr>
              <w:t xml:space="preserve">t all material times, the defendants were aware and/or ought to have been aware that the SAA Expense Authorisation form had to be completed by a Finance Officer, recommended by a Finance Supervisor and approved by the Country Manager. </w:t>
            </w:r>
          </w:p>
          <w:p w:rsidR="00AF5E62" w:rsidRDefault="00725250" w:rsidP="00AF5E62">
            <w:pPr>
              <w:pStyle w:val="ListParagraph"/>
              <w:numPr>
                <w:ilvl w:val="0"/>
                <w:numId w:val="4"/>
              </w:numPr>
              <w:spacing w:line="360" w:lineRule="auto"/>
              <w:jc w:val="both"/>
              <w:rPr>
                <w:rFonts w:ascii="Arial Narrow" w:hAnsi="Arial Narrow"/>
                <w:sz w:val="24"/>
                <w:szCs w:val="24"/>
              </w:rPr>
            </w:pPr>
            <w:r w:rsidRPr="00AF5E62">
              <w:rPr>
                <w:rFonts w:ascii="Arial Narrow" w:hAnsi="Arial Narrow"/>
                <w:sz w:val="24"/>
                <w:szCs w:val="24"/>
              </w:rPr>
              <w:t>T</w:t>
            </w:r>
            <w:r w:rsidR="006B3B95" w:rsidRPr="00AF5E62">
              <w:rPr>
                <w:rFonts w:ascii="Arial Narrow" w:hAnsi="Arial Narrow"/>
                <w:sz w:val="24"/>
                <w:szCs w:val="24"/>
              </w:rPr>
              <w:t>he defendants shared the proceeds of the unlawful activit</w:t>
            </w:r>
            <w:r w:rsidR="00AF5E62">
              <w:rPr>
                <w:rFonts w:ascii="Arial Narrow" w:hAnsi="Arial Narrow"/>
                <w:sz w:val="24"/>
                <w:szCs w:val="24"/>
              </w:rPr>
              <w:t>ies equally between themselves.</w:t>
            </w:r>
          </w:p>
          <w:p w:rsidR="006B3B95" w:rsidRPr="00AF5E62" w:rsidRDefault="00725250" w:rsidP="00AF5E62">
            <w:pPr>
              <w:pStyle w:val="ListParagraph"/>
              <w:numPr>
                <w:ilvl w:val="0"/>
                <w:numId w:val="4"/>
              </w:numPr>
              <w:spacing w:line="360" w:lineRule="auto"/>
              <w:jc w:val="both"/>
              <w:rPr>
                <w:rFonts w:ascii="Arial Narrow" w:hAnsi="Arial Narrow"/>
                <w:sz w:val="24"/>
                <w:szCs w:val="24"/>
              </w:rPr>
            </w:pPr>
            <w:r w:rsidRPr="00AF5E62">
              <w:rPr>
                <w:rFonts w:ascii="Arial Narrow" w:hAnsi="Arial Narrow"/>
                <w:sz w:val="24"/>
                <w:szCs w:val="24"/>
              </w:rPr>
              <w:t>T</w:t>
            </w:r>
            <w:r w:rsidR="006B3B95" w:rsidRPr="00AF5E62">
              <w:rPr>
                <w:rFonts w:ascii="Arial Narrow" w:hAnsi="Arial Narrow"/>
                <w:sz w:val="24"/>
                <w:szCs w:val="24"/>
              </w:rPr>
              <w:t>he defendants, when acting as they did, acted jointly and severally all the time being aware of each other’s fraudulent actions and assisting each other to defraud and steal from the plaintiff. As a result</w:t>
            </w:r>
            <w:r w:rsidR="006B3B95" w:rsidRPr="007F7CF1">
              <w:rPr>
                <w:rFonts w:ascii="Arial Narrow" w:hAnsi="Arial Narrow"/>
                <w:sz w:val="24"/>
                <w:szCs w:val="24"/>
              </w:rPr>
              <w:t xml:space="preserve"> </w:t>
            </w:r>
            <w:r w:rsidR="00247098" w:rsidRPr="007F7CF1">
              <w:rPr>
                <w:rFonts w:ascii="Arial Narrow" w:hAnsi="Arial Narrow"/>
                <w:sz w:val="24"/>
                <w:szCs w:val="24"/>
              </w:rPr>
              <w:t xml:space="preserve">of </w:t>
            </w:r>
            <w:r w:rsidR="006B3B95" w:rsidRPr="00AF5E62">
              <w:rPr>
                <w:rFonts w:ascii="Arial Narrow" w:hAnsi="Arial Narrow"/>
                <w:sz w:val="24"/>
                <w:szCs w:val="24"/>
              </w:rPr>
              <w:t>the defendants</w:t>
            </w:r>
            <w:r w:rsidR="00140BD2" w:rsidRPr="00AF5E62">
              <w:rPr>
                <w:rFonts w:ascii="Arial Narrow" w:hAnsi="Arial Narrow"/>
                <w:sz w:val="24"/>
                <w:szCs w:val="24"/>
              </w:rPr>
              <w:t>’</w:t>
            </w:r>
            <w:r w:rsidR="006B3B95" w:rsidRPr="00AF5E62">
              <w:rPr>
                <w:rFonts w:ascii="Arial Narrow" w:hAnsi="Arial Narrow"/>
                <w:sz w:val="24"/>
                <w:szCs w:val="24"/>
              </w:rPr>
              <w:t xml:space="preserve"> actions and/or omissions and/or misrepresentation and/or fraudulent activities and/or theft the plaintiff suffered damages in the amount of </w:t>
            </w:r>
            <w:r w:rsidR="00353C75">
              <w:rPr>
                <w:rFonts w:ascii="Arial Narrow" w:hAnsi="Arial Narrow" w:cs="Helvetica"/>
                <w:sz w:val="24"/>
                <w:szCs w:val="24"/>
              </w:rPr>
              <w:t xml:space="preserve">N$ 13 265 </w:t>
            </w:r>
            <w:r w:rsidR="006B3B95" w:rsidRPr="00AF5E62">
              <w:rPr>
                <w:rFonts w:ascii="Arial Narrow" w:hAnsi="Arial Narrow" w:cs="Helvetica"/>
                <w:sz w:val="24"/>
                <w:szCs w:val="24"/>
              </w:rPr>
              <w:t>298.05.</w:t>
            </w:r>
          </w:p>
          <w:p w:rsidR="007F7CF1" w:rsidRDefault="007F7CF1" w:rsidP="006B3B95">
            <w:pPr>
              <w:spacing w:line="360" w:lineRule="auto"/>
              <w:jc w:val="both"/>
              <w:rPr>
                <w:rFonts w:ascii="Arial Narrow" w:hAnsi="Arial Narrow"/>
                <w:sz w:val="24"/>
                <w:szCs w:val="24"/>
                <w:u w:val="single"/>
              </w:rPr>
            </w:pPr>
          </w:p>
          <w:p w:rsidR="006B3B95" w:rsidRPr="00001364" w:rsidRDefault="006B3B95" w:rsidP="006B3B95">
            <w:pPr>
              <w:spacing w:line="360" w:lineRule="auto"/>
              <w:jc w:val="both"/>
              <w:rPr>
                <w:rFonts w:ascii="Arial Narrow" w:hAnsi="Arial Narrow"/>
                <w:sz w:val="24"/>
                <w:szCs w:val="24"/>
                <w:u w:val="single"/>
              </w:rPr>
            </w:pPr>
            <w:r w:rsidRPr="00001364">
              <w:rPr>
                <w:rFonts w:ascii="Arial Narrow" w:hAnsi="Arial Narrow"/>
                <w:sz w:val="24"/>
                <w:szCs w:val="24"/>
                <w:u w:val="single"/>
              </w:rPr>
              <w:t>The application</w:t>
            </w:r>
          </w:p>
          <w:p w:rsidR="00BF2025" w:rsidRPr="00001364" w:rsidRDefault="00BF2025" w:rsidP="006B3B95">
            <w:pPr>
              <w:spacing w:line="360" w:lineRule="auto"/>
              <w:jc w:val="both"/>
              <w:rPr>
                <w:rFonts w:ascii="Arial Narrow" w:hAnsi="Arial Narrow"/>
                <w:sz w:val="24"/>
                <w:szCs w:val="24"/>
              </w:rPr>
            </w:pPr>
          </w:p>
          <w:p w:rsidR="006B3B95" w:rsidRPr="00001364" w:rsidRDefault="006B3B95" w:rsidP="006B3B95">
            <w:pPr>
              <w:spacing w:line="360" w:lineRule="auto"/>
              <w:jc w:val="both"/>
              <w:rPr>
                <w:rFonts w:ascii="Arial Narrow" w:hAnsi="Arial Narrow"/>
                <w:sz w:val="24"/>
                <w:szCs w:val="24"/>
              </w:rPr>
            </w:pPr>
            <w:r w:rsidRPr="00001364">
              <w:rPr>
                <w:rFonts w:ascii="Arial Narrow" w:hAnsi="Arial Narrow"/>
                <w:sz w:val="24"/>
                <w:szCs w:val="24"/>
              </w:rPr>
              <w:t>[7]</w:t>
            </w:r>
            <w:r w:rsidRPr="00001364">
              <w:rPr>
                <w:rFonts w:ascii="Arial Narrow" w:hAnsi="Arial Narrow"/>
                <w:sz w:val="24"/>
                <w:szCs w:val="24"/>
              </w:rPr>
              <w:tab/>
              <w:t xml:space="preserve"> In support of the application for default judgment the plaintiff filed comprehensive affidavits and supporting documentation. </w:t>
            </w:r>
          </w:p>
          <w:p w:rsidR="00BF2025" w:rsidRPr="00001364" w:rsidRDefault="00BF2025" w:rsidP="006B3B95">
            <w:pPr>
              <w:spacing w:line="360" w:lineRule="auto"/>
              <w:jc w:val="both"/>
              <w:rPr>
                <w:rFonts w:ascii="Arial Narrow" w:hAnsi="Arial Narrow"/>
                <w:sz w:val="24"/>
                <w:szCs w:val="24"/>
              </w:rPr>
            </w:pPr>
          </w:p>
          <w:p w:rsidR="006B3B95" w:rsidRPr="00001364" w:rsidRDefault="006B3B95" w:rsidP="006B3B95">
            <w:pPr>
              <w:spacing w:line="360" w:lineRule="auto"/>
              <w:jc w:val="both"/>
              <w:rPr>
                <w:rFonts w:ascii="Arial Narrow" w:hAnsi="Arial Narrow"/>
                <w:sz w:val="24"/>
                <w:szCs w:val="24"/>
              </w:rPr>
            </w:pPr>
            <w:r w:rsidRPr="00001364">
              <w:rPr>
                <w:rFonts w:ascii="Arial Narrow" w:hAnsi="Arial Narrow"/>
                <w:sz w:val="24"/>
                <w:szCs w:val="24"/>
              </w:rPr>
              <w:t>[8]</w:t>
            </w:r>
            <w:r w:rsidRPr="00001364">
              <w:rPr>
                <w:rFonts w:ascii="Arial Narrow" w:hAnsi="Arial Narrow"/>
                <w:sz w:val="24"/>
                <w:szCs w:val="24"/>
              </w:rPr>
              <w:tab/>
              <w:t xml:space="preserve">The plaintiff advanced an argument that the court should grant judgment jointly and severally on the basis of common purpose principle. </w:t>
            </w:r>
          </w:p>
          <w:p w:rsidR="00BF2025" w:rsidRPr="00001364" w:rsidRDefault="00BF2025" w:rsidP="006B3B95">
            <w:pPr>
              <w:spacing w:line="360" w:lineRule="auto"/>
              <w:jc w:val="both"/>
              <w:rPr>
                <w:rFonts w:ascii="Arial Narrow" w:hAnsi="Arial Narrow"/>
                <w:sz w:val="24"/>
                <w:szCs w:val="24"/>
              </w:rPr>
            </w:pPr>
          </w:p>
          <w:p w:rsidR="006B3B95" w:rsidRPr="00001364" w:rsidRDefault="006B3B95" w:rsidP="006B3B95">
            <w:pPr>
              <w:spacing w:line="360" w:lineRule="auto"/>
              <w:jc w:val="both"/>
              <w:rPr>
                <w:rFonts w:ascii="Arial Narrow" w:hAnsi="Arial Narrow"/>
                <w:sz w:val="24"/>
                <w:szCs w:val="24"/>
              </w:rPr>
            </w:pPr>
            <w:r w:rsidRPr="00001364">
              <w:rPr>
                <w:rFonts w:ascii="Arial Narrow" w:hAnsi="Arial Narrow"/>
                <w:sz w:val="24"/>
                <w:szCs w:val="24"/>
              </w:rPr>
              <w:t>[9]</w:t>
            </w:r>
            <w:r w:rsidRPr="00001364">
              <w:rPr>
                <w:rFonts w:ascii="Arial Narrow" w:hAnsi="Arial Narrow"/>
                <w:sz w:val="24"/>
                <w:szCs w:val="24"/>
              </w:rPr>
              <w:tab/>
              <w:t>Mr Jones argued that the defendants were all employed by the plaintiff and were able to misappropriate large sums of money</w:t>
            </w:r>
            <w:r w:rsidR="007F7CF1">
              <w:rPr>
                <w:rFonts w:ascii="Arial Narrow" w:hAnsi="Arial Narrow"/>
                <w:sz w:val="24"/>
                <w:szCs w:val="24"/>
              </w:rPr>
              <w:t>.</w:t>
            </w:r>
            <w:r w:rsidR="004164C6">
              <w:rPr>
                <w:rFonts w:ascii="Arial Narrow" w:hAnsi="Arial Narrow"/>
                <w:sz w:val="24"/>
                <w:szCs w:val="24"/>
              </w:rPr>
              <w:t xml:space="preserve"> </w:t>
            </w:r>
            <w:r w:rsidRPr="00001364">
              <w:rPr>
                <w:rFonts w:ascii="Arial Narrow" w:hAnsi="Arial Narrow"/>
                <w:sz w:val="24"/>
                <w:szCs w:val="24"/>
              </w:rPr>
              <w:t xml:space="preserve">He argued the defendants acted jointly and severally with a common purpose. </w:t>
            </w:r>
          </w:p>
          <w:p w:rsidR="00BF2025" w:rsidRPr="00001364" w:rsidRDefault="00BF2025" w:rsidP="006B3B95">
            <w:pPr>
              <w:spacing w:line="360" w:lineRule="auto"/>
              <w:jc w:val="both"/>
              <w:rPr>
                <w:rFonts w:ascii="Arial Narrow" w:hAnsi="Arial Narrow"/>
                <w:sz w:val="24"/>
                <w:szCs w:val="24"/>
              </w:rPr>
            </w:pPr>
          </w:p>
          <w:p w:rsidR="006B3B95" w:rsidRPr="00001364" w:rsidRDefault="006B3B95" w:rsidP="006B3B95">
            <w:pPr>
              <w:spacing w:line="360" w:lineRule="auto"/>
              <w:jc w:val="both"/>
              <w:rPr>
                <w:rFonts w:ascii="Arial Narrow" w:hAnsi="Arial Narrow"/>
                <w:sz w:val="24"/>
                <w:szCs w:val="24"/>
              </w:rPr>
            </w:pPr>
            <w:r w:rsidRPr="00001364">
              <w:rPr>
                <w:rFonts w:ascii="Arial Narrow" w:hAnsi="Arial Narrow"/>
                <w:sz w:val="24"/>
                <w:szCs w:val="24"/>
              </w:rPr>
              <w:t xml:space="preserve">[10] </w:t>
            </w:r>
            <w:r w:rsidRPr="00001364">
              <w:rPr>
                <w:rFonts w:ascii="Arial Narrow" w:hAnsi="Arial Narrow"/>
                <w:sz w:val="24"/>
                <w:szCs w:val="24"/>
              </w:rPr>
              <w:tab/>
              <w:t xml:space="preserve">Mr Jones submitted that the principle of common purpose also </w:t>
            </w:r>
            <w:r w:rsidR="007C01D5" w:rsidRPr="007F7CF1">
              <w:rPr>
                <w:rFonts w:ascii="Arial Narrow" w:hAnsi="Arial Narrow"/>
                <w:sz w:val="24"/>
                <w:szCs w:val="24"/>
              </w:rPr>
              <w:t>applies</w:t>
            </w:r>
            <w:r w:rsidR="007C01D5">
              <w:rPr>
                <w:rFonts w:ascii="Arial Narrow" w:hAnsi="Arial Narrow"/>
                <w:color w:val="FF0000"/>
                <w:sz w:val="24"/>
                <w:szCs w:val="24"/>
              </w:rPr>
              <w:t xml:space="preserve"> </w:t>
            </w:r>
            <w:r w:rsidRPr="00001364">
              <w:rPr>
                <w:rFonts w:ascii="Arial Narrow" w:hAnsi="Arial Narrow"/>
                <w:sz w:val="24"/>
                <w:szCs w:val="24"/>
              </w:rPr>
              <w:t>to civil claim</w:t>
            </w:r>
            <w:r w:rsidR="007060A7">
              <w:rPr>
                <w:rFonts w:ascii="Arial Narrow" w:hAnsi="Arial Narrow"/>
                <w:color w:val="FF0000"/>
                <w:sz w:val="24"/>
                <w:szCs w:val="24"/>
              </w:rPr>
              <w:t>s</w:t>
            </w:r>
            <w:r w:rsidRPr="00001364">
              <w:rPr>
                <w:rFonts w:ascii="Arial Narrow" w:hAnsi="Arial Narrow"/>
                <w:sz w:val="24"/>
                <w:szCs w:val="24"/>
              </w:rPr>
              <w:t xml:space="preserve"> and more specifically in respect of delictual claims where joint wrongdoer</w:t>
            </w:r>
            <w:r w:rsidR="007060A7">
              <w:rPr>
                <w:rFonts w:ascii="Arial Narrow" w:hAnsi="Arial Narrow"/>
                <w:color w:val="FF0000"/>
                <w:sz w:val="24"/>
                <w:szCs w:val="24"/>
              </w:rPr>
              <w:t>s</w:t>
            </w:r>
            <w:r w:rsidRPr="00001364">
              <w:rPr>
                <w:rFonts w:ascii="Arial Narrow" w:hAnsi="Arial Narrow"/>
                <w:sz w:val="24"/>
                <w:szCs w:val="24"/>
              </w:rPr>
              <w:t xml:space="preserve"> can be regarded as having acted in common purpose. </w:t>
            </w:r>
          </w:p>
          <w:p w:rsidR="00BF2025" w:rsidRPr="00001364" w:rsidRDefault="00BF2025" w:rsidP="006B3B95">
            <w:pPr>
              <w:spacing w:line="360" w:lineRule="auto"/>
              <w:jc w:val="both"/>
              <w:rPr>
                <w:rFonts w:ascii="Arial Narrow" w:hAnsi="Arial Narrow"/>
                <w:sz w:val="24"/>
                <w:szCs w:val="24"/>
              </w:rPr>
            </w:pPr>
          </w:p>
          <w:p w:rsidR="006B3B95" w:rsidRPr="00001364" w:rsidRDefault="006B3B95" w:rsidP="006B3B95">
            <w:pPr>
              <w:spacing w:line="360" w:lineRule="auto"/>
              <w:jc w:val="both"/>
              <w:rPr>
                <w:rFonts w:ascii="Arial Narrow" w:hAnsi="Arial Narrow"/>
                <w:sz w:val="24"/>
                <w:szCs w:val="24"/>
              </w:rPr>
            </w:pPr>
            <w:r w:rsidRPr="00001364">
              <w:rPr>
                <w:rFonts w:ascii="Arial Narrow" w:hAnsi="Arial Narrow"/>
                <w:sz w:val="24"/>
                <w:szCs w:val="24"/>
              </w:rPr>
              <w:t>[11]</w:t>
            </w:r>
            <w:r w:rsidRPr="00001364">
              <w:rPr>
                <w:rFonts w:ascii="Arial Narrow" w:hAnsi="Arial Narrow"/>
                <w:sz w:val="24"/>
                <w:szCs w:val="24"/>
              </w:rPr>
              <w:tab/>
              <w:t xml:space="preserve">The court was referred to </w:t>
            </w:r>
            <w:r w:rsidRPr="00001364">
              <w:rPr>
                <w:rFonts w:ascii="Arial Narrow" w:hAnsi="Arial Narrow"/>
                <w:i/>
                <w:sz w:val="24"/>
                <w:szCs w:val="24"/>
              </w:rPr>
              <w:t>McKenzie v Van der Merwe</w:t>
            </w:r>
            <w:r w:rsidRPr="00001364">
              <w:rPr>
                <w:rStyle w:val="FootnoteReference"/>
                <w:rFonts w:ascii="Arial Narrow" w:hAnsi="Arial Narrow"/>
                <w:i/>
                <w:sz w:val="24"/>
                <w:szCs w:val="24"/>
              </w:rPr>
              <w:footnoteReference w:id="2"/>
            </w:r>
            <w:r w:rsidRPr="00001364">
              <w:rPr>
                <w:rFonts w:ascii="Arial Narrow" w:hAnsi="Arial Narrow"/>
                <w:sz w:val="24"/>
                <w:szCs w:val="24"/>
              </w:rPr>
              <w:t xml:space="preserve"> where the legal principle of common purpose in civil setting was under consideration by the</w:t>
            </w:r>
            <w:r w:rsidR="00725250" w:rsidRPr="00001364">
              <w:rPr>
                <w:rFonts w:ascii="Arial Narrow" w:hAnsi="Arial Narrow"/>
                <w:sz w:val="24"/>
                <w:szCs w:val="24"/>
              </w:rPr>
              <w:t xml:space="preserve"> Appeal Court</w:t>
            </w:r>
            <w:r w:rsidRPr="00001364">
              <w:rPr>
                <w:rFonts w:ascii="Arial Narrow" w:hAnsi="Arial Narrow"/>
                <w:sz w:val="24"/>
                <w:szCs w:val="24"/>
              </w:rPr>
              <w:t xml:space="preserve">. Mr Jones argued that if the court have regard to the </w:t>
            </w:r>
            <w:r w:rsidRPr="00001364">
              <w:rPr>
                <w:rFonts w:ascii="Arial Narrow" w:hAnsi="Arial Narrow"/>
                <w:i/>
                <w:sz w:val="24"/>
                <w:szCs w:val="24"/>
              </w:rPr>
              <w:t xml:space="preserve">modus operandi </w:t>
            </w:r>
            <w:r w:rsidRPr="00001364">
              <w:rPr>
                <w:rFonts w:ascii="Arial Narrow" w:hAnsi="Arial Narrow"/>
                <w:sz w:val="24"/>
                <w:szCs w:val="24"/>
              </w:rPr>
              <w:t>of the defendants</w:t>
            </w:r>
            <w:r w:rsidR="00725250" w:rsidRPr="00001364">
              <w:rPr>
                <w:rFonts w:ascii="Arial Narrow" w:hAnsi="Arial Narrow"/>
                <w:sz w:val="24"/>
                <w:szCs w:val="24"/>
              </w:rPr>
              <w:t xml:space="preserve"> in the matter in casu</w:t>
            </w:r>
            <w:r w:rsidRPr="00001364">
              <w:rPr>
                <w:rFonts w:ascii="Arial Narrow" w:hAnsi="Arial Narrow"/>
                <w:sz w:val="24"/>
                <w:szCs w:val="24"/>
              </w:rPr>
              <w:t>, as set</w:t>
            </w:r>
            <w:r w:rsidR="00FB0192">
              <w:rPr>
                <w:rFonts w:ascii="Arial Narrow" w:hAnsi="Arial Narrow"/>
                <w:sz w:val="24"/>
                <w:szCs w:val="24"/>
              </w:rPr>
              <w:t xml:space="preserve"> </w:t>
            </w:r>
            <w:r w:rsidR="00FB0192" w:rsidRPr="007F7CF1">
              <w:rPr>
                <w:rFonts w:ascii="Arial Narrow" w:hAnsi="Arial Narrow"/>
                <w:sz w:val="24"/>
                <w:szCs w:val="24"/>
              </w:rPr>
              <w:t>out</w:t>
            </w:r>
            <w:r w:rsidRPr="007F7CF1">
              <w:rPr>
                <w:rFonts w:ascii="Arial Narrow" w:hAnsi="Arial Narrow"/>
                <w:sz w:val="24"/>
                <w:szCs w:val="24"/>
              </w:rPr>
              <w:t xml:space="preserve"> </w:t>
            </w:r>
            <w:r w:rsidRPr="00001364">
              <w:rPr>
                <w:rFonts w:ascii="Arial Narrow" w:hAnsi="Arial Narrow"/>
                <w:sz w:val="24"/>
                <w:szCs w:val="24"/>
              </w:rPr>
              <w:t xml:space="preserve">in the affidavits before court, </w:t>
            </w:r>
            <w:r w:rsidR="00725250" w:rsidRPr="00001364">
              <w:rPr>
                <w:rFonts w:ascii="Arial Narrow" w:hAnsi="Arial Narrow"/>
                <w:sz w:val="24"/>
                <w:szCs w:val="24"/>
              </w:rPr>
              <w:t xml:space="preserve">it </w:t>
            </w:r>
            <w:r w:rsidRPr="00001364">
              <w:rPr>
                <w:rFonts w:ascii="Arial Narrow" w:hAnsi="Arial Narrow"/>
                <w:sz w:val="24"/>
                <w:szCs w:val="24"/>
              </w:rPr>
              <w:t xml:space="preserve">shows that this large sum of money could not be misappropriated if the defendants did not work together. The claims were all submitted at the plaintiff’s Windhoek office and not at the airport as one would expect in respect of lost or damaged luggage. The defendants made use of vendors that are not recognized vendors to obtain tax invoices for the fictitious claims and it was established that these so called vendors do not exist. </w:t>
            </w:r>
            <w:r w:rsidR="00BF2025" w:rsidRPr="00001364">
              <w:rPr>
                <w:rFonts w:ascii="Arial Narrow" w:hAnsi="Arial Narrow"/>
                <w:sz w:val="24"/>
                <w:szCs w:val="24"/>
              </w:rPr>
              <w:t>It also appears that the majority of the ‘vendors’ used were also fictitious businesses.</w:t>
            </w:r>
          </w:p>
          <w:p w:rsidR="00BF2025" w:rsidRPr="00001364" w:rsidRDefault="00BF2025" w:rsidP="006B3B95">
            <w:pPr>
              <w:spacing w:line="360" w:lineRule="auto"/>
              <w:jc w:val="both"/>
              <w:rPr>
                <w:rFonts w:ascii="Arial Narrow" w:hAnsi="Arial Narrow"/>
                <w:sz w:val="24"/>
                <w:szCs w:val="24"/>
              </w:rPr>
            </w:pPr>
          </w:p>
          <w:p w:rsidR="006B3B95" w:rsidRPr="007C6244" w:rsidRDefault="006B3B95" w:rsidP="006B3B95">
            <w:pPr>
              <w:spacing w:line="360" w:lineRule="auto"/>
              <w:jc w:val="both"/>
              <w:rPr>
                <w:rFonts w:ascii="Arial Narrow" w:hAnsi="Arial Narrow"/>
                <w:color w:val="FF0000"/>
                <w:sz w:val="24"/>
                <w:szCs w:val="24"/>
              </w:rPr>
            </w:pPr>
            <w:r w:rsidRPr="00001364">
              <w:rPr>
                <w:rFonts w:ascii="Arial Narrow" w:hAnsi="Arial Narrow"/>
                <w:sz w:val="24"/>
                <w:szCs w:val="24"/>
              </w:rPr>
              <w:lastRenderedPageBreak/>
              <w:t>[12]</w:t>
            </w:r>
            <w:r w:rsidRPr="00001364">
              <w:rPr>
                <w:rFonts w:ascii="Arial Narrow" w:hAnsi="Arial Narrow"/>
                <w:sz w:val="24"/>
                <w:szCs w:val="24"/>
              </w:rPr>
              <w:tab/>
              <w:t>Mr Jones argued that the court must accept the facts as set out in the affidavits as correct and by doing so the court must accept that there were substantial checks and balances in place regarding outflow of cash which had to be applied by</w:t>
            </w:r>
            <w:r w:rsidR="009D174E">
              <w:rPr>
                <w:rFonts w:ascii="Arial Narrow" w:hAnsi="Arial Narrow"/>
                <w:sz w:val="24"/>
                <w:szCs w:val="24"/>
              </w:rPr>
              <w:t>,</w:t>
            </w:r>
            <w:r w:rsidRPr="00001364">
              <w:rPr>
                <w:rFonts w:ascii="Arial Narrow" w:hAnsi="Arial Narrow"/>
                <w:sz w:val="24"/>
                <w:szCs w:val="24"/>
              </w:rPr>
              <w:t xml:space="preserve"> for example the seventh defendant </w:t>
            </w:r>
            <w:r w:rsidR="007C6244" w:rsidRPr="007F7CF1">
              <w:rPr>
                <w:rFonts w:ascii="Arial Narrow" w:hAnsi="Arial Narrow"/>
                <w:sz w:val="24"/>
                <w:szCs w:val="24"/>
              </w:rPr>
              <w:t>before money was paid out</w:t>
            </w:r>
            <w:r w:rsidR="007C6244">
              <w:rPr>
                <w:rFonts w:ascii="Arial Narrow" w:hAnsi="Arial Narrow"/>
                <w:color w:val="FF0000"/>
                <w:sz w:val="24"/>
                <w:szCs w:val="24"/>
              </w:rPr>
              <w:t>.</w:t>
            </w:r>
          </w:p>
          <w:p w:rsidR="007F7CF1" w:rsidRDefault="007F7CF1" w:rsidP="006B3B95">
            <w:pPr>
              <w:spacing w:line="360" w:lineRule="auto"/>
              <w:jc w:val="both"/>
              <w:rPr>
                <w:rFonts w:ascii="Arial Narrow" w:hAnsi="Arial Narrow"/>
                <w:sz w:val="24"/>
                <w:szCs w:val="24"/>
                <w:u w:val="single"/>
              </w:rPr>
            </w:pPr>
          </w:p>
          <w:p w:rsidR="00615177" w:rsidRDefault="00615177" w:rsidP="006B3B95">
            <w:pPr>
              <w:spacing w:line="360" w:lineRule="auto"/>
              <w:jc w:val="both"/>
              <w:rPr>
                <w:rFonts w:ascii="Arial Narrow" w:hAnsi="Arial Narrow"/>
                <w:sz w:val="24"/>
                <w:szCs w:val="24"/>
                <w:u w:val="single"/>
              </w:rPr>
            </w:pPr>
          </w:p>
          <w:p w:rsidR="00615177" w:rsidRDefault="00615177" w:rsidP="006B3B95">
            <w:pPr>
              <w:spacing w:line="360" w:lineRule="auto"/>
              <w:jc w:val="both"/>
              <w:rPr>
                <w:rFonts w:ascii="Arial Narrow" w:hAnsi="Arial Narrow"/>
                <w:sz w:val="24"/>
                <w:szCs w:val="24"/>
                <w:u w:val="single"/>
              </w:rPr>
            </w:pPr>
          </w:p>
          <w:p w:rsidR="006B3B95" w:rsidRPr="00001364" w:rsidRDefault="006B3B95" w:rsidP="006B3B95">
            <w:pPr>
              <w:spacing w:line="360" w:lineRule="auto"/>
              <w:jc w:val="both"/>
              <w:rPr>
                <w:rFonts w:ascii="Arial Narrow" w:hAnsi="Arial Narrow"/>
                <w:sz w:val="24"/>
                <w:szCs w:val="24"/>
                <w:u w:val="single"/>
              </w:rPr>
            </w:pPr>
            <w:r w:rsidRPr="00001364">
              <w:rPr>
                <w:rFonts w:ascii="Arial Narrow" w:hAnsi="Arial Narrow"/>
                <w:sz w:val="24"/>
                <w:szCs w:val="24"/>
                <w:u w:val="single"/>
              </w:rPr>
              <w:t>The applicable law</w:t>
            </w:r>
          </w:p>
          <w:p w:rsidR="00BF2025" w:rsidRPr="00001364" w:rsidRDefault="00BF2025" w:rsidP="006B3B95">
            <w:pPr>
              <w:spacing w:line="360" w:lineRule="auto"/>
              <w:jc w:val="both"/>
              <w:rPr>
                <w:rFonts w:ascii="Arial Narrow" w:hAnsi="Arial Narrow"/>
                <w:sz w:val="24"/>
                <w:szCs w:val="24"/>
              </w:rPr>
            </w:pPr>
          </w:p>
          <w:p w:rsidR="006B3B95" w:rsidRPr="00001364" w:rsidRDefault="006B3B95" w:rsidP="006B3B95">
            <w:pPr>
              <w:spacing w:line="360" w:lineRule="auto"/>
              <w:jc w:val="both"/>
              <w:rPr>
                <w:rFonts w:ascii="Arial Narrow" w:hAnsi="Arial Narrow"/>
                <w:sz w:val="24"/>
                <w:szCs w:val="24"/>
              </w:rPr>
            </w:pPr>
            <w:r w:rsidRPr="00001364">
              <w:rPr>
                <w:rFonts w:ascii="Arial Narrow" w:hAnsi="Arial Narrow"/>
                <w:sz w:val="24"/>
                <w:szCs w:val="24"/>
              </w:rPr>
              <w:t>[13]</w:t>
            </w:r>
            <w:r w:rsidRPr="00001364">
              <w:rPr>
                <w:rFonts w:ascii="Arial Narrow" w:hAnsi="Arial Narrow"/>
                <w:sz w:val="24"/>
                <w:szCs w:val="24"/>
              </w:rPr>
              <w:tab/>
            </w:r>
            <w:r w:rsidR="000B2308" w:rsidRPr="00001364">
              <w:rPr>
                <w:rFonts w:ascii="Arial Narrow" w:hAnsi="Arial Narrow" w:cs="Arial"/>
                <w:sz w:val="24"/>
                <w:szCs w:val="24"/>
              </w:rPr>
              <w:t xml:space="preserve">The object of the enquiry before me is to establish civil liability for the consequences of the defendants’ actions. </w:t>
            </w:r>
            <w:r w:rsidR="00BF2025" w:rsidRPr="00001364">
              <w:rPr>
                <w:rFonts w:ascii="Arial Narrow" w:hAnsi="Arial Narrow"/>
                <w:sz w:val="24"/>
                <w:szCs w:val="24"/>
              </w:rPr>
              <w:t xml:space="preserve">The first principle to </w:t>
            </w:r>
            <w:r w:rsidR="000B2308" w:rsidRPr="00001364">
              <w:rPr>
                <w:rFonts w:ascii="Arial Narrow" w:hAnsi="Arial Narrow"/>
                <w:sz w:val="24"/>
                <w:szCs w:val="24"/>
              </w:rPr>
              <w:t>keep in mind</w:t>
            </w:r>
            <w:r w:rsidR="00BF2025" w:rsidRPr="00001364">
              <w:rPr>
                <w:rFonts w:ascii="Arial Narrow" w:hAnsi="Arial Narrow"/>
                <w:sz w:val="24"/>
                <w:szCs w:val="24"/>
              </w:rPr>
              <w:t xml:space="preserve"> in considering this application for </w:t>
            </w:r>
            <w:r w:rsidRPr="00001364">
              <w:rPr>
                <w:rFonts w:ascii="Arial Narrow" w:hAnsi="Arial Narrow"/>
                <w:sz w:val="24"/>
                <w:szCs w:val="24"/>
              </w:rPr>
              <w:t xml:space="preserve">default judgment </w:t>
            </w:r>
            <w:r w:rsidR="00BF2025" w:rsidRPr="00001364">
              <w:rPr>
                <w:rFonts w:ascii="Arial Narrow" w:hAnsi="Arial Narrow"/>
                <w:sz w:val="24"/>
                <w:szCs w:val="24"/>
              </w:rPr>
              <w:t xml:space="preserve">is that </w:t>
            </w:r>
            <w:r w:rsidRPr="00001364">
              <w:rPr>
                <w:rFonts w:ascii="Arial Narrow" w:hAnsi="Arial Narrow"/>
                <w:sz w:val="24"/>
                <w:szCs w:val="24"/>
              </w:rPr>
              <w:t xml:space="preserve">the court must accept the allegations as set out in the particulars of claim as proven or at least as admitted. </w:t>
            </w:r>
          </w:p>
          <w:p w:rsidR="007F7CF1" w:rsidRDefault="007F7CF1" w:rsidP="006B3B95">
            <w:pPr>
              <w:spacing w:line="360" w:lineRule="auto"/>
              <w:jc w:val="both"/>
              <w:rPr>
                <w:rFonts w:ascii="Arial Narrow" w:hAnsi="Arial Narrow"/>
                <w:i/>
                <w:sz w:val="24"/>
                <w:szCs w:val="24"/>
              </w:rPr>
            </w:pPr>
          </w:p>
          <w:p w:rsidR="00BF2025" w:rsidRPr="00001364" w:rsidRDefault="00BF2025" w:rsidP="006B3B95">
            <w:pPr>
              <w:spacing w:line="360" w:lineRule="auto"/>
              <w:jc w:val="both"/>
              <w:rPr>
                <w:rFonts w:ascii="Arial Narrow" w:hAnsi="Arial Narrow"/>
                <w:i/>
                <w:sz w:val="24"/>
                <w:szCs w:val="24"/>
              </w:rPr>
            </w:pPr>
            <w:r w:rsidRPr="00001364">
              <w:rPr>
                <w:rFonts w:ascii="Arial Narrow" w:hAnsi="Arial Narrow"/>
                <w:i/>
                <w:sz w:val="24"/>
                <w:szCs w:val="24"/>
              </w:rPr>
              <w:t>Principle of common purpose</w:t>
            </w:r>
          </w:p>
          <w:p w:rsidR="00013FC5" w:rsidRDefault="00013FC5" w:rsidP="006B3B95">
            <w:pPr>
              <w:spacing w:line="360" w:lineRule="auto"/>
              <w:jc w:val="both"/>
              <w:rPr>
                <w:rFonts w:ascii="Arial Narrow" w:hAnsi="Arial Narrow"/>
                <w:sz w:val="24"/>
                <w:szCs w:val="24"/>
              </w:rPr>
            </w:pPr>
          </w:p>
          <w:p w:rsidR="006B3B95" w:rsidRPr="00001364" w:rsidRDefault="006B3B95" w:rsidP="006B3B95">
            <w:pPr>
              <w:spacing w:line="360" w:lineRule="auto"/>
              <w:jc w:val="both"/>
              <w:rPr>
                <w:rFonts w:ascii="Arial Narrow" w:hAnsi="Arial Narrow"/>
                <w:sz w:val="24"/>
                <w:szCs w:val="24"/>
              </w:rPr>
            </w:pPr>
            <w:r w:rsidRPr="00001364">
              <w:rPr>
                <w:rFonts w:ascii="Arial Narrow" w:hAnsi="Arial Narrow"/>
                <w:sz w:val="24"/>
                <w:szCs w:val="24"/>
              </w:rPr>
              <w:t>[14]</w:t>
            </w:r>
            <w:r w:rsidRPr="00001364">
              <w:rPr>
                <w:rFonts w:ascii="Arial Narrow" w:hAnsi="Arial Narrow"/>
                <w:sz w:val="24"/>
                <w:szCs w:val="24"/>
              </w:rPr>
              <w:tab/>
              <w:t xml:space="preserve">The facts in </w:t>
            </w:r>
            <w:r w:rsidRPr="00001364">
              <w:rPr>
                <w:rFonts w:ascii="Arial Narrow" w:hAnsi="Arial Narrow"/>
                <w:i/>
                <w:sz w:val="24"/>
                <w:szCs w:val="24"/>
              </w:rPr>
              <w:t>McKenzie v Van Der Merwe</w:t>
            </w:r>
            <w:r w:rsidRPr="00001364">
              <w:rPr>
                <w:rFonts w:ascii="Arial Narrow" w:hAnsi="Arial Narrow"/>
                <w:sz w:val="24"/>
                <w:szCs w:val="24"/>
              </w:rPr>
              <w:t xml:space="preserve"> </w:t>
            </w:r>
            <w:r w:rsidR="007148CC" w:rsidRPr="007F7CF1">
              <w:rPr>
                <w:rFonts w:ascii="Arial Narrow" w:hAnsi="Arial Narrow"/>
                <w:sz w:val="24"/>
                <w:szCs w:val="24"/>
              </w:rPr>
              <w:t xml:space="preserve">are that </w:t>
            </w:r>
            <w:r w:rsidRPr="00001364">
              <w:rPr>
                <w:rFonts w:ascii="Arial Narrow" w:hAnsi="Arial Narrow"/>
                <w:sz w:val="24"/>
                <w:szCs w:val="24"/>
              </w:rPr>
              <w:t>the plaintiff instituted action to recover the value of certain stock taken</w:t>
            </w:r>
            <w:r w:rsidR="0047790E">
              <w:rPr>
                <w:rFonts w:ascii="Arial Narrow" w:hAnsi="Arial Narrow"/>
                <w:sz w:val="24"/>
                <w:szCs w:val="24"/>
              </w:rPr>
              <w:t xml:space="preserve"> </w:t>
            </w:r>
            <w:r w:rsidR="0047790E" w:rsidRPr="007F7CF1">
              <w:rPr>
                <w:rFonts w:ascii="Arial Narrow" w:hAnsi="Arial Narrow"/>
                <w:sz w:val="24"/>
                <w:szCs w:val="24"/>
              </w:rPr>
              <w:t>and</w:t>
            </w:r>
            <w:r w:rsidRPr="007F7CF1">
              <w:rPr>
                <w:rFonts w:ascii="Arial Narrow" w:hAnsi="Arial Narrow"/>
                <w:sz w:val="24"/>
                <w:szCs w:val="24"/>
              </w:rPr>
              <w:t xml:space="preserve"> </w:t>
            </w:r>
            <w:r w:rsidR="00BF2025" w:rsidRPr="007F7CF1">
              <w:rPr>
                <w:rFonts w:ascii="Arial Narrow" w:hAnsi="Arial Narrow"/>
                <w:sz w:val="24"/>
                <w:szCs w:val="24"/>
              </w:rPr>
              <w:t>for</w:t>
            </w:r>
            <w:r w:rsidR="0047790E" w:rsidRPr="007F7CF1">
              <w:rPr>
                <w:rFonts w:ascii="Arial Narrow" w:hAnsi="Arial Narrow"/>
                <w:sz w:val="24"/>
                <w:szCs w:val="24"/>
              </w:rPr>
              <w:t xml:space="preserve"> </w:t>
            </w:r>
            <w:r w:rsidR="0047790E">
              <w:rPr>
                <w:rFonts w:ascii="Arial Narrow" w:hAnsi="Arial Narrow"/>
                <w:sz w:val="24"/>
                <w:szCs w:val="24"/>
              </w:rPr>
              <w:t xml:space="preserve">damages done to his </w:t>
            </w:r>
            <w:r w:rsidR="0047790E" w:rsidRPr="0047790E">
              <w:rPr>
                <w:rFonts w:ascii="Arial Narrow" w:hAnsi="Arial Narrow"/>
                <w:sz w:val="24"/>
                <w:szCs w:val="24"/>
              </w:rPr>
              <w:t>farm</w:t>
            </w:r>
            <w:r w:rsidR="00EC0522" w:rsidRPr="0047790E">
              <w:rPr>
                <w:rFonts w:ascii="Arial Narrow" w:hAnsi="Arial Narrow"/>
                <w:sz w:val="24"/>
                <w:szCs w:val="24"/>
              </w:rPr>
              <w:t xml:space="preserve"> </w:t>
            </w:r>
            <w:r w:rsidRPr="0047790E">
              <w:rPr>
                <w:rFonts w:ascii="Arial Narrow" w:hAnsi="Arial Narrow"/>
                <w:sz w:val="24"/>
                <w:szCs w:val="24"/>
              </w:rPr>
              <w:t xml:space="preserve">by the defendant while in a rebellion and acting in concert with other persons also in the rebellion. The evidence </w:t>
            </w:r>
            <w:r w:rsidRPr="00001364">
              <w:rPr>
                <w:rFonts w:ascii="Arial Narrow" w:hAnsi="Arial Narrow"/>
                <w:sz w:val="24"/>
                <w:szCs w:val="24"/>
              </w:rPr>
              <w:t xml:space="preserve">showed that the defendant was an assistant commandant of the rebel forces and on several occasions during November 2014 bodies of armed rebels had come to the plaintiff’s farm, cut his wire fences, and taken away stock. There was nothing implicating the defendant directly </w:t>
            </w:r>
            <w:r w:rsidRPr="00001364">
              <w:rPr>
                <w:rFonts w:ascii="Arial Narrow" w:hAnsi="Arial Narrow"/>
                <w:sz w:val="24"/>
                <w:szCs w:val="24"/>
              </w:rPr>
              <w:lastRenderedPageBreak/>
              <w:t>in the acts in question or to show such acts had been done by his orders or by the men in his commando, but one of the defendant’s subordinates had lent a cart to two rebels who were members of another commando, for purposes of taking sheep from the plaintiff’s farm</w:t>
            </w:r>
            <w:r w:rsidRPr="00001364">
              <w:rPr>
                <w:rStyle w:val="FootnoteReference"/>
                <w:rFonts w:ascii="Arial Narrow" w:hAnsi="Arial Narrow"/>
                <w:sz w:val="24"/>
                <w:szCs w:val="24"/>
              </w:rPr>
              <w:footnoteReference w:id="3"/>
            </w:r>
            <w:r w:rsidRPr="00001364">
              <w:rPr>
                <w:rFonts w:ascii="Arial Narrow" w:hAnsi="Arial Narrow"/>
                <w:sz w:val="24"/>
                <w:szCs w:val="24"/>
              </w:rPr>
              <w:t xml:space="preserve">. </w:t>
            </w:r>
          </w:p>
          <w:p w:rsidR="009B1959" w:rsidRPr="00001364" w:rsidRDefault="009B1959" w:rsidP="006B3B95">
            <w:pPr>
              <w:spacing w:line="360" w:lineRule="auto"/>
              <w:jc w:val="both"/>
              <w:rPr>
                <w:rFonts w:ascii="Arial Narrow" w:hAnsi="Arial Narrow"/>
                <w:sz w:val="24"/>
                <w:szCs w:val="24"/>
              </w:rPr>
            </w:pPr>
          </w:p>
          <w:p w:rsidR="006B3B95" w:rsidRDefault="006B3B95" w:rsidP="006B3B95">
            <w:pPr>
              <w:spacing w:line="360" w:lineRule="auto"/>
              <w:jc w:val="both"/>
              <w:rPr>
                <w:rFonts w:ascii="Arial Narrow" w:hAnsi="Arial Narrow"/>
                <w:sz w:val="24"/>
                <w:szCs w:val="24"/>
              </w:rPr>
            </w:pPr>
            <w:r w:rsidRPr="00001364">
              <w:rPr>
                <w:rFonts w:ascii="Arial Narrow" w:hAnsi="Arial Narrow"/>
                <w:sz w:val="24"/>
                <w:szCs w:val="24"/>
              </w:rPr>
              <w:t>[15]</w:t>
            </w:r>
            <w:r w:rsidRPr="00001364">
              <w:rPr>
                <w:rFonts w:ascii="Arial Narrow" w:hAnsi="Arial Narrow"/>
                <w:sz w:val="24"/>
                <w:szCs w:val="24"/>
              </w:rPr>
              <w:tab/>
              <w:t xml:space="preserve"> The appeal was based on two grounds, ie: (1) that every person who takes part in a rebellion is civilly liable for the act of every other rebel, provided that the acts in question were done for the furtherance of the rebellion, and were reasonably for that purpose and (2) that in any event the defendant is responsible for the acts of the men under his command, and is therefore liable  to the plaintiff for the loss of the sheep carried off in the car which was lent by one of his field cornets for that purpose. </w:t>
            </w:r>
          </w:p>
          <w:p w:rsidR="00F66786" w:rsidRPr="00001364" w:rsidRDefault="00F66786" w:rsidP="006B3B95">
            <w:pPr>
              <w:spacing w:line="360" w:lineRule="auto"/>
              <w:jc w:val="both"/>
              <w:rPr>
                <w:rFonts w:ascii="Arial Narrow" w:hAnsi="Arial Narrow"/>
                <w:sz w:val="24"/>
                <w:szCs w:val="24"/>
              </w:rPr>
            </w:pPr>
          </w:p>
          <w:p w:rsidR="006B3B95" w:rsidRDefault="006B3B95" w:rsidP="006B3B95">
            <w:pPr>
              <w:spacing w:line="360" w:lineRule="auto"/>
              <w:jc w:val="both"/>
              <w:rPr>
                <w:rFonts w:ascii="Arial Narrow" w:hAnsi="Arial Narrow"/>
                <w:sz w:val="24"/>
                <w:szCs w:val="24"/>
              </w:rPr>
            </w:pPr>
            <w:r w:rsidRPr="00001364">
              <w:rPr>
                <w:rFonts w:ascii="Arial Narrow" w:hAnsi="Arial Narrow"/>
                <w:sz w:val="24"/>
                <w:szCs w:val="24"/>
              </w:rPr>
              <w:t>[16]</w:t>
            </w:r>
            <w:r w:rsidRPr="00001364">
              <w:rPr>
                <w:rFonts w:ascii="Arial Narrow" w:hAnsi="Arial Narrow"/>
                <w:sz w:val="24"/>
                <w:szCs w:val="24"/>
              </w:rPr>
              <w:tab/>
              <w:t>The court was divided on the outcome in this matter but both the minority and the majority endorsed the principle that a person is delictually liable if he aids and abets another to commit a delict. Solomon JA, with whom De Villiers AJA and Juta AJA concurred</w:t>
            </w:r>
            <w:r w:rsidRPr="00001364">
              <w:rPr>
                <w:rStyle w:val="FootnoteReference"/>
                <w:rFonts w:ascii="Arial Narrow" w:hAnsi="Arial Narrow"/>
                <w:sz w:val="24"/>
                <w:szCs w:val="24"/>
              </w:rPr>
              <w:footnoteReference w:id="4"/>
            </w:r>
            <w:r w:rsidRPr="00001364">
              <w:rPr>
                <w:rFonts w:ascii="Arial Narrow" w:hAnsi="Arial Narrow"/>
                <w:sz w:val="24"/>
                <w:szCs w:val="24"/>
              </w:rPr>
              <w:t xml:space="preserve">, expressed the law on the point as follows: </w:t>
            </w:r>
          </w:p>
          <w:p w:rsidR="00977081" w:rsidRPr="00001364" w:rsidRDefault="00977081" w:rsidP="006B3B95">
            <w:pPr>
              <w:spacing w:line="360" w:lineRule="auto"/>
              <w:jc w:val="both"/>
              <w:rPr>
                <w:rFonts w:ascii="Arial Narrow" w:hAnsi="Arial Narrow"/>
                <w:sz w:val="24"/>
                <w:szCs w:val="24"/>
              </w:rPr>
            </w:pPr>
          </w:p>
          <w:p w:rsidR="006B3B95" w:rsidRPr="00977081" w:rsidRDefault="006B3B95" w:rsidP="006B3B95">
            <w:pPr>
              <w:spacing w:line="360" w:lineRule="auto"/>
              <w:ind w:firstLine="720"/>
              <w:jc w:val="both"/>
              <w:rPr>
                <w:rFonts w:ascii="Arial Narrow" w:hAnsi="Arial Narrow"/>
              </w:rPr>
            </w:pPr>
            <w:r w:rsidRPr="00977081">
              <w:rPr>
                <w:rFonts w:ascii="Arial Narrow" w:hAnsi="Arial Narrow"/>
              </w:rPr>
              <w:t xml:space="preserve">‘Under the </w:t>
            </w:r>
            <w:r w:rsidRPr="00977081">
              <w:rPr>
                <w:rFonts w:ascii="Arial Narrow" w:hAnsi="Arial Narrow"/>
                <w:i/>
              </w:rPr>
              <w:t>Lex Aquilia</w:t>
            </w:r>
            <w:r w:rsidRPr="00977081">
              <w:rPr>
                <w:rFonts w:ascii="Arial Narrow" w:hAnsi="Arial Narrow"/>
              </w:rPr>
              <w:t xml:space="preserve"> not only the persons who actually took part in the commission of a delict were held liable for the damage caused, but also those who assisted them in any way, as well as those by whose command or instigation or advice the delict was committed. To a similar effect is the passage which was quoted from </w:t>
            </w:r>
            <w:r w:rsidRPr="00977081">
              <w:rPr>
                <w:rFonts w:ascii="Arial Narrow" w:hAnsi="Arial Narrow"/>
                <w:i/>
              </w:rPr>
              <w:t>Grotius</w:t>
            </w:r>
            <w:r w:rsidRPr="00977081">
              <w:rPr>
                <w:rFonts w:ascii="Arial Narrow" w:hAnsi="Arial Narrow"/>
              </w:rPr>
              <w:t xml:space="preserve"> (3, 32, </w:t>
            </w:r>
            <w:r w:rsidRPr="00977081">
              <w:rPr>
                <w:rFonts w:ascii="Arial Narrow" w:hAnsi="Arial Narrow"/>
              </w:rPr>
              <w:lastRenderedPageBreak/>
              <w:t>12, 13) that everyone is liable for a delict "even though he has not done the deed himself, who has by act or omission in some way or other caused the deed or its consequence: by act, that is by command, consent, harbouring, abetting, advising or instigating".’</w:t>
            </w:r>
            <w:r w:rsidRPr="00977081">
              <w:rPr>
                <w:rStyle w:val="FootnoteReference"/>
                <w:rFonts w:ascii="Arial Narrow" w:hAnsi="Arial Narrow"/>
              </w:rPr>
              <w:footnoteReference w:id="5"/>
            </w:r>
          </w:p>
          <w:p w:rsidR="00977081" w:rsidRPr="00001364" w:rsidRDefault="00977081" w:rsidP="006B3B95">
            <w:pPr>
              <w:spacing w:line="360" w:lineRule="auto"/>
              <w:ind w:firstLine="720"/>
              <w:jc w:val="both"/>
              <w:rPr>
                <w:rFonts w:ascii="Arial Narrow" w:hAnsi="Arial Narrow"/>
                <w:sz w:val="24"/>
                <w:szCs w:val="24"/>
              </w:rPr>
            </w:pPr>
          </w:p>
          <w:p w:rsidR="006B3B95" w:rsidRDefault="006B3B95" w:rsidP="006B3B95">
            <w:pPr>
              <w:spacing w:line="360" w:lineRule="auto"/>
              <w:jc w:val="both"/>
              <w:rPr>
                <w:rFonts w:ascii="Arial Narrow" w:hAnsi="Arial Narrow"/>
                <w:sz w:val="24"/>
                <w:szCs w:val="24"/>
              </w:rPr>
            </w:pPr>
            <w:r w:rsidRPr="00001364">
              <w:rPr>
                <w:rFonts w:ascii="Arial Narrow" w:hAnsi="Arial Narrow"/>
                <w:sz w:val="24"/>
                <w:szCs w:val="24"/>
              </w:rPr>
              <w:t>[17]</w:t>
            </w:r>
            <w:r w:rsidRPr="00001364">
              <w:rPr>
                <w:rFonts w:ascii="Arial Narrow" w:hAnsi="Arial Narrow"/>
                <w:sz w:val="24"/>
                <w:szCs w:val="24"/>
              </w:rPr>
              <w:tab/>
              <w:t>On the facts, the majority held the defendant not to be liable.</w:t>
            </w:r>
          </w:p>
          <w:p w:rsidR="007F7CF1" w:rsidRDefault="007F7CF1" w:rsidP="006B3B95">
            <w:pPr>
              <w:spacing w:line="360" w:lineRule="auto"/>
              <w:jc w:val="both"/>
              <w:rPr>
                <w:rFonts w:ascii="Arial Narrow" w:hAnsi="Arial Narrow"/>
                <w:sz w:val="24"/>
                <w:szCs w:val="24"/>
              </w:rPr>
            </w:pPr>
          </w:p>
          <w:p w:rsidR="006B3B95" w:rsidRDefault="006B3B95" w:rsidP="006B3B95">
            <w:pPr>
              <w:spacing w:line="360" w:lineRule="auto"/>
              <w:jc w:val="both"/>
              <w:rPr>
                <w:rFonts w:ascii="Arial Narrow" w:hAnsi="Arial Narrow"/>
                <w:sz w:val="24"/>
                <w:szCs w:val="24"/>
              </w:rPr>
            </w:pPr>
            <w:r w:rsidRPr="00001364">
              <w:rPr>
                <w:rFonts w:ascii="Arial Narrow" w:hAnsi="Arial Narrow"/>
                <w:sz w:val="24"/>
                <w:szCs w:val="24"/>
              </w:rPr>
              <w:t>[18]</w:t>
            </w:r>
            <w:r w:rsidRPr="00001364">
              <w:rPr>
                <w:rFonts w:ascii="Arial Narrow" w:hAnsi="Arial Narrow"/>
                <w:sz w:val="24"/>
                <w:szCs w:val="24"/>
              </w:rPr>
              <w:tab/>
              <w:t xml:space="preserve"> In a dissenting judgment C.G. Maasdorp JA said on that point of </w:t>
            </w:r>
            <w:r w:rsidRPr="007F7CF1">
              <w:rPr>
                <w:rFonts w:ascii="Arial Narrow" w:hAnsi="Arial Narrow"/>
                <w:sz w:val="24"/>
                <w:szCs w:val="24"/>
              </w:rPr>
              <w:t>law</w:t>
            </w:r>
            <w:r w:rsidR="00641632" w:rsidRPr="007F7CF1">
              <w:rPr>
                <w:rFonts w:ascii="Arial Narrow" w:hAnsi="Arial Narrow"/>
                <w:sz w:val="24"/>
                <w:szCs w:val="24"/>
              </w:rPr>
              <w:t xml:space="preserve"> that</w:t>
            </w:r>
            <w:r w:rsidRPr="007F7CF1">
              <w:rPr>
                <w:rFonts w:ascii="Arial Narrow" w:hAnsi="Arial Narrow"/>
                <w:sz w:val="24"/>
                <w:szCs w:val="24"/>
              </w:rPr>
              <w:t>:</w:t>
            </w:r>
          </w:p>
          <w:p w:rsidR="00615177" w:rsidRDefault="00615177" w:rsidP="006B3B95">
            <w:pPr>
              <w:spacing w:line="360" w:lineRule="auto"/>
              <w:jc w:val="both"/>
              <w:rPr>
                <w:rFonts w:ascii="Arial Narrow" w:hAnsi="Arial Narrow"/>
                <w:sz w:val="24"/>
                <w:szCs w:val="24"/>
              </w:rPr>
            </w:pPr>
          </w:p>
          <w:p w:rsidR="006B3B95" w:rsidRPr="00641632" w:rsidRDefault="006B3B95" w:rsidP="006B3B95">
            <w:pPr>
              <w:spacing w:line="360" w:lineRule="auto"/>
              <w:ind w:firstLine="720"/>
              <w:jc w:val="both"/>
              <w:rPr>
                <w:rFonts w:ascii="Arial Narrow" w:hAnsi="Arial Narrow"/>
              </w:rPr>
            </w:pPr>
            <w:r w:rsidRPr="00001364">
              <w:rPr>
                <w:rFonts w:ascii="Arial Narrow" w:hAnsi="Arial Narrow"/>
                <w:sz w:val="24"/>
                <w:szCs w:val="24"/>
              </w:rPr>
              <w:t xml:space="preserve"> </w:t>
            </w:r>
            <w:r w:rsidRPr="00641632">
              <w:rPr>
                <w:rFonts w:ascii="Arial Narrow" w:hAnsi="Arial Narrow"/>
              </w:rPr>
              <w:t xml:space="preserve">‘According to the Digest (47, 2, 54, 4), "he who knowingly furnished instruments for stealing is liable, although </w:t>
            </w:r>
            <w:r w:rsidR="00396A85">
              <w:rPr>
                <w:rFonts w:ascii="Arial Narrow" w:hAnsi="Arial Narrow"/>
              </w:rPr>
              <w:t xml:space="preserve">he did not counsel the theft." </w:t>
            </w:r>
            <w:r w:rsidRPr="00641632">
              <w:rPr>
                <w:rFonts w:ascii="Arial Narrow" w:hAnsi="Arial Narrow"/>
              </w:rPr>
              <w:t xml:space="preserve">This law we find laid down also by Van der Linden (2,1,8), and </w:t>
            </w:r>
            <w:r w:rsidRPr="00641632">
              <w:rPr>
                <w:rFonts w:ascii="Arial Narrow" w:hAnsi="Arial Narrow"/>
                <w:i/>
              </w:rPr>
              <w:t>Matthaeus</w:t>
            </w:r>
            <w:r w:rsidRPr="00641632">
              <w:rPr>
                <w:rFonts w:ascii="Arial Narrow" w:hAnsi="Arial Narrow"/>
              </w:rPr>
              <w:t xml:space="preserve">, in his work  on Crimes (1, 11). Here the writers speak of crimes from which a civil liability for damages arises. In </w:t>
            </w:r>
            <w:r w:rsidRPr="00641632">
              <w:rPr>
                <w:rFonts w:ascii="Arial Narrow" w:hAnsi="Arial Narrow"/>
                <w:i/>
              </w:rPr>
              <w:t>Voet</w:t>
            </w:r>
            <w:r w:rsidRPr="00641632">
              <w:rPr>
                <w:rFonts w:ascii="Arial Narrow" w:hAnsi="Arial Narrow"/>
              </w:rPr>
              <w:t xml:space="preserve"> (47, 2, 7) special mention is made of the liability of a person who lend a thief a ladder, well knowing what it was to used for.’  </w:t>
            </w:r>
          </w:p>
          <w:p w:rsidR="00641632" w:rsidRPr="00001364" w:rsidRDefault="00641632" w:rsidP="006B3B95">
            <w:pPr>
              <w:spacing w:line="360" w:lineRule="auto"/>
              <w:ind w:firstLine="720"/>
              <w:jc w:val="both"/>
              <w:rPr>
                <w:rFonts w:ascii="Arial Narrow" w:hAnsi="Arial Narrow"/>
                <w:sz w:val="24"/>
                <w:szCs w:val="24"/>
              </w:rPr>
            </w:pPr>
          </w:p>
          <w:p w:rsidR="006B3B95" w:rsidRDefault="006B3B95" w:rsidP="006B3B95">
            <w:pPr>
              <w:spacing w:line="360" w:lineRule="auto"/>
              <w:jc w:val="both"/>
              <w:rPr>
                <w:rFonts w:ascii="Arial Narrow" w:hAnsi="Arial Narrow"/>
                <w:sz w:val="24"/>
                <w:szCs w:val="24"/>
              </w:rPr>
            </w:pPr>
            <w:r w:rsidRPr="00001364">
              <w:rPr>
                <w:rFonts w:ascii="Arial Narrow" w:hAnsi="Arial Narrow"/>
                <w:sz w:val="24"/>
                <w:szCs w:val="24"/>
              </w:rPr>
              <w:t>[19]</w:t>
            </w:r>
            <w:r w:rsidRPr="00001364">
              <w:rPr>
                <w:rFonts w:ascii="Arial Narrow" w:hAnsi="Arial Narrow"/>
                <w:sz w:val="24"/>
                <w:szCs w:val="24"/>
              </w:rPr>
              <w:tab/>
              <w:t xml:space="preserve">In </w:t>
            </w:r>
            <w:r w:rsidRPr="00001364">
              <w:rPr>
                <w:rFonts w:ascii="Arial Narrow" w:hAnsi="Arial Narrow"/>
                <w:i/>
                <w:sz w:val="24"/>
                <w:szCs w:val="24"/>
              </w:rPr>
              <w:t>Cipla Medpro v Aventis Pharma (139/12) Aventis Pharma SA v Cipla Life Sciences</w:t>
            </w:r>
            <w:r w:rsidRPr="00001364">
              <w:rPr>
                <w:rStyle w:val="FootnoteReference"/>
                <w:rFonts w:ascii="Arial Narrow" w:hAnsi="Arial Narrow"/>
                <w:sz w:val="24"/>
                <w:szCs w:val="24"/>
              </w:rPr>
              <w:footnoteReference w:id="6"/>
            </w:r>
            <w:r w:rsidRPr="00001364">
              <w:rPr>
                <w:rFonts w:ascii="Arial Narrow" w:hAnsi="Arial Narrow"/>
                <w:sz w:val="24"/>
                <w:szCs w:val="24"/>
              </w:rPr>
              <w:t xml:space="preserve"> the court confirmed the position as set out in the </w:t>
            </w:r>
            <w:r w:rsidRPr="00D305A6">
              <w:rPr>
                <w:rFonts w:ascii="Arial Narrow" w:hAnsi="Arial Narrow"/>
                <w:i/>
                <w:sz w:val="24"/>
                <w:szCs w:val="24"/>
              </w:rPr>
              <w:t>McKenzie</w:t>
            </w:r>
            <w:r w:rsidRPr="00001364">
              <w:rPr>
                <w:rFonts w:ascii="Arial Narrow" w:hAnsi="Arial Narrow"/>
                <w:sz w:val="24"/>
                <w:szCs w:val="24"/>
              </w:rPr>
              <w:t xml:space="preserve"> matter as follows (with reference to para</w:t>
            </w:r>
            <w:r w:rsidR="007A7A66" w:rsidRPr="00001364">
              <w:rPr>
                <w:rFonts w:ascii="Arial Narrow" w:hAnsi="Arial Narrow"/>
                <w:sz w:val="24"/>
                <w:szCs w:val="24"/>
              </w:rPr>
              <w:t xml:space="preserve"> 16 </w:t>
            </w:r>
            <w:r w:rsidRPr="00001364">
              <w:rPr>
                <w:rFonts w:ascii="Arial Narrow" w:hAnsi="Arial Narrow"/>
                <w:sz w:val="24"/>
                <w:szCs w:val="24"/>
              </w:rPr>
              <w:t>above):</w:t>
            </w:r>
          </w:p>
          <w:p w:rsidR="00332A2D" w:rsidRDefault="006B3B95" w:rsidP="006B3B95">
            <w:pPr>
              <w:spacing w:line="360" w:lineRule="auto"/>
              <w:ind w:firstLine="720"/>
              <w:jc w:val="both"/>
              <w:rPr>
                <w:rFonts w:ascii="Arial Narrow" w:hAnsi="Arial Narrow"/>
              </w:rPr>
            </w:pPr>
            <w:r w:rsidRPr="00396A85">
              <w:rPr>
                <w:rFonts w:ascii="Arial Narrow" w:hAnsi="Arial Narrow"/>
              </w:rPr>
              <w:t xml:space="preserve">‘[35] </w:t>
            </w:r>
            <w:r w:rsidRPr="00396A85">
              <w:rPr>
                <w:rFonts w:ascii="Arial Narrow" w:hAnsi="Arial Narrow"/>
                <w:u w:val="single"/>
              </w:rPr>
              <w:t>The principle is not confined to inducing or aiding and abetting the commission of a delict</w:t>
            </w:r>
            <w:r w:rsidRPr="00396A85">
              <w:rPr>
                <w:rFonts w:ascii="Arial Narrow" w:hAnsi="Arial Narrow"/>
              </w:rPr>
              <w:t xml:space="preserve">. In </w:t>
            </w:r>
            <w:r w:rsidRPr="00396A85">
              <w:rPr>
                <w:rFonts w:ascii="Arial Narrow" w:hAnsi="Arial Narrow"/>
                <w:i/>
              </w:rPr>
              <w:t>Atlas Organic Fertilizers (Pty) Ltd v Pikkewyn Ghwano (Pty) Ltd</w:t>
            </w:r>
            <w:r w:rsidRPr="00396A85">
              <w:rPr>
                <w:rFonts w:ascii="Arial Narrow" w:hAnsi="Arial Narrow"/>
              </w:rPr>
              <w:t xml:space="preserve"> it was held to be a delict for a person to induce another to breach a </w:t>
            </w:r>
            <w:r w:rsidRPr="00396A85">
              <w:rPr>
                <w:rFonts w:ascii="Arial Narrow" w:hAnsi="Arial Narrow"/>
              </w:rPr>
              <w:lastRenderedPageBreak/>
              <w:t xml:space="preserve">contract. Van Dikhorst J expressed it as follows: ‘A delictual remedy is available to a party to a contract who complains that a third party has intentionally and without lawful justification induced another party to the contract to commit a breach thereof. </w:t>
            </w:r>
            <w:r w:rsidRPr="00396A85">
              <w:rPr>
                <w:rFonts w:ascii="Arial Narrow" w:hAnsi="Arial Narrow"/>
                <w:i/>
              </w:rPr>
              <w:t>Solomon v Du Preez</w:t>
            </w:r>
            <w:r w:rsidRPr="00396A85">
              <w:rPr>
                <w:rFonts w:ascii="Arial Narrow" w:hAnsi="Arial Narrow"/>
              </w:rPr>
              <w:t xml:space="preserve"> 1920 CPD 401 at 404; </w:t>
            </w:r>
            <w:r w:rsidRPr="00396A85">
              <w:rPr>
                <w:rFonts w:ascii="Arial Narrow" w:hAnsi="Arial Narrow"/>
                <w:i/>
              </w:rPr>
              <w:t>Jansen v Pienaar</w:t>
            </w:r>
            <w:r w:rsidRPr="00396A85">
              <w:rPr>
                <w:rFonts w:ascii="Arial Narrow" w:hAnsi="Arial Narrow"/>
              </w:rPr>
              <w:t xml:space="preserve"> (1881) 1 SC 276; </w:t>
            </w:r>
            <w:r w:rsidRPr="00396A85">
              <w:rPr>
                <w:rFonts w:ascii="Arial Narrow" w:hAnsi="Arial Narrow"/>
                <w:i/>
              </w:rPr>
              <w:t>Isaacman v Miller</w:t>
            </w:r>
            <w:r w:rsidRPr="00396A85">
              <w:rPr>
                <w:rFonts w:ascii="Arial Narrow" w:hAnsi="Arial Narrow"/>
              </w:rPr>
              <w:t xml:space="preserve"> 1922 TPD 56; </w:t>
            </w:r>
            <w:r w:rsidRPr="00396A85">
              <w:rPr>
                <w:rFonts w:ascii="Arial Narrow" w:hAnsi="Arial Narrow"/>
                <w:i/>
              </w:rPr>
              <w:t>Dun &amp; Bradstreet (Pty) Ltd v SA Merchants Combined Credit Bureau (Cape) (Pty) Ltd</w:t>
            </w:r>
            <w:r w:rsidRPr="00396A85">
              <w:rPr>
                <w:rFonts w:ascii="Arial Narrow" w:hAnsi="Arial Narrow"/>
              </w:rPr>
              <w:t xml:space="preserve"> 1968 (1) SA 209 (C) at 215.’</w:t>
            </w:r>
          </w:p>
          <w:p w:rsidR="00332A2D" w:rsidRDefault="00332A2D" w:rsidP="00332A2D">
            <w:pPr>
              <w:spacing w:line="360" w:lineRule="auto"/>
              <w:jc w:val="both"/>
              <w:rPr>
                <w:rFonts w:ascii="Arial Narrow" w:hAnsi="Arial Narrow"/>
              </w:rPr>
            </w:pPr>
          </w:p>
          <w:p w:rsidR="006B3B95" w:rsidRPr="00396A85" w:rsidRDefault="007F7CF1" w:rsidP="00332A2D">
            <w:pPr>
              <w:spacing w:line="360" w:lineRule="auto"/>
              <w:jc w:val="both"/>
              <w:rPr>
                <w:rFonts w:ascii="Arial Narrow" w:hAnsi="Arial Narrow"/>
              </w:rPr>
            </w:pPr>
            <w:r>
              <w:rPr>
                <w:rFonts w:ascii="Arial Narrow" w:hAnsi="Arial Narrow"/>
              </w:rPr>
              <w:t xml:space="preserve">               </w:t>
            </w:r>
            <w:r w:rsidR="006B3B95" w:rsidRPr="00396A85">
              <w:rPr>
                <w:rFonts w:ascii="Arial Narrow" w:hAnsi="Arial Narrow"/>
              </w:rPr>
              <w:t>[36]</w:t>
            </w:r>
            <w:r>
              <w:rPr>
                <w:rFonts w:ascii="Arial Narrow" w:hAnsi="Arial Narrow"/>
              </w:rPr>
              <w:t xml:space="preserve"> </w:t>
            </w:r>
            <w:r w:rsidR="006B3B95" w:rsidRPr="00396A85">
              <w:rPr>
                <w:rFonts w:ascii="Arial Narrow" w:hAnsi="Arial Narrow"/>
              </w:rPr>
              <w:t xml:space="preserve">In </w:t>
            </w:r>
            <w:r w:rsidR="006B3B95" w:rsidRPr="00396A85">
              <w:rPr>
                <w:rFonts w:ascii="Arial Narrow" w:hAnsi="Arial Narrow"/>
                <w:i/>
              </w:rPr>
              <w:t>Esquire Electronics Ltd v Executive Video</w:t>
            </w:r>
            <w:r w:rsidR="006B3B95" w:rsidRPr="00396A85">
              <w:rPr>
                <w:rStyle w:val="FootnoteReference"/>
                <w:rFonts w:ascii="Arial Narrow" w:hAnsi="Arial Narrow"/>
                <w:i/>
              </w:rPr>
              <w:footnoteReference w:id="7"/>
            </w:r>
            <w:r w:rsidR="006B3B95" w:rsidRPr="00396A85">
              <w:rPr>
                <w:rFonts w:ascii="Arial Narrow" w:hAnsi="Arial Narrow"/>
              </w:rPr>
              <w:t xml:space="preserve"> a submission that for there to be an infringement of a trade mark there must be use by the alleged infringer personally or through his servant or agent was disposed of by this court as follows: ‘I do not think that this argument has any merit. The modern law of trade mark infringement is statutory, but its origins are to be found in the common law rule that it is an actionable wrong, ie, a delict, to filch the trade of another by imitating the name, mark or device by which that person has acquired a reputation for his goods (see Policansky Bros Ltd v L &amp; H Policansky 1935 AD 89 at 97). </w:t>
            </w:r>
            <w:r w:rsidR="006B3B95" w:rsidRPr="00396A85">
              <w:rPr>
                <w:rFonts w:ascii="Arial Narrow" w:hAnsi="Arial Narrow"/>
                <w:u w:val="single"/>
              </w:rPr>
              <w:t>A delict is committed not only by the actual perpetrator, but by those who instigate or aid or advise its perpetration.</w:t>
            </w:r>
            <w:r w:rsidR="006B3B95" w:rsidRPr="00396A85">
              <w:rPr>
                <w:rFonts w:ascii="Arial Narrow" w:hAnsi="Arial Narrow"/>
              </w:rPr>
              <w:t xml:space="preserve"> See McKenzie </w:t>
            </w:r>
            <w:r w:rsidR="00D305A6">
              <w:rPr>
                <w:rFonts w:ascii="Arial Narrow" w:hAnsi="Arial Narrow"/>
              </w:rPr>
              <w:t>v Van der Merwe 1917 AD 41 . . .</w:t>
            </w:r>
            <w:r w:rsidR="006B3B95" w:rsidRPr="00396A85">
              <w:rPr>
                <w:rFonts w:ascii="Arial Narrow" w:hAnsi="Arial Narrow"/>
              </w:rPr>
              <w:t xml:space="preserve">’ </w:t>
            </w:r>
          </w:p>
          <w:p w:rsidR="006B3B95" w:rsidRPr="00396A85" w:rsidRDefault="00D305A6" w:rsidP="006B3B95">
            <w:pPr>
              <w:spacing w:line="360" w:lineRule="auto"/>
              <w:ind w:firstLine="720"/>
              <w:jc w:val="both"/>
              <w:rPr>
                <w:rFonts w:ascii="Arial Narrow" w:hAnsi="Arial Narrow"/>
              </w:rPr>
            </w:pPr>
            <w:r>
              <w:rPr>
                <w:rFonts w:ascii="Arial Narrow" w:hAnsi="Arial Narrow"/>
              </w:rPr>
              <w:t>. . . .</w:t>
            </w:r>
            <w:r w:rsidR="006B3B95" w:rsidRPr="00396A85">
              <w:rPr>
                <w:rFonts w:ascii="Arial Narrow" w:hAnsi="Arial Narrow"/>
              </w:rPr>
              <w:t xml:space="preserve"> </w:t>
            </w:r>
          </w:p>
          <w:p w:rsidR="006B3B95" w:rsidRPr="00001364" w:rsidRDefault="007F7CF1" w:rsidP="006B3B95">
            <w:pPr>
              <w:spacing w:line="360" w:lineRule="auto"/>
              <w:jc w:val="both"/>
              <w:rPr>
                <w:rFonts w:ascii="Arial Narrow" w:hAnsi="Arial Narrow"/>
                <w:sz w:val="24"/>
                <w:szCs w:val="24"/>
              </w:rPr>
            </w:pPr>
            <w:r>
              <w:rPr>
                <w:rFonts w:ascii="Arial Narrow" w:hAnsi="Arial Narrow"/>
              </w:rPr>
              <w:t xml:space="preserve">              </w:t>
            </w:r>
            <w:r w:rsidR="006B3B95" w:rsidRPr="00396A85">
              <w:rPr>
                <w:rFonts w:ascii="Arial Narrow" w:hAnsi="Arial Narrow"/>
              </w:rPr>
              <w:t>[39]</w:t>
            </w:r>
            <w:r>
              <w:rPr>
                <w:rFonts w:ascii="Arial Narrow" w:hAnsi="Arial Narrow"/>
              </w:rPr>
              <w:t xml:space="preserve"> </w:t>
            </w:r>
            <w:r w:rsidR="006B3B95" w:rsidRPr="00396A85">
              <w:rPr>
                <w:rFonts w:ascii="Arial Narrow" w:hAnsi="Arial Narrow"/>
              </w:rPr>
              <w:t xml:space="preserve">I think it is plain from </w:t>
            </w:r>
            <w:r w:rsidR="006B3B95" w:rsidRPr="00396A85">
              <w:rPr>
                <w:rFonts w:ascii="Arial Narrow" w:hAnsi="Arial Narrow"/>
                <w:i/>
              </w:rPr>
              <w:t>McKenzie</w:t>
            </w:r>
            <w:r w:rsidR="006B3B95" w:rsidRPr="00396A85">
              <w:rPr>
                <w:rFonts w:ascii="Arial Narrow" w:hAnsi="Arial Narrow"/>
              </w:rPr>
              <w:t>, and the authorities relied upon in that case, that, upon ordinary delictual principles, it is unlawful to incite or aid and abet the commission of a civil wrong, and I do not think it matters whether it is a wrong at common law or whether it is a wrong created by statute.’</w:t>
            </w:r>
          </w:p>
          <w:p w:rsidR="00ED3A07" w:rsidRPr="00001364" w:rsidRDefault="00ED3A07" w:rsidP="00ED3A07">
            <w:pPr>
              <w:spacing w:line="360" w:lineRule="auto"/>
              <w:jc w:val="both"/>
              <w:rPr>
                <w:rFonts w:ascii="Arial Narrow" w:hAnsi="Arial Narrow"/>
                <w:sz w:val="24"/>
                <w:szCs w:val="24"/>
              </w:rPr>
            </w:pPr>
          </w:p>
          <w:p w:rsidR="00ED3A07" w:rsidRPr="00001364" w:rsidRDefault="00ED3A07" w:rsidP="00ED3A07">
            <w:pPr>
              <w:spacing w:line="360" w:lineRule="auto"/>
              <w:jc w:val="both"/>
              <w:rPr>
                <w:rFonts w:ascii="Arial Narrow" w:hAnsi="Arial Narrow"/>
                <w:sz w:val="24"/>
                <w:szCs w:val="24"/>
              </w:rPr>
            </w:pPr>
            <w:r w:rsidRPr="00001364">
              <w:rPr>
                <w:rFonts w:ascii="Arial Narrow" w:hAnsi="Arial Narrow"/>
                <w:sz w:val="24"/>
                <w:szCs w:val="24"/>
              </w:rPr>
              <w:lastRenderedPageBreak/>
              <w:t>[20]</w:t>
            </w:r>
            <w:r w:rsidRPr="00001364">
              <w:rPr>
                <w:rFonts w:ascii="Arial Narrow" w:hAnsi="Arial Narrow"/>
                <w:sz w:val="24"/>
                <w:szCs w:val="24"/>
              </w:rPr>
              <w:tab/>
              <w:t xml:space="preserve">It is clear from the </w:t>
            </w:r>
            <w:r w:rsidRPr="00001364">
              <w:rPr>
                <w:rFonts w:ascii="Arial Narrow" w:hAnsi="Arial Narrow"/>
                <w:i/>
                <w:sz w:val="24"/>
                <w:szCs w:val="24"/>
              </w:rPr>
              <w:t>Cipla Medpro</w:t>
            </w:r>
            <w:r w:rsidRPr="00001364">
              <w:rPr>
                <w:rFonts w:ascii="Arial Narrow" w:hAnsi="Arial Narrow"/>
                <w:sz w:val="24"/>
                <w:szCs w:val="24"/>
              </w:rPr>
              <w:t xml:space="preserve"> matter </w:t>
            </w:r>
            <w:r w:rsidRPr="007F7CF1">
              <w:rPr>
                <w:rFonts w:ascii="Arial Narrow" w:hAnsi="Arial Narrow"/>
                <w:sz w:val="24"/>
                <w:szCs w:val="24"/>
              </w:rPr>
              <w:t xml:space="preserve">that </w:t>
            </w:r>
            <w:r w:rsidR="005005BD" w:rsidRPr="007F7CF1">
              <w:rPr>
                <w:rFonts w:ascii="Arial Narrow" w:hAnsi="Arial Narrow"/>
                <w:sz w:val="24"/>
                <w:szCs w:val="24"/>
              </w:rPr>
              <w:t xml:space="preserve">the </w:t>
            </w:r>
            <w:r w:rsidRPr="00001364">
              <w:rPr>
                <w:rFonts w:ascii="Arial Narrow" w:hAnsi="Arial Narrow"/>
                <w:sz w:val="24"/>
                <w:szCs w:val="24"/>
              </w:rPr>
              <w:t>principle of common purpose within the civil context is still as applicable today as it was a century ago and I cannot fault Mr Jones’ argument in this regard.</w:t>
            </w:r>
          </w:p>
          <w:p w:rsidR="00615177" w:rsidRDefault="00615177" w:rsidP="006B3B95">
            <w:pPr>
              <w:spacing w:line="360" w:lineRule="auto"/>
              <w:jc w:val="both"/>
              <w:rPr>
                <w:rFonts w:ascii="Arial Narrow" w:hAnsi="Arial Narrow"/>
                <w:i/>
                <w:sz w:val="24"/>
                <w:szCs w:val="24"/>
              </w:rPr>
            </w:pPr>
          </w:p>
          <w:p w:rsidR="007A7A66" w:rsidRDefault="007A7A66" w:rsidP="006B3B95">
            <w:pPr>
              <w:spacing w:line="360" w:lineRule="auto"/>
              <w:jc w:val="both"/>
              <w:rPr>
                <w:rFonts w:ascii="Arial Narrow" w:hAnsi="Arial Narrow"/>
                <w:i/>
                <w:sz w:val="24"/>
                <w:szCs w:val="24"/>
              </w:rPr>
            </w:pPr>
            <w:r w:rsidRPr="00001364">
              <w:rPr>
                <w:rFonts w:ascii="Arial Narrow" w:hAnsi="Arial Narrow"/>
                <w:i/>
                <w:sz w:val="24"/>
                <w:szCs w:val="24"/>
              </w:rPr>
              <w:t>Joint wrongdoers or concurrent wrongdoers?</w:t>
            </w:r>
          </w:p>
          <w:p w:rsidR="005005BD" w:rsidRPr="005005BD" w:rsidRDefault="005005BD" w:rsidP="006B3B95">
            <w:pPr>
              <w:spacing w:line="360" w:lineRule="auto"/>
              <w:jc w:val="both"/>
              <w:rPr>
                <w:rFonts w:ascii="Arial Narrow" w:hAnsi="Arial Narrow"/>
                <w:sz w:val="24"/>
                <w:szCs w:val="24"/>
              </w:rPr>
            </w:pPr>
          </w:p>
          <w:p w:rsidR="006B3B95" w:rsidRDefault="00ED3A07" w:rsidP="006B3B95">
            <w:pPr>
              <w:spacing w:line="360" w:lineRule="auto"/>
              <w:jc w:val="both"/>
              <w:rPr>
                <w:rFonts w:ascii="Arial Narrow" w:hAnsi="Arial Narrow"/>
                <w:sz w:val="24"/>
                <w:szCs w:val="24"/>
              </w:rPr>
            </w:pPr>
            <w:r w:rsidRPr="00001364">
              <w:rPr>
                <w:rFonts w:ascii="Arial Narrow" w:hAnsi="Arial Narrow"/>
                <w:sz w:val="24"/>
                <w:szCs w:val="24"/>
              </w:rPr>
              <w:t>[</w:t>
            </w:r>
            <w:r w:rsidR="006B3B95" w:rsidRPr="00001364">
              <w:rPr>
                <w:rFonts w:ascii="Arial Narrow" w:hAnsi="Arial Narrow"/>
                <w:sz w:val="24"/>
                <w:szCs w:val="24"/>
              </w:rPr>
              <w:t>2</w:t>
            </w:r>
            <w:r w:rsidR="00840D56" w:rsidRPr="00001364">
              <w:rPr>
                <w:rFonts w:ascii="Arial Narrow" w:hAnsi="Arial Narrow"/>
                <w:sz w:val="24"/>
                <w:szCs w:val="24"/>
              </w:rPr>
              <w:t>1</w:t>
            </w:r>
            <w:r w:rsidR="006B3B95" w:rsidRPr="00001364">
              <w:rPr>
                <w:rFonts w:ascii="Arial Narrow" w:hAnsi="Arial Narrow"/>
                <w:sz w:val="24"/>
                <w:szCs w:val="24"/>
              </w:rPr>
              <w:t>]</w:t>
            </w:r>
            <w:r w:rsidR="006B3B95" w:rsidRPr="00001364">
              <w:rPr>
                <w:rFonts w:ascii="Arial Narrow" w:hAnsi="Arial Narrow"/>
                <w:sz w:val="24"/>
                <w:szCs w:val="24"/>
              </w:rPr>
              <w:tab/>
              <w:t xml:space="preserve">In </w:t>
            </w:r>
            <w:r w:rsidR="006B3B95" w:rsidRPr="00001364">
              <w:rPr>
                <w:rFonts w:ascii="Arial Narrow" w:hAnsi="Arial Narrow"/>
                <w:i/>
                <w:sz w:val="24"/>
                <w:szCs w:val="24"/>
              </w:rPr>
              <w:t>Visagie v Government of The Republic Of Namibia And Others</w:t>
            </w:r>
            <w:r w:rsidR="006B3B95" w:rsidRPr="00001364">
              <w:rPr>
                <w:rStyle w:val="FootnoteReference"/>
                <w:rFonts w:ascii="Arial Narrow" w:hAnsi="Arial Narrow"/>
                <w:sz w:val="24"/>
                <w:szCs w:val="24"/>
              </w:rPr>
              <w:footnoteReference w:id="8"/>
            </w:r>
            <w:r w:rsidR="006B3B95" w:rsidRPr="00001364">
              <w:rPr>
                <w:rFonts w:ascii="Arial Narrow" w:hAnsi="Arial Narrow"/>
                <w:sz w:val="24"/>
                <w:szCs w:val="24"/>
              </w:rPr>
              <w:t xml:space="preserve"> our Supreme court discussed joint liability and contribution at common law  as follows:</w:t>
            </w:r>
          </w:p>
          <w:p w:rsidR="001432A9" w:rsidRPr="00001364" w:rsidRDefault="001432A9" w:rsidP="006B3B95">
            <w:pPr>
              <w:spacing w:line="360" w:lineRule="auto"/>
              <w:jc w:val="both"/>
              <w:rPr>
                <w:rFonts w:ascii="Arial Narrow" w:hAnsi="Arial Narrow"/>
                <w:sz w:val="24"/>
                <w:szCs w:val="24"/>
              </w:rPr>
            </w:pPr>
          </w:p>
          <w:p w:rsidR="006B3B95" w:rsidRPr="00AD133C" w:rsidRDefault="006B3B95" w:rsidP="006B3B95">
            <w:pPr>
              <w:spacing w:line="360" w:lineRule="auto"/>
              <w:jc w:val="both"/>
              <w:rPr>
                <w:rFonts w:ascii="Arial Narrow" w:hAnsi="Arial Narrow"/>
              </w:rPr>
            </w:pPr>
            <w:r w:rsidRPr="00001364">
              <w:rPr>
                <w:rFonts w:ascii="Arial Narrow" w:hAnsi="Arial Narrow"/>
                <w:sz w:val="24"/>
                <w:szCs w:val="24"/>
              </w:rPr>
              <w:tab/>
            </w:r>
            <w:r w:rsidRPr="00AD133C">
              <w:rPr>
                <w:rFonts w:ascii="Arial Narrow" w:hAnsi="Arial Narrow"/>
              </w:rPr>
              <w:t>‘[65]    Our common law recognises two types of wrongdoer: joint or concurrent</w:t>
            </w:r>
            <w:r w:rsidRPr="00AD133C">
              <w:rPr>
                <w:rStyle w:val="FootnoteReference"/>
                <w:rFonts w:ascii="Arial Narrow" w:hAnsi="Arial Narrow"/>
              </w:rPr>
              <w:footnoteReference w:id="9"/>
            </w:r>
            <w:r w:rsidRPr="00AD133C">
              <w:rPr>
                <w:rFonts w:ascii="Arial Narrow" w:hAnsi="Arial Narrow"/>
              </w:rPr>
              <w:t>.  The former are persons who commit a delict jointly in pursuance of a concerted effort or in furtherance of a common design</w:t>
            </w:r>
            <w:r w:rsidRPr="00AD133C">
              <w:rPr>
                <w:rStyle w:val="FootnoteReference"/>
                <w:rFonts w:ascii="Arial Narrow" w:hAnsi="Arial Narrow"/>
              </w:rPr>
              <w:footnoteReference w:id="10"/>
            </w:r>
            <w:r w:rsidRPr="00AD133C">
              <w:rPr>
                <w:rFonts w:ascii="Arial Narrow" w:hAnsi="Arial Narrow"/>
              </w:rPr>
              <w:t>.  Concurrent wrongdoers on the other hand are persons whose independent wrongful and unlawful conduct are combined to produce the harmful consequence</w:t>
            </w:r>
            <w:r w:rsidRPr="00AD133C">
              <w:rPr>
                <w:rStyle w:val="FootnoteReference"/>
                <w:rFonts w:ascii="Arial Narrow" w:hAnsi="Arial Narrow"/>
              </w:rPr>
              <w:footnoteReference w:id="11"/>
            </w:r>
            <w:r w:rsidRPr="00AD133C">
              <w:rPr>
                <w:rFonts w:ascii="Arial Narrow" w:hAnsi="Arial Narrow"/>
              </w:rPr>
              <w:t>.  In both instances, the wrongdoers are jointly and severally liable for the harm caused</w:t>
            </w:r>
            <w:r w:rsidRPr="00AD133C">
              <w:rPr>
                <w:rStyle w:val="FootnoteReference"/>
                <w:rFonts w:ascii="Arial Narrow" w:hAnsi="Arial Narrow"/>
              </w:rPr>
              <w:footnoteReference w:id="12"/>
            </w:r>
            <w:r w:rsidRPr="00AD133C">
              <w:rPr>
                <w:rFonts w:ascii="Arial Narrow" w:hAnsi="Arial Narrow"/>
              </w:rPr>
              <w:t xml:space="preserve">.  No right of </w:t>
            </w:r>
            <w:r w:rsidRPr="00AD133C">
              <w:rPr>
                <w:rFonts w:ascii="Arial Narrow" w:hAnsi="Arial Narrow"/>
              </w:rPr>
              <w:lastRenderedPageBreak/>
              <w:t>contribution exists as between joint wrongdoers</w:t>
            </w:r>
            <w:r w:rsidRPr="00AD133C">
              <w:rPr>
                <w:rStyle w:val="FootnoteReference"/>
                <w:rFonts w:ascii="Arial Narrow" w:hAnsi="Arial Narrow"/>
              </w:rPr>
              <w:footnoteReference w:id="13"/>
            </w:r>
            <w:r w:rsidRPr="00AD133C">
              <w:rPr>
                <w:rFonts w:ascii="Arial Narrow" w:hAnsi="Arial Narrow"/>
              </w:rPr>
              <w:t xml:space="preserve"> although in respect of concurrent wrongdoers such a right is recognised</w:t>
            </w:r>
            <w:r w:rsidR="00AD133C" w:rsidRPr="00AD133C">
              <w:rPr>
                <w:rFonts w:ascii="Arial Narrow" w:hAnsi="Arial Narrow"/>
              </w:rPr>
              <w:t>.’</w:t>
            </w:r>
            <w:r w:rsidRPr="00AD133C">
              <w:rPr>
                <w:rStyle w:val="FootnoteReference"/>
                <w:rFonts w:ascii="Arial Narrow" w:hAnsi="Arial Narrow"/>
              </w:rPr>
              <w:footnoteReference w:id="14"/>
            </w:r>
            <w:r w:rsidRPr="00AD133C">
              <w:rPr>
                <w:rFonts w:ascii="Arial Narrow" w:hAnsi="Arial Narrow"/>
              </w:rPr>
              <w:t xml:space="preserve"> </w:t>
            </w:r>
          </w:p>
          <w:p w:rsidR="009A0F3D" w:rsidRPr="00001364" w:rsidRDefault="009A0F3D" w:rsidP="006B3B95">
            <w:pPr>
              <w:spacing w:line="360" w:lineRule="auto"/>
              <w:jc w:val="both"/>
              <w:rPr>
                <w:rFonts w:ascii="Arial Narrow" w:hAnsi="Arial Narrow"/>
                <w:sz w:val="24"/>
                <w:szCs w:val="24"/>
              </w:rPr>
            </w:pPr>
          </w:p>
          <w:p w:rsidR="006B3B95" w:rsidRPr="00001364" w:rsidRDefault="006B3B95" w:rsidP="006B3B95">
            <w:pPr>
              <w:spacing w:line="360" w:lineRule="auto"/>
              <w:jc w:val="both"/>
              <w:rPr>
                <w:rFonts w:ascii="Arial Narrow" w:hAnsi="Arial Narrow"/>
                <w:sz w:val="24"/>
                <w:szCs w:val="24"/>
              </w:rPr>
            </w:pPr>
            <w:r w:rsidRPr="00001364">
              <w:rPr>
                <w:rFonts w:ascii="Arial Narrow" w:hAnsi="Arial Narrow"/>
                <w:sz w:val="24"/>
                <w:szCs w:val="24"/>
              </w:rPr>
              <w:t>[2</w:t>
            </w:r>
            <w:r w:rsidR="00840D56" w:rsidRPr="00001364">
              <w:rPr>
                <w:rFonts w:ascii="Arial Narrow" w:hAnsi="Arial Narrow"/>
                <w:sz w:val="24"/>
                <w:szCs w:val="24"/>
              </w:rPr>
              <w:t>2</w:t>
            </w:r>
            <w:r w:rsidRPr="00001364">
              <w:rPr>
                <w:rFonts w:ascii="Arial Narrow" w:hAnsi="Arial Narrow"/>
                <w:sz w:val="24"/>
                <w:szCs w:val="24"/>
              </w:rPr>
              <w:t>]</w:t>
            </w:r>
            <w:r w:rsidRPr="00001364">
              <w:rPr>
                <w:rFonts w:ascii="Arial Narrow" w:hAnsi="Arial Narrow"/>
                <w:sz w:val="24"/>
                <w:szCs w:val="24"/>
              </w:rPr>
              <w:tab/>
              <w:t xml:space="preserve">For purposes of this ruling the court </w:t>
            </w:r>
            <w:r w:rsidR="00EC69C5">
              <w:rPr>
                <w:rFonts w:ascii="Arial Narrow" w:hAnsi="Arial Narrow"/>
                <w:sz w:val="24"/>
                <w:szCs w:val="24"/>
              </w:rPr>
              <w:t>directed</w:t>
            </w:r>
            <w:r w:rsidRPr="00001364">
              <w:rPr>
                <w:rFonts w:ascii="Arial Narrow" w:hAnsi="Arial Narrow"/>
                <w:sz w:val="24"/>
                <w:szCs w:val="24"/>
              </w:rPr>
              <w:t xml:space="preserve"> a further question to the plaintiff’s legal practitioner to address the court on whether the defendants in the matter </w:t>
            </w:r>
            <w:r w:rsidR="009F2D06" w:rsidRPr="007F7CF1">
              <w:rPr>
                <w:rFonts w:ascii="Arial Narrow" w:hAnsi="Arial Narrow"/>
                <w:sz w:val="24"/>
                <w:szCs w:val="24"/>
              </w:rPr>
              <w:t>are</w:t>
            </w:r>
            <w:r w:rsidR="009F2D06">
              <w:rPr>
                <w:rFonts w:ascii="Arial Narrow" w:hAnsi="Arial Narrow"/>
                <w:color w:val="FF0000"/>
                <w:sz w:val="24"/>
                <w:szCs w:val="24"/>
              </w:rPr>
              <w:t xml:space="preserve"> </w:t>
            </w:r>
            <w:r w:rsidRPr="00001364">
              <w:rPr>
                <w:rFonts w:ascii="Arial Narrow" w:hAnsi="Arial Narrow"/>
                <w:sz w:val="24"/>
                <w:szCs w:val="24"/>
              </w:rPr>
              <w:t xml:space="preserve">joint wrongdoers or concurrent wrongdoers. </w:t>
            </w:r>
          </w:p>
          <w:p w:rsidR="009A0F3D" w:rsidRPr="00001364" w:rsidRDefault="009A0F3D" w:rsidP="006B3B95">
            <w:pPr>
              <w:spacing w:line="360" w:lineRule="auto"/>
              <w:jc w:val="both"/>
              <w:rPr>
                <w:rFonts w:ascii="Arial Narrow" w:hAnsi="Arial Narrow"/>
                <w:sz w:val="24"/>
                <w:szCs w:val="24"/>
              </w:rPr>
            </w:pPr>
          </w:p>
          <w:p w:rsidR="006B3B95" w:rsidRDefault="006B3B95" w:rsidP="006B3B95">
            <w:pPr>
              <w:spacing w:line="360" w:lineRule="auto"/>
              <w:jc w:val="both"/>
              <w:rPr>
                <w:rFonts w:ascii="Arial Narrow" w:hAnsi="Arial Narrow" w:cs="Arial"/>
                <w:sz w:val="24"/>
                <w:szCs w:val="24"/>
                <w:shd w:val="clear" w:color="auto" w:fill="FFFFFF"/>
              </w:rPr>
            </w:pPr>
            <w:r w:rsidRPr="00001364">
              <w:rPr>
                <w:rFonts w:ascii="Arial Narrow" w:hAnsi="Arial Narrow"/>
                <w:sz w:val="24"/>
                <w:szCs w:val="24"/>
              </w:rPr>
              <w:t>[2</w:t>
            </w:r>
            <w:r w:rsidR="00840D56" w:rsidRPr="00001364">
              <w:rPr>
                <w:rFonts w:ascii="Arial Narrow" w:hAnsi="Arial Narrow"/>
                <w:sz w:val="24"/>
                <w:szCs w:val="24"/>
              </w:rPr>
              <w:t>3</w:t>
            </w:r>
            <w:r w:rsidRPr="00001364">
              <w:rPr>
                <w:rFonts w:ascii="Arial Narrow" w:hAnsi="Arial Narrow"/>
                <w:sz w:val="24"/>
                <w:szCs w:val="24"/>
              </w:rPr>
              <w:t>]</w:t>
            </w:r>
            <w:r w:rsidRPr="00001364">
              <w:rPr>
                <w:rFonts w:ascii="Arial Narrow" w:hAnsi="Arial Narrow"/>
                <w:sz w:val="24"/>
                <w:szCs w:val="24"/>
              </w:rPr>
              <w:tab/>
              <w:t>Mr Jones, in his additional written argument, advance the point that the question of whether the defendants are joint or current wrongdoers will be determined by the pleadings and the evidence eventually. I was further referred</w:t>
            </w:r>
            <w:r w:rsidR="004823E8">
              <w:rPr>
                <w:rFonts w:ascii="Arial Narrow" w:hAnsi="Arial Narrow"/>
                <w:sz w:val="24"/>
                <w:szCs w:val="24"/>
              </w:rPr>
              <w:t xml:space="preserve"> </w:t>
            </w:r>
            <w:r w:rsidR="004823E8" w:rsidRPr="007F7CF1">
              <w:rPr>
                <w:rFonts w:ascii="Arial Narrow" w:hAnsi="Arial Narrow"/>
                <w:sz w:val="24"/>
                <w:szCs w:val="24"/>
              </w:rPr>
              <w:t>to</w:t>
            </w:r>
            <w:r w:rsidRPr="00001364">
              <w:rPr>
                <w:rFonts w:ascii="Arial Narrow" w:hAnsi="Arial Narrow"/>
                <w:sz w:val="24"/>
                <w:szCs w:val="24"/>
              </w:rPr>
              <w:t xml:space="preserve"> </w:t>
            </w:r>
            <w:r w:rsidRPr="00001364">
              <w:rPr>
                <w:rStyle w:val="Emphasis"/>
                <w:rFonts w:ascii="Arial Narrow" w:hAnsi="Arial Narrow" w:cs="Arial"/>
                <w:bCs/>
                <w:iCs w:val="0"/>
                <w:sz w:val="24"/>
                <w:szCs w:val="24"/>
                <w:shd w:val="clear" w:color="auto" w:fill="FFFFFF"/>
              </w:rPr>
              <w:t>Lloyd</w:t>
            </w:r>
            <w:r w:rsidRPr="00001364">
              <w:rPr>
                <w:rFonts w:ascii="Arial Narrow" w:hAnsi="Arial Narrow" w:cs="Arial"/>
                <w:sz w:val="24"/>
                <w:szCs w:val="24"/>
                <w:shd w:val="clear" w:color="auto" w:fill="FFFFFF"/>
              </w:rPr>
              <w:t>-</w:t>
            </w:r>
            <w:r w:rsidRPr="00001364">
              <w:rPr>
                <w:rStyle w:val="Emphasis"/>
                <w:rFonts w:ascii="Arial Narrow" w:hAnsi="Arial Narrow" w:cs="Arial"/>
                <w:bCs/>
                <w:iCs w:val="0"/>
                <w:sz w:val="24"/>
                <w:szCs w:val="24"/>
                <w:shd w:val="clear" w:color="auto" w:fill="FFFFFF"/>
              </w:rPr>
              <w:t>Gray Lithographers</w:t>
            </w:r>
            <w:r w:rsidRPr="00001364">
              <w:rPr>
                <w:rFonts w:ascii="Arial Narrow" w:hAnsi="Arial Narrow" w:cs="Arial"/>
                <w:sz w:val="24"/>
                <w:szCs w:val="24"/>
                <w:shd w:val="clear" w:color="auto" w:fill="FFFFFF"/>
              </w:rPr>
              <w:t> (</w:t>
            </w:r>
            <w:r w:rsidRPr="00001364">
              <w:rPr>
                <w:rStyle w:val="Emphasis"/>
                <w:rFonts w:ascii="Arial Narrow" w:hAnsi="Arial Narrow" w:cs="Arial"/>
                <w:bCs/>
                <w:iCs w:val="0"/>
                <w:sz w:val="24"/>
                <w:szCs w:val="24"/>
                <w:shd w:val="clear" w:color="auto" w:fill="FFFFFF"/>
              </w:rPr>
              <w:t>Pty</w:t>
            </w:r>
            <w:r w:rsidRPr="00001364">
              <w:rPr>
                <w:rFonts w:ascii="Arial Narrow" w:hAnsi="Arial Narrow" w:cs="Arial"/>
                <w:sz w:val="24"/>
                <w:szCs w:val="24"/>
                <w:shd w:val="clear" w:color="auto" w:fill="FFFFFF"/>
              </w:rPr>
              <w:t>) </w:t>
            </w:r>
            <w:r w:rsidRPr="00001364">
              <w:rPr>
                <w:rStyle w:val="Emphasis"/>
                <w:rFonts w:ascii="Arial Narrow" w:hAnsi="Arial Narrow" w:cs="Arial"/>
                <w:bCs/>
                <w:iCs w:val="0"/>
                <w:sz w:val="24"/>
                <w:szCs w:val="24"/>
                <w:shd w:val="clear" w:color="auto" w:fill="FFFFFF"/>
              </w:rPr>
              <w:t>Ltd v Nedcor Bank Ltd t</w:t>
            </w:r>
            <w:r w:rsidRPr="00001364">
              <w:rPr>
                <w:rFonts w:ascii="Arial Narrow" w:hAnsi="Arial Narrow" w:cs="Arial"/>
                <w:sz w:val="24"/>
                <w:szCs w:val="24"/>
                <w:shd w:val="clear" w:color="auto" w:fill="FFFFFF"/>
              </w:rPr>
              <w:t>/a </w:t>
            </w:r>
            <w:r w:rsidRPr="00001364">
              <w:rPr>
                <w:rStyle w:val="Emphasis"/>
                <w:rFonts w:ascii="Arial Narrow" w:hAnsi="Arial Narrow" w:cs="Arial"/>
                <w:bCs/>
                <w:iCs w:val="0"/>
                <w:sz w:val="24"/>
                <w:szCs w:val="24"/>
                <w:shd w:val="clear" w:color="auto" w:fill="FFFFFF"/>
              </w:rPr>
              <w:t>Nedbank</w:t>
            </w:r>
            <w:r w:rsidRPr="00001364">
              <w:rPr>
                <w:rStyle w:val="FootnoteReference"/>
                <w:rFonts w:ascii="Arial Narrow" w:hAnsi="Arial Narrow" w:cs="Arial"/>
                <w:bCs/>
                <w:sz w:val="24"/>
                <w:szCs w:val="24"/>
                <w:shd w:val="clear" w:color="auto" w:fill="FFFFFF"/>
              </w:rPr>
              <w:footnoteReference w:id="15"/>
            </w:r>
            <w:r w:rsidRPr="00001364">
              <w:rPr>
                <w:rFonts w:ascii="Arial Narrow" w:hAnsi="Arial Narrow" w:cs="Arial"/>
                <w:sz w:val="24"/>
                <w:szCs w:val="24"/>
                <w:shd w:val="clear" w:color="auto" w:fill="FFFFFF"/>
              </w:rPr>
              <w:t>  where the court found as follows</w:t>
            </w:r>
            <w:r w:rsidRPr="00001364">
              <w:rPr>
                <w:rStyle w:val="FootnoteReference"/>
                <w:rFonts w:ascii="Arial Narrow" w:hAnsi="Arial Narrow" w:cs="Arial"/>
                <w:sz w:val="24"/>
                <w:szCs w:val="24"/>
                <w:shd w:val="clear" w:color="auto" w:fill="FFFFFF"/>
              </w:rPr>
              <w:footnoteReference w:id="16"/>
            </w:r>
            <w:r w:rsidRPr="00001364">
              <w:rPr>
                <w:rFonts w:ascii="Arial Narrow" w:hAnsi="Arial Narrow" w:cs="Arial"/>
                <w:sz w:val="24"/>
                <w:szCs w:val="24"/>
                <w:shd w:val="clear" w:color="auto" w:fill="FFFFFF"/>
              </w:rPr>
              <w:t>:</w:t>
            </w:r>
          </w:p>
          <w:p w:rsidR="009F2D06" w:rsidRPr="00001364" w:rsidRDefault="009F2D06" w:rsidP="006B3B95">
            <w:pPr>
              <w:spacing w:line="360" w:lineRule="auto"/>
              <w:jc w:val="both"/>
              <w:rPr>
                <w:rFonts w:ascii="Arial Narrow" w:hAnsi="Arial Narrow" w:cs="Arial"/>
                <w:sz w:val="24"/>
                <w:szCs w:val="24"/>
                <w:shd w:val="clear" w:color="auto" w:fill="FFFFFF"/>
              </w:rPr>
            </w:pPr>
          </w:p>
          <w:p w:rsidR="006B3B95" w:rsidRPr="00001364" w:rsidRDefault="006B3B95" w:rsidP="006B3B95">
            <w:pPr>
              <w:spacing w:line="360" w:lineRule="auto"/>
              <w:jc w:val="both"/>
              <w:rPr>
                <w:rFonts w:ascii="Arial Narrow" w:hAnsi="Arial Narrow"/>
                <w:sz w:val="24"/>
                <w:szCs w:val="24"/>
              </w:rPr>
            </w:pPr>
            <w:r w:rsidRPr="00001364">
              <w:rPr>
                <w:rFonts w:ascii="Arial Narrow" w:hAnsi="Arial Narrow" w:cs="Arial"/>
                <w:sz w:val="24"/>
                <w:szCs w:val="24"/>
                <w:shd w:val="clear" w:color="auto" w:fill="FFFFFF"/>
              </w:rPr>
              <w:tab/>
            </w:r>
            <w:r w:rsidRPr="009F2D06">
              <w:rPr>
                <w:rFonts w:ascii="Arial Narrow" w:hAnsi="Arial Narrow" w:cs="Arial"/>
                <w:shd w:val="clear" w:color="auto" w:fill="FFFFFF"/>
              </w:rPr>
              <w:t>‘[</w:t>
            </w:r>
            <w:r w:rsidRPr="009F2D06">
              <w:rPr>
                <w:rFonts w:ascii="Arial Narrow" w:hAnsi="Arial Narrow"/>
              </w:rPr>
              <w:t xml:space="preserve">10] At common law a distinction is drawn between joint wrongdoers and concurrent wrongdoers. (The latter are sometimes referred to as “several” wrongdoers. Joint wrongdoers are persons who, acting in concert or in furtherance of a common design, jointly commit a delict. They are jointly and severally liable. Concurrent wrongdoers, on the other hand, are persons whose independent or “several” delictual acts (or omissions) combine to produce the </w:t>
            </w:r>
            <w:r w:rsidRPr="009F2D06">
              <w:rPr>
                <w:rFonts w:ascii="Arial Narrow" w:hAnsi="Arial Narrow"/>
              </w:rPr>
              <w:lastRenderedPageBreak/>
              <w:t>same damage. It was accepted</w:t>
            </w:r>
            <w:r w:rsidRPr="009F2D06">
              <w:rPr>
                <w:rStyle w:val="FootnoteReference"/>
                <w:rFonts w:ascii="Arial Narrow" w:hAnsi="Arial Narrow"/>
              </w:rPr>
              <w:footnoteReference w:id="17"/>
            </w:r>
            <w:r w:rsidRPr="009F2D06">
              <w:rPr>
                <w:rFonts w:ascii="Arial Narrow" w:hAnsi="Arial Narrow"/>
              </w:rPr>
              <w:t xml:space="preserve"> …. that, subject always to there being an intact chain of causation, one concurrent wrongdoer may be sued for the full amount of the plaintiff’s loss, ie that concurrent wrongdoers are liable </w:t>
            </w:r>
            <w:r w:rsidRPr="009F2D06">
              <w:rPr>
                <w:rFonts w:ascii="Arial Narrow" w:hAnsi="Arial Narrow"/>
                <w:i/>
              </w:rPr>
              <w:t>in solidum</w:t>
            </w:r>
            <w:r w:rsidRPr="009F2D06">
              <w:rPr>
                <w:rFonts w:ascii="Arial Narrow" w:hAnsi="Arial Narrow"/>
              </w:rPr>
              <w:t>.</w:t>
            </w:r>
            <w:r w:rsidRPr="00001364">
              <w:rPr>
                <w:rFonts w:ascii="Arial Narrow" w:hAnsi="Arial Narrow"/>
                <w:sz w:val="24"/>
                <w:szCs w:val="24"/>
              </w:rPr>
              <w:t>’</w:t>
            </w:r>
          </w:p>
          <w:p w:rsidR="009A0F3D" w:rsidRPr="00001364" w:rsidRDefault="009A0F3D" w:rsidP="006B3B95">
            <w:pPr>
              <w:spacing w:line="360" w:lineRule="auto"/>
              <w:jc w:val="both"/>
              <w:rPr>
                <w:rFonts w:ascii="Arial Narrow" w:hAnsi="Arial Narrow" w:cs="Arial"/>
                <w:sz w:val="24"/>
                <w:szCs w:val="24"/>
              </w:rPr>
            </w:pPr>
          </w:p>
          <w:p w:rsidR="006B3B95" w:rsidRPr="00001364" w:rsidRDefault="006B3B95" w:rsidP="006B3B95">
            <w:pPr>
              <w:spacing w:line="360" w:lineRule="auto"/>
              <w:jc w:val="both"/>
              <w:rPr>
                <w:rFonts w:ascii="Arial Narrow" w:hAnsi="Arial Narrow" w:cs="Arial"/>
                <w:sz w:val="24"/>
                <w:szCs w:val="24"/>
              </w:rPr>
            </w:pPr>
            <w:r w:rsidRPr="00001364">
              <w:rPr>
                <w:rFonts w:ascii="Arial Narrow" w:hAnsi="Arial Narrow" w:cs="Arial"/>
                <w:sz w:val="24"/>
                <w:szCs w:val="24"/>
              </w:rPr>
              <w:t>[2</w:t>
            </w:r>
            <w:r w:rsidR="00840D56" w:rsidRPr="00001364">
              <w:rPr>
                <w:rFonts w:ascii="Arial Narrow" w:hAnsi="Arial Narrow" w:cs="Arial"/>
                <w:sz w:val="24"/>
                <w:szCs w:val="24"/>
              </w:rPr>
              <w:t>4</w:t>
            </w:r>
            <w:r w:rsidRPr="00001364">
              <w:rPr>
                <w:rFonts w:ascii="Arial Narrow" w:hAnsi="Arial Narrow" w:cs="Arial"/>
                <w:sz w:val="24"/>
                <w:szCs w:val="24"/>
              </w:rPr>
              <w:t>]</w:t>
            </w:r>
            <w:r w:rsidRPr="00001364">
              <w:rPr>
                <w:rFonts w:ascii="Arial Narrow" w:hAnsi="Arial Narrow" w:cs="Arial"/>
                <w:sz w:val="24"/>
                <w:szCs w:val="24"/>
              </w:rPr>
              <w:tab/>
              <w:t xml:space="preserve">What can be taken from the </w:t>
            </w:r>
            <w:r w:rsidRPr="00001364">
              <w:rPr>
                <w:rFonts w:ascii="Arial Narrow" w:hAnsi="Arial Narrow" w:cs="Arial"/>
                <w:i/>
                <w:sz w:val="24"/>
                <w:szCs w:val="24"/>
              </w:rPr>
              <w:t>Nedcor</w:t>
            </w:r>
            <w:r w:rsidRPr="00001364">
              <w:rPr>
                <w:rFonts w:ascii="Arial Narrow" w:hAnsi="Arial Narrow" w:cs="Arial"/>
                <w:sz w:val="24"/>
                <w:szCs w:val="24"/>
              </w:rPr>
              <w:t xml:space="preserve"> matter is that joint wrongdoers are liable jointly and severally whereas concurrent wrongdoers are liable </w:t>
            </w:r>
            <w:r w:rsidRPr="00001364">
              <w:rPr>
                <w:rFonts w:ascii="Arial Narrow" w:hAnsi="Arial Narrow" w:cs="Arial"/>
                <w:i/>
                <w:sz w:val="24"/>
                <w:szCs w:val="24"/>
              </w:rPr>
              <w:t>in solidum</w:t>
            </w:r>
            <w:r w:rsidRPr="00001364">
              <w:rPr>
                <w:rFonts w:ascii="Arial Narrow" w:hAnsi="Arial Narrow" w:cs="Arial"/>
                <w:sz w:val="24"/>
                <w:szCs w:val="24"/>
              </w:rPr>
              <w:t xml:space="preserve"> (a whole, an entire or undivided thing). I do agree with Mr Jones that the importance of the distinction between these type</w:t>
            </w:r>
            <w:r w:rsidR="00C45108" w:rsidRPr="008B3F1B">
              <w:rPr>
                <w:rFonts w:ascii="Arial Narrow" w:hAnsi="Arial Narrow" w:cs="Arial"/>
                <w:sz w:val="24"/>
                <w:szCs w:val="24"/>
              </w:rPr>
              <w:t>s</w:t>
            </w:r>
            <w:r w:rsidRPr="00001364">
              <w:rPr>
                <w:rFonts w:ascii="Arial Narrow" w:hAnsi="Arial Narrow" w:cs="Arial"/>
                <w:sz w:val="24"/>
                <w:szCs w:val="24"/>
              </w:rPr>
              <w:t xml:space="preserve"> of wrongdoers is seemingly of importance to the wrongdoers themselves, </w:t>
            </w:r>
            <w:r w:rsidRPr="00001364">
              <w:rPr>
                <w:rFonts w:ascii="Arial Narrow" w:hAnsi="Arial Narrow" w:cs="Arial"/>
                <w:i/>
                <w:sz w:val="24"/>
                <w:szCs w:val="24"/>
              </w:rPr>
              <w:t>inter partes</w:t>
            </w:r>
            <w:r w:rsidRPr="00001364">
              <w:rPr>
                <w:rFonts w:ascii="Arial Narrow" w:hAnsi="Arial Narrow" w:cs="Arial"/>
                <w:sz w:val="24"/>
                <w:szCs w:val="24"/>
              </w:rPr>
              <w:t xml:space="preserve">. </w:t>
            </w:r>
          </w:p>
          <w:p w:rsidR="005E544E" w:rsidRPr="00001364" w:rsidRDefault="005E544E" w:rsidP="005E544E">
            <w:pPr>
              <w:spacing w:line="360" w:lineRule="auto"/>
              <w:jc w:val="both"/>
              <w:rPr>
                <w:rFonts w:ascii="Arial Narrow" w:hAnsi="Arial Narrow" w:cs="Arial"/>
                <w:sz w:val="24"/>
                <w:szCs w:val="24"/>
              </w:rPr>
            </w:pPr>
          </w:p>
          <w:p w:rsidR="00C45108" w:rsidRDefault="005E544E" w:rsidP="000B2308">
            <w:pPr>
              <w:spacing w:line="360" w:lineRule="auto"/>
              <w:jc w:val="both"/>
              <w:rPr>
                <w:rFonts w:ascii="Arial Narrow" w:hAnsi="Arial Narrow" w:cs="Arial"/>
                <w:sz w:val="24"/>
                <w:szCs w:val="24"/>
              </w:rPr>
            </w:pPr>
            <w:r w:rsidRPr="00001364">
              <w:rPr>
                <w:rFonts w:ascii="Arial Narrow" w:hAnsi="Arial Narrow" w:cs="Arial"/>
                <w:sz w:val="24"/>
                <w:szCs w:val="24"/>
              </w:rPr>
              <w:t>[2</w:t>
            </w:r>
            <w:r w:rsidR="00840D56" w:rsidRPr="00001364">
              <w:rPr>
                <w:rFonts w:ascii="Arial Narrow" w:hAnsi="Arial Narrow" w:cs="Arial"/>
                <w:sz w:val="24"/>
                <w:szCs w:val="24"/>
              </w:rPr>
              <w:t>5</w:t>
            </w:r>
            <w:r w:rsidRPr="00001364">
              <w:rPr>
                <w:rFonts w:ascii="Arial Narrow" w:hAnsi="Arial Narrow" w:cs="Arial"/>
                <w:sz w:val="24"/>
                <w:szCs w:val="24"/>
              </w:rPr>
              <w:t>]</w:t>
            </w:r>
            <w:r w:rsidRPr="00001364">
              <w:rPr>
                <w:rFonts w:ascii="Arial Narrow" w:hAnsi="Arial Narrow" w:cs="Arial"/>
                <w:sz w:val="24"/>
                <w:szCs w:val="24"/>
              </w:rPr>
              <w:tab/>
            </w:r>
            <w:r w:rsidR="000B2308" w:rsidRPr="00001364">
              <w:rPr>
                <w:rFonts w:ascii="Arial Narrow" w:hAnsi="Arial Narrow" w:cs="Arial"/>
                <w:sz w:val="24"/>
                <w:szCs w:val="24"/>
              </w:rPr>
              <w:t xml:space="preserve">To determine the status of the defendants in the matter in casu I will consider the particulars of claim as well as the ample affidavits filed in support of this application. </w:t>
            </w:r>
          </w:p>
          <w:p w:rsidR="00C45108" w:rsidRDefault="00C45108" w:rsidP="000B2308">
            <w:pPr>
              <w:spacing w:line="360" w:lineRule="auto"/>
              <w:jc w:val="both"/>
              <w:rPr>
                <w:rFonts w:ascii="Arial Narrow" w:hAnsi="Arial Narrow" w:cs="Arial"/>
                <w:sz w:val="24"/>
                <w:szCs w:val="24"/>
              </w:rPr>
            </w:pPr>
          </w:p>
          <w:p w:rsidR="000B2308" w:rsidRPr="007F7CF1" w:rsidRDefault="00C45108" w:rsidP="000B2308">
            <w:pPr>
              <w:spacing w:line="360" w:lineRule="auto"/>
              <w:jc w:val="both"/>
              <w:rPr>
                <w:rFonts w:ascii="Arial Narrow" w:hAnsi="Arial Narrow" w:cs="Arial"/>
                <w:sz w:val="24"/>
                <w:szCs w:val="24"/>
              </w:rPr>
            </w:pPr>
            <w:r>
              <w:rPr>
                <w:rFonts w:ascii="Arial Narrow" w:hAnsi="Arial Narrow" w:cs="Arial"/>
                <w:sz w:val="24"/>
                <w:szCs w:val="24"/>
              </w:rPr>
              <w:t xml:space="preserve">[26]       </w:t>
            </w:r>
            <w:r w:rsidR="000B2308" w:rsidRPr="00001364">
              <w:rPr>
                <w:rFonts w:ascii="Arial Narrow" w:hAnsi="Arial Narrow" w:cs="Arial"/>
                <w:sz w:val="24"/>
                <w:szCs w:val="24"/>
              </w:rPr>
              <w:t xml:space="preserve">From reading the particulars of claim it is clear that the plaintiff pleaded that the defendants </w:t>
            </w:r>
            <w:r w:rsidR="000B2308" w:rsidRPr="00001364">
              <w:rPr>
                <w:rFonts w:ascii="Arial Narrow" w:hAnsi="Arial Narrow"/>
                <w:sz w:val="24"/>
                <w:szCs w:val="24"/>
              </w:rPr>
              <w:t>acted in concert or in furtherance of a common design</w:t>
            </w:r>
            <w:r w:rsidR="000B2308" w:rsidRPr="00001364">
              <w:rPr>
                <w:rFonts w:ascii="Arial Narrow" w:hAnsi="Arial Narrow" w:cs="Arial"/>
                <w:sz w:val="24"/>
                <w:szCs w:val="24"/>
              </w:rPr>
              <w:t xml:space="preserve"> which is consistent with joint wrongdoers. Further to the particulars of claim </w:t>
            </w:r>
            <w:r w:rsidR="0007311D" w:rsidRPr="008B3F1B">
              <w:rPr>
                <w:rFonts w:ascii="Arial Narrow" w:hAnsi="Arial Narrow" w:cs="Arial"/>
                <w:sz w:val="24"/>
                <w:szCs w:val="24"/>
              </w:rPr>
              <w:t>I</w:t>
            </w:r>
            <w:r w:rsidR="0007311D">
              <w:rPr>
                <w:rFonts w:ascii="Arial Narrow" w:hAnsi="Arial Narrow" w:cs="Arial"/>
                <w:color w:val="FF0000"/>
                <w:sz w:val="24"/>
                <w:szCs w:val="24"/>
              </w:rPr>
              <w:t xml:space="preserve"> </w:t>
            </w:r>
            <w:r w:rsidR="000B2308" w:rsidRPr="00001364">
              <w:rPr>
                <w:rFonts w:ascii="Arial Narrow" w:hAnsi="Arial Narrow" w:cs="Arial"/>
                <w:sz w:val="24"/>
                <w:szCs w:val="24"/>
              </w:rPr>
              <w:t>have considered the affidavits filed</w:t>
            </w:r>
            <w:r w:rsidR="0007311D">
              <w:rPr>
                <w:rFonts w:ascii="Arial Narrow" w:hAnsi="Arial Narrow" w:cs="Arial"/>
                <w:sz w:val="24"/>
                <w:szCs w:val="24"/>
              </w:rPr>
              <w:t xml:space="preserve"> </w:t>
            </w:r>
            <w:r w:rsidR="0007311D" w:rsidRPr="007F7CF1">
              <w:rPr>
                <w:rFonts w:ascii="Arial Narrow" w:hAnsi="Arial Narrow" w:cs="Arial"/>
                <w:sz w:val="24"/>
                <w:szCs w:val="24"/>
              </w:rPr>
              <w:t>and</w:t>
            </w:r>
            <w:r w:rsidR="000B2308" w:rsidRPr="007F7CF1">
              <w:rPr>
                <w:rFonts w:ascii="Arial Narrow" w:hAnsi="Arial Narrow" w:cs="Arial"/>
                <w:sz w:val="24"/>
                <w:szCs w:val="24"/>
              </w:rPr>
              <w:t xml:space="preserve"> it </w:t>
            </w:r>
            <w:r w:rsidR="000B2308" w:rsidRPr="00001364">
              <w:rPr>
                <w:rFonts w:ascii="Arial Narrow" w:hAnsi="Arial Narrow" w:cs="Arial"/>
                <w:sz w:val="24"/>
                <w:szCs w:val="24"/>
              </w:rPr>
              <w:t xml:space="preserve">is clear that none of the defendants could conclude the relevant claims without assisting one another or without being aware of what was </w:t>
            </w:r>
            <w:r w:rsidR="000B2308" w:rsidRPr="007F7CF1">
              <w:rPr>
                <w:rFonts w:ascii="Arial Narrow" w:hAnsi="Arial Narrow" w:cs="Arial"/>
                <w:sz w:val="24"/>
                <w:szCs w:val="24"/>
              </w:rPr>
              <w:t>done</w:t>
            </w:r>
            <w:r w:rsidR="0007311D" w:rsidRPr="007F7CF1">
              <w:rPr>
                <w:rFonts w:ascii="Arial Narrow" w:hAnsi="Arial Narrow" w:cs="Arial"/>
                <w:sz w:val="24"/>
                <w:szCs w:val="24"/>
              </w:rPr>
              <w:t xml:space="preserve"> or without being aware of what the other was doing</w:t>
            </w:r>
            <w:r w:rsidR="000B2308" w:rsidRPr="007F7CF1">
              <w:rPr>
                <w:rFonts w:ascii="Arial Narrow" w:hAnsi="Arial Narrow" w:cs="Arial"/>
                <w:sz w:val="24"/>
                <w:szCs w:val="24"/>
              </w:rPr>
              <w:t>.</w:t>
            </w:r>
            <w:r w:rsidR="000B2308" w:rsidRPr="00001364">
              <w:rPr>
                <w:rFonts w:ascii="Arial Narrow" w:hAnsi="Arial Narrow" w:cs="Arial"/>
                <w:sz w:val="24"/>
                <w:szCs w:val="24"/>
              </w:rPr>
              <w:t xml:space="preserve"> There were clear finance policies and procedure</w:t>
            </w:r>
            <w:r w:rsidR="0007311D">
              <w:rPr>
                <w:rFonts w:ascii="Arial Narrow" w:hAnsi="Arial Narrow" w:cs="Arial"/>
                <w:color w:val="FF0000"/>
                <w:sz w:val="24"/>
                <w:szCs w:val="24"/>
              </w:rPr>
              <w:t>s</w:t>
            </w:r>
            <w:r w:rsidR="000B2308" w:rsidRPr="00001364">
              <w:rPr>
                <w:rFonts w:ascii="Arial Narrow" w:hAnsi="Arial Narrow" w:cs="Arial"/>
                <w:sz w:val="24"/>
                <w:szCs w:val="24"/>
              </w:rPr>
              <w:t xml:space="preserve"> in place which the defendants were aware of or ought to reasonably have been aware of.  The plaintiff had a clear expense </w:t>
            </w:r>
            <w:r w:rsidR="000B2308" w:rsidRPr="007F7CF1">
              <w:rPr>
                <w:rFonts w:ascii="Arial Narrow" w:hAnsi="Arial Narrow" w:cs="Arial"/>
                <w:sz w:val="24"/>
                <w:szCs w:val="24"/>
              </w:rPr>
              <w:t xml:space="preserve">authorization process with a number of checks and balances that had to be followed for the disbursement of </w:t>
            </w:r>
            <w:r w:rsidR="000B2308" w:rsidRPr="007F7CF1">
              <w:rPr>
                <w:rFonts w:ascii="Arial Narrow" w:hAnsi="Arial Narrow" w:cs="Arial"/>
                <w:sz w:val="24"/>
                <w:szCs w:val="24"/>
              </w:rPr>
              <w:lastRenderedPageBreak/>
              <w:t>funds. As a result a baggage claim had to be complete</w:t>
            </w:r>
            <w:r w:rsidR="0007311D" w:rsidRPr="007F7CF1">
              <w:rPr>
                <w:rFonts w:ascii="Arial Narrow" w:hAnsi="Arial Narrow" w:cs="Arial"/>
                <w:sz w:val="24"/>
                <w:szCs w:val="24"/>
              </w:rPr>
              <w:t>d</w:t>
            </w:r>
            <w:r w:rsidR="000B2308" w:rsidRPr="007F7CF1">
              <w:rPr>
                <w:rFonts w:ascii="Arial Narrow" w:hAnsi="Arial Narrow" w:cs="Arial"/>
                <w:sz w:val="24"/>
                <w:szCs w:val="24"/>
              </w:rPr>
              <w:t xml:space="preserve"> by a </w:t>
            </w:r>
            <w:r w:rsidR="0007311D" w:rsidRPr="007F7CF1">
              <w:rPr>
                <w:rFonts w:ascii="Arial Narrow" w:hAnsi="Arial Narrow" w:cs="Arial"/>
                <w:sz w:val="24"/>
                <w:szCs w:val="24"/>
              </w:rPr>
              <w:t>F</w:t>
            </w:r>
            <w:r w:rsidR="000B2308" w:rsidRPr="007F7CF1">
              <w:rPr>
                <w:rFonts w:ascii="Arial Narrow" w:hAnsi="Arial Narrow" w:cs="Arial"/>
                <w:sz w:val="24"/>
                <w:szCs w:val="24"/>
              </w:rPr>
              <w:t xml:space="preserve">inance </w:t>
            </w:r>
            <w:r w:rsidR="0007311D" w:rsidRPr="007F7CF1">
              <w:rPr>
                <w:rFonts w:ascii="Arial Narrow" w:hAnsi="Arial Narrow" w:cs="Arial"/>
                <w:sz w:val="24"/>
                <w:szCs w:val="24"/>
              </w:rPr>
              <w:t>O</w:t>
            </w:r>
            <w:r w:rsidR="000B2308" w:rsidRPr="007F7CF1">
              <w:rPr>
                <w:rFonts w:ascii="Arial Narrow" w:hAnsi="Arial Narrow" w:cs="Arial"/>
                <w:sz w:val="24"/>
                <w:szCs w:val="24"/>
              </w:rPr>
              <w:t xml:space="preserve">fficer, recommended by a </w:t>
            </w:r>
            <w:r w:rsidR="0007311D" w:rsidRPr="007F7CF1">
              <w:rPr>
                <w:rFonts w:ascii="Arial Narrow" w:hAnsi="Arial Narrow" w:cs="Arial"/>
                <w:sz w:val="24"/>
                <w:szCs w:val="24"/>
              </w:rPr>
              <w:t>F</w:t>
            </w:r>
            <w:r w:rsidR="000B2308" w:rsidRPr="007F7CF1">
              <w:rPr>
                <w:rFonts w:ascii="Arial Narrow" w:hAnsi="Arial Narrow" w:cs="Arial"/>
                <w:sz w:val="24"/>
                <w:szCs w:val="24"/>
              </w:rPr>
              <w:t xml:space="preserve">inance </w:t>
            </w:r>
            <w:r w:rsidR="0007311D" w:rsidRPr="007F7CF1">
              <w:rPr>
                <w:rFonts w:ascii="Arial Narrow" w:hAnsi="Arial Narrow" w:cs="Arial"/>
                <w:sz w:val="24"/>
                <w:szCs w:val="24"/>
              </w:rPr>
              <w:t>M</w:t>
            </w:r>
            <w:r w:rsidR="000B2308" w:rsidRPr="007F7CF1">
              <w:rPr>
                <w:rFonts w:ascii="Arial Narrow" w:hAnsi="Arial Narrow" w:cs="Arial"/>
                <w:sz w:val="24"/>
                <w:szCs w:val="24"/>
              </w:rPr>
              <w:t xml:space="preserve">anager and approved by the </w:t>
            </w:r>
            <w:r w:rsidR="0007311D" w:rsidRPr="007F7CF1">
              <w:rPr>
                <w:rFonts w:ascii="Arial Narrow" w:hAnsi="Arial Narrow" w:cs="Arial"/>
                <w:sz w:val="24"/>
                <w:szCs w:val="24"/>
              </w:rPr>
              <w:t>C</w:t>
            </w:r>
            <w:r w:rsidR="000B2308" w:rsidRPr="007F7CF1">
              <w:rPr>
                <w:rFonts w:ascii="Arial Narrow" w:hAnsi="Arial Narrow" w:cs="Arial"/>
                <w:sz w:val="24"/>
                <w:szCs w:val="24"/>
              </w:rPr>
              <w:t xml:space="preserve">ountry </w:t>
            </w:r>
            <w:r w:rsidR="0007311D" w:rsidRPr="007F7CF1">
              <w:rPr>
                <w:rFonts w:ascii="Arial Narrow" w:hAnsi="Arial Narrow" w:cs="Arial"/>
                <w:sz w:val="24"/>
                <w:szCs w:val="24"/>
              </w:rPr>
              <w:t>M</w:t>
            </w:r>
            <w:r w:rsidR="000B2308" w:rsidRPr="007F7CF1">
              <w:rPr>
                <w:rFonts w:ascii="Arial Narrow" w:hAnsi="Arial Narrow" w:cs="Arial"/>
                <w:sz w:val="24"/>
                <w:szCs w:val="24"/>
              </w:rPr>
              <w:t xml:space="preserve">anager. It is clear </w:t>
            </w:r>
            <w:r w:rsidR="0007311D" w:rsidRPr="007F7CF1">
              <w:rPr>
                <w:rFonts w:ascii="Arial Narrow" w:hAnsi="Arial Narrow" w:cs="Arial"/>
                <w:sz w:val="24"/>
                <w:szCs w:val="24"/>
              </w:rPr>
              <w:t xml:space="preserve">from </w:t>
            </w:r>
            <w:r w:rsidR="000B2308" w:rsidRPr="007F7CF1">
              <w:rPr>
                <w:rFonts w:ascii="Arial Narrow" w:hAnsi="Arial Narrow" w:cs="Arial"/>
                <w:sz w:val="24"/>
                <w:szCs w:val="24"/>
              </w:rPr>
              <w:t xml:space="preserve">facts that the defendants </w:t>
            </w:r>
            <w:r w:rsidR="0007311D" w:rsidRPr="007F7CF1">
              <w:rPr>
                <w:rFonts w:ascii="Arial Narrow" w:hAnsi="Arial Narrow" w:cs="Arial"/>
                <w:sz w:val="24"/>
                <w:szCs w:val="24"/>
              </w:rPr>
              <w:t xml:space="preserve">are </w:t>
            </w:r>
            <w:r w:rsidR="000B2308" w:rsidRPr="007F7CF1">
              <w:rPr>
                <w:rFonts w:ascii="Arial Narrow" w:hAnsi="Arial Narrow" w:cs="Arial"/>
                <w:sz w:val="24"/>
                <w:szCs w:val="24"/>
              </w:rPr>
              <w:t>joint wrongdoers.</w:t>
            </w:r>
          </w:p>
          <w:p w:rsidR="000B2308" w:rsidRPr="007F7CF1" w:rsidRDefault="000B2308" w:rsidP="000B2308">
            <w:pPr>
              <w:spacing w:line="360" w:lineRule="auto"/>
              <w:jc w:val="both"/>
              <w:rPr>
                <w:rFonts w:ascii="Arial Narrow" w:hAnsi="Arial Narrow" w:cs="Arial"/>
                <w:sz w:val="24"/>
                <w:szCs w:val="24"/>
              </w:rPr>
            </w:pPr>
          </w:p>
          <w:p w:rsidR="000B2308" w:rsidRPr="007F7CF1" w:rsidRDefault="000302C9" w:rsidP="000B2308">
            <w:pPr>
              <w:spacing w:line="360" w:lineRule="auto"/>
              <w:jc w:val="both"/>
              <w:rPr>
                <w:rFonts w:ascii="Arial Narrow" w:hAnsi="Arial Narrow" w:cs="Arial"/>
                <w:sz w:val="24"/>
                <w:szCs w:val="24"/>
              </w:rPr>
            </w:pPr>
            <w:r>
              <w:rPr>
                <w:rFonts w:ascii="Arial Narrow" w:hAnsi="Arial Narrow" w:cs="Arial"/>
                <w:sz w:val="24"/>
                <w:szCs w:val="24"/>
              </w:rPr>
              <w:t>[27</w:t>
            </w:r>
            <w:r w:rsidR="000B2308" w:rsidRPr="00001364">
              <w:rPr>
                <w:rFonts w:ascii="Arial Narrow" w:hAnsi="Arial Narrow" w:cs="Arial"/>
                <w:sz w:val="24"/>
                <w:szCs w:val="24"/>
              </w:rPr>
              <w:t>]</w:t>
            </w:r>
            <w:r w:rsidR="000B2308" w:rsidRPr="00001364">
              <w:rPr>
                <w:rFonts w:ascii="Arial Narrow" w:hAnsi="Arial Narrow" w:cs="Arial"/>
                <w:sz w:val="24"/>
                <w:szCs w:val="24"/>
              </w:rPr>
              <w:tab/>
              <w:t>As j</w:t>
            </w:r>
            <w:r w:rsidR="000B2308" w:rsidRPr="00001364">
              <w:rPr>
                <w:rFonts w:ascii="Arial Narrow" w:hAnsi="Arial Narrow"/>
                <w:sz w:val="24"/>
                <w:szCs w:val="24"/>
              </w:rPr>
              <w:t xml:space="preserve">oint wrongdoers the defendants committed the delict complained of by acting in concert or in furtherance of a common design and I am satisfied </w:t>
            </w:r>
            <w:r w:rsidR="000B2308" w:rsidRPr="007F7CF1">
              <w:rPr>
                <w:rFonts w:ascii="Arial Narrow" w:hAnsi="Arial Narrow"/>
                <w:sz w:val="24"/>
                <w:szCs w:val="24"/>
              </w:rPr>
              <w:t xml:space="preserve">that the plaintiff </w:t>
            </w:r>
            <w:r w:rsidR="0007311D" w:rsidRPr="007F7CF1">
              <w:rPr>
                <w:rFonts w:ascii="Arial Narrow" w:hAnsi="Arial Narrow"/>
                <w:sz w:val="24"/>
                <w:szCs w:val="24"/>
              </w:rPr>
              <w:t xml:space="preserve">has </w:t>
            </w:r>
            <w:r w:rsidR="000B2308" w:rsidRPr="007F7CF1">
              <w:rPr>
                <w:rFonts w:ascii="Arial Narrow" w:hAnsi="Arial Narrow"/>
                <w:sz w:val="24"/>
                <w:szCs w:val="24"/>
              </w:rPr>
              <w:t xml:space="preserve">made </w:t>
            </w:r>
            <w:r w:rsidR="0007311D" w:rsidRPr="007F7CF1">
              <w:rPr>
                <w:rFonts w:ascii="Arial Narrow" w:hAnsi="Arial Narrow"/>
                <w:sz w:val="24"/>
                <w:szCs w:val="24"/>
              </w:rPr>
              <w:t xml:space="preserve">out its </w:t>
            </w:r>
            <w:r w:rsidR="000B2308" w:rsidRPr="007F7CF1">
              <w:rPr>
                <w:rFonts w:ascii="Arial Narrow" w:hAnsi="Arial Narrow"/>
                <w:sz w:val="24"/>
                <w:szCs w:val="24"/>
              </w:rPr>
              <w:t>case on the papers.</w:t>
            </w:r>
          </w:p>
          <w:p w:rsidR="000B2308" w:rsidRPr="007F7CF1" w:rsidRDefault="000B2308" w:rsidP="000B2308">
            <w:pPr>
              <w:spacing w:line="360" w:lineRule="auto"/>
              <w:jc w:val="both"/>
              <w:rPr>
                <w:rFonts w:ascii="Arial Narrow" w:hAnsi="Arial Narrow" w:cs="Arial"/>
                <w:sz w:val="24"/>
                <w:szCs w:val="24"/>
              </w:rPr>
            </w:pPr>
            <w:r w:rsidRPr="007F7CF1">
              <w:rPr>
                <w:rFonts w:ascii="Arial Narrow" w:hAnsi="Arial Narrow" w:cs="Arial"/>
                <w:sz w:val="24"/>
                <w:szCs w:val="24"/>
              </w:rPr>
              <w:t xml:space="preserve"> </w:t>
            </w:r>
          </w:p>
          <w:p w:rsidR="00607E9F" w:rsidRPr="00001364" w:rsidRDefault="00607E9F" w:rsidP="00E314C4">
            <w:pPr>
              <w:spacing w:line="360" w:lineRule="auto"/>
              <w:jc w:val="both"/>
              <w:rPr>
                <w:rFonts w:ascii="Arial Narrow" w:hAnsi="Arial Narrow" w:cs="Arial"/>
                <w:sz w:val="24"/>
                <w:szCs w:val="24"/>
              </w:rPr>
            </w:pPr>
            <w:r w:rsidRPr="007F7CF1">
              <w:rPr>
                <w:rFonts w:ascii="Arial Narrow" w:hAnsi="Arial Narrow" w:cs="Arial"/>
                <w:sz w:val="24"/>
                <w:szCs w:val="24"/>
              </w:rPr>
              <w:t>[</w:t>
            </w:r>
            <w:r w:rsidR="005E544E" w:rsidRPr="007F7CF1">
              <w:rPr>
                <w:rFonts w:ascii="Arial Narrow" w:hAnsi="Arial Narrow" w:cs="Arial"/>
                <w:sz w:val="24"/>
                <w:szCs w:val="24"/>
              </w:rPr>
              <w:t>2</w:t>
            </w:r>
            <w:r w:rsidR="00615177">
              <w:rPr>
                <w:rFonts w:ascii="Arial Narrow" w:hAnsi="Arial Narrow" w:cs="Arial"/>
                <w:sz w:val="24"/>
                <w:szCs w:val="24"/>
              </w:rPr>
              <w:t>8</w:t>
            </w:r>
            <w:r w:rsidRPr="007F7CF1">
              <w:rPr>
                <w:rFonts w:ascii="Arial Narrow" w:hAnsi="Arial Narrow" w:cs="Arial"/>
                <w:sz w:val="24"/>
                <w:szCs w:val="24"/>
              </w:rPr>
              <w:t>]</w:t>
            </w:r>
            <w:r w:rsidR="0007311D" w:rsidRPr="007F7CF1">
              <w:rPr>
                <w:rFonts w:ascii="Arial Narrow" w:hAnsi="Arial Narrow" w:cs="Arial"/>
                <w:sz w:val="24"/>
                <w:szCs w:val="24"/>
                <w:lang w:val="en-US"/>
              </w:rPr>
              <w:t xml:space="preserve">       </w:t>
            </w:r>
            <w:r w:rsidRPr="007F7CF1">
              <w:rPr>
                <w:rFonts w:ascii="Arial Narrow" w:hAnsi="Arial Narrow" w:cs="Arial"/>
                <w:sz w:val="24"/>
                <w:szCs w:val="24"/>
                <w:lang w:val="en-US"/>
              </w:rPr>
              <w:t xml:space="preserve">My order is therefor </w:t>
            </w:r>
            <w:r w:rsidR="0007311D" w:rsidRPr="007F7CF1">
              <w:rPr>
                <w:rFonts w:ascii="Arial Narrow" w:hAnsi="Arial Narrow" w:cs="Arial"/>
                <w:sz w:val="24"/>
                <w:szCs w:val="24"/>
                <w:lang w:val="en-US"/>
              </w:rPr>
              <w:t xml:space="preserve">as </w:t>
            </w:r>
            <w:r w:rsidRPr="007F7CF1">
              <w:rPr>
                <w:rFonts w:ascii="Arial Narrow" w:hAnsi="Arial Narrow" w:cs="Arial"/>
                <w:sz w:val="24"/>
                <w:szCs w:val="24"/>
                <w:lang w:val="en-US"/>
              </w:rPr>
              <w:t>set out above.</w:t>
            </w:r>
          </w:p>
        </w:tc>
      </w:tr>
      <w:tr w:rsidR="00607E9F" w:rsidRPr="00001364" w:rsidTr="00E314C4">
        <w:tc>
          <w:tcPr>
            <w:tcW w:w="4770" w:type="dxa"/>
          </w:tcPr>
          <w:p w:rsidR="00607E9F" w:rsidRPr="00001364" w:rsidRDefault="00607E9F" w:rsidP="00E314C4">
            <w:pPr>
              <w:spacing w:line="360" w:lineRule="auto"/>
              <w:jc w:val="both"/>
              <w:rPr>
                <w:rFonts w:ascii="Arial Narrow" w:hAnsi="Arial Narrow" w:cs="Arial"/>
                <w:b/>
                <w:sz w:val="24"/>
                <w:szCs w:val="24"/>
              </w:rPr>
            </w:pPr>
            <w:r w:rsidRPr="00001364">
              <w:rPr>
                <w:rFonts w:ascii="Arial Narrow" w:hAnsi="Arial Narrow" w:cs="Arial"/>
                <w:b/>
                <w:sz w:val="24"/>
                <w:szCs w:val="24"/>
              </w:rPr>
              <w:lastRenderedPageBreak/>
              <w:t xml:space="preserve"> Judge’s signature</w:t>
            </w:r>
          </w:p>
        </w:tc>
        <w:tc>
          <w:tcPr>
            <w:tcW w:w="4950" w:type="dxa"/>
            <w:gridSpan w:val="2"/>
          </w:tcPr>
          <w:p w:rsidR="00607E9F" w:rsidRPr="00001364" w:rsidRDefault="00607E9F" w:rsidP="00E314C4">
            <w:pPr>
              <w:spacing w:line="360" w:lineRule="auto"/>
              <w:jc w:val="both"/>
              <w:rPr>
                <w:rFonts w:ascii="Arial Narrow" w:hAnsi="Arial Narrow" w:cs="Arial"/>
                <w:b/>
                <w:sz w:val="24"/>
                <w:szCs w:val="24"/>
              </w:rPr>
            </w:pPr>
            <w:r w:rsidRPr="00001364">
              <w:rPr>
                <w:rFonts w:ascii="Arial Narrow" w:hAnsi="Arial Narrow" w:cs="Arial"/>
                <w:b/>
                <w:sz w:val="24"/>
                <w:szCs w:val="24"/>
              </w:rPr>
              <w:t>Note to the parties:</w:t>
            </w:r>
          </w:p>
        </w:tc>
      </w:tr>
      <w:tr w:rsidR="00607E9F" w:rsidRPr="00001364" w:rsidTr="00976F1F">
        <w:trPr>
          <w:trHeight w:val="800"/>
        </w:trPr>
        <w:tc>
          <w:tcPr>
            <w:tcW w:w="4770" w:type="dxa"/>
          </w:tcPr>
          <w:p w:rsidR="00607E9F" w:rsidRPr="00001364" w:rsidRDefault="00607E9F" w:rsidP="00E314C4">
            <w:pPr>
              <w:spacing w:line="360" w:lineRule="auto"/>
              <w:jc w:val="both"/>
              <w:rPr>
                <w:rFonts w:ascii="Arial Narrow" w:hAnsi="Arial Narrow" w:cs="Arial"/>
                <w:sz w:val="24"/>
                <w:szCs w:val="24"/>
              </w:rPr>
            </w:pPr>
          </w:p>
        </w:tc>
        <w:tc>
          <w:tcPr>
            <w:tcW w:w="4950" w:type="dxa"/>
            <w:gridSpan w:val="2"/>
          </w:tcPr>
          <w:p w:rsidR="00607E9F" w:rsidRPr="00001364" w:rsidRDefault="00607E9F" w:rsidP="00E314C4">
            <w:pPr>
              <w:spacing w:line="360" w:lineRule="auto"/>
              <w:jc w:val="both"/>
              <w:rPr>
                <w:rFonts w:ascii="Arial Narrow" w:hAnsi="Arial Narrow" w:cs="Arial"/>
                <w:sz w:val="24"/>
                <w:szCs w:val="24"/>
              </w:rPr>
            </w:pPr>
            <w:r w:rsidRPr="00001364">
              <w:rPr>
                <w:rFonts w:ascii="Arial Narrow" w:hAnsi="Arial Narrow" w:cs="Arial"/>
                <w:sz w:val="24"/>
                <w:szCs w:val="24"/>
              </w:rPr>
              <w:t>Not applicable.</w:t>
            </w:r>
          </w:p>
        </w:tc>
      </w:tr>
      <w:tr w:rsidR="00607E9F" w:rsidRPr="00001364" w:rsidTr="00E314C4">
        <w:tc>
          <w:tcPr>
            <w:tcW w:w="9720" w:type="dxa"/>
            <w:gridSpan w:val="3"/>
          </w:tcPr>
          <w:p w:rsidR="00607E9F" w:rsidRPr="00001364" w:rsidRDefault="00607E9F" w:rsidP="00E314C4">
            <w:pPr>
              <w:spacing w:line="360" w:lineRule="auto"/>
              <w:jc w:val="center"/>
              <w:rPr>
                <w:rFonts w:ascii="Arial Narrow" w:hAnsi="Arial Narrow" w:cs="Arial"/>
                <w:b/>
                <w:sz w:val="24"/>
                <w:szCs w:val="24"/>
              </w:rPr>
            </w:pPr>
            <w:r w:rsidRPr="00001364">
              <w:rPr>
                <w:rFonts w:ascii="Arial Narrow" w:hAnsi="Arial Narrow" w:cs="Arial"/>
                <w:b/>
                <w:sz w:val="24"/>
                <w:szCs w:val="24"/>
              </w:rPr>
              <w:t>Counsel:</w:t>
            </w:r>
          </w:p>
        </w:tc>
      </w:tr>
      <w:tr w:rsidR="00607E9F" w:rsidRPr="00001364" w:rsidTr="00976F1F">
        <w:trPr>
          <w:trHeight w:val="287"/>
        </w:trPr>
        <w:tc>
          <w:tcPr>
            <w:tcW w:w="4770" w:type="dxa"/>
          </w:tcPr>
          <w:p w:rsidR="00607E9F" w:rsidRPr="00001364" w:rsidRDefault="00607E9F" w:rsidP="00E314C4">
            <w:pPr>
              <w:spacing w:line="360" w:lineRule="auto"/>
              <w:jc w:val="both"/>
              <w:rPr>
                <w:rFonts w:ascii="Arial Narrow" w:hAnsi="Arial Narrow" w:cs="Arial"/>
                <w:b/>
                <w:sz w:val="24"/>
                <w:szCs w:val="24"/>
              </w:rPr>
            </w:pPr>
            <w:r w:rsidRPr="00001364">
              <w:rPr>
                <w:rFonts w:ascii="Arial Narrow" w:hAnsi="Arial Narrow" w:cs="Arial"/>
                <w:b/>
                <w:sz w:val="24"/>
                <w:szCs w:val="24"/>
              </w:rPr>
              <w:t>Applicant</w:t>
            </w:r>
          </w:p>
        </w:tc>
        <w:tc>
          <w:tcPr>
            <w:tcW w:w="4950" w:type="dxa"/>
            <w:gridSpan w:val="2"/>
          </w:tcPr>
          <w:p w:rsidR="00607E9F" w:rsidRPr="00001364" w:rsidRDefault="00607E9F" w:rsidP="00E314C4">
            <w:pPr>
              <w:spacing w:line="360" w:lineRule="auto"/>
              <w:jc w:val="both"/>
              <w:rPr>
                <w:rFonts w:ascii="Arial Narrow" w:hAnsi="Arial Narrow" w:cs="Arial"/>
                <w:b/>
                <w:sz w:val="24"/>
                <w:szCs w:val="24"/>
              </w:rPr>
            </w:pPr>
            <w:r w:rsidRPr="00001364">
              <w:rPr>
                <w:rFonts w:ascii="Arial Narrow" w:hAnsi="Arial Narrow" w:cs="Arial"/>
                <w:b/>
                <w:sz w:val="24"/>
                <w:szCs w:val="24"/>
              </w:rPr>
              <w:t xml:space="preserve"> Respondents</w:t>
            </w:r>
          </w:p>
        </w:tc>
      </w:tr>
      <w:tr w:rsidR="00607E9F" w:rsidRPr="00001364" w:rsidTr="00E314C4">
        <w:tc>
          <w:tcPr>
            <w:tcW w:w="4770" w:type="dxa"/>
          </w:tcPr>
          <w:p w:rsidR="00607E9F" w:rsidRPr="00001364" w:rsidRDefault="00607E9F" w:rsidP="00E314C4">
            <w:pPr>
              <w:spacing w:line="360" w:lineRule="auto"/>
              <w:jc w:val="center"/>
              <w:rPr>
                <w:rFonts w:ascii="Arial Narrow" w:hAnsi="Arial Narrow" w:cs="Arial"/>
                <w:sz w:val="24"/>
                <w:szCs w:val="24"/>
              </w:rPr>
            </w:pPr>
            <w:r w:rsidRPr="00001364">
              <w:rPr>
                <w:rFonts w:ascii="Arial Narrow" w:hAnsi="Arial Narrow" w:cs="Arial"/>
                <w:sz w:val="24"/>
                <w:szCs w:val="24"/>
              </w:rPr>
              <w:t xml:space="preserve">Adv </w:t>
            </w:r>
            <w:r w:rsidR="00B31189" w:rsidRPr="00001364">
              <w:rPr>
                <w:rFonts w:ascii="Arial Narrow" w:hAnsi="Arial Narrow" w:cs="Arial"/>
                <w:sz w:val="24"/>
                <w:szCs w:val="24"/>
              </w:rPr>
              <w:t>JP Jones</w:t>
            </w:r>
          </w:p>
          <w:p w:rsidR="00607E9F" w:rsidRPr="00001364" w:rsidRDefault="00607E9F" w:rsidP="00E314C4">
            <w:pPr>
              <w:spacing w:line="360" w:lineRule="auto"/>
              <w:jc w:val="center"/>
              <w:rPr>
                <w:rFonts w:ascii="Arial Narrow" w:hAnsi="Arial Narrow" w:cs="Arial"/>
                <w:sz w:val="24"/>
                <w:szCs w:val="24"/>
              </w:rPr>
            </w:pPr>
            <w:r w:rsidRPr="00001364">
              <w:rPr>
                <w:rFonts w:ascii="Arial Narrow" w:hAnsi="Arial Narrow" w:cs="Arial"/>
                <w:sz w:val="24"/>
                <w:szCs w:val="24"/>
              </w:rPr>
              <w:t>Instructed by</w:t>
            </w:r>
          </w:p>
          <w:p w:rsidR="00607E9F" w:rsidRPr="00001364" w:rsidRDefault="00B31189" w:rsidP="00B31189">
            <w:pPr>
              <w:spacing w:line="360" w:lineRule="auto"/>
              <w:jc w:val="center"/>
              <w:rPr>
                <w:rFonts w:ascii="Arial Narrow" w:hAnsi="Arial Narrow" w:cs="Arial"/>
                <w:sz w:val="24"/>
                <w:szCs w:val="24"/>
              </w:rPr>
            </w:pPr>
            <w:r w:rsidRPr="00001364">
              <w:rPr>
                <w:rFonts w:ascii="Arial Narrow" w:hAnsi="Arial Narrow" w:cs="Arial"/>
                <w:sz w:val="24"/>
                <w:szCs w:val="24"/>
              </w:rPr>
              <w:t>Ellis Shilengudwa</w:t>
            </w:r>
            <w:r w:rsidR="00607E9F" w:rsidRPr="00001364">
              <w:rPr>
                <w:rFonts w:ascii="Arial Narrow" w:hAnsi="Arial Narrow" w:cs="Arial"/>
                <w:sz w:val="24"/>
                <w:szCs w:val="24"/>
              </w:rPr>
              <w:t xml:space="preserve"> </w:t>
            </w:r>
            <w:r w:rsidRPr="00001364">
              <w:rPr>
                <w:rFonts w:ascii="Arial Narrow" w:hAnsi="Arial Narrow" w:cs="Arial"/>
                <w:sz w:val="24"/>
                <w:szCs w:val="24"/>
              </w:rPr>
              <w:t>Inc</w:t>
            </w:r>
          </w:p>
        </w:tc>
        <w:tc>
          <w:tcPr>
            <w:tcW w:w="4950" w:type="dxa"/>
            <w:gridSpan w:val="2"/>
          </w:tcPr>
          <w:p w:rsidR="00607E9F" w:rsidRPr="00001364" w:rsidRDefault="00B31189" w:rsidP="00E314C4">
            <w:pPr>
              <w:spacing w:line="360" w:lineRule="auto"/>
              <w:jc w:val="center"/>
              <w:rPr>
                <w:rFonts w:ascii="Arial Narrow" w:hAnsi="Arial Narrow" w:cs="Arial"/>
                <w:sz w:val="24"/>
                <w:szCs w:val="24"/>
              </w:rPr>
            </w:pPr>
            <w:r w:rsidRPr="00001364">
              <w:rPr>
                <w:rFonts w:ascii="Arial Narrow" w:hAnsi="Arial Narrow" w:cs="Arial"/>
                <w:sz w:val="24"/>
                <w:szCs w:val="24"/>
              </w:rPr>
              <w:t>Unopposed</w:t>
            </w:r>
          </w:p>
        </w:tc>
      </w:tr>
    </w:tbl>
    <w:p w:rsidR="0007311D" w:rsidRPr="00001364" w:rsidRDefault="0007311D" w:rsidP="00976F1F">
      <w:pPr>
        <w:jc w:val="both"/>
        <w:rPr>
          <w:rFonts w:ascii="Arial Narrow" w:hAnsi="Arial Narrow"/>
          <w:sz w:val="24"/>
          <w:szCs w:val="24"/>
        </w:rPr>
      </w:pPr>
    </w:p>
    <w:sectPr w:rsidR="0007311D" w:rsidRPr="00001364" w:rsidSect="00E314C4">
      <w:headerReference w:type="default" r:id="rId8"/>
      <w:footerReference w:type="default" r:id="rId9"/>
      <w:pgSz w:w="11906" w:h="16838"/>
      <w:pgMar w:top="1080" w:right="1440" w:bottom="1134"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389" w:rsidRDefault="008B7389" w:rsidP="00607E9F">
      <w:pPr>
        <w:spacing w:after="0" w:line="240" w:lineRule="auto"/>
      </w:pPr>
      <w:r>
        <w:separator/>
      </w:r>
    </w:p>
  </w:endnote>
  <w:endnote w:type="continuationSeparator" w:id="0">
    <w:p w:rsidR="008B7389" w:rsidRDefault="008B7389" w:rsidP="00607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BA4" w:rsidRDefault="00616BA4">
    <w:pPr>
      <w:pStyle w:val="Footer"/>
      <w:jc w:val="right"/>
    </w:pPr>
  </w:p>
  <w:p w:rsidR="00616BA4" w:rsidRDefault="00616BA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389" w:rsidRDefault="008B7389" w:rsidP="00607E9F">
      <w:pPr>
        <w:spacing w:after="0" w:line="240" w:lineRule="auto"/>
      </w:pPr>
      <w:r>
        <w:separator/>
      </w:r>
    </w:p>
  </w:footnote>
  <w:footnote w:type="continuationSeparator" w:id="0">
    <w:p w:rsidR="008B7389" w:rsidRDefault="008B7389" w:rsidP="00607E9F">
      <w:pPr>
        <w:spacing w:after="0" w:line="240" w:lineRule="auto"/>
      </w:pPr>
      <w:r>
        <w:continuationSeparator/>
      </w:r>
    </w:p>
  </w:footnote>
  <w:footnote w:id="1">
    <w:p w:rsidR="00616BA4" w:rsidRPr="007148CC" w:rsidRDefault="00616BA4" w:rsidP="00D1047E">
      <w:pPr>
        <w:pStyle w:val="FootnoteText"/>
        <w:rPr>
          <w:rFonts w:ascii="Arial Narrow" w:hAnsi="Arial Narrow"/>
          <w:lang w:val="af-ZA"/>
        </w:rPr>
      </w:pPr>
      <w:r w:rsidRPr="007148CC">
        <w:rPr>
          <w:rStyle w:val="FootnoteReference"/>
          <w:rFonts w:ascii="Arial Narrow" w:hAnsi="Arial Narrow"/>
        </w:rPr>
        <w:footnoteRef/>
      </w:r>
      <w:r w:rsidRPr="007148CC">
        <w:rPr>
          <w:rFonts w:ascii="Arial Narrow" w:hAnsi="Arial Narrow"/>
        </w:rPr>
        <w:t xml:space="preserve"> </w:t>
      </w:r>
      <w:r w:rsidRPr="007148CC">
        <w:rPr>
          <w:rFonts w:ascii="Arial Narrow" w:hAnsi="Arial Narrow" w:cs="Arial"/>
          <w:i/>
        </w:rPr>
        <w:t xml:space="preserve">South African Airways SOC Limited v Camm </w:t>
      </w:r>
      <w:r w:rsidRPr="007148CC">
        <w:rPr>
          <w:rFonts w:ascii="Arial Narrow" w:hAnsi="Arial Narrow" w:cs="Arial"/>
        </w:rPr>
        <w:t xml:space="preserve">(HC-MD-CIV-ACT-DEL-2016/02479) [2019] NAHCMD 341 (11 </w:t>
      </w:r>
      <w:r w:rsidR="00EB513B" w:rsidRPr="007148CC">
        <w:rPr>
          <w:rFonts w:ascii="Arial Narrow" w:hAnsi="Arial Narrow" w:cs="Arial"/>
        </w:rPr>
        <w:t>September 2019</w:t>
      </w:r>
      <w:r w:rsidRPr="007148CC">
        <w:rPr>
          <w:rFonts w:ascii="Arial Narrow" w:hAnsi="Arial Narrow" w:cs="Arial"/>
        </w:rPr>
        <w:t>)</w:t>
      </w:r>
      <w:r w:rsidR="00EB513B" w:rsidRPr="007148CC">
        <w:rPr>
          <w:rFonts w:ascii="Arial Narrow" w:hAnsi="Arial Narrow" w:cs="Arial"/>
        </w:rPr>
        <w:t>.</w:t>
      </w:r>
    </w:p>
  </w:footnote>
  <w:footnote w:id="2">
    <w:p w:rsidR="00616BA4" w:rsidRPr="007148CC" w:rsidRDefault="00616BA4" w:rsidP="006B3B95">
      <w:pPr>
        <w:pStyle w:val="FootnoteText"/>
        <w:rPr>
          <w:rFonts w:ascii="Arial Narrow" w:hAnsi="Arial Narrow"/>
        </w:rPr>
      </w:pPr>
      <w:r w:rsidRPr="007148CC">
        <w:rPr>
          <w:rStyle w:val="FootnoteReference"/>
          <w:rFonts w:ascii="Arial Narrow" w:hAnsi="Arial Narrow"/>
        </w:rPr>
        <w:footnoteRef/>
      </w:r>
      <w:r w:rsidRPr="007148CC">
        <w:rPr>
          <w:rFonts w:ascii="Arial Narrow" w:hAnsi="Arial Narrow"/>
        </w:rPr>
        <w:t xml:space="preserve"> 1917 AD 41.</w:t>
      </w:r>
    </w:p>
  </w:footnote>
  <w:footnote w:id="3">
    <w:p w:rsidR="00616BA4" w:rsidRPr="007148CC" w:rsidRDefault="00616BA4" w:rsidP="006B3B95">
      <w:pPr>
        <w:pStyle w:val="FootnoteText"/>
        <w:rPr>
          <w:rFonts w:ascii="Arial Narrow" w:hAnsi="Arial Narrow"/>
          <w:lang w:val="af-ZA"/>
        </w:rPr>
      </w:pPr>
      <w:r w:rsidRPr="007148CC">
        <w:rPr>
          <w:rStyle w:val="FootnoteReference"/>
          <w:rFonts w:ascii="Arial Narrow" w:hAnsi="Arial Narrow"/>
        </w:rPr>
        <w:footnoteRef/>
      </w:r>
      <w:r w:rsidRPr="007148CC">
        <w:rPr>
          <w:rFonts w:ascii="Arial Narrow" w:hAnsi="Arial Narrow"/>
        </w:rPr>
        <w:t xml:space="preserve"> </w:t>
      </w:r>
      <w:r w:rsidRPr="0047790E">
        <w:rPr>
          <w:rFonts w:ascii="Arial Narrow" w:hAnsi="Arial Narrow"/>
          <w:i/>
        </w:rPr>
        <w:t>Supra</w:t>
      </w:r>
      <w:r w:rsidRPr="007148CC">
        <w:rPr>
          <w:rFonts w:ascii="Arial Narrow" w:hAnsi="Arial Narrow"/>
        </w:rPr>
        <w:t xml:space="preserve"> </w:t>
      </w:r>
      <w:r w:rsidR="007148CC" w:rsidRPr="007148CC">
        <w:rPr>
          <w:rFonts w:ascii="Arial Narrow" w:hAnsi="Arial Narrow"/>
        </w:rPr>
        <w:t xml:space="preserve">footnote 2 </w:t>
      </w:r>
      <w:r w:rsidRPr="007148CC">
        <w:rPr>
          <w:rFonts w:ascii="Arial Narrow" w:hAnsi="Arial Narrow"/>
        </w:rPr>
        <w:t>at 41 vide Head Note.</w:t>
      </w:r>
    </w:p>
  </w:footnote>
  <w:footnote w:id="4">
    <w:p w:rsidR="00616BA4" w:rsidRPr="007148CC" w:rsidRDefault="00616BA4" w:rsidP="006B3B95">
      <w:pPr>
        <w:pStyle w:val="FootnoteText"/>
        <w:rPr>
          <w:rFonts w:ascii="Arial Narrow" w:hAnsi="Arial Narrow" w:cs="Arial"/>
          <w:lang w:val="af-ZA"/>
        </w:rPr>
      </w:pPr>
      <w:r w:rsidRPr="007148CC">
        <w:rPr>
          <w:rStyle w:val="FootnoteReference"/>
          <w:rFonts w:ascii="Arial Narrow" w:hAnsi="Arial Narrow" w:cs="Arial"/>
        </w:rPr>
        <w:footnoteRef/>
      </w:r>
      <w:r w:rsidRPr="007148CC">
        <w:rPr>
          <w:rFonts w:ascii="Arial Narrow" w:hAnsi="Arial Narrow" w:cs="Arial"/>
        </w:rPr>
        <w:t xml:space="preserve"> Innes CJ decided the matter on a different basis and did not touch directly on the point.</w:t>
      </w:r>
    </w:p>
  </w:footnote>
  <w:footnote w:id="5">
    <w:p w:rsidR="00616BA4" w:rsidRPr="007148CC" w:rsidRDefault="00616BA4" w:rsidP="006B3B95">
      <w:pPr>
        <w:pStyle w:val="FootnoteText"/>
        <w:rPr>
          <w:rFonts w:ascii="Arial Narrow" w:hAnsi="Arial Narrow" w:cs="Arial"/>
          <w:lang w:val="af-ZA"/>
        </w:rPr>
      </w:pPr>
      <w:r w:rsidRPr="007148CC">
        <w:rPr>
          <w:rStyle w:val="FootnoteReference"/>
          <w:rFonts w:ascii="Arial Narrow" w:hAnsi="Arial Narrow" w:cs="Arial"/>
        </w:rPr>
        <w:footnoteRef/>
      </w:r>
      <w:r w:rsidRPr="007148CC">
        <w:rPr>
          <w:rFonts w:ascii="Arial Narrow" w:hAnsi="Arial Narrow" w:cs="Arial"/>
        </w:rPr>
        <w:t xml:space="preserve"> </w:t>
      </w:r>
      <w:r w:rsidRPr="00977081">
        <w:rPr>
          <w:rFonts w:ascii="Arial Narrow" w:hAnsi="Arial Narrow" w:cs="Arial"/>
          <w:i/>
          <w:lang w:val="af-ZA"/>
        </w:rPr>
        <w:t>Supra</w:t>
      </w:r>
      <w:r w:rsidRPr="007148CC">
        <w:rPr>
          <w:rFonts w:ascii="Arial Narrow" w:hAnsi="Arial Narrow" w:cs="Arial"/>
          <w:lang w:val="af-ZA"/>
        </w:rPr>
        <w:t xml:space="preserve"> at 51.</w:t>
      </w:r>
    </w:p>
  </w:footnote>
  <w:footnote w:id="6">
    <w:p w:rsidR="00616BA4" w:rsidRPr="007148CC" w:rsidRDefault="00616BA4" w:rsidP="006B3B95">
      <w:pPr>
        <w:pStyle w:val="FootnoteText"/>
        <w:rPr>
          <w:rFonts w:ascii="Arial Narrow" w:hAnsi="Arial Narrow"/>
          <w:lang w:val="af-ZA"/>
        </w:rPr>
      </w:pPr>
      <w:r w:rsidRPr="007148CC">
        <w:rPr>
          <w:rStyle w:val="FootnoteReference"/>
          <w:rFonts w:ascii="Arial Narrow" w:hAnsi="Arial Narrow" w:cs="Arial"/>
        </w:rPr>
        <w:footnoteRef/>
      </w:r>
      <w:r w:rsidRPr="007148CC">
        <w:rPr>
          <w:rFonts w:ascii="Arial Narrow" w:hAnsi="Arial Narrow" w:cs="Arial"/>
        </w:rPr>
        <w:t xml:space="preserve"> (138/12) [2012] ZASCA 108 (26 July 2012)</w:t>
      </w:r>
      <w:r w:rsidR="00E160D8">
        <w:rPr>
          <w:rFonts w:ascii="Arial Narrow" w:hAnsi="Arial Narrow" w:cs="Arial"/>
        </w:rPr>
        <w:t>.</w:t>
      </w:r>
    </w:p>
  </w:footnote>
  <w:footnote w:id="7">
    <w:p w:rsidR="00616BA4" w:rsidRPr="007148CC" w:rsidRDefault="00616BA4" w:rsidP="006B3B95">
      <w:pPr>
        <w:pStyle w:val="FootnoteText"/>
        <w:rPr>
          <w:rFonts w:ascii="Arial Narrow" w:hAnsi="Arial Narrow" w:cs="Arial"/>
        </w:rPr>
      </w:pPr>
      <w:r w:rsidRPr="007148CC">
        <w:rPr>
          <w:rStyle w:val="FootnoteReference"/>
          <w:rFonts w:ascii="Arial Narrow" w:hAnsi="Arial Narrow" w:cs="Arial"/>
        </w:rPr>
        <w:footnoteRef/>
      </w:r>
      <w:r w:rsidRPr="007148CC">
        <w:rPr>
          <w:rFonts w:ascii="Arial Narrow" w:hAnsi="Arial Narrow" w:cs="Arial"/>
        </w:rPr>
        <w:t xml:space="preserve"> </w:t>
      </w:r>
      <w:r w:rsidRPr="007148CC">
        <w:rPr>
          <w:rFonts w:ascii="Arial Narrow" w:hAnsi="Arial Narrow" w:cs="Arial"/>
          <w:shd w:val="clear" w:color="auto" w:fill="FFFFFF"/>
        </w:rPr>
        <w:t> </w:t>
      </w:r>
      <w:hyperlink r:id="rId1" w:tooltip="View LawCiteRecord" w:history="1">
        <w:r w:rsidRPr="007148CC">
          <w:rPr>
            <w:rStyle w:val="Hyperlink"/>
            <w:rFonts w:ascii="Arial Narrow" w:hAnsi="Arial Narrow" w:cs="Arial"/>
            <w:bCs/>
            <w:color w:val="auto"/>
            <w:u w:val="none"/>
            <w:shd w:val="clear" w:color="auto" w:fill="FFFFFF"/>
          </w:rPr>
          <w:t>1986 (2) SA 576</w:t>
        </w:r>
      </w:hyperlink>
      <w:r w:rsidRPr="007148CC">
        <w:rPr>
          <w:rFonts w:ascii="Arial Narrow" w:hAnsi="Arial Narrow" w:cs="Arial"/>
          <w:shd w:val="clear" w:color="auto" w:fill="FFFFFF"/>
        </w:rPr>
        <w:t> (A)</w:t>
      </w:r>
      <w:r w:rsidR="00E160D8">
        <w:rPr>
          <w:rFonts w:ascii="Arial Narrow" w:hAnsi="Arial Narrow" w:cs="Arial"/>
          <w:shd w:val="clear" w:color="auto" w:fill="FFFFFF"/>
        </w:rPr>
        <w:t>.</w:t>
      </w:r>
    </w:p>
  </w:footnote>
  <w:footnote w:id="8">
    <w:p w:rsidR="00616BA4" w:rsidRPr="007148CC" w:rsidRDefault="00616BA4" w:rsidP="006B3B95">
      <w:pPr>
        <w:pStyle w:val="FootnoteText"/>
        <w:rPr>
          <w:rFonts w:ascii="Arial Narrow" w:hAnsi="Arial Narrow"/>
          <w:lang w:val="af-ZA"/>
        </w:rPr>
      </w:pPr>
      <w:r w:rsidRPr="007148CC">
        <w:rPr>
          <w:rStyle w:val="FootnoteReference"/>
          <w:rFonts w:ascii="Arial Narrow" w:hAnsi="Arial Narrow"/>
        </w:rPr>
        <w:footnoteRef/>
      </w:r>
      <w:r w:rsidRPr="007148CC">
        <w:rPr>
          <w:rFonts w:ascii="Arial Narrow" w:hAnsi="Arial Narrow"/>
        </w:rPr>
        <w:t xml:space="preserve"> 2019 (1) NR 51 (SC)</w:t>
      </w:r>
      <w:r w:rsidR="009F2D06">
        <w:rPr>
          <w:rFonts w:ascii="Arial Narrow" w:hAnsi="Arial Narrow"/>
        </w:rPr>
        <w:t>.</w:t>
      </w:r>
    </w:p>
  </w:footnote>
  <w:footnote w:id="9">
    <w:p w:rsidR="00616BA4" w:rsidRPr="007148CC" w:rsidRDefault="00616BA4" w:rsidP="006B3B95">
      <w:pPr>
        <w:pStyle w:val="FootnoteText"/>
        <w:rPr>
          <w:rFonts w:ascii="Arial Narrow" w:hAnsi="Arial Narrow"/>
          <w:lang w:val="af-ZA"/>
        </w:rPr>
      </w:pPr>
      <w:r w:rsidRPr="007148CC">
        <w:rPr>
          <w:rStyle w:val="FootnoteReference"/>
          <w:rFonts w:ascii="Arial Narrow" w:hAnsi="Arial Narrow"/>
        </w:rPr>
        <w:footnoteRef/>
      </w:r>
      <w:r w:rsidRPr="007148CC">
        <w:rPr>
          <w:rFonts w:ascii="Arial Narrow" w:hAnsi="Arial Narrow"/>
        </w:rPr>
        <w:t xml:space="preserve"> </w:t>
      </w:r>
      <w:r w:rsidRPr="007148CC">
        <w:rPr>
          <w:rFonts w:ascii="Arial Narrow" w:hAnsi="Arial Narrow"/>
          <w:i/>
        </w:rPr>
        <w:t>Naude and Du Plessis v Mercier</w:t>
      </w:r>
      <w:r w:rsidRPr="007148CC">
        <w:rPr>
          <w:rFonts w:ascii="Arial Narrow" w:hAnsi="Arial Narrow"/>
        </w:rPr>
        <w:t xml:space="preserve"> 1917 AD 32 and </w:t>
      </w:r>
      <w:r w:rsidRPr="007148CC">
        <w:rPr>
          <w:rFonts w:ascii="Arial Narrow" w:hAnsi="Arial Narrow"/>
          <w:i/>
        </w:rPr>
        <w:t>McKenzie v Van der Merwe</w:t>
      </w:r>
      <w:r w:rsidRPr="007148CC">
        <w:rPr>
          <w:rFonts w:ascii="Arial Narrow" w:hAnsi="Arial Narrow"/>
        </w:rPr>
        <w:t xml:space="preserve"> 1917 AD 41.</w:t>
      </w:r>
    </w:p>
  </w:footnote>
  <w:footnote w:id="10">
    <w:p w:rsidR="00616BA4" w:rsidRPr="007148CC" w:rsidRDefault="00616BA4" w:rsidP="006B3B95">
      <w:pPr>
        <w:pStyle w:val="FootnoteText"/>
        <w:rPr>
          <w:rFonts w:ascii="Arial Narrow" w:hAnsi="Arial Narrow"/>
          <w:lang w:val="af-ZA"/>
        </w:rPr>
      </w:pPr>
      <w:r w:rsidRPr="007148CC">
        <w:rPr>
          <w:rStyle w:val="FootnoteReference"/>
          <w:rFonts w:ascii="Arial Narrow" w:hAnsi="Arial Narrow"/>
        </w:rPr>
        <w:footnoteRef/>
      </w:r>
      <w:r w:rsidRPr="007148CC">
        <w:rPr>
          <w:rFonts w:ascii="Arial Narrow" w:hAnsi="Arial Narrow"/>
        </w:rPr>
        <w:t xml:space="preserve"> </w:t>
      </w:r>
      <w:r w:rsidRPr="007148CC">
        <w:rPr>
          <w:rFonts w:ascii="Arial Narrow" w:hAnsi="Arial Narrow"/>
          <w:i/>
        </w:rPr>
        <w:t>Gray v Poutsma and Others</w:t>
      </w:r>
      <w:r w:rsidRPr="007148CC">
        <w:rPr>
          <w:rFonts w:ascii="Arial Narrow" w:hAnsi="Arial Narrow"/>
        </w:rPr>
        <w:t xml:space="preserve"> 1914 TPD 203.</w:t>
      </w:r>
    </w:p>
  </w:footnote>
  <w:footnote w:id="11">
    <w:p w:rsidR="00616BA4" w:rsidRPr="007148CC" w:rsidRDefault="00616BA4" w:rsidP="006B3B95">
      <w:pPr>
        <w:pStyle w:val="FootnoteText"/>
        <w:rPr>
          <w:rFonts w:ascii="Arial Narrow" w:hAnsi="Arial Narrow"/>
          <w:lang w:val="af-ZA"/>
        </w:rPr>
      </w:pPr>
      <w:r w:rsidRPr="007148CC">
        <w:rPr>
          <w:rStyle w:val="FootnoteReference"/>
          <w:rFonts w:ascii="Arial Narrow" w:hAnsi="Arial Narrow"/>
        </w:rPr>
        <w:footnoteRef/>
      </w:r>
      <w:r w:rsidRPr="007148CC">
        <w:rPr>
          <w:rFonts w:ascii="Arial Narrow" w:hAnsi="Arial Narrow"/>
        </w:rPr>
        <w:t xml:space="preserve"> </w:t>
      </w:r>
      <w:r w:rsidRPr="009F2D06">
        <w:rPr>
          <w:rFonts w:ascii="Arial Narrow" w:hAnsi="Arial Narrow"/>
          <w:i/>
        </w:rPr>
        <w:t>Union Government (Minister of Railways) v Lee</w:t>
      </w:r>
      <w:r w:rsidRPr="007148CC">
        <w:rPr>
          <w:rFonts w:ascii="Arial Narrow" w:hAnsi="Arial Narrow"/>
        </w:rPr>
        <w:t xml:space="preserve"> 1927 AD 202 at 226 – 227.</w:t>
      </w:r>
    </w:p>
  </w:footnote>
  <w:footnote w:id="12">
    <w:p w:rsidR="00616BA4" w:rsidRPr="007148CC" w:rsidRDefault="00616BA4" w:rsidP="006B3B95">
      <w:pPr>
        <w:pStyle w:val="FootnoteText"/>
        <w:rPr>
          <w:rFonts w:ascii="Arial Narrow" w:hAnsi="Arial Narrow"/>
          <w:lang w:val="af-ZA"/>
        </w:rPr>
      </w:pPr>
      <w:r w:rsidRPr="007148CC">
        <w:rPr>
          <w:rStyle w:val="FootnoteReference"/>
          <w:rFonts w:ascii="Arial Narrow" w:hAnsi="Arial Narrow"/>
        </w:rPr>
        <w:footnoteRef/>
      </w:r>
      <w:r w:rsidRPr="007148CC">
        <w:rPr>
          <w:rFonts w:ascii="Arial Narrow" w:hAnsi="Arial Narrow"/>
        </w:rPr>
        <w:t xml:space="preserve"> </w:t>
      </w:r>
      <w:r w:rsidRPr="009F2D06">
        <w:rPr>
          <w:rFonts w:ascii="Arial Narrow" w:hAnsi="Arial Narrow"/>
          <w:i/>
        </w:rPr>
        <w:t>Toerien v Duncan</w:t>
      </w:r>
      <w:r w:rsidRPr="007148CC">
        <w:rPr>
          <w:rFonts w:ascii="Arial Narrow" w:hAnsi="Arial Narrow"/>
        </w:rPr>
        <w:t xml:space="preserve"> 1932 OPD 180; </w:t>
      </w:r>
      <w:r w:rsidRPr="009F2D06">
        <w:rPr>
          <w:rFonts w:ascii="Arial Narrow" w:hAnsi="Arial Narrow"/>
          <w:i/>
        </w:rPr>
        <w:t>Naude</w:t>
      </w:r>
      <w:r w:rsidRPr="007148CC">
        <w:rPr>
          <w:rFonts w:ascii="Arial Narrow" w:hAnsi="Arial Narrow"/>
        </w:rPr>
        <w:t xml:space="preserve"> supra at 38 – 40 in case of joint wrongdoers; and in the case of concurrent wrongdoers: </w:t>
      </w:r>
      <w:r w:rsidRPr="009F2D06">
        <w:rPr>
          <w:rFonts w:ascii="Arial Narrow" w:hAnsi="Arial Narrow"/>
          <w:i/>
        </w:rPr>
        <w:t>Union Government supra</w:t>
      </w:r>
      <w:r w:rsidRPr="007148CC">
        <w:rPr>
          <w:rFonts w:ascii="Arial Narrow" w:hAnsi="Arial Narrow"/>
        </w:rPr>
        <w:t xml:space="preserve"> at 226 – 227.</w:t>
      </w:r>
    </w:p>
  </w:footnote>
  <w:footnote w:id="13">
    <w:p w:rsidR="00616BA4" w:rsidRPr="007148CC" w:rsidRDefault="00616BA4" w:rsidP="006B3B95">
      <w:pPr>
        <w:pStyle w:val="FootnoteText"/>
        <w:rPr>
          <w:rFonts w:ascii="Arial Narrow" w:hAnsi="Arial Narrow"/>
          <w:lang w:val="af-ZA"/>
        </w:rPr>
      </w:pPr>
      <w:r w:rsidRPr="007148CC">
        <w:rPr>
          <w:rStyle w:val="FootnoteReference"/>
          <w:rFonts w:ascii="Arial Narrow" w:hAnsi="Arial Narrow"/>
        </w:rPr>
        <w:footnoteRef/>
      </w:r>
      <w:r w:rsidRPr="007148CC">
        <w:rPr>
          <w:rFonts w:ascii="Arial Narrow" w:hAnsi="Arial Narrow"/>
        </w:rPr>
        <w:t xml:space="preserve"> </w:t>
      </w:r>
      <w:r w:rsidRPr="009F2D06">
        <w:rPr>
          <w:rFonts w:ascii="Arial Narrow" w:hAnsi="Arial Narrow"/>
          <w:i/>
        </w:rPr>
        <w:t>Allen v Allen</w:t>
      </w:r>
      <w:r w:rsidRPr="007148CC">
        <w:rPr>
          <w:rFonts w:ascii="Arial Narrow" w:hAnsi="Arial Narrow"/>
        </w:rPr>
        <w:t xml:space="preserve"> 1951 (3) SA 320 (A) at 327.</w:t>
      </w:r>
    </w:p>
  </w:footnote>
  <w:footnote w:id="14">
    <w:p w:rsidR="00616BA4" w:rsidRPr="007148CC" w:rsidRDefault="00616BA4" w:rsidP="006B3B95">
      <w:pPr>
        <w:pStyle w:val="FootnoteText"/>
        <w:rPr>
          <w:rFonts w:ascii="Arial Narrow" w:hAnsi="Arial Narrow"/>
          <w:lang w:val="af-ZA"/>
        </w:rPr>
      </w:pPr>
      <w:r w:rsidRPr="007148CC">
        <w:rPr>
          <w:rStyle w:val="FootnoteReference"/>
          <w:rFonts w:ascii="Arial Narrow" w:hAnsi="Arial Narrow"/>
        </w:rPr>
        <w:footnoteRef/>
      </w:r>
      <w:r w:rsidRPr="007148CC">
        <w:rPr>
          <w:rFonts w:ascii="Arial Narrow" w:hAnsi="Arial Narrow"/>
        </w:rPr>
        <w:t xml:space="preserve"> </w:t>
      </w:r>
      <w:r w:rsidRPr="009F2D06">
        <w:rPr>
          <w:rFonts w:ascii="Arial Narrow" w:hAnsi="Arial Narrow"/>
          <w:i/>
        </w:rPr>
        <w:t>Hughes v Transvaal Associated Hide and Skin Merchants (Pty) Ltd and Another 1955</w:t>
      </w:r>
      <w:r w:rsidRPr="007148CC">
        <w:rPr>
          <w:rFonts w:ascii="Arial Narrow" w:hAnsi="Arial Narrow"/>
        </w:rPr>
        <w:t xml:space="preserve"> (2) SA 176 (T) at 179 – 180.</w:t>
      </w:r>
    </w:p>
  </w:footnote>
  <w:footnote w:id="15">
    <w:p w:rsidR="00616BA4" w:rsidRPr="007148CC" w:rsidRDefault="00616BA4" w:rsidP="006B3B95">
      <w:pPr>
        <w:pStyle w:val="FootnoteText"/>
        <w:rPr>
          <w:rFonts w:ascii="Arial Narrow" w:hAnsi="Arial Narrow"/>
          <w:lang w:val="af-ZA"/>
        </w:rPr>
      </w:pPr>
      <w:r w:rsidRPr="007148CC">
        <w:rPr>
          <w:rStyle w:val="FootnoteReference"/>
          <w:rFonts w:ascii="Arial Narrow" w:hAnsi="Arial Narrow"/>
        </w:rPr>
        <w:footnoteRef/>
      </w:r>
      <w:r w:rsidRPr="007148CC">
        <w:rPr>
          <w:rFonts w:ascii="Arial Narrow" w:hAnsi="Arial Narrow"/>
        </w:rPr>
        <w:t xml:space="preserve"> </w:t>
      </w:r>
      <w:r w:rsidRPr="007148CC">
        <w:rPr>
          <w:rFonts w:ascii="Arial Narrow" w:hAnsi="Arial Narrow" w:cs="Arial"/>
          <w:shd w:val="clear" w:color="auto" w:fill="FFFFFF"/>
        </w:rPr>
        <w:t>1998(2) </w:t>
      </w:r>
      <w:r w:rsidRPr="007148CC">
        <w:rPr>
          <w:rStyle w:val="Emphasis"/>
          <w:rFonts w:ascii="Arial Narrow" w:hAnsi="Arial Narrow" w:cs="Arial"/>
          <w:bCs/>
          <w:i w:val="0"/>
          <w:iCs w:val="0"/>
          <w:shd w:val="clear" w:color="auto" w:fill="FFFFFF"/>
        </w:rPr>
        <w:t>SA</w:t>
      </w:r>
      <w:r w:rsidRPr="007148CC">
        <w:rPr>
          <w:rFonts w:ascii="Arial Narrow" w:hAnsi="Arial Narrow" w:cs="Arial"/>
          <w:shd w:val="clear" w:color="auto" w:fill="FFFFFF"/>
        </w:rPr>
        <w:t> 667 (W)</w:t>
      </w:r>
      <w:r w:rsidR="004823E8">
        <w:rPr>
          <w:rFonts w:ascii="Arial Narrow" w:hAnsi="Arial Narrow" w:cs="Arial"/>
          <w:shd w:val="clear" w:color="auto" w:fill="FFFFFF"/>
        </w:rPr>
        <w:t>.</w:t>
      </w:r>
    </w:p>
  </w:footnote>
  <w:footnote w:id="16">
    <w:p w:rsidR="00616BA4" w:rsidRPr="007148CC" w:rsidRDefault="00616BA4" w:rsidP="006B3B95">
      <w:pPr>
        <w:pStyle w:val="FootnoteText"/>
        <w:rPr>
          <w:rFonts w:ascii="Arial Narrow" w:hAnsi="Arial Narrow"/>
          <w:lang w:val="af-ZA"/>
        </w:rPr>
      </w:pPr>
      <w:r w:rsidRPr="007148CC">
        <w:rPr>
          <w:rStyle w:val="FootnoteReference"/>
          <w:rFonts w:ascii="Arial Narrow" w:hAnsi="Arial Narrow"/>
        </w:rPr>
        <w:footnoteRef/>
      </w:r>
      <w:r w:rsidRPr="007148CC">
        <w:rPr>
          <w:rFonts w:ascii="Arial Narrow" w:hAnsi="Arial Narrow"/>
        </w:rPr>
        <w:t xml:space="preserve"> </w:t>
      </w:r>
      <w:r w:rsidRPr="007148CC">
        <w:rPr>
          <w:rFonts w:ascii="Arial Narrow" w:hAnsi="Arial Narrow"/>
          <w:lang w:val="af-ZA"/>
        </w:rPr>
        <w:t>All the references omitted.</w:t>
      </w:r>
    </w:p>
  </w:footnote>
  <w:footnote w:id="17">
    <w:p w:rsidR="00616BA4" w:rsidRPr="007148CC" w:rsidRDefault="00616BA4" w:rsidP="006B3B95">
      <w:pPr>
        <w:pStyle w:val="FootnoteText"/>
        <w:rPr>
          <w:rFonts w:ascii="Arial Narrow" w:hAnsi="Arial Narrow"/>
          <w:lang w:val="af-ZA"/>
        </w:rPr>
      </w:pPr>
      <w:r w:rsidRPr="007148CC">
        <w:rPr>
          <w:rStyle w:val="FootnoteReference"/>
          <w:rFonts w:ascii="Arial Narrow" w:hAnsi="Arial Narrow"/>
        </w:rPr>
        <w:footnoteRef/>
      </w:r>
      <w:r w:rsidRPr="007148CC">
        <w:rPr>
          <w:rFonts w:ascii="Arial Narrow" w:hAnsi="Arial Narrow"/>
        </w:rPr>
        <w:t xml:space="preserve"> </w:t>
      </w:r>
      <w:r w:rsidRPr="009F2D06">
        <w:rPr>
          <w:rFonts w:ascii="Arial Narrow" w:hAnsi="Arial Narrow"/>
          <w:i/>
        </w:rPr>
        <w:t>Union Government (Minister of Railways) v Lee</w:t>
      </w:r>
      <w:r w:rsidRPr="007148CC">
        <w:rPr>
          <w:rFonts w:ascii="Arial Narrow" w:hAnsi="Arial Narrow"/>
        </w:rPr>
        <w:t xml:space="preserve"> 1927 AD 202</w:t>
      </w:r>
      <w:r w:rsidR="004823E8">
        <w:rPr>
          <w:rFonts w:ascii="Arial Narrow" w:hAnsi="Arial Narro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67483"/>
      <w:docPartObj>
        <w:docPartGallery w:val="Page Numbers (Top of Page)"/>
        <w:docPartUnique/>
      </w:docPartObj>
    </w:sdtPr>
    <w:sdtEndPr>
      <w:rPr>
        <w:rFonts w:ascii="Arial Narrow" w:hAnsi="Arial Narrow"/>
        <w:noProof/>
        <w:sz w:val="24"/>
        <w:szCs w:val="24"/>
      </w:rPr>
    </w:sdtEndPr>
    <w:sdtContent>
      <w:p w:rsidR="00616BA4" w:rsidRPr="00001364" w:rsidRDefault="00616BA4">
        <w:pPr>
          <w:pStyle w:val="Header"/>
          <w:jc w:val="right"/>
          <w:rPr>
            <w:rFonts w:ascii="Arial Narrow" w:hAnsi="Arial Narrow"/>
            <w:sz w:val="24"/>
            <w:szCs w:val="24"/>
          </w:rPr>
        </w:pPr>
        <w:r w:rsidRPr="00001364">
          <w:rPr>
            <w:rFonts w:ascii="Arial Narrow" w:hAnsi="Arial Narrow"/>
            <w:sz w:val="24"/>
            <w:szCs w:val="24"/>
          </w:rPr>
          <w:fldChar w:fldCharType="begin"/>
        </w:r>
        <w:r w:rsidRPr="00001364">
          <w:rPr>
            <w:rFonts w:ascii="Arial Narrow" w:hAnsi="Arial Narrow"/>
            <w:sz w:val="24"/>
            <w:szCs w:val="24"/>
          </w:rPr>
          <w:instrText xml:space="preserve"> PAGE   \* MERGEFORMAT </w:instrText>
        </w:r>
        <w:r w:rsidRPr="00001364">
          <w:rPr>
            <w:rFonts w:ascii="Arial Narrow" w:hAnsi="Arial Narrow"/>
            <w:sz w:val="24"/>
            <w:szCs w:val="24"/>
          </w:rPr>
          <w:fldChar w:fldCharType="separate"/>
        </w:r>
        <w:r w:rsidR="0039113A">
          <w:rPr>
            <w:rFonts w:ascii="Arial Narrow" w:hAnsi="Arial Narrow"/>
            <w:noProof/>
            <w:sz w:val="24"/>
            <w:szCs w:val="24"/>
          </w:rPr>
          <w:t>2</w:t>
        </w:r>
        <w:r w:rsidRPr="00001364">
          <w:rPr>
            <w:rFonts w:ascii="Arial Narrow" w:hAnsi="Arial Narrow"/>
            <w:noProof/>
            <w:sz w:val="24"/>
            <w:szCs w:val="24"/>
          </w:rPr>
          <w:fldChar w:fldCharType="end"/>
        </w:r>
      </w:p>
    </w:sdtContent>
  </w:sdt>
  <w:p w:rsidR="00616BA4" w:rsidRDefault="00616B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580"/>
    <w:multiLevelType w:val="hybridMultilevel"/>
    <w:tmpl w:val="43A47734"/>
    <w:lvl w:ilvl="0" w:tplc="F6F82B30">
      <w:start w:val="1"/>
      <w:numFmt w:val="decimal"/>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 w15:restartNumberingAfterBreak="0">
    <w:nsid w:val="0FCF2302"/>
    <w:multiLevelType w:val="hybridMultilevel"/>
    <w:tmpl w:val="3892C3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3751C"/>
    <w:multiLevelType w:val="hybridMultilevel"/>
    <w:tmpl w:val="F72ACFA2"/>
    <w:lvl w:ilvl="0" w:tplc="0C9E774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592C30F3"/>
    <w:multiLevelType w:val="hybridMultilevel"/>
    <w:tmpl w:val="509286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9F"/>
    <w:rsid w:val="00001364"/>
    <w:rsid w:val="00012DAB"/>
    <w:rsid w:val="00013FC5"/>
    <w:rsid w:val="000302C9"/>
    <w:rsid w:val="0007311D"/>
    <w:rsid w:val="00091D98"/>
    <w:rsid w:val="000B2308"/>
    <w:rsid w:val="00140BD2"/>
    <w:rsid w:val="001432A9"/>
    <w:rsid w:val="00146DCD"/>
    <w:rsid w:val="00170256"/>
    <w:rsid w:val="00187CD7"/>
    <w:rsid w:val="00196F65"/>
    <w:rsid w:val="00240E7C"/>
    <w:rsid w:val="00247098"/>
    <w:rsid w:val="00257275"/>
    <w:rsid w:val="00263369"/>
    <w:rsid w:val="002E2DE8"/>
    <w:rsid w:val="002F087C"/>
    <w:rsid w:val="00332A2D"/>
    <w:rsid w:val="0033643E"/>
    <w:rsid w:val="00353C75"/>
    <w:rsid w:val="0035436F"/>
    <w:rsid w:val="0039113A"/>
    <w:rsid w:val="00396A85"/>
    <w:rsid w:val="003A0E10"/>
    <w:rsid w:val="003A41D7"/>
    <w:rsid w:val="003A7FEF"/>
    <w:rsid w:val="003B00F8"/>
    <w:rsid w:val="003C704F"/>
    <w:rsid w:val="003D680F"/>
    <w:rsid w:val="003F328B"/>
    <w:rsid w:val="004164C6"/>
    <w:rsid w:val="00452539"/>
    <w:rsid w:val="00460FE4"/>
    <w:rsid w:val="0047790E"/>
    <w:rsid w:val="004823E8"/>
    <w:rsid w:val="00485B3A"/>
    <w:rsid w:val="004B65F8"/>
    <w:rsid w:val="005005BD"/>
    <w:rsid w:val="00523FEA"/>
    <w:rsid w:val="0054276E"/>
    <w:rsid w:val="00554D2D"/>
    <w:rsid w:val="00557C45"/>
    <w:rsid w:val="00576A08"/>
    <w:rsid w:val="005B1E80"/>
    <w:rsid w:val="005E544E"/>
    <w:rsid w:val="005F3DB8"/>
    <w:rsid w:val="00600860"/>
    <w:rsid w:val="00607E9F"/>
    <w:rsid w:val="00615177"/>
    <w:rsid w:val="00616BA4"/>
    <w:rsid w:val="00641632"/>
    <w:rsid w:val="00684D49"/>
    <w:rsid w:val="006B3B95"/>
    <w:rsid w:val="006E3F35"/>
    <w:rsid w:val="006F1053"/>
    <w:rsid w:val="007060A7"/>
    <w:rsid w:val="007148CC"/>
    <w:rsid w:val="00725250"/>
    <w:rsid w:val="007A7A66"/>
    <w:rsid w:val="007C01D5"/>
    <w:rsid w:val="007C6244"/>
    <w:rsid w:val="007F7CF1"/>
    <w:rsid w:val="00801D9C"/>
    <w:rsid w:val="0081195E"/>
    <w:rsid w:val="00840D56"/>
    <w:rsid w:val="008B3F1B"/>
    <w:rsid w:val="008B7389"/>
    <w:rsid w:val="00947647"/>
    <w:rsid w:val="00955100"/>
    <w:rsid w:val="00976F1F"/>
    <w:rsid w:val="00977081"/>
    <w:rsid w:val="009A0F3D"/>
    <w:rsid w:val="009B1959"/>
    <w:rsid w:val="009D174E"/>
    <w:rsid w:val="009F15FD"/>
    <w:rsid w:val="009F2D06"/>
    <w:rsid w:val="00A445B5"/>
    <w:rsid w:val="00A53CE1"/>
    <w:rsid w:val="00A669CC"/>
    <w:rsid w:val="00AA758B"/>
    <w:rsid w:val="00AD133C"/>
    <w:rsid w:val="00AF5E62"/>
    <w:rsid w:val="00B02D4C"/>
    <w:rsid w:val="00B06EF4"/>
    <w:rsid w:val="00B2600D"/>
    <w:rsid w:val="00B31189"/>
    <w:rsid w:val="00B61408"/>
    <w:rsid w:val="00B90668"/>
    <w:rsid w:val="00BF2025"/>
    <w:rsid w:val="00C01043"/>
    <w:rsid w:val="00C45108"/>
    <w:rsid w:val="00CC7B58"/>
    <w:rsid w:val="00CD6B98"/>
    <w:rsid w:val="00CD6D90"/>
    <w:rsid w:val="00D1047E"/>
    <w:rsid w:val="00D305A6"/>
    <w:rsid w:val="00D44433"/>
    <w:rsid w:val="00D4716A"/>
    <w:rsid w:val="00D85638"/>
    <w:rsid w:val="00D94F09"/>
    <w:rsid w:val="00DD1B1F"/>
    <w:rsid w:val="00DD4B50"/>
    <w:rsid w:val="00E160D8"/>
    <w:rsid w:val="00E314C4"/>
    <w:rsid w:val="00E664F0"/>
    <w:rsid w:val="00E966C5"/>
    <w:rsid w:val="00EB513B"/>
    <w:rsid w:val="00EC0522"/>
    <w:rsid w:val="00EC69C5"/>
    <w:rsid w:val="00ED3A07"/>
    <w:rsid w:val="00EE5FD9"/>
    <w:rsid w:val="00EF5B54"/>
    <w:rsid w:val="00F16ADD"/>
    <w:rsid w:val="00F26CFC"/>
    <w:rsid w:val="00F66786"/>
    <w:rsid w:val="00F85585"/>
    <w:rsid w:val="00FB0192"/>
    <w:rsid w:val="00FE50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158CD-D334-4542-82CF-AD8E49776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07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E9F"/>
  </w:style>
  <w:style w:type="paragraph" w:styleId="ListParagraph">
    <w:name w:val="List Paragraph"/>
    <w:aliases w:val="Bullet Main"/>
    <w:basedOn w:val="Normal"/>
    <w:link w:val="ListParagraphChar"/>
    <w:uiPriority w:val="34"/>
    <w:qFormat/>
    <w:rsid w:val="00607E9F"/>
    <w:pPr>
      <w:ind w:left="720"/>
      <w:contextualSpacing/>
    </w:pPr>
  </w:style>
  <w:style w:type="paragraph" w:customStyle="1" w:styleId="form-control-static">
    <w:name w:val="form-control-static"/>
    <w:basedOn w:val="Normal"/>
    <w:rsid w:val="00607E9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07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E9F"/>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
    <w:basedOn w:val="Normal"/>
    <w:link w:val="FootnoteTextChar"/>
    <w:uiPriority w:val="99"/>
    <w:unhideWhenUsed/>
    <w:qFormat/>
    <w:rsid w:val="00607E9F"/>
    <w:pPr>
      <w:spacing w:after="0" w:line="240" w:lineRule="auto"/>
    </w:pPr>
    <w:rPr>
      <w:sz w:val="20"/>
      <w:szCs w:val="20"/>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607E9F"/>
    <w:rPr>
      <w:sz w:val="20"/>
      <w:szCs w:val="20"/>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607E9F"/>
    <w:rPr>
      <w:vertAlign w:val="superscript"/>
    </w:rPr>
  </w:style>
  <w:style w:type="character" w:customStyle="1" w:styleId="ListParagraphChar">
    <w:name w:val="List Paragraph Char"/>
    <w:aliases w:val="Bullet Main Char"/>
    <w:link w:val="ListParagraph"/>
    <w:uiPriority w:val="34"/>
    <w:locked/>
    <w:rsid w:val="00607E9F"/>
  </w:style>
  <w:style w:type="paragraph" w:styleId="NormalWeb">
    <w:name w:val="Normal (Web)"/>
    <w:basedOn w:val="Normal"/>
    <w:uiPriority w:val="99"/>
    <w:unhideWhenUsed/>
    <w:rsid w:val="00607E9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07E9F"/>
    <w:rPr>
      <w:b/>
      <w:bCs/>
    </w:rPr>
  </w:style>
  <w:style w:type="paragraph" w:styleId="BalloonText">
    <w:name w:val="Balloon Text"/>
    <w:basedOn w:val="Normal"/>
    <w:link w:val="BalloonTextChar"/>
    <w:uiPriority w:val="99"/>
    <w:semiHidden/>
    <w:unhideWhenUsed/>
    <w:rsid w:val="00D10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47E"/>
    <w:rPr>
      <w:rFonts w:ascii="Segoe UI" w:hAnsi="Segoe UI" w:cs="Segoe UI"/>
      <w:sz w:val="18"/>
      <w:szCs w:val="18"/>
    </w:rPr>
  </w:style>
  <w:style w:type="character" w:styleId="Hyperlink">
    <w:name w:val="Hyperlink"/>
    <w:basedOn w:val="DefaultParagraphFont"/>
    <w:uiPriority w:val="99"/>
    <w:semiHidden/>
    <w:unhideWhenUsed/>
    <w:rsid w:val="00F16ADD"/>
    <w:rPr>
      <w:color w:val="0000FF"/>
      <w:u w:val="single"/>
    </w:rPr>
  </w:style>
  <w:style w:type="character" w:styleId="Emphasis">
    <w:name w:val="Emphasis"/>
    <w:basedOn w:val="DefaultParagraphFont"/>
    <w:uiPriority w:val="20"/>
    <w:qFormat/>
    <w:rsid w:val="006B3B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1986%20%282%29%20SA%205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2020-03-19T18:30:00+00:00</Judgment_x0020_Date>
    <Year xmlns="c1afb1bd-f2fb-40fd-9abb-aea55b4d7662">2020</Year>
  </documentManagement>
</p:properties>
</file>

<file path=customXml/itemProps1.xml><?xml version="1.0" encoding="utf-8"?>
<ds:datastoreItem xmlns:ds="http://schemas.openxmlformats.org/officeDocument/2006/customXml" ds:itemID="{FC9BD530-F567-4781-860F-5BC6F6D8AFC1}"/>
</file>

<file path=customXml/itemProps2.xml><?xml version="1.0" encoding="utf-8"?>
<ds:datastoreItem xmlns:ds="http://schemas.openxmlformats.org/officeDocument/2006/customXml" ds:itemID="{F2C2BDED-3228-4ECB-B615-1DC62773BFEE}"/>
</file>

<file path=customXml/itemProps3.xml><?xml version="1.0" encoding="utf-8"?>
<ds:datastoreItem xmlns:ds="http://schemas.openxmlformats.org/officeDocument/2006/customXml" ds:itemID="{18E5A8AA-0002-4E0D-9533-5AA5D5B4B1FA}"/>
</file>

<file path=customXml/itemProps4.xml><?xml version="1.0" encoding="utf-8"?>
<ds:datastoreItem xmlns:ds="http://schemas.openxmlformats.org/officeDocument/2006/customXml" ds:itemID="{B331E8C5-F471-4347-A412-82A67CA09DD4}"/>
</file>

<file path=docProps/app.xml><?xml version="1.0" encoding="utf-8"?>
<Properties xmlns="http://schemas.openxmlformats.org/officeDocument/2006/extended-properties" xmlns:vt="http://schemas.openxmlformats.org/officeDocument/2006/docPropsVTypes">
  <Template>Normal</Template>
  <TotalTime>0</TotalTime>
  <Pages>9</Pages>
  <Words>2634</Words>
  <Characters>15014</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Prinsloo Hannelie</dc:creator>
  <cp:keywords/>
  <dc:description/>
  <cp:lastModifiedBy>Lotta N. Ambunda</cp:lastModifiedBy>
  <cp:revision>2</cp:revision>
  <cp:lastPrinted>2020-03-20T13:32:00Z</cp:lastPrinted>
  <dcterms:created xsi:type="dcterms:W3CDTF">2020-03-27T06:25:00Z</dcterms:created>
  <dcterms:modified xsi:type="dcterms:W3CDTF">2020-03-27T06:25:00Z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