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D3" w:rsidRDefault="007326D3" w:rsidP="007326D3">
      <w:pPr>
        <w:jc w:val="center"/>
        <w:rPr>
          <w:rFonts w:ascii="Arial Narrow" w:hAnsi="Arial Narrow" w:cs="Arial"/>
          <w:b/>
          <w:sz w:val="24"/>
          <w:szCs w:val="24"/>
        </w:rPr>
      </w:pPr>
      <w:r>
        <w:rPr>
          <w:rFonts w:ascii="Arial Narrow" w:hAnsi="Arial Narrow" w:cs="Arial"/>
          <w:b/>
          <w:sz w:val="24"/>
          <w:szCs w:val="24"/>
        </w:rPr>
        <w:t>“ANNEXURE 11”</w:t>
      </w:r>
    </w:p>
    <w:p w:rsidR="007326D3" w:rsidRDefault="007326D3" w:rsidP="007326D3">
      <w:pPr>
        <w:jc w:val="center"/>
        <w:rPr>
          <w:rFonts w:ascii="Arial Narrow" w:hAnsi="Arial Narrow" w:cs="Arial"/>
          <w:b/>
          <w:sz w:val="24"/>
          <w:szCs w:val="24"/>
        </w:rPr>
      </w:pPr>
    </w:p>
    <w:p w:rsidR="007326D3" w:rsidRDefault="007326D3" w:rsidP="007326D3">
      <w:pPr>
        <w:jc w:val="center"/>
        <w:rPr>
          <w:rFonts w:ascii="Arial Narrow" w:hAnsi="Arial Narrow" w:cs="Arial"/>
          <w:b/>
          <w:sz w:val="24"/>
          <w:szCs w:val="24"/>
        </w:rPr>
      </w:pPr>
      <w:r>
        <w:rPr>
          <w:rFonts w:ascii="Arial Narrow" w:hAnsi="Arial Narrow" w:cs="Arial"/>
          <w:b/>
          <w:sz w:val="24"/>
          <w:szCs w:val="24"/>
        </w:rPr>
        <w:t>IN THE HIGH COURT OF NAMIBIA MAIN DIVISION</w:t>
      </w:r>
    </w:p>
    <w:p w:rsidR="007326D3" w:rsidRDefault="007326D3" w:rsidP="007326D3"/>
    <w:tbl>
      <w:tblPr>
        <w:tblStyle w:val="TableGrid"/>
        <w:tblW w:w="9938" w:type="dxa"/>
        <w:tblInd w:w="-162" w:type="dxa"/>
        <w:tblLook w:val="04A0" w:firstRow="1" w:lastRow="0" w:firstColumn="1" w:lastColumn="0" w:noHBand="0" w:noVBand="1"/>
      </w:tblPr>
      <w:tblGrid>
        <w:gridCol w:w="4670"/>
        <w:gridCol w:w="280"/>
        <w:gridCol w:w="4988"/>
      </w:tblGrid>
      <w:tr w:rsidR="007326D3" w:rsidTr="00180908">
        <w:tc>
          <w:tcPr>
            <w:tcW w:w="4670" w:type="dxa"/>
            <w:vMerge w:val="restart"/>
            <w:tcBorders>
              <w:top w:val="single" w:sz="4" w:space="0" w:color="auto"/>
              <w:left w:val="single" w:sz="4" w:space="0" w:color="auto"/>
              <w:bottom w:val="single" w:sz="4" w:space="0" w:color="auto"/>
              <w:right w:val="single" w:sz="4" w:space="0" w:color="auto"/>
            </w:tcBorders>
            <w:hideMark/>
          </w:tcPr>
          <w:p w:rsidR="007326D3" w:rsidRDefault="007326D3" w:rsidP="00180908">
            <w:pPr>
              <w:spacing w:line="360" w:lineRule="auto"/>
              <w:jc w:val="both"/>
              <w:rPr>
                <w:rFonts w:ascii="Arial" w:hAnsi="Arial" w:cs="Arial"/>
                <w:b/>
                <w:sz w:val="24"/>
                <w:szCs w:val="24"/>
                <w:lang w:val="en-US"/>
              </w:rPr>
            </w:pPr>
            <w:r>
              <w:rPr>
                <w:rFonts w:ascii="Arial" w:hAnsi="Arial" w:cs="Arial"/>
                <w:b/>
                <w:sz w:val="24"/>
                <w:szCs w:val="24"/>
                <w:lang w:val="en-US"/>
              </w:rPr>
              <w:t>Case Title:</w:t>
            </w:r>
          </w:p>
          <w:p w:rsidR="007326D3" w:rsidRPr="003532F4" w:rsidRDefault="007326D3" w:rsidP="00180908">
            <w:pPr>
              <w:spacing w:line="360" w:lineRule="auto"/>
              <w:jc w:val="both"/>
              <w:rPr>
                <w:rFonts w:ascii="Arial" w:hAnsi="Arial" w:cs="Arial"/>
                <w:sz w:val="24"/>
                <w:szCs w:val="24"/>
                <w:lang w:val="en-US"/>
              </w:rPr>
            </w:pPr>
            <w:r w:rsidRPr="003532F4">
              <w:rPr>
                <w:rFonts w:ascii="Arial" w:hAnsi="Arial" w:cs="Arial"/>
                <w:sz w:val="24"/>
                <w:szCs w:val="24"/>
                <w:lang w:val="en-US"/>
              </w:rPr>
              <w:t>The Government of the Republic of Namibia (Represented by the Minister of Mines and Energy) v Jornaise Shifotoka</w:t>
            </w:r>
          </w:p>
          <w:p w:rsidR="007326D3" w:rsidRPr="00B40F53" w:rsidRDefault="007326D3" w:rsidP="00180908">
            <w:pPr>
              <w:spacing w:line="360" w:lineRule="auto"/>
              <w:jc w:val="both"/>
              <w:rPr>
                <w:rFonts w:ascii="Arial" w:hAnsi="Arial" w:cs="Arial"/>
                <w:b/>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tcPr>
          <w:p w:rsidR="007326D3" w:rsidRPr="00AE6BF7" w:rsidRDefault="007326D3" w:rsidP="00180908">
            <w:pPr>
              <w:spacing w:line="360" w:lineRule="auto"/>
              <w:ind w:left="2183" w:hanging="2126"/>
              <w:jc w:val="both"/>
              <w:rPr>
                <w:rFonts w:ascii="Arial" w:hAnsi="Arial" w:cs="Arial"/>
                <w:b/>
                <w:sz w:val="24"/>
                <w:szCs w:val="24"/>
                <w:lang w:val="en-US"/>
              </w:rPr>
            </w:pPr>
            <w:r w:rsidRPr="00AE6BF7">
              <w:rPr>
                <w:rFonts w:ascii="Arial" w:hAnsi="Arial" w:cs="Arial"/>
                <w:b/>
                <w:sz w:val="24"/>
                <w:szCs w:val="24"/>
                <w:lang w:val="en-US"/>
              </w:rPr>
              <w:t>Case no:</w:t>
            </w:r>
          </w:p>
          <w:p w:rsidR="007326D3" w:rsidRDefault="007326D3" w:rsidP="00180908">
            <w:pPr>
              <w:spacing w:line="360" w:lineRule="auto"/>
              <w:ind w:left="2183" w:hanging="2126"/>
              <w:jc w:val="both"/>
              <w:rPr>
                <w:rFonts w:ascii="Arial" w:hAnsi="Arial" w:cs="Arial"/>
                <w:sz w:val="24"/>
                <w:szCs w:val="24"/>
                <w:lang w:val="en-US"/>
              </w:rPr>
            </w:pPr>
            <w:r>
              <w:rPr>
                <w:rFonts w:ascii="Arial" w:hAnsi="Arial" w:cs="Arial"/>
                <w:sz w:val="24"/>
                <w:szCs w:val="24"/>
                <w:lang w:val="en-US"/>
              </w:rPr>
              <w:t>HC-MD-CIV-ACT-OTH-2019/03112</w:t>
            </w:r>
          </w:p>
        </w:tc>
      </w:tr>
      <w:tr w:rsidR="007326D3" w:rsidTr="00180908">
        <w:tc>
          <w:tcPr>
            <w:tcW w:w="4670" w:type="dxa"/>
            <w:vMerge/>
            <w:tcBorders>
              <w:top w:val="single" w:sz="4" w:space="0" w:color="auto"/>
              <w:left w:val="single" w:sz="4" w:space="0" w:color="auto"/>
              <w:bottom w:val="single" w:sz="4" w:space="0" w:color="auto"/>
              <w:right w:val="single" w:sz="4" w:space="0" w:color="auto"/>
            </w:tcBorders>
            <w:vAlign w:val="center"/>
            <w:hideMark/>
          </w:tcPr>
          <w:p w:rsidR="007326D3" w:rsidRDefault="007326D3" w:rsidP="00180908">
            <w:pPr>
              <w:spacing w:line="240" w:lineRule="auto"/>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7326D3" w:rsidRDefault="007326D3" w:rsidP="00180908">
            <w:pPr>
              <w:spacing w:line="360" w:lineRule="auto"/>
              <w:jc w:val="both"/>
              <w:rPr>
                <w:rFonts w:ascii="Arial" w:hAnsi="Arial" w:cs="Arial"/>
                <w:b/>
                <w:sz w:val="24"/>
                <w:szCs w:val="24"/>
                <w:lang w:val="en-US"/>
              </w:rPr>
            </w:pPr>
            <w:r>
              <w:rPr>
                <w:rFonts w:ascii="Arial" w:hAnsi="Arial" w:cs="Arial"/>
                <w:b/>
                <w:sz w:val="24"/>
                <w:szCs w:val="24"/>
                <w:lang w:val="en-US"/>
              </w:rPr>
              <w:t xml:space="preserve">Division of Court: </w:t>
            </w:r>
          </w:p>
          <w:p w:rsidR="007326D3" w:rsidRDefault="007326D3" w:rsidP="00180908">
            <w:pPr>
              <w:spacing w:line="360" w:lineRule="auto"/>
              <w:jc w:val="both"/>
              <w:rPr>
                <w:rFonts w:ascii="Arial" w:hAnsi="Arial" w:cs="Arial"/>
                <w:sz w:val="24"/>
                <w:szCs w:val="24"/>
                <w:lang w:val="en-US"/>
              </w:rPr>
            </w:pPr>
            <w:r>
              <w:rPr>
                <w:rFonts w:ascii="Arial" w:hAnsi="Arial" w:cs="Arial"/>
                <w:sz w:val="24"/>
                <w:szCs w:val="24"/>
                <w:lang w:val="en-US"/>
              </w:rPr>
              <w:t>MAIN DIVISION</w:t>
            </w:r>
          </w:p>
        </w:tc>
      </w:tr>
      <w:tr w:rsidR="007326D3" w:rsidTr="00180908">
        <w:tc>
          <w:tcPr>
            <w:tcW w:w="4670" w:type="dxa"/>
            <w:tcBorders>
              <w:top w:val="single" w:sz="4" w:space="0" w:color="auto"/>
              <w:left w:val="single" w:sz="4" w:space="0" w:color="auto"/>
              <w:bottom w:val="single" w:sz="4" w:space="0" w:color="auto"/>
              <w:right w:val="single" w:sz="4" w:space="0" w:color="auto"/>
            </w:tcBorders>
          </w:tcPr>
          <w:p w:rsidR="007326D3" w:rsidRDefault="007326D3" w:rsidP="00180908">
            <w:pPr>
              <w:spacing w:line="360" w:lineRule="auto"/>
              <w:jc w:val="both"/>
              <w:rPr>
                <w:rFonts w:ascii="Arial" w:hAnsi="Arial" w:cs="Arial"/>
                <w:b/>
                <w:sz w:val="24"/>
                <w:szCs w:val="24"/>
                <w:lang w:val="en-US"/>
              </w:rPr>
            </w:pPr>
            <w:r>
              <w:rPr>
                <w:rFonts w:ascii="Arial" w:hAnsi="Arial" w:cs="Arial"/>
                <w:b/>
                <w:sz w:val="24"/>
                <w:szCs w:val="24"/>
                <w:lang w:val="en-US"/>
              </w:rPr>
              <w:t xml:space="preserve">Heard before:  </w:t>
            </w:r>
          </w:p>
          <w:p w:rsidR="007326D3" w:rsidRPr="00AA2423" w:rsidRDefault="007326D3" w:rsidP="00180908">
            <w:pPr>
              <w:spacing w:line="360" w:lineRule="auto"/>
              <w:jc w:val="both"/>
              <w:rPr>
                <w:rFonts w:ascii="Arial" w:hAnsi="Arial" w:cs="Arial"/>
                <w:sz w:val="24"/>
                <w:szCs w:val="24"/>
                <w:lang w:val="en-US"/>
              </w:rPr>
            </w:pPr>
            <w:r>
              <w:rPr>
                <w:rFonts w:ascii="Arial" w:hAnsi="Arial" w:cs="Arial"/>
                <w:sz w:val="24"/>
                <w:szCs w:val="24"/>
                <w:lang w:val="en-US"/>
              </w:rPr>
              <w:t>Honourable Lady Justice Tommasi J</w:t>
            </w:r>
            <w:r>
              <w:rPr>
                <w:rFonts w:ascii="Arial" w:hAnsi="Arial" w:cs="Arial"/>
                <w:i/>
                <w:sz w:val="24"/>
                <w:szCs w:val="24"/>
                <w:lang w:val="en-US"/>
              </w:rPr>
              <w:t xml:space="preserve"> </w:t>
            </w:r>
          </w:p>
          <w:p w:rsidR="007326D3" w:rsidRPr="00AA2423" w:rsidRDefault="007326D3" w:rsidP="00180908">
            <w:pPr>
              <w:spacing w:line="360" w:lineRule="auto"/>
              <w:jc w:val="both"/>
              <w:rPr>
                <w:rFonts w:ascii="Arial" w:hAnsi="Arial" w:cs="Arial"/>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tcPr>
          <w:p w:rsidR="007326D3" w:rsidRDefault="007326D3" w:rsidP="00180908">
            <w:pPr>
              <w:spacing w:line="360" w:lineRule="auto"/>
              <w:jc w:val="both"/>
              <w:rPr>
                <w:rFonts w:ascii="Arial" w:hAnsi="Arial" w:cs="Arial"/>
                <w:b/>
                <w:sz w:val="24"/>
                <w:szCs w:val="24"/>
                <w:lang w:val="en-US"/>
              </w:rPr>
            </w:pPr>
            <w:r>
              <w:rPr>
                <w:rFonts w:ascii="Arial" w:hAnsi="Arial" w:cs="Arial"/>
                <w:b/>
                <w:sz w:val="24"/>
                <w:szCs w:val="24"/>
                <w:lang w:val="en-US"/>
              </w:rPr>
              <w:t xml:space="preserve">Delivered on:  </w:t>
            </w:r>
          </w:p>
          <w:p w:rsidR="007326D3" w:rsidRDefault="007326D3" w:rsidP="00180908">
            <w:pPr>
              <w:spacing w:line="360" w:lineRule="auto"/>
              <w:jc w:val="both"/>
              <w:rPr>
                <w:rFonts w:ascii="Arial" w:hAnsi="Arial" w:cs="Arial"/>
                <w:sz w:val="24"/>
                <w:szCs w:val="24"/>
                <w:lang w:val="en-US"/>
              </w:rPr>
            </w:pPr>
            <w:r>
              <w:rPr>
                <w:rFonts w:ascii="Arial" w:hAnsi="Arial" w:cs="Arial"/>
                <w:sz w:val="24"/>
                <w:szCs w:val="24"/>
                <w:lang w:val="en-US"/>
              </w:rPr>
              <w:t>19 March 2020</w:t>
            </w:r>
          </w:p>
          <w:p w:rsidR="007326D3" w:rsidRDefault="007326D3" w:rsidP="00180908">
            <w:pPr>
              <w:spacing w:line="360" w:lineRule="auto"/>
              <w:jc w:val="both"/>
              <w:rPr>
                <w:rFonts w:ascii="Arial" w:hAnsi="Arial" w:cs="Arial"/>
                <w:sz w:val="24"/>
                <w:szCs w:val="24"/>
                <w:lang w:val="en-US"/>
              </w:rPr>
            </w:pPr>
          </w:p>
          <w:p w:rsidR="007326D3" w:rsidRPr="00AE6BF7" w:rsidRDefault="007326D3" w:rsidP="00180908">
            <w:pPr>
              <w:spacing w:line="360" w:lineRule="auto"/>
              <w:jc w:val="both"/>
              <w:rPr>
                <w:rFonts w:ascii="Arial" w:hAnsi="Arial" w:cs="Arial"/>
                <w:b/>
                <w:sz w:val="24"/>
                <w:szCs w:val="24"/>
                <w:lang w:val="en-US"/>
              </w:rPr>
            </w:pPr>
            <w:r w:rsidRPr="00AE6BF7">
              <w:rPr>
                <w:rFonts w:ascii="Arial" w:hAnsi="Arial" w:cs="Arial"/>
                <w:b/>
                <w:sz w:val="24"/>
                <w:szCs w:val="24"/>
                <w:lang w:val="en-US"/>
              </w:rPr>
              <w:t>Reasons delivered on:</w:t>
            </w:r>
          </w:p>
          <w:p w:rsidR="007326D3" w:rsidRDefault="007326D3" w:rsidP="00180908">
            <w:pPr>
              <w:spacing w:line="360" w:lineRule="auto"/>
              <w:jc w:val="both"/>
              <w:rPr>
                <w:rFonts w:ascii="Arial" w:hAnsi="Arial" w:cs="Arial"/>
                <w:sz w:val="24"/>
                <w:szCs w:val="24"/>
                <w:lang w:val="en-US"/>
              </w:rPr>
            </w:pPr>
            <w:r>
              <w:rPr>
                <w:rFonts w:ascii="Arial" w:hAnsi="Arial" w:cs="Arial"/>
                <w:sz w:val="24"/>
                <w:szCs w:val="24"/>
                <w:lang w:val="en-US"/>
              </w:rPr>
              <w:t>19 March 2020</w:t>
            </w:r>
          </w:p>
          <w:p w:rsidR="007326D3" w:rsidRDefault="007326D3" w:rsidP="00180908">
            <w:pPr>
              <w:spacing w:line="360" w:lineRule="auto"/>
              <w:jc w:val="both"/>
              <w:rPr>
                <w:rFonts w:ascii="Arial" w:hAnsi="Arial" w:cs="Arial"/>
                <w:sz w:val="24"/>
                <w:szCs w:val="24"/>
                <w:lang w:val="en-US"/>
              </w:rPr>
            </w:pPr>
          </w:p>
        </w:tc>
      </w:tr>
      <w:tr w:rsidR="007326D3" w:rsidTr="00180908">
        <w:tc>
          <w:tcPr>
            <w:tcW w:w="9938" w:type="dxa"/>
            <w:gridSpan w:val="3"/>
            <w:tcBorders>
              <w:top w:val="single" w:sz="4" w:space="0" w:color="auto"/>
              <w:left w:val="single" w:sz="4" w:space="0" w:color="auto"/>
              <w:bottom w:val="single" w:sz="4" w:space="0" w:color="auto"/>
              <w:right w:val="single" w:sz="4" w:space="0" w:color="auto"/>
            </w:tcBorders>
          </w:tcPr>
          <w:p w:rsidR="007326D3" w:rsidRDefault="007326D3" w:rsidP="00180908">
            <w:pPr>
              <w:spacing w:line="360" w:lineRule="auto"/>
              <w:jc w:val="both"/>
              <w:rPr>
                <w:rFonts w:ascii="Arial" w:hAnsi="Arial" w:cs="Arial"/>
                <w:b/>
                <w:sz w:val="24"/>
                <w:szCs w:val="24"/>
                <w:lang w:val="en-US"/>
              </w:rPr>
            </w:pPr>
          </w:p>
          <w:p w:rsidR="007326D3" w:rsidRPr="00E01312" w:rsidRDefault="007326D3" w:rsidP="00180908">
            <w:pPr>
              <w:spacing w:line="360" w:lineRule="auto"/>
              <w:jc w:val="both"/>
              <w:rPr>
                <w:rFonts w:ascii="Arial" w:hAnsi="Arial" w:cs="Arial"/>
                <w:i/>
                <w:sz w:val="24"/>
                <w:szCs w:val="24"/>
                <w:lang w:val="en-US"/>
              </w:rPr>
            </w:pPr>
            <w:r>
              <w:rPr>
                <w:rFonts w:ascii="Arial" w:hAnsi="Arial" w:cs="Arial"/>
                <w:b/>
                <w:sz w:val="24"/>
                <w:szCs w:val="24"/>
                <w:lang w:val="en-US"/>
              </w:rPr>
              <w:t>Neutral citation:</w:t>
            </w:r>
            <w:r>
              <w:rPr>
                <w:rFonts w:ascii="Arial" w:hAnsi="Arial" w:cs="Arial"/>
                <w:i/>
                <w:sz w:val="24"/>
                <w:szCs w:val="24"/>
                <w:lang w:val="en-US"/>
              </w:rPr>
              <w:t xml:space="preserve"> </w:t>
            </w:r>
            <w:bookmarkStart w:id="0" w:name="_GoBack"/>
            <w:r>
              <w:rPr>
                <w:rFonts w:ascii="Arial" w:hAnsi="Arial" w:cs="Arial"/>
                <w:i/>
                <w:sz w:val="24"/>
                <w:szCs w:val="24"/>
                <w:lang w:val="en-US"/>
              </w:rPr>
              <w:t xml:space="preserve">The Government of the Republic of Namibia (Represented by the Minister of Mines and Energy) v </w:t>
            </w:r>
            <w:proofErr w:type="spellStart"/>
            <w:r>
              <w:rPr>
                <w:rFonts w:ascii="Arial" w:hAnsi="Arial" w:cs="Arial"/>
                <w:i/>
                <w:sz w:val="24"/>
                <w:szCs w:val="24"/>
                <w:lang w:val="en-US"/>
              </w:rPr>
              <w:t>Shifotoka</w:t>
            </w:r>
            <w:proofErr w:type="spellEnd"/>
            <w:r>
              <w:rPr>
                <w:rFonts w:ascii="Arial" w:hAnsi="Arial" w:cs="Arial"/>
                <w:i/>
                <w:sz w:val="24"/>
                <w:szCs w:val="24"/>
                <w:lang w:val="en-US"/>
              </w:rPr>
              <w:t xml:space="preserve"> </w:t>
            </w:r>
            <w:r w:rsidR="00141676">
              <w:rPr>
                <w:rFonts w:ascii="Arial" w:hAnsi="Arial" w:cs="Arial"/>
                <w:i/>
                <w:sz w:val="24"/>
                <w:szCs w:val="24"/>
                <w:lang w:val="en-US"/>
              </w:rPr>
              <w:t>(</w:t>
            </w:r>
            <w:r w:rsidRPr="003532F4">
              <w:rPr>
                <w:rFonts w:ascii="Arial" w:hAnsi="Arial" w:cs="Arial"/>
                <w:sz w:val="24"/>
                <w:szCs w:val="24"/>
                <w:lang w:val="en-US"/>
              </w:rPr>
              <w:t xml:space="preserve">HC-MD-CIV-ACT-OTH-2019/03112 [2020] NAHCMD </w:t>
            </w:r>
            <w:r w:rsidR="00322003">
              <w:rPr>
                <w:rFonts w:ascii="Arial" w:hAnsi="Arial" w:cs="Arial"/>
                <w:sz w:val="24"/>
                <w:szCs w:val="24"/>
                <w:lang w:val="en-US"/>
              </w:rPr>
              <w:t>107</w:t>
            </w:r>
            <w:r w:rsidRPr="003532F4">
              <w:rPr>
                <w:rFonts w:ascii="Arial" w:hAnsi="Arial" w:cs="Arial"/>
                <w:sz w:val="24"/>
                <w:szCs w:val="24"/>
                <w:lang w:val="en-US"/>
              </w:rPr>
              <w:t xml:space="preserve"> (19 March 2020)</w:t>
            </w:r>
          </w:p>
          <w:bookmarkEnd w:id="0"/>
          <w:p w:rsidR="007326D3" w:rsidRPr="00AA2423" w:rsidRDefault="007326D3" w:rsidP="00180908">
            <w:pPr>
              <w:spacing w:line="360" w:lineRule="auto"/>
              <w:jc w:val="both"/>
              <w:rPr>
                <w:rFonts w:ascii="Arial" w:hAnsi="Arial" w:cs="Arial"/>
                <w:b/>
                <w:sz w:val="24"/>
                <w:szCs w:val="24"/>
                <w:lang w:val="en-US"/>
              </w:rPr>
            </w:pPr>
          </w:p>
        </w:tc>
      </w:tr>
      <w:tr w:rsidR="007326D3" w:rsidTr="00180908">
        <w:tc>
          <w:tcPr>
            <w:tcW w:w="9938" w:type="dxa"/>
            <w:gridSpan w:val="3"/>
            <w:tcBorders>
              <w:top w:val="single" w:sz="4" w:space="0" w:color="auto"/>
              <w:left w:val="single" w:sz="4" w:space="0" w:color="auto"/>
              <w:bottom w:val="single" w:sz="4" w:space="0" w:color="auto"/>
              <w:right w:val="single" w:sz="4" w:space="0" w:color="auto"/>
            </w:tcBorders>
          </w:tcPr>
          <w:p w:rsidR="007326D3" w:rsidRDefault="007326D3" w:rsidP="00180908">
            <w:pPr>
              <w:spacing w:line="360" w:lineRule="auto"/>
              <w:jc w:val="both"/>
              <w:rPr>
                <w:rFonts w:ascii="Arial" w:hAnsi="Arial" w:cs="Arial"/>
                <w:b/>
                <w:sz w:val="24"/>
                <w:szCs w:val="24"/>
                <w:lang w:val="en-US"/>
              </w:rPr>
            </w:pPr>
          </w:p>
          <w:p w:rsidR="007326D3" w:rsidRDefault="007326D3" w:rsidP="00180908">
            <w:pPr>
              <w:spacing w:line="360" w:lineRule="auto"/>
              <w:jc w:val="both"/>
              <w:rPr>
                <w:rFonts w:ascii="Arial" w:hAnsi="Arial" w:cs="Arial"/>
                <w:b/>
                <w:sz w:val="24"/>
                <w:szCs w:val="24"/>
                <w:lang w:val="en-US"/>
              </w:rPr>
            </w:pPr>
            <w:r>
              <w:rPr>
                <w:rFonts w:ascii="Arial" w:hAnsi="Arial" w:cs="Arial"/>
                <w:b/>
                <w:sz w:val="24"/>
                <w:szCs w:val="24"/>
                <w:lang w:val="en-US"/>
              </w:rPr>
              <w:t xml:space="preserve">The order: </w:t>
            </w:r>
          </w:p>
          <w:p w:rsidR="007326D3" w:rsidRPr="003271C2" w:rsidRDefault="007326D3" w:rsidP="00180908">
            <w:pPr>
              <w:spacing w:line="259" w:lineRule="auto"/>
              <w:jc w:val="both"/>
              <w:rPr>
                <w:rFonts w:ascii="Arial" w:hAnsi="Arial" w:cs="Arial"/>
                <w:sz w:val="24"/>
                <w:szCs w:val="24"/>
                <w:lang w:val="en-US"/>
              </w:rPr>
            </w:pP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 xml:space="preserve"> Condonation is granted for the plaintiff’s non-compliance with paragraph 4 of the court’s case plan order dated 17 September 2019 relating to the parties’ discovery;</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automatic bar of the plaintiff to file its discovery affidavit is hereby uplifted;</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plaintiff is to pay the defendant’s cost of the application limited in terms of Rule 32 (11)</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Plaintiff must file its discovery affidavit and exchange its discovery bundle on or before 26 March 2020 ;</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defendant is allowed to file a supplementary discovery affidavit, if any,  on or before  9 April 2020;</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 xml:space="preserve">The matter is postponed to 22 April 2020 for </w:t>
            </w:r>
            <w:r>
              <w:rPr>
                <w:rFonts w:ascii="Arial" w:hAnsi="Arial" w:cs="Arial"/>
                <w:sz w:val="24"/>
                <w:szCs w:val="24"/>
                <w:lang w:val="en-US"/>
              </w:rPr>
              <w:t>initial mediation hearing referral (reason: mediation court connected)</w:t>
            </w:r>
          </w:p>
          <w:p w:rsidR="007326D3" w:rsidRPr="003271C2" w:rsidRDefault="007326D3" w:rsidP="00346DE8">
            <w:pPr>
              <w:numPr>
                <w:ilvl w:val="0"/>
                <w:numId w:val="2"/>
              </w:numPr>
              <w:spacing w:line="360" w:lineRule="auto"/>
              <w:contextualSpacing/>
              <w:jc w:val="both"/>
              <w:rPr>
                <w:rFonts w:ascii="Arial" w:hAnsi="Arial" w:cs="Arial"/>
                <w:sz w:val="24"/>
                <w:szCs w:val="24"/>
                <w:lang w:val="en-US"/>
              </w:rPr>
            </w:pPr>
            <w:r w:rsidRPr="003271C2">
              <w:rPr>
                <w:rFonts w:ascii="Arial" w:hAnsi="Arial" w:cs="Arial"/>
                <w:sz w:val="24"/>
                <w:szCs w:val="24"/>
                <w:lang w:val="en-US"/>
              </w:rPr>
              <w:t xml:space="preserve">The parties must file a joint case management conference report on or before 17 April 2020. </w:t>
            </w:r>
          </w:p>
          <w:p w:rsidR="007326D3" w:rsidRPr="00346DE8" w:rsidRDefault="007326D3" w:rsidP="00346DE8">
            <w:pPr>
              <w:spacing w:line="360" w:lineRule="auto"/>
              <w:jc w:val="both"/>
              <w:rPr>
                <w:rFonts w:ascii="Arial" w:hAnsi="Arial" w:cs="Arial"/>
                <w:sz w:val="24"/>
                <w:szCs w:val="24"/>
                <w:lang w:val="en-US"/>
              </w:rPr>
            </w:pPr>
          </w:p>
        </w:tc>
      </w:tr>
      <w:tr w:rsidR="007326D3" w:rsidTr="00180908">
        <w:tc>
          <w:tcPr>
            <w:tcW w:w="9938" w:type="dxa"/>
            <w:gridSpan w:val="3"/>
            <w:tcBorders>
              <w:top w:val="single" w:sz="4" w:space="0" w:color="auto"/>
              <w:left w:val="single" w:sz="4" w:space="0" w:color="auto"/>
              <w:bottom w:val="single" w:sz="4" w:space="0" w:color="auto"/>
              <w:right w:val="single" w:sz="4" w:space="0" w:color="auto"/>
            </w:tcBorders>
          </w:tcPr>
          <w:p w:rsidR="007326D3" w:rsidRDefault="007326D3" w:rsidP="00346DE8">
            <w:pPr>
              <w:spacing w:line="360" w:lineRule="auto"/>
              <w:jc w:val="both"/>
              <w:rPr>
                <w:rFonts w:ascii="Arial" w:hAnsi="Arial" w:cs="Arial"/>
                <w:b/>
                <w:sz w:val="24"/>
                <w:szCs w:val="24"/>
              </w:rPr>
            </w:pPr>
            <w:r>
              <w:rPr>
                <w:rFonts w:ascii="Arial" w:hAnsi="Arial" w:cs="Arial"/>
                <w:b/>
                <w:sz w:val="24"/>
                <w:szCs w:val="24"/>
              </w:rPr>
              <w:t>Reasons for order:</w:t>
            </w:r>
          </w:p>
          <w:p w:rsidR="00346DE8" w:rsidRDefault="00346DE8" w:rsidP="00346DE8">
            <w:pPr>
              <w:spacing w:line="360" w:lineRule="auto"/>
              <w:jc w:val="both"/>
              <w:rPr>
                <w:rFonts w:ascii="Arial" w:hAnsi="Arial" w:cs="Arial"/>
                <w:b/>
                <w:sz w:val="24"/>
                <w:szCs w:val="24"/>
              </w:rPr>
            </w:pPr>
          </w:p>
          <w:p w:rsidR="007326D3" w:rsidRDefault="007326D3" w:rsidP="00346DE8">
            <w:pPr>
              <w:spacing w:line="360" w:lineRule="auto"/>
              <w:jc w:val="both"/>
              <w:rPr>
                <w:rFonts w:ascii="Arial" w:hAnsi="Arial" w:cs="Arial"/>
                <w:sz w:val="24"/>
                <w:szCs w:val="24"/>
                <w:lang w:val="en-US"/>
              </w:rPr>
            </w:pPr>
            <w:r>
              <w:rPr>
                <w:rFonts w:ascii="Arial" w:hAnsi="Arial" w:cs="Arial"/>
                <w:sz w:val="24"/>
                <w:szCs w:val="24"/>
                <w:lang w:val="en-US"/>
              </w:rPr>
              <w:t>TOMMASI J,</w:t>
            </w:r>
          </w:p>
          <w:p w:rsidR="007326D3" w:rsidRDefault="007326D3" w:rsidP="00346DE8">
            <w:pPr>
              <w:spacing w:line="360" w:lineRule="auto"/>
              <w:jc w:val="both"/>
              <w:rPr>
                <w:rFonts w:ascii="Arial" w:hAnsi="Arial" w:cs="Arial"/>
                <w:sz w:val="24"/>
                <w:szCs w:val="24"/>
                <w:lang w:val="en-US"/>
              </w:rPr>
            </w:pPr>
            <w:r>
              <w:rPr>
                <w:rFonts w:ascii="Arial" w:hAnsi="Arial" w:cs="Arial"/>
                <w:sz w:val="24"/>
                <w:szCs w:val="24"/>
                <w:lang w:val="en-US"/>
              </w:rPr>
              <w:lastRenderedPageBreak/>
              <w:t>For these reasons I have made the above order;</w:t>
            </w:r>
          </w:p>
          <w:p w:rsidR="007326D3" w:rsidRPr="00210A33" w:rsidRDefault="007326D3" w:rsidP="00346DE8">
            <w:pPr>
              <w:spacing w:line="360" w:lineRule="auto"/>
              <w:ind w:left="777" w:hanging="777"/>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Pr="00210A33">
              <w:rPr>
                <w:rFonts w:ascii="Arial" w:hAnsi="Arial" w:cs="Arial"/>
                <w:sz w:val="24"/>
                <w:szCs w:val="24"/>
              </w:rPr>
              <w:t>This is an application for condonation by the Plaintiff</w:t>
            </w:r>
            <w:r w:rsidR="00346DE8">
              <w:rPr>
                <w:rFonts w:ascii="Arial" w:hAnsi="Arial" w:cs="Arial"/>
                <w:sz w:val="24"/>
                <w:szCs w:val="24"/>
              </w:rPr>
              <w:t xml:space="preserve"> for failing to comply with the </w:t>
            </w:r>
            <w:r w:rsidRPr="00210A33">
              <w:rPr>
                <w:rFonts w:ascii="Arial" w:hAnsi="Arial" w:cs="Arial"/>
                <w:sz w:val="24"/>
                <w:szCs w:val="24"/>
              </w:rPr>
              <w:t xml:space="preserve">court order dated 17 September 2019 </w:t>
            </w:r>
            <w:proofErr w:type="spellStart"/>
            <w:r w:rsidRPr="00210A33">
              <w:rPr>
                <w:rFonts w:ascii="Arial" w:hAnsi="Arial" w:cs="Arial"/>
                <w:sz w:val="24"/>
                <w:szCs w:val="24"/>
              </w:rPr>
              <w:t>i.e</w:t>
            </w:r>
            <w:proofErr w:type="spellEnd"/>
            <w:r w:rsidRPr="00210A33">
              <w:rPr>
                <w:rFonts w:ascii="Arial" w:hAnsi="Arial" w:cs="Arial"/>
                <w:sz w:val="24"/>
                <w:szCs w:val="24"/>
              </w:rPr>
              <w:t xml:space="preserve"> for Plaintiff to file its discovery affidavit and to exchange discovery bundles on or before 30 November 2019. </w:t>
            </w:r>
          </w:p>
          <w:p w:rsidR="007326D3" w:rsidRPr="00210A33" w:rsidRDefault="007326D3" w:rsidP="00346DE8">
            <w:pPr>
              <w:pStyle w:val="ListParagraph"/>
              <w:spacing w:line="360" w:lineRule="auto"/>
              <w:jc w:val="both"/>
              <w:rPr>
                <w:rFonts w:ascii="Arial" w:hAnsi="Arial" w:cs="Arial"/>
                <w:sz w:val="24"/>
                <w:szCs w:val="24"/>
                <w:lang w:val="en-US"/>
              </w:rPr>
            </w:pPr>
          </w:p>
          <w:p w:rsidR="007326D3" w:rsidRPr="00210A33" w:rsidRDefault="007326D3" w:rsidP="00346DE8">
            <w:pPr>
              <w:spacing w:line="360" w:lineRule="auto"/>
              <w:jc w:val="both"/>
              <w:rPr>
                <w:rFonts w:ascii="Arial" w:hAnsi="Arial" w:cs="Arial"/>
                <w:sz w:val="24"/>
                <w:szCs w:val="24"/>
                <w:lang w:val="en-US"/>
              </w:rPr>
            </w:pPr>
            <w:r w:rsidRPr="00210A33">
              <w:rPr>
                <w:rFonts w:ascii="Arial" w:hAnsi="Arial" w:cs="Arial"/>
                <w:sz w:val="24"/>
                <w:szCs w:val="24"/>
                <w:lang w:val="en-US"/>
              </w:rPr>
              <w:t>[2]</w:t>
            </w:r>
            <w:r w:rsidRPr="00210A33">
              <w:rPr>
                <w:rFonts w:ascii="Arial" w:hAnsi="Arial" w:cs="Arial"/>
                <w:sz w:val="24"/>
                <w:szCs w:val="24"/>
                <w:lang w:val="en-US"/>
              </w:rPr>
              <w:tab/>
              <w:t>Mr K</w:t>
            </w:r>
            <w:r>
              <w:rPr>
                <w:rFonts w:ascii="Arial" w:hAnsi="Arial" w:cs="Arial"/>
                <w:sz w:val="24"/>
                <w:szCs w:val="24"/>
                <w:lang w:val="en-US"/>
              </w:rPr>
              <w:t>hu</w:t>
            </w:r>
            <w:r w:rsidRPr="00210A33">
              <w:rPr>
                <w:rFonts w:ascii="Arial" w:hAnsi="Arial" w:cs="Arial"/>
                <w:sz w:val="24"/>
                <w:szCs w:val="24"/>
                <w:lang w:val="en-US"/>
              </w:rPr>
              <w:t xml:space="preserve">pe’s Affidavit attaches the contract of Mr Haufiku and it shows that his contract </w:t>
            </w:r>
            <w:r w:rsidRPr="00210A33">
              <w:rPr>
                <w:rFonts w:ascii="Arial" w:hAnsi="Arial" w:cs="Arial"/>
                <w:sz w:val="24"/>
                <w:szCs w:val="24"/>
                <w:lang w:val="en-US"/>
              </w:rPr>
              <w:tab/>
              <w:t xml:space="preserve">came to an end on 17 September 2020. The filing of Defendant’s plea was on 30 </w:t>
            </w:r>
            <w:r w:rsidRPr="00210A33">
              <w:rPr>
                <w:rFonts w:ascii="Arial" w:hAnsi="Arial" w:cs="Arial"/>
                <w:sz w:val="24"/>
                <w:szCs w:val="24"/>
                <w:lang w:val="en-US"/>
              </w:rPr>
              <w:tab/>
              <w:t xml:space="preserve">September 2019. The plaintiff thus were afforded 2 months to file discovery affidavits </w:t>
            </w:r>
            <w:r w:rsidRPr="00210A33">
              <w:rPr>
                <w:rFonts w:ascii="Arial" w:hAnsi="Arial" w:cs="Arial"/>
                <w:sz w:val="24"/>
                <w:szCs w:val="24"/>
                <w:lang w:val="en-US"/>
              </w:rPr>
              <w:tab/>
              <w:t xml:space="preserve">and to exchange bundles. </w:t>
            </w:r>
            <w:proofErr w:type="spellStart"/>
            <w:r w:rsidRPr="00210A33">
              <w:rPr>
                <w:rFonts w:ascii="Arial" w:hAnsi="Arial" w:cs="Arial"/>
                <w:sz w:val="24"/>
                <w:szCs w:val="24"/>
                <w:lang w:val="en-US"/>
              </w:rPr>
              <w:t>Ms</w:t>
            </w:r>
            <w:proofErr w:type="spellEnd"/>
            <w:r w:rsidRPr="00210A33">
              <w:rPr>
                <w:rFonts w:ascii="Arial" w:hAnsi="Arial" w:cs="Arial"/>
                <w:sz w:val="24"/>
                <w:szCs w:val="24"/>
                <w:lang w:val="en-US"/>
              </w:rPr>
              <w:t xml:space="preserve"> </w:t>
            </w:r>
            <w:proofErr w:type="spellStart"/>
            <w:r w:rsidRPr="00210A33">
              <w:rPr>
                <w:rFonts w:ascii="Arial" w:hAnsi="Arial" w:cs="Arial"/>
                <w:sz w:val="24"/>
                <w:szCs w:val="24"/>
                <w:lang w:val="en-US"/>
              </w:rPr>
              <w:t>Matsi</w:t>
            </w:r>
            <w:proofErr w:type="spellEnd"/>
            <w:r w:rsidRPr="00210A33">
              <w:rPr>
                <w:rFonts w:ascii="Arial" w:hAnsi="Arial" w:cs="Arial"/>
                <w:sz w:val="24"/>
                <w:szCs w:val="24"/>
                <w:lang w:val="en-US"/>
              </w:rPr>
              <w:t xml:space="preserve"> went on leave on 9 December 2020. Mr K</w:t>
            </w:r>
            <w:r>
              <w:rPr>
                <w:rFonts w:ascii="Arial" w:hAnsi="Arial" w:cs="Arial"/>
                <w:sz w:val="24"/>
                <w:szCs w:val="24"/>
                <w:lang w:val="en-US"/>
              </w:rPr>
              <w:t>h</w:t>
            </w:r>
            <w:r w:rsidRPr="00210A33">
              <w:rPr>
                <w:rFonts w:ascii="Arial" w:hAnsi="Arial" w:cs="Arial"/>
                <w:sz w:val="24"/>
                <w:szCs w:val="24"/>
                <w:lang w:val="en-US"/>
              </w:rPr>
              <w:t xml:space="preserve">upe </w:t>
            </w:r>
            <w:r w:rsidRPr="00210A33">
              <w:rPr>
                <w:rFonts w:ascii="Arial" w:hAnsi="Arial" w:cs="Arial"/>
                <w:sz w:val="24"/>
                <w:szCs w:val="24"/>
                <w:lang w:val="en-US"/>
              </w:rPr>
              <w:tab/>
              <w:t xml:space="preserve">avers that the matter was assigned to him after the discovery affidavit was due to be </w:t>
            </w:r>
            <w:r w:rsidRPr="00210A33">
              <w:rPr>
                <w:rFonts w:ascii="Arial" w:hAnsi="Arial" w:cs="Arial"/>
                <w:sz w:val="24"/>
                <w:szCs w:val="24"/>
                <w:lang w:val="en-US"/>
              </w:rPr>
              <w:tab/>
              <w:t xml:space="preserve">filed which was on 30 November 2020. </w:t>
            </w:r>
          </w:p>
          <w:p w:rsidR="007326D3" w:rsidRPr="00210A33" w:rsidRDefault="007326D3" w:rsidP="00346DE8">
            <w:pPr>
              <w:spacing w:line="360" w:lineRule="auto"/>
              <w:ind w:left="687" w:hanging="687"/>
              <w:jc w:val="both"/>
              <w:rPr>
                <w:rFonts w:ascii="Arial" w:hAnsi="Arial" w:cs="Arial"/>
                <w:sz w:val="24"/>
                <w:szCs w:val="24"/>
                <w:lang w:val="en-US"/>
              </w:rPr>
            </w:pPr>
          </w:p>
          <w:p w:rsidR="007326D3" w:rsidRDefault="007326D3" w:rsidP="00346DE8">
            <w:pPr>
              <w:spacing w:line="360" w:lineRule="auto"/>
              <w:ind w:left="687" w:hanging="687"/>
              <w:jc w:val="both"/>
              <w:rPr>
                <w:rFonts w:ascii="Arial" w:hAnsi="Arial" w:cs="Arial"/>
                <w:sz w:val="24"/>
                <w:szCs w:val="24"/>
              </w:rPr>
            </w:pPr>
            <w:r w:rsidRPr="00210A33">
              <w:rPr>
                <w:rFonts w:ascii="Arial" w:hAnsi="Arial" w:cs="Arial"/>
                <w:sz w:val="24"/>
                <w:szCs w:val="24"/>
                <w:lang w:val="en-US"/>
              </w:rPr>
              <w:t>[3]</w:t>
            </w:r>
            <w:r w:rsidRPr="00210A33">
              <w:rPr>
                <w:rFonts w:ascii="Arial" w:hAnsi="Arial" w:cs="Arial"/>
                <w:sz w:val="24"/>
                <w:szCs w:val="24"/>
                <w:lang w:val="en-US"/>
              </w:rPr>
              <w:tab/>
            </w:r>
            <w:r w:rsidRPr="00210A33">
              <w:rPr>
                <w:rFonts w:ascii="Arial" w:hAnsi="Arial" w:cs="Arial"/>
                <w:sz w:val="24"/>
                <w:szCs w:val="24"/>
              </w:rPr>
              <w:t xml:space="preserve">Ms Matsi could indeed have attended to this matter from 30 September to 30 November 2019 and the explanation in the affidavit is that she could not assist in the timeous preparation and filing of the plaintiff’s discovery pleadings as she went on maternity leave at the relevant time. </w:t>
            </w:r>
          </w:p>
          <w:p w:rsidR="007326D3" w:rsidRDefault="007326D3" w:rsidP="00346DE8">
            <w:pPr>
              <w:spacing w:line="360" w:lineRule="auto"/>
              <w:ind w:left="687" w:hanging="687"/>
              <w:jc w:val="both"/>
              <w:rPr>
                <w:rFonts w:ascii="Arial" w:hAnsi="Arial" w:cs="Arial"/>
                <w:sz w:val="24"/>
                <w:szCs w:val="24"/>
              </w:rPr>
            </w:pPr>
          </w:p>
          <w:p w:rsidR="007326D3" w:rsidRPr="00210A33" w:rsidRDefault="007326D3" w:rsidP="00346DE8">
            <w:pPr>
              <w:spacing w:line="360" w:lineRule="auto"/>
              <w:ind w:left="687" w:hanging="687"/>
              <w:jc w:val="both"/>
              <w:rPr>
                <w:rFonts w:ascii="Arial" w:hAnsi="Arial" w:cs="Arial"/>
                <w:sz w:val="24"/>
                <w:szCs w:val="24"/>
                <w:lang w:val="en-US"/>
              </w:rPr>
            </w:pPr>
            <w:r>
              <w:rPr>
                <w:rFonts w:ascii="Arial" w:hAnsi="Arial" w:cs="Arial"/>
                <w:sz w:val="24"/>
                <w:szCs w:val="24"/>
              </w:rPr>
              <w:t>[4]</w:t>
            </w:r>
            <w:r>
              <w:rPr>
                <w:rFonts w:ascii="Arial" w:hAnsi="Arial" w:cs="Arial"/>
                <w:sz w:val="24"/>
                <w:szCs w:val="24"/>
              </w:rPr>
              <w:tab/>
            </w:r>
            <w:r w:rsidRPr="00210A33">
              <w:rPr>
                <w:rFonts w:ascii="Arial" w:hAnsi="Arial" w:cs="Arial"/>
                <w:sz w:val="24"/>
                <w:szCs w:val="24"/>
              </w:rPr>
              <w:t>In the Rule 32 (10) report it was explained to the Defendant’s L/P that she is, due to pressure in other matters, unable to assists. There was no reply to this invitation to resolve the matter amicably. There was at least an attempt made by the applicant but no effort was made by Defendant to respond</w:t>
            </w:r>
            <w:r>
              <w:rPr>
                <w:rFonts w:ascii="Arial" w:hAnsi="Arial" w:cs="Arial"/>
                <w:sz w:val="24"/>
                <w:szCs w:val="24"/>
              </w:rPr>
              <w:t>.</w:t>
            </w:r>
          </w:p>
          <w:p w:rsidR="007326D3" w:rsidRDefault="007326D3" w:rsidP="00346DE8">
            <w:pPr>
              <w:spacing w:line="360" w:lineRule="auto"/>
              <w:jc w:val="both"/>
              <w:rPr>
                <w:rFonts w:ascii="Arial" w:hAnsi="Arial" w:cs="Arial"/>
                <w:sz w:val="24"/>
                <w:szCs w:val="24"/>
                <w:lang w:val="en-US"/>
              </w:rPr>
            </w:pPr>
          </w:p>
          <w:p w:rsidR="007326D3" w:rsidRPr="00371526" w:rsidRDefault="007326D3" w:rsidP="00346DE8">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[5]      </w:t>
            </w:r>
            <w:r w:rsidRPr="00371526">
              <w:rPr>
                <w:rFonts w:ascii="Arial" w:hAnsi="Arial" w:cs="Arial"/>
                <w:sz w:val="24"/>
                <w:szCs w:val="24"/>
                <w:lang w:val="en-US"/>
              </w:rPr>
              <w:t xml:space="preserve">The plaintiff set out the prospects of success and this is challenged by the defendant </w:t>
            </w:r>
            <w:r>
              <w:rPr>
                <w:rFonts w:ascii="Arial" w:hAnsi="Arial" w:cs="Arial"/>
                <w:sz w:val="24"/>
                <w:szCs w:val="24"/>
                <w:lang w:val="en-US"/>
              </w:rPr>
              <w:tab/>
            </w:r>
            <w:r w:rsidRPr="00371526">
              <w:rPr>
                <w:rFonts w:ascii="Arial" w:hAnsi="Arial" w:cs="Arial"/>
                <w:sz w:val="24"/>
                <w:szCs w:val="24"/>
                <w:lang w:val="en-US"/>
              </w:rPr>
              <w:t xml:space="preserve">on the basis that the plaintiff failed to mention the other parties with whom it is alleged </w:t>
            </w:r>
            <w:r>
              <w:rPr>
                <w:rFonts w:ascii="Arial" w:hAnsi="Arial" w:cs="Arial"/>
                <w:sz w:val="24"/>
                <w:szCs w:val="24"/>
                <w:lang w:val="en-US"/>
              </w:rPr>
              <w:tab/>
            </w:r>
            <w:r w:rsidRPr="00371526">
              <w:rPr>
                <w:rFonts w:ascii="Arial" w:hAnsi="Arial" w:cs="Arial"/>
                <w:sz w:val="24"/>
                <w:szCs w:val="24"/>
                <w:lang w:val="en-US"/>
              </w:rPr>
              <w:t xml:space="preserve">the defendant acted in cahoots with. The plaintiff sets out its case against the </w:t>
            </w:r>
            <w:r>
              <w:rPr>
                <w:rFonts w:ascii="Arial" w:hAnsi="Arial" w:cs="Arial"/>
                <w:sz w:val="24"/>
                <w:szCs w:val="24"/>
                <w:lang w:val="en-US"/>
              </w:rPr>
              <w:tab/>
            </w:r>
            <w:r w:rsidRPr="00371526">
              <w:rPr>
                <w:rFonts w:ascii="Arial" w:hAnsi="Arial" w:cs="Arial"/>
                <w:sz w:val="24"/>
                <w:szCs w:val="24"/>
                <w:lang w:val="en-US"/>
              </w:rPr>
              <w:t xml:space="preserve">defendant and it is not evident from the pleading that it relies on common purpose. </w:t>
            </w:r>
            <w:r>
              <w:rPr>
                <w:rFonts w:ascii="Arial" w:hAnsi="Arial" w:cs="Arial"/>
                <w:sz w:val="24"/>
                <w:szCs w:val="24"/>
                <w:lang w:val="en-US"/>
              </w:rPr>
              <w:tab/>
            </w:r>
            <w:r w:rsidRPr="00371526">
              <w:rPr>
                <w:rFonts w:ascii="Arial" w:hAnsi="Arial" w:cs="Arial"/>
                <w:sz w:val="24"/>
                <w:szCs w:val="24"/>
                <w:lang w:val="en-US"/>
              </w:rPr>
              <w:t xml:space="preserve">The claim furthermore relates to recovery of public funds and this is a factor the court </w:t>
            </w:r>
            <w:r>
              <w:rPr>
                <w:rFonts w:ascii="Arial" w:hAnsi="Arial" w:cs="Arial"/>
                <w:sz w:val="24"/>
                <w:szCs w:val="24"/>
                <w:lang w:val="en-US"/>
              </w:rPr>
              <w:tab/>
            </w:r>
            <w:r w:rsidRPr="00371526">
              <w:rPr>
                <w:rFonts w:ascii="Arial" w:hAnsi="Arial" w:cs="Arial"/>
                <w:sz w:val="24"/>
                <w:szCs w:val="24"/>
                <w:lang w:val="en-US"/>
              </w:rPr>
              <w:t>must consider.</w:t>
            </w:r>
          </w:p>
          <w:p w:rsidR="007326D3" w:rsidRDefault="007326D3" w:rsidP="00346DE8">
            <w:pPr>
              <w:spacing w:line="360" w:lineRule="auto"/>
              <w:jc w:val="both"/>
              <w:rPr>
                <w:rFonts w:ascii="Arial" w:hAnsi="Arial" w:cs="Arial"/>
                <w:sz w:val="24"/>
                <w:szCs w:val="24"/>
                <w:lang w:val="en-US"/>
              </w:rPr>
            </w:pPr>
          </w:p>
          <w:p w:rsidR="007326D3" w:rsidRDefault="007326D3" w:rsidP="00E45C1E">
            <w:pPr>
              <w:tabs>
                <w:tab w:val="left" w:pos="679"/>
              </w:tabs>
              <w:spacing w:line="360" w:lineRule="auto"/>
              <w:jc w:val="both"/>
              <w:rPr>
                <w:rFonts w:ascii="Arial" w:hAnsi="Arial" w:cs="Arial"/>
                <w:sz w:val="24"/>
                <w:szCs w:val="24"/>
                <w:lang w:val="en-US"/>
              </w:rPr>
            </w:pPr>
            <w:r>
              <w:rPr>
                <w:rFonts w:ascii="Arial" w:hAnsi="Arial" w:cs="Arial"/>
                <w:sz w:val="24"/>
                <w:szCs w:val="24"/>
                <w:lang w:val="en-US"/>
              </w:rPr>
              <w:t xml:space="preserve">[6]    </w:t>
            </w:r>
            <w:r w:rsidRPr="0036020A">
              <w:rPr>
                <w:rFonts w:ascii="Arial" w:hAnsi="Arial" w:cs="Arial"/>
                <w:sz w:val="24"/>
                <w:szCs w:val="24"/>
                <w:lang w:val="en-US"/>
              </w:rPr>
              <w:t xml:space="preserve">I am satisfied that there is no mala fides on the part of the plaintiff. </w:t>
            </w:r>
            <w:r w:rsidR="00346DE8" w:rsidRPr="0036020A">
              <w:rPr>
                <w:rFonts w:ascii="Arial" w:hAnsi="Arial" w:cs="Arial"/>
                <w:sz w:val="24"/>
                <w:szCs w:val="24"/>
                <w:lang w:val="en-US"/>
              </w:rPr>
              <w:t xml:space="preserve">Not setting a </w:t>
            </w:r>
            <w:r w:rsidR="00346DE8">
              <w:rPr>
                <w:rFonts w:ascii="Arial" w:hAnsi="Arial" w:cs="Arial"/>
                <w:sz w:val="24"/>
                <w:szCs w:val="24"/>
                <w:lang w:val="en-US"/>
              </w:rPr>
              <w:t xml:space="preserve">               </w:t>
            </w:r>
            <w:r w:rsidR="00BB5660">
              <w:rPr>
                <w:rFonts w:ascii="Arial" w:hAnsi="Arial" w:cs="Arial"/>
                <w:sz w:val="24"/>
                <w:szCs w:val="24"/>
                <w:lang w:val="en-US"/>
              </w:rPr>
              <w:tab/>
            </w:r>
            <w:r w:rsidR="00346DE8" w:rsidRPr="0036020A">
              <w:rPr>
                <w:rFonts w:ascii="Arial" w:hAnsi="Arial" w:cs="Arial"/>
                <w:sz w:val="24"/>
                <w:szCs w:val="24"/>
                <w:lang w:val="en-US"/>
              </w:rPr>
              <w:t xml:space="preserve">precedent, and in order to expedite the determination of the </w:t>
            </w:r>
            <w:r w:rsidR="00346DE8">
              <w:rPr>
                <w:rFonts w:ascii="Arial" w:hAnsi="Arial" w:cs="Arial"/>
                <w:sz w:val="24"/>
                <w:szCs w:val="24"/>
                <w:lang w:val="en-US"/>
              </w:rPr>
              <w:tab/>
            </w:r>
            <w:r w:rsidR="00346DE8" w:rsidRPr="0036020A">
              <w:rPr>
                <w:rFonts w:ascii="Arial" w:hAnsi="Arial" w:cs="Arial"/>
                <w:sz w:val="24"/>
                <w:szCs w:val="24"/>
                <w:lang w:val="en-US"/>
              </w:rPr>
              <w:t xml:space="preserve">real issues I am </w:t>
            </w:r>
            <w:r w:rsidR="00BB5660">
              <w:rPr>
                <w:rFonts w:ascii="Arial" w:hAnsi="Arial" w:cs="Arial"/>
                <w:sz w:val="24"/>
                <w:szCs w:val="24"/>
                <w:lang w:val="en-US"/>
              </w:rPr>
              <w:tab/>
            </w:r>
            <w:r w:rsidR="00346DE8" w:rsidRPr="0036020A">
              <w:rPr>
                <w:rFonts w:ascii="Arial" w:hAnsi="Arial" w:cs="Arial"/>
                <w:sz w:val="24"/>
                <w:szCs w:val="24"/>
                <w:lang w:val="en-US"/>
              </w:rPr>
              <w:t xml:space="preserve">prepared to condone the plaintiff’s late filing of the application for condonation by a </w:t>
            </w:r>
            <w:r w:rsidR="00BB5660">
              <w:rPr>
                <w:rFonts w:ascii="Arial" w:hAnsi="Arial" w:cs="Arial"/>
                <w:sz w:val="24"/>
                <w:szCs w:val="24"/>
                <w:lang w:val="en-US"/>
              </w:rPr>
              <w:tab/>
            </w:r>
            <w:r w:rsidR="00346DE8" w:rsidRPr="0036020A">
              <w:rPr>
                <w:rFonts w:ascii="Arial" w:hAnsi="Arial" w:cs="Arial"/>
                <w:sz w:val="24"/>
                <w:szCs w:val="24"/>
                <w:lang w:val="en-US"/>
              </w:rPr>
              <w:t xml:space="preserve">day. The delay in bringing the application was not inordinate and for non-compliance </w:t>
            </w:r>
            <w:r w:rsidR="00BB5660">
              <w:rPr>
                <w:rFonts w:ascii="Arial" w:hAnsi="Arial" w:cs="Arial"/>
                <w:sz w:val="24"/>
                <w:szCs w:val="24"/>
                <w:lang w:val="en-US"/>
              </w:rPr>
              <w:tab/>
            </w:r>
            <w:r w:rsidR="00346DE8" w:rsidRPr="0036020A">
              <w:rPr>
                <w:rFonts w:ascii="Arial" w:hAnsi="Arial" w:cs="Arial"/>
                <w:sz w:val="24"/>
                <w:szCs w:val="24"/>
                <w:lang w:val="en-US"/>
              </w:rPr>
              <w:t xml:space="preserve">with Rule 32(10). </w:t>
            </w:r>
            <w:r w:rsidRPr="0036020A">
              <w:rPr>
                <w:rFonts w:ascii="Arial" w:hAnsi="Arial" w:cs="Arial"/>
                <w:sz w:val="24"/>
                <w:szCs w:val="24"/>
                <w:lang w:val="en-US"/>
              </w:rPr>
              <w:t xml:space="preserve">I am of the view that the prejudice herein would be addressed by an </w:t>
            </w:r>
            <w:r>
              <w:rPr>
                <w:rFonts w:ascii="Arial" w:hAnsi="Arial" w:cs="Arial"/>
                <w:sz w:val="24"/>
                <w:szCs w:val="24"/>
                <w:lang w:val="en-US"/>
              </w:rPr>
              <w:tab/>
            </w:r>
            <w:r w:rsidRPr="0036020A">
              <w:rPr>
                <w:rFonts w:ascii="Arial" w:hAnsi="Arial" w:cs="Arial"/>
                <w:sz w:val="24"/>
                <w:szCs w:val="24"/>
                <w:lang w:val="en-US"/>
              </w:rPr>
              <w:t>appropriate cost order</w:t>
            </w:r>
            <w:r>
              <w:rPr>
                <w:rFonts w:ascii="Arial" w:hAnsi="Arial" w:cs="Arial"/>
                <w:sz w:val="24"/>
                <w:szCs w:val="24"/>
                <w:lang w:val="en-US"/>
              </w:rPr>
              <w:t>.</w:t>
            </w:r>
          </w:p>
          <w:p w:rsidR="007326D3" w:rsidRDefault="007326D3" w:rsidP="00346DE8">
            <w:pPr>
              <w:tabs>
                <w:tab w:val="left" w:pos="589"/>
                <w:tab w:val="left" w:pos="679"/>
              </w:tabs>
              <w:spacing w:line="360" w:lineRule="auto"/>
              <w:ind w:left="507" w:hanging="507"/>
              <w:jc w:val="both"/>
              <w:rPr>
                <w:rFonts w:ascii="Arial" w:hAnsi="Arial" w:cs="Arial"/>
                <w:sz w:val="24"/>
                <w:szCs w:val="24"/>
                <w:lang w:val="en-US"/>
              </w:rPr>
            </w:pPr>
          </w:p>
          <w:p w:rsidR="007326D3" w:rsidRDefault="007326D3" w:rsidP="00346DE8">
            <w:pPr>
              <w:spacing w:line="360" w:lineRule="auto"/>
              <w:jc w:val="both"/>
              <w:rPr>
                <w:rFonts w:ascii="Arial" w:hAnsi="Arial" w:cs="Arial"/>
                <w:sz w:val="24"/>
                <w:szCs w:val="24"/>
                <w:lang w:val="en-US"/>
              </w:rPr>
            </w:pPr>
            <w:r>
              <w:rPr>
                <w:rFonts w:ascii="Arial" w:hAnsi="Arial" w:cs="Arial"/>
                <w:sz w:val="24"/>
                <w:szCs w:val="24"/>
                <w:lang w:val="en-US"/>
              </w:rPr>
              <w:t xml:space="preserve">[7]   </w:t>
            </w:r>
            <w:r>
              <w:rPr>
                <w:rFonts w:ascii="Arial" w:hAnsi="Arial" w:cs="Arial"/>
                <w:sz w:val="24"/>
                <w:szCs w:val="24"/>
                <w:lang w:val="en-US"/>
              </w:rPr>
              <w:tab/>
            </w:r>
            <w:r w:rsidR="00346DE8">
              <w:rPr>
                <w:rFonts w:ascii="Arial" w:hAnsi="Arial" w:cs="Arial"/>
                <w:sz w:val="24"/>
                <w:szCs w:val="24"/>
                <w:lang w:val="en-US"/>
              </w:rPr>
              <w:t>In the premise the following order is made:</w:t>
            </w:r>
            <w:r w:rsidRPr="0033735D">
              <w:rPr>
                <w:rFonts w:ascii="Arial" w:hAnsi="Arial" w:cs="Arial"/>
                <w:sz w:val="24"/>
                <w:szCs w:val="24"/>
                <w:lang w:val="en-US"/>
              </w:rPr>
              <w:t xml:space="preserve"> </w:t>
            </w:r>
          </w:p>
          <w:p w:rsidR="00346DE8" w:rsidRDefault="00346DE8" w:rsidP="00346DE8">
            <w:pPr>
              <w:spacing w:line="360" w:lineRule="auto"/>
              <w:jc w:val="both"/>
              <w:rPr>
                <w:rFonts w:ascii="Arial" w:hAnsi="Arial" w:cs="Arial"/>
                <w:sz w:val="24"/>
                <w:szCs w:val="24"/>
                <w:lang w:val="en-US"/>
              </w:rPr>
            </w:pP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Condonation is granted for the plaintiff’s non-compliance with paragraph 4 of the court’s case plan order dated 17 September 2019 relating to the parties’ discovery;</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automatic bar of the plaintiff to file its discovery affidavit is hereby uplifted;</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plaintiff is to pay the defendant’s cost of the application limited in terms of Rule 32 (11)</w:t>
            </w:r>
            <w:r w:rsidR="00194552">
              <w:rPr>
                <w:rFonts w:ascii="Arial" w:hAnsi="Arial" w:cs="Arial"/>
                <w:sz w:val="24"/>
                <w:szCs w:val="24"/>
                <w:lang w:val="en-US"/>
              </w:rPr>
              <w:t>.</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lastRenderedPageBreak/>
              <w:t>The Plaintiff must file its discovery affidavit and exchange its discovery bundle on or before 26 March 2020 ;</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The defendant is allowed to file a supplementary discovery affidavit, if any,  on or before  9 April 2020;</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 xml:space="preserve">The matter is postponed to 22 April 2020 for </w:t>
            </w:r>
            <w:r>
              <w:rPr>
                <w:rFonts w:ascii="Arial" w:hAnsi="Arial" w:cs="Arial"/>
                <w:sz w:val="24"/>
                <w:szCs w:val="24"/>
                <w:lang w:val="en-US"/>
              </w:rPr>
              <w:t>initial mediation hearing referral (reason: mediation court connected)</w:t>
            </w:r>
          </w:p>
          <w:p w:rsidR="00346DE8" w:rsidRPr="003271C2" w:rsidRDefault="00346DE8" w:rsidP="00346DE8">
            <w:pPr>
              <w:numPr>
                <w:ilvl w:val="0"/>
                <w:numId w:val="3"/>
              </w:numPr>
              <w:spacing w:line="360" w:lineRule="auto"/>
              <w:contextualSpacing/>
              <w:jc w:val="both"/>
              <w:rPr>
                <w:rFonts w:ascii="Arial" w:hAnsi="Arial" w:cs="Arial"/>
                <w:sz w:val="24"/>
                <w:szCs w:val="24"/>
                <w:lang w:val="en-US"/>
              </w:rPr>
            </w:pPr>
            <w:r w:rsidRPr="003271C2">
              <w:rPr>
                <w:rFonts w:ascii="Arial" w:hAnsi="Arial" w:cs="Arial"/>
                <w:sz w:val="24"/>
                <w:szCs w:val="24"/>
                <w:lang w:val="en-US"/>
              </w:rPr>
              <w:t xml:space="preserve">The parties must file a joint case management conference report on or before 17 April 2020. </w:t>
            </w:r>
          </w:p>
          <w:p w:rsidR="00346DE8" w:rsidRPr="0033735D" w:rsidRDefault="00346DE8" w:rsidP="00180908">
            <w:pPr>
              <w:jc w:val="both"/>
              <w:rPr>
                <w:rFonts w:ascii="Arial" w:hAnsi="Arial" w:cs="Arial"/>
                <w:sz w:val="24"/>
                <w:szCs w:val="24"/>
                <w:lang w:val="en-US"/>
              </w:rPr>
            </w:pPr>
          </w:p>
          <w:p w:rsidR="007326D3" w:rsidRPr="00375F2F" w:rsidRDefault="007326D3" w:rsidP="00180908">
            <w:pPr>
              <w:pStyle w:val="ListParagraph"/>
              <w:spacing w:line="360" w:lineRule="auto"/>
              <w:ind w:left="1317" w:hanging="1194"/>
              <w:jc w:val="both"/>
              <w:rPr>
                <w:rFonts w:ascii="Arial" w:hAnsi="Arial" w:cs="Arial"/>
                <w:sz w:val="24"/>
                <w:szCs w:val="24"/>
                <w:lang w:val="en-US"/>
              </w:rPr>
            </w:pPr>
          </w:p>
        </w:tc>
      </w:tr>
      <w:tr w:rsidR="007326D3" w:rsidRPr="00630B28" w:rsidTr="00180908">
        <w:tc>
          <w:tcPr>
            <w:tcW w:w="4950" w:type="dxa"/>
            <w:gridSpan w:val="2"/>
          </w:tcPr>
          <w:p w:rsidR="007326D3" w:rsidRPr="00630B28" w:rsidRDefault="007326D3" w:rsidP="00180908">
            <w:pPr>
              <w:spacing w:line="360" w:lineRule="auto"/>
              <w:jc w:val="center"/>
              <w:rPr>
                <w:rFonts w:ascii="Arial" w:hAnsi="Arial" w:cs="Arial"/>
                <w:b/>
                <w:sz w:val="24"/>
                <w:szCs w:val="24"/>
              </w:rPr>
            </w:pPr>
            <w:r>
              <w:rPr>
                <w:rFonts w:ascii="Arial" w:hAnsi="Arial" w:cs="Arial"/>
                <w:b/>
                <w:sz w:val="24"/>
                <w:szCs w:val="24"/>
              </w:rPr>
              <w:lastRenderedPageBreak/>
              <w:t>Judges’ signature:</w:t>
            </w:r>
            <w:r>
              <w:rPr>
                <w:rFonts w:ascii="Arial" w:hAnsi="Arial" w:cs="Arial"/>
                <w:b/>
                <w:sz w:val="24"/>
                <w:szCs w:val="24"/>
              </w:rPr>
              <w:tab/>
            </w:r>
          </w:p>
        </w:tc>
        <w:tc>
          <w:tcPr>
            <w:tcW w:w="4988" w:type="dxa"/>
          </w:tcPr>
          <w:p w:rsidR="007326D3" w:rsidRPr="00630B28" w:rsidRDefault="007326D3" w:rsidP="00180908">
            <w:pPr>
              <w:spacing w:line="360" w:lineRule="auto"/>
              <w:jc w:val="center"/>
              <w:rPr>
                <w:rFonts w:ascii="Arial" w:hAnsi="Arial" w:cs="Arial"/>
                <w:b/>
                <w:sz w:val="24"/>
                <w:szCs w:val="24"/>
              </w:rPr>
            </w:pPr>
            <w:r w:rsidRPr="00630B28">
              <w:rPr>
                <w:rFonts w:ascii="Arial" w:hAnsi="Arial" w:cs="Arial"/>
                <w:b/>
                <w:sz w:val="24"/>
                <w:szCs w:val="24"/>
              </w:rPr>
              <w:t>Note to the parties:</w:t>
            </w:r>
          </w:p>
        </w:tc>
      </w:tr>
      <w:tr w:rsidR="007326D3" w:rsidRPr="00630B28" w:rsidTr="00180908">
        <w:trPr>
          <w:trHeight w:val="1114"/>
        </w:trPr>
        <w:tc>
          <w:tcPr>
            <w:tcW w:w="4950" w:type="dxa"/>
            <w:gridSpan w:val="2"/>
          </w:tcPr>
          <w:p w:rsidR="007326D3" w:rsidRPr="00630B28" w:rsidRDefault="007326D3" w:rsidP="00180908">
            <w:pPr>
              <w:spacing w:line="360" w:lineRule="auto"/>
              <w:jc w:val="both"/>
              <w:rPr>
                <w:rFonts w:ascii="Arial" w:hAnsi="Arial" w:cs="Arial"/>
                <w:sz w:val="24"/>
                <w:szCs w:val="24"/>
              </w:rPr>
            </w:pPr>
          </w:p>
          <w:p w:rsidR="007326D3" w:rsidRPr="00630B28" w:rsidRDefault="007326D3" w:rsidP="00180908">
            <w:pPr>
              <w:spacing w:line="360" w:lineRule="auto"/>
              <w:jc w:val="both"/>
              <w:rPr>
                <w:rFonts w:ascii="Arial" w:hAnsi="Arial" w:cs="Arial"/>
                <w:sz w:val="24"/>
                <w:szCs w:val="24"/>
              </w:rPr>
            </w:pPr>
          </w:p>
          <w:p w:rsidR="007326D3" w:rsidRPr="00630B28" w:rsidRDefault="007326D3" w:rsidP="00180908">
            <w:pPr>
              <w:spacing w:line="360" w:lineRule="auto"/>
              <w:jc w:val="both"/>
              <w:rPr>
                <w:rFonts w:ascii="Arial" w:hAnsi="Arial" w:cs="Arial"/>
                <w:sz w:val="24"/>
                <w:szCs w:val="24"/>
              </w:rPr>
            </w:pPr>
          </w:p>
        </w:tc>
        <w:tc>
          <w:tcPr>
            <w:tcW w:w="4988" w:type="dxa"/>
          </w:tcPr>
          <w:p w:rsidR="007326D3" w:rsidRPr="00630B28" w:rsidRDefault="007326D3" w:rsidP="00180908">
            <w:pPr>
              <w:spacing w:line="360" w:lineRule="auto"/>
              <w:jc w:val="both"/>
              <w:rPr>
                <w:rFonts w:ascii="Arial" w:hAnsi="Arial" w:cs="Arial"/>
                <w:sz w:val="24"/>
                <w:szCs w:val="24"/>
              </w:rPr>
            </w:pPr>
            <w:r w:rsidRPr="009D777F">
              <w:rPr>
                <w:rFonts w:ascii="Arial" w:hAnsi="Arial" w:cs="Arial"/>
                <w:sz w:val="24"/>
                <w:szCs w:val="24"/>
              </w:rPr>
              <w:t xml:space="preserve">These </w:t>
            </w:r>
            <w:r>
              <w:rPr>
                <w:rFonts w:ascii="Arial" w:hAnsi="Arial" w:cs="Arial"/>
                <w:sz w:val="24"/>
                <w:szCs w:val="24"/>
              </w:rPr>
              <w:t>parties must file a draft mediation referral order for a Joint Status report.</w:t>
            </w:r>
          </w:p>
        </w:tc>
      </w:tr>
      <w:tr w:rsidR="007326D3" w:rsidRPr="00630B28" w:rsidTr="00180908">
        <w:tc>
          <w:tcPr>
            <w:tcW w:w="9938" w:type="dxa"/>
            <w:gridSpan w:val="3"/>
          </w:tcPr>
          <w:p w:rsidR="007326D3" w:rsidRPr="00630B28" w:rsidRDefault="007326D3" w:rsidP="00180908">
            <w:pPr>
              <w:spacing w:line="360" w:lineRule="auto"/>
              <w:jc w:val="center"/>
              <w:rPr>
                <w:rFonts w:ascii="Arial" w:hAnsi="Arial" w:cs="Arial"/>
                <w:b/>
                <w:sz w:val="24"/>
                <w:szCs w:val="24"/>
              </w:rPr>
            </w:pPr>
            <w:r w:rsidRPr="00630B28">
              <w:rPr>
                <w:rFonts w:ascii="Arial" w:hAnsi="Arial" w:cs="Arial"/>
                <w:b/>
                <w:sz w:val="24"/>
                <w:szCs w:val="24"/>
              </w:rPr>
              <w:t>Counsel:</w:t>
            </w:r>
          </w:p>
        </w:tc>
      </w:tr>
      <w:tr w:rsidR="007326D3" w:rsidRPr="00630B28" w:rsidTr="00180908">
        <w:tc>
          <w:tcPr>
            <w:tcW w:w="4950" w:type="dxa"/>
            <w:gridSpan w:val="2"/>
          </w:tcPr>
          <w:p w:rsidR="007326D3" w:rsidRPr="00630B28" w:rsidRDefault="007326D3" w:rsidP="00180908">
            <w:pPr>
              <w:spacing w:line="360" w:lineRule="auto"/>
              <w:jc w:val="center"/>
              <w:rPr>
                <w:rFonts w:ascii="Arial" w:hAnsi="Arial" w:cs="Arial"/>
                <w:b/>
                <w:sz w:val="24"/>
                <w:szCs w:val="24"/>
              </w:rPr>
            </w:pPr>
            <w:r w:rsidRPr="00630B28">
              <w:rPr>
                <w:rFonts w:ascii="Arial" w:hAnsi="Arial" w:cs="Arial"/>
                <w:b/>
                <w:sz w:val="24"/>
                <w:szCs w:val="24"/>
              </w:rPr>
              <w:t>Applicant</w:t>
            </w:r>
          </w:p>
        </w:tc>
        <w:tc>
          <w:tcPr>
            <w:tcW w:w="4988" w:type="dxa"/>
          </w:tcPr>
          <w:p w:rsidR="007326D3" w:rsidRPr="00630B28" w:rsidRDefault="007326D3" w:rsidP="00180908">
            <w:pPr>
              <w:spacing w:line="360" w:lineRule="auto"/>
              <w:jc w:val="center"/>
              <w:rPr>
                <w:rFonts w:ascii="Arial" w:hAnsi="Arial" w:cs="Arial"/>
                <w:b/>
                <w:sz w:val="24"/>
                <w:szCs w:val="24"/>
              </w:rPr>
            </w:pPr>
            <w:r w:rsidRPr="00630B28">
              <w:rPr>
                <w:rFonts w:ascii="Arial" w:hAnsi="Arial" w:cs="Arial"/>
                <w:b/>
                <w:sz w:val="24"/>
                <w:szCs w:val="24"/>
              </w:rPr>
              <w:t>Respondent</w:t>
            </w:r>
          </w:p>
        </w:tc>
      </w:tr>
      <w:tr w:rsidR="007326D3" w:rsidRPr="00630B28" w:rsidTr="00180908">
        <w:tc>
          <w:tcPr>
            <w:tcW w:w="4950" w:type="dxa"/>
            <w:gridSpan w:val="2"/>
          </w:tcPr>
          <w:p w:rsidR="007326D3" w:rsidRPr="009B0CBE" w:rsidRDefault="00346DE8" w:rsidP="00180908">
            <w:pPr>
              <w:spacing w:line="360" w:lineRule="auto"/>
              <w:jc w:val="center"/>
              <w:rPr>
                <w:rFonts w:ascii="Arial" w:hAnsi="Arial" w:cs="Arial"/>
                <w:i/>
                <w:sz w:val="24"/>
                <w:szCs w:val="24"/>
              </w:rPr>
            </w:pPr>
            <w:r>
              <w:rPr>
                <w:rFonts w:ascii="Arial" w:hAnsi="Arial" w:cs="Arial"/>
                <w:i/>
                <w:sz w:val="24"/>
                <w:szCs w:val="24"/>
              </w:rPr>
              <w:t>Mr</w:t>
            </w:r>
            <w:r w:rsidR="007326D3">
              <w:rPr>
                <w:rFonts w:ascii="Arial" w:hAnsi="Arial" w:cs="Arial"/>
                <w:i/>
                <w:sz w:val="24"/>
                <w:szCs w:val="24"/>
              </w:rPr>
              <w:t xml:space="preserve"> M Khupe </w:t>
            </w:r>
          </w:p>
          <w:p w:rsidR="007326D3" w:rsidRDefault="007326D3" w:rsidP="00180908">
            <w:pPr>
              <w:spacing w:line="360" w:lineRule="auto"/>
              <w:jc w:val="center"/>
              <w:rPr>
                <w:rFonts w:ascii="Arial" w:hAnsi="Arial" w:cs="Arial"/>
                <w:i/>
                <w:sz w:val="24"/>
                <w:szCs w:val="24"/>
              </w:rPr>
            </w:pPr>
            <w:r w:rsidRPr="009B0CBE">
              <w:rPr>
                <w:rFonts w:ascii="Arial" w:hAnsi="Arial" w:cs="Arial"/>
                <w:i/>
                <w:sz w:val="24"/>
                <w:szCs w:val="24"/>
              </w:rPr>
              <w:t xml:space="preserve">of </w:t>
            </w:r>
          </w:p>
          <w:p w:rsidR="007326D3" w:rsidRPr="00630B28" w:rsidRDefault="007326D3" w:rsidP="00180908">
            <w:pPr>
              <w:spacing w:line="360" w:lineRule="auto"/>
              <w:jc w:val="center"/>
              <w:rPr>
                <w:rFonts w:ascii="Arial" w:hAnsi="Arial" w:cs="Arial"/>
                <w:sz w:val="24"/>
                <w:szCs w:val="24"/>
              </w:rPr>
            </w:pPr>
            <w:r>
              <w:rPr>
                <w:rFonts w:ascii="Arial" w:hAnsi="Arial" w:cs="Arial"/>
                <w:i/>
                <w:sz w:val="24"/>
                <w:szCs w:val="24"/>
              </w:rPr>
              <w:t>Government Attorney’s Office</w:t>
            </w:r>
          </w:p>
        </w:tc>
        <w:tc>
          <w:tcPr>
            <w:tcW w:w="4988" w:type="dxa"/>
          </w:tcPr>
          <w:p w:rsidR="007326D3" w:rsidRPr="00930D89" w:rsidRDefault="00346DE8" w:rsidP="00180908">
            <w:pPr>
              <w:spacing w:line="360" w:lineRule="auto"/>
              <w:jc w:val="center"/>
              <w:rPr>
                <w:rFonts w:ascii="Arial" w:hAnsi="Arial" w:cs="Arial"/>
                <w:i/>
                <w:sz w:val="24"/>
                <w:szCs w:val="24"/>
              </w:rPr>
            </w:pPr>
            <w:r>
              <w:rPr>
                <w:rFonts w:ascii="Arial" w:hAnsi="Arial" w:cs="Arial"/>
                <w:i/>
                <w:sz w:val="24"/>
                <w:szCs w:val="24"/>
              </w:rPr>
              <w:t>Mr</w:t>
            </w:r>
            <w:r w:rsidR="007326D3">
              <w:rPr>
                <w:rFonts w:ascii="Arial" w:hAnsi="Arial" w:cs="Arial"/>
                <w:i/>
                <w:sz w:val="24"/>
                <w:szCs w:val="24"/>
              </w:rPr>
              <w:t xml:space="preserve"> K Amoomo</w:t>
            </w:r>
          </w:p>
          <w:p w:rsidR="007326D3" w:rsidRDefault="007326D3" w:rsidP="00180908">
            <w:pPr>
              <w:spacing w:line="360" w:lineRule="auto"/>
              <w:jc w:val="center"/>
              <w:rPr>
                <w:rFonts w:ascii="Arial" w:hAnsi="Arial" w:cs="Arial"/>
                <w:i/>
                <w:sz w:val="24"/>
                <w:szCs w:val="24"/>
              </w:rPr>
            </w:pPr>
            <w:r w:rsidRPr="00930D89">
              <w:rPr>
                <w:rFonts w:ascii="Arial" w:hAnsi="Arial" w:cs="Arial"/>
                <w:i/>
                <w:sz w:val="24"/>
                <w:szCs w:val="24"/>
              </w:rPr>
              <w:t xml:space="preserve">of </w:t>
            </w:r>
          </w:p>
          <w:p w:rsidR="007326D3" w:rsidRPr="00630B28" w:rsidRDefault="007326D3" w:rsidP="00180908">
            <w:pPr>
              <w:spacing w:line="360" w:lineRule="auto"/>
              <w:jc w:val="center"/>
              <w:rPr>
                <w:rFonts w:ascii="Arial" w:hAnsi="Arial" w:cs="Arial"/>
                <w:sz w:val="24"/>
                <w:szCs w:val="24"/>
              </w:rPr>
            </w:pPr>
            <w:r>
              <w:rPr>
                <w:rFonts w:ascii="Arial" w:hAnsi="Arial" w:cs="Arial"/>
                <w:i/>
                <w:sz w:val="24"/>
                <w:szCs w:val="24"/>
              </w:rPr>
              <w:t>Kadhila Amoomo</w:t>
            </w:r>
            <w:r w:rsidR="00346DE8">
              <w:rPr>
                <w:rFonts w:ascii="Arial" w:hAnsi="Arial" w:cs="Arial"/>
                <w:i/>
                <w:sz w:val="24"/>
                <w:szCs w:val="24"/>
              </w:rPr>
              <w:t xml:space="preserve"> Legal Practitioners</w:t>
            </w:r>
          </w:p>
        </w:tc>
      </w:tr>
    </w:tbl>
    <w:p w:rsidR="007326D3" w:rsidRDefault="007326D3" w:rsidP="007326D3"/>
    <w:p w:rsidR="007326D3" w:rsidRDefault="007326D3" w:rsidP="007326D3"/>
    <w:p w:rsidR="007326D3" w:rsidRDefault="007326D3" w:rsidP="007326D3"/>
    <w:p w:rsidR="002B5F46" w:rsidRDefault="002B5F46"/>
    <w:sectPr w:rsidR="002B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FF"/>
    <w:multiLevelType w:val="hybridMultilevel"/>
    <w:tmpl w:val="F65E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86851"/>
    <w:multiLevelType w:val="hybridMultilevel"/>
    <w:tmpl w:val="F65E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C7FEC"/>
    <w:multiLevelType w:val="hybridMultilevel"/>
    <w:tmpl w:val="DA94EB48"/>
    <w:lvl w:ilvl="0" w:tplc="0506F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D3"/>
    <w:rsid w:val="00141676"/>
    <w:rsid w:val="00194552"/>
    <w:rsid w:val="002B5F46"/>
    <w:rsid w:val="00322003"/>
    <w:rsid w:val="003316E2"/>
    <w:rsid w:val="00346DE8"/>
    <w:rsid w:val="007326D3"/>
    <w:rsid w:val="00BB5660"/>
    <w:rsid w:val="00E4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9EE7-69D8-4002-8FC4-0A59F4B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D3"/>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D3"/>
    <w:pPr>
      <w:ind w:left="720"/>
      <w:contextualSpacing/>
    </w:pPr>
  </w:style>
  <w:style w:type="table" w:styleId="TableGrid">
    <w:name w:val="Table Grid"/>
    <w:basedOn w:val="TableNormal"/>
    <w:uiPriority w:val="39"/>
    <w:rsid w:val="007326D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0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2020-03-18T18:30:00+00:00</Judgment_x0020_Date>
    <Year xmlns="c1afb1bd-f2fb-40fd-9abb-aea55b4d7662">2020</Year>
  </documentManagement>
</p:properties>
</file>

<file path=customXml/itemProps1.xml><?xml version="1.0" encoding="utf-8"?>
<ds:datastoreItem xmlns:ds="http://schemas.openxmlformats.org/officeDocument/2006/customXml" ds:itemID="{87FDF15F-1F89-443B-9022-C70AFC27F25F}"/>
</file>

<file path=customXml/itemProps2.xml><?xml version="1.0" encoding="utf-8"?>
<ds:datastoreItem xmlns:ds="http://schemas.openxmlformats.org/officeDocument/2006/customXml" ds:itemID="{2C66B0A7-6E2A-4B76-A686-F9E1234BE2A6}"/>
</file>

<file path=customXml/itemProps3.xml><?xml version="1.0" encoding="utf-8"?>
<ds:datastoreItem xmlns:ds="http://schemas.openxmlformats.org/officeDocument/2006/customXml" ds:itemID="{A0B83CE7-2E99-4663-833B-10D8366DF68C}"/>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2020-03-20T10:41:00Z</cp:lastPrinted>
  <dcterms:created xsi:type="dcterms:W3CDTF">2020-03-24T09:06:00Z</dcterms:created>
  <dcterms:modified xsi:type="dcterms:W3CDTF">2020-03-24T09:06:00Z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