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77FC7" w:rsidRPr="00077FC7" w:rsidRDefault="00077FC7" w:rsidP="00077FC7">
      <w:pPr>
        <w:spacing w:after="0" w:line="360" w:lineRule="auto"/>
        <w:jc w:val="center"/>
        <w:rPr>
          <w:rFonts w:ascii="Arial" w:hAnsi="Arial" w:cs="Arial"/>
          <w:b/>
          <w:sz w:val="24"/>
          <w:szCs w:val="24"/>
        </w:rPr>
      </w:pPr>
      <w:r w:rsidRPr="00077FC7">
        <w:rPr>
          <w:rFonts w:ascii="Arial" w:hAnsi="Arial" w:cs="Arial"/>
          <w:b/>
          <w:noProof/>
          <w:sz w:val="24"/>
          <w:szCs w:val="24"/>
          <w:lang w:val="en-ZA" w:eastAsia="en-ZA"/>
        </w:rPr>
        <mc:AlternateContent>
          <mc:Choice Requires="wps">
            <w:drawing>
              <wp:anchor distT="0" distB="0" distL="114300" distR="114300" simplePos="0" relativeHeight="251659264" behindDoc="0" locked="0" layoutInCell="1" allowOverlap="1" wp14:anchorId="7F1A382B" wp14:editId="2BE9D2D1">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077FC7" w:rsidRDefault="00077FC7" w:rsidP="00077FC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1A382B"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Cq&#10;WKfUSwIAAJUEAAAOAAAAAAAAAAAAAAAAAC4CAABkcnMvZTJvRG9jLnhtbFBLAQItABQABgAIAAAA&#10;IQBPpHKx3wAAAAkBAAAPAAAAAAAAAAAAAAAAAKUEAABkcnMvZG93bnJldi54bWxQSwUGAAAAAAQA&#10;BADzAAAAsQUAAAAA&#10;" strokecolor="white">
                <v:textbox>
                  <w:txbxContent>
                    <w:p w:rsidR="00077FC7" w:rsidRDefault="00077FC7" w:rsidP="00077FC7">
                      <w:pPr>
                        <w:jc w:val="center"/>
                      </w:pPr>
                    </w:p>
                  </w:txbxContent>
                </v:textbox>
              </v:shape>
            </w:pict>
          </mc:Fallback>
        </mc:AlternateContent>
      </w:r>
      <w:r w:rsidRPr="00077FC7">
        <w:rPr>
          <w:rFonts w:ascii="Arial" w:hAnsi="Arial" w:cs="Arial"/>
          <w:b/>
          <w:sz w:val="24"/>
          <w:szCs w:val="24"/>
        </w:rPr>
        <w:t>REPUBLIC OF NAMIBIA</w:t>
      </w:r>
    </w:p>
    <w:p w:rsidR="00077FC7" w:rsidRPr="00077FC7" w:rsidRDefault="00077FC7" w:rsidP="00077FC7">
      <w:pPr>
        <w:spacing w:after="0" w:line="360" w:lineRule="auto"/>
        <w:jc w:val="center"/>
        <w:rPr>
          <w:rFonts w:ascii="Arial" w:hAnsi="Arial" w:cs="Arial"/>
          <w:b/>
          <w:sz w:val="28"/>
          <w:szCs w:val="32"/>
        </w:rPr>
      </w:pPr>
      <w:r w:rsidRPr="00077FC7">
        <w:rPr>
          <w:rFonts w:ascii="Arial" w:hAnsi="Arial" w:cs="Arial"/>
          <w:b/>
          <w:noProof/>
          <w:sz w:val="32"/>
          <w:szCs w:val="32"/>
          <w:lang w:val="en-ZA" w:eastAsia="en-ZA"/>
        </w:rPr>
        <w:drawing>
          <wp:inline distT="0" distB="0" distL="0" distR="0" wp14:anchorId="444965E1" wp14:editId="4ED64D4B">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rsidR="00077FC7" w:rsidRPr="00077FC7" w:rsidRDefault="00077FC7" w:rsidP="00077FC7">
      <w:pPr>
        <w:spacing w:after="0" w:line="360" w:lineRule="auto"/>
        <w:jc w:val="center"/>
        <w:rPr>
          <w:rFonts w:ascii="Arial" w:hAnsi="Arial" w:cs="Arial"/>
          <w:bCs/>
          <w:sz w:val="24"/>
          <w:szCs w:val="24"/>
        </w:rPr>
      </w:pPr>
      <w:r w:rsidRPr="00077FC7">
        <w:rPr>
          <w:rFonts w:ascii="Arial" w:hAnsi="Arial" w:cs="Arial"/>
          <w:b/>
          <w:sz w:val="24"/>
          <w:szCs w:val="24"/>
        </w:rPr>
        <w:t>HIGH COURT OF NAMIBIA MAIN DIVISION, WINDHOEK</w:t>
      </w:r>
    </w:p>
    <w:p w:rsidR="00077FC7" w:rsidRPr="00077FC7" w:rsidRDefault="00077FC7" w:rsidP="00077FC7">
      <w:pPr>
        <w:spacing w:after="0" w:line="360" w:lineRule="auto"/>
        <w:jc w:val="center"/>
        <w:rPr>
          <w:rFonts w:ascii="Arial" w:hAnsi="Arial" w:cs="Arial"/>
          <w:bCs/>
          <w:sz w:val="24"/>
          <w:szCs w:val="24"/>
        </w:rPr>
      </w:pPr>
    </w:p>
    <w:p w:rsidR="00077FC7" w:rsidRPr="00077FC7" w:rsidRDefault="00077FC7" w:rsidP="00077FC7">
      <w:pPr>
        <w:spacing w:after="0" w:line="360" w:lineRule="auto"/>
        <w:jc w:val="center"/>
        <w:rPr>
          <w:rFonts w:ascii="Arial" w:hAnsi="Arial" w:cs="Arial"/>
          <w:b/>
          <w:sz w:val="24"/>
          <w:szCs w:val="24"/>
        </w:rPr>
      </w:pPr>
      <w:r w:rsidRPr="00077FC7">
        <w:rPr>
          <w:rFonts w:ascii="Arial" w:hAnsi="Arial" w:cs="Arial"/>
          <w:b/>
          <w:sz w:val="24"/>
          <w:szCs w:val="24"/>
        </w:rPr>
        <w:t>RULING</w:t>
      </w:r>
    </w:p>
    <w:p w:rsidR="00077FC7" w:rsidRPr="00077FC7" w:rsidRDefault="00077FC7" w:rsidP="00077FC7">
      <w:pPr>
        <w:spacing w:after="0" w:line="360" w:lineRule="auto"/>
        <w:jc w:val="center"/>
        <w:rPr>
          <w:rFonts w:ascii="Arial" w:hAnsi="Arial" w:cs="Arial"/>
          <w:b/>
          <w:sz w:val="24"/>
          <w:szCs w:val="24"/>
        </w:rPr>
      </w:pPr>
    </w:p>
    <w:p w:rsidR="00077FC7" w:rsidRPr="00077FC7" w:rsidRDefault="00077FC7" w:rsidP="00077FC7">
      <w:pPr>
        <w:tabs>
          <w:tab w:val="right" w:pos="9000"/>
        </w:tabs>
        <w:spacing w:after="0" w:line="360" w:lineRule="auto"/>
        <w:jc w:val="both"/>
        <w:rPr>
          <w:rFonts w:ascii="Arial" w:hAnsi="Arial" w:cs="Arial"/>
          <w:sz w:val="24"/>
          <w:szCs w:val="24"/>
        </w:rPr>
      </w:pPr>
      <w:r w:rsidRPr="00077FC7">
        <w:rPr>
          <w:rFonts w:ascii="Arial" w:hAnsi="Arial" w:cs="Arial"/>
          <w:b/>
          <w:sz w:val="24"/>
          <w:szCs w:val="24"/>
        </w:rPr>
        <w:tab/>
      </w:r>
      <w:r w:rsidRPr="00077FC7">
        <w:rPr>
          <w:rFonts w:ascii="Arial" w:hAnsi="Arial" w:cs="Arial"/>
          <w:sz w:val="24"/>
          <w:szCs w:val="24"/>
        </w:rPr>
        <w:t>Case no: CC   03/2004</w:t>
      </w:r>
    </w:p>
    <w:p w:rsidR="00077FC7" w:rsidRPr="00077FC7" w:rsidRDefault="00077FC7" w:rsidP="00077FC7">
      <w:pPr>
        <w:spacing w:after="0" w:line="360" w:lineRule="auto"/>
        <w:jc w:val="both"/>
        <w:rPr>
          <w:rFonts w:ascii="Arial" w:hAnsi="Arial" w:cs="Arial"/>
          <w:sz w:val="24"/>
          <w:szCs w:val="24"/>
        </w:rPr>
      </w:pPr>
      <w:r w:rsidRPr="00077FC7">
        <w:rPr>
          <w:rFonts w:ascii="Arial" w:hAnsi="Arial" w:cs="Arial"/>
          <w:sz w:val="24"/>
          <w:szCs w:val="24"/>
        </w:rPr>
        <w:t>In the matter between:</w:t>
      </w:r>
    </w:p>
    <w:p w:rsidR="00077FC7" w:rsidRPr="00077FC7" w:rsidRDefault="00077FC7" w:rsidP="00077FC7">
      <w:pPr>
        <w:spacing w:after="0" w:line="360" w:lineRule="auto"/>
        <w:jc w:val="both"/>
        <w:rPr>
          <w:rFonts w:ascii="Arial" w:hAnsi="Arial" w:cs="Arial"/>
          <w:sz w:val="24"/>
          <w:szCs w:val="24"/>
        </w:rPr>
      </w:pPr>
    </w:p>
    <w:p w:rsidR="00077FC7" w:rsidRPr="00077FC7" w:rsidRDefault="00077FC7" w:rsidP="00077FC7">
      <w:pPr>
        <w:spacing w:after="0" w:line="360" w:lineRule="auto"/>
        <w:rPr>
          <w:rFonts w:ascii="Arial" w:hAnsi="Arial" w:cs="Arial"/>
          <w:sz w:val="24"/>
          <w:szCs w:val="24"/>
          <w:lang w:val="en-GB"/>
        </w:rPr>
      </w:pPr>
    </w:p>
    <w:p w:rsidR="00077FC7" w:rsidRPr="00077FC7" w:rsidRDefault="00077FC7" w:rsidP="00077FC7">
      <w:pPr>
        <w:spacing w:after="0" w:line="360" w:lineRule="auto"/>
        <w:rPr>
          <w:rFonts w:ascii="Arial" w:hAnsi="Arial" w:cs="Arial"/>
          <w:b/>
          <w:sz w:val="24"/>
          <w:szCs w:val="24"/>
          <w:lang w:val="en-GB"/>
        </w:rPr>
      </w:pPr>
      <w:r w:rsidRPr="00077FC7">
        <w:rPr>
          <w:rFonts w:ascii="Arial" w:hAnsi="Arial" w:cs="Arial"/>
          <w:b/>
          <w:sz w:val="24"/>
          <w:szCs w:val="24"/>
          <w:lang w:val="en-GB"/>
        </w:rPr>
        <w:t>THE STATE</w:t>
      </w:r>
      <w:r w:rsidRPr="00077FC7">
        <w:rPr>
          <w:rFonts w:ascii="Arial" w:hAnsi="Arial" w:cs="Arial"/>
          <w:b/>
          <w:sz w:val="24"/>
          <w:szCs w:val="24"/>
          <w:lang w:val="en-GB"/>
        </w:rPr>
        <w:tab/>
      </w:r>
      <w:r w:rsidRPr="00077FC7">
        <w:rPr>
          <w:rFonts w:ascii="Arial" w:hAnsi="Arial" w:cs="Arial"/>
          <w:b/>
          <w:sz w:val="24"/>
          <w:szCs w:val="24"/>
          <w:lang w:val="en-GB"/>
        </w:rPr>
        <w:tab/>
      </w:r>
      <w:r w:rsidRPr="00077FC7">
        <w:rPr>
          <w:rFonts w:ascii="Arial" w:hAnsi="Arial" w:cs="Arial"/>
          <w:b/>
          <w:sz w:val="24"/>
          <w:szCs w:val="24"/>
          <w:lang w:val="en-GB"/>
        </w:rPr>
        <w:tab/>
      </w:r>
      <w:r w:rsidRPr="00077FC7">
        <w:rPr>
          <w:rFonts w:ascii="Arial" w:hAnsi="Arial" w:cs="Arial"/>
          <w:b/>
          <w:sz w:val="24"/>
          <w:szCs w:val="24"/>
          <w:lang w:val="en-GB"/>
        </w:rPr>
        <w:tab/>
      </w:r>
      <w:r w:rsidRPr="00077FC7">
        <w:rPr>
          <w:rFonts w:ascii="Arial" w:hAnsi="Arial" w:cs="Arial"/>
          <w:b/>
          <w:sz w:val="24"/>
          <w:szCs w:val="24"/>
          <w:lang w:val="en-GB"/>
        </w:rPr>
        <w:tab/>
      </w:r>
      <w:r w:rsidRPr="00077FC7">
        <w:rPr>
          <w:rFonts w:ascii="Arial" w:hAnsi="Arial" w:cs="Arial"/>
          <w:b/>
          <w:sz w:val="24"/>
          <w:szCs w:val="24"/>
          <w:lang w:val="en-GB"/>
        </w:rPr>
        <w:tab/>
      </w:r>
      <w:r w:rsidRPr="00077FC7">
        <w:rPr>
          <w:rFonts w:ascii="Arial" w:hAnsi="Arial" w:cs="Arial"/>
          <w:b/>
          <w:sz w:val="24"/>
          <w:szCs w:val="24"/>
          <w:lang w:val="en-GB"/>
        </w:rPr>
        <w:tab/>
      </w:r>
      <w:r w:rsidRPr="00077FC7">
        <w:rPr>
          <w:rFonts w:ascii="Arial" w:hAnsi="Arial" w:cs="Arial"/>
          <w:b/>
          <w:sz w:val="24"/>
          <w:szCs w:val="24"/>
          <w:lang w:val="en-GB"/>
        </w:rPr>
        <w:tab/>
      </w:r>
      <w:r w:rsidRPr="00077FC7">
        <w:rPr>
          <w:rFonts w:ascii="Arial" w:hAnsi="Arial" w:cs="Arial"/>
          <w:b/>
          <w:sz w:val="24"/>
          <w:szCs w:val="24"/>
          <w:lang w:val="en-GB"/>
        </w:rPr>
        <w:tab/>
        <w:t>APPLICANT</w:t>
      </w:r>
    </w:p>
    <w:p w:rsidR="00077FC7" w:rsidRPr="00077FC7" w:rsidRDefault="00077FC7" w:rsidP="00077FC7">
      <w:pPr>
        <w:spacing w:after="0" w:line="360" w:lineRule="auto"/>
        <w:jc w:val="both"/>
        <w:rPr>
          <w:rFonts w:ascii="Arial" w:hAnsi="Arial" w:cs="Arial"/>
          <w:sz w:val="24"/>
          <w:szCs w:val="24"/>
        </w:rPr>
      </w:pPr>
    </w:p>
    <w:p w:rsidR="00077FC7" w:rsidRPr="00077FC7" w:rsidRDefault="00077FC7" w:rsidP="00077FC7">
      <w:pPr>
        <w:spacing w:after="0" w:line="360" w:lineRule="auto"/>
        <w:jc w:val="both"/>
        <w:rPr>
          <w:rFonts w:ascii="Arial" w:hAnsi="Arial" w:cs="Arial"/>
          <w:sz w:val="24"/>
          <w:szCs w:val="24"/>
        </w:rPr>
      </w:pPr>
      <w:r w:rsidRPr="00077FC7">
        <w:rPr>
          <w:rFonts w:ascii="Arial" w:hAnsi="Arial" w:cs="Arial"/>
          <w:sz w:val="24"/>
          <w:szCs w:val="24"/>
        </w:rPr>
        <w:t>v</w:t>
      </w:r>
    </w:p>
    <w:p w:rsidR="00077FC7" w:rsidRPr="00077FC7" w:rsidRDefault="00077FC7" w:rsidP="00077FC7">
      <w:pPr>
        <w:spacing w:after="0" w:line="360" w:lineRule="auto"/>
        <w:jc w:val="both"/>
        <w:rPr>
          <w:rFonts w:ascii="Arial" w:hAnsi="Arial" w:cs="Arial"/>
          <w:sz w:val="24"/>
          <w:szCs w:val="24"/>
        </w:rPr>
      </w:pPr>
    </w:p>
    <w:p w:rsidR="00077FC7" w:rsidRPr="00077FC7" w:rsidRDefault="00077FC7" w:rsidP="00077FC7">
      <w:pPr>
        <w:keepNext/>
        <w:tabs>
          <w:tab w:val="right" w:pos="9000"/>
        </w:tabs>
        <w:spacing w:after="0" w:line="360" w:lineRule="auto"/>
        <w:jc w:val="both"/>
        <w:outlineLvl w:val="3"/>
        <w:rPr>
          <w:rFonts w:ascii="Arial" w:eastAsia="Times New Roman" w:hAnsi="Arial" w:cs="Arial"/>
          <w:b/>
          <w:sz w:val="24"/>
          <w:szCs w:val="24"/>
          <w:lang w:val="en-GB"/>
        </w:rPr>
      </w:pPr>
      <w:r w:rsidRPr="00077FC7">
        <w:rPr>
          <w:rFonts w:ascii="Arial" w:eastAsia="Times New Roman" w:hAnsi="Arial" w:cs="Arial"/>
          <w:b/>
          <w:sz w:val="24"/>
          <w:szCs w:val="24"/>
          <w:lang w:val="en-GB"/>
        </w:rPr>
        <w:t>PROGRESS KENYOKA MUNUMA</w:t>
      </w:r>
      <w:r w:rsidRPr="00077FC7">
        <w:rPr>
          <w:rFonts w:ascii="Arial" w:eastAsia="Times New Roman" w:hAnsi="Arial" w:cs="Arial"/>
          <w:b/>
          <w:sz w:val="24"/>
          <w:szCs w:val="24"/>
          <w:lang w:val="en-GB"/>
        </w:rPr>
        <w:tab/>
        <w:t>1</w:t>
      </w:r>
      <w:r w:rsidRPr="00077FC7">
        <w:rPr>
          <w:rFonts w:ascii="Arial" w:eastAsia="Times New Roman" w:hAnsi="Arial" w:cs="Arial"/>
          <w:b/>
          <w:sz w:val="24"/>
          <w:szCs w:val="24"/>
          <w:vertAlign w:val="superscript"/>
          <w:lang w:val="en-GB"/>
        </w:rPr>
        <w:t>ST</w:t>
      </w:r>
      <w:r w:rsidRPr="00077FC7">
        <w:rPr>
          <w:rFonts w:ascii="Arial" w:eastAsia="Times New Roman" w:hAnsi="Arial" w:cs="Arial"/>
          <w:b/>
          <w:sz w:val="24"/>
          <w:szCs w:val="24"/>
          <w:lang w:val="en-GB"/>
        </w:rPr>
        <w:t xml:space="preserve"> RESPONDENT</w:t>
      </w:r>
    </w:p>
    <w:p w:rsidR="00077FC7" w:rsidRPr="00077FC7" w:rsidRDefault="00077FC7" w:rsidP="00077FC7">
      <w:pPr>
        <w:keepNext/>
        <w:tabs>
          <w:tab w:val="right" w:pos="9000"/>
        </w:tabs>
        <w:spacing w:after="0" w:line="360" w:lineRule="auto"/>
        <w:jc w:val="both"/>
        <w:outlineLvl w:val="3"/>
        <w:rPr>
          <w:rFonts w:ascii="Arial" w:eastAsia="Times New Roman" w:hAnsi="Arial" w:cs="Arial"/>
          <w:b/>
          <w:sz w:val="24"/>
          <w:szCs w:val="24"/>
          <w:lang w:val="en-GB"/>
        </w:rPr>
      </w:pPr>
      <w:r w:rsidRPr="00077FC7">
        <w:rPr>
          <w:rFonts w:ascii="Arial" w:eastAsia="Times New Roman" w:hAnsi="Arial" w:cs="Arial"/>
          <w:b/>
          <w:sz w:val="24"/>
          <w:szCs w:val="24"/>
          <w:lang w:val="en-GB"/>
        </w:rPr>
        <w:t>SHINE SAMULANDELA SAMULANDELA</w:t>
      </w:r>
      <w:r w:rsidRPr="00077FC7">
        <w:rPr>
          <w:rFonts w:ascii="Arial" w:eastAsia="Times New Roman" w:hAnsi="Arial" w:cs="Arial"/>
          <w:b/>
          <w:sz w:val="24"/>
          <w:szCs w:val="24"/>
          <w:lang w:val="en-GB"/>
        </w:rPr>
        <w:tab/>
        <w:t>2</w:t>
      </w:r>
      <w:r w:rsidRPr="00077FC7">
        <w:rPr>
          <w:rFonts w:ascii="Arial" w:eastAsia="Times New Roman" w:hAnsi="Arial" w:cs="Arial"/>
          <w:b/>
          <w:sz w:val="24"/>
          <w:szCs w:val="24"/>
          <w:vertAlign w:val="superscript"/>
          <w:lang w:val="en-GB"/>
        </w:rPr>
        <w:t>ND</w:t>
      </w:r>
      <w:r w:rsidRPr="00077FC7">
        <w:rPr>
          <w:rFonts w:ascii="Arial" w:eastAsia="Times New Roman" w:hAnsi="Arial" w:cs="Arial"/>
          <w:b/>
          <w:sz w:val="24"/>
          <w:szCs w:val="24"/>
          <w:lang w:val="en-GB"/>
        </w:rPr>
        <w:t xml:space="preserve"> RESPONDENT</w:t>
      </w:r>
    </w:p>
    <w:p w:rsidR="00077FC7" w:rsidRPr="00077FC7" w:rsidRDefault="00077FC7" w:rsidP="00077FC7">
      <w:pPr>
        <w:keepNext/>
        <w:tabs>
          <w:tab w:val="right" w:pos="9000"/>
        </w:tabs>
        <w:spacing w:after="0" w:line="360" w:lineRule="auto"/>
        <w:jc w:val="both"/>
        <w:outlineLvl w:val="3"/>
        <w:rPr>
          <w:rFonts w:ascii="Arial" w:eastAsia="Times New Roman" w:hAnsi="Arial" w:cs="Arial"/>
          <w:b/>
          <w:sz w:val="24"/>
          <w:szCs w:val="24"/>
          <w:lang w:val="en-GB"/>
        </w:rPr>
      </w:pPr>
      <w:r w:rsidRPr="00077FC7">
        <w:rPr>
          <w:rFonts w:ascii="Arial" w:eastAsia="Times New Roman" w:hAnsi="Arial" w:cs="Arial"/>
          <w:b/>
          <w:sz w:val="24"/>
          <w:szCs w:val="24"/>
          <w:lang w:val="en-GB"/>
        </w:rPr>
        <w:t>MANUEL MANEPELO MAKENDANO</w:t>
      </w:r>
      <w:r w:rsidRPr="00077FC7">
        <w:rPr>
          <w:rFonts w:ascii="Arial" w:eastAsia="Times New Roman" w:hAnsi="Arial" w:cs="Arial"/>
          <w:b/>
          <w:sz w:val="24"/>
          <w:szCs w:val="24"/>
          <w:lang w:val="en-GB"/>
        </w:rPr>
        <w:tab/>
        <w:t>3</w:t>
      </w:r>
      <w:r w:rsidRPr="00077FC7">
        <w:rPr>
          <w:rFonts w:ascii="Arial" w:eastAsia="Times New Roman" w:hAnsi="Arial" w:cs="Arial"/>
          <w:b/>
          <w:sz w:val="24"/>
          <w:szCs w:val="24"/>
          <w:vertAlign w:val="superscript"/>
          <w:lang w:val="en-GB"/>
        </w:rPr>
        <w:t>RD</w:t>
      </w:r>
      <w:r w:rsidRPr="00077FC7">
        <w:rPr>
          <w:rFonts w:ascii="Arial" w:eastAsia="Times New Roman" w:hAnsi="Arial" w:cs="Arial"/>
          <w:b/>
          <w:sz w:val="24"/>
          <w:szCs w:val="24"/>
          <w:lang w:val="en-GB"/>
        </w:rPr>
        <w:t xml:space="preserve"> RESPONDENT</w:t>
      </w:r>
    </w:p>
    <w:p w:rsidR="00077FC7" w:rsidRPr="00077FC7" w:rsidRDefault="00077FC7" w:rsidP="00077FC7">
      <w:pPr>
        <w:keepNext/>
        <w:tabs>
          <w:tab w:val="right" w:pos="9000"/>
        </w:tabs>
        <w:spacing w:after="0" w:line="360" w:lineRule="auto"/>
        <w:jc w:val="both"/>
        <w:outlineLvl w:val="3"/>
        <w:rPr>
          <w:rFonts w:ascii="Arial" w:eastAsia="Times New Roman" w:hAnsi="Arial" w:cs="Arial"/>
          <w:b/>
          <w:sz w:val="24"/>
          <w:szCs w:val="24"/>
          <w:lang w:val="en-GB"/>
        </w:rPr>
      </w:pPr>
      <w:r w:rsidRPr="00077FC7">
        <w:rPr>
          <w:rFonts w:ascii="Arial" w:eastAsia="Times New Roman" w:hAnsi="Arial" w:cs="Arial"/>
          <w:b/>
          <w:sz w:val="24"/>
          <w:szCs w:val="24"/>
          <w:lang w:val="en-GB"/>
        </w:rPr>
        <w:t>ALEX SINJABATA MUSHAKWA</w:t>
      </w:r>
      <w:r w:rsidRPr="00077FC7">
        <w:rPr>
          <w:rFonts w:ascii="Arial" w:eastAsia="Times New Roman" w:hAnsi="Arial" w:cs="Arial"/>
          <w:b/>
          <w:sz w:val="24"/>
          <w:szCs w:val="24"/>
          <w:lang w:val="en-GB"/>
        </w:rPr>
        <w:tab/>
        <w:t>4</w:t>
      </w:r>
      <w:r w:rsidRPr="00077FC7">
        <w:rPr>
          <w:rFonts w:ascii="Arial" w:eastAsia="Times New Roman" w:hAnsi="Arial" w:cs="Arial"/>
          <w:b/>
          <w:sz w:val="24"/>
          <w:szCs w:val="24"/>
          <w:vertAlign w:val="superscript"/>
          <w:lang w:val="en-GB"/>
        </w:rPr>
        <w:t>TH</w:t>
      </w:r>
      <w:r w:rsidRPr="00077FC7">
        <w:rPr>
          <w:rFonts w:ascii="Arial" w:eastAsia="Times New Roman" w:hAnsi="Arial" w:cs="Arial"/>
          <w:b/>
          <w:sz w:val="24"/>
          <w:szCs w:val="24"/>
          <w:lang w:val="en-GB"/>
        </w:rPr>
        <w:t xml:space="preserve"> RESPONDENT</w:t>
      </w:r>
    </w:p>
    <w:p w:rsidR="00077FC7" w:rsidRPr="00077FC7" w:rsidRDefault="00077FC7" w:rsidP="00077FC7">
      <w:pPr>
        <w:keepNext/>
        <w:tabs>
          <w:tab w:val="right" w:pos="9000"/>
        </w:tabs>
        <w:spacing w:after="0" w:line="360" w:lineRule="auto"/>
        <w:jc w:val="both"/>
        <w:outlineLvl w:val="3"/>
        <w:rPr>
          <w:rFonts w:ascii="Arial" w:eastAsia="Times New Roman" w:hAnsi="Arial" w:cs="Arial"/>
          <w:b/>
          <w:sz w:val="24"/>
          <w:szCs w:val="24"/>
          <w:lang w:val="en-GB"/>
        </w:rPr>
      </w:pPr>
      <w:r w:rsidRPr="00077FC7">
        <w:rPr>
          <w:rFonts w:ascii="Arial" w:eastAsia="Times New Roman" w:hAnsi="Arial" w:cs="Arial"/>
          <w:b/>
          <w:sz w:val="24"/>
          <w:szCs w:val="24"/>
          <w:lang w:val="en-GB"/>
        </w:rPr>
        <w:t>DIAMOND SAMUNZALA SALUFU</w:t>
      </w:r>
      <w:r w:rsidRPr="00077FC7">
        <w:rPr>
          <w:rFonts w:ascii="Arial" w:eastAsia="Times New Roman" w:hAnsi="Arial" w:cs="Arial"/>
          <w:b/>
          <w:sz w:val="24"/>
          <w:szCs w:val="24"/>
          <w:lang w:val="en-GB"/>
        </w:rPr>
        <w:tab/>
        <w:t>5</w:t>
      </w:r>
      <w:r w:rsidRPr="00077FC7">
        <w:rPr>
          <w:rFonts w:ascii="Arial" w:eastAsia="Times New Roman" w:hAnsi="Arial" w:cs="Arial"/>
          <w:b/>
          <w:sz w:val="24"/>
          <w:szCs w:val="24"/>
          <w:vertAlign w:val="superscript"/>
          <w:lang w:val="en-GB"/>
        </w:rPr>
        <w:t>TH</w:t>
      </w:r>
      <w:r w:rsidRPr="00077FC7">
        <w:rPr>
          <w:rFonts w:ascii="Arial" w:eastAsia="Times New Roman" w:hAnsi="Arial" w:cs="Arial"/>
          <w:b/>
          <w:sz w:val="24"/>
          <w:szCs w:val="24"/>
          <w:lang w:val="en-GB"/>
        </w:rPr>
        <w:t xml:space="preserve"> RESPONDENT</w:t>
      </w:r>
    </w:p>
    <w:p w:rsidR="00077FC7" w:rsidRPr="00077FC7" w:rsidRDefault="00077FC7" w:rsidP="00077FC7">
      <w:pPr>
        <w:keepNext/>
        <w:tabs>
          <w:tab w:val="right" w:pos="9000"/>
        </w:tabs>
        <w:spacing w:after="0" w:line="360" w:lineRule="auto"/>
        <w:jc w:val="both"/>
        <w:outlineLvl w:val="3"/>
        <w:rPr>
          <w:rFonts w:ascii="Arial" w:eastAsia="Times New Roman" w:hAnsi="Arial" w:cs="Arial"/>
          <w:b/>
          <w:sz w:val="24"/>
          <w:szCs w:val="24"/>
          <w:lang w:val="en-GB"/>
        </w:rPr>
      </w:pPr>
      <w:r w:rsidRPr="00077FC7">
        <w:rPr>
          <w:rFonts w:ascii="Arial" w:eastAsia="Times New Roman" w:hAnsi="Arial" w:cs="Arial"/>
          <w:b/>
          <w:sz w:val="24"/>
          <w:szCs w:val="24"/>
        </w:rPr>
        <w:t>FREDERICK ISAKA NTAMBILWA</w:t>
      </w:r>
      <w:r w:rsidRPr="00077FC7">
        <w:rPr>
          <w:rFonts w:ascii="Arial" w:eastAsia="Times New Roman" w:hAnsi="Arial" w:cs="Arial"/>
          <w:b/>
          <w:sz w:val="24"/>
          <w:szCs w:val="24"/>
          <w:lang w:val="en-GB"/>
        </w:rPr>
        <w:tab/>
        <w:t>6</w:t>
      </w:r>
      <w:r w:rsidRPr="00077FC7">
        <w:rPr>
          <w:rFonts w:ascii="Arial" w:eastAsia="Times New Roman" w:hAnsi="Arial" w:cs="Arial"/>
          <w:b/>
          <w:sz w:val="24"/>
          <w:szCs w:val="24"/>
          <w:vertAlign w:val="superscript"/>
          <w:lang w:val="en-GB"/>
        </w:rPr>
        <w:t>TH</w:t>
      </w:r>
      <w:r w:rsidRPr="00077FC7">
        <w:rPr>
          <w:rFonts w:ascii="Arial" w:eastAsia="Times New Roman" w:hAnsi="Arial" w:cs="Arial"/>
          <w:b/>
          <w:sz w:val="24"/>
          <w:szCs w:val="24"/>
          <w:lang w:val="en-GB"/>
        </w:rPr>
        <w:t xml:space="preserve"> RESPONDENT</w:t>
      </w:r>
    </w:p>
    <w:p w:rsidR="00077FC7" w:rsidRPr="00077FC7" w:rsidRDefault="00077FC7" w:rsidP="00077FC7">
      <w:pPr>
        <w:keepNext/>
        <w:tabs>
          <w:tab w:val="right" w:pos="9000"/>
        </w:tabs>
        <w:spacing w:after="0" w:line="360" w:lineRule="auto"/>
        <w:jc w:val="both"/>
        <w:outlineLvl w:val="3"/>
        <w:rPr>
          <w:rFonts w:ascii="Arial" w:eastAsia="Times New Roman" w:hAnsi="Arial" w:cs="Arial"/>
          <w:b/>
          <w:sz w:val="24"/>
          <w:szCs w:val="24"/>
          <w:lang w:val="en-GB"/>
        </w:rPr>
      </w:pPr>
      <w:r w:rsidRPr="00077FC7">
        <w:rPr>
          <w:rFonts w:ascii="Arial" w:eastAsia="Times New Roman" w:hAnsi="Arial" w:cs="Arial"/>
          <w:b/>
          <w:sz w:val="24"/>
          <w:szCs w:val="24"/>
          <w:lang w:val="en-GB"/>
        </w:rPr>
        <w:t>HOSTER SIMASIKU NTOMBO</w:t>
      </w:r>
      <w:r w:rsidRPr="00077FC7">
        <w:rPr>
          <w:rFonts w:ascii="Arial" w:eastAsia="Times New Roman" w:hAnsi="Arial" w:cs="Arial"/>
          <w:b/>
          <w:sz w:val="24"/>
          <w:szCs w:val="24"/>
          <w:lang w:val="en-GB"/>
        </w:rPr>
        <w:tab/>
        <w:t>7</w:t>
      </w:r>
      <w:r w:rsidRPr="00077FC7">
        <w:rPr>
          <w:rFonts w:ascii="Arial" w:eastAsia="Times New Roman" w:hAnsi="Arial" w:cs="Arial"/>
          <w:b/>
          <w:sz w:val="24"/>
          <w:szCs w:val="24"/>
          <w:vertAlign w:val="superscript"/>
          <w:lang w:val="en-GB"/>
        </w:rPr>
        <w:t>TH</w:t>
      </w:r>
      <w:r w:rsidRPr="00077FC7">
        <w:rPr>
          <w:rFonts w:ascii="Arial" w:eastAsia="Times New Roman" w:hAnsi="Arial" w:cs="Arial"/>
          <w:b/>
          <w:sz w:val="24"/>
          <w:szCs w:val="24"/>
          <w:lang w:val="en-GB"/>
        </w:rPr>
        <w:t xml:space="preserve"> RESPONDENT</w:t>
      </w:r>
    </w:p>
    <w:p w:rsidR="00077FC7" w:rsidRPr="00077FC7" w:rsidRDefault="00077FC7" w:rsidP="00077FC7">
      <w:pPr>
        <w:keepNext/>
        <w:tabs>
          <w:tab w:val="right" w:pos="9000"/>
        </w:tabs>
        <w:spacing w:after="0" w:line="360" w:lineRule="auto"/>
        <w:jc w:val="both"/>
        <w:outlineLvl w:val="3"/>
        <w:rPr>
          <w:rFonts w:ascii="Arial" w:eastAsia="Times New Roman" w:hAnsi="Arial" w:cs="Arial"/>
          <w:b/>
          <w:sz w:val="24"/>
          <w:szCs w:val="24"/>
          <w:lang w:val="en-GB"/>
        </w:rPr>
      </w:pPr>
      <w:r w:rsidRPr="00077FC7">
        <w:rPr>
          <w:rFonts w:ascii="Arial" w:eastAsia="Times New Roman" w:hAnsi="Arial" w:cs="Arial"/>
          <w:b/>
          <w:sz w:val="24"/>
          <w:szCs w:val="24"/>
          <w:lang w:val="en-GB"/>
        </w:rPr>
        <w:t>JOHN MAZILA TEMBWE</w:t>
      </w:r>
      <w:r w:rsidRPr="00077FC7">
        <w:rPr>
          <w:rFonts w:ascii="Arial" w:eastAsia="Times New Roman" w:hAnsi="Arial" w:cs="Arial"/>
          <w:b/>
          <w:sz w:val="24"/>
          <w:szCs w:val="24"/>
          <w:lang w:val="en-GB"/>
        </w:rPr>
        <w:tab/>
        <w:t>8</w:t>
      </w:r>
      <w:r w:rsidRPr="00077FC7">
        <w:rPr>
          <w:rFonts w:ascii="Arial" w:eastAsia="Times New Roman" w:hAnsi="Arial" w:cs="Arial"/>
          <w:b/>
          <w:sz w:val="24"/>
          <w:szCs w:val="24"/>
          <w:vertAlign w:val="superscript"/>
          <w:lang w:val="en-GB"/>
        </w:rPr>
        <w:t>TH</w:t>
      </w:r>
      <w:r w:rsidRPr="00077FC7">
        <w:rPr>
          <w:rFonts w:ascii="Arial" w:eastAsia="Times New Roman" w:hAnsi="Arial" w:cs="Arial"/>
          <w:b/>
          <w:sz w:val="24"/>
          <w:szCs w:val="24"/>
          <w:lang w:val="en-GB"/>
        </w:rPr>
        <w:t xml:space="preserve"> RESPONDENT</w:t>
      </w:r>
    </w:p>
    <w:p w:rsidR="00077FC7" w:rsidRPr="00077FC7" w:rsidRDefault="00077FC7" w:rsidP="00077FC7">
      <w:pPr>
        <w:keepNext/>
        <w:tabs>
          <w:tab w:val="right" w:pos="9000"/>
        </w:tabs>
        <w:spacing w:after="0" w:line="360" w:lineRule="auto"/>
        <w:jc w:val="both"/>
        <w:outlineLvl w:val="3"/>
        <w:rPr>
          <w:rFonts w:ascii="Arial" w:eastAsia="Times New Roman" w:hAnsi="Arial" w:cs="Arial"/>
          <w:sz w:val="24"/>
          <w:szCs w:val="24"/>
          <w:lang w:val="en-GB"/>
        </w:rPr>
      </w:pPr>
    </w:p>
    <w:p w:rsidR="00077FC7" w:rsidRPr="00077FC7" w:rsidRDefault="00077FC7" w:rsidP="00077FC7">
      <w:pPr>
        <w:spacing w:after="0" w:line="360" w:lineRule="auto"/>
        <w:ind w:left="2160" w:hanging="2160"/>
        <w:jc w:val="both"/>
        <w:rPr>
          <w:rFonts w:ascii="Arial" w:hAnsi="Arial" w:cs="Arial"/>
          <w:sz w:val="24"/>
          <w:szCs w:val="24"/>
        </w:rPr>
      </w:pPr>
      <w:r w:rsidRPr="00077FC7">
        <w:rPr>
          <w:rFonts w:ascii="Arial" w:hAnsi="Arial" w:cs="Arial"/>
          <w:b/>
          <w:sz w:val="24"/>
          <w:szCs w:val="24"/>
        </w:rPr>
        <w:t>Neutral citation:</w:t>
      </w:r>
      <w:r w:rsidRPr="00077FC7">
        <w:rPr>
          <w:rFonts w:ascii="Arial" w:hAnsi="Arial" w:cs="Arial"/>
          <w:b/>
          <w:sz w:val="24"/>
          <w:szCs w:val="24"/>
        </w:rPr>
        <w:tab/>
      </w:r>
      <w:r w:rsidRPr="00077FC7">
        <w:rPr>
          <w:rFonts w:ascii="Arial" w:hAnsi="Arial" w:cs="Arial"/>
          <w:i/>
          <w:sz w:val="24"/>
          <w:szCs w:val="24"/>
        </w:rPr>
        <w:t>S v</w:t>
      </w:r>
      <w:r w:rsidRPr="00077FC7">
        <w:rPr>
          <w:rFonts w:ascii="Arial" w:hAnsi="Arial" w:cs="Arial"/>
          <w:b/>
          <w:sz w:val="24"/>
          <w:szCs w:val="24"/>
        </w:rPr>
        <w:t xml:space="preserve"> </w:t>
      </w:r>
      <w:r w:rsidRPr="00077FC7">
        <w:rPr>
          <w:rFonts w:ascii="Arial" w:hAnsi="Arial" w:cs="Arial"/>
          <w:i/>
          <w:sz w:val="24"/>
          <w:szCs w:val="24"/>
        </w:rPr>
        <w:t xml:space="preserve">Munuma </w:t>
      </w:r>
      <w:r w:rsidR="0073667A">
        <w:rPr>
          <w:rFonts w:ascii="Arial" w:hAnsi="Arial" w:cs="Arial"/>
          <w:sz w:val="24"/>
          <w:szCs w:val="24"/>
        </w:rPr>
        <w:t>(CC 03/2004) [2020</w:t>
      </w:r>
      <w:r w:rsidRPr="00077FC7">
        <w:rPr>
          <w:rFonts w:ascii="Arial" w:hAnsi="Arial" w:cs="Arial"/>
          <w:sz w:val="24"/>
          <w:szCs w:val="24"/>
        </w:rPr>
        <w:t xml:space="preserve">] NAHCMD </w:t>
      </w:r>
      <w:r w:rsidR="00A20DE9">
        <w:rPr>
          <w:rFonts w:ascii="Arial" w:hAnsi="Arial" w:cs="Arial"/>
          <w:sz w:val="24"/>
          <w:szCs w:val="24"/>
        </w:rPr>
        <w:t>11</w:t>
      </w:r>
      <w:r w:rsidRPr="00077FC7">
        <w:rPr>
          <w:rFonts w:ascii="Arial" w:hAnsi="Arial" w:cs="Arial"/>
          <w:sz w:val="24"/>
          <w:szCs w:val="24"/>
        </w:rPr>
        <w:t xml:space="preserve"> (21 January 2020)</w:t>
      </w:r>
    </w:p>
    <w:p w:rsidR="00077FC7" w:rsidRPr="00077FC7" w:rsidRDefault="00077FC7" w:rsidP="00077FC7">
      <w:pPr>
        <w:spacing w:after="0" w:line="360" w:lineRule="auto"/>
        <w:jc w:val="both"/>
        <w:rPr>
          <w:rFonts w:ascii="Arial" w:hAnsi="Arial" w:cs="Arial"/>
          <w:sz w:val="24"/>
          <w:szCs w:val="24"/>
        </w:rPr>
      </w:pPr>
    </w:p>
    <w:p w:rsidR="00077FC7" w:rsidRPr="00077FC7" w:rsidRDefault="00077FC7" w:rsidP="00077FC7">
      <w:pPr>
        <w:spacing w:after="0" w:line="480" w:lineRule="auto"/>
        <w:ind w:left="1440" w:hanging="1440"/>
        <w:jc w:val="both"/>
        <w:rPr>
          <w:rFonts w:ascii="Arial" w:hAnsi="Arial" w:cs="Arial"/>
          <w:b/>
          <w:i/>
          <w:sz w:val="24"/>
          <w:szCs w:val="24"/>
        </w:rPr>
      </w:pPr>
      <w:r w:rsidRPr="00077FC7">
        <w:rPr>
          <w:rFonts w:ascii="Arial" w:hAnsi="Arial" w:cs="Arial"/>
          <w:b/>
          <w:sz w:val="24"/>
          <w:szCs w:val="24"/>
        </w:rPr>
        <w:t>Coram:</w:t>
      </w:r>
      <w:r w:rsidRPr="00077FC7">
        <w:rPr>
          <w:rFonts w:ascii="Arial" w:hAnsi="Arial" w:cs="Arial"/>
          <w:sz w:val="24"/>
          <w:szCs w:val="24"/>
        </w:rPr>
        <w:tab/>
        <w:t>UNENGU AJ</w:t>
      </w:r>
    </w:p>
    <w:p w:rsidR="00077FC7" w:rsidRPr="00077FC7" w:rsidRDefault="00077FC7" w:rsidP="00077FC7">
      <w:pPr>
        <w:spacing w:after="0" w:line="240" w:lineRule="auto"/>
        <w:ind w:left="1440" w:hanging="1440"/>
        <w:jc w:val="both"/>
        <w:rPr>
          <w:rFonts w:ascii="Arial" w:hAnsi="Arial" w:cs="Arial"/>
          <w:b/>
          <w:sz w:val="24"/>
          <w:szCs w:val="24"/>
        </w:rPr>
      </w:pPr>
      <w:r w:rsidRPr="00077FC7">
        <w:rPr>
          <w:rFonts w:ascii="Arial" w:hAnsi="Arial" w:cs="Arial"/>
          <w:b/>
          <w:bCs/>
          <w:sz w:val="24"/>
          <w:szCs w:val="24"/>
        </w:rPr>
        <w:t>Heard</w:t>
      </w:r>
      <w:r w:rsidRPr="00077FC7">
        <w:rPr>
          <w:rFonts w:ascii="Arial" w:hAnsi="Arial" w:cs="Arial"/>
          <w:sz w:val="24"/>
          <w:szCs w:val="24"/>
        </w:rPr>
        <w:t>:</w:t>
      </w:r>
      <w:r w:rsidRPr="00077FC7">
        <w:rPr>
          <w:rFonts w:ascii="Arial" w:hAnsi="Arial" w:cs="Arial"/>
          <w:sz w:val="24"/>
          <w:szCs w:val="24"/>
        </w:rPr>
        <w:tab/>
      </w:r>
      <w:r w:rsidR="000230D9">
        <w:rPr>
          <w:rFonts w:ascii="Arial" w:hAnsi="Arial" w:cs="Arial"/>
          <w:b/>
          <w:sz w:val="24"/>
          <w:szCs w:val="24"/>
        </w:rPr>
        <w:t>1</w:t>
      </w:r>
      <w:r w:rsidR="00AE0683">
        <w:rPr>
          <w:rFonts w:ascii="Arial" w:hAnsi="Arial" w:cs="Arial"/>
          <w:b/>
          <w:sz w:val="24"/>
          <w:szCs w:val="24"/>
        </w:rPr>
        <w:t>7 October 2019</w:t>
      </w:r>
      <w:r w:rsidR="000230D9">
        <w:rPr>
          <w:rFonts w:ascii="Arial" w:hAnsi="Arial" w:cs="Arial"/>
          <w:b/>
          <w:sz w:val="24"/>
          <w:szCs w:val="24"/>
        </w:rPr>
        <w:t xml:space="preserve"> – </w:t>
      </w:r>
      <w:r w:rsidRPr="00077FC7">
        <w:rPr>
          <w:rFonts w:ascii="Arial" w:hAnsi="Arial" w:cs="Arial"/>
          <w:b/>
          <w:sz w:val="24"/>
          <w:szCs w:val="24"/>
        </w:rPr>
        <w:t>1</w:t>
      </w:r>
      <w:r w:rsidR="000230D9">
        <w:rPr>
          <w:rFonts w:ascii="Arial" w:hAnsi="Arial" w:cs="Arial"/>
          <w:b/>
          <w:sz w:val="24"/>
          <w:szCs w:val="24"/>
        </w:rPr>
        <w:t>8</w:t>
      </w:r>
      <w:r w:rsidRPr="00077FC7">
        <w:rPr>
          <w:rFonts w:ascii="Arial" w:hAnsi="Arial" w:cs="Arial"/>
          <w:b/>
          <w:sz w:val="24"/>
          <w:szCs w:val="24"/>
        </w:rPr>
        <w:t xml:space="preserve"> </w:t>
      </w:r>
      <w:r w:rsidR="000230D9">
        <w:rPr>
          <w:rFonts w:ascii="Arial" w:hAnsi="Arial" w:cs="Arial"/>
          <w:b/>
          <w:sz w:val="24"/>
          <w:szCs w:val="24"/>
        </w:rPr>
        <w:t xml:space="preserve">November </w:t>
      </w:r>
      <w:r w:rsidRPr="00077FC7">
        <w:rPr>
          <w:rFonts w:ascii="Arial" w:hAnsi="Arial" w:cs="Arial"/>
          <w:b/>
          <w:sz w:val="24"/>
          <w:szCs w:val="24"/>
        </w:rPr>
        <w:t>2019</w:t>
      </w:r>
    </w:p>
    <w:p w:rsidR="00077FC7" w:rsidRPr="00077FC7" w:rsidRDefault="00077FC7" w:rsidP="00077FC7">
      <w:pPr>
        <w:spacing w:after="0" w:line="240" w:lineRule="auto"/>
        <w:ind w:left="1440" w:hanging="1440"/>
        <w:jc w:val="both"/>
        <w:rPr>
          <w:rFonts w:ascii="Arial" w:hAnsi="Arial" w:cs="Arial"/>
          <w:b/>
          <w:sz w:val="24"/>
          <w:szCs w:val="24"/>
        </w:rPr>
      </w:pPr>
    </w:p>
    <w:p w:rsidR="00077FC7" w:rsidRPr="00077FC7" w:rsidRDefault="00077FC7" w:rsidP="00077FC7">
      <w:pPr>
        <w:spacing w:after="0" w:line="240" w:lineRule="auto"/>
        <w:jc w:val="both"/>
        <w:rPr>
          <w:rFonts w:ascii="Arial" w:hAnsi="Arial" w:cs="Arial"/>
          <w:b/>
          <w:sz w:val="24"/>
          <w:szCs w:val="24"/>
        </w:rPr>
      </w:pPr>
      <w:r w:rsidRPr="00077FC7">
        <w:rPr>
          <w:rFonts w:ascii="Arial" w:hAnsi="Arial" w:cs="Arial"/>
          <w:b/>
          <w:bCs/>
          <w:sz w:val="24"/>
          <w:szCs w:val="24"/>
        </w:rPr>
        <w:t>Delivered</w:t>
      </w:r>
      <w:r w:rsidRPr="00077FC7">
        <w:rPr>
          <w:rFonts w:ascii="Arial" w:hAnsi="Arial" w:cs="Arial"/>
          <w:sz w:val="24"/>
          <w:szCs w:val="24"/>
        </w:rPr>
        <w:t>:</w:t>
      </w:r>
      <w:r w:rsidRPr="00077FC7">
        <w:rPr>
          <w:rFonts w:ascii="Arial" w:hAnsi="Arial" w:cs="Arial"/>
          <w:sz w:val="24"/>
          <w:szCs w:val="24"/>
        </w:rPr>
        <w:tab/>
      </w:r>
      <w:r w:rsidRPr="00077FC7">
        <w:rPr>
          <w:rFonts w:ascii="Arial" w:hAnsi="Arial" w:cs="Arial"/>
          <w:b/>
          <w:sz w:val="24"/>
          <w:szCs w:val="24"/>
        </w:rPr>
        <w:t>21 January 2020</w:t>
      </w:r>
    </w:p>
    <w:p w:rsidR="00077FC7" w:rsidRPr="00077FC7" w:rsidRDefault="00077FC7" w:rsidP="00077FC7">
      <w:pPr>
        <w:spacing w:after="0" w:line="360" w:lineRule="auto"/>
        <w:jc w:val="both"/>
        <w:rPr>
          <w:rFonts w:ascii="Arial" w:hAnsi="Arial" w:cs="Arial"/>
          <w:b/>
          <w:sz w:val="24"/>
          <w:szCs w:val="24"/>
        </w:rPr>
      </w:pPr>
    </w:p>
    <w:p w:rsidR="0073667A" w:rsidRPr="0073667A" w:rsidRDefault="00077FC7" w:rsidP="003F05C4">
      <w:pPr>
        <w:spacing w:after="0" w:line="360" w:lineRule="auto"/>
        <w:jc w:val="both"/>
        <w:rPr>
          <w:rFonts w:ascii="Arial" w:hAnsi="Arial" w:cs="Arial"/>
          <w:sz w:val="24"/>
          <w:szCs w:val="24"/>
        </w:rPr>
      </w:pPr>
      <w:r w:rsidRPr="00077FC7">
        <w:rPr>
          <w:rFonts w:ascii="Arial" w:hAnsi="Arial" w:cs="Arial"/>
          <w:b/>
          <w:sz w:val="24"/>
          <w:szCs w:val="24"/>
        </w:rPr>
        <w:t>Flynote:</w:t>
      </w:r>
      <w:r w:rsidRPr="00077FC7">
        <w:rPr>
          <w:rFonts w:ascii="Arial" w:hAnsi="Arial" w:cs="Arial"/>
          <w:b/>
          <w:sz w:val="24"/>
          <w:szCs w:val="24"/>
        </w:rPr>
        <w:tab/>
      </w:r>
      <w:r w:rsidR="0073667A" w:rsidRPr="0073667A">
        <w:rPr>
          <w:rFonts w:ascii="Arial" w:hAnsi="Arial" w:cs="Arial"/>
          <w:sz w:val="24"/>
          <w:szCs w:val="24"/>
        </w:rPr>
        <w:t>Crim</w:t>
      </w:r>
      <w:r w:rsidR="0073667A">
        <w:rPr>
          <w:rFonts w:ascii="Arial" w:hAnsi="Arial" w:cs="Arial"/>
          <w:sz w:val="24"/>
          <w:szCs w:val="24"/>
        </w:rPr>
        <w:t xml:space="preserve">inal Procedure – Warning Statements – Admissibility thereof – </w:t>
      </w:r>
      <w:r w:rsidR="0073667A" w:rsidRPr="0073667A">
        <w:rPr>
          <w:rFonts w:ascii="Arial" w:hAnsi="Arial" w:cs="Arial"/>
          <w:sz w:val="24"/>
          <w:szCs w:val="24"/>
        </w:rPr>
        <w:t xml:space="preserve">The right not to incriminate themselves and to apply for a legal aid funded lawyer not </w:t>
      </w:r>
      <w:r w:rsidR="0073667A" w:rsidRPr="0073667A">
        <w:rPr>
          <w:rFonts w:ascii="Arial" w:hAnsi="Arial" w:cs="Arial"/>
          <w:sz w:val="24"/>
          <w:szCs w:val="24"/>
        </w:rPr>
        <w:lastRenderedPageBreak/>
        <w:t>recorded on the statements to prove that the rights have bee</w:t>
      </w:r>
      <w:r w:rsidR="0073667A">
        <w:rPr>
          <w:rFonts w:ascii="Arial" w:hAnsi="Arial" w:cs="Arial"/>
          <w:sz w:val="24"/>
          <w:szCs w:val="24"/>
        </w:rPr>
        <w:t>n explained to the accused – T</w:t>
      </w:r>
      <w:r w:rsidR="0073667A" w:rsidRPr="0073667A">
        <w:rPr>
          <w:rFonts w:ascii="Arial" w:hAnsi="Arial" w:cs="Arial"/>
          <w:sz w:val="24"/>
          <w:szCs w:val="24"/>
        </w:rPr>
        <w:t xml:space="preserve">he mere say so by warrant officer Kombungu not sufficient proof </w:t>
      </w:r>
      <w:r w:rsidR="0073667A">
        <w:rPr>
          <w:rFonts w:ascii="Arial" w:hAnsi="Arial" w:cs="Arial"/>
          <w:sz w:val="24"/>
          <w:szCs w:val="24"/>
        </w:rPr>
        <w:t xml:space="preserve">that rights were explained – </w:t>
      </w:r>
      <w:r w:rsidR="0073667A" w:rsidRPr="0073667A">
        <w:rPr>
          <w:rFonts w:ascii="Arial" w:hAnsi="Arial" w:cs="Arial"/>
          <w:sz w:val="24"/>
          <w:szCs w:val="24"/>
        </w:rPr>
        <w:t>Warning statements disallowed for not passing the test of a fair trial envisaged in Article 12.</w:t>
      </w:r>
    </w:p>
    <w:p w:rsidR="00077FC7" w:rsidRPr="00077FC7" w:rsidRDefault="00077FC7" w:rsidP="003F05C4">
      <w:pPr>
        <w:spacing w:after="0" w:line="360" w:lineRule="auto"/>
        <w:jc w:val="both"/>
        <w:rPr>
          <w:rFonts w:ascii="Arial" w:hAnsi="Arial" w:cs="Arial"/>
          <w:sz w:val="24"/>
          <w:szCs w:val="24"/>
        </w:rPr>
      </w:pPr>
    </w:p>
    <w:p w:rsidR="0073667A" w:rsidRPr="0073667A" w:rsidRDefault="00077FC7" w:rsidP="003F05C4">
      <w:pPr>
        <w:spacing w:after="0" w:line="360" w:lineRule="auto"/>
        <w:jc w:val="both"/>
        <w:rPr>
          <w:rFonts w:ascii="Arial" w:hAnsi="Arial" w:cs="Arial"/>
          <w:sz w:val="24"/>
          <w:szCs w:val="24"/>
        </w:rPr>
      </w:pPr>
      <w:r w:rsidRPr="00077FC7">
        <w:rPr>
          <w:rFonts w:ascii="Arial" w:hAnsi="Arial" w:cs="Arial"/>
          <w:b/>
          <w:sz w:val="24"/>
          <w:szCs w:val="24"/>
        </w:rPr>
        <w:t>Summary:</w:t>
      </w:r>
      <w:r w:rsidRPr="00077FC7">
        <w:rPr>
          <w:rFonts w:ascii="Arial" w:hAnsi="Arial" w:cs="Arial"/>
          <w:b/>
          <w:sz w:val="24"/>
          <w:szCs w:val="24"/>
        </w:rPr>
        <w:tab/>
      </w:r>
      <w:r w:rsidR="0073667A" w:rsidRPr="0073667A">
        <w:rPr>
          <w:rFonts w:ascii="Arial" w:hAnsi="Arial" w:cs="Arial"/>
          <w:sz w:val="24"/>
          <w:szCs w:val="24"/>
        </w:rPr>
        <w:t>The accused in the matter are charged with crimes of high treaso</w:t>
      </w:r>
      <w:r w:rsidR="0073667A">
        <w:rPr>
          <w:rFonts w:ascii="Arial" w:hAnsi="Arial" w:cs="Arial"/>
          <w:sz w:val="24"/>
          <w:szCs w:val="24"/>
        </w:rPr>
        <w:t>n, murder, sedition and</w:t>
      </w:r>
      <w:r w:rsidR="0073667A" w:rsidRPr="0073667A">
        <w:rPr>
          <w:rFonts w:ascii="Arial" w:hAnsi="Arial" w:cs="Arial"/>
          <w:sz w:val="24"/>
          <w:szCs w:val="24"/>
        </w:rPr>
        <w:t xml:space="preserve"> po</w:t>
      </w:r>
      <w:r w:rsidR="0073667A">
        <w:rPr>
          <w:rFonts w:ascii="Arial" w:hAnsi="Arial" w:cs="Arial"/>
          <w:sz w:val="24"/>
          <w:szCs w:val="24"/>
        </w:rPr>
        <w:t>ssession of arms and ammunition</w:t>
      </w:r>
      <w:r w:rsidR="0073667A" w:rsidRPr="0073667A">
        <w:rPr>
          <w:rFonts w:ascii="Arial" w:hAnsi="Arial" w:cs="Arial"/>
          <w:sz w:val="24"/>
          <w:szCs w:val="24"/>
        </w:rPr>
        <w:t>. The crimes were perpetrated in the former Caprivi now Zambezi Region during 1999.</w:t>
      </w:r>
      <w:r w:rsidR="0073667A">
        <w:rPr>
          <w:rFonts w:ascii="Arial" w:hAnsi="Arial" w:cs="Arial"/>
          <w:sz w:val="24"/>
          <w:szCs w:val="24"/>
        </w:rPr>
        <w:t xml:space="preserve"> </w:t>
      </w:r>
      <w:r w:rsidR="0073667A" w:rsidRPr="0073667A">
        <w:rPr>
          <w:rFonts w:ascii="Arial" w:hAnsi="Arial" w:cs="Arial"/>
          <w:sz w:val="24"/>
          <w:szCs w:val="24"/>
        </w:rPr>
        <w:t>Various witnesses testified on behalf of the state already but when the investigating officer warrant officer Kombungu gave his evidence, the defence objected to the admi</w:t>
      </w:r>
      <w:r w:rsidR="0073667A">
        <w:rPr>
          <w:rFonts w:ascii="Arial" w:hAnsi="Arial" w:cs="Arial"/>
          <w:sz w:val="24"/>
          <w:szCs w:val="24"/>
        </w:rPr>
        <w:t>ssibility of warning statements</w:t>
      </w:r>
      <w:r w:rsidR="0073667A" w:rsidRPr="0073667A">
        <w:rPr>
          <w:rFonts w:ascii="Arial" w:hAnsi="Arial" w:cs="Arial"/>
          <w:sz w:val="24"/>
          <w:szCs w:val="24"/>
        </w:rPr>
        <w:t xml:space="preserve"> of certain </w:t>
      </w:r>
      <w:r w:rsidR="00246403">
        <w:rPr>
          <w:rFonts w:ascii="Arial" w:hAnsi="Arial" w:cs="Arial"/>
          <w:sz w:val="24"/>
          <w:szCs w:val="24"/>
        </w:rPr>
        <w:t>accused</w:t>
      </w:r>
      <w:r w:rsidR="0073667A" w:rsidRPr="0073667A">
        <w:rPr>
          <w:rFonts w:ascii="Arial" w:hAnsi="Arial" w:cs="Arial"/>
          <w:sz w:val="24"/>
          <w:szCs w:val="24"/>
        </w:rPr>
        <w:t>. In view t</w:t>
      </w:r>
      <w:r w:rsidR="0073667A">
        <w:rPr>
          <w:rFonts w:ascii="Arial" w:hAnsi="Arial" w:cs="Arial"/>
          <w:sz w:val="24"/>
          <w:szCs w:val="24"/>
        </w:rPr>
        <w:t xml:space="preserve">hereof, a trial within a trial </w:t>
      </w:r>
      <w:r w:rsidR="0073667A" w:rsidRPr="0073667A">
        <w:rPr>
          <w:rFonts w:ascii="Arial" w:hAnsi="Arial" w:cs="Arial"/>
          <w:sz w:val="24"/>
          <w:szCs w:val="24"/>
        </w:rPr>
        <w:t>was conducted to establish whether to admit or not to admit the warning statements objected to by the defence.</w:t>
      </w:r>
      <w:r w:rsidR="0073667A">
        <w:rPr>
          <w:rFonts w:ascii="Arial" w:hAnsi="Arial" w:cs="Arial"/>
          <w:sz w:val="24"/>
          <w:szCs w:val="24"/>
        </w:rPr>
        <w:t xml:space="preserve"> </w:t>
      </w:r>
      <w:r w:rsidR="0073667A" w:rsidRPr="0073667A">
        <w:rPr>
          <w:rFonts w:ascii="Arial" w:hAnsi="Arial" w:cs="Arial"/>
          <w:sz w:val="24"/>
          <w:szCs w:val="24"/>
        </w:rPr>
        <w:t>During the t</w:t>
      </w:r>
      <w:r w:rsidR="0073667A">
        <w:rPr>
          <w:rFonts w:ascii="Arial" w:hAnsi="Arial" w:cs="Arial"/>
          <w:sz w:val="24"/>
          <w:szCs w:val="24"/>
        </w:rPr>
        <w:t>rial within a trial proceedings</w:t>
      </w:r>
      <w:r w:rsidR="0073667A" w:rsidRPr="0073667A">
        <w:rPr>
          <w:rFonts w:ascii="Arial" w:hAnsi="Arial" w:cs="Arial"/>
          <w:sz w:val="24"/>
          <w:szCs w:val="24"/>
        </w:rPr>
        <w:t>, the state led evidence of officer Kombungu and fellow police officers. They were all cross examined by the two defence's counsel. However, none of the accused persons whose warning statements are involved</w:t>
      </w:r>
      <w:r w:rsidR="00246403">
        <w:rPr>
          <w:rFonts w:ascii="Arial" w:hAnsi="Arial" w:cs="Arial"/>
          <w:sz w:val="24"/>
          <w:szCs w:val="24"/>
        </w:rPr>
        <w:t xml:space="preserve"> testified</w:t>
      </w:r>
      <w:r w:rsidR="0073667A" w:rsidRPr="0073667A">
        <w:rPr>
          <w:rFonts w:ascii="Arial" w:hAnsi="Arial" w:cs="Arial"/>
          <w:sz w:val="24"/>
          <w:szCs w:val="24"/>
        </w:rPr>
        <w:t>.</w:t>
      </w:r>
    </w:p>
    <w:p w:rsidR="0073667A" w:rsidRPr="0073667A" w:rsidRDefault="0073667A" w:rsidP="003F05C4">
      <w:pPr>
        <w:spacing w:after="0" w:line="360" w:lineRule="auto"/>
        <w:jc w:val="both"/>
        <w:rPr>
          <w:rFonts w:ascii="Arial" w:hAnsi="Arial" w:cs="Arial"/>
          <w:sz w:val="24"/>
          <w:szCs w:val="24"/>
        </w:rPr>
      </w:pPr>
      <w:r w:rsidRPr="0073667A">
        <w:rPr>
          <w:rFonts w:ascii="Arial" w:hAnsi="Arial" w:cs="Arial"/>
          <w:sz w:val="24"/>
          <w:szCs w:val="24"/>
          <w:u w:val="single"/>
        </w:rPr>
        <w:t>Held</w:t>
      </w:r>
      <w:r w:rsidRPr="0073667A">
        <w:rPr>
          <w:rFonts w:ascii="Arial" w:hAnsi="Arial" w:cs="Arial"/>
          <w:sz w:val="24"/>
          <w:szCs w:val="24"/>
        </w:rPr>
        <w:t>: that the</w:t>
      </w:r>
      <w:r>
        <w:rPr>
          <w:rFonts w:ascii="Arial" w:hAnsi="Arial" w:cs="Arial"/>
          <w:sz w:val="24"/>
          <w:szCs w:val="24"/>
        </w:rPr>
        <w:t xml:space="preserve"> warning statements </w:t>
      </w:r>
      <w:r w:rsidR="00246403">
        <w:rPr>
          <w:rFonts w:ascii="Arial" w:hAnsi="Arial" w:cs="Arial"/>
          <w:sz w:val="24"/>
          <w:szCs w:val="24"/>
        </w:rPr>
        <w:t xml:space="preserve">are </w:t>
      </w:r>
      <w:r>
        <w:rPr>
          <w:rFonts w:ascii="Arial" w:hAnsi="Arial" w:cs="Arial"/>
          <w:sz w:val="24"/>
          <w:szCs w:val="24"/>
        </w:rPr>
        <w:t xml:space="preserve">disallowed </w:t>
      </w:r>
      <w:r w:rsidRPr="0073667A">
        <w:rPr>
          <w:rFonts w:ascii="Arial" w:hAnsi="Arial" w:cs="Arial"/>
          <w:sz w:val="24"/>
          <w:szCs w:val="24"/>
        </w:rPr>
        <w:t>no proof that rights not to incriminate themselves and to apply for legal aid explained to the accused.</w:t>
      </w:r>
    </w:p>
    <w:p w:rsidR="00077FC7" w:rsidRPr="00077FC7" w:rsidRDefault="0073667A" w:rsidP="003F05C4">
      <w:pPr>
        <w:spacing w:after="0" w:line="360" w:lineRule="auto"/>
        <w:jc w:val="both"/>
        <w:rPr>
          <w:rFonts w:ascii="Arial" w:hAnsi="Arial" w:cs="Arial"/>
          <w:sz w:val="24"/>
          <w:szCs w:val="24"/>
        </w:rPr>
      </w:pPr>
      <w:r w:rsidRPr="0073667A">
        <w:rPr>
          <w:rFonts w:ascii="Arial" w:hAnsi="Arial" w:cs="Arial"/>
          <w:sz w:val="24"/>
          <w:szCs w:val="24"/>
          <w:u w:val="single"/>
        </w:rPr>
        <w:t>Held</w:t>
      </w:r>
      <w:r w:rsidRPr="0073667A">
        <w:rPr>
          <w:rFonts w:ascii="Arial" w:hAnsi="Arial" w:cs="Arial"/>
          <w:sz w:val="24"/>
          <w:szCs w:val="24"/>
        </w:rPr>
        <w:t xml:space="preserve"> further that the mere say so by Kombungu that he explained the rights without recording it, is not sufficient</w:t>
      </w:r>
      <w:r w:rsidR="00246403">
        <w:rPr>
          <w:rFonts w:ascii="Arial" w:hAnsi="Arial" w:cs="Arial"/>
          <w:sz w:val="24"/>
          <w:szCs w:val="24"/>
        </w:rPr>
        <w:t xml:space="preserve"> proof that the right to apply</w:t>
      </w:r>
      <w:r w:rsidR="003F05C4">
        <w:rPr>
          <w:rFonts w:ascii="Arial" w:hAnsi="Arial" w:cs="Arial"/>
          <w:sz w:val="24"/>
          <w:szCs w:val="24"/>
        </w:rPr>
        <w:t xml:space="preserve"> for</w:t>
      </w:r>
      <w:r w:rsidR="00246403">
        <w:rPr>
          <w:rFonts w:ascii="Arial" w:hAnsi="Arial" w:cs="Arial"/>
          <w:sz w:val="24"/>
          <w:szCs w:val="24"/>
        </w:rPr>
        <w:t xml:space="preserve"> legal </w:t>
      </w:r>
      <w:r w:rsidR="003F05C4">
        <w:rPr>
          <w:rFonts w:ascii="Arial" w:hAnsi="Arial" w:cs="Arial"/>
          <w:sz w:val="24"/>
          <w:szCs w:val="24"/>
        </w:rPr>
        <w:t>aid lawye</w:t>
      </w:r>
      <w:r w:rsidR="00246403">
        <w:rPr>
          <w:rFonts w:ascii="Arial" w:hAnsi="Arial" w:cs="Arial"/>
          <w:sz w:val="24"/>
          <w:szCs w:val="24"/>
        </w:rPr>
        <w:t>r was explained.</w:t>
      </w:r>
    </w:p>
    <w:p w:rsidR="00077FC7" w:rsidRPr="00077FC7" w:rsidRDefault="002C0684" w:rsidP="003F05C4">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077FC7" w:rsidRPr="00077FC7" w:rsidRDefault="00077FC7" w:rsidP="003F05C4">
      <w:pPr>
        <w:spacing w:after="0" w:line="360" w:lineRule="auto"/>
        <w:jc w:val="center"/>
        <w:rPr>
          <w:rFonts w:ascii="Arial" w:hAnsi="Arial" w:cs="Arial"/>
          <w:b/>
          <w:bCs/>
          <w:sz w:val="24"/>
          <w:szCs w:val="24"/>
        </w:rPr>
      </w:pPr>
      <w:r w:rsidRPr="00077FC7">
        <w:rPr>
          <w:rFonts w:ascii="Arial" w:hAnsi="Arial" w:cs="Arial"/>
          <w:b/>
          <w:bCs/>
          <w:sz w:val="24"/>
          <w:szCs w:val="24"/>
        </w:rPr>
        <w:t>ORDER</w:t>
      </w:r>
    </w:p>
    <w:p w:rsidR="00077FC7" w:rsidRPr="00077FC7" w:rsidRDefault="002C0684" w:rsidP="003F05C4">
      <w:pPr>
        <w:spacing w:after="0" w:line="360" w:lineRule="auto"/>
        <w:jc w:val="both"/>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077FC7" w:rsidRPr="00077FC7" w:rsidRDefault="00077FC7" w:rsidP="003F05C4">
      <w:pPr>
        <w:spacing w:line="360" w:lineRule="auto"/>
        <w:ind w:left="709" w:firstLine="11"/>
        <w:jc w:val="both"/>
        <w:rPr>
          <w:rFonts w:ascii="Arial" w:hAnsi="Arial" w:cs="Arial"/>
          <w:sz w:val="24"/>
          <w:szCs w:val="24"/>
        </w:rPr>
      </w:pPr>
      <w:r w:rsidRPr="00077FC7">
        <w:rPr>
          <w:rFonts w:ascii="Arial" w:hAnsi="Arial" w:cs="Arial"/>
          <w:sz w:val="24"/>
          <w:szCs w:val="24"/>
        </w:rPr>
        <w:t xml:space="preserve">The warning statements taken from accused 1, 2, 6 and 7 are </w:t>
      </w:r>
      <w:r w:rsidR="002072D1">
        <w:rPr>
          <w:rFonts w:ascii="Arial" w:hAnsi="Arial" w:cs="Arial"/>
          <w:sz w:val="24"/>
          <w:szCs w:val="24"/>
        </w:rPr>
        <w:t xml:space="preserve">disallowed and </w:t>
      </w:r>
      <w:r w:rsidRPr="00077FC7">
        <w:rPr>
          <w:rFonts w:ascii="Arial" w:hAnsi="Arial" w:cs="Arial"/>
          <w:sz w:val="24"/>
          <w:szCs w:val="24"/>
        </w:rPr>
        <w:t xml:space="preserve">not </w:t>
      </w:r>
      <w:r w:rsidR="00FA3686">
        <w:rPr>
          <w:rFonts w:ascii="Arial" w:hAnsi="Arial" w:cs="Arial"/>
          <w:sz w:val="24"/>
          <w:szCs w:val="24"/>
        </w:rPr>
        <w:t xml:space="preserve">to </w:t>
      </w:r>
      <w:r w:rsidRPr="00077FC7">
        <w:rPr>
          <w:rFonts w:ascii="Arial" w:hAnsi="Arial" w:cs="Arial"/>
          <w:sz w:val="24"/>
          <w:szCs w:val="24"/>
        </w:rPr>
        <w:t>be admitted as evidence in the main trial.</w:t>
      </w:r>
    </w:p>
    <w:p w:rsidR="00077FC7" w:rsidRPr="00077FC7" w:rsidRDefault="002C0684" w:rsidP="003F05C4">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077FC7" w:rsidRPr="00077FC7" w:rsidRDefault="00077FC7" w:rsidP="003F05C4">
      <w:pPr>
        <w:spacing w:after="0" w:line="360" w:lineRule="auto"/>
        <w:jc w:val="center"/>
        <w:rPr>
          <w:rFonts w:ascii="Arial" w:hAnsi="Arial" w:cs="Arial"/>
          <w:sz w:val="24"/>
          <w:szCs w:val="24"/>
        </w:rPr>
      </w:pPr>
      <w:r w:rsidRPr="00077FC7">
        <w:rPr>
          <w:rFonts w:ascii="Arial" w:hAnsi="Arial" w:cs="Arial"/>
          <w:b/>
          <w:sz w:val="24"/>
          <w:szCs w:val="24"/>
        </w:rPr>
        <w:t>RULING</w:t>
      </w:r>
    </w:p>
    <w:p w:rsidR="00077FC7" w:rsidRPr="00077FC7" w:rsidRDefault="00077FC7" w:rsidP="003F05C4">
      <w:pPr>
        <w:spacing w:after="0" w:line="360" w:lineRule="auto"/>
        <w:jc w:val="center"/>
        <w:rPr>
          <w:rFonts w:ascii="Arial" w:hAnsi="Arial" w:cs="Arial"/>
          <w:sz w:val="24"/>
          <w:szCs w:val="24"/>
        </w:rPr>
      </w:pPr>
      <w:r w:rsidRPr="00077FC7">
        <w:rPr>
          <w:rFonts w:ascii="Arial" w:hAnsi="Arial" w:cs="Arial"/>
          <w:sz w:val="24"/>
          <w:szCs w:val="24"/>
        </w:rPr>
        <w:t>(Trial-within-a trial)</w:t>
      </w:r>
    </w:p>
    <w:p w:rsidR="00077FC7" w:rsidRPr="00077FC7" w:rsidRDefault="002C0684" w:rsidP="003F05C4">
      <w:pPr>
        <w:spacing w:after="0" w:line="360" w:lineRule="auto"/>
        <w:jc w:val="both"/>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077FC7" w:rsidRPr="00077FC7" w:rsidRDefault="00077FC7" w:rsidP="003F05C4">
      <w:pPr>
        <w:spacing w:after="0" w:line="360" w:lineRule="auto"/>
        <w:jc w:val="both"/>
        <w:rPr>
          <w:rFonts w:ascii="Arial" w:hAnsi="Arial" w:cs="Arial"/>
          <w:b/>
          <w:sz w:val="24"/>
          <w:szCs w:val="24"/>
        </w:rPr>
      </w:pPr>
    </w:p>
    <w:p w:rsidR="00077FC7" w:rsidRPr="00077FC7" w:rsidRDefault="00077FC7" w:rsidP="003F05C4">
      <w:pPr>
        <w:spacing w:after="0" w:line="360" w:lineRule="auto"/>
        <w:jc w:val="both"/>
        <w:rPr>
          <w:rFonts w:ascii="Arial" w:hAnsi="Arial" w:cs="Arial"/>
          <w:b/>
          <w:sz w:val="24"/>
          <w:szCs w:val="24"/>
        </w:rPr>
      </w:pPr>
      <w:r w:rsidRPr="00077FC7">
        <w:rPr>
          <w:rFonts w:ascii="Arial" w:hAnsi="Arial" w:cs="Arial"/>
          <w:b/>
          <w:sz w:val="24"/>
          <w:szCs w:val="24"/>
        </w:rPr>
        <w:t>UNENGU, AJ</w:t>
      </w:r>
    </w:p>
    <w:p w:rsidR="00077FC7" w:rsidRPr="00077FC7" w:rsidRDefault="00077FC7" w:rsidP="003F05C4">
      <w:pPr>
        <w:spacing w:after="0" w:line="360" w:lineRule="auto"/>
        <w:jc w:val="both"/>
        <w:rPr>
          <w:rFonts w:ascii="Arial" w:hAnsi="Arial" w:cs="Arial"/>
          <w:sz w:val="24"/>
          <w:szCs w:val="24"/>
        </w:rPr>
      </w:pPr>
    </w:p>
    <w:p w:rsidR="00077FC7" w:rsidRPr="00077FC7" w:rsidRDefault="00077FC7" w:rsidP="003F05C4">
      <w:pPr>
        <w:spacing w:line="360" w:lineRule="auto"/>
        <w:jc w:val="both"/>
        <w:rPr>
          <w:rFonts w:ascii="Arial" w:hAnsi="Arial" w:cs="Arial"/>
          <w:sz w:val="24"/>
          <w:szCs w:val="24"/>
        </w:rPr>
      </w:pPr>
      <w:r w:rsidRPr="00077FC7">
        <w:rPr>
          <w:rFonts w:ascii="Arial" w:hAnsi="Arial" w:cs="Arial"/>
          <w:sz w:val="24"/>
          <w:szCs w:val="24"/>
        </w:rPr>
        <w:t>INTRODUCTION</w:t>
      </w:r>
    </w:p>
    <w:p w:rsidR="00077FC7" w:rsidRDefault="00077FC7" w:rsidP="003F05C4">
      <w:pPr>
        <w:spacing w:line="360" w:lineRule="auto"/>
        <w:jc w:val="both"/>
        <w:rPr>
          <w:rFonts w:ascii="Arial" w:hAnsi="Arial" w:cs="Arial"/>
          <w:sz w:val="24"/>
          <w:szCs w:val="24"/>
        </w:rPr>
      </w:pPr>
      <w:r w:rsidRPr="00077FC7">
        <w:rPr>
          <w:rFonts w:ascii="Arial" w:hAnsi="Arial" w:cs="Arial"/>
          <w:sz w:val="24"/>
          <w:szCs w:val="24"/>
        </w:rPr>
        <w:lastRenderedPageBreak/>
        <w:t>[1]</w:t>
      </w:r>
      <w:r w:rsidRPr="00077FC7">
        <w:rPr>
          <w:rFonts w:ascii="Arial" w:hAnsi="Arial" w:cs="Arial"/>
          <w:sz w:val="24"/>
          <w:szCs w:val="24"/>
        </w:rPr>
        <w:tab/>
        <w:t>These proceedings concern a trial-within-a trial in the trial of the State vs Progress Munuma and Others. The accused are arraigned in this court with charges of high treason, sedition, murder and possession of arms and ammunition.</w:t>
      </w:r>
    </w:p>
    <w:p w:rsidR="0095607C" w:rsidRDefault="0095607C" w:rsidP="003F05C4">
      <w:pPr>
        <w:spacing w:line="360" w:lineRule="auto"/>
        <w:jc w:val="both"/>
        <w:rPr>
          <w:rFonts w:ascii="Arial" w:hAnsi="Arial" w:cs="Arial"/>
          <w:sz w:val="24"/>
          <w:szCs w:val="24"/>
        </w:rPr>
      </w:pPr>
    </w:p>
    <w:p w:rsidR="00077FC7" w:rsidRPr="00077FC7" w:rsidRDefault="00077FC7" w:rsidP="003F05C4">
      <w:pPr>
        <w:spacing w:line="360" w:lineRule="auto"/>
        <w:jc w:val="both"/>
        <w:rPr>
          <w:rFonts w:ascii="Arial" w:hAnsi="Arial" w:cs="Arial"/>
          <w:sz w:val="24"/>
          <w:szCs w:val="24"/>
        </w:rPr>
      </w:pPr>
      <w:r w:rsidRPr="00077FC7">
        <w:rPr>
          <w:rFonts w:ascii="Arial" w:hAnsi="Arial" w:cs="Arial"/>
          <w:sz w:val="24"/>
          <w:szCs w:val="24"/>
        </w:rPr>
        <w:t>THE BACKGROUND FACTS</w:t>
      </w:r>
    </w:p>
    <w:p w:rsidR="00077FC7" w:rsidRPr="00077FC7" w:rsidRDefault="00077FC7" w:rsidP="003F05C4">
      <w:pPr>
        <w:spacing w:line="360" w:lineRule="auto"/>
        <w:jc w:val="both"/>
        <w:rPr>
          <w:rFonts w:ascii="Arial" w:hAnsi="Arial" w:cs="Arial"/>
          <w:sz w:val="24"/>
          <w:szCs w:val="24"/>
        </w:rPr>
      </w:pPr>
      <w:r w:rsidRPr="00077FC7">
        <w:rPr>
          <w:rFonts w:ascii="Arial" w:hAnsi="Arial" w:cs="Arial"/>
          <w:sz w:val="24"/>
          <w:szCs w:val="24"/>
        </w:rPr>
        <w:t>[2]</w:t>
      </w:r>
      <w:r w:rsidRPr="00077FC7">
        <w:rPr>
          <w:rFonts w:ascii="Arial" w:hAnsi="Arial" w:cs="Arial"/>
          <w:sz w:val="24"/>
          <w:szCs w:val="24"/>
        </w:rPr>
        <w:tab/>
        <w:t>Various witnesses testified on behalf of the prosecution and were cross -examined by the defence. However, during the testimony of detective warrant officer  Kombungu, both Ms Agenbach and Mr Neves, the legal practitioners for the accused objected to the admission into record as evidence of warning statements taken from Mr Progress Kenyoka Munuma, accused 1, Mr Samulndela Shine Samulandela, accused 2, Isaka Frederick Ntambilwa, accused 6 and Hoster Simasiku Ntombo, accused 7 on the ground that warrant officer Kombungu did not properly explain the right to legal representation, the right  against self-incrimination and the right to apply for legal aid  at the directorate of legal aid in the Ministry of Justice to the accused. As a consequence therefore, a trial within a trial was ordered to afford the prosecution an opportunity to refute the objections raised by counsel for the accused against the admissibility of the warning statements and to proof that the right against self- incrimination and to apply for legal aid were properly explained.</w:t>
      </w:r>
    </w:p>
    <w:p w:rsidR="00077FC7" w:rsidRPr="00077FC7" w:rsidRDefault="00077FC7" w:rsidP="003F05C4">
      <w:pPr>
        <w:spacing w:line="360" w:lineRule="auto"/>
        <w:jc w:val="both"/>
        <w:rPr>
          <w:rFonts w:ascii="Arial" w:hAnsi="Arial" w:cs="Arial"/>
          <w:sz w:val="24"/>
          <w:szCs w:val="24"/>
        </w:rPr>
      </w:pPr>
      <w:r w:rsidRPr="00077FC7">
        <w:rPr>
          <w:rFonts w:ascii="Arial" w:hAnsi="Arial" w:cs="Arial"/>
          <w:sz w:val="24"/>
          <w:szCs w:val="24"/>
        </w:rPr>
        <w:t>[3]</w:t>
      </w:r>
      <w:r w:rsidRPr="00077FC7">
        <w:rPr>
          <w:rFonts w:ascii="Arial" w:hAnsi="Arial" w:cs="Arial"/>
          <w:sz w:val="24"/>
          <w:szCs w:val="24"/>
        </w:rPr>
        <w:tab/>
        <w:t xml:space="preserve">The </w:t>
      </w:r>
      <w:r w:rsidR="002072D1">
        <w:rPr>
          <w:rFonts w:ascii="Arial" w:hAnsi="Arial" w:cs="Arial"/>
          <w:sz w:val="24"/>
          <w:szCs w:val="24"/>
        </w:rPr>
        <w:t>warning statements objected to were</w:t>
      </w:r>
      <w:r w:rsidRPr="00077FC7">
        <w:rPr>
          <w:rFonts w:ascii="Arial" w:hAnsi="Arial" w:cs="Arial"/>
          <w:sz w:val="24"/>
          <w:szCs w:val="24"/>
        </w:rPr>
        <w:t xml:space="preserve"> handed in as exhibits (FFF1, FFF2, FFF3 and FFF4) during the evidence of officer Kombungu</w:t>
      </w:r>
      <w:r w:rsidR="002072D1">
        <w:rPr>
          <w:rFonts w:ascii="Arial" w:hAnsi="Arial" w:cs="Arial"/>
          <w:sz w:val="24"/>
          <w:szCs w:val="24"/>
        </w:rPr>
        <w:t>.</w:t>
      </w:r>
      <w:r w:rsidRPr="00077FC7">
        <w:rPr>
          <w:rFonts w:ascii="Arial" w:hAnsi="Arial" w:cs="Arial"/>
          <w:sz w:val="24"/>
          <w:szCs w:val="24"/>
        </w:rPr>
        <w:t xml:space="preserve"> Officers Kombungu, Popyeinawa and Chindo were called by Mr Campher for the state to testify.</w:t>
      </w:r>
      <w:r w:rsidR="002072D1">
        <w:rPr>
          <w:rFonts w:ascii="Arial" w:hAnsi="Arial" w:cs="Arial"/>
          <w:sz w:val="24"/>
          <w:szCs w:val="24"/>
        </w:rPr>
        <w:t xml:space="preserve"> The essence of their testimony</w:t>
      </w:r>
      <w:r w:rsidRPr="00077FC7">
        <w:rPr>
          <w:rFonts w:ascii="Arial" w:hAnsi="Arial" w:cs="Arial"/>
          <w:sz w:val="24"/>
          <w:szCs w:val="24"/>
        </w:rPr>
        <w:t xml:space="preserve"> was to proof that Kombungu did explain the right alleged by the accused not to have been properly explained to them. As expected, Kombungu testified that he did explain to them the right to obtain legal representation from legal practitioners of their own choice for whom they have to pay with own money and the right to apply for a legal aid lawyer from the Ministry of Justice at the directorate of legal aid from whom they would get legal representation for free.</w:t>
      </w:r>
    </w:p>
    <w:p w:rsidR="00077FC7" w:rsidRPr="00077FC7" w:rsidRDefault="00077FC7" w:rsidP="003F05C4">
      <w:pPr>
        <w:spacing w:line="360" w:lineRule="auto"/>
        <w:jc w:val="both"/>
        <w:rPr>
          <w:rFonts w:ascii="Arial" w:hAnsi="Arial" w:cs="Arial"/>
          <w:sz w:val="24"/>
          <w:szCs w:val="24"/>
        </w:rPr>
      </w:pPr>
      <w:r w:rsidRPr="00077FC7">
        <w:rPr>
          <w:rFonts w:ascii="Arial" w:hAnsi="Arial" w:cs="Arial"/>
          <w:sz w:val="24"/>
          <w:szCs w:val="24"/>
        </w:rPr>
        <w:t>[4]</w:t>
      </w:r>
      <w:r w:rsidRPr="00077FC7">
        <w:rPr>
          <w:rFonts w:ascii="Arial" w:hAnsi="Arial" w:cs="Arial"/>
          <w:sz w:val="24"/>
          <w:szCs w:val="24"/>
        </w:rPr>
        <w:tab/>
        <w:t>All these witnesses are still Police Officers in the Namibian Police Force and experienced officers except for Nchindo who was a constable then now works for the Ministry of Enviro</w:t>
      </w:r>
      <w:r w:rsidR="00604B8F">
        <w:rPr>
          <w:rFonts w:ascii="Arial" w:hAnsi="Arial" w:cs="Arial"/>
          <w:sz w:val="24"/>
          <w:szCs w:val="24"/>
        </w:rPr>
        <w:t>n</w:t>
      </w:r>
      <w:r w:rsidRPr="00077FC7">
        <w:rPr>
          <w:rFonts w:ascii="Arial" w:hAnsi="Arial" w:cs="Arial"/>
          <w:sz w:val="24"/>
          <w:szCs w:val="24"/>
        </w:rPr>
        <w:t>ment and Tourism. They confirmed in their testimon</w:t>
      </w:r>
      <w:r w:rsidR="002072D1">
        <w:rPr>
          <w:rFonts w:ascii="Arial" w:hAnsi="Arial" w:cs="Arial"/>
          <w:sz w:val="24"/>
          <w:szCs w:val="24"/>
        </w:rPr>
        <w:t>y</w:t>
      </w:r>
      <w:r w:rsidRPr="00077FC7">
        <w:rPr>
          <w:rFonts w:ascii="Arial" w:hAnsi="Arial" w:cs="Arial"/>
          <w:sz w:val="24"/>
          <w:szCs w:val="24"/>
        </w:rPr>
        <w:t xml:space="preserve"> that the right to apply for a legal aid lawyer was explained to all four accused although not indicated on their warning statements. The failure by Kombungu to put it in writing on the warning </w:t>
      </w:r>
      <w:r w:rsidRPr="00077FC7">
        <w:rPr>
          <w:rFonts w:ascii="Arial" w:hAnsi="Arial" w:cs="Arial"/>
          <w:sz w:val="24"/>
          <w:szCs w:val="24"/>
        </w:rPr>
        <w:lastRenderedPageBreak/>
        <w:t xml:space="preserve">statements that the right to apply for legal aid was explained, what was told them to do and what legal aid entails, sparked intensive and robust cross-examination from both Ms Agenbach and Mr Neves, legal practitioners </w:t>
      </w:r>
      <w:r w:rsidR="002072D1">
        <w:rPr>
          <w:rFonts w:ascii="Arial" w:hAnsi="Arial" w:cs="Arial"/>
          <w:sz w:val="24"/>
          <w:szCs w:val="24"/>
        </w:rPr>
        <w:t>for the accused</w:t>
      </w:r>
      <w:r w:rsidRPr="00077FC7">
        <w:rPr>
          <w:rFonts w:ascii="Arial" w:hAnsi="Arial" w:cs="Arial"/>
          <w:sz w:val="24"/>
          <w:szCs w:val="24"/>
        </w:rPr>
        <w:t>.</w:t>
      </w:r>
    </w:p>
    <w:p w:rsidR="00077FC7" w:rsidRPr="00077FC7" w:rsidRDefault="00077FC7" w:rsidP="003F05C4">
      <w:pPr>
        <w:spacing w:line="360" w:lineRule="auto"/>
        <w:jc w:val="both"/>
        <w:rPr>
          <w:rFonts w:ascii="Arial" w:hAnsi="Arial" w:cs="Arial"/>
          <w:sz w:val="24"/>
          <w:szCs w:val="24"/>
        </w:rPr>
      </w:pPr>
      <w:r w:rsidRPr="00077FC7">
        <w:rPr>
          <w:rFonts w:ascii="Arial" w:hAnsi="Arial" w:cs="Arial"/>
          <w:sz w:val="24"/>
          <w:szCs w:val="24"/>
        </w:rPr>
        <w:t>[5]</w:t>
      </w:r>
      <w:r w:rsidRPr="00077FC7">
        <w:rPr>
          <w:rFonts w:ascii="Arial" w:hAnsi="Arial" w:cs="Arial"/>
          <w:sz w:val="24"/>
          <w:szCs w:val="24"/>
        </w:rPr>
        <w:tab/>
        <w:t xml:space="preserve">Officer Kombungu could not give a plausible explanation why he did not write in pen and in own handwriting on the warning statements as he </w:t>
      </w:r>
      <w:r w:rsidR="002072D1">
        <w:rPr>
          <w:rFonts w:ascii="Arial" w:hAnsi="Arial" w:cs="Arial"/>
          <w:sz w:val="24"/>
          <w:szCs w:val="24"/>
        </w:rPr>
        <w:t xml:space="preserve">has </w:t>
      </w:r>
      <w:r w:rsidRPr="00077FC7">
        <w:rPr>
          <w:rFonts w:ascii="Arial" w:hAnsi="Arial" w:cs="Arial"/>
          <w:sz w:val="24"/>
          <w:szCs w:val="24"/>
        </w:rPr>
        <w:t>done with questions and answers, how he explained these right to the accused. He conceded to a question put to him by Mr Neves that he had papers in abu</w:t>
      </w:r>
      <w:r w:rsidR="002072D1">
        <w:rPr>
          <w:rFonts w:ascii="Arial" w:hAnsi="Arial" w:cs="Arial"/>
          <w:sz w:val="24"/>
          <w:szCs w:val="24"/>
        </w:rPr>
        <w:t>ndance to write on. After cross-</w:t>
      </w:r>
      <w:r w:rsidRPr="00077FC7">
        <w:rPr>
          <w:rFonts w:ascii="Arial" w:hAnsi="Arial" w:cs="Arial"/>
          <w:sz w:val="24"/>
          <w:szCs w:val="24"/>
        </w:rPr>
        <w:t>examination, the defence elected not to call the accused to testify in defence of their case but decided to close their cases without leading evidence.</w:t>
      </w:r>
    </w:p>
    <w:p w:rsidR="00077FC7" w:rsidRPr="00077FC7" w:rsidRDefault="00077FC7" w:rsidP="003F05C4">
      <w:pPr>
        <w:spacing w:line="360" w:lineRule="auto"/>
        <w:jc w:val="both"/>
        <w:rPr>
          <w:rFonts w:ascii="Arial" w:hAnsi="Arial" w:cs="Arial"/>
          <w:sz w:val="24"/>
          <w:szCs w:val="24"/>
        </w:rPr>
      </w:pPr>
    </w:p>
    <w:p w:rsidR="00077FC7" w:rsidRPr="00077FC7" w:rsidRDefault="00077FC7" w:rsidP="003F05C4">
      <w:pPr>
        <w:spacing w:line="360" w:lineRule="auto"/>
        <w:jc w:val="both"/>
        <w:rPr>
          <w:rFonts w:ascii="Arial" w:hAnsi="Arial" w:cs="Arial"/>
          <w:sz w:val="24"/>
          <w:szCs w:val="24"/>
        </w:rPr>
      </w:pPr>
      <w:r w:rsidRPr="00077FC7">
        <w:rPr>
          <w:rFonts w:ascii="Arial" w:hAnsi="Arial" w:cs="Arial"/>
          <w:sz w:val="24"/>
          <w:szCs w:val="24"/>
        </w:rPr>
        <w:t>ARGUMENTS</w:t>
      </w:r>
    </w:p>
    <w:p w:rsidR="00077FC7" w:rsidRPr="00077FC7" w:rsidRDefault="00077FC7" w:rsidP="003F05C4">
      <w:pPr>
        <w:spacing w:line="360" w:lineRule="auto"/>
        <w:jc w:val="both"/>
        <w:rPr>
          <w:rFonts w:ascii="Arial" w:hAnsi="Arial" w:cs="Arial"/>
          <w:sz w:val="24"/>
          <w:szCs w:val="24"/>
        </w:rPr>
      </w:pPr>
      <w:r w:rsidRPr="00077FC7">
        <w:rPr>
          <w:rFonts w:ascii="Arial" w:hAnsi="Arial" w:cs="Arial"/>
          <w:sz w:val="24"/>
          <w:szCs w:val="24"/>
        </w:rPr>
        <w:t>[6]</w:t>
      </w:r>
      <w:r w:rsidRPr="00077FC7">
        <w:rPr>
          <w:rFonts w:ascii="Arial" w:hAnsi="Arial" w:cs="Arial"/>
          <w:sz w:val="24"/>
          <w:szCs w:val="24"/>
        </w:rPr>
        <w:tab/>
        <w:t xml:space="preserve">All three counsel prepared and submitted written heads of argument which were amplified with oral submissions. During </w:t>
      </w:r>
      <w:r w:rsidR="002072D1">
        <w:rPr>
          <w:rFonts w:ascii="Arial" w:hAnsi="Arial" w:cs="Arial"/>
          <w:sz w:val="24"/>
          <w:szCs w:val="24"/>
        </w:rPr>
        <w:t xml:space="preserve">oral </w:t>
      </w:r>
      <w:r w:rsidRPr="00077FC7">
        <w:rPr>
          <w:rFonts w:ascii="Arial" w:hAnsi="Arial" w:cs="Arial"/>
          <w:sz w:val="24"/>
          <w:szCs w:val="24"/>
        </w:rPr>
        <w:t>submissions</w:t>
      </w:r>
      <w:r w:rsidR="002072D1">
        <w:rPr>
          <w:rFonts w:ascii="Arial" w:hAnsi="Arial" w:cs="Arial"/>
          <w:sz w:val="24"/>
          <w:szCs w:val="24"/>
        </w:rPr>
        <w:t>,</w:t>
      </w:r>
      <w:r w:rsidRPr="00077FC7">
        <w:rPr>
          <w:rFonts w:ascii="Arial" w:hAnsi="Arial" w:cs="Arial"/>
          <w:sz w:val="24"/>
          <w:szCs w:val="24"/>
        </w:rPr>
        <w:t xml:space="preserve"> the state through Mr Campher, submitted that the state through the evidence presented before court proved that the right to legal representation and to apply for legal aid were properly explained to the accused. Mr Campher stressed that the fact that it was not written down does not necessarily mean that the right to legal aid lawyer was not</w:t>
      </w:r>
      <w:r w:rsidR="002072D1">
        <w:rPr>
          <w:rFonts w:ascii="Arial" w:hAnsi="Arial" w:cs="Arial"/>
          <w:sz w:val="24"/>
          <w:szCs w:val="24"/>
        </w:rPr>
        <w:t xml:space="preserve"> explained</w:t>
      </w:r>
      <w:r w:rsidRPr="00077FC7">
        <w:rPr>
          <w:rFonts w:ascii="Arial" w:hAnsi="Arial" w:cs="Arial"/>
          <w:sz w:val="24"/>
          <w:szCs w:val="24"/>
        </w:rPr>
        <w:t>. To proof his point, Mr Campher quoted from a dialogue between Detective Warrant Officer Kombungu (then Detective Sergeant) and the accused when he read to them the questions on the proforma warning statement</w:t>
      </w:r>
      <w:r w:rsidR="002072D1">
        <w:rPr>
          <w:rFonts w:ascii="Arial" w:hAnsi="Arial" w:cs="Arial"/>
          <w:sz w:val="24"/>
          <w:szCs w:val="24"/>
        </w:rPr>
        <w:t>s</w:t>
      </w:r>
      <w:r w:rsidRPr="00077FC7">
        <w:rPr>
          <w:rFonts w:ascii="Arial" w:hAnsi="Arial" w:cs="Arial"/>
          <w:sz w:val="24"/>
          <w:szCs w:val="24"/>
        </w:rPr>
        <w:t xml:space="preserve">. The testimony of Detective Warrant Officer Kombungu was corroborated by Chief Inspector Popyeinawa in whose presence Kombungu </w:t>
      </w:r>
      <w:r w:rsidR="002072D1">
        <w:rPr>
          <w:rFonts w:ascii="Arial" w:hAnsi="Arial" w:cs="Arial"/>
          <w:sz w:val="24"/>
          <w:szCs w:val="24"/>
        </w:rPr>
        <w:t xml:space="preserve">ostensibly </w:t>
      </w:r>
      <w:r w:rsidRPr="00077FC7">
        <w:rPr>
          <w:rFonts w:ascii="Arial" w:hAnsi="Arial" w:cs="Arial"/>
          <w:sz w:val="24"/>
          <w:szCs w:val="24"/>
        </w:rPr>
        <w:t>warned and explained the right to the accused.</w:t>
      </w:r>
    </w:p>
    <w:p w:rsidR="00077FC7" w:rsidRPr="00077FC7" w:rsidRDefault="00077FC7" w:rsidP="003F05C4">
      <w:pPr>
        <w:spacing w:line="360" w:lineRule="auto"/>
        <w:jc w:val="both"/>
        <w:rPr>
          <w:rFonts w:ascii="Arial" w:hAnsi="Arial" w:cs="Arial"/>
          <w:sz w:val="24"/>
          <w:szCs w:val="24"/>
        </w:rPr>
      </w:pPr>
      <w:r w:rsidRPr="00077FC7">
        <w:rPr>
          <w:rFonts w:ascii="Arial" w:hAnsi="Arial" w:cs="Arial"/>
          <w:sz w:val="24"/>
          <w:szCs w:val="24"/>
        </w:rPr>
        <w:t>[7]</w:t>
      </w:r>
      <w:r w:rsidRPr="00077FC7">
        <w:rPr>
          <w:rFonts w:ascii="Arial" w:hAnsi="Arial" w:cs="Arial"/>
          <w:sz w:val="24"/>
          <w:szCs w:val="24"/>
        </w:rPr>
        <w:tab/>
        <w:t xml:space="preserve">Mr Campher further argued that the answers given by accused 2 in the warning statement did not amount to a confession but admissions </w:t>
      </w:r>
      <w:r w:rsidRPr="00042759">
        <w:rPr>
          <w:rFonts w:ascii="Arial" w:hAnsi="Arial" w:cs="Arial"/>
          <w:color w:val="000000" w:themeColor="text1"/>
          <w:sz w:val="24"/>
          <w:szCs w:val="24"/>
        </w:rPr>
        <w:t xml:space="preserve">under s 219 A of </w:t>
      </w:r>
      <w:r w:rsidRPr="00077FC7">
        <w:rPr>
          <w:rFonts w:ascii="Arial" w:hAnsi="Arial" w:cs="Arial"/>
          <w:sz w:val="24"/>
          <w:szCs w:val="24"/>
        </w:rPr>
        <w:t>the Criminal Procedure Ac</w:t>
      </w:r>
      <w:r w:rsidR="002072D1">
        <w:rPr>
          <w:rFonts w:ascii="Arial" w:hAnsi="Arial" w:cs="Arial"/>
          <w:sz w:val="24"/>
          <w:szCs w:val="24"/>
        </w:rPr>
        <w:t>t</w:t>
      </w:r>
      <w:r w:rsidR="003324E1">
        <w:rPr>
          <w:rStyle w:val="FootnoteReference"/>
          <w:rFonts w:ascii="Arial" w:hAnsi="Arial" w:cs="Arial"/>
          <w:sz w:val="24"/>
          <w:szCs w:val="24"/>
        </w:rPr>
        <w:footnoteReference w:id="1"/>
      </w:r>
      <w:r w:rsidRPr="00077FC7">
        <w:rPr>
          <w:rFonts w:ascii="Arial" w:hAnsi="Arial" w:cs="Arial"/>
          <w:sz w:val="24"/>
          <w:szCs w:val="24"/>
        </w:rPr>
        <w:t>. Similarly, Mr Campher argued that the warning statement of accused 1 should be admitted as evidence in the main trial.</w:t>
      </w:r>
    </w:p>
    <w:p w:rsidR="00077FC7" w:rsidRPr="00077FC7" w:rsidRDefault="00077FC7" w:rsidP="003F05C4">
      <w:pPr>
        <w:spacing w:line="360" w:lineRule="auto"/>
        <w:jc w:val="both"/>
        <w:rPr>
          <w:rFonts w:ascii="Arial" w:hAnsi="Arial" w:cs="Arial"/>
          <w:sz w:val="24"/>
          <w:szCs w:val="24"/>
        </w:rPr>
      </w:pPr>
      <w:r w:rsidRPr="00077FC7">
        <w:rPr>
          <w:rFonts w:ascii="Arial" w:hAnsi="Arial" w:cs="Arial"/>
          <w:sz w:val="24"/>
          <w:szCs w:val="24"/>
        </w:rPr>
        <w:t>[8]</w:t>
      </w:r>
      <w:r w:rsidRPr="00077FC7">
        <w:rPr>
          <w:rFonts w:ascii="Arial" w:hAnsi="Arial" w:cs="Arial"/>
          <w:sz w:val="24"/>
          <w:szCs w:val="24"/>
        </w:rPr>
        <w:tab/>
        <w:t xml:space="preserve">Further, counsel submitted that the warning statement of accused 6 was taken by Kombungu after he had explained to him his right not to incriminate himself, the right to engage a </w:t>
      </w:r>
      <w:r w:rsidR="002072D1">
        <w:rPr>
          <w:rFonts w:ascii="Arial" w:hAnsi="Arial" w:cs="Arial"/>
          <w:sz w:val="24"/>
          <w:szCs w:val="24"/>
        </w:rPr>
        <w:t>lawyer of his own choice and</w:t>
      </w:r>
      <w:r w:rsidRPr="00077FC7">
        <w:rPr>
          <w:rFonts w:ascii="Arial" w:hAnsi="Arial" w:cs="Arial"/>
          <w:sz w:val="24"/>
          <w:szCs w:val="24"/>
        </w:rPr>
        <w:t xml:space="preserve"> to apply for a legal aid legal practitioner.</w:t>
      </w:r>
    </w:p>
    <w:p w:rsidR="00077FC7" w:rsidRPr="00077FC7" w:rsidRDefault="00077FC7" w:rsidP="003F05C4">
      <w:pPr>
        <w:spacing w:line="360" w:lineRule="auto"/>
        <w:jc w:val="both"/>
        <w:rPr>
          <w:rFonts w:ascii="Arial" w:hAnsi="Arial" w:cs="Arial"/>
          <w:sz w:val="24"/>
          <w:szCs w:val="24"/>
        </w:rPr>
      </w:pPr>
      <w:r w:rsidRPr="00077FC7">
        <w:rPr>
          <w:rFonts w:ascii="Arial" w:hAnsi="Arial" w:cs="Arial"/>
          <w:sz w:val="24"/>
          <w:szCs w:val="24"/>
        </w:rPr>
        <w:lastRenderedPageBreak/>
        <w:t>[9]</w:t>
      </w:r>
      <w:r w:rsidRPr="00077FC7">
        <w:rPr>
          <w:rFonts w:ascii="Arial" w:hAnsi="Arial" w:cs="Arial"/>
          <w:sz w:val="24"/>
          <w:szCs w:val="24"/>
        </w:rPr>
        <w:tab/>
        <w:t>On her part</w:t>
      </w:r>
      <w:r w:rsidR="002072D1">
        <w:rPr>
          <w:rFonts w:ascii="Arial" w:hAnsi="Arial" w:cs="Arial"/>
          <w:sz w:val="24"/>
          <w:szCs w:val="24"/>
        </w:rPr>
        <w:t>,</w:t>
      </w:r>
      <w:r w:rsidRPr="00077FC7">
        <w:rPr>
          <w:rFonts w:ascii="Arial" w:hAnsi="Arial" w:cs="Arial"/>
          <w:sz w:val="24"/>
          <w:szCs w:val="24"/>
        </w:rPr>
        <w:t xml:space="preserve"> Ms Agenbach though, started off by referring to Article 12(1) of the Constitution which provides for a presumption of innocence until proven guilty and a right not to incriminate themselves, amongst others. Article 12(1) mainly deals with a fair trial, </w:t>
      </w:r>
      <w:r w:rsidR="002072D1">
        <w:rPr>
          <w:rFonts w:ascii="Arial" w:hAnsi="Arial" w:cs="Arial"/>
          <w:sz w:val="24"/>
          <w:szCs w:val="24"/>
        </w:rPr>
        <w:t>in a</w:t>
      </w:r>
      <w:r w:rsidRPr="00077FC7">
        <w:rPr>
          <w:rFonts w:ascii="Arial" w:hAnsi="Arial" w:cs="Arial"/>
          <w:sz w:val="24"/>
          <w:szCs w:val="24"/>
        </w:rPr>
        <w:t xml:space="preserve"> civil or in a criminal trial. She pointed out with reference to </w:t>
      </w:r>
      <w:r w:rsidRPr="002072D1">
        <w:rPr>
          <w:rFonts w:ascii="Arial" w:hAnsi="Arial" w:cs="Arial"/>
          <w:color w:val="000000" w:themeColor="text1"/>
          <w:sz w:val="24"/>
          <w:szCs w:val="24"/>
        </w:rPr>
        <w:t>case law</w:t>
      </w:r>
      <w:r w:rsidR="003324E1" w:rsidRPr="002072D1">
        <w:rPr>
          <w:rStyle w:val="FootnoteReference"/>
          <w:rFonts w:ascii="Arial" w:hAnsi="Arial" w:cs="Arial"/>
          <w:color w:val="000000" w:themeColor="text1"/>
          <w:sz w:val="24"/>
          <w:szCs w:val="24"/>
          <w:u w:val="single"/>
        </w:rPr>
        <w:footnoteReference w:id="2"/>
      </w:r>
      <w:r w:rsidRPr="002072D1">
        <w:rPr>
          <w:rFonts w:ascii="Arial" w:hAnsi="Arial" w:cs="Arial"/>
          <w:color w:val="000000" w:themeColor="text1"/>
          <w:sz w:val="24"/>
          <w:szCs w:val="24"/>
        </w:rPr>
        <w:t xml:space="preserve"> that </w:t>
      </w:r>
      <w:r w:rsidRPr="00077FC7">
        <w:rPr>
          <w:rFonts w:ascii="Arial" w:hAnsi="Arial" w:cs="Arial"/>
          <w:sz w:val="24"/>
          <w:szCs w:val="24"/>
        </w:rPr>
        <w:t>it is an obligation of the State to discharge its duty without any assistance from an accused or by making use of potential incriminating evidence from an accused person against constitutional and common law admissibility requirements. As a result, Ms Agenbach objected to the admission of the warning statements of accused 1 and 2 into record as evidence in the main trial.</w:t>
      </w:r>
    </w:p>
    <w:p w:rsidR="00077FC7" w:rsidRPr="00077FC7" w:rsidRDefault="00077FC7" w:rsidP="003F05C4">
      <w:pPr>
        <w:spacing w:line="360" w:lineRule="auto"/>
        <w:jc w:val="both"/>
        <w:rPr>
          <w:rFonts w:ascii="Arial" w:hAnsi="Arial" w:cs="Arial"/>
          <w:sz w:val="24"/>
          <w:szCs w:val="24"/>
        </w:rPr>
      </w:pPr>
      <w:r w:rsidRPr="00077FC7">
        <w:rPr>
          <w:rFonts w:ascii="Arial" w:hAnsi="Arial" w:cs="Arial"/>
          <w:sz w:val="24"/>
          <w:szCs w:val="24"/>
        </w:rPr>
        <w:t>[10]</w:t>
      </w:r>
      <w:r w:rsidRPr="00077FC7">
        <w:rPr>
          <w:rFonts w:ascii="Arial" w:hAnsi="Arial" w:cs="Arial"/>
          <w:sz w:val="24"/>
          <w:szCs w:val="24"/>
        </w:rPr>
        <w:tab/>
        <w:t>Counsel was adamant that Kombungu never explained to her clients their right to apply for a legal aid lawyer because the explanation does not appear on their warning statements. She contended that for the court to accept that the right to apply for a legal aid lawyer for whom they would not pay anything but would be provided and paid for by state, such an explanation has to be in writing on the warning statement of each accused person.</w:t>
      </w:r>
    </w:p>
    <w:p w:rsidR="00077FC7" w:rsidRPr="00077FC7" w:rsidRDefault="00077FC7" w:rsidP="003F05C4">
      <w:pPr>
        <w:spacing w:line="360" w:lineRule="auto"/>
        <w:jc w:val="both"/>
        <w:rPr>
          <w:rFonts w:ascii="Arial" w:hAnsi="Arial" w:cs="Arial"/>
          <w:sz w:val="24"/>
          <w:szCs w:val="24"/>
        </w:rPr>
      </w:pPr>
      <w:r w:rsidRPr="00077FC7">
        <w:rPr>
          <w:rFonts w:ascii="Arial" w:hAnsi="Arial" w:cs="Arial"/>
          <w:sz w:val="24"/>
          <w:szCs w:val="24"/>
        </w:rPr>
        <w:t>[11]</w:t>
      </w:r>
      <w:r w:rsidRPr="00077FC7">
        <w:rPr>
          <w:rFonts w:ascii="Arial" w:hAnsi="Arial" w:cs="Arial"/>
          <w:sz w:val="24"/>
          <w:szCs w:val="24"/>
        </w:rPr>
        <w:tab/>
        <w:t xml:space="preserve">Sentiments expressed by Ms Agenbach in her written heads as well as in her oral submissions, were echoed by Mr Neves counsel for accused 6. He also argued in his written heads of argument and oral submissions that his client Isaka Frederick Ntambilwa was not informed of his right to apply for legal aid in the event he was unable to afford a lawyer of his own choice. Such failure to inform his client </w:t>
      </w:r>
      <w:r w:rsidR="002072D1">
        <w:rPr>
          <w:rFonts w:ascii="Arial" w:hAnsi="Arial" w:cs="Arial"/>
          <w:sz w:val="24"/>
          <w:szCs w:val="24"/>
        </w:rPr>
        <w:t>his</w:t>
      </w:r>
      <w:r w:rsidRPr="00077FC7">
        <w:rPr>
          <w:rFonts w:ascii="Arial" w:hAnsi="Arial" w:cs="Arial"/>
          <w:sz w:val="24"/>
          <w:szCs w:val="24"/>
        </w:rPr>
        <w:t xml:space="preserve"> right, he argued, is a violation of Article 12 of the Constitution which provides for a fair trial and requested the court to consider POL 17 inadmissible. Mr Neves further attacked POL 17 forms on the grounds that the forms were not commissioned by a commissioner of oaths and that neither of the witnesses made a statement under oath in support of POL 17.</w:t>
      </w:r>
    </w:p>
    <w:p w:rsidR="00077FC7" w:rsidRPr="00077FC7" w:rsidRDefault="00077FC7" w:rsidP="003F05C4">
      <w:pPr>
        <w:spacing w:line="360" w:lineRule="auto"/>
        <w:jc w:val="both"/>
        <w:rPr>
          <w:rFonts w:ascii="Arial" w:hAnsi="Arial" w:cs="Arial"/>
          <w:sz w:val="24"/>
          <w:szCs w:val="24"/>
        </w:rPr>
      </w:pPr>
    </w:p>
    <w:p w:rsidR="00077FC7" w:rsidRPr="00077FC7" w:rsidRDefault="00077FC7" w:rsidP="003F05C4">
      <w:pPr>
        <w:spacing w:line="360" w:lineRule="auto"/>
        <w:jc w:val="both"/>
        <w:rPr>
          <w:rFonts w:ascii="Arial" w:hAnsi="Arial" w:cs="Arial"/>
          <w:sz w:val="24"/>
          <w:szCs w:val="24"/>
        </w:rPr>
      </w:pPr>
      <w:r w:rsidRPr="00077FC7">
        <w:rPr>
          <w:rFonts w:ascii="Arial" w:hAnsi="Arial" w:cs="Arial"/>
          <w:sz w:val="24"/>
          <w:szCs w:val="24"/>
        </w:rPr>
        <w:t>CONCLUSION</w:t>
      </w:r>
    </w:p>
    <w:p w:rsidR="00077FC7" w:rsidRPr="00077FC7" w:rsidRDefault="00077FC7" w:rsidP="003F05C4">
      <w:pPr>
        <w:spacing w:line="360" w:lineRule="auto"/>
        <w:jc w:val="both"/>
        <w:rPr>
          <w:rFonts w:ascii="Arial" w:hAnsi="Arial" w:cs="Arial"/>
          <w:sz w:val="24"/>
          <w:szCs w:val="24"/>
        </w:rPr>
      </w:pPr>
      <w:r w:rsidRPr="00077FC7">
        <w:rPr>
          <w:rFonts w:ascii="Arial" w:hAnsi="Arial" w:cs="Arial"/>
          <w:sz w:val="24"/>
          <w:szCs w:val="24"/>
        </w:rPr>
        <w:t>[12]</w:t>
      </w:r>
      <w:r w:rsidRPr="00077FC7">
        <w:rPr>
          <w:rFonts w:ascii="Arial" w:hAnsi="Arial" w:cs="Arial"/>
          <w:sz w:val="24"/>
          <w:szCs w:val="24"/>
        </w:rPr>
        <w:tab/>
        <w:t xml:space="preserve">Article 12 of the Constitution provides for a fair trial. A fair trial referred to in the Article is in respect of all parties involved. Both the state and the accused before court in a criminal trial are entitled to be </w:t>
      </w:r>
      <w:r w:rsidRPr="002072D1">
        <w:rPr>
          <w:rFonts w:ascii="Arial" w:hAnsi="Arial" w:cs="Arial"/>
          <w:color w:val="000000" w:themeColor="text1"/>
          <w:sz w:val="24"/>
          <w:szCs w:val="24"/>
        </w:rPr>
        <w:t xml:space="preserve">accorded a fair trial starting from pre-trial proceedings until the end of such trial. In </w:t>
      </w:r>
      <w:r w:rsidRPr="0095607C">
        <w:rPr>
          <w:rFonts w:ascii="Arial" w:hAnsi="Arial" w:cs="Arial"/>
          <w:i/>
          <w:color w:val="000000" w:themeColor="text1"/>
          <w:sz w:val="24"/>
          <w:szCs w:val="24"/>
        </w:rPr>
        <w:t>S vs Malumo and Others</w:t>
      </w:r>
      <w:r w:rsidR="003324E1" w:rsidRPr="0095607C">
        <w:rPr>
          <w:rStyle w:val="FootnoteReference"/>
          <w:rFonts w:ascii="Arial" w:hAnsi="Arial" w:cs="Arial"/>
          <w:color w:val="000000" w:themeColor="text1"/>
          <w:sz w:val="24"/>
          <w:szCs w:val="24"/>
        </w:rPr>
        <w:footnoteReference w:id="3"/>
      </w:r>
      <w:r w:rsidRPr="002072D1">
        <w:rPr>
          <w:rFonts w:ascii="Arial" w:hAnsi="Arial" w:cs="Arial"/>
          <w:color w:val="000000" w:themeColor="text1"/>
          <w:sz w:val="24"/>
          <w:szCs w:val="24"/>
          <w:u w:val="single"/>
        </w:rPr>
        <w:t xml:space="preserve"> </w:t>
      </w:r>
      <w:r w:rsidRPr="00077FC7">
        <w:rPr>
          <w:rFonts w:ascii="Arial" w:hAnsi="Arial" w:cs="Arial"/>
          <w:sz w:val="24"/>
          <w:szCs w:val="24"/>
        </w:rPr>
        <w:t xml:space="preserve">the court held that the entire </w:t>
      </w:r>
      <w:r w:rsidRPr="00077FC7">
        <w:rPr>
          <w:rFonts w:ascii="Arial" w:hAnsi="Arial" w:cs="Arial"/>
          <w:sz w:val="24"/>
          <w:szCs w:val="24"/>
        </w:rPr>
        <w:lastRenderedPageBreak/>
        <w:t>process of bringing an accused person to trial and the trial itself is subject to Article 12 of our Constitution. Such process must pass the test in the Article failing which may result in the whole process be declared null and void on the ground of irregular proceedings.</w:t>
      </w:r>
    </w:p>
    <w:p w:rsidR="00077FC7" w:rsidRPr="00077FC7" w:rsidRDefault="00077FC7" w:rsidP="003F05C4">
      <w:pPr>
        <w:spacing w:line="360" w:lineRule="auto"/>
        <w:jc w:val="both"/>
        <w:rPr>
          <w:rFonts w:ascii="Arial" w:hAnsi="Arial" w:cs="Arial"/>
          <w:sz w:val="24"/>
          <w:szCs w:val="24"/>
        </w:rPr>
      </w:pPr>
      <w:r w:rsidRPr="00077FC7">
        <w:rPr>
          <w:rFonts w:ascii="Arial" w:hAnsi="Arial" w:cs="Arial"/>
          <w:sz w:val="24"/>
          <w:szCs w:val="24"/>
        </w:rPr>
        <w:t>[13]</w:t>
      </w:r>
      <w:r w:rsidRPr="00077FC7">
        <w:rPr>
          <w:rFonts w:ascii="Arial" w:hAnsi="Arial" w:cs="Arial"/>
          <w:sz w:val="24"/>
          <w:szCs w:val="24"/>
        </w:rPr>
        <w:tab/>
        <w:t>In the present proceedings, the court will also apply the</w:t>
      </w:r>
      <w:r w:rsidR="002072D1">
        <w:rPr>
          <w:rFonts w:ascii="Arial" w:hAnsi="Arial" w:cs="Arial"/>
          <w:sz w:val="24"/>
          <w:szCs w:val="24"/>
        </w:rPr>
        <w:t xml:space="preserve"> above</w:t>
      </w:r>
      <w:r w:rsidRPr="00077FC7">
        <w:rPr>
          <w:rFonts w:ascii="Arial" w:hAnsi="Arial" w:cs="Arial"/>
          <w:sz w:val="24"/>
          <w:szCs w:val="24"/>
        </w:rPr>
        <w:t xml:space="preserve"> test to the whole process of how the accused w</w:t>
      </w:r>
      <w:r w:rsidR="00FA3686">
        <w:rPr>
          <w:rFonts w:ascii="Arial" w:hAnsi="Arial" w:cs="Arial"/>
          <w:sz w:val="24"/>
          <w:szCs w:val="24"/>
        </w:rPr>
        <w:t>ere</w:t>
      </w:r>
      <w:r w:rsidRPr="00077FC7">
        <w:rPr>
          <w:rFonts w:ascii="Arial" w:hAnsi="Arial" w:cs="Arial"/>
          <w:sz w:val="24"/>
          <w:szCs w:val="24"/>
        </w:rPr>
        <w:t xml:space="preserve"> brought to trial starting from time of their arrests. If the process found not to have passed the test in Article 12, the court will not allow the warning statements to be part of the court proceedings.</w:t>
      </w:r>
    </w:p>
    <w:p w:rsidR="00077FC7" w:rsidRPr="002A2B49" w:rsidRDefault="00077FC7" w:rsidP="003F05C4">
      <w:pPr>
        <w:spacing w:line="360" w:lineRule="auto"/>
        <w:jc w:val="both"/>
        <w:rPr>
          <w:rFonts w:ascii="Arial" w:hAnsi="Arial" w:cs="Arial"/>
          <w:color w:val="000000" w:themeColor="text1"/>
          <w:sz w:val="24"/>
          <w:szCs w:val="24"/>
        </w:rPr>
      </w:pPr>
    </w:p>
    <w:p w:rsidR="00077FC7" w:rsidRPr="002A2B49" w:rsidRDefault="00077FC7" w:rsidP="003F05C4">
      <w:pPr>
        <w:spacing w:line="360" w:lineRule="auto"/>
        <w:jc w:val="both"/>
        <w:rPr>
          <w:rFonts w:ascii="Arial" w:hAnsi="Arial" w:cs="Arial"/>
          <w:color w:val="000000" w:themeColor="text1"/>
          <w:sz w:val="24"/>
          <w:szCs w:val="24"/>
        </w:rPr>
      </w:pPr>
      <w:r w:rsidRPr="002A2B49">
        <w:rPr>
          <w:rFonts w:ascii="Arial" w:hAnsi="Arial" w:cs="Arial"/>
          <w:color w:val="000000" w:themeColor="text1"/>
          <w:sz w:val="24"/>
          <w:szCs w:val="24"/>
        </w:rPr>
        <w:t>[14]</w:t>
      </w:r>
      <w:r w:rsidRPr="002A2B49">
        <w:rPr>
          <w:rFonts w:ascii="Arial" w:hAnsi="Arial" w:cs="Arial"/>
          <w:color w:val="000000" w:themeColor="text1"/>
          <w:sz w:val="24"/>
          <w:szCs w:val="24"/>
        </w:rPr>
        <w:tab/>
        <w:t xml:space="preserve">In </w:t>
      </w:r>
      <w:r w:rsidRPr="0095607C">
        <w:rPr>
          <w:rFonts w:ascii="Arial" w:hAnsi="Arial" w:cs="Arial"/>
          <w:i/>
          <w:color w:val="000000" w:themeColor="text1"/>
          <w:sz w:val="24"/>
          <w:szCs w:val="24"/>
        </w:rPr>
        <w:t>S v Kapika and Others</w:t>
      </w:r>
      <w:r w:rsidR="003324E1" w:rsidRPr="002A2B49">
        <w:rPr>
          <w:rStyle w:val="FootnoteReference"/>
          <w:rFonts w:ascii="Arial" w:hAnsi="Arial" w:cs="Arial"/>
          <w:color w:val="000000" w:themeColor="text1"/>
          <w:sz w:val="24"/>
          <w:szCs w:val="24"/>
        </w:rPr>
        <w:footnoteReference w:id="4"/>
      </w:r>
      <w:r w:rsidR="002072D1" w:rsidRPr="002A2B49">
        <w:rPr>
          <w:rFonts w:ascii="Arial" w:hAnsi="Arial" w:cs="Arial"/>
          <w:color w:val="000000" w:themeColor="text1"/>
          <w:sz w:val="24"/>
          <w:szCs w:val="24"/>
        </w:rPr>
        <w:t xml:space="preserve">, </w:t>
      </w:r>
      <w:r w:rsidRPr="002A2B49">
        <w:rPr>
          <w:rFonts w:ascii="Arial" w:hAnsi="Arial" w:cs="Arial"/>
          <w:color w:val="000000" w:themeColor="text1"/>
          <w:sz w:val="24"/>
          <w:szCs w:val="24"/>
        </w:rPr>
        <w:t xml:space="preserve">Mtambanengwe J with reference </w:t>
      </w:r>
      <w:r w:rsidR="00E0761B">
        <w:rPr>
          <w:rFonts w:ascii="Arial" w:hAnsi="Arial" w:cs="Arial"/>
          <w:color w:val="000000" w:themeColor="text1"/>
          <w:sz w:val="24"/>
          <w:szCs w:val="24"/>
        </w:rPr>
        <w:t xml:space="preserve">to </w:t>
      </w:r>
      <w:r w:rsidR="00E0761B" w:rsidRPr="0095607C">
        <w:rPr>
          <w:rFonts w:ascii="Arial" w:hAnsi="Arial" w:cs="Arial"/>
          <w:i/>
          <w:color w:val="000000" w:themeColor="text1"/>
          <w:sz w:val="24"/>
          <w:szCs w:val="24"/>
        </w:rPr>
        <w:t>S v Melan</w:t>
      </w:r>
      <w:r w:rsidR="00FC7ECC" w:rsidRPr="0095607C">
        <w:rPr>
          <w:rFonts w:ascii="Arial" w:hAnsi="Arial" w:cs="Arial"/>
          <w:i/>
          <w:color w:val="000000" w:themeColor="text1"/>
          <w:sz w:val="24"/>
          <w:szCs w:val="24"/>
        </w:rPr>
        <w:t>i</w:t>
      </w:r>
      <w:r w:rsidR="00FC7ECC">
        <w:rPr>
          <w:rFonts w:ascii="Arial" w:hAnsi="Arial" w:cs="Arial"/>
          <w:color w:val="000000" w:themeColor="text1"/>
          <w:sz w:val="24"/>
          <w:szCs w:val="24"/>
        </w:rPr>
        <w:t xml:space="preserve"> </w:t>
      </w:r>
      <w:r w:rsidR="00EA2ED0" w:rsidRPr="002A2B49">
        <w:rPr>
          <w:rFonts w:ascii="Arial" w:hAnsi="Arial" w:cs="Arial"/>
          <w:color w:val="000000" w:themeColor="text1"/>
          <w:sz w:val="24"/>
          <w:szCs w:val="24"/>
        </w:rPr>
        <w:t>said the following</w:t>
      </w:r>
      <w:r w:rsidR="00EA2ED0" w:rsidRPr="00C05B70">
        <w:rPr>
          <w:rFonts w:ascii="Arial" w:hAnsi="Arial" w:cs="Arial"/>
          <w:sz w:val="24"/>
          <w:szCs w:val="24"/>
        </w:rPr>
        <w:t xml:space="preserve"> </w:t>
      </w:r>
      <w:r w:rsidR="00FC7ECC" w:rsidRPr="00C05B70">
        <w:rPr>
          <w:rFonts w:ascii="Arial" w:hAnsi="Arial" w:cs="Arial"/>
          <w:sz w:val="24"/>
          <w:szCs w:val="24"/>
        </w:rPr>
        <w:t>‘We live under a constitutional regime like South Africa, the relevant provisions of whose constitution i.e. the bill of rights, are similar to ours. In this connection many recent cases in South Africa have emphasised the need for an Accused person to be informed of his constitutional rights and to be afforded the opportunity of exercising the same at pre-tria</w:t>
      </w:r>
      <w:r w:rsidR="0095607C">
        <w:rPr>
          <w:rFonts w:ascii="Arial" w:hAnsi="Arial" w:cs="Arial"/>
          <w:sz w:val="24"/>
          <w:szCs w:val="24"/>
        </w:rPr>
        <w:t xml:space="preserve">l proceedings. See for example </w:t>
      </w:r>
      <w:r w:rsidR="0095607C" w:rsidRPr="0095607C">
        <w:rPr>
          <w:rFonts w:ascii="Arial" w:hAnsi="Arial" w:cs="Arial"/>
          <w:i/>
          <w:sz w:val="24"/>
          <w:szCs w:val="24"/>
        </w:rPr>
        <w:t>S</w:t>
      </w:r>
      <w:r w:rsidR="00FC7ECC" w:rsidRPr="0095607C">
        <w:rPr>
          <w:rFonts w:ascii="Arial" w:hAnsi="Arial" w:cs="Arial"/>
          <w:i/>
          <w:sz w:val="24"/>
          <w:szCs w:val="24"/>
        </w:rPr>
        <w:t xml:space="preserve"> v Mathebula and Another</w:t>
      </w:r>
      <w:r w:rsidR="00FC7ECC" w:rsidRPr="00C05B70">
        <w:rPr>
          <w:rFonts w:ascii="Arial" w:hAnsi="Arial" w:cs="Arial"/>
          <w:sz w:val="24"/>
          <w:szCs w:val="24"/>
        </w:rPr>
        <w:t xml:space="preserve"> 1997 (1) SACR 10 (W) at 18 – 19; </w:t>
      </w:r>
      <w:r w:rsidR="00FA3686">
        <w:rPr>
          <w:rFonts w:ascii="Arial" w:hAnsi="Arial" w:cs="Arial"/>
          <w:i/>
          <w:sz w:val="24"/>
          <w:szCs w:val="24"/>
        </w:rPr>
        <w:t>S V A</w:t>
      </w:r>
      <w:r w:rsidR="00FC7ECC" w:rsidRPr="0095607C">
        <w:rPr>
          <w:rFonts w:ascii="Arial" w:hAnsi="Arial" w:cs="Arial"/>
          <w:i/>
          <w:sz w:val="24"/>
          <w:szCs w:val="24"/>
        </w:rPr>
        <w:t>g</w:t>
      </w:r>
      <w:r w:rsidR="00FA3686">
        <w:rPr>
          <w:rFonts w:ascii="Arial" w:hAnsi="Arial" w:cs="Arial"/>
          <w:i/>
          <w:sz w:val="24"/>
          <w:szCs w:val="24"/>
        </w:rPr>
        <w:t>n</w:t>
      </w:r>
      <w:r w:rsidR="00FC7ECC" w:rsidRPr="0095607C">
        <w:rPr>
          <w:rFonts w:ascii="Arial" w:hAnsi="Arial" w:cs="Arial"/>
          <w:i/>
          <w:sz w:val="24"/>
          <w:szCs w:val="24"/>
        </w:rPr>
        <w:t>ew and Another</w:t>
      </w:r>
      <w:r w:rsidR="00FC7ECC" w:rsidRPr="00C05B70">
        <w:rPr>
          <w:rFonts w:ascii="Arial" w:hAnsi="Arial" w:cs="Arial"/>
          <w:sz w:val="24"/>
          <w:szCs w:val="24"/>
        </w:rPr>
        <w:t xml:space="preserve"> 1996 (2) SACR 535 (C); </w:t>
      </w:r>
      <w:r w:rsidR="00FC7ECC" w:rsidRPr="0095607C">
        <w:rPr>
          <w:rFonts w:ascii="Arial" w:hAnsi="Arial" w:cs="Arial"/>
          <w:i/>
          <w:sz w:val="24"/>
          <w:szCs w:val="24"/>
        </w:rPr>
        <w:t>S v Melani and Others</w:t>
      </w:r>
      <w:r w:rsidR="00FC7ECC" w:rsidRPr="00C05B70">
        <w:rPr>
          <w:rFonts w:ascii="Arial" w:hAnsi="Arial" w:cs="Arial"/>
          <w:sz w:val="24"/>
          <w:szCs w:val="24"/>
        </w:rPr>
        <w:t xml:space="preserve"> 1996 (1) SACR 335 (E) at 347 e –</w:t>
      </w:r>
      <w:r w:rsidR="004A2078" w:rsidRPr="002A2B49">
        <w:rPr>
          <w:rStyle w:val="FootnoteReference"/>
          <w:rFonts w:ascii="Arial" w:hAnsi="Arial" w:cs="Arial"/>
          <w:color w:val="000000" w:themeColor="text1"/>
          <w:sz w:val="24"/>
          <w:szCs w:val="24"/>
        </w:rPr>
        <w:footnoteReference w:id="5"/>
      </w:r>
      <w:r w:rsidR="00FC7ECC">
        <w:rPr>
          <w:rFonts w:ascii="Arial" w:hAnsi="Arial" w:cs="Arial"/>
          <w:sz w:val="24"/>
          <w:szCs w:val="24"/>
        </w:rPr>
        <w:t>‘</w:t>
      </w:r>
      <w:r w:rsidR="002072D1" w:rsidRPr="002A2B49">
        <w:rPr>
          <w:rFonts w:ascii="Arial" w:hAnsi="Arial" w:cs="Arial"/>
          <w:color w:val="000000" w:themeColor="text1"/>
          <w:sz w:val="24"/>
          <w:szCs w:val="24"/>
        </w:rPr>
        <w:t xml:space="preserve">. </w:t>
      </w:r>
      <w:r w:rsidRPr="002A2B49">
        <w:rPr>
          <w:rFonts w:ascii="Arial" w:hAnsi="Arial" w:cs="Arial"/>
          <w:color w:val="000000" w:themeColor="text1"/>
          <w:sz w:val="24"/>
          <w:szCs w:val="24"/>
        </w:rPr>
        <w:t xml:space="preserve">See also </w:t>
      </w:r>
      <w:r w:rsidR="002072D1" w:rsidRPr="002A2B49">
        <w:rPr>
          <w:rFonts w:ascii="Arial" w:hAnsi="Arial" w:cs="Arial"/>
          <w:color w:val="000000" w:themeColor="text1"/>
          <w:sz w:val="24"/>
          <w:szCs w:val="24"/>
        </w:rPr>
        <w:t>S v Tobias Nahenda</w:t>
      </w:r>
      <w:r w:rsidR="004A2078" w:rsidRPr="002A2B49">
        <w:rPr>
          <w:rStyle w:val="FootnoteReference"/>
          <w:rFonts w:ascii="Arial" w:hAnsi="Arial" w:cs="Arial"/>
          <w:color w:val="000000" w:themeColor="text1"/>
          <w:sz w:val="24"/>
          <w:szCs w:val="24"/>
        </w:rPr>
        <w:footnoteReference w:id="6"/>
      </w:r>
      <w:r w:rsidR="002A2B49" w:rsidRPr="002A2B49">
        <w:rPr>
          <w:rFonts w:ascii="Arial" w:hAnsi="Arial" w:cs="Arial"/>
          <w:color w:val="000000" w:themeColor="text1"/>
          <w:sz w:val="24"/>
          <w:szCs w:val="24"/>
        </w:rPr>
        <w:t>.</w:t>
      </w:r>
    </w:p>
    <w:p w:rsidR="00077FC7" w:rsidRPr="00077FC7" w:rsidRDefault="00077FC7" w:rsidP="003F05C4">
      <w:pPr>
        <w:spacing w:line="360" w:lineRule="auto"/>
        <w:jc w:val="both"/>
        <w:rPr>
          <w:rFonts w:ascii="Arial" w:hAnsi="Arial" w:cs="Arial"/>
          <w:sz w:val="24"/>
          <w:szCs w:val="24"/>
        </w:rPr>
      </w:pPr>
      <w:r w:rsidRPr="002A2B49">
        <w:rPr>
          <w:rFonts w:ascii="Arial" w:hAnsi="Arial" w:cs="Arial"/>
          <w:color w:val="000000" w:themeColor="text1"/>
          <w:sz w:val="24"/>
          <w:szCs w:val="24"/>
        </w:rPr>
        <w:t>[15]</w:t>
      </w:r>
      <w:r w:rsidRPr="002A2B49">
        <w:rPr>
          <w:rFonts w:ascii="Arial" w:hAnsi="Arial" w:cs="Arial"/>
          <w:color w:val="000000" w:themeColor="text1"/>
          <w:sz w:val="24"/>
          <w:szCs w:val="24"/>
        </w:rPr>
        <w:tab/>
        <w:t xml:space="preserve">The Supreme Court in the matter of </w:t>
      </w:r>
      <w:r w:rsidRPr="0095607C">
        <w:rPr>
          <w:rFonts w:ascii="Arial" w:hAnsi="Arial" w:cs="Arial"/>
          <w:i/>
          <w:color w:val="000000" w:themeColor="text1"/>
          <w:sz w:val="24"/>
          <w:szCs w:val="24"/>
        </w:rPr>
        <w:t>Deon Engelbrecght v The State</w:t>
      </w:r>
      <w:r w:rsidR="004A2078" w:rsidRPr="002A2B49">
        <w:rPr>
          <w:rStyle w:val="FootnoteReference"/>
          <w:rFonts w:ascii="Arial" w:hAnsi="Arial" w:cs="Arial"/>
          <w:color w:val="000000" w:themeColor="text1"/>
          <w:sz w:val="24"/>
          <w:szCs w:val="24"/>
        </w:rPr>
        <w:footnoteReference w:id="7"/>
      </w:r>
      <w:r w:rsidRPr="002A2B49">
        <w:rPr>
          <w:rFonts w:ascii="Arial" w:hAnsi="Arial" w:cs="Arial"/>
          <w:color w:val="000000" w:themeColor="text1"/>
          <w:sz w:val="24"/>
          <w:szCs w:val="24"/>
        </w:rPr>
        <w:t xml:space="preserve"> held </w:t>
      </w:r>
      <w:r w:rsidRPr="00077FC7">
        <w:rPr>
          <w:rFonts w:ascii="Arial" w:hAnsi="Arial" w:cs="Arial"/>
          <w:sz w:val="24"/>
          <w:szCs w:val="24"/>
        </w:rPr>
        <w:t>amongst others that while the justice of the peace warned the appellant of his right to legal representation, he failed to record the response of the appellant to the warning and that he was a poor witness in his oral evidence on that point, he could not recall whether the appellant wanted a legal representation of his choice or that funded by the State.</w:t>
      </w:r>
    </w:p>
    <w:p w:rsidR="00077FC7" w:rsidRPr="00077FC7" w:rsidRDefault="00077FC7" w:rsidP="003F05C4">
      <w:pPr>
        <w:spacing w:line="360" w:lineRule="auto"/>
        <w:jc w:val="both"/>
        <w:rPr>
          <w:rFonts w:ascii="Arial" w:hAnsi="Arial" w:cs="Arial"/>
          <w:sz w:val="24"/>
          <w:szCs w:val="24"/>
        </w:rPr>
      </w:pPr>
      <w:r w:rsidRPr="00077FC7">
        <w:rPr>
          <w:rFonts w:ascii="Arial" w:hAnsi="Arial" w:cs="Arial"/>
          <w:sz w:val="24"/>
          <w:szCs w:val="24"/>
        </w:rPr>
        <w:t>[16]</w:t>
      </w:r>
      <w:r w:rsidRPr="00077FC7">
        <w:rPr>
          <w:rFonts w:ascii="Arial" w:hAnsi="Arial" w:cs="Arial"/>
          <w:sz w:val="24"/>
          <w:szCs w:val="24"/>
        </w:rPr>
        <w:tab/>
      </w:r>
      <w:r w:rsidR="003324E1">
        <w:rPr>
          <w:rFonts w:ascii="Arial" w:hAnsi="Arial" w:cs="Arial"/>
          <w:sz w:val="24"/>
          <w:szCs w:val="24"/>
        </w:rPr>
        <w:t>The court further</w:t>
      </w:r>
      <w:r w:rsidRPr="00077FC7">
        <w:rPr>
          <w:rFonts w:ascii="Arial" w:hAnsi="Arial" w:cs="Arial"/>
          <w:sz w:val="24"/>
          <w:szCs w:val="24"/>
        </w:rPr>
        <w:t xml:space="preserve">, held that the court has a discretion to allow or exclude the unconstitutionally obtained evidence or evidence in conflict with the constitutional right for reasons of public policy and that no exclusionary rule is adopted in exercising the court's inherent power in ensuring a fair trial. Furthermore, the court held that it is now settled law that an accused person under arrest depending on the facts of each case, in particular the personality and the characteristics of the particular </w:t>
      </w:r>
      <w:r w:rsidRPr="00EA2ED0">
        <w:rPr>
          <w:rFonts w:ascii="Arial" w:hAnsi="Arial" w:cs="Arial"/>
          <w:i/>
          <w:sz w:val="24"/>
          <w:szCs w:val="24"/>
        </w:rPr>
        <w:t xml:space="preserve">accused should be </w:t>
      </w:r>
      <w:r w:rsidRPr="00EA2ED0">
        <w:rPr>
          <w:rFonts w:ascii="Arial" w:hAnsi="Arial" w:cs="Arial"/>
          <w:i/>
          <w:sz w:val="24"/>
          <w:szCs w:val="24"/>
        </w:rPr>
        <w:lastRenderedPageBreak/>
        <w:t>comprehensively informed of his/ her right to legal representation, which includes the right to apply for legal aid; that failure to inform the accused properly of his right to consult there and then with a legal representative violates a fundamental right of the accused</w:t>
      </w:r>
      <w:r w:rsidRPr="00077FC7">
        <w:rPr>
          <w:rFonts w:ascii="Arial" w:hAnsi="Arial" w:cs="Arial"/>
          <w:sz w:val="24"/>
          <w:szCs w:val="24"/>
        </w:rPr>
        <w:t>.</w:t>
      </w:r>
      <w:r w:rsidR="002A2B49">
        <w:rPr>
          <w:rFonts w:ascii="Arial" w:hAnsi="Arial" w:cs="Arial"/>
          <w:sz w:val="24"/>
          <w:szCs w:val="24"/>
        </w:rPr>
        <w:t xml:space="preserve"> (Emphasis added)</w:t>
      </w:r>
    </w:p>
    <w:p w:rsidR="00077FC7" w:rsidRPr="00077FC7" w:rsidRDefault="00077FC7" w:rsidP="003F05C4">
      <w:pPr>
        <w:spacing w:line="360" w:lineRule="auto"/>
        <w:jc w:val="both"/>
        <w:rPr>
          <w:rFonts w:ascii="Arial" w:hAnsi="Arial" w:cs="Arial"/>
          <w:sz w:val="24"/>
          <w:szCs w:val="24"/>
        </w:rPr>
      </w:pPr>
      <w:r w:rsidRPr="00077FC7">
        <w:rPr>
          <w:rFonts w:ascii="Arial" w:hAnsi="Arial" w:cs="Arial"/>
          <w:sz w:val="24"/>
          <w:szCs w:val="24"/>
        </w:rPr>
        <w:t>[17]</w:t>
      </w:r>
      <w:r w:rsidRPr="00077FC7">
        <w:rPr>
          <w:rFonts w:ascii="Arial" w:hAnsi="Arial" w:cs="Arial"/>
          <w:sz w:val="24"/>
          <w:szCs w:val="24"/>
        </w:rPr>
        <w:tab/>
        <w:t>There is no doubt in my mind that the case law referred to above and principles applied therein are applicable to the facts of the present matter. Even though witnesses called by the state testified that the right to apply for legal aid was explained to them, Warrant Officer Kombungu failed to record it to serve as proof that indeed he informed the accused the right to apply for legal aid. In fact, the facts in the matter at hand</w:t>
      </w:r>
      <w:r w:rsidR="00604B8F">
        <w:rPr>
          <w:rFonts w:ascii="Arial" w:hAnsi="Arial" w:cs="Arial"/>
          <w:sz w:val="24"/>
          <w:szCs w:val="24"/>
        </w:rPr>
        <w:t xml:space="preserve"> and those in the Deon Engelbre</w:t>
      </w:r>
      <w:r w:rsidRPr="00077FC7">
        <w:rPr>
          <w:rFonts w:ascii="Arial" w:hAnsi="Arial" w:cs="Arial"/>
          <w:sz w:val="24"/>
          <w:szCs w:val="24"/>
        </w:rPr>
        <w:t>ght matter are almost similar, save for the fact that in that matter a confession was involved while in this one, warning statements are involved.</w:t>
      </w:r>
    </w:p>
    <w:p w:rsidR="00077FC7" w:rsidRPr="00077FC7" w:rsidRDefault="00077FC7" w:rsidP="003F05C4">
      <w:pPr>
        <w:spacing w:line="360" w:lineRule="auto"/>
        <w:jc w:val="both"/>
        <w:rPr>
          <w:rFonts w:ascii="Arial" w:hAnsi="Arial" w:cs="Arial"/>
          <w:sz w:val="24"/>
          <w:szCs w:val="24"/>
        </w:rPr>
      </w:pPr>
      <w:r w:rsidRPr="00077FC7">
        <w:rPr>
          <w:rFonts w:ascii="Arial" w:hAnsi="Arial" w:cs="Arial"/>
          <w:sz w:val="24"/>
          <w:szCs w:val="24"/>
        </w:rPr>
        <w:t>[18]</w:t>
      </w:r>
      <w:r w:rsidRPr="00077FC7">
        <w:rPr>
          <w:rFonts w:ascii="Arial" w:hAnsi="Arial" w:cs="Arial"/>
          <w:sz w:val="24"/>
          <w:szCs w:val="24"/>
        </w:rPr>
        <w:tab/>
      </w:r>
      <w:r w:rsidR="003324E1">
        <w:rPr>
          <w:rFonts w:ascii="Arial" w:hAnsi="Arial" w:cs="Arial"/>
          <w:sz w:val="24"/>
          <w:szCs w:val="24"/>
        </w:rPr>
        <w:t>Therefore</w:t>
      </w:r>
      <w:r w:rsidRPr="00077FC7">
        <w:rPr>
          <w:rFonts w:ascii="Arial" w:hAnsi="Arial" w:cs="Arial"/>
          <w:sz w:val="24"/>
          <w:szCs w:val="24"/>
        </w:rPr>
        <w:t>,</w:t>
      </w:r>
      <w:r w:rsidR="003324E1">
        <w:rPr>
          <w:rFonts w:ascii="Arial" w:hAnsi="Arial" w:cs="Arial"/>
          <w:sz w:val="24"/>
          <w:szCs w:val="24"/>
        </w:rPr>
        <w:t xml:space="preserve"> </w:t>
      </w:r>
      <w:r w:rsidRPr="00077FC7">
        <w:rPr>
          <w:rFonts w:ascii="Arial" w:hAnsi="Arial" w:cs="Arial"/>
          <w:sz w:val="24"/>
          <w:szCs w:val="24"/>
        </w:rPr>
        <w:t>and in view of what has been stated above, in</w:t>
      </w:r>
      <w:r w:rsidR="003324E1">
        <w:rPr>
          <w:rFonts w:ascii="Arial" w:hAnsi="Arial" w:cs="Arial"/>
          <w:sz w:val="24"/>
          <w:szCs w:val="24"/>
        </w:rPr>
        <w:t xml:space="preserve"> particular the law principles </w:t>
      </w:r>
      <w:r w:rsidRPr="00077FC7">
        <w:rPr>
          <w:rFonts w:ascii="Arial" w:hAnsi="Arial" w:cs="Arial"/>
          <w:sz w:val="24"/>
          <w:szCs w:val="24"/>
        </w:rPr>
        <w:t>applied in cases cited as well as those provided in Article 12 of the Constitution</w:t>
      </w:r>
      <w:r w:rsidR="003324E1">
        <w:rPr>
          <w:rFonts w:ascii="Arial" w:hAnsi="Arial" w:cs="Arial"/>
          <w:sz w:val="24"/>
          <w:szCs w:val="24"/>
        </w:rPr>
        <w:t>,</w:t>
      </w:r>
      <w:r w:rsidRPr="00077FC7">
        <w:rPr>
          <w:rFonts w:ascii="Arial" w:hAnsi="Arial" w:cs="Arial"/>
          <w:sz w:val="24"/>
          <w:szCs w:val="24"/>
        </w:rPr>
        <w:t xml:space="preserve"> I come to the conclusion that the state failed to prove</w:t>
      </w:r>
      <w:r w:rsidR="000864BE">
        <w:rPr>
          <w:rFonts w:ascii="Arial" w:hAnsi="Arial" w:cs="Arial"/>
          <w:sz w:val="24"/>
          <w:szCs w:val="24"/>
        </w:rPr>
        <w:t xml:space="preserve"> beyond reasonable doubt</w:t>
      </w:r>
      <w:r w:rsidRPr="00077FC7">
        <w:rPr>
          <w:rFonts w:ascii="Arial" w:hAnsi="Arial" w:cs="Arial"/>
          <w:sz w:val="24"/>
          <w:szCs w:val="24"/>
        </w:rPr>
        <w:t xml:space="preserve"> that the right not to incriminate themselves and to apply for a legal aid funded lawyer was explained to tho accused whose warning statements have been objected to, that allowing the warning statements into evidence in the main trial will </w:t>
      </w:r>
      <w:r w:rsidR="000864BE">
        <w:rPr>
          <w:rFonts w:ascii="Arial" w:hAnsi="Arial" w:cs="Arial"/>
          <w:sz w:val="24"/>
          <w:szCs w:val="24"/>
        </w:rPr>
        <w:t xml:space="preserve">not </w:t>
      </w:r>
      <w:r w:rsidRPr="00077FC7">
        <w:rPr>
          <w:rFonts w:ascii="Arial" w:hAnsi="Arial" w:cs="Arial"/>
          <w:sz w:val="24"/>
          <w:szCs w:val="24"/>
        </w:rPr>
        <w:t>deny the accused persons their constitutional right to a fair trial.</w:t>
      </w:r>
    </w:p>
    <w:p w:rsidR="00077FC7" w:rsidRPr="00077FC7" w:rsidRDefault="00077FC7" w:rsidP="003F05C4">
      <w:pPr>
        <w:spacing w:line="360" w:lineRule="auto"/>
        <w:jc w:val="both"/>
        <w:rPr>
          <w:rFonts w:ascii="Arial" w:hAnsi="Arial" w:cs="Arial"/>
          <w:sz w:val="24"/>
          <w:szCs w:val="24"/>
        </w:rPr>
      </w:pPr>
      <w:r w:rsidRPr="00077FC7">
        <w:rPr>
          <w:rFonts w:ascii="Arial" w:hAnsi="Arial" w:cs="Arial"/>
          <w:sz w:val="24"/>
          <w:szCs w:val="24"/>
        </w:rPr>
        <w:t>[19]</w:t>
      </w:r>
      <w:r w:rsidRPr="00077FC7">
        <w:rPr>
          <w:rFonts w:ascii="Arial" w:hAnsi="Arial" w:cs="Arial"/>
          <w:sz w:val="24"/>
          <w:szCs w:val="24"/>
        </w:rPr>
        <w:tab/>
        <w:t>The warning statements could also not be allowed for dif</w:t>
      </w:r>
      <w:r w:rsidR="000864BE">
        <w:rPr>
          <w:rFonts w:ascii="Arial" w:hAnsi="Arial" w:cs="Arial"/>
          <w:sz w:val="24"/>
          <w:szCs w:val="24"/>
        </w:rPr>
        <w:t>ferent reasons one such reason being</w:t>
      </w:r>
      <w:r w:rsidRPr="00077FC7">
        <w:rPr>
          <w:rFonts w:ascii="Arial" w:hAnsi="Arial" w:cs="Arial"/>
          <w:sz w:val="24"/>
          <w:szCs w:val="24"/>
        </w:rPr>
        <w:t xml:space="preserve"> that warrant officer Kombungu proceeded to ask questions eliciting from the accused persons self-incriminating answers despite the proforma forms of the warning statements providing in brackets that questions be asked after consultation with their legal practitioners.</w:t>
      </w:r>
    </w:p>
    <w:p w:rsidR="00077FC7" w:rsidRPr="00077FC7" w:rsidRDefault="00077FC7" w:rsidP="003F05C4">
      <w:pPr>
        <w:spacing w:line="360" w:lineRule="auto"/>
        <w:jc w:val="both"/>
        <w:rPr>
          <w:rFonts w:ascii="Arial" w:hAnsi="Arial" w:cs="Arial"/>
          <w:sz w:val="24"/>
          <w:szCs w:val="24"/>
        </w:rPr>
      </w:pPr>
      <w:r w:rsidRPr="00077FC7">
        <w:rPr>
          <w:rFonts w:ascii="Arial" w:hAnsi="Arial" w:cs="Arial"/>
          <w:sz w:val="24"/>
          <w:szCs w:val="24"/>
        </w:rPr>
        <w:t>[20]</w:t>
      </w:r>
      <w:r w:rsidRPr="00077FC7">
        <w:rPr>
          <w:rFonts w:ascii="Arial" w:hAnsi="Arial" w:cs="Arial"/>
          <w:sz w:val="24"/>
          <w:szCs w:val="24"/>
        </w:rPr>
        <w:tab/>
        <w:t>That said, the following order is made:</w:t>
      </w:r>
    </w:p>
    <w:p w:rsidR="00077FC7" w:rsidRPr="00077FC7" w:rsidRDefault="00077FC7" w:rsidP="003F05C4">
      <w:pPr>
        <w:spacing w:line="360" w:lineRule="auto"/>
        <w:ind w:left="709" w:firstLine="11"/>
        <w:jc w:val="both"/>
        <w:rPr>
          <w:rFonts w:ascii="Arial" w:hAnsi="Arial" w:cs="Arial"/>
          <w:sz w:val="24"/>
          <w:szCs w:val="24"/>
        </w:rPr>
      </w:pPr>
      <w:r w:rsidRPr="00077FC7">
        <w:rPr>
          <w:rFonts w:ascii="Arial" w:hAnsi="Arial" w:cs="Arial"/>
          <w:sz w:val="24"/>
          <w:szCs w:val="24"/>
        </w:rPr>
        <w:t xml:space="preserve">The warning statements taken from accused 1, 2, </w:t>
      </w:r>
      <w:r w:rsidR="000864BE">
        <w:rPr>
          <w:rFonts w:ascii="Arial" w:hAnsi="Arial" w:cs="Arial"/>
          <w:sz w:val="24"/>
          <w:szCs w:val="24"/>
        </w:rPr>
        <w:t xml:space="preserve">6 and 7 are disallowed and </w:t>
      </w:r>
      <w:r w:rsidRPr="00077FC7">
        <w:rPr>
          <w:rFonts w:ascii="Arial" w:hAnsi="Arial" w:cs="Arial"/>
          <w:sz w:val="24"/>
          <w:szCs w:val="24"/>
        </w:rPr>
        <w:t xml:space="preserve">not </w:t>
      </w:r>
      <w:r w:rsidR="00FA3686">
        <w:rPr>
          <w:rFonts w:ascii="Arial" w:hAnsi="Arial" w:cs="Arial"/>
          <w:sz w:val="24"/>
          <w:szCs w:val="24"/>
        </w:rPr>
        <w:t xml:space="preserve">to </w:t>
      </w:r>
      <w:r w:rsidRPr="00077FC7">
        <w:rPr>
          <w:rFonts w:ascii="Arial" w:hAnsi="Arial" w:cs="Arial"/>
          <w:sz w:val="24"/>
          <w:szCs w:val="24"/>
        </w:rPr>
        <w:t>be admitted as evidence in the main trial.</w:t>
      </w:r>
    </w:p>
    <w:p w:rsidR="00077FC7" w:rsidRPr="00077FC7" w:rsidRDefault="00077FC7" w:rsidP="00077FC7">
      <w:pPr>
        <w:spacing w:after="0" w:line="360" w:lineRule="auto"/>
        <w:jc w:val="right"/>
        <w:rPr>
          <w:rFonts w:ascii="Arial" w:hAnsi="Arial" w:cs="Arial"/>
          <w:sz w:val="24"/>
          <w:szCs w:val="24"/>
        </w:rPr>
      </w:pPr>
    </w:p>
    <w:p w:rsidR="00077FC7" w:rsidRPr="00077FC7" w:rsidRDefault="00077FC7" w:rsidP="00077FC7">
      <w:pPr>
        <w:spacing w:after="0" w:line="360" w:lineRule="auto"/>
        <w:jc w:val="right"/>
        <w:rPr>
          <w:rFonts w:ascii="Arial" w:hAnsi="Arial" w:cs="Arial"/>
          <w:sz w:val="24"/>
          <w:szCs w:val="24"/>
        </w:rPr>
      </w:pPr>
    </w:p>
    <w:p w:rsidR="00077FC7" w:rsidRPr="00077FC7" w:rsidRDefault="00077FC7" w:rsidP="00077FC7">
      <w:pPr>
        <w:spacing w:after="0" w:line="360" w:lineRule="auto"/>
        <w:jc w:val="right"/>
        <w:rPr>
          <w:rFonts w:ascii="Arial" w:hAnsi="Arial" w:cs="Arial"/>
          <w:sz w:val="24"/>
          <w:szCs w:val="24"/>
        </w:rPr>
      </w:pPr>
    </w:p>
    <w:p w:rsidR="00077FC7" w:rsidRPr="00077FC7" w:rsidRDefault="00077FC7" w:rsidP="00077FC7">
      <w:pPr>
        <w:spacing w:after="0" w:line="360" w:lineRule="auto"/>
        <w:jc w:val="right"/>
        <w:rPr>
          <w:rFonts w:ascii="Arial" w:hAnsi="Arial" w:cs="Arial"/>
          <w:sz w:val="24"/>
          <w:szCs w:val="24"/>
        </w:rPr>
      </w:pPr>
      <w:r w:rsidRPr="00077FC7">
        <w:rPr>
          <w:rFonts w:ascii="Arial" w:hAnsi="Arial" w:cs="Arial"/>
          <w:sz w:val="24"/>
          <w:szCs w:val="24"/>
        </w:rPr>
        <w:t>----------------------------------</w:t>
      </w:r>
    </w:p>
    <w:p w:rsidR="00077FC7" w:rsidRPr="00077FC7" w:rsidRDefault="00077FC7" w:rsidP="00077FC7">
      <w:pPr>
        <w:spacing w:after="0" w:line="360" w:lineRule="auto"/>
        <w:jc w:val="right"/>
        <w:rPr>
          <w:rFonts w:ascii="Arial" w:hAnsi="Arial" w:cs="Arial"/>
          <w:sz w:val="24"/>
          <w:szCs w:val="24"/>
        </w:rPr>
      </w:pPr>
      <w:r w:rsidRPr="00077FC7">
        <w:rPr>
          <w:rFonts w:ascii="Arial" w:hAnsi="Arial" w:cs="Arial"/>
          <w:sz w:val="24"/>
          <w:szCs w:val="24"/>
        </w:rPr>
        <w:t>E P UNENGU</w:t>
      </w:r>
    </w:p>
    <w:p w:rsidR="00077FC7" w:rsidRPr="00077FC7" w:rsidRDefault="00077FC7" w:rsidP="00077FC7">
      <w:pPr>
        <w:spacing w:after="0" w:line="360" w:lineRule="auto"/>
        <w:jc w:val="right"/>
        <w:rPr>
          <w:rFonts w:ascii="Arial" w:hAnsi="Arial" w:cs="Arial"/>
          <w:sz w:val="24"/>
          <w:szCs w:val="24"/>
        </w:rPr>
      </w:pPr>
      <w:r w:rsidRPr="00077FC7">
        <w:rPr>
          <w:rFonts w:ascii="Arial" w:hAnsi="Arial" w:cs="Arial"/>
          <w:sz w:val="24"/>
          <w:szCs w:val="24"/>
        </w:rPr>
        <w:t>Acting Judge</w:t>
      </w:r>
    </w:p>
    <w:p w:rsidR="00077FC7" w:rsidRPr="00077FC7" w:rsidRDefault="00077FC7" w:rsidP="00077FC7">
      <w:pPr>
        <w:autoSpaceDE w:val="0"/>
        <w:autoSpaceDN w:val="0"/>
        <w:adjustRightInd w:val="0"/>
        <w:spacing w:after="0" w:line="360" w:lineRule="auto"/>
        <w:jc w:val="both"/>
        <w:rPr>
          <w:rFonts w:ascii="Arial" w:eastAsia="Times New Roman" w:hAnsi="Arial" w:cs="Arial"/>
          <w:sz w:val="24"/>
          <w:szCs w:val="24"/>
          <w:lang w:val="en-GB"/>
        </w:rPr>
      </w:pPr>
    </w:p>
    <w:p w:rsidR="00077FC7" w:rsidRPr="00077FC7" w:rsidRDefault="00077FC7" w:rsidP="00077FC7">
      <w:pPr>
        <w:autoSpaceDE w:val="0"/>
        <w:autoSpaceDN w:val="0"/>
        <w:adjustRightInd w:val="0"/>
        <w:spacing w:after="0" w:line="360" w:lineRule="auto"/>
        <w:jc w:val="both"/>
        <w:rPr>
          <w:rFonts w:ascii="Arial" w:eastAsia="Times New Roman" w:hAnsi="Arial" w:cs="Arial"/>
          <w:sz w:val="24"/>
          <w:szCs w:val="24"/>
          <w:lang w:val="en-GB"/>
        </w:rPr>
      </w:pPr>
      <w:r w:rsidRPr="00077FC7">
        <w:rPr>
          <w:rFonts w:ascii="Arial" w:eastAsia="Times New Roman" w:hAnsi="Arial" w:cs="Arial"/>
          <w:sz w:val="24"/>
          <w:szCs w:val="24"/>
          <w:lang w:val="en-GB"/>
        </w:rPr>
        <w:t>APPEARANCES:</w:t>
      </w:r>
    </w:p>
    <w:p w:rsidR="00077FC7" w:rsidRPr="00077FC7" w:rsidRDefault="00077FC7" w:rsidP="00077FC7">
      <w:pPr>
        <w:tabs>
          <w:tab w:val="left" w:pos="1394"/>
          <w:tab w:val="left" w:pos="2528"/>
          <w:tab w:val="left" w:pos="3780"/>
        </w:tabs>
        <w:spacing w:after="0" w:line="360" w:lineRule="auto"/>
        <w:jc w:val="both"/>
        <w:rPr>
          <w:rFonts w:ascii="Arial" w:hAnsi="Arial" w:cs="Arial"/>
          <w:sz w:val="24"/>
          <w:szCs w:val="24"/>
        </w:rPr>
      </w:pPr>
    </w:p>
    <w:p w:rsidR="009B2714" w:rsidRPr="00077FC7" w:rsidRDefault="00077FC7" w:rsidP="009B2714">
      <w:pPr>
        <w:tabs>
          <w:tab w:val="left" w:pos="1394"/>
          <w:tab w:val="left" w:pos="2528"/>
          <w:tab w:val="left" w:pos="3780"/>
        </w:tabs>
        <w:spacing w:after="0" w:line="360" w:lineRule="auto"/>
        <w:jc w:val="both"/>
        <w:rPr>
          <w:rFonts w:ascii="Arial" w:hAnsi="Arial" w:cs="Arial"/>
          <w:sz w:val="24"/>
          <w:szCs w:val="24"/>
        </w:rPr>
      </w:pPr>
      <w:r w:rsidRPr="00077FC7">
        <w:rPr>
          <w:rFonts w:ascii="Arial" w:hAnsi="Arial" w:cs="Arial"/>
          <w:sz w:val="24"/>
          <w:szCs w:val="24"/>
        </w:rPr>
        <w:t>APPLICANT:</w:t>
      </w:r>
      <w:r w:rsidR="009B2714" w:rsidRPr="009B2714">
        <w:rPr>
          <w:rFonts w:ascii="Arial" w:hAnsi="Arial" w:cs="Arial"/>
          <w:sz w:val="24"/>
          <w:szCs w:val="24"/>
        </w:rPr>
        <w:t xml:space="preserve"> </w:t>
      </w:r>
      <w:r w:rsidR="009B2714" w:rsidRPr="00077FC7">
        <w:rPr>
          <w:rFonts w:ascii="Arial" w:hAnsi="Arial" w:cs="Arial"/>
          <w:sz w:val="24"/>
          <w:szCs w:val="24"/>
        </w:rPr>
        <w:tab/>
      </w:r>
      <w:r w:rsidR="0083669E">
        <w:rPr>
          <w:rFonts w:ascii="Arial" w:hAnsi="Arial" w:cs="Arial"/>
          <w:sz w:val="24"/>
          <w:szCs w:val="24"/>
        </w:rPr>
        <w:tab/>
      </w:r>
      <w:r w:rsidR="009B2714" w:rsidRPr="00077FC7">
        <w:rPr>
          <w:rFonts w:ascii="Arial" w:hAnsi="Arial" w:cs="Arial"/>
          <w:sz w:val="24"/>
          <w:szCs w:val="24"/>
        </w:rPr>
        <w:t>L</w:t>
      </w:r>
      <w:r w:rsidR="002B75D6">
        <w:rPr>
          <w:rFonts w:ascii="Arial" w:hAnsi="Arial" w:cs="Arial"/>
          <w:sz w:val="24"/>
          <w:szCs w:val="24"/>
        </w:rPr>
        <w:t xml:space="preserve">  </w:t>
      </w:r>
      <w:r w:rsidR="009B2714" w:rsidRPr="00077FC7">
        <w:rPr>
          <w:rFonts w:ascii="Arial" w:hAnsi="Arial" w:cs="Arial"/>
          <w:sz w:val="24"/>
          <w:szCs w:val="24"/>
        </w:rPr>
        <w:t>Campher</w:t>
      </w:r>
    </w:p>
    <w:p w:rsidR="009B2714" w:rsidRPr="00077FC7" w:rsidRDefault="009B2714" w:rsidP="009B2714">
      <w:pPr>
        <w:tabs>
          <w:tab w:val="left" w:pos="1394"/>
          <w:tab w:val="left" w:pos="2528"/>
          <w:tab w:val="left" w:pos="3780"/>
        </w:tabs>
        <w:spacing w:after="0" w:line="360" w:lineRule="auto"/>
        <w:jc w:val="both"/>
        <w:rPr>
          <w:rFonts w:ascii="Arial" w:hAnsi="Arial" w:cs="Arial"/>
          <w:sz w:val="24"/>
          <w:szCs w:val="24"/>
        </w:rPr>
      </w:pPr>
      <w:r w:rsidRPr="00077FC7">
        <w:rPr>
          <w:rFonts w:ascii="Arial" w:hAnsi="Arial" w:cs="Arial"/>
          <w:sz w:val="24"/>
          <w:szCs w:val="24"/>
        </w:rPr>
        <w:tab/>
      </w:r>
      <w:r w:rsidRPr="00077FC7">
        <w:rPr>
          <w:rFonts w:ascii="Arial" w:hAnsi="Arial" w:cs="Arial"/>
          <w:sz w:val="24"/>
          <w:szCs w:val="24"/>
        </w:rPr>
        <w:tab/>
      </w:r>
      <w:r w:rsidRPr="00077FC7">
        <w:rPr>
          <w:rFonts w:ascii="Arial" w:hAnsi="Arial" w:cs="Arial"/>
          <w:sz w:val="24"/>
          <w:szCs w:val="24"/>
        </w:rPr>
        <w:tab/>
        <w:t>Office of the Prosecutor-General, Windhoek</w:t>
      </w:r>
    </w:p>
    <w:p w:rsidR="00077FC7" w:rsidRPr="00077FC7" w:rsidRDefault="00077FC7" w:rsidP="00077FC7">
      <w:pPr>
        <w:spacing w:after="0" w:line="360" w:lineRule="auto"/>
        <w:jc w:val="both"/>
        <w:rPr>
          <w:rFonts w:ascii="Arial" w:hAnsi="Arial" w:cs="Arial"/>
          <w:sz w:val="24"/>
          <w:szCs w:val="24"/>
        </w:rPr>
      </w:pPr>
    </w:p>
    <w:p w:rsidR="009B2714" w:rsidRPr="00077FC7" w:rsidRDefault="00077FC7" w:rsidP="009B2714">
      <w:pPr>
        <w:autoSpaceDE w:val="0"/>
        <w:autoSpaceDN w:val="0"/>
        <w:adjustRightInd w:val="0"/>
        <w:spacing w:after="0" w:line="360" w:lineRule="auto"/>
        <w:ind w:left="3780" w:hanging="3780"/>
        <w:jc w:val="both"/>
        <w:rPr>
          <w:rFonts w:ascii="Arial" w:hAnsi="Arial" w:cs="Arial"/>
        </w:rPr>
      </w:pPr>
      <w:r w:rsidRPr="00077FC7">
        <w:rPr>
          <w:rFonts w:ascii="Arial" w:hAnsi="Arial" w:cs="Arial"/>
          <w:sz w:val="24"/>
          <w:szCs w:val="24"/>
        </w:rPr>
        <w:t>RESPONDENT</w:t>
      </w:r>
      <w:r w:rsidR="009A4F45">
        <w:rPr>
          <w:rFonts w:ascii="Arial" w:hAnsi="Arial" w:cs="Arial"/>
          <w:sz w:val="24"/>
          <w:szCs w:val="24"/>
        </w:rPr>
        <w:t xml:space="preserve"> 1-5 &amp; 7</w:t>
      </w:r>
      <w:r w:rsidRPr="00077FC7">
        <w:rPr>
          <w:rFonts w:ascii="Arial" w:hAnsi="Arial" w:cs="Arial"/>
          <w:sz w:val="24"/>
          <w:szCs w:val="24"/>
        </w:rPr>
        <w:t>:</w:t>
      </w:r>
      <w:r w:rsidR="009B2714" w:rsidRPr="00077FC7">
        <w:rPr>
          <w:rFonts w:ascii="Arial" w:hAnsi="Arial" w:cs="Arial"/>
          <w:sz w:val="24"/>
          <w:szCs w:val="24"/>
        </w:rPr>
        <w:tab/>
        <w:t xml:space="preserve">E </w:t>
      </w:r>
      <w:r w:rsidR="002B75D6">
        <w:rPr>
          <w:rFonts w:ascii="Arial" w:hAnsi="Arial" w:cs="Arial"/>
          <w:sz w:val="24"/>
          <w:szCs w:val="24"/>
        </w:rPr>
        <w:t xml:space="preserve"> </w:t>
      </w:r>
      <w:r w:rsidR="009B2714" w:rsidRPr="00077FC7">
        <w:rPr>
          <w:rFonts w:ascii="Arial" w:hAnsi="Arial" w:cs="Arial"/>
          <w:sz w:val="24"/>
          <w:szCs w:val="24"/>
        </w:rPr>
        <w:t>Agenbach</w:t>
      </w:r>
    </w:p>
    <w:p w:rsidR="009B2714" w:rsidRPr="00077FC7" w:rsidRDefault="009B2714" w:rsidP="009B2714">
      <w:pPr>
        <w:tabs>
          <w:tab w:val="left" w:pos="1394"/>
          <w:tab w:val="left" w:pos="2528"/>
          <w:tab w:val="left" w:pos="3780"/>
        </w:tabs>
        <w:spacing w:after="0" w:line="360" w:lineRule="auto"/>
        <w:ind w:left="3780" w:hanging="3780"/>
        <w:jc w:val="both"/>
        <w:rPr>
          <w:rFonts w:ascii="Arial" w:hAnsi="Arial" w:cs="Arial"/>
          <w:sz w:val="24"/>
          <w:szCs w:val="24"/>
        </w:rPr>
      </w:pPr>
      <w:r w:rsidRPr="00077FC7">
        <w:rPr>
          <w:rFonts w:ascii="Arial" w:hAnsi="Arial" w:cs="Arial"/>
          <w:sz w:val="24"/>
          <w:szCs w:val="24"/>
        </w:rPr>
        <w:tab/>
      </w:r>
      <w:r w:rsidRPr="00077FC7">
        <w:rPr>
          <w:rFonts w:ascii="Arial" w:hAnsi="Arial" w:cs="Arial"/>
          <w:sz w:val="24"/>
          <w:szCs w:val="24"/>
        </w:rPr>
        <w:tab/>
      </w:r>
      <w:r w:rsidRPr="00077FC7">
        <w:rPr>
          <w:rFonts w:ascii="Arial" w:hAnsi="Arial" w:cs="Arial"/>
          <w:sz w:val="24"/>
          <w:szCs w:val="24"/>
        </w:rPr>
        <w:tab/>
        <w:t>Instructed by Directorate of Legal Aid, Windhoek</w:t>
      </w:r>
    </w:p>
    <w:p w:rsidR="007E4960" w:rsidRPr="00077FC7" w:rsidRDefault="007E4960" w:rsidP="007E4960">
      <w:pPr>
        <w:spacing w:after="0" w:line="360" w:lineRule="auto"/>
        <w:jc w:val="both"/>
        <w:rPr>
          <w:rFonts w:ascii="Arial" w:hAnsi="Arial" w:cs="Arial"/>
          <w:sz w:val="24"/>
          <w:szCs w:val="24"/>
        </w:rPr>
      </w:pPr>
    </w:p>
    <w:p w:rsidR="007E4960" w:rsidRPr="00077FC7" w:rsidRDefault="007E4960" w:rsidP="007E4960">
      <w:pPr>
        <w:autoSpaceDE w:val="0"/>
        <w:autoSpaceDN w:val="0"/>
        <w:adjustRightInd w:val="0"/>
        <w:spacing w:after="0" w:line="360" w:lineRule="auto"/>
        <w:ind w:left="3780" w:hanging="3780"/>
        <w:jc w:val="both"/>
        <w:rPr>
          <w:rFonts w:ascii="Arial" w:hAnsi="Arial" w:cs="Arial"/>
        </w:rPr>
      </w:pPr>
      <w:r w:rsidRPr="00077FC7">
        <w:rPr>
          <w:rFonts w:ascii="Arial" w:hAnsi="Arial" w:cs="Arial"/>
          <w:sz w:val="24"/>
          <w:szCs w:val="24"/>
        </w:rPr>
        <w:t>RESPONDENT</w:t>
      </w:r>
      <w:r>
        <w:rPr>
          <w:rFonts w:ascii="Arial" w:hAnsi="Arial" w:cs="Arial"/>
          <w:sz w:val="24"/>
          <w:szCs w:val="24"/>
        </w:rPr>
        <w:t xml:space="preserve"> 6 &amp; 8</w:t>
      </w:r>
      <w:r w:rsidRPr="00077FC7">
        <w:rPr>
          <w:rFonts w:ascii="Arial" w:hAnsi="Arial" w:cs="Arial"/>
          <w:sz w:val="24"/>
          <w:szCs w:val="24"/>
        </w:rPr>
        <w:t>:</w:t>
      </w:r>
      <w:r w:rsidRPr="00077FC7">
        <w:rPr>
          <w:rFonts w:ascii="Arial" w:hAnsi="Arial" w:cs="Arial"/>
          <w:sz w:val="24"/>
          <w:szCs w:val="24"/>
        </w:rPr>
        <w:tab/>
      </w:r>
      <w:r w:rsidR="002B75D6">
        <w:rPr>
          <w:rFonts w:ascii="Arial" w:hAnsi="Arial" w:cs="Arial"/>
          <w:sz w:val="24"/>
          <w:szCs w:val="24"/>
        </w:rPr>
        <w:t>J  Neves</w:t>
      </w:r>
    </w:p>
    <w:p w:rsidR="00077FC7" w:rsidRPr="00077FC7" w:rsidRDefault="007E4960" w:rsidP="00A149D0">
      <w:pPr>
        <w:tabs>
          <w:tab w:val="left" w:pos="1394"/>
          <w:tab w:val="left" w:pos="2528"/>
          <w:tab w:val="left" w:pos="3780"/>
        </w:tabs>
        <w:spacing w:after="0" w:line="360" w:lineRule="auto"/>
        <w:ind w:left="3780" w:hanging="3780"/>
        <w:jc w:val="both"/>
        <w:rPr>
          <w:rFonts w:ascii="Arial" w:hAnsi="Arial" w:cs="Arial"/>
          <w:sz w:val="24"/>
          <w:szCs w:val="24"/>
        </w:rPr>
      </w:pPr>
      <w:r w:rsidRPr="00077FC7">
        <w:rPr>
          <w:rFonts w:ascii="Arial" w:hAnsi="Arial" w:cs="Arial"/>
          <w:sz w:val="24"/>
          <w:szCs w:val="24"/>
        </w:rPr>
        <w:tab/>
      </w:r>
      <w:r w:rsidRPr="00077FC7">
        <w:rPr>
          <w:rFonts w:ascii="Arial" w:hAnsi="Arial" w:cs="Arial"/>
          <w:sz w:val="24"/>
          <w:szCs w:val="24"/>
        </w:rPr>
        <w:tab/>
      </w:r>
      <w:r w:rsidRPr="00077FC7">
        <w:rPr>
          <w:rFonts w:ascii="Arial" w:hAnsi="Arial" w:cs="Arial"/>
          <w:sz w:val="24"/>
          <w:szCs w:val="24"/>
        </w:rPr>
        <w:tab/>
        <w:t>Instructed by Directorate of Legal Aid, Windhoek</w:t>
      </w:r>
    </w:p>
    <w:sectPr w:rsidR="00077FC7" w:rsidRPr="00077FC7" w:rsidSect="0095607C">
      <w:headerReference w:type="default" r:id="rId12"/>
      <w:pgSz w:w="11907" w:h="16839" w:code="9"/>
      <w:pgMar w:top="993" w:right="1275" w:bottom="1134" w:left="1418"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684" w:rsidRDefault="002C0684" w:rsidP="00CD474E">
      <w:pPr>
        <w:spacing w:after="0" w:line="240" w:lineRule="auto"/>
      </w:pPr>
      <w:r>
        <w:separator/>
      </w:r>
    </w:p>
  </w:endnote>
  <w:endnote w:type="continuationSeparator" w:id="0">
    <w:p w:rsidR="002C0684" w:rsidRDefault="002C0684" w:rsidP="00CD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684" w:rsidRDefault="002C0684" w:rsidP="00CD474E">
      <w:pPr>
        <w:spacing w:after="0" w:line="240" w:lineRule="auto"/>
      </w:pPr>
      <w:r>
        <w:separator/>
      </w:r>
    </w:p>
  </w:footnote>
  <w:footnote w:type="continuationSeparator" w:id="0">
    <w:p w:rsidR="002C0684" w:rsidRDefault="002C0684" w:rsidP="00CD474E">
      <w:pPr>
        <w:spacing w:after="0" w:line="240" w:lineRule="auto"/>
      </w:pPr>
      <w:r>
        <w:continuationSeparator/>
      </w:r>
    </w:p>
  </w:footnote>
  <w:footnote w:id="1">
    <w:p w:rsidR="003324E1" w:rsidRPr="003324E1" w:rsidRDefault="003324E1">
      <w:pPr>
        <w:pStyle w:val="FootnoteText"/>
        <w:rPr>
          <w:lang w:val="en-ZA"/>
        </w:rPr>
      </w:pPr>
      <w:r>
        <w:rPr>
          <w:rStyle w:val="FootnoteReference"/>
        </w:rPr>
        <w:footnoteRef/>
      </w:r>
      <w:r>
        <w:t xml:space="preserve"> Act 51 of 1977.</w:t>
      </w:r>
    </w:p>
  </w:footnote>
  <w:footnote w:id="2">
    <w:p w:rsidR="003324E1" w:rsidRPr="003324E1" w:rsidRDefault="003324E1">
      <w:pPr>
        <w:pStyle w:val="FootnoteText"/>
        <w:rPr>
          <w:lang w:val="en-ZA"/>
        </w:rPr>
      </w:pPr>
      <w:r>
        <w:rPr>
          <w:rStyle w:val="FootnoteReference"/>
        </w:rPr>
        <w:footnoteRef/>
      </w:r>
      <w:r>
        <w:t xml:space="preserve"> </w:t>
      </w:r>
      <w:r w:rsidRPr="003324E1">
        <w:t>S v</w:t>
      </w:r>
      <w:r w:rsidR="00163A0A">
        <w:t xml:space="preserve"> Alex Couriers (Pty) Ltd 1985</w:t>
      </w:r>
      <w:r w:rsidRPr="003324E1">
        <w:t xml:space="preserve"> SA at 81)</w:t>
      </w:r>
      <w:r>
        <w:t>.</w:t>
      </w:r>
    </w:p>
  </w:footnote>
  <w:footnote w:id="3">
    <w:p w:rsidR="003324E1" w:rsidRPr="003324E1" w:rsidRDefault="003324E1">
      <w:pPr>
        <w:pStyle w:val="FootnoteText"/>
        <w:rPr>
          <w:lang w:val="en-ZA"/>
        </w:rPr>
      </w:pPr>
      <w:r>
        <w:rPr>
          <w:rStyle w:val="FootnoteReference"/>
        </w:rPr>
        <w:footnoteRef/>
      </w:r>
      <w:r>
        <w:t xml:space="preserve"> </w:t>
      </w:r>
      <w:r w:rsidRPr="003324E1">
        <w:t>2007 (1) NR 198)</w:t>
      </w:r>
      <w:r>
        <w:t>.</w:t>
      </w:r>
    </w:p>
  </w:footnote>
  <w:footnote w:id="4">
    <w:p w:rsidR="003324E1" w:rsidRPr="003324E1" w:rsidRDefault="003324E1">
      <w:pPr>
        <w:pStyle w:val="FootnoteText"/>
        <w:rPr>
          <w:lang w:val="en-ZA"/>
        </w:rPr>
      </w:pPr>
      <w:r>
        <w:rPr>
          <w:rStyle w:val="FootnoteReference"/>
        </w:rPr>
        <w:footnoteRef/>
      </w:r>
      <w:r>
        <w:t xml:space="preserve"> </w:t>
      </w:r>
      <w:r w:rsidRPr="003324E1">
        <w:t>1997(1) NR 285 at 288</w:t>
      </w:r>
      <w:r>
        <w:t>.</w:t>
      </w:r>
    </w:p>
  </w:footnote>
  <w:footnote w:id="5">
    <w:p w:rsidR="004A2078" w:rsidRPr="004A2078" w:rsidRDefault="004A2078">
      <w:pPr>
        <w:pStyle w:val="FootnoteText"/>
        <w:rPr>
          <w:lang w:val="en-ZA"/>
        </w:rPr>
      </w:pPr>
      <w:r>
        <w:rPr>
          <w:rStyle w:val="FootnoteReference"/>
        </w:rPr>
        <w:footnoteRef/>
      </w:r>
      <w:r>
        <w:t xml:space="preserve"> </w:t>
      </w:r>
      <w:r w:rsidR="00793D20">
        <w:t>1996</w:t>
      </w:r>
      <w:r w:rsidR="00EA2ED0">
        <w:t xml:space="preserve"> SACR 335 (E)</w:t>
      </w:r>
      <w:r>
        <w:t>.</w:t>
      </w:r>
    </w:p>
  </w:footnote>
  <w:footnote w:id="6">
    <w:p w:rsidR="004A2078" w:rsidRPr="004A2078" w:rsidRDefault="004A2078">
      <w:pPr>
        <w:pStyle w:val="FootnoteText"/>
        <w:rPr>
          <w:lang w:val="en-ZA"/>
        </w:rPr>
      </w:pPr>
      <w:r>
        <w:rPr>
          <w:rStyle w:val="FootnoteReference"/>
        </w:rPr>
        <w:footnoteRef/>
      </w:r>
      <w:r>
        <w:t xml:space="preserve"> </w:t>
      </w:r>
      <w:r w:rsidRPr="004A2078">
        <w:t>Case No. CC 56/ 2007 delivered on 6/10/2008.').</w:t>
      </w:r>
    </w:p>
  </w:footnote>
  <w:footnote w:id="7">
    <w:p w:rsidR="004A2078" w:rsidRPr="004A2078" w:rsidRDefault="004A2078">
      <w:pPr>
        <w:pStyle w:val="FootnoteText"/>
        <w:rPr>
          <w:lang w:val="en-ZA"/>
        </w:rPr>
      </w:pPr>
      <w:r>
        <w:rPr>
          <w:rStyle w:val="FootnoteReference"/>
        </w:rPr>
        <w:footnoteRef/>
      </w:r>
      <w:r>
        <w:t xml:space="preserve"> </w:t>
      </w:r>
      <w:r w:rsidRPr="004A2078">
        <w:t>Case No: SA 05/ 2012 delivered on 14 July 2012</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404581"/>
      <w:docPartObj>
        <w:docPartGallery w:val="Page Numbers (Top of Page)"/>
        <w:docPartUnique/>
      </w:docPartObj>
    </w:sdtPr>
    <w:sdtEndPr/>
    <w:sdtContent>
      <w:p w:rsidR="00FE1F46" w:rsidRDefault="00FE1F46">
        <w:pPr>
          <w:pStyle w:val="Header"/>
          <w:jc w:val="right"/>
        </w:pPr>
        <w:r>
          <w:fldChar w:fldCharType="begin"/>
        </w:r>
        <w:r>
          <w:instrText xml:space="preserve"> PAGE   \* MERGEFORMAT </w:instrText>
        </w:r>
        <w:r>
          <w:fldChar w:fldCharType="separate"/>
        </w:r>
        <w:r w:rsidR="00356001">
          <w:rPr>
            <w:noProof/>
          </w:rPr>
          <w:t>2</w:t>
        </w:r>
        <w:r>
          <w:rPr>
            <w:noProof/>
          </w:rPr>
          <w:fldChar w:fldCharType="end"/>
        </w:r>
      </w:p>
    </w:sdtContent>
  </w:sdt>
  <w:p w:rsidR="00FE1F46" w:rsidRDefault="00FE1F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E5C03"/>
    <w:multiLevelType w:val="hybridMultilevel"/>
    <w:tmpl w:val="C1265AFE"/>
    <w:lvl w:ilvl="0" w:tplc="26DE6B3C">
      <w:start w:val="1"/>
      <w:numFmt w:val="lowerLetter"/>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66D2C61"/>
    <w:multiLevelType w:val="hybridMultilevel"/>
    <w:tmpl w:val="D44291A8"/>
    <w:lvl w:ilvl="0" w:tplc="60366BFC">
      <w:start w:val="1"/>
      <w:numFmt w:val="lowerLetter"/>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25F26E28"/>
    <w:multiLevelType w:val="hybridMultilevel"/>
    <w:tmpl w:val="7EFCFDA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A0134EF"/>
    <w:multiLevelType w:val="hybridMultilevel"/>
    <w:tmpl w:val="7E24A502"/>
    <w:lvl w:ilvl="0" w:tplc="F522B30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6CD2674"/>
    <w:multiLevelType w:val="hybridMultilevel"/>
    <w:tmpl w:val="25EE9B9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E7C4BE4"/>
    <w:multiLevelType w:val="hybridMultilevel"/>
    <w:tmpl w:val="FE92C92A"/>
    <w:lvl w:ilvl="0" w:tplc="01DE1CC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00E2D50"/>
    <w:multiLevelType w:val="multilevel"/>
    <w:tmpl w:val="9D6CC3BC"/>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5781430C"/>
    <w:multiLevelType w:val="hybridMultilevel"/>
    <w:tmpl w:val="4776E01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5D0020F3"/>
    <w:multiLevelType w:val="hybridMultilevel"/>
    <w:tmpl w:val="BFD8738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2214F10"/>
    <w:multiLevelType w:val="hybridMultilevel"/>
    <w:tmpl w:val="77289F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62937BC0"/>
    <w:multiLevelType w:val="hybridMultilevel"/>
    <w:tmpl w:val="454E134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2"/>
  </w:num>
  <w:num w:numId="3">
    <w:abstractNumId w:val="9"/>
  </w:num>
  <w:num w:numId="4">
    <w:abstractNumId w:val="10"/>
  </w:num>
  <w:num w:numId="5">
    <w:abstractNumId w:val="7"/>
  </w:num>
  <w:num w:numId="6">
    <w:abstractNumId w:val="4"/>
  </w:num>
  <w:num w:numId="7">
    <w:abstractNumId w:val="6"/>
  </w:num>
  <w:num w:numId="8">
    <w:abstractNumId w:val="5"/>
  </w:num>
  <w:num w:numId="9">
    <w:abstractNumId w:val="3"/>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74E"/>
    <w:rsid w:val="00001B1F"/>
    <w:rsid w:val="00004B2C"/>
    <w:rsid w:val="000063D3"/>
    <w:rsid w:val="000064CD"/>
    <w:rsid w:val="000125C7"/>
    <w:rsid w:val="00020136"/>
    <w:rsid w:val="000230D9"/>
    <w:rsid w:val="000271C3"/>
    <w:rsid w:val="00027AF8"/>
    <w:rsid w:val="00027C5A"/>
    <w:rsid w:val="000364A7"/>
    <w:rsid w:val="00037749"/>
    <w:rsid w:val="00040752"/>
    <w:rsid w:val="00042759"/>
    <w:rsid w:val="000430DF"/>
    <w:rsid w:val="000504E0"/>
    <w:rsid w:val="0005091A"/>
    <w:rsid w:val="00051AC7"/>
    <w:rsid w:val="00051D63"/>
    <w:rsid w:val="000566B3"/>
    <w:rsid w:val="00057E62"/>
    <w:rsid w:val="00062D26"/>
    <w:rsid w:val="00067647"/>
    <w:rsid w:val="000730F9"/>
    <w:rsid w:val="00073BDD"/>
    <w:rsid w:val="00077FC7"/>
    <w:rsid w:val="00080AAD"/>
    <w:rsid w:val="000829E6"/>
    <w:rsid w:val="0008438C"/>
    <w:rsid w:val="00084927"/>
    <w:rsid w:val="000864BE"/>
    <w:rsid w:val="0009122E"/>
    <w:rsid w:val="00093484"/>
    <w:rsid w:val="00094098"/>
    <w:rsid w:val="00094CBB"/>
    <w:rsid w:val="000A5654"/>
    <w:rsid w:val="000B6DFA"/>
    <w:rsid w:val="000C1131"/>
    <w:rsid w:val="000C1B16"/>
    <w:rsid w:val="000C4304"/>
    <w:rsid w:val="000C57C1"/>
    <w:rsid w:val="000C6BD3"/>
    <w:rsid w:val="000C7CB1"/>
    <w:rsid w:val="000D6F7E"/>
    <w:rsid w:val="000E031D"/>
    <w:rsid w:val="000E0C22"/>
    <w:rsid w:val="000E1C0D"/>
    <w:rsid w:val="000F7167"/>
    <w:rsid w:val="001038C5"/>
    <w:rsid w:val="00106C01"/>
    <w:rsid w:val="00106EA4"/>
    <w:rsid w:val="00134231"/>
    <w:rsid w:val="00141B66"/>
    <w:rsid w:val="00143F23"/>
    <w:rsid w:val="00145E00"/>
    <w:rsid w:val="00146E3B"/>
    <w:rsid w:val="00146EE5"/>
    <w:rsid w:val="00146FB7"/>
    <w:rsid w:val="00154598"/>
    <w:rsid w:val="00155288"/>
    <w:rsid w:val="00157936"/>
    <w:rsid w:val="00160A7E"/>
    <w:rsid w:val="00163A0A"/>
    <w:rsid w:val="00175331"/>
    <w:rsid w:val="00175599"/>
    <w:rsid w:val="00180C2C"/>
    <w:rsid w:val="0018246D"/>
    <w:rsid w:val="00185A59"/>
    <w:rsid w:val="0018757E"/>
    <w:rsid w:val="00192DE9"/>
    <w:rsid w:val="001A1D27"/>
    <w:rsid w:val="001A4079"/>
    <w:rsid w:val="001B0557"/>
    <w:rsid w:val="001B0A90"/>
    <w:rsid w:val="001B0FBE"/>
    <w:rsid w:val="001B67D7"/>
    <w:rsid w:val="001C017E"/>
    <w:rsid w:val="001C0892"/>
    <w:rsid w:val="001C6012"/>
    <w:rsid w:val="001D4286"/>
    <w:rsid w:val="001D6B7D"/>
    <w:rsid w:val="001D6EAC"/>
    <w:rsid w:val="001E2990"/>
    <w:rsid w:val="001F5DDF"/>
    <w:rsid w:val="001F6E75"/>
    <w:rsid w:val="00202517"/>
    <w:rsid w:val="00207016"/>
    <w:rsid w:val="002072D1"/>
    <w:rsid w:val="0022166E"/>
    <w:rsid w:val="00227E6A"/>
    <w:rsid w:val="00235E7A"/>
    <w:rsid w:val="00243A93"/>
    <w:rsid w:val="00244380"/>
    <w:rsid w:val="00246403"/>
    <w:rsid w:val="002514FD"/>
    <w:rsid w:val="0025270F"/>
    <w:rsid w:val="002558E5"/>
    <w:rsid w:val="00260C79"/>
    <w:rsid w:val="00264C12"/>
    <w:rsid w:val="00267A53"/>
    <w:rsid w:val="00280BCD"/>
    <w:rsid w:val="00282EF6"/>
    <w:rsid w:val="00294C05"/>
    <w:rsid w:val="002A2B49"/>
    <w:rsid w:val="002B4389"/>
    <w:rsid w:val="002B464C"/>
    <w:rsid w:val="002B6439"/>
    <w:rsid w:val="002B75D6"/>
    <w:rsid w:val="002C0684"/>
    <w:rsid w:val="002D2F15"/>
    <w:rsid w:val="002D34BB"/>
    <w:rsid w:val="002D5E15"/>
    <w:rsid w:val="002D738E"/>
    <w:rsid w:val="002E1863"/>
    <w:rsid w:val="002E47DA"/>
    <w:rsid w:val="002F1C1B"/>
    <w:rsid w:val="002F2776"/>
    <w:rsid w:val="00301B6C"/>
    <w:rsid w:val="0030371C"/>
    <w:rsid w:val="00303EB0"/>
    <w:rsid w:val="00320CCC"/>
    <w:rsid w:val="0032364D"/>
    <w:rsid w:val="003242E5"/>
    <w:rsid w:val="003253D7"/>
    <w:rsid w:val="003324E1"/>
    <w:rsid w:val="00333349"/>
    <w:rsid w:val="00334C43"/>
    <w:rsid w:val="003412D7"/>
    <w:rsid w:val="00346758"/>
    <w:rsid w:val="003525E9"/>
    <w:rsid w:val="00355861"/>
    <w:rsid w:val="00356001"/>
    <w:rsid w:val="00364D06"/>
    <w:rsid w:val="00366F1B"/>
    <w:rsid w:val="00366F27"/>
    <w:rsid w:val="00367B9A"/>
    <w:rsid w:val="00372B5D"/>
    <w:rsid w:val="003751C8"/>
    <w:rsid w:val="00377150"/>
    <w:rsid w:val="00382A87"/>
    <w:rsid w:val="00382A88"/>
    <w:rsid w:val="003839F5"/>
    <w:rsid w:val="0038565D"/>
    <w:rsid w:val="0038716E"/>
    <w:rsid w:val="003924AD"/>
    <w:rsid w:val="00392A17"/>
    <w:rsid w:val="00393830"/>
    <w:rsid w:val="003A0646"/>
    <w:rsid w:val="003A19B5"/>
    <w:rsid w:val="003A32B6"/>
    <w:rsid w:val="003A57E8"/>
    <w:rsid w:val="003B1BAB"/>
    <w:rsid w:val="003B420B"/>
    <w:rsid w:val="003B49BC"/>
    <w:rsid w:val="003B5954"/>
    <w:rsid w:val="003C3D8A"/>
    <w:rsid w:val="003C4063"/>
    <w:rsid w:val="003C7299"/>
    <w:rsid w:val="003D230E"/>
    <w:rsid w:val="003D49BD"/>
    <w:rsid w:val="003D51A8"/>
    <w:rsid w:val="003D65F2"/>
    <w:rsid w:val="003E62ED"/>
    <w:rsid w:val="003F05C4"/>
    <w:rsid w:val="003F1C7F"/>
    <w:rsid w:val="003F27B7"/>
    <w:rsid w:val="003F5EBC"/>
    <w:rsid w:val="004052A4"/>
    <w:rsid w:val="004108B1"/>
    <w:rsid w:val="00410B2F"/>
    <w:rsid w:val="00416212"/>
    <w:rsid w:val="0042010D"/>
    <w:rsid w:val="00420A99"/>
    <w:rsid w:val="0042353B"/>
    <w:rsid w:val="00424011"/>
    <w:rsid w:val="00433B8A"/>
    <w:rsid w:val="0043487E"/>
    <w:rsid w:val="00435211"/>
    <w:rsid w:val="00436722"/>
    <w:rsid w:val="004469C6"/>
    <w:rsid w:val="00455D5A"/>
    <w:rsid w:val="00456103"/>
    <w:rsid w:val="00465EC9"/>
    <w:rsid w:val="004660D5"/>
    <w:rsid w:val="00477DD8"/>
    <w:rsid w:val="00486121"/>
    <w:rsid w:val="004909C8"/>
    <w:rsid w:val="00497FC2"/>
    <w:rsid w:val="004A2078"/>
    <w:rsid w:val="004A4D8C"/>
    <w:rsid w:val="004A7549"/>
    <w:rsid w:val="004B1F20"/>
    <w:rsid w:val="004B6C6A"/>
    <w:rsid w:val="004C3F9D"/>
    <w:rsid w:val="004D0234"/>
    <w:rsid w:val="004D2EC7"/>
    <w:rsid w:val="004D3F70"/>
    <w:rsid w:val="004E41C0"/>
    <w:rsid w:val="004E431F"/>
    <w:rsid w:val="004F74A8"/>
    <w:rsid w:val="005000DE"/>
    <w:rsid w:val="00500DBF"/>
    <w:rsid w:val="0050196C"/>
    <w:rsid w:val="00502AE2"/>
    <w:rsid w:val="005054DC"/>
    <w:rsid w:val="00510137"/>
    <w:rsid w:val="00512948"/>
    <w:rsid w:val="005138E9"/>
    <w:rsid w:val="00515803"/>
    <w:rsid w:val="005165FB"/>
    <w:rsid w:val="00517240"/>
    <w:rsid w:val="005173E7"/>
    <w:rsid w:val="00532DB7"/>
    <w:rsid w:val="005350FE"/>
    <w:rsid w:val="00535A18"/>
    <w:rsid w:val="00541ACB"/>
    <w:rsid w:val="005503C1"/>
    <w:rsid w:val="00560429"/>
    <w:rsid w:val="00561DAF"/>
    <w:rsid w:val="00565866"/>
    <w:rsid w:val="00567E36"/>
    <w:rsid w:val="00572466"/>
    <w:rsid w:val="00575748"/>
    <w:rsid w:val="00576861"/>
    <w:rsid w:val="00583520"/>
    <w:rsid w:val="0059020E"/>
    <w:rsid w:val="0059026D"/>
    <w:rsid w:val="005A10E0"/>
    <w:rsid w:val="005A33CD"/>
    <w:rsid w:val="005A7A6F"/>
    <w:rsid w:val="005B3BBB"/>
    <w:rsid w:val="005B695C"/>
    <w:rsid w:val="005B6D53"/>
    <w:rsid w:val="005B7D28"/>
    <w:rsid w:val="005B7DBC"/>
    <w:rsid w:val="005C37E7"/>
    <w:rsid w:val="005C4DD1"/>
    <w:rsid w:val="005D1D2E"/>
    <w:rsid w:val="005D22BA"/>
    <w:rsid w:val="005D287E"/>
    <w:rsid w:val="005D3A6A"/>
    <w:rsid w:val="005D3AA4"/>
    <w:rsid w:val="005D48D0"/>
    <w:rsid w:val="005D56EE"/>
    <w:rsid w:val="005D65AC"/>
    <w:rsid w:val="005E17B7"/>
    <w:rsid w:val="005F40E9"/>
    <w:rsid w:val="006014C3"/>
    <w:rsid w:val="00601F5B"/>
    <w:rsid w:val="00602475"/>
    <w:rsid w:val="00604B8F"/>
    <w:rsid w:val="006057C6"/>
    <w:rsid w:val="00612557"/>
    <w:rsid w:val="00612BA2"/>
    <w:rsid w:val="006137D0"/>
    <w:rsid w:val="00621644"/>
    <w:rsid w:val="006279B6"/>
    <w:rsid w:val="0063453C"/>
    <w:rsid w:val="0063551C"/>
    <w:rsid w:val="006408D7"/>
    <w:rsid w:val="00641662"/>
    <w:rsid w:val="00644F51"/>
    <w:rsid w:val="00647740"/>
    <w:rsid w:val="00651AE1"/>
    <w:rsid w:val="00651B4B"/>
    <w:rsid w:val="006539C1"/>
    <w:rsid w:val="0065571C"/>
    <w:rsid w:val="0065792A"/>
    <w:rsid w:val="00657F07"/>
    <w:rsid w:val="00663FA9"/>
    <w:rsid w:val="00665134"/>
    <w:rsid w:val="00671C84"/>
    <w:rsid w:val="006932BC"/>
    <w:rsid w:val="006939B3"/>
    <w:rsid w:val="006B10B3"/>
    <w:rsid w:val="006B140E"/>
    <w:rsid w:val="006B2DC3"/>
    <w:rsid w:val="006B60E4"/>
    <w:rsid w:val="006C05FC"/>
    <w:rsid w:val="006C17DA"/>
    <w:rsid w:val="006E06DB"/>
    <w:rsid w:val="006E1713"/>
    <w:rsid w:val="006E47A6"/>
    <w:rsid w:val="006F0621"/>
    <w:rsid w:val="00701607"/>
    <w:rsid w:val="00701FAE"/>
    <w:rsid w:val="007073B8"/>
    <w:rsid w:val="00710FFC"/>
    <w:rsid w:val="007162CE"/>
    <w:rsid w:val="00720D1F"/>
    <w:rsid w:val="00723003"/>
    <w:rsid w:val="0073157E"/>
    <w:rsid w:val="0073667A"/>
    <w:rsid w:val="0073790D"/>
    <w:rsid w:val="00737C71"/>
    <w:rsid w:val="00750068"/>
    <w:rsid w:val="007516A1"/>
    <w:rsid w:val="00754616"/>
    <w:rsid w:val="007560A3"/>
    <w:rsid w:val="0076120C"/>
    <w:rsid w:val="00763421"/>
    <w:rsid w:val="00763E27"/>
    <w:rsid w:val="00772134"/>
    <w:rsid w:val="007740E4"/>
    <w:rsid w:val="00777131"/>
    <w:rsid w:val="00777F42"/>
    <w:rsid w:val="00784CF0"/>
    <w:rsid w:val="00787862"/>
    <w:rsid w:val="00793AF6"/>
    <w:rsid w:val="00793D20"/>
    <w:rsid w:val="0079712A"/>
    <w:rsid w:val="007A682A"/>
    <w:rsid w:val="007B1A22"/>
    <w:rsid w:val="007B1C3D"/>
    <w:rsid w:val="007B2322"/>
    <w:rsid w:val="007B76ED"/>
    <w:rsid w:val="007C644F"/>
    <w:rsid w:val="007C66B0"/>
    <w:rsid w:val="007D0125"/>
    <w:rsid w:val="007D1DC4"/>
    <w:rsid w:val="007D2574"/>
    <w:rsid w:val="007D528F"/>
    <w:rsid w:val="007E0033"/>
    <w:rsid w:val="007E3471"/>
    <w:rsid w:val="007E4960"/>
    <w:rsid w:val="007F245F"/>
    <w:rsid w:val="007F2766"/>
    <w:rsid w:val="007F44ED"/>
    <w:rsid w:val="00800474"/>
    <w:rsid w:val="008010D5"/>
    <w:rsid w:val="00807F6D"/>
    <w:rsid w:val="00814A34"/>
    <w:rsid w:val="00821E90"/>
    <w:rsid w:val="008242CC"/>
    <w:rsid w:val="00826384"/>
    <w:rsid w:val="00833CDE"/>
    <w:rsid w:val="0083669E"/>
    <w:rsid w:val="00841BBE"/>
    <w:rsid w:val="00842CF8"/>
    <w:rsid w:val="008510A0"/>
    <w:rsid w:val="00860596"/>
    <w:rsid w:val="00863E60"/>
    <w:rsid w:val="008670E7"/>
    <w:rsid w:val="0086714C"/>
    <w:rsid w:val="00872C49"/>
    <w:rsid w:val="00874288"/>
    <w:rsid w:val="008818C9"/>
    <w:rsid w:val="00886605"/>
    <w:rsid w:val="00890B32"/>
    <w:rsid w:val="008B2D7D"/>
    <w:rsid w:val="008B6D75"/>
    <w:rsid w:val="008D1B5B"/>
    <w:rsid w:val="008D1D2E"/>
    <w:rsid w:val="008D2974"/>
    <w:rsid w:val="008E2FF2"/>
    <w:rsid w:val="008F5486"/>
    <w:rsid w:val="008F694B"/>
    <w:rsid w:val="009111AB"/>
    <w:rsid w:val="0091323C"/>
    <w:rsid w:val="0092180D"/>
    <w:rsid w:val="0092544A"/>
    <w:rsid w:val="009314B4"/>
    <w:rsid w:val="00943510"/>
    <w:rsid w:val="00943FE9"/>
    <w:rsid w:val="00944FBE"/>
    <w:rsid w:val="00947F7B"/>
    <w:rsid w:val="009520A0"/>
    <w:rsid w:val="0095607C"/>
    <w:rsid w:val="0095668D"/>
    <w:rsid w:val="00962D35"/>
    <w:rsid w:val="00964C96"/>
    <w:rsid w:val="009707B6"/>
    <w:rsid w:val="009727BD"/>
    <w:rsid w:val="0097367E"/>
    <w:rsid w:val="00975C7F"/>
    <w:rsid w:val="0098088D"/>
    <w:rsid w:val="0099014D"/>
    <w:rsid w:val="0099163D"/>
    <w:rsid w:val="00992445"/>
    <w:rsid w:val="00993770"/>
    <w:rsid w:val="00994FA2"/>
    <w:rsid w:val="00995A5D"/>
    <w:rsid w:val="009961D4"/>
    <w:rsid w:val="009A3C17"/>
    <w:rsid w:val="009A4F45"/>
    <w:rsid w:val="009A5A11"/>
    <w:rsid w:val="009A6260"/>
    <w:rsid w:val="009A75D6"/>
    <w:rsid w:val="009B2185"/>
    <w:rsid w:val="009B2714"/>
    <w:rsid w:val="009B4BBB"/>
    <w:rsid w:val="009C2265"/>
    <w:rsid w:val="009D228B"/>
    <w:rsid w:val="009D34FB"/>
    <w:rsid w:val="009D3786"/>
    <w:rsid w:val="009D7F99"/>
    <w:rsid w:val="009E292A"/>
    <w:rsid w:val="009F44E1"/>
    <w:rsid w:val="009F6607"/>
    <w:rsid w:val="009F749B"/>
    <w:rsid w:val="00A149D0"/>
    <w:rsid w:val="00A15ADC"/>
    <w:rsid w:val="00A17FD2"/>
    <w:rsid w:val="00A202A2"/>
    <w:rsid w:val="00A20DE9"/>
    <w:rsid w:val="00A225F7"/>
    <w:rsid w:val="00A31517"/>
    <w:rsid w:val="00A331B5"/>
    <w:rsid w:val="00A3590E"/>
    <w:rsid w:val="00A4129B"/>
    <w:rsid w:val="00A420BE"/>
    <w:rsid w:val="00A46DD1"/>
    <w:rsid w:val="00A52A5A"/>
    <w:rsid w:val="00A5356C"/>
    <w:rsid w:val="00A53804"/>
    <w:rsid w:val="00A57A18"/>
    <w:rsid w:val="00A70CE0"/>
    <w:rsid w:val="00A73205"/>
    <w:rsid w:val="00A8091C"/>
    <w:rsid w:val="00A848F5"/>
    <w:rsid w:val="00A866DB"/>
    <w:rsid w:val="00A94A15"/>
    <w:rsid w:val="00A958CD"/>
    <w:rsid w:val="00A97F14"/>
    <w:rsid w:val="00AA3815"/>
    <w:rsid w:val="00AA52C0"/>
    <w:rsid w:val="00AA6129"/>
    <w:rsid w:val="00AC1813"/>
    <w:rsid w:val="00AC4777"/>
    <w:rsid w:val="00AD0247"/>
    <w:rsid w:val="00AD0E81"/>
    <w:rsid w:val="00AD253A"/>
    <w:rsid w:val="00AD5020"/>
    <w:rsid w:val="00AE0683"/>
    <w:rsid w:val="00AE35CC"/>
    <w:rsid w:val="00AE4C16"/>
    <w:rsid w:val="00AE504D"/>
    <w:rsid w:val="00AE76A7"/>
    <w:rsid w:val="00B016A5"/>
    <w:rsid w:val="00B02F47"/>
    <w:rsid w:val="00B03B94"/>
    <w:rsid w:val="00B062DD"/>
    <w:rsid w:val="00B10FD9"/>
    <w:rsid w:val="00B13504"/>
    <w:rsid w:val="00B153D6"/>
    <w:rsid w:val="00B17222"/>
    <w:rsid w:val="00B22440"/>
    <w:rsid w:val="00B2456B"/>
    <w:rsid w:val="00B25465"/>
    <w:rsid w:val="00B25E4E"/>
    <w:rsid w:val="00B31BCE"/>
    <w:rsid w:val="00B32286"/>
    <w:rsid w:val="00B36B42"/>
    <w:rsid w:val="00B3723F"/>
    <w:rsid w:val="00B423C1"/>
    <w:rsid w:val="00B427F2"/>
    <w:rsid w:val="00B43D87"/>
    <w:rsid w:val="00B46938"/>
    <w:rsid w:val="00B477EC"/>
    <w:rsid w:val="00B47EA9"/>
    <w:rsid w:val="00B52055"/>
    <w:rsid w:val="00B60EB0"/>
    <w:rsid w:val="00B61C93"/>
    <w:rsid w:val="00B62804"/>
    <w:rsid w:val="00B63775"/>
    <w:rsid w:val="00B67BC4"/>
    <w:rsid w:val="00B81653"/>
    <w:rsid w:val="00B82050"/>
    <w:rsid w:val="00B82854"/>
    <w:rsid w:val="00B82E01"/>
    <w:rsid w:val="00B87906"/>
    <w:rsid w:val="00B879CC"/>
    <w:rsid w:val="00B91399"/>
    <w:rsid w:val="00B918D3"/>
    <w:rsid w:val="00B91B42"/>
    <w:rsid w:val="00B943B1"/>
    <w:rsid w:val="00BA0313"/>
    <w:rsid w:val="00BA6382"/>
    <w:rsid w:val="00BC14A4"/>
    <w:rsid w:val="00BC7AE8"/>
    <w:rsid w:val="00BD5576"/>
    <w:rsid w:val="00BD59C0"/>
    <w:rsid w:val="00BE3543"/>
    <w:rsid w:val="00BE55E7"/>
    <w:rsid w:val="00BE5D7A"/>
    <w:rsid w:val="00BF222D"/>
    <w:rsid w:val="00C009D7"/>
    <w:rsid w:val="00C025E5"/>
    <w:rsid w:val="00C05075"/>
    <w:rsid w:val="00C0561B"/>
    <w:rsid w:val="00C105F4"/>
    <w:rsid w:val="00C11F04"/>
    <w:rsid w:val="00C17D46"/>
    <w:rsid w:val="00C248C8"/>
    <w:rsid w:val="00C34D37"/>
    <w:rsid w:val="00C3523A"/>
    <w:rsid w:val="00C36826"/>
    <w:rsid w:val="00C479F1"/>
    <w:rsid w:val="00C63118"/>
    <w:rsid w:val="00C632F1"/>
    <w:rsid w:val="00C71033"/>
    <w:rsid w:val="00C735DE"/>
    <w:rsid w:val="00C73716"/>
    <w:rsid w:val="00C7482C"/>
    <w:rsid w:val="00C74D11"/>
    <w:rsid w:val="00C83293"/>
    <w:rsid w:val="00C94BD3"/>
    <w:rsid w:val="00CA4837"/>
    <w:rsid w:val="00CA6D88"/>
    <w:rsid w:val="00CB2452"/>
    <w:rsid w:val="00CB32F7"/>
    <w:rsid w:val="00CB48D6"/>
    <w:rsid w:val="00CC287D"/>
    <w:rsid w:val="00CC5083"/>
    <w:rsid w:val="00CD168D"/>
    <w:rsid w:val="00CD1ED1"/>
    <w:rsid w:val="00CD474E"/>
    <w:rsid w:val="00CE0EFB"/>
    <w:rsid w:val="00CE153D"/>
    <w:rsid w:val="00CE7F5C"/>
    <w:rsid w:val="00CF3A39"/>
    <w:rsid w:val="00CF4DA0"/>
    <w:rsid w:val="00CF5410"/>
    <w:rsid w:val="00CF56DE"/>
    <w:rsid w:val="00CF5968"/>
    <w:rsid w:val="00D00403"/>
    <w:rsid w:val="00D022DF"/>
    <w:rsid w:val="00D03642"/>
    <w:rsid w:val="00D03BB0"/>
    <w:rsid w:val="00D1262D"/>
    <w:rsid w:val="00D2044B"/>
    <w:rsid w:val="00D219D0"/>
    <w:rsid w:val="00D227D6"/>
    <w:rsid w:val="00D4359F"/>
    <w:rsid w:val="00D47D03"/>
    <w:rsid w:val="00D53B94"/>
    <w:rsid w:val="00D61A42"/>
    <w:rsid w:val="00D70A69"/>
    <w:rsid w:val="00D724DD"/>
    <w:rsid w:val="00D7583D"/>
    <w:rsid w:val="00D82D2D"/>
    <w:rsid w:val="00D84111"/>
    <w:rsid w:val="00D92E64"/>
    <w:rsid w:val="00D95ED1"/>
    <w:rsid w:val="00DA34F2"/>
    <w:rsid w:val="00DB6FB0"/>
    <w:rsid w:val="00DC069C"/>
    <w:rsid w:val="00DC2B60"/>
    <w:rsid w:val="00DC2F51"/>
    <w:rsid w:val="00DC708E"/>
    <w:rsid w:val="00DC7F52"/>
    <w:rsid w:val="00DD4052"/>
    <w:rsid w:val="00DD58CC"/>
    <w:rsid w:val="00DE0094"/>
    <w:rsid w:val="00DE18FE"/>
    <w:rsid w:val="00DE4C6B"/>
    <w:rsid w:val="00E00BD1"/>
    <w:rsid w:val="00E020AE"/>
    <w:rsid w:val="00E023A1"/>
    <w:rsid w:val="00E04069"/>
    <w:rsid w:val="00E0761B"/>
    <w:rsid w:val="00E1263B"/>
    <w:rsid w:val="00E17939"/>
    <w:rsid w:val="00E229D2"/>
    <w:rsid w:val="00E23374"/>
    <w:rsid w:val="00E30E6E"/>
    <w:rsid w:val="00E34BF3"/>
    <w:rsid w:val="00E36053"/>
    <w:rsid w:val="00E42CBC"/>
    <w:rsid w:val="00E452DC"/>
    <w:rsid w:val="00E50364"/>
    <w:rsid w:val="00E602DB"/>
    <w:rsid w:val="00E60E71"/>
    <w:rsid w:val="00E610C9"/>
    <w:rsid w:val="00E70C43"/>
    <w:rsid w:val="00E73D8A"/>
    <w:rsid w:val="00E74400"/>
    <w:rsid w:val="00E74C68"/>
    <w:rsid w:val="00E7577A"/>
    <w:rsid w:val="00E75F4A"/>
    <w:rsid w:val="00E76862"/>
    <w:rsid w:val="00E91856"/>
    <w:rsid w:val="00E977A2"/>
    <w:rsid w:val="00EA090F"/>
    <w:rsid w:val="00EA14DD"/>
    <w:rsid w:val="00EA1A91"/>
    <w:rsid w:val="00EA2ED0"/>
    <w:rsid w:val="00EA434B"/>
    <w:rsid w:val="00EA4891"/>
    <w:rsid w:val="00EC6045"/>
    <w:rsid w:val="00EC646B"/>
    <w:rsid w:val="00ED1971"/>
    <w:rsid w:val="00ED28D0"/>
    <w:rsid w:val="00ED28E9"/>
    <w:rsid w:val="00ED591E"/>
    <w:rsid w:val="00ED5B59"/>
    <w:rsid w:val="00ED734E"/>
    <w:rsid w:val="00EE1583"/>
    <w:rsid w:val="00EF2C98"/>
    <w:rsid w:val="00EF5601"/>
    <w:rsid w:val="00F14E7B"/>
    <w:rsid w:val="00F15485"/>
    <w:rsid w:val="00F1732B"/>
    <w:rsid w:val="00F237F2"/>
    <w:rsid w:val="00F23A45"/>
    <w:rsid w:val="00F24E87"/>
    <w:rsid w:val="00F308C1"/>
    <w:rsid w:val="00F33AF9"/>
    <w:rsid w:val="00F40CD6"/>
    <w:rsid w:val="00F45705"/>
    <w:rsid w:val="00F561C4"/>
    <w:rsid w:val="00F57FB4"/>
    <w:rsid w:val="00F60281"/>
    <w:rsid w:val="00F626CA"/>
    <w:rsid w:val="00F653E8"/>
    <w:rsid w:val="00F7721B"/>
    <w:rsid w:val="00F80D38"/>
    <w:rsid w:val="00F83D73"/>
    <w:rsid w:val="00F8617C"/>
    <w:rsid w:val="00F9030E"/>
    <w:rsid w:val="00F94838"/>
    <w:rsid w:val="00F97282"/>
    <w:rsid w:val="00FA2E99"/>
    <w:rsid w:val="00FA3686"/>
    <w:rsid w:val="00FA4CE9"/>
    <w:rsid w:val="00FB3B55"/>
    <w:rsid w:val="00FC4B9B"/>
    <w:rsid w:val="00FC5DE8"/>
    <w:rsid w:val="00FC61C3"/>
    <w:rsid w:val="00FC6F38"/>
    <w:rsid w:val="00FC7230"/>
    <w:rsid w:val="00FC7ECC"/>
    <w:rsid w:val="00FD21FB"/>
    <w:rsid w:val="00FD734E"/>
    <w:rsid w:val="00FE1F46"/>
    <w:rsid w:val="00FE32D0"/>
    <w:rsid w:val="00FE372C"/>
    <w:rsid w:val="00FF7E9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FE53EC-86E8-4524-9131-6BDDEFF5E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74E"/>
    <w:rPr>
      <w:lang w:val="en-US"/>
    </w:rPr>
  </w:style>
  <w:style w:type="paragraph" w:styleId="Heading4">
    <w:name w:val="heading 4"/>
    <w:basedOn w:val="Normal"/>
    <w:next w:val="Normal"/>
    <w:link w:val="Heading4Char"/>
    <w:qFormat/>
    <w:rsid w:val="00CD474E"/>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D474E"/>
    <w:rPr>
      <w:rFonts w:ascii="Arial" w:eastAsia="Times New Roman" w:hAnsi="Arial" w:cs="Times New Roman"/>
      <w:sz w:val="28"/>
      <w:szCs w:val="24"/>
      <w:lang w:val="en-GB"/>
    </w:rPr>
  </w:style>
  <w:style w:type="paragraph" w:styleId="BodyText">
    <w:name w:val="Body Text"/>
    <w:basedOn w:val="Normal"/>
    <w:link w:val="BodyTextChar"/>
    <w:rsid w:val="00CD474E"/>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CD474E"/>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CD4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74E"/>
    <w:rPr>
      <w:lang w:val="en-US"/>
    </w:rPr>
  </w:style>
  <w:style w:type="paragraph" w:styleId="FootnoteText">
    <w:name w:val="footnote text"/>
    <w:basedOn w:val="Normal"/>
    <w:link w:val="FootnoteTextChar"/>
    <w:uiPriority w:val="99"/>
    <w:semiHidden/>
    <w:unhideWhenUsed/>
    <w:rsid w:val="00CD47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474E"/>
    <w:rPr>
      <w:sz w:val="20"/>
      <w:szCs w:val="20"/>
      <w:lang w:val="en-US"/>
    </w:rPr>
  </w:style>
  <w:style w:type="character" w:styleId="FootnoteReference">
    <w:name w:val="footnote reference"/>
    <w:basedOn w:val="DefaultParagraphFont"/>
    <w:uiPriority w:val="99"/>
    <w:semiHidden/>
    <w:unhideWhenUsed/>
    <w:rsid w:val="00CD474E"/>
    <w:rPr>
      <w:vertAlign w:val="superscript"/>
    </w:rPr>
  </w:style>
  <w:style w:type="paragraph" w:styleId="ListParagraph">
    <w:name w:val="List Paragraph"/>
    <w:basedOn w:val="Normal"/>
    <w:uiPriority w:val="34"/>
    <w:qFormat/>
    <w:rsid w:val="00CD474E"/>
    <w:pPr>
      <w:ind w:left="720"/>
      <w:contextualSpacing/>
    </w:pPr>
  </w:style>
  <w:style w:type="paragraph" w:styleId="BalloonText">
    <w:name w:val="Balloon Text"/>
    <w:basedOn w:val="Normal"/>
    <w:link w:val="BalloonTextChar"/>
    <w:uiPriority w:val="99"/>
    <w:semiHidden/>
    <w:unhideWhenUsed/>
    <w:rsid w:val="00CD4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74E"/>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2020-01-20T18:30:00+00:00</Judgment_x0020_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4C128-0715-409B-8002-43322416BC2E}"/>
</file>

<file path=customXml/itemProps2.xml><?xml version="1.0" encoding="utf-8"?>
<ds:datastoreItem xmlns:ds="http://schemas.openxmlformats.org/officeDocument/2006/customXml" ds:itemID="{7FE88F69-8198-4E0E-BBD7-F13909AD4357}"/>
</file>

<file path=customXml/itemProps3.xml><?xml version="1.0" encoding="utf-8"?>
<ds:datastoreItem xmlns:ds="http://schemas.openxmlformats.org/officeDocument/2006/customXml" ds:itemID="{F3D5F115-3701-4AB1-84AC-A86F41251BBB}"/>
</file>

<file path=customXml/itemProps4.xml><?xml version="1.0" encoding="utf-8"?>
<ds:datastoreItem xmlns:ds="http://schemas.openxmlformats.org/officeDocument/2006/customXml" ds:itemID="{6D7D4F0E-A9EC-43C9-A0F9-35695E2B845B}"/>
</file>

<file path=docProps/app.xml><?xml version="1.0" encoding="utf-8"?>
<Properties xmlns="http://schemas.openxmlformats.org/officeDocument/2006/extended-properties" xmlns:vt="http://schemas.openxmlformats.org/officeDocument/2006/docPropsVTypes">
  <Template>Normal</Template>
  <TotalTime>0</TotalTime>
  <Pages>8</Pages>
  <Words>2090</Words>
  <Characters>11916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Munuma v S (CC 03-2004) [2018] NAHCMD 142 (29 May 2018)</vt:lpstr>
    </vt:vector>
  </TitlesOfParts>
  <Company>HP</Company>
  <LinksUpToDate>false</LinksUpToDate>
  <CharactersWithSpaces>13979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drisuro</dc:creator>
  <cp:lastModifiedBy>Lotta N. Ambunda</cp:lastModifiedBy>
  <cp:revision>2</cp:revision>
  <cp:lastPrinted>2020-01-21T09:28:00Z</cp:lastPrinted>
  <dcterms:created xsi:type="dcterms:W3CDTF">2020-02-12T15:36:00Z</dcterms:created>
  <dcterms:modified xsi:type="dcterms:W3CDTF">2020-02-12T15:36:00Z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