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35047" w:rsidRPr="001B0FDD" w:rsidTr="00384F99">
        <w:trPr>
          <w:trHeight w:val="744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D35047" w:rsidRDefault="009C600C" w:rsidP="00611036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The State v </w:t>
            </w:r>
            <w:proofErr w:type="spellStart"/>
            <w:r w:rsidR="0066678F">
              <w:rPr>
                <w:rFonts w:ascii="Arial Narrow" w:hAnsi="Arial Narrow" w:cs="Arial"/>
                <w:i/>
                <w:sz w:val="24"/>
                <w:szCs w:val="24"/>
              </w:rPr>
              <w:t>Issaskan</w:t>
            </w:r>
            <w:proofErr w:type="spellEnd"/>
            <w:r w:rsidR="0066678F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="0066678F">
              <w:rPr>
                <w:rFonts w:ascii="Arial Narrow" w:hAnsi="Arial Narrow" w:cs="Arial"/>
                <w:i/>
                <w:sz w:val="24"/>
                <w:szCs w:val="24"/>
              </w:rPr>
              <w:t>Ubiteb</w:t>
            </w:r>
            <w:proofErr w:type="spellEnd"/>
            <w:r w:rsidR="0066678F">
              <w:rPr>
                <w:rFonts w:ascii="Arial Narrow" w:hAnsi="Arial Narrow" w:cs="Arial"/>
                <w:i/>
                <w:sz w:val="24"/>
                <w:szCs w:val="24"/>
              </w:rPr>
              <w:t xml:space="preserve"> and Another</w:t>
            </w:r>
          </w:p>
          <w:p w:rsidR="00611036" w:rsidRPr="00B13BE8" w:rsidRDefault="00611036" w:rsidP="00611036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D35047" w:rsidRPr="001B0FDD" w:rsidRDefault="00B13BE8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EE3970">
              <w:rPr>
                <w:rFonts w:ascii="Arial Narrow" w:hAnsi="Arial Narrow" w:cs="Arial"/>
                <w:sz w:val="24"/>
                <w:szCs w:val="24"/>
              </w:rPr>
              <w:t xml:space="preserve"> 18</w:t>
            </w:r>
            <w:r w:rsidR="00AE4BDB">
              <w:rPr>
                <w:rFonts w:ascii="Arial Narrow" w:hAnsi="Arial Narrow" w:cs="Arial"/>
                <w:sz w:val="24"/>
                <w:szCs w:val="24"/>
              </w:rPr>
              <w:t>/2020</w:t>
            </w:r>
          </w:p>
        </w:tc>
      </w:tr>
      <w:tr w:rsidR="00D35047" w:rsidRPr="001B0FDD" w:rsidTr="00384F99">
        <w:trPr>
          <w:trHeight w:val="844"/>
        </w:trPr>
        <w:tc>
          <w:tcPr>
            <w:tcW w:w="5397" w:type="dxa"/>
            <w:gridSpan w:val="2"/>
          </w:tcPr>
          <w:p w:rsidR="00D35047" w:rsidRDefault="00B13BE8" w:rsidP="00B13B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3BE8">
              <w:rPr>
                <w:rFonts w:ascii="Arial Narrow" w:hAnsi="Arial Narrow" w:cs="Arial"/>
                <w:b/>
                <w:sz w:val="24"/>
                <w:szCs w:val="24"/>
              </w:rPr>
              <w:t>High Court MD Review No:</w:t>
            </w:r>
          </w:p>
          <w:p w:rsidR="00B13BE8" w:rsidRDefault="0066678F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552/2020</w:t>
            </w:r>
          </w:p>
          <w:p w:rsidR="00611036" w:rsidRPr="00B13BE8" w:rsidRDefault="00611036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D35047" w:rsidRPr="001B0FDD" w:rsidTr="00384F99">
        <w:trPr>
          <w:trHeight w:val="1662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Mr Justice 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Liebenberg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et</w:t>
            </w:r>
          </w:p>
          <w:p w:rsidR="00D35047" w:rsidRPr="001B0FDD" w:rsidRDefault="006F16D5" w:rsidP="006F16D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Mr Justice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Sibeya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F16D5">
              <w:rPr>
                <w:rFonts w:ascii="Arial Narrow" w:hAnsi="Arial Narrow" w:cs="Arial"/>
                <w:i/>
                <w:sz w:val="24"/>
                <w:szCs w:val="24"/>
              </w:rPr>
              <w:t>(Acting)</w:t>
            </w:r>
            <w:r w:rsidR="000C7EFF" w:rsidRPr="006F16D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:rsidR="00D35047" w:rsidRPr="001B0FDD" w:rsidRDefault="00EE3970" w:rsidP="00795A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  <w:r w:rsidR="00E533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March 2020</w:t>
            </w: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S v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="007D6229">
              <w:rPr>
                <w:rFonts w:ascii="Arial Narrow" w:hAnsi="Arial Narrow" w:cs="Arial"/>
                <w:i/>
                <w:sz w:val="24"/>
                <w:szCs w:val="24"/>
              </w:rPr>
              <w:t>Ubite</w:t>
            </w:r>
            <w:r w:rsidR="0066678F">
              <w:rPr>
                <w:rFonts w:ascii="Arial Narrow" w:hAnsi="Arial Narrow" w:cs="Arial"/>
                <w:i/>
                <w:sz w:val="24"/>
                <w:szCs w:val="24"/>
              </w:rPr>
              <w:t>b</w:t>
            </w:r>
            <w:proofErr w:type="spellEnd"/>
            <w:r w:rsidR="0066678F">
              <w:rPr>
                <w:rFonts w:ascii="Arial Narrow" w:hAnsi="Arial Narrow" w:cs="Arial"/>
                <w:i/>
                <w:sz w:val="24"/>
                <w:szCs w:val="24"/>
              </w:rPr>
              <w:t xml:space="preserve"> and Another</w:t>
            </w:r>
            <w:r w:rsidR="002751C2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E3970">
              <w:rPr>
                <w:rFonts w:ascii="Arial Narrow" w:hAnsi="Arial Narrow" w:cs="Arial"/>
                <w:sz w:val="24"/>
                <w:szCs w:val="24"/>
              </w:rPr>
              <w:t>18</w:t>
            </w:r>
            <w:r w:rsidR="002217BC">
              <w:rPr>
                <w:rFonts w:ascii="Arial Narrow" w:hAnsi="Arial Narrow" w:cs="Arial"/>
                <w:sz w:val="24"/>
                <w:szCs w:val="24"/>
              </w:rPr>
              <w:t>/2020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) [2020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] NAHCMD </w:t>
            </w:r>
            <w:r w:rsidR="00E11DC8">
              <w:rPr>
                <w:rFonts w:ascii="Arial Narrow" w:hAnsi="Arial Narrow" w:cs="Arial"/>
                <w:sz w:val="24"/>
                <w:szCs w:val="24"/>
              </w:rPr>
              <w:t>112</w:t>
            </w:r>
            <w:r w:rsidR="00266C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E3970">
              <w:rPr>
                <w:rFonts w:ascii="Arial Narrow" w:hAnsi="Arial Narrow" w:cs="Arial"/>
                <w:sz w:val="24"/>
                <w:szCs w:val="24"/>
              </w:rPr>
              <w:t>25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March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A7A">
              <w:rPr>
                <w:rFonts w:ascii="Arial Narrow" w:hAnsi="Arial Narrow" w:cs="Arial"/>
                <w:sz w:val="24"/>
                <w:szCs w:val="24"/>
              </w:rPr>
              <w:t>2020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bookmarkEnd w:id="0"/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ED330E" w:rsidTr="00384F99">
        <w:tc>
          <w:tcPr>
            <w:tcW w:w="9720" w:type="dxa"/>
            <w:gridSpan w:val="3"/>
          </w:tcPr>
          <w:p w:rsidR="00D35047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C0705D" w:rsidRDefault="00C0705D" w:rsidP="00C0705D">
            <w:pPr>
              <w:pStyle w:val="ListParagraph"/>
              <w:numPr>
                <w:ilvl w:val="1"/>
                <w:numId w:val="19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convictions in respect of accused 1 and 2 are confirmed.</w:t>
            </w:r>
          </w:p>
          <w:p w:rsidR="00C0705D" w:rsidRDefault="00C0705D" w:rsidP="00C0705D">
            <w:pPr>
              <w:pStyle w:val="ListParagraph"/>
              <w:numPr>
                <w:ilvl w:val="1"/>
                <w:numId w:val="19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sentence in respect of accused 1 and 2 are amended to read as follows:</w:t>
            </w:r>
          </w:p>
          <w:p w:rsidR="00C0705D" w:rsidRDefault="001107A1" w:rsidP="00C0705D">
            <w:pPr>
              <w:pStyle w:val="ListParagraph"/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‘T</w:t>
            </w:r>
            <w:r w:rsidR="00C0705D">
              <w:rPr>
                <w:rFonts w:ascii="Arial Narrow" w:hAnsi="Arial Narrow" w:cs="Arial"/>
                <w:sz w:val="24"/>
                <w:szCs w:val="24"/>
              </w:rPr>
              <w:t>hree years imprisonment of which one year is suspended</w:t>
            </w:r>
            <w:r w:rsidR="00C0705D" w:rsidRPr="0066678F">
              <w:rPr>
                <w:rFonts w:ascii="Arial Narrow" w:hAnsi="Arial Narrow" w:cs="Arial"/>
                <w:sz w:val="24"/>
                <w:szCs w:val="24"/>
              </w:rPr>
              <w:t xml:space="preserve"> for a period of </w:t>
            </w:r>
            <w:r w:rsidR="00C0705D">
              <w:rPr>
                <w:rFonts w:ascii="Arial Narrow" w:hAnsi="Arial Narrow" w:cs="Arial"/>
                <w:sz w:val="24"/>
                <w:szCs w:val="24"/>
              </w:rPr>
              <w:t xml:space="preserve">five </w:t>
            </w:r>
            <w:r w:rsidR="00C0705D" w:rsidRPr="0066678F">
              <w:rPr>
                <w:rFonts w:ascii="Arial Narrow" w:hAnsi="Arial Narrow" w:cs="Arial"/>
                <w:sz w:val="24"/>
                <w:szCs w:val="24"/>
              </w:rPr>
              <w:t>years on condition accused is not convicted of</w:t>
            </w:r>
            <w:r w:rsidR="00C0705D">
              <w:rPr>
                <w:rFonts w:ascii="Arial Narrow" w:hAnsi="Arial Narrow" w:cs="Arial"/>
                <w:sz w:val="24"/>
                <w:szCs w:val="24"/>
              </w:rPr>
              <w:t xml:space="preserve"> Robbery with aggravating circumstances as defined in section 1 of the Criminal Procedure Act 51 of 1977, as amended</w:t>
            </w:r>
            <w:r w:rsidR="00C0705D" w:rsidRPr="0066678F">
              <w:rPr>
                <w:rFonts w:ascii="Arial Narrow" w:hAnsi="Arial Narrow" w:cs="Arial"/>
                <w:sz w:val="24"/>
                <w:szCs w:val="24"/>
              </w:rPr>
              <w:t xml:space="preserve"> committed during the period of suspension.</w:t>
            </w:r>
            <w:r w:rsidR="00C0705D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  <w:p w:rsidR="00D35047" w:rsidRPr="009C600C" w:rsidRDefault="00D35047" w:rsidP="0066678F">
            <w:pPr>
              <w:pStyle w:val="ListParagraph"/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Reasons for order:</w:t>
            </w:r>
          </w:p>
        </w:tc>
      </w:tr>
      <w:tr w:rsidR="00D35047" w:rsidRPr="00FE65E1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LIEBENBERG J (concurring </w:t>
            </w:r>
            <w:r w:rsidR="000C7EFF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6F16D5">
              <w:rPr>
                <w:rFonts w:ascii="Arial Narrow" w:hAnsi="Arial Narrow" w:cs="Arial"/>
                <w:sz w:val="24"/>
                <w:szCs w:val="24"/>
              </w:rPr>
              <w:t>IBEYA</w:t>
            </w:r>
            <w:r w:rsidR="00FB157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F16D5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BE21EF">
              <w:rPr>
                <w:rFonts w:ascii="Arial Narrow" w:hAnsi="Arial Narrow" w:cs="Arial"/>
                <w:sz w:val="24"/>
                <w:szCs w:val="24"/>
              </w:rPr>
              <w:t>J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795A7A" w:rsidRPr="00795A7A" w:rsidRDefault="00795A7A" w:rsidP="00795A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75378" w:rsidRDefault="00795A7A" w:rsidP="00EE397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5378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="007D6229">
              <w:rPr>
                <w:rFonts w:ascii="Arial Narrow" w:hAnsi="Arial Narrow" w:cs="Arial"/>
                <w:sz w:val="24"/>
                <w:szCs w:val="24"/>
              </w:rPr>
              <w:t>matter came on</w:t>
            </w:r>
            <w:r w:rsidRPr="00675378">
              <w:rPr>
                <w:rFonts w:ascii="Arial Narrow" w:hAnsi="Arial Narrow" w:cs="Arial"/>
                <w:sz w:val="24"/>
                <w:szCs w:val="24"/>
              </w:rPr>
              <w:t xml:space="preserve"> review in terms of s 302 (1) of the Criminal Procedure Act 51 of 1977 (the CPA) as amended. </w:t>
            </w:r>
          </w:p>
          <w:p w:rsidR="00EE3970" w:rsidRDefault="00EE3970" w:rsidP="00EE3970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C5AFB" w:rsidRPr="00E34145" w:rsidRDefault="00795A7A" w:rsidP="00CC5AFB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34145">
              <w:rPr>
                <w:rFonts w:ascii="Arial Narrow" w:hAnsi="Arial Narrow" w:cs="Arial"/>
                <w:sz w:val="24"/>
                <w:szCs w:val="24"/>
              </w:rPr>
              <w:t xml:space="preserve">The accused 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>persons appeared in the magistrate</w:t>
            </w:r>
            <w:r w:rsidR="007D6229" w:rsidRPr="00E34145">
              <w:rPr>
                <w:rFonts w:ascii="Arial Narrow" w:hAnsi="Arial Narrow" w:cs="Arial"/>
                <w:sz w:val="24"/>
                <w:szCs w:val="24"/>
              </w:rPr>
              <w:t>’s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 xml:space="preserve"> cou</w:t>
            </w:r>
            <w:r w:rsidR="007D6229" w:rsidRPr="00E34145">
              <w:rPr>
                <w:rFonts w:ascii="Arial Narrow" w:hAnsi="Arial Narrow" w:cs="Arial"/>
                <w:sz w:val="24"/>
                <w:szCs w:val="24"/>
              </w:rPr>
              <w:t xml:space="preserve">rt for the district of </w:t>
            </w:r>
            <w:proofErr w:type="spellStart"/>
            <w:r w:rsidR="007D6229" w:rsidRPr="00E34145">
              <w:rPr>
                <w:rFonts w:ascii="Arial Narrow" w:hAnsi="Arial Narrow" w:cs="Arial"/>
                <w:sz w:val="24"/>
                <w:szCs w:val="24"/>
              </w:rPr>
              <w:t>Outjo</w:t>
            </w:r>
            <w:proofErr w:type="spellEnd"/>
            <w:r w:rsidR="007D6229" w:rsidRPr="00E34145">
              <w:rPr>
                <w:rFonts w:ascii="Arial Narrow" w:hAnsi="Arial Narrow" w:cs="Arial"/>
                <w:sz w:val="24"/>
                <w:szCs w:val="24"/>
              </w:rPr>
              <w:t xml:space="preserve"> on a charge of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 xml:space="preserve"> robb</w:t>
            </w:r>
            <w:r w:rsidR="00EE023A" w:rsidRPr="00E34145">
              <w:rPr>
                <w:rFonts w:ascii="Arial Narrow" w:hAnsi="Arial Narrow" w:cs="Arial"/>
                <w:sz w:val="24"/>
                <w:szCs w:val="24"/>
              </w:rPr>
              <w:t>ery and were convicted on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E023A" w:rsidRPr="00E34145">
              <w:rPr>
                <w:rFonts w:ascii="Arial Narrow" w:hAnsi="Arial Narrow" w:cs="Arial"/>
                <w:sz w:val="24"/>
                <w:szCs w:val="24"/>
              </w:rPr>
              <w:t>their pleas of guilty. The convictions are in order and will be confirmed on review. They were each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 xml:space="preserve"> sentenced to</w:t>
            </w:r>
            <w:r w:rsidR="00EE023A" w:rsidRPr="00E34145">
              <w:rPr>
                <w:rFonts w:ascii="Arial Narrow" w:hAnsi="Arial Narrow" w:cs="Arial"/>
                <w:sz w:val="24"/>
                <w:szCs w:val="24"/>
              </w:rPr>
              <w:t>: ‘T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>hree (3) years’ imprisonment of w</w:t>
            </w:r>
            <w:r w:rsidR="00EE023A" w:rsidRPr="00E34145">
              <w:rPr>
                <w:rFonts w:ascii="Arial Narrow" w:hAnsi="Arial Narrow" w:cs="Arial"/>
                <w:sz w:val="24"/>
                <w:szCs w:val="24"/>
              </w:rPr>
              <w:t xml:space="preserve">hich one (1) year </w:t>
            </w:r>
            <w:r w:rsidR="00CC5AFB" w:rsidRPr="00E34145">
              <w:rPr>
                <w:rFonts w:ascii="Arial Narrow" w:hAnsi="Arial Narrow" w:cs="Arial"/>
                <w:sz w:val="24"/>
                <w:szCs w:val="24"/>
              </w:rPr>
              <w:t xml:space="preserve">is 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>suspended for a period of five (5) years on condition that the accused</w:t>
            </w:r>
            <w:r w:rsidR="00CC5AFB" w:rsidRPr="00E34145">
              <w:rPr>
                <w:rFonts w:ascii="Arial Narrow" w:hAnsi="Arial Narrow" w:cs="Arial"/>
                <w:sz w:val="24"/>
                <w:szCs w:val="24"/>
              </w:rPr>
              <w:t xml:space="preserve"> is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 xml:space="preserve"> not convicted of Robbery with 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lastRenderedPageBreak/>
              <w:t>aggravating circumstances as defined in section 1 of the Criminal Procedure Act 51 of 1977 as amended during the period of suspension</w:t>
            </w:r>
            <w:r w:rsidR="00CC5AFB" w:rsidRPr="00E34145">
              <w:rPr>
                <w:rFonts w:ascii="Arial Narrow" w:hAnsi="Arial Narrow" w:cs="Arial"/>
                <w:sz w:val="24"/>
                <w:szCs w:val="24"/>
              </w:rPr>
              <w:t>’</w:t>
            </w:r>
            <w:r w:rsidR="0001309C" w:rsidRPr="00E3414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C5AFB" w:rsidRPr="00CC5AFB" w:rsidRDefault="00CC5AFB" w:rsidP="00CC5AFB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01309C" w:rsidRDefault="00CC5AFB" w:rsidP="00EE397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01309C" w:rsidRPr="00C31D02">
              <w:rPr>
                <w:rFonts w:ascii="Arial Narrow" w:hAnsi="Arial Narrow" w:cs="Arial"/>
                <w:sz w:val="24"/>
                <w:szCs w:val="24"/>
              </w:rPr>
              <w:t>he way the sentence</w:t>
            </w:r>
            <w:r w:rsidR="00C31D02" w:rsidRPr="00C31D02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01309C" w:rsidRPr="00C31D0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are formulated</w:t>
            </w:r>
            <w:r w:rsidR="00C31D02" w:rsidRPr="00C31D02">
              <w:rPr>
                <w:rFonts w:ascii="Arial Narrow" w:hAnsi="Arial Narrow" w:cs="Arial"/>
                <w:sz w:val="24"/>
                <w:szCs w:val="24"/>
              </w:rPr>
              <w:t xml:space="preserve"> is problematic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in the sense that </w:t>
            </w:r>
            <w:r w:rsidR="00C31D02" w:rsidRPr="00C31D02">
              <w:rPr>
                <w:rFonts w:ascii="Arial Narrow" w:hAnsi="Arial Narrow" w:cs="Arial"/>
                <w:sz w:val="24"/>
                <w:szCs w:val="24"/>
              </w:rPr>
              <w:t>the word ‘committed’ has been o</w:t>
            </w:r>
            <w:r w:rsidR="002217BC">
              <w:rPr>
                <w:rFonts w:ascii="Arial Narrow" w:hAnsi="Arial Narrow" w:cs="Arial"/>
                <w:sz w:val="24"/>
                <w:szCs w:val="24"/>
              </w:rPr>
              <w:t>mitted as part of the condition of suspension</w:t>
            </w:r>
            <w:r w:rsidR="00C31D02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To this end the sentence</w:t>
            </w:r>
            <w:r w:rsidR="00C0705D">
              <w:rPr>
                <w:rFonts w:ascii="Arial Narrow" w:hAnsi="Arial Narrow" w:cs="Arial"/>
                <w:sz w:val="24"/>
                <w:szCs w:val="24"/>
              </w:rPr>
              <w:t xml:space="preserve"> in respect of each accused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need to be corrected.</w:t>
            </w:r>
          </w:p>
          <w:p w:rsidR="002217BC" w:rsidRPr="00C31D02" w:rsidRDefault="002217BC" w:rsidP="002217BC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31D02" w:rsidRDefault="00C31D02" w:rsidP="00EE397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Therefore, it is ordered:</w:t>
            </w:r>
          </w:p>
          <w:p w:rsidR="00C31D02" w:rsidRDefault="00C31D02" w:rsidP="00EE3970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convictions in respect of accused 1 and 2 are confirmed.</w:t>
            </w:r>
          </w:p>
          <w:p w:rsidR="00C31D02" w:rsidRDefault="00C31D02" w:rsidP="00EE3970">
            <w:pPr>
              <w:pStyle w:val="ListParagraph"/>
              <w:numPr>
                <w:ilvl w:val="1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sentence in respect of accused 1 and 2 are amended to read as follows:</w:t>
            </w:r>
          </w:p>
          <w:p w:rsidR="00C31D02" w:rsidRDefault="001107A1" w:rsidP="00C31D02">
            <w:pPr>
              <w:pStyle w:val="ListParagraph"/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‘T</w:t>
            </w:r>
            <w:r w:rsidR="00C31D02">
              <w:rPr>
                <w:rFonts w:ascii="Arial Narrow" w:hAnsi="Arial Narrow" w:cs="Arial"/>
                <w:sz w:val="24"/>
                <w:szCs w:val="24"/>
              </w:rPr>
              <w:t>hree years imprisonment of which one year is suspended</w:t>
            </w:r>
            <w:r w:rsidR="00C31D02" w:rsidRPr="0066678F">
              <w:rPr>
                <w:rFonts w:ascii="Arial Narrow" w:hAnsi="Arial Narrow" w:cs="Arial"/>
                <w:sz w:val="24"/>
                <w:szCs w:val="24"/>
              </w:rPr>
              <w:t xml:space="preserve"> for a period of </w:t>
            </w:r>
            <w:r w:rsidR="00C31D02">
              <w:rPr>
                <w:rFonts w:ascii="Arial Narrow" w:hAnsi="Arial Narrow" w:cs="Arial"/>
                <w:sz w:val="24"/>
                <w:szCs w:val="24"/>
              </w:rPr>
              <w:t xml:space="preserve">five </w:t>
            </w:r>
            <w:r w:rsidR="00C31D02" w:rsidRPr="0066678F">
              <w:rPr>
                <w:rFonts w:ascii="Arial Narrow" w:hAnsi="Arial Narrow" w:cs="Arial"/>
                <w:sz w:val="24"/>
                <w:szCs w:val="24"/>
              </w:rPr>
              <w:t>years on condition accused is not convicted of</w:t>
            </w:r>
            <w:r w:rsidR="00C31D02">
              <w:rPr>
                <w:rFonts w:ascii="Arial Narrow" w:hAnsi="Arial Narrow" w:cs="Arial"/>
                <w:sz w:val="24"/>
                <w:szCs w:val="24"/>
              </w:rPr>
              <w:t xml:space="preserve"> Robbery with aggravating circumstances as defined in section 1 of the Criminal Procedure Act 51 of 1977, as amended</w:t>
            </w:r>
            <w:r w:rsidR="00C31D02" w:rsidRPr="0066678F">
              <w:rPr>
                <w:rFonts w:ascii="Arial Narrow" w:hAnsi="Arial Narrow" w:cs="Arial"/>
                <w:sz w:val="24"/>
                <w:szCs w:val="24"/>
              </w:rPr>
              <w:t xml:space="preserve"> committed during the period of suspension.</w:t>
            </w:r>
            <w:r w:rsidR="00C31D02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  <w:p w:rsidR="00675378" w:rsidRPr="00D92DB9" w:rsidRDefault="00675378" w:rsidP="0066678F">
            <w:pPr>
              <w:pStyle w:val="ListParagraph"/>
              <w:spacing w:line="36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384F99"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35047" w:rsidRPr="001B0FDD" w:rsidRDefault="00D35047" w:rsidP="00D92DB9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1B0FDD" w:rsidTr="00384F99">
        <w:trPr>
          <w:trHeight w:val="827"/>
        </w:trPr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 C LIEBENBERG</w:t>
            </w:r>
          </w:p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0C7EFF" w:rsidRDefault="00611036" w:rsidP="000C7EFF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 SIBEYA</w:t>
            </w:r>
          </w:p>
          <w:p w:rsidR="00D35047" w:rsidRPr="001B0FDD" w:rsidRDefault="000C7EFF" w:rsidP="000C7EF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="00D35047" w:rsidRPr="001B0FDD">
              <w:rPr>
                <w:rFonts w:ascii="Arial Narrow" w:hAnsi="Arial Narrow" w:cs="Arial"/>
                <w:b/>
                <w:sz w:val="24"/>
                <w:szCs w:val="24"/>
              </w:rPr>
              <w:t>UDGE</w:t>
            </w:r>
          </w:p>
        </w:tc>
      </w:tr>
    </w:tbl>
    <w:p w:rsidR="00B97A95" w:rsidRDefault="00B97A95" w:rsidP="00D92DB9"/>
    <w:sectPr w:rsidR="00B97A95" w:rsidSect="00B4589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40" w:rsidRDefault="00FC3B40" w:rsidP="00F1192F">
      <w:pPr>
        <w:spacing w:after="0" w:line="240" w:lineRule="auto"/>
      </w:pPr>
      <w:r>
        <w:separator/>
      </w:r>
    </w:p>
  </w:endnote>
  <w:endnote w:type="continuationSeparator" w:id="0">
    <w:p w:rsidR="00FC3B40" w:rsidRDefault="00FC3B40" w:rsidP="00F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40" w:rsidRDefault="00FC3B40" w:rsidP="00F1192F">
      <w:pPr>
        <w:spacing w:after="0" w:line="240" w:lineRule="auto"/>
      </w:pPr>
      <w:r>
        <w:separator/>
      </w:r>
    </w:p>
  </w:footnote>
  <w:footnote w:type="continuationSeparator" w:id="0">
    <w:p w:rsidR="00FC3B40" w:rsidRDefault="00FC3B40" w:rsidP="00F1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5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899" w:rsidRDefault="00B458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CB3" w:rsidRDefault="0026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5A"/>
    <w:multiLevelType w:val="hybridMultilevel"/>
    <w:tmpl w:val="F908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D2E"/>
    <w:multiLevelType w:val="hybridMultilevel"/>
    <w:tmpl w:val="30EAD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278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D0BE7"/>
    <w:multiLevelType w:val="hybridMultilevel"/>
    <w:tmpl w:val="F266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1484"/>
    <w:multiLevelType w:val="hybridMultilevel"/>
    <w:tmpl w:val="4C92F0D4"/>
    <w:lvl w:ilvl="0" w:tplc="0882AC5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79E8"/>
    <w:multiLevelType w:val="hybridMultilevel"/>
    <w:tmpl w:val="4C92F0D4"/>
    <w:lvl w:ilvl="0" w:tplc="0882AC5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7BF7"/>
    <w:multiLevelType w:val="hybridMultilevel"/>
    <w:tmpl w:val="E13EB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F2EBD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A1BC2"/>
    <w:multiLevelType w:val="hybridMultilevel"/>
    <w:tmpl w:val="9776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7684"/>
    <w:multiLevelType w:val="hybridMultilevel"/>
    <w:tmpl w:val="E13EB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9574A0"/>
    <w:multiLevelType w:val="hybridMultilevel"/>
    <w:tmpl w:val="D616C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3DE5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B3E7E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42A07"/>
    <w:multiLevelType w:val="hybridMultilevel"/>
    <w:tmpl w:val="E13EB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709A9"/>
    <w:multiLevelType w:val="hybridMultilevel"/>
    <w:tmpl w:val="86943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43F28"/>
    <w:multiLevelType w:val="hybridMultilevel"/>
    <w:tmpl w:val="4C92F0D4"/>
    <w:lvl w:ilvl="0" w:tplc="0882AC5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25DD1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19"/>
  </w:num>
  <w:num w:numId="12">
    <w:abstractNumId w:val="0"/>
  </w:num>
  <w:num w:numId="13">
    <w:abstractNumId w:val="17"/>
  </w:num>
  <w:num w:numId="14">
    <w:abstractNumId w:val="1"/>
  </w:num>
  <w:num w:numId="15">
    <w:abstractNumId w:val="12"/>
  </w:num>
  <w:num w:numId="16">
    <w:abstractNumId w:val="5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30B5"/>
    <w:rsid w:val="0001309C"/>
    <w:rsid w:val="000841C3"/>
    <w:rsid w:val="000B4D4B"/>
    <w:rsid w:val="000C2FE7"/>
    <w:rsid w:val="000C7EFF"/>
    <w:rsid w:val="00100F69"/>
    <w:rsid w:val="00105613"/>
    <w:rsid w:val="001107A1"/>
    <w:rsid w:val="00124718"/>
    <w:rsid w:val="001A41D5"/>
    <w:rsid w:val="001A57CD"/>
    <w:rsid w:val="001B7928"/>
    <w:rsid w:val="00207368"/>
    <w:rsid w:val="002217BC"/>
    <w:rsid w:val="00223849"/>
    <w:rsid w:val="00223FBB"/>
    <w:rsid w:val="00224FEA"/>
    <w:rsid w:val="00233D4A"/>
    <w:rsid w:val="002474DD"/>
    <w:rsid w:val="00266CB3"/>
    <w:rsid w:val="002745F1"/>
    <w:rsid w:val="002751C2"/>
    <w:rsid w:val="00282698"/>
    <w:rsid w:val="002B7562"/>
    <w:rsid w:val="002E5924"/>
    <w:rsid w:val="002E7367"/>
    <w:rsid w:val="00333485"/>
    <w:rsid w:val="00333633"/>
    <w:rsid w:val="00333F47"/>
    <w:rsid w:val="00362104"/>
    <w:rsid w:val="00384F99"/>
    <w:rsid w:val="0039571B"/>
    <w:rsid w:val="003B2244"/>
    <w:rsid w:val="003C52F8"/>
    <w:rsid w:val="003F525B"/>
    <w:rsid w:val="004057CA"/>
    <w:rsid w:val="00407DA4"/>
    <w:rsid w:val="00421539"/>
    <w:rsid w:val="004B5EF3"/>
    <w:rsid w:val="004C47C8"/>
    <w:rsid w:val="004D7810"/>
    <w:rsid w:val="0050248C"/>
    <w:rsid w:val="00504649"/>
    <w:rsid w:val="00505B25"/>
    <w:rsid w:val="00526942"/>
    <w:rsid w:val="00535D52"/>
    <w:rsid w:val="00550128"/>
    <w:rsid w:val="00584D49"/>
    <w:rsid w:val="005A6E32"/>
    <w:rsid w:val="005C15FA"/>
    <w:rsid w:val="005D1955"/>
    <w:rsid w:val="005D7CD3"/>
    <w:rsid w:val="005E1512"/>
    <w:rsid w:val="00611036"/>
    <w:rsid w:val="00632C1B"/>
    <w:rsid w:val="00633860"/>
    <w:rsid w:val="0066678F"/>
    <w:rsid w:val="00675378"/>
    <w:rsid w:val="00692309"/>
    <w:rsid w:val="006956C2"/>
    <w:rsid w:val="006F16D5"/>
    <w:rsid w:val="006F1BE0"/>
    <w:rsid w:val="007032C8"/>
    <w:rsid w:val="00736D3F"/>
    <w:rsid w:val="00744A3F"/>
    <w:rsid w:val="00795A7A"/>
    <w:rsid w:val="007D6229"/>
    <w:rsid w:val="007E47F9"/>
    <w:rsid w:val="007E612B"/>
    <w:rsid w:val="00815D9E"/>
    <w:rsid w:val="0082349A"/>
    <w:rsid w:val="00837E4E"/>
    <w:rsid w:val="0087379F"/>
    <w:rsid w:val="0092347B"/>
    <w:rsid w:val="00924352"/>
    <w:rsid w:val="00926BAA"/>
    <w:rsid w:val="009417E8"/>
    <w:rsid w:val="009A4EBC"/>
    <w:rsid w:val="009C1DC3"/>
    <w:rsid w:val="009C600C"/>
    <w:rsid w:val="009E003A"/>
    <w:rsid w:val="00A1663F"/>
    <w:rsid w:val="00AA0FD4"/>
    <w:rsid w:val="00AB5970"/>
    <w:rsid w:val="00AC0E58"/>
    <w:rsid w:val="00AD427A"/>
    <w:rsid w:val="00AE4BDB"/>
    <w:rsid w:val="00B13BE8"/>
    <w:rsid w:val="00B23CF8"/>
    <w:rsid w:val="00B45899"/>
    <w:rsid w:val="00B97A95"/>
    <w:rsid w:val="00BE21EF"/>
    <w:rsid w:val="00BF6FF3"/>
    <w:rsid w:val="00C0196D"/>
    <w:rsid w:val="00C05608"/>
    <w:rsid w:val="00C0705D"/>
    <w:rsid w:val="00C31D02"/>
    <w:rsid w:val="00CA70E5"/>
    <w:rsid w:val="00CB6D7D"/>
    <w:rsid w:val="00CC5AFB"/>
    <w:rsid w:val="00CE6426"/>
    <w:rsid w:val="00CF55E4"/>
    <w:rsid w:val="00D01948"/>
    <w:rsid w:val="00D35047"/>
    <w:rsid w:val="00D90735"/>
    <w:rsid w:val="00D92DB9"/>
    <w:rsid w:val="00D9375F"/>
    <w:rsid w:val="00DB302C"/>
    <w:rsid w:val="00DC35AF"/>
    <w:rsid w:val="00DC46FE"/>
    <w:rsid w:val="00E11DC8"/>
    <w:rsid w:val="00E33FE2"/>
    <w:rsid w:val="00E34145"/>
    <w:rsid w:val="00E533B2"/>
    <w:rsid w:val="00E63192"/>
    <w:rsid w:val="00E70E5C"/>
    <w:rsid w:val="00EC6886"/>
    <w:rsid w:val="00EE023A"/>
    <w:rsid w:val="00EE3970"/>
    <w:rsid w:val="00F1192F"/>
    <w:rsid w:val="00F960FC"/>
    <w:rsid w:val="00FB1579"/>
    <w:rsid w:val="00FB3220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FF63-28A8-4C4E-A8CC-181CFB0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11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192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119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3"/>
  </w:style>
  <w:style w:type="paragraph" w:styleId="Footer">
    <w:name w:val="footer"/>
    <w:basedOn w:val="Normal"/>
    <w:link w:val="Foot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3"/>
  </w:style>
  <w:style w:type="paragraph" w:styleId="BalloonText">
    <w:name w:val="Balloon Text"/>
    <w:basedOn w:val="Normal"/>
    <w:link w:val="BalloonTextChar"/>
    <w:uiPriority w:val="99"/>
    <w:semiHidden/>
    <w:unhideWhenUsed/>
    <w:rsid w:val="00E1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2020-03-24T18:30:00+00:00</Judgment_x0020_Date>
  </documentManagement>
</p:properties>
</file>

<file path=customXml/itemProps1.xml><?xml version="1.0" encoding="utf-8"?>
<ds:datastoreItem xmlns:ds="http://schemas.openxmlformats.org/officeDocument/2006/customXml" ds:itemID="{DB5592CE-EC77-4DC1-856F-1305AAF44727}"/>
</file>

<file path=customXml/itemProps2.xml><?xml version="1.0" encoding="utf-8"?>
<ds:datastoreItem xmlns:ds="http://schemas.openxmlformats.org/officeDocument/2006/customXml" ds:itemID="{BDCE75CD-EDBC-4B14-9B95-6FC9C9BD90FE}"/>
</file>

<file path=customXml/itemProps3.xml><?xml version="1.0" encoding="utf-8"?>
<ds:datastoreItem xmlns:ds="http://schemas.openxmlformats.org/officeDocument/2006/customXml" ds:itemID="{0B4106EE-3EA1-4A07-851D-DAEDB3440166}"/>
</file>

<file path=customXml/itemProps4.xml><?xml version="1.0" encoding="utf-8"?>
<ds:datastoreItem xmlns:ds="http://schemas.openxmlformats.org/officeDocument/2006/customXml" ds:itemID="{90F21344-7846-42FB-BA08-7E6C154BD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Kasita</dc:creator>
  <cp:keywords/>
  <dc:description/>
  <cp:lastModifiedBy>Lotta N. Ambunda</cp:lastModifiedBy>
  <cp:revision>2</cp:revision>
  <cp:lastPrinted>2020-03-25T06:36:00Z</cp:lastPrinted>
  <dcterms:created xsi:type="dcterms:W3CDTF">2020-03-25T08:04:00Z</dcterms:created>
  <dcterms:modified xsi:type="dcterms:W3CDTF">2020-03-25T08:04:00Z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