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35047" w:rsidRPr="001B0FDD" w:rsidTr="00384F99">
        <w:trPr>
          <w:trHeight w:val="744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35047" w:rsidRDefault="009C600C" w:rsidP="00795A7A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The State v </w:t>
            </w:r>
            <w:r w:rsidR="00EB0194">
              <w:rPr>
                <w:rFonts w:ascii="Arial Narrow" w:hAnsi="Arial Narrow" w:cs="Arial"/>
                <w:i/>
                <w:sz w:val="24"/>
                <w:szCs w:val="24"/>
              </w:rPr>
              <w:t>Ricardo Rooi</w:t>
            </w:r>
          </w:p>
          <w:p w:rsidR="00CC4996" w:rsidRPr="00B13BE8" w:rsidRDefault="00CC4996" w:rsidP="00795A7A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The </w:t>
            </w:r>
            <w:r w:rsidR="00EB0194">
              <w:rPr>
                <w:rFonts w:ascii="Arial Narrow" w:hAnsi="Arial Narrow" w:cs="Arial"/>
                <w:i/>
                <w:sz w:val="24"/>
                <w:szCs w:val="24"/>
              </w:rPr>
              <w:t>State v Rowan Hanse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35047" w:rsidRPr="001B0FDD" w:rsidRDefault="00B13BE8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CF3BAD">
              <w:rPr>
                <w:rFonts w:ascii="Arial Narrow" w:hAnsi="Arial Narrow" w:cs="Arial"/>
                <w:sz w:val="24"/>
                <w:szCs w:val="24"/>
              </w:rPr>
              <w:t xml:space="preserve"> 17</w:t>
            </w:r>
            <w:r w:rsidR="00AE4BDB">
              <w:rPr>
                <w:rFonts w:ascii="Arial Narrow" w:hAnsi="Arial Narrow" w:cs="Arial"/>
                <w:sz w:val="24"/>
                <w:szCs w:val="24"/>
              </w:rPr>
              <w:t>/2020</w:t>
            </w:r>
          </w:p>
        </w:tc>
      </w:tr>
      <w:tr w:rsidR="00D35047" w:rsidRPr="001B0FDD" w:rsidTr="00384F99">
        <w:trPr>
          <w:trHeight w:val="844"/>
        </w:trPr>
        <w:tc>
          <w:tcPr>
            <w:tcW w:w="5397" w:type="dxa"/>
            <w:gridSpan w:val="2"/>
          </w:tcPr>
          <w:p w:rsidR="00D35047" w:rsidRDefault="00B13BE8" w:rsidP="00B13B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3BE8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:rsidR="00B13BE8" w:rsidRDefault="00EB0194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2417</w:t>
            </w:r>
            <w:r w:rsidR="00AC0E58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  <w:p w:rsidR="00EB0194" w:rsidRPr="00B13BE8" w:rsidRDefault="00EB0194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2418/2019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35047" w:rsidRPr="001B0FDD" w:rsidTr="00384F99">
        <w:trPr>
          <w:trHeight w:val="1662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Liebenberg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:rsidR="00D35047" w:rsidRPr="001B0FDD" w:rsidRDefault="006F16D5" w:rsidP="006F16D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Sibeya </w:t>
            </w:r>
            <w:r w:rsidRPr="006F16D5">
              <w:rPr>
                <w:rFonts w:ascii="Arial Narrow" w:hAnsi="Arial Narrow" w:cs="Arial"/>
                <w:i/>
                <w:sz w:val="24"/>
                <w:szCs w:val="24"/>
              </w:rPr>
              <w:t>(Acting)</w:t>
            </w:r>
            <w:r w:rsidR="000C7EFF" w:rsidRPr="006F16D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D35047" w:rsidRPr="001B0FDD" w:rsidRDefault="004F47E5" w:rsidP="00795A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  <w:r w:rsidR="00E533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March 2020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S v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7F7B07">
              <w:rPr>
                <w:rFonts w:ascii="Arial Narrow" w:hAnsi="Arial Narrow" w:cs="Arial"/>
                <w:i/>
                <w:sz w:val="24"/>
                <w:szCs w:val="24"/>
              </w:rPr>
              <w:t>Rooi</w:t>
            </w:r>
            <w:r w:rsidR="00AD427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F3BAD">
              <w:rPr>
                <w:rFonts w:ascii="Arial Narrow" w:hAnsi="Arial Narrow" w:cs="Arial"/>
                <w:sz w:val="24"/>
                <w:szCs w:val="24"/>
              </w:rPr>
              <w:t>17</w:t>
            </w:r>
            <w:r w:rsidR="00EB0194">
              <w:rPr>
                <w:rFonts w:ascii="Arial Narrow" w:hAnsi="Arial Narrow" w:cs="Arial"/>
                <w:sz w:val="24"/>
                <w:szCs w:val="24"/>
              </w:rPr>
              <w:t>/2020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) [2020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] NAHCMD </w:t>
            </w:r>
            <w:r w:rsidR="00064AD7">
              <w:rPr>
                <w:rFonts w:ascii="Arial Narrow" w:hAnsi="Arial Narrow" w:cs="Arial"/>
                <w:sz w:val="24"/>
                <w:szCs w:val="24"/>
              </w:rPr>
              <w:t>113</w:t>
            </w:r>
            <w:r w:rsidR="00266C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>25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March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2020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bookmarkEnd w:id="0"/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ED330E" w:rsidTr="00384F99">
        <w:tc>
          <w:tcPr>
            <w:tcW w:w="9720" w:type="dxa"/>
            <w:gridSpan w:val="3"/>
          </w:tcPr>
          <w:p w:rsidR="00D35047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F179EA" w:rsidRPr="00497954" w:rsidRDefault="00F179EA" w:rsidP="00F179E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954">
              <w:rPr>
                <w:rFonts w:ascii="Arial Narrow" w:hAnsi="Arial Narrow" w:cs="Arial"/>
                <w:sz w:val="24"/>
                <w:szCs w:val="24"/>
              </w:rPr>
              <w:t>The convictions are confirmed.</w:t>
            </w:r>
          </w:p>
          <w:p w:rsidR="00F179EA" w:rsidRDefault="00F179EA" w:rsidP="00F179EA">
            <w:pPr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sentences are set aside and the fines, if paid, to be refunded.</w:t>
            </w:r>
          </w:p>
          <w:p w:rsidR="00F179EA" w:rsidRDefault="00F179EA" w:rsidP="00F179EA">
            <w:pPr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matters are remitted to the magistrate’s court sitting in the district of Keetmanshoop for sentencing afresh.</w:t>
            </w:r>
          </w:p>
          <w:p w:rsidR="00F179EA" w:rsidRPr="00795A7A" w:rsidRDefault="00F179EA" w:rsidP="00F179EA">
            <w:pPr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sentencing court must have regard to any period already served by the accused persons.</w:t>
            </w:r>
          </w:p>
          <w:p w:rsidR="00D35047" w:rsidRPr="009C600C" w:rsidRDefault="00D35047" w:rsidP="0059000D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Reasons for order:</w:t>
            </w:r>
          </w:p>
        </w:tc>
      </w:tr>
      <w:tr w:rsidR="00D35047" w:rsidRPr="00FE65E1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LIEBENBERG J (concurring </w:t>
            </w:r>
            <w:r w:rsidR="000C7EFF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6F16D5">
              <w:rPr>
                <w:rFonts w:ascii="Arial Narrow" w:hAnsi="Arial Narrow" w:cs="Arial"/>
                <w:sz w:val="24"/>
                <w:szCs w:val="24"/>
              </w:rPr>
              <w:t>IBEYA</w:t>
            </w:r>
            <w:r w:rsidR="00FB157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F16D5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BE21EF">
              <w:rPr>
                <w:rFonts w:ascii="Arial Narrow" w:hAnsi="Arial Narrow" w:cs="Arial"/>
                <w:sz w:val="24"/>
                <w:szCs w:val="24"/>
              </w:rPr>
              <w:t>J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795A7A" w:rsidRPr="00795A7A" w:rsidRDefault="00795A7A" w:rsidP="00795A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97F54" w:rsidRDefault="00EB0194" w:rsidP="00B97F5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These </w:t>
            </w:r>
            <w:r w:rsidR="006E1FEF" w:rsidRPr="00B97F54">
              <w:rPr>
                <w:rFonts w:ascii="Arial Narrow" w:hAnsi="Arial Narrow" w:cs="Arial"/>
                <w:sz w:val="24"/>
                <w:szCs w:val="24"/>
              </w:rPr>
              <w:t xml:space="preserve">are </w:t>
            </w:r>
            <w:r w:rsidR="00795A7A" w:rsidRPr="00B97F54">
              <w:rPr>
                <w:rFonts w:ascii="Arial Narrow" w:hAnsi="Arial Narrow" w:cs="Arial"/>
                <w:sz w:val="24"/>
                <w:szCs w:val="24"/>
              </w:rPr>
              <w:t>review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 matters </w:t>
            </w:r>
            <w:r w:rsidR="00795A7A" w:rsidRPr="00B97F54">
              <w:rPr>
                <w:rFonts w:ascii="Arial Narrow" w:hAnsi="Arial Narrow" w:cs="Arial"/>
                <w:sz w:val="24"/>
                <w:szCs w:val="24"/>
              </w:rPr>
              <w:t>brought in terms of s 302 (1) of the Criminal Procedure Act 51 of 1977 (the CPA) as amended.</w:t>
            </w:r>
          </w:p>
          <w:p w:rsidR="00B97F54" w:rsidRDefault="00B97F54" w:rsidP="00B97F54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F5991" w:rsidRDefault="006E1FEF" w:rsidP="003D291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7F54">
              <w:rPr>
                <w:rFonts w:ascii="Arial Narrow" w:hAnsi="Arial Narrow" w:cs="Arial"/>
                <w:sz w:val="24"/>
                <w:szCs w:val="24"/>
              </w:rPr>
              <w:t>The</w:t>
            </w:r>
            <w:r w:rsidR="00663198">
              <w:rPr>
                <w:rFonts w:ascii="Arial Narrow" w:hAnsi="Arial Narrow" w:cs="Arial"/>
                <w:sz w:val="24"/>
                <w:szCs w:val="24"/>
              </w:rPr>
              <w:t xml:space="preserve"> accused persons 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>sto</w:t>
            </w:r>
            <w:r w:rsidR="00B97F54">
              <w:rPr>
                <w:rFonts w:ascii="Arial Narrow" w:hAnsi="Arial Narrow" w:cs="Arial"/>
                <w:sz w:val="24"/>
                <w:szCs w:val="24"/>
              </w:rPr>
              <w:t xml:space="preserve">le 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 xml:space="preserve">one </w:t>
            </w:r>
            <w:r w:rsidR="00B97F54">
              <w:rPr>
                <w:rFonts w:ascii="Arial Narrow" w:hAnsi="Arial Narrow" w:cs="Arial"/>
                <w:sz w:val="24"/>
                <w:szCs w:val="24"/>
              </w:rPr>
              <w:t>sheep to the value of N$1500</w:t>
            </w:r>
            <w:r w:rsidR="00DD71DE">
              <w:rPr>
                <w:rFonts w:ascii="Arial Narrow" w:hAnsi="Arial Narrow" w:cs="Arial"/>
                <w:sz w:val="24"/>
                <w:szCs w:val="24"/>
              </w:rPr>
              <w:t xml:space="preserve"> and were charged with the offence of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 stock </w:t>
            </w:r>
            <w:r w:rsidR="00B97F54">
              <w:rPr>
                <w:rFonts w:ascii="Arial Narrow" w:hAnsi="Arial Narrow" w:cs="Arial"/>
                <w:sz w:val="24"/>
                <w:szCs w:val="24"/>
              </w:rPr>
              <w:t xml:space="preserve">theft 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>r/w with</w:t>
            </w:r>
            <w:r w:rsidR="000E2922">
              <w:rPr>
                <w:rFonts w:ascii="Arial Narrow" w:hAnsi="Arial Narrow" w:cs="Arial"/>
                <w:sz w:val="24"/>
                <w:szCs w:val="24"/>
              </w:rPr>
              <w:t xml:space="preserve"> s 11(1)</w:t>
            </w:r>
            <w:r w:rsidR="000E2922" w:rsidRPr="000E2922">
              <w:rPr>
                <w:rFonts w:ascii="Arial Narrow" w:hAnsi="Arial Narrow" w:cs="Arial"/>
                <w:i/>
                <w:sz w:val="24"/>
                <w:szCs w:val="24"/>
              </w:rPr>
              <w:t>(a)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 of </w:t>
            </w:r>
            <w:r w:rsidR="00DD71DE">
              <w:rPr>
                <w:rFonts w:ascii="Arial Narrow" w:hAnsi="Arial Narrow" w:cs="Arial"/>
                <w:sz w:val="24"/>
                <w:szCs w:val="24"/>
              </w:rPr>
              <w:t xml:space="preserve">the Stock Theft Act, 12 of 1990 </w:t>
            </w:r>
            <w:r w:rsidR="007165AE">
              <w:rPr>
                <w:rFonts w:ascii="Arial Narrow" w:hAnsi="Arial Narrow" w:cs="Arial"/>
                <w:sz w:val="24"/>
                <w:szCs w:val="24"/>
              </w:rPr>
              <w:t>(the Act)</w:t>
            </w:r>
            <w:r w:rsidR="00DD71DE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 as amended. They pleaded guilty and </w:t>
            </w:r>
            <w:r w:rsidR="003D2913">
              <w:rPr>
                <w:rFonts w:ascii="Arial Narrow" w:hAnsi="Arial Narrow" w:cs="Arial"/>
                <w:sz w:val="24"/>
                <w:szCs w:val="24"/>
              </w:rPr>
              <w:t xml:space="preserve">were 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>questioned</w:t>
            </w: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 in terms of section 112(1)(b)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 xml:space="preserve"> of the CPA. </w:t>
            </w:r>
            <w:r w:rsidR="000E2922">
              <w:rPr>
                <w:rFonts w:ascii="Arial Narrow" w:hAnsi="Arial Narrow" w:cs="Arial"/>
                <w:sz w:val="24"/>
                <w:szCs w:val="24"/>
              </w:rPr>
              <w:t>Consequently, t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>hey were</w:t>
            </w:r>
            <w:r w:rsidR="00B97F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>convicted on the strength of their guilty pleas and sentenced</w:t>
            </w:r>
            <w:r w:rsidR="00B97F54">
              <w:rPr>
                <w:rFonts w:ascii="Arial Narrow" w:hAnsi="Arial Narrow" w:cs="Arial"/>
                <w:sz w:val="24"/>
                <w:szCs w:val="24"/>
              </w:rPr>
              <w:t>, respectively,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 xml:space="preserve"> to a fine of N$8000 or, in default of payment, </w:t>
            </w:r>
            <w:r w:rsidR="003D2913">
              <w:rPr>
                <w:rFonts w:ascii="Arial Narrow" w:hAnsi="Arial Narrow" w:cs="Arial"/>
                <w:sz w:val="24"/>
                <w:szCs w:val="24"/>
              </w:rPr>
              <w:t>to 12 months’ imprisonment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 xml:space="preserve"> of which N$6000 </w:t>
            </w:r>
            <w:r w:rsidR="003D2913">
              <w:rPr>
                <w:rFonts w:ascii="Arial Narrow" w:hAnsi="Arial Narrow" w:cs="Arial"/>
                <w:sz w:val="24"/>
                <w:szCs w:val="24"/>
              </w:rPr>
              <w:t>or</w:t>
            </w:r>
            <w:r w:rsidR="00E26711" w:rsidRPr="00B97F54">
              <w:rPr>
                <w:rFonts w:ascii="Arial Narrow" w:hAnsi="Arial Narrow" w:cs="Arial"/>
                <w:sz w:val="24"/>
                <w:szCs w:val="24"/>
              </w:rPr>
              <w:t xml:space="preserve"> 8 </w:t>
            </w:r>
            <w:r w:rsidR="00AF5991">
              <w:rPr>
                <w:rFonts w:ascii="Arial Narrow" w:hAnsi="Arial Narrow" w:cs="Arial"/>
                <w:sz w:val="24"/>
                <w:szCs w:val="24"/>
              </w:rPr>
              <w:t>months</w:t>
            </w:r>
            <w:r w:rsidR="00547317">
              <w:rPr>
                <w:rFonts w:ascii="Arial Narrow" w:hAnsi="Arial Narrow" w:cs="Arial"/>
                <w:sz w:val="24"/>
                <w:szCs w:val="24"/>
              </w:rPr>
              <w:t xml:space="preserve">’ 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 xml:space="preserve"> imprisonment</w:t>
            </w:r>
            <w:r w:rsidR="00B97F54" w:rsidRPr="00B97F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>being</w:t>
            </w:r>
          </w:p>
          <w:p w:rsidR="00AF5991" w:rsidRPr="00AF5991" w:rsidRDefault="00AF5991" w:rsidP="00AF5991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AF5991" w:rsidRPr="00AF5991" w:rsidRDefault="00AF5991" w:rsidP="00AF5991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303A9" w:rsidRPr="003D2913" w:rsidRDefault="00B97F54" w:rsidP="00AF5991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7F54">
              <w:rPr>
                <w:rFonts w:ascii="Arial Narrow" w:hAnsi="Arial Narrow" w:cs="Arial"/>
                <w:sz w:val="24"/>
                <w:szCs w:val="24"/>
              </w:rPr>
              <w:t xml:space="preserve">suspended for a period of five </w:t>
            </w:r>
            <w:r w:rsidR="003D2913">
              <w:rPr>
                <w:rFonts w:ascii="Arial Narrow" w:hAnsi="Arial Narrow" w:cs="Arial"/>
                <w:sz w:val="24"/>
                <w:szCs w:val="24"/>
              </w:rPr>
              <w:t>years,</w:t>
            </w:r>
            <w:r w:rsidR="00AF5991">
              <w:rPr>
                <w:rFonts w:ascii="Arial Narrow" w:hAnsi="Arial Narrow" w:cs="Arial"/>
                <w:sz w:val="24"/>
                <w:szCs w:val="24"/>
              </w:rPr>
              <w:t xml:space="preserve"> on</w:t>
            </w:r>
            <w:r w:rsidRPr="003D2913">
              <w:rPr>
                <w:rFonts w:ascii="Arial Narrow" w:hAnsi="Arial Narrow" w:cs="Arial"/>
                <w:sz w:val="24"/>
                <w:szCs w:val="24"/>
              </w:rPr>
              <w:t xml:space="preserve"> condition</w:t>
            </w:r>
            <w:r w:rsidR="003D2913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Pr="003D2913">
              <w:rPr>
                <w:rFonts w:ascii="Arial Narrow" w:hAnsi="Arial Narrow" w:cs="Arial"/>
                <w:sz w:val="24"/>
                <w:szCs w:val="24"/>
              </w:rPr>
              <w:t xml:space="preserve"> the accused</w:t>
            </w:r>
            <w:r w:rsidR="00AF5991">
              <w:rPr>
                <w:rFonts w:ascii="Arial Narrow" w:hAnsi="Arial Narrow" w:cs="Arial"/>
                <w:sz w:val="24"/>
                <w:szCs w:val="24"/>
              </w:rPr>
              <w:t xml:space="preserve"> is</w:t>
            </w:r>
            <w:r w:rsidRPr="003D2913">
              <w:rPr>
                <w:rFonts w:ascii="Arial Narrow" w:hAnsi="Arial Narrow" w:cs="Arial"/>
                <w:sz w:val="24"/>
                <w:szCs w:val="24"/>
              </w:rPr>
              <w:t xml:space="preserve"> not convicted of stock theft, committed during the period of suspension.</w:t>
            </w:r>
          </w:p>
          <w:p w:rsidR="00B303A9" w:rsidRPr="00B303A9" w:rsidRDefault="00B303A9" w:rsidP="00B303A9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4F119B" w:rsidRPr="000E2922" w:rsidRDefault="00B303A9" w:rsidP="000E2922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</w:t>
            </w:r>
            <w:r w:rsidR="00AF5991">
              <w:rPr>
                <w:rFonts w:ascii="Arial Narrow" w:hAnsi="Arial Narrow" w:cs="Arial"/>
                <w:sz w:val="24"/>
                <w:szCs w:val="24"/>
              </w:rPr>
              <w:t>s are in order but the sentence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imposed </w:t>
            </w:r>
            <w:r w:rsidR="00AF5991">
              <w:rPr>
                <w:rFonts w:ascii="Arial Narrow" w:hAnsi="Arial Narrow" w:cs="Arial"/>
                <w:sz w:val="24"/>
                <w:szCs w:val="24"/>
              </w:rPr>
              <w:t>in each case 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not in accordance with justice. To this end, the court sent a query to the magistrate, in both matters, enquiring on what authority the </w:t>
            </w:r>
            <w:r w:rsidR="000E2922">
              <w:rPr>
                <w:rFonts w:ascii="Arial Narrow" w:hAnsi="Arial Narrow" w:cs="Arial"/>
                <w:sz w:val="24"/>
                <w:szCs w:val="24"/>
              </w:rPr>
              <w:t>magistrate acted</w:t>
            </w:r>
            <w:r w:rsidRPr="000E2922">
              <w:rPr>
                <w:rFonts w:ascii="Arial Narrow" w:hAnsi="Arial Narrow" w:cs="Arial"/>
                <w:sz w:val="24"/>
                <w:szCs w:val="24"/>
              </w:rPr>
              <w:t xml:space="preserve"> when she imposed </w:t>
            </w:r>
            <w:r w:rsidR="0036491B">
              <w:rPr>
                <w:rFonts w:ascii="Arial Narrow" w:hAnsi="Arial Narrow" w:cs="Arial"/>
                <w:sz w:val="24"/>
                <w:szCs w:val="24"/>
              </w:rPr>
              <w:t xml:space="preserve">sentences of </w:t>
            </w:r>
            <w:r w:rsidRPr="000E2922">
              <w:rPr>
                <w:rFonts w:ascii="Arial Narrow" w:hAnsi="Arial Narrow" w:cs="Arial"/>
                <w:sz w:val="24"/>
                <w:szCs w:val="24"/>
              </w:rPr>
              <w:t>fines</w:t>
            </w:r>
            <w:r w:rsidR="0036491B">
              <w:rPr>
                <w:rFonts w:ascii="Arial Narrow" w:hAnsi="Arial Narrow" w:cs="Arial"/>
                <w:sz w:val="24"/>
                <w:szCs w:val="24"/>
              </w:rPr>
              <w:t xml:space="preserve"> in stock theft cases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 xml:space="preserve">. She replied to the queries indicating that she was misguided by the penalty clauses inserted in the charge by the state and furthermore that the </w:t>
            </w:r>
            <w:r w:rsidR="00A11F6C">
              <w:rPr>
                <w:rFonts w:ascii="Arial Narrow" w:hAnsi="Arial Narrow" w:cs="Arial"/>
                <w:sz w:val="24"/>
                <w:szCs w:val="24"/>
              </w:rPr>
              <w:t>Act had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 xml:space="preserve"> been amended to exclud</w:t>
            </w:r>
            <w:r w:rsidR="00A11F6C">
              <w:rPr>
                <w:rFonts w:ascii="Arial Narrow" w:hAnsi="Arial Narrow" w:cs="Arial"/>
                <w:sz w:val="24"/>
                <w:szCs w:val="24"/>
              </w:rPr>
              <w:t>e the option of a fine. She therefore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 xml:space="preserve"> asked </w:t>
            </w:r>
            <w:r w:rsidR="0036491B">
              <w:rPr>
                <w:rFonts w:ascii="Arial Narrow" w:hAnsi="Arial Narrow" w:cs="Arial"/>
                <w:sz w:val="24"/>
                <w:szCs w:val="24"/>
              </w:rPr>
              <w:t>for the setting aside of both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491B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>sentence</w:t>
            </w:r>
            <w:r w:rsidR="0036491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F119B" w:rsidRPr="000E292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F119B" w:rsidRPr="004F119B" w:rsidRDefault="004F119B" w:rsidP="004F119B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5E4F50" w:rsidRDefault="007165AE" w:rsidP="005E4F5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Section 14(1) of the Act reads as follows:</w:t>
            </w:r>
          </w:p>
          <w:p w:rsidR="005E4F50" w:rsidRPr="00167555" w:rsidRDefault="005E4F50" w:rsidP="005E4F50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</w:rPr>
            </w:pPr>
            <w:r w:rsidRPr="00167555">
              <w:rPr>
                <w:rFonts w:ascii="Arial Narrow" w:hAnsi="Arial Narrow" w:cs="Arial"/>
              </w:rPr>
              <w:t>‘Any person who is convicted of an offence referred to in section 11(1)(a), . . . that relates to stock other than poultry –</w:t>
            </w:r>
          </w:p>
          <w:p w:rsidR="005E4F50" w:rsidRPr="00167555" w:rsidRDefault="005E4F50" w:rsidP="005E4F5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67555">
              <w:rPr>
                <w:rFonts w:ascii="Arial Narrow" w:hAnsi="Arial Narrow" w:cs="Arial"/>
              </w:rPr>
              <w:t>of which the value-</w:t>
            </w:r>
          </w:p>
          <w:p w:rsidR="005E4F50" w:rsidRDefault="005E4F50" w:rsidP="005E4F50">
            <w:pPr>
              <w:pStyle w:val="ListParagraph"/>
              <w:numPr>
                <w:ilvl w:val="1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67555">
              <w:rPr>
                <w:rFonts w:ascii="Arial Narrow" w:hAnsi="Arial Narrow" w:cs="Arial"/>
              </w:rPr>
              <w:t>is less than N$500, shall be liable in the case of a first conviction, to imprisonment for a period not less than two years without the option of a fine</w:t>
            </w:r>
            <w:r>
              <w:rPr>
                <w:rFonts w:ascii="Arial Narrow" w:hAnsi="Arial Narrow" w:cs="Arial"/>
              </w:rPr>
              <w:t>;</w:t>
            </w:r>
          </w:p>
          <w:p w:rsidR="005E4F50" w:rsidRDefault="005E4F50" w:rsidP="005E4F50">
            <w:pPr>
              <w:pStyle w:val="ListParagraph"/>
              <w:numPr>
                <w:ilvl w:val="1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 N$500 or more, shall be liable in the case of a first conviction, to imprisonment for a period not less than twenty years without the option of a fine </w:t>
            </w:r>
            <w:r w:rsidR="00A11F6C">
              <w:rPr>
                <w:rFonts w:ascii="Arial Narrow" w:hAnsi="Arial Narrow" w:cs="Arial"/>
              </w:rPr>
              <w:t>‘</w:t>
            </w:r>
          </w:p>
          <w:p w:rsidR="005E4F50" w:rsidRPr="00E772B2" w:rsidRDefault="005E4F50" w:rsidP="00997D5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E4F50" w:rsidRPr="00E772B2" w:rsidRDefault="005E4F50" w:rsidP="00997D55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72B2">
              <w:rPr>
                <w:rFonts w:ascii="Arial Narrow" w:hAnsi="Arial Narrow" w:cs="Arial"/>
                <w:sz w:val="24"/>
                <w:szCs w:val="24"/>
              </w:rPr>
              <w:t>Moreover, section 14 (2)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the Act states that</w:t>
            </w:r>
            <w:r w:rsidR="002E70C5">
              <w:rPr>
                <w:rFonts w:ascii="Arial Narrow" w:hAnsi="Arial Narrow" w:cs="Arial"/>
                <w:sz w:val="24"/>
                <w:szCs w:val="24"/>
              </w:rPr>
              <w:t xml:space="preserve"> ‘i</w:t>
            </w:r>
            <w:r w:rsidRPr="00E772B2">
              <w:rPr>
                <w:rFonts w:ascii="Arial Narrow" w:hAnsi="Arial Narrow" w:cs="Arial"/>
                <w:sz w:val="24"/>
                <w:szCs w:val="24"/>
              </w:rPr>
              <w:t>f a court is satisfied that substantial and compelling circumstances exist which justify the imposition of a less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>er</w:t>
            </w:r>
            <w:r w:rsidRPr="00E772B2">
              <w:rPr>
                <w:rFonts w:ascii="Arial Narrow" w:hAnsi="Arial Narrow" w:cs="Arial"/>
                <w:sz w:val="24"/>
                <w:szCs w:val="24"/>
              </w:rPr>
              <w:t xml:space="preserve"> sentence than the sentence prescribed in subsection (1)(a) or (b), it shall enter those circumstances on the record of the proceedings and may thereupon impose such lesser sentence.</w:t>
            </w:r>
            <w:r w:rsidR="002E70C5">
              <w:rPr>
                <w:rFonts w:ascii="Arial Narrow" w:hAnsi="Arial Narrow" w:cs="Arial"/>
                <w:sz w:val="24"/>
                <w:szCs w:val="24"/>
              </w:rPr>
              <w:t>’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06B22">
              <w:rPr>
                <w:rFonts w:ascii="Arial Narrow" w:hAnsi="Arial Narrow" w:cs="Arial"/>
                <w:sz w:val="24"/>
                <w:szCs w:val="24"/>
              </w:rPr>
              <w:t>Furthermore, as a result of</w:t>
            </w:r>
            <w:r w:rsidRPr="00E772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772B2">
              <w:rPr>
                <w:rFonts w:ascii="Arial Narrow" w:hAnsi="Arial Narrow" w:cs="Arial"/>
                <w:i/>
                <w:sz w:val="24"/>
                <w:szCs w:val="24"/>
              </w:rPr>
              <w:t>Daniel v Attorney-General and Others; Peter v Attorney-General and Others</w:t>
            </w:r>
            <w:r>
              <w:rPr>
                <w:rStyle w:val="FootnoteReference"/>
                <w:rFonts w:ascii="Arial Narrow" w:hAnsi="Arial Narrow" w:cs="Arial"/>
                <w:i/>
                <w:sz w:val="24"/>
                <w:szCs w:val="24"/>
              </w:rPr>
              <w:footnoteReference w:id="1"/>
            </w:r>
            <w:r w:rsidRPr="00E772B2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E772B2">
              <w:rPr>
                <w:rFonts w:ascii="Arial Narrow" w:hAnsi="Arial Narrow" w:cs="Arial"/>
                <w:sz w:val="24"/>
                <w:szCs w:val="24"/>
              </w:rPr>
              <w:t xml:space="preserve">the court </w:t>
            </w:r>
            <w:r w:rsidR="00806B22">
              <w:rPr>
                <w:rFonts w:ascii="Arial Narrow" w:hAnsi="Arial Narrow" w:cs="Arial"/>
                <w:sz w:val="24"/>
                <w:szCs w:val="24"/>
              </w:rPr>
              <w:t>struck certain provisions out of section 14 of the Act as follows;</w:t>
            </w:r>
          </w:p>
          <w:p w:rsidR="005E4F50" w:rsidRDefault="005E4F50" w:rsidP="005E4F5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words ‘or a period not less than twenty years’ are struck from s 14(1)(a)(ii) of the Act</w:t>
            </w:r>
          </w:p>
          <w:p w:rsidR="005E4F50" w:rsidRDefault="005E4F50" w:rsidP="005E4F5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the words ‘for a period not less than thirty years’ are struck from s 14(1)(b) of the Act. </w:t>
            </w:r>
          </w:p>
          <w:p w:rsidR="00806B22" w:rsidRDefault="00806B22" w:rsidP="00806B2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06B22" w:rsidRPr="00806B22" w:rsidRDefault="00806B22" w:rsidP="00806B2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E4F50" w:rsidRDefault="005E4F50" w:rsidP="005E4F50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To this end, s 14(1)(a)(ii) reads as follows now: </w:t>
            </w:r>
          </w:p>
          <w:p w:rsidR="005E4F50" w:rsidRDefault="005E4F50" w:rsidP="00806B22">
            <w:p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72B2">
              <w:rPr>
                <w:rFonts w:ascii="Arial Narrow" w:hAnsi="Arial Narrow" w:cs="Arial"/>
                <w:sz w:val="24"/>
                <w:szCs w:val="24"/>
              </w:rPr>
              <w:t>‘is more N$500 or more, shall be liable in the case of a first conviction, to imprisonment without the option of a fine.</w:t>
            </w:r>
            <w:r>
              <w:rPr>
                <w:rFonts w:ascii="Arial Narrow" w:hAnsi="Arial Narrow" w:cs="Arial"/>
                <w:sz w:val="24"/>
                <w:szCs w:val="24"/>
              </w:rPr>
              <w:t>’</w:t>
            </w:r>
          </w:p>
          <w:p w:rsidR="00806B22" w:rsidRPr="005E4F50" w:rsidRDefault="00806B22" w:rsidP="00806B22">
            <w:pPr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F684B" w:rsidRDefault="00806B22" w:rsidP="0063048F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Additionally t</w:t>
            </w:r>
            <w:r w:rsidR="005E4F50">
              <w:rPr>
                <w:rFonts w:ascii="Arial Narrow" w:hAnsi="Arial Narrow" w:cs="Arial"/>
                <w:sz w:val="24"/>
                <w:szCs w:val="24"/>
              </w:rPr>
              <w:t xml:space="preserve">he court in </w:t>
            </w:r>
            <w:r w:rsidR="005E4F50">
              <w:rPr>
                <w:rFonts w:ascii="Arial Narrow" w:hAnsi="Arial Narrow" w:cs="Arial"/>
                <w:i/>
                <w:sz w:val="24"/>
                <w:szCs w:val="24"/>
              </w:rPr>
              <w:t>S v Tjiveze</w:t>
            </w:r>
            <w:r w:rsidR="005E4F50">
              <w:rPr>
                <w:rStyle w:val="FootnoteReference"/>
                <w:rFonts w:ascii="Arial Narrow" w:hAnsi="Arial Narrow" w:cs="Arial"/>
                <w:i/>
                <w:sz w:val="24"/>
                <w:szCs w:val="24"/>
              </w:rPr>
              <w:footnoteReference w:id="2"/>
            </w:r>
            <w:r w:rsidR="005E4F5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5E4F50">
              <w:rPr>
                <w:rFonts w:ascii="Arial Narrow" w:hAnsi="Arial Narrow" w:cs="Arial"/>
                <w:sz w:val="24"/>
                <w:szCs w:val="24"/>
              </w:rPr>
              <w:t xml:space="preserve">also provided certain guidelines with regard to sentencing in stock theft cases. 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To this end </w:t>
            </w:r>
            <w:r w:rsidR="00946EF3">
              <w:rPr>
                <w:rFonts w:ascii="Arial Narrow" w:hAnsi="Arial Narrow" w:cs="Arial"/>
                <w:sz w:val="24"/>
                <w:szCs w:val="24"/>
              </w:rPr>
              <w:t>the court noted that in cases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where the value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of the stock is N$500 or more 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and the accused is a first offender the </w:t>
            </w:r>
            <w:r w:rsidR="00946EF3">
              <w:rPr>
                <w:rFonts w:ascii="Arial Narrow" w:hAnsi="Arial Narrow" w:cs="Arial"/>
                <w:sz w:val="24"/>
                <w:szCs w:val="24"/>
              </w:rPr>
              <w:t>only requirement is that a</w:t>
            </w:r>
            <w:r w:rsidR="00602974">
              <w:rPr>
                <w:rFonts w:ascii="Arial Narrow" w:hAnsi="Arial Narrow" w:cs="Arial"/>
                <w:sz w:val="24"/>
                <w:szCs w:val="24"/>
              </w:rPr>
              <w:t>ny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sentence</w:t>
            </w:r>
            <w:r w:rsidR="00602974">
              <w:rPr>
                <w:rFonts w:ascii="Arial Narrow" w:hAnsi="Arial Narrow" w:cs="Arial"/>
                <w:sz w:val="24"/>
                <w:szCs w:val="24"/>
              </w:rPr>
              <w:t xml:space="preserve"> of imprisonment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02974">
              <w:rPr>
                <w:rFonts w:ascii="Arial Narrow" w:hAnsi="Arial Narrow" w:cs="Arial"/>
                <w:sz w:val="24"/>
                <w:szCs w:val="24"/>
              </w:rPr>
              <w:t>(not exceeding the normal sentence jurisdiction of the magistrate court) may be imposed.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02974">
              <w:rPr>
                <w:rFonts w:ascii="Arial Narrow" w:hAnsi="Arial Narrow" w:cs="Arial"/>
                <w:sz w:val="24"/>
                <w:szCs w:val="24"/>
              </w:rPr>
              <w:t>Whereas</w:t>
            </w:r>
            <w:r w:rsidR="004F47E5">
              <w:rPr>
                <w:rFonts w:ascii="Arial Narrow" w:hAnsi="Arial Narrow" w:cs="Arial"/>
                <w:sz w:val="24"/>
                <w:szCs w:val="24"/>
              </w:rPr>
              <w:t xml:space="preserve"> section 14</w:t>
            </w:r>
            <w:r w:rsidR="00497954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2) of the Act </w:t>
            </w:r>
            <w:r w:rsidR="00602974">
              <w:rPr>
                <w:rFonts w:ascii="Arial Narrow" w:hAnsi="Arial Narrow" w:cs="Arial"/>
                <w:sz w:val="24"/>
                <w:szCs w:val="24"/>
              </w:rPr>
              <w:t>no longer applies,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the court may wholly or partly suspend the period of imprisonment. </w:t>
            </w:r>
            <w:r w:rsidR="008F684B" w:rsidRPr="008F684B">
              <w:rPr>
                <w:rFonts w:ascii="Arial Narrow" w:hAnsi="Arial Narrow" w:cs="Arial"/>
                <w:sz w:val="24"/>
                <w:szCs w:val="24"/>
              </w:rPr>
              <w:t xml:space="preserve">Therefore, a court 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cannot </w:t>
            </w:r>
            <w:r w:rsidR="008F684B" w:rsidRPr="008F684B">
              <w:rPr>
                <w:rFonts w:ascii="Arial Narrow" w:hAnsi="Arial Narrow" w:cs="Arial"/>
                <w:sz w:val="24"/>
                <w:szCs w:val="24"/>
              </w:rPr>
              <w:t>impose a sentence of a fine</w:t>
            </w:r>
            <w:r w:rsidR="008F684B">
              <w:rPr>
                <w:rFonts w:ascii="Arial Narrow" w:hAnsi="Arial Narrow" w:cs="Arial"/>
                <w:sz w:val="24"/>
                <w:szCs w:val="24"/>
              </w:rPr>
              <w:t xml:space="preserve"> in stock theft matters.</w:t>
            </w:r>
          </w:p>
          <w:p w:rsidR="008F684B" w:rsidRDefault="008F684B" w:rsidP="008F684B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97954" w:rsidRDefault="008F684B" w:rsidP="0049795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F7B0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4FCC" w:rsidRPr="007F7B07">
              <w:rPr>
                <w:rFonts w:ascii="Arial Narrow" w:hAnsi="Arial Narrow" w:cs="Arial"/>
                <w:sz w:val="24"/>
                <w:szCs w:val="24"/>
              </w:rPr>
              <w:t>In the premises the sentencing proceedings falls to be set aside and</w:t>
            </w:r>
            <w:r w:rsidR="0063048F">
              <w:rPr>
                <w:rFonts w:ascii="Arial Narrow" w:hAnsi="Arial Narrow" w:cs="Arial"/>
                <w:sz w:val="24"/>
                <w:szCs w:val="24"/>
              </w:rPr>
              <w:t xml:space="preserve"> both matters</w:t>
            </w:r>
            <w:r w:rsidR="00E54FCC" w:rsidRPr="007F7B07">
              <w:rPr>
                <w:rFonts w:ascii="Arial Narrow" w:hAnsi="Arial Narrow" w:cs="Arial"/>
                <w:sz w:val="24"/>
                <w:szCs w:val="24"/>
              </w:rPr>
              <w:t xml:space="preserve"> to </w:t>
            </w:r>
            <w:r w:rsidR="0063048F">
              <w:rPr>
                <w:rFonts w:ascii="Arial Narrow" w:hAnsi="Arial Narrow" w:cs="Arial"/>
                <w:sz w:val="24"/>
                <w:szCs w:val="24"/>
              </w:rPr>
              <w:t xml:space="preserve">be </w:t>
            </w:r>
            <w:r w:rsidR="00E54FCC" w:rsidRPr="007F7B07">
              <w:rPr>
                <w:rFonts w:ascii="Arial Narrow" w:hAnsi="Arial Narrow" w:cs="Arial"/>
                <w:sz w:val="24"/>
                <w:szCs w:val="24"/>
              </w:rPr>
              <w:t>remit</w:t>
            </w:r>
            <w:r w:rsidR="0063048F">
              <w:rPr>
                <w:rFonts w:ascii="Arial Narrow" w:hAnsi="Arial Narrow" w:cs="Arial"/>
                <w:sz w:val="24"/>
                <w:szCs w:val="24"/>
              </w:rPr>
              <w:t>ted</w:t>
            </w:r>
            <w:r w:rsidR="00E54FCC" w:rsidRPr="007F7B07">
              <w:rPr>
                <w:rFonts w:ascii="Arial Narrow" w:hAnsi="Arial Narrow" w:cs="Arial"/>
                <w:sz w:val="24"/>
                <w:szCs w:val="24"/>
              </w:rPr>
              <w:t xml:space="preserve"> to the court</w:t>
            </w:r>
            <w:r w:rsidR="00E54FCC" w:rsidRPr="007F7B07">
              <w:rPr>
                <w:rFonts w:ascii="Arial Narrow" w:hAnsi="Arial Narrow" w:cs="Arial"/>
                <w:i/>
                <w:sz w:val="24"/>
                <w:szCs w:val="24"/>
              </w:rPr>
              <w:t xml:space="preserve"> a quo</w:t>
            </w:r>
            <w:r w:rsidR="00E54FCC" w:rsidRPr="007F7B07">
              <w:rPr>
                <w:rFonts w:ascii="Arial Narrow" w:hAnsi="Arial Narrow" w:cs="Arial"/>
                <w:sz w:val="24"/>
                <w:szCs w:val="24"/>
              </w:rPr>
              <w:t xml:space="preserve"> to sentence the accuse</w:t>
            </w:r>
            <w:r w:rsidR="007F7B07">
              <w:rPr>
                <w:rFonts w:ascii="Arial Narrow" w:hAnsi="Arial Narrow" w:cs="Arial"/>
                <w:sz w:val="24"/>
                <w:szCs w:val="24"/>
              </w:rPr>
              <w:t>d persons afresh</w:t>
            </w:r>
            <w:r w:rsidR="00497954">
              <w:rPr>
                <w:rFonts w:ascii="Arial Narrow" w:hAnsi="Arial Narrow" w:cs="Arial"/>
                <w:sz w:val="24"/>
                <w:szCs w:val="24"/>
              </w:rPr>
              <w:t xml:space="preserve"> and along the tenets of the authorities outlined above</w:t>
            </w:r>
            <w:r w:rsidR="007F7B0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97954" w:rsidRPr="00497954" w:rsidRDefault="00497954" w:rsidP="00497954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497954" w:rsidRPr="00497954" w:rsidRDefault="00497954" w:rsidP="0049795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954">
              <w:rPr>
                <w:rFonts w:ascii="Arial Narrow" w:hAnsi="Arial Narrow" w:cs="Arial"/>
                <w:sz w:val="24"/>
                <w:szCs w:val="24"/>
              </w:rPr>
              <w:t>It is ordered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795A7A" w:rsidRPr="00497954" w:rsidRDefault="00795A7A" w:rsidP="00F179EA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954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E55BDF" w:rsidRPr="00497954">
              <w:rPr>
                <w:rFonts w:ascii="Arial Narrow" w:hAnsi="Arial Narrow" w:cs="Arial"/>
                <w:sz w:val="24"/>
                <w:szCs w:val="24"/>
              </w:rPr>
              <w:t>he conviction</w:t>
            </w:r>
            <w:r w:rsidR="002342C4" w:rsidRPr="00497954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E55BDF" w:rsidRPr="00497954">
              <w:rPr>
                <w:rFonts w:ascii="Arial Narrow" w:hAnsi="Arial Narrow" w:cs="Arial"/>
                <w:sz w:val="24"/>
                <w:szCs w:val="24"/>
              </w:rPr>
              <w:t xml:space="preserve"> are</w:t>
            </w:r>
            <w:r w:rsidR="00E54FCC" w:rsidRPr="00497954">
              <w:rPr>
                <w:rFonts w:ascii="Arial Narrow" w:hAnsi="Arial Narrow" w:cs="Arial"/>
                <w:sz w:val="24"/>
                <w:szCs w:val="24"/>
              </w:rPr>
              <w:t xml:space="preserve"> confirmed.</w:t>
            </w:r>
          </w:p>
          <w:p w:rsidR="00E54FCC" w:rsidRDefault="00E54FCC" w:rsidP="00F179EA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</w:t>
            </w:r>
            <w:r w:rsidR="00E55BDF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5BDF">
              <w:rPr>
                <w:rFonts w:ascii="Arial Narrow" w:hAnsi="Arial Narrow" w:cs="Arial"/>
                <w:sz w:val="24"/>
                <w:szCs w:val="24"/>
              </w:rPr>
              <w:t>are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set aside and the fine</w:t>
            </w:r>
            <w:r w:rsidR="00E55BDF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, if paid</w:t>
            </w:r>
            <w:r w:rsidR="00F179EA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to be refunded.</w:t>
            </w:r>
          </w:p>
          <w:p w:rsidR="00E54FCC" w:rsidRDefault="00E54FCC" w:rsidP="00F179EA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matter</w:t>
            </w:r>
            <w:r w:rsidR="00E55BDF">
              <w:rPr>
                <w:rFonts w:ascii="Arial Narrow" w:hAnsi="Arial Narrow" w:cs="Arial"/>
                <w:sz w:val="24"/>
                <w:szCs w:val="24"/>
              </w:rPr>
              <w:t>s are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remitted to the </w:t>
            </w:r>
            <w:r w:rsidR="00E55BDF">
              <w:rPr>
                <w:rFonts w:ascii="Arial Narrow" w:hAnsi="Arial Narrow" w:cs="Arial"/>
                <w:sz w:val="24"/>
                <w:szCs w:val="24"/>
              </w:rPr>
              <w:t>magistrate’s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court </w:t>
            </w:r>
            <w:r w:rsidR="00F179EA">
              <w:rPr>
                <w:rFonts w:ascii="Arial Narrow" w:hAnsi="Arial Narrow" w:cs="Arial"/>
                <w:sz w:val="24"/>
                <w:szCs w:val="24"/>
              </w:rPr>
              <w:t>sitting in the district of Keet</w:t>
            </w:r>
            <w:r>
              <w:rPr>
                <w:rFonts w:ascii="Arial Narrow" w:hAnsi="Arial Narrow" w:cs="Arial"/>
                <w:sz w:val="24"/>
                <w:szCs w:val="24"/>
              </w:rPr>
              <w:t>manshoop for sentencing</w:t>
            </w:r>
            <w:r w:rsidR="00F179EA">
              <w:rPr>
                <w:rFonts w:ascii="Arial Narrow" w:hAnsi="Arial Narrow" w:cs="Arial"/>
                <w:sz w:val="24"/>
                <w:szCs w:val="24"/>
              </w:rPr>
              <w:t xml:space="preserve"> afresh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54FCC" w:rsidRPr="00795A7A" w:rsidRDefault="00E54FCC" w:rsidP="00F179EA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sentenci</w:t>
            </w:r>
            <w:r w:rsidR="00F179EA">
              <w:rPr>
                <w:rFonts w:ascii="Arial Narrow" w:hAnsi="Arial Narrow" w:cs="Arial"/>
                <w:sz w:val="24"/>
                <w:szCs w:val="24"/>
              </w:rPr>
              <w:t>ng court must have regard to any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period already served by the accused persons.</w:t>
            </w:r>
          </w:p>
          <w:p w:rsidR="00837E4E" w:rsidRPr="00D92DB9" w:rsidRDefault="00837E4E" w:rsidP="00837E4E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384F99"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1B0FDD" w:rsidRDefault="00D35047" w:rsidP="00D92DB9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1B0FDD" w:rsidTr="00384F99">
        <w:trPr>
          <w:trHeight w:val="827"/>
        </w:trPr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 C LIEBENBERG</w:t>
            </w:r>
          </w:p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C7EFF" w:rsidRDefault="00EB0194" w:rsidP="000C7EF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 SIBEYA</w:t>
            </w:r>
          </w:p>
          <w:p w:rsidR="00D35047" w:rsidRPr="001B0FDD" w:rsidRDefault="000C7EFF" w:rsidP="000C7EF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D35047" w:rsidRPr="001B0FDD">
              <w:rPr>
                <w:rFonts w:ascii="Arial Narrow" w:hAnsi="Arial Narrow" w:cs="Arial"/>
                <w:b/>
                <w:sz w:val="24"/>
                <w:szCs w:val="24"/>
              </w:rPr>
              <w:t>UDGE</w:t>
            </w:r>
          </w:p>
        </w:tc>
      </w:tr>
    </w:tbl>
    <w:p w:rsidR="00B97A95" w:rsidRDefault="00B97A95" w:rsidP="00D92DB9"/>
    <w:sectPr w:rsidR="00B97A95" w:rsidSect="00B4589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27" w:rsidRDefault="00CB0A27" w:rsidP="00F1192F">
      <w:pPr>
        <w:spacing w:after="0" w:line="240" w:lineRule="auto"/>
      </w:pPr>
      <w:r>
        <w:separator/>
      </w:r>
    </w:p>
  </w:endnote>
  <w:endnote w:type="continuationSeparator" w:id="0">
    <w:p w:rsidR="00CB0A27" w:rsidRDefault="00CB0A27" w:rsidP="00F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27" w:rsidRDefault="00CB0A27" w:rsidP="00F1192F">
      <w:pPr>
        <w:spacing w:after="0" w:line="240" w:lineRule="auto"/>
      </w:pPr>
      <w:r>
        <w:separator/>
      </w:r>
    </w:p>
  </w:footnote>
  <w:footnote w:type="continuationSeparator" w:id="0">
    <w:p w:rsidR="00CB0A27" w:rsidRDefault="00CB0A27" w:rsidP="00F1192F">
      <w:pPr>
        <w:spacing w:after="0" w:line="240" w:lineRule="auto"/>
      </w:pPr>
      <w:r>
        <w:continuationSeparator/>
      </w:r>
    </w:p>
  </w:footnote>
  <w:footnote w:id="1">
    <w:p w:rsidR="005E4F50" w:rsidRDefault="005E4F50" w:rsidP="005E4F50">
      <w:pPr>
        <w:pStyle w:val="FootnoteText"/>
      </w:pPr>
      <w:r>
        <w:rPr>
          <w:rStyle w:val="FootnoteReference"/>
        </w:rPr>
        <w:footnoteRef/>
      </w:r>
      <w:r>
        <w:t xml:space="preserve"> 2011 (1) NR 330 (HC).</w:t>
      </w:r>
    </w:p>
  </w:footnote>
  <w:footnote w:id="2">
    <w:p w:rsidR="005E4F50" w:rsidRPr="005E4F50" w:rsidRDefault="005E4F50">
      <w:pPr>
        <w:pStyle w:val="FootnoteText"/>
        <w:rPr>
          <w:rFonts w:ascii="Arial Narrow" w:hAnsi="Arial Narrow"/>
        </w:rPr>
      </w:pPr>
      <w:r w:rsidRPr="005E4F50">
        <w:rPr>
          <w:rStyle w:val="FootnoteReference"/>
          <w:rFonts w:ascii="Arial Narrow" w:hAnsi="Arial Narrow"/>
        </w:rPr>
        <w:footnoteRef/>
      </w:r>
      <w:r w:rsidRPr="005E4F50">
        <w:rPr>
          <w:rFonts w:ascii="Arial Narrow" w:hAnsi="Arial Narrow"/>
        </w:rPr>
        <w:t xml:space="preserve"> 2013 (4) NR 949 (HC), see also </w:t>
      </w:r>
      <w:r w:rsidRPr="005E4F50">
        <w:rPr>
          <w:rFonts w:ascii="Arial Narrow" w:hAnsi="Arial Narrow"/>
          <w:i/>
        </w:rPr>
        <w:t>S v Lwishi</w:t>
      </w:r>
      <w:r w:rsidRPr="005E4F50">
        <w:rPr>
          <w:rFonts w:ascii="Arial Narrow" w:hAnsi="Arial Narrow"/>
        </w:rPr>
        <w:t xml:space="preserve"> 2012 (1) NR 324 (HC).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5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899" w:rsidRDefault="00B458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CB3" w:rsidRDefault="0026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5A"/>
    <w:multiLevelType w:val="hybridMultilevel"/>
    <w:tmpl w:val="F90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D2E"/>
    <w:multiLevelType w:val="hybridMultilevel"/>
    <w:tmpl w:val="30EAD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278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96284"/>
    <w:multiLevelType w:val="hybridMultilevel"/>
    <w:tmpl w:val="0AA0FF80"/>
    <w:lvl w:ilvl="0" w:tplc="B934A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9D0BE7"/>
    <w:multiLevelType w:val="hybridMultilevel"/>
    <w:tmpl w:val="F266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C3D"/>
    <w:multiLevelType w:val="hybridMultilevel"/>
    <w:tmpl w:val="CEA65B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7BF7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F2EB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A1BC2"/>
    <w:multiLevelType w:val="hybridMultilevel"/>
    <w:tmpl w:val="9776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574A0"/>
    <w:multiLevelType w:val="hybridMultilevel"/>
    <w:tmpl w:val="D616C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DE5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13C3A"/>
    <w:multiLevelType w:val="hybridMultilevel"/>
    <w:tmpl w:val="23747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B3E7E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B4B8C"/>
    <w:multiLevelType w:val="hybridMultilevel"/>
    <w:tmpl w:val="EF10E2D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7709A9"/>
    <w:multiLevelType w:val="hybridMultilevel"/>
    <w:tmpl w:val="86943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C0721A"/>
    <w:multiLevelType w:val="hybridMultilevel"/>
    <w:tmpl w:val="D616C4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225DD1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971166"/>
    <w:multiLevelType w:val="hybridMultilevel"/>
    <w:tmpl w:val="4CA4A966"/>
    <w:lvl w:ilvl="0" w:tplc="429A7518">
      <w:start w:val="1"/>
      <w:numFmt w:val="lowerLetter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0"/>
  </w:num>
  <w:num w:numId="13">
    <w:abstractNumId w:val="17"/>
  </w:num>
  <w:num w:numId="14">
    <w:abstractNumId w:val="1"/>
  </w:num>
  <w:num w:numId="15">
    <w:abstractNumId w:val="11"/>
  </w:num>
  <w:num w:numId="16">
    <w:abstractNumId w:val="6"/>
  </w:num>
  <w:num w:numId="17">
    <w:abstractNumId w:val="16"/>
  </w:num>
  <w:num w:numId="18">
    <w:abstractNumId w:val="20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30B5"/>
    <w:rsid w:val="00064AD7"/>
    <w:rsid w:val="000841C3"/>
    <w:rsid w:val="000B4D4B"/>
    <w:rsid w:val="000C2FE7"/>
    <w:rsid w:val="000C7EFF"/>
    <w:rsid w:val="000E2922"/>
    <w:rsid w:val="00105613"/>
    <w:rsid w:val="00124718"/>
    <w:rsid w:val="00167555"/>
    <w:rsid w:val="001A41D5"/>
    <w:rsid w:val="001A57CD"/>
    <w:rsid w:val="001B7928"/>
    <w:rsid w:val="001C0E01"/>
    <w:rsid w:val="00207368"/>
    <w:rsid w:val="00223FBB"/>
    <w:rsid w:val="00224FEA"/>
    <w:rsid w:val="00233D4A"/>
    <w:rsid w:val="002342C4"/>
    <w:rsid w:val="002474DD"/>
    <w:rsid w:val="00266CB3"/>
    <w:rsid w:val="002745F1"/>
    <w:rsid w:val="00282698"/>
    <w:rsid w:val="002D3562"/>
    <w:rsid w:val="002E5924"/>
    <w:rsid w:val="002E70C5"/>
    <w:rsid w:val="002E7367"/>
    <w:rsid w:val="00333485"/>
    <w:rsid w:val="00333633"/>
    <w:rsid w:val="00333F47"/>
    <w:rsid w:val="00357E76"/>
    <w:rsid w:val="00362104"/>
    <w:rsid w:val="0036491B"/>
    <w:rsid w:val="00384F99"/>
    <w:rsid w:val="00392432"/>
    <w:rsid w:val="003B2244"/>
    <w:rsid w:val="003C52F8"/>
    <w:rsid w:val="003D2913"/>
    <w:rsid w:val="003E6085"/>
    <w:rsid w:val="003F525B"/>
    <w:rsid w:val="004057CA"/>
    <w:rsid w:val="00407DA4"/>
    <w:rsid w:val="00421539"/>
    <w:rsid w:val="004360DF"/>
    <w:rsid w:val="00497954"/>
    <w:rsid w:val="004B5EF3"/>
    <w:rsid w:val="004C47C8"/>
    <w:rsid w:val="004F119B"/>
    <w:rsid w:val="004F47E5"/>
    <w:rsid w:val="0050248C"/>
    <w:rsid w:val="00504649"/>
    <w:rsid w:val="00505B25"/>
    <w:rsid w:val="00526942"/>
    <w:rsid w:val="00535D52"/>
    <w:rsid w:val="00547317"/>
    <w:rsid w:val="00550128"/>
    <w:rsid w:val="00584D49"/>
    <w:rsid w:val="0059000D"/>
    <w:rsid w:val="005A6E32"/>
    <w:rsid w:val="005C15FA"/>
    <w:rsid w:val="005D7CD3"/>
    <w:rsid w:val="005E4F50"/>
    <w:rsid w:val="00602974"/>
    <w:rsid w:val="0063048F"/>
    <w:rsid w:val="00632C1B"/>
    <w:rsid w:val="00663198"/>
    <w:rsid w:val="006956C2"/>
    <w:rsid w:val="006E1FEF"/>
    <w:rsid w:val="006F16D5"/>
    <w:rsid w:val="006F1BE0"/>
    <w:rsid w:val="007032C8"/>
    <w:rsid w:val="007165AE"/>
    <w:rsid w:val="00736D3F"/>
    <w:rsid w:val="00744A3F"/>
    <w:rsid w:val="00795A7A"/>
    <w:rsid w:val="007E47F9"/>
    <w:rsid w:val="007E612B"/>
    <w:rsid w:val="007F7B07"/>
    <w:rsid w:val="00806B22"/>
    <w:rsid w:val="0082349A"/>
    <w:rsid w:val="00824893"/>
    <w:rsid w:val="00837E4E"/>
    <w:rsid w:val="0087379F"/>
    <w:rsid w:val="008E1542"/>
    <w:rsid w:val="008F684B"/>
    <w:rsid w:val="0092347B"/>
    <w:rsid w:val="00924352"/>
    <w:rsid w:val="00926BAA"/>
    <w:rsid w:val="009417E8"/>
    <w:rsid w:val="00946EF3"/>
    <w:rsid w:val="00997D55"/>
    <w:rsid w:val="009A4EBC"/>
    <w:rsid w:val="009C1857"/>
    <w:rsid w:val="009C600C"/>
    <w:rsid w:val="009D2630"/>
    <w:rsid w:val="009E003A"/>
    <w:rsid w:val="00A11F6C"/>
    <w:rsid w:val="00A1663F"/>
    <w:rsid w:val="00A5533A"/>
    <w:rsid w:val="00AA0FD4"/>
    <w:rsid w:val="00AC0E58"/>
    <w:rsid w:val="00AD427A"/>
    <w:rsid w:val="00AE4BDB"/>
    <w:rsid w:val="00AF30DA"/>
    <w:rsid w:val="00AF5991"/>
    <w:rsid w:val="00B13BE8"/>
    <w:rsid w:val="00B23CF8"/>
    <w:rsid w:val="00B303A9"/>
    <w:rsid w:val="00B45899"/>
    <w:rsid w:val="00B97A95"/>
    <w:rsid w:val="00B97F54"/>
    <w:rsid w:val="00BE21EF"/>
    <w:rsid w:val="00BF6FF3"/>
    <w:rsid w:val="00C05608"/>
    <w:rsid w:val="00CA70E5"/>
    <w:rsid w:val="00CA7405"/>
    <w:rsid w:val="00CB0A27"/>
    <w:rsid w:val="00CB6D7D"/>
    <w:rsid w:val="00CC4996"/>
    <w:rsid w:val="00CE6426"/>
    <w:rsid w:val="00CF3BAD"/>
    <w:rsid w:val="00CF55E4"/>
    <w:rsid w:val="00D01948"/>
    <w:rsid w:val="00D35047"/>
    <w:rsid w:val="00D66A4A"/>
    <w:rsid w:val="00D92DB9"/>
    <w:rsid w:val="00D9375F"/>
    <w:rsid w:val="00DB302C"/>
    <w:rsid w:val="00DC35AF"/>
    <w:rsid w:val="00DC46FE"/>
    <w:rsid w:val="00DD71DE"/>
    <w:rsid w:val="00E26711"/>
    <w:rsid w:val="00E33FE2"/>
    <w:rsid w:val="00E533B2"/>
    <w:rsid w:val="00E54FCC"/>
    <w:rsid w:val="00E55BDF"/>
    <w:rsid w:val="00E601B2"/>
    <w:rsid w:val="00E63192"/>
    <w:rsid w:val="00E772B2"/>
    <w:rsid w:val="00EB0194"/>
    <w:rsid w:val="00EC6886"/>
    <w:rsid w:val="00ED77C5"/>
    <w:rsid w:val="00F1192F"/>
    <w:rsid w:val="00F179EA"/>
    <w:rsid w:val="00F960FC"/>
    <w:rsid w:val="00FA35DA"/>
    <w:rsid w:val="00FB1579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F7C1-9B13-4627-883B-D970D32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11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192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119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3"/>
  </w:style>
  <w:style w:type="paragraph" w:styleId="Footer">
    <w:name w:val="footer"/>
    <w:basedOn w:val="Normal"/>
    <w:link w:val="Foot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3"/>
  </w:style>
  <w:style w:type="paragraph" w:styleId="BalloonText">
    <w:name w:val="Balloon Text"/>
    <w:basedOn w:val="Normal"/>
    <w:link w:val="BalloonTextChar"/>
    <w:uiPriority w:val="99"/>
    <w:semiHidden/>
    <w:unhideWhenUsed/>
    <w:rsid w:val="0006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2020-03-24T18:30:00+00:00</Judgment_x0020_Date>
  </documentManagement>
</p:properties>
</file>

<file path=customXml/itemProps1.xml><?xml version="1.0" encoding="utf-8"?>
<ds:datastoreItem xmlns:ds="http://schemas.openxmlformats.org/officeDocument/2006/customXml" ds:itemID="{66C086BE-B15D-4BCB-907F-BBF2EF0F5B22}"/>
</file>

<file path=customXml/itemProps2.xml><?xml version="1.0" encoding="utf-8"?>
<ds:datastoreItem xmlns:ds="http://schemas.openxmlformats.org/officeDocument/2006/customXml" ds:itemID="{745002EE-8C79-4EFD-A616-BB0ED0DF244E}"/>
</file>

<file path=customXml/itemProps3.xml><?xml version="1.0" encoding="utf-8"?>
<ds:datastoreItem xmlns:ds="http://schemas.openxmlformats.org/officeDocument/2006/customXml" ds:itemID="{94CB4D6A-E805-4DCF-B09D-169D9153CBAF}"/>
</file>

<file path=customXml/itemProps4.xml><?xml version="1.0" encoding="utf-8"?>
<ds:datastoreItem xmlns:ds="http://schemas.openxmlformats.org/officeDocument/2006/customXml" ds:itemID="{2C355A9E-C761-4011-B5E8-1FDC5D1DE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Kasita</dc:creator>
  <cp:keywords/>
  <dc:description/>
  <cp:lastModifiedBy>Lotta N. Ambunda</cp:lastModifiedBy>
  <cp:revision>2</cp:revision>
  <cp:lastPrinted>2020-03-25T06:33:00Z</cp:lastPrinted>
  <dcterms:created xsi:type="dcterms:W3CDTF">2020-03-25T08:04:00Z</dcterms:created>
  <dcterms:modified xsi:type="dcterms:W3CDTF">2020-03-25T08:04:00Z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