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88C8D" w14:textId="77777777" w:rsidR="008B06A5" w:rsidRDefault="008B06A5" w:rsidP="00072ADB">
      <w:pPr>
        <w:rPr>
          <w:rFonts w:ascii="Arial" w:hAnsi="Arial"/>
          <w:b/>
        </w:rPr>
      </w:pPr>
      <w:bookmarkStart w:id="0" w:name="_GoBack"/>
      <w:bookmarkEnd w:id="0"/>
    </w:p>
    <w:p w14:paraId="6A833188" w14:textId="77777777" w:rsidR="008B06A5" w:rsidRDefault="008B06A5" w:rsidP="008B06A5">
      <w:pPr>
        <w:jc w:val="center"/>
        <w:rPr>
          <w:rFonts w:ascii="Arial" w:hAnsi="Arial"/>
          <w:b/>
          <w:lang w:val="en-US"/>
        </w:rPr>
      </w:pPr>
      <w:r w:rsidRPr="008B06A5">
        <w:rPr>
          <w:rFonts w:ascii="Arial" w:hAnsi="Arial"/>
          <w:b/>
          <w:lang w:val="en-US"/>
        </w:rPr>
        <w:t>REPUBLIC OF NAMIBIA</w:t>
      </w:r>
    </w:p>
    <w:p w14:paraId="309B2105" w14:textId="77777777" w:rsidR="008B06A5" w:rsidRPr="008B06A5" w:rsidRDefault="008B06A5" w:rsidP="008B06A5">
      <w:pPr>
        <w:jc w:val="center"/>
        <w:rPr>
          <w:rFonts w:ascii="Arial" w:hAnsi="Arial"/>
          <w:b/>
          <w:lang w:val="en-US"/>
        </w:rPr>
      </w:pPr>
    </w:p>
    <w:p w14:paraId="68C703ED" w14:textId="6870207C" w:rsidR="008B06A5" w:rsidRDefault="008B06A5" w:rsidP="008B06A5">
      <w:pPr>
        <w:jc w:val="center"/>
        <w:rPr>
          <w:rFonts w:ascii="Arial" w:hAnsi="Arial"/>
          <w:b/>
        </w:rPr>
      </w:pPr>
      <w:r w:rsidRPr="008B06A5">
        <w:rPr>
          <w:rFonts w:ascii="Arial" w:hAnsi="Arial"/>
          <w:b/>
          <w:noProof/>
          <w:lang w:val="en-ZA" w:eastAsia="en-ZA"/>
        </w:rPr>
        <w:drawing>
          <wp:inline distT="0" distB="0" distL="0" distR="0" wp14:anchorId="7235923E" wp14:editId="0C384CC9">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35EE7A08" w14:textId="77777777" w:rsidR="008B06A5" w:rsidRDefault="008B06A5" w:rsidP="006F207A">
      <w:pPr>
        <w:jc w:val="center"/>
        <w:rPr>
          <w:rFonts w:ascii="Arial" w:hAnsi="Arial"/>
          <w:b/>
        </w:rPr>
      </w:pPr>
    </w:p>
    <w:p w14:paraId="39B58F5B" w14:textId="77777777" w:rsidR="006E486A" w:rsidRDefault="006F207A" w:rsidP="006F207A">
      <w:pPr>
        <w:jc w:val="center"/>
        <w:rPr>
          <w:rFonts w:ascii="Arial" w:hAnsi="Arial"/>
          <w:b/>
        </w:rPr>
      </w:pPr>
      <w:r>
        <w:rPr>
          <w:rFonts w:ascii="Arial" w:hAnsi="Arial"/>
          <w:b/>
        </w:rPr>
        <w:t>HIGH COURT OF NAMIBIA, MAIN DIVISION, WINDHOEK</w:t>
      </w:r>
    </w:p>
    <w:p w14:paraId="05496F3A" w14:textId="77777777" w:rsidR="006F207A" w:rsidRDefault="006F207A" w:rsidP="006F207A">
      <w:pPr>
        <w:jc w:val="center"/>
        <w:rPr>
          <w:rFonts w:ascii="Arial" w:hAnsi="Arial"/>
          <w:b/>
        </w:rPr>
      </w:pPr>
    </w:p>
    <w:p w14:paraId="6D3CBD63" w14:textId="77777777" w:rsidR="006F207A" w:rsidRDefault="006F207A" w:rsidP="006F207A">
      <w:pPr>
        <w:jc w:val="center"/>
        <w:rPr>
          <w:rFonts w:ascii="Arial" w:hAnsi="Arial"/>
          <w:b/>
        </w:rPr>
      </w:pPr>
      <w:r>
        <w:rPr>
          <w:rFonts w:ascii="Arial" w:hAnsi="Arial"/>
          <w:b/>
        </w:rPr>
        <w:t>JUDGMENT</w:t>
      </w:r>
    </w:p>
    <w:p w14:paraId="4E3A7D71" w14:textId="77777777" w:rsidR="006F207A" w:rsidRDefault="006F207A" w:rsidP="006F207A">
      <w:pPr>
        <w:jc w:val="center"/>
        <w:rPr>
          <w:rFonts w:ascii="Arial" w:hAnsi="Arial"/>
          <w:b/>
        </w:rPr>
      </w:pPr>
    </w:p>
    <w:p w14:paraId="34EB4945" w14:textId="77777777" w:rsidR="006F207A" w:rsidRDefault="006F207A" w:rsidP="006F207A">
      <w:pPr>
        <w:jc w:val="right"/>
        <w:rPr>
          <w:rFonts w:ascii="Arial" w:hAnsi="Arial"/>
        </w:rPr>
      </w:pPr>
      <w:r>
        <w:rPr>
          <w:rFonts w:ascii="Arial" w:hAnsi="Arial"/>
        </w:rPr>
        <w:t>CASE NO: HC-MD-CIV-MOT-GEN-2018/00121</w:t>
      </w:r>
    </w:p>
    <w:p w14:paraId="4166A127" w14:textId="77777777" w:rsidR="006F207A" w:rsidRDefault="006F207A" w:rsidP="006F207A">
      <w:pPr>
        <w:jc w:val="right"/>
        <w:rPr>
          <w:rFonts w:ascii="Arial" w:hAnsi="Arial"/>
        </w:rPr>
      </w:pPr>
    </w:p>
    <w:p w14:paraId="19411AC7" w14:textId="77777777" w:rsidR="006F207A" w:rsidRDefault="006F207A" w:rsidP="006F207A">
      <w:pPr>
        <w:rPr>
          <w:rFonts w:ascii="Arial" w:hAnsi="Arial"/>
        </w:rPr>
      </w:pPr>
      <w:r>
        <w:rPr>
          <w:rFonts w:ascii="Arial" w:hAnsi="Arial"/>
        </w:rPr>
        <w:t>In the matter between:</w:t>
      </w:r>
    </w:p>
    <w:p w14:paraId="71AD1450" w14:textId="77777777" w:rsidR="006F207A" w:rsidRDefault="006F207A" w:rsidP="006F207A">
      <w:pPr>
        <w:rPr>
          <w:rFonts w:ascii="Arial" w:hAnsi="Arial"/>
        </w:rPr>
      </w:pPr>
    </w:p>
    <w:p w14:paraId="17F140F8" w14:textId="147F5284" w:rsidR="006F207A" w:rsidRDefault="006F207A" w:rsidP="006F207A">
      <w:pPr>
        <w:rPr>
          <w:rFonts w:ascii="Arial" w:hAnsi="Arial"/>
          <w:b/>
        </w:rPr>
      </w:pPr>
      <w:r>
        <w:rPr>
          <w:rFonts w:ascii="Arial" w:hAnsi="Arial"/>
          <w:b/>
        </w:rPr>
        <w:t xml:space="preserve">BENEDICT MASULE MBALA                                              </w:t>
      </w:r>
      <w:r w:rsidR="0070553C">
        <w:rPr>
          <w:rFonts w:ascii="Arial" w:hAnsi="Arial"/>
          <w:b/>
        </w:rPr>
        <w:t xml:space="preserve"> </w:t>
      </w:r>
      <w:r>
        <w:rPr>
          <w:rFonts w:ascii="Arial" w:hAnsi="Arial"/>
          <w:b/>
        </w:rPr>
        <w:t xml:space="preserve"> 1</w:t>
      </w:r>
      <w:r w:rsidRPr="006F207A">
        <w:rPr>
          <w:rFonts w:ascii="Arial" w:hAnsi="Arial"/>
          <w:b/>
          <w:vertAlign w:val="superscript"/>
        </w:rPr>
        <w:t>ST</w:t>
      </w:r>
      <w:r>
        <w:rPr>
          <w:rFonts w:ascii="Arial" w:hAnsi="Arial"/>
          <w:b/>
        </w:rPr>
        <w:t xml:space="preserve"> APPLICANT</w:t>
      </w:r>
    </w:p>
    <w:p w14:paraId="6C45C639" w14:textId="77777777" w:rsidR="001669BD" w:rsidRDefault="001669BD" w:rsidP="006F207A">
      <w:pPr>
        <w:rPr>
          <w:rFonts w:ascii="Arial" w:hAnsi="Arial"/>
          <w:b/>
        </w:rPr>
      </w:pPr>
    </w:p>
    <w:p w14:paraId="4BD25CBC" w14:textId="30FEF91B" w:rsidR="001669BD" w:rsidRDefault="001669BD" w:rsidP="006F207A">
      <w:pPr>
        <w:rPr>
          <w:rFonts w:ascii="Arial" w:hAnsi="Arial"/>
          <w:b/>
        </w:rPr>
      </w:pPr>
      <w:r w:rsidRPr="001669BD">
        <w:rPr>
          <w:rFonts w:ascii="Arial" w:hAnsi="Arial"/>
          <w:b/>
        </w:rPr>
        <w:t>NDJAWAKI FOTTA KATYONGO</w:t>
      </w:r>
      <w:r w:rsidR="006268AF">
        <w:rPr>
          <w:rFonts w:ascii="Arial" w:hAnsi="Arial"/>
          <w:b/>
        </w:rPr>
        <w:t xml:space="preserve">                                          2</w:t>
      </w:r>
      <w:r w:rsidR="006268AF" w:rsidRPr="006268AF">
        <w:rPr>
          <w:rFonts w:ascii="Arial" w:hAnsi="Arial"/>
          <w:b/>
          <w:vertAlign w:val="superscript"/>
        </w:rPr>
        <w:t>ND</w:t>
      </w:r>
      <w:r w:rsidR="006268AF">
        <w:rPr>
          <w:rFonts w:ascii="Arial" w:hAnsi="Arial"/>
          <w:b/>
        </w:rPr>
        <w:t xml:space="preserve"> APPLICANT</w:t>
      </w:r>
    </w:p>
    <w:p w14:paraId="6C928547" w14:textId="77777777" w:rsidR="001669BD" w:rsidRDefault="001669BD" w:rsidP="006F207A">
      <w:pPr>
        <w:rPr>
          <w:rFonts w:ascii="Arial" w:hAnsi="Arial"/>
          <w:b/>
        </w:rPr>
      </w:pPr>
    </w:p>
    <w:p w14:paraId="4C0FD53A" w14:textId="702D99E3" w:rsidR="001669BD" w:rsidRDefault="001669BD" w:rsidP="006F207A">
      <w:pPr>
        <w:rPr>
          <w:rFonts w:ascii="Arial" w:hAnsi="Arial"/>
          <w:b/>
        </w:rPr>
      </w:pPr>
      <w:r w:rsidRPr="001669BD">
        <w:rPr>
          <w:rFonts w:ascii="Arial" w:hAnsi="Arial"/>
          <w:b/>
        </w:rPr>
        <w:t>JOHN MUSIALIKE</w:t>
      </w:r>
      <w:r w:rsidR="006268AF">
        <w:rPr>
          <w:rFonts w:ascii="Arial" w:hAnsi="Arial"/>
          <w:b/>
        </w:rPr>
        <w:t xml:space="preserve">                                                                 3</w:t>
      </w:r>
      <w:r w:rsidR="006268AF" w:rsidRPr="006268AF">
        <w:rPr>
          <w:rFonts w:ascii="Arial" w:hAnsi="Arial"/>
          <w:b/>
          <w:vertAlign w:val="superscript"/>
        </w:rPr>
        <w:t>RD</w:t>
      </w:r>
      <w:r w:rsidR="006268AF">
        <w:rPr>
          <w:rFonts w:ascii="Arial" w:hAnsi="Arial"/>
          <w:b/>
        </w:rPr>
        <w:t xml:space="preserve"> APPLICANT</w:t>
      </w:r>
    </w:p>
    <w:p w14:paraId="6C99D49B" w14:textId="77777777" w:rsidR="001669BD" w:rsidRDefault="001669BD" w:rsidP="006F207A">
      <w:pPr>
        <w:rPr>
          <w:rFonts w:ascii="Arial" w:hAnsi="Arial"/>
          <w:b/>
        </w:rPr>
      </w:pPr>
    </w:p>
    <w:p w14:paraId="647E2E8D" w14:textId="7B3298DF" w:rsidR="001669BD" w:rsidRDefault="001669BD" w:rsidP="006F207A">
      <w:pPr>
        <w:rPr>
          <w:rFonts w:ascii="Arial" w:hAnsi="Arial"/>
          <w:b/>
        </w:rPr>
      </w:pPr>
      <w:r w:rsidRPr="001669BD">
        <w:rPr>
          <w:rFonts w:ascii="Arial" w:hAnsi="Arial"/>
          <w:b/>
        </w:rPr>
        <w:t>THERESIA NTELAMO MBALA</w:t>
      </w:r>
      <w:r w:rsidR="006268AF">
        <w:rPr>
          <w:rFonts w:ascii="Arial" w:hAnsi="Arial"/>
          <w:b/>
        </w:rPr>
        <w:t xml:space="preserve">                                             4</w:t>
      </w:r>
      <w:r w:rsidR="006268AF" w:rsidRPr="006268AF">
        <w:rPr>
          <w:rFonts w:ascii="Arial" w:hAnsi="Arial"/>
          <w:b/>
          <w:vertAlign w:val="superscript"/>
        </w:rPr>
        <w:t>TH</w:t>
      </w:r>
      <w:r w:rsidR="006268AF">
        <w:rPr>
          <w:rFonts w:ascii="Arial" w:hAnsi="Arial"/>
          <w:b/>
        </w:rPr>
        <w:t xml:space="preserve"> APPLICANT</w:t>
      </w:r>
    </w:p>
    <w:p w14:paraId="4C9A4CF9" w14:textId="77777777" w:rsidR="001669BD" w:rsidRDefault="001669BD" w:rsidP="006F207A">
      <w:pPr>
        <w:rPr>
          <w:rFonts w:ascii="Arial" w:hAnsi="Arial"/>
          <w:b/>
        </w:rPr>
      </w:pPr>
    </w:p>
    <w:p w14:paraId="5687D235" w14:textId="59AE9EC8" w:rsidR="001669BD" w:rsidRDefault="001669BD" w:rsidP="006F207A">
      <w:pPr>
        <w:rPr>
          <w:rFonts w:ascii="Arial" w:hAnsi="Arial"/>
          <w:b/>
        </w:rPr>
      </w:pPr>
      <w:r w:rsidRPr="001669BD">
        <w:rPr>
          <w:rFonts w:ascii="Arial" w:hAnsi="Arial"/>
          <w:b/>
        </w:rPr>
        <w:t>ABRAHAM MABUTA NSUNDANO</w:t>
      </w:r>
      <w:r w:rsidR="006268AF">
        <w:rPr>
          <w:rFonts w:ascii="Arial" w:hAnsi="Arial"/>
          <w:b/>
        </w:rPr>
        <w:t xml:space="preserve">                                       5</w:t>
      </w:r>
      <w:r w:rsidR="006268AF" w:rsidRPr="006268AF">
        <w:rPr>
          <w:rFonts w:ascii="Arial" w:hAnsi="Arial"/>
          <w:b/>
          <w:vertAlign w:val="superscript"/>
        </w:rPr>
        <w:t>TH</w:t>
      </w:r>
      <w:r w:rsidR="006268AF">
        <w:rPr>
          <w:rFonts w:ascii="Arial" w:hAnsi="Arial"/>
          <w:b/>
        </w:rPr>
        <w:t xml:space="preserve"> APPLICANT</w:t>
      </w:r>
    </w:p>
    <w:p w14:paraId="1D561FF8" w14:textId="77777777" w:rsidR="006F207A" w:rsidRDefault="006F207A" w:rsidP="006F207A">
      <w:pPr>
        <w:rPr>
          <w:rFonts w:ascii="Arial" w:hAnsi="Arial"/>
          <w:b/>
        </w:rPr>
      </w:pPr>
    </w:p>
    <w:p w14:paraId="0C153793" w14:textId="77777777" w:rsidR="006F207A" w:rsidRDefault="006F207A" w:rsidP="006F207A">
      <w:pPr>
        <w:rPr>
          <w:rFonts w:ascii="Arial" w:hAnsi="Arial"/>
        </w:rPr>
      </w:pPr>
      <w:r>
        <w:rPr>
          <w:rFonts w:ascii="Arial" w:hAnsi="Arial"/>
        </w:rPr>
        <w:t>and</w:t>
      </w:r>
    </w:p>
    <w:p w14:paraId="2501CB03" w14:textId="77777777" w:rsidR="006F207A" w:rsidRDefault="006F207A" w:rsidP="006F207A">
      <w:pPr>
        <w:rPr>
          <w:rFonts w:ascii="Arial" w:hAnsi="Arial"/>
        </w:rPr>
      </w:pPr>
    </w:p>
    <w:p w14:paraId="2B42BA61" w14:textId="39F4DE86" w:rsidR="001669BD" w:rsidRPr="006F207A" w:rsidRDefault="006F207A" w:rsidP="006F207A">
      <w:pPr>
        <w:rPr>
          <w:rFonts w:ascii="Arial" w:hAnsi="Arial"/>
          <w:b/>
        </w:rPr>
      </w:pPr>
      <w:r>
        <w:rPr>
          <w:rFonts w:ascii="Arial" w:hAnsi="Arial"/>
          <w:b/>
        </w:rPr>
        <w:t>ONE BODY APOSTOLIC FAITH CHURCH                        1</w:t>
      </w:r>
      <w:r w:rsidRPr="006F207A">
        <w:rPr>
          <w:rFonts w:ascii="Arial" w:hAnsi="Arial"/>
          <w:b/>
          <w:vertAlign w:val="superscript"/>
        </w:rPr>
        <w:t>ST</w:t>
      </w:r>
      <w:r>
        <w:rPr>
          <w:rFonts w:ascii="Arial" w:hAnsi="Arial"/>
          <w:b/>
        </w:rPr>
        <w:t xml:space="preserve"> RESPONDENT</w:t>
      </w:r>
    </w:p>
    <w:p w14:paraId="38E31CB4" w14:textId="1EEB5862" w:rsidR="006F207A" w:rsidRDefault="006F207A" w:rsidP="006F207A">
      <w:pPr>
        <w:rPr>
          <w:rFonts w:ascii="Arial" w:hAnsi="Arial"/>
        </w:rPr>
      </w:pPr>
      <w:r>
        <w:rPr>
          <w:rFonts w:ascii="Arial" w:hAnsi="Arial"/>
        </w:rPr>
        <w:t>(</w:t>
      </w:r>
      <w:r w:rsidR="00671FB9">
        <w:rPr>
          <w:rFonts w:ascii="Arial" w:hAnsi="Arial"/>
        </w:rPr>
        <w:t xml:space="preserve">Association </w:t>
      </w:r>
      <w:r>
        <w:rPr>
          <w:rFonts w:ascii="Arial" w:hAnsi="Arial"/>
        </w:rPr>
        <w:t>Incorporated not for gain)</w:t>
      </w:r>
    </w:p>
    <w:p w14:paraId="020998DE" w14:textId="77777777" w:rsidR="001669BD" w:rsidRDefault="001669BD" w:rsidP="006F207A">
      <w:pPr>
        <w:rPr>
          <w:rFonts w:ascii="Arial" w:hAnsi="Arial"/>
        </w:rPr>
      </w:pPr>
    </w:p>
    <w:p w14:paraId="453A3C7D" w14:textId="21FB388F" w:rsidR="001669BD" w:rsidRDefault="001669BD" w:rsidP="006F207A">
      <w:pPr>
        <w:rPr>
          <w:rFonts w:ascii="Arial" w:hAnsi="Arial"/>
          <w:b/>
        </w:rPr>
      </w:pPr>
      <w:r w:rsidRPr="001669BD">
        <w:rPr>
          <w:rFonts w:ascii="Arial" w:hAnsi="Arial"/>
          <w:b/>
        </w:rPr>
        <w:t>CAVIN MATTIAS MWINGA</w:t>
      </w:r>
      <w:r>
        <w:rPr>
          <w:rFonts w:ascii="Arial" w:hAnsi="Arial"/>
          <w:b/>
        </w:rPr>
        <w:tab/>
      </w:r>
      <w:r>
        <w:rPr>
          <w:rFonts w:ascii="Arial" w:hAnsi="Arial"/>
          <w:b/>
        </w:rPr>
        <w:tab/>
      </w:r>
      <w:r>
        <w:rPr>
          <w:rFonts w:ascii="Arial" w:hAnsi="Arial"/>
          <w:b/>
        </w:rPr>
        <w:tab/>
      </w:r>
      <w:r>
        <w:rPr>
          <w:rFonts w:ascii="Arial" w:hAnsi="Arial"/>
          <w:b/>
        </w:rPr>
        <w:tab/>
        <w:t xml:space="preserve">      2</w:t>
      </w:r>
      <w:r w:rsidRPr="001669BD">
        <w:rPr>
          <w:rFonts w:ascii="Arial" w:hAnsi="Arial"/>
          <w:b/>
          <w:vertAlign w:val="superscript"/>
        </w:rPr>
        <w:t>ND</w:t>
      </w:r>
      <w:r>
        <w:rPr>
          <w:rFonts w:ascii="Arial" w:hAnsi="Arial"/>
          <w:b/>
        </w:rPr>
        <w:t xml:space="preserve"> RESPONDENT</w:t>
      </w:r>
    </w:p>
    <w:p w14:paraId="7895B55F" w14:textId="77777777" w:rsidR="001669BD" w:rsidRDefault="001669BD" w:rsidP="006F207A">
      <w:pPr>
        <w:rPr>
          <w:rFonts w:ascii="Arial" w:hAnsi="Arial"/>
          <w:b/>
        </w:rPr>
      </w:pPr>
    </w:p>
    <w:p w14:paraId="225C06B5" w14:textId="121A4BA4" w:rsidR="001669BD" w:rsidRDefault="001669BD" w:rsidP="006F207A">
      <w:pPr>
        <w:rPr>
          <w:rFonts w:ascii="Arial" w:hAnsi="Arial"/>
          <w:b/>
        </w:rPr>
      </w:pPr>
      <w:r w:rsidRPr="001669BD">
        <w:rPr>
          <w:rFonts w:ascii="Arial" w:hAnsi="Arial"/>
          <w:b/>
        </w:rPr>
        <w:t>LUKA MASULE</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3</w:t>
      </w:r>
      <w:r w:rsidRPr="001669BD">
        <w:rPr>
          <w:rFonts w:ascii="Arial" w:hAnsi="Arial"/>
          <w:b/>
          <w:vertAlign w:val="superscript"/>
        </w:rPr>
        <w:t>RD</w:t>
      </w:r>
      <w:r>
        <w:rPr>
          <w:rFonts w:ascii="Arial" w:hAnsi="Arial"/>
          <w:b/>
        </w:rPr>
        <w:t xml:space="preserve"> RESPONDENT</w:t>
      </w:r>
    </w:p>
    <w:p w14:paraId="7AF95CAB" w14:textId="77777777" w:rsidR="001669BD" w:rsidRDefault="001669BD" w:rsidP="006F207A">
      <w:pPr>
        <w:rPr>
          <w:rFonts w:ascii="Arial" w:hAnsi="Arial"/>
          <w:b/>
        </w:rPr>
      </w:pPr>
    </w:p>
    <w:p w14:paraId="4B64FA57" w14:textId="1486A001" w:rsidR="001669BD" w:rsidRDefault="001669BD" w:rsidP="006F207A">
      <w:pPr>
        <w:rPr>
          <w:rFonts w:ascii="Arial" w:hAnsi="Arial"/>
          <w:b/>
        </w:rPr>
      </w:pPr>
      <w:r w:rsidRPr="001669BD">
        <w:rPr>
          <w:rFonts w:ascii="Arial" w:hAnsi="Arial"/>
          <w:b/>
        </w:rPr>
        <w:t>MAVIS KAKWIBU MA</w:t>
      </w:r>
      <w:r>
        <w:rPr>
          <w:rFonts w:ascii="Arial" w:hAnsi="Arial"/>
          <w:b/>
        </w:rPr>
        <w:t>SULE                                               4</w:t>
      </w:r>
      <w:r w:rsidRPr="001669BD">
        <w:rPr>
          <w:rFonts w:ascii="Arial" w:hAnsi="Arial"/>
          <w:b/>
          <w:vertAlign w:val="superscript"/>
        </w:rPr>
        <w:t>TH</w:t>
      </w:r>
      <w:r>
        <w:rPr>
          <w:rFonts w:ascii="Arial" w:hAnsi="Arial"/>
          <w:b/>
        </w:rPr>
        <w:t xml:space="preserve"> RESPONDENT</w:t>
      </w:r>
    </w:p>
    <w:p w14:paraId="55BBECDC" w14:textId="77777777" w:rsidR="001669BD" w:rsidRDefault="001669BD" w:rsidP="006F207A">
      <w:pPr>
        <w:rPr>
          <w:rFonts w:ascii="Arial" w:hAnsi="Arial"/>
          <w:b/>
        </w:rPr>
      </w:pPr>
    </w:p>
    <w:p w14:paraId="6852B262" w14:textId="4EDEA058" w:rsidR="001669BD" w:rsidRDefault="001669BD" w:rsidP="006F207A">
      <w:pPr>
        <w:rPr>
          <w:rFonts w:ascii="Arial" w:hAnsi="Arial"/>
          <w:b/>
        </w:rPr>
      </w:pPr>
      <w:r w:rsidRPr="001669BD">
        <w:rPr>
          <w:rFonts w:ascii="Arial" w:hAnsi="Arial"/>
          <w:b/>
        </w:rPr>
        <w:t>CALVIN MUNISWASWA</w:t>
      </w:r>
      <w:r w:rsidR="006268AF">
        <w:rPr>
          <w:rFonts w:ascii="Arial" w:hAnsi="Arial"/>
          <w:b/>
        </w:rPr>
        <w:t xml:space="preserve">                                                    5</w:t>
      </w:r>
      <w:r w:rsidR="006268AF" w:rsidRPr="006268AF">
        <w:rPr>
          <w:rFonts w:ascii="Arial" w:hAnsi="Arial"/>
          <w:b/>
          <w:vertAlign w:val="superscript"/>
        </w:rPr>
        <w:t>TH</w:t>
      </w:r>
      <w:r w:rsidR="006268AF">
        <w:rPr>
          <w:rFonts w:ascii="Arial" w:hAnsi="Arial"/>
          <w:b/>
        </w:rPr>
        <w:t xml:space="preserve"> RESPONDENT</w:t>
      </w:r>
    </w:p>
    <w:p w14:paraId="0BCF647C" w14:textId="77777777" w:rsidR="001669BD" w:rsidRDefault="001669BD" w:rsidP="006F207A">
      <w:pPr>
        <w:rPr>
          <w:rFonts w:ascii="Arial" w:hAnsi="Arial"/>
          <w:b/>
        </w:rPr>
      </w:pPr>
    </w:p>
    <w:p w14:paraId="2E4E9508" w14:textId="79923F7D" w:rsidR="001669BD" w:rsidRDefault="001669BD" w:rsidP="006F207A">
      <w:pPr>
        <w:rPr>
          <w:rFonts w:ascii="Arial" w:hAnsi="Arial"/>
          <w:b/>
        </w:rPr>
      </w:pPr>
      <w:r w:rsidRPr="001669BD">
        <w:rPr>
          <w:rFonts w:ascii="Arial" w:hAnsi="Arial"/>
          <w:b/>
        </w:rPr>
        <w:t>DAVID MAZILA</w:t>
      </w:r>
      <w:r w:rsidR="006268AF">
        <w:rPr>
          <w:rFonts w:ascii="Arial" w:hAnsi="Arial"/>
          <w:b/>
        </w:rPr>
        <w:t xml:space="preserve">                                                                   6</w:t>
      </w:r>
      <w:r w:rsidR="006268AF" w:rsidRPr="006268AF">
        <w:rPr>
          <w:rFonts w:ascii="Arial" w:hAnsi="Arial"/>
          <w:b/>
          <w:vertAlign w:val="superscript"/>
        </w:rPr>
        <w:t>TH</w:t>
      </w:r>
      <w:r w:rsidR="006268AF">
        <w:rPr>
          <w:rFonts w:ascii="Arial" w:hAnsi="Arial"/>
          <w:b/>
        </w:rPr>
        <w:t xml:space="preserve"> RESPONDENT</w:t>
      </w:r>
    </w:p>
    <w:p w14:paraId="69D67290" w14:textId="77777777" w:rsidR="001669BD" w:rsidRDefault="001669BD" w:rsidP="006F207A">
      <w:pPr>
        <w:rPr>
          <w:rFonts w:ascii="Arial" w:hAnsi="Arial"/>
          <w:b/>
        </w:rPr>
      </w:pPr>
    </w:p>
    <w:p w14:paraId="62F5EB2F" w14:textId="0634A607" w:rsidR="001669BD" w:rsidRDefault="001669BD" w:rsidP="006F207A">
      <w:pPr>
        <w:rPr>
          <w:rFonts w:ascii="Arial" w:hAnsi="Arial"/>
          <w:b/>
        </w:rPr>
      </w:pPr>
      <w:r w:rsidRPr="001669BD">
        <w:rPr>
          <w:rFonts w:ascii="Arial" w:hAnsi="Arial"/>
          <w:b/>
        </w:rPr>
        <w:t>FRANCISCO ESTEVAO SALOMAO</w:t>
      </w:r>
      <w:r w:rsidR="006268AF">
        <w:rPr>
          <w:rFonts w:ascii="Arial" w:hAnsi="Arial"/>
          <w:b/>
        </w:rPr>
        <w:t xml:space="preserve">                                  7</w:t>
      </w:r>
      <w:r w:rsidR="006268AF" w:rsidRPr="006268AF">
        <w:rPr>
          <w:rFonts w:ascii="Arial" w:hAnsi="Arial"/>
          <w:b/>
          <w:vertAlign w:val="superscript"/>
        </w:rPr>
        <w:t>TH</w:t>
      </w:r>
      <w:r w:rsidR="006268AF">
        <w:rPr>
          <w:rFonts w:ascii="Arial" w:hAnsi="Arial"/>
          <w:b/>
        </w:rPr>
        <w:t xml:space="preserve"> RESPONDENT</w:t>
      </w:r>
    </w:p>
    <w:p w14:paraId="06756FE8" w14:textId="77777777" w:rsidR="001669BD" w:rsidRDefault="001669BD" w:rsidP="006F207A">
      <w:pPr>
        <w:rPr>
          <w:rFonts w:ascii="Arial" w:hAnsi="Arial"/>
          <w:b/>
        </w:rPr>
      </w:pPr>
    </w:p>
    <w:p w14:paraId="6252D971" w14:textId="406D4C80" w:rsidR="001669BD" w:rsidRDefault="001669BD" w:rsidP="006F207A">
      <w:pPr>
        <w:rPr>
          <w:rFonts w:ascii="Arial" w:hAnsi="Arial"/>
          <w:b/>
        </w:rPr>
      </w:pPr>
      <w:r w:rsidRPr="001669BD">
        <w:rPr>
          <w:rFonts w:ascii="Arial" w:hAnsi="Arial"/>
          <w:b/>
        </w:rPr>
        <w:t>THE MASTER OF THE HIGH COURT</w:t>
      </w:r>
      <w:r w:rsidR="006268AF">
        <w:rPr>
          <w:rFonts w:ascii="Arial" w:hAnsi="Arial"/>
          <w:b/>
        </w:rPr>
        <w:t xml:space="preserve">                               8</w:t>
      </w:r>
      <w:r w:rsidR="006268AF" w:rsidRPr="006268AF">
        <w:rPr>
          <w:rFonts w:ascii="Arial" w:hAnsi="Arial"/>
          <w:b/>
          <w:vertAlign w:val="superscript"/>
        </w:rPr>
        <w:t>TH</w:t>
      </w:r>
      <w:r w:rsidR="006268AF">
        <w:rPr>
          <w:rFonts w:ascii="Arial" w:hAnsi="Arial"/>
          <w:b/>
        </w:rPr>
        <w:t xml:space="preserve"> RESPONDENT</w:t>
      </w:r>
    </w:p>
    <w:p w14:paraId="07A3DA6A" w14:textId="77777777" w:rsidR="001669BD" w:rsidRDefault="001669BD" w:rsidP="006F207A">
      <w:pPr>
        <w:rPr>
          <w:rFonts w:ascii="Arial" w:hAnsi="Arial"/>
          <w:b/>
        </w:rPr>
      </w:pPr>
    </w:p>
    <w:p w14:paraId="33FEC896" w14:textId="77777777" w:rsidR="001669BD" w:rsidRPr="001669BD" w:rsidRDefault="001669BD" w:rsidP="006F207A">
      <w:pPr>
        <w:rPr>
          <w:rFonts w:ascii="Arial" w:hAnsi="Arial"/>
          <w:b/>
        </w:rPr>
      </w:pPr>
    </w:p>
    <w:p w14:paraId="7BD0EA2C" w14:textId="77777777" w:rsidR="006F207A" w:rsidRDefault="006F207A" w:rsidP="006F207A">
      <w:pPr>
        <w:rPr>
          <w:rFonts w:ascii="Arial" w:hAnsi="Arial"/>
        </w:rPr>
      </w:pPr>
    </w:p>
    <w:p w14:paraId="18B49073" w14:textId="4472680E" w:rsidR="006F207A" w:rsidRDefault="006F207A" w:rsidP="006F207A">
      <w:pPr>
        <w:spacing w:line="360" w:lineRule="auto"/>
        <w:jc w:val="both"/>
        <w:rPr>
          <w:rFonts w:ascii="Arial" w:hAnsi="Arial"/>
        </w:rPr>
      </w:pPr>
      <w:r>
        <w:rPr>
          <w:rFonts w:ascii="Arial" w:hAnsi="Arial"/>
          <w:b/>
        </w:rPr>
        <w:lastRenderedPageBreak/>
        <w:t>Neutral Citation:</w:t>
      </w:r>
      <w:r>
        <w:rPr>
          <w:rFonts w:ascii="Arial" w:hAnsi="Arial"/>
          <w:b/>
        </w:rPr>
        <w:tab/>
      </w:r>
      <w:r w:rsidR="004E4DF5">
        <w:rPr>
          <w:rFonts w:ascii="Arial" w:hAnsi="Arial"/>
          <w:i/>
        </w:rPr>
        <w:t>Mbala</w:t>
      </w:r>
      <w:r>
        <w:rPr>
          <w:rFonts w:ascii="Arial" w:hAnsi="Arial"/>
          <w:i/>
        </w:rPr>
        <w:t xml:space="preserve"> v One Body Apostolic Faith Church</w:t>
      </w:r>
      <w:r w:rsidR="00671FB9">
        <w:rPr>
          <w:rFonts w:ascii="Arial" w:hAnsi="Arial"/>
          <w:i/>
        </w:rPr>
        <w:t xml:space="preserve"> (Incorporation Association not for gain)</w:t>
      </w:r>
      <w:r>
        <w:rPr>
          <w:rFonts w:ascii="Arial" w:hAnsi="Arial"/>
          <w:i/>
        </w:rPr>
        <w:t xml:space="preserve"> </w:t>
      </w:r>
      <w:r>
        <w:rPr>
          <w:rFonts w:ascii="Arial" w:hAnsi="Arial"/>
        </w:rPr>
        <w:t>(HC-MD-CIV-MOT-GEN-28-</w:t>
      </w:r>
      <w:r w:rsidR="00764750">
        <w:rPr>
          <w:rFonts w:ascii="Arial" w:hAnsi="Arial"/>
        </w:rPr>
        <w:t xml:space="preserve">018/00121) </w:t>
      </w:r>
      <w:r w:rsidR="00FB4DC0">
        <w:rPr>
          <w:rFonts w:ascii="Arial" w:hAnsi="Arial"/>
        </w:rPr>
        <w:t xml:space="preserve">[2020] NAHCMD </w:t>
      </w:r>
      <w:r w:rsidR="00764750">
        <w:rPr>
          <w:rFonts w:ascii="Arial" w:hAnsi="Arial"/>
        </w:rPr>
        <w:t>17</w:t>
      </w:r>
      <w:r w:rsidR="00FB4DC0">
        <w:rPr>
          <w:rFonts w:ascii="Arial" w:hAnsi="Arial"/>
        </w:rPr>
        <w:t xml:space="preserve"> (23</w:t>
      </w:r>
      <w:r w:rsidR="00764750">
        <w:rPr>
          <w:rFonts w:ascii="Arial" w:hAnsi="Arial"/>
        </w:rPr>
        <w:t xml:space="preserve"> January 2020)</w:t>
      </w:r>
    </w:p>
    <w:p w14:paraId="621645FF" w14:textId="77777777" w:rsidR="006F207A" w:rsidRDefault="006F207A" w:rsidP="006F207A">
      <w:pPr>
        <w:spacing w:line="360" w:lineRule="auto"/>
        <w:jc w:val="both"/>
        <w:rPr>
          <w:rFonts w:ascii="Arial" w:hAnsi="Arial"/>
        </w:rPr>
      </w:pPr>
    </w:p>
    <w:p w14:paraId="0B8826A6" w14:textId="77777777" w:rsidR="006F207A" w:rsidRDefault="006F207A" w:rsidP="006F207A">
      <w:pPr>
        <w:spacing w:line="360" w:lineRule="auto"/>
        <w:jc w:val="both"/>
        <w:rPr>
          <w:rFonts w:ascii="Arial" w:hAnsi="Arial"/>
          <w:b/>
        </w:rPr>
      </w:pPr>
      <w:r>
        <w:rPr>
          <w:rFonts w:ascii="Arial" w:hAnsi="Arial"/>
          <w:b/>
        </w:rPr>
        <w:t>CORAM:</w:t>
      </w:r>
      <w:r>
        <w:rPr>
          <w:rFonts w:ascii="Arial" w:hAnsi="Arial"/>
          <w:b/>
        </w:rPr>
        <w:tab/>
        <w:t>MASUKU J</w:t>
      </w:r>
    </w:p>
    <w:p w14:paraId="013F6E13" w14:textId="77777777" w:rsidR="006F207A" w:rsidRDefault="006F207A" w:rsidP="006F207A">
      <w:pPr>
        <w:spacing w:line="360" w:lineRule="auto"/>
        <w:jc w:val="both"/>
        <w:rPr>
          <w:rFonts w:ascii="Arial" w:hAnsi="Arial"/>
          <w:b/>
        </w:rPr>
      </w:pPr>
    </w:p>
    <w:p w14:paraId="796E721E" w14:textId="77777777" w:rsidR="006F207A" w:rsidRDefault="006F207A" w:rsidP="006F207A">
      <w:pPr>
        <w:spacing w:line="360" w:lineRule="auto"/>
        <w:jc w:val="both"/>
        <w:rPr>
          <w:rFonts w:ascii="Arial" w:hAnsi="Arial"/>
        </w:rPr>
      </w:pPr>
      <w:r>
        <w:rPr>
          <w:rFonts w:ascii="Arial" w:hAnsi="Arial"/>
        </w:rPr>
        <w:t xml:space="preserve">Heard: </w:t>
      </w:r>
      <w:r>
        <w:rPr>
          <w:rFonts w:ascii="Arial" w:hAnsi="Arial"/>
        </w:rPr>
        <w:tab/>
        <w:t>23 July 2019</w:t>
      </w:r>
    </w:p>
    <w:p w14:paraId="1D1CD0FA" w14:textId="053CAA51" w:rsidR="006F207A" w:rsidRDefault="00FB4DC0" w:rsidP="006F207A">
      <w:pPr>
        <w:spacing w:line="360" w:lineRule="auto"/>
        <w:jc w:val="both"/>
        <w:rPr>
          <w:rFonts w:ascii="Arial" w:hAnsi="Arial"/>
        </w:rPr>
      </w:pPr>
      <w:r>
        <w:rPr>
          <w:rFonts w:ascii="Arial" w:hAnsi="Arial"/>
        </w:rPr>
        <w:t>Delivered:</w:t>
      </w:r>
      <w:r>
        <w:rPr>
          <w:rFonts w:ascii="Arial" w:hAnsi="Arial"/>
        </w:rPr>
        <w:tab/>
        <w:t>23</w:t>
      </w:r>
      <w:r w:rsidR="006F207A">
        <w:rPr>
          <w:rFonts w:ascii="Arial" w:hAnsi="Arial"/>
        </w:rPr>
        <w:t xml:space="preserve"> January 2020</w:t>
      </w:r>
    </w:p>
    <w:p w14:paraId="34BAD46B" w14:textId="77777777" w:rsidR="008660AE" w:rsidRDefault="008660AE" w:rsidP="006F207A">
      <w:pPr>
        <w:spacing w:line="360" w:lineRule="auto"/>
        <w:jc w:val="both"/>
        <w:rPr>
          <w:rFonts w:ascii="Arial" w:hAnsi="Arial"/>
        </w:rPr>
      </w:pPr>
    </w:p>
    <w:p w14:paraId="3FCCDE11" w14:textId="70442172" w:rsidR="008660AE" w:rsidRDefault="008660AE" w:rsidP="006F207A">
      <w:pPr>
        <w:spacing w:line="360" w:lineRule="auto"/>
        <w:jc w:val="both"/>
        <w:rPr>
          <w:rFonts w:ascii="Arial" w:hAnsi="Arial"/>
        </w:rPr>
      </w:pPr>
      <w:r w:rsidRPr="008660AE">
        <w:rPr>
          <w:rFonts w:ascii="Arial" w:hAnsi="Arial"/>
          <w:b/>
        </w:rPr>
        <w:t>Flynote</w:t>
      </w:r>
      <w:r w:rsidRPr="008660AE">
        <w:rPr>
          <w:rFonts w:ascii="Arial" w:hAnsi="Arial"/>
        </w:rPr>
        <w:t>:</w:t>
      </w:r>
      <w:r w:rsidR="00725AC1">
        <w:rPr>
          <w:rFonts w:ascii="Arial" w:hAnsi="Arial"/>
        </w:rPr>
        <w:tab/>
      </w:r>
      <w:r>
        <w:rPr>
          <w:rFonts w:ascii="Arial" w:hAnsi="Arial"/>
        </w:rPr>
        <w:t>Commercial Law – Companies Act 2004 – section 349 (</w:t>
      </w:r>
      <w:r w:rsidRPr="00B7687D">
        <w:rPr>
          <w:rFonts w:ascii="Arial" w:hAnsi="Arial"/>
          <w:i/>
        </w:rPr>
        <w:t>h</w:t>
      </w:r>
      <w:r>
        <w:rPr>
          <w:rFonts w:ascii="Arial" w:hAnsi="Arial"/>
        </w:rPr>
        <w:t xml:space="preserve">) – Winding up of companies – Just and equitable reasons to wind up must exist </w:t>
      </w:r>
      <w:r w:rsidR="00725AC1">
        <w:rPr>
          <w:rFonts w:ascii="Arial" w:hAnsi="Arial"/>
        </w:rPr>
        <w:t>–</w:t>
      </w:r>
      <w:r>
        <w:rPr>
          <w:rFonts w:ascii="Arial" w:hAnsi="Arial"/>
        </w:rPr>
        <w:t xml:space="preserve"> </w:t>
      </w:r>
      <w:r w:rsidR="00725AC1">
        <w:rPr>
          <w:rFonts w:ascii="Arial" w:hAnsi="Arial"/>
        </w:rPr>
        <w:t>Church not a</w:t>
      </w:r>
      <w:r w:rsidR="00656FD8">
        <w:rPr>
          <w:rFonts w:ascii="Arial" w:hAnsi="Arial"/>
        </w:rPr>
        <w:t xml:space="preserve"> company in the classical sense – Court to exercise its discre</w:t>
      </w:r>
      <w:r w:rsidR="0098233C">
        <w:rPr>
          <w:rFonts w:ascii="Arial" w:hAnsi="Arial"/>
        </w:rPr>
        <w:t>tion judicially and judiciously</w:t>
      </w:r>
      <w:r w:rsidR="001B7361">
        <w:rPr>
          <w:rFonts w:ascii="Arial" w:hAnsi="Arial"/>
        </w:rPr>
        <w:t xml:space="preserve"> in granting a winding up order on the basis of the just and equitable rule</w:t>
      </w:r>
      <w:r w:rsidR="0098233C">
        <w:rPr>
          <w:rFonts w:ascii="Arial" w:hAnsi="Arial"/>
        </w:rPr>
        <w:t>.</w:t>
      </w:r>
    </w:p>
    <w:p w14:paraId="029907F2" w14:textId="77777777" w:rsidR="00725AC1" w:rsidRDefault="00725AC1" w:rsidP="006F207A">
      <w:pPr>
        <w:spacing w:line="360" w:lineRule="auto"/>
        <w:jc w:val="both"/>
        <w:rPr>
          <w:rFonts w:ascii="Arial" w:hAnsi="Arial"/>
        </w:rPr>
      </w:pPr>
    </w:p>
    <w:p w14:paraId="169D766F" w14:textId="7E0FEDFD" w:rsidR="00725AC1" w:rsidRDefault="00725AC1" w:rsidP="00725AC1">
      <w:pPr>
        <w:spacing w:line="360" w:lineRule="auto"/>
        <w:jc w:val="both"/>
        <w:rPr>
          <w:rFonts w:ascii="Arial" w:hAnsi="Arial"/>
        </w:rPr>
      </w:pPr>
      <w:r w:rsidRPr="00725AC1">
        <w:rPr>
          <w:rFonts w:ascii="Arial" w:hAnsi="Arial"/>
          <w:b/>
        </w:rPr>
        <w:t>Summary</w:t>
      </w:r>
      <w:r>
        <w:rPr>
          <w:rFonts w:ascii="Arial" w:hAnsi="Arial"/>
        </w:rPr>
        <w:t>:</w:t>
      </w:r>
      <w:r>
        <w:rPr>
          <w:rFonts w:ascii="Arial" w:hAnsi="Arial"/>
        </w:rPr>
        <w:tab/>
        <w:t>T</w:t>
      </w:r>
      <w:r w:rsidRPr="00725AC1">
        <w:rPr>
          <w:rFonts w:ascii="Arial" w:hAnsi="Arial"/>
        </w:rPr>
        <w:t xml:space="preserve">he applicants approached this court seeking </w:t>
      </w:r>
      <w:r>
        <w:rPr>
          <w:rFonts w:ascii="Arial" w:hAnsi="Arial"/>
        </w:rPr>
        <w:t xml:space="preserve">an order </w:t>
      </w:r>
      <w:r w:rsidRPr="00725AC1">
        <w:rPr>
          <w:rFonts w:ascii="Arial" w:hAnsi="Arial"/>
        </w:rPr>
        <w:t xml:space="preserve">winding up </w:t>
      </w:r>
      <w:r>
        <w:rPr>
          <w:rFonts w:ascii="Arial" w:hAnsi="Arial"/>
        </w:rPr>
        <w:t>the</w:t>
      </w:r>
      <w:r w:rsidRPr="00725AC1">
        <w:rPr>
          <w:rFonts w:ascii="Arial" w:hAnsi="Arial"/>
        </w:rPr>
        <w:t xml:space="preserve"> 1</w:t>
      </w:r>
      <w:r w:rsidRPr="00725AC1">
        <w:rPr>
          <w:rFonts w:ascii="Arial" w:hAnsi="Arial"/>
          <w:vertAlign w:val="superscript"/>
        </w:rPr>
        <w:t>st</w:t>
      </w:r>
      <w:r w:rsidRPr="00725AC1">
        <w:rPr>
          <w:rFonts w:ascii="Arial" w:hAnsi="Arial"/>
        </w:rPr>
        <w:t xml:space="preserve"> respondent, One Body Apostolic Faith Church </w:t>
      </w:r>
      <w:r>
        <w:rPr>
          <w:rFonts w:ascii="Arial" w:hAnsi="Arial"/>
        </w:rPr>
        <w:t>in terms of the provisions of s</w:t>
      </w:r>
      <w:r w:rsidRPr="00725AC1">
        <w:rPr>
          <w:rFonts w:ascii="Arial" w:hAnsi="Arial"/>
        </w:rPr>
        <w:t xml:space="preserve"> 349(</w:t>
      </w:r>
      <w:r w:rsidRPr="00B7687D">
        <w:rPr>
          <w:rFonts w:ascii="Arial" w:hAnsi="Arial"/>
          <w:i/>
        </w:rPr>
        <w:t>h</w:t>
      </w:r>
      <w:r w:rsidRPr="00725AC1">
        <w:rPr>
          <w:rFonts w:ascii="Arial" w:hAnsi="Arial"/>
        </w:rPr>
        <w:t>) of the Companies Act, 2004, ‘the Act’). It is claimed on the part of the applicants that there exists a serious deadlock within the membership of the 1</w:t>
      </w:r>
      <w:r w:rsidRPr="00725AC1">
        <w:rPr>
          <w:rFonts w:ascii="Arial" w:hAnsi="Arial"/>
          <w:vertAlign w:val="superscript"/>
        </w:rPr>
        <w:t>st</w:t>
      </w:r>
      <w:r w:rsidRPr="00725AC1">
        <w:rPr>
          <w:rFonts w:ascii="Arial" w:hAnsi="Arial"/>
        </w:rPr>
        <w:t xml:space="preserve"> respondent in respect of its leadership. It is accordingly alleged, in the circumstances, that the insoluble dispute resulting in a deadlock, constitutes a just and equitable reason in terms of the Act, for the winding up of the 1</w:t>
      </w:r>
      <w:r w:rsidRPr="00725AC1">
        <w:rPr>
          <w:rFonts w:ascii="Arial" w:hAnsi="Arial"/>
          <w:vertAlign w:val="superscript"/>
        </w:rPr>
        <w:t>st</w:t>
      </w:r>
      <w:r w:rsidRPr="00725AC1">
        <w:rPr>
          <w:rFonts w:ascii="Arial" w:hAnsi="Arial"/>
        </w:rPr>
        <w:t xml:space="preserve"> respondent.</w:t>
      </w:r>
      <w:r>
        <w:rPr>
          <w:rFonts w:ascii="Arial" w:hAnsi="Arial"/>
        </w:rPr>
        <w:t xml:space="preserve"> This position is disputed by the respondents who argue that this is not a proper case in which the court should grant the</w:t>
      </w:r>
      <w:r w:rsidR="00656FD8">
        <w:rPr>
          <w:rFonts w:ascii="Arial" w:hAnsi="Arial"/>
        </w:rPr>
        <w:t xml:space="preserve"> order sought by the applicants when regard is had to the 1</w:t>
      </w:r>
      <w:r w:rsidR="00656FD8" w:rsidRPr="00656FD8">
        <w:rPr>
          <w:rFonts w:ascii="Arial" w:hAnsi="Arial"/>
          <w:vertAlign w:val="superscript"/>
        </w:rPr>
        <w:t>st</w:t>
      </w:r>
      <w:r w:rsidR="00656FD8">
        <w:rPr>
          <w:rFonts w:ascii="Arial" w:hAnsi="Arial"/>
        </w:rPr>
        <w:t xml:space="preserve"> respondent and its core business.</w:t>
      </w:r>
    </w:p>
    <w:p w14:paraId="051491D9" w14:textId="77777777" w:rsidR="00725AC1" w:rsidRDefault="00725AC1" w:rsidP="00725AC1">
      <w:pPr>
        <w:spacing w:line="360" w:lineRule="auto"/>
        <w:jc w:val="both"/>
        <w:rPr>
          <w:rFonts w:ascii="Arial" w:hAnsi="Arial"/>
        </w:rPr>
      </w:pPr>
    </w:p>
    <w:p w14:paraId="04F3A28D" w14:textId="366ABEE4" w:rsidR="00656FD8" w:rsidRDefault="00725AC1" w:rsidP="00725AC1">
      <w:pPr>
        <w:spacing w:line="360" w:lineRule="auto"/>
        <w:jc w:val="both"/>
        <w:rPr>
          <w:rFonts w:ascii="Arial" w:hAnsi="Arial"/>
        </w:rPr>
      </w:pPr>
      <w:r>
        <w:rPr>
          <w:rFonts w:ascii="Arial" w:hAnsi="Arial"/>
        </w:rPr>
        <w:t>Held:</w:t>
      </w:r>
      <w:r w:rsidR="00656FD8" w:rsidRPr="00656FD8">
        <w:rPr>
          <w:rFonts w:ascii="Arial" w:hAnsi="Arial"/>
        </w:rPr>
        <w:t xml:space="preserve"> that a company may be wound up if it appears to the court that it is just and equitable to do so.</w:t>
      </w:r>
    </w:p>
    <w:p w14:paraId="19377C44" w14:textId="77777777" w:rsidR="00656FD8" w:rsidRDefault="00656FD8" w:rsidP="00725AC1">
      <w:pPr>
        <w:spacing w:line="360" w:lineRule="auto"/>
        <w:jc w:val="both"/>
        <w:rPr>
          <w:rFonts w:ascii="Arial" w:hAnsi="Arial"/>
        </w:rPr>
      </w:pPr>
    </w:p>
    <w:p w14:paraId="29E55345" w14:textId="7BE01697" w:rsidR="00656FD8" w:rsidRDefault="00656FD8" w:rsidP="00725AC1">
      <w:pPr>
        <w:spacing w:line="360" w:lineRule="auto"/>
        <w:jc w:val="both"/>
        <w:rPr>
          <w:rFonts w:ascii="Arial" w:hAnsi="Arial"/>
        </w:rPr>
      </w:pPr>
      <w:r>
        <w:rPr>
          <w:rFonts w:ascii="Arial" w:hAnsi="Arial"/>
        </w:rPr>
        <w:t xml:space="preserve">Held further: </w:t>
      </w:r>
      <w:r w:rsidRPr="00656FD8">
        <w:rPr>
          <w:rFonts w:ascii="Arial" w:hAnsi="Arial"/>
        </w:rPr>
        <w:t>that in determining whether a case for winding up on the grounds of the just and equitable rule, the court needs to look at the matter before it holistically and then make a judgment</w:t>
      </w:r>
      <w:r>
        <w:rPr>
          <w:rFonts w:ascii="Arial" w:hAnsi="Arial"/>
        </w:rPr>
        <w:t xml:space="preserve">, </w:t>
      </w:r>
      <w:r w:rsidR="001B7361">
        <w:rPr>
          <w:rFonts w:ascii="Arial" w:hAnsi="Arial"/>
        </w:rPr>
        <w:t>not only</w:t>
      </w:r>
      <w:r w:rsidRPr="00656FD8">
        <w:rPr>
          <w:rFonts w:ascii="Arial" w:hAnsi="Arial"/>
        </w:rPr>
        <w:t xml:space="preserve"> from</w:t>
      </w:r>
      <w:r>
        <w:rPr>
          <w:rFonts w:ascii="Arial" w:hAnsi="Arial"/>
        </w:rPr>
        <w:t xml:space="preserve"> the facts proved, or apparent.</w:t>
      </w:r>
    </w:p>
    <w:p w14:paraId="03AF755B" w14:textId="77777777" w:rsidR="00656FD8" w:rsidRDefault="00656FD8" w:rsidP="00725AC1">
      <w:pPr>
        <w:spacing w:line="360" w:lineRule="auto"/>
        <w:jc w:val="both"/>
        <w:rPr>
          <w:rFonts w:ascii="Arial" w:hAnsi="Arial"/>
        </w:rPr>
      </w:pPr>
    </w:p>
    <w:p w14:paraId="603F0414" w14:textId="660FABBE" w:rsidR="00725AC1" w:rsidRDefault="00656FD8" w:rsidP="00725AC1">
      <w:pPr>
        <w:spacing w:line="360" w:lineRule="auto"/>
        <w:jc w:val="both"/>
        <w:rPr>
          <w:rFonts w:ascii="Arial" w:hAnsi="Arial"/>
        </w:rPr>
      </w:pPr>
      <w:r>
        <w:rPr>
          <w:rFonts w:ascii="Arial" w:hAnsi="Arial"/>
        </w:rPr>
        <w:lastRenderedPageBreak/>
        <w:t xml:space="preserve">Held: that the court must </w:t>
      </w:r>
      <w:r w:rsidR="001B7361">
        <w:rPr>
          <w:rFonts w:ascii="Arial" w:hAnsi="Arial"/>
        </w:rPr>
        <w:t>additionally partake</w:t>
      </w:r>
      <w:r w:rsidRPr="00656FD8">
        <w:rPr>
          <w:rFonts w:ascii="Arial" w:hAnsi="Arial"/>
        </w:rPr>
        <w:t xml:space="preserve"> from the reservoirs o</w:t>
      </w:r>
      <w:r>
        <w:rPr>
          <w:rFonts w:ascii="Arial" w:hAnsi="Arial"/>
        </w:rPr>
        <w:t xml:space="preserve">f </w:t>
      </w:r>
      <w:r w:rsidR="001B7361">
        <w:rPr>
          <w:rFonts w:ascii="Arial" w:hAnsi="Arial"/>
        </w:rPr>
        <w:t xml:space="preserve">the law, </w:t>
      </w:r>
      <w:r>
        <w:rPr>
          <w:rFonts w:ascii="Arial" w:hAnsi="Arial"/>
        </w:rPr>
        <w:t xml:space="preserve">equity, justice and fairness in determining </w:t>
      </w:r>
      <w:r w:rsidRPr="00656FD8">
        <w:rPr>
          <w:rFonts w:ascii="Arial" w:hAnsi="Arial"/>
        </w:rPr>
        <w:t>whether the case before court is one which resonates with an order for winding up</w:t>
      </w:r>
      <w:r>
        <w:rPr>
          <w:rFonts w:ascii="Arial" w:hAnsi="Arial"/>
        </w:rPr>
        <w:t>.</w:t>
      </w:r>
    </w:p>
    <w:p w14:paraId="02B72028" w14:textId="77777777" w:rsidR="00656FD8" w:rsidRDefault="00656FD8" w:rsidP="00725AC1">
      <w:pPr>
        <w:spacing w:line="360" w:lineRule="auto"/>
        <w:jc w:val="both"/>
        <w:rPr>
          <w:rFonts w:ascii="Arial" w:hAnsi="Arial"/>
        </w:rPr>
      </w:pPr>
    </w:p>
    <w:p w14:paraId="6930A4FB" w14:textId="023C8559" w:rsidR="00656FD8" w:rsidRDefault="00656FD8" w:rsidP="00725AC1">
      <w:pPr>
        <w:spacing w:line="360" w:lineRule="auto"/>
        <w:jc w:val="both"/>
        <w:rPr>
          <w:rFonts w:ascii="Arial" w:hAnsi="Arial"/>
        </w:rPr>
      </w:pPr>
      <w:r>
        <w:rPr>
          <w:rFonts w:ascii="Arial" w:hAnsi="Arial"/>
        </w:rPr>
        <w:t xml:space="preserve">Held further that: </w:t>
      </w:r>
      <w:r w:rsidR="0098233C">
        <w:rPr>
          <w:rFonts w:ascii="Arial" w:hAnsi="Arial"/>
        </w:rPr>
        <w:t>the peculiar circumstances of each case for winding up to be taken into account</w:t>
      </w:r>
      <w:r w:rsidR="001B7361">
        <w:rPr>
          <w:rFonts w:ascii="Arial" w:hAnsi="Arial"/>
        </w:rPr>
        <w:t>, as there is no one size fits all</w:t>
      </w:r>
      <w:r w:rsidR="0098233C">
        <w:rPr>
          <w:rFonts w:ascii="Arial" w:hAnsi="Arial"/>
        </w:rPr>
        <w:t>.</w:t>
      </w:r>
    </w:p>
    <w:p w14:paraId="0C2EF56D" w14:textId="77777777" w:rsidR="0098233C" w:rsidRDefault="0098233C" w:rsidP="00725AC1">
      <w:pPr>
        <w:spacing w:line="360" w:lineRule="auto"/>
        <w:jc w:val="both"/>
        <w:rPr>
          <w:rFonts w:ascii="Arial" w:hAnsi="Arial"/>
        </w:rPr>
      </w:pPr>
    </w:p>
    <w:p w14:paraId="4883A5AA" w14:textId="66D45B55" w:rsidR="0098233C" w:rsidRDefault="0098233C" w:rsidP="00725AC1">
      <w:pPr>
        <w:spacing w:line="360" w:lineRule="auto"/>
        <w:jc w:val="both"/>
        <w:rPr>
          <w:rFonts w:ascii="Arial" w:hAnsi="Arial"/>
        </w:rPr>
      </w:pPr>
      <w:r>
        <w:rPr>
          <w:rFonts w:ascii="Arial" w:hAnsi="Arial"/>
        </w:rPr>
        <w:t xml:space="preserve">Held: </w:t>
      </w:r>
      <w:r w:rsidRPr="0098233C">
        <w:rPr>
          <w:rFonts w:ascii="Arial" w:hAnsi="Arial"/>
        </w:rPr>
        <w:t xml:space="preserve">that the issues </w:t>
      </w:r>
      <w:r>
        <w:rPr>
          <w:rFonts w:ascii="Arial" w:hAnsi="Arial"/>
        </w:rPr>
        <w:t xml:space="preserve">in </w:t>
      </w:r>
      <w:r w:rsidRPr="0098233C">
        <w:rPr>
          <w:rFonts w:ascii="Arial" w:hAnsi="Arial"/>
          <w:i/>
        </w:rPr>
        <w:t>casu</w:t>
      </w:r>
      <w:r>
        <w:rPr>
          <w:rFonts w:ascii="Arial" w:hAnsi="Arial"/>
        </w:rPr>
        <w:t xml:space="preserve"> </w:t>
      </w:r>
      <w:r w:rsidRPr="0098233C">
        <w:rPr>
          <w:rFonts w:ascii="Arial" w:hAnsi="Arial"/>
        </w:rPr>
        <w:t xml:space="preserve">involve matters of an ecumenical nature, which if properly considered in the context of the instant case, were not ever contemplated by the Legislature, as being the legal basis or part of the basis for issuing a winding-up order under the just and equitable </w:t>
      </w:r>
      <w:r w:rsidR="001B7361">
        <w:rPr>
          <w:rFonts w:ascii="Arial" w:hAnsi="Arial"/>
        </w:rPr>
        <w:t xml:space="preserve">principle </w:t>
      </w:r>
      <w:r w:rsidRPr="0098233C">
        <w:rPr>
          <w:rFonts w:ascii="Arial" w:hAnsi="Arial"/>
        </w:rPr>
        <w:t>in ordinary company law parlance or setting.</w:t>
      </w:r>
    </w:p>
    <w:p w14:paraId="66211B65" w14:textId="77777777" w:rsidR="0098233C" w:rsidRDefault="0098233C" w:rsidP="00725AC1">
      <w:pPr>
        <w:spacing w:line="360" w:lineRule="auto"/>
        <w:jc w:val="both"/>
        <w:rPr>
          <w:rFonts w:ascii="Arial" w:hAnsi="Arial"/>
        </w:rPr>
      </w:pPr>
    </w:p>
    <w:p w14:paraId="1F24CEFB" w14:textId="382A12C3" w:rsidR="0098233C" w:rsidRDefault="0098233C" w:rsidP="00725AC1">
      <w:pPr>
        <w:spacing w:line="360" w:lineRule="auto"/>
        <w:jc w:val="both"/>
        <w:rPr>
          <w:rFonts w:ascii="Arial" w:hAnsi="Arial"/>
        </w:rPr>
      </w:pPr>
      <w:r>
        <w:rPr>
          <w:rFonts w:ascii="Arial" w:hAnsi="Arial"/>
        </w:rPr>
        <w:t xml:space="preserve">Held further: </w:t>
      </w:r>
      <w:r w:rsidRPr="0098233C">
        <w:rPr>
          <w:rFonts w:ascii="Arial" w:hAnsi="Arial"/>
        </w:rPr>
        <w:t>that the 1</w:t>
      </w:r>
      <w:r w:rsidRPr="0098233C">
        <w:rPr>
          <w:rFonts w:ascii="Arial" w:hAnsi="Arial"/>
          <w:vertAlign w:val="superscript"/>
        </w:rPr>
        <w:t>st</w:t>
      </w:r>
      <w:r w:rsidRPr="0098233C">
        <w:rPr>
          <w:rFonts w:ascii="Arial" w:hAnsi="Arial"/>
        </w:rPr>
        <w:t xml:space="preserve"> respondent is not just an ordinary company, floated to offer goods and services or to be involved in one or other branch of commerce in the classical sense</w:t>
      </w:r>
      <w:r w:rsidR="00142CF4">
        <w:rPr>
          <w:rFonts w:ascii="Arial" w:hAnsi="Arial"/>
        </w:rPr>
        <w:t xml:space="preserve"> and it would</w:t>
      </w:r>
      <w:r w:rsidR="00142CF4" w:rsidRPr="00142CF4">
        <w:rPr>
          <w:rFonts w:ascii="Arial" w:hAnsi="Arial"/>
        </w:rPr>
        <w:t xml:space="preserve"> be irresponsible of this court to deal with t</w:t>
      </w:r>
      <w:r w:rsidR="001B7361">
        <w:rPr>
          <w:rFonts w:ascii="Arial" w:hAnsi="Arial"/>
        </w:rPr>
        <w:t>he matter as a normal</w:t>
      </w:r>
      <w:r w:rsidR="00142CF4" w:rsidRPr="00142CF4">
        <w:rPr>
          <w:rFonts w:ascii="Arial" w:hAnsi="Arial"/>
        </w:rPr>
        <w:t xml:space="preserve"> dispute that afflicts the boardroom</w:t>
      </w:r>
      <w:r w:rsidR="001B7361">
        <w:rPr>
          <w:rFonts w:ascii="Arial" w:hAnsi="Arial"/>
        </w:rPr>
        <w:t xml:space="preserve"> or the running of the company</w:t>
      </w:r>
      <w:r w:rsidR="00142CF4">
        <w:rPr>
          <w:rFonts w:ascii="Arial" w:hAnsi="Arial"/>
        </w:rPr>
        <w:t>.</w:t>
      </w:r>
    </w:p>
    <w:p w14:paraId="73B3CE2B" w14:textId="77777777" w:rsidR="00142CF4" w:rsidRDefault="00142CF4" w:rsidP="00725AC1">
      <w:pPr>
        <w:spacing w:line="360" w:lineRule="auto"/>
        <w:jc w:val="both"/>
        <w:rPr>
          <w:rFonts w:ascii="Arial" w:hAnsi="Arial"/>
        </w:rPr>
      </w:pPr>
    </w:p>
    <w:p w14:paraId="53F94946" w14:textId="1A757A95" w:rsidR="00142CF4" w:rsidRDefault="00142CF4" w:rsidP="00725AC1">
      <w:pPr>
        <w:spacing w:line="360" w:lineRule="auto"/>
        <w:jc w:val="both"/>
        <w:rPr>
          <w:rFonts w:ascii="Arial" w:hAnsi="Arial"/>
        </w:rPr>
      </w:pPr>
      <w:r>
        <w:rPr>
          <w:rFonts w:ascii="Arial" w:hAnsi="Arial"/>
        </w:rPr>
        <w:t xml:space="preserve">Held: </w:t>
      </w:r>
      <w:r w:rsidRPr="00142CF4">
        <w:rPr>
          <w:rFonts w:ascii="Arial" w:hAnsi="Arial"/>
        </w:rPr>
        <w:t>that the court, albeit being the body tasked with resolving disputes, does not always provide a panacea for all human ills, particularly those whose DNA is ecclesiastical in nature</w:t>
      </w:r>
      <w:r w:rsidR="001B7361">
        <w:rPr>
          <w:rFonts w:ascii="Arial" w:hAnsi="Arial"/>
        </w:rPr>
        <w:t>.</w:t>
      </w:r>
    </w:p>
    <w:p w14:paraId="47CDF21B" w14:textId="77777777" w:rsidR="00142CF4" w:rsidRDefault="00142CF4" w:rsidP="00725AC1">
      <w:pPr>
        <w:spacing w:line="360" w:lineRule="auto"/>
        <w:jc w:val="both"/>
        <w:rPr>
          <w:rFonts w:ascii="Arial" w:hAnsi="Arial"/>
        </w:rPr>
      </w:pPr>
    </w:p>
    <w:p w14:paraId="7CB61573" w14:textId="76008384" w:rsidR="00725AC1" w:rsidRPr="00142CF4" w:rsidRDefault="001B7361" w:rsidP="006F207A">
      <w:pPr>
        <w:spacing w:line="360" w:lineRule="auto"/>
        <w:jc w:val="both"/>
        <w:rPr>
          <w:rFonts w:ascii="Arial" w:hAnsi="Arial"/>
        </w:rPr>
      </w:pPr>
      <w:r>
        <w:rPr>
          <w:rFonts w:ascii="Arial" w:hAnsi="Arial"/>
        </w:rPr>
        <w:t>The c</w:t>
      </w:r>
      <w:r w:rsidR="00142CF4">
        <w:rPr>
          <w:rFonts w:ascii="Arial" w:hAnsi="Arial"/>
        </w:rPr>
        <w:t>ourt accordingly finding that</w:t>
      </w:r>
      <w:r w:rsidR="00142CF4" w:rsidRPr="00142CF4">
        <w:rPr>
          <w:rFonts w:ascii="Arial" w:hAnsi="Arial"/>
        </w:rPr>
        <w:t xml:space="preserve"> in exercising </w:t>
      </w:r>
      <w:r w:rsidR="00142CF4">
        <w:rPr>
          <w:rFonts w:ascii="Arial" w:hAnsi="Arial"/>
        </w:rPr>
        <w:t>its</w:t>
      </w:r>
      <w:r w:rsidR="00142CF4" w:rsidRPr="00142CF4">
        <w:rPr>
          <w:rFonts w:ascii="Arial" w:hAnsi="Arial"/>
        </w:rPr>
        <w:t xml:space="preserve"> powers properly and judicially, this is not a proper case in which the demands of </w:t>
      </w:r>
      <w:r>
        <w:rPr>
          <w:rFonts w:ascii="Arial" w:hAnsi="Arial"/>
        </w:rPr>
        <w:t xml:space="preserve">the law, </w:t>
      </w:r>
      <w:r w:rsidR="00142CF4" w:rsidRPr="00142CF4">
        <w:rPr>
          <w:rFonts w:ascii="Arial" w:hAnsi="Arial"/>
        </w:rPr>
        <w:t xml:space="preserve">justice </w:t>
      </w:r>
      <w:r>
        <w:rPr>
          <w:rFonts w:ascii="Arial" w:hAnsi="Arial"/>
        </w:rPr>
        <w:t xml:space="preserve">fairness </w:t>
      </w:r>
      <w:r w:rsidR="00142CF4" w:rsidRPr="00142CF4">
        <w:rPr>
          <w:rFonts w:ascii="Arial" w:hAnsi="Arial"/>
        </w:rPr>
        <w:t>and equity can be said to favour the granting of a winding up order.</w:t>
      </w:r>
      <w:r w:rsidR="00142CF4">
        <w:rPr>
          <w:rFonts w:ascii="Arial" w:hAnsi="Arial"/>
        </w:rPr>
        <w:t xml:space="preserve"> Application consequently dismissed with costs.</w:t>
      </w:r>
    </w:p>
    <w:p w14:paraId="7589D15F" w14:textId="77777777" w:rsidR="006F207A" w:rsidRDefault="006F207A" w:rsidP="006F207A">
      <w:pPr>
        <w:pBdr>
          <w:bottom w:val="single" w:sz="6" w:space="1" w:color="auto"/>
        </w:pBdr>
        <w:spacing w:line="360" w:lineRule="auto"/>
        <w:jc w:val="both"/>
        <w:rPr>
          <w:rFonts w:ascii="Arial" w:hAnsi="Arial"/>
        </w:rPr>
      </w:pPr>
    </w:p>
    <w:p w14:paraId="43321F73" w14:textId="77777777" w:rsidR="006F207A" w:rsidRDefault="006F207A" w:rsidP="006F207A">
      <w:pPr>
        <w:spacing w:line="360" w:lineRule="auto"/>
        <w:jc w:val="both"/>
        <w:rPr>
          <w:rFonts w:ascii="Arial" w:hAnsi="Arial"/>
        </w:rPr>
      </w:pPr>
    </w:p>
    <w:p w14:paraId="74ED5504" w14:textId="77777777" w:rsidR="006F207A" w:rsidRDefault="006F207A" w:rsidP="006F207A">
      <w:pPr>
        <w:spacing w:line="360" w:lineRule="auto"/>
        <w:jc w:val="center"/>
        <w:rPr>
          <w:rFonts w:ascii="Arial" w:hAnsi="Arial"/>
          <w:b/>
        </w:rPr>
      </w:pPr>
      <w:r>
        <w:rPr>
          <w:rFonts w:ascii="Arial" w:hAnsi="Arial"/>
          <w:b/>
        </w:rPr>
        <w:t>ORDER</w:t>
      </w:r>
    </w:p>
    <w:p w14:paraId="4FE37D47" w14:textId="77777777" w:rsidR="006F207A" w:rsidRDefault="006F207A" w:rsidP="006F207A">
      <w:pPr>
        <w:pBdr>
          <w:bottom w:val="single" w:sz="6" w:space="1" w:color="auto"/>
        </w:pBdr>
        <w:spacing w:line="360" w:lineRule="auto"/>
        <w:jc w:val="center"/>
        <w:rPr>
          <w:rFonts w:ascii="Arial" w:hAnsi="Arial"/>
          <w:b/>
        </w:rPr>
      </w:pPr>
    </w:p>
    <w:p w14:paraId="6549EC53" w14:textId="77777777" w:rsidR="006F207A" w:rsidRDefault="006F207A" w:rsidP="006F207A">
      <w:pPr>
        <w:spacing w:line="360" w:lineRule="auto"/>
        <w:rPr>
          <w:rFonts w:ascii="Arial" w:hAnsi="Arial"/>
        </w:rPr>
      </w:pPr>
    </w:p>
    <w:p w14:paraId="77333EF9" w14:textId="77777777" w:rsidR="006268AF" w:rsidRPr="006268AF" w:rsidRDefault="006268AF" w:rsidP="006268AF">
      <w:pPr>
        <w:numPr>
          <w:ilvl w:val="0"/>
          <w:numId w:val="1"/>
        </w:numPr>
        <w:spacing w:line="360" w:lineRule="auto"/>
        <w:contextualSpacing/>
        <w:jc w:val="both"/>
        <w:rPr>
          <w:rFonts w:ascii="Arial" w:hAnsi="Arial"/>
        </w:rPr>
      </w:pPr>
      <w:r w:rsidRPr="006268AF">
        <w:rPr>
          <w:rFonts w:ascii="Arial" w:hAnsi="Arial"/>
        </w:rPr>
        <w:t>The application is dismissed.</w:t>
      </w:r>
    </w:p>
    <w:p w14:paraId="0403CD5F" w14:textId="77777777" w:rsidR="006268AF" w:rsidRPr="006268AF" w:rsidRDefault="006268AF" w:rsidP="006268AF">
      <w:pPr>
        <w:numPr>
          <w:ilvl w:val="0"/>
          <w:numId w:val="1"/>
        </w:numPr>
        <w:spacing w:line="360" w:lineRule="auto"/>
        <w:contextualSpacing/>
        <w:jc w:val="both"/>
        <w:rPr>
          <w:rFonts w:ascii="Arial" w:hAnsi="Arial"/>
        </w:rPr>
      </w:pPr>
      <w:r w:rsidRPr="006268AF">
        <w:rPr>
          <w:rFonts w:ascii="Arial" w:hAnsi="Arial"/>
        </w:rPr>
        <w:lastRenderedPageBreak/>
        <w:t>The applicants are ordered to pay the costs of this application, consequent upon the employment of one instructing and one instructed counsel.</w:t>
      </w:r>
    </w:p>
    <w:p w14:paraId="20EA732E" w14:textId="77777777" w:rsidR="006268AF" w:rsidRPr="006268AF" w:rsidRDefault="006268AF" w:rsidP="006268AF">
      <w:pPr>
        <w:numPr>
          <w:ilvl w:val="0"/>
          <w:numId w:val="1"/>
        </w:numPr>
        <w:spacing w:line="360" w:lineRule="auto"/>
        <w:contextualSpacing/>
        <w:jc w:val="both"/>
        <w:rPr>
          <w:rFonts w:ascii="Arial" w:hAnsi="Arial"/>
        </w:rPr>
      </w:pPr>
      <w:r w:rsidRPr="006268AF">
        <w:rPr>
          <w:rFonts w:ascii="Arial" w:hAnsi="Arial"/>
        </w:rPr>
        <w:t>The matter is removed from the roll and is regarded as finalised.</w:t>
      </w:r>
    </w:p>
    <w:p w14:paraId="0FC139CF" w14:textId="77777777" w:rsidR="006F207A" w:rsidRDefault="006F207A" w:rsidP="006F207A">
      <w:pPr>
        <w:pBdr>
          <w:bottom w:val="single" w:sz="6" w:space="1" w:color="auto"/>
        </w:pBdr>
        <w:spacing w:line="360" w:lineRule="auto"/>
        <w:rPr>
          <w:rFonts w:ascii="Arial" w:hAnsi="Arial"/>
        </w:rPr>
      </w:pPr>
    </w:p>
    <w:p w14:paraId="02D36CDB" w14:textId="77777777" w:rsidR="006F207A" w:rsidRDefault="006F207A" w:rsidP="006F207A">
      <w:pPr>
        <w:spacing w:line="360" w:lineRule="auto"/>
        <w:rPr>
          <w:rFonts w:ascii="Arial" w:hAnsi="Arial"/>
        </w:rPr>
      </w:pPr>
    </w:p>
    <w:p w14:paraId="0403B8F2" w14:textId="77777777" w:rsidR="006F207A" w:rsidRDefault="006F207A" w:rsidP="006F207A">
      <w:pPr>
        <w:spacing w:line="360" w:lineRule="auto"/>
        <w:jc w:val="center"/>
        <w:rPr>
          <w:rFonts w:ascii="Arial" w:hAnsi="Arial"/>
          <w:b/>
        </w:rPr>
      </w:pPr>
      <w:r>
        <w:rPr>
          <w:rFonts w:ascii="Arial" w:hAnsi="Arial"/>
          <w:b/>
        </w:rPr>
        <w:t>JUDGMENT</w:t>
      </w:r>
    </w:p>
    <w:p w14:paraId="1DDAD5EA" w14:textId="77777777" w:rsidR="006F207A" w:rsidRDefault="006F207A" w:rsidP="006F207A">
      <w:pPr>
        <w:pBdr>
          <w:bottom w:val="single" w:sz="6" w:space="1" w:color="auto"/>
        </w:pBdr>
        <w:spacing w:line="360" w:lineRule="auto"/>
        <w:jc w:val="center"/>
        <w:rPr>
          <w:rFonts w:ascii="Arial" w:hAnsi="Arial"/>
          <w:b/>
        </w:rPr>
      </w:pPr>
    </w:p>
    <w:p w14:paraId="6F4D2CBD" w14:textId="77777777" w:rsidR="006F207A" w:rsidRDefault="006F207A" w:rsidP="006F207A">
      <w:pPr>
        <w:spacing w:line="360" w:lineRule="auto"/>
        <w:rPr>
          <w:rFonts w:ascii="Arial" w:hAnsi="Arial"/>
        </w:rPr>
      </w:pPr>
    </w:p>
    <w:p w14:paraId="7EBA4F32" w14:textId="77777777" w:rsidR="006F207A" w:rsidRDefault="006F207A" w:rsidP="006F207A">
      <w:pPr>
        <w:spacing w:line="360" w:lineRule="auto"/>
        <w:rPr>
          <w:rFonts w:ascii="Arial" w:hAnsi="Arial"/>
          <w:b/>
        </w:rPr>
      </w:pPr>
      <w:r>
        <w:rPr>
          <w:rFonts w:ascii="Arial" w:hAnsi="Arial"/>
          <w:b/>
        </w:rPr>
        <w:t>MASUKU J:</w:t>
      </w:r>
    </w:p>
    <w:p w14:paraId="4C7D3569" w14:textId="77777777" w:rsidR="006F207A" w:rsidRDefault="006F207A" w:rsidP="006F207A">
      <w:pPr>
        <w:spacing w:line="360" w:lineRule="auto"/>
        <w:rPr>
          <w:rFonts w:ascii="Arial" w:hAnsi="Arial"/>
          <w:b/>
        </w:rPr>
      </w:pPr>
    </w:p>
    <w:p w14:paraId="7A76EDE9" w14:textId="77777777" w:rsidR="006F207A" w:rsidRDefault="006F207A" w:rsidP="006F207A">
      <w:pPr>
        <w:spacing w:line="360" w:lineRule="auto"/>
        <w:rPr>
          <w:rFonts w:ascii="Arial" w:hAnsi="Arial"/>
          <w:u w:val="single"/>
        </w:rPr>
      </w:pPr>
      <w:r>
        <w:rPr>
          <w:rFonts w:ascii="Arial" w:hAnsi="Arial"/>
          <w:u w:val="single"/>
        </w:rPr>
        <w:t>Introduction</w:t>
      </w:r>
    </w:p>
    <w:p w14:paraId="3F91EBA5" w14:textId="77777777" w:rsidR="006F207A" w:rsidRDefault="006F207A" w:rsidP="006F207A">
      <w:pPr>
        <w:spacing w:line="360" w:lineRule="auto"/>
        <w:rPr>
          <w:rFonts w:ascii="Arial" w:hAnsi="Arial"/>
          <w:u w:val="single"/>
        </w:rPr>
      </w:pPr>
    </w:p>
    <w:p w14:paraId="5C09F746" w14:textId="0CC24AA1" w:rsidR="006F207A" w:rsidRDefault="006F207A" w:rsidP="007A6DDB">
      <w:pPr>
        <w:spacing w:line="360" w:lineRule="auto"/>
        <w:jc w:val="both"/>
        <w:rPr>
          <w:rFonts w:ascii="Arial" w:hAnsi="Arial"/>
        </w:rPr>
      </w:pPr>
      <w:r>
        <w:rPr>
          <w:rFonts w:ascii="Arial" w:hAnsi="Arial"/>
        </w:rPr>
        <w:t>[1]</w:t>
      </w:r>
      <w:r>
        <w:rPr>
          <w:rFonts w:ascii="Arial" w:hAnsi="Arial"/>
        </w:rPr>
        <w:tab/>
      </w:r>
      <w:r w:rsidR="007A6DDB">
        <w:rPr>
          <w:rFonts w:ascii="Arial" w:hAnsi="Arial"/>
        </w:rPr>
        <w:t xml:space="preserve">Presently serving before court is a dispute among members of an ecclesiastical entity. The dispute is, however, </w:t>
      </w:r>
      <w:r w:rsidR="001B7361">
        <w:rPr>
          <w:rFonts w:ascii="Arial" w:hAnsi="Arial"/>
        </w:rPr>
        <w:t xml:space="preserve">on the surface, </w:t>
      </w:r>
      <w:r w:rsidR="007A6DDB">
        <w:rPr>
          <w:rFonts w:ascii="Arial" w:hAnsi="Arial"/>
        </w:rPr>
        <w:t>not ecumenical in nature but one steeped in the interpretation of the Company laws of this Republic as the entity in dispute, is an association incorporated not for gain in terms of the applicable provisions of the company laws.</w:t>
      </w:r>
    </w:p>
    <w:p w14:paraId="05602C93" w14:textId="77777777" w:rsidR="007A6DDB" w:rsidRDefault="007A6DDB" w:rsidP="007A6DDB">
      <w:pPr>
        <w:spacing w:line="360" w:lineRule="auto"/>
        <w:jc w:val="both"/>
        <w:rPr>
          <w:rFonts w:ascii="Arial" w:hAnsi="Arial"/>
        </w:rPr>
      </w:pPr>
    </w:p>
    <w:p w14:paraId="559AA558" w14:textId="77777777" w:rsidR="007A6DDB" w:rsidRDefault="007A6DDB" w:rsidP="007A6DDB">
      <w:pPr>
        <w:spacing w:line="360" w:lineRule="auto"/>
        <w:jc w:val="both"/>
        <w:rPr>
          <w:rFonts w:ascii="Arial" w:hAnsi="Arial"/>
        </w:rPr>
      </w:pPr>
      <w:r>
        <w:rPr>
          <w:rFonts w:ascii="Arial" w:hAnsi="Arial"/>
        </w:rPr>
        <w:t>[2]</w:t>
      </w:r>
      <w:r>
        <w:rPr>
          <w:rFonts w:ascii="Arial" w:hAnsi="Arial"/>
        </w:rPr>
        <w:tab/>
        <w:t>In essence, the applicants have approached this court seeking the winding up of 1</w:t>
      </w:r>
      <w:r w:rsidRPr="007A6DDB">
        <w:rPr>
          <w:rFonts w:ascii="Arial" w:hAnsi="Arial"/>
          <w:vertAlign w:val="superscript"/>
        </w:rPr>
        <w:t>st</w:t>
      </w:r>
      <w:r>
        <w:rPr>
          <w:rFonts w:ascii="Arial" w:hAnsi="Arial"/>
        </w:rPr>
        <w:t xml:space="preserve"> respondent, One Body Apostolic Faith Church in terms of the provisions of s. 349(</w:t>
      </w:r>
      <w:r w:rsidRPr="00B7687D">
        <w:rPr>
          <w:rFonts w:ascii="Arial" w:hAnsi="Arial"/>
          <w:i/>
        </w:rPr>
        <w:t>h</w:t>
      </w:r>
      <w:r>
        <w:rPr>
          <w:rFonts w:ascii="Arial" w:hAnsi="Arial"/>
        </w:rPr>
        <w:t>) of the Companies Act, 2004</w:t>
      </w:r>
      <w:r w:rsidR="00644F7E">
        <w:rPr>
          <w:rFonts w:ascii="Arial" w:hAnsi="Arial"/>
        </w:rPr>
        <w:t>, ‘the Act’)</w:t>
      </w:r>
      <w:r>
        <w:rPr>
          <w:rFonts w:ascii="Arial" w:hAnsi="Arial"/>
        </w:rPr>
        <w:t>.</w:t>
      </w:r>
      <w:r>
        <w:rPr>
          <w:rStyle w:val="FootnoteReference"/>
          <w:rFonts w:ascii="Arial" w:hAnsi="Arial"/>
        </w:rPr>
        <w:footnoteReference w:id="1"/>
      </w:r>
      <w:r>
        <w:rPr>
          <w:rFonts w:ascii="Arial" w:hAnsi="Arial"/>
        </w:rPr>
        <w:t xml:space="preserve"> It is claimed on the part of the applicants that there exists a serious deadlock within the membership of the 1</w:t>
      </w:r>
      <w:r w:rsidRPr="007A6DDB">
        <w:rPr>
          <w:rFonts w:ascii="Arial" w:hAnsi="Arial"/>
          <w:vertAlign w:val="superscript"/>
        </w:rPr>
        <w:t>st</w:t>
      </w:r>
      <w:r>
        <w:rPr>
          <w:rFonts w:ascii="Arial" w:hAnsi="Arial"/>
        </w:rPr>
        <w:t xml:space="preserve"> respondent</w:t>
      </w:r>
      <w:r w:rsidR="00644F7E">
        <w:rPr>
          <w:rFonts w:ascii="Arial" w:hAnsi="Arial"/>
        </w:rPr>
        <w:t xml:space="preserve"> in respect of its leadership</w:t>
      </w:r>
      <w:r>
        <w:rPr>
          <w:rFonts w:ascii="Arial" w:hAnsi="Arial"/>
        </w:rPr>
        <w:t>. It is accordingly alleged, in the circumstances, that the insoluble dispute resulting in a deadlock, constitutes a just and equitable reason</w:t>
      </w:r>
      <w:r w:rsidR="00644F7E">
        <w:rPr>
          <w:rFonts w:ascii="Arial" w:hAnsi="Arial"/>
        </w:rPr>
        <w:t xml:space="preserve"> in terms of the Act,</w:t>
      </w:r>
      <w:r>
        <w:rPr>
          <w:rFonts w:ascii="Arial" w:hAnsi="Arial"/>
        </w:rPr>
        <w:t xml:space="preserve"> for the winding up of the 1</w:t>
      </w:r>
      <w:r w:rsidRPr="007A6DDB">
        <w:rPr>
          <w:rFonts w:ascii="Arial" w:hAnsi="Arial"/>
          <w:vertAlign w:val="superscript"/>
        </w:rPr>
        <w:t>st</w:t>
      </w:r>
      <w:r>
        <w:rPr>
          <w:rFonts w:ascii="Arial" w:hAnsi="Arial"/>
        </w:rPr>
        <w:t xml:space="preserve"> respondent.</w:t>
      </w:r>
    </w:p>
    <w:p w14:paraId="28C605AD" w14:textId="77777777" w:rsidR="00644F7E" w:rsidRDefault="00644F7E" w:rsidP="007A6DDB">
      <w:pPr>
        <w:spacing w:line="360" w:lineRule="auto"/>
        <w:jc w:val="both"/>
        <w:rPr>
          <w:rFonts w:ascii="Arial" w:hAnsi="Arial"/>
        </w:rPr>
      </w:pPr>
    </w:p>
    <w:p w14:paraId="24C4468D" w14:textId="5F55DE89" w:rsidR="00B236B5" w:rsidRDefault="00644F7E" w:rsidP="007A6DDB">
      <w:pPr>
        <w:spacing w:line="360" w:lineRule="auto"/>
        <w:jc w:val="both"/>
        <w:rPr>
          <w:rFonts w:ascii="Arial" w:hAnsi="Arial"/>
        </w:rPr>
      </w:pPr>
      <w:r>
        <w:rPr>
          <w:rFonts w:ascii="Arial" w:hAnsi="Arial"/>
        </w:rPr>
        <w:t>[3]</w:t>
      </w:r>
      <w:r>
        <w:rPr>
          <w:rFonts w:ascii="Arial" w:hAnsi="Arial"/>
        </w:rPr>
        <w:tab/>
        <w:t>It is important to mention at this nascent juncture, that the human respondents cited in the application are all members and directors of the 1</w:t>
      </w:r>
      <w:r w:rsidRPr="00644F7E">
        <w:rPr>
          <w:rFonts w:ascii="Arial" w:hAnsi="Arial"/>
          <w:vertAlign w:val="superscript"/>
        </w:rPr>
        <w:t>st</w:t>
      </w:r>
      <w:r w:rsidR="001B7361">
        <w:rPr>
          <w:rFonts w:ascii="Arial" w:hAnsi="Arial"/>
        </w:rPr>
        <w:t xml:space="preserve"> respondent and can </w:t>
      </w:r>
      <w:r>
        <w:rPr>
          <w:rFonts w:ascii="Arial" w:hAnsi="Arial"/>
        </w:rPr>
        <w:t xml:space="preserve">as such </w:t>
      </w:r>
      <w:r w:rsidR="001B7361">
        <w:rPr>
          <w:rFonts w:ascii="Arial" w:hAnsi="Arial"/>
        </w:rPr>
        <w:t xml:space="preserve">be regarded as </w:t>
      </w:r>
      <w:r>
        <w:rPr>
          <w:rFonts w:ascii="Arial" w:hAnsi="Arial"/>
        </w:rPr>
        <w:t xml:space="preserve">involved </w:t>
      </w:r>
      <w:r w:rsidR="001B7361">
        <w:rPr>
          <w:rFonts w:ascii="Arial" w:hAnsi="Arial"/>
        </w:rPr>
        <w:t xml:space="preserve">in </w:t>
      </w:r>
      <w:r>
        <w:rPr>
          <w:rFonts w:ascii="Arial" w:hAnsi="Arial"/>
        </w:rPr>
        <w:t>the day to day running of the affairs of the 1</w:t>
      </w:r>
      <w:r w:rsidRPr="00644F7E">
        <w:rPr>
          <w:rFonts w:ascii="Arial" w:hAnsi="Arial"/>
          <w:vertAlign w:val="superscript"/>
        </w:rPr>
        <w:t>st</w:t>
      </w:r>
      <w:r>
        <w:rPr>
          <w:rFonts w:ascii="Arial" w:hAnsi="Arial"/>
        </w:rPr>
        <w:t xml:space="preserve"> respondent</w:t>
      </w:r>
      <w:r w:rsidR="00B236B5">
        <w:rPr>
          <w:rFonts w:ascii="Arial" w:hAnsi="Arial"/>
        </w:rPr>
        <w:t>.</w:t>
      </w:r>
    </w:p>
    <w:p w14:paraId="411E85D3" w14:textId="77777777" w:rsidR="00FA720F" w:rsidRDefault="00FA720F" w:rsidP="007A6DDB">
      <w:pPr>
        <w:spacing w:line="360" w:lineRule="auto"/>
        <w:jc w:val="both"/>
        <w:rPr>
          <w:rFonts w:ascii="Arial" w:hAnsi="Arial"/>
        </w:rPr>
      </w:pPr>
    </w:p>
    <w:p w14:paraId="18D3470C" w14:textId="6E9A6274" w:rsidR="00815D80" w:rsidRDefault="00656FD8" w:rsidP="007A6DDB">
      <w:pPr>
        <w:spacing w:line="360" w:lineRule="auto"/>
        <w:jc w:val="both"/>
        <w:rPr>
          <w:rFonts w:ascii="Arial" w:hAnsi="Arial"/>
        </w:rPr>
      </w:pPr>
      <w:r>
        <w:rPr>
          <w:rFonts w:ascii="Arial" w:hAnsi="Arial"/>
        </w:rPr>
        <w:t>[4]</w:t>
      </w:r>
      <w:r>
        <w:rPr>
          <w:rFonts w:ascii="Arial" w:hAnsi="Arial"/>
        </w:rPr>
        <w:tab/>
        <w:t>It is fair to mention</w:t>
      </w:r>
      <w:r w:rsidR="00B236B5">
        <w:rPr>
          <w:rFonts w:ascii="Arial" w:hAnsi="Arial"/>
        </w:rPr>
        <w:t xml:space="preserve"> that a reading of the papers filed of record in this matter yields one conclusion, namely, that the parties are seriously </w:t>
      </w:r>
      <w:r w:rsidR="00815D80">
        <w:rPr>
          <w:rFonts w:ascii="Arial" w:hAnsi="Arial"/>
        </w:rPr>
        <w:t>disputing the version of the other and on many and material issues</w:t>
      </w:r>
      <w:r w:rsidR="00FB4F31">
        <w:rPr>
          <w:rFonts w:ascii="Arial" w:hAnsi="Arial"/>
        </w:rPr>
        <w:t>, with each side not prepared to concede an inch</w:t>
      </w:r>
      <w:r w:rsidR="00815D80">
        <w:rPr>
          <w:rFonts w:ascii="Arial" w:hAnsi="Arial"/>
        </w:rPr>
        <w:t xml:space="preserve">. In the instant case, it is not necessary for the court to traverse each and every allegation placed in dispute, to determine whether the disputes raised are </w:t>
      </w:r>
      <w:r w:rsidR="00815D80">
        <w:rPr>
          <w:rFonts w:ascii="Arial" w:hAnsi="Arial"/>
          <w:i/>
        </w:rPr>
        <w:t xml:space="preserve">bona fide </w:t>
      </w:r>
      <w:r w:rsidR="00815D80" w:rsidRPr="00815D80">
        <w:rPr>
          <w:rFonts w:ascii="Arial" w:hAnsi="Arial"/>
        </w:rPr>
        <w:t>a</w:t>
      </w:r>
      <w:r w:rsidR="00815D80">
        <w:rPr>
          <w:rFonts w:ascii="Arial" w:hAnsi="Arial"/>
        </w:rPr>
        <w:t xml:space="preserve">nd </w:t>
      </w:r>
      <w:r w:rsidR="00815D80" w:rsidRPr="00815D80">
        <w:rPr>
          <w:rFonts w:ascii="Arial" w:hAnsi="Arial"/>
        </w:rPr>
        <w:t>genuine</w:t>
      </w:r>
      <w:r w:rsidR="00815D80">
        <w:rPr>
          <w:rFonts w:ascii="Arial" w:hAnsi="Arial"/>
        </w:rPr>
        <w:t xml:space="preserve">. </w:t>
      </w:r>
    </w:p>
    <w:p w14:paraId="7C595732" w14:textId="77777777" w:rsidR="00815D80" w:rsidRDefault="00815D80" w:rsidP="007A6DDB">
      <w:pPr>
        <w:spacing w:line="360" w:lineRule="auto"/>
        <w:jc w:val="both"/>
        <w:rPr>
          <w:rFonts w:ascii="Arial" w:hAnsi="Arial"/>
        </w:rPr>
      </w:pPr>
    </w:p>
    <w:p w14:paraId="7C471850" w14:textId="77777777" w:rsidR="001B7361" w:rsidRDefault="00815D80" w:rsidP="007A6DDB">
      <w:pPr>
        <w:spacing w:line="360" w:lineRule="auto"/>
        <w:jc w:val="both"/>
        <w:rPr>
          <w:rFonts w:ascii="Arial" w:hAnsi="Arial"/>
        </w:rPr>
      </w:pPr>
      <w:r>
        <w:rPr>
          <w:rFonts w:ascii="Arial" w:hAnsi="Arial"/>
        </w:rPr>
        <w:t>[5]</w:t>
      </w:r>
      <w:r>
        <w:rPr>
          <w:rFonts w:ascii="Arial" w:hAnsi="Arial"/>
        </w:rPr>
        <w:tab/>
        <w:t>What should be mentioned though is that not all the disputed issues constitute a bar to the court determining the propriety of hearing and deciding the application before it. In this regard, it is clear, even from the respondents’ version, although disputed in some portions of their affidavits, that there is indeed a deadlock in the management of the 1</w:t>
      </w:r>
      <w:r w:rsidRPr="00815D80">
        <w:rPr>
          <w:rFonts w:ascii="Arial" w:hAnsi="Arial"/>
          <w:vertAlign w:val="superscript"/>
        </w:rPr>
        <w:t>st</w:t>
      </w:r>
      <w:r>
        <w:rPr>
          <w:rFonts w:ascii="Arial" w:hAnsi="Arial"/>
        </w:rPr>
        <w:t xml:space="preserve"> respondent. </w:t>
      </w:r>
    </w:p>
    <w:p w14:paraId="22F1F00E" w14:textId="77777777" w:rsidR="001B7361" w:rsidRDefault="001B7361" w:rsidP="007A6DDB">
      <w:pPr>
        <w:spacing w:line="360" w:lineRule="auto"/>
        <w:jc w:val="both"/>
        <w:rPr>
          <w:rFonts w:ascii="Arial" w:hAnsi="Arial"/>
        </w:rPr>
      </w:pPr>
    </w:p>
    <w:p w14:paraId="0A731014" w14:textId="67F82749" w:rsidR="00B236B5" w:rsidRPr="00815D80" w:rsidRDefault="001B7361" w:rsidP="007A6DDB">
      <w:pPr>
        <w:spacing w:line="360" w:lineRule="auto"/>
        <w:jc w:val="both"/>
        <w:rPr>
          <w:rFonts w:ascii="Arial" w:hAnsi="Arial"/>
        </w:rPr>
      </w:pPr>
      <w:r>
        <w:rPr>
          <w:rFonts w:ascii="Arial" w:hAnsi="Arial"/>
        </w:rPr>
        <w:t>[6]</w:t>
      </w:r>
      <w:r>
        <w:rPr>
          <w:rFonts w:ascii="Arial" w:hAnsi="Arial"/>
        </w:rPr>
        <w:tab/>
      </w:r>
      <w:r w:rsidR="00815D80">
        <w:rPr>
          <w:rFonts w:ascii="Arial" w:hAnsi="Arial"/>
        </w:rPr>
        <w:t xml:space="preserve">That this is the case is evident from a close reading of some </w:t>
      </w:r>
      <w:r>
        <w:rPr>
          <w:rFonts w:ascii="Arial" w:hAnsi="Arial"/>
        </w:rPr>
        <w:t xml:space="preserve">portions </w:t>
      </w:r>
      <w:r w:rsidR="00815D80">
        <w:rPr>
          <w:rFonts w:ascii="Arial" w:hAnsi="Arial"/>
        </w:rPr>
        <w:t>of the respondents’ answering affidavit</w:t>
      </w:r>
      <w:r>
        <w:rPr>
          <w:rFonts w:ascii="Arial" w:hAnsi="Arial"/>
        </w:rPr>
        <w:t>,</w:t>
      </w:r>
      <w:r w:rsidR="00815D80">
        <w:rPr>
          <w:rFonts w:ascii="Arial" w:hAnsi="Arial"/>
        </w:rPr>
        <w:t xml:space="preserve"> thus leading to a decision that the denial of the deadlock by the respondents is not </w:t>
      </w:r>
      <w:r w:rsidR="00815D80">
        <w:rPr>
          <w:rFonts w:ascii="Arial" w:hAnsi="Arial"/>
          <w:i/>
        </w:rPr>
        <w:t xml:space="preserve">bona fide </w:t>
      </w:r>
      <w:r w:rsidR="00815D80">
        <w:rPr>
          <w:rFonts w:ascii="Arial" w:hAnsi="Arial"/>
        </w:rPr>
        <w:t>in the instant case, thus entitling the c</w:t>
      </w:r>
      <w:r>
        <w:rPr>
          <w:rFonts w:ascii="Arial" w:hAnsi="Arial"/>
        </w:rPr>
        <w:t>ourt to reject that disputation. The</w:t>
      </w:r>
      <w:r w:rsidR="00815D80">
        <w:rPr>
          <w:rFonts w:ascii="Arial" w:hAnsi="Arial"/>
        </w:rPr>
        <w:t xml:space="preserve"> court</w:t>
      </w:r>
      <w:r>
        <w:rPr>
          <w:rFonts w:ascii="Arial" w:hAnsi="Arial"/>
        </w:rPr>
        <w:t xml:space="preserve"> is accordingly entitled</w:t>
      </w:r>
      <w:r w:rsidR="00815D80">
        <w:rPr>
          <w:rFonts w:ascii="Arial" w:hAnsi="Arial"/>
        </w:rPr>
        <w:t xml:space="preserve"> to decide that aspect of the case on the version of the applicants.</w:t>
      </w:r>
      <w:r>
        <w:rPr>
          <w:rStyle w:val="FootnoteReference"/>
          <w:rFonts w:ascii="Arial" w:hAnsi="Arial"/>
        </w:rPr>
        <w:footnoteReference w:id="2"/>
      </w:r>
    </w:p>
    <w:p w14:paraId="7B3C8CEE" w14:textId="77777777" w:rsidR="00815D80" w:rsidRDefault="00815D80" w:rsidP="007A6DDB">
      <w:pPr>
        <w:spacing w:line="360" w:lineRule="auto"/>
        <w:jc w:val="both"/>
        <w:rPr>
          <w:rFonts w:ascii="Arial" w:hAnsi="Arial"/>
        </w:rPr>
      </w:pPr>
    </w:p>
    <w:p w14:paraId="213A7FD0" w14:textId="326104C4" w:rsidR="00FB4F31" w:rsidRDefault="003671E1" w:rsidP="007A6DDB">
      <w:pPr>
        <w:spacing w:line="360" w:lineRule="auto"/>
        <w:jc w:val="both"/>
        <w:rPr>
          <w:rFonts w:ascii="Arial" w:hAnsi="Arial"/>
        </w:rPr>
      </w:pPr>
      <w:r>
        <w:rPr>
          <w:rFonts w:ascii="Arial" w:hAnsi="Arial"/>
        </w:rPr>
        <w:t>[7</w:t>
      </w:r>
      <w:r w:rsidR="00FB4F31">
        <w:rPr>
          <w:rFonts w:ascii="Arial" w:hAnsi="Arial"/>
        </w:rPr>
        <w:t>]</w:t>
      </w:r>
      <w:r w:rsidR="00FB4F31">
        <w:rPr>
          <w:rFonts w:ascii="Arial" w:hAnsi="Arial"/>
        </w:rPr>
        <w:tab/>
        <w:t>From a reading of the papers, it would appear that the bone of contention giving rise to the present dispute, relates to the affiliation of the 1</w:t>
      </w:r>
      <w:r w:rsidR="00FB4F31" w:rsidRPr="00FB4F31">
        <w:rPr>
          <w:rFonts w:ascii="Arial" w:hAnsi="Arial"/>
          <w:vertAlign w:val="superscript"/>
        </w:rPr>
        <w:t>st</w:t>
      </w:r>
      <w:r w:rsidR="00FB4F31">
        <w:rPr>
          <w:rFonts w:ascii="Arial" w:hAnsi="Arial"/>
        </w:rPr>
        <w:t xml:space="preserve"> respondent to what I will refer as the founding church, which is headquartered in Bournemouth, England, to which the applicants appear to subscribe, and the respondents, who want nothing to do with the ‘white men’</w:t>
      </w:r>
      <w:r w:rsidR="001B7361">
        <w:rPr>
          <w:rFonts w:ascii="Arial" w:hAnsi="Arial"/>
        </w:rPr>
        <w:t xml:space="preserve"> from England, as it were</w:t>
      </w:r>
      <w:r w:rsidR="00FB4F31">
        <w:rPr>
          <w:rFonts w:ascii="Arial" w:hAnsi="Arial"/>
        </w:rPr>
        <w:t>.</w:t>
      </w:r>
    </w:p>
    <w:p w14:paraId="047B6ECD" w14:textId="77777777" w:rsidR="00FB4F31" w:rsidRDefault="00FB4F31" w:rsidP="007A6DDB">
      <w:pPr>
        <w:spacing w:line="360" w:lineRule="auto"/>
        <w:jc w:val="both"/>
        <w:rPr>
          <w:rFonts w:ascii="Arial" w:hAnsi="Arial"/>
        </w:rPr>
      </w:pPr>
    </w:p>
    <w:p w14:paraId="507697F8" w14:textId="65BC6A88" w:rsidR="00FB4F31" w:rsidRDefault="003671E1" w:rsidP="007A6DDB">
      <w:pPr>
        <w:spacing w:line="360" w:lineRule="auto"/>
        <w:jc w:val="both"/>
        <w:rPr>
          <w:rFonts w:ascii="Arial" w:hAnsi="Arial"/>
        </w:rPr>
      </w:pPr>
      <w:r>
        <w:rPr>
          <w:rFonts w:ascii="Arial" w:hAnsi="Arial"/>
        </w:rPr>
        <w:t>[8</w:t>
      </w:r>
      <w:r w:rsidR="00FB4F31">
        <w:rPr>
          <w:rFonts w:ascii="Arial" w:hAnsi="Arial"/>
        </w:rPr>
        <w:t>]</w:t>
      </w:r>
      <w:r w:rsidR="00FB4F31">
        <w:rPr>
          <w:rFonts w:ascii="Arial" w:hAnsi="Arial"/>
        </w:rPr>
        <w:tab/>
        <w:t>Without delving much into the intricacies of the matter, what will be seen is that the applicants have applied for an order winding up the 1</w:t>
      </w:r>
      <w:r w:rsidR="00FB4F31" w:rsidRPr="00FB4F31">
        <w:rPr>
          <w:rFonts w:ascii="Arial" w:hAnsi="Arial"/>
          <w:vertAlign w:val="superscript"/>
        </w:rPr>
        <w:t>st</w:t>
      </w:r>
      <w:r w:rsidR="00FB4F31">
        <w:rPr>
          <w:rFonts w:ascii="Arial" w:hAnsi="Arial"/>
        </w:rPr>
        <w:t xml:space="preserve"> respondent, which I must say, was not independently represented in the current proceedings and thus does not appear to have had a say as to the propriety or otherwise of granting the order.</w:t>
      </w:r>
    </w:p>
    <w:p w14:paraId="4AE6F9B2" w14:textId="77777777" w:rsidR="00FB4F31" w:rsidRDefault="00FB4F31" w:rsidP="007A6DDB">
      <w:pPr>
        <w:spacing w:line="360" w:lineRule="auto"/>
        <w:jc w:val="both"/>
        <w:rPr>
          <w:rFonts w:ascii="Arial" w:hAnsi="Arial"/>
        </w:rPr>
      </w:pPr>
    </w:p>
    <w:p w14:paraId="77A9E653" w14:textId="78D38C42" w:rsidR="00FB4F31" w:rsidRDefault="003671E1" w:rsidP="007A6DDB">
      <w:pPr>
        <w:spacing w:line="360" w:lineRule="auto"/>
        <w:jc w:val="both"/>
        <w:rPr>
          <w:rFonts w:ascii="Arial" w:hAnsi="Arial"/>
        </w:rPr>
      </w:pPr>
      <w:r>
        <w:rPr>
          <w:rFonts w:ascii="Arial" w:hAnsi="Arial"/>
        </w:rPr>
        <w:t>[9</w:t>
      </w:r>
      <w:r w:rsidR="00FB4F31">
        <w:rPr>
          <w:rFonts w:ascii="Arial" w:hAnsi="Arial"/>
        </w:rPr>
        <w:t>]</w:t>
      </w:r>
      <w:r w:rsidR="00FB4F31">
        <w:rPr>
          <w:rFonts w:ascii="Arial" w:hAnsi="Arial"/>
        </w:rPr>
        <w:tab/>
        <w:t>The applicants</w:t>
      </w:r>
      <w:r w:rsidR="00C24CF8">
        <w:rPr>
          <w:rFonts w:ascii="Arial" w:hAnsi="Arial"/>
        </w:rPr>
        <w:t>’</w:t>
      </w:r>
      <w:r w:rsidR="00FB4F31">
        <w:rPr>
          <w:rFonts w:ascii="Arial" w:hAnsi="Arial"/>
        </w:rPr>
        <w:t xml:space="preserve"> claim</w:t>
      </w:r>
      <w:r w:rsidR="00C24CF8">
        <w:rPr>
          <w:rFonts w:ascii="Arial" w:hAnsi="Arial"/>
        </w:rPr>
        <w:t>, as stated above,</w:t>
      </w:r>
      <w:r w:rsidR="00FB4F31">
        <w:rPr>
          <w:rFonts w:ascii="Arial" w:hAnsi="Arial"/>
        </w:rPr>
        <w:t xml:space="preserve"> that there is a deadlock in the management of the 1</w:t>
      </w:r>
      <w:r w:rsidR="00FB4F31" w:rsidRPr="00FB4F31">
        <w:rPr>
          <w:rFonts w:ascii="Arial" w:hAnsi="Arial"/>
          <w:vertAlign w:val="superscript"/>
        </w:rPr>
        <w:t>st</w:t>
      </w:r>
      <w:r w:rsidR="00FB4F31">
        <w:rPr>
          <w:rFonts w:ascii="Arial" w:hAnsi="Arial"/>
        </w:rPr>
        <w:t xml:space="preserve"> respondent, thus giving rise to a need, in the circumstances, to wind up the respondent. The question is whether the applicants are correct in that regard. In their papers and brief heads of argument, the respondents adopt a totally different posture on the case</w:t>
      </w:r>
      <w:r w:rsidR="00C24CF8">
        <w:rPr>
          <w:rFonts w:ascii="Arial" w:hAnsi="Arial"/>
        </w:rPr>
        <w:t>, as would be expected, given the deep fissures apparent from the issues raised in the dispute</w:t>
      </w:r>
      <w:r w:rsidR="00FB4F31">
        <w:rPr>
          <w:rFonts w:ascii="Arial" w:hAnsi="Arial"/>
        </w:rPr>
        <w:t>.</w:t>
      </w:r>
    </w:p>
    <w:p w14:paraId="354030D9" w14:textId="77777777" w:rsidR="00FB4F31" w:rsidRDefault="00FB4F31" w:rsidP="007A6DDB">
      <w:pPr>
        <w:spacing w:line="360" w:lineRule="auto"/>
        <w:jc w:val="both"/>
        <w:rPr>
          <w:rFonts w:ascii="Arial" w:hAnsi="Arial"/>
        </w:rPr>
      </w:pPr>
    </w:p>
    <w:p w14:paraId="19EFD1AA" w14:textId="58A5F6F9" w:rsidR="00FB4F31" w:rsidRDefault="003671E1" w:rsidP="007A6DDB">
      <w:pPr>
        <w:spacing w:line="360" w:lineRule="auto"/>
        <w:jc w:val="both"/>
        <w:rPr>
          <w:rFonts w:ascii="Arial" w:hAnsi="Arial"/>
        </w:rPr>
      </w:pPr>
      <w:r>
        <w:rPr>
          <w:rFonts w:ascii="Arial" w:hAnsi="Arial"/>
        </w:rPr>
        <w:t>[10</w:t>
      </w:r>
      <w:r w:rsidR="00C24CF8">
        <w:rPr>
          <w:rFonts w:ascii="Arial" w:hAnsi="Arial"/>
        </w:rPr>
        <w:t>]</w:t>
      </w:r>
      <w:r w:rsidR="00C24CF8">
        <w:rPr>
          <w:rFonts w:ascii="Arial" w:hAnsi="Arial"/>
        </w:rPr>
        <w:tab/>
        <w:t>In the first place, the respondents</w:t>
      </w:r>
      <w:r w:rsidR="00FB4F31">
        <w:rPr>
          <w:rFonts w:ascii="Arial" w:hAnsi="Arial"/>
        </w:rPr>
        <w:t xml:space="preserve"> argue that this is not a proper case in which the court should grant the order sought. Firstly, they argue that it is not clear from the papers, if there is indeed a deadlock, which they deny, whether same is in relation to the management of the 1</w:t>
      </w:r>
      <w:r w:rsidR="00FB4F31" w:rsidRPr="00FB4F31">
        <w:rPr>
          <w:rFonts w:ascii="Arial" w:hAnsi="Arial"/>
          <w:vertAlign w:val="superscript"/>
        </w:rPr>
        <w:t>st</w:t>
      </w:r>
      <w:r w:rsidR="00FB4F31">
        <w:rPr>
          <w:rFonts w:ascii="Arial" w:hAnsi="Arial"/>
        </w:rPr>
        <w:t xml:space="preserve"> respondent or in the general meeting of the 1</w:t>
      </w:r>
      <w:r w:rsidR="00FB4F31" w:rsidRPr="00FB4F31">
        <w:rPr>
          <w:rFonts w:ascii="Arial" w:hAnsi="Arial"/>
          <w:vertAlign w:val="superscript"/>
        </w:rPr>
        <w:t>st</w:t>
      </w:r>
      <w:r w:rsidR="00FB4F31">
        <w:rPr>
          <w:rFonts w:ascii="Arial" w:hAnsi="Arial"/>
        </w:rPr>
        <w:t xml:space="preserve"> respondent.</w:t>
      </w:r>
    </w:p>
    <w:p w14:paraId="5D5171FE" w14:textId="77777777" w:rsidR="006268AF" w:rsidRDefault="006268AF" w:rsidP="007A6DDB">
      <w:pPr>
        <w:spacing w:line="360" w:lineRule="auto"/>
        <w:jc w:val="both"/>
        <w:rPr>
          <w:rFonts w:ascii="Arial" w:hAnsi="Arial"/>
        </w:rPr>
      </w:pPr>
    </w:p>
    <w:p w14:paraId="5E64B686" w14:textId="1CEC1595" w:rsidR="00FB4F31" w:rsidRDefault="003671E1" w:rsidP="007A6DDB">
      <w:pPr>
        <w:spacing w:line="360" w:lineRule="auto"/>
        <w:jc w:val="both"/>
        <w:rPr>
          <w:rFonts w:ascii="Arial" w:hAnsi="Arial"/>
        </w:rPr>
      </w:pPr>
      <w:r>
        <w:rPr>
          <w:rFonts w:ascii="Arial" w:hAnsi="Arial"/>
        </w:rPr>
        <w:t>[11</w:t>
      </w:r>
      <w:r w:rsidR="00FB4F31">
        <w:rPr>
          <w:rFonts w:ascii="Arial" w:hAnsi="Arial"/>
        </w:rPr>
        <w:t>]</w:t>
      </w:r>
      <w:r w:rsidR="00FB4F31">
        <w:rPr>
          <w:rFonts w:ascii="Arial" w:hAnsi="Arial"/>
        </w:rPr>
        <w:tab/>
        <w:t>The respondents further argue that in the event the court finds that there is in any event a deadlock, as alleged by the applicants, this is not a proper case for the grant of the winding up order, having regard to the 1</w:t>
      </w:r>
      <w:r w:rsidR="00FB4F31" w:rsidRPr="00FB4F31">
        <w:rPr>
          <w:rFonts w:ascii="Arial" w:hAnsi="Arial"/>
          <w:vertAlign w:val="superscript"/>
        </w:rPr>
        <w:t>st</w:t>
      </w:r>
      <w:r w:rsidR="00FB4F31">
        <w:rPr>
          <w:rFonts w:ascii="Arial" w:hAnsi="Arial"/>
        </w:rPr>
        <w:t xml:space="preserve"> respondent and its core business, so to speak. The respondents further contend that even if the deadlock exists, as alleged, the court should not close its eyes to the fact th</w:t>
      </w:r>
      <w:r w:rsidR="00C24CF8">
        <w:rPr>
          <w:rFonts w:ascii="Arial" w:hAnsi="Arial"/>
        </w:rPr>
        <w:t>at this is a case amply grounded in</w:t>
      </w:r>
      <w:r w:rsidR="00FB4F31">
        <w:rPr>
          <w:rFonts w:ascii="Arial" w:hAnsi="Arial"/>
        </w:rPr>
        <w:t xml:space="preserve"> ecumenical underpinnings and </w:t>
      </w:r>
      <w:r w:rsidR="00C24CF8">
        <w:rPr>
          <w:rFonts w:ascii="Arial" w:hAnsi="Arial"/>
        </w:rPr>
        <w:t xml:space="preserve">which </w:t>
      </w:r>
      <w:r w:rsidR="00FB4F31">
        <w:rPr>
          <w:rFonts w:ascii="Arial" w:hAnsi="Arial"/>
        </w:rPr>
        <w:t xml:space="preserve">might lead to the court deciding ecclesiastical issues through the backdoor, as it were.   </w:t>
      </w:r>
    </w:p>
    <w:p w14:paraId="53E42CD2" w14:textId="77777777" w:rsidR="00FB4F31" w:rsidRDefault="00FB4F31" w:rsidP="007A6DDB">
      <w:pPr>
        <w:spacing w:line="360" w:lineRule="auto"/>
        <w:jc w:val="both"/>
        <w:rPr>
          <w:rFonts w:ascii="Arial" w:hAnsi="Arial"/>
        </w:rPr>
      </w:pPr>
    </w:p>
    <w:p w14:paraId="73984E6D" w14:textId="55D65334" w:rsidR="00FB4F31" w:rsidRDefault="003671E1" w:rsidP="007A6DDB">
      <w:pPr>
        <w:spacing w:line="360" w:lineRule="auto"/>
        <w:jc w:val="both"/>
        <w:rPr>
          <w:rFonts w:ascii="Arial" w:hAnsi="Arial"/>
        </w:rPr>
      </w:pPr>
      <w:r>
        <w:rPr>
          <w:rFonts w:ascii="Arial" w:hAnsi="Arial"/>
        </w:rPr>
        <w:t>[12</w:t>
      </w:r>
      <w:r w:rsidR="00FB4F31">
        <w:rPr>
          <w:rFonts w:ascii="Arial" w:hAnsi="Arial"/>
        </w:rPr>
        <w:t>]</w:t>
      </w:r>
      <w:r w:rsidR="00FB4F31">
        <w:rPr>
          <w:rFonts w:ascii="Arial" w:hAnsi="Arial"/>
        </w:rPr>
        <w:tab/>
        <w:t xml:space="preserve">In order to decide this matter, it is pertinent to first have regard to the </w:t>
      </w:r>
      <w:r w:rsidR="009B782F">
        <w:rPr>
          <w:rFonts w:ascii="Arial" w:hAnsi="Arial"/>
        </w:rPr>
        <w:t>law, which</w:t>
      </w:r>
      <w:r w:rsidR="00FB4F31">
        <w:rPr>
          <w:rFonts w:ascii="Arial" w:hAnsi="Arial"/>
        </w:rPr>
        <w:t xml:space="preserve"> governs the application in question. </w:t>
      </w:r>
      <w:r w:rsidR="005B11E7">
        <w:rPr>
          <w:rFonts w:ascii="Arial" w:hAnsi="Arial"/>
        </w:rPr>
        <w:t>Section 349(</w:t>
      </w:r>
      <w:r w:rsidR="005B11E7">
        <w:rPr>
          <w:rFonts w:ascii="Arial" w:hAnsi="Arial"/>
          <w:i/>
        </w:rPr>
        <w:t>h</w:t>
      </w:r>
      <w:r w:rsidR="005B11E7">
        <w:rPr>
          <w:rFonts w:ascii="Arial" w:hAnsi="Arial"/>
        </w:rPr>
        <w:t>) of the Companies Act, pro</w:t>
      </w:r>
      <w:r w:rsidR="006268AF">
        <w:rPr>
          <w:rFonts w:ascii="Arial" w:hAnsi="Arial"/>
        </w:rPr>
        <w:t>vides that a company may be woun</w:t>
      </w:r>
      <w:r w:rsidR="005B11E7">
        <w:rPr>
          <w:rFonts w:ascii="Arial" w:hAnsi="Arial"/>
        </w:rPr>
        <w:t>d up if it appears to the court that it is just and equitable to do so.</w:t>
      </w:r>
    </w:p>
    <w:p w14:paraId="01FBF7D4" w14:textId="77777777" w:rsidR="005B11E7" w:rsidRDefault="005B11E7" w:rsidP="007A6DDB">
      <w:pPr>
        <w:spacing w:line="360" w:lineRule="auto"/>
        <w:jc w:val="both"/>
        <w:rPr>
          <w:rFonts w:ascii="Arial" w:hAnsi="Arial"/>
        </w:rPr>
      </w:pPr>
    </w:p>
    <w:p w14:paraId="6BA66799" w14:textId="3C9D5E75" w:rsidR="005B11E7" w:rsidRDefault="003671E1" w:rsidP="007A6DDB">
      <w:pPr>
        <w:spacing w:line="360" w:lineRule="auto"/>
        <w:jc w:val="both"/>
        <w:rPr>
          <w:rFonts w:ascii="Arial" w:hAnsi="Arial"/>
        </w:rPr>
      </w:pPr>
      <w:r>
        <w:rPr>
          <w:rFonts w:ascii="Arial" w:hAnsi="Arial"/>
        </w:rPr>
        <w:t>[13</w:t>
      </w:r>
      <w:r w:rsidR="005B11E7">
        <w:rPr>
          <w:rFonts w:ascii="Arial" w:hAnsi="Arial"/>
        </w:rPr>
        <w:t>]</w:t>
      </w:r>
      <w:r w:rsidR="005B11E7">
        <w:rPr>
          <w:rFonts w:ascii="Arial" w:hAnsi="Arial"/>
        </w:rPr>
        <w:tab/>
        <w:t>The circumstances in which the court can exercise the powers confe</w:t>
      </w:r>
      <w:r w:rsidR="00E6206D">
        <w:rPr>
          <w:rFonts w:ascii="Arial" w:hAnsi="Arial"/>
        </w:rPr>
        <w:t>rred by the above provision, have</w:t>
      </w:r>
      <w:r w:rsidR="005B11E7">
        <w:rPr>
          <w:rFonts w:ascii="Arial" w:hAnsi="Arial"/>
        </w:rPr>
        <w:t xml:space="preserve"> been the subject of determination by this court in </w:t>
      </w:r>
      <w:r w:rsidR="005B11E7">
        <w:rPr>
          <w:rFonts w:ascii="Arial" w:hAnsi="Arial"/>
          <w:i/>
        </w:rPr>
        <w:lastRenderedPageBreak/>
        <w:t>Bank of Namibia v Small and Medium Enterprises Bank Ltd.</w:t>
      </w:r>
      <w:r w:rsidR="005B11E7">
        <w:rPr>
          <w:rStyle w:val="FootnoteReference"/>
          <w:rFonts w:ascii="Arial" w:hAnsi="Arial"/>
          <w:i/>
        </w:rPr>
        <w:footnoteReference w:id="3"/>
      </w:r>
      <w:r w:rsidR="005B11E7">
        <w:rPr>
          <w:rFonts w:ascii="Arial" w:hAnsi="Arial"/>
          <w:i/>
        </w:rPr>
        <w:t xml:space="preserve"> </w:t>
      </w:r>
      <w:r w:rsidR="005B11E7">
        <w:rPr>
          <w:rFonts w:ascii="Arial" w:hAnsi="Arial"/>
        </w:rPr>
        <w:t>In that case, Prinsloo J held as follows:</w:t>
      </w:r>
    </w:p>
    <w:p w14:paraId="5009C0B7" w14:textId="354C84CB" w:rsidR="005B11E7" w:rsidRDefault="005B11E7" w:rsidP="007A6DDB">
      <w:pPr>
        <w:spacing w:line="360" w:lineRule="auto"/>
        <w:jc w:val="both"/>
        <w:rPr>
          <w:rFonts w:ascii="Arial" w:hAnsi="Arial"/>
          <w:sz w:val="22"/>
          <w:szCs w:val="22"/>
        </w:rPr>
      </w:pPr>
      <w:r>
        <w:rPr>
          <w:rFonts w:ascii="Arial" w:hAnsi="Arial"/>
        </w:rPr>
        <w:tab/>
        <w:t>’</w:t>
      </w:r>
      <w:r>
        <w:rPr>
          <w:rFonts w:ascii="Arial" w:hAnsi="Arial"/>
          <w:sz w:val="22"/>
          <w:szCs w:val="22"/>
        </w:rPr>
        <w:t>[38] This subsection, unlike the preceding subparagraphs of s 349, postulates not facts but only a broad conclusion of law, justice and equity as a ground for winding up.</w:t>
      </w:r>
    </w:p>
    <w:p w14:paraId="1756A8BA" w14:textId="77777777" w:rsidR="00C24CF8" w:rsidRDefault="00C24CF8" w:rsidP="007A6DDB">
      <w:pPr>
        <w:spacing w:line="360" w:lineRule="auto"/>
        <w:jc w:val="both"/>
        <w:rPr>
          <w:rFonts w:ascii="Arial" w:hAnsi="Arial"/>
          <w:sz w:val="22"/>
          <w:szCs w:val="22"/>
        </w:rPr>
      </w:pPr>
    </w:p>
    <w:p w14:paraId="7293A083" w14:textId="2FDA6182" w:rsidR="00C24CF8" w:rsidRPr="00C24CF8" w:rsidRDefault="00C24CF8" w:rsidP="007A6DDB">
      <w:pPr>
        <w:spacing w:line="360" w:lineRule="auto"/>
        <w:jc w:val="both"/>
        <w:rPr>
          <w:rFonts w:ascii="Arial" w:hAnsi="Arial"/>
        </w:rPr>
      </w:pPr>
      <w:r>
        <w:rPr>
          <w:rFonts w:ascii="Arial" w:hAnsi="Arial"/>
        </w:rPr>
        <w:t>[14]</w:t>
      </w:r>
      <w:r>
        <w:rPr>
          <w:rFonts w:ascii="Arial" w:hAnsi="Arial"/>
        </w:rPr>
        <w:tab/>
        <w:t>At para 39 and [41], respectively, the learned Judge continued to say the following:</w:t>
      </w:r>
    </w:p>
    <w:p w14:paraId="538F3FE1" w14:textId="77777777" w:rsidR="005B11E7" w:rsidRDefault="005B11E7" w:rsidP="007A6DDB">
      <w:pPr>
        <w:spacing w:line="360" w:lineRule="auto"/>
        <w:jc w:val="both"/>
        <w:rPr>
          <w:rFonts w:ascii="Arial" w:hAnsi="Arial"/>
          <w:sz w:val="22"/>
          <w:szCs w:val="22"/>
        </w:rPr>
      </w:pPr>
    </w:p>
    <w:p w14:paraId="3992764D" w14:textId="36572ECD" w:rsidR="005B11E7" w:rsidRDefault="00C24CF8" w:rsidP="00C24CF8">
      <w:pPr>
        <w:spacing w:line="360" w:lineRule="auto"/>
        <w:ind w:firstLine="720"/>
        <w:jc w:val="both"/>
        <w:rPr>
          <w:rFonts w:ascii="Arial" w:hAnsi="Arial"/>
          <w:sz w:val="22"/>
          <w:szCs w:val="22"/>
        </w:rPr>
      </w:pPr>
      <w:r>
        <w:rPr>
          <w:rFonts w:ascii="Arial" w:hAnsi="Arial"/>
          <w:sz w:val="22"/>
          <w:szCs w:val="22"/>
        </w:rPr>
        <w:t>‘[</w:t>
      </w:r>
      <w:r w:rsidR="003671E1">
        <w:rPr>
          <w:rFonts w:ascii="Arial" w:hAnsi="Arial"/>
          <w:sz w:val="22"/>
          <w:szCs w:val="22"/>
        </w:rPr>
        <w:t>39] In</w:t>
      </w:r>
      <w:r w:rsidR="005B11E7">
        <w:rPr>
          <w:rFonts w:ascii="Arial" w:hAnsi="Arial"/>
          <w:sz w:val="22"/>
          <w:szCs w:val="22"/>
        </w:rPr>
        <w:t xml:space="preserve"> the matter of </w:t>
      </w:r>
      <w:r w:rsidR="005B11E7">
        <w:rPr>
          <w:rFonts w:ascii="Arial" w:hAnsi="Arial"/>
          <w:i/>
          <w:sz w:val="22"/>
          <w:szCs w:val="22"/>
        </w:rPr>
        <w:t xml:space="preserve">Moosa </w:t>
      </w:r>
      <w:r w:rsidR="005B11E7">
        <w:rPr>
          <w:rFonts w:ascii="Arial" w:hAnsi="Arial"/>
          <w:b/>
          <w:i/>
          <w:sz w:val="22"/>
          <w:szCs w:val="22"/>
        </w:rPr>
        <w:t xml:space="preserve">N O </w:t>
      </w:r>
      <w:r w:rsidR="005B11E7">
        <w:rPr>
          <w:rFonts w:ascii="Arial" w:hAnsi="Arial"/>
          <w:i/>
          <w:sz w:val="22"/>
          <w:szCs w:val="22"/>
        </w:rPr>
        <w:t xml:space="preserve">v Mavjee Bhawan (Pty) Ltd and Another, </w:t>
      </w:r>
      <w:r w:rsidR="005B11E7">
        <w:rPr>
          <w:rFonts w:ascii="Arial" w:hAnsi="Arial"/>
          <w:sz w:val="22"/>
          <w:szCs w:val="22"/>
        </w:rPr>
        <w:t>Trollip J while inter</w:t>
      </w:r>
      <w:r w:rsidR="00E6206D">
        <w:rPr>
          <w:rFonts w:ascii="Arial" w:hAnsi="Arial"/>
          <w:sz w:val="22"/>
          <w:szCs w:val="22"/>
        </w:rPr>
        <w:t>pr</w:t>
      </w:r>
      <w:r w:rsidR="005B11E7">
        <w:rPr>
          <w:rFonts w:ascii="Arial" w:hAnsi="Arial"/>
          <w:sz w:val="22"/>
          <w:szCs w:val="22"/>
        </w:rPr>
        <w:t>eting the ‘just and equitable’ ground said:</w:t>
      </w:r>
    </w:p>
    <w:p w14:paraId="53F6181A" w14:textId="0AC27E82" w:rsidR="00E6206D" w:rsidRDefault="00E6206D" w:rsidP="007A6DDB">
      <w:pPr>
        <w:spacing w:line="360" w:lineRule="auto"/>
        <w:jc w:val="both"/>
        <w:rPr>
          <w:rFonts w:ascii="Arial" w:hAnsi="Arial"/>
          <w:sz w:val="22"/>
          <w:szCs w:val="22"/>
        </w:rPr>
      </w:pPr>
      <w:r>
        <w:rPr>
          <w:rFonts w:ascii="Arial" w:hAnsi="Arial"/>
          <w:sz w:val="22"/>
          <w:szCs w:val="22"/>
        </w:rPr>
        <w:t>“The ground relied upon for a final winding-up order is that . . . it is ‘just and equitable’ that the company should be wound up. That paragraph . . . postulates not facts but a broad conclusion of law, jus</w:t>
      </w:r>
      <w:r w:rsidR="006268AF">
        <w:rPr>
          <w:rFonts w:ascii="Arial" w:hAnsi="Arial"/>
          <w:sz w:val="22"/>
          <w:szCs w:val="22"/>
        </w:rPr>
        <w:t>tice and equity, as a ground for</w:t>
      </w:r>
      <w:r>
        <w:rPr>
          <w:rFonts w:ascii="Arial" w:hAnsi="Arial"/>
          <w:sz w:val="22"/>
          <w:szCs w:val="22"/>
        </w:rPr>
        <w:t xml:space="preserve"> winding up . . . In its terms and effect, therefore, [it] confers upon the Court a very wide discretionary power, the only limitation originally being that it had to be exercised judicially with due regard to the justice and equity of the competing interests of all concerned.”  . . .</w:t>
      </w:r>
    </w:p>
    <w:p w14:paraId="7B82EFF4" w14:textId="77777777" w:rsidR="00E6206D" w:rsidRDefault="00E6206D" w:rsidP="007A6DDB">
      <w:pPr>
        <w:spacing w:line="360" w:lineRule="auto"/>
        <w:jc w:val="both"/>
        <w:rPr>
          <w:rFonts w:ascii="Arial" w:hAnsi="Arial"/>
          <w:sz w:val="22"/>
          <w:szCs w:val="22"/>
        </w:rPr>
      </w:pPr>
    </w:p>
    <w:p w14:paraId="4B147B22" w14:textId="1C7666E6" w:rsidR="00E6206D" w:rsidRDefault="00E6206D" w:rsidP="007A6DDB">
      <w:pPr>
        <w:spacing w:line="360" w:lineRule="auto"/>
        <w:jc w:val="both"/>
        <w:rPr>
          <w:rFonts w:ascii="Arial" w:hAnsi="Arial"/>
          <w:sz w:val="22"/>
          <w:szCs w:val="22"/>
        </w:rPr>
      </w:pPr>
      <w:r>
        <w:rPr>
          <w:rFonts w:ascii="Arial" w:hAnsi="Arial"/>
          <w:sz w:val="22"/>
          <w:szCs w:val="22"/>
        </w:rPr>
        <w:t>[41] The courts have proposed five categories of circumstances in which it would be prima facie be just and equitable to wind up a company under the provision:</w:t>
      </w:r>
    </w:p>
    <w:p w14:paraId="67ED7A36" w14:textId="36C083B9" w:rsidR="00E6206D" w:rsidRDefault="00E6206D" w:rsidP="007A6DDB">
      <w:pPr>
        <w:spacing w:line="360" w:lineRule="auto"/>
        <w:jc w:val="both"/>
        <w:rPr>
          <w:rFonts w:ascii="Arial" w:hAnsi="Arial"/>
          <w:sz w:val="22"/>
          <w:szCs w:val="22"/>
        </w:rPr>
      </w:pPr>
      <w:r>
        <w:rPr>
          <w:rFonts w:ascii="Arial" w:hAnsi="Arial"/>
          <w:sz w:val="22"/>
          <w:szCs w:val="22"/>
        </w:rPr>
        <w:t>(1) Disappearance of its substratum;</w:t>
      </w:r>
    </w:p>
    <w:p w14:paraId="3FA77F61" w14:textId="7759AF8B" w:rsidR="00E6206D" w:rsidRDefault="00E6206D" w:rsidP="007A6DDB">
      <w:pPr>
        <w:spacing w:line="360" w:lineRule="auto"/>
        <w:jc w:val="both"/>
        <w:rPr>
          <w:rFonts w:ascii="Arial" w:hAnsi="Arial"/>
          <w:sz w:val="22"/>
          <w:szCs w:val="22"/>
        </w:rPr>
      </w:pPr>
      <w:r>
        <w:rPr>
          <w:rFonts w:ascii="Arial" w:hAnsi="Arial"/>
          <w:sz w:val="22"/>
          <w:szCs w:val="22"/>
        </w:rPr>
        <w:t>(2) Illegality of its objects and if it has a fraudulent purpose;</w:t>
      </w:r>
    </w:p>
    <w:p w14:paraId="5A31C55B" w14:textId="5D31DC6F" w:rsidR="00E6206D" w:rsidRDefault="00E6206D" w:rsidP="007A6DDB">
      <w:pPr>
        <w:spacing w:line="360" w:lineRule="auto"/>
        <w:jc w:val="both"/>
        <w:rPr>
          <w:rFonts w:ascii="Arial" w:hAnsi="Arial"/>
          <w:sz w:val="22"/>
          <w:szCs w:val="22"/>
        </w:rPr>
      </w:pPr>
      <w:r>
        <w:rPr>
          <w:rFonts w:ascii="Arial" w:hAnsi="Arial"/>
          <w:sz w:val="22"/>
          <w:szCs w:val="22"/>
        </w:rPr>
        <w:t>(3) fraud, misconduct and oppression’</w:t>
      </w:r>
    </w:p>
    <w:p w14:paraId="5CE27559" w14:textId="443E249B" w:rsidR="00E6206D" w:rsidRDefault="00E6206D" w:rsidP="007A6DDB">
      <w:pPr>
        <w:spacing w:line="360" w:lineRule="auto"/>
        <w:jc w:val="both"/>
        <w:rPr>
          <w:rFonts w:ascii="Arial" w:hAnsi="Arial"/>
          <w:sz w:val="22"/>
          <w:szCs w:val="22"/>
        </w:rPr>
      </w:pPr>
      <w:r>
        <w:rPr>
          <w:rFonts w:ascii="Arial" w:hAnsi="Arial"/>
          <w:sz w:val="22"/>
          <w:szCs w:val="22"/>
        </w:rPr>
        <w:t>(4) deadlock in its administration; and</w:t>
      </w:r>
    </w:p>
    <w:p w14:paraId="76BCCE2A" w14:textId="470F68B0" w:rsidR="00E6206D" w:rsidRDefault="00E6206D" w:rsidP="007A6DDB">
      <w:pPr>
        <w:spacing w:line="360" w:lineRule="auto"/>
        <w:jc w:val="both"/>
        <w:rPr>
          <w:rFonts w:ascii="Arial" w:hAnsi="Arial"/>
          <w:sz w:val="22"/>
          <w:szCs w:val="22"/>
        </w:rPr>
      </w:pPr>
      <w:r>
        <w:rPr>
          <w:rFonts w:ascii="Arial" w:hAnsi="Arial"/>
          <w:sz w:val="22"/>
          <w:szCs w:val="22"/>
        </w:rPr>
        <w:t>(5) irretrievable breakdown in the relationship between the shareholders of a domestic company’</w:t>
      </w:r>
    </w:p>
    <w:p w14:paraId="3E19B6B4" w14:textId="77777777" w:rsidR="00E6206D" w:rsidRDefault="00E6206D" w:rsidP="007A6DDB">
      <w:pPr>
        <w:spacing w:line="360" w:lineRule="auto"/>
        <w:jc w:val="both"/>
        <w:rPr>
          <w:rFonts w:ascii="Arial" w:hAnsi="Arial"/>
          <w:sz w:val="22"/>
          <w:szCs w:val="22"/>
        </w:rPr>
      </w:pPr>
    </w:p>
    <w:p w14:paraId="4098E004" w14:textId="77777777" w:rsidR="003438DD" w:rsidRDefault="003671E1" w:rsidP="007A6DDB">
      <w:pPr>
        <w:spacing w:line="360" w:lineRule="auto"/>
        <w:jc w:val="both"/>
        <w:rPr>
          <w:rFonts w:ascii="Arial" w:hAnsi="Arial"/>
        </w:rPr>
      </w:pPr>
      <w:r>
        <w:rPr>
          <w:rFonts w:ascii="Arial" w:hAnsi="Arial"/>
        </w:rPr>
        <w:t>[15</w:t>
      </w:r>
      <w:r w:rsidR="00FB4DC0">
        <w:rPr>
          <w:rFonts w:ascii="Arial" w:hAnsi="Arial"/>
        </w:rPr>
        <w:t>]</w:t>
      </w:r>
      <w:r w:rsidR="00FB4DC0">
        <w:rPr>
          <w:rFonts w:ascii="Arial" w:hAnsi="Arial"/>
        </w:rPr>
        <w:tab/>
        <w:t>The upshot of the law stated above, is that in determining whether a case for winding up on the grounds of the just and equitable rule</w:t>
      </w:r>
      <w:r w:rsidR="00C24CF8">
        <w:rPr>
          <w:rFonts w:ascii="Arial" w:hAnsi="Arial"/>
        </w:rPr>
        <w:t xml:space="preserve"> has been made</w:t>
      </w:r>
      <w:r w:rsidR="00FB4DC0">
        <w:rPr>
          <w:rFonts w:ascii="Arial" w:hAnsi="Arial"/>
        </w:rPr>
        <w:t>, the court needs to look at the matter before it holistically and then make a judgment, not just from the facts</w:t>
      </w:r>
      <w:r w:rsidR="00C24CF8">
        <w:rPr>
          <w:rFonts w:ascii="Arial" w:hAnsi="Arial"/>
        </w:rPr>
        <w:t xml:space="preserve"> proved, or apparent, but</w:t>
      </w:r>
      <w:r w:rsidR="00FB4DC0">
        <w:rPr>
          <w:rFonts w:ascii="Arial" w:hAnsi="Arial"/>
        </w:rPr>
        <w:t xml:space="preserve"> the court </w:t>
      </w:r>
      <w:r w:rsidR="00C24CF8">
        <w:rPr>
          <w:rFonts w:ascii="Arial" w:hAnsi="Arial"/>
        </w:rPr>
        <w:t>should descend partake</w:t>
      </w:r>
      <w:r w:rsidR="00FB4DC0">
        <w:rPr>
          <w:rFonts w:ascii="Arial" w:hAnsi="Arial"/>
        </w:rPr>
        <w:t xml:space="preserve"> from the reservoirs of </w:t>
      </w:r>
      <w:r w:rsidR="00C24CF8">
        <w:rPr>
          <w:rFonts w:ascii="Arial" w:hAnsi="Arial"/>
        </w:rPr>
        <w:t xml:space="preserve">the law, </w:t>
      </w:r>
      <w:r w:rsidR="00FB4DC0">
        <w:rPr>
          <w:rFonts w:ascii="Arial" w:hAnsi="Arial"/>
        </w:rPr>
        <w:t xml:space="preserve">equity, justice and fairness, </w:t>
      </w:r>
      <w:r w:rsidR="00C24CF8">
        <w:rPr>
          <w:rFonts w:ascii="Arial" w:hAnsi="Arial"/>
        </w:rPr>
        <w:t xml:space="preserve">and then establish </w:t>
      </w:r>
      <w:r w:rsidR="00FB4DC0">
        <w:rPr>
          <w:rFonts w:ascii="Arial" w:hAnsi="Arial"/>
        </w:rPr>
        <w:t xml:space="preserve">whether the case before court is one which resonates with an order for winding up. </w:t>
      </w:r>
    </w:p>
    <w:p w14:paraId="20FF323E" w14:textId="77777777" w:rsidR="003438DD" w:rsidRDefault="003438DD" w:rsidP="007A6DDB">
      <w:pPr>
        <w:spacing w:line="360" w:lineRule="auto"/>
        <w:jc w:val="both"/>
        <w:rPr>
          <w:rFonts w:ascii="Arial" w:hAnsi="Arial"/>
        </w:rPr>
      </w:pPr>
    </w:p>
    <w:p w14:paraId="39CDF176" w14:textId="79373BB4" w:rsidR="00FB4DC0" w:rsidRDefault="003438DD" w:rsidP="007A6DDB">
      <w:pPr>
        <w:spacing w:line="360" w:lineRule="auto"/>
        <w:jc w:val="both"/>
        <w:rPr>
          <w:rFonts w:ascii="Arial" w:hAnsi="Arial"/>
        </w:rPr>
      </w:pPr>
      <w:r>
        <w:rPr>
          <w:rFonts w:ascii="Arial" w:hAnsi="Arial"/>
        </w:rPr>
        <w:t>[16]</w:t>
      </w:r>
      <w:r>
        <w:rPr>
          <w:rFonts w:ascii="Arial" w:hAnsi="Arial"/>
        </w:rPr>
        <w:tab/>
      </w:r>
      <w:r w:rsidR="00FB4DC0">
        <w:rPr>
          <w:rFonts w:ascii="Arial" w:hAnsi="Arial"/>
        </w:rPr>
        <w:t>In this regard, the court, as in many other matters, exercises a discretion that must be judicially and judiciously exercised, taking into account the peculiar circumstances of that case. There is no one size-fits-all approach to this enquiry.</w:t>
      </w:r>
    </w:p>
    <w:p w14:paraId="56FA57A8" w14:textId="77777777" w:rsidR="003438DD" w:rsidRDefault="003438DD" w:rsidP="007A6DDB">
      <w:pPr>
        <w:spacing w:line="360" w:lineRule="auto"/>
        <w:jc w:val="both"/>
        <w:rPr>
          <w:rFonts w:ascii="Arial" w:hAnsi="Arial"/>
        </w:rPr>
      </w:pPr>
    </w:p>
    <w:p w14:paraId="7050318C" w14:textId="2B27099A" w:rsidR="00FB4DC0" w:rsidRDefault="003438DD" w:rsidP="007A6DDB">
      <w:pPr>
        <w:spacing w:line="360" w:lineRule="auto"/>
        <w:jc w:val="both"/>
        <w:rPr>
          <w:rFonts w:ascii="Arial" w:hAnsi="Arial"/>
        </w:rPr>
      </w:pPr>
      <w:r>
        <w:rPr>
          <w:rFonts w:ascii="Arial" w:hAnsi="Arial"/>
        </w:rPr>
        <w:t>[17</w:t>
      </w:r>
      <w:r w:rsidR="00FB4DC0">
        <w:rPr>
          <w:rFonts w:ascii="Arial" w:hAnsi="Arial"/>
        </w:rPr>
        <w:t>]</w:t>
      </w:r>
      <w:r w:rsidR="00FB4DC0">
        <w:rPr>
          <w:rFonts w:ascii="Arial" w:hAnsi="Arial"/>
        </w:rPr>
        <w:tab/>
        <w:t>At para 59 of the founding affidavit, the 1</w:t>
      </w:r>
      <w:r w:rsidR="00FB4DC0" w:rsidRPr="00FB4DC0">
        <w:rPr>
          <w:rFonts w:ascii="Arial" w:hAnsi="Arial"/>
          <w:vertAlign w:val="superscript"/>
        </w:rPr>
        <w:t>st</w:t>
      </w:r>
      <w:r w:rsidR="00FB4DC0">
        <w:rPr>
          <w:rFonts w:ascii="Arial" w:hAnsi="Arial"/>
        </w:rPr>
        <w:t xml:space="preserve"> applicant states the following regarding the deadlock:</w:t>
      </w:r>
    </w:p>
    <w:p w14:paraId="74A475EF" w14:textId="77777777" w:rsidR="00FB4DC0" w:rsidRDefault="00FB4DC0" w:rsidP="007A6DDB">
      <w:pPr>
        <w:spacing w:line="360" w:lineRule="auto"/>
        <w:jc w:val="both"/>
        <w:rPr>
          <w:rFonts w:ascii="Arial" w:hAnsi="Arial"/>
        </w:rPr>
      </w:pPr>
    </w:p>
    <w:p w14:paraId="035E93A9" w14:textId="79399EBA" w:rsidR="00FB4DC0" w:rsidRDefault="00FB4DC0" w:rsidP="007A6DDB">
      <w:pPr>
        <w:spacing w:line="360" w:lineRule="auto"/>
        <w:jc w:val="both"/>
        <w:rPr>
          <w:rFonts w:ascii="Arial" w:hAnsi="Arial"/>
        </w:rPr>
      </w:pPr>
      <w:r>
        <w:rPr>
          <w:rFonts w:ascii="Arial" w:hAnsi="Arial"/>
        </w:rPr>
        <w:tab/>
        <w:t>‘</w:t>
      </w:r>
      <w:r>
        <w:rPr>
          <w:rFonts w:ascii="Arial" w:hAnsi="Arial"/>
          <w:sz w:val="22"/>
          <w:szCs w:val="22"/>
        </w:rPr>
        <w:t>The “deadlock” exists on several levels, both procedurally and in respect to the day to day running of the first respondent and Church and more fundamentally in respect to the core beliefs of the members and the first respondent’s affiliation and “membership” of the international church.’</w:t>
      </w:r>
      <w:r>
        <w:rPr>
          <w:rFonts w:ascii="Arial" w:hAnsi="Arial"/>
        </w:rPr>
        <w:t xml:space="preserve"> </w:t>
      </w:r>
    </w:p>
    <w:p w14:paraId="328B507D" w14:textId="77777777" w:rsidR="00FB4DC0" w:rsidRDefault="00FB4DC0" w:rsidP="007A6DDB">
      <w:pPr>
        <w:spacing w:line="360" w:lineRule="auto"/>
        <w:jc w:val="both"/>
        <w:rPr>
          <w:rFonts w:ascii="Arial" w:hAnsi="Arial"/>
        </w:rPr>
      </w:pPr>
    </w:p>
    <w:p w14:paraId="259B9C42" w14:textId="364F5F17" w:rsidR="00FB4DC0" w:rsidRDefault="003438DD" w:rsidP="007A6DDB">
      <w:pPr>
        <w:spacing w:line="360" w:lineRule="auto"/>
        <w:jc w:val="both"/>
        <w:rPr>
          <w:rFonts w:ascii="Arial" w:hAnsi="Arial"/>
        </w:rPr>
      </w:pPr>
      <w:r>
        <w:rPr>
          <w:rFonts w:ascii="Arial" w:hAnsi="Arial"/>
        </w:rPr>
        <w:t>[18</w:t>
      </w:r>
      <w:r w:rsidR="00FB4DC0">
        <w:rPr>
          <w:rFonts w:ascii="Arial" w:hAnsi="Arial"/>
        </w:rPr>
        <w:t>]</w:t>
      </w:r>
      <w:r w:rsidR="00FB4DC0">
        <w:rPr>
          <w:rFonts w:ascii="Arial" w:hAnsi="Arial"/>
        </w:rPr>
        <w:tab/>
        <w:t>I pause to observe that having regard to this paragraph, the 1</w:t>
      </w:r>
      <w:r w:rsidR="00FB4DC0" w:rsidRPr="00FB4DC0">
        <w:rPr>
          <w:rFonts w:ascii="Arial" w:hAnsi="Arial"/>
          <w:vertAlign w:val="superscript"/>
        </w:rPr>
        <w:t>st</w:t>
      </w:r>
      <w:r w:rsidR="00FB4DC0">
        <w:rPr>
          <w:rFonts w:ascii="Arial" w:hAnsi="Arial"/>
        </w:rPr>
        <w:t xml:space="preserve"> applicant appears to draw a distinction between the 1</w:t>
      </w:r>
      <w:r w:rsidR="00FB4DC0" w:rsidRPr="00FB4DC0">
        <w:rPr>
          <w:rFonts w:ascii="Arial" w:hAnsi="Arial"/>
          <w:vertAlign w:val="superscript"/>
        </w:rPr>
        <w:t>st</w:t>
      </w:r>
      <w:r w:rsidR="00FB4DC0">
        <w:rPr>
          <w:rFonts w:ascii="Arial" w:hAnsi="Arial"/>
        </w:rPr>
        <w:t xml:space="preserve"> respondent as a company as well as a Church. Secondly, it appears that the deadlock, is informed</w:t>
      </w:r>
      <w:r w:rsidR="0094401D">
        <w:rPr>
          <w:rFonts w:ascii="Arial" w:hAnsi="Arial"/>
        </w:rPr>
        <w:t xml:space="preserve"> more </w:t>
      </w:r>
      <w:r w:rsidR="00FB4DC0">
        <w:rPr>
          <w:rFonts w:ascii="Arial" w:hAnsi="Arial"/>
        </w:rPr>
        <w:t>by matters of core Christian beliefs and affiliation, which would, all things being equal, transcend the narrow confines of the 1</w:t>
      </w:r>
      <w:r w:rsidR="00FB4DC0" w:rsidRPr="00FB4DC0">
        <w:rPr>
          <w:rFonts w:ascii="Arial" w:hAnsi="Arial"/>
          <w:vertAlign w:val="superscript"/>
        </w:rPr>
        <w:t>st</w:t>
      </w:r>
      <w:r w:rsidR="00FB4DC0">
        <w:rPr>
          <w:rFonts w:ascii="Arial" w:hAnsi="Arial"/>
        </w:rPr>
        <w:t xml:space="preserve"> respondent as an entity governed by the provisions of the Companies Act.</w:t>
      </w:r>
      <w:r w:rsidR="00C24CF8">
        <w:rPr>
          <w:rStyle w:val="FootnoteReference"/>
          <w:rFonts w:ascii="Arial" w:hAnsi="Arial"/>
        </w:rPr>
        <w:footnoteReference w:id="4"/>
      </w:r>
    </w:p>
    <w:p w14:paraId="5E956758" w14:textId="77777777" w:rsidR="0094401D" w:rsidRDefault="0094401D" w:rsidP="007A6DDB">
      <w:pPr>
        <w:spacing w:line="360" w:lineRule="auto"/>
        <w:jc w:val="both"/>
        <w:rPr>
          <w:rFonts w:ascii="Arial" w:hAnsi="Arial"/>
        </w:rPr>
      </w:pPr>
    </w:p>
    <w:p w14:paraId="24AA75DC" w14:textId="77AB9AA1" w:rsidR="0094401D" w:rsidRPr="0094401D" w:rsidRDefault="003438DD" w:rsidP="007A6DDB">
      <w:pPr>
        <w:spacing w:line="360" w:lineRule="auto"/>
        <w:jc w:val="both"/>
        <w:rPr>
          <w:rFonts w:ascii="Arial" w:hAnsi="Arial"/>
        </w:rPr>
      </w:pPr>
      <w:r>
        <w:rPr>
          <w:rFonts w:ascii="Arial" w:hAnsi="Arial"/>
        </w:rPr>
        <w:t>[19</w:t>
      </w:r>
      <w:r w:rsidR="0094401D">
        <w:rPr>
          <w:rFonts w:ascii="Arial" w:hAnsi="Arial"/>
        </w:rPr>
        <w:t>]</w:t>
      </w:r>
      <w:r w:rsidR="0094401D">
        <w:rPr>
          <w:rFonts w:ascii="Arial" w:hAnsi="Arial"/>
        </w:rPr>
        <w:tab/>
        <w:t>That this is indeed the case, can be seen from paragraph 17 of the founding affidavit, where the 1</w:t>
      </w:r>
      <w:r w:rsidR="0094401D" w:rsidRPr="0094401D">
        <w:rPr>
          <w:rFonts w:ascii="Arial" w:hAnsi="Arial"/>
          <w:vertAlign w:val="superscript"/>
        </w:rPr>
        <w:t>st</w:t>
      </w:r>
      <w:r w:rsidR="0094401D">
        <w:rPr>
          <w:rFonts w:ascii="Arial" w:hAnsi="Arial"/>
        </w:rPr>
        <w:t xml:space="preserve"> respondent states that, ‘This application is brought in terms of section 349(</w:t>
      </w:r>
      <w:r w:rsidR="0094401D">
        <w:rPr>
          <w:rFonts w:ascii="Arial" w:hAnsi="Arial"/>
          <w:i/>
        </w:rPr>
        <w:t>h</w:t>
      </w:r>
      <w:r w:rsidR="0094401D">
        <w:rPr>
          <w:rFonts w:ascii="Arial" w:hAnsi="Arial"/>
        </w:rPr>
        <w:t xml:space="preserve">) Companies Act. The applicants seek an order winding up the first respondent, by virtue of this being just and equitable, </w:t>
      </w:r>
      <w:r w:rsidR="0094401D" w:rsidRPr="0094401D">
        <w:rPr>
          <w:rFonts w:ascii="Arial" w:hAnsi="Arial"/>
          <w:u w:val="single"/>
        </w:rPr>
        <w:t>due to a deadlock, which currently exists, (predominantly in respect to the leadership of the church) between the applicants and the second to seventh respondents.’</w:t>
      </w:r>
      <w:r w:rsidR="0094401D">
        <w:rPr>
          <w:rFonts w:ascii="Arial" w:hAnsi="Arial"/>
          <w:u w:val="single"/>
        </w:rPr>
        <w:t xml:space="preserve"> </w:t>
      </w:r>
      <w:r w:rsidR="0094401D">
        <w:rPr>
          <w:rFonts w:ascii="Arial" w:hAnsi="Arial"/>
        </w:rPr>
        <w:t>(Emphasis added).</w:t>
      </w:r>
    </w:p>
    <w:p w14:paraId="69669AD7" w14:textId="77777777" w:rsidR="00FB4DC0" w:rsidRDefault="00FB4DC0" w:rsidP="007A6DDB">
      <w:pPr>
        <w:spacing w:line="360" w:lineRule="auto"/>
        <w:jc w:val="both"/>
        <w:rPr>
          <w:rFonts w:ascii="Arial" w:hAnsi="Arial"/>
        </w:rPr>
      </w:pPr>
    </w:p>
    <w:p w14:paraId="679F2F89" w14:textId="585F42DA" w:rsidR="00FB4DC0" w:rsidRDefault="003438DD" w:rsidP="007A6DDB">
      <w:pPr>
        <w:spacing w:line="360" w:lineRule="auto"/>
        <w:jc w:val="both"/>
        <w:rPr>
          <w:rFonts w:ascii="Arial" w:hAnsi="Arial"/>
        </w:rPr>
      </w:pPr>
      <w:r>
        <w:rPr>
          <w:rFonts w:ascii="Arial" w:hAnsi="Arial"/>
        </w:rPr>
        <w:t>[20</w:t>
      </w:r>
      <w:r w:rsidR="00FB4DC0">
        <w:rPr>
          <w:rFonts w:ascii="Arial" w:hAnsi="Arial"/>
        </w:rPr>
        <w:t>]</w:t>
      </w:r>
      <w:r w:rsidR="00FB4DC0">
        <w:rPr>
          <w:rFonts w:ascii="Arial" w:hAnsi="Arial"/>
        </w:rPr>
        <w:tab/>
        <w:t>It becomes abundantly clear</w:t>
      </w:r>
      <w:r w:rsidR="00C24CF8">
        <w:rPr>
          <w:rFonts w:ascii="Arial" w:hAnsi="Arial"/>
        </w:rPr>
        <w:t>, on a deeper reflection,</w:t>
      </w:r>
      <w:r w:rsidR="00FB4DC0">
        <w:rPr>
          <w:rFonts w:ascii="Arial" w:hAnsi="Arial"/>
        </w:rPr>
        <w:t xml:space="preserve"> that the issues </w:t>
      </w:r>
      <w:r w:rsidR="00C24CF8">
        <w:rPr>
          <w:rFonts w:ascii="Arial" w:hAnsi="Arial"/>
        </w:rPr>
        <w:t xml:space="preserve">at play, at the root, </w:t>
      </w:r>
      <w:r w:rsidR="00FB4DC0">
        <w:rPr>
          <w:rFonts w:ascii="Arial" w:hAnsi="Arial"/>
        </w:rPr>
        <w:t xml:space="preserve">also involve matters of an ecumenical nature, which if properly considered in the context of the instant case, were not ever contemplated by </w:t>
      </w:r>
      <w:r w:rsidR="00FB4DC0">
        <w:rPr>
          <w:rFonts w:ascii="Arial" w:hAnsi="Arial"/>
        </w:rPr>
        <w:lastRenderedPageBreak/>
        <w:t xml:space="preserve">the Legislature, as being the </w:t>
      </w:r>
      <w:r w:rsidR="0094401D">
        <w:rPr>
          <w:rFonts w:ascii="Arial" w:hAnsi="Arial"/>
        </w:rPr>
        <w:t xml:space="preserve">legal </w:t>
      </w:r>
      <w:r w:rsidR="00C24CF8">
        <w:rPr>
          <w:rFonts w:ascii="Arial" w:hAnsi="Arial"/>
        </w:rPr>
        <w:t>basis or part of the base</w:t>
      </w:r>
      <w:r w:rsidR="00FB4DC0">
        <w:rPr>
          <w:rFonts w:ascii="Arial" w:hAnsi="Arial"/>
        </w:rPr>
        <w:t>s for issuing a winding-up order under the just and equitable</w:t>
      </w:r>
      <w:r w:rsidR="0094401D">
        <w:rPr>
          <w:rFonts w:ascii="Arial" w:hAnsi="Arial"/>
        </w:rPr>
        <w:t xml:space="preserve"> in ordinary company law parlance or setting</w:t>
      </w:r>
      <w:r w:rsidR="009756C9">
        <w:rPr>
          <w:rFonts w:ascii="Arial" w:hAnsi="Arial"/>
        </w:rPr>
        <w:t>.</w:t>
      </w:r>
    </w:p>
    <w:p w14:paraId="4B00D854" w14:textId="77777777" w:rsidR="00FA720F" w:rsidRDefault="00FA720F" w:rsidP="007A6DDB">
      <w:pPr>
        <w:spacing w:line="360" w:lineRule="auto"/>
        <w:jc w:val="both"/>
        <w:rPr>
          <w:rFonts w:ascii="Arial" w:hAnsi="Arial"/>
        </w:rPr>
      </w:pPr>
    </w:p>
    <w:p w14:paraId="60EF9919" w14:textId="7B8317FC" w:rsidR="00FB4DC0" w:rsidRDefault="003438DD" w:rsidP="007A6DDB">
      <w:pPr>
        <w:spacing w:line="360" w:lineRule="auto"/>
        <w:jc w:val="both"/>
        <w:rPr>
          <w:rFonts w:ascii="Arial" w:hAnsi="Arial"/>
        </w:rPr>
      </w:pPr>
      <w:r>
        <w:rPr>
          <w:rFonts w:ascii="Arial" w:hAnsi="Arial"/>
        </w:rPr>
        <w:t>[21</w:t>
      </w:r>
      <w:r w:rsidR="00FB4DC0">
        <w:rPr>
          <w:rFonts w:ascii="Arial" w:hAnsi="Arial"/>
        </w:rPr>
        <w:t>]</w:t>
      </w:r>
      <w:r w:rsidR="00FB4DC0">
        <w:rPr>
          <w:rFonts w:ascii="Arial" w:hAnsi="Arial"/>
        </w:rPr>
        <w:tab/>
        <w:t xml:space="preserve">In </w:t>
      </w:r>
      <w:r w:rsidR="00FB4DC0">
        <w:rPr>
          <w:rFonts w:ascii="Arial" w:hAnsi="Arial"/>
          <w:i/>
        </w:rPr>
        <w:t>Zhau v Erf One Eight One Eight Five Three (CC/2007/000710 Klein Windhoek Property CC</w:t>
      </w:r>
      <w:r w:rsidR="009756C9">
        <w:rPr>
          <w:rFonts w:ascii="Arial" w:hAnsi="Arial"/>
          <w:i/>
        </w:rPr>
        <w:t>,</w:t>
      </w:r>
      <w:r w:rsidR="009756C9">
        <w:rPr>
          <w:rStyle w:val="FootnoteReference"/>
          <w:rFonts w:ascii="Arial" w:hAnsi="Arial"/>
          <w:i/>
        </w:rPr>
        <w:footnoteReference w:id="5"/>
      </w:r>
      <w:r w:rsidR="009756C9">
        <w:rPr>
          <w:rFonts w:ascii="Arial" w:hAnsi="Arial"/>
          <w:i/>
        </w:rPr>
        <w:t xml:space="preserve"> </w:t>
      </w:r>
      <w:r w:rsidR="009756C9">
        <w:rPr>
          <w:rFonts w:ascii="Arial" w:hAnsi="Arial"/>
        </w:rPr>
        <w:t>the court helpfully considered the principles applicable to winding up of a company and stated in part at para [23]:</w:t>
      </w:r>
    </w:p>
    <w:p w14:paraId="2B1C1A1A" w14:textId="77777777" w:rsidR="009756C9" w:rsidRDefault="009756C9" w:rsidP="007A6DDB">
      <w:pPr>
        <w:spacing w:line="360" w:lineRule="auto"/>
        <w:jc w:val="both"/>
        <w:rPr>
          <w:rFonts w:ascii="Arial" w:hAnsi="Arial"/>
        </w:rPr>
      </w:pPr>
    </w:p>
    <w:p w14:paraId="3B742FA3" w14:textId="5B8C846A" w:rsidR="009756C9" w:rsidRDefault="009756C9" w:rsidP="007A6DDB">
      <w:pPr>
        <w:spacing w:line="360" w:lineRule="auto"/>
        <w:jc w:val="both"/>
        <w:rPr>
          <w:rFonts w:ascii="Arial" w:hAnsi="Arial"/>
          <w:sz w:val="22"/>
          <w:szCs w:val="22"/>
        </w:rPr>
      </w:pPr>
      <w:r>
        <w:rPr>
          <w:rFonts w:ascii="Arial" w:hAnsi="Arial"/>
        </w:rPr>
        <w:tab/>
        <w:t>‘</w:t>
      </w:r>
      <w:r>
        <w:rPr>
          <w:rFonts w:ascii="Arial" w:hAnsi="Arial"/>
          <w:sz w:val="22"/>
          <w:szCs w:val="22"/>
        </w:rPr>
        <w:t>Third is that of deadlock which results in the management of companies’ affairs, because the voting power at board and general meeting level is so divided between dissenting groups that there is no way of resolving the deadlock other than by making a winding up order. The kind of case which falls most frequently to be dealt with under this heading is the one where there are only two directors or shareholders, usually in a private company, who hold equal voting shares or rights and have irreconcilably fallen out.’</w:t>
      </w:r>
    </w:p>
    <w:p w14:paraId="38C0B6B7" w14:textId="77777777" w:rsidR="009756C9" w:rsidRDefault="009756C9" w:rsidP="007A6DDB">
      <w:pPr>
        <w:spacing w:line="360" w:lineRule="auto"/>
        <w:jc w:val="both"/>
        <w:rPr>
          <w:rFonts w:ascii="Arial" w:hAnsi="Arial"/>
          <w:sz w:val="22"/>
          <w:szCs w:val="22"/>
        </w:rPr>
      </w:pPr>
    </w:p>
    <w:p w14:paraId="542E6D03" w14:textId="6D07C503" w:rsidR="009756C9" w:rsidRDefault="003438DD" w:rsidP="007A6DDB">
      <w:pPr>
        <w:spacing w:line="360" w:lineRule="auto"/>
        <w:jc w:val="both"/>
        <w:rPr>
          <w:rFonts w:ascii="Arial" w:hAnsi="Arial"/>
        </w:rPr>
      </w:pPr>
      <w:r>
        <w:rPr>
          <w:rFonts w:ascii="Arial" w:hAnsi="Arial"/>
        </w:rPr>
        <w:t>[22</w:t>
      </w:r>
      <w:r w:rsidR="009756C9">
        <w:rPr>
          <w:rFonts w:ascii="Arial" w:hAnsi="Arial"/>
        </w:rPr>
        <w:t>]</w:t>
      </w:r>
      <w:r w:rsidR="009756C9">
        <w:rPr>
          <w:rFonts w:ascii="Arial" w:hAnsi="Arial"/>
        </w:rPr>
        <w:tab/>
        <w:t xml:space="preserve">I am of the considered view that the numbers of directors mentioned by the court </w:t>
      </w:r>
      <w:r w:rsidR="00C24CF8">
        <w:rPr>
          <w:rFonts w:ascii="Arial" w:hAnsi="Arial"/>
        </w:rPr>
        <w:t xml:space="preserve">above </w:t>
      </w:r>
      <w:r w:rsidR="009756C9">
        <w:rPr>
          <w:rFonts w:ascii="Arial" w:hAnsi="Arial"/>
        </w:rPr>
        <w:t xml:space="preserve">need only be two, but may be a little more and still constitute a proper case in which to issue the </w:t>
      </w:r>
      <w:r w:rsidR="006268AF">
        <w:rPr>
          <w:rFonts w:ascii="Arial" w:hAnsi="Arial"/>
        </w:rPr>
        <w:t>wi</w:t>
      </w:r>
      <w:r w:rsidR="009756C9">
        <w:rPr>
          <w:rFonts w:ascii="Arial" w:hAnsi="Arial"/>
        </w:rPr>
        <w:t>nding up order. In this particular case, it must be mentioned that the 1</w:t>
      </w:r>
      <w:r w:rsidR="009756C9" w:rsidRPr="009756C9">
        <w:rPr>
          <w:rFonts w:ascii="Arial" w:hAnsi="Arial"/>
          <w:vertAlign w:val="superscript"/>
        </w:rPr>
        <w:t>st</w:t>
      </w:r>
      <w:r w:rsidR="009756C9">
        <w:rPr>
          <w:rFonts w:ascii="Arial" w:hAnsi="Arial"/>
        </w:rPr>
        <w:t xml:space="preserve"> respondent is not just an ordinar</w:t>
      </w:r>
      <w:r w:rsidR="00C24CF8">
        <w:rPr>
          <w:rFonts w:ascii="Arial" w:hAnsi="Arial"/>
        </w:rPr>
        <w:t>y company, floated to offer</w:t>
      </w:r>
      <w:r w:rsidR="009756C9">
        <w:rPr>
          <w:rFonts w:ascii="Arial" w:hAnsi="Arial"/>
        </w:rPr>
        <w:t xml:space="preserve"> goods and services</w:t>
      </w:r>
      <w:r w:rsidR="00C24CF8">
        <w:rPr>
          <w:rFonts w:ascii="Arial" w:hAnsi="Arial"/>
        </w:rPr>
        <w:t>,</w:t>
      </w:r>
      <w:r w:rsidR="009756C9">
        <w:rPr>
          <w:rFonts w:ascii="Arial" w:hAnsi="Arial"/>
        </w:rPr>
        <w:t xml:space="preserve"> or to be involved in one or other branch of commerce in the classical sense.</w:t>
      </w:r>
    </w:p>
    <w:p w14:paraId="05A035BC" w14:textId="77777777" w:rsidR="009756C9" w:rsidRDefault="009756C9" w:rsidP="007A6DDB">
      <w:pPr>
        <w:spacing w:line="360" w:lineRule="auto"/>
        <w:jc w:val="both"/>
        <w:rPr>
          <w:rFonts w:ascii="Arial" w:hAnsi="Arial"/>
        </w:rPr>
      </w:pPr>
    </w:p>
    <w:p w14:paraId="6E3A2EB5" w14:textId="4143FB3C" w:rsidR="009756C9" w:rsidRDefault="009756C9" w:rsidP="007A6DDB">
      <w:pPr>
        <w:spacing w:line="360" w:lineRule="auto"/>
        <w:jc w:val="both"/>
        <w:rPr>
          <w:rFonts w:ascii="Arial" w:hAnsi="Arial"/>
        </w:rPr>
      </w:pPr>
      <w:r>
        <w:rPr>
          <w:rFonts w:ascii="Arial" w:hAnsi="Arial"/>
        </w:rPr>
        <w:t>[</w:t>
      </w:r>
      <w:r w:rsidR="003438DD">
        <w:rPr>
          <w:rFonts w:ascii="Arial" w:hAnsi="Arial"/>
        </w:rPr>
        <w:t>23</w:t>
      </w:r>
      <w:r>
        <w:rPr>
          <w:rFonts w:ascii="Arial" w:hAnsi="Arial"/>
        </w:rPr>
        <w:t>]</w:t>
      </w:r>
      <w:r>
        <w:rPr>
          <w:rFonts w:ascii="Arial" w:hAnsi="Arial"/>
        </w:rPr>
        <w:tab/>
        <w:t xml:space="preserve">According to the </w:t>
      </w:r>
      <w:r w:rsidR="00BB4C51">
        <w:rPr>
          <w:rFonts w:ascii="Arial" w:hAnsi="Arial"/>
        </w:rPr>
        <w:t>memorandum of association, the 1</w:t>
      </w:r>
      <w:r w:rsidR="00BB4C51" w:rsidRPr="00BB4C51">
        <w:rPr>
          <w:rFonts w:ascii="Arial" w:hAnsi="Arial"/>
          <w:vertAlign w:val="superscript"/>
        </w:rPr>
        <w:t>st</w:t>
      </w:r>
      <w:r w:rsidR="00BB4C51">
        <w:rPr>
          <w:rFonts w:ascii="Arial" w:hAnsi="Arial"/>
        </w:rPr>
        <w:t xml:space="preserve"> respondent sole purpose, main business and object is couched in the following language:</w:t>
      </w:r>
    </w:p>
    <w:p w14:paraId="7006EBD7" w14:textId="77777777" w:rsidR="00BB4C51" w:rsidRDefault="00BB4C51" w:rsidP="007A6DDB">
      <w:pPr>
        <w:spacing w:line="360" w:lineRule="auto"/>
        <w:jc w:val="both"/>
        <w:rPr>
          <w:rFonts w:ascii="Arial" w:hAnsi="Arial"/>
        </w:rPr>
      </w:pPr>
    </w:p>
    <w:p w14:paraId="1744F4A2" w14:textId="32F6F25A" w:rsidR="00BB4C51" w:rsidRDefault="00BB4C51" w:rsidP="007A6DDB">
      <w:pPr>
        <w:spacing w:line="360" w:lineRule="auto"/>
        <w:jc w:val="both"/>
        <w:rPr>
          <w:rFonts w:ascii="Arial" w:hAnsi="Arial"/>
          <w:sz w:val="22"/>
          <w:szCs w:val="22"/>
        </w:rPr>
      </w:pPr>
      <w:r>
        <w:rPr>
          <w:rFonts w:ascii="Arial" w:hAnsi="Arial"/>
        </w:rPr>
        <w:tab/>
        <w:t>‘</w:t>
      </w:r>
      <w:r>
        <w:rPr>
          <w:rFonts w:ascii="Arial" w:hAnsi="Arial"/>
          <w:sz w:val="22"/>
          <w:szCs w:val="22"/>
        </w:rPr>
        <w:t xml:space="preserve">Rendering cultural and religious </w:t>
      </w:r>
      <w:r w:rsidR="009B782F">
        <w:rPr>
          <w:rFonts w:ascii="Arial" w:hAnsi="Arial"/>
          <w:sz w:val="22"/>
          <w:szCs w:val="22"/>
        </w:rPr>
        <w:t>services and</w:t>
      </w:r>
      <w:r>
        <w:rPr>
          <w:rFonts w:ascii="Arial" w:hAnsi="Arial"/>
          <w:sz w:val="22"/>
          <w:szCs w:val="22"/>
        </w:rPr>
        <w:t>/or activities to the congregation of the One Body Apostolic Faith Church and all objects ancillary thereto.’</w:t>
      </w:r>
    </w:p>
    <w:p w14:paraId="6959B29A" w14:textId="77777777" w:rsidR="00BB4C51" w:rsidRDefault="00BB4C51" w:rsidP="007A6DDB">
      <w:pPr>
        <w:spacing w:line="360" w:lineRule="auto"/>
        <w:jc w:val="both"/>
        <w:rPr>
          <w:rFonts w:ascii="Arial" w:hAnsi="Arial"/>
          <w:sz w:val="22"/>
          <w:szCs w:val="22"/>
        </w:rPr>
      </w:pPr>
    </w:p>
    <w:p w14:paraId="39B5CABF" w14:textId="77777777" w:rsidR="00C24CF8" w:rsidRDefault="00C24CF8" w:rsidP="007A6DDB">
      <w:pPr>
        <w:spacing w:line="360" w:lineRule="auto"/>
        <w:jc w:val="both"/>
        <w:rPr>
          <w:rFonts w:ascii="Arial" w:hAnsi="Arial"/>
        </w:rPr>
      </w:pPr>
    </w:p>
    <w:p w14:paraId="3125A4AC" w14:textId="62181F1F" w:rsidR="00BB4C51" w:rsidRDefault="00C24CF8" w:rsidP="007A6DDB">
      <w:pPr>
        <w:spacing w:line="360" w:lineRule="auto"/>
        <w:jc w:val="both"/>
        <w:rPr>
          <w:rFonts w:ascii="Arial" w:hAnsi="Arial"/>
        </w:rPr>
      </w:pPr>
      <w:r>
        <w:rPr>
          <w:rFonts w:ascii="Arial" w:hAnsi="Arial"/>
        </w:rPr>
        <w:t>[</w:t>
      </w:r>
      <w:r w:rsidR="003438DD">
        <w:rPr>
          <w:rFonts w:ascii="Arial" w:hAnsi="Arial"/>
        </w:rPr>
        <w:t>24</w:t>
      </w:r>
      <w:r>
        <w:rPr>
          <w:rFonts w:ascii="Arial" w:hAnsi="Arial"/>
        </w:rPr>
        <w:t>]</w:t>
      </w:r>
      <w:r>
        <w:rPr>
          <w:rFonts w:ascii="Arial" w:hAnsi="Arial"/>
        </w:rPr>
        <w:tab/>
      </w:r>
      <w:r w:rsidR="00BB4C51">
        <w:rPr>
          <w:rFonts w:ascii="Arial" w:hAnsi="Arial"/>
        </w:rPr>
        <w:t>This provision accordingly lends credence to the conclusion reached above that the 1</w:t>
      </w:r>
      <w:r w:rsidR="00BB4C51" w:rsidRPr="00BB4C51">
        <w:rPr>
          <w:rFonts w:ascii="Arial" w:hAnsi="Arial"/>
          <w:vertAlign w:val="superscript"/>
        </w:rPr>
        <w:t>st</w:t>
      </w:r>
      <w:r w:rsidR="00BB4C51">
        <w:rPr>
          <w:rFonts w:ascii="Arial" w:hAnsi="Arial"/>
        </w:rPr>
        <w:t xml:space="preserve"> respondent, although registered as a company, is not in fact a company in the classical sense involved in </w:t>
      </w:r>
      <w:r>
        <w:rPr>
          <w:rFonts w:ascii="Arial" w:hAnsi="Arial"/>
        </w:rPr>
        <w:t xml:space="preserve">ordinary </w:t>
      </w:r>
      <w:r w:rsidR="00BB4C51">
        <w:rPr>
          <w:rFonts w:ascii="Arial" w:hAnsi="Arial"/>
        </w:rPr>
        <w:t xml:space="preserve">commerce. It is in fact a </w:t>
      </w:r>
      <w:r w:rsidR="00BB4C51">
        <w:rPr>
          <w:rFonts w:ascii="Arial" w:hAnsi="Arial"/>
        </w:rPr>
        <w:lastRenderedPageBreak/>
        <w:t>religious organisation tasked with meeting the cultural and religious needs and aspiration</w:t>
      </w:r>
      <w:r>
        <w:rPr>
          <w:rFonts w:ascii="Arial" w:hAnsi="Arial"/>
        </w:rPr>
        <w:t>s</w:t>
      </w:r>
      <w:r w:rsidR="00BB4C51">
        <w:rPr>
          <w:rFonts w:ascii="Arial" w:hAnsi="Arial"/>
        </w:rPr>
        <w:t xml:space="preserve"> of the congregation.</w:t>
      </w:r>
    </w:p>
    <w:p w14:paraId="34A92BAB" w14:textId="77777777" w:rsidR="00BB4C51" w:rsidRDefault="00BB4C51" w:rsidP="007A6DDB">
      <w:pPr>
        <w:spacing w:line="360" w:lineRule="auto"/>
        <w:jc w:val="both"/>
        <w:rPr>
          <w:rFonts w:ascii="Arial" w:hAnsi="Arial"/>
        </w:rPr>
      </w:pPr>
    </w:p>
    <w:p w14:paraId="0AAF9A04" w14:textId="7EDF8831" w:rsidR="00AC0BFE" w:rsidRDefault="00BB4C51" w:rsidP="007A6DDB">
      <w:pPr>
        <w:spacing w:line="360" w:lineRule="auto"/>
        <w:jc w:val="both"/>
        <w:rPr>
          <w:rFonts w:ascii="Arial" w:hAnsi="Arial"/>
        </w:rPr>
      </w:pPr>
      <w:r>
        <w:rPr>
          <w:rFonts w:ascii="Arial" w:hAnsi="Arial"/>
        </w:rPr>
        <w:t>[</w:t>
      </w:r>
      <w:r w:rsidR="003438DD">
        <w:rPr>
          <w:rFonts w:ascii="Arial" w:hAnsi="Arial"/>
        </w:rPr>
        <w:t>25</w:t>
      </w:r>
      <w:r>
        <w:rPr>
          <w:rFonts w:ascii="Arial" w:hAnsi="Arial"/>
        </w:rPr>
        <w:t>]</w:t>
      </w:r>
      <w:r>
        <w:rPr>
          <w:rFonts w:ascii="Arial" w:hAnsi="Arial"/>
        </w:rPr>
        <w:tab/>
        <w:t xml:space="preserve">In this regard, it would seem to me, the matters at stake extend </w:t>
      </w:r>
      <w:r w:rsidR="00AC0BFE">
        <w:rPr>
          <w:rFonts w:ascii="Arial" w:hAnsi="Arial"/>
        </w:rPr>
        <w:t xml:space="preserve">beyond </w:t>
      </w:r>
      <w:r>
        <w:rPr>
          <w:rFonts w:ascii="Arial" w:hAnsi="Arial"/>
        </w:rPr>
        <w:t xml:space="preserve">the narrow confines of the </w:t>
      </w:r>
      <w:r w:rsidR="00AC0BFE">
        <w:rPr>
          <w:rFonts w:ascii="Arial" w:hAnsi="Arial"/>
        </w:rPr>
        <w:t xml:space="preserve">personal interests of </w:t>
      </w:r>
      <w:r>
        <w:rPr>
          <w:rFonts w:ascii="Arial" w:hAnsi="Arial"/>
        </w:rPr>
        <w:t>applicants and the respondents</w:t>
      </w:r>
      <w:r w:rsidR="00AC0BFE">
        <w:rPr>
          <w:rFonts w:ascii="Arial" w:hAnsi="Arial"/>
        </w:rPr>
        <w:t>,</w:t>
      </w:r>
      <w:r>
        <w:rPr>
          <w:rFonts w:ascii="Arial" w:hAnsi="Arial"/>
        </w:rPr>
        <w:t xml:space="preserve"> cited above. They appear to affect a number of people who are </w:t>
      </w:r>
      <w:r w:rsidR="00AC0BFE">
        <w:rPr>
          <w:rFonts w:ascii="Arial" w:hAnsi="Arial"/>
        </w:rPr>
        <w:t xml:space="preserve">ordinary </w:t>
      </w:r>
      <w:r>
        <w:rPr>
          <w:rFonts w:ascii="Arial" w:hAnsi="Arial"/>
        </w:rPr>
        <w:t>congregants and it would, in my considered view be irresponsible of this court to deal with the matter as a normal commercial dispute that afflicts the</w:t>
      </w:r>
      <w:r w:rsidR="00AC0BFE">
        <w:rPr>
          <w:rFonts w:ascii="Arial" w:hAnsi="Arial"/>
        </w:rPr>
        <w:t xml:space="preserve"> 1</w:t>
      </w:r>
      <w:r w:rsidR="00AC0BFE" w:rsidRPr="00AC0BFE">
        <w:rPr>
          <w:rFonts w:ascii="Arial" w:hAnsi="Arial"/>
          <w:vertAlign w:val="superscript"/>
        </w:rPr>
        <w:t>st</w:t>
      </w:r>
      <w:r w:rsidR="00AC0BFE">
        <w:rPr>
          <w:rFonts w:ascii="Arial" w:hAnsi="Arial"/>
        </w:rPr>
        <w:t xml:space="preserve"> respondent’s</w:t>
      </w:r>
      <w:r>
        <w:rPr>
          <w:rFonts w:ascii="Arial" w:hAnsi="Arial"/>
        </w:rPr>
        <w:t xml:space="preserve"> boardroom</w:t>
      </w:r>
      <w:r w:rsidR="00AC0BFE">
        <w:rPr>
          <w:rFonts w:ascii="Arial" w:hAnsi="Arial"/>
        </w:rPr>
        <w:t xml:space="preserve"> only</w:t>
      </w:r>
      <w:r>
        <w:rPr>
          <w:rFonts w:ascii="Arial" w:hAnsi="Arial"/>
        </w:rPr>
        <w:t xml:space="preserve">. </w:t>
      </w:r>
    </w:p>
    <w:p w14:paraId="57B3B890" w14:textId="77777777" w:rsidR="00AC0BFE" w:rsidRDefault="00AC0BFE" w:rsidP="007A6DDB">
      <w:pPr>
        <w:spacing w:line="360" w:lineRule="auto"/>
        <w:jc w:val="both"/>
        <w:rPr>
          <w:rFonts w:ascii="Arial" w:hAnsi="Arial"/>
        </w:rPr>
      </w:pPr>
    </w:p>
    <w:p w14:paraId="7D972ADC" w14:textId="10FAF440" w:rsidR="00BB4C51" w:rsidRDefault="00AC0BFE" w:rsidP="007A6DDB">
      <w:pPr>
        <w:spacing w:line="360" w:lineRule="auto"/>
        <w:jc w:val="both"/>
        <w:rPr>
          <w:rFonts w:ascii="Arial" w:hAnsi="Arial"/>
        </w:rPr>
      </w:pPr>
      <w:r>
        <w:rPr>
          <w:rFonts w:ascii="Arial" w:hAnsi="Arial"/>
        </w:rPr>
        <w:t>[</w:t>
      </w:r>
      <w:r w:rsidR="003438DD">
        <w:rPr>
          <w:rFonts w:ascii="Arial" w:hAnsi="Arial"/>
        </w:rPr>
        <w:t>26</w:t>
      </w:r>
      <w:r>
        <w:rPr>
          <w:rFonts w:ascii="Arial" w:hAnsi="Arial"/>
        </w:rPr>
        <w:t>]</w:t>
      </w:r>
      <w:r>
        <w:rPr>
          <w:rFonts w:ascii="Arial" w:hAnsi="Arial"/>
        </w:rPr>
        <w:tab/>
      </w:r>
      <w:r w:rsidR="00BB4C51">
        <w:rPr>
          <w:rFonts w:ascii="Arial" w:hAnsi="Arial"/>
        </w:rPr>
        <w:t>The burning issue of leadership, affects some general members of the worshipping public, who may tomorrow attend the sanctuary and find that everything has been folded as a result of an order of court</w:t>
      </w:r>
      <w:r>
        <w:rPr>
          <w:rFonts w:ascii="Arial" w:hAnsi="Arial"/>
        </w:rPr>
        <w:t xml:space="preserve"> winding up the 1</w:t>
      </w:r>
      <w:r w:rsidRPr="00AC0BFE">
        <w:rPr>
          <w:rFonts w:ascii="Arial" w:hAnsi="Arial"/>
          <w:vertAlign w:val="superscript"/>
        </w:rPr>
        <w:t>st</w:t>
      </w:r>
      <w:r>
        <w:rPr>
          <w:rFonts w:ascii="Arial" w:hAnsi="Arial"/>
        </w:rPr>
        <w:t xml:space="preserve"> respondent, thus depriving them, perhaps without personal notice, that their rights to cultural and religious nourishment enshrined in the 1</w:t>
      </w:r>
      <w:r w:rsidRPr="00AC0BFE">
        <w:rPr>
          <w:rFonts w:ascii="Arial" w:hAnsi="Arial"/>
          <w:vertAlign w:val="superscript"/>
        </w:rPr>
        <w:t>st</w:t>
      </w:r>
      <w:r>
        <w:rPr>
          <w:rFonts w:ascii="Arial" w:hAnsi="Arial"/>
        </w:rPr>
        <w:t xml:space="preserve"> respondent’s memorandum of association stand in serious jeopardy</w:t>
      </w:r>
      <w:r w:rsidR="00BB4C51">
        <w:rPr>
          <w:rFonts w:ascii="Arial" w:hAnsi="Arial"/>
        </w:rPr>
        <w:t>.</w:t>
      </w:r>
    </w:p>
    <w:p w14:paraId="78B3422F" w14:textId="77777777" w:rsidR="00BB4C51" w:rsidRDefault="00BB4C51" w:rsidP="007A6DDB">
      <w:pPr>
        <w:spacing w:line="360" w:lineRule="auto"/>
        <w:jc w:val="both"/>
        <w:rPr>
          <w:rFonts w:ascii="Arial" w:hAnsi="Arial"/>
        </w:rPr>
      </w:pPr>
    </w:p>
    <w:p w14:paraId="43440018" w14:textId="6C399B66" w:rsidR="00BB4C51" w:rsidRDefault="00BB4C51" w:rsidP="007A6DDB">
      <w:pPr>
        <w:spacing w:line="360" w:lineRule="auto"/>
        <w:jc w:val="both"/>
        <w:rPr>
          <w:rFonts w:ascii="Arial" w:hAnsi="Arial"/>
        </w:rPr>
      </w:pPr>
      <w:r>
        <w:rPr>
          <w:rFonts w:ascii="Arial" w:hAnsi="Arial"/>
        </w:rPr>
        <w:t>[2</w:t>
      </w:r>
      <w:r w:rsidR="003438DD">
        <w:rPr>
          <w:rFonts w:ascii="Arial" w:hAnsi="Arial"/>
        </w:rPr>
        <w:t>7</w:t>
      </w:r>
      <w:r>
        <w:rPr>
          <w:rFonts w:ascii="Arial" w:hAnsi="Arial"/>
        </w:rPr>
        <w:t>]</w:t>
      </w:r>
      <w:r>
        <w:rPr>
          <w:rFonts w:ascii="Arial" w:hAnsi="Arial"/>
        </w:rPr>
        <w:tab/>
        <w:t xml:space="preserve">Although it is apparent that there is a deadlock, having regard to the nature of the dispute, the parties involved and the ultimate consequences of issuing a winding up order, I am of the considered view that in exercising the court’s powers properly and judicially, this is not a proper case in which the demands of </w:t>
      </w:r>
      <w:r w:rsidR="00AC0BFE">
        <w:rPr>
          <w:rFonts w:ascii="Arial" w:hAnsi="Arial"/>
        </w:rPr>
        <w:t xml:space="preserve">the law, </w:t>
      </w:r>
      <w:r>
        <w:rPr>
          <w:rFonts w:ascii="Arial" w:hAnsi="Arial"/>
        </w:rPr>
        <w:t>justice and equity</w:t>
      </w:r>
      <w:r w:rsidR="00AC0BFE">
        <w:rPr>
          <w:rFonts w:ascii="Arial" w:hAnsi="Arial"/>
        </w:rPr>
        <w:t>,</w:t>
      </w:r>
      <w:r>
        <w:rPr>
          <w:rFonts w:ascii="Arial" w:hAnsi="Arial"/>
        </w:rPr>
        <w:t xml:space="preserve"> can be said to favour the granting of a winding up order.</w:t>
      </w:r>
    </w:p>
    <w:p w14:paraId="19AD2A12" w14:textId="77777777" w:rsidR="00BB4C51" w:rsidRDefault="00BB4C51" w:rsidP="007A6DDB">
      <w:pPr>
        <w:spacing w:line="360" w:lineRule="auto"/>
        <w:jc w:val="both"/>
        <w:rPr>
          <w:rFonts w:ascii="Arial" w:hAnsi="Arial"/>
        </w:rPr>
      </w:pPr>
    </w:p>
    <w:p w14:paraId="2BA2FB5A" w14:textId="4A6769F8" w:rsidR="00C72A93" w:rsidRDefault="00BB4C51" w:rsidP="007A6DDB">
      <w:pPr>
        <w:spacing w:line="360" w:lineRule="auto"/>
        <w:jc w:val="both"/>
        <w:rPr>
          <w:rFonts w:ascii="Arial" w:hAnsi="Arial"/>
        </w:rPr>
      </w:pPr>
      <w:r>
        <w:rPr>
          <w:rFonts w:ascii="Arial" w:hAnsi="Arial"/>
        </w:rPr>
        <w:t>[2</w:t>
      </w:r>
      <w:r w:rsidR="003438DD">
        <w:rPr>
          <w:rFonts w:ascii="Arial" w:hAnsi="Arial"/>
        </w:rPr>
        <w:t>8</w:t>
      </w:r>
      <w:r>
        <w:rPr>
          <w:rFonts w:ascii="Arial" w:hAnsi="Arial"/>
        </w:rPr>
        <w:t>]</w:t>
      </w:r>
      <w:r>
        <w:rPr>
          <w:rFonts w:ascii="Arial" w:hAnsi="Arial"/>
        </w:rPr>
        <w:tab/>
        <w:t>I have read the pap</w:t>
      </w:r>
      <w:r w:rsidR="00AC0BFE">
        <w:rPr>
          <w:rFonts w:ascii="Arial" w:hAnsi="Arial"/>
        </w:rPr>
        <w:t>ers filed by both parties and it is plain that som</w:t>
      </w:r>
      <w:r>
        <w:rPr>
          <w:rFonts w:ascii="Arial" w:hAnsi="Arial"/>
        </w:rPr>
        <w:t>e length that has</w:t>
      </w:r>
      <w:r w:rsidR="00142CF4">
        <w:rPr>
          <w:rFonts w:ascii="Arial" w:hAnsi="Arial"/>
        </w:rPr>
        <w:t xml:space="preserve"> been gone in</w:t>
      </w:r>
      <w:r w:rsidR="00AC0BFE">
        <w:rPr>
          <w:rFonts w:ascii="Arial" w:hAnsi="Arial"/>
        </w:rPr>
        <w:t>to in</w:t>
      </w:r>
      <w:r w:rsidR="00142CF4">
        <w:rPr>
          <w:rFonts w:ascii="Arial" w:hAnsi="Arial"/>
        </w:rPr>
        <w:t xml:space="preserve"> trying to resolve</w:t>
      </w:r>
      <w:r>
        <w:rPr>
          <w:rFonts w:ascii="Arial" w:hAnsi="Arial"/>
        </w:rPr>
        <w:t xml:space="preserve"> the issue internally, which </w:t>
      </w:r>
      <w:r w:rsidR="00AC0BFE">
        <w:rPr>
          <w:rFonts w:ascii="Arial" w:hAnsi="Arial"/>
        </w:rPr>
        <w:t xml:space="preserve">efforts </w:t>
      </w:r>
      <w:r>
        <w:rPr>
          <w:rFonts w:ascii="Arial" w:hAnsi="Arial"/>
        </w:rPr>
        <w:t>hav</w:t>
      </w:r>
      <w:r w:rsidR="00C72A93">
        <w:rPr>
          <w:rFonts w:ascii="Arial" w:hAnsi="Arial"/>
        </w:rPr>
        <w:t xml:space="preserve">e </w:t>
      </w:r>
      <w:r w:rsidR="00AC0BFE">
        <w:rPr>
          <w:rFonts w:ascii="Arial" w:hAnsi="Arial"/>
        </w:rPr>
        <w:t xml:space="preserve">unfortunately </w:t>
      </w:r>
      <w:r w:rsidR="00C72A93">
        <w:rPr>
          <w:rFonts w:ascii="Arial" w:hAnsi="Arial"/>
        </w:rPr>
        <w:t>been unsuccessful so far. It m</w:t>
      </w:r>
      <w:r>
        <w:rPr>
          <w:rFonts w:ascii="Arial" w:hAnsi="Arial"/>
        </w:rPr>
        <w:t>u</w:t>
      </w:r>
      <w:r w:rsidR="00C72A93">
        <w:rPr>
          <w:rFonts w:ascii="Arial" w:hAnsi="Arial"/>
        </w:rPr>
        <w:t>s</w:t>
      </w:r>
      <w:r>
        <w:rPr>
          <w:rFonts w:ascii="Arial" w:hAnsi="Arial"/>
        </w:rPr>
        <w:t xml:space="preserve">t be stated that the court, albeit being the </w:t>
      </w:r>
      <w:r w:rsidR="00C72A93">
        <w:rPr>
          <w:rFonts w:ascii="Arial" w:hAnsi="Arial"/>
        </w:rPr>
        <w:t xml:space="preserve">body </w:t>
      </w:r>
      <w:r w:rsidR="00AC0BFE">
        <w:rPr>
          <w:rFonts w:ascii="Arial" w:hAnsi="Arial"/>
        </w:rPr>
        <w:t xml:space="preserve">primarily </w:t>
      </w:r>
      <w:r w:rsidR="00C72A93">
        <w:rPr>
          <w:rFonts w:ascii="Arial" w:hAnsi="Arial"/>
        </w:rPr>
        <w:t>tasked with resolving disputes, does not always provide a panacea for all human ills, particularly those whose DNA is ecclesiastical in nature.</w:t>
      </w:r>
    </w:p>
    <w:p w14:paraId="1BAD62A2" w14:textId="77777777" w:rsidR="006268AF" w:rsidRDefault="006268AF" w:rsidP="007A6DDB">
      <w:pPr>
        <w:spacing w:line="360" w:lineRule="auto"/>
        <w:jc w:val="both"/>
        <w:rPr>
          <w:rFonts w:ascii="Arial" w:hAnsi="Arial"/>
        </w:rPr>
      </w:pPr>
    </w:p>
    <w:p w14:paraId="1A0A21F4" w14:textId="067B085C" w:rsidR="00C72A93" w:rsidRDefault="00C72A93" w:rsidP="007A6DDB">
      <w:pPr>
        <w:spacing w:line="360" w:lineRule="auto"/>
        <w:jc w:val="both"/>
        <w:rPr>
          <w:rFonts w:ascii="Arial" w:hAnsi="Arial"/>
        </w:rPr>
      </w:pPr>
      <w:r>
        <w:rPr>
          <w:rFonts w:ascii="Arial" w:hAnsi="Arial"/>
        </w:rPr>
        <w:t>[2</w:t>
      </w:r>
      <w:r w:rsidR="003438DD">
        <w:rPr>
          <w:rFonts w:ascii="Arial" w:hAnsi="Arial"/>
        </w:rPr>
        <w:t>9</w:t>
      </w:r>
      <w:r>
        <w:rPr>
          <w:rFonts w:ascii="Arial" w:hAnsi="Arial"/>
        </w:rPr>
        <w:t>]</w:t>
      </w:r>
      <w:r>
        <w:rPr>
          <w:rFonts w:ascii="Arial" w:hAnsi="Arial"/>
        </w:rPr>
        <w:tab/>
        <w:t xml:space="preserve">In this regard, even the court does not deal with some disputes, at least not initially, as these are diverted to mediation and at times </w:t>
      </w:r>
      <w:r w:rsidR="00AC0BFE">
        <w:rPr>
          <w:rFonts w:ascii="Arial" w:hAnsi="Arial"/>
        </w:rPr>
        <w:t xml:space="preserve">to </w:t>
      </w:r>
      <w:r>
        <w:rPr>
          <w:rFonts w:ascii="Arial" w:hAnsi="Arial"/>
        </w:rPr>
        <w:t xml:space="preserve">arbitration. The court would, in this regard, implore the parties involved in the dispute, to engage </w:t>
      </w:r>
      <w:r>
        <w:rPr>
          <w:rFonts w:ascii="Arial" w:hAnsi="Arial"/>
        </w:rPr>
        <w:lastRenderedPageBreak/>
        <w:t>institutions or persons who could assist the parties chart a way forward for the ordinary Namibians who have affiliated to the 1</w:t>
      </w:r>
      <w:r w:rsidRPr="00C72A93">
        <w:rPr>
          <w:rFonts w:ascii="Arial" w:hAnsi="Arial"/>
          <w:vertAlign w:val="superscript"/>
        </w:rPr>
        <w:t>st</w:t>
      </w:r>
      <w:r>
        <w:rPr>
          <w:rFonts w:ascii="Arial" w:hAnsi="Arial"/>
        </w:rPr>
        <w:t xml:space="preserve"> respondent to continue receiving the spiritual and cultural inspiration that the 1</w:t>
      </w:r>
      <w:r w:rsidRPr="00C72A93">
        <w:rPr>
          <w:rFonts w:ascii="Arial" w:hAnsi="Arial"/>
          <w:vertAlign w:val="superscript"/>
        </w:rPr>
        <w:t>st</w:t>
      </w:r>
      <w:r>
        <w:rPr>
          <w:rFonts w:ascii="Arial" w:hAnsi="Arial"/>
        </w:rPr>
        <w:t xml:space="preserve"> respondent was designed to offer. </w:t>
      </w:r>
    </w:p>
    <w:p w14:paraId="16E88E34" w14:textId="77777777" w:rsidR="003671E1" w:rsidRDefault="003671E1" w:rsidP="007A6DDB">
      <w:pPr>
        <w:spacing w:line="360" w:lineRule="auto"/>
        <w:jc w:val="both"/>
        <w:rPr>
          <w:rFonts w:ascii="Arial" w:hAnsi="Arial"/>
        </w:rPr>
      </w:pPr>
    </w:p>
    <w:p w14:paraId="72A41C4E" w14:textId="439B358A" w:rsidR="003671E1" w:rsidRDefault="003438DD" w:rsidP="007A6DDB">
      <w:pPr>
        <w:spacing w:line="360" w:lineRule="auto"/>
        <w:jc w:val="both"/>
        <w:rPr>
          <w:rFonts w:ascii="Arial" w:hAnsi="Arial"/>
        </w:rPr>
      </w:pPr>
      <w:r>
        <w:rPr>
          <w:rFonts w:ascii="Arial" w:hAnsi="Arial"/>
        </w:rPr>
        <w:t>[30</w:t>
      </w:r>
      <w:r w:rsidR="003671E1">
        <w:rPr>
          <w:rFonts w:ascii="Arial" w:hAnsi="Arial"/>
        </w:rPr>
        <w:t>]</w:t>
      </w:r>
      <w:r w:rsidR="003671E1">
        <w:rPr>
          <w:rFonts w:ascii="Arial" w:hAnsi="Arial"/>
        </w:rPr>
        <w:tab/>
        <w:t>At the heart of the matter and its possible resolution, must not sit the personal egos of the parties cited in this matter but the interests of the 1</w:t>
      </w:r>
      <w:r w:rsidR="003671E1" w:rsidRPr="003671E1">
        <w:rPr>
          <w:rFonts w:ascii="Arial" w:hAnsi="Arial"/>
          <w:vertAlign w:val="superscript"/>
        </w:rPr>
        <w:t>st</w:t>
      </w:r>
      <w:r w:rsidR="003671E1">
        <w:rPr>
          <w:rFonts w:ascii="Arial" w:hAnsi="Arial"/>
        </w:rPr>
        <w:t xml:space="preserve"> respondent, not jus a s a company, but as an ecclesiastical body, whose core mandate is to provide, amongst other things, spiritual and cultural nourishment of the congregants, regardless of which side of the divide the congregants happen to fall.  </w:t>
      </w:r>
    </w:p>
    <w:p w14:paraId="598AB49C" w14:textId="77777777" w:rsidR="00C72A93" w:rsidRDefault="00C72A93" w:rsidP="007A6DDB">
      <w:pPr>
        <w:spacing w:line="360" w:lineRule="auto"/>
        <w:jc w:val="both"/>
        <w:rPr>
          <w:rFonts w:ascii="Arial" w:hAnsi="Arial"/>
        </w:rPr>
      </w:pPr>
    </w:p>
    <w:p w14:paraId="393FA854" w14:textId="0193E869" w:rsidR="00C72A93" w:rsidRDefault="00C72A93" w:rsidP="007A6DDB">
      <w:pPr>
        <w:spacing w:line="360" w:lineRule="auto"/>
        <w:jc w:val="both"/>
        <w:rPr>
          <w:rFonts w:ascii="Arial" w:hAnsi="Arial"/>
          <w:u w:val="single"/>
        </w:rPr>
      </w:pPr>
      <w:r>
        <w:rPr>
          <w:rFonts w:ascii="Arial" w:hAnsi="Arial"/>
          <w:u w:val="single"/>
        </w:rPr>
        <w:t>Conclusion</w:t>
      </w:r>
    </w:p>
    <w:p w14:paraId="5A296852" w14:textId="77777777" w:rsidR="00C72A93" w:rsidRPr="00C72A93" w:rsidRDefault="00C72A93" w:rsidP="007A6DDB">
      <w:pPr>
        <w:spacing w:line="360" w:lineRule="auto"/>
        <w:jc w:val="both"/>
        <w:rPr>
          <w:rFonts w:ascii="Arial" w:hAnsi="Arial"/>
          <w:u w:val="single"/>
        </w:rPr>
      </w:pPr>
    </w:p>
    <w:p w14:paraId="72D0964B" w14:textId="2775FDF9" w:rsidR="00C72A93" w:rsidRDefault="003438DD" w:rsidP="007A6DDB">
      <w:pPr>
        <w:spacing w:line="360" w:lineRule="auto"/>
        <w:jc w:val="both"/>
        <w:rPr>
          <w:rFonts w:ascii="Arial" w:hAnsi="Arial"/>
        </w:rPr>
      </w:pPr>
      <w:r>
        <w:rPr>
          <w:rFonts w:ascii="Arial" w:hAnsi="Arial"/>
        </w:rPr>
        <w:t>[31</w:t>
      </w:r>
      <w:r w:rsidR="00C72A93">
        <w:rPr>
          <w:rFonts w:ascii="Arial" w:hAnsi="Arial"/>
        </w:rPr>
        <w:t>]</w:t>
      </w:r>
      <w:r w:rsidR="00C72A93">
        <w:rPr>
          <w:rFonts w:ascii="Arial" w:hAnsi="Arial"/>
        </w:rPr>
        <w:tab/>
        <w:t>Clearly, having regard to the entire matter and its mechanics, so to speak, this is a matter, even if one were to agree with the applicants as I have, that there is a deadlock, winding up of the 1</w:t>
      </w:r>
      <w:r w:rsidR="00C72A93" w:rsidRPr="00C72A93">
        <w:rPr>
          <w:rFonts w:ascii="Arial" w:hAnsi="Arial"/>
          <w:vertAlign w:val="superscript"/>
        </w:rPr>
        <w:t>st</w:t>
      </w:r>
      <w:r w:rsidR="00C72A93">
        <w:rPr>
          <w:rFonts w:ascii="Arial" w:hAnsi="Arial"/>
        </w:rPr>
        <w:t xml:space="preserve"> respondent on the basis of the just and equitable principle is not an appropriate remedy that would meet the ends of justice, equity and fairness</w:t>
      </w:r>
      <w:r w:rsidR="003671E1">
        <w:rPr>
          <w:rFonts w:ascii="Arial" w:hAnsi="Arial"/>
        </w:rPr>
        <w:t xml:space="preserve"> in the present circumstances</w:t>
      </w:r>
      <w:r w:rsidR="00C72A93">
        <w:rPr>
          <w:rFonts w:ascii="Arial" w:hAnsi="Arial"/>
        </w:rPr>
        <w:t>.</w:t>
      </w:r>
    </w:p>
    <w:p w14:paraId="1818481A" w14:textId="77777777" w:rsidR="00C72A93" w:rsidRDefault="00C72A93" w:rsidP="007A6DDB">
      <w:pPr>
        <w:spacing w:line="360" w:lineRule="auto"/>
        <w:jc w:val="both"/>
        <w:rPr>
          <w:rFonts w:ascii="Arial" w:hAnsi="Arial"/>
        </w:rPr>
      </w:pPr>
    </w:p>
    <w:p w14:paraId="7692C171" w14:textId="77777777" w:rsidR="00C72A93" w:rsidRDefault="00C72A93" w:rsidP="007A6DDB">
      <w:pPr>
        <w:spacing w:line="360" w:lineRule="auto"/>
        <w:jc w:val="both"/>
        <w:rPr>
          <w:rFonts w:ascii="Arial" w:hAnsi="Arial"/>
          <w:u w:val="single"/>
        </w:rPr>
      </w:pPr>
      <w:r>
        <w:rPr>
          <w:rFonts w:ascii="Arial" w:hAnsi="Arial"/>
          <w:u w:val="single"/>
        </w:rPr>
        <w:t>Order</w:t>
      </w:r>
    </w:p>
    <w:p w14:paraId="577D277B" w14:textId="77777777" w:rsidR="00C72A93" w:rsidRDefault="00C72A93" w:rsidP="007A6DDB">
      <w:pPr>
        <w:spacing w:line="360" w:lineRule="auto"/>
        <w:jc w:val="both"/>
        <w:rPr>
          <w:rFonts w:ascii="Arial" w:hAnsi="Arial"/>
          <w:u w:val="single"/>
        </w:rPr>
      </w:pPr>
    </w:p>
    <w:p w14:paraId="12B850FC" w14:textId="48592386" w:rsidR="00BB4C51" w:rsidRDefault="003438DD" w:rsidP="007A6DDB">
      <w:pPr>
        <w:spacing w:line="360" w:lineRule="auto"/>
        <w:jc w:val="both"/>
        <w:rPr>
          <w:rFonts w:ascii="Arial" w:hAnsi="Arial"/>
        </w:rPr>
      </w:pPr>
      <w:r>
        <w:rPr>
          <w:rFonts w:ascii="Arial" w:hAnsi="Arial"/>
        </w:rPr>
        <w:t>[32</w:t>
      </w:r>
      <w:r w:rsidR="00C72A93">
        <w:rPr>
          <w:rFonts w:ascii="Arial" w:hAnsi="Arial"/>
        </w:rPr>
        <w:t>]</w:t>
      </w:r>
      <w:r w:rsidR="00C72A93">
        <w:rPr>
          <w:rFonts w:ascii="Arial" w:hAnsi="Arial"/>
        </w:rPr>
        <w:tab/>
        <w:t>In view of what is stated above, I am of the view that the applicant</w:t>
      </w:r>
      <w:r w:rsidR="003671E1">
        <w:rPr>
          <w:rFonts w:ascii="Arial" w:hAnsi="Arial"/>
        </w:rPr>
        <w:t>s</w:t>
      </w:r>
      <w:r w:rsidR="00C72A93">
        <w:rPr>
          <w:rFonts w:ascii="Arial" w:hAnsi="Arial"/>
        </w:rPr>
        <w:t>, upon a consideration of the matter and upon proper exerci</w:t>
      </w:r>
      <w:r w:rsidR="003671E1">
        <w:rPr>
          <w:rFonts w:ascii="Arial" w:hAnsi="Arial"/>
        </w:rPr>
        <w:t>se of the court’s discretion, are</w:t>
      </w:r>
      <w:r w:rsidR="00C72A93">
        <w:rPr>
          <w:rFonts w:ascii="Arial" w:hAnsi="Arial"/>
        </w:rPr>
        <w:t xml:space="preserve"> not entitled to the order prayed for. In the premises, the following order is considered appropriate: </w:t>
      </w:r>
    </w:p>
    <w:p w14:paraId="09C3487E" w14:textId="77777777" w:rsidR="00C72A93" w:rsidRDefault="00C72A93" w:rsidP="007A6DDB">
      <w:pPr>
        <w:spacing w:line="360" w:lineRule="auto"/>
        <w:jc w:val="both"/>
        <w:rPr>
          <w:rFonts w:ascii="Arial" w:hAnsi="Arial"/>
        </w:rPr>
      </w:pPr>
    </w:p>
    <w:p w14:paraId="23C0BF6D" w14:textId="4B1D7480" w:rsidR="00C72A93" w:rsidRPr="003671E1" w:rsidRDefault="00C72A93" w:rsidP="003671E1">
      <w:pPr>
        <w:pStyle w:val="ListParagraph"/>
        <w:numPr>
          <w:ilvl w:val="0"/>
          <w:numId w:val="2"/>
        </w:numPr>
        <w:spacing w:line="360" w:lineRule="auto"/>
        <w:jc w:val="both"/>
        <w:rPr>
          <w:rFonts w:ascii="Arial" w:hAnsi="Arial"/>
        </w:rPr>
      </w:pPr>
      <w:r w:rsidRPr="003671E1">
        <w:rPr>
          <w:rFonts w:ascii="Arial" w:hAnsi="Arial"/>
        </w:rPr>
        <w:t>The application is dismissed.</w:t>
      </w:r>
    </w:p>
    <w:p w14:paraId="650BF5A6" w14:textId="01575D68" w:rsidR="009B782F" w:rsidRDefault="009B782F" w:rsidP="003671E1">
      <w:pPr>
        <w:pStyle w:val="ListParagraph"/>
        <w:numPr>
          <w:ilvl w:val="0"/>
          <w:numId w:val="2"/>
        </w:numPr>
        <w:spacing w:line="360" w:lineRule="auto"/>
        <w:jc w:val="both"/>
        <w:rPr>
          <w:rFonts w:ascii="Arial" w:hAnsi="Arial"/>
        </w:rPr>
      </w:pPr>
      <w:r>
        <w:rPr>
          <w:rFonts w:ascii="Arial" w:hAnsi="Arial"/>
        </w:rPr>
        <w:t>The applicants are ordered to pay the costs of this application, consequent upon the employment of one instructing and one instructed counsel.</w:t>
      </w:r>
    </w:p>
    <w:p w14:paraId="3C93348A" w14:textId="143E4827" w:rsidR="00FA720F" w:rsidRDefault="009B782F" w:rsidP="00FA720F">
      <w:pPr>
        <w:pStyle w:val="ListParagraph"/>
        <w:numPr>
          <w:ilvl w:val="0"/>
          <w:numId w:val="2"/>
        </w:numPr>
        <w:spacing w:line="360" w:lineRule="auto"/>
        <w:jc w:val="both"/>
        <w:rPr>
          <w:rFonts w:ascii="Arial" w:hAnsi="Arial"/>
        </w:rPr>
      </w:pPr>
      <w:r>
        <w:rPr>
          <w:rFonts w:ascii="Arial" w:hAnsi="Arial"/>
        </w:rPr>
        <w:t>The matter is removed from the ro</w:t>
      </w:r>
      <w:r w:rsidR="00FA720F">
        <w:rPr>
          <w:rFonts w:ascii="Arial" w:hAnsi="Arial"/>
        </w:rPr>
        <w:t>ll and is regarded as finalised.</w:t>
      </w:r>
    </w:p>
    <w:p w14:paraId="3462CC72" w14:textId="77777777" w:rsidR="00FA720F" w:rsidRDefault="00FA720F" w:rsidP="00FA720F">
      <w:pPr>
        <w:spacing w:line="360" w:lineRule="auto"/>
        <w:jc w:val="both"/>
        <w:rPr>
          <w:rFonts w:ascii="Arial" w:hAnsi="Arial"/>
        </w:rPr>
      </w:pPr>
    </w:p>
    <w:p w14:paraId="6FFA168E" w14:textId="77777777" w:rsidR="00FA720F" w:rsidRPr="00FA720F" w:rsidRDefault="00FA720F" w:rsidP="00FA720F">
      <w:pPr>
        <w:spacing w:line="360" w:lineRule="auto"/>
        <w:jc w:val="both"/>
        <w:rPr>
          <w:rFonts w:ascii="Arial" w:hAnsi="Arial"/>
        </w:rPr>
      </w:pPr>
    </w:p>
    <w:p w14:paraId="0767FF8D" w14:textId="79754C9F" w:rsidR="00EE7084" w:rsidRDefault="00EE7084" w:rsidP="00EE7084">
      <w:pPr>
        <w:spacing w:line="360" w:lineRule="auto"/>
        <w:jc w:val="right"/>
        <w:rPr>
          <w:rFonts w:ascii="Arial" w:hAnsi="Arial"/>
        </w:rPr>
      </w:pPr>
      <w:r>
        <w:rPr>
          <w:rFonts w:ascii="Arial" w:hAnsi="Arial"/>
        </w:rPr>
        <w:lastRenderedPageBreak/>
        <w:t>______________</w:t>
      </w:r>
    </w:p>
    <w:p w14:paraId="332A5114" w14:textId="0DD0BD24" w:rsidR="00EE7084" w:rsidRDefault="00EE7084" w:rsidP="00EE7084">
      <w:pPr>
        <w:spacing w:line="360" w:lineRule="auto"/>
        <w:jc w:val="right"/>
        <w:rPr>
          <w:rFonts w:ascii="Arial" w:hAnsi="Arial"/>
        </w:rPr>
      </w:pPr>
      <w:r>
        <w:rPr>
          <w:rFonts w:ascii="Arial" w:hAnsi="Arial"/>
        </w:rPr>
        <w:t>T.S Masuku</w:t>
      </w:r>
    </w:p>
    <w:p w14:paraId="001702BD" w14:textId="1BF4D590" w:rsidR="00EE7084" w:rsidRPr="00EE7084" w:rsidRDefault="00EE7084" w:rsidP="00EE7084">
      <w:pPr>
        <w:spacing w:line="360" w:lineRule="auto"/>
        <w:jc w:val="right"/>
        <w:rPr>
          <w:rFonts w:ascii="Arial" w:hAnsi="Arial"/>
        </w:rPr>
      </w:pPr>
      <w:r>
        <w:rPr>
          <w:rFonts w:ascii="Arial" w:hAnsi="Arial"/>
        </w:rPr>
        <w:t>Judge</w:t>
      </w:r>
    </w:p>
    <w:p w14:paraId="108E0654" w14:textId="77777777" w:rsidR="00BB4C51" w:rsidRDefault="00BB4C51" w:rsidP="007A6DDB">
      <w:pPr>
        <w:spacing w:line="360" w:lineRule="auto"/>
        <w:jc w:val="both"/>
        <w:rPr>
          <w:rFonts w:ascii="Arial" w:hAnsi="Arial"/>
          <w:sz w:val="22"/>
          <w:szCs w:val="22"/>
        </w:rPr>
      </w:pPr>
    </w:p>
    <w:p w14:paraId="33958960" w14:textId="77777777" w:rsidR="00BB4C51" w:rsidRDefault="00BB4C51" w:rsidP="007A6DDB">
      <w:pPr>
        <w:spacing w:line="360" w:lineRule="auto"/>
        <w:jc w:val="both"/>
        <w:rPr>
          <w:rFonts w:ascii="Arial" w:hAnsi="Arial"/>
          <w:sz w:val="22"/>
          <w:szCs w:val="22"/>
        </w:rPr>
      </w:pPr>
    </w:p>
    <w:p w14:paraId="2ADCAC2D" w14:textId="77777777" w:rsidR="006268AF" w:rsidRDefault="006268AF" w:rsidP="007A6DDB">
      <w:pPr>
        <w:spacing w:line="360" w:lineRule="auto"/>
        <w:jc w:val="both"/>
        <w:rPr>
          <w:rFonts w:ascii="Arial" w:hAnsi="Arial"/>
          <w:sz w:val="22"/>
          <w:szCs w:val="22"/>
        </w:rPr>
      </w:pPr>
    </w:p>
    <w:p w14:paraId="68404A6F" w14:textId="77777777" w:rsidR="00FA720F" w:rsidRDefault="00FA720F" w:rsidP="007A6DDB">
      <w:pPr>
        <w:spacing w:line="360" w:lineRule="auto"/>
        <w:jc w:val="both"/>
        <w:rPr>
          <w:rFonts w:ascii="Arial" w:hAnsi="Arial"/>
          <w:sz w:val="22"/>
          <w:szCs w:val="22"/>
        </w:rPr>
      </w:pPr>
    </w:p>
    <w:p w14:paraId="0574601E" w14:textId="77777777" w:rsidR="00FA720F" w:rsidRDefault="00FA720F" w:rsidP="007A6DDB">
      <w:pPr>
        <w:spacing w:line="360" w:lineRule="auto"/>
        <w:jc w:val="both"/>
        <w:rPr>
          <w:rFonts w:ascii="Arial" w:hAnsi="Arial"/>
          <w:sz w:val="22"/>
          <w:szCs w:val="22"/>
        </w:rPr>
      </w:pPr>
    </w:p>
    <w:p w14:paraId="5C97FF91" w14:textId="77777777" w:rsidR="00FA720F" w:rsidRDefault="00FA720F" w:rsidP="007A6DDB">
      <w:pPr>
        <w:spacing w:line="360" w:lineRule="auto"/>
        <w:jc w:val="both"/>
        <w:rPr>
          <w:rFonts w:ascii="Arial" w:hAnsi="Arial"/>
          <w:sz w:val="22"/>
          <w:szCs w:val="22"/>
        </w:rPr>
      </w:pPr>
    </w:p>
    <w:p w14:paraId="4E343F02" w14:textId="77777777" w:rsidR="00FA720F" w:rsidRDefault="00FA720F" w:rsidP="007A6DDB">
      <w:pPr>
        <w:spacing w:line="360" w:lineRule="auto"/>
        <w:jc w:val="both"/>
        <w:rPr>
          <w:rFonts w:ascii="Arial" w:hAnsi="Arial"/>
          <w:sz w:val="22"/>
          <w:szCs w:val="22"/>
        </w:rPr>
      </w:pPr>
    </w:p>
    <w:p w14:paraId="456207B1" w14:textId="77777777" w:rsidR="00FA720F" w:rsidRDefault="00FA720F" w:rsidP="007A6DDB">
      <w:pPr>
        <w:spacing w:line="360" w:lineRule="auto"/>
        <w:jc w:val="both"/>
        <w:rPr>
          <w:rFonts w:ascii="Arial" w:hAnsi="Arial"/>
          <w:sz w:val="22"/>
          <w:szCs w:val="22"/>
        </w:rPr>
      </w:pPr>
    </w:p>
    <w:p w14:paraId="5CCDF494" w14:textId="77777777" w:rsidR="00FA720F" w:rsidRDefault="00FA720F" w:rsidP="007A6DDB">
      <w:pPr>
        <w:spacing w:line="360" w:lineRule="auto"/>
        <w:jc w:val="both"/>
        <w:rPr>
          <w:rFonts w:ascii="Arial" w:hAnsi="Arial"/>
          <w:sz w:val="22"/>
          <w:szCs w:val="22"/>
        </w:rPr>
      </w:pPr>
    </w:p>
    <w:p w14:paraId="642CC574" w14:textId="77777777" w:rsidR="00FA720F" w:rsidRDefault="00FA720F" w:rsidP="007A6DDB">
      <w:pPr>
        <w:spacing w:line="360" w:lineRule="auto"/>
        <w:jc w:val="both"/>
        <w:rPr>
          <w:rFonts w:ascii="Arial" w:hAnsi="Arial"/>
          <w:sz w:val="22"/>
          <w:szCs w:val="22"/>
        </w:rPr>
      </w:pPr>
    </w:p>
    <w:p w14:paraId="249FDE5D" w14:textId="77777777" w:rsidR="00FA720F" w:rsidRDefault="00FA720F" w:rsidP="007A6DDB">
      <w:pPr>
        <w:spacing w:line="360" w:lineRule="auto"/>
        <w:jc w:val="both"/>
        <w:rPr>
          <w:rFonts w:ascii="Arial" w:hAnsi="Arial"/>
          <w:sz w:val="22"/>
          <w:szCs w:val="22"/>
        </w:rPr>
      </w:pPr>
    </w:p>
    <w:p w14:paraId="24226CDB" w14:textId="77777777" w:rsidR="00FA720F" w:rsidRDefault="00FA720F" w:rsidP="007A6DDB">
      <w:pPr>
        <w:spacing w:line="360" w:lineRule="auto"/>
        <w:jc w:val="both"/>
        <w:rPr>
          <w:rFonts w:ascii="Arial" w:hAnsi="Arial"/>
          <w:sz w:val="22"/>
          <w:szCs w:val="22"/>
        </w:rPr>
      </w:pPr>
    </w:p>
    <w:p w14:paraId="57B6C395" w14:textId="77777777" w:rsidR="00FA720F" w:rsidRDefault="00FA720F" w:rsidP="007A6DDB">
      <w:pPr>
        <w:spacing w:line="360" w:lineRule="auto"/>
        <w:jc w:val="both"/>
        <w:rPr>
          <w:rFonts w:ascii="Arial" w:hAnsi="Arial"/>
          <w:sz w:val="22"/>
          <w:szCs w:val="22"/>
        </w:rPr>
      </w:pPr>
    </w:p>
    <w:p w14:paraId="197A038C" w14:textId="77777777" w:rsidR="00FA720F" w:rsidRDefault="00FA720F" w:rsidP="007A6DDB">
      <w:pPr>
        <w:spacing w:line="360" w:lineRule="auto"/>
        <w:jc w:val="both"/>
        <w:rPr>
          <w:rFonts w:ascii="Arial" w:hAnsi="Arial"/>
          <w:sz w:val="22"/>
          <w:szCs w:val="22"/>
        </w:rPr>
      </w:pPr>
    </w:p>
    <w:p w14:paraId="78E6D238" w14:textId="77777777" w:rsidR="00FA720F" w:rsidRDefault="00FA720F" w:rsidP="007A6DDB">
      <w:pPr>
        <w:spacing w:line="360" w:lineRule="auto"/>
        <w:jc w:val="both"/>
        <w:rPr>
          <w:rFonts w:ascii="Arial" w:hAnsi="Arial"/>
          <w:sz w:val="22"/>
          <w:szCs w:val="22"/>
        </w:rPr>
      </w:pPr>
    </w:p>
    <w:p w14:paraId="4A1BAFAB" w14:textId="77777777" w:rsidR="00FA720F" w:rsidRDefault="00FA720F" w:rsidP="007A6DDB">
      <w:pPr>
        <w:spacing w:line="360" w:lineRule="auto"/>
        <w:jc w:val="both"/>
        <w:rPr>
          <w:rFonts w:ascii="Arial" w:hAnsi="Arial"/>
          <w:sz w:val="22"/>
          <w:szCs w:val="22"/>
        </w:rPr>
      </w:pPr>
    </w:p>
    <w:p w14:paraId="232F20BE" w14:textId="77777777" w:rsidR="00FA720F" w:rsidRDefault="00FA720F" w:rsidP="007A6DDB">
      <w:pPr>
        <w:spacing w:line="360" w:lineRule="auto"/>
        <w:jc w:val="both"/>
        <w:rPr>
          <w:rFonts w:ascii="Arial" w:hAnsi="Arial"/>
          <w:sz w:val="22"/>
          <w:szCs w:val="22"/>
        </w:rPr>
      </w:pPr>
    </w:p>
    <w:p w14:paraId="6207E8E5" w14:textId="77777777" w:rsidR="00FA720F" w:rsidRDefault="00FA720F" w:rsidP="007A6DDB">
      <w:pPr>
        <w:spacing w:line="360" w:lineRule="auto"/>
        <w:jc w:val="both"/>
        <w:rPr>
          <w:rFonts w:ascii="Arial" w:hAnsi="Arial"/>
          <w:sz w:val="22"/>
          <w:szCs w:val="22"/>
        </w:rPr>
      </w:pPr>
    </w:p>
    <w:p w14:paraId="647E8B28" w14:textId="77777777" w:rsidR="00FA720F" w:rsidRDefault="00FA720F" w:rsidP="007A6DDB">
      <w:pPr>
        <w:spacing w:line="360" w:lineRule="auto"/>
        <w:jc w:val="both"/>
        <w:rPr>
          <w:rFonts w:ascii="Arial" w:hAnsi="Arial"/>
          <w:sz w:val="22"/>
          <w:szCs w:val="22"/>
        </w:rPr>
      </w:pPr>
    </w:p>
    <w:p w14:paraId="65AD61EF" w14:textId="77777777" w:rsidR="00FA720F" w:rsidRDefault="00FA720F" w:rsidP="007A6DDB">
      <w:pPr>
        <w:spacing w:line="360" w:lineRule="auto"/>
        <w:jc w:val="both"/>
        <w:rPr>
          <w:rFonts w:ascii="Arial" w:hAnsi="Arial"/>
          <w:sz w:val="22"/>
          <w:szCs w:val="22"/>
        </w:rPr>
      </w:pPr>
    </w:p>
    <w:p w14:paraId="4792F6F3" w14:textId="77777777" w:rsidR="00FA720F" w:rsidRDefault="00FA720F" w:rsidP="007A6DDB">
      <w:pPr>
        <w:spacing w:line="360" w:lineRule="auto"/>
        <w:jc w:val="both"/>
        <w:rPr>
          <w:rFonts w:ascii="Arial" w:hAnsi="Arial"/>
          <w:sz w:val="22"/>
          <w:szCs w:val="22"/>
        </w:rPr>
      </w:pPr>
    </w:p>
    <w:p w14:paraId="6C189C0B" w14:textId="77777777" w:rsidR="00FA720F" w:rsidRDefault="00FA720F" w:rsidP="007A6DDB">
      <w:pPr>
        <w:spacing w:line="360" w:lineRule="auto"/>
        <w:jc w:val="both"/>
        <w:rPr>
          <w:rFonts w:ascii="Arial" w:hAnsi="Arial"/>
          <w:sz w:val="22"/>
          <w:szCs w:val="22"/>
        </w:rPr>
      </w:pPr>
    </w:p>
    <w:p w14:paraId="0727550D" w14:textId="77777777" w:rsidR="00FA720F" w:rsidRDefault="00FA720F" w:rsidP="007A6DDB">
      <w:pPr>
        <w:spacing w:line="360" w:lineRule="auto"/>
        <w:jc w:val="both"/>
        <w:rPr>
          <w:rFonts w:ascii="Arial" w:hAnsi="Arial"/>
          <w:sz w:val="22"/>
          <w:szCs w:val="22"/>
        </w:rPr>
      </w:pPr>
    </w:p>
    <w:p w14:paraId="0AF67B5D" w14:textId="77777777" w:rsidR="00FA720F" w:rsidRDefault="00FA720F" w:rsidP="007A6DDB">
      <w:pPr>
        <w:spacing w:line="360" w:lineRule="auto"/>
        <w:jc w:val="both"/>
        <w:rPr>
          <w:rFonts w:ascii="Arial" w:hAnsi="Arial"/>
          <w:sz w:val="22"/>
          <w:szCs w:val="22"/>
        </w:rPr>
      </w:pPr>
    </w:p>
    <w:p w14:paraId="2CE755A2" w14:textId="77777777" w:rsidR="00FA720F" w:rsidRDefault="00FA720F" w:rsidP="007A6DDB">
      <w:pPr>
        <w:spacing w:line="360" w:lineRule="auto"/>
        <w:jc w:val="both"/>
        <w:rPr>
          <w:rFonts w:ascii="Arial" w:hAnsi="Arial"/>
          <w:sz w:val="22"/>
          <w:szCs w:val="22"/>
        </w:rPr>
      </w:pPr>
    </w:p>
    <w:p w14:paraId="41CD0031" w14:textId="77777777" w:rsidR="00FA720F" w:rsidRDefault="00FA720F" w:rsidP="007A6DDB">
      <w:pPr>
        <w:spacing w:line="360" w:lineRule="auto"/>
        <w:jc w:val="both"/>
        <w:rPr>
          <w:rFonts w:ascii="Arial" w:hAnsi="Arial"/>
          <w:sz w:val="22"/>
          <w:szCs w:val="22"/>
        </w:rPr>
      </w:pPr>
    </w:p>
    <w:p w14:paraId="708D378E" w14:textId="77777777" w:rsidR="00FA720F" w:rsidRDefault="00FA720F" w:rsidP="007A6DDB">
      <w:pPr>
        <w:spacing w:line="360" w:lineRule="auto"/>
        <w:jc w:val="both"/>
        <w:rPr>
          <w:rFonts w:ascii="Arial" w:hAnsi="Arial"/>
          <w:sz w:val="22"/>
          <w:szCs w:val="22"/>
        </w:rPr>
      </w:pPr>
    </w:p>
    <w:p w14:paraId="74994808" w14:textId="77777777" w:rsidR="00FA720F" w:rsidRDefault="00FA720F" w:rsidP="007A6DDB">
      <w:pPr>
        <w:spacing w:line="360" w:lineRule="auto"/>
        <w:jc w:val="both"/>
        <w:rPr>
          <w:rFonts w:ascii="Arial" w:hAnsi="Arial"/>
          <w:sz w:val="22"/>
          <w:szCs w:val="22"/>
        </w:rPr>
      </w:pPr>
    </w:p>
    <w:p w14:paraId="376D4814" w14:textId="77777777" w:rsidR="00FA720F" w:rsidRDefault="00FA720F" w:rsidP="007A6DDB">
      <w:pPr>
        <w:spacing w:line="360" w:lineRule="auto"/>
        <w:jc w:val="both"/>
        <w:rPr>
          <w:rFonts w:ascii="Arial" w:hAnsi="Arial"/>
          <w:sz w:val="22"/>
          <w:szCs w:val="22"/>
        </w:rPr>
      </w:pPr>
    </w:p>
    <w:p w14:paraId="7672F3C4" w14:textId="77777777" w:rsidR="00FA720F" w:rsidRDefault="00FA720F" w:rsidP="007A6DDB">
      <w:pPr>
        <w:spacing w:line="360" w:lineRule="auto"/>
        <w:jc w:val="both"/>
        <w:rPr>
          <w:rFonts w:ascii="Arial" w:hAnsi="Arial"/>
          <w:sz w:val="22"/>
          <w:szCs w:val="22"/>
        </w:rPr>
      </w:pPr>
    </w:p>
    <w:p w14:paraId="32FE9180" w14:textId="77777777" w:rsidR="00FA720F" w:rsidRDefault="00FA720F" w:rsidP="007A6DDB">
      <w:pPr>
        <w:spacing w:line="360" w:lineRule="auto"/>
        <w:jc w:val="both"/>
        <w:rPr>
          <w:rFonts w:ascii="Arial" w:hAnsi="Arial"/>
          <w:sz w:val="22"/>
          <w:szCs w:val="22"/>
        </w:rPr>
      </w:pPr>
    </w:p>
    <w:p w14:paraId="6B20B988" w14:textId="77777777" w:rsidR="00FA720F" w:rsidRDefault="00FA720F" w:rsidP="007A6DDB">
      <w:pPr>
        <w:spacing w:line="360" w:lineRule="auto"/>
        <w:jc w:val="both"/>
        <w:rPr>
          <w:rFonts w:ascii="Arial" w:hAnsi="Arial"/>
          <w:sz w:val="22"/>
          <w:szCs w:val="22"/>
        </w:rPr>
      </w:pPr>
    </w:p>
    <w:p w14:paraId="617A9509" w14:textId="77777777" w:rsidR="00FA720F" w:rsidRDefault="00FA720F" w:rsidP="007A6DDB">
      <w:pPr>
        <w:spacing w:line="360" w:lineRule="auto"/>
        <w:jc w:val="both"/>
        <w:rPr>
          <w:rFonts w:ascii="Arial" w:hAnsi="Arial"/>
          <w:sz w:val="22"/>
          <w:szCs w:val="22"/>
        </w:rPr>
      </w:pPr>
    </w:p>
    <w:p w14:paraId="0D1A4C2C" w14:textId="77777777" w:rsidR="00FA720F" w:rsidRDefault="00FA720F" w:rsidP="007A6DDB">
      <w:pPr>
        <w:spacing w:line="360" w:lineRule="auto"/>
        <w:jc w:val="both"/>
        <w:rPr>
          <w:rFonts w:ascii="Arial" w:hAnsi="Arial"/>
          <w:sz w:val="22"/>
          <w:szCs w:val="22"/>
        </w:rPr>
      </w:pPr>
    </w:p>
    <w:p w14:paraId="32945C56" w14:textId="72807699" w:rsidR="00EE7084" w:rsidRDefault="00EE7084" w:rsidP="007A6DDB">
      <w:pPr>
        <w:spacing w:line="360" w:lineRule="auto"/>
        <w:jc w:val="both"/>
        <w:rPr>
          <w:rFonts w:ascii="Arial" w:hAnsi="Arial"/>
          <w:sz w:val="22"/>
          <w:szCs w:val="22"/>
        </w:rPr>
      </w:pPr>
      <w:r>
        <w:rPr>
          <w:rFonts w:ascii="Arial" w:hAnsi="Arial"/>
          <w:sz w:val="22"/>
          <w:szCs w:val="22"/>
        </w:rPr>
        <w:t>APPEARANCES:</w:t>
      </w:r>
    </w:p>
    <w:p w14:paraId="4552D2FA" w14:textId="77777777" w:rsidR="000A5B25" w:rsidRDefault="000A5B25" w:rsidP="007A6DDB">
      <w:pPr>
        <w:spacing w:line="360" w:lineRule="auto"/>
        <w:jc w:val="both"/>
        <w:rPr>
          <w:rFonts w:ascii="Arial" w:hAnsi="Arial"/>
          <w:sz w:val="22"/>
          <w:szCs w:val="22"/>
        </w:rPr>
      </w:pPr>
    </w:p>
    <w:p w14:paraId="3BB682FB" w14:textId="77777777" w:rsidR="00EE7084" w:rsidRDefault="00EE7084" w:rsidP="007A6DDB">
      <w:pPr>
        <w:spacing w:line="360" w:lineRule="auto"/>
        <w:jc w:val="both"/>
        <w:rPr>
          <w:rFonts w:ascii="Arial" w:hAnsi="Arial"/>
          <w:sz w:val="22"/>
          <w:szCs w:val="22"/>
        </w:rPr>
      </w:pPr>
      <w:r>
        <w:rPr>
          <w:rFonts w:ascii="Arial" w:hAnsi="Arial"/>
          <w:sz w:val="22"/>
          <w:szCs w:val="22"/>
        </w:rPr>
        <w:t>APPLICANTS:</w:t>
      </w:r>
      <w:r>
        <w:rPr>
          <w:rFonts w:ascii="Arial" w:hAnsi="Arial"/>
          <w:sz w:val="22"/>
          <w:szCs w:val="22"/>
        </w:rPr>
        <w:tab/>
      </w:r>
      <w:r>
        <w:rPr>
          <w:rFonts w:ascii="Arial" w:hAnsi="Arial"/>
          <w:sz w:val="22"/>
          <w:szCs w:val="22"/>
        </w:rPr>
        <w:tab/>
        <w:t>JP. Ravenscroft-Jones</w:t>
      </w:r>
    </w:p>
    <w:p w14:paraId="15ACA360" w14:textId="77777777" w:rsidR="00EE7084" w:rsidRDefault="00EE7084" w:rsidP="007A6DDB">
      <w:pPr>
        <w:spacing w:line="360" w:lineRule="auto"/>
        <w:jc w:val="both"/>
        <w:rPr>
          <w:rFonts w:ascii="Arial" w:hAnsi="Arial"/>
          <w:sz w:val="22"/>
          <w:szCs w:val="22"/>
        </w:rPr>
      </w:pPr>
      <w:r>
        <w:rPr>
          <w:rFonts w:ascii="Arial" w:hAnsi="Arial"/>
          <w:sz w:val="22"/>
          <w:szCs w:val="22"/>
        </w:rPr>
        <w:t>Instructed by:</w:t>
      </w:r>
      <w:r>
        <w:rPr>
          <w:rFonts w:ascii="Arial" w:hAnsi="Arial"/>
          <w:sz w:val="22"/>
          <w:szCs w:val="22"/>
        </w:rPr>
        <w:tab/>
      </w:r>
      <w:r>
        <w:rPr>
          <w:rFonts w:ascii="Arial" w:hAnsi="Arial"/>
          <w:sz w:val="22"/>
          <w:szCs w:val="22"/>
        </w:rPr>
        <w:tab/>
        <w:t>Sisa Namandje &amp; Co. Windhoek.</w:t>
      </w:r>
    </w:p>
    <w:p w14:paraId="110C70DE" w14:textId="77777777" w:rsidR="00EE7084" w:rsidRDefault="00EE7084" w:rsidP="007A6DDB">
      <w:pPr>
        <w:spacing w:line="360" w:lineRule="auto"/>
        <w:jc w:val="both"/>
        <w:rPr>
          <w:rFonts w:ascii="Arial" w:hAnsi="Arial"/>
          <w:sz w:val="22"/>
          <w:szCs w:val="22"/>
        </w:rPr>
      </w:pPr>
    </w:p>
    <w:p w14:paraId="2552B384" w14:textId="77777777" w:rsidR="00EE7084" w:rsidRDefault="00EE7084" w:rsidP="007A6DDB">
      <w:pPr>
        <w:spacing w:line="360" w:lineRule="auto"/>
        <w:jc w:val="both"/>
        <w:rPr>
          <w:rFonts w:ascii="Arial" w:hAnsi="Arial"/>
          <w:sz w:val="22"/>
          <w:szCs w:val="22"/>
        </w:rPr>
      </w:pPr>
      <w:r>
        <w:rPr>
          <w:rFonts w:ascii="Arial" w:hAnsi="Arial"/>
          <w:sz w:val="22"/>
          <w:szCs w:val="22"/>
        </w:rPr>
        <w:t>RESPONDENTS:</w:t>
      </w:r>
      <w:r>
        <w:rPr>
          <w:rFonts w:ascii="Arial" w:hAnsi="Arial"/>
          <w:sz w:val="22"/>
          <w:szCs w:val="22"/>
        </w:rPr>
        <w:tab/>
        <w:t>T. Muhongo</w:t>
      </w:r>
    </w:p>
    <w:p w14:paraId="24B820A5" w14:textId="33890D61" w:rsidR="00EE7084" w:rsidRPr="00BB4C51" w:rsidRDefault="00EE7084" w:rsidP="007A6DDB">
      <w:pPr>
        <w:spacing w:line="360" w:lineRule="auto"/>
        <w:jc w:val="both"/>
        <w:rPr>
          <w:rFonts w:ascii="Arial" w:hAnsi="Arial"/>
          <w:sz w:val="22"/>
          <w:szCs w:val="22"/>
        </w:rPr>
      </w:pPr>
      <w:r>
        <w:rPr>
          <w:rFonts w:ascii="Arial" w:hAnsi="Arial"/>
          <w:sz w:val="22"/>
          <w:szCs w:val="22"/>
        </w:rPr>
        <w:t>Instructed by:</w:t>
      </w:r>
      <w:r>
        <w:rPr>
          <w:rFonts w:ascii="Arial" w:hAnsi="Arial"/>
          <w:sz w:val="22"/>
          <w:szCs w:val="22"/>
        </w:rPr>
        <w:tab/>
      </w:r>
      <w:r>
        <w:rPr>
          <w:rFonts w:ascii="Arial" w:hAnsi="Arial"/>
          <w:sz w:val="22"/>
          <w:szCs w:val="22"/>
        </w:rPr>
        <w:tab/>
        <w:t>Dr. Weder, Kauta &amp; Hoveka Inc. Windhoek.</w:t>
      </w:r>
      <w:r>
        <w:rPr>
          <w:rFonts w:ascii="Arial" w:hAnsi="Arial"/>
          <w:sz w:val="22"/>
          <w:szCs w:val="22"/>
        </w:rPr>
        <w:tab/>
      </w:r>
    </w:p>
    <w:sectPr w:rsidR="00EE7084" w:rsidRPr="00BB4C51" w:rsidSect="00C76BEB">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E1E46" w14:textId="77777777" w:rsidR="00D62B8B" w:rsidRDefault="00D62B8B" w:rsidP="007A6DDB">
      <w:r>
        <w:separator/>
      </w:r>
    </w:p>
  </w:endnote>
  <w:endnote w:type="continuationSeparator" w:id="0">
    <w:p w14:paraId="28CB13BD" w14:textId="77777777" w:rsidR="00D62B8B" w:rsidRDefault="00D62B8B" w:rsidP="007A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80D17" w14:textId="77777777" w:rsidR="00D62B8B" w:rsidRDefault="00D62B8B" w:rsidP="007A6DDB">
      <w:r>
        <w:separator/>
      </w:r>
    </w:p>
  </w:footnote>
  <w:footnote w:type="continuationSeparator" w:id="0">
    <w:p w14:paraId="463BA57E" w14:textId="77777777" w:rsidR="00D62B8B" w:rsidRDefault="00D62B8B" w:rsidP="007A6DDB">
      <w:r>
        <w:continuationSeparator/>
      </w:r>
    </w:p>
  </w:footnote>
  <w:footnote w:id="1">
    <w:p w14:paraId="21B3C3AD" w14:textId="77777777" w:rsidR="000A5B25" w:rsidRPr="007A6DDB" w:rsidRDefault="000A5B25">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Act No. 28 of 2004.</w:t>
      </w:r>
    </w:p>
  </w:footnote>
  <w:footnote w:id="2">
    <w:p w14:paraId="36080817" w14:textId="6850B50B" w:rsidR="000A5B25" w:rsidRPr="001B7361" w:rsidRDefault="000A5B25">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Plascon-Evans Paints Ltd v Van Riebeck Paints (Pty) Ltd 1984 (3) 623 (A) at 643.</w:t>
      </w:r>
    </w:p>
  </w:footnote>
  <w:footnote w:id="3">
    <w:p w14:paraId="08CB4B26" w14:textId="074707F6" w:rsidR="000A5B25" w:rsidRPr="005B11E7" w:rsidRDefault="000A5B25">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2018 (1) NR 183 (HC).</w:t>
      </w:r>
    </w:p>
  </w:footnote>
  <w:footnote w:id="4">
    <w:p w14:paraId="14853CBE" w14:textId="09C7A8A7" w:rsidR="000A5B25" w:rsidRPr="00C24CF8" w:rsidRDefault="000A5B25">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New African Methodist Episcopal Church in the Republic of Namibia v Kooper (A293/2013) NAHCMD 105 (29 April 2015).</w:t>
      </w:r>
    </w:p>
  </w:footnote>
  <w:footnote w:id="5">
    <w:p w14:paraId="2AA242E8" w14:textId="1BB0AB74" w:rsidR="000A5B25" w:rsidRPr="009756C9" w:rsidRDefault="000A5B25">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 342/2014) [2017] NAHCMD 100 (28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647834"/>
      <w:docPartObj>
        <w:docPartGallery w:val="Page Numbers (Top of Page)"/>
        <w:docPartUnique/>
      </w:docPartObj>
    </w:sdtPr>
    <w:sdtEndPr>
      <w:rPr>
        <w:noProof/>
      </w:rPr>
    </w:sdtEndPr>
    <w:sdtContent>
      <w:p w14:paraId="4A01CCAF" w14:textId="65C46298" w:rsidR="000A5B25" w:rsidRDefault="000A5B25">
        <w:pPr>
          <w:pStyle w:val="Header"/>
          <w:jc w:val="right"/>
        </w:pPr>
        <w:r>
          <w:fldChar w:fldCharType="begin"/>
        </w:r>
        <w:r>
          <w:instrText xml:space="preserve"> PAGE   \* MERGEFORMAT </w:instrText>
        </w:r>
        <w:r>
          <w:fldChar w:fldCharType="separate"/>
        </w:r>
        <w:r w:rsidR="005C1A93">
          <w:rPr>
            <w:noProof/>
          </w:rPr>
          <w:t>13</w:t>
        </w:r>
        <w:r>
          <w:rPr>
            <w:noProof/>
          </w:rPr>
          <w:fldChar w:fldCharType="end"/>
        </w:r>
      </w:p>
    </w:sdtContent>
  </w:sdt>
  <w:p w14:paraId="2F1D97F1" w14:textId="77777777" w:rsidR="000A5B25" w:rsidRDefault="000A5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A7CEC"/>
    <w:multiLevelType w:val="hybridMultilevel"/>
    <w:tmpl w:val="C792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5753D"/>
    <w:multiLevelType w:val="hybridMultilevel"/>
    <w:tmpl w:val="D462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7A"/>
    <w:rsid w:val="00072ADB"/>
    <w:rsid w:val="000A5B25"/>
    <w:rsid w:val="0010088F"/>
    <w:rsid w:val="00142CF4"/>
    <w:rsid w:val="001669BD"/>
    <w:rsid w:val="001B7361"/>
    <w:rsid w:val="003246D4"/>
    <w:rsid w:val="003438DD"/>
    <w:rsid w:val="003671E1"/>
    <w:rsid w:val="003A1409"/>
    <w:rsid w:val="003C0367"/>
    <w:rsid w:val="00423217"/>
    <w:rsid w:val="004E4558"/>
    <w:rsid w:val="004E4DF5"/>
    <w:rsid w:val="00516361"/>
    <w:rsid w:val="00555753"/>
    <w:rsid w:val="005B11E7"/>
    <w:rsid w:val="005C1A93"/>
    <w:rsid w:val="006268AF"/>
    <w:rsid w:val="00644F7E"/>
    <w:rsid w:val="00656FD8"/>
    <w:rsid w:val="00671FB9"/>
    <w:rsid w:val="006E486A"/>
    <w:rsid w:val="006F207A"/>
    <w:rsid w:val="0070553C"/>
    <w:rsid w:val="00725AC1"/>
    <w:rsid w:val="007436AB"/>
    <w:rsid w:val="00747D83"/>
    <w:rsid w:val="00764750"/>
    <w:rsid w:val="00784EBA"/>
    <w:rsid w:val="007A6DDB"/>
    <w:rsid w:val="00815D80"/>
    <w:rsid w:val="008660AE"/>
    <w:rsid w:val="008A5F3E"/>
    <w:rsid w:val="008B06A5"/>
    <w:rsid w:val="008B20E5"/>
    <w:rsid w:val="0094401D"/>
    <w:rsid w:val="009756C9"/>
    <w:rsid w:val="0098233C"/>
    <w:rsid w:val="009B782F"/>
    <w:rsid w:val="00AC0BFE"/>
    <w:rsid w:val="00B236B5"/>
    <w:rsid w:val="00B41992"/>
    <w:rsid w:val="00B7687D"/>
    <w:rsid w:val="00B922E4"/>
    <w:rsid w:val="00BB4C51"/>
    <w:rsid w:val="00C24CF8"/>
    <w:rsid w:val="00C72A93"/>
    <w:rsid w:val="00C76BEB"/>
    <w:rsid w:val="00D62B8B"/>
    <w:rsid w:val="00E06ED6"/>
    <w:rsid w:val="00E6206D"/>
    <w:rsid w:val="00EE7084"/>
    <w:rsid w:val="00FA720F"/>
    <w:rsid w:val="00FB4DC0"/>
    <w:rsid w:val="00FB4F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D4E67"/>
  <w14:defaultImageDpi w14:val="300"/>
  <w15:docId w15:val="{7068675A-B2F8-4D06-9689-777AD486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6DDB"/>
  </w:style>
  <w:style w:type="character" w:customStyle="1" w:styleId="FootnoteTextChar">
    <w:name w:val="Footnote Text Char"/>
    <w:basedOn w:val="DefaultParagraphFont"/>
    <w:link w:val="FootnoteText"/>
    <w:uiPriority w:val="99"/>
    <w:rsid w:val="007A6DDB"/>
  </w:style>
  <w:style w:type="character" w:styleId="FootnoteReference">
    <w:name w:val="footnote reference"/>
    <w:basedOn w:val="DefaultParagraphFont"/>
    <w:uiPriority w:val="99"/>
    <w:unhideWhenUsed/>
    <w:rsid w:val="007A6DDB"/>
    <w:rPr>
      <w:vertAlign w:val="superscript"/>
    </w:rPr>
  </w:style>
  <w:style w:type="paragraph" w:styleId="ListParagraph">
    <w:name w:val="List Paragraph"/>
    <w:basedOn w:val="Normal"/>
    <w:uiPriority w:val="34"/>
    <w:qFormat/>
    <w:rsid w:val="009B782F"/>
    <w:pPr>
      <w:ind w:left="720"/>
      <w:contextualSpacing/>
    </w:pPr>
  </w:style>
  <w:style w:type="paragraph" w:styleId="BalloonText">
    <w:name w:val="Balloon Text"/>
    <w:basedOn w:val="Normal"/>
    <w:link w:val="BalloonTextChar"/>
    <w:uiPriority w:val="99"/>
    <w:semiHidden/>
    <w:unhideWhenUsed/>
    <w:rsid w:val="008B06A5"/>
    <w:rPr>
      <w:rFonts w:ascii="Arial" w:hAnsi="Arial" w:cs="Arial"/>
      <w:sz w:val="18"/>
      <w:szCs w:val="18"/>
    </w:rPr>
  </w:style>
  <w:style w:type="character" w:customStyle="1" w:styleId="BalloonTextChar">
    <w:name w:val="Balloon Text Char"/>
    <w:basedOn w:val="DefaultParagraphFont"/>
    <w:link w:val="BalloonText"/>
    <w:uiPriority w:val="99"/>
    <w:semiHidden/>
    <w:rsid w:val="008B06A5"/>
    <w:rPr>
      <w:rFonts w:ascii="Arial" w:hAnsi="Arial" w:cs="Arial"/>
      <w:sz w:val="18"/>
      <w:szCs w:val="18"/>
    </w:rPr>
  </w:style>
  <w:style w:type="paragraph" w:styleId="Header">
    <w:name w:val="header"/>
    <w:basedOn w:val="Normal"/>
    <w:link w:val="HeaderChar"/>
    <w:uiPriority w:val="99"/>
    <w:unhideWhenUsed/>
    <w:rsid w:val="00E06ED6"/>
    <w:pPr>
      <w:tabs>
        <w:tab w:val="center" w:pos="4513"/>
        <w:tab w:val="right" w:pos="9026"/>
      </w:tabs>
    </w:pPr>
  </w:style>
  <w:style w:type="character" w:customStyle="1" w:styleId="HeaderChar">
    <w:name w:val="Header Char"/>
    <w:basedOn w:val="DefaultParagraphFont"/>
    <w:link w:val="Header"/>
    <w:uiPriority w:val="99"/>
    <w:rsid w:val="00E06ED6"/>
  </w:style>
  <w:style w:type="paragraph" w:styleId="Footer">
    <w:name w:val="footer"/>
    <w:basedOn w:val="Normal"/>
    <w:link w:val="FooterChar"/>
    <w:uiPriority w:val="99"/>
    <w:unhideWhenUsed/>
    <w:rsid w:val="00E06ED6"/>
    <w:pPr>
      <w:tabs>
        <w:tab w:val="center" w:pos="4513"/>
        <w:tab w:val="right" w:pos="9026"/>
      </w:tabs>
    </w:pPr>
  </w:style>
  <w:style w:type="character" w:customStyle="1" w:styleId="FooterChar">
    <w:name w:val="Footer Char"/>
    <w:basedOn w:val="DefaultParagraphFont"/>
    <w:link w:val="Footer"/>
    <w:uiPriority w:val="99"/>
    <w:rsid w:val="00E0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2020-01-22T18:30:00+00:00</Judgment_x0020_Date>
    <Year xmlns="c1afb1bd-f2fb-40fd-9abb-aea55b4d7662">2020</Year>
  </documentManagement>
</p:properties>
</file>

<file path=customXml/itemProps1.xml><?xml version="1.0" encoding="utf-8"?>
<ds:datastoreItem xmlns:ds="http://schemas.openxmlformats.org/officeDocument/2006/customXml" ds:itemID="{576C81C5-4FCF-4EAD-948D-7E5380067B79}"/>
</file>

<file path=customXml/itemProps2.xml><?xml version="1.0" encoding="utf-8"?>
<ds:datastoreItem xmlns:ds="http://schemas.openxmlformats.org/officeDocument/2006/customXml" ds:itemID="{919A8C83-E787-48B1-95EC-841E332213AB}"/>
</file>

<file path=customXml/itemProps3.xml><?xml version="1.0" encoding="utf-8"?>
<ds:datastoreItem xmlns:ds="http://schemas.openxmlformats.org/officeDocument/2006/customXml" ds:itemID="{DAF1C528-2B40-421E-99DC-36231545CD76}"/>
</file>

<file path=docProps/app.xml><?xml version="1.0" encoding="utf-8"?>
<Properties xmlns="http://schemas.openxmlformats.org/officeDocument/2006/extended-properties" xmlns:vt="http://schemas.openxmlformats.org/officeDocument/2006/docPropsVTypes">
  <Template>Normal</Template>
  <TotalTime>0</TotalTime>
  <Pages>13</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2020-01-24T06:10:00Z</cp:lastPrinted>
  <dcterms:created xsi:type="dcterms:W3CDTF">2020-01-24T15:13:00Z</dcterms:created>
  <dcterms:modified xsi:type="dcterms:W3CDTF">2020-01-24T15:13:00Z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