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4" w:rsidRPr="00D56E99" w:rsidRDefault="00C73154" w:rsidP="00C731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6E99">
        <w:rPr>
          <w:rFonts w:ascii="Arial" w:hAnsi="Arial" w:cs="Arial"/>
          <w:sz w:val="24"/>
          <w:szCs w:val="24"/>
        </w:rPr>
        <w:t>“ANNEXURE 11”</w:t>
      </w:r>
    </w:p>
    <w:p w:rsidR="00C73154" w:rsidRPr="00C24607" w:rsidRDefault="00C73154" w:rsidP="00C7315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73154" w:rsidRPr="00C24607" w:rsidRDefault="00C73154" w:rsidP="00C731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4607">
        <w:rPr>
          <w:rFonts w:ascii="Arial" w:hAnsi="Arial" w:cs="Arial"/>
          <w:b/>
          <w:sz w:val="24"/>
          <w:szCs w:val="24"/>
        </w:rPr>
        <w:t>IN THE HIGH COURT OF NAMIBIA</w:t>
      </w:r>
    </w:p>
    <w:p w:rsidR="00281FAB" w:rsidRPr="006475B1" w:rsidRDefault="00281FAB" w:rsidP="00EB27A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C73154" w:rsidRPr="00AF0BF2" w:rsidTr="005403D8">
        <w:trPr>
          <w:trHeight w:val="744"/>
        </w:trPr>
        <w:tc>
          <w:tcPr>
            <w:tcW w:w="5397" w:type="dxa"/>
            <w:gridSpan w:val="2"/>
            <w:vMerge w:val="restart"/>
          </w:tcPr>
          <w:p w:rsidR="00C73154" w:rsidRPr="00AF0BF2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t>Case Title</w:t>
            </w:r>
            <w:r w:rsidRPr="00AF0BF2">
              <w:rPr>
                <w:rFonts w:ascii="Arial" w:hAnsi="Arial" w:cs="Arial"/>
                <w:sz w:val="24"/>
                <w:szCs w:val="24"/>
              </w:rPr>
              <w:t>:</w:t>
            </w:r>
            <w:r w:rsidR="00AF0BF2" w:rsidRPr="00AF0BF2">
              <w:rPr>
                <w:rFonts w:ascii="Arial" w:hAnsi="Arial" w:cs="Arial"/>
                <w:sz w:val="24"/>
                <w:szCs w:val="24"/>
              </w:rPr>
              <w:t xml:space="preserve">  Kurt Bellwinkel and </w:t>
            </w:r>
            <w:r w:rsidR="00267DC9" w:rsidRPr="00AF0BF2">
              <w:rPr>
                <w:rFonts w:ascii="Arial" w:hAnsi="Arial" w:cs="Arial"/>
                <w:sz w:val="24"/>
                <w:szCs w:val="24"/>
              </w:rPr>
              <w:t>A</w:t>
            </w:r>
            <w:r w:rsidR="00AF0BF2" w:rsidRPr="00AF0BF2">
              <w:rPr>
                <w:rFonts w:ascii="Arial" w:hAnsi="Arial" w:cs="Arial"/>
                <w:sz w:val="24"/>
                <w:szCs w:val="24"/>
              </w:rPr>
              <w:t xml:space="preserve">nother </w:t>
            </w:r>
            <w:r w:rsidR="00826F2E">
              <w:rPr>
                <w:rFonts w:ascii="Arial" w:hAnsi="Arial" w:cs="Arial"/>
                <w:sz w:val="24"/>
                <w:szCs w:val="24"/>
              </w:rPr>
              <w:t>//</w:t>
            </w:r>
            <w:r w:rsidR="00AF0BF2" w:rsidRPr="00AF0BF2">
              <w:rPr>
                <w:rFonts w:ascii="Arial" w:hAnsi="Arial" w:cs="Arial"/>
                <w:sz w:val="24"/>
                <w:szCs w:val="24"/>
              </w:rPr>
              <w:t xml:space="preserve"> Leon David Van Nie</w:t>
            </w:r>
            <w:bookmarkStart w:id="0" w:name="_GoBack"/>
            <w:bookmarkEnd w:id="0"/>
            <w:r w:rsidR="00AF0BF2" w:rsidRPr="00AF0BF2">
              <w:rPr>
                <w:rFonts w:ascii="Arial" w:hAnsi="Arial" w:cs="Arial"/>
                <w:sz w:val="24"/>
                <w:szCs w:val="24"/>
              </w:rPr>
              <w:t xml:space="preserve">kerk and </w:t>
            </w:r>
            <w:r w:rsidR="00267DC9" w:rsidRPr="00AF0BF2">
              <w:rPr>
                <w:rFonts w:ascii="Arial" w:hAnsi="Arial" w:cs="Arial"/>
                <w:sz w:val="24"/>
                <w:szCs w:val="24"/>
              </w:rPr>
              <w:t>A</w:t>
            </w:r>
            <w:r w:rsidR="00AF0BF2" w:rsidRPr="00AF0BF2">
              <w:rPr>
                <w:rFonts w:ascii="Arial" w:hAnsi="Arial" w:cs="Arial"/>
                <w:sz w:val="24"/>
                <w:szCs w:val="24"/>
              </w:rPr>
              <w:t>nother</w:t>
            </w:r>
          </w:p>
          <w:p w:rsidR="00C73154" w:rsidRPr="00AF0BF2" w:rsidRDefault="00C73154" w:rsidP="00B07404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676F46" w:rsidRPr="0071117A" w:rsidRDefault="00C73154" w:rsidP="00B07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t>Case No</w:t>
            </w:r>
            <w:r w:rsidRPr="00AF0BF2">
              <w:rPr>
                <w:rFonts w:ascii="Arial" w:hAnsi="Arial" w:cs="Arial"/>
                <w:sz w:val="24"/>
                <w:szCs w:val="24"/>
              </w:rPr>
              <w:t>:</w:t>
            </w:r>
            <w:r w:rsidR="00AF0BF2" w:rsidRPr="00AF0BF2">
              <w:rPr>
                <w:rFonts w:ascii="Arial" w:hAnsi="Arial" w:cs="Arial"/>
                <w:sz w:val="24"/>
                <w:szCs w:val="24"/>
              </w:rPr>
              <w:t xml:space="preserve">  HC-MD-CIV-ACT-CON-2017/04625</w:t>
            </w:r>
          </w:p>
        </w:tc>
      </w:tr>
      <w:tr w:rsidR="00C73154" w:rsidRPr="00AF0BF2" w:rsidTr="005403D8">
        <w:trPr>
          <w:trHeight w:val="844"/>
        </w:trPr>
        <w:tc>
          <w:tcPr>
            <w:tcW w:w="5397" w:type="dxa"/>
            <w:gridSpan w:val="2"/>
            <w:vMerge/>
          </w:tcPr>
          <w:p w:rsidR="00C73154" w:rsidRPr="00AF0BF2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C73154" w:rsidRPr="00AF0BF2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C73154" w:rsidRPr="00AF0BF2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F2">
              <w:rPr>
                <w:rFonts w:ascii="Arial" w:hAnsi="Arial" w:cs="Arial"/>
                <w:sz w:val="24"/>
                <w:szCs w:val="24"/>
              </w:rPr>
              <w:t>High Court</w:t>
            </w:r>
            <w:r w:rsidR="00BF7576" w:rsidRPr="00AF0BF2">
              <w:rPr>
                <w:rFonts w:ascii="Arial" w:hAnsi="Arial" w:cs="Arial"/>
                <w:sz w:val="24"/>
                <w:szCs w:val="24"/>
              </w:rPr>
              <w:t>, Main Division</w:t>
            </w:r>
          </w:p>
        </w:tc>
      </w:tr>
      <w:tr w:rsidR="005403D8" w:rsidRPr="00AF0BF2" w:rsidTr="005403D8">
        <w:trPr>
          <w:trHeight w:val="645"/>
        </w:trPr>
        <w:tc>
          <w:tcPr>
            <w:tcW w:w="5397" w:type="dxa"/>
            <w:gridSpan w:val="2"/>
            <w:vMerge w:val="restart"/>
          </w:tcPr>
          <w:p w:rsidR="005403D8" w:rsidRPr="00AF0BF2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5403D8" w:rsidRPr="00AF0BF2" w:rsidRDefault="005403D8" w:rsidP="006A0D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F2">
              <w:rPr>
                <w:rFonts w:ascii="Arial" w:hAnsi="Arial" w:cs="Arial"/>
                <w:sz w:val="24"/>
                <w:szCs w:val="24"/>
              </w:rPr>
              <w:t xml:space="preserve">Honourable </w:t>
            </w:r>
            <w:r w:rsidR="006A0DA3" w:rsidRPr="00AF0BF2">
              <w:rPr>
                <w:rFonts w:ascii="Arial" w:hAnsi="Arial" w:cs="Arial"/>
                <w:sz w:val="24"/>
                <w:szCs w:val="24"/>
              </w:rPr>
              <w:t>Justice</w:t>
            </w:r>
            <w:r w:rsidRPr="00AF0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7B7" w:rsidRPr="00AF0BF2">
              <w:rPr>
                <w:rFonts w:ascii="Arial" w:hAnsi="Arial" w:cs="Arial"/>
                <w:sz w:val="24"/>
                <w:szCs w:val="24"/>
              </w:rPr>
              <w:t>Herman Oosthuizen</w:t>
            </w:r>
          </w:p>
        </w:tc>
        <w:tc>
          <w:tcPr>
            <w:tcW w:w="4323" w:type="dxa"/>
          </w:tcPr>
          <w:p w:rsidR="00DD21FA" w:rsidRPr="00AF0BF2" w:rsidRDefault="00C24607" w:rsidP="00DD21F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H</w:t>
            </w:r>
            <w:r w:rsidR="005403D8" w:rsidRPr="00AF0BF2">
              <w:rPr>
                <w:rFonts w:ascii="Arial" w:hAnsi="Arial" w:cs="Arial"/>
                <w:b/>
                <w:sz w:val="24"/>
                <w:szCs w:val="24"/>
              </w:rPr>
              <w:t>earing:</w:t>
            </w:r>
          </w:p>
          <w:p w:rsidR="00DD21FA" w:rsidRPr="00AF0BF2" w:rsidRDefault="00C62296" w:rsidP="008C0A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None. </w:t>
            </w:r>
            <w:r w:rsidR="004D08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 written arguments.</w:t>
            </w:r>
          </w:p>
        </w:tc>
      </w:tr>
      <w:tr w:rsidR="005403D8" w:rsidRPr="00AF0BF2" w:rsidTr="00FD38C2">
        <w:trPr>
          <w:trHeight w:val="588"/>
        </w:trPr>
        <w:tc>
          <w:tcPr>
            <w:tcW w:w="5397" w:type="dxa"/>
            <w:gridSpan w:val="2"/>
            <w:vMerge/>
          </w:tcPr>
          <w:p w:rsidR="005403D8" w:rsidRPr="00AF0BF2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403D8" w:rsidRPr="00AF0BF2" w:rsidRDefault="005403D8" w:rsidP="005403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5403D8" w:rsidRPr="00AF0BF2" w:rsidRDefault="00AF0BF2" w:rsidP="001862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F2">
              <w:rPr>
                <w:rFonts w:ascii="Arial" w:hAnsi="Arial" w:cs="Arial"/>
                <w:sz w:val="24"/>
                <w:szCs w:val="24"/>
              </w:rPr>
              <w:t>1 June 2020</w:t>
            </w:r>
          </w:p>
        </w:tc>
      </w:tr>
      <w:tr w:rsidR="005955B1" w:rsidRPr="00AF0BF2" w:rsidTr="00EB27A0">
        <w:tc>
          <w:tcPr>
            <w:tcW w:w="9720" w:type="dxa"/>
            <w:gridSpan w:val="3"/>
          </w:tcPr>
          <w:p w:rsidR="0071117A" w:rsidRPr="0071117A" w:rsidRDefault="00C24607" w:rsidP="0071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Neutral C</w:t>
            </w:r>
            <w:r w:rsidR="005955B1" w:rsidRPr="00AF0BF2">
              <w:rPr>
                <w:rFonts w:ascii="Arial" w:hAnsi="Arial" w:cs="Arial"/>
                <w:b/>
                <w:sz w:val="24"/>
                <w:szCs w:val="24"/>
              </w:rPr>
              <w:t>itation</w:t>
            </w:r>
            <w:r w:rsidR="005955B1" w:rsidRPr="006648A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77240" w:rsidRPr="006648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55B1" w:rsidRPr="006648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48A9" w:rsidRPr="006648A9">
              <w:rPr>
                <w:rFonts w:ascii="Arial" w:hAnsi="Arial" w:cs="Arial"/>
                <w:i/>
                <w:sz w:val="24"/>
                <w:szCs w:val="24"/>
              </w:rPr>
              <w:t xml:space="preserve">Bellwinkel v Van Niekerk </w:t>
            </w:r>
            <w:r w:rsidR="006648A9" w:rsidRPr="006648A9">
              <w:rPr>
                <w:rFonts w:ascii="Arial" w:hAnsi="Arial" w:cs="Arial"/>
                <w:sz w:val="24"/>
                <w:szCs w:val="24"/>
              </w:rPr>
              <w:t>(HC-MD-CIV-ACT-CON-2017/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648A9" w:rsidRPr="006648A9">
              <w:rPr>
                <w:rFonts w:ascii="Arial" w:hAnsi="Arial" w:cs="Arial"/>
                <w:sz w:val="24"/>
                <w:szCs w:val="24"/>
              </w:rPr>
              <w:t>4625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6648A9" w:rsidRPr="006648A9">
              <w:rPr>
                <w:rFonts w:ascii="Arial" w:hAnsi="Arial" w:cs="Arial"/>
                <w:sz w:val="24"/>
                <w:szCs w:val="24"/>
              </w:rPr>
              <w:t xml:space="preserve"> [20</w:t>
            </w:r>
            <w:r w:rsidR="006648A9">
              <w:rPr>
                <w:rFonts w:ascii="Arial" w:hAnsi="Arial" w:cs="Arial"/>
                <w:sz w:val="24"/>
                <w:szCs w:val="24"/>
              </w:rPr>
              <w:t>20</w:t>
            </w:r>
            <w:r w:rsidR="006648A9" w:rsidRPr="006648A9">
              <w:rPr>
                <w:rFonts w:ascii="Arial" w:hAnsi="Arial" w:cs="Arial"/>
                <w:sz w:val="24"/>
                <w:szCs w:val="24"/>
              </w:rPr>
              <w:t>] NA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6648A9" w:rsidRPr="006648A9">
              <w:rPr>
                <w:rFonts w:ascii="Arial" w:hAnsi="Arial" w:cs="Arial"/>
                <w:sz w:val="24"/>
                <w:szCs w:val="24"/>
              </w:rPr>
              <w:t xml:space="preserve">CMD </w:t>
            </w:r>
            <w:r w:rsidR="006248FA">
              <w:rPr>
                <w:rFonts w:ascii="Arial" w:hAnsi="Arial" w:cs="Arial"/>
                <w:sz w:val="24"/>
                <w:szCs w:val="24"/>
              </w:rPr>
              <w:t>203</w:t>
            </w:r>
            <w:r w:rsidR="006648A9" w:rsidRPr="006648A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648A9">
              <w:rPr>
                <w:rFonts w:ascii="Arial" w:hAnsi="Arial" w:cs="Arial"/>
                <w:sz w:val="24"/>
                <w:szCs w:val="24"/>
              </w:rPr>
              <w:t>1 June 2020</w:t>
            </w:r>
            <w:r w:rsidR="00D56E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81FAB" w:rsidRPr="00AF0BF2" w:rsidTr="005955B1">
        <w:trPr>
          <w:trHeight w:val="947"/>
        </w:trPr>
        <w:tc>
          <w:tcPr>
            <w:tcW w:w="9720" w:type="dxa"/>
            <w:gridSpan w:val="3"/>
          </w:tcPr>
          <w:p w:rsidR="00281FAB" w:rsidRPr="00AF0BF2" w:rsidRDefault="00281FAB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t>Result on merits:</w:t>
            </w:r>
          </w:p>
          <w:p w:rsidR="00686B3F" w:rsidRPr="00AF0BF2" w:rsidRDefault="00C24607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Partially successful</w:t>
            </w:r>
          </w:p>
        </w:tc>
      </w:tr>
      <w:tr w:rsidR="00281FAB" w:rsidRPr="00AF0BF2" w:rsidTr="00EB27A0">
        <w:tc>
          <w:tcPr>
            <w:tcW w:w="9720" w:type="dxa"/>
            <w:gridSpan w:val="3"/>
          </w:tcPr>
          <w:p w:rsidR="00281FAB" w:rsidRPr="00AF0BF2" w:rsidRDefault="00C24607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O</w:t>
            </w:r>
            <w:r w:rsidR="00281FAB" w:rsidRPr="00AF0BF2">
              <w:rPr>
                <w:rFonts w:ascii="Arial" w:hAnsi="Arial" w:cs="Arial"/>
                <w:b/>
                <w:sz w:val="24"/>
                <w:szCs w:val="24"/>
              </w:rPr>
              <w:t>rder:</w:t>
            </w:r>
          </w:p>
          <w:p w:rsidR="00C73154" w:rsidRPr="00AF0BF2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1FAB" w:rsidRPr="00AF0BF2" w:rsidRDefault="00FD38C2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F2">
              <w:rPr>
                <w:rFonts w:ascii="Arial" w:hAnsi="Arial" w:cs="Arial"/>
                <w:sz w:val="24"/>
                <w:szCs w:val="24"/>
              </w:rPr>
              <w:t>Having heard</w:t>
            </w:r>
            <w:r w:rsidR="00C73154" w:rsidRPr="00AF0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61E" w:rsidRPr="00AF0BF2">
              <w:rPr>
                <w:rFonts w:ascii="Arial" w:hAnsi="Arial" w:cs="Arial"/>
                <w:sz w:val="24"/>
                <w:szCs w:val="24"/>
              </w:rPr>
              <w:t xml:space="preserve">counsel for the </w:t>
            </w:r>
            <w:r w:rsidR="00FB2B08" w:rsidRPr="00AF0BF2">
              <w:rPr>
                <w:rFonts w:ascii="Arial" w:hAnsi="Arial" w:cs="Arial"/>
                <w:sz w:val="24"/>
                <w:szCs w:val="24"/>
              </w:rPr>
              <w:t>plaintiff</w:t>
            </w:r>
            <w:r w:rsidR="00AF0BF2" w:rsidRPr="00AF0BF2">
              <w:rPr>
                <w:rFonts w:ascii="Arial" w:hAnsi="Arial" w:cs="Arial"/>
                <w:sz w:val="24"/>
                <w:szCs w:val="24"/>
              </w:rPr>
              <w:t>s</w:t>
            </w:r>
            <w:r w:rsidRPr="00AF0BF2">
              <w:rPr>
                <w:rFonts w:ascii="Arial" w:hAnsi="Arial" w:cs="Arial"/>
                <w:sz w:val="24"/>
                <w:szCs w:val="24"/>
              </w:rPr>
              <w:t>,</w:t>
            </w:r>
            <w:r w:rsidR="00FF561E" w:rsidRPr="00AF0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BF2" w:rsidRPr="00AF0BF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F561E" w:rsidRPr="00AF0BF2">
              <w:rPr>
                <w:rFonts w:ascii="Arial" w:hAnsi="Arial" w:cs="Arial"/>
                <w:sz w:val="24"/>
                <w:szCs w:val="24"/>
              </w:rPr>
              <w:t xml:space="preserve">counsel for the </w:t>
            </w:r>
            <w:r w:rsidR="00FE7BE9" w:rsidRPr="00AF0BF2">
              <w:rPr>
                <w:rFonts w:ascii="Arial" w:hAnsi="Arial" w:cs="Arial"/>
                <w:sz w:val="24"/>
                <w:szCs w:val="24"/>
              </w:rPr>
              <w:t>defendant</w:t>
            </w:r>
            <w:r w:rsidR="00AF0BF2" w:rsidRPr="00AF0BF2">
              <w:rPr>
                <w:rFonts w:ascii="Arial" w:hAnsi="Arial" w:cs="Arial"/>
                <w:sz w:val="24"/>
                <w:szCs w:val="24"/>
              </w:rPr>
              <w:t>s</w:t>
            </w:r>
            <w:r w:rsidR="00F10E27">
              <w:rPr>
                <w:rFonts w:ascii="Arial" w:hAnsi="Arial" w:cs="Arial"/>
                <w:sz w:val="24"/>
                <w:szCs w:val="24"/>
              </w:rPr>
              <w:t xml:space="preserve"> — </w:t>
            </w:r>
          </w:p>
          <w:p w:rsidR="00EB27A0" w:rsidRPr="00AF0BF2" w:rsidRDefault="00EB27A0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27A0" w:rsidRDefault="00EB27A0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t>IT IS ORDERED THAT:</w:t>
            </w:r>
          </w:p>
          <w:p w:rsidR="00AF0BF2" w:rsidRPr="00AF0BF2" w:rsidRDefault="00AF0BF2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9B8" w:rsidRPr="00AF0BF2" w:rsidRDefault="00EB79B8" w:rsidP="00EB79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[1]</w:t>
            </w:r>
            <w:r>
              <w:rPr>
                <w:rFonts w:ascii="Arial" w:hAnsi="Arial" w:cs="Arial"/>
                <w:sz w:val="24"/>
                <w:szCs w:val="24"/>
              </w:rPr>
              <w:tab/>
              <w:t>The amount in paragraph 11 of the particulars of claim, as well as in prayer 1, is substituted with ‟N$4 401 889.38”.</w:t>
            </w:r>
          </w:p>
          <w:p w:rsidR="00EB79B8" w:rsidRPr="00AF0BF2" w:rsidRDefault="00EB79B8" w:rsidP="00EB79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79B8" w:rsidRPr="00AF0BF2" w:rsidRDefault="00EB79B8" w:rsidP="00EB79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[2]</w:t>
            </w:r>
            <w:r w:rsidRPr="00AF0BF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The remainder of the contents of plaintiffs' Particulars of Claim and Prayers remain the same, without any amendments.</w:t>
            </w:r>
          </w:p>
          <w:p w:rsidR="00EB79B8" w:rsidRPr="00AF0BF2" w:rsidRDefault="00EB79B8" w:rsidP="00EB79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79B8" w:rsidRPr="00AF0BF2" w:rsidRDefault="00EB79B8" w:rsidP="00EB79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[3]</w:t>
            </w:r>
            <w:r w:rsidRPr="00AF0BF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No amendment other than</w:t>
            </w:r>
            <w:r w:rsidR="00C24607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contained in order </w:t>
            </w:r>
            <w:r w:rsidR="00C2460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above is allowed and no further pleading or amendment to the pre-trial order apart from the substituted amount is necessary or required.</w:t>
            </w:r>
          </w:p>
          <w:p w:rsidR="00EB79B8" w:rsidRPr="00AF0BF2" w:rsidRDefault="00EB79B8" w:rsidP="00EB79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79B8" w:rsidRDefault="00EB79B8" w:rsidP="00EB79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[4]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Each party shall bear its own costs relating to the </w:t>
            </w:r>
            <w:r w:rsidR="00C24607">
              <w:rPr>
                <w:rFonts w:ascii="Arial" w:hAnsi="Arial" w:cs="Arial"/>
                <w:sz w:val="24"/>
                <w:szCs w:val="24"/>
              </w:rPr>
              <w:t xml:space="preserve">amendment </w:t>
            </w:r>
            <w:r>
              <w:rPr>
                <w:rFonts w:ascii="Arial" w:hAnsi="Arial" w:cs="Arial"/>
                <w:sz w:val="24"/>
                <w:szCs w:val="24"/>
              </w:rPr>
              <w:t>proceeding</w:t>
            </w:r>
            <w:r w:rsidR="00C2460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117A" w:rsidRDefault="0071117A" w:rsidP="00EB79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AF0BF2" w:rsidRDefault="00C24607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[5]</w:t>
            </w:r>
            <w:r>
              <w:rPr>
                <w:rFonts w:ascii="Arial" w:hAnsi="Arial" w:cs="Arial"/>
                <w:sz w:val="24"/>
                <w:szCs w:val="24"/>
              </w:rPr>
              <w:tab/>
              <w:t>The case is postponed to 12/06/2020 at 08h30 for Roll Call Hearing.</w:t>
            </w:r>
          </w:p>
        </w:tc>
      </w:tr>
      <w:tr w:rsidR="00281FAB" w:rsidRPr="00AF0BF2" w:rsidTr="00EB27A0">
        <w:tc>
          <w:tcPr>
            <w:tcW w:w="9720" w:type="dxa"/>
            <w:gridSpan w:val="3"/>
          </w:tcPr>
          <w:p w:rsidR="00281FAB" w:rsidRPr="00AF0BF2" w:rsidRDefault="00EB27A0" w:rsidP="0086400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Reasons for </w:t>
            </w:r>
            <w:r w:rsidR="00C2460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864008" w:rsidRPr="00AF0BF2">
              <w:rPr>
                <w:rFonts w:ascii="Arial" w:hAnsi="Arial" w:cs="Arial"/>
                <w:b/>
                <w:sz w:val="24"/>
                <w:szCs w:val="24"/>
              </w:rPr>
              <w:t>rders</w:t>
            </w:r>
            <w:r w:rsidR="00A14435" w:rsidRPr="00AF0BF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81FAB" w:rsidRPr="00AF0BF2" w:rsidTr="00EB27A0">
        <w:tc>
          <w:tcPr>
            <w:tcW w:w="9720" w:type="dxa"/>
            <w:gridSpan w:val="3"/>
          </w:tcPr>
          <w:p w:rsidR="004378C5" w:rsidRPr="00AF0BF2" w:rsidRDefault="004378C5" w:rsidP="004378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8C5" w:rsidRPr="00AF0BF2" w:rsidRDefault="00AF0BF2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A0222">
              <w:rPr>
                <w:rFonts w:ascii="Arial" w:hAnsi="Arial" w:cs="Arial"/>
                <w:sz w:val="24"/>
                <w:szCs w:val="24"/>
              </w:rPr>
              <w:t>Plaintiffs caused a notice of intention to amend their particulars of claim to be filed after the close of pleadings and after a pre-trial order was issued.</w:t>
            </w:r>
          </w:p>
          <w:p w:rsidR="00B07404" w:rsidRPr="00AF0BF2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AF0BF2" w:rsidRDefault="00AF0BF2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[2]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A0222">
              <w:rPr>
                <w:rFonts w:ascii="Arial" w:hAnsi="Arial" w:cs="Arial"/>
                <w:sz w:val="24"/>
                <w:szCs w:val="24"/>
              </w:rPr>
              <w:t>The notice to amend was filed on 13 December 2019, without approaching the defendants first.</w:t>
            </w:r>
          </w:p>
          <w:p w:rsidR="00B07404" w:rsidRPr="00AF0BF2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AF0BF2" w:rsidRDefault="00AF0BF2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A0222">
              <w:rPr>
                <w:rFonts w:ascii="Arial" w:hAnsi="Arial" w:cs="Arial"/>
                <w:sz w:val="24"/>
                <w:szCs w:val="24"/>
              </w:rPr>
              <w:t>Defendants have objected.</w:t>
            </w:r>
          </w:p>
          <w:p w:rsidR="00B07404" w:rsidRPr="00AF0BF2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AF0BF2" w:rsidRDefault="00AF0BF2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[4]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A0222">
              <w:rPr>
                <w:rFonts w:ascii="Arial" w:hAnsi="Arial" w:cs="Arial"/>
                <w:sz w:val="24"/>
                <w:szCs w:val="24"/>
              </w:rPr>
              <w:t>The nature of the intended amendments accord</w:t>
            </w:r>
            <w:r w:rsidR="00C24607">
              <w:rPr>
                <w:rFonts w:ascii="Arial" w:hAnsi="Arial" w:cs="Arial"/>
                <w:sz w:val="24"/>
                <w:szCs w:val="24"/>
              </w:rPr>
              <w:t>ing to</w:t>
            </w:r>
            <w:r w:rsidR="00AA0222">
              <w:rPr>
                <w:rFonts w:ascii="Arial" w:hAnsi="Arial" w:cs="Arial"/>
                <w:sz w:val="24"/>
                <w:szCs w:val="24"/>
              </w:rPr>
              <w:t xml:space="preserve"> the plaintiffs is of such a nature and purpose to rectify an obvious error that was made in their letter of demand and subsequent particulars of claim.</w:t>
            </w:r>
            <w:r w:rsidR="00C24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222">
              <w:rPr>
                <w:rFonts w:ascii="Arial" w:hAnsi="Arial" w:cs="Arial"/>
                <w:sz w:val="24"/>
                <w:szCs w:val="24"/>
              </w:rPr>
              <w:t>The error made by them was to include only the figure resembling ‟further interest” which the</w:t>
            </w:r>
            <w:r w:rsidR="00C62296">
              <w:rPr>
                <w:rFonts w:ascii="Arial" w:hAnsi="Arial" w:cs="Arial"/>
                <w:sz w:val="24"/>
                <w:szCs w:val="24"/>
              </w:rPr>
              <w:t>y</w:t>
            </w:r>
            <w:r w:rsidR="00AA0222">
              <w:rPr>
                <w:rFonts w:ascii="Arial" w:hAnsi="Arial" w:cs="Arial"/>
                <w:sz w:val="24"/>
                <w:szCs w:val="24"/>
              </w:rPr>
              <w:t xml:space="preserve"> claimed as the penalty interest into paragraph 11 of their particulars of claim and prayer 1</w:t>
            </w:r>
            <w:r w:rsidR="00C62296">
              <w:rPr>
                <w:rFonts w:ascii="Arial" w:hAnsi="Arial" w:cs="Arial"/>
                <w:sz w:val="24"/>
                <w:szCs w:val="24"/>
              </w:rPr>
              <w:t>,</w:t>
            </w:r>
            <w:r w:rsidR="00AA0222">
              <w:rPr>
                <w:rFonts w:ascii="Arial" w:hAnsi="Arial" w:cs="Arial"/>
                <w:sz w:val="24"/>
                <w:szCs w:val="24"/>
              </w:rPr>
              <w:t xml:space="preserve"> instead of the figures for ‟further interest” and normal interest as portrayed in paragraph 10 of their particulars of claim read together with Annexure ‟B” of their particulars of claim</w:t>
            </w:r>
            <w:r w:rsidR="008F6D8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A0222">
              <w:rPr>
                <w:rFonts w:ascii="Arial" w:hAnsi="Arial" w:cs="Arial"/>
                <w:sz w:val="24"/>
                <w:szCs w:val="24"/>
              </w:rPr>
              <w:t xml:space="preserve">Annexure </w:t>
            </w:r>
            <w:r w:rsidR="00EB79B8">
              <w:rPr>
                <w:rFonts w:ascii="Arial" w:hAnsi="Arial" w:cs="Arial"/>
                <w:sz w:val="24"/>
                <w:szCs w:val="24"/>
              </w:rPr>
              <w:t>‟</w:t>
            </w:r>
            <w:r w:rsidR="00EB7D17">
              <w:rPr>
                <w:rFonts w:ascii="Arial" w:hAnsi="Arial" w:cs="Arial"/>
                <w:sz w:val="24"/>
                <w:szCs w:val="24"/>
              </w:rPr>
              <w:t>B</w:t>
            </w:r>
            <w:r w:rsidR="00EB79B8">
              <w:rPr>
                <w:rFonts w:ascii="Arial" w:hAnsi="Arial" w:cs="Arial"/>
                <w:sz w:val="24"/>
                <w:szCs w:val="24"/>
              </w:rPr>
              <w:t>”</w:t>
            </w:r>
            <w:r w:rsidR="00EB7D17">
              <w:rPr>
                <w:rFonts w:ascii="Arial" w:hAnsi="Arial" w:cs="Arial"/>
                <w:sz w:val="24"/>
                <w:szCs w:val="24"/>
              </w:rPr>
              <w:t xml:space="preserve"> of the particulars of claim </w:t>
            </w:r>
            <w:r w:rsidR="00EB79B8">
              <w:rPr>
                <w:rFonts w:ascii="Arial" w:hAnsi="Arial" w:cs="Arial"/>
                <w:sz w:val="24"/>
                <w:szCs w:val="24"/>
              </w:rPr>
              <w:t xml:space="preserve">clearly displays 2 columns of calculations. One for normal and one for </w:t>
            </w:r>
            <w:r w:rsidR="008F6D87">
              <w:rPr>
                <w:rFonts w:ascii="Arial" w:hAnsi="Arial" w:cs="Arial"/>
                <w:sz w:val="24"/>
                <w:szCs w:val="24"/>
              </w:rPr>
              <w:t>‟</w:t>
            </w:r>
            <w:r w:rsidR="00EB79B8">
              <w:rPr>
                <w:rFonts w:ascii="Arial" w:hAnsi="Arial" w:cs="Arial"/>
                <w:sz w:val="24"/>
                <w:szCs w:val="24"/>
              </w:rPr>
              <w:t>further interest</w:t>
            </w:r>
            <w:r w:rsidR="008F6D87">
              <w:rPr>
                <w:rFonts w:ascii="Arial" w:hAnsi="Arial" w:cs="Arial"/>
                <w:sz w:val="24"/>
                <w:szCs w:val="24"/>
              </w:rPr>
              <w:t>”</w:t>
            </w:r>
            <w:r w:rsidR="00EB79B8">
              <w:rPr>
                <w:rFonts w:ascii="Arial" w:hAnsi="Arial" w:cs="Arial"/>
                <w:sz w:val="24"/>
                <w:szCs w:val="24"/>
              </w:rPr>
              <w:t xml:space="preserve"> (penalty interest on top of normal interest levied on late payments as per the particulars of claim).</w:t>
            </w:r>
            <w:r w:rsidR="00C24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9B8">
              <w:rPr>
                <w:rFonts w:ascii="Arial" w:hAnsi="Arial" w:cs="Arial"/>
                <w:sz w:val="24"/>
                <w:szCs w:val="24"/>
              </w:rPr>
              <w:t>Only the sub-total of the second column, to wit N$2 380 818.34 appears in paragraph 11 and prayer 1 of the particulars of claim.</w:t>
            </w:r>
          </w:p>
          <w:p w:rsidR="00B07404" w:rsidRPr="00AF0BF2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AF0BF2" w:rsidRDefault="00AF0BF2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[5]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B7D17">
              <w:rPr>
                <w:rFonts w:ascii="Arial" w:hAnsi="Arial" w:cs="Arial"/>
                <w:sz w:val="24"/>
                <w:szCs w:val="24"/>
              </w:rPr>
              <w:t>Plaintiff have claimed in their particulars for ‟</w:t>
            </w:r>
            <w:r w:rsidR="00EB7D17" w:rsidRPr="00C24607">
              <w:rPr>
                <w:rFonts w:ascii="Arial" w:hAnsi="Arial" w:cs="Arial"/>
              </w:rPr>
              <w:t>2. Interest on the aforesaid amount at the rate of 20% per annum calculated from 29 August 2016 until date of final payment</w:t>
            </w:r>
            <w:r w:rsidR="00EB7D17">
              <w:rPr>
                <w:rFonts w:ascii="Arial" w:hAnsi="Arial" w:cs="Arial"/>
                <w:sz w:val="24"/>
                <w:szCs w:val="24"/>
              </w:rPr>
              <w:t>;”</w:t>
            </w:r>
          </w:p>
          <w:p w:rsidR="00B07404" w:rsidRPr="00AF0BF2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AF0BF2" w:rsidRDefault="00AF0BF2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[6]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B7D17">
              <w:rPr>
                <w:rFonts w:ascii="Arial" w:hAnsi="Arial" w:cs="Arial"/>
                <w:sz w:val="24"/>
                <w:szCs w:val="24"/>
              </w:rPr>
              <w:t>What plaintiff</w:t>
            </w:r>
            <w:r w:rsidR="00F6207C">
              <w:rPr>
                <w:rFonts w:ascii="Arial" w:hAnsi="Arial" w:cs="Arial"/>
                <w:sz w:val="24"/>
                <w:szCs w:val="24"/>
              </w:rPr>
              <w:t>'</w:t>
            </w:r>
            <w:r w:rsidR="00EB7D17">
              <w:rPr>
                <w:rFonts w:ascii="Arial" w:hAnsi="Arial" w:cs="Arial"/>
                <w:sz w:val="24"/>
                <w:szCs w:val="24"/>
              </w:rPr>
              <w:t>s regarded</w:t>
            </w:r>
            <w:r w:rsidR="00514010">
              <w:rPr>
                <w:rFonts w:ascii="Arial" w:hAnsi="Arial" w:cs="Arial"/>
                <w:sz w:val="24"/>
                <w:szCs w:val="24"/>
              </w:rPr>
              <w:t xml:space="preserve"> as mere rectifications caused d</w:t>
            </w:r>
            <w:r w:rsidR="00EB7D17">
              <w:rPr>
                <w:rFonts w:ascii="Arial" w:hAnsi="Arial" w:cs="Arial"/>
                <w:sz w:val="24"/>
                <w:szCs w:val="24"/>
              </w:rPr>
              <w:t>efendants to throw the proverbial book of objections to the plaintiffs.</w:t>
            </w:r>
          </w:p>
          <w:p w:rsidR="00B07404" w:rsidRPr="00AF0BF2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AF0BF2" w:rsidRDefault="00AF0BF2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[7]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B7D17">
              <w:rPr>
                <w:rFonts w:ascii="Arial" w:hAnsi="Arial" w:cs="Arial"/>
                <w:sz w:val="24"/>
                <w:szCs w:val="24"/>
              </w:rPr>
              <w:t xml:space="preserve">This being an interlocutory application at an advanced stage of litigation which prompted the vehement </w:t>
            </w:r>
            <w:r w:rsidR="00F6207C">
              <w:rPr>
                <w:rFonts w:ascii="Arial" w:hAnsi="Arial" w:cs="Arial"/>
                <w:sz w:val="24"/>
                <w:szCs w:val="24"/>
              </w:rPr>
              <w:t>response</w:t>
            </w:r>
            <w:r w:rsidR="00C24607">
              <w:rPr>
                <w:rFonts w:ascii="Arial" w:hAnsi="Arial" w:cs="Arial"/>
                <w:sz w:val="24"/>
                <w:szCs w:val="24"/>
              </w:rPr>
              <w:t xml:space="preserve"> by defendants, inclines the C</w:t>
            </w:r>
            <w:r w:rsidR="00EB7D17">
              <w:rPr>
                <w:rFonts w:ascii="Arial" w:hAnsi="Arial" w:cs="Arial"/>
                <w:sz w:val="24"/>
                <w:szCs w:val="24"/>
              </w:rPr>
              <w:t xml:space="preserve">ourt to approach </w:t>
            </w:r>
            <w:r w:rsidR="00E76313">
              <w:rPr>
                <w:rFonts w:ascii="Arial" w:hAnsi="Arial" w:cs="Arial"/>
                <w:sz w:val="24"/>
                <w:szCs w:val="24"/>
              </w:rPr>
              <w:t>the dispute (taking into account the written arguments of the parties together with the authorities cited) with wisdom and circumspection.</w:t>
            </w:r>
          </w:p>
          <w:p w:rsidR="00B07404" w:rsidRPr="00AF0BF2" w:rsidRDefault="00AF0BF2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[8]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B79B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24607">
              <w:rPr>
                <w:rFonts w:ascii="Arial" w:hAnsi="Arial" w:cs="Arial"/>
                <w:sz w:val="24"/>
                <w:szCs w:val="24"/>
              </w:rPr>
              <w:t>C</w:t>
            </w:r>
            <w:r w:rsidR="0082726B">
              <w:rPr>
                <w:rFonts w:ascii="Arial" w:hAnsi="Arial" w:cs="Arial"/>
                <w:sz w:val="24"/>
                <w:szCs w:val="24"/>
              </w:rPr>
              <w:t xml:space="preserve">ourt recognises that </w:t>
            </w:r>
            <w:r w:rsidR="00F3409F">
              <w:rPr>
                <w:rFonts w:ascii="Arial" w:hAnsi="Arial" w:cs="Arial"/>
                <w:sz w:val="24"/>
                <w:szCs w:val="24"/>
              </w:rPr>
              <w:t>a mistake was made by the plaintiffs on the pleadings.</w:t>
            </w:r>
            <w:r w:rsidR="00C24607">
              <w:rPr>
                <w:rFonts w:ascii="Arial" w:hAnsi="Arial" w:cs="Arial"/>
                <w:sz w:val="24"/>
                <w:szCs w:val="24"/>
              </w:rPr>
              <w:t xml:space="preserve"> The C</w:t>
            </w:r>
            <w:r w:rsidR="00F3409F">
              <w:rPr>
                <w:rFonts w:ascii="Arial" w:hAnsi="Arial" w:cs="Arial"/>
                <w:sz w:val="24"/>
                <w:szCs w:val="24"/>
              </w:rPr>
              <w:t>ourt is however mindful thereof that plaintiff</w:t>
            </w:r>
            <w:r w:rsidR="0082726B">
              <w:rPr>
                <w:rFonts w:ascii="Arial" w:hAnsi="Arial" w:cs="Arial"/>
                <w:sz w:val="24"/>
                <w:szCs w:val="24"/>
              </w:rPr>
              <w:t>'s</w:t>
            </w:r>
            <w:r w:rsidR="00F3409F">
              <w:rPr>
                <w:rFonts w:ascii="Arial" w:hAnsi="Arial" w:cs="Arial"/>
                <w:sz w:val="24"/>
                <w:szCs w:val="24"/>
              </w:rPr>
              <w:t xml:space="preserve"> intended rectification very well might introduce proposed amendments which might not be due to mere mistakes previously made, but the fruit of careful reconsideration and rephrasing of relief to obtain a more advantageous position not previously introduced and prayed for, and not presently merited.</w:t>
            </w:r>
          </w:p>
          <w:p w:rsidR="00B07404" w:rsidRPr="00AF0BF2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AF0BF2" w:rsidRDefault="00AF0BF2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[9]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23690">
              <w:rPr>
                <w:rFonts w:ascii="Arial" w:hAnsi="Arial" w:cs="Arial"/>
                <w:sz w:val="24"/>
                <w:szCs w:val="24"/>
              </w:rPr>
              <w:t>In the circumstances of the case and du</w:t>
            </w:r>
            <w:r w:rsidR="00D56E99">
              <w:rPr>
                <w:rFonts w:ascii="Arial" w:hAnsi="Arial" w:cs="Arial"/>
                <w:sz w:val="24"/>
                <w:szCs w:val="24"/>
              </w:rPr>
              <w:t>e to the limited amendment the C</w:t>
            </w:r>
            <w:r w:rsidR="00E23690">
              <w:rPr>
                <w:rFonts w:ascii="Arial" w:hAnsi="Arial" w:cs="Arial"/>
                <w:sz w:val="24"/>
                <w:szCs w:val="24"/>
              </w:rPr>
              <w:t>ourt shall allow</w:t>
            </w:r>
            <w:r w:rsidR="00787C8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E2369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D56E99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E23690">
              <w:rPr>
                <w:rFonts w:ascii="Arial" w:hAnsi="Arial" w:cs="Arial"/>
                <w:sz w:val="24"/>
                <w:szCs w:val="24"/>
              </w:rPr>
              <w:t>the equality of success attained by each party</w:t>
            </w:r>
            <w:r w:rsidR="0082726B">
              <w:rPr>
                <w:rFonts w:ascii="Arial" w:hAnsi="Arial" w:cs="Arial"/>
                <w:sz w:val="24"/>
                <w:szCs w:val="24"/>
              </w:rPr>
              <w:t>,</w:t>
            </w:r>
            <w:r w:rsidR="00E23690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D56E99">
              <w:rPr>
                <w:rFonts w:ascii="Arial" w:hAnsi="Arial" w:cs="Arial"/>
                <w:sz w:val="24"/>
                <w:szCs w:val="24"/>
              </w:rPr>
              <w:t>C</w:t>
            </w:r>
            <w:r w:rsidR="00E23690">
              <w:rPr>
                <w:rFonts w:ascii="Arial" w:hAnsi="Arial" w:cs="Arial"/>
                <w:sz w:val="24"/>
                <w:szCs w:val="24"/>
              </w:rPr>
              <w:t>ourt order</w:t>
            </w:r>
            <w:r w:rsidR="00D56E99">
              <w:rPr>
                <w:rFonts w:ascii="Arial" w:hAnsi="Arial" w:cs="Arial"/>
                <w:sz w:val="24"/>
                <w:szCs w:val="24"/>
              </w:rPr>
              <w:t>s</w:t>
            </w:r>
            <w:r w:rsidR="00E23690">
              <w:rPr>
                <w:rFonts w:ascii="Arial" w:hAnsi="Arial" w:cs="Arial"/>
                <w:sz w:val="24"/>
                <w:szCs w:val="24"/>
              </w:rPr>
              <w:t xml:space="preserve"> each party to bear its own costs.</w:t>
            </w:r>
          </w:p>
          <w:p w:rsidR="00B07404" w:rsidRPr="00AF0BF2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AF0BF2" w:rsidRDefault="00AF0BF2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[10]</w:t>
            </w:r>
            <w:r>
              <w:rPr>
                <w:rFonts w:ascii="Arial" w:hAnsi="Arial" w:cs="Arial"/>
                <w:sz w:val="24"/>
                <w:szCs w:val="24"/>
              </w:rPr>
              <w:tab/>
              <w:t>In the result the following orders are made:</w:t>
            </w:r>
          </w:p>
          <w:p w:rsidR="00B07404" w:rsidRPr="00AF0BF2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BF2" w:rsidRPr="00AF0BF2" w:rsidRDefault="00AF0BF2" w:rsidP="00AF0B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[10.1]</w:t>
            </w:r>
            <w:r>
              <w:rPr>
                <w:rFonts w:ascii="Arial" w:hAnsi="Arial" w:cs="Arial"/>
                <w:sz w:val="24"/>
                <w:szCs w:val="24"/>
              </w:rPr>
              <w:tab/>
              <w:t>The amount in paragraph 11 of the particulars of claim, as well as in prayer 1, is substituted with ‟N$4 401 889.38”.</w:t>
            </w:r>
          </w:p>
          <w:p w:rsidR="00AF0BF2" w:rsidRPr="00AF0BF2" w:rsidRDefault="00AF0BF2" w:rsidP="00AF0B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BF2" w:rsidRPr="00AF0BF2" w:rsidRDefault="00AF0BF2" w:rsidP="00AF0B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[10.2]</w:t>
            </w:r>
            <w:r w:rsidRPr="00AF0BF2">
              <w:rPr>
                <w:rFonts w:ascii="Arial" w:hAnsi="Arial" w:cs="Arial"/>
                <w:sz w:val="24"/>
                <w:szCs w:val="24"/>
              </w:rPr>
              <w:tab/>
            </w:r>
            <w:r w:rsidR="00EB79B8">
              <w:rPr>
                <w:rFonts w:ascii="Arial" w:hAnsi="Arial" w:cs="Arial"/>
                <w:sz w:val="24"/>
                <w:szCs w:val="24"/>
              </w:rPr>
              <w:t>The remainder of the contents of plaintiffs' Particulars of Claim and Prayers remain the same, without any amendments.</w:t>
            </w:r>
          </w:p>
          <w:p w:rsidR="00AF0BF2" w:rsidRPr="00AF0BF2" w:rsidRDefault="00AF0BF2" w:rsidP="00AF0B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BF2" w:rsidRPr="00AF0BF2" w:rsidRDefault="00AF0BF2" w:rsidP="00AF0B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[10.3]</w:t>
            </w:r>
            <w:r w:rsidRPr="00AF0BF2">
              <w:rPr>
                <w:rFonts w:ascii="Arial" w:hAnsi="Arial" w:cs="Arial"/>
                <w:sz w:val="24"/>
                <w:szCs w:val="24"/>
              </w:rPr>
              <w:tab/>
            </w:r>
            <w:r w:rsidR="00EB79B8">
              <w:rPr>
                <w:rFonts w:ascii="Arial" w:hAnsi="Arial" w:cs="Arial"/>
                <w:sz w:val="24"/>
                <w:szCs w:val="24"/>
              </w:rPr>
              <w:t xml:space="preserve">No amendment other than contained in order </w:t>
            </w:r>
            <w:r w:rsidR="0082726B">
              <w:rPr>
                <w:rFonts w:ascii="Arial" w:hAnsi="Arial" w:cs="Arial"/>
                <w:sz w:val="24"/>
                <w:szCs w:val="24"/>
              </w:rPr>
              <w:t>[10.</w:t>
            </w:r>
            <w:r w:rsidR="00D56E99">
              <w:rPr>
                <w:rFonts w:ascii="Arial" w:hAnsi="Arial" w:cs="Arial"/>
                <w:sz w:val="24"/>
                <w:szCs w:val="24"/>
              </w:rPr>
              <w:t>1</w:t>
            </w:r>
            <w:r w:rsidR="0082726B">
              <w:rPr>
                <w:rFonts w:ascii="Arial" w:hAnsi="Arial" w:cs="Arial"/>
                <w:sz w:val="24"/>
                <w:szCs w:val="24"/>
              </w:rPr>
              <w:t>]</w:t>
            </w:r>
            <w:r w:rsidR="00EB79B8">
              <w:rPr>
                <w:rFonts w:ascii="Arial" w:hAnsi="Arial" w:cs="Arial"/>
                <w:sz w:val="24"/>
                <w:szCs w:val="24"/>
              </w:rPr>
              <w:t xml:space="preserve"> above is allowed and no further pleading or amendment to the pre-trial order apart from the substituted amount is necessary or required.</w:t>
            </w:r>
          </w:p>
          <w:p w:rsidR="00B07404" w:rsidRPr="00AF0BF2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Default="00EB79B8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[10.4]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56E99">
              <w:rPr>
                <w:rFonts w:ascii="Arial" w:hAnsi="Arial" w:cs="Arial"/>
                <w:sz w:val="24"/>
                <w:szCs w:val="24"/>
              </w:rPr>
              <w:t>Each party shall bear its own costs relating to the amendment proceedings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6E99" w:rsidRDefault="00D56E99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AF0BF2" w:rsidRDefault="00D56E99" w:rsidP="00AF0B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[10.5]</w:t>
            </w:r>
            <w:r>
              <w:rPr>
                <w:rFonts w:ascii="Arial" w:hAnsi="Arial" w:cs="Arial"/>
                <w:sz w:val="24"/>
                <w:szCs w:val="24"/>
              </w:rPr>
              <w:tab/>
              <w:t>The case is postponed to 12/06/2020 at 08h30 for Roll Call Hearing.</w:t>
            </w:r>
          </w:p>
        </w:tc>
      </w:tr>
      <w:tr w:rsidR="00BE5489" w:rsidRPr="00AF0BF2" w:rsidTr="00C04EBD">
        <w:tc>
          <w:tcPr>
            <w:tcW w:w="4770" w:type="dxa"/>
          </w:tcPr>
          <w:p w:rsidR="00BE5489" w:rsidRPr="00AF0BF2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Judge’s signature:</w:t>
            </w:r>
          </w:p>
        </w:tc>
        <w:tc>
          <w:tcPr>
            <w:tcW w:w="4950" w:type="dxa"/>
            <w:gridSpan w:val="2"/>
          </w:tcPr>
          <w:p w:rsidR="00BE5489" w:rsidRPr="00AF0BF2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t>Note to the parties:</w:t>
            </w:r>
          </w:p>
        </w:tc>
      </w:tr>
      <w:tr w:rsidR="00BE5489" w:rsidRPr="00AF0BF2" w:rsidTr="00B45D29">
        <w:trPr>
          <w:trHeight w:val="835"/>
        </w:trPr>
        <w:tc>
          <w:tcPr>
            <w:tcW w:w="4770" w:type="dxa"/>
          </w:tcPr>
          <w:p w:rsidR="009F6C8B" w:rsidRPr="00AF0BF2" w:rsidRDefault="009F6C8B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BE5489" w:rsidRPr="00AF0BF2" w:rsidRDefault="00BE5489" w:rsidP="00952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F8A" w:rsidRPr="00AF0BF2" w:rsidTr="00B530B4">
        <w:tc>
          <w:tcPr>
            <w:tcW w:w="9720" w:type="dxa"/>
            <w:gridSpan w:val="3"/>
          </w:tcPr>
          <w:p w:rsidR="00A23F8A" w:rsidRPr="00AF0BF2" w:rsidRDefault="00A23F8A" w:rsidP="00A23F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</w:tc>
      </w:tr>
      <w:tr w:rsidR="00FD38C2" w:rsidRPr="00AF0BF2" w:rsidTr="00FD38C2">
        <w:tc>
          <w:tcPr>
            <w:tcW w:w="4770" w:type="dxa"/>
          </w:tcPr>
          <w:p w:rsidR="00FD38C2" w:rsidRPr="00AF0BF2" w:rsidRDefault="00FB2B08" w:rsidP="00D56E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t>Plaintiff</w:t>
            </w:r>
            <w:r w:rsidR="00FD38C2" w:rsidRPr="00AF0BF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950" w:type="dxa"/>
            <w:gridSpan w:val="2"/>
          </w:tcPr>
          <w:p w:rsidR="00FD38C2" w:rsidRPr="00AF0BF2" w:rsidRDefault="00FB2B08" w:rsidP="00D56E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BF2">
              <w:rPr>
                <w:rFonts w:ascii="Arial" w:hAnsi="Arial" w:cs="Arial"/>
                <w:b/>
                <w:sz w:val="24"/>
                <w:szCs w:val="24"/>
              </w:rPr>
              <w:t>Defendants</w:t>
            </w:r>
          </w:p>
        </w:tc>
      </w:tr>
      <w:tr w:rsidR="00F5564C" w:rsidRPr="00AF0BF2" w:rsidTr="00D56E99">
        <w:trPr>
          <w:trHeight w:val="1266"/>
        </w:trPr>
        <w:tc>
          <w:tcPr>
            <w:tcW w:w="4770" w:type="dxa"/>
          </w:tcPr>
          <w:p w:rsidR="0071117A" w:rsidRDefault="0071117A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17A" w:rsidRPr="00AF0BF2" w:rsidRDefault="00FC349D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Ellis Shilengudwa Inc</w:t>
            </w:r>
            <w:r w:rsidR="007111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50" w:type="dxa"/>
            <w:gridSpan w:val="2"/>
          </w:tcPr>
          <w:p w:rsidR="00D56E99" w:rsidRDefault="00D56E99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D87" w:rsidRPr="00AF0BF2" w:rsidRDefault="00FC349D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Francois Erasmus &amp; Partners</w:t>
            </w:r>
          </w:p>
        </w:tc>
      </w:tr>
    </w:tbl>
    <w:p w:rsidR="009B096F" w:rsidRPr="00D56E99" w:rsidRDefault="009B096F" w:rsidP="0071117A">
      <w:pPr>
        <w:tabs>
          <w:tab w:val="left" w:pos="1916"/>
          <w:tab w:val="left" w:pos="2479"/>
        </w:tabs>
        <w:rPr>
          <w:rFonts w:ascii="Arial Narrow" w:hAnsi="Arial Narrow"/>
          <w:sz w:val="24"/>
          <w:szCs w:val="24"/>
        </w:rPr>
      </w:pPr>
    </w:p>
    <w:sectPr w:rsidR="009B096F" w:rsidRPr="00D56E99" w:rsidSect="0050338C">
      <w:footerReference w:type="default" r:id="rId11"/>
      <w:pgSz w:w="11906" w:h="16838"/>
      <w:pgMar w:top="1080" w:right="1440" w:bottom="1560" w:left="1440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38" w:rsidRDefault="00CA6338" w:rsidP="00A23F8A">
      <w:pPr>
        <w:spacing w:after="0" w:line="240" w:lineRule="auto"/>
      </w:pPr>
      <w:r>
        <w:separator/>
      </w:r>
    </w:p>
  </w:endnote>
  <w:endnote w:type="continuationSeparator" w:id="0">
    <w:p w:rsidR="00CA6338" w:rsidRDefault="00CA6338" w:rsidP="00A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72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F8A" w:rsidRDefault="00A23F8A">
        <w:pPr>
          <w:pStyle w:val="Footer"/>
          <w:jc w:val="right"/>
        </w:pPr>
        <w:r w:rsidRPr="00A23F8A">
          <w:rPr>
            <w:rFonts w:ascii="Arial Narrow" w:hAnsi="Arial Narrow"/>
            <w:sz w:val="18"/>
            <w:szCs w:val="18"/>
          </w:rPr>
          <w:fldChar w:fldCharType="begin"/>
        </w:r>
        <w:r w:rsidRPr="00A23F8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A23F8A">
          <w:rPr>
            <w:rFonts w:ascii="Arial Narrow" w:hAnsi="Arial Narrow"/>
            <w:sz w:val="18"/>
            <w:szCs w:val="18"/>
          </w:rPr>
          <w:fldChar w:fldCharType="separate"/>
        </w:r>
        <w:r w:rsidR="00FE00F0">
          <w:rPr>
            <w:rFonts w:ascii="Arial Narrow" w:hAnsi="Arial Narrow"/>
            <w:noProof/>
            <w:sz w:val="18"/>
            <w:szCs w:val="18"/>
          </w:rPr>
          <w:t>1</w:t>
        </w:r>
        <w:r w:rsidRPr="00A23F8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38" w:rsidRDefault="00CA6338" w:rsidP="00A23F8A">
      <w:pPr>
        <w:spacing w:after="0" w:line="240" w:lineRule="auto"/>
      </w:pPr>
      <w:r>
        <w:separator/>
      </w:r>
    </w:p>
  </w:footnote>
  <w:footnote w:type="continuationSeparator" w:id="0">
    <w:p w:rsidR="00CA6338" w:rsidRDefault="00CA6338" w:rsidP="00A2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54F"/>
    <w:multiLevelType w:val="hybridMultilevel"/>
    <w:tmpl w:val="D0980A98"/>
    <w:lvl w:ilvl="0" w:tplc="1C09000F">
      <w:start w:val="1"/>
      <w:numFmt w:val="decimal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676"/>
    <w:multiLevelType w:val="hybridMultilevel"/>
    <w:tmpl w:val="DC88FBD4"/>
    <w:lvl w:ilvl="0" w:tplc="A0904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0334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781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C6E6D"/>
    <w:multiLevelType w:val="hybridMultilevel"/>
    <w:tmpl w:val="3EA22A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3676F"/>
    <w:multiLevelType w:val="hybridMultilevel"/>
    <w:tmpl w:val="0F5456CA"/>
    <w:lvl w:ilvl="0" w:tplc="76D411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400B0"/>
    <w:multiLevelType w:val="hybridMultilevel"/>
    <w:tmpl w:val="FBAE01D2"/>
    <w:lvl w:ilvl="0" w:tplc="313C254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625"/>
    <w:multiLevelType w:val="hybridMultilevel"/>
    <w:tmpl w:val="514AE724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3512E"/>
    <w:multiLevelType w:val="hybridMultilevel"/>
    <w:tmpl w:val="1E40EB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0A81"/>
    <w:multiLevelType w:val="hybridMultilevel"/>
    <w:tmpl w:val="F16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F"/>
    <w:rsid w:val="00000C0E"/>
    <w:rsid w:val="00007708"/>
    <w:rsid w:val="0004206E"/>
    <w:rsid w:val="00067546"/>
    <w:rsid w:val="000A4C44"/>
    <w:rsid w:val="000B30DE"/>
    <w:rsid w:val="000C0A07"/>
    <w:rsid w:val="000D5FE9"/>
    <w:rsid w:val="00112D50"/>
    <w:rsid w:val="00113321"/>
    <w:rsid w:val="00124EC8"/>
    <w:rsid w:val="00125077"/>
    <w:rsid w:val="00150FB9"/>
    <w:rsid w:val="00165FEE"/>
    <w:rsid w:val="001804AD"/>
    <w:rsid w:val="00186226"/>
    <w:rsid w:val="0019619C"/>
    <w:rsid w:val="001B1B81"/>
    <w:rsid w:val="001C56D6"/>
    <w:rsid w:val="001C6FDA"/>
    <w:rsid w:val="001D339D"/>
    <w:rsid w:val="001F1ECD"/>
    <w:rsid w:val="001F353F"/>
    <w:rsid w:val="001F4A48"/>
    <w:rsid w:val="002002FA"/>
    <w:rsid w:val="00203E3D"/>
    <w:rsid w:val="00252CA4"/>
    <w:rsid w:val="0025406A"/>
    <w:rsid w:val="00262FD3"/>
    <w:rsid w:val="00267DC9"/>
    <w:rsid w:val="00270053"/>
    <w:rsid w:val="00281A10"/>
    <w:rsid w:val="00281FAB"/>
    <w:rsid w:val="002830F4"/>
    <w:rsid w:val="002B51EF"/>
    <w:rsid w:val="002C6C89"/>
    <w:rsid w:val="002D4C2A"/>
    <w:rsid w:val="002E19E0"/>
    <w:rsid w:val="00300CF7"/>
    <w:rsid w:val="0030287B"/>
    <w:rsid w:val="00323762"/>
    <w:rsid w:val="00325B5B"/>
    <w:rsid w:val="00334EC0"/>
    <w:rsid w:val="00347DBC"/>
    <w:rsid w:val="00371CD0"/>
    <w:rsid w:val="00391905"/>
    <w:rsid w:val="00396AF1"/>
    <w:rsid w:val="003A0103"/>
    <w:rsid w:val="003A7B58"/>
    <w:rsid w:val="003B267A"/>
    <w:rsid w:val="003C4613"/>
    <w:rsid w:val="003D3115"/>
    <w:rsid w:val="003E09FF"/>
    <w:rsid w:val="003E3D0D"/>
    <w:rsid w:val="003E50E8"/>
    <w:rsid w:val="003F52A2"/>
    <w:rsid w:val="004005B8"/>
    <w:rsid w:val="00425554"/>
    <w:rsid w:val="00431A31"/>
    <w:rsid w:val="00431CC4"/>
    <w:rsid w:val="004378C5"/>
    <w:rsid w:val="00441745"/>
    <w:rsid w:val="00447B52"/>
    <w:rsid w:val="004546CC"/>
    <w:rsid w:val="00456199"/>
    <w:rsid w:val="004708B1"/>
    <w:rsid w:val="004756D8"/>
    <w:rsid w:val="004D0817"/>
    <w:rsid w:val="004E7D33"/>
    <w:rsid w:val="0050338C"/>
    <w:rsid w:val="005076B5"/>
    <w:rsid w:val="00514010"/>
    <w:rsid w:val="005234EE"/>
    <w:rsid w:val="005403D8"/>
    <w:rsid w:val="0055240C"/>
    <w:rsid w:val="00560E2E"/>
    <w:rsid w:val="00574A92"/>
    <w:rsid w:val="00586560"/>
    <w:rsid w:val="005955B1"/>
    <w:rsid w:val="005B4E4D"/>
    <w:rsid w:val="005D0592"/>
    <w:rsid w:val="005D6172"/>
    <w:rsid w:val="005D7161"/>
    <w:rsid w:val="005E1C51"/>
    <w:rsid w:val="005E5A8F"/>
    <w:rsid w:val="006039AA"/>
    <w:rsid w:val="00621EE8"/>
    <w:rsid w:val="0062225A"/>
    <w:rsid w:val="006248FA"/>
    <w:rsid w:val="0064073E"/>
    <w:rsid w:val="006475B1"/>
    <w:rsid w:val="00652595"/>
    <w:rsid w:val="006648A9"/>
    <w:rsid w:val="00676F46"/>
    <w:rsid w:val="00677240"/>
    <w:rsid w:val="00685B9E"/>
    <w:rsid w:val="00686347"/>
    <w:rsid w:val="00686B3F"/>
    <w:rsid w:val="0068770A"/>
    <w:rsid w:val="006A0DA3"/>
    <w:rsid w:val="006A18F2"/>
    <w:rsid w:val="006C3D3B"/>
    <w:rsid w:val="006C6E7D"/>
    <w:rsid w:val="006D1DD9"/>
    <w:rsid w:val="006D22F9"/>
    <w:rsid w:val="006D2D84"/>
    <w:rsid w:val="006D3624"/>
    <w:rsid w:val="006E1F3B"/>
    <w:rsid w:val="006E2964"/>
    <w:rsid w:val="0071117A"/>
    <w:rsid w:val="00715AD2"/>
    <w:rsid w:val="00717C42"/>
    <w:rsid w:val="0072576E"/>
    <w:rsid w:val="0073012B"/>
    <w:rsid w:val="00777156"/>
    <w:rsid w:val="0078341F"/>
    <w:rsid w:val="00787C82"/>
    <w:rsid w:val="0079456D"/>
    <w:rsid w:val="007A6546"/>
    <w:rsid w:val="007C2DFE"/>
    <w:rsid w:val="007C3E8C"/>
    <w:rsid w:val="00806B14"/>
    <w:rsid w:val="0081266C"/>
    <w:rsid w:val="00823237"/>
    <w:rsid w:val="00826F2E"/>
    <w:rsid w:val="0082726B"/>
    <w:rsid w:val="00844CA5"/>
    <w:rsid w:val="00851B88"/>
    <w:rsid w:val="00860A6E"/>
    <w:rsid w:val="00864008"/>
    <w:rsid w:val="00864FC2"/>
    <w:rsid w:val="008930A5"/>
    <w:rsid w:val="008A14A9"/>
    <w:rsid w:val="008C0AC7"/>
    <w:rsid w:val="008D41B9"/>
    <w:rsid w:val="008D65E9"/>
    <w:rsid w:val="008D7887"/>
    <w:rsid w:val="008D79D4"/>
    <w:rsid w:val="008F37B5"/>
    <w:rsid w:val="008F6D87"/>
    <w:rsid w:val="00902C34"/>
    <w:rsid w:val="00905A48"/>
    <w:rsid w:val="00912D4E"/>
    <w:rsid w:val="00947BEE"/>
    <w:rsid w:val="00952193"/>
    <w:rsid w:val="00953C0B"/>
    <w:rsid w:val="0097641C"/>
    <w:rsid w:val="00993C44"/>
    <w:rsid w:val="009B096F"/>
    <w:rsid w:val="009F6C8B"/>
    <w:rsid w:val="00A03E9D"/>
    <w:rsid w:val="00A059C8"/>
    <w:rsid w:val="00A06FD8"/>
    <w:rsid w:val="00A14435"/>
    <w:rsid w:val="00A23F8A"/>
    <w:rsid w:val="00A258AF"/>
    <w:rsid w:val="00A31B09"/>
    <w:rsid w:val="00A50B01"/>
    <w:rsid w:val="00A5758F"/>
    <w:rsid w:val="00A635A8"/>
    <w:rsid w:val="00A772D3"/>
    <w:rsid w:val="00A81203"/>
    <w:rsid w:val="00A81926"/>
    <w:rsid w:val="00A82F94"/>
    <w:rsid w:val="00A838E1"/>
    <w:rsid w:val="00A871F0"/>
    <w:rsid w:val="00AA0222"/>
    <w:rsid w:val="00AB0A0B"/>
    <w:rsid w:val="00AB33C7"/>
    <w:rsid w:val="00AB5193"/>
    <w:rsid w:val="00AC277C"/>
    <w:rsid w:val="00AC4198"/>
    <w:rsid w:val="00AD2963"/>
    <w:rsid w:val="00AD481D"/>
    <w:rsid w:val="00AF0BF2"/>
    <w:rsid w:val="00B06E05"/>
    <w:rsid w:val="00B07404"/>
    <w:rsid w:val="00B160EB"/>
    <w:rsid w:val="00B1649C"/>
    <w:rsid w:val="00B25D07"/>
    <w:rsid w:val="00B266EA"/>
    <w:rsid w:val="00B30012"/>
    <w:rsid w:val="00B318D1"/>
    <w:rsid w:val="00B32773"/>
    <w:rsid w:val="00B337FC"/>
    <w:rsid w:val="00B45D29"/>
    <w:rsid w:val="00B942B6"/>
    <w:rsid w:val="00BA213D"/>
    <w:rsid w:val="00BA3715"/>
    <w:rsid w:val="00BB388A"/>
    <w:rsid w:val="00BC4D4A"/>
    <w:rsid w:val="00BC745A"/>
    <w:rsid w:val="00BE5489"/>
    <w:rsid w:val="00BE6621"/>
    <w:rsid w:val="00BE7DE8"/>
    <w:rsid w:val="00BF2258"/>
    <w:rsid w:val="00BF7576"/>
    <w:rsid w:val="00C04EBD"/>
    <w:rsid w:val="00C06B39"/>
    <w:rsid w:val="00C14336"/>
    <w:rsid w:val="00C210B9"/>
    <w:rsid w:val="00C24607"/>
    <w:rsid w:val="00C249D9"/>
    <w:rsid w:val="00C332BE"/>
    <w:rsid w:val="00C50A1F"/>
    <w:rsid w:val="00C62296"/>
    <w:rsid w:val="00C72ABD"/>
    <w:rsid w:val="00C73154"/>
    <w:rsid w:val="00C80393"/>
    <w:rsid w:val="00C86149"/>
    <w:rsid w:val="00CA4320"/>
    <w:rsid w:val="00CA6338"/>
    <w:rsid w:val="00CC4E7A"/>
    <w:rsid w:val="00CC5024"/>
    <w:rsid w:val="00CF688F"/>
    <w:rsid w:val="00D01751"/>
    <w:rsid w:val="00D0286A"/>
    <w:rsid w:val="00D17199"/>
    <w:rsid w:val="00D20255"/>
    <w:rsid w:val="00D217B7"/>
    <w:rsid w:val="00D22ACF"/>
    <w:rsid w:val="00D23152"/>
    <w:rsid w:val="00D33320"/>
    <w:rsid w:val="00D40029"/>
    <w:rsid w:val="00D56E93"/>
    <w:rsid w:val="00D56E99"/>
    <w:rsid w:val="00D778A7"/>
    <w:rsid w:val="00D862BF"/>
    <w:rsid w:val="00DD21FA"/>
    <w:rsid w:val="00DF6B32"/>
    <w:rsid w:val="00E23690"/>
    <w:rsid w:val="00E3339B"/>
    <w:rsid w:val="00E45691"/>
    <w:rsid w:val="00E76313"/>
    <w:rsid w:val="00E92692"/>
    <w:rsid w:val="00EB27A0"/>
    <w:rsid w:val="00EB79B8"/>
    <w:rsid w:val="00EB7D17"/>
    <w:rsid w:val="00EF1EEC"/>
    <w:rsid w:val="00EF5EF9"/>
    <w:rsid w:val="00F01660"/>
    <w:rsid w:val="00F10E27"/>
    <w:rsid w:val="00F16C57"/>
    <w:rsid w:val="00F3409F"/>
    <w:rsid w:val="00F40783"/>
    <w:rsid w:val="00F446CF"/>
    <w:rsid w:val="00F45189"/>
    <w:rsid w:val="00F50FFD"/>
    <w:rsid w:val="00F53DDE"/>
    <w:rsid w:val="00F5564C"/>
    <w:rsid w:val="00F571A4"/>
    <w:rsid w:val="00F6207C"/>
    <w:rsid w:val="00F66EB8"/>
    <w:rsid w:val="00F7300B"/>
    <w:rsid w:val="00F7359F"/>
    <w:rsid w:val="00FB2B08"/>
    <w:rsid w:val="00FC349D"/>
    <w:rsid w:val="00FD3814"/>
    <w:rsid w:val="00FD38C2"/>
    <w:rsid w:val="00FD472B"/>
    <w:rsid w:val="00FE00F0"/>
    <w:rsid w:val="00FE7BE9"/>
    <w:rsid w:val="00FE7D8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D574F-CAB4-4F8F-93A7-E409FCA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78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8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78C5"/>
    <w:rPr>
      <w:vertAlign w:val="superscript"/>
    </w:rPr>
  </w:style>
  <w:style w:type="paragraph" w:customStyle="1" w:styleId="form-control-static">
    <w:name w:val="form-control-static"/>
    <w:basedOn w:val="Normal"/>
    <w:rsid w:val="0071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98">
              <w:marLeft w:val="-195"/>
              <w:marRight w:val="-19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2020-05-31T18:30:00+00:00</Judgment_x0020_Date>
    <Year xmlns="c1afb1bd-f2fb-40fd-9abb-aea55b4d7662">2020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8C56-6221-455D-A224-8AE77E8FAAC7}"/>
</file>

<file path=customXml/itemProps2.xml><?xml version="1.0" encoding="utf-8"?>
<ds:datastoreItem xmlns:ds="http://schemas.openxmlformats.org/officeDocument/2006/customXml" ds:itemID="{9A709729-5494-455D-B631-4337CD44EEAB}"/>
</file>

<file path=customXml/itemProps3.xml><?xml version="1.0" encoding="utf-8"?>
<ds:datastoreItem xmlns:ds="http://schemas.openxmlformats.org/officeDocument/2006/customXml" ds:itemID="{43C7AE69-6C99-4EA8-8635-B7F35363D1F3}"/>
</file>

<file path=customXml/itemProps4.xml><?xml version="1.0" encoding="utf-8"?>
<ds:datastoreItem xmlns:ds="http://schemas.openxmlformats.org/officeDocument/2006/customXml" ds:itemID="{178A077B-3B6E-4ED3-8FF7-470596245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Rouco Auto Manufacturers (Pty) Ltd v Erf Two Four Walvis Bay CC</vt:lpstr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Bellwinkel v Van Niekerk (HC-MD-CIV-ACT-CON-2017-04625) [2020] NAHCMD 203 (1 June 2020)</dc:title>
  <dc:creator>E. Kharases</dc:creator>
  <cp:lastModifiedBy>Administrator</cp:lastModifiedBy>
  <cp:revision>2</cp:revision>
  <cp:lastPrinted>2020-06-01T10:38:00Z</cp:lastPrinted>
  <dcterms:created xsi:type="dcterms:W3CDTF">2020-06-02T06:16:00Z</dcterms:created>
  <dcterms:modified xsi:type="dcterms:W3CDTF">2020-06-02T06:16:00Z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