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776" w:rsidRDefault="007B7626">
      <w:pPr>
        <w:widowControl w:val="0"/>
        <w:spacing w:line="360" w:lineRule="auto"/>
        <w:jc w:val="center"/>
        <w:rPr>
          <w:rFonts w:ascii="Arial" w:eastAsia="Arial" w:hAnsi="Arial" w:cs="Arial"/>
          <w:sz w:val="24"/>
          <w:szCs w:val="24"/>
        </w:rPr>
      </w:pPr>
      <w:r>
        <w:rPr>
          <w:rFonts w:ascii="Arial" w:eastAsia="Arial" w:hAnsi="Arial" w:cs="Arial"/>
          <w:b/>
          <w:sz w:val="24"/>
          <w:szCs w:val="24"/>
        </w:rPr>
        <w:t>REPUBLIC OF NAMIBIA</w:t>
      </w:r>
    </w:p>
    <w:p w:rsidR="00843776" w:rsidRDefault="007B7626" w:rsidP="00360F32">
      <w:pPr>
        <w:widowControl w:val="0"/>
        <w:spacing w:line="360" w:lineRule="auto"/>
        <w:jc w:val="center"/>
        <w:rPr>
          <w:rFonts w:ascii="Arial" w:eastAsia="Arial" w:hAnsi="Arial" w:cs="Arial"/>
          <w:sz w:val="24"/>
          <w:szCs w:val="24"/>
        </w:rPr>
      </w:pPr>
      <w:r>
        <w:rPr>
          <w:rFonts w:ascii="Arial" w:eastAsia="Arial" w:hAnsi="Arial" w:cs="Arial"/>
          <w:b/>
          <w:noProof/>
          <w:sz w:val="24"/>
          <w:szCs w:val="24"/>
          <w:lang w:eastAsia="en-US"/>
        </w:rPr>
        <w:drawing>
          <wp:inline distT="0" distB="0" distL="114300" distR="114300">
            <wp:extent cx="1304925" cy="1247775"/>
            <wp:effectExtent l="0" t="0" r="0" b="0"/>
            <wp:docPr id="1" name="image1.png" descr="NAM1"/>
            <wp:cNvGraphicFramePr/>
            <a:graphic xmlns:a="http://schemas.openxmlformats.org/drawingml/2006/main">
              <a:graphicData uri="http://schemas.openxmlformats.org/drawingml/2006/picture">
                <pic:pic xmlns:pic="http://schemas.openxmlformats.org/drawingml/2006/picture">
                  <pic:nvPicPr>
                    <pic:cNvPr id="0" name="image1.png" descr="NAM1"/>
                    <pic:cNvPicPr preferRelativeResize="0"/>
                  </pic:nvPicPr>
                  <pic:blipFill>
                    <a:blip r:embed="rId7"/>
                    <a:srcRect/>
                    <a:stretch>
                      <a:fillRect/>
                    </a:stretch>
                  </pic:blipFill>
                  <pic:spPr>
                    <a:xfrm>
                      <a:off x="0" y="0"/>
                      <a:ext cx="1304925" cy="1247775"/>
                    </a:xfrm>
                    <a:prstGeom prst="rect">
                      <a:avLst/>
                    </a:prstGeom>
                    <a:ln/>
                  </pic:spPr>
                </pic:pic>
              </a:graphicData>
            </a:graphic>
          </wp:inline>
        </w:drawing>
      </w:r>
    </w:p>
    <w:p w:rsidR="00843776" w:rsidRPr="0007445B" w:rsidRDefault="007B7626" w:rsidP="0007445B">
      <w:pPr>
        <w:widowControl w:val="0"/>
        <w:spacing w:line="360" w:lineRule="auto"/>
        <w:jc w:val="center"/>
        <w:rPr>
          <w:rFonts w:ascii="Arial" w:eastAsia="Arial" w:hAnsi="Arial" w:cs="Arial"/>
          <w:b/>
          <w:sz w:val="24"/>
          <w:szCs w:val="24"/>
        </w:rPr>
      </w:pPr>
      <w:r>
        <w:rPr>
          <w:rFonts w:ascii="Arial" w:eastAsia="Arial" w:hAnsi="Arial" w:cs="Arial"/>
          <w:b/>
          <w:sz w:val="24"/>
          <w:szCs w:val="24"/>
        </w:rPr>
        <w:t>HIGH COURT OF NAMIBIA, MAIN DIVISION</w:t>
      </w:r>
      <w:r w:rsidR="0007445B">
        <w:rPr>
          <w:rFonts w:ascii="Arial" w:eastAsia="Arial" w:hAnsi="Arial" w:cs="Arial"/>
          <w:sz w:val="24"/>
          <w:szCs w:val="24"/>
        </w:rPr>
        <w:t xml:space="preserve">, </w:t>
      </w:r>
      <w:r w:rsidR="0007445B" w:rsidRPr="0007445B">
        <w:rPr>
          <w:rFonts w:ascii="Arial" w:eastAsia="Arial" w:hAnsi="Arial" w:cs="Arial"/>
          <w:b/>
          <w:sz w:val="24"/>
          <w:szCs w:val="24"/>
        </w:rPr>
        <w:t>WINDHOEK</w:t>
      </w:r>
    </w:p>
    <w:p w:rsidR="00843776" w:rsidRDefault="007B7626">
      <w:pPr>
        <w:widowControl w:val="0"/>
        <w:spacing w:line="360" w:lineRule="auto"/>
        <w:jc w:val="center"/>
        <w:rPr>
          <w:rFonts w:ascii="Arial" w:eastAsia="Arial" w:hAnsi="Arial" w:cs="Arial"/>
          <w:sz w:val="24"/>
          <w:szCs w:val="24"/>
        </w:rPr>
      </w:pPr>
      <w:r>
        <w:rPr>
          <w:rFonts w:ascii="Arial" w:eastAsia="Arial" w:hAnsi="Arial" w:cs="Arial"/>
          <w:b/>
          <w:sz w:val="24"/>
          <w:szCs w:val="24"/>
        </w:rPr>
        <w:t>JUDGMENT</w:t>
      </w:r>
    </w:p>
    <w:p w:rsidR="00843776" w:rsidRDefault="00843776">
      <w:pPr>
        <w:widowControl w:val="0"/>
        <w:spacing w:line="360" w:lineRule="auto"/>
        <w:ind w:left="5040" w:firstLine="720"/>
        <w:jc w:val="center"/>
        <w:rPr>
          <w:rFonts w:ascii="Arial" w:eastAsia="Arial" w:hAnsi="Arial" w:cs="Arial"/>
          <w:sz w:val="24"/>
          <w:szCs w:val="24"/>
        </w:rPr>
      </w:pPr>
    </w:p>
    <w:p w:rsidR="00843776" w:rsidRDefault="0007445B">
      <w:pPr>
        <w:widowControl w:val="0"/>
        <w:spacing w:line="360" w:lineRule="auto"/>
        <w:jc w:val="right"/>
        <w:rPr>
          <w:rFonts w:ascii="Arial" w:eastAsia="Arial" w:hAnsi="Arial" w:cs="Arial"/>
          <w:sz w:val="24"/>
          <w:szCs w:val="24"/>
        </w:rPr>
      </w:pPr>
      <w:r>
        <w:rPr>
          <w:rFonts w:ascii="Arial" w:eastAsia="Arial" w:hAnsi="Arial" w:cs="Arial"/>
          <w:b/>
          <w:sz w:val="24"/>
          <w:szCs w:val="24"/>
        </w:rPr>
        <w:t xml:space="preserve">CR NO: </w:t>
      </w:r>
      <w:r w:rsidR="007B7626">
        <w:rPr>
          <w:rFonts w:ascii="Arial" w:eastAsia="Arial" w:hAnsi="Arial" w:cs="Arial"/>
          <w:b/>
          <w:sz w:val="24"/>
          <w:szCs w:val="24"/>
        </w:rPr>
        <w:t>36/2020</w:t>
      </w:r>
    </w:p>
    <w:p w:rsidR="00843776" w:rsidRDefault="007B7626">
      <w:pPr>
        <w:widowControl w:val="0"/>
        <w:spacing w:line="360" w:lineRule="auto"/>
        <w:jc w:val="both"/>
        <w:rPr>
          <w:rFonts w:ascii="Arial" w:eastAsia="Arial" w:hAnsi="Arial" w:cs="Arial"/>
          <w:sz w:val="24"/>
          <w:szCs w:val="24"/>
        </w:rPr>
      </w:pPr>
      <w:r>
        <w:rPr>
          <w:rFonts w:ascii="Arial" w:eastAsia="Arial" w:hAnsi="Arial" w:cs="Arial"/>
          <w:sz w:val="24"/>
          <w:szCs w:val="24"/>
        </w:rPr>
        <w:t>In the matter between:</w:t>
      </w:r>
    </w:p>
    <w:p w:rsidR="00843776" w:rsidRDefault="00843776">
      <w:pPr>
        <w:pStyle w:val="Heading2"/>
        <w:spacing w:line="360" w:lineRule="auto"/>
        <w:jc w:val="both"/>
        <w:rPr>
          <w:rFonts w:ascii="Arial" w:eastAsia="Arial" w:hAnsi="Arial" w:cs="Arial"/>
        </w:rPr>
      </w:pPr>
    </w:p>
    <w:p w:rsidR="00843776" w:rsidRDefault="007B7626">
      <w:pPr>
        <w:pStyle w:val="Heading2"/>
        <w:spacing w:line="360" w:lineRule="auto"/>
        <w:jc w:val="both"/>
        <w:rPr>
          <w:rFonts w:ascii="Arial" w:eastAsia="Arial" w:hAnsi="Arial" w:cs="Arial"/>
        </w:rPr>
      </w:pPr>
      <w:r>
        <w:rPr>
          <w:rFonts w:ascii="Arial" w:eastAsia="Arial" w:hAnsi="Arial" w:cs="Arial"/>
        </w:rPr>
        <w:t>THE STATE</w:t>
      </w:r>
    </w:p>
    <w:p w:rsidR="00843776" w:rsidRDefault="00843776">
      <w:pPr>
        <w:widowControl w:val="0"/>
        <w:spacing w:line="360" w:lineRule="auto"/>
        <w:jc w:val="both"/>
        <w:rPr>
          <w:rFonts w:ascii="Arial" w:eastAsia="Arial" w:hAnsi="Arial" w:cs="Arial"/>
          <w:sz w:val="24"/>
          <w:szCs w:val="24"/>
        </w:rPr>
      </w:pPr>
    </w:p>
    <w:p w:rsidR="00843776" w:rsidRDefault="007B7626">
      <w:pPr>
        <w:widowControl w:val="0"/>
        <w:spacing w:line="360" w:lineRule="auto"/>
        <w:jc w:val="both"/>
        <w:rPr>
          <w:rFonts w:ascii="Arial" w:eastAsia="Arial" w:hAnsi="Arial" w:cs="Arial"/>
          <w:sz w:val="24"/>
          <w:szCs w:val="24"/>
        </w:rPr>
      </w:pPr>
      <w:proofErr w:type="gramStart"/>
      <w:r>
        <w:rPr>
          <w:rFonts w:ascii="Arial" w:eastAsia="Arial" w:hAnsi="Arial" w:cs="Arial"/>
          <w:sz w:val="24"/>
          <w:szCs w:val="24"/>
        </w:rPr>
        <w:t>and</w:t>
      </w:r>
      <w:proofErr w:type="gramEnd"/>
    </w:p>
    <w:p w:rsidR="00843776" w:rsidRDefault="00843776">
      <w:pPr>
        <w:widowControl w:val="0"/>
        <w:spacing w:line="360" w:lineRule="auto"/>
        <w:jc w:val="both"/>
        <w:rPr>
          <w:rFonts w:ascii="Arial" w:eastAsia="Arial" w:hAnsi="Arial" w:cs="Arial"/>
          <w:sz w:val="24"/>
          <w:szCs w:val="24"/>
        </w:rPr>
      </w:pPr>
    </w:p>
    <w:p w:rsidR="00843776" w:rsidRDefault="007B7626">
      <w:pPr>
        <w:widowControl w:val="0"/>
        <w:spacing w:line="360" w:lineRule="auto"/>
        <w:jc w:val="both"/>
        <w:rPr>
          <w:rFonts w:ascii="Arial" w:eastAsia="Arial" w:hAnsi="Arial" w:cs="Arial"/>
          <w:sz w:val="24"/>
          <w:szCs w:val="24"/>
        </w:rPr>
      </w:pPr>
      <w:r>
        <w:rPr>
          <w:rFonts w:ascii="Arial" w:eastAsia="Arial" w:hAnsi="Arial" w:cs="Arial"/>
          <w:b/>
          <w:sz w:val="24"/>
          <w:szCs w:val="24"/>
        </w:rPr>
        <w:t>ABRAHAM BERNADIKTUS FREEMANN</w:t>
      </w:r>
      <w:r>
        <w:rPr>
          <w:rFonts w:ascii="Arial" w:eastAsia="Arial" w:hAnsi="Arial" w:cs="Arial"/>
          <w:b/>
          <w:sz w:val="24"/>
          <w:szCs w:val="24"/>
        </w:rPr>
        <w:tab/>
      </w:r>
    </w:p>
    <w:p w:rsidR="0007445B" w:rsidRDefault="0007445B" w:rsidP="0007445B">
      <w:pPr>
        <w:widowControl w:val="0"/>
        <w:spacing w:line="360" w:lineRule="auto"/>
        <w:jc w:val="center"/>
        <w:rPr>
          <w:rFonts w:ascii="Arial" w:eastAsia="Arial" w:hAnsi="Arial" w:cs="Arial"/>
          <w:b/>
          <w:sz w:val="24"/>
          <w:szCs w:val="24"/>
        </w:rPr>
      </w:pPr>
    </w:p>
    <w:p w:rsidR="00843776" w:rsidRDefault="0007445B" w:rsidP="0007445B">
      <w:pPr>
        <w:widowControl w:val="0"/>
        <w:spacing w:line="360" w:lineRule="auto"/>
        <w:jc w:val="center"/>
        <w:rPr>
          <w:rFonts w:ascii="Arial" w:eastAsia="Arial" w:hAnsi="Arial" w:cs="Arial"/>
          <w:sz w:val="24"/>
          <w:szCs w:val="24"/>
        </w:rPr>
      </w:pPr>
      <w:r>
        <w:rPr>
          <w:rFonts w:ascii="Arial" w:eastAsia="Arial" w:hAnsi="Arial" w:cs="Arial"/>
          <w:b/>
          <w:sz w:val="24"/>
          <w:szCs w:val="24"/>
        </w:rPr>
        <w:t>(</w:t>
      </w:r>
      <w:r w:rsidR="007B7626">
        <w:rPr>
          <w:rFonts w:ascii="Arial" w:eastAsia="Arial" w:hAnsi="Arial" w:cs="Arial"/>
          <w:b/>
          <w:sz w:val="24"/>
          <w:szCs w:val="24"/>
        </w:rPr>
        <w:t>REVIEW CASE NO:</w:t>
      </w:r>
      <w:r>
        <w:rPr>
          <w:rFonts w:ascii="Arial" w:eastAsia="Arial" w:hAnsi="Arial" w:cs="Arial"/>
          <w:b/>
          <w:sz w:val="24"/>
          <w:szCs w:val="24"/>
        </w:rPr>
        <w:t xml:space="preserve"> </w:t>
      </w:r>
      <w:r w:rsidR="007B7626">
        <w:rPr>
          <w:rFonts w:ascii="Arial" w:eastAsia="Arial" w:hAnsi="Arial" w:cs="Arial"/>
          <w:b/>
          <w:sz w:val="24"/>
          <w:szCs w:val="24"/>
        </w:rPr>
        <w:t>1327/2019</w:t>
      </w:r>
      <w:r>
        <w:rPr>
          <w:rFonts w:ascii="Arial" w:eastAsia="Arial" w:hAnsi="Arial" w:cs="Arial"/>
          <w:b/>
          <w:sz w:val="24"/>
          <w:szCs w:val="24"/>
        </w:rPr>
        <w:t>)</w:t>
      </w:r>
    </w:p>
    <w:p w:rsidR="00843776" w:rsidRDefault="00843776">
      <w:pPr>
        <w:widowControl w:val="0"/>
        <w:spacing w:line="360" w:lineRule="auto"/>
        <w:jc w:val="both"/>
        <w:rPr>
          <w:rFonts w:ascii="Arial" w:eastAsia="Arial" w:hAnsi="Arial" w:cs="Arial"/>
          <w:sz w:val="24"/>
          <w:szCs w:val="24"/>
        </w:rPr>
      </w:pPr>
    </w:p>
    <w:p w:rsidR="00843776" w:rsidRDefault="007B7626">
      <w:pPr>
        <w:widowControl w:val="0"/>
        <w:spacing w:line="360" w:lineRule="auto"/>
        <w:jc w:val="both"/>
        <w:rPr>
          <w:rFonts w:ascii="Arial" w:eastAsia="Arial" w:hAnsi="Arial" w:cs="Arial"/>
          <w:sz w:val="24"/>
          <w:szCs w:val="24"/>
        </w:rPr>
      </w:pPr>
      <w:r>
        <w:rPr>
          <w:rFonts w:ascii="Arial" w:eastAsia="Arial" w:hAnsi="Arial" w:cs="Arial"/>
          <w:i/>
          <w:sz w:val="24"/>
          <w:szCs w:val="24"/>
        </w:rPr>
        <w:t xml:space="preserve">Neutral citation:  S v </w:t>
      </w:r>
      <w:proofErr w:type="spellStart"/>
      <w:r>
        <w:rPr>
          <w:rFonts w:ascii="Arial" w:eastAsia="Arial" w:hAnsi="Arial" w:cs="Arial"/>
          <w:i/>
          <w:sz w:val="24"/>
          <w:szCs w:val="24"/>
        </w:rPr>
        <w:t>Freemann</w:t>
      </w:r>
      <w:proofErr w:type="spellEnd"/>
      <w:r>
        <w:rPr>
          <w:rFonts w:ascii="Arial" w:eastAsia="Arial" w:hAnsi="Arial" w:cs="Arial"/>
          <w:sz w:val="24"/>
          <w:szCs w:val="24"/>
        </w:rPr>
        <w:t xml:space="preserve"> </w:t>
      </w:r>
      <w:r w:rsidR="00FD6984">
        <w:rPr>
          <w:rFonts w:ascii="Arial" w:eastAsia="Arial" w:hAnsi="Arial" w:cs="Arial"/>
          <w:sz w:val="24"/>
          <w:szCs w:val="24"/>
        </w:rPr>
        <w:t>(CR 36/2020) [2020</w:t>
      </w:r>
      <w:r w:rsidR="0007445B">
        <w:rPr>
          <w:rFonts w:ascii="Arial" w:eastAsia="Arial" w:hAnsi="Arial" w:cs="Arial"/>
          <w:sz w:val="24"/>
          <w:szCs w:val="24"/>
        </w:rPr>
        <w:t xml:space="preserve">] NAHCMD 205 </w:t>
      </w:r>
      <w:r>
        <w:rPr>
          <w:rFonts w:ascii="Arial" w:eastAsia="Arial" w:hAnsi="Arial" w:cs="Arial"/>
          <w:sz w:val="24"/>
          <w:szCs w:val="24"/>
        </w:rPr>
        <w:t>(2 June 2020)</w:t>
      </w:r>
    </w:p>
    <w:p w:rsidR="00843776" w:rsidRDefault="00843776">
      <w:pPr>
        <w:widowControl w:val="0"/>
        <w:spacing w:line="360" w:lineRule="auto"/>
        <w:jc w:val="both"/>
        <w:rPr>
          <w:rFonts w:ascii="Arial" w:eastAsia="Arial" w:hAnsi="Arial" w:cs="Arial"/>
          <w:sz w:val="24"/>
          <w:szCs w:val="24"/>
        </w:rPr>
      </w:pPr>
    </w:p>
    <w:p w:rsidR="00843776" w:rsidRDefault="007B7626">
      <w:pPr>
        <w:widowControl w:val="0"/>
        <w:spacing w:line="360" w:lineRule="auto"/>
        <w:jc w:val="both"/>
        <w:rPr>
          <w:rFonts w:ascii="Arial" w:eastAsia="Arial" w:hAnsi="Arial" w:cs="Arial"/>
          <w:sz w:val="24"/>
          <w:szCs w:val="24"/>
        </w:rPr>
      </w:pPr>
      <w:r>
        <w:rPr>
          <w:rFonts w:ascii="Arial" w:eastAsia="Arial" w:hAnsi="Arial" w:cs="Arial"/>
          <w:b/>
          <w:sz w:val="24"/>
          <w:szCs w:val="24"/>
        </w:rPr>
        <w:t>Coram:</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LIEBENBERG J, RAKOW, AJ</w:t>
      </w:r>
    </w:p>
    <w:p w:rsidR="00843776" w:rsidRDefault="007B7626">
      <w:pPr>
        <w:widowControl w:val="0"/>
        <w:tabs>
          <w:tab w:val="left" w:pos="720"/>
          <w:tab w:val="left" w:pos="1440"/>
          <w:tab w:val="left" w:pos="2160"/>
          <w:tab w:val="left" w:pos="2880"/>
          <w:tab w:val="left" w:pos="3675"/>
        </w:tabs>
        <w:spacing w:line="360" w:lineRule="auto"/>
        <w:jc w:val="both"/>
        <w:rPr>
          <w:rFonts w:ascii="Arial" w:eastAsia="Arial" w:hAnsi="Arial" w:cs="Arial"/>
          <w:sz w:val="24"/>
          <w:szCs w:val="24"/>
        </w:rPr>
      </w:pPr>
      <w:r>
        <w:rPr>
          <w:rFonts w:ascii="Arial" w:eastAsia="Arial" w:hAnsi="Arial" w:cs="Arial"/>
          <w:b/>
          <w:sz w:val="24"/>
          <w:szCs w:val="24"/>
        </w:rPr>
        <w:t>Delivered on:</w:t>
      </w:r>
      <w:r>
        <w:rPr>
          <w:rFonts w:ascii="Arial" w:eastAsia="Arial" w:hAnsi="Arial" w:cs="Arial"/>
          <w:b/>
          <w:sz w:val="24"/>
          <w:szCs w:val="24"/>
        </w:rPr>
        <w:tab/>
      </w:r>
      <w:r>
        <w:rPr>
          <w:rFonts w:ascii="Arial" w:eastAsia="Arial" w:hAnsi="Arial" w:cs="Arial"/>
          <w:b/>
          <w:sz w:val="24"/>
          <w:szCs w:val="24"/>
        </w:rPr>
        <w:tab/>
        <w:t>2 June 2020</w:t>
      </w:r>
    </w:p>
    <w:p w:rsidR="00843776" w:rsidRDefault="00843776">
      <w:pPr>
        <w:widowControl w:val="0"/>
        <w:spacing w:line="360" w:lineRule="auto"/>
        <w:jc w:val="both"/>
        <w:rPr>
          <w:rFonts w:ascii="Arial" w:eastAsia="Arial" w:hAnsi="Arial" w:cs="Arial"/>
          <w:sz w:val="24"/>
          <w:szCs w:val="24"/>
        </w:rPr>
      </w:pPr>
    </w:p>
    <w:p w:rsidR="00843776" w:rsidRDefault="007B7626">
      <w:pPr>
        <w:widowControl w:val="0"/>
        <w:spacing w:line="360" w:lineRule="auto"/>
        <w:jc w:val="both"/>
        <w:rPr>
          <w:rFonts w:ascii="Arial" w:eastAsia="Arial" w:hAnsi="Arial" w:cs="Arial"/>
          <w:sz w:val="24"/>
          <w:szCs w:val="24"/>
        </w:rPr>
      </w:pPr>
      <w:proofErr w:type="spellStart"/>
      <w:r>
        <w:rPr>
          <w:rFonts w:ascii="Arial" w:eastAsia="Arial" w:hAnsi="Arial" w:cs="Arial"/>
          <w:b/>
          <w:sz w:val="24"/>
          <w:szCs w:val="24"/>
        </w:rPr>
        <w:t>Flynote</w:t>
      </w:r>
      <w:proofErr w:type="spellEnd"/>
      <w:r>
        <w:rPr>
          <w:rFonts w:ascii="Arial" w:eastAsia="Arial" w:hAnsi="Arial" w:cs="Arial"/>
          <w:b/>
          <w:sz w:val="24"/>
          <w:szCs w:val="24"/>
        </w:rPr>
        <w:t>:</w:t>
      </w:r>
      <w:r>
        <w:rPr>
          <w:rFonts w:ascii="Arial" w:eastAsia="Arial" w:hAnsi="Arial" w:cs="Arial"/>
          <w:b/>
          <w:sz w:val="24"/>
          <w:szCs w:val="24"/>
        </w:rPr>
        <w:tab/>
      </w:r>
      <w:r>
        <w:rPr>
          <w:rFonts w:ascii="Arial" w:eastAsia="Arial" w:hAnsi="Arial" w:cs="Arial"/>
          <w:sz w:val="24"/>
          <w:szCs w:val="24"/>
        </w:rPr>
        <w:t>Criminal procedure – Criminal review – s 112(1</w:t>
      </w:r>
      <w:proofErr w:type="gramStart"/>
      <w:r>
        <w:rPr>
          <w:rFonts w:ascii="Arial" w:eastAsia="Arial" w:hAnsi="Arial" w:cs="Arial"/>
          <w:sz w:val="24"/>
          <w:szCs w:val="24"/>
        </w:rPr>
        <w:t>)(</w:t>
      </w:r>
      <w:proofErr w:type="gramEnd"/>
      <w:r>
        <w:rPr>
          <w:rFonts w:ascii="Arial" w:eastAsia="Arial" w:hAnsi="Arial" w:cs="Arial"/>
          <w:sz w:val="24"/>
          <w:szCs w:val="24"/>
        </w:rPr>
        <w:t>a) of the Criminal Procedure Act 51 of 1977 – Prohibited Dependence Producing Drug Methaqualone – Whether guilty plea could be dealt with under the provisions of section 112(1)(a) of the Criminal Procedure Act 51 of 1977.</w:t>
      </w:r>
    </w:p>
    <w:p w:rsidR="00843776" w:rsidRDefault="007B7626">
      <w:pPr>
        <w:widowControl w:val="0"/>
        <w:spacing w:line="360" w:lineRule="auto"/>
        <w:jc w:val="both"/>
        <w:rPr>
          <w:rFonts w:ascii="Arial" w:eastAsia="Arial" w:hAnsi="Arial" w:cs="Arial"/>
          <w:sz w:val="24"/>
          <w:szCs w:val="24"/>
        </w:rPr>
      </w:pPr>
      <w:r>
        <w:rPr>
          <w:rFonts w:ascii="Arial" w:eastAsia="Arial" w:hAnsi="Arial" w:cs="Arial"/>
          <w:sz w:val="24"/>
          <w:szCs w:val="24"/>
        </w:rPr>
        <w:t xml:space="preserve">Criminal Procedure – Review – Classification of Methaqualone under Schedule I of the schedules - The Abuse of Dependence-Producing Substances and </w:t>
      </w:r>
      <w:r>
        <w:rPr>
          <w:rFonts w:ascii="Arial" w:eastAsia="Arial" w:hAnsi="Arial" w:cs="Arial"/>
          <w:sz w:val="24"/>
          <w:szCs w:val="24"/>
        </w:rPr>
        <w:lastRenderedPageBreak/>
        <w:t>Rehabilitation Centers Act 41 of 9171 – charge under contravention of section 2(b) of the Act.</w:t>
      </w:r>
    </w:p>
    <w:p w:rsidR="00843776" w:rsidRDefault="00843776">
      <w:pPr>
        <w:widowControl w:val="0"/>
        <w:spacing w:line="360" w:lineRule="auto"/>
        <w:jc w:val="both"/>
        <w:rPr>
          <w:rFonts w:ascii="Arial" w:eastAsia="Arial" w:hAnsi="Arial" w:cs="Arial"/>
          <w:sz w:val="24"/>
          <w:szCs w:val="24"/>
        </w:rPr>
      </w:pPr>
    </w:p>
    <w:p w:rsidR="00843776" w:rsidRDefault="007B7626">
      <w:pPr>
        <w:widowControl w:val="0"/>
        <w:spacing w:line="360" w:lineRule="auto"/>
        <w:jc w:val="both"/>
        <w:rPr>
          <w:rFonts w:ascii="Arial" w:eastAsia="Arial" w:hAnsi="Arial" w:cs="Arial"/>
          <w:sz w:val="24"/>
          <w:szCs w:val="24"/>
        </w:rPr>
      </w:pPr>
      <w:r>
        <w:rPr>
          <w:rFonts w:ascii="Arial" w:eastAsia="Arial" w:hAnsi="Arial" w:cs="Arial"/>
          <w:sz w:val="24"/>
          <w:szCs w:val="24"/>
        </w:rPr>
        <w:t>The Abuse of Dependence-Producing Substances and Rehabilitation Centers Act 41 of 1971 – possession of “</w:t>
      </w:r>
      <w:proofErr w:type="spellStart"/>
      <w:r>
        <w:rPr>
          <w:rFonts w:ascii="Arial" w:eastAsia="Arial" w:hAnsi="Arial" w:cs="Arial"/>
          <w:sz w:val="24"/>
          <w:szCs w:val="24"/>
        </w:rPr>
        <w:t>Methaloqule</w:t>
      </w:r>
      <w:proofErr w:type="spellEnd"/>
      <w:r>
        <w:rPr>
          <w:rFonts w:ascii="Arial" w:eastAsia="Arial" w:hAnsi="Arial" w:cs="Arial"/>
          <w:sz w:val="24"/>
          <w:szCs w:val="24"/>
        </w:rPr>
        <w:t>” – Not listed under any of the schedules to the Act – Not prohibited substance – Charge defective.</w:t>
      </w:r>
    </w:p>
    <w:p w:rsidR="00843776" w:rsidRDefault="007B7626">
      <w:pPr>
        <w:widowControl w:val="0"/>
        <w:spacing w:line="360" w:lineRule="auto"/>
        <w:jc w:val="both"/>
        <w:rPr>
          <w:rFonts w:ascii="Arial" w:eastAsia="Arial" w:hAnsi="Arial" w:cs="Arial"/>
          <w:sz w:val="24"/>
          <w:szCs w:val="24"/>
        </w:rPr>
      </w:pPr>
      <w:r>
        <w:rPr>
          <w:rFonts w:ascii="Arial" w:eastAsia="Arial" w:hAnsi="Arial" w:cs="Arial"/>
          <w:sz w:val="24"/>
          <w:szCs w:val="24"/>
        </w:rPr>
        <w:t>________________________________________________________________</w:t>
      </w:r>
    </w:p>
    <w:p w:rsidR="00843776" w:rsidRDefault="007B7626">
      <w:pPr>
        <w:widowControl w:val="0"/>
        <w:spacing w:line="360" w:lineRule="auto"/>
        <w:jc w:val="center"/>
        <w:rPr>
          <w:rFonts w:ascii="Arial" w:eastAsia="Arial" w:hAnsi="Arial" w:cs="Arial"/>
          <w:sz w:val="24"/>
          <w:szCs w:val="24"/>
        </w:rPr>
      </w:pPr>
      <w:r>
        <w:rPr>
          <w:rFonts w:ascii="Arial" w:eastAsia="Arial" w:hAnsi="Arial" w:cs="Arial"/>
          <w:b/>
          <w:sz w:val="24"/>
          <w:szCs w:val="24"/>
        </w:rPr>
        <w:t>ORDER</w:t>
      </w:r>
    </w:p>
    <w:p w:rsidR="00843776" w:rsidRDefault="007B7626">
      <w:pPr>
        <w:widowControl w:val="0"/>
        <w:spacing w:line="360" w:lineRule="auto"/>
        <w:jc w:val="both"/>
        <w:rPr>
          <w:rFonts w:ascii="Arial" w:eastAsia="Arial" w:hAnsi="Arial" w:cs="Arial"/>
          <w:sz w:val="24"/>
          <w:szCs w:val="24"/>
        </w:rPr>
      </w:pPr>
      <w:r>
        <w:rPr>
          <w:rFonts w:ascii="Arial" w:eastAsia="Arial" w:hAnsi="Arial" w:cs="Arial"/>
          <w:sz w:val="24"/>
          <w:szCs w:val="24"/>
        </w:rPr>
        <w:t>________________________________________________________________</w:t>
      </w:r>
    </w:p>
    <w:p w:rsidR="00843776" w:rsidRDefault="00843776">
      <w:pPr>
        <w:widowControl w:val="0"/>
        <w:spacing w:line="360" w:lineRule="auto"/>
        <w:jc w:val="both"/>
        <w:rPr>
          <w:rFonts w:ascii="Arial" w:eastAsia="Arial" w:hAnsi="Arial" w:cs="Arial"/>
          <w:sz w:val="24"/>
          <w:szCs w:val="24"/>
        </w:rPr>
      </w:pPr>
    </w:p>
    <w:p w:rsidR="00843776" w:rsidRDefault="007B7626">
      <w:pPr>
        <w:widowControl w:val="0"/>
        <w:spacing w:line="360" w:lineRule="auto"/>
        <w:jc w:val="both"/>
        <w:rPr>
          <w:rFonts w:ascii="Arial" w:eastAsia="Arial" w:hAnsi="Arial" w:cs="Arial"/>
          <w:sz w:val="24"/>
          <w:szCs w:val="24"/>
        </w:rPr>
      </w:pPr>
      <w:r>
        <w:rPr>
          <w:rFonts w:ascii="Arial" w:eastAsia="Arial" w:hAnsi="Arial" w:cs="Arial"/>
          <w:sz w:val="24"/>
          <w:szCs w:val="24"/>
        </w:rPr>
        <w:t>In the result I make the following order:</w:t>
      </w:r>
    </w:p>
    <w:p w:rsidR="00843776" w:rsidRDefault="00843776">
      <w:pPr>
        <w:widowControl w:val="0"/>
        <w:spacing w:line="360" w:lineRule="auto"/>
        <w:jc w:val="both"/>
        <w:rPr>
          <w:rFonts w:ascii="Arial" w:eastAsia="Arial" w:hAnsi="Arial" w:cs="Arial"/>
          <w:sz w:val="24"/>
          <w:szCs w:val="24"/>
        </w:rPr>
      </w:pPr>
    </w:p>
    <w:p w:rsidR="00843776" w:rsidRDefault="007B7626">
      <w:pPr>
        <w:widowControl w:val="0"/>
        <w:numPr>
          <w:ilvl w:val="0"/>
          <w:numId w:val="1"/>
        </w:numPr>
        <w:spacing w:line="360" w:lineRule="auto"/>
        <w:ind w:left="426" w:hanging="426"/>
        <w:jc w:val="both"/>
        <w:rPr>
          <w:rFonts w:ascii="Arial" w:eastAsia="Arial" w:hAnsi="Arial" w:cs="Arial"/>
          <w:sz w:val="24"/>
          <w:szCs w:val="24"/>
        </w:rPr>
      </w:pPr>
      <w:r>
        <w:rPr>
          <w:rFonts w:ascii="Arial" w:eastAsia="Arial" w:hAnsi="Arial" w:cs="Arial"/>
          <w:sz w:val="24"/>
          <w:szCs w:val="24"/>
        </w:rPr>
        <w:t>The conviction and sentence on count 1 are confirmed.</w:t>
      </w:r>
    </w:p>
    <w:p w:rsidR="00843776" w:rsidRDefault="007B7626">
      <w:pPr>
        <w:widowControl w:val="0"/>
        <w:numPr>
          <w:ilvl w:val="0"/>
          <w:numId w:val="1"/>
        </w:numPr>
        <w:spacing w:line="360" w:lineRule="auto"/>
        <w:ind w:left="426" w:hanging="426"/>
        <w:jc w:val="both"/>
        <w:rPr>
          <w:rFonts w:ascii="Arial" w:eastAsia="Arial" w:hAnsi="Arial" w:cs="Arial"/>
          <w:sz w:val="24"/>
          <w:szCs w:val="24"/>
        </w:rPr>
      </w:pPr>
      <w:r>
        <w:rPr>
          <w:rFonts w:ascii="Arial" w:eastAsia="Arial" w:hAnsi="Arial" w:cs="Arial"/>
          <w:sz w:val="24"/>
          <w:szCs w:val="24"/>
        </w:rPr>
        <w:t>The conviction and sentence in respect of count 2 are set aside.</w:t>
      </w:r>
    </w:p>
    <w:p w:rsidR="00843776" w:rsidRDefault="00843776">
      <w:pPr>
        <w:ind w:left="1080"/>
        <w:rPr>
          <w:rFonts w:ascii="Arial" w:eastAsia="Arial" w:hAnsi="Arial" w:cs="Arial"/>
          <w:sz w:val="24"/>
          <w:szCs w:val="24"/>
        </w:rPr>
      </w:pPr>
    </w:p>
    <w:p w:rsidR="00843776" w:rsidRDefault="007B7626">
      <w:pPr>
        <w:widowControl w:val="0"/>
        <w:spacing w:line="360" w:lineRule="auto"/>
        <w:jc w:val="both"/>
        <w:rPr>
          <w:rFonts w:ascii="Arial" w:eastAsia="Arial" w:hAnsi="Arial" w:cs="Arial"/>
          <w:sz w:val="24"/>
          <w:szCs w:val="24"/>
        </w:rPr>
      </w:pPr>
      <w:r>
        <w:rPr>
          <w:rFonts w:ascii="Arial" w:eastAsia="Arial" w:hAnsi="Arial" w:cs="Arial"/>
          <w:sz w:val="24"/>
          <w:szCs w:val="24"/>
        </w:rPr>
        <w:t>________________________________________________________________</w:t>
      </w:r>
    </w:p>
    <w:p w:rsidR="00843776" w:rsidRDefault="007B7626">
      <w:pPr>
        <w:widowControl w:val="0"/>
        <w:spacing w:line="360" w:lineRule="auto"/>
        <w:jc w:val="center"/>
        <w:rPr>
          <w:rFonts w:ascii="Arial" w:eastAsia="Arial" w:hAnsi="Arial" w:cs="Arial"/>
          <w:sz w:val="24"/>
          <w:szCs w:val="24"/>
        </w:rPr>
      </w:pPr>
      <w:r>
        <w:rPr>
          <w:rFonts w:ascii="Arial" w:eastAsia="Arial" w:hAnsi="Arial" w:cs="Arial"/>
          <w:b/>
          <w:sz w:val="24"/>
          <w:szCs w:val="24"/>
        </w:rPr>
        <w:t>JUDGMENT</w:t>
      </w:r>
    </w:p>
    <w:p w:rsidR="00843776" w:rsidRDefault="007B7626">
      <w:pPr>
        <w:widowControl w:val="0"/>
        <w:spacing w:line="360" w:lineRule="auto"/>
        <w:jc w:val="both"/>
        <w:rPr>
          <w:rFonts w:ascii="Arial" w:eastAsia="Arial" w:hAnsi="Arial" w:cs="Arial"/>
          <w:sz w:val="24"/>
          <w:szCs w:val="24"/>
        </w:rPr>
      </w:pPr>
      <w:r>
        <w:rPr>
          <w:rFonts w:ascii="Arial" w:eastAsia="Arial" w:hAnsi="Arial" w:cs="Arial"/>
          <w:sz w:val="24"/>
          <w:szCs w:val="24"/>
        </w:rPr>
        <w:t>________________________________________________________________</w:t>
      </w:r>
    </w:p>
    <w:p w:rsidR="00843776" w:rsidRDefault="007B7626">
      <w:pPr>
        <w:widowControl w:val="0"/>
        <w:spacing w:line="360" w:lineRule="auto"/>
        <w:jc w:val="both"/>
        <w:rPr>
          <w:rFonts w:ascii="Arial" w:eastAsia="Arial" w:hAnsi="Arial" w:cs="Arial"/>
          <w:sz w:val="24"/>
          <w:szCs w:val="24"/>
        </w:rPr>
      </w:pPr>
      <w:r>
        <w:rPr>
          <w:rFonts w:ascii="Arial" w:eastAsia="Arial" w:hAnsi="Arial" w:cs="Arial"/>
          <w:b/>
          <w:sz w:val="24"/>
          <w:szCs w:val="24"/>
        </w:rPr>
        <w:t xml:space="preserve">RAKOW, AJ, </w:t>
      </w:r>
      <w:r w:rsidR="00360F32">
        <w:rPr>
          <w:rFonts w:ascii="Arial" w:eastAsia="Arial" w:hAnsi="Arial" w:cs="Arial"/>
          <w:b/>
          <w:sz w:val="24"/>
          <w:szCs w:val="24"/>
        </w:rPr>
        <w:t>(</w:t>
      </w:r>
      <w:r>
        <w:rPr>
          <w:rFonts w:ascii="Arial" w:eastAsia="Arial" w:hAnsi="Arial" w:cs="Arial"/>
          <w:b/>
          <w:sz w:val="24"/>
          <w:szCs w:val="24"/>
        </w:rPr>
        <w:t xml:space="preserve">LIEBENBERG, J </w:t>
      </w:r>
      <w:r w:rsidRPr="00360F32">
        <w:rPr>
          <w:rFonts w:ascii="Arial" w:eastAsia="Arial" w:hAnsi="Arial" w:cs="Arial"/>
          <w:b/>
          <w:sz w:val="24"/>
          <w:szCs w:val="24"/>
        </w:rPr>
        <w:t>concurring</w:t>
      </w:r>
      <w:r w:rsidR="00360F32" w:rsidRPr="00360F32">
        <w:rPr>
          <w:rFonts w:ascii="Arial" w:eastAsia="Arial" w:hAnsi="Arial" w:cs="Arial"/>
          <w:b/>
          <w:sz w:val="24"/>
          <w:szCs w:val="24"/>
        </w:rPr>
        <w:t>)</w:t>
      </w:r>
    </w:p>
    <w:p w:rsidR="00843776" w:rsidRDefault="00843776">
      <w:pPr>
        <w:spacing w:line="360" w:lineRule="auto"/>
        <w:jc w:val="both"/>
        <w:rPr>
          <w:rFonts w:ascii="Arial" w:eastAsia="Arial" w:hAnsi="Arial" w:cs="Arial"/>
          <w:sz w:val="24"/>
          <w:szCs w:val="24"/>
        </w:rPr>
      </w:pPr>
    </w:p>
    <w:p w:rsidR="00843776" w:rsidRDefault="007B7626">
      <w:pPr>
        <w:widowControl w:val="0"/>
        <w:spacing w:line="360" w:lineRule="auto"/>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This matter came before me on automatic review. The accused in this matter was charged with two counts.  Count 1 relates to the possession of a dependence-producing substance, contravening section 2(b) of the Abuse of Dependence-Producing Substances and Rehabilitation Centers Act 41 of 1971 (the Act).  The conviction and sentence in relation to count 1 are in order and will be confirmed.</w:t>
      </w:r>
    </w:p>
    <w:p w:rsidR="00843776" w:rsidRDefault="00843776">
      <w:pPr>
        <w:widowControl w:val="0"/>
        <w:spacing w:line="360" w:lineRule="auto"/>
        <w:jc w:val="both"/>
        <w:rPr>
          <w:rFonts w:ascii="Arial" w:eastAsia="Arial" w:hAnsi="Arial" w:cs="Arial"/>
          <w:sz w:val="24"/>
          <w:szCs w:val="24"/>
        </w:rPr>
      </w:pPr>
    </w:p>
    <w:p w:rsidR="00843776" w:rsidRDefault="007B7626">
      <w:pPr>
        <w:widowControl w:val="0"/>
        <w:spacing w:line="360" w:lineRule="auto"/>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 xml:space="preserve">Count 2 is in respect of a charge under the same Act, specifically a contravention of section 3(b) which relates to the possession of potentially dangerous dependence producing drugs, to wit 1 quarter tablet of </w:t>
      </w:r>
      <w:proofErr w:type="spellStart"/>
      <w:r>
        <w:rPr>
          <w:rFonts w:ascii="Arial" w:eastAsia="Arial" w:hAnsi="Arial" w:cs="Arial"/>
          <w:sz w:val="24"/>
          <w:szCs w:val="24"/>
        </w:rPr>
        <w:t>Mandrax</w:t>
      </w:r>
      <w:proofErr w:type="spellEnd"/>
      <w:r>
        <w:rPr>
          <w:rFonts w:ascii="Arial" w:eastAsia="Arial" w:hAnsi="Arial" w:cs="Arial"/>
          <w:sz w:val="24"/>
          <w:szCs w:val="24"/>
        </w:rPr>
        <w:t xml:space="preserve"> containing “</w:t>
      </w:r>
      <w:proofErr w:type="spellStart"/>
      <w:r>
        <w:rPr>
          <w:rFonts w:ascii="Arial" w:eastAsia="Arial" w:hAnsi="Arial" w:cs="Arial"/>
          <w:sz w:val="24"/>
          <w:szCs w:val="24"/>
        </w:rPr>
        <w:t>Methaloqule</w:t>
      </w:r>
      <w:proofErr w:type="spellEnd"/>
      <w:r>
        <w:rPr>
          <w:rFonts w:ascii="Arial" w:eastAsia="Arial" w:hAnsi="Arial" w:cs="Arial"/>
          <w:sz w:val="24"/>
          <w:szCs w:val="24"/>
        </w:rPr>
        <w:t xml:space="preserve">”.  It was the conviction and sentence on this charge which </w:t>
      </w:r>
      <w:r>
        <w:rPr>
          <w:rFonts w:ascii="Arial" w:eastAsia="Arial" w:hAnsi="Arial" w:cs="Arial"/>
          <w:sz w:val="24"/>
          <w:szCs w:val="24"/>
        </w:rPr>
        <w:lastRenderedPageBreak/>
        <w:t>gave rise to the query forwarded to the magistrate.</w:t>
      </w:r>
    </w:p>
    <w:p w:rsidR="00843776" w:rsidRDefault="00843776">
      <w:pPr>
        <w:widowControl w:val="0"/>
        <w:spacing w:line="360" w:lineRule="auto"/>
        <w:jc w:val="both"/>
        <w:rPr>
          <w:rFonts w:ascii="Arial" w:eastAsia="Arial" w:hAnsi="Arial" w:cs="Arial"/>
          <w:sz w:val="24"/>
          <w:szCs w:val="24"/>
        </w:rPr>
      </w:pPr>
    </w:p>
    <w:p w:rsidR="00843776" w:rsidRDefault="007B7626">
      <w:pPr>
        <w:widowControl w:val="0"/>
        <w:spacing w:line="360" w:lineRule="auto"/>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The questions forwarded to the magistrate were two-fold; in the first instance whether “</w:t>
      </w:r>
      <w:proofErr w:type="spellStart"/>
      <w:r>
        <w:rPr>
          <w:rFonts w:ascii="Arial" w:eastAsia="Arial" w:hAnsi="Arial" w:cs="Arial"/>
          <w:sz w:val="24"/>
          <w:szCs w:val="24"/>
        </w:rPr>
        <w:t>Methaloqule</w:t>
      </w:r>
      <w:proofErr w:type="spellEnd"/>
      <w:r>
        <w:rPr>
          <w:rFonts w:ascii="Arial" w:eastAsia="Arial" w:hAnsi="Arial" w:cs="Arial"/>
          <w:sz w:val="24"/>
          <w:szCs w:val="24"/>
        </w:rPr>
        <w:t>” is a potentially dangerous dependence-producing drug and secondly, whether, if that is indeed the case, whether such a matter should be dealt with under the provisions of section 112(1</w:t>
      </w:r>
      <w:proofErr w:type="gramStart"/>
      <w:r>
        <w:rPr>
          <w:rFonts w:ascii="Arial" w:eastAsia="Arial" w:hAnsi="Arial" w:cs="Arial"/>
          <w:sz w:val="24"/>
          <w:szCs w:val="24"/>
        </w:rPr>
        <w:t>)(</w:t>
      </w:r>
      <w:proofErr w:type="gramEnd"/>
      <w:r>
        <w:rPr>
          <w:rFonts w:ascii="Arial" w:eastAsia="Arial" w:hAnsi="Arial" w:cs="Arial"/>
          <w:sz w:val="24"/>
          <w:szCs w:val="24"/>
        </w:rPr>
        <w:t>a) of the Criminal Procedure Act 51 of 1977, as it was dealt with in the current matter under review.</w:t>
      </w:r>
    </w:p>
    <w:p w:rsidR="00843776" w:rsidRDefault="00843776">
      <w:pPr>
        <w:widowControl w:val="0"/>
        <w:spacing w:line="360" w:lineRule="auto"/>
        <w:jc w:val="both"/>
        <w:rPr>
          <w:rFonts w:ascii="Arial" w:eastAsia="Arial" w:hAnsi="Arial" w:cs="Arial"/>
          <w:sz w:val="24"/>
          <w:szCs w:val="24"/>
        </w:rPr>
      </w:pPr>
    </w:p>
    <w:p w:rsidR="00843776" w:rsidRDefault="007B7626">
      <w:pPr>
        <w:widowControl w:val="0"/>
        <w:spacing w:line="360" w:lineRule="auto"/>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 xml:space="preserve">The magistrate responded and indicated that she, in the meantime, learnt of the decisions in </w:t>
      </w:r>
      <w:r>
        <w:rPr>
          <w:rFonts w:ascii="Arial" w:eastAsia="Arial" w:hAnsi="Arial" w:cs="Arial"/>
          <w:i/>
          <w:sz w:val="24"/>
          <w:szCs w:val="24"/>
        </w:rPr>
        <w:t xml:space="preserve">S v </w:t>
      </w:r>
      <w:proofErr w:type="spellStart"/>
      <w:r>
        <w:rPr>
          <w:rFonts w:ascii="Arial" w:eastAsia="Arial" w:hAnsi="Arial" w:cs="Arial"/>
          <w:i/>
          <w:sz w:val="24"/>
          <w:szCs w:val="24"/>
        </w:rPr>
        <w:t>Kandando</w:t>
      </w:r>
      <w:proofErr w:type="spellEnd"/>
      <w:r w:rsidR="00360F32">
        <w:rPr>
          <w:rFonts w:ascii="Arial" w:eastAsia="Arial" w:hAnsi="Arial" w:cs="Arial"/>
          <w:sz w:val="24"/>
          <w:szCs w:val="24"/>
        </w:rPr>
        <w:t xml:space="preserve"> (CR 30/2018) [2018] NAHCMD </w:t>
      </w:r>
      <w:r>
        <w:rPr>
          <w:rFonts w:ascii="Arial" w:eastAsia="Arial" w:hAnsi="Arial" w:cs="Arial"/>
          <w:sz w:val="24"/>
          <w:szCs w:val="24"/>
        </w:rPr>
        <w:t xml:space="preserve">115 and </w:t>
      </w:r>
      <w:r>
        <w:rPr>
          <w:rFonts w:ascii="Arial" w:eastAsia="Arial" w:hAnsi="Arial" w:cs="Arial"/>
          <w:i/>
          <w:sz w:val="24"/>
          <w:szCs w:val="24"/>
        </w:rPr>
        <w:t xml:space="preserve">S v </w:t>
      </w:r>
      <w:proofErr w:type="spellStart"/>
      <w:r>
        <w:rPr>
          <w:rFonts w:ascii="Arial" w:eastAsia="Arial" w:hAnsi="Arial" w:cs="Arial"/>
          <w:i/>
          <w:sz w:val="24"/>
          <w:szCs w:val="24"/>
        </w:rPr>
        <w:t>Iipumbu</w:t>
      </w:r>
      <w:proofErr w:type="spellEnd"/>
      <w:r>
        <w:rPr>
          <w:rFonts w:ascii="Arial" w:eastAsia="Arial" w:hAnsi="Arial" w:cs="Arial"/>
          <w:sz w:val="24"/>
          <w:szCs w:val="24"/>
        </w:rPr>
        <w:t>, (CA 16/08) [2009] (06 March 2009) and in both these decisions the charges related to Methaqualone. There it was held that the onus rests on the state to prove that the tablet the accused had in their possession contained Methaqualone which will require scientific evidence. The magistrate concedes that she could therefore not have proceeded in terms of section 112(1</w:t>
      </w:r>
      <w:proofErr w:type="gramStart"/>
      <w:r>
        <w:rPr>
          <w:rFonts w:ascii="Arial" w:eastAsia="Arial" w:hAnsi="Arial" w:cs="Arial"/>
          <w:sz w:val="24"/>
          <w:szCs w:val="24"/>
        </w:rPr>
        <w:t>)(</w:t>
      </w:r>
      <w:proofErr w:type="gramEnd"/>
      <w:r>
        <w:rPr>
          <w:rFonts w:ascii="Arial" w:eastAsia="Arial" w:hAnsi="Arial" w:cs="Arial"/>
          <w:sz w:val="24"/>
          <w:szCs w:val="24"/>
        </w:rPr>
        <w:t>a) of the Criminal Procedure Act, 51 of 1977.</w:t>
      </w:r>
    </w:p>
    <w:p w:rsidR="00843776" w:rsidRDefault="00843776">
      <w:pPr>
        <w:widowControl w:val="0"/>
        <w:spacing w:line="360" w:lineRule="auto"/>
        <w:jc w:val="both"/>
        <w:rPr>
          <w:rFonts w:ascii="Arial" w:eastAsia="Arial" w:hAnsi="Arial" w:cs="Arial"/>
          <w:sz w:val="24"/>
          <w:szCs w:val="24"/>
        </w:rPr>
      </w:pPr>
    </w:p>
    <w:p w:rsidR="00843776" w:rsidRDefault="007B7626">
      <w:pPr>
        <w:widowControl w:val="0"/>
        <w:spacing w:line="360" w:lineRule="auto"/>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 xml:space="preserve">The judgement in </w:t>
      </w:r>
      <w:r>
        <w:rPr>
          <w:rFonts w:ascii="Arial" w:eastAsia="Arial" w:hAnsi="Arial" w:cs="Arial"/>
          <w:i/>
          <w:sz w:val="24"/>
          <w:szCs w:val="24"/>
        </w:rPr>
        <w:t xml:space="preserve">S v </w:t>
      </w:r>
      <w:proofErr w:type="spellStart"/>
      <w:r>
        <w:rPr>
          <w:rFonts w:ascii="Arial" w:eastAsia="Arial" w:hAnsi="Arial" w:cs="Arial"/>
          <w:i/>
          <w:sz w:val="24"/>
          <w:szCs w:val="24"/>
        </w:rPr>
        <w:t>Rooi</w:t>
      </w:r>
      <w:proofErr w:type="spellEnd"/>
      <w:r>
        <w:rPr>
          <w:rFonts w:ascii="Arial" w:eastAsia="Arial" w:hAnsi="Arial" w:cs="Arial"/>
          <w:i/>
          <w:sz w:val="24"/>
          <w:szCs w:val="24"/>
        </w:rPr>
        <w:t xml:space="preserve"> </w:t>
      </w:r>
      <w:r>
        <w:rPr>
          <w:rFonts w:ascii="Arial" w:eastAsia="Arial" w:hAnsi="Arial" w:cs="Arial"/>
          <w:sz w:val="24"/>
          <w:szCs w:val="24"/>
        </w:rPr>
        <w:t>(CR</w:t>
      </w:r>
      <w:r w:rsidR="00360F32">
        <w:rPr>
          <w:rFonts w:ascii="Arial" w:eastAsia="Arial" w:hAnsi="Arial" w:cs="Arial"/>
          <w:sz w:val="24"/>
          <w:szCs w:val="24"/>
        </w:rPr>
        <w:t xml:space="preserve"> </w:t>
      </w:r>
      <w:r>
        <w:rPr>
          <w:rFonts w:ascii="Arial" w:eastAsia="Arial" w:hAnsi="Arial" w:cs="Arial"/>
          <w:sz w:val="24"/>
          <w:szCs w:val="24"/>
        </w:rPr>
        <w:t>20/2019) [2019] NAHCMD delivered by Liebenberg J on 20 March 2019 was in the meantime brought under my attention.  In essence this judgement deals with the classification of Methaqualone under Part I of the Schedule to the Act.  Upon closer inspection it seems that Methaqualone started out as a drug under Part III of the Schedule which sets out Potentially Dangerous Dependence Producing Drugs in 1971, when the Act came into operation.</w:t>
      </w:r>
    </w:p>
    <w:p w:rsidR="00843776" w:rsidRDefault="00843776">
      <w:pPr>
        <w:widowControl w:val="0"/>
        <w:spacing w:line="360" w:lineRule="auto"/>
        <w:jc w:val="both"/>
        <w:rPr>
          <w:rFonts w:ascii="Arial" w:eastAsia="Arial" w:hAnsi="Arial" w:cs="Arial"/>
          <w:sz w:val="24"/>
          <w:szCs w:val="24"/>
        </w:rPr>
      </w:pPr>
    </w:p>
    <w:p w:rsidR="00843776" w:rsidRDefault="007B7626">
      <w:pPr>
        <w:widowControl w:val="0"/>
        <w:spacing w:line="360" w:lineRule="auto"/>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Under the initial Act, with its inception, the correct charge for being found in possession of any tablet containing Methaqualone would have been a charge under section 3(b) of the Abuse of Dependence-Producing Substances and Rehabilit</w:t>
      </w:r>
      <w:r w:rsidR="004B6431">
        <w:rPr>
          <w:rFonts w:ascii="Arial" w:eastAsia="Arial" w:hAnsi="Arial" w:cs="Arial"/>
          <w:sz w:val="24"/>
          <w:szCs w:val="24"/>
        </w:rPr>
        <w:t xml:space="preserve">ation Centers Act, 41 of 1971. </w:t>
      </w:r>
      <w:bookmarkStart w:id="0" w:name="_GoBack"/>
      <w:bookmarkEnd w:id="0"/>
      <w:r>
        <w:rPr>
          <w:rFonts w:ascii="Arial" w:eastAsia="Arial" w:hAnsi="Arial" w:cs="Arial"/>
          <w:sz w:val="24"/>
          <w:szCs w:val="24"/>
        </w:rPr>
        <w:t xml:space="preserve">During the years the substance was however removed from Part III of the Schedule and included under Part II of the Schedule dealing with Dangerous Dependence-Producing Drugs (as per </w:t>
      </w:r>
      <w:r>
        <w:rPr>
          <w:rFonts w:ascii="Arial" w:eastAsia="Arial" w:hAnsi="Arial" w:cs="Arial"/>
          <w:sz w:val="24"/>
          <w:szCs w:val="24"/>
        </w:rPr>
        <w:lastRenderedPageBreak/>
        <w:t>Proclamation 141 of 1976</w:t>
      </w:r>
      <w:r>
        <w:rPr>
          <w:rFonts w:ascii="Arial" w:eastAsia="Arial" w:hAnsi="Arial" w:cs="Arial"/>
          <w:sz w:val="24"/>
          <w:szCs w:val="24"/>
          <w:vertAlign w:val="superscript"/>
        </w:rPr>
        <w:footnoteReference w:id="1"/>
      </w:r>
      <w:r>
        <w:rPr>
          <w:rFonts w:ascii="Arial" w:eastAsia="Arial" w:hAnsi="Arial" w:cs="Arial"/>
          <w:sz w:val="24"/>
          <w:szCs w:val="24"/>
        </w:rPr>
        <w:t>).  The placing of the substance Methaqualone again changed from Part II of the Schedule Part I as per Proclamation No 277 of 1977.</w:t>
      </w:r>
      <w:r>
        <w:rPr>
          <w:rFonts w:ascii="Arial" w:eastAsia="Arial" w:hAnsi="Arial" w:cs="Arial"/>
          <w:sz w:val="24"/>
          <w:szCs w:val="24"/>
          <w:vertAlign w:val="superscript"/>
        </w:rPr>
        <w:footnoteReference w:id="2"/>
      </w:r>
      <w:r>
        <w:rPr>
          <w:rFonts w:ascii="Arial" w:eastAsia="Arial" w:hAnsi="Arial" w:cs="Arial"/>
          <w:sz w:val="24"/>
          <w:szCs w:val="24"/>
        </w:rPr>
        <w:t xml:space="preserve">  Currently that is still the position.</w:t>
      </w:r>
    </w:p>
    <w:p w:rsidR="00843776" w:rsidRDefault="00843776">
      <w:pPr>
        <w:widowControl w:val="0"/>
        <w:spacing w:line="360" w:lineRule="auto"/>
        <w:jc w:val="both"/>
        <w:rPr>
          <w:rFonts w:ascii="Arial" w:eastAsia="Arial" w:hAnsi="Arial" w:cs="Arial"/>
          <w:sz w:val="24"/>
          <w:szCs w:val="24"/>
        </w:rPr>
      </w:pPr>
    </w:p>
    <w:p w:rsidR="00843776" w:rsidRDefault="007B7626">
      <w:pPr>
        <w:widowControl w:val="0"/>
        <w:spacing w:line="360" w:lineRule="auto"/>
        <w:jc w:val="both"/>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 xml:space="preserve">Possession of any tablet containing the substance Methaqualone is therefore a contravention of section 2(b) of the Act and the charge should reflect the Possession of Prohibited-Dependence Producing Drugs.  The accused in this matter was wrongly charged in count 2 with the contravention of section 3(b) and should have been charged under section 2(b) of the Act.  In that event, the possession of a </w:t>
      </w:r>
      <w:proofErr w:type="spellStart"/>
      <w:r>
        <w:rPr>
          <w:rFonts w:ascii="Arial" w:eastAsia="Arial" w:hAnsi="Arial" w:cs="Arial"/>
          <w:sz w:val="24"/>
          <w:szCs w:val="24"/>
        </w:rPr>
        <w:t>Mandrax</w:t>
      </w:r>
      <w:proofErr w:type="spellEnd"/>
      <w:r>
        <w:rPr>
          <w:rFonts w:ascii="Arial" w:eastAsia="Arial" w:hAnsi="Arial" w:cs="Arial"/>
          <w:sz w:val="24"/>
          <w:szCs w:val="24"/>
        </w:rPr>
        <w:t xml:space="preserve"> tablet containing Methaqualone should have been included under count 1, which is also a charge under section 2(b) of the Act, relating to the possession of cannabis.</w:t>
      </w:r>
    </w:p>
    <w:p w:rsidR="00843776" w:rsidRDefault="00843776">
      <w:pPr>
        <w:widowControl w:val="0"/>
        <w:spacing w:line="360" w:lineRule="auto"/>
        <w:jc w:val="both"/>
        <w:rPr>
          <w:rFonts w:ascii="Arial" w:eastAsia="Arial" w:hAnsi="Arial" w:cs="Arial"/>
          <w:sz w:val="24"/>
          <w:szCs w:val="24"/>
        </w:rPr>
      </w:pPr>
    </w:p>
    <w:p w:rsidR="00843776" w:rsidRDefault="007B7626">
      <w:pPr>
        <w:widowControl w:val="0"/>
        <w:spacing w:line="360" w:lineRule="auto"/>
        <w:jc w:val="both"/>
        <w:rPr>
          <w:rFonts w:ascii="Arial" w:eastAsia="Arial" w:hAnsi="Arial" w:cs="Arial"/>
          <w:sz w:val="24"/>
          <w:szCs w:val="24"/>
        </w:rPr>
      </w:pPr>
      <w:r>
        <w:rPr>
          <w:rFonts w:ascii="Arial" w:eastAsia="Arial" w:hAnsi="Arial" w:cs="Arial"/>
          <w:sz w:val="24"/>
          <w:szCs w:val="24"/>
        </w:rPr>
        <w:t>[8]</w:t>
      </w:r>
      <w:r w:rsidR="00360F32">
        <w:rPr>
          <w:rFonts w:ascii="Arial" w:eastAsia="Arial" w:hAnsi="Arial" w:cs="Arial"/>
          <w:sz w:val="24"/>
          <w:szCs w:val="24"/>
        </w:rPr>
        <w:tab/>
      </w:r>
      <w:r>
        <w:rPr>
          <w:rFonts w:ascii="Arial" w:eastAsia="Arial" w:hAnsi="Arial" w:cs="Arial"/>
          <w:sz w:val="24"/>
          <w:szCs w:val="24"/>
        </w:rPr>
        <w:t xml:space="preserve"> It is however not the end of the matter. The active ingredient as per the charge, “</w:t>
      </w:r>
      <w:proofErr w:type="spellStart"/>
      <w:r>
        <w:rPr>
          <w:rFonts w:ascii="Arial" w:eastAsia="Arial" w:hAnsi="Arial" w:cs="Arial"/>
          <w:sz w:val="24"/>
          <w:szCs w:val="24"/>
        </w:rPr>
        <w:t>Methaloqule</w:t>
      </w:r>
      <w:proofErr w:type="spellEnd"/>
      <w:r>
        <w:rPr>
          <w:rFonts w:ascii="Arial" w:eastAsia="Arial" w:hAnsi="Arial" w:cs="Arial"/>
          <w:sz w:val="24"/>
          <w:szCs w:val="24"/>
        </w:rPr>
        <w:t>” is not listed in the Schedule, it therefore is not a prohibited dependence-producing drug under the Act.   It might be that when drafting the charges the prosecutor miss-spelled the active ingredient but because no scientific evidence was produced and no questioning in terms of section 112(1</w:t>
      </w:r>
      <w:proofErr w:type="gramStart"/>
      <w:r>
        <w:rPr>
          <w:rFonts w:ascii="Arial" w:eastAsia="Arial" w:hAnsi="Arial" w:cs="Arial"/>
          <w:sz w:val="24"/>
          <w:szCs w:val="24"/>
        </w:rPr>
        <w:t>)(</w:t>
      </w:r>
      <w:proofErr w:type="gramEnd"/>
      <w:r>
        <w:rPr>
          <w:rFonts w:ascii="Arial" w:eastAsia="Arial" w:hAnsi="Arial" w:cs="Arial"/>
          <w:sz w:val="24"/>
          <w:szCs w:val="24"/>
        </w:rPr>
        <w:t xml:space="preserve">a) of the Criminal Procedure Act, 51 of 1977 was required and therefore the defective charge was never detected by the Magistrate when convicting on the accused’s mere plea of guilty.   </w:t>
      </w:r>
    </w:p>
    <w:p w:rsidR="00843776" w:rsidRDefault="00843776">
      <w:pPr>
        <w:widowControl w:val="0"/>
        <w:spacing w:line="360" w:lineRule="auto"/>
        <w:jc w:val="both"/>
        <w:rPr>
          <w:rFonts w:ascii="Arial" w:eastAsia="Arial" w:hAnsi="Arial" w:cs="Arial"/>
          <w:sz w:val="24"/>
          <w:szCs w:val="24"/>
        </w:rPr>
      </w:pPr>
    </w:p>
    <w:p w:rsidR="00843776" w:rsidRDefault="007B7626">
      <w:pPr>
        <w:widowControl w:val="0"/>
        <w:spacing w:line="360" w:lineRule="auto"/>
        <w:jc w:val="both"/>
        <w:rPr>
          <w:rFonts w:ascii="Arial" w:eastAsia="Arial" w:hAnsi="Arial" w:cs="Arial"/>
          <w:sz w:val="24"/>
          <w:szCs w:val="24"/>
        </w:rPr>
      </w:pPr>
      <w:r>
        <w:rPr>
          <w:rFonts w:ascii="Arial" w:eastAsia="Arial" w:hAnsi="Arial" w:cs="Arial"/>
          <w:sz w:val="24"/>
          <w:szCs w:val="24"/>
        </w:rPr>
        <w:t>[9]</w:t>
      </w:r>
      <w:r>
        <w:rPr>
          <w:rFonts w:ascii="Arial" w:eastAsia="Arial" w:hAnsi="Arial" w:cs="Arial"/>
          <w:sz w:val="24"/>
          <w:szCs w:val="24"/>
        </w:rPr>
        <w:tab/>
        <w:t>The result is that the charge referring to “</w:t>
      </w:r>
      <w:proofErr w:type="spellStart"/>
      <w:r>
        <w:rPr>
          <w:rFonts w:ascii="Arial" w:eastAsia="Arial" w:hAnsi="Arial" w:cs="Arial"/>
          <w:sz w:val="24"/>
          <w:szCs w:val="24"/>
        </w:rPr>
        <w:t>Methaloqule</w:t>
      </w:r>
      <w:proofErr w:type="spellEnd"/>
      <w:r>
        <w:rPr>
          <w:rFonts w:ascii="Arial" w:eastAsia="Arial" w:hAnsi="Arial" w:cs="Arial"/>
          <w:sz w:val="24"/>
          <w:szCs w:val="24"/>
        </w:rPr>
        <w:t>” is defective as it does not refer to any substance listed under any part of the Schedule and the element of unlawfulness is lacking in the averment made by the state.</w:t>
      </w:r>
    </w:p>
    <w:p w:rsidR="00843776" w:rsidRDefault="00843776">
      <w:pPr>
        <w:widowControl w:val="0"/>
        <w:spacing w:line="360" w:lineRule="auto"/>
        <w:jc w:val="both"/>
        <w:rPr>
          <w:rFonts w:ascii="Arial" w:eastAsia="Arial" w:hAnsi="Arial" w:cs="Arial"/>
          <w:sz w:val="24"/>
          <w:szCs w:val="24"/>
        </w:rPr>
      </w:pPr>
    </w:p>
    <w:p w:rsidR="00843776" w:rsidRDefault="00FD6984">
      <w:pPr>
        <w:widowControl w:val="0"/>
        <w:spacing w:line="360" w:lineRule="auto"/>
        <w:jc w:val="both"/>
        <w:rPr>
          <w:rFonts w:ascii="Arial" w:eastAsia="Arial" w:hAnsi="Arial" w:cs="Arial"/>
          <w:sz w:val="24"/>
          <w:szCs w:val="24"/>
        </w:rPr>
      </w:pPr>
      <w:r>
        <w:rPr>
          <w:rFonts w:ascii="Arial" w:eastAsia="Arial" w:hAnsi="Arial" w:cs="Arial"/>
          <w:sz w:val="24"/>
          <w:szCs w:val="24"/>
        </w:rPr>
        <w:t>[10</w:t>
      </w:r>
      <w:r w:rsidR="007B7626">
        <w:rPr>
          <w:rFonts w:ascii="Arial" w:eastAsia="Arial" w:hAnsi="Arial" w:cs="Arial"/>
          <w:sz w:val="24"/>
          <w:szCs w:val="24"/>
        </w:rPr>
        <w:t>]</w:t>
      </w:r>
      <w:r w:rsidR="007B7626">
        <w:rPr>
          <w:rFonts w:ascii="Arial" w:eastAsia="Arial" w:hAnsi="Arial" w:cs="Arial"/>
          <w:sz w:val="24"/>
          <w:szCs w:val="24"/>
        </w:rPr>
        <w:tab/>
        <w:t>In the result the following order is made:</w:t>
      </w:r>
    </w:p>
    <w:p w:rsidR="00843776" w:rsidRDefault="00843776">
      <w:pPr>
        <w:widowControl w:val="0"/>
        <w:spacing w:line="360" w:lineRule="auto"/>
        <w:jc w:val="both"/>
        <w:rPr>
          <w:rFonts w:ascii="Arial" w:eastAsia="Arial" w:hAnsi="Arial" w:cs="Arial"/>
          <w:sz w:val="24"/>
          <w:szCs w:val="24"/>
        </w:rPr>
      </w:pPr>
    </w:p>
    <w:p w:rsidR="00843776" w:rsidRDefault="007B7626">
      <w:pPr>
        <w:numPr>
          <w:ilvl w:val="0"/>
          <w:numId w:val="2"/>
        </w:numPr>
        <w:ind w:left="426" w:hanging="426"/>
        <w:rPr>
          <w:rFonts w:ascii="Arial" w:eastAsia="Arial" w:hAnsi="Arial" w:cs="Arial"/>
          <w:sz w:val="24"/>
          <w:szCs w:val="24"/>
        </w:rPr>
      </w:pPr>
      <w:r>
        <w:rPr>
          <w:rFonts w:ascii="Arial" w:eastAsia="Arial" w:hAnsi="Arial" w:cs="Arial"/>
          <w:sz w:val="24"/>
          <w:szCs w:val="24"/>
        </w:rPr>
        <w:t>The conviction and sentence on count 1 are confirmed.</w:t>
      </w:r>
    </w:p>
    <w:p w:rsidR="00843776" w:rsidRDefault="00843776">
      <w:pPr>
        <w:ind w:left="426"/>
        <w:rPr>
          <w:rFonts w:ascii="Arial" w:eastAsia="Arial" w:hAnsi="Arial" w:cs="Arial"/>
          <w:sz w:val="24"/>
          <w:szCs w:val="24"/>
        </w:rPr>
      </w:pPr>
    </w:p>
    <w:p w:rsidR="00843776" w:rsidRDefault="007B7626">
      <w:pPr>
        <w:numPr>
          <w:ilvl w:val="0"/>
          <w:numId w:val="2"/>
        </w:numPr>
        <w:ind w:left="426" w:hanging="426"/>
        <w:rPr>
          <w:rFonts w:ascii="Arial" w:eastAsia="Arial" w:hAnsi="Arial" w:cs="Arial"/>
          <w:sz w:val="24"/>
          <w:szCs w:val="24"/>
        </w:rPr>
      </w:pPr>
      <w:r>
        <w:rPr>
          <w:rFonts w:ascii="Arial" w:eastAsia="Arial" w:hAnsi="Arial" w:cs="Arial"/>
          <w:sz w:val="24"/>
          <w:szCs w:val="24"/>
        </w:rPr>
        <w:lastRenderedPageBreak/>
        <w:t>The conviction and sentence in respect of count 2 are set aside.</w:t>
      </w:r>
    </w:p>
    <w:p w:rsidR="00843776" w:rsidRDefault="00843776">
      <w:pPr>
        <w:pBdr>
          <w:top w:val="nil"/>
          <w:left w:val="nil"/>
          <w:bottom w:val="nil"/>
          <w:right w:val="nil"/>
          <w:between w:val="nil"/>
        </w:pBdr>
        <w:ind w:left="720"/>
        <w:rPr>
          <w:rFonts w:ascii="Arial" w:eastAsia="Arial" w:hAnsi="Arial" w:cs="Arial"/>
          <w:color w:val="000000"/>
          <w:sz w:val="24"/>
          <w:szCs w:val="24"/>
        </w:rPr>
      </w:pPr>
    </w:p>
    <w:p w:rsidR="00843776" w:rsidRDefault="00843776">
      <w:pPr>
        <w:ind w:left="426"/>
        <w:rPr>
          <w:rFonts w:ascii="Arial" w:eastAsia="Arial" w:hAnsi="Arial" w:cs="Arial"/>
          <w:sz w:val="24"/>
          <w:szCs w:val="24"/>
        </w:rPr>
      </w:pPr>
    </w:p>
    <w:p w:rsidR="00843776" w:rsidRDefault="00843776">
      <w:pPr>
        <w:ind w:left="426"/>
        <w:rPr>
          <w:rFonts w:ascii="Arial" w:eastAsia="Arial" w:hAnsi="Arial" w:cs="Arial"/>
          <w:sz w:val="24"/>
          <w:szCs w:val="24"/>
        </w:rPr>
      </w:pPr>
    </w:p>
    <w:p w:rsidR="00843776" w:rsidRDefault="00360F32" w:rsidP="00360F32">
      <w:pPr>
        <w:widowControl w:val="0"/>
        <w:spacing w:line="360" w:lineRule="auto"/>
        <w:jc w:val="right"/>
        <w:rPr>
          <w:rFonts w:ascii="Arial" w:eastAsia="Arial" w:hAnsi="Arial" w:cs="Arial"/>
          <w:sz w:val="24"/>
          <w:szCs w:val="24"/>
        </w:rPr>
      </w:pPr>
      <w:r>
        <w:rPr>
          <w:rFonts w:ascii="Arial" w:eastAsia="Arial" w:hAnsi="Arial" w:cs="Arial"/>
          <w:sz w:val="24"/>
          <w:szCs w:val="24"/>
        </w:rPr>
        <w:t>_____________</w:t>
      </w:r>
    </w:p>
    <w:p w:rsidR="00843776" w:rsidRDefault="007B7626">
      <w:pPr>
        <w:pBdr>
          <w:top w:val="nil"/>
          <w:left w:val="nil"/>
          <w:bottom w:val="nil"/>
          <w:right w:val="nil"/>
          <w:between w:val="nil"/>
        </w:pBdr>
        <w:tabs>
          <w:tab w:val="center" w:pos="4320"/>
          <w:tab w:val="right" w:pos="8640"/>
        </w:tabs>
        <w:spacing w:line="360" w:lineRule="auto"/>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000000"/>
          <w:sz w:val="24"/>
          <w:szCs w:val="24"/>
        </w:rPr>
        <w:t>E RAKOW</w:t>
      </w:r>
    </w:p>
    <w:p w:rsidR="00843776" w:rsidRDefault="007B7626">
      <w:pPr>
        <w:spacing w:line="360" w:lineRule="auto"/>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ACTING JUDGE</w:t>
      </w:r>
    </w:p>
    <w:sectPr w:rsidR="00843776">
      <w:headerReference w:type="even" r:id="rId8"/>
      <w:headerReference w:type="default" r:id="rId9"/>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310" w:rsidRDefault="00723310">
      <w:r>
        <w:separator/>
      </w:r>
    </w:p>
  </w:endnote>
  <w:endnote w:type="continuationSeparator" w:id="0">
    <w:p w:rsidR="00723310" w:rsidRDefault="0072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310" w:rsidRDefault="00723310">
      <w:r>
        <w:separator/>
      </w:r>
    </w:p>
  </w:footnote>
  <w:footnote w:type="continuationSeparator" w:id="0">
    <w:p w:rsidR="00723310" w:rsidRDefault="00723310">
      <w:r>
        <w:continuationSeparator/>
      </w:r>
    </w:p>
  </w:footnote>
  <w:footnote w:id="1">
    <w:p w:rsidR="00843776" w:rsidRDefault="007B7626">
      <w:pPr>
        <w:pBdr>
          <w:top w:val="nil"/>
          <w:left w:val="nil"/>
          <w:bottom w:val="nil"/>
          <w:right w:val="nil"/>
          <w:between w:val="nil"/>
        </w:pBdr>
        <w:rPr>
          <w:rFonts w:ascii="Arial" w:eastAsia="Arial" w:hAnsi="Arial" w:cs="Arial"/>
          <w:color w:val="000000"/>
        </w:rPr>
      </w:pPr>
      <w:r>
        <w:rPr>
          <w:vertAlign w:val="superscript"/>
        </w:rPr>
        <w:footnoteRef/>
      </w:r>
      <w:r>
        <w:rPr>
          <w:color w:val="000000"/>
          <w:sz w:val="22"/>
          <w:szCs w:val="22"/>
        </w:rPr>
        <w:t xml:space="preserve"> </w:t>
      </w:r>
      <w:r>
        <w:rPr>
          <w:rFonts w:ascii="Arial" w:eastAsia="Arial" w:hAnsi="Arial" w:cs="Arial"/>
          <w:color w:val="000000"/>
        </w:rPr>
        <w:t>Government Gazette no 5237 dated 30 July 1976</w:t>
      </w:r>
      <w:r w:rsidR="00360F32">
        <w:rPr>
          <w:rFonts w:ascii="Arial" w:eastAsia="Arial" w:hAnsi="Arial" w:cs="Arial"/>
          <w:color w:val="000000"/>
        </w:rPr>
        <w:t>.</w:t>
      </w:r>
    </w:p>
  </w:footnote>
  <w:footnote w:id="2">
    <w:p w:rsidR="00843776" w:rsidRDefault="007B7626">
      <w:pPr>
        <w:pBdr>
          <w:top w:val="nil"/>
          <w:left w:val="nil"/>
          <w:bottom w:val="nil"/>
          <w:right w:val="nil"/>
          <w:between w:val="nil"/>
        </w:pBdr>
        <w:rPr>
          <w:color w:val="000000"/>
        </w:rPr>
      </w:pPr>
      <w:r>
        <w:rPr>
          <w:vertAlign w:val="superscript"/>
        </w:rPr>
        <w:footnoteRef/>
      </w:r>
      <w:r>
        <w:rPr>
          <w:rFonts w:ascii="Arial" w:eastAsia="Arial" w:hAnsi="Arial" w:cs="Arial"/>
          <w:color w:val="000000"/>
        </w:rPr>
        <w:t xml:space="preserve"> Government Gazette no. 5789 dated 28 October 1977</w:t>
      </w:r>
      <w:r w:rsidR="00360F32">
        <w:rPr>
          <w:rFonts w:ascii="Arial" w:eastAsia="Arial" w:hAnsi="Arial" w:cs="Arial"/>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76" w:rsidRDefault="007B7626">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843776" w:rsidRDefault="0084377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76" w:rsidRDefault="007B762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4B6431">
      <w:rPr>
        <w:noProof/>
        <w:color w:val="000000"/>
      </w:rPr>
      <w:t>5</w:t>
    </w:r>
    <w:r>
      <w:rPr>
        <w:color w:val="000000"/>
      </w:rPr>
      <w:fldChar w:fldCharType="end"/>
    </w:r>
  </w:p>
  <w:p w:rsidR="00843776" w:rsidRDefault="0084377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84945"/>
    <w:multiLevelType w:val="multilevel"/>
    <w:tmpl w:val="54CEFB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B25678E"/>
    <w:multiLevelType w:val="multilevel"/>
    <w:tmpl w:val="FF52A4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776"/>
    <w:rsid w:val="0007445B"/>
    <w:rsid w:val="000C2C56"/>
    <w:rsid w:val="00360F32"/>
    <w:rsid w:val="004B6431"/>
    <w:rsid w:val="00723310"/>
    <w:rsid w:val="007B7626"/>
    <w:rsid w:val="00843776"/>
    <w:rsid w:val="00FD69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0FD58-D48A-47B7-8C8A-68CEE296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line="360" w:lineRule="auto"/>
      <w:outlineLvl w:val="0"/>
    </w:pPr>
    <w:rPr>
      <w:sz w:val="24"/>
      <w:szCs w:val="24"/>
    </w:rPr>
  </w:style>
  <w:style w:type="paragraph" w:styleId="Heading2">
    <w:name w:val="heading 2"/>
    <w:basedOn w:val="Normal"/>
    <w:next w:val="Normal"/>
    <w:pPr>
      <w:keepNext/>
      <w:widowControl w:val="0"/>
      <w:outlineLvl w:val="1"/>
    </w:pPr>
    <w:rPr>
      <w:b/>
      <w:sz w:val="24"/>
      <w:szCs w:val="24"/>
    </w:rPr>
  </w:style>
  <w:style w:type="paragraph" w:styleId="Heading3">
    <w:name w:val="heading 3"/>
    <w:basedOn w:val="Normal"/>
    <w:next w:val="Normal"/>
    <w:pPr>
      <w:keepNext/>
      <w:widowControl w:val="0"/>
      <w:outlineLvl w:val="2"/>
    </w:pPr>
    <w:rPr>
      <w:b/>
      <w:sz w:val="24"/>
      <w:szCs w:val="24"/>
      <w:u w:val="single"/>
    </w:rPr>
  </w:style>
  <w:style w:type="paragraph" w:styleId="Heading4">
    <w:name w:val="heading 4"/>
    <w:basedOn w:val="Normal"/>
    <w:next w:val="Normal"/>
    <w:pPr>
      <w:keepNext/>
      <w:widowControl w:val="0"/>
      <w:spacing w:line="360" w:lineRule="auto"/>
      <w:jc w:val="both"/>
      <w:outlineLvl w:val="3"/>
    </w:pPr>
    <w:rPr>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2020-06-01T18:30:00+00:00</Judgment_x0020_Date>
  </documentManagement>
</p:properties>
</file>

<file path=customXml/itemProps1.xml><?xml version="1.0" encoding="utf-8"?>
<ds:datastoreItem xmlns:ds="http://schemas.openxmlformats.org/officeDocument/2006/customXml" ds:itemID="{BC27316F-9F44-435C-821C-3DB9161507D4}"/>
</file>

<file path=customXml/itemProps2.xml><?xml version="1.0" encoding="utf-8"?>
<ds:datastoreItem xmlns:ds="http://schemas.openxmlformats.org/officeDocument/2006/customXml" ds:itemID="{1FE3809D-B182-41E0-88A2-0A249EB69F3B}"/>
</file>

<file path=customXml/itemProps3.xml><?xml version="1.0" encoding="utf-8"?>
<ds:datastoreItem xmlns:ds="http://schemas.openxmlformats.org/officeDocument/2006/customXml" ds:itemID="{176593C8-C134-4B4D-92A1-8EF0E8D7A6EB}"/>
</file>

<file path=docProps/app.xml><?xml version="1.0" encoding="utf-8"?>
<Properties xmlns="http://schemas.openxmlformats.org/officeDocument/2006/extended-properties" xmlns:vt="http://schemas.openxmlformats.org/officeDocument/2006/docPropsVTypes">
  <Template>Normal</Template>
  <TotalTime>1</TotalTime>
  <Pages>5</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Freemann (CR 36-2020) [2019] NAHCMD 205 (2 June 2020)</dc:title>
  <dc:creator>Kathleen Jod</dc:creator>
  <cp:lastModifiedBy>Administrator</cp:lastModifiedBy>
  <cp:revision>3</cp:revision>
  <dcterms:created xsi:type="dcterms:W3CDTF">2020-06-23T13:06:00Z</dcterms:created>
  <dcterms:modified xsi:type="dcterms:W3CDTF">2020-06-23T13:07:00Z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