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69" w:rsidRPr="002D4177" w:rsidRDefault="00A27269" w:rsidP="00A27269">
      <w:pPr>
        <w:jc w:val="center"/>
        <w:rPr>
          <w:rFonts w:ascii="Arial" w:hAnsi="Arial" w:cs="Arial"/>
          <w:sz w:val="24"/>
          <w:szCs w:val="24"/>
          <w:lang w:val="en-US"/>
        </w:rPr>
      </w:pPr>
      <w:r w:rsidRPr="002D4177">
        <w:rPr>
          <w:lang w:val="en-US"/>
        </w:rPr>
        <w:t>“</w:t>
      </w:r>
      <w:r w:rsidRPr="002D4177">
        <w:rPr>
          <w:rFonts w:ascii="Arial" w:hAnsi="Arial" w:cs="Arial"/>
          <w:sz w:val="24"/>
          <w:szCs w:val="24"/>
          <w:lang w:val="en-US"/>
        </w:rPr>
        <w:t>ANNEXURE 11”</w:t>
      </w:r>
    </w:p>
    <w:p w:rsidR="00A27269" w:rsidRPr="002D4177" w:rsidRDefault="00A27269" w:rsidP="00A27269">
      <w:pPr>
        <w:jc w:val="center"/>
        <w:rPr>
          <w:rFonts w:ascii="Arial" w:hAnsi="Arial" w:cs="Arial"/>
          <w:b/>
          <w:sz w:val="24"/>
          <w:szCs w:val="24"/>
          <w:lang w:val="en-US"/>
        </w:rPr>
      </w:pPr>
      <w:r w:rsidRPr="002D4177">
        <w:rPr>
          <w:rFonts w:ascii="Arial" w:hAnsi="Arial" w:cs="Arial"/>
          <w:b/>
          <w:sz w:val="24"/>
          <w:szCs w:val="24"/>
          <w:lang w:val="en-US"/>
        </w:rPr>
        <w:t>IN THE HIGH COURT OF NAMIBIA</w:t>
      </w:r>
    </w:p>
    <w:p w:rsidR="00A27269" w:rsidRPr="002D4177" w:rsidRDefault="00A27269" w:rsidP="00A27269">
      <w:pPr>
        <w:jc w:val="center"/>
        <w:rPr>
          <w:rFonts w:ascii="Arial" w:hAnsi="Arial" w:cs="Arial"/>
          <w:sz w:val="24"/>
          <w:szCs w:val="24"/>
          <w:lang w:val="en-US"/>
        </w:rPr>
      </w:pPr>
    </w:p>
    <w:tbl>
      <w:tblPr>
        <w:tblStyle w:val="TableGrid"/>
        <w:tblW w:w="10013" w:type="dxa"/>
        <w:tblInd w:w="-275" w:type="dxa"/>
        <w:tblLook w:val="04A0" w:firstRow="1" w:lastRow="0" w:firstColumn="1" w:lastColumn="0" w:noHBand="0" w:noVBand="1"/>
      </w:tblPr>
      <w:tblGrid>
        <w:gridCol w:w="4950"/>
        <w:gridCol w:w="5063"/>
      </w:tblGrid>
      <w:tr w:rsidR="00A27269" w:rsidRPr="002D4177" w:rsidTr="000A1962">
        <w:tc>
          <w:tcPr>
            <w:tcW w:w="4950" w:type="dxa"/>
            <w:vMerge w:val="restart"/>
          </w:tcPr>
          <w:p w:rsidR="00A27269" w:rsidRPr="00A27269" w:rsidRDefault="00A27269" w:rsidP="00BA2C89">
            <w:pPr>
              <w:spacing w:line="360" w:lineRule="auto"/>
              <w:rPr>
                <w:rFonts w:ascii="Arial Narrow" w:hAnsi="Arial Narrow" w:cs="Arial"/>
                <w:b/>
                <w:sz w:val="24"/>
                <w:szCs w:val="24"/>
                <w:lang w:val="en-US"/>
              </w:rPr>
            </w:pPr>
            <w:r w:rsidRPr="00A27269">
              <w:rPr>
                <w:rFonts w:ascii="Arial Narrow" w:hAnsi="Arial Narrow" w:cs="Arial"/>
                <w:b/>
                <w:sz w:val="24"/>
                <w:szCs w:val="24"/>
                <w:lang w:val="en-US"/>
              </w:rPr>
              <w:t>Case Title:</w:t>
            </w:r>
          </w:p>
          <w:p w:rsidR="00A27269" w:rsidRPr="00A27269" w:rsidRDefault="00A27269" w:rsidP="00BA2C89">
            <w:pPr>
              <w:spacing w:line="360" w:lineRule="auto"/>
              <w:rPr>
                <w:rFonts w:ascii="Arial Narrow" w:hAnsi="Arial Narrow" w:cs="Arial"/>
                <w:i/>
                <w:sz w:val="24"/>
                <w:szCs w:val="24"/>
                <w:lang w:val="en-US"/>
              </w:rPr>
            </w:pPr>
            <w:r w:rsidRPr="00A27269">
              <w:rPr>
                <w:rFonts w:ascii="Arial Narrow" w:hAnsi="Arial Narrow" w:cs="Arial"/>
                <w:i/>
                <w:sz w:val="24"/>
                <w:szCs w:val="24"/>
                <w:lang w:val="en-ZA"/>
              </w:rPr>
              <w:t>KUISEBMOND COMMUNITY HOUSING TRUST vs LUKRENTIA NDJEKELA</w:t>
            </w:r>
          </w:p>
        </w:tc>
        <w:tc>
          <w:tcPr>
            <w:tcW w:w="5063" w:type="dxa"/>
          </w:tcPr>
          <w:p w:rsidR="00A27269" w:rsidRPr="00A27269" w:rsidRDefault="00A27269" w:rsidP="00BA2C89">
            <w:pPr>
              <w:spacing w:line="360" w:lineRule="auto"/>
              <w:rPr>
                <w:rFonts w:ascii="Arial Narrow" w:hAnsi="Arial Narrow" w:cs="Arial"/>
                <w:b/>
                <w:sz w:val="24"/>
                <w:szCs w:val="24"/>
                <w:lang w:val="en-US"/>
              </w:rPr>
            </w:pPr>
            <w:r w:rsidRPr="00A27269">
              <w:rPr>
                <w:rFonts w:ascii="Arial Narrow" w:hAnsi="Arial Narrow" w:cs="Arial"/>
                <w:b/>
                <w:sz w:val="24"/>
                <w:szCs w:val="24"/>
                <w:lang w:val="en-US"/>
              </w:rPr>
              <w:t>Case No.:</w:t>
            </w:r>
          </w:p>
          <w:p w:rsidR="00A27269" w:rsidRPr="00A27269" w:rsidRDefault="00A27269" w:rsidP="00BA2C89">
            <w:pPr>
              <w:spacing w:line="360" w:lineRule="auto"/>
              <w:rPr>
                <w:rFonts w:ascii="Arial Narrow" w:hAnsi="Arial Narrow" w:cs="Arial"/>
                <w:sz w:val="24"/>
                <w:szCs w:val="24"/>
                <w:lang w:val="en-US"/>
              </w:rPr>
            </w:pPr>
            <w:r w:rsidRPr="00A27269">
              <w:rPr>
                <w:rFonts w:ascii="Arial Narrow" w:hAnsi="Arial Narrow" w:cs="Arial"/>
                <w:sz w:val="24"/>
                <w:szCs w:val="24"/>
                <w:shd w:val="clear" w:color="auto" w:fill="FFFFFF"/>
                <w:lang w:val="en-ZA"/>
              </w:rPr>
              <w:t>HC-MD-CIV-ACT-DEL-2018/01526</w:t>
            </w:r>
          </w:p>
        </w:tc>
      </w:tr>
      <w:tr w:rsidR="00A27269" w:rsidRPr="002D4177" w:rsidTr="000A1962">
        <w:tc>
          <w:tcPr>
            <w:tcW w:w="4950" w:type="dxa"/>
            <w:vMerge/>
          </w:tcPr>
          <w:p w:rsidR="00A27269" w:rsidRPr="00A27269" w:rsidRDefault="00A27269" w:rsidP="00BA2C89">
            <w:pPr>
              <w:spacing w:line="360" w:lineRule="auto"/>
              <w:rPr>
                <w:rFonts w:ascii="Arial Narrow" w:hAnsi="Arial Narrow" w:cs="Arial"/>
                <w:sz w:val="24"/>
                <w:szCs w:val="24"/>
                <w:lang w:val="en-US"/>
              </w:rPr>
            </w:pPr>
          </w:p>
        </w:tc>
        <w:tc>
          <w:tcPr>
            <w:tcW w:w="5063" w:type="dxa"/>
          </w:tcPr>
          <w:p w:rsidR="00A27269" w:rsidRPr="00A27269" w:rsidRDefault="00A27269" w:rsidP="00BA2C89">
            <w:pPr>
              <w:spacing w:line="360" w:lineRule="auto"/>
              <w:rPr>
                <w:rFonts w:ascii="Arial Narrow" w:hAnsi="Arial Narrow" w:cs="Arial"/>
                <w:sz w:val="24"/>
                <w:szCs w:val="24"/>
                <w:lang w:val="en-US"/>
              </w:rPr>
            </w:pPr>
            <w:r w:rsidRPr="00A27269">
              <w:rPr>
                <w:rFonts w:ascii="Arial Narrow" w:hAnsi="Arial Narrow" w:cs="Arial"/>
                <w:b/>
                <w:sz w:val="24"/>
                <w:szCs w:val="24"/>
                <w:lang w:val="en-US"/>
              </w:rPr>
              <w:t>Division of Court</w:t>
            </w:r>
            <w:r w:rsidRPr="00A27269">
              <w:rPr>
                <w:rFonts w:ascii="Arial Narrow" w:hAnsi="Arial Narrow" w:cs="Arial"/>
                <w:sz w:val="24"/>
                <w:szCs w:val="24"/>
                <w:lang w:val="en-US"/>
              </w:rPr>
              <w:t>:</w:t>
            </w:r>
          </w:p>
          <w:p w:rsidR="00A27269" w:rsidRDefault="00A27269" w:rsidP="00BA2C89">
            <w:pPr>
              <w:spacing w:line="360" w:lineRule="auto"/>
              <w:rPr>
                <w:rFonts w:ascii="Arial Narrow" w:hAnsi="Arial Narrow" w:cs="Arial"/>
                <w:sz w:val="24"/>
                <w:szCs w:val="24"/>
                <w:lang w:val="en-US"/>
              </w:rPr>
            </w:pPr>
            <w:r w:rsidRPr="00A27269">
              <w:rPr>
                <w:rFonts w:ascii="Arial Narrow" w:hAnsi="Arial Narrow" w:cs="Arial"/>
                <w:sz w:val="24"/>
                <w:szCs w:val="24"/>
                <w:lang w:val="en-US"/>
              </w:rPr>
              <w:t>High Court (Main Division)</w:t>
            </w:r>
          </w:p>
          <w:p w:rsidR="001B2C7B" w:rsidRPr="00A27269" w:rsidRDefault="001B2C7B" w:rsidP="00BA2C89">
            <w:pPr>
              <w:spacing w:line="360" w:lineRule="auto"/>
              <w:rPr>
                <w:rFonts w:ascii="Arial Narrow" w:hAnsi="Arial Narrow" w:cs="Arial"/>
                <w:sz w:val="24"/>
                <w:szCs w:val="24"/>
                <w:lang w:val="en-US"/>
              </w:rPr>
            </w:pPr>
          </w:p>
        </w:tc>
      </w:tr>
      <w:tr w:rsidR="00A27269" w:rsidRPr="002D4177" w:rsidTr="000A1962">
        <w:tc>
          <w:tcPr>
            <w:tcW w:w="4950" w:type="dxa"/>
            <w:vMerge w:val="restart"/>
          </w:tcPr>
          <w:p w:rsidR="00A27269" w:rsidRPr="00A27269" w:rsidRDefault="007A751A" w:rsidP="00BA2C89">
            <w:pPr>
              <w:spacing w:line="360" w:lineRule="auto"/>
              <w:rPr>
                <w:rFonts w:ascii="Arial Narrow" w:hAnsi="Arial Narrow" w:cs="Arial"/>
                <w:b/>
                <w:sz w:val="24"/>
                <w:szCs w:val="24"/>
                <w:lang w:val="en-US"/>
              </w:rPr>
            </w:pPr>
            <w:r>
              <w:rPr>
                <w:rFonts w:ascii="Arial Narrow" w:hAnsi="Arial Narrow" w:cs="Arial"/>
                <w:b/>
                <w:sz w:val="24"/>
                <w:szCs w:val="24"/>
                <w:lang w:val="en-US"/>
              </w:rPr>
              <w:t>Heard</w:t>
            </w:r>
            <w:r w:rsidR="00A27269" w:rsidRPr="00A27269">
              <w:rPr>
                <w:rFonts w:ascii="Arial Narrow" w:hAnsi="Arial Narrow" w:cs="Arial"/>
                <w:b/>
                <w:sz w:val="24"/>
                <w:szCs w:val="24"/>
                <w:lang w:val="en-US"/>
              </w:rPr>
              <w:t xml:space="preserve"> before:</w:t>
            </w:r>
          </w:p>
          <w:p w:rsidR="00A27269" w:rsidRPr="00A27269" w:rsidRDefault="00A27269" w:rsidP="00BA2C89">
            <w:pPr>
              <w:spacing w:line="360" w:lineRule="auto"/>
              <w:rPr>
                <w:rFonts w:ascii="Arial Narrow" w:hAnsi="Arial Narrow" w:cs="Arial"/>
                <w:sz w:val="24"/>
                <w:szCs w:val="24"/>
                <w:lang w:val="en-US"/>
              </w:rPr>
            </w:pPr>
            <w:proofErr w:type="spellStart"/>
            <w:r w:rsidRPr="00A27269">
              <w:rPr>
                <w:rFonts w:ascii="Arial Narrow" w:hAnsi="Arial Narrow" w:cs="Arial"/>
                <w:sz w:val="24"/>
                <w:szCs w:val="24"/>
                <w:lang w:val="en-US"/>
              </w:rPr>
              <w:t>Honourable</w:t>
            </w:r>
            <w:proofErr w:type="spellEnd"/>
            <w:r w:rsidRPr="00A27269">
              <w:rPr>
                <w:rFonts w:ascii="Arial Narrow" w:hAnsi="Arial Narrow" w:cs="Arial"/>
                <w:sz w:val="24"/>
                <w:szCs w:val="24"/>
                <w:lang w:val="en-US"/>
              </w:rPr>
              <w:t xml:space="preserve"> Justice </w:t>
            </w:r>
            <w:proofErr w:type="spellStart"/>
            <w:r w:rsidRPr="00A27269">
              <w:rPr>
                <w:rFonts w:ascii="Arial Narrow" w:hAnsi="Arial Narrow" w:cs="Arial"/>
                <w:sz w:val="24"/>
                <w:szCs w:val="24"/>
                <w:lang w:val="en-ZA"/>
              </w:rPr>
              <w:t>T</w:t>
            </w:r>
            <w:r w:rsidR="007A751A" w:rsidRPr="00A27269">
              <w:rPr>
                <w:rFonts w:ascii="Arial Narrow" w:hAnsi="Arial Narrow" w:cs="Arial"/>
                <w:sz w:val="24"/>
                <w:szCs w:val="24"/>
                <w:lang w:val="en-ZA"/>
              </w:rPr>
              <w:t>ommasi</w:t>
            </w:r>
            <w:proofErr w:type="spellEnd"/>
            <w:r w:rsidRPr="00A27269">
              <w:rPr>
                <w:rFonts w:ascii="Arial Narrow" w:hAnsi="Arial Narrow" w:cs="Arial"/>
                <w:sz w:val="24"/>
                <w:szCs w:val="24"/>
                <w:lang w:val="en-ZA"/>
              </w:rPr>
              <w:t xml:space="preserve"> J</w:t>
            </w:r>
          </w:p>
        </w:tc>
        <w:tc>
          <w:tcPr>
            <w:tcW w:w="5063" w:type="dxa"/>
          </w:tcPr>
          <w:p w:rsidR="00A27269" w:rsidRPr="00A27269" w:rsidRDefault="00A27269" w:rsidP="00BA2C89">
            <w:pPr>
              <w:spacing w:line="360" w:lineRule="auto"/>
              <w:rPr>
                <w:rFonts w:ascii="Arial Narrow" w:hAnsi="Arial Narrow" w:cs="Arial"/>
                <w:b/>
                <w:sz w:val="24"/>
                <w:szCs w:val="24"/>
                <w:lang w:val="en-US"/>
              </w:rPr>
            </w:pPr>
            <w:r w:rsidRPr="00A27269">
              <w:rPr>
                <w:rFonts w:ascii="Arial Narrow" w:hAnsi="Arial Narrow" w:cs="Arial"/>
                <w:b/>
                <w:sz w:val="24"/>
                <w:szCs w:val="24"/>
                <w:lang w:val="en-US"/>
              </w:rPr>
              <w:t>Date set for hearing:</w:t>
            </w:r>
          </w:p>
          <w:p w:rsidR="00A27269" w:rsidRPr="00A27269" w:rsidRDefault="00A27269" w:rsidP="00BA2C89">
            <w:pPr>
              <w:spacing w:line="360" w:lineRule="auto"/>
              <w:rPr>
                <w:rFonts w:ascii="Arial Narrow" w:hAnsi="Arial Narrow" w:cs="Arial"/>
                <w:sz w:val="24"/>
                <w:szCs w:val="24"/>
                <w:lang w:val="en-US"/>
              </w:rPr>
            </w:pPr>
            <w:r w:rsidRPr="00A27269">
              <w:rPr>
                <w:rFonts w:ascii="Arial Narrow" w:hAnsi="Arial Narrow" w:cs="Arial"/>
                <w:sz w:val="24"/>
                <w:szCs w:val="24"/>
                <w:lang w:val="en-US"/>
              </w:rPr>
              <w:t>Written agreement to have the matter determined on papers filed on: 12 May 2020</w:t>
            </w:r>
          </w:p>
        </w:tc>
      </w:tr>
      <w:tr w:rsidR="00A27269" w:rsidRPr="002D4177" w:rsidTr="000A1962">
        <w:trPr>
          <w:trHeight w:val="1187"/>
        </w:trPr>
        <w:tc>
          <w:tcPr>
            <w:tcW w:w="4950" w:type="dxa"/>
            <w:vMerge/>
          </w:tcPr>
          <w:p w:rsidR="00A27269" w:rsidRPr="00A27269" w:rsidRDefault="00A27269" w:rsidP="00BA2C89">
            <w:pPr>
              <w:rPr>
                <w:rFonts w:ascii="Arial Narrow" w:hAnsi="Arial Narrow" w:cs="Arial"/>
                <w:b/>
                <w:sz w:val="24"/>
                <w:szCs w:val="24"/>
                <w:lang w:val="en-US"/>
              </w:rPr>
            </w:pPr>
          </w:p>
        </w:tc>
        <w:tc>
          <w:tcPr>
            <w:tcW w:w="5063" w:type="dxa"/>
          </w:tcPr>
          <w:p w:rsidR="00A27269" w:rsidRPr="00A27269" w:rsidRDefault="00A27269" w:rsidP="00BA2C89">
            <w:pPr>
              <w:spacing w:line="360" w:lineRule="auto"/>
              <w:rPr>
                <w:rFonts w:ascii="Arial Narrow" w:hAnsi="Arial Narrow" w:cs="Arial"/>
                <w:b/>
                <w:sz w:val="24"/>
                <w:szCs w:val="24"/>
                <w:lang w:val="en-US"/>
              </w:rPr>
            </w:pPr>
            <w:r w:rsidRPr="00A27269">
              <w:rPr>
                <w:rFonts w:ascii="Arial Narrow" w:hAnsi="Arial Narrow" w:cs="Arial"/>
                <w:b/>
                <w:sz w:val="24"/>
                <w:szCs w:val="24"/>
                <w:lang w:val="en-US"/>
              </w:rPr>
              <w:t>Delivered on:</w:t>
            </w:r>
          </w:p>
          <w:p w:rsidR="004F228E" w:rsidRDefault="00A27269" w:rsidP="00BA2C89">
            <w:pPr>
              <w:spacing w:line="360" w:lineRule="auto"/>
              <w:rPr>
                <w:rFonts w:ascii="Arial Narrow" w:hAnsi="Arial Narrow" w:cs="Arial"/>
                <w:sz w:val="24"/>
                <w:szCs w:val="24"/>
                <w:lang w:val="en-ZA"/>
              </w:rPr>
            </w:pPr>
            <w:r w:rsidRPr="00A27269">
              <w:rPr>
                <w:rFonts w:ascii="Arial Narrow" w:hAnsi="Arial Narrow" w:cs="Arial"/>
                <w:sz w:val="24"/>
                <w:szCs w:val="24"/>
                <w:lang w:val="en-ZA"/>
              </w:rPr>
              <w:t>27 May 2020</w:t>
            </w:r>
          </w:p>
          <w:p w:rsidR="00347C67" w:rsidRDefault="00347C67" w:rsidP="00BA2C89">
            <w:pPr>
              <w:spacing w:line="360" w:lineRule="auto"/>
              <w:rPr>
                <w:rFonts w:ascii="Arial Narrow" w:hAnsi="Arial Narrow" w:cs="Arial"/>
                <w:sz w:val="24"/>
                <w:szCs w:val="24"/>
                <w:lang w:val="en-ZA"/>
              </w:rPr>
            </w:pPr>
          </w:p>
          <w:p w:rsidR="00347C67" w:rsidRPr="00347C67" w:rsidRDefault="00347C67" w:rsidP="00BA2C89">
            <w:pPr>
              <w:spacing w:line="360" w:lineRule="auto"/>
              <w:rPr>
                <w:rFonts w:ascii="Arial Narrow" w:hAnsi="Arial Narrow" w:cs="Arial"/>
                <w:b/>
                <w:sz w:val="24"/>
                <w:szCs w:val="24"/>
                <w:lang w:val="en-ZA"/>
              </w:rPr>
            </w:pPr>
            <w:r w:rsidRPr="00347C67">
              <w:rPr>
                <w:rFonts w:ascii="Arial Narrow" w:hAnsi="Arial Narrow" w:cs="Arial"/>
                <w:b/>
                <w:sz w:val="24"/>
                <w:szCs w:val="24"/>
                <w:lang w:val="en-ZA"/>
              </w:rPr>
              <w:t xml:space="preserve">Reasons Delivered: </w:t>
            </w:r>
          </w:p>
          <w:p w:rsidR="00347C67" w:rsidRPr="004F228E" w:rsidRDefault="00347C67" w:rsidP="00BA2C89">
            <w:pPr>
              <w:spacing w:line="360" w:lineRule="auto"/>
              <w:rPr>
                <w:rFonts w:ascii="Arial Narrow" w:hAnsi="Arial Narrow" w:cs="Arial"/>
                <w:sz w:val="24"/>
                <w:szCs w:val="24"/>
                <w:lang w:val="en-ZA"/>
              </w:rPr>
            </w:pPr>
            <w:r>
              <w:rPr>
                <w:rFonts w:ascii="Arial Narrow" w:hAnsi="Arial Narrow" w:cs="Arial"/>
                <w:sz w:val="24"/>
                <w:szCs w:val="24"/>
                <w:lang w:val="en-ZA"/>
              </w:rPr>
              <w:t>01 June 2020</w:t>
            </w:r>
          </w:p>
        </w:tc>
      </w:tr>
      <w:tr w:rsidR="00A27269" w:rsidRPr="002D4177" w:rsidTr="000A1962">
        <w:tc>
          <w:tcPr>
            <w:tcW w:w="10013" w:type="dxa"/>
            <w:gridSpan w:val="2"/>
          </w:tcPr>
          <w:p w:rsidR="00A27269" w:rsidRPr="00A27269" w:rsidRDefault="00A27269" w:rsidP="008C60F0">
            <w:pPr>
              <w:spacing w:line="360" w:lineRule="auto"/>
              <w:jc w:val="both"/>
              <w:rPr>
                <w:rFonts w:ascii="Arial Narrow" w:hAnsi="Arial Narrow" w:cs="Arial"/>
                <w:sz w:val="24"/>
                <w:szCs w:val="24"/>
                <w:lang w:val="en-US"/>
              </w:rPr>
            </w:pPr>
            <w:r w:rsidRPr="00A27269">
              <w:rPr>
                <w:rFonts w:ascii="Arial Narrow" w:hAnsi="Arial Narrow" w:cs="Arial"/>
                <w:b/>
                <w:sz w:val="24"/>
                <w:szCs w:val="24"/>
                <w:lang w:val="en-US"/>
              </w:rPr>
              <w:t xml:space="preserve">Neutral citation: </w:t>
            </w:r>
            <w:bookmarkStart w:id="0" w:name="_GoBack"/>
            <w:proofErr w:type="spellStart"/>
            <w:r w:rsidRPr="00A27269">
              <w:rPr>
                <w:rFonts w:ascii="Arial Narrow" w:hAnsi="Arial Narrow" w:cs="Arial"/>
                <w:i/>
                <w:sz w:val="24"/>
                <w:szCs w:val="24"/>
                <w:lang w:val="en-ZA"/>
              </w:rPr>
              <w:t>Kuisebmond</w:t>
            </w:r>
            <w:proofErr w:type="spellEnd"/>
            <w:r w:rsidRPr="00A27269">
              <w:rPr>
                <w:rFonts w:ascii="Arial Narrow" w:hAnsi="Arial Narrow" w:cs="Arial"/>
                <w:i/>
                <w:sz w:val="24"/>
                <w:szCs w:val="24"/>
                <w:lang w:val="en-ZA"/>
              </w:rPr>
              <w:t xml:space="preserve"> Community Housing Trust v </w:t>
            </w:r>
            <w:proofErr w:type="spellStart"/>
            <w:r w:rsidRPr="00A27269">
              <w:rPr>
                <w:rFonts w:ascii="Arial Narrow" w:hAnsi="Arial Narrow" w:cs="Arial"/>
                <w:i/>
                <w:sz w:val="24"/>
                <w:szCs w:val="24"/>
                <w:lang w:val="en-ZA"/>
              </w:rPr>
              <w:t>Ndjekela</w:t>
            </w:r>
            <w:proofErr w:type="spellEnd"/>
            <w:r w:rsidRPr="00A27269">
              <w:rPr>
                <w:rFonts w:ascii="Arial Narrow" w:hAnsi="Arial Narrow" w:cs="Arial"/>
                <w:i/>
                <w:sz w:val="24"/>
                <w:szCs w:val="24"/>
                <w:lang w:val="en-ZA"/>
              </w:rPr>
              <w:t xml:space="preserve"> </w:t>
            </w:r>
            <w:r w:rsidR="00E25E34">
              <w:rPr>
                <w:rFonts w:ascii="Arial Narrow" w:hAnsi="Arial Narrow" w:cs="Arial"/>
                <w:i/>
                <w:sz w:val="24"/>
                <w:szCs w:val="24"/>
                <w:lang w:val="en-ZA"/>
              </w:rPr>
              <w:t>(</w:t>
            </w:r>
            <w:r w:rsidRPr="00181307">
              <w:rPr>
                <w:rFonts w:ascii="Arial Narrow" w:hAnsi="Arial Narrow" w:cs="Arial"/>
                <w:sz w:val="24"/>
                <w:szCs w:val="24"/>
                <w:lang w:val="en-ZA"/>
              </w:rPr>
              <w:t>HC</w:t>
            </w:r>
            <w:r w:rsidR="001B2C7B">
              <w:rPr>
                <w:rFonts w:ascii="Arial Narrow" w:hAnsi="Arial Narrow" w:cs="Arial"/>
                <w:sz w:val="24"/>
                <w:szCs w:val="24"/>
                <w:lang w:val="en-ZA"/>
              </w:rPr>
              <w:t>-MD-CIV-ACT-DEL-2018/01526</w:t>
            </w:r>
            <w:r w:rsidR="00E25E34">
              <w:rPr>
                <w:rFonts w:ascii="Arial Narrow" w:hAnsi="Arial Narrow" w:cs="Arial"/>
                <w:sz w:val="24"/>
                <w:szCs w:val="24"/>
                <w:lang w:val="en-ZA"/>
              </w:rPr>
              <w:t>)</w:t>
            </w:r>
            <w:r w:rsidR="001B2C7B">
              <w:rPr>
                <w:rFonts w:ascii="Arial Narrow" w:hAnsi="Arial Narrow" w:cs="Arial"/>
                <w:sz w:val="24"/>
                <w:szCs w:val="24"/>
                <w:lang w:val="en-ZA"/>
              </w:rPr>
              <w:t xml:space="preserve"> [2020</w:t>
            </w:r>
            <w:r w:rsidRPr="00181307">
              <w:rPr>
                <w:rFonts w:ascii="Arial Narrow" w:hAnsi="Arial Narrow" w:cs="Arial"/>
                <w:sz w:val="24"/>
                <w:szCs w:val="24"/>
                <w:lang w:val="en-ZA"/>
              </w:rPr>
              <w:t xml:space="preserve">] NAHCMD </w:t>
            </w:r>
            <w:r w:rsidR="008C60F0">
              <w:rPr>
                <w:rFonts w:ascii="Arial Narrow" w:hAnsi="Arial Narrow" w:cs="Arial"/>
                <w:sz w:val="24"/>
                <w:szCs w:val="24"/>
                <w:lang w:val="en-ZA"/>
              </w:rPr>
              <w:t>209</w:t>
            </w:r>
            <w:r w:rsidRPr="002933D5">
              <w:rPr>
                <w:rFonts w:ascii="Arial Narrow" w:hAnsi="Arial Narrow" w:cs="Arial"/>
                <w:color w:val="FF0000"/>
                <w:sz w:val="24"/>
                <w:szCs w:val="24"/>
                <w:lang w:val="en-ZA"/>
              </w:rPr>
              <w:t xml:space="preserve"> </w:t>
            </w:r>
            <w:r w:rsidR="00E25E34">
              <w:rPr>
                <w:rFonts w:ascii="Arial Narrow" w:hAnsi="Arial Narrow" w:cs="Arial"/>
                <w:sz w:val="24"/>
                <w:szCs w:val="24"/>
                <w:lang w:val="en-ZA"/>
              </w:rPr>
              <w:t>(</w:t>
            </w:r>
            <w:r w:rsidR="00347C67">
              <w:rPr>
                <w:rFonts w:ascii="Arial Narrow" w:hAnsi="Arial Narrow" w:cs="Arial"/>
                <w:sz w:val="24"/>
                <w:szCs w:val="24"/>
                <w:lang w:val="en-ZA"/>
              </w:rPr>
              <w:t>1 June</w:t>
            </w:r>
            <w:r w:rsidRPr="00181307">
              <w:rPr>
                <w:rFonts w:ascii="Arial Narrow" w:hAnsi="Arial Narrow" w:cs="Arial"/>
                <w:sz w:val="24"/>
                <w:szCs w:val="24"/>
                <w:lang w:val="en-ZA"/>
              </w:rPr>
              <w:t xml:space="preserve"> 2020)</w:t>
            </w:r>
            <w:bookmarkEnd w:id="0"/>
          </w:p>
        </w:tc>
      </w:tr>
      <w:tr w:rsidR="00A27269" w:rsidRPr="002D4177" w:rsidTr="000A1962">
        <w:tc>
          <w:tcPr>
            <w:tcW w:w="10013" w:type="dxa"/>
            <w:gridSpan w:val="2"/>
          </w:tcPr>
          <w:p w:rsidR="00A27269" w:rsidRPr="007A751A" w:rsidRDefault="00A27269" w:rsidP="00BA2C89">
            <w:pPr>
              <w:spacing w:line="360" w:lineRule="auto"/>
              <w:rPr>
                <w:rFonts w:ascii="Arial Narrow" w:hAnsi="Arial Narrow" w:cs="Arial"/>
                <w:b/>
                <w:sz w:val="24"/>
                <w:szCs w:val="24"/>
                <w:lang w:val="en-US"/>
              </w:rPr>
            </w:pPr>
          </w:p>
          <w:p w:rsidR="00A27269" w:rsidRPr="00A27269" w:rsidRDefault="00A27269" w:rsidP="00BA2C89">
            <w:pPr>
              <w:tabs>
                <w:tab w:val="left" w:pos="687"/>
              </w:tabs>
              <w:spacing w:line="360" w:lineRule="auto"/>
              <w:rPr>
                <w:rFonts w:ascii="Arial Narrow" w:hAnsi="Arial Narrow" w:cs="Arial"/>
                <w:b/>
                <w:sz w:val="24"/>
                <w:szCs w:val="24"/>
                <w:lang w:val="en-US"/>
              </w:rPr>
            </w:pPr>
            <w:r w:rsidRPr="00A27269">
              <w:rPr>
                <w:rFonts w:ascii="Arial Narrow" w:hAnsi="Arial Narrow" w:cs="Arial"/>
                <w:b/>
                <w:sz w:val="24"/>
                <w:szCs w:val="24"/>
                <w:lang w:val="en-US"/>
              </w:rPr>
              <w:t>The Order:</w:t>
            </w:r>
          </w:p>
          <w:p w:rsidR="00A27269" w:rsidRPr="00A27269" w:rsidRDefault="00A27269" w:rsidP="00BA2C89">
            <w:pPr>
              <w:spacing w:line="360" w:lineRule="auto"/>
              <w:jc w:val="both"/>
              <w:rPr>
                <w:rFonts w:ascii="Arial Narrow" w:hAnsi="Arial Narrow" w:cs="Arial"/>
                <w:sz w:val="24"/>
                <w:szCs w:val="24"/>
                <w:lang w:val="en-US"/>
              </w:rPr>
            </w:pPr>
            <w:r w:rsidRPr="00A27269">
              <w:rPr>
                <w:rFonts w:ascii="Arial Narrow" w:hAnsi="Arial Narrow" w:cs="Arial"/>
                <w:sz w:val="24"/>
                <w:szCs w:val="24"/>
                <w:lang w:val="en-US"/>
              </w:rPr>
              <w:t>Having read and considered heads of argument filed by both parties and having read the pleadings and other documents filed of record:</w:t>
            </w:r>
          </w:p>
          <w:p w:rsidR="00A27269" w:rsidRPr="007A751A" w:rsidRDefault="00A27269" w:rsidP="00BA2C89">
            <w:pPr>
              <w:jc w:val="both"/>
              <w:rPr>
                <w:rFonts w:ascii="Arial Narrow" w:hAnsi="Arial Narrow" w:cs="Arial"/>
                <w:sz w:val="24"/>
                <w:szCs w:val="24"/>
                <w:lang w:val="en-US"/>
              </w:rPr>
            </w:pPr>
          </w:p>
          <w:p w:rsidR="00A27269" w:rsidRPr="00A27269" w:rsidRDefault="00A27269" w:rsidP="00BA2C89">
            <w:pPr>
              <w:spacing w:line="360" w:lineRule="auto"/>
              <w:jc w:val="both"/>
              <w:rPr>
                <w:rFonts w:ascii="Arial Narrow" w:hAnsi="Arial Narrow" w:cs="Arial"/>
                <w:b/>
                <w:sz w:val="24"/>
                <w:szCs w:val="24"/>
                <w:lang w:val="en-US"/>
              </w:rPr>
            </w:pPr>
            <w:r w:rsidRPr="00A27269">
              <w:rPr>
                <w:rFonts w:ascii="Arial Narrow" w:hAnsi="Arial Narrow" w:cs="Arial"/>
                <w:b/>
                <w:sz w:val="24"/>
                <w:szCs w:val="24"/>
                <w:lang w:val="en-US"/>
              </w:rPr>
              <w:t>IT IS ORDERED THAT:</w:t>
            </w:r>
          </w:p>
          <w:p w:rsidR="006C5A87" w:rsidRDefault="006C5A87" w:rsidP="006C5A87">
            <w:pPr>
              <w:numPr>
                <w:ilvl w:val="0"/>
                <w:numId w:val="4"/>
              </w:numPr>
              <w:tabs>
                <w:tab w:val="left" w:pos="432"/>
              </w:tabs>
              <w:spacing w:line="360" w:lineRule="auto"/>
              <w:jc w:val="both"/>
              <w:rPr>
                <w:rFonts w:ascii="Arial Narrow" w:hAnsi="Arial Narrow" w:cs="Arial"/>
                <w:sz w:val="24"/>
                <w:szCs w:val="24"/>
                <w:lang w:val="en-ZA"/>
              </w:rPr>
            </w:pPr>
            <w:r>
              <w:rPr>
                <w:rFonts w:ascii="Arial Narrow" w:hAnsi="Arial Narrow" w:cs="Arial"/>
                <w:sz w:val="24"/>
                <w:szCs w:val="24"/>
                <w:lang w:val="en-ZA"/>
              </w:rPr>
              <w:t xml:space="preserve">Plaintiff is given a </w:t>
            </w:r>
            <w:r w:rsidRPr="00551B6D">
              <w:rPr>
                <w:rFonts w:ascii="Arial Narrow" w:hAnsi="Arial Narrow" w:cs="Arial"/>
                <w:sz w:val="24"/>
                <w:szCs w:val="24"/>
                <w:lang w:val="en-ZA"/>
              </w:rPr>
              <w:t xml:space="preserve">final opportunity to deliver the documents </w:t>
            </w:r>
            <w:r>
              <w:rPr>
                <w:rFonts w:ascii="Arial Narrow" w:hAnsi="Arial Narrow" w:cs="Arial"/>
                <w:sz w:val="24"/>
                <w:szCs w:val="24"/>
                <w:lang w:val="en-ZA"/>
              </w:rPr>
              <w:t xml:space="preserve">listed in defendant’s form 11 </w:t>
            </w:r>
            <w:r w:rsidRPr="00551B6D">
              <w:rPr>
                <w:rFonts w:ascii="Arial Narrow" w:hAnsi="Arial Narrow" w:cs="Arial"/>
                <w:sz w:val="24"/>
                <w:szCs w:val="24"/>
                <w:lang w:val="en-ZA"/>
              </w:rPr>
              <w:t>to the defe</w:t>
            </w:r>
            <w:r>
              <w:rPr>
                <w:rFonts w:ascii="Arial Narrow" w:hAnsi="Arial Narrow" w:cs="Arial"/>
                <w:sz w:val="24"/>
                <w:szCs w:val="24"/>
                <w:lang w:val="en-ZA"/>
              </w:rPr>
              <w:t xml:space="preserve">ndant on or before 12 June 2020 </w:t>
            </w:r>
            <w:r w:rsidRPr="00551B6D">
              <w:rPr>
                <w:rFonts w:ascii="Arial Narrow" w:hAnsi="Arial Narrow" w:cs="Arial"/>
                <w:sz w:val="24"/>
                <w:szCs w:val="24"/>
                <w:lang w:val="en-ZA"/>
              </w:rPr>
              <w:t>or state on oath or by affirmation within 10 days of th</w:t>
            </w:r>
            <w:r>
              <w:rPr>
                <w:rFonts w:ascii="Arial Narrow" w:hAnsi="Arial Narrow" w:cs="Arial"/>
                <w:sz w:val="24"/>
                <w:szCs w:val="24"/>
                <w:lang w:val="en-ZA"/>
              </w:rPr>
              <w:t xml:space="preserve">is </w:t>
            </w:r>
            <w:r w:rsidRPr="00551B6D">
              <w:rPr>
                <w:rFonts w:ascii="Arial Narrow" w:hAnsi="Arial Narrow" w:cs="Arial"/>
                <w:sz w:val="24"/>
                <w:szCs w:val="24"/>
                <w:lang w:val="en-ZA"/>
              </w:rPr>
              <w:t xml:space="preserve">order that such documents, are not in his or its possession, in which case the plaintiff must state </w:t>
            </w:r>
            <w:r w:rsidR="00451DEF">
              <w:rPr>
                <w:rFonts w:ascii="Arial Narrow" w:hAnsi="Arial Narrow" w:cs="Arial"/>
                <w:sz w:val="24"/>
                <w:szCs w:val="24"/>
                <w:lang w:val="en-ZA"/>
              </w:rPr>
              <w:t>its</w:t>
            </w:r>
            <w:r w:rsidRPr="00551B6D">
              <w:rPr>
                <w:rFonts w:ascii="Arial Narrow" w:hAnsi="Arial Narrow" w:cs="Arial"/>
                <w:sz w:val="24"/>
                <w:szCs w:val="24"/>
                <w:lang w:val="en-ZA"/>
              </w:rPr>
              <w:t xml:space="preserve"> whereabouts, if known. Failure to do so will result in this court dismissing plaintiff’s claim in terms of Rule 28 (13)</w:t>
            </w:r>
            <w:r>
              <w:rPr>
                <w:rFonts w:ascii="Arial Narrow" w:hAnsi="Arial Narrow" w:cs="Arial"/>
                <w:sz w:val="24"/>
                <w:szCs w:val="24"/>
                <w:lang w:val="en-ZA"/>
              </w:rPr>
              <w:t>.</w:t>
            </w:r>
          </w:p>
          <w:p w:rsidR="006C5A87" w:rsidRPr="00451DEF" w:rsidRDefault="006C5A87" w:rsidP="004250DC">
            <w:pPr>
              <w:pStyle w:val="ListParagraph"/>
              <w:numPr>
                <w:ilvl w:val="0"/>
                <w:numId w:val="4"/>
              </w:numPr>
              <w:tabs>
                <w:tab w:val="left" w:pos="432"/>
              </w:tabs>
              <w:spacing w:before="240" w:line="360" w:lineRule="auto"/>
              <w:jc w:val="both"/>
              <w:rPr>
                <w:rFonts w:ascii="Arial Narrow" w:hAnsi="Arial Narrow" w:cs="Arial"/>
                <w:sz w:val="24"/>
                <w:szCs w:val="24"/>
              </w:rPr>
            </w:pPr>
            <w:r w:rsidRPr="00451DEF">
              <w:rPr>
                <w:rFonts w:ascii="Arial Narrow" w:eastAsia="Times New Roman" w:hAnsi="Arial Narrow" w:cs="Arial"/>
                <w:spacing w:val="-3"/>
                <w:sz w:val="24"/>
                <w:szCs w:val="24"/>
              </w:rPr>
              <w:lastRenderedPageBreak/>
              <w:t xml:space="preserve">The plaintiff </w:t>
            </w:r>
            <w:r w:rsidR="009879E8">
              <w:rPr>
                <w:rFonts w:ascii="Arial Narrow" w:eastAsia="Times New Roman" w:hAnsi="Arial Narrow" w:cs="Arial"/>
                <w:spacing w:val="-3"/>
                <w:sz w:val="24"/>
                <w:szCs w:val="24"/>
              </w:rPr>
              <w:t xml:space="preserve">in </w:t>
            </w:r>
            <w:r w:rsidR="00451DEF">
              <w:rPr>
                <w:rFonts w:ascii="Arial Narrow" w:hAnsi="Arial Narrow" w:cs="Arial"/>
                <w:sz w:val="24"/>
                <w:szCs w:val="24"/>
              </w:rPr>
              <w:t xml:space="preserve">his capacity as a Trustee of </w:t>
            </w:r>
            <w:proofErr w:type="spellStart"/>
            <w:r w:rsidR="00451DEF">
              <w:rPr>
                <w:rFonts w:ascii="Arial Narrow" w:hAnsi="Arial Narrow" w:cs="Arial"/>
                <w:sz w:val="24"/>
                <w:szCs w:val="24"/>
              </w:rPr>
              <w:t>Kuisebmund</w:t>
            </w:r>
            <w:proofErr w:type="spellEnd"/>
            <w:r w:rsidR="00451DEF">
              <w:rPr>
                <w:rFonts w:ascii="Arial Narrow" w:hAnsi="Arial Narrow" w:cs="Arial"/>
                <w:sz w:val="24"/>
                <w:szCs w:val="24"/>
              </w:rPr>
              <w:t xml:space="preserve"> Community Housing Trust</w:t>
            </w:r>
            <w:r w:rsidR="009879E8">
              <w:rPr>
                <w:rFonts w:ascii="Arial Narrow" w:hAnsi="Arial Narrow" w:cs="Arial"/>
                <w:sz w:val="24"/>
                <w:szCs w:val="24"/>
              </w:rPr>
              <w:t>,</w:t>
            </w:r>
            <w:r w:rsidR="00451DEF" w:rsidRPr="00451DEF">
              <w:rPr>
                <w:rFonts w:ascii="Arial Narrow" w:eastAsia="Times New Roman" w:hAnsi="Arial Narrow" w:cs="Arial"/>
                <w:spacing w:val="-3"/>
                <w:sz w:val="24"/>
                <w:szCs w:val="24"/>
              </w:rPr>
              <w:t xml:space="preserve"> </w:t>
            </w:r>
            <w:r w:rsidRPr="00451DEF">
              <w:rPr>
                <w:rFonts w:ascii="Arial Narrow" w:eastAsia="Times New Roman" w:hAnsi="Arial Narrow" w:cs="Arial"/>
                <w:spacing w:val="-3"/>
                <w:sz w:val="24"/>
                <w:szCs w:val="24"/>
              </w:rPr>
              <w:t>is ordered to pay the defendant’s costs</w:t>
            </w:r>
            <w:r w:rsidR="00451DEF" w:rsidRPr="00451DEF">
              <w:rPr>
                <w:rFonts w:ascii="Arial Narrow" w:eastAsia="Times New Roman" w:hAnsi="Arial Narrow" w:cs="Arial"/>
                <w:spacing w:val="-3"/>
                <w:sz w:val="24"/>
                <w:szCs w:val="24"/>
              </w:rPr>
              <w:t xml:space="preserve"> incurred in respect of the sanctions hearing</w:t>
            </w:r>
            <w:r w:rsidRPr="00451DEF">
              <w:rPr>
                <w:rFonts w:ascii="Arial Narrow" w:eastAsia="Times New Roman" w:hAnsi="Arial Narrow" w:cs="Arial"/>
                <w:spacing w:val="-3"/>
                <w:sz w:val="24"/>
                <w:szCs w:val="24"/>
              </w:rPr>
              <w:t xml:space="preserve">, </w:t>
            </w:r>
            <w:r w:rsidRPr="00451DEF">
              <w:rPr>
                <w:rFonts w:ascii="Arial Narrow" w:eastAsia="Times New Roman" w:hAnsi="Arial Narrow" w:cs="Arial"/>
                <w:spacing w:val="-3"/>
                <w:sz w:val="24"/>
                <w:szCs w:val="24"/>
                <w:lang w:val="en-US"/>
              </w:rPr>
              <w:t>unlimited and on an attorney client scale</w:t>
            </w:r>
            <w:r w:rsidR="00451DEF" w:rsidRPr="00451DEF">
              <w:rPr>
                <w:rFonts w:ascii="Arial Narrow" w:eastAsia="Times New Roman" w:hAnsi="Arial Narrow" w:cs="Arial"/>
                <w:spacing w:val="-3"/>
                <w:sz w:val="24"/>
                <w:szCs w:val="24"/>
              </w:rPr>
              <w:t>,</w:t>
            </w:r>
            <w:r w:rsidR="00451DEF" w:rsidRPr="00451DEF">
              <w:rPr>
                <w:rFonts w:ascii="Arial Narrow" w:hAnsi="Arial Narrow" w:cs="Arial"/>
                <w:sz w:val="24"/>
                <w:szCs w:val="24"/>
                <w:lang w:val="en-US"/>
              </w:rPr>
              <w:t xml:space="preserve"> such costs to include the costs of one instructing and one instructed counsel.</w:t>
            </w:r>
          </w:p>
          <w:p w:rsidR="006C5A87" w:rsidRPr="00551B6D" w:rsidRDefault="006C5A87" w:rsidP="006C5A87">
            <w:pPr>
              <w:pStyle w:val="ListParagraph"/>
              <w:numPr>
                <w:ilvl w:val="0"/>
                <w:numId w:val="4"/>
              </w:numPr>
              <w:rPr>
                <w:rFonts w:ascii="Arial Narrow" w:hAnsi="Arial Narrow" w:cs="Arial"/>
                <w:sz w:val="24"/>
                <w:szCs w:val="24"/>
                <w:lang w:val="en-US"/>
              </w:rPr>
            </w:pPr>
            <w:r>
              <w:rPr>
                <w:rFonts w:ascii="Arial Narrow" w:hAnsi="Arial Narrow" w:cs="Arial"/>
                <w:sz w:val="24"/>
                <w:szCs w:val="24"/>
              </w:rPr>
              <w:t>The matter is postponed to 17 June 2020 for a Status hearing.</w:t>
            </w:r>
          </w:p>
          <w:p w:rsidR="00A27269" w:rsidRPr="007A751A" w:rsidRDefault="00A27269" w:rsidP="00BA2C89">
            <w:pPr>
              <w:tabs>
                <w:tab w:val="left" w:pos="432"/>
              </w:tabs>
              <w:spacing w:line="360" w:lineRule="auto"/>
              <w:jc w:val="both"/>
              <w:rPr>
                <w:rFonts w:ascii="Arial Narrow" w:hAnsi="Arial Narrow" w:cs="Arial"/>
                <w:sz w:val="24"/>
                <w:szCs w:val="24"/>
                <w:lang w:val="en-US"/>
              </w:rPr>
            </w:pPr>
          </w:p>
        </w:tc>
      </w:tr>
      <w:tr w:rsidR="00A27269" w:rsidRPr="002D4177" w:rsidTr="000A1962">
        <w:tc>
          <w:tcPr>
            <w:tcW w:w="10013" w:type="dxa"/>
            <w:gridSpan w:val="2"/>
          </w:tcPr>
          <w:p w:rsidR="00A27269" w:rsidRDefault="00A27269" w:rsidP="00BA2C89">
            <w:pPr>
              <w:jc w:val="center"/>
              <w:rPr>
                <w:rFonts w:ascii="Arial" w:hAnsi="Arial" w:cs="Arial"/>
                <w:b/>
                <w:sz w:val="24"/>
                <w:szCs w:val="24"/>
                <w:lang w:val="en-US"/>
              </w:rPr>
            </w:pPr>
            <w:r>
              <w:rPr>
                <w:rFonts w:ascii="Arial" w:hAnsi="Arial" w:cs="Arial"/>
                <w:b/>
                <w:sz w:val="24"/>
                <w:szCs w:val="24"/>
                <w:lang w:val="en-US"/>
              </w:rPr>
              <w:lastRenderedPageBreak/>
              <w:t>Reasons for orders</w:t>
            </w:r>
          </w:p>
          <w:p w:rsidR="00A27269" w:rsidRPr="007A751A" w:rsidRDefault="00A27269" w:rsidP="00A27269">
            <w:pPr>
              <w:jc w:val="center"/>
              <w:rPr>
                <w:rFonts w:ascii="Arial Narrow" w:hAnsi="Arial Narrow" w:cs="Arial"/>
                <w:b/>
                <w:sz w:val="24"/>
                <w:szCs w:val="24"/>
                <w:lang w:val="en-US"/>
              </w:rPr>
            </w:pPr>
          </w:p>
        </w:tc>
      </w:tr>
      <w:tr w:rsidR="00A27269" w:rsidRPr="002D4177" w:rsidTr="000A1962">
        <w:tc>
          <w:tcPr>
            <w:tcW w:w="10013" w:type="dxa"/>
            <w:gridSpan w:val="2"/>
            <w:shd w:val="clear" w:color="auto" w:fill="auto"/>
          </w:tcPr>
          <w:p w:rsidR="00A27269" w:rsidRPr="007A751A" w:rsidRDefault="00A27269" w:rsidP="00BA2C89">
            <w:pPr>
              <w:jc w:val="both"/>
              <w:rPr>
                <w:rFonts w:ascii="Arial Narrow" w:hAnsi="Arial Narrow" w:cs="Arial"/>
                <w:sz w:val="24"/>
                <w:szCs w:val="24"/>
                <w:u w:val="single"/>
                <w:lang w:val="en-US"/>
              </w:rPr>
            </w:pPr>
          </w:p>
          <w:p w:rsidR="00A27269" w:rsidRPr="00480FB7" w:rsidRDefault="00A27269" w:rsidP="00BA2C89">
            <w:pPr>
              <w:tabs>
                <w:tab w:val="left" w:pos="702"/>
              </w:tabs>
              <w:spacing w:line="360" w:lineRule="auto"/>
              <w:jc w:val="both"/>
              <w:rPr>
                <w:rFonts w:ascii="Arial Narrow" w:hAnsi="Arial Narrow" w:cs="Arial"/>
                <w:sz w:val="24"/>
                <w:szCs w:val="24"/>
                <w:u w:val="single"/>
                <w:lang w:val="en-US"/>
              </w:rPr>
            </w:pPr>
            <w:r w:rsidRPr="00480FB7">
              <w:rPr>
                <w:rFonts w:ascii="Arial Narrow" w:hAnsi="Arial Narrow" w:cs="Arial"/>
                <w:sz w:val="24"/>
                <w:szCs w:val="24"/>
                <w:u w:val="single"/>
                <w:lang w:val="en-US"/>
              </w:rPr>
              <w:t>Introduction</w:t>
            </w:r>
          </w:p>
          <w:p w:rsidR="00A27269" w:rsidRPr="00480FB7" w:rsidRDefault="00A27269" w:rsidP="00BA2C89">
            <w:pPr>
              <w:jc w:val="both"/>
              <w:rPr>
                <w:rFonts w:ascii="Arial Narrow" w:hAnsi="Arial Narrow" w:cs="Arial"/>
                <w:sz w:val="24"/>
                <w:szCs w:val="24"/>
                <w:lang w:val="en-US"/>
              </w:rPr>
            </w:pPr>
          </w:p>
          <w:p w:rsidR="00E03137" w:rsidRDefault="00A27269" w:rsidP="00BA2C89">
            <w:pPr>
              <w:tabs>
                <w:tab w:val="left" w:pos="927"/>
              </w:tabs>
              <w:spacing w:line="360" w:lineRule="auto"/>
              <w:jc w:val="both"/>
              <w:rPr>
                <w:rFonts w:ascii="Arial Narrow" w:hAnsi="Arial Narrow" w:cs="Arial"/>
                <w:sz w:val="24"/>
                <w:szCs w:val="24"/>
                <w:lang w:val="en-ZA"/>
              </w:rPr>
            </w:pPr>
            <w:r w:rsidRPr="00480FB7">
              <w:rPr>
                <w:rFonts w:ascii="Arial Narrow" w:hAnsi="Arial Narrow" w:cs="Arial"/>
                <w:sz w:val="24"/>
                <w:szCs w:val="24"/>
                <w:lang w:val="en-US"/>
              </w:rPr>
              <w:t>[1]</w:t>
            </w:r>
            <w:r w:rsidRPr="00480FB7">
              <w:rPr>
                <w:rFonts w:ascii="Arial Narrow" w:hAnsi="Arial Narrow" w:cs="Arial"/>
                <w:sz w:val="24"/>
                <w:szCs w:val="24"/>
                <w:lang w:val="en-US"/>
              </w:rPr>
              <w:tab/>
            </w:r>
            <w:r w:rsidR="006C5A87">
              <w:rPr>
                <w:rFonts w:ascii="Arial Narrow" w:hAnsi="Arial Narrow" w:cs="Arial"/>
                <w:sz w:val="24"/>
                <w:szCs w:val="24"/>
                <w:lang w:val="en-ZA"/>
              </w:rPr>
              <w:t>The plaintiff</w:t>
            </w:r>
            <w:r w:rsidR="001B12D4">
              <w:rPr>
                <w:rFonts w:ascii="Arial Narrow" w:hAnsi="Arial Narrow" w:cs="Arial"/>
                <w:sz w:val="24"/>
                <w:szCs w:val="24"/>
                <w:lang w:val="en-ZA"/>
              </w:rPr>
              <w:t xml:space="preserve">, in his capacity as a Trustee of </w:t>
            </w:r>
            <w:proofErr w:type="spellStart"/>
            <w:r w:rsidR="001B12D4">
              <w:rPr>
                <w:rFonts w:ascii="Arial Narrow" w:hAnsi="Arial Narrow" w:cs="Arial"/>
                <w:sz w:val="24"/>
                <w:szCs w:val="24"/>
                <w:lang w:val="en-ZA"/>
              </w:rPr>
              <w:t>Kuis</w:t>
            </w:r>
            <w:r w:rsidR="00677513">
              <w:rPr>
                <w:rFonts w:ascii="Arial Narrow" w:hAnsi="Arial Narrow" w:cs="Arial"/>
                <w:sz w:val="24"/>
                <w:szCs w:val="24"/>
                <w:lang w:val="en-ZA"/>
              </w:rPr>
              <w:t>ebmund</w:t>
            </w:r>
            <w:proofErr w:type="spellEnd"/>
            <w:r w:rsidR="00677513">
              <w:rPr>
                <w:rFonts w:ascii="Arial Narrow" w:hAnsi="Arial Narrow" w:cs="Arial"/>
                <w:sz w:val="24"/>
                <w:szCs w:val="24"/>
                <w:lang w:val="en-ZA"/>
              </w:rPr>
              <w:t xml:space="preserve"> Community Housing Trust </w:t>
            </w:r>
            <w:r w:rsidR="006C5A87">
              <w:rPr>
                <w:rFonts w:ascii="Arial Narrow" w:hAnsi="Arial Narrow" w:cs="Arial"/>
                <w:sz w:val="24"/>
                <w:szCs w:val="24"/>
                <w:lang w:val="en-ZA"/>
              </w:rPr>
              <w:t>instituted a claim against the defendant for the payment of the amount of N$333</w:t>
            </w:r>
            <w:r w:rsidR="008B0DC7">
              <w:rPr>
                <w:rFonts w:ascii="Arial Narrow" w:hAnsi="Arial Narrow" w:cs="Arial"/>
                <w:sz w:val="24"/>
                <w:szCs w:val="24"/>
                <w:lang w:val="en-ZA"/>
              </w:rPr>
              <w:t>.</w:t>
            </w:r>
            <w:r w:rsidR="006C5A87">
              <w:rPr>
                <w:rFonts w:ascii="Arial Narrow" w:hAnsi="Arial Narrow" w:cs="Arial"/>
                <w:sz w:val="24"/>
                <w:szCs w:val="24"/>
                <w:lang w:val="en-ZA"/>
              </w:rPr>
              <w:t>170</w:t>
            </w:r>
            <w:r w:rsidR="00677513">
              <w:rPr>
                <w:rFonts w:ascii="Arial Narrow" w:hAnsi="Arial Narrow" w:cs="Arial"/>
                <w:sz w:val="24"/>
                <w:szCs w:val="24"/>
                <w:lang w:val="en-ZA"/>
              </w:rPr>
              <w:t>.</w:t>
            </w:r>
            <w:r w:rsidR="008B0DC7">
              <w:rPr>
                <w:rFonts w:ascii="Arial Narrow" w:hAnsi="Arial Narrow" w:cs="Arial"/>
                <w:sz w:val="24"/>
                <w:szCs w:val="24"/>
                <w:lang w:val="en-ZA"/>
              </w:rPr>
              <w:t>00.</w:t>
            </w:r>
            <w:r w:rsidR="00677513">
              <w:rPr>
                <w:rFonts w:ascii="Arial Narrow" w:hAnsi="Arial Narrow" w:cs="Arial"/>
                <w:sz w:val="24"/>
                <w:szCs w:val="24"/>
                <w:lang w:val="en-ZA"/>
              </w:rPr>
              <w:t xml:space="preserve"> It is averred that this amount was </w:t>
            </w:r>
            <w:r w:rsidR="006C5A87">
              <w:rPr>
                <w:rFonts w:ascii="Arial Narrow" w:hAnsi="Arial Narrow" w:cs="Arial"/>
                <w:sz w:val="24"/>
                <w:szCs w:val="24"/>
                <w:lang w:val="en-ZA"/>
              </w:rPr>
              <w:t xml:space="preserve">collected by the defendant on behalf of </w:t>
            </w:r>
            <w:r w:rsidR="00677513">
              <w:rPr>
                <w:rFonts w:ascii="Arial Narrow" w:hAnsi="Arial Narrow" w:cs="Arial"/>
                <w:sz w:val="24"/>
                <w:szCs w:val="24"/>
                <w:lang w:val="en-ZA"/>
              </w:rPr>
              <w:t>p</w:t>
            </w:r>
            <w:r w:rsidR="006C5A87">
              <w:rPr>
                <w:rFonts w:ascii="Arial Narrow" w:hAnsi="Arial Narrow" w:cs="Arial"/>
                <w:sz w:val="24"/>
                <w:szCs w:val="24"/>
                <w:lang w:val="en-ZA"/>
              </w:rPr>
              <w:t xml:space="preserve">laintiff from third parties during 2009 to 2017. The plaintiff claims that the defendant failed to account for the monies received and failed to </w:t>
            </w:r>
            <w:r w:rsidR="00677513">
              <w:rPr>
                <w:rFonts w:ascii="Arial Narrow" w:hAnsi="Arial Narrow" w:cs="Arial"/>
                <w:sz w:val="24"/>
                <w:szCs w:val="24"/>
                <w:lang w:val="en-ZA"/>
              </w:rPr>
              <w:t xml:space="preserve">hand the money </w:t>
            </w:r>
            <w:r w:rsidR="006C5A87">
              <w:rPr>
                <w:rFonts w:ascii="Arial Narrow" w:hAnsi="Arial Narrow" w:cs="Arial"/>
                <w:sz w:val="24"/>
                <w:szCs w:val="24"/>
                <w:lang w:val="en-ZA"/>
              </w:rPr>
              <w:t xml:space="preserve">to the </w:t>
            </w:r>
            <w:r w:rsidR="00677513">
              <w:rPr>
                <w:rFonts w:ascii="Arial Narrow" w:hAnsi="Arial Narrow" w:cs="Arial"/>
                <w:sz w:val="24"/>
                <w:szCs w:val="24"/>
                <w:lang w:val="en-ZA"/>
              </w:rPr>
              <w:t>Trust</w:t>
            </w:r>
            <w:r w:rsidR="006C5A87">
              <w:rPr>
                <w:rFonts w:ascii="Arial Narrow" w:hAnsi="Arial Narrow" w:cs="Arial"/>
                <w:sz w:val="24"/>
                <w:szCs w:val="24"/>
                <w:lang w:val="en-ZA"/>
              </w:rPr>
              <w:t xml:space="preserve">. </w:t>
            </w:r>
          </w:p>
          <w:p w:rsidR="00E03137" w:rsidRDefault="00E03137" w:rsidP="00BA2C89">
            <w:pPr>
              <w:tabs>
                <w:tab w:val="left" w:pos="927"/>
              </w:tabs>
              <w:spacing w:line="360" w:lineRule="auto"/>
              <w:jc w:val="both"/>
              <w:rPr>
                <w:rFonts w:ascii="Arial Narrow" w:hAnsi="Arial Narrow" w:cs="Arial"/>
                <w:sz w:val="24"/>
                <w:szCs w:val="24"/>
                <w:lang w:val="en-ZA"/>
              </w:rPr>
            </w:pPr>
          </w:p>
          <w:p w:rsidR="00E03137" w:rsidRDefault="00E03137" w:rsidP="00BA2C89">
            <w:pPr>
              <w:tabs>
                <w:tab w:val="left" w:pos="927"/>
              </w:tabs>
              <w:spacing w:line="360" w:lineRule="auto"/>
              <w:jc w:val="both"/>
              <w:rPr>
                <w:rFonts w:ascii="Arial Narrow" w:hAnsi="Arial Narrow" w:cs="Arial"/>
                <w:sz w:val="24"/>
                <w:szCs w:val="24"/>
                <w:lang w:val="en-ZA"/>
              </w:rPr>
            </w:pPr>
            <w:r>
              <w:rPr>
                <w:rFonts w:ascii="Arial Narrow" w:hAnsi="Arial Narrow" w:cs="Arial"/>
                <w:sz w:val="24"/>
                <w:szCs w:val="24"/>
                <w:lang w:val="en-ZA"/>
              </w:rPr>
              <w:t xml:space="preserve">[2]       </w:t>
            </w:r>
            <w:r w:rsidR="006C5A87">
              <w:rPr>
                <w:rFonts w:ascii="Arial Narrow" w:hAnsi="Arial Narrow" w:cs="Arial"/>
                <w:sz w:val="24"/>
                <w:szCs w:val="24"/>
                <w:lang w:val="en-ZA"/>
              </w:rPr>
              <w:t xml:space="preserve">The defendant </w:t>
            </w:r>
            <w:r w:rsidR="001B12D4">
              <w:rPr>
                <w:rFonts w:ascii="Arial Narrow" w:hAnsi="Arial Narrow" w:cs="Arial"/>
                <w:sz w:val="24"/>
                <w:szCs w:val="24"/>
                <w:lang w:val="en-ZA"/>
              </w:rPr>
              <w:t>raised two special pleas namely</w:t>
            </w:r>
            <w:r w:rsidR="008B0DC7">
              <w:rPr>
                <w:rFonts w:ascii="Arial Narrow" w:hAnsi="Arial Narrow" w:cs="Arial"/>
                <w:sz w:val="24"/>
                <w:szCs w:val="24"/>
                <w:lang w:val="en-ZA"/>
              </w:rPr>
              <w:t>,</w:t>
            </w:r>
            <w:r>
              <w:rPr>
                <w:rFonts w:ascii="Arial Narrow" w:hAnsi="Arial Narrow" w:cs="Arial"/>
                <w:sz w:val="24"/>
                <w:szCs w:val="24"/>
                <w:lang w:val="en-ZA"/>
              </w:rPr>
              <w:t xml:space="preserve"> </w:t>
            </w:r>
            <w:r w:rsidR="001B12D4" w:rsidRPr="008B0DC7">
              <w:rPr>
                <w:rFonts w:ascii="Arial Narrow" w:hAnsi="Arial Narrow" w:cs="Arial"/>
                <w:sz w:val="24"/>
                <w:szCs w:val="24"/>
                <w:lang w:val="en-ZA"/>
              </w:rPr>
              <w:t>locus standi</w:t>
            </w:r>
            <w:r>
              <w:rPr>
                <w:rFonts w:ascii="Arial Narrow" w:hAnsi="Arial Narrow" w:cs="Arial"/>
                <w:sz w:val="24"/>
                <w:szCs w:val="24"/>
                <w:lang w:val="en-ZA"/>
              </w:rPr>
              <w:t xml:space="preserve"> and prescription. T</w:t>
            </w:r>
            <w:r w:rsidR="001B12D4">
              <w:rPr>
                <w:rFonts w:ascii="Arial Narrow" w:hAnsi="Arial Narrow" w:cs="Arial"/>
                <w:sz w:val="24"/>
                <w:szCs w:val="24"/>
                <w:lang w:val="en-ZA"/>
              </w:rPr>
              <w:t>he defendant</w:t>
            </w:r>
            <w:r>
              <w:rPr>
                <w:rFonts w:ascii="Arial Narrow" w:hAnsi="Arial Narrow" w:cs="Arial"/>
                <w:sz w:val="24"/>
                <w:szCs w:val="24"/>
                <w:lang w:val="en-ZA"/>
              </w:rPr>
              <w:t xml:space="preserve"> admits having received monies on behalf of the tru</w:t>
            </w:r>
            <w:r w:rsidR="00677513">
              <w:rPr>
                <w:rFonts w:ascii="Arial Narrow" w:hAnsi="Arial Narrow" w:cs="Arial"/>
                <w:sz w:val="24"/>
                <w:szCs w:val="24"/>
                <w:lang w:val="en-ZA"/>
              </w:rPr>
              <w:t xml:space="preserve">st but denies that same were not handed to the Trust. The defendant pleaded that she handed the money </w:t>
            </w:r>
            <w:r>
              <w:rPr>
                <w:rFonts w:ascii="Arial Narrow" w:hAnsi="Arial Narrow" w:cs="Arial"/>
                <w:sz w:val="24"/>
                <w:szCs w:val="24"/>
                <w:lang w:val="en-ZA"/>
              </w:rPr>
              <w:t>to the plaintiff</w:t>
            </w:r>
            <w:r w:rsidR="001B12D4">
              <w:rPr>
                <w:rFonts w:ascii="Arial Narrow" w:hAnsi="Arial Narrow" w:cs="Arial"/>
                <w:sz w:val="24"/>
                <w:szCs w:val="24"/>
                <w:lang w:val="en-ZA"/>
              </w:rPr>
              <w:t xml:space="preserve">, other trustees, employees </w:t>
            </w:r>
            <w:r>
              <w:rPr>
                <w:rFonts w:ascii="Arial Narrow" w:hAnsi="Arial Narrow" w:cs="Arial"/>
                <w:sz w:val="24"/>
                <w:szCs w:val="24"/>
                <w:lang w:val="en-ZA"/>
              </w:rPr>
              <w:t xml:space="preserve">of the trust and </w:t>
            </w:r>
            <w:r w:rsidR="001B12D4">
              <w:rPr>
                <w:rFonts w:ascii="Arial Narrow" w:hAnsi="Arial Narrow" w:cs="Arial"/>
                <w:sz w:val="24"/>
                <w:szCs w:val="24"/>
                <w:lang w:val="en-ZA"/>
              </w:rPr>
              <w:t>family members of the trustees</w:t>
            </w:r>
            <w:r>
              <w:rPr>
                <w:rFonts w:ascii="Arial Narrow" w:hAnsi="Arial Narrow" w:cs="Arial"/>
                <w:sz w:val="24"/>
                <w:szCs w:val="24"/>
                <w:lang w:val="en-ZA"/>
              </w:rPr>
              <w:t xml:space="preserve"> authorised to receive same. Defendant specifically pleaded that she requires to further inspect documents which plaintiff must discover. </w:t>
            </w:r>
          </w:p>
          <w:p w:rsidR="00E03137" w:rsidRDefault="00E03137" w:rsidP="00BA2C89">
            <w:pPr>
              <w:tabs>
                <w:tab w:val="left" w:pos="927"/>
              </w:tabs>
              <w:spacing w:line="360" w:lineRule="auto"/>
              <w:jc w:val="both"/>
              <w:rPr>
                <w:rFonts w:ascii="Arial Narrow" w:hAnsi="Arial Narrow" w:cs="Arial"/>
                <w:sz w:val="24"/>
                <w:szCs w:val="24"/>
                <w:lang w:val="en-ZA"/>
              </w:rPr>
            </w:pPr>
          </w:p>
          <w:p w:rsidR="00681042" w:rsidRDefault="00A27269" w:rsidP="00BA2C89">
            <w:pPr>
              <w:tabs>
                <w:tab w:val="left" w:pos="927"/>
              </w:tabs>
              <w:spacing w:line="360" w:lineRule="auto"/>
              <w:jc w:val="both"/>
              <w:rPr>
                <w:rFonts w:ascii="Arial Narrow" w:hAnsi="Arial Narrow" w:cs="Arial"/>
                <w:sz w:val="24"/>
                <w:szCs w:val="24"/>
                <w:lang w:val="en-US"/>
              </w:rPr>
            </w:pPr>
            <w:r w:rsidRPr="00480FB7">
              <w:rPr>
                <w:rFonts w:ascii="Arial Narrow" w:hAnsi="Arial Narrow" w:cs="Arial"/>
                <w:sz w:val="24"/>
                <w:szCs w:val="24"/>
                <w:lang w:val="en-US"/>
              </w:rPr>
              <w:t>[</w:t>
            </w:r>
            <w:r w:rsidR="009879E8">
              <w:rPr>
                <w:rFonts w:ascii="Arial Narrow" w:hAnsi="Arial Narrow" w:cs="Arial"/>
                <w:sz w:val="24"/>
                <w:szCs w:val="24"/>
                <w:lang w:val="en-US"/>
              </w:rPr>
              <w:t>3</w:t>
            </w:r>
            <w:r w:rsidRPr="00480FB7">
              <w:rPr>
                <w:rFonts w:ascii="Arial Narrow" w:hAnsi="Arial Narrow" w:cs="Arial"/>
                <w:sz w:val="24"/>
                <w:szCs w:val="24"/>
                <w:lang w:val="en-US"/>
              </w:rPr>
              <w:t>]</w:t>
            </w:r>
            <w:r w:rsidRPr="00480FB7">
              <w:rPr>
                <w:rFonts w:ascii="Arial Narrow" w:hAnsi="Arial Narrow" w:cs="Arial"/>
                <w:sz w:val="24"/>
                <w:szCs w:val="24"/>
                <w:lang w:val="en-US"/>
              </w:rPr>
              <w:tab/>
              <w:t>This court on 31 July 2018 issued a case plan ordering the parties to discover on or before 16 October 2018. The defend</w:t>
            </w:r>
            <w:r w:rsidR="00D64B1D">
              <w:rPr>
                <w:rFonts w:ascii="Arial Narrow" w:hAnsi="Arial Narrow" w:cs="Arial"/>
                <w:sz w:val="24"/>
                <w:szCs w:val="24"/>
                <w:lang w:val="en-US"/>
              </w:rPr>
              <w:t>ant complied with the case plan. On 3 October 2018, before the date discovery became due</w:t>
            </w:r>
            <w:r w:rsidR="00677513">
              <w:rPr>
                <w:rFonts w:ascii="Arial Narrow" w:hAnsi="Arial Narrow" w:cs="Arial"/>
                <w:sz w:val="24"/>
                <w:szCs w:val="24"/>
                <w:lang w:val="en-US"/>
              </w:rPr>
              <w:t>,</w:t>
            </w:r>
            <w:r w:rsidR="00D64B1D">
              <w:rPr>
                <w:rFonts w:ascii="Arial Narrow" w:hAnsi="Arial Narrow" w:cs="Arial"/>
                <w:sz w:val="24"/>
                <w:szCs w:val="24"/>
                <w:lang w:val="en-US"/>
              </w:rPr>
              <w:t xml:space="preserve"> the </w:t>
            </w:r>
            <w:r w:rsidR="00677513">
              <w:rPr>
                <w:rFonts w:ascii="Arial Narrow" w:hAnsi="Arial Narrow" w:cs="Arial"/>
                <w:sz w:val="24"/>
                <w:szCs w:val="24"/>
                <w:lang w:val="en-US"/>
              </w:rPr>
              <w:t>plaintiff’s legal p</w:t>
            </w:r>
            <w:r w:rsidR="00D64B1D">
              <w:rPr>
                <w:rFonts w:ascii="Arial Narrow" w:hAnsi="Arial Narrow" w:cs="Arial"/>
                <w:sz w:val="24"/>
                <w:szCs w:val="24"/>
                <w:lang w:val="en-US"/>
              </w:rPr>
              <w:t>ractitioner withdrew</w:t>
            </w:r>
            <w:r w:rsidR="00677513">
              <w:rPr>
                <w:rFonts w:ascii="Arial Narrow" w:hAnsi="Arial Narrow" w:cs="Arial"/>
                <w:sz w:val="24"/>
                <w:szCs w:val="24"/>
                <w:lang w:val="en-US"/>
              </w:rPr>
              <w:t>.</w:t>
            </w:r>
            <w:r w:rsidR="00D64B1D">
              <w:rPr>
                <w:rFonts w:ascii="Arial Narrow" w:hAnsi="Arial Narrow" w:cs="Arial"/>
                <w:sz w:val="24"/>
                <w:szCs w:val="24"/>
                <w:lang w:val="en-US"/>
              </w:rPr>
              <w:t xml:space="preserve"> </w:t>
            </w:r>
            <w:r w:rsidR="00677513">
              <w:rPr>
                <w:rFonts w:ascii="Arial Narrow" w:hAnsi="Arial Narrow" w:cs="Arial"/>
                <w:sz w:val="24"/>
                <w:szCs w:val="24"/>
                <w:lang w:val="en-US"/>
              </w:rPr>
              <w:t>Th</w:t>
            </w:r>
            <w:r w:rsidR="00536AD8">
              <w:rPr>
                <w:rFonts w:ascii="Arial Narrow" w:hAnsi="Arial Narrow" w:cs="Arial"/>
                <w:sz w:val="24"/>
                <w:szCs w:val="24"/>
                <w:lang w:val="en-US"/>
              </w:rPr>
              <w:t xml:space="preserve">e </w:t>
            </w:r>
            <w:r w:rsidR="00677513">
              <w:rPr>
                <w:rFonts w:ascii="Arial Narrow" w:hAnsi="Arial Narrow" w:cs="Arial"/>
                <w:sz w:val="24"/>
                <w:szCs w:val="24"/>
                <w:lang w:val="en-US"/>
              </w:rPr>
              <w:t>return of s</w:t>
            </w:r>
            <w:r w:rsidR="00536AD8">
              <w:rPr>
                <w:rFonts w:ascii="Arial Narrow" w:hAnsi="Arial Narrow" w:cs="Arial"/>
                <w:sz w:val="24"/>
                <w:szCs w:val="24"/>
                <w:lang w:val="en-US"/>
              </w:rPr>
              <w:t xml:space="preserve">ervice </w:t>
            </w:r>
            <w:r w:rsidR="00677513">
              <w:rPr>
                <w:rFonts w:ascii="Arial Narrow" w:hAnsi="Arial Narrow" w:cs="Arial"/>
                <w:sz w:val="24"/>
                <w:szCs w:val="24"/>
                <w:lang w:val="en-US"/>
              </w:rPr>
              <w:t xml:space="preserve">reflects that </w:t>
            </w:r>
            <w:r w:rsidR="00536AD8">
              <w:rPr>
                <w:rFonts w:ascii="Arial Narrow" w:hAnsi="Arial Narrow" w:cs="Arial"/>
                <w:sz w:val="24"/>
                <w:szCs w:val="24"/>
                <w:lang w:val="en-US"/>
              </w:rPr>
              <w:t>t</w:t>
            </w:r>
            <w:r w:rsidR="00D64B1D">
              <w:rPr>
                <w:rFonts w:ascii="Arial Narrow" w:hAnsi="Arial Narrow" w:cs="Arial"/>
                <w:sz w:val="24"/>
                <w:szCs w:val="24"/>
                <w:lang w:val="en-US"/>
              </w:rPr>
              <w:t xml:space="preserve">his </w:t>
            </w:r>
            <w:r w:rsidR="00677513">
              <w:rPr>
                <w:rFonts w:ascii="Arial Narrow" w:hAnsi="Arial Narrow" w:cs="Arial"/>
                <w:sz w:val="24"/>
                <w:szCs w:val="24"/>
                <w:lang w:val="en-US"/>
              </w:rPr>
              <w:t>n</w:t>
            </w:r>
            <w:r w:rsidR="00D64B1D">
              <w:rPr>
                <w:rFonts w:ascii="Arial Narrow" w:hAnsi="Arial Narrow" w:cs="Arial"/>
                <w:sz w:val="24"/>
                <w:szCs w:val="24"/>
                <w:lang w:val="en-US"/>
              </w:rPr>
              <w:t xml:space="preserve">otice was served on </w:t>
            </w:r>
            <w:proofErr w:type="spellStart"/>
            <w:r w:rsidR="00D64B1D">
              <w:rPr>
                <w:rFonts w:ascii="Arial Narrow" w:hAnsi="Arial Narrow" w:cs="Arial"/>
                <w:sz w:val="24"/>
                <w:szCs w:val="24"/>
                <w:lang w:val="en-US"/>
              </w:rPr>
              <w:t>Mr</w:t>
            </w:r>
            <w:proofErr w:type="spellEnd"/>
            <w:r w:rsidR="00D64B1D">
              <w:rPr>
                <w:rFonts w:ascii="Arial Narrow" w:hAnsi="Arial Narrow" w:cs="Arial"/>
                <w:sz w:val="24"/>
                <w:szCs w:val="24"/>
                <w:lang w:val="en-US"/>
              </w:rPr>
              <w:t xml:space="preserve"> Elias </w:t>
            </w:r>
            <w:proofErr w:type="spellStart"/>
            <w:r w:rsidR="00D64B1D">
              <w:rPr>
                <w:rFonts w:ascii="Arial Narrow" w:hAnsi="Arial Narrow" w:cs="Arial"/>
                <w:sz w:val="24"/>
                <w:szCs w:val="24"/>
                <w:lang w:val="en-US"/>
              </w:rPr>
              <w:t>Mutilifa</w:t>
            </w:r>
            <w:proofErr w:type="spellEnd"/>
            <w:r w:rsidR="00677513">
              <w:rPr>
                <w:rFonts w:ascii="Arial Narrow" w:hAnsi="Arial Narrow" w:cs="Arial"/>
                <w:sz w:val="24"/>
                <w:szCs w:val="24"/>
                <w:lang w:val="en-US"/>
              </w:rPr>
              <w:t xml:space="preserve"> (plaintiff)</w:t>
            </w:r>
            <w:r w:rsidR="00D64B1D">
              <w:rPr>
                <w:rFonts w:ascii="Arial Narrow" w:hAnsi="Arial Narrow" w:cs="Arial"/>
                <w:sz w:val="24"/>
                <w:szCs w:val="24"/>
                <w:lang w:val="en-US"/>
              </w:rPr>
              <w:t xml:space="preserve"> on 20 September 2018. No discovery affidavit was filed on or before 16 October 2018. The previous managing judge ordered the plaintiff to be present at the proceedings on </w:t>
            </w:r>
            <w:r w:rsidR="00536AD8">
              <w:rPr>
                <w:rFonts w:ascii="Arial Narrow" w:hAnsi="Arial Narrow" w:cs="Arial"/>
                <w:sz w:val="24"/>
                <w:szCs w:val="24"/>
                <w:lang w:val="en-US"/>
              </w:rPr>
              <w:t xml:space="preserve">6 </w:t>
            </w:r>
            <w:r w:rsidR="00D64B1D">
              <w:rPr>
                <w:rFonts w:ascii="Arial Narrow" w:hAnsi="Arial Narrow" w:cs="Arial"/>
                <w:sz w:val="24"/>
                <w:szCs w:val="24"/>
                <w:lang w:val="en-US"/>
              </w:rPr>
              <w:t>February 2019. I became the managing judge and issued a similarly worded order, directing the plaintiff to appear on 24 April 2019. The plaintiff instructed the current legal practitioners of record</w:t>
            </w:r>
            <w:r w:rsidR="00677513">
              <w:rPr>
                <w:rFonts w:ascii="Arial Narrow" w:hAnsi="Arial Narrow" w:cs="Arial"/>
                <w:sz w:val="24"/>
                <w:szCs w:val="24"/>
                <w:lang w:val="en-US"/>
              </w:rPr>
              <w:t xml:space="preserve"> who came on record and </w:t>
            </w:r>
            <w:r w:rsidR="008B0DC7">
              <w:rPr>
                <w:rFonts w:ascii="Arial Narrow" w:hAnsi="Arial Narrow" w:cs="Arial"/>
                <w:sz w:val="24"/>
                <w:szCs w:val="24"/>
                <w:lang w:val="en-US"/>
              </w:rPr>
              <w:t xml:space="preserve">filed </w:t>
            </w:r>
            <w:r w:rsidR="00677513">
              <w:rPr>
                <w:rFonts w:ascii="Arial Narrow" w:hAnsi="Arial Narrow" w:cs="Arial"/>
                <w:sz w:val="24"/>
                <w:szCs w:val="24"/>
                <w:lang w:val="en-US"/>
              </w:rPr>
              <w:t>an affidavit of the plaintiff to explain the delay in pursuing the claim</w:t>
            </w:r>
            <w:r w:rsidR="00D64B1D">
              <w:rPr>
                <w:rFonts w:ascii="Arial Narrow" w:hAnsi="Arial Narrow" w:cs="Arial"/>
                <w:sz w:val="24"/>
                <w:szCs w:val="24"/>
                <w:lang w:val="en-US"/>
              </w:rPr>
              <w:t xml:space="preserve">. </w:t>
            </w:r>
            <w:proofErr w:type="spellStart"/>
            <w:r w:rsidR="00536AD8">
              <w:rPr>
                <w:rFonts w:ascii="Arial Narrow" w:hAnsi="Arial Narrow" w:cs="Arial"/>
                <w:sz w:val="24"/>
                <w:szCs w:val="24"/>
                <w:lang w:val="en-US"/>
              </w:rPr>
              <w:t>Mr</w:t>
            </w:r>
            <w:proofErr w:type="spellEnd"/>
            <w:r w:rsidR="00536AD8">
              <w:rPr>
                <w:rFonts w:ascii="Arial Narrow" w:hAnsi="Arial Narrow" w:cs="Arial"/>
                <w:sz w:val="24"/>
                <w:szCs w:val="24"/>
                <w:lang w:val="en-US"/>
              </w:rPr>
              <w:t xml:space="preserve"> </w:t>
            </w:r>
            <w:proofErr w:type="spellStart"/>
            <w:r w:rsidR="00536AD8">
              <w:rPr>
                <w:rFonts w:ascii="Arial Narrow" w:hAnsi="Arial Narrow" w:cs="Arial"/>
                <w:sz w:val="24"/>
                <w:szCs w:val="24"/>
                <w:lang w:val="en-US"/>
              </w:rPr>
              <w:t>Mutilifa</w:t>
            </w:r>
            <w:proofErr w:type="spellEnd"/>
            <w:r w:rsidR="00536AD8">
              <w:rPr>
                <w:rFonts w:ascii="Arial Narrow" w:hAnsi="Arial Narrow" w:cs="Arial"/>
                <w:sz w:val="24"/>
                <w:szCs w:val="24"/>
                <w:lang w:val="en-US"/>
              </w:rPr>
              <w:t xml:space="preserve"> </w:t>
            </w:r>
            <w:r w:rsidR="00677513">
              <w:rPr>
                <w:rFonts w:ascii="Arial Narrow" w:hAnsi="Arial Narrow" w:cs="Arial"/>
                <w:sz w:val="24"/>
                <w:szCs w:val="24"/>
                <w:lang w:val="en-US"/>
              </w:rPr>
              <w:t>e</w:t>
            </w:r>
            <w:r w:rsidR="00536AD8">
              <w:rPr>
                <w:rFonts w:ascii="Arial Narrow" w:hAnsi="Arial Narrow" w:cs="Arial"/>
                <w:sz w:val="24"/>
                <w:szCs w:val="24"/>
                <w:lang w:val="en-US"/>
              </w:rPr>
              <w:t xml:space="preserve">xplained that he received the Notice of Withdrawal from his secretary on 29 November 2018 and that he did not understand the full import thereof. </w:t>
            </w:r>
          </w:p>
          <w:p w:rsidR="00677513" w:rsidRDefault="00677513" w:rsidP="00BA2C89">
            <w:pPr>
              <w:tabs>
                <w:tab w:val="left" w:pos="927"/>
              </w:tabs>
              <w:spacing w:line="360" w:lineRule="auto"/>
              <w:jc w:val="both"/>
              <w:rPr>
                <w:rFonts w:ascii="Arial Narrow" w:hAnsi="Arial Narrow" w:cs="Arial"/>
                <w:sz w:val="24"/>
                <w:szCs w:val="24"/>
                <w:lang w:val="en-US"/>
              </w:rPr>
            </w:pPr>
          </w:p>
          <w:p w:rsidR="00A27269" w:rsidRPr="00480FB7" w:rsidRDefault="00681042" w:rsidP="004E7123">
            <w:pPr>
              <w:spacing w:line="360" w:lineRule="auto"/>
              <w:ind w:left="5" w:hanging="5"/>
              <w:jc w:val="both"/>
              <w:rPr>
                <w:rFonts w:ascii="Arial Narrow" w:hAnsi="Arial Narrow" w:cs="Arial"/>
                <w:sz w:val="24"/>
                <w:szCs w:val="24"/>
                <w:lang w:val="en-US"/>
              </w:rPr>
            </w:pPr>
            <w:r>
              <w:rPr>
                <w:rFonts w:ascii="Arial Narrow" w:hAnsi="Arial Narrow" w:cs="Arial"/>
                <w:sz w:val="24"/>
                <w:szCs w:val="24"/>
                <w:lang w:val="en-US"/>
              </w:rPr>
              <w:t>[</w:t>
            </w:r>
            <w:r w:rsidR="009879E8">
              <w:rPr>
                <w:rFonts w:ascii="Arial Narrow" w:hAnsi="Arial Narrow" w:cs="Arial"/>
                <w:sz w:val="24"/>
                <w:szCs w:val="24"/>
                <w:lang w:val="en-US"/>
              </w:rPr>
              <w:t>4</w:t>
            </w:r>
            <w:r>
              <w:rPr>
                <w:rFonts w:ascii="Arial Narrow" w:hAnsi="Arial Narrow" w:cs="Arial"/>
                <w:sz w:val="24"/>
                <w:szCs w:val="24"/>
                <w:lang w:val="en-US"/>
              </w:rPr>
              <w:t xml:space="preserve">]             The </w:t>
            </w:r>
            <w:r w:rsidR="00677513">
              <w:rPr>
                <w:rFonts w:ascii="Arial Narrow" w:hAnsi="Arial Narrow" w:cs="Arial"/>
                <w:sz w:val="24"/>
                <w:szCs w:val="24"/>
                <w:lang w:val="en-US"/>
              </w:rPr>
              <w:t xml:space="preserve">court </w:t>
            </w:r>
            <w:r>
              <w:rPr>
                <w:rFonts w:ascii="Arial Narrow" w:hAnsi="Arial Narrow" w:cs="Arial"/>
                <w:sz w:val="24"/>
                <w:szCs w:val="24"/>
                <w:lang w:val="en-US"/>
              </w:rPr>
              <w:t>o</w:t>
            </w:r>
            <w:r w:rsidR="004E7123">
              <w:rPr>
                <w:rFonts w:ascii="Arial Narrow" w:hAnsi="Arial Narrow" w:cs="Arial"/>
                <w:sz w:val="24"/>
                <w:szCs w:val="24"/>
                <w:lang w:val="en-US"/>
              </w:rPr>
              <w:t>n 11 June 2019</w:t>
            </w:r>
            <w:r w:rsidR="00A27269" w:rsidRPr="00480FB7">
              <w:rPr>
                <w:rFonts w:ascii="Arial Narrow" w:hAnsi="Arial Narrow" w:cs="Arial"/>
                <w:sz w:val="24"/>
                <w:szCs w:val="24"/>
                <w:lang w:val="en-US"/>
              </w:rPr>
              <w:t xml:space="preserve"> ordered the plaintiff to file its discovery on or before 21 June 2019.</w:t>
            </w:r>
          </w:p>
          <w:p w:rsidR="00A27269" w:rsidRPr="00480FB7" w:rsidRDefault="00A27269" w:rsidP="00BA2C89">
            <w:pPr>
              <w:tabs>
                <w:tab w:val="left" w:pos="927"/>
              </w:tabs>
              <w:spacing w:line="360" w:lineRule="auto"/>
              <w:jc w:val="both"/>
              <w:rPr>
                <w:rFonts w:ascii="Arial Narrow" w:hAnsi="Arial Narrow" w:cs="Arial"/>
                <w:sz w:val="24"/>
                <w:szCs w:val="24"/>
                <w:lang w:val="en-US"/>
              </w:rPr>
            </w:pPr>
          </w:p>
          <w:p w:rsidR="006C526C" w:rsidRDefault="00A27269" w:rsidP="00BA2C89">
            <w:pPr>
              <w:tabs>
                <w:tab w:val="left" w:pos="927"/>
              </w:tabs>
              <w:spacing w:line="360" w:lineRule="auto"/>
              <w:jc w:val="both"/>
              <w:rPr>
                <w:rFonts w:ascii="Arial Narrow" w:hAnsi="Arial Narrow" w:cs="Arial"/>
                <w:sz w:val="24"/>
                <w:szCs w:val="24"/>
                <w:lang w:val="en-US"/>
              </w:rPr>
            </w:pPr>
            <w:r w:rsidRPr="00480FB7">
              <w:rPr>
                <w:rFonts w:ascii="Arial Narrow" w:hAnsi="Arial Narrow" w:cs="Arial"/>
                <w:sz w:val="24"/>
                <w:szCs w:val="24"/>
                <w:lang w:val="en-US"/>
              </w:rPr>
              <w:t>[</w:t>
            </w:r>
            <w:r w:rsidR="009879E8">
              <w:rPr>
                <w:rFonts w:ascii="Arial Narrow" w:hAnsi="Arial Narrow" w:cs="Arial"/>
                <w:sz w:val="24"/>
                <w:szCs w:val="24"/>
                <w:lang w:val="en-US"/>
              </w:rPr>
              <w:t>5</w:t>
            </w:r>
            <w:r w:rsidRPr="00480FB7">
              <w:rPr>
                <w:rFonts w:ascii="Arial Narrow" w:hAnsi="Arial Narrow" w:cs="Arial"/>
                <w:sz w:val="24"/>
                <w:szCs w:val="24"/>
                <w:lang w:val="en-US"/>
              </w:rPr>
              <w:t xml:space="preserve">] </w:t>
            </w:r>
            <w:r w:rsidR="00181307" w:rsidRPr="00480FB7">
              <w:rPr>
                <w:rFonts w:ascii="Arial Narrow" w:hAnsi="Arial Narrow" w:cs="Arial"/>
                <w:sz w:val="24"/>
                <w:szCs w:val="24"/>
                <w:lang w:val="en-US"/>
              </w:rPr>
              <w:t xml:space="preserve">          </w:t>
            </w:r>
            <w:r w:rsidR="00677513">
              <w:rPr>
                <w:rFonts w:ascii="Arial Narrow" w:hAnsi="Arial Narrow" w:cs="Arial"/>
                <w:sz w:val="24"/>
                <w:szCs w:val="24"/>
                <w:lang w:val="en-US"/>
              </w:rPr>
              <w:t>On 21 June 2019</w:t>
            </w:r>
            <w:r w:rsidR="00181307" w:rsidRPr="00480FB7">
              <w:rPr>
                <w:rFonts w:ascii="Arial Narrow" w:hAnsi="Arial Narrow" w:cs="Arial"/>
                <w:sz w:val="24"/>
                <w:szCs w:val="24"/>
                <w:lang w:val="en-US"/>
              </w:rPr>
              <w:t xml:space="preserve"> the plai</w:t>
            </w:r>
            <w:r w:rsidR="00681042">
              <w:rPr>
                <w:rFonts w:ascii="Arial Narrow" w:hAnsi="Arial Narrow" w:cs="Arial"/>
                <w:sz w:val="24"/>
                <w:szCs w:val="24"/>
                <w:lang w:val="en-US"/>
              </w:rPr>
              <w:t xml:space="preserve">ntiff filed </w:t>
            </w:r>
            <w:r w:rsidR="004E7123">
              <w:rPr>
                <w:rFonts w:ascii="Arial Narrow" w:hAnsi="Arial Narrow" w:cs="Arial"/>
                <w:sz w:val="24"/>
                <w:szCs w:val="24"/>
                <w:lang w:val="en-US"/>
              </w:rPr>
              <w:t xml:space="preserve">its </w:t>
            </w:r>
            <w:r w:rsidR="00681042">
              <w:rPr>
                <w:rFonts w:ascii="Arial Narrow" w:hAnsi="Arial Narrow" w:cs="Arial"/>
                <w:sz w:val="24"/>
                <w:szCs w:val="24"/>
                <w:lang w:val="en-US"/>
              </w:rPr>
              <w:t xml:space="preserve">discovery affidavit. </w:t>
            </w:r>
            <w:r w:rsidR="000455B3">
              <w:rPr>
                <w:rFonts w:ascii="Arial Narrow" w:hAnsi="Arial Narrow" w:cs="Arial"/>
                <w:sz w:val="24"/>
                <w:szCs w:val="24"/>
                <w:lang w:val="en-US"/>
              </w:rPr>
              <w:t xml:space="preserve">The plaintiff discovered a list of receipts, missing receipts and receipt cash books for the years 2009 to 2015 (duplicates) </w:t>
            </w:r>
          </w:p>
          <w:p w:rsidR="006C526C" w:rsidRDefault="006C526C" w:rsidP="00BA2C89">
            <w:pPr>
              <w:tabs>
                <w:tab w:val="left" w:pos="927"/>
              </w:tabs>
              <w:spacing w:line="360" w:lineRule="auto"/>
              <w:jc w:val="both"/>
              <w:rPr>
                <w:rFonts w:ascii="Arial Narrow" w:hAnsi="Arial Narrow" w:cs="Arial"/>
                <w:sz w:val="24"/>
                <w:szCs w:val="24"/>
                <w:lang w:val="en-US"/>
              </w:rPr>
            </w:pPr>
          </w:p>
          <w:p w:rsidR="00280B4E" w:rsidRDefault="000455B3" w:rsidP="00BA2C89">
            <w:pPr>
              <w:tabs>
                <w:tab w:val="left" w:pos="927"/>
              </w:tabs>
              <w:spacing w:line="360" w:lineRule="auto"/>
              <w:jc w:val="both"/>
              <w:rPr>
                <w:rFonts w:ascii="Arial Narrow" w:hAnsi="Arial Narrow" w:cs="Arial"/>
                <w:sz w:val="24"/>
                <w:szCs w:val="24"/>
                <w:lang w:val="en-US"/>
              </w:rPr>
            </w:pPr>
            <w:r>
              <w:rPr>
                <w:rFonts w:ascii="Arial Narrow" w:hAnsi="Arial Narrow" w:cs="Arial"/>
                <w:sz w:val="24"/>
                <w:szCs w:val="24"/>
                <w:lang w:val="en-US"/>
              </w:rPr>
              <w:t>[</w:t>
            </w:r>
            <w:r w:rsidR="009879E8">
              <w:rPr>
                <w:rFonts w:ascii="Arial Narrow" w:hAnsi="Arial Narrow" w:cs="Arial"/>
                <w:sz w:val="24"/>
                <w:szCs w:val="24"/>
                <w:lang w:val="en-US"/>
              </w:rPr>
              <w:t>6</w:t>
            </w:r>
            <w:r>
              <w:rPr>
                <w:rFonts w:ascii="Arial Narrow" w:hAnsi="Arial Narrow" w:cs="Arial"/>
                <w:sz w:val="24"/>
                <w:szCs w:val="24"/>
                <w:lang w:val="en-US"/>
              </w:rPr>
              <w:t xml:space="preserve">]         </w:t>
            </w:r>
            <w:r w:rsidR="00681042">
              <w:rPr>
                <w:rFonts w:ascii="Arial Narrow" w:hAnsi="Arial Narrow" w:cs="Arial"/>
                <w:sz w:val="24"/>
                <w:szCs w:val="24"/>
                <w:lang w:val="en-US"/>
              </w:rPr>
              <w:t xml:space="preserve">On 26 June 2019, the </w:t>
            </w:r>
            <w:r w:rsidR="00181307" w:rsidRPr="00480FB7">
              <w:rPr>
                <w:rFonts w:ascii="Arial Narrow" w:hAnsi="Arial Narrow" w:cs="Arial"/>
                <w:sz w:val="24"/>
                <w:szCs w:val="24"/>
                <w:lang w:val="en-US"/>
              </w:rPr>
              <w:t>defendant</w:t>
            </w:r>
            <w:r w:rsidR="00681042">
              <w:rPr>
                <w:rFonts w:ascii="Arial Narrow" w:hAnsi="Arial Narrow" w:cs="Arial"/>
                <w:sz w:val="24"/>
                <w:szCs w:val="24"/>
                <w:lang w:val="en-US"/>
              </w:rPr>
              <w:t xml:space="preserve"> filed a notice in terms of </w:t>
            </w:r>
            <w:r w:rsidR="00181307" w:rsidRPr="00480FB7">
              <w:rPr>
                <w:rFonts w:ascii="Arial Narrow" w:hAnsi="Arial Narrow" w:cs="Arial"/>
                <w:sz w:val="24"/>
                <w:szCs w:val="24"/>
                <w:lang w:val="en-US"/>
              </w:rPr>
              <w:t>rule 28(8</w:t>
            </w:r>
            <w:proofErr w:type="gramStart"/>
            <w:r w:rsidR="00181307" w:rsidRPr="00480FB7">
              <w:rPr>
                <w:rFonts w:ascii="Arial Narrow" w:hAnsi="Arial Narrow" w:cs="Arial"/>
                <w:sz w:val="24"/>
                <w:szCs w:val="24"/>
                <w:lang w:val="en-US"/>
              </w:rPr>
              <w:t>)(</w:t>
            </w:r>
            <w:proofErr w:type="gramEnd"/>
            <w:r w:rsidR="00181307" w:rsidRPr="00480FB7">
              <w:rPr>
                <w:rFonts w:ascii="Arial Narrow" w:hAnsi="Arial Narrow" w:cs="Arial"/>
                <w:sz w:val="24"/>
                <w:szCs w:val="24"/>
                <w:lang w:val="en-US"/>
              </w:rPr>
              <w:t>a)</w:t>
            </w:r>
            <w:r w:rsidR="00681042">
              <w:rPr>
                <w:rFonts w:ascii="Arial Narrow" w:hAnsi="Arial Narrow" w:cs="Arial"/>
                <w:sz w:val="24"/>
                <w:szCs w:val="24"/>
                <w:lang w:val="en-US"/>
              </w:rPr>
              <w:t xml:space="preserve"> requesting the plaintiff to set out in a written statement which of the documents listed</w:t>
            </w:r>
            <w:r w:rsidR="008B0DC7">
              <w:rPr>
                <w:rFonts w:ascii="Arial Narrow" w:hAnsi="Arial Narrow" w:cs="Arial"/>
                <w:sz w:val="24"/>
                <w:szCs w:val="24"/>
                <w:lang w:val="en-US"/>
              </w:rPr>
              <w:t xml:space="preserve"> in its notice,</w:t>
            </w:r>
            <w:r w:rsidR="00681042">
              <w:rPr>
                <w:rFonts w:ascii="Arial Narrow" w:hAnsi="Arial Narrow" w:cs="Arial"/>
                <w:sz w:val="24"/>
                <w:szCs w:val="24"/>
                <w:lang w:val="en-US"/>
              </w:rPr>
              <w:t xml:space="preserve"> the plaintiff has or previously had in its possession. </w:t>
            </w:r>
            <w:r>
              <w:rPr>
                <w:rFonts w:ascii="Arial Narrow" w:hAnsi="Arial Narrow" w:cs="Arial"/>
                <w:sz w:val="24"/>
                <w:szCs w:val="24"/>
                <w:lang w:val="en-US"/>
              </w:rPr>
              <w:t xml:space="preserve">The defendant listed </w:t>
            </w:r>
            <w:r w:rsidRPr="00064CCC">
              <w:rPr>
                <w:rFonts w:ascii="Arial Narrow" w:hAnsi="Arial Narrow" w:cs="Arial"/>
                <w:i/>
                <w:sz w:val="24"/>
                <w:szCs w:val="24"/>
                <w:lang w:val="en-US"/>
              </w:rPr>
              <w:t>inter a</w:t>
            </w:r>
            <w:r w:rsidR="00280B4E" w:rsidRPr="00064CCC">
              <w:rPr>
                <w:rFonts w:ascii="Arial Narrow" w:hAnsi="Arial Narrow" w:cs="Arial"/>
                <w:i/>
                <w:sz w:val="24"/>
                <w:szCs w:val="24"/>
                <w:lang w:val="en-US"/>
              </w:rPr>
              <w:t>lia</w:t>
            </w:r>
            <w:r w:rsidR="00280B4E">
              <w:rPr>
                <w:rFonts w:ascii="Arial Narrow" w:hAnsi="Arial Narrow" w:cs="Arial"/>
                <w:sz w:val="24"/>
                <w:szCs w:val="24"/>
                <w:lang w:val="en-US"/>
              </w:rPr>
              <w:t xml:space="preserve"> the following documents: </w:t>
            </w:r>
            <w:r>
              <w:rPr>
                <w:rFonts w:ascii="Arial Narrow" w:hAnsi="Arial Narrow" w:cs="Arial"/>
                <w:sz w:val="24"/>
                <w:szCs w:val="24"/>
                <w:lang w:val="en-US"/>
              </w:rPr>
              <w:t>written resignations of trustees, minutes of meetings where</w:t>
            </w:r>
            <w:r w:rsidR="00280B4E">
              <w:rPr>
                <w:rFonts w:ascii="Arial Narrow" w:hAnsi="Arial Narrow" w:cs="Arial"/>
                <w:sz w:val="24"/>
                <w:szCs w:val="24"/>
                <w:lang w:val="en-US"/>
              </w:rPr>
              <w:t>:</w:t>
            </w:r>
            <w:r>
              <w:rPr>
                <w:rFonts w:ascii="Arial Narrow" w:hAnsi="Arial Narrow" w:cs="Arial"/>
                <w:sz w:val="24"/>
                <w:szCs w:val="24"/>
                <w:lang w:val="en-US"/>
              </w:rPr>
              <w:t xml:space="preserve"> trustees were dismissed</w:t>
            </w:r>
            <w:r w:rsidR="00280B4E">
              <w:rPr>
                <w:rFonts w:ascii="Arial Narrow" w:hAnsi="Arial Narrow" w:cs="Arial"/>
                <w:sz w:val="24"/>
                <w:szCs w:val="24"/>
                <w:lang w:val="en-US"/>
              </w:rPr>
              <w:t xml:space="preserve"> and others nominated to replace such trustees; certificates issued by the Master of the High Court pursuant to the appointment of trustees; accounting records; investigation reports in respect of the missing monies, etc. </w:t>
            </w:r>
            <w:r w:rsidR="0088559A">
              <w:rPr>
                <w:rFonts w:ascii="Arial Narrow" w:hAnsi="Arial Narrow" w:cs="Arial"/>
                <w:sz w:val="24"/>
                <w:szCs w:val="24"/>
                <w:lang w:val="en-US"/>
              </w:rPr>
              <w:t xml:space="preserve">It is apparent that these are material documents required by the defendants and that these documents ought to be in the possession of the </w:t>
            </w:r>
            <w:r w:rsidR="009879E8">
              <w:rPr>
                <w:rFonts w:ascii="Arial Narrow" w:hAnsi="Arial Narrow" w:cs="Arial"/>
                <w:sz w:val="24"/>
                <w:szCs w:val="24"/>
                <w:lang w:val="en-US"/>
              </w:rPr>
              <w:t>plaintiff</w:t>
            </w:r>
            <w:r w:rsidR="0088559A">
              <w:rPr>
                <w:rFonts w:ascii="Arial Narrow" w:hAnsi="Arial Narrow" w:cs="Arial"/>
                <w:sz w:val="24"/>
                <w:szCs w:val="24"/>
                <w:lang w:val="en-US"/>
              </w:rPr>
              <w:t>.</w:t>
            </w:r>
          </w:p>
          <w:p w:rsidR="00280B4E" w:rsidRDefault="00280B4E" w:rsidP="00BA2C89">
            <w:pPr>
              <w:tabs>
                <w:tab w:val="left" w:pos="927"/>
              </w:tabs>
              <w:spacing w:line="360" w:lineRule="auto"/>
              <w:jc w:val="both"/>
              <w:rPr>
                <w:rFonts w:ascii="Arial Narrow" w:hAnsi="Arial Narrow" w:cs="Arial"/>
                <w:sz w:val="24"/>
                <w:szCs w:val="24"/>
                <w:lang w:val="en-US"/>
              </w:rPr>
            </w:pPr>
          </w:p>
          <w:p w:rsidR="00BA6937" w:rsidRDefault="00280B4E" w:rsidP="00BA2C89">
            <w:pPr>
              <w:tabs>
                <w:tab w:val="left" w:pos="927"/>
              </w:tabs>
              <w:spacing w:line="360" w:lineRule="auto"/>
              <w:jc w:val="both"/>
              <w:rPr>
                <w:rFonts w:ascii="Arial Narrow" w:hAnsi="Arial Narrow" w:cs="Arial"/>
                <w:sz w:val="24"/>
                <w:szCs w:val="24"/>
                <w:lang w:val="en-US"/>
              </w:rPr>
            </w:pPr>
            <w:r>
              <w:rPr>
                <w:rFonts w:ascii="Arial Narrow" w:hAnsi="Arial Narrow" w:cs="Arial"/>
                <w:sz w:val="24"/>
                <w:szCs w:val="24"/>
                <w:lang w:val="en-US"/>
              </w:rPr>
              <w:t>[</w:t>
            </w:r>
            <w:r w:rsidR="009879E8">
              <w:rPr>
                <w:rFonts w:ascii="Arial Narrow" w:hAnsi="Arial Narrow" w:cs="Arial"/>
                <w:sz w:val="24"/>
                <w:szCs w:val="24"/>
                <w:lang w:val="en-US"/>
              </w:rPr>
              <w:t>7</w:t>
            </w:r>
            <w:r>
              <w:rPr>
                <w:rFonts w:ascii="Arial Narrow" w:hAnsi="Arial Narrow" w:cs="Arial"/>
                <w:sz w:val="24"/>
                <w:szCs w:val="24"/>
                <w:lang w:val="en-US"/>
              </w:rPr>
              <w:t xml:space="preserve">]   </w:t>
            </w:r>
            <w:r w:rsidR="008B0DC7">
              <w:rPr>
                <w:rFonts w:ascii="Arial Narrow" w:hAnsi="Arial Narrow" w:cs="Arial"/>
                <w:sz w:val="24"/>
                <w:szCs w:val="24"/>
                <w:lang w:val="en-US"/>
              </w:rPr>
              <w:t xml:space="preserve">       </w:t>
            </w:r>
            <w:r w:rsidR="00681042">
              <w:rPr>
                <w:rFonts w:ascii="Arial Narrow" w:hAnsi="Arial Narrow" w:cs="Arial"/>
                <w:sz w:val="24"/>
                <w:szCs w:val="24"/>
                <w:lang w:val="en-US"/>
              </w:rPr>
              <w:t xml:space="preserve">On 16 July 2019 the plaintiff filed an additional discovery listing </w:t>
            </w:r>
            <w:r w:rsidR="004E7123">
              <w:rPr>
                <w:rFonts w:ascii="Arial Narrow" w:hAnsi="Arial Narrow" w:cs="Arial"/>
                <w:sz w:val="24"/>
                <w:szCs w:val="24"/>
                <w:lang w:val="en-US"/>
              </w:rPr>
              <w:t>1 document</w:t>
            </w:r>
            <w:r w:rsidR="00BA6937">
              <w:rPr>
                <w:rFonts w:ascii="Arial Narrow" w:hAnsi="Arial Narrow" w:cs="Arial"/>
                <w:sz w:val="24"/>
                <w:szCs w:val="24"/>
                <w:lang w:val="en-US"/>
              </w:rPr>
              <w:t xml:space="preserve"> which </w:t>
            </w:r>
            <w:r w:rsidR="0088559A">
              <w:rPr>
                <w:rFonts w:ascii="Arial Narrow" w:hAnsi="Arial Narrow" w:cs="Arial"/>
                <w:sz w:val="24"/>
                <w:szCs w:val="24"/>
                <w:lang w:val="en-US"/>
              </w:rPr>
              <w:t xml:space="preserve">appears on the list of </w:t>
            </w:r>
            <w:r w:rsidR="0038511D">
              <w:rPr>
                <w:rFonts w:ascii="Arial Narrow" w:hAnsi="Arial Narrow" w:cs="Arial"/>
                <w:sz w:val="24"/>
                <w:szCs w:val="24"/>
                <w:lang w:val="en-US"/>
              </w:rPr>
              <w:t>the defendant</w:t>
            </w:r>
            <w:r w:rsidR="00BA6937">
              <w:rPr>
                <w:rFonts w:ascii="Arial Narrow" w:hAnsi="Arial Narrow" w:cs="Arial"/>
                <w:sz w:val="24"/>
                <w:szCs w:val="24"/>
                <w:lang w:val="en-US"/>
              </w:rPr>
              <w:t>.</w:t>
            </w:r>
          </w:p>
          <w:p w:rsidR="0088559A" w:rsidRDefault="0088559A" w:rsidP="00BA2C89">
            <w:pPr>
              <w:tabs>
                <w:tab w:val="left" w:pos="927"/>
              </w:tabs>
              <w:spacing w:line="360" w:lineRule="auto"/>
              <w:jc w:val="both"/>
              <w:rPr>
                <w:rFonts w:ascii="Arial Narrow" w:hAnsi="Arial Narrow" w:cs="Arial"/>
                <w:sz w:val="24"/>
                <w:szCs w:val="24"/>
                <w:lang w:val="en-US"/>
              </w:rPr>
            </w:pPr>
          </w:p>
          <w:p w:rsidR="004A5394" w:rsidRPr="00BA17CE" w:rsidRDefault="004E7123" w:rsidP="00BA17CE">
            <w:pPr>
              <w:spacing w:line="360" w:lineRule="auto"/>
              <w:jc w:val="both"/>
              <w:rPr>
                <w:rFonts w:ascii="Arial Narrow" w:hAnsi="Arial Narrow" w:cs="Arial"/>
                <w:sz w:val="24"/>
                <w:szCs w:val="24"/>
                <w:lang w:val="en-US"/>
              </w:rPr>
            </w:pPr>
            <w:r>
              <w:rPr>
                <w:rFonts w:ascii="Arial Narrow" w:hAnsi="Arial Narrow" w:cs="Arial"/>
                <w:sz w:val="24"/>
                <w:szCs w:val="24"/>
                <w:lang w:val="en-US"/>
              </w:rPr>
              <w:t>[</w:t>
            </w:r>
            <w:r w:rsidR="009879E8">
              <w:rPr>
                <w:rFonts w:ascii="Arial Narrow" w:hAnsi="Arial Narrow" w:cs="Arial"/>
                <w:sz w:val="24"/>
                <w:szCs w:val="24"/>
                <w:lang w:val="en-US"/>
              </w:rPr>
              <w:t>8</w:t>
            </w:r>
            <w:r>
              <w:rPr>
                <w:rFonts w:ascii="Arial Narrow" w:hAnsi="Arial Narrow" w:cs="Arial"/>
                <w:sz w:val="24"/>
                <w:szCs w:val="24"/>
                <w:lang w:val="en-US"/>
              </w:rPr>
              <w:t xml:space="preserve">]            </w:t>
            </w:r>
            <w:r w:rsidR="00181307" w:rsidRPr="00480FB7">
              <w:rPr>
                <w:rFonts w:ascii="Arial Narrow" w:hAnsi="Arial Narrow" w:cs="Arial"/>
                <w:sz w:val="24"/>
                <w:szCs w:val="24"/>
                <w:lang w:val="en-US"/>
              </w:rPr>
              <w:t>The defendant filed an application to compe</w:t>
            </w:r>
            <w:r w:rsidR="0019149A">
              <w:rPr>
                <w:rFonts w:ascii="Arial Narrow" w:hAnsi="Arial Narrow" w:cs="Arial"/>
                <w:sz w:val="24"/>
                <w:szCs w:val="24"/>
                <w:lang w:val="en-US"/>
              </w:rPr>
              <w:t>l discovery in terms of rule 28(8)</w:t>
            </w:r>
            <w:r w:rsidR="009C41FE">
              <w:rPr>
                <w:rFonts w:ascii="Arial Narrow" w:hAnsi="Arial Narrow" w:cs="Arial"/>
                <w:sz w:val="24"/>
                <w:szCs w:val="24"/>
                <w:lang w:val="en-US"/>
              </w:rPr>
              <w:t xml:space="preserve">. The plaintiff’s legal practitioner </w:t>
            </w:r>
            <w:r w:rsidR="00BA6937">
              <w:rPr>
                <w:rFonts w:ascii="Arial Narrow" w:hAnsi="Arial Narrow" w:cs="Arial"/>
                <w:sz w:val="24"/>
                <w:szCs w:val="24"/>
                <w:lang w:val="en-US"/>
              </w:rPr>
              <w:t xml:space="preserve">filed an affidavit </w:t>
            </w:r>
            <w:r w:rsidR="009C41FE">
              <w:rPr>
                <w:rFonts w:ascii="Arial Narrow" w:hAnsi="Arial Narrow" w:cs="Arial"/>
                <w:sz w:val="24"/>
                <w:szCs w:val="24"/>
                <w:lang w:val="en-US"/>
              </w:rPr>
              <w:t>stating that the plaintiff has made discovery of all the documents that relate to this matter and that the plaintiff does not have any further documents in its possession which are relevant to the matter at hand.</w:t>
            </w:r>
            <w:r>
              <w:rPr>
                <w:rFonts w:ascii="Arial Narrow" w:hAnsi="Arial Narrow" w:cs="Arial"/>
                <w:sz w:val="24"/>
                <w:szCs w:val="24"/>
                <w:lang w:val="en-US"/>
              </w:rPr>
              <w:t xml:space="preserve"> </w:t>
            </w:r>
            <w:r w:rsidR="00064CCC">
              <w:rPr>
                <w:rFonts w:ascii="Arial Narrow" w:hAnsi="Arial Narrow" w:cs="Arial"/>
                <w:sz w:val="24"/>
                <w:szCs w:val="24"/>
                <w:lang w:val="en-US"/>
              </w:rPr>
              <w:t>O</w:t>
            </w:r>
            <w:r>
              <w:rPr>
                <w:rFonts w:ascii="Arial Narrow" w:hAnsi="Arial Narrow" w:cs="Arial"/>
                <w:sz w:val="24"/>
                <w:szCs w:val="24"/>
                <w:lang w:val="en-US"/>
              </w:rPr>
              <w:t xml:space="preserve">n </w:t>
            </w:r>
            <w:r w:rsidR="00181307" w:rsidRPr="00480FB7">
              <w:rPr>
                <w:rFonts w:ascii="Arial Narrow" w:hAnsi="Arial Narrow" w:cs="Arial"/>
                <w:sz w:val="24"/>
                <w:szCs w:val="24"/>
                <w:lang w:val="en-US"/>
              </w:rPr>
              <w:t xml:space="preserve">30 October 2019, the court </w:t>
            </w:r>
            <w:r>
              <w:rPr>
                <w:rFonts w:ascii="Arial Narrow" w:hAnsi="Arial Narrow" w:cs="Arial"/>
                <w:sz w:val="24"/>
                <w:szCs w:val="24"/>
                <w:lang w:val="en-US"/>
              </w:rPr>
              <w:t xml:space="preserve">compelled the </w:t>
            </w:r>
            <w:r w:rsidR="00181307" w:rsidRPr="00480FB7">
              <w:rPr>
                <w:rFonts w:ascii="Arial Narrow" w:hAnsi="Arial Narrow" w:cs="Arial"/>
                <w:sz w:val="24"/>
                <w:szCs w:val="24"/>
                <w:lang w:val="en-US"/>
              </w:rPr>
              <w:t xml:space="preserve">plaintiff to discover </w:t>
            </w:r>
            <w:r>
              <w:rPr>
                <w:rFonts w:ascii="Arial Narrow" w:hAnsi="Arial Narrow" w:cs="Arial"/>
                <w:sz w:val="24"/>
                <w:szCs w:val="24"/>
                <w:lang w:val="en-US"/>
              </w:rPr>
              <w:t xml:space="preserve">the documents as listed by the defendant </w:t>
            </w:r>
            <w:r w:rsidR="00181307" w:rsidRPr="00480FB7">
              <w:rPr>
                <w:rFonts w:ascii="Arial Narrow" w:hAnsi="Arial Narrow" w:cs="Arial"/>
                <w:sz w:val="24"/>
                <w:szCs w:val="24"/>
                <w:lang w:val="en-US"/>
              </w:rPr>
              <w:t xml:space="preserve">on or before 29 November 2019. The plaintiff </w:t>
            </w:r>
            <w:r w:rsidR="00064CCC">
              <w:rPr>
                <w:rFonts w:ascii="Arial Narrow" w:hAnsi="Arial Narrow" w:cs="Arial"/>
                <w:sz w:val="24"/>
                <w:szCs w:val="24"/>
                <w:lang w:val="en-US"/>
              </w:rPr>
              <w:t>failed to comply with this court order.</w:t>
            </w:r>
            <w:r w:rsidR="00181307" w:rsidRPr="00480FB7">
              <w:rPr>
                <w:rFonts w:ascii="Arial Narrow" w:hAnsi="Arial Narrow" w:cs="Arial"/>
                <w:sz w:val="24"/>
                <w:szCs w:val="24"/>
                <w:lang w:val="en-US"/>
              </w:rPr>
              <w:t xml:space="preserve"> </w:t>
            </w:r>
          </w:p>
          <w:p w:rsidR="00605656" w:rsidRPr="00CD23C8" w:rsidRDefault="00605656" w:rsidP="00605656">
            <w:pPr>
              <w:spacing w:line="360" w:lineRule="auto"/>
              <w:ind w:left="725" w:hanging="725"/>
              <w:jc w:val="both"/>
              <w:rPr>
                <w:rFonts w:ascii="Arial Narrow" w:hAnsi="Arial Narrow"/>
              </w:rPr>
            </w:pPr>
          </w:p>
          <w:p w:rsidR="00BA17CE" w:rsidRDefault="004E441A" w:rsidP="00BA17CE">
            <w:pPr>
              <w:spacing w:line="360" w:lineRule="auto"/>
              <w:jc w:val="both"/>
              <w:rPr>
                <w:rFonts w:ascii="Arial Narrow" w:hAnsi="Arial Narrow" w:cs="Arial"/>
                <w:sz w:val="24"/>
                <w:szCs w:val="24"/>
                <w:lang w:val="en-US"/>
              </w:rPr>
            </w:pPr>
            <w:r w:rsidRPr="008F0CBB">
              <w:rPr>
                <w:rFonts w:ascii="Arial Narrow" w:hAnsi="Arial Narrow" w:cs="Arial"/>
                <w:sz w:val="24"/>
                <w:szCs w:val="24"/>
                <w:lang w:val="en-US"/>
              </w:rPr>
              <w:t>[</w:t>
            </w:r>
            <w:r w:rsidR="00064CCC">
              <w:rPr>
                <w:rFonts w:ascii="Arial Narrow" w:hAnsi="Arial Narrow" w:cs="Arial"/>
                <w:sz w:val="24"/>
                <w:szCs w:val="24"/>
                <w:lang w:val="en-US"/>
              </w:rPr>
              <w:t>9</w:t>
            </w:r>
            <w:r w:rsidRPr="008F0CBB">
              <w:rPr>
                <w:rFonts w:ascii="Arial Narrow" w:hAnsi="Arial Narrow" w:cs="Arial"/>
                <w:sz w:val="24"/>
                <w:szCs w:val="24"/>
                <w:lang w:val="en-US"/>
              </w:rPr>
              <w:t xml:space="preserve">]     </w:t>
            </w:r>
            <w:r w:rsidR="00780CA1">
              <w:rPr>
                <w:rFonts w:ascii="Arial Narrow" w:hAnsi="Arial Narrow" w:cs="Arial"/>
                <w:sz w:val="24"/>
                <w:szCs w:val="24"/>
                <w:lang w:val="en-US"/>
              </w:rPr>
              <w:t xml:space="preserve">   </w:t>
            </w:r>
            <w:r w:rsidRPr="008F0CBB">
              <w:rPr>
                <w:rFonts w:ascii="Arial Narrow" w:hAnsi="Arial Narrow" w:cs="Arial"/>
                <w:sz w:val="24"/>
                <w:szCs w:val="24"/>
                <w:lang w:val="en-US"/>
              </w:rPr>
              <w:t xml:space="preserve"> </w:t>
            </w:r>
            <w:r w:rsidR="00E03137">
              <w:rPr>
                <w:rFonts w:ascii="Arial Narrow" w:hAnsi="Arial Narrow" w:cs="Arial"/>
                <w:sz w:val="24"/>
                <w:szCs w:val="24"/>
                <w:lang w:val="en-US"/>
              </w:rPr>
              <w:t xml:space="preserve">The </w:t>
            </w:r>
            <w:r w:rsidR="00BA17CE">
              <w:rPr>
                <w:rFonts w:ascii="Arial Narrow" w:hAnsi="Arial Narrow" w:cs="Arial"/>
                <w:sz w:val="24"/>
                <w:szCs w:val="24"/>
                <w:lang w:val="en-US"/>
              </w:rPr>
              <w:t>parties filed a joint status report a</w:t>
            </w:r>
            <w:r w:rsidR="00E03137">
              <w:rPr>
                <w:rFonts w:ascii="Arial Narrow" w:hAnsi="Arial Narrow" w:cs="Arial"/>
                <w:sz w:val="24"/>
                <w:szCs w:val="24"/>
                <w:lang w:val="en-US"/>
              </w:rPr>
              <w:t xml:space="preserve">nd </w:t>
            </w:r>
            <w:r w:rsidR="00BA17CE">
              <w:rPr>
                <w:rFonts w:ascii="Arial Narrow" w:hAnsi="Arial Narrow" w:cs="Arial"/>
                <w:sz w:val="24"/>
                <w:szCs w:val="24"/>
                <w:lang w:val="en-US"/>
              </w:rPr>
              <w:t xml:space="preserve">proposed that the court postpone the matter </w:t>
            </w:r>
            <w:r w:rsidR="00E03137">
              <w:rPr>
                <w:rFonts w:ascii="Arial Narrow" w:hAnsi="Arial Narrow" w:cs="Arial"/>
                <w:sz w:val="24"/>
                <w:szCs w:val="24"/>
                <w:lang w:val="en-US"/>
              </w:rPr>
              <w:t xml:space="preserve">for plaintiff to show </w:t>
            </w:r>
            <w:proofErr w:type="gramStart"/>
            <w:r w:rsidR="00E03137">
              <w:rPr>
                <w:rFonts w:ascii="Arial Narrow" w:hAnsi="Arial Narrow" w:cs="Arial"/>
                <w:sz w:val="24"/>
                <w:szCs w:val="24"/>
                <w:lang w:val="en-US"/>
              </w:rPr>
              <w:t>cause</w:t>
            </w:r>
            <w:proofErr w:type="gramEnd"/>
            <w:r w:rsidR="00E03137">
              <w:rPr>
                <w:rFonts w:ascii="Arial Narrow" w:hAnsi="Arial Narrow" w:cs="Arial"/>
                <w:sz w:val="24"/>
                <w:szCs w:val="24"/>
                <w:lang w:val="en-US"/>
              </w:rPr>
              <w:t xml:space="preserve"> why the court should not impose sa</w:t>
            </w:r>
            <w:r w:rsidR="00BA17CE">
              <w:rPr>
                <w:rFonts w:ascii="Arial Narrow" w:hAnsi="Arial Narrow" w:cs="Arial"/>
                <w:sz w:val="24"/>
                <w:szCs w:val="24"/>
                <w:lang w:val="en-US"/>
              </w:rPr>
              <w:t>nctions in terms of rule 53 (2). The parties proposed dates for compliance with rule 32 (9) and (10) and for the parties to file their respective affidavits for a sanctions hearing. The court, in accordance with the dates provided by the parties, granted the following order on 04 December 2019</w:t>
            </w:r>
            <w:r w:rsidR="00BA17CE" w:rsidRPr="00480FB7">
              <w:rPr>
                <w:rFonts w:ascii="Arial Narrow" w:hAnsi="Arial Narrow" w:cs="Arial"/>
                <w:sz w:val="24"/>
                <w:szCs w:val="24"/>
                <w:lang w:val="en-US"/>
              </w:rPr>
              <w:t>:</w:t>
            </w:r>
          </w:p>
          <w:p w:rsidR="00E25E34" w:rsidRPr="00480FB7" w:rsidRDefault="00E25E34" w:rsidP="00BA17CE">
            <w:pPr>
              <w:spacing w:line="360" w:lineRule="auto"/>
              <w:jc w:val="both"/>
              <w:rPr>
                <w:rFonts w:ascii="Arial Narrow" w:hAnsi="Arial Narrow" w:cs="Arial"/>
                <w:sz w:val="24"/>
                <w:szCs w:val="24"/>
                <w:lang w:val="en-US"/>
              </w:rPr>
            </w:pPr>
          </w:p>
          <w:p w:rsidR="00BA17CE" w:rsidRPr="004A5394" w:rsidRDefault="00BA17CE" w:rsidP="00BA17CE">
            <w:pPr>
              <w:tabs>
                <w:tab w:val="left" w:pos="927"/>
              </w:tabs>
              <w:spacing w:line="360" w:lineRule="auto"/>
              <w:jc w:val="both"/>
              <w:rPr>
                <w:rFonts w:ascii="Arial Narrow" w:hAnsi="Arial Narrow"/>
              </w:rPr>
            </w:pPr>
            <w:r>
              <w:rPr>
                <w:rFonts w:ascii="Arial Narrow" w:hAnsi="Arial Narrow"/>
              </w:rPr>
              <w:t xml:space="preserve">              ‘</w:t>
            </w:r>
            <w:r w:rsidRPr="004A5394">
              <w:rPr>
                <w:rFonts w:ascii="Arial Narrow" w:hAnsi="Arial Narrow"/>
              </w:rPr>
              <w:t xml:space="preserve">1. The Plaintiff shall comply with Rule 32(9) and (10) by no later than 15 January 2020. </w:t>
            </w:r>
          </w:p>
          <w:p w:rsidR="00BA17CE" w:rsidRPr="004A5394" w:rsidRDefault="00BA17CE" w:rsidP="00BA17CE">
            <w:pPr>
              <w:spacing w:line="360" w:lineRule="auto"/>
              <w:ind w:left="995" w:hanging="995"/>
              <w:jc w:val="both"/>
              <w:rPr>
                <w:rFonts w:ascii="Arial Narrow" w:hAnsi="Arial Narrow"/>
              </w:rPr>
            </w:pPr>
            <w:r>
              <w:rPr>
                <w:rFonts w:ascii="Arial Narrow" w:hAnsi="Arial Narrow"/>
              </w:rPr>
              <w:t xml:space="preserve">                 </w:t>
            </w:r>
            <w:r w:rsidRPr="004A5394">
              <w:rPr>
                <w:rFonts w:ascii="Arial Narrow" w:hAnsi="Arial Narrow"/>
              </w:rPr>
              <w:t xml:space="preserve">2. If the matter is not amicably resolved, Plaintiff must file its application for condonation for non-compliance with </w:t>
            </w:r>
            <w:r>
              <w:rPr>
                <w:rFonts w:ascii="Arial Narrow" w:hAnsi="Arial Narrow"/>
              </w:rPr>
              <w:t xml:space="preserve">    </w:t>
            </w:r>
            <w:r w:rsidRPr="004A5394">
              <w:rPr>
                <w:rFonts w:ascii="Arial Narrow" w:hAnsi="Arial Narrow"/>
              </w:rPr>
              <w:t>Court order of 30</w:t>
            </w:r>
            <w:r>
              <w:rPr>
                <w:rFonts w:ascii="Arial Narrow" w:hAnsi="Arial Narrow"/>
              </w:rPr>
              <w:t xml:space="preserve"> October 2019, by no later than </w:t>
            </w:r>
            <w:r w:rsidRPr="004A5394">
              <w:rPr>
                <w:rFonts w:ascii="Arial Narrow" w:hAnsi="Arial Narrow"/>
              </w:rPr>
              <w:t>22 January 2019.</w:t>
            </w:r>
          </w:p>
          <w:p w:rsidR="00BA17CE" w:rsidRPr="004A5394" w:rsidRDefault="00BA17CE" w:rsidP="00BA17CE">
            <w:pPr>
              <w:spacing w:line="360" w:lineRule="auto"/>
              <w:ind w:left="725" w:hanging="725"/>
              <w:jc w:val="both"/>
              <w:rPr>
                <w:rFonts w:ascii="Arial Narrow" w:hAnsi="Arial Narrow"/>
              </w:rPr>
            </w:pPr>
            <w:r>
              <w:rPr>
                <w:rFonts w:ascii="Arial Narrow" w:hAnsi="Arial Narrow"/>
              </w:rPr>
              <w:t xml:space="preserve">              </w:t>
            </w:r>
            <w:r w:rsidRPr="004A5394">
              <w:rPr>
                <w:rFonts w:ascii="Arial Narrow" w:hAnsi="Arial Narrow"/>
              </w:rPr>
              <w:t>3.</w:t>
            </w:r>
            <w:r>
              <w:rPr>
                <w:rFonts w:ascii="Arial Narrow" w:hAnsi="Arial Narrow"/>
              </w:rPr>
              <w:t xml:space="preserve"> </w:t>
            </w:r>
            <w:r w:rsidRPr="004A5394">
              <w:rPr>
                <w:rFonts w:ascii="Arial Narrow" w:hAnsi="Arial Narrow"/>
              </w:rPr>
              <w:t xml:space="preserve"> The Defendants must file their answering affidavit by no later than 26 November 2019.</w:t>
            </w:r>
          </w:p>
          <w:p w:rsidR="00BA17CE" w:rsidRPr="004A5394" w:rsidRDefault="00BA17CE" w:rsidP="00BA17CE">
            <w:pPr>
              <w:spacing w:line="360" w:lineRule="auto"/>
              <w:ind w:left="725" w:hanging="725"/>
              <w:jc w:val="both"/>
              <w:rPr>
                <w:rFonts w:ascii="Arial Narrow" w:hAnsi="Arial Narrow"/>
              </w:rPr>
            </w:pPr>
            <w:r>
              <w:rPr>
                <w:rFonts w:ascii="Arial Narrow" w:hAnsi="Arial Narrow"/>
              </w:rPr>
              <w:t xml:space="preserve">              </w:t>
            </w:r>
            <w:r w:rsidRPr="004A5394">
              <w:rPr>
                <w:rFonts w:ascii="Arial Narrow" w:hAnsi="Arial Narrow"/>
              </w:rPr>
              <w:t>4.</w:t>
            </w:r>
            <w:r>
              <w:rPr>
                <w:rFonts w:ascii="Arial Narrow" w:hAnsi="Arial Narrow"/>
              </w:rPr>
              <w:t xml:space="preserve">  </w:t>
            </w:r>
            <w:r w:rsidRPr="004A5394">
              <w:rPr>
                <w:rFonts w:ascii="Arial Narrow" w:hAnsi="Arial Narrow"/>
              </w:rPr>
              <w:t xml:space="preserve"> Plaintiff to file replying affidavit by no later than 29 January 2020.</w:t>
            </w:r>
          </w:p>
          <w:p w:rsidR="00BA17CE" w:rsidRDefault="00BA17CE" w:rsidP="00BA17CE">
            <w:pPr>
              <w:spacing w:line="360" w:lineRule="auto"/>
              <w:ind w:left="995" w:hanging="995"/>
              <w:jc w:val="both"/>
              <w:rPr>
                <w:rFonts w:ascii="Arial Narrow" w:hAnsi="Arial Narrow"/>
              </w:rPr>
            </w:pPr>
            <w:r>
              <w:rPr>
                <w:rFonts w:ascii="Arial Narrow" w:hAnsi="Arial Narrow"/>
              </w:rPr>
              <w:lastRenderedPageBreak/>
              <w:t xml:space="preserve">                5. The case is postponed to </w:t>
            </w:r>
            <w:r w:rsidRPr="004A5394">
              <w:rPr>
                <w:rFonts w:ascii="Arial Narrow" w:hAnsi="Arial Narrow"/>
              </w:rPr>
              <w:t>5 February 2020 at 14:15 for status hearing (Reason: Determination of dates</w:t>
            </w:r>
            <w:r>
              <w:rPr>
                <w:rFonts w:ascii="Arial Narrow" w:hAnsi="Arial Narrow"/>
              </w:rPr>
              <w:t xml:space="preserve"> for hearing of interlocutory).</w:t>
            </w:r>
            <w:r w:rsidRPr="004A5394">
              <w:rPr>
                <w:rFonts w:ascii="Arial Narrow" w:hAnsi="Arial Narrow"/>
              </w:rPr>
              <w:t>’</w:t>
            </w:r>
          </w:p>
          <w:p w:rsidR="00451DEF" w:rsidRDefault="00451DEF" w:rsidP="00BA2C89">
            <w:pPr>
              <w:tabs>
                <w:tab w:val="left" w:pos="927"/>
              </w:tabs>
              <w:spacing w:line="360" w:lineRule="auto"/>
              <w:jc w:val="both"/>
              <w:rPr>
                <w:rFonts w:ascii="Arial Narrow" w:hAnsi="Arial Narrow" w:cs="Arial"/>
                <w:sz w:val="24"/>
                <w:szCs w:val="24"/>
                <w:lang w:val="en-US"/>
              </w:rPr>
            </w:pPr>
          </w:p>
          <w:p w:rsidR="004F61BC" w:rsidRPr="006A6028" w:rsidRDefault="00BA17CE" w:rsidP="00BA2C89">
            <w:pPr>
              <w:tabs>
                <w:tab w:val="left" w:pos="927"/>
              </w:tabs>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[10]     </w:t>
            </w:r>
            <w:r w:rsidR="00780CA1">
              <w:rPr>
                <w:rFonts w:ascii="Arial Narrow" w:hAnsi="Arial Narrow" w:cs="Arial"/>
                <w:sz w:val="24"/>
                <w:szCs w:val="24"/>
                <w:lang w:val="en-US"/>
              </w:rPr>
              <w:t xml:space="preserve">   </w:t>
            </w:r>
            <w:r>
              <w:rPr>
                <w:rFonts w:ascii="Arial Narrow" w:hAnsi="Arial Narrow" w:cs="Arial"/>
                <w:sz w:val="24"/>
                <w:szCs w:val="24"/>
                <w:lang w:val="en-US"/>
              </w:rPr>
              <w:t>On 05 February 2020, it was evident that the plaintiff again failed to bring an application for condonation as ordered on 4 December 20</w:t>
            </w:r>
            <w:r w:rsidR="00BE1228">
              <w:rPr>
                <w:rFonts w:ascii="Arial Narrow" w:hAnsi="Arial Narrow" w:cs="Arial"/>
                <w:sz w:val="24"/>
                <w:szCs w:val="24"/>
                <w:lang w:val="en-US"/>
              </w:rPr>
              <w:t xml:space="preserve">10. The </w:t>
            </w:r>
            <w:r w:rsidR="00935E6A" w:rsidRPr="008F0CBB">
              <w:rPr>
                <w:rFonts w:ascii="Arial Narrow" w:hAnsi="Arial Narrow" w:cs="Arial"/>
                <w:sz w:val="24"/>
                <w:szCs w:val="24"/>
                <w:lang w:val="en-US"/>
              </w:rPr>
              <w:t xml:space="preserve">court ordered </w:t>
            </w:r>
            <w:r w:rsidR="004E441A" w:rsidRPr="008F0CBB">
              <w:rPr>
                <w:rFonts w:ascii="Arial Narrow" w:hAnsi="Arial Narrow" w:cs="Arial"/>
                <w:sz w:val="24"/>
                <w:szCs w:val="24"/>
                <w:lang w:val="en-US"/>
              </w:rPr>
              <w:t>the</w:t>
            </w:r>
            <w:r w:rsidR="00935E6A" w:rsidRPr="008F0CBB">
              <w:rPr>
                <w:rFonts w:ascii="Arial Narrow" w:hAnsi="Arial Narrow" w:cs="Arial"/>
                <w:sz w:val="24"/>
                <w:szCs w:val="24"/>
                <w:lang w:val="en-US"/>
              </w:rPr>
              <w:t xml:space="preserve"> </w:t>
            </w:r>
            <w:r w:rsidR="00935E6A" w:rsidRPr="008F0CBB">
              <w:rPr>
                <w:rFonts w:ascii="Arial Narrow" w:hAnsi="Arial Narrow" w:cs="Arial"/>
                <w:sz w:val="24"/>
                <w:szCs w:val="24"/>
              </w:rPr>
              <w:t>plaintiff to file an affidavit showing cause why the sanctions provided for in rule 53 should not be imposed</w:t>
            </w:r>
            <w:r w:rsidR="00064CCC">
              <w:rPr>
                <w:rFonts w:ascii="Arial Narrow" w:hAnsi="Arial Narrow" w:cs="Arial"/>
                <w:sz w:val="24"/>
                <w:szCs w:val="24"/>
              </w:rPr>
              <w:t xml:space="preserve"> </w:t>
            </w:r>
            <w:r w:rsidR="0088559A">
              <w:rPr>
                <w:rFonts w:ascii="Arial Narrow" w:hAnsi="Arial Narrow" w:cs="Arial"/>
                <w:sz w:val="24"/>
                <w:szCs w:val="24"/>
              </w:rPr>
              <w:t xml:space="preserve">for the </w:t>
            </w:r>
            <w:r w:rsidR="00064CCC">
              <w:rPr>
                <w:rFonts w:ascii="Arial Narrow" w:hAnsi="Arial Narrow" w:cs="Arial"/>
                <w:sz w:val="24"/>
                <w:szCs w:val="24"/>
              </w:rPr>
              <w:t xml:space="preserve">failure to comply with the court order dated 30 October 2019 and the </w:t>
            </w:r>
            <w:r w:rsidR="00BE1228">
              <w:rPr>
                <w:rFonts w:ascii="Arial Narrow" w:hAnsi="Arial Narrow" w:cs="Arial"/>
                <w:sz w:val="24"/>
                <w:szCs w:val="24"/>
              </w:rPr>
              <w:t>order of 4 December 2020</w:t>
            </w:r>
            <w:r w:rsidR="00064CCC">
              <w:rPr>
                <w:rFonts w:ascii="Arial Narrow" w:hAnsi="Arial Narrow" w:cs="Arial"/>
                <w:sz w:val="24"/>
                <w:szCs w:val="24"/>
              </w:rPr>
              <w:t>.</w:t>
            </w:r>
            <w:r w:rsidR="00BE1228">
              <w:rPr>
                <w:rFonts w:ascii="Arial Narrow" w:hAnsi="Arial Narrow" w:cs="Arial"/>
                <w:sz w:val="24"/>
                <w:szCs w:val="24"/>
              </w:rPr>
              <w:t xml:space="preserve"> The parties filed affidavits and heads of argument herein. This court now has to determine whether to impose sanction</w:t>
            </w:r>
            <w:r w:rsidR="00451DEF">
              <w:rPr>
                <w:rFonts w:ascii="Arial Narrow" w:hAnsi="Arial Narrow" w:cs="Arial"/>
                <w:sz w:val="24"/>
                <w:szCs w:val="24"/>
              </w:rPr>
              <w:t xml:space="preserve">s </w:t>
            </w:r>
            <w:r w:rsidR="00BE1228">
              <w:rPr>
                <w:rFonts w:ascii="Arial Narrow" w:hAnsi="Arial Narrow" w:cs="Arial"/>
                <w:sz w:val="24"/>
                <w:szCs w:val="24"/>
              </w:rPr>
              <w:t>and if so what the appropriate sanctions would be.</w:t>
            </w:r>
            <w:r w:rsidR="00064CCC">
              <w:rPr>
                <w:rFonts w:ascii="Arial Narrow" w:hAnsi="Arial Narrow" w:cs="Arial"/>
                <w:sz w:val="24"/>
                <w:szCs w:val="24"/>
              </w:rPr>
              <w:t xml:space="preserve"> </w:t>
            </w:r>
          </w:p>
          <w:p w:rsidR="00064CCC" w:rsidRDefault="00064CCC" w:rsidP="004F61BC">
            <w:pPr>
              <w:spacing w:line="360" w:lineRule="auto"/>
              <w:jc w:val="both"/>
              <w:rPr>
                <w:rFonts w:ascii="Arial Narrow" w:hAnsi="Arial Narrow" w:cs="Arial"/>
                <w:sz w:val="24"/>
                <w:szCs w:val="24"/>
                <w:u w:val="single"/>
                <w:lang w:val="en-US"/>
              </w:rPr>
            </w:pPr>
          </w:p>
          <w:p w:rsidR="002933D5" w:rsidRPr="00040D36" w:rsidRDefault="002933D5" w:rsidP="004F61BC">
            <w:pPr>
              <w:spacing w:line="360" w:lineRule="auto"/>
              <w:jc w:val="both"/>
              <w:rPr>
                <w:rFonts w:ascii="Arial Narrow" w:hAnsi="Arial Narrow" w:cs="Arial"/>
                <w:sz w:val="24"/>
                <w:szCs w:val="24"/>
                <w:u w:val="single"/>
                <w:lang w:val="en-US"/>
              </w:rPr>
            </w:pPr>
            <w:r w:rsidRPr="00040D36">
              <w:rPr>
                <w:rFonts w:ascii="Arial Narrow" w:hAnsi="Arial Narrow" w:cs="Arial"/>
                <w:sz w:val="24"/>
                <w:szCs w:val="24"/>
                <w:u w:val="single"/>
                <w:lang w:val="en-US"/>
              </w:rPr>
              <w:t>Plaintiff’s position</w:t>
            </w:r>
          </w:p>
          <w:p w:rsidR="002933D5" w:rsidRPr="007A751A" w:rsidRDefault="002933D5" w:rsidP="004F61BC">
            <w:pPr>
              <w:jc w:val="both"/>
              <w:rPr>
                <w:rFonts w:ascii="Arial Narrow" w:hAnsi="Arial Narrow" w:cs="Arial"/>
                <w:sz w:val="24"/>
                <w:szCs w:val="24"/>
                <w:lang w:val="en-US"/>
              </w:rPr>
            </w:pPr>
          </w:p>
          <w:p w:rsidR="00064CCC" w:rsidRDefault="002933D5" w:rsidP="004F61BC">
            <w:pPr>
              <w:spacing w:line="360" w:lineRule="auto"/>
              <w:jc w:val="both"/>
              <w:rPr>
                <w:rFonts w:ascii="Arial Narrow" w:hAnsi="Arial Narrow" w:cs="Arial"/>
                <w:sz w:val="24"/>
                <w:szCs w:val="24"/>
                <w:lang w:val="en-US"/>
              </w:rPr>
            </w:pPr>
            <w:r w:rsidRPr="00040D36">
              <w:rPr>
                <w:rFonts w:ascii="Arial Narrow" w:hAnsi="Arial Narrow" w:cs="Arial"/>
                <w:sz w:val="24"/>
                <w:szCs w:val="24"/>
                <w:lang w:val="en-US"/>
              </w:rPr>
              <w:t>[</w:t>
            </w:r>
            <w:r w:rsidR="000A6F5C">
              <w:rPr>
                <w:rFonts w:ascii="Arial Narrow" w:hAnsi="Arial Narrow" w:cs="Arial"/>
                <w:sz w:val="24"/>
                <w:szCs w:val="24"/>
                <w:lang w:val="en-US"/>
              </w:rPr>
              <w:t>1</w:t>
            </w:r>
            <w:r w:rsidR="009879E8">
              <w:rPr>
                <w:rFonts w:ascii="Arial Narrow" w:hAnsi="Arial Narrow" w:cs="Arial"/>
                <w:sz w:val="24"/>
                <w:szCs w:val="24"/>
                <w:lang w:val="en-US"/>
              </w:rPr>
              <w:t>1</w:t>
            </w:r>
            <w:r w:rsidRPr="00040D36">
              <w:rPr>
                <w:rFonts w:ascii="Arial Narrow" w:hAnsi="Arial Narrow" w:cs="Arial"/>
                <w:sz w:val="24"/>
                <w:szCs w:val="24"/>
                <w:lang w:val="en-US"/>
              </w:rPr>
              <w:t>]</w:t>
            </w:r>
            <w:r w:rsidRPr="00040D36">
              <w:rPr>
                <w:rFonts w:ascii="Arial Narrow" w:hAnsi="Arial Narrow" w:cs="Arial"/>
                <w:sz w:val="24"/>
                <w:szCs w:val="24"/>
                <w:lang w:val="en-US"/>
              </w:rPr>
              <w:tab/>
              <w:t xml:space="preserve">The </w:t>
            </w:r>
            <w:r w:rsidR="00775BD6">
              <w:rPr>
                <w:rFonts w:ascii="Arial Narrow" w:hAnsi="Arial Narrow" w:cs="Arial"/>
                <w:sz w:val="24"/>
                <w:szCs w:val="24"/>
                <w:lang w:val="en-US"/>
              </w:rPr>
              <w:t xml:space="preserve">legal practitioner of plaintiff filed an affidavit explaining that there has been compliance with Rule 32 (9) and the omission to file a Report in terms of Rule 32 (10) was a complete oversight by the practitioner. The </w:t>
            </w:r>
            <w:r w:rsidR="000A6F5C">
              <w:rPr>
                <w:rFonts w:ascii="Arial Narrow" w:hAnsi="Arial Narrow" w:cs="Arial"/>
                <w:sz w:val="24"/>
                <w:szCs w:val="24"/>
                <w:lang w:val="en-US"/>
              </w:rPr>
              <w:t xml:space="preserve">plaintiff’s </w:t>
            </w:r>
            <w:r w:rsidR="000A1962">
              <w:rPr>
                <w:rFonts w:ascii="Arial Narrow" w:hAnsi="Arial Narrow" w:cs="Arial"/>
                <w:sz w:val="24"/>
                <w:szCs w:val="24"/>
                <w:lang w:val="en-US"/>
              </w:rPr>
              <w:t xml:space="preserve">legal practitioner explained that she consulted with the trustees and they undertook to provide the documentation she requires to make discovery. The plaintiff’s administrators provided her with documents which are not relevant to the proceedings. Further documentation was provided to her by the plaintiff during February 2020. She also stated that some of the documents are with plaintiff’s erstwhile legal practitioners and others with the police. The bottom line is that plaintiff has to date not given the legal representative the documents she requires to make discovery. </w:t>
            </w:r>
            <w:r w:rsidR="000A6F5C">
              <w:rPr>
                <w:rFonts w:ascii="Arial Narrow" w:hAnsi="Arial Narrow" w:cs="Arial"/>
                <w:sz w:val="24"/>
                <w:szCs w:val="24"/>
                <w:lang w:val="en-US"/>
              </w:rPr>
              <w:t xml:space="preserve">The legal practitioner was thus unable </w:t>
            </w:r>
            <w:r w:rsidR="001462A2">
              <w:rPr>
                <w:rFonts w:ascii="Arial Narrow" w:hAnsi="Arial Narrow" w:cs="Arial"/>
                <w:sz w:val="24"/>
                <w:szCs w:val="24"/>
                <w:lang w:val="en-US"/>
              </w:rPr>
              <w:t xml:space="preserve">to give an undertaking that, in the event condonation is granted, </w:t>
            </w:r>
            <w:r w:rsidR="000A1962">
              <w:rPr>
                <w:rFonts w:ascii="Arial Narrow" w:hAnsi="Arial Narrow" w:cs="Arial"/>
                <w:sz w:val="24"/>
                <w:szCs w:val="24"/>
                <w:lang w:val="en-US"/>
              </w:rPr>
              <w:t xml:space="preserve">plaintiff </w:t>
            </w:r>
            <w:r w:rsidR="000A6F5C">
              <w:rPr>
                <w:rFonts w:ascii="Arial Narrow" w:hAnsi="Arial Narrow" w:cs="Arial"/>
                <w:sz w:val="24"/>
                <w:szCs w:val="24"/>
                <w:lang w:val="en-US"/>
              </w:rPr>
              <w:t xml:space="preserve">would be in a position to comply with the court order dated 30 October 2019. </w:t>
            </w:r>
          </w:p>
          <w:p w:rsidR="00451DEF" w:rsidRDefault="00451DEF" w:rsidP="004F61BC">
            <w:pPr>
              <w:spacing w:line="360" w:lineRule="auto"/>
              <w:jc w:val="both"/>
              <w:rPr>
                <w:rFonts w:ascii="Arial Narrow" w:hAnsi="Arial Narrow" w:cs="Arial"/>
                <w:sz w:val="24"/>
                <w:szCs w:val="24"/>
                <w:lang w:val="en-US"/>
              </w:rPr>
            </w:pPr>
          </w:p>
          <w:p w:rsidR="001462A2" w:rsidRDefault="001462A2" w:rsidP="004F61BC">
            <w:pPr>
              <w:spacing w:line="360" w:lineRule="auto"/>
              <w:jc w:val="both"/>
              <w:rPr>
                <w:rFonts w:ascii="Arial Narrow" w:hAnsi="Arial Narrow" w:cs="Arial"/>
                <w:sz w:val="24"/>
                <w:szCs w:val="24"/>
                <w:lang w:val="en-US"/>
              </w:rPr>
            </w:pPr>
            <w:r>
              <w:rPr>
                <w:rFonts w:ascii="Arial Narrow" w:hAnsi="Arial Narrow" w:cs="Arial"/>
                <w:sz w:val="24"/>
                <w:szCs w:val="24"/>
                <w:lang w:val="en-US"/>
              </w:rPr>
              <w:t>[</w:t>
            </w:r>
            <w:r w:rsidR="00333989">
              <w:rPr>
                <w:rFonts w:ascii="Arial Narrow" w:hAnsi="Arial Narrow" w:cs="Arial"/>
                <w:sz w:val="24"/>
                <w:szCs w:val="24"/>
                <w:lang w:val="en-US"/>
              </w:rPr>
              <w:t>1</w:t>
            </w:r>
            <w:r w:rsidR="009879E8">
              <w:rPr>
                <w:rFonts w:ascii="Arial Narrow" w:hAnsi="Arial Narrow" w:cs="Arial"/>
                <w:sz w:val="24"/>
                <w:szCs w:val="24"/>
                <w:lang w:val="en-US"/>
              </w:rPr>
              <w:t>2</w:t>
            </w:r>
            <w:r>
              <w:rPr>
                <w:rFonts w:ascii="Arial Narrow" w:hAnsi="Arial Narrow" w:cs="Arial"/>
                <w:sz w:val="24"/>
                <w:szCs w:val="24"/>
                <w:lang w:val="en-US"/>
              </w:rPr>
              <w:t>]     In argument plaintiff’s legal practitioner submitted that:</w:t>
            </w:r>
          </w:p>
          <w:p w:rsidR="002933D5" w:rsidRPr="00040D36" w:rsidRDefault="002933D5" w:rsidP="004F61BC">
            <w:pPr>
              <w:spacing w:line="360" w:lineRule="auto"/>
              <w:jc w:val="both"/>
              <w:rPr>
                <w:rFonts w:ascii="Arial Narrow" w:hAnsi="Arial Narrow" w:cs="Arial"/>
                <w:sz w:val="24"/>
                <w:szCs w:val="24"/>
                <w:lang w:val="en-US"/>
              </w:rPr>
            </w:pPr>
            <w:r w:rsidRPr="00040D36">
              <w:rPr>
                <w:rFonts w:ascii="Arial Narrow" w:hAnsi="Arial Narrow" w:cs="Arial"/>
                <w:sz w:val="24"/>
                <w:szCs w:val="24"/>
                <w:lang w:val="en-US"/>
              </w:rPr>
              <w:tab/>
              <w:t>(a) The explanation proffered for the non</w:t>
            </w:r>
            <w:r w:rsidR="0019149A">
              <w:rPr>
                <w:rFonts w:ascii="Arial Narrow" w:hAnsi="Arial Narrow" w:cs="Arial"/>
                <w:sz w:val="24"/>
                <w:szCs w:val="24"/>
                <w:lang w:val="en-US"/>
              </w:rPr>
              <w:t>-</w:t>
            </w:r>
            <w:r w:rsidRPr="00040D36">
              <w:rPr>
                <w:rFonts w:ascii="Arial Narrow" w:hAnsi="Arial Narrow" w:cs="Arial"/>
                <w:sz w:val="24"/>
                <w:szCs w:val="24"/>
                <w:lang w:val="en-US"/>
              </w:rPr>
              <w:t>compliance with the court orders is reasonable.</w:t>
            </w:r>
          </w:p>
          <w:p w:rsidR="002933D5" w:rsidRPr="00040D36" w:rsidRDefault="002933D5" w:rsidP="004F61BC">
            <w:pPr>
              <w:spacing w:line="360" w:lineRule="auto"/>
              <w:ind w:left="702"/>
              <w:jc w:val="both"/>
              <w:rPr>
                <w:rFonts w:ascii="Arial Narrow" w:hAnsi="Arial Narrow" w:cs="Arial"/>
                <w:sz w:val="24"/>
                <w:szCs w:val="24"/>
                <w:lang w:val="en-US"/>
              </w:rPr>
            </w:pPr>
            <w:r w:rsidRPr="00040D36">
              <w:rPr>
                <w:rFonts w:ascii="Arial Narrow" w:hAnsi="Arial Narrow" w:cs="Arial"/>
                <w:sz w:val="24"/>
                <w:szCs w:val="24"/>
                <w:lang w:val="en-US"/>
              </w:rPr>
              <w:t>(b) There would be no prejudice to the defendant as the delay is not substantial and that the defendant in</w:t>
            </w:r>
            <w:r>
              <w:rPr>
                <w:rFonts w:ascii="Arial Narrow" w:hAnsi="Arial Narrow" w:cs="Arial"/>
                <w:sz w:val="24"/>
                <w:szCs w:val="24"/>
                <w:lang w:val="en-US"/>
              </w:rPr>
              <w:t xml:space="preserve"> </w:t>
            </w:r>
            <w:r w:rsidRPr="00040D36">
              <w:rPr>
                <w:rFonts w:ascii="Arial Narrow" w:hAnsi="Arial Narrow" w:cs="Arial"/>
                <w:sz w:val="24"/>
                <w:szCs w:val="24"/>
                <w:lang w:val="en-US"/>
              </w:rPr>
              <w:t>any event would benefit from the plaintiff’s discovery in the litigation of this matter.</w:t>
            </w:r>
          </w:p>
          <w:p w:rsidR="002933D5" w:rsidRPr="00040D36" w:rsidRDefault="002933D5" w:rsidP="004F61BC">
            <w:pPr>
              <w:spacing w:line="360" w:lineRule="auto"/>
              <w:jc w:val="both"/>
              <w:rPr>
                <w:rFonts w:ascii="Arial Narrow" w:hAnsi="Arial Narrow" w:cs="Arial"/>
                <w:sz w:val="24"/>
                <w:szCs w:val="24"/>
                <w:lang w:val="en-US"/>
              </w:rPr>
            </w:pPr>
            <w:r w:rsidRPr="00040D36">
              <w:rPr>
                <w:rFonts w:ascii="Arial Narrow" w:hAnsi="Arial Narrow" w:cs="Arial"/>
                <w:sz w:val="24"/>
                <w:szCs w:val="24"/>
                <w:lang w:val="en-US"/>
              </w:rPr>
              <w:tab/>
              <w:t>(c) The matter has not been set down for trial, therefore no trial dates have been affected.</w:t>
            </w:r>
          </w:p>
          <w:p w:rsidR="002933D5" w:rsidRPr="00040D36" w:rsidRDefault="002933D5" w:rsidP="004F61BC">
            <w:pPr>
              <w:spacing w:line="360" w:lineRule="auto"/>
              <w:jc w:val="both"/>
              <w:rPr>
                <w:rFonts w:ascii="Arial Narrow" w:hAnsi="Arial Narrow" w:cs="Arial"/>
                <w:sz w:val="24"/>
                <w:szCs w:val="24"/>
                <w:lang w:val="en-US"/>
              </w:rPr>
            </w:pPr>
            <w:r w:rsidRPr="00040D36">
              <w:rPr>
                <w:rFonts w:ascii="Arial Narrow" w:hAnsi="Arial Narrow" w:cs="Arial"/>
                <w:sz w:val="24"/>
                <w:szCs w:val="24"/>
                <w:lang w:val="en-US"/>
              </w:rPr>
              <w:t xml:space="preserve">             (d) The plaintiff enjoys pro</w:t>
            </w:r>
            <w:r w:rsidR="0019149A">
              <w:rPr>
                <w:rFonts w:ascii="Arial Narrow" w:hAnsi="Arial Narrow" w:cs="Arial"/>
                <w:sz w:val="24"/>
                <w:szCs w:val="24"/>
                <w:lang w:val="en-US"/>
              </w:rPr>
              <w:t>spects of success</w:t>
            </w:r>
            <w:r w:rsidRPr="00040D36">
              <w:rPr>
                <w:rFonts w:ascii="Arial Narrow" w:hAnsi="Arial Narrow" w:cs="Arial"/>
                <w:sz w:val="24"/>
                <w:szCs w:val="24"/>
                <w:lang w:val="en-US"/>
              </w:rPr>
              <w:t>.</w:t>
            </w:r>
          </w:p>
          <w:p w:rsidR="002933D5" w:rsidRPr="007A751A" w:rsidRDefault="002933D5" w:rsidP="002933D5">
            <w:pPr>
              <w:spacing w:line="360" w:lineRule="auto"/>
              <w:jc w:val="both"/>
              <w:rPr>
                <w:rFonts w:ascii="Arial Narrow" w:hAnsi="Arial Narrow" w:cs="Arial"/>
                <w:sz w:val="24"/>
                <w:szCs w:val="24"/>
                <w:lang w:val="en-US"/>
              </w:rPr>
            </w:pPr>
          </w:p>
          <w:p w:rsidR="0019149A" w:rsidRDefault="002933D5" w:rsidP="002933D5">
            <w:pPr>
              <w:spacing w:line="360" w:lineRule="auto"/>
              <w:jc w:val="both"/>
              <w:rPr>
                <w:rFonts w:ascii="Arial Narrow" w:hAnsi="Arial Narrow" w:cs="Arial"/>
                <w:sz w:val="24"/>
                <w:szCs w:val="24"/>
                <w:lang w:val="af-ZA"/>
              </w:rPr>
            </w:pPr>
            <w:r w:rsidRPr="00040D36">
              <w:rPr>
                <w:rFonts w:ascii="Arial Narrow" w:hAnsi="Arial Narrow" w:cs="Arial"/>
                <w:sz w:val="24"/>
                <w:szCs w:val="24"/>
                <w:lang w:val="en-US"/>
              </w:rPr>
              <w:t>[</w:t>
            </w:r>
            <w:r w:rsidR="00333989">
              <w:rPr>
                <w:rFonts w:ascii="Arial Narrow" w:hAnsi="Arial Narrow" w:cs="Arial"/>
                <w:sz w:val="24"/>
                <w:szCs w:val="24"/>
                <w:lang w:val="en-US"/>
              </w:rPr>
              <w:t>1</w:t>
            </w:r>
            <w:r w:rsidR="009879E8">
              <w:rPr>
                <w:rFonts w:ascii="Arial Narrow" w:hAnsi="Arial Narrow" w:cs="Arial"/>
                <w:sz w:val="24"/>
                <w:szCs w:val="24"/>
                <w:lang w:val="en-US"/>
              </w:rPr>
              <w:t>3</w:t>
            </w:r>
            <w:r w:rsidRPr="00040D36">
              <w:rPr>
                <w:rFonts w:ascii="Arial Narrow" w:hAnsi="Arial Narrow" w:cs="Arial"/>
                <w:sz w:val="24"/>
                <w:szCs w:val="24"/>
                <w:lang w:val="en-US"/>
              </w:rPr>
              <w:t>]</w:t>
            </w:r>
            <w:r w:rsidRPr="00040D36">
              <w:rPr>
                <w:rFonts w:ascii="Arial Narrow" w:hAnsi="Arial Narrow" w:cs="Arial"/>
                <w:sz w:val="24"/>
                <w:szCs w:val="24"/>
                <w:lang w:val="en-US"/>
              </w:rPr>
              <w:tab/>
            </w:r>
            <w:r w:rsidR="0019149A">
              <w:rPr>
                <w:rFonts w:ascii="Arial Narrow" w:hAnsi="Arial Narrow" w:cs="Arial"/>
                <w:sz w:val="24"/>
                <w:szCs w:val="24"/>
                <w:lang w:val="af-ZA"/>
              </w:rPr>
              <w:t>The plaintiff thus prays for condonation and an opportunity to file its discovery in order to bring this matter to finality.</w:t>
            </w:r>
          </w:p>
          <w:p w:rsidR="00A27269" w:rsidRPr="007A751A" w:rsidRDefault="00A27269" w:rsidP="00BA2C89">
            <w:pPr>
              <w:tabs>
                <w:tab w:val="left" w:pos="927"/>
              </w:tabs>
              <w:spacing w:line="360" w:lineRule="auto"/>
              <w:jc w:val="both"/>
              <w:rPr>
                <w:rFonts w:ascii="Arial Narrow" w:hAnsi="Arial Narrow" w:cs="Arial"/>
                <w:sz w:val="24"/>
                <w:szCs w:val="24"/>
                <w:lang w:val="en-US"/>
              </w:rPr>
            </w:pPr>
          </w:p>
          <w:p w:rsidR="00A27269" w:rsidRPr="00480FB7" w:rsidRDefault="00A27269" w:rsidP="00BA2C89">
            <w:pPr>
              <w:tabs>
                <w:tab w:val="left" w:pos="927"/>
              </w:tabs>
              <w:spacing w:line="360" w:lineRule="auto"/>
              <w:jc w:val="both"/>
              <w:rPr>
                <w:rFonts w:ascii="Arial Narrow" w:hAnsi="Arial Narrow" w:cs="Arial"/>
                <w:sz w:val="24"/>
                <w:szCs w:val="24"/>
                <w:u w:val="single"/>
                <w:lang w:val="en-US"/>
              </w:rPr>
            </w:pPr>
            <w:r w:rsidRPr="00480FB7">
              <w:rPr>
                <w:rFonts w:ascii="Arial Narrow" w:hAnsi="Arial Narrow" w:cs="Arial"/>
                <w:sz w:val="24"/>
                <w:szCs w:val="24"/>
                <w:u w:val="single"/>
                <w:lang w:val="en-US"/>
              </w:rPr>
              <w:lastRenderedPageBreak/>
              <w:t>The defendant’s position</w:t>
            </w:r>
          </w:p>
          <w:p w:rsidR="006A6028" w:rsidRPr="00480FB7" w:rsidRDefault="00A27269" w:rsidP="00BA2C89">
            <w:pPr>
              <w:tabs>
                <w:tab w:val="left" w:pos="927"/>
              </w:tabs>
              <w:spacing w:line="360" w:lineRule="auto"/>
              <w:jc w:val="both"/>
              <w:rPr>
                <w:rFonts w:ascii="Arial Narrow" w:hAnsi="Arial Narrow" w:cs="Arial"/>
                <w:sz w:val="24"/>
                <w:szCs w:val="24"/>
                <w:lang w:val="en-US"/>
              </w:rPr>
            </w:pPr>
            <w:r w:rsidRPr="00480FB7">
              <w:rPr>
                <w:rFonts w:ascii="Arial Narrow" w:hAnsi="Arial Narrow" w:cs="Arial"/>
                <w:sz w:val="24"/>
                <w:szCs w:val="24"/>
                <w:lang w:val="en-US"/>
              </w:rPr>
              <w:t>[</w:t>
            </w:r>
            <w:r w:rsidR="009879E8">
              <w:rPr>
                <w:rFonts w:ascii="Arial Narrow" w:hAnsi="Arial Narrow" w:cs="Arial"/>
                <w:sz w:val="24"/>
                <w:szCs w:val="24"/>
                <w:lang w:val="en-US"/>
              </w:rPr>
              <w:t>14</w:t>
            </w:r>
            <w:r w:rsidRPr="00480FB7">
              <w:rPr>
                <w:rFonts w:ascii="Arial Narrow" w:hAnsi="Arial Narrow" w:cs="Arial"/>
                <w:sz w:val="24"/>
                <w:szCs w:val="24"/>
                <w:lang w:val="en-US"/>
              </w:rPr>
              <w:t>]</w:t>
            </w:r>
            <w:r w:rsidRPr="00480FB7">
              <w:rPr>
                <w:rFonts w:ascii="Arial Narrow" w:hAnsi="Arial Narrow" w:cs="Arial"/>
                <w:sz w:val="24"/>
                <w:szCs w:val="24"/>
                <w:lang w:val="en-US"/>
              </w:rPr>
              <w:tab/>
              <w:t>The defendant submits that the plaintiff’s</w:t>
            </w:r>
            <w:r w:rsidR="009D2123" w:rsidRPr="00480FB7">
              <w:rPr>
                <w:rFonts w:ascii="Arial Narrow" w:hAnsi="Arial Narrow" w:cs="Arial"/>
                <w:sz w:val="24"/>
                <w:szCs w:val="24"/>
                <w:lang w:val="en-US"/>
              </w:rPr>
              <w:t xml:space="preserve"> application is impr</w:t>
            </w:r>
            <w:r w:rsidR="0019149A">
              <w:rPr>
                <w:rFonts w:ascii="Arial Narrow" w:hAnsi="Arial Narrow" w:cs="Arial"/>
                <w:sz w:val="24"/>
                <w:szCs w:val="24"/>
                <w:lang w:val="en-US"/>
              </w:rPr>
              <w:t xml:space="preserve">oper before court as there is </w:t>
            </w:r>
            <w:r w:rsidR="009D2123" w:rsidRPr="00480FB7">
              <w:rPr>
                <w:rFonts w:ascii="Arial Narrow" w:hAnsi="Arial Narrow" w:cs="Arial"/>
                <w:sz w:val="24"/>
                <w:szCs w:val="24"/>
                <w:lang w:val="en-US"/>
              </w:rPr>
              <w:t>non-compliance with rule 55</w:t>
            </w:r>
            <w:r w:rsidR="009D2123" w:rsidRPr="00480FB7">
              <w:rPr>
                <w:rStyle w:val="FootnoteReference"/>
                <w:rFonts w:ascii="Arial Narrow" w:hAnsi="Arial Narrow" w:cs="Arial"/>
                <w:sz w:val="24"/>
                <w:szCs w:val="24"/>
                <w:lang w:val="en-US"/>
              </w:rPr>
              <w:footnoteReference w:id="1"/>
            </w:r>
            <w:r w:rsidR="0069398C" w:rsidRPr="00480FB7">
              <w:rPr>
                <w:rFonts w:ascii="Arial Narrow" w:hAnsi="Arial Narrow" w:cs="Arial"/>
                <w:sz w:val="24"/>
                <w:szCs w:val="24"/>
                <w:lang w:val="en-US"/>
              </w:rPr>
              <w:t xml:space="preserve"> as well as the court order dated 04 December 2019, which ordered the plaintiff to comply with rule 32(9) and (10)</w:t>
            </w:r>
            <w:r w:rsidR="009D2123" w:rsidRPr="00480FB7">
              <w:rPr>
                <w:rFonts w:ascii="Arial Narrow" w:hAnsi="Arial Narrow" w:cs="Arial"/>
                <w:sz w:val="24"/>
                <w:szCs w:val="24"/>
                <w:lang w:val="en-US"/>
              </w:rPr>
              <w:t>.</w:t>
            </w:r>
            <w:r w:rsidRPr="00480FB7">
              <w:rPr>
                <w:rFonts w:ascii="Arial Narrow" w:hAnsi="Arial Narrow" w:cs="Arial"/>
                <w:sz w:val="24"/>
                <w:szCs w:val="24"/>
                <w:lang w:val="en-US"/>
              </w:rPr>
              <w:t xml:space="preserve"> </w:t>
            </w:r>
            <w:r w:rsidR="006A6028" w:rsidRPr="00480FB7">
              <w:rPr>
                <w:rFonts w:ascii="Arial Narrow" w:hAnsi="Arial Narrow" w:cs="Arial"/>
                <w:sz w:val="24"/>
                <w:szCs w:val="24"/>
                <w:lang w:val="en-US"/>
              </w:rPr>
              <w:t>The defendant further raised the following oppositions:</w:t>
            </w:r>
          </w:p>
          <w:p w:rsidR="006A6028" w:rsidRPr="00480FB7" w:rsidRDefault="006A6028" w:rsidP="006A6028">
            <w:pPr>
              <w:pStyle w:val="ListParagraph"/>
              <w:numPr>
                <w:ilvl w:val="0"/>
                <w:numId w:val="2"/>
              </w:numPr>
              <w:tabs>
                <w:tab w:val="left" w:pos="927"/>
              </w:tabs>
              <w:spacing w:line="360" w:lineRule="auto"/>
              <w:jc w:val="both"/>
              <w:rPr>
                <w:rFonts w:ascii="Arial Narrow" w:hAnsi="Arial Narrow" w:cs="Arial"/>
                <w:sz w:val="24"/>
                <w:szCs w:val="24"/>
                <w:lang w:val="en-US"/>
              </w:rPr>
            </w:pPr>
            <w:r w:rsidRPr="00480FB7">
              <w:rPr>
                <w:rFonts w:ascii="Arial Narrow" w:hAnsi="Arial Narrow" w:cs="Arial"/>
                <w:sz w:val="24"/>
                <w:szCs w:val="24"/>
                <w:lang w:val="en-US"/>
              </w:rPr>
              <w:t>The sanctions affidavit is improperly deposed to as it was deposed to by the plaintiff’s trustee as opposed to the legal representative.</w:t>
            </w:r>
          </w:p>
          <w:p w:rsidR="006A6028" w:rsidRPr="00480FB7" w:rsidRDefault="006A6028" w:rsidP="006A6028">
            <w:pPr>
              <w:pStyle w:val="ListParagraph"/>
              <w:numPr>
                <w:ilvl w:val="0"/>
                <w:numId w:val="2"/>
              </w:numPr>
              <w:tabs>
                <w:tab w:val="left" w:pos="927"/>
              </w:tabs>
              <w:spacing w:line="360" w:lineRule="auto"/>
              <w:jc w:val="both"/>
              <w:rPr>
                <w:rFonts w:ascii="Arial Narrow" w:hAnsi="Arial Narrow" w:cs="Arial"/>
                <w:sz w:val="24"/>
                <w:szCs w:val="24"/>
                <w:lang w:val="en-US"/>
              </w:rPr>
            </w:pPr>
            <w:r w:rsidRPr="00480FB7">
              <w:rPr>
                <w:rFonts w:ascii="Arial Narrow" w:hAnsi="Arial Narrow" w:cs="Arial"/>
                <w:sz w:val="24"/>
                <w:szCs w:val="24"/>
                <w:lang w:val="en-US"/>
              </w:rPr>
              <w:t>The plaintiff lacks authority to conduct these proceedings.</w:t>
            </w:r>
          </w:p>
          <w:p w:rsidR="006A6028" w:rsidRPr="00480FB7" w:rsidRDefault="006A6028" w:rsidP="006A6028">
            <w:pPr>
              <w:pStyle w:val="ListParagraph"/>
              <w:numPr>
                <w:ilvl w:val="0"/>
                <w:numId w:val="2"/>
              </w:numPr>
              <w:tabs>
                <w:tab w:val="left" w:pos="927"/>
              </w:tabs>
              <w:spacing w:line="360" w:lineRule="auto"/>
              <w:jc w:val="both"/>
              <w:rPr>
                <w:rFonts w:ascii="Arial Narrow" w:hAnsi="Arial Narrow" w:cs="Arial"/>
                <w:sz w:val="24"/>
                <w:szCs w:val="24"/>
                <w:lang w:val="en-US"/>
              </w:rPr>
            </w:pPr>
            <w:r w:rsidRPr="00480FB7">
              <w:rPr>
                <w:rFonts w:ascii="Arial Narrow" w:hAnsi="Arial Narrow" w:cs="Arial"/>
                <w:sz w:val="24"/>
                <w:szCs w:val="24"/>
                <w:lang w:val="en-US"/>
              </w:rPr>
              <w:t>The explanation proffered by the plaintiff is not proper and reasonable.</w:t>
            </w:r>
          </w:p>
          <w:p w:rsidR="006A6028" w:rsidRPr="00480FB7" w:rsidRDefault="006A6028" w:rsidP="006A6028">
            <w:pPr>
              <w:pStyle w:val="ListParagraph"/>
              <w:numPr>
                <w:ilvl w:val="0"/>
                <w:numId w:val="2"/>
              </w:numPr>
              <w:tabs>
                <w:tab w:val="left" w:pos="927"/>
              </w:tabs>
              <w:spacing w:line="360" w:lineRule="auto"/>
              <w:jc w:val="both"/>
              <w:rPr>
                <w:rFonts w:ascii="Arial Narrow" w:hAnsi="Arial Narrow" w:cs="Arial"/>
                <w:sz w:val="24"/>
                <w:szCs w:val="24"/>
                <w:lang w:val="en-US"/>
              </w:rPr>
            </w:pPr>
            <w:r w:rsidRPr="00480FB7">
              <w:rPr>
                <w:rFonts w:ascii="Arial Narrow" w:hAnsi="Arial Narrow" w:cs="Arial"/>
                <w:sz w:val="24"/>
                <w:szCs w:val="24"/>
                <w:lang w:val="en-US"/>
              </w:rPr>
              <w:t>The defendant will suffer prejudice.</w:t>
            </w:r>
          </w:p>
          <w:p w:rsidR="00C75855" w:rsidRDefault="00A27269" w:rsidP="00BA2C89">
            <w:pPr>
              <w:spacing w:before="240" w:line="360" w:lineRule="auto"/>
              <w:jc w:val="both"/>
              <w:rPr>
                <w:rFonts w:ascii="Arial Narrow" w:hAnsi="Arial Narrow" w:cs="Arial"/>
                <w:sz w:val="24"/>
                <w:szCs w:val="24"/>
                <w:lang w:val="en-US"/>
              </w:rPr>
            </w:pPr>
            <w:r w:rsidRPr="00C75855">
              <w:rPr>
                <w:rFonts w:ascii="Arial Narrow" w:hAnsi="Arial Narrow" w:cs="Arial"/>
                <w:sz w:val="24"/>
                <w:szCs w:val="24"/>
                <w:lang w:val="en-US"/>
              </w:rPr>
              <w:t>[</w:t>
            </w:r>
            <w:r w:rsidR="00333989">
              <w:rPr>
                <w:rFonts w:ascii="Arial Narrow" w:hAnsi="Arial Narrow" w:cs="Arial"/>
                <w:sz w:val="24"/>
                <w:szCs w:val="24"/>
                <w:lang w:val="en-US"/>
              </w:rPr>
              <w:t>1</w:t>
            </w:r>
            <w:r w:rsidR="009879E8">
              <w:rPr>
                <w:rFonts w:ascii="Arial Narrow" w:hAnsi="Arial Narrow" w:cs="Arial"/>
                <w:sz w:val="24"/>
                <w:szCs w:val="24"/>
                <w:lang w:val="en-US"/>
              </w:rPr>
              <w:t>5</w:t>
            </w:r>
            <w:r w:rsidRPr="00C75855">
              <w:rPr>
                <w:rFonts w:ascii="Arial Narrow" w:hAnsi="Arial Narrow" w:cs="Arial"/>
                <w:sz w:val="24"/>
                <w:szCs w:val="24"/>
                <w:lang w:val="en-US"/>
              </w:rPr>
              <w:t>]</w:t>
            </w:r>
            <w:r w:rsidRPr="00C75855">
              <w:rPr>
                <w:rFonts w:ascii="Arial Narrow" w:hAnsi="Arial Narrow" w:cs="Arial"/>
                <w:sz w:val="24"/>
                <w:szCs w:val="24"/>
                <w:lang w:val="en-US"/>
              </w:rPr>
              <w:tab/>
              <w:t>The defen</w:t>
            </w:r>
            <w:r w:rsidR="005928A5">
              <w:rPr>
                <w:rFonts w:ascii="Arial Narrow" w:hAnsi="Arial Narrow" w:cs="Arial"/>
                <w:sz w:val="24"/>
                <w:szCs w:val="24"/>
                <w:lang w:val="en-US"/>
              </w:rPr>
              <w:t>dant argues that the plaintiff</w:t>
            </w:r>
            <w:r w:rsidRPr="00C75855">
              <w:rPr>
                <w:rFonts w:ascii="Arial Narrow" w:hAnsi="Arial Narrow" w:cs="Arial"/>
                <w:sz w:val="24"/>
                <w:szCs w:val="24"/>
                <w:lang w:val="en-US"/>
              </w:rPr>
              <w:t xml:space="preserve"> </w:t>
            </w:r>
            <w:r w:rsidR="00425A37" w:rsidRPr="00C75855">
              <w:rPr>
                <w:rFonts w:ascii="Arial Narrow" w:hAnsi="Arial Narrow" w:cs="Arial"/>
                <w:sz w:val="24"/>
                <w:szCs w:val="24"/>
                <w:lang w:val="en-US"/>
              </w:rPr>
              <w:t>has a history of not complying with court orders and that this current application is merely a repeat of the p</w:t>
            </w:r>
            <w:r w:rsidR="005928A5">
              <w:rPr>
                <w:rFonts w:ascii="Arial Narrow" w:hAnsi="Arial Narrow" w:cs="Arial"/>
                <w:sz w:val="24"/>
                <w:szCs w:val="24"/>
                <w:lang w:val="en-US"/>
              </w:rPr>
              <w:t>revious non-compliances. It is t</w:t>
            </w:r>
            <w:r w:rsidR="00425A37" w:rsidRPr="00C75855">
              <w:rPr>
                <w:rFonts w:ascii="Arial Narrow" w:hAnsi="Arial Narrow" w:cs="Arial"/>
                <w:sz w:val="24"/>
                <w:szCs w:val="24"/>
                <w:lang w:val="en-US"/>
              </w:rPr>
              <w:t xml:space="preserve">he defendant’s position that the plaintiff has failed to satisfactorily explain the reason for its non-compliance and the failure to either bring a rule compliant condonation application and or an application for the extension of time. The defendant avers that from the plaintiff’s own affidavit, there appears to have been documents provided which could have been discovered as partial compliance to the court orders, however the plaintiff </w:t>
            </w:r>
            <w:r w:rsidR="005928A5">
              <w:rPr>
                <w:rFonts w:ascii="Arial Narrow" w:hAnsi="Arial Narrow" w:cs="Arial"/>
                <w:sz w:val="24"/>
                <w:szCs w:val="24"/>
                <w:lang w:val="en-US"/>
              </w:rPr>
              <w:t xml:space="preserve">failed </w:t>
            </w:r>
            <w:r w:rsidR="00425A37" w:rsidRPr="00C75855">
              <w:rPr>
                <w:rFonts w:ascii="Arial Narrow" w:hAnsi="Arial Narrow" w:cs="Arial"/>
                <w:sz w:val="24"/>
                <w:szCs w:val="24"/>
                <w:lang w:val="en-US"/>
              </w:rPr>
              <w:t>to do that too.</w:t>
            </w:r>
          </w:p>
          <w:p w:rsidR="00C75855" w:rsidRPr="00C75855" w:rsidRDefault="00C75855" w:rsidP="00BA2C89">
            <w:pPr>
              <w:spacing w:before="240" w:line="360" w:lineRule="auto"/>
              <w:jc w:val="both"/>
              <w:rPr>
                <w:rFonts w:ascii="Arial Narrow" w:hAnsi="Arial Narrow" w:cs="Arial"/>
                <w:sz w:val="24"/>
                <w:szCs w:val="24"/>
                <w:lang w:val="en-US"/>
              </w:rPr>
            </w:pPr>
            <w:r>
              <w:rPr>
                <w:rFonts w:ascii="Arial Narrow" w:hAnsi="Arial Narrow" w:cs="Arial"/>
                <w:sz w:val="24"/>
                <w:szCs w:val="24"/>
                <w:lang w:val="en-US"/>
              </w:rPr>
              <w:t>[</w:t>
            </w:r>
            <w:r w:rsidR="009879E8">
              <w:rPr>
                <w:rFonts w:ascii="Arial Narrow" w:hAnsi="Arial Narrow" w:cs="Arial"/>
                <w:sz w:val="24"/>
                <w:szCs w:val="24"/>
                <w:lang w:val="en-US"/>
              </w:rPr>
              <w:t>16</w:t>
            </w:r>
            <w:r>
              <w:rPr>
                <w:rFonts w:ascii="Arial Narrow" w:hAnsi="Arial Narrow" w:cs="Arial"/>
                <w:sz w:val="24"/>
                <w:szCs w:val="24"/>
                <w:lang w:val="en-US"/>
              </w:rPr>
              <w:t xml:space="preserve">]       </w:t>
            </w:r>
            <w:r w:rsidRPr="00C75855">
              <w:rPr>
                <w:rFonts w:ascii="Arial Narrow" w:hAnsi="Arial Narrow" w:cs="Arial"/>
                <w:sz w:val="24"/>
                <w:szCs w:val="24"/>
                <w:lang w:val="en-US"/>
              </w:rPr>
              <w:t>The defendant submits that it has suffered continued prejudice as the cost</w:t>
            </w:r>
            <w:r w:rsidR="005928A5">
              <w:rPr>
                <w:rFonts w:ascii="Arial Narrow" w:hAnsi="Arial Narrow" w:cs="Arial"/>
                <w:sz w:val="24"/>
                <w:szCs w:val="24"/>
                <w:lang w:val="en-US"/>
              </w:rPr>
              <w:t>s of litigating this matter has</w:t>
            </w:r>
            <w:r w:rsidRPr="00C75855">
              <w:rPr>
                <w:rFonts w:ascii="Arial Narrow" w:hAnsi="Arial Narrow" w:cs="Arial"/>
                <w:sz w:val="24"/>
                <w:szCs w:val="24"/>
                <w:lang w:val="en-US"/>
              </w:rPr>
              <w:t xml:space="preserve"> placed a financial burden on her and her husband’s finances as they are unable to meet their legal fees. The defendant further submits that it intends to call several witness to testify in her </w:t>
            </w:r>
            <w:r w:rsidR="00B06560" w:rsidRPr="00C75855">
              <w:rPr>
                <w:rFonts w:ascii="Arial Narrow" w:hAnsi="Arial Narrow" w:cs="Arial"/>
                <w:sz w:val="24"/>
                <w:szCs w:val="24"/>
                <w:lang w:val="en-US"/>
              </w:rPr>
              <w:t>defense</w:t>
            </w:r>
            <w:r w:rsidRPr="00C75855">
              <w:rPr>
                <w:rFonts w:ascii="Arial Narrow" w:hAnsi="Arial Narrow" w:cs="Arial"/>
                <w:sz w:val="24"/>
                <w:szCs w:val="24"/>
                <w:lang w:val="en-US"/>
              </w:rPr>
              <w:t xml:space="preserve"> at trial, however the long delay in prosecuting this matter could result in the witnesses failing to properly recollect the facts at trial.</w:t>
            </w:r>
          </w:p>
          <w:p w:rsidR="00805137" w:rsidRPr="005928A5" w:rsidRDefault="00805137" w:rsidP="00BA2C89">
            <w:pPr>
              <w:spacing w:before="240" w:line="360" w:lineRule="auto"/>
              <w:jc w:val="both"/>
              <w:rPr>
                <w:rFonts w:ascii="Arial Narrow" w:hAnsi="Arial Narrow" w:cs="Arial"/>
                <w:sz w:val="24"/>
                <w:szCs w:val="24"/>
                <w:lang w:val="en-US"/>
              </w:rPr>
            </w:pPr>
            <w:r w:rsidRPr="005928A5">
              <w:rPr>
                <w:rFonts w:ascii="Arial Narrow" w:hAnsi="Arial Narrow" w:cs="Arial"/>
                <w:sz w:val="24"/>
                <w:szCs w:val="24"/>
                <w:lang w:val="en-US"/>
              </w:rPr>
              <w:t>[</w:t>
            </w:r>
            <w:r w:rsidR="00851DA0">
              <w:rPr>
                <w:rFonts w:ascii="Arial Narrow" w:hAnsi="Arial Narrow" w:cs="Arial"/>
                <w:sz w:val="24"/>
                <w:szCs w:val="24"/>
                <w:lang w:val="en-US"/>
              </w:rPr>
              <w:t>1</w:t>
            </w:r>
            <w:r w:rsidR="009879E8">
              <w:rPr>
                <w:rFonts w:ascii="Arial Narrow" w:hAnsi="Arial Narrow" w:cs="Arial"/>
                <w:sz w:val="24"/>
                <w:szCs w:val="24"/>
                <w:lang w:val="en-US"/>
              </w:rPr>
              <w:t>7</w:t>
            </w:r>
            <w:r w:rsidRPr="005928A5">
              <w:rPr>
                <w:rFonts w:ascii="Arial Narrow" w:hAnsi="Arial Narrow" w:cs="Arial"/>
                <w:sz w:val="24"/>
                <w:szCs w:val="24"/>
                <w:lang w:val="en-US"/>
              </w:rPr>
              <w:t xml:space="preserve">]     </w:t>
            </w:r>
            <w:r w:rsidR="00A27269" w:rsidRPr="005928A5">
              <w:rPr>
                <w:rFonts w:ascii="Arial Narrow" w:hAnsi="Arial Narrow" w:cs="Arial"/>
                <w:sz w:val="24"/>
                <w:szCs w:val="24"/>
                <w:lang w:val="en-US"/>
              </w:rPr>
              <w:t xml:space="preserve">The defendant </w:t>
            </w:r>
            <w:r w:rsidRPr="005928A5">
              <w:rPr>
                <w:rFonts w:ascii="Arial Narrow" w:hAnsi="Arial Narrow" w:cs="Arial"/>
                <w:sz w:val="24"/>
                <w:szCs w:val="24"/>
                <w:lang w:val="en-US"/>
              </w:rPr>
              <w:t xml:space="preserve">prays for the following orders: </w:t>
            </w:r>
          </w:p>
          <w:p w:rsidR="005928A5" w:rsidRPr="005928A5" w:rsidRDefault="005928A5" w:rsidP="00805137">
            <w:pPr>
              <w:pStyle w:val="ListParagraph"/>
              <w:numPr>
                <w:ilvl w:val="0"/>
                <w:numId w:val="5"/>
              </w:numPr>
              <w:spacing w:before="240" w:line="360" w:lineRule="auto"/>
              <w:jc w:val="both"/>
              <w:rPr>
                <w:rFonts w:ascii="Arial Narrow" w:hAnsi="Arial Narrow" w:cs="Arial"/>
                <w:sz w:val="24"/>
                <w:szCs w:val="24"/>
                <w:lang w:val="en-US"/>
              </w:rPr>
            </w:pPr>
            <w:r w:rsidRPr="005928A5">
              <w:rPr>
                <w:rFonts w:ascii="Arial Narrow" w:hAnsi="Arial Narrow" w:cs="Arial"/>
                <w:sz w:val="24"/>
                <w:szCs w:val="24"/>
                <w:lang w:val="en-US"/>
              </w:rPr>
              <w:t>For the plaintiff’s combined summons, particulars of claim, and replication be struck;</w:t>
            </w:r>
          </w:p>
          <w:p w:rsidR="005928A5" w:rsidRPr="005928A5" w:rsidRDefault="005928A5" w:rsidP="00805137">
            <w:pPr>
              <w:pStyle w:val="ListParagraph"/>
              <w:numPr>
                <w:ilvl w:val="0"/>
                <w:numId w:val="5"/>
              </w:numPr>
              <w:spacing w:before="240" w:line="360" w:lineRule="auto"/>
              <w:jc w:val="both"/>
              <w:rPr>
                <w:rFonts w:ascii="Arial Narrow" w:hAnsi="Arial Narrow" w:cs="Arial"/>
                <w:sz w:val="24"/>
                <w:szCs w:val="24"/>
                <w:lang w:val="en-US"/>
              </w:rPr>
            </w:pPr>
            <w:r w:rsidRPr="005928A5">
              <w:rPr>
                <w:rFonts w:ascii="Arial Narrow" w:hAnsi="Arial Narrow" w:cs="Arial"/>
                <w:sz w:val="24"/>
                <w:szCs w:val="24"/>
                <w:lang w:val="en-US"/>
              </w:rPr>
              <w:t>For the plaintiff to pay the defendant’s taxed wasted costs occasioned by this action, such costs to include the costs of one instructing and one instructed counsel.</w:t>
            </w:r>
          </w:p>
          <w:p w:rsidR="005928A5" w:rsidRPr="005928A5" w:rsidRDefault="005928A5" w:rsidP="00805137">
            <w:pPr>
              <w:pStyle w:val="ListParagraph"/>
              <w:numPr>
                <w:ilvl w:val="0"/>
                <w:numId w:val="5"/>
              </w:numPr>
              <w:spacing w:before="240" w:line="360" w:lineRule="auto"/>
              <w:jc w:val="both"/>
              <w:rPr>
                <w:rFonts w:ascii="Arial Narrow" w:hAnsi="Arial Narrow" w:cs="Arial"/>
                <w:sz w:val="24"/>
                <w:szCs w:val="24"/>
                <w:lang w:val="en-US"/>
              </w:rPr>
            </w:pPr>
            <w:r w:rsidRPr="005928A5">
              <w:rPr>
                <w:rFonts w:ascii="Arial Narrow" w:hAnsi="Arial Narrow" w:cs="Arial"/>
                <w:sz w:val="24"/>
                <w:szCs w:val="24"/>
                <w:lang w:val="en-US"/>
              </w:rPr>
              <w:t xml:space="preserve">For the costs awarded to be paid by the plaintiff in his personal capacity, alternatively in his capacity as trustee of the </w:t>
            </w:r>
            <w:proofErr w:type="spellStart"/>
            <w:r w:rsidRPr="005928A5">
              <w:rPr>
                <w:rFonts w:ascii="Arial Narrow" w:hAnsi="Arial Narrow" w:cs="Arial"/>
                <w:sz w:val="24"/>
                <w:szCs w:val="24"/>
                <w:lang w:val="en-US"/>
              </w:rPr>
              <w:t>Kuisebmund</w:t>
            </w:r>
            <w:proofErr w:type="spellEnd"/>
            <w:r w:rsidRPr="005928A5">
              <w:rPr>
                <w:rFonts w:ascii="Arial Narrow" w:hAnsi="Arial Narrow" w:cs="Arial"/>
                <w:sz w:val="24"/>
                <w:szCs w:val="24"/>
                <w:lang w:val="en-US"/>
              </w:rPr>
              <w:t xml:space="preserve"> Community Housing Trust.</w:t>
            </w:r>
          </w:p>
          <w:p w:rsidR="00A27269" w:rsidRPr="005928A5" w:rsidRDefault="005928A5" w:rsidP="005928A5">
            <w:pPr>
              <w:pStyle w:val="ListParagraph"/>
              <w:numPr>
                <w:ilvl w:val="0"/>
                <w:numId w:val="5"/>
              </w:numPr>
              <w:spacing w:before="240" w:line="360" w:lineRule="auto"/>
              <w:jc w:val="both"/>
              <w:rPr>
                <w:rFonts w:ascii="Arial Narrow" w:hAnsi="Arial Narrow" w:cs="Arial"/>
                <w:sz w:val="24"/>
                <w:szCs w:val="24"/>
                <w:lang w:val="en-US"/>
              </w:rPr>
            </w:pPr>
            <w:r w:rsidRPr="005928A5">
              <w:rPr>
                <w:rFonts w:ascii="Arial Narrow" w:hAnsi="Arial Narrow" w:cs="Arial"/>
                <w:sz w:val="24"/>
                <w:szCs w:val="24"/>
                <w:lang w:val="en-US"/>
              </w:rPr>
              <w:t>Further and or alternative sanctions as envisaged in rule 53.</w:t>
            </w:r>
          </w:p>
          <w:p w:rsidR="00A27269" w:rsidRPr="007A751A" w:rsidRDefault="00A27269" w:rsidP="00BA2C89">
            <w:pPr>
              <w:spacing w:line="360" w:lineRule="auto"/>
              <w:jc w:val="both"/>
              <w:rPr>
                <w:rFonts w:ascii="Arial Narrow" w:hAnsi="Arial Narrow" w:cs="Arial"/>
                <w:sz w:val="24"/>
                <w:szCs w:val="24"/>
                <w:lang w:val="en-US"/>
              </w:rPr>
            </w:pPr>
          </w:p>
          <w:p w:rsidR="00A27269" w:rsidRPr="00944923" w:rsidRDefault="00A27269" w:rsidP="009575B3">
            <w:pPr>
              <w:spacing w:line="360" w:lineRule="auto"/>
              <w:jc w:val="both"/>
              <w:rPr>
                <w:rFonts w:ascii="Arial Narrow" w:hAnsi="Arial Narrow" w:cs="Arial"/>
                <w:sz w:val="24"/>
                <w:szCs w:val="24"/>
                <w:u w:val="single"/>
                <w:lang w:val="en-US"/>
              </w:rPr>
            </w:pPr>
            <w:r w:rsidRPr="00944923">
              <w:rPr>
                <w:rFonts w:ascii="Arial Narrow" w:hAnsi="Arial Narrow" w:cs="Arial"/>
                <w:sz w:val="24"/>
                <w:szCs w:val="24"/>
                <w:u w:val="single"/>
                <w:lang w:val="en-US"/>
              </w:rPr>
              <w:t>Legal principles</w:t>
            </w:r>
          </w:p>
          <w:p w:rsidR="00A27269" w:rsidRDefault="00A27269" w:rsidP="0004695A">
            <w:pPr>
              <w:spacing w:before="240" w:line="360" w:lineRule="auto"/>
              <w:jc w:val="both"/>
              <w:rPr>
                <w:rFonts w:ascii="Arial Narrow" w:hAnsi="Arial Narrow" w:cs="Arial"/>
                <w:sz w:val="24"/>
                <w:szCs w:val="24"/>
                <w:lang w:val="en-US"/>
              </w:rPr>
            </w:pPr>
            <w:r w:rsidRPr="009575B3">
              <w:rPr>
                <w:rFonts w:ascii="Arial Narrow" w:hAnsi="Arial Narrow" w:cs="Arial"/>
                <w:sz w:val="24"/>
                <w:szCs w:val="24"/>
                <w:lang w:val="en-US"/>
              </w:rPr>
              <w:t>[</w:t>
            </w:r>
            <w:r w:rsidR="00851DA0">
              <w:rPr>
                <w:rFonts w:ascii="Arial Narrow" w:hAnsi="Arial Narrow" w:cs="Arial"/>
                <w:sz w:val="24"/>
                <w:szCs w:val="24"/>
                <w:lang w:val="en-US"/>
              </w:rPr>
              <w:t>1</w:t>
            </w:r>
            <w:r w:rsidR="009879E8">
              <w:rPr>
                <w:rFonts w:ascii="Arial Narrow" w:hAnsi="Arial Narrow" w:cs="Arial"/>
                <w:sz w:val="24"/>
                <w:szCs w:val="24"/>
                <w:lang w:val="en-US"/>
              </w:rPr>
              <w:t>8</w:t>
            </w:r>
            <w:r w:rsidRPr="009575B3">
              <w:rPr>
                <w:rFonts w:ascii="Arial Narrow" w:hAnsi="Arial Narrow" w:cs="Arial"/>
                <w:sz w:val="24"/>
                <w:szCs w:val="24"/>
                <w:lang w:val="en-US"/>
              </w:rPr>
              <w:t>]</w:t>
            </w:r>
            <w:r w:rsidRPr="009575B3">
              <w:rPr>
                <w:rFonts w:ascii="Arial Narrow" w:hAnsi="Arial Narrow" w:cs="Arial"/>
                <w:sz w:val="24"/>
                <w:szCs w:val="24"/>
                <w:lang w:val="en-US"/>
              </w:rPr>
              <w:tab/>
            </w:r>
            <w:r w:rsidR="009575B3" w:rsidRPr="009575B3">
              <w:rPr>
                <w:rFonts w:ascii="Arial Narrow" w:hAnsi="Arial Narrow" w:cs="Arial"/>
                <w:sz w:val="24"/>
                <w:szCs w:val="24"/>
                <w:lang w:val="en-US"/>
              </w:rPr>
              <w:t>In determining this matter, the court is guided by the rules of court and in particular r</w:t>
            </w:r>
            <w:r w:rsidRPr="009575B3">
              <w:rPr>
                <w:rFonts w:ascii="Arial Narrow" w:hAnsi="Arial Narrow" w:cs="Arial"/>
                <w:sz w:val="24"/>
                <w:szCs w:val="24"/>
                <w:lang w:val="en-US"/>
              </w:rPr>
              <w:t xml:space="preserve">ule 1(3) </w:t>
            </w:r>
            <w:r w:rsidR="009575B3" w:rsidRPr="009575B3">
              <w:rPr>
                <w:rFonts w:ascii="Arial Narrow" w:hAnsi="Arial Narrow" w:cs="Arial"/>
                <w:sz w:val="24"/>
                <w:szCs w:val="24"/>
                <w:lang w:val="en-US"/>
              </w:rPr>
              <w:t xml:space="preserve">which </w:t>
            </w:r>
            <w:r w:rsidRPr="009575B3">
              <w:rPr>
                <w:rFonts w:ascii="Arial Narrow" w:hAnsi="Arial Narrow" w:cs="Arial"/>
                <w:sz w:val="24"/>
                <w:szCs w:val="24"/>
                <w:lang w:val="en-US"/>
              </w:rPr>
              <w:t>states that the overriding objective of the rules is to facilitate the resolution of the real issues in dispute, justly and speedily, efficiently and cost effectively, as f</w:t>
            </w:r>
            <w:r w:rsidR="005928A5">
              <w:rPr>
                <w:rFonts w:ascii="Arial Narrow" w:hAnsi="Arial Narrow" w:cs="Arial"/>
                <w:sz w:val="24"/>
                <w:szCs w:val="24"/>
                <w:lang w:val="en-US"/>
              </w:rPr>
              <w:t xml:space="preserve">ar as practicable. </w:t>
            </w:r>
            <w:r w:rsidR="009575B3" w:rsidRPr="009575B3">
              <w:rPr>
                <w:rFonts w:ascii="Arial Narrow" w:hAnsi="Arial Narrow" w:cs="Arial"/>
                <w:sz w:val="24"/>
                <w:szCs w:val="24"/>
                <w:lang w:val="en-US"/>
              </w:rPr>
              <w:t>R</w:t>
            </w:r>
            <w:r w:rsidRPr="009575B3">
              <w:rPr>
                <w:rFonts w:ascii="Arial Narrow" w:hAnsi="Arial Narrow" w:cs="Arial"/>
                <w:sz w:val="24"/>
                <w:szCs w:val="24"/>
                <w:lang w:val="en-US"/>
              </w:rPr>
              <w:t>ule 17 (2)</w:t>
            </w:r>
            <w:r w:rsidR="009575B3" w:rsidRPr="009575B3">
              <w:rPr>
                <w:rFonts w:ascii="Arial Narrow" w:hAnsi="Arial Narrow" w:cs="Arial"/>
                <w:sz w:val="24"/>
                <w:szCs w:val="24"/>
                <w:lang w:val="en-US"/>
              </w:rPr>
              <w:t xml:space="preserve"> further provides that</w:t>
            </w:r>
            <w:r w:rsidRPr="009575B3">
              <w:rPr>
                <w:rFonts w:ascii="Arial Narrow" w:hAnsi="Arial Narrow" w:cs="Arial"/>
                <w:sz w:val="24"/>
                <w:szCs w:val="24"/>
                <w:lang w:val="en-US"/>
              </w:rPr>
              <w:t>, the control and management of cases filed at the court is the primary responsibility of the court and the parties and their legal practitioners must cooperate with the court to achieve the overr</w:t>
            </w:r>
            <w:r w:rsidR="009575B3" w:rsidRPr="009575B3">
              <w:rPr>
                <w:rFonts w:ascii="Arial Narrow" w:hAnsi="Arial Narrow" w:cs="Arial"/>
                <w:sz w:val="24"/>
                <w:szCs w:val="24"/>
                <w:lang w:val="en-US"/>
              </w:rPr>
              <w:t xml:space="preserve">iding objective, thus non-compliance with the case management orders </w:t>
            </w:r>
            <w:r w:rsidR="0038511D">
              <w:rPr>
                <w:rFonts w:ascii="Arial Narrow" w:hAnsi="Arial Narrow" w:cs="Arial"/>
                <w:sz w:val="24"/>
                <w:szCs w:val="24"/>
                <w:lang w:val="en-US"/>
              </w:rPr>
              <w:t>are i</w:t>
            </w:r>
            <w:r w:rsidR="009575B3" w:rsidRPr="009575B3">
              <w:rPr>
                <w:rFonts w:ascii="Arial Narrow" w:hAnsi="Arial Narrow" w:cs="Arial"/>
                <w:sz w:val="24"/>
                <w:szCs w:val="24"/>
                <w:lang w:val="en-US"/>
              </w:rPr>
              <w:t>n direct conflict with the rules of court and against the interest of bring</w:t>
            </w:r>
            <w:r w:rsidR="0038511D">
              <w:rPr>
                <w:rFonts w:ascii="Arial Narrow" w:hAnsi="Arial Narrow" w:cs="Arial"/>
                <w:sz w:val="24"/>
                <w:szCs w:val="24"/>
                <w:lang w:val="en-US"/>
              </w:rPr>
              <w:t>ing matters to finality.</w:t>
            </w:r>
          </w:p>
          <w:p w:rsidR="00851DA0" w:rsidRDefault="00B76A26" w:rsidP="0004695A">
            <w:pPr>
              <w:spacing w:before="240" w:line="360" w:lineRule="auto"/>
              <w:jc w:val="both"/>
              <w:rPr>
                <w:rFonts w:ascii="Arial Narrow" w:hAnsi="Arial Narrow" w:cs="Arial"/>
                <w:sz w:val="24"/>
                <w:szCs w:val="24"/>
                <w:lang w:val="en-US"/>
              </w:rPr>
            </w:pPr>
            <w:r>
              <w:rPr>
                <w:rFonts w:ascii="Arial Narrow" w:hAnsi="Arial Narrow" w:cs="Arial"/>
                <w:sz w:val="24"/>
                <w:szCs w:val="24"/>
                <w:lang w:val="en-US"/>
              </w:rPr>
              <w:t>[</w:t>
            </w:r>
            <w:r w:rsidR="00851DA0">
              <w:rPr>
                <w:rFonts w:ascii="Arial Narrow" w:hAnsi="Arial Narrow" w:cs="Arial"/>
                <w:sz w:val="24"/>
                <w:szCs w:val="24"/>
                <w:lang w:val="en-US"/>
              </w:rPr>
              <w:t>1</w:t>
            </w:r>
            <w:r w:rsidR="009879E8">
              <w:rPr>
                <w:rFonts w:ascii="Arial Narrow" w:hAnsi="Arial Narrow" w:cs="Arial"/>
                <w:sz w:val="24"/>
                <w:szCs w:val="24"/>
                <w:lang w:val="en-US"/>
              </w:rPr>
              <w:t>9</w:t>
            </w:r>
            <w:r>
              <w:rPr>
                <w:rFonts w:ascii="Arial Narrow" w:hAnsi="Arial Narrow" w:cs="Arial"/>
                <w:sz w:val="24"/>
                <w:szCs w:val="24"/>
                <w:lang w:val="en-US"/>
              </w:rPr>
              <w:t xml:space="preserve">]        </w:t>
            </w:r>
            <w:r w:rsidR="0038511D">
              <w:rPr>
                <w:rFonts w:ascii="Arial Narrow" w:hAnsi="Arial Narrow" w:cs="Arial"/>
                <w:sz w:val="24"/>
                <w:szCs w:val="24"/>
                <w:lang w:val="en-US"/>
              </w:rPr>
              <w:t xml:space="preserve">On the other hand I must bear in mind that the rules are to serve the interest of justice and must do justice between the parties. </w:t>
            </w:r>
            <w:r w:rsidR="00851DA0">
              <w:rPr>
                <w:rFonts w:ascii="Arial Narrow" w:hAnsi="Arial Narrow" w:cs="Arial"/>
                <w:sz w:val="24"/>
                <w:szCs w:val="24"/>
                <w:lang w:val="en-US"/>
              </w:rPr>
              <w:t xml:space="preserve">In </w:t>
            </w:r>
            <w:proofErr w:type="spellStart"/>
            <w:r w:rsidR="00551B6D" w:rsidRPr="00551B6D">
              <w:rPr>
                <w:rFonts w:ascii="Arial Narrow" w:hAnsi="Arial Narrow" w:cs="Arial"/>
                <w:i/>
                <w:sz w:val="24"/>
                <w:szCs w:val="24"/>
                <w:lang w:val="en-US"/>
              </w:rPr>
              <w:t>Donatus</w:t>
            </w:r>
            <w:proofErr w:type="spellEnd"/>
            <w:r w:rsidR="00851DA0" w:rsidRPr="00551B6D">
              <w:rPr>
                <w:rFonts w:ascii="Arial Narrow" w:hAnsi="Arial Narrow" w:cs="Arial"/>
                <w:i/>
                <w:sz w:val="24"/>
                <w:szCs w:val="24"/>
                <w:lang w:val="en-US"/>
              </w:rPr>
              <w:t xml:space="preserve"> v </w:t>
            </w:r>
            <w:r w:rsidR="00551B6D" w:rsidRPr="00551B6D">
              <w:rPr>
                <w:rFonts w:ascii="Arial Narrow" w:hAnsi="Arial Narrow" w:cs="Arial"/>
                <w:i/>
                <w:sz w:val="24"/>
                <w:szCs w:val="24"/>
                <w:lang w:val="en-US"/>
              </w:rPr>
              <w:t>Ministry of Health and Social Welfare</w:t>
            </w:r>
            <w:r w:rsidR="00851DA0" w:rsidRPr="00551B6D">
              <w:rPr>
                <w:rFonts w:ascii="Arial Narrow" w:hAnsi="Arial Narrow" w:cs="Arial"/>
                <w:i/>
                <w:sz w:val="24"/>
                <w:szCs w:val="24"/>
                <w:lang w:val="en-US"/>
              </w:rPr>
              <w:t xml:space="preserve"> 2016 (2) NR 532 (HC</w:t>
            </w:r>
            <w:r w:rsidR="00851DA0" w:rsidRPr="00851DA0">
              <w:rPr>
                <w:rFonts w:ascii="Arial Narrow" w:hAnsi="Arial Narrow" w:cs="Arial"/>
                <w:sz w:val="24"/>
                <w:szCs w:val="24"/>
                <w:lang w:val="en-US"/>
              </w:rPr>
              <w:t>)</w:t>
            </w:r>
            <w:r w:rsidR="00551B6D">
              <w:rPr>
                <w:rFonts w:ascii="Arial Narrow" w:hAnsi="Arial Narrow" w:cs="Arial"/>
                <w:sz w:val="24"/>
                <w:szCs w:val="24"/>
                <w:lang w:val="en-US"/>
              </w:rPr>
              <w:t>,</w:t>
            </w:r>
            <w:r w:rsidR="00851DA0">
              <w:rPr>
                <w:rFonts w:ascii="Arial Narrow" w:hAnsi="Arial Narrow" w:cs="Arial"/>
                <w:sz w:val="24"/>
                <w:szCs w:val="24"/>
                <w:lang w:val="en-US"/>
              </w:rPr>
              <w:t xml:space="preserve"> </w:t>
            </w:r>
            <w:proofErr w:type="spellStart"/>
            <w:r w:rsidR="00851DA0">
              <w:rPr>
                <w:rFonts w:ascii="Arial Narrow" w:hAnsi="Arial Narrow" w:cs="Arial"/>
                <w:sz w:val="24"/>
                <w:szCs w:val="24"/>
                <w:lang w:val="en-US"/>
              </w:rPr>
              <w:t>Masuku</w:t>
            </w:r>
            <w:proofErr w:type="spellEnd"/>
            <w:r w:rsidR="00851DA0">
              <w:rPr>
                <w:rFonts w:ascii="Arial Narrow" w:hAnsi="Arial Narrow" w:cs="Arial"/>
                <w:sz w:val="24"/>
                <w:szCs w:val="24"/>
                <w:lang w:val="en-US"/>
              </w:rPr>
              <w:t xml:space="preserve"> J, at page 541, para 32, stated as follow when confronted with a similar scenario: </w:t>
            </w:r>
          </w:p>
          <w:p w:rsidR="00A27269" w:rsidRPr="009879E8" w:rsidRDefault="00851DA0" w:rsidP="00851DA0">
            <w:pPr>
              <w:spacing w:before="240" w:line="360" w:lineRule="auto"/>
              <w:jc w:val="both"/>
              <w:rPr>
                <w:rFonts w:ascii="Arial Narrow" w:hAnsi="Arial Narrow" w:cs="Arial"/>
                <w:lang w:val="en-ZA"/>
              </w:rPr>
            </w:pPr>
            <w:r>
              <w:rPr>
                <w:rFonts w:ascii="Arial Narrow" w:hAnsi="Arial Narrow" w:cs="Arial"/>
                <w:sz w:val="24"/>
                <w:szCs w:val="24"/>
                <w:lang w:val="en-US"/>
              </w:rPr>
              <w:t xml:space="preserve">   </w:t>
            </w:r>
            <w:r w:rsidR="00B76A26" w:rsidRPr="00B76A26">
              <w:rPr>
                <w:rFonts w:ascii="Arial Narrow" w:hAnsi="Arial Narrow" w:cs="Arial"/>
                <w:lang w:val="en-ZA"/>
              </w:rPr>
              <w:t xml:space="preserve">       </w:t>
            </w:r>
            <w:r w:rsidRPr="009879E8">
              <w:rPr>
                <w:rFonts w:ascii="Arial Narrow" w:hAnsi="Arial Narrow" w:cs="Arial"/>
                <w:lang w:val="en-ZA"/>
              </w:rPr>
              <w:t>‘</w:t>
            </w:r>
            <w:r w:rsidR="00B76A26" w:rsidRPr="009879E8">
              <w:rPr>
                <w:rFonts w:ascii="Arial Narrow" w:hAnsi="Arial Narrow" w:cs="Arial"/>
                <w:lang w:val="en-ZA"/>
              </w:rPr>
              <w:t xml:space="preserve"> </w:t>
            </w:r>
            <w:r w:rsidRPr="009879E8">
              <w:rPr>
                <w:rFonts w:ascii="Arial Narrow" w:hAnsi="Arial Narrow" w:cs="Arial"/>
                <w:lang w:val="en-ZA"/>
              </w:rPr>
              <w:t>It is clear from the foregoing that the court, in applying sanctions to an errant party, exercises a discretion and has at its disposal a panoply of alternatives in terms of punishing a party that is in default of a court order or direction. In this regard, it would seem to me that the court should enter an order that is just, appropriate and fair in all the circumstances. It would seem to me that the court has to consider the case at hand; its nuances; the nature of the non-compliance; its extent; its effect on the further conduct on the proceedings; the attitude or behaviour of the party or its legal representative, to mention some of the considerations, and thereafter make a value judgment that will at the end meet the justice of the case.</w:t>
            </w:r>
            <w:r w:rsidR="00E25E34">
              <w:rPr>
                <w:rFonts w:ascii="Arial Narrow" w:hAnsi="Arial Narrow" w:cs="Arial"/>
                <w:lang w:val="en-ZA"/>
              </w:rPr>
              <w:t>’</w:t>
            </w:r>
            <w:r w:rsidR="00B76A26" w:rsidRPr="009879E8">
              <w:rPr>
                <w:rFonts w:ascii="Arial Narrow" w:hAnsi="Arial Narrow" w:cs="Arial"/>
                <w:lang w:val="en-ZA"/>
              </w:rPr>
              <w:t xml:space="preserve">        </w:t>
            </w:r>
          </w:p>
          <w:p w:rsidR="00812C89" w:rsidRPr="009879E8" w:rsidRDefault="00812C89" w:rsidP="00851DA0">
            <w:pPr>
              <w:spacing w:before="240" w:line="360" w:lineRule="auto"/>
              <w:jc w:val="both"/>
              <w:rPr>
                <w:rFonts w:ascii="Arial Narrow" w:hAnsi="Arial Narrow" w:cs="Arial"/>
                <w:sz w:val="24"/>
                <w:szCs w:val="24"/>
                <w:u w:val="single"/>
                <w:lang w:val="en-US"/>
              </w:rPr>
            </w:pPr>
            <w:r w:rsidRPr="009879E8">
              <w:rPr>
                <w:rFonts w:ascii="Arial Narrow" w:hAnsi="Arial Narrow" w:cs="Arial"/>
                <w:sz w:val="24"/>
                <w:szCs w:val="24"/>
                <w:u w:val="single"/>
                <w:lang w:val="en-ZA"/>
              </w:rPr>
              <w:t>Application of the law</w:t>
            </w:r>
          </w:p>
          <w:p w:rsidR="00E45076" w:rsidRDefault="00E45076" w:rsidP="00BA2C89">
            <w:pPr>
              <w:spacing w:line="360" w:lineRule="auto"/>
              <w:jc w:val="both"/>
              <w:rPr>
                <w:rFonts w:ascii="Arial Narrow" w:hAnsi="Arial Narrow" w:cs="Arial"/>
                <w:sz w:val="24"/>
                <w:szCs w:val="24"/>
                <w:lang w:val="af-ZA"/>
              </w:rPr>
            </w:pPr>
          </w:p>
          <w:p w:rsidR="002A7E68" w:rsidRDefault="00040D36" w:rsidP="00040D36">
            <w:pPr>
              <w:spacing w:line="360" w:lineRule="auto"/>
              <w:jc w:val="both"/>
              <w:rPr>
                <w:rFonts w:ascii="Arial Narrow" w:hAnsi="Arial Narrow" w:cs="Arial"/>
                <w:sz w:val="24"/>
                <w:szCs w:val="24"/>
                <w:lang w:val="en-US"/>
              </w:rPr>
            </w:pPr>
            <w:r w:rsidRPr="008732D3">
              <w:rPr>
                <w:rFonts w:ascii="Arial Narrow" w:hAnsi="Arial Narrow" w:cs="Arial"/>
                <w:sz w:val="24"/>
                <w:szCs w:val="24"/>
                <w:lang w:val="en-US"/>
              </w:rPr>
              <w:t>[</w:t>
            </w:r>
            <w:r w:rsidR="009879E8">
              <w:rPr>
                <w:rFonts w:ascii="Arial Narrow" w:hAnsi="Arial Narrow" w:cs="Arial"/>
                <w:sz w:val="24"/>
                <w:szCs w:val="24"/>
                <w:lang w:val="en-US"/>
              </w:rPr>
              <w:t>20</w:t>
            </w:r>
            <w:r w:rsidRPr="008732D3">
              <w:rPr>
                <w:rFonts w:ascii="Arial Narrow" w:hAnsi="Arial Narrow" w:cs="Arial"/>
                <w:sz w:val="24"/>
                <w:szCs w:val="24"/>
                <w:lang w:val="en-US"/>
              </w:rPr>
              <w:t>]</w:t>
            </w:r>
            <w:r w:rsidRPr="008732D3">
              <w:rPr>
                <w:rFonts w:ascii="Arial Narrow" w:hAnsi="Arial Narrow" w:cs="Arial"/>
                <w:sz w:val="24"/>
                <w:szCs w:val="24"/>
                <w:lang w:val="en-US"/>
              </w:rPr>
              <w:tab/>
            </w:r>
            <w:r w:rsidR="00851DA0">
              <w:rPr>
                <w:rFonts w:ascii="Arial Narrow" w:hAnsi="Arial Narrow" w:cs="Arial"/>
                <w:sz w:val="24"/>
                <w:szCs w:val="24"/>
                <w:lang w:val="en-US"/>
              </w:rPr>
              <w:t>The p</w:t>
            </w:r>
            <w:r w:rsidR="0038511D">
              <w:rPr>
                <w:rFonts w:ascii="Arial Narrow" w:hAnsi="Arial Narrow" w:cs="Arial"/>
                <w:sz w:val="24"/>
                <w:szCs w:val="24"/>
                <w:lang w:val="en-US"/>
              </w:rPr>
              <w:t>laintiff herein has</w:t>
            </w:r>
            <w:r w:rsidR="00780CA1">
              <w:rPr>
                <w:rFonts w:ascii="Arial Narrow" w:hAnsi="Arial Narrow" w:cs="Arial"/>
                <w:sz w:val="24"/>
                <w:szCs w:val="24"/>
                <w:lang w:val="en-US"/>
              </w:rPr>
              <w:t xml:space="preserve"> failed to make</w:t>
            </w:r>
            <w:r w:rsidR="0038511D">
              <w:rPr>
                <w:rFonts w:ascii="Arial Narrow" w:hAnsi="Arial Narrow" w:cs="Arial"/>
                <w:sz w:val="24"/>
                <w:szCs w:val="24"/>
                <w:lang w:val="en-US"/>
              </w:rPr>
              <w:t xml:space="preserve"> </w:t>
            </w:r>
            <w:r w:rsidR="00851DA0">
              <w:rPr>
                <w:rFonts w:ascii="Arial Narrow" w:hAnsi="Arial Narrow" w:cs="Arial"/>
                <w:sz w:val="24"/>
                <w:szCs w:val="24"/>
                <w:lang w:val="en-US"/>
              </w:rPr>
              <w:t xml:space="preserve">proper discovery of documents for a considerable time. </w:t>
            </w:r>
            <w:r w:rsidR="0038511D">
              <w:rPr>
                <w:rFonts w:ascii="Arial Narrow" w:hAnsi="Arial Narrow" w:cs="Arial"/>
                <w:sz w:val="24"/>
                <w:szCs w:val="24"/>
                <w:lang w:val="en-US"/>
              </w:rPr>
              <w:t>The first delay was occasioned by the fact that the plaintiff’s</w:t>
            </w:r>
            <w:r w:rsidR="00780CA1">
              <w:rPr>
                <w:rFonts w:ascii="Arial Narrow" w:hAnsi="Arial Narrow" w:cs="Arial"/>
                <w:sz w:val="24"/>
                <w:szCs w:val="24"/>
                <w:lang w:val="en-US"/>
              </w:rPr>
              <w:t xml:space="preserve"> legal practitioners withdrew. </w:t>
            </w:r>
            <w:r w:rsidR="0038511D">
              <w:rPr>
                <w:rFonts w:ascii="Arial Narrow" w:hAnsi="Arial Narrow" w:cs="Arial"/>
                <w:sz w:val="24"/>
                <w:szCs w:val="24"/>
                <w:lang w:val="en-US"/>
              </w:rPr>
              <w:t xml:space="preserve">The plaintiff however took more than five months to instruct the current legal practitioners. The plaintiff’s complied with the order of court to discover but this evidently did not suffice. When requested to </w:t>
            </w:r>
            <w:r w:rsidR="002A7E68">
              <w:rPr>
                <w:rFonts w:ascii="Arial Narrow" w:hAnsi="Arial Narrow" w:cs="Arial"/>
                <w:sz w:val="24"/>
                <w:szCs w:val="24"/>
                <w:lang w:val="en-US"/>
              </w:rPr>
              <w:t xml:space="preserve">make </w:t>
            </w:r>
            <w:r w:rsidR="0038511D">
              <w:rPr>
                <w:rFonts w:ascii="Arial Narrow" w:hAnsi="Arial Narrow" w:cs="Arial"/>
                <w:sz w:val="24"/>
                <w:szCs w:val="24"/>
                <w:lang w:val="en-US"/>
              </w:rPr>
              <w:t>additional discovery, the plaintiff complied albeit incompletely. It was at this stage that the plaintiff was required</w:t>
            </w:r>
            <w:r w:rsidR="00EC5F9C">
              <w:rPr>
                <w:rFonts w:ascii="Arial Narrow" w:hAnsi="Arial Narrow" w:cs="Arial"/>
                <w:sz w:val="24"/>
                <w:szCs w:val="24"/>
                <w:lang w:val="en-US"/>
              </w:rPr>
              <w:t xml:space="preserve"> to deli</w:t>
            </w:r>
            <w:r w:rsidR="002A7E68">
              <w:rPr>
                <w:rFonts w:ascii="Arial Narrow" w:hAnsi="Arial Narrow" w:cs="Arial"/>
                <w:sz w:val="24"/>
                <w:szCs w:val="24"/>
                <w:lang w:val="en-US"/>
              </w:rPr>
              <w:t xml:space="preserve">ver a written statement giving full particulars in respect of each document which was required </w:t>
            </w:r>
            <w:proofErr w:type="spellStart"/>
            <w:r w:rsidR="002A7E68">
              <w:rPr>
                <w:rFonts w:ascii="Arial Narrow" w:hAnsi="Arial Narrow" w:cs="Arial"/>
                <w:sz w:val="24"/>
                <w:szCs w:val="24"/>
                <w:lang w:val="en-US"/>
              </w:rPr>
              <w:t>i.e</w:t>
            </w:r>
            <w:proofErr w:type="spellEnd"/>
            <w:r w:rsidR="002A7E68">
              <w:rPr>
                <w:rFonts w:ascii="Arial Narrow" w:hAnsi="Arial Narrow" w:cs="Arial"/>
                <w:sz w:val="24"/>
                <w:szCs w:val="24"/>
                <w:lang w:val="en-US"/>
              </w:rPr>
              <w:t xml:space="preserve"> whether </w:t>
            </w:r>
            <w:r w:rsidR="00EC5F9C">
              <w:rPr>
                <w:rFonts w:ascii="Arial Narrow" w:hAnsi="Arial Narrow" w:cs="Arial"/>
                <w:sz w:val="24"/>
                <w:szCs w:val="24"/>
                <w:lang w:val="en-US"/>
              </w:rPr>
              <w:t>plaintiff or its agent has in its possession or which it had but no longer have in its possession and those to which the p</w:t>
            </w:r>
            <w:r w:rsidR="002A7E68">
              <w:rPr>
                <w:rFonts w:ascii="Arial Narrow" w:hAnsi="Arial Narrow" w:cs="Arial"/>
                <w:sz w:val="24"/>
                <w:szCs w:val="24"/>
                <w:lang w:val="en-US"/>
              </w:rPr>
              <w:t xml:space="preserve">laintiff has a valid objection but offered a blanket statement that they do not have any other documents in their possession. </w:t>
            </w:r>
          </w:p>
          <w:p w:rsidR="002A7E68" w:rsidRDefault="002A7E68" w:rsidP="00040D36">
            <w:pPr>
              <w:spacing w:line="360" w:lineRule="auto"/>
              <w:jc w:val="both"/>
              <w:rPr>
                <w:rFonts w:ascii="Arial Narrow" w:hAnsi="Arial Narrow" w:cs="Arial"/>
                <w:sz w:val="24"/>
                <w:szCs w:val="24"/>
                <w:lang w:val="en-US"/>
              </w:rPr>
            </w:pPr>
          </w:p>
          <w:p w:rsidR="00812C89" w:rsidRDefault="002A7E68" w:rsidP="00040D36">
            <w:pPr>
              <w:spacing w:line="360" w:lineRule="auto"/>
              <w:jc w:val="both"/>
              <w:rPr>
                <w:rFonts w:ascii="Arial Narrow" w:hAnsi="Arial Narrow" w:cs="Arial"/>
                <w:sz w:val="24"/>
                <w:szCs w:val="24"/>
                <w:lang w:val="en-US"/>
              </w:rPr>
            </w:pPr>
            <w:r>
              <w:rPr>
                <w:rFonts w:ascii="Arial Narrow" w:hAnsi="Arial Narrow" w:cs="Arial"/>
                <w:sz w:val="24"/>
                <w:szCs w:val="24"/>
                <w:lang w:val="en-US"/>
              </w:rPr>
              <w:lastRenderedPageBreak/>
              <w:t>[</w:t>
            </w:r>
            <w:r w:rsidR="009879E8">
              <w:rPr>
                <w:rFonts w:ascii="Arial Narrow" w:hAnsi="Arial Narrow" w:cs="Arial"/>
                <w:sz w:val="24"/>
                <w:szCs w:val="24"/>
                <w:lang w:val="en-US"/>
              </w:rPr>
              <w:t>21</w:t>
            </w:r>
            <w:r w:rsidR="00780CA1">
              <w:rPr>
                <w:rFonts w:ascii="Arial Narrow" w:hAnsi="Arial Narrow" w:cs="Arial"/>
                <w:sz w:val="24"/>
                <w:szCs w:val="24"/>
                <w:lang w:val="en-US"/>
              </w:rPr>
              <w:t xml:space="preserve">]        </w:t>
            </w:r>
            <w:r>
              <w:rPr>
                <w:rFonts w:ascii="Arial Narrow" w:hAnsi="Arial Narrow" w:cs="Arial"/>
                <w:sz w:val="24"/>
                <w:szCs w:val="24"/>
                <w:lang w:val="en-US"/>
              </w:rPr>
              <w:t xml:space="preserve">This clearly cannot be the case since the trust must have those documents which are required by statute. </w:t>
            </w:r>
            <w:r w:rsidR="006248D1">
              <w:rPr>
                <w:rFonts w:ascii="Arial Narrow" w:hAnsi="Arial Narrow" w:cs="Arial"/>
                <w:sz w:val="24"/>
                <w:szCs w:val="24"/>
                <w:lang w:val="en-US"/>
              </w:rPr>
              <w:t xml:space="preserve">It is also clear that the plaintiff had certain documents in its possession but now no longer has same in its possession. </w:t>
            </w:r>
            <w:r>
              <w:rPr>
                <w:rFonts w:ascii="Arial Narrow" w:hAnsi="Arial Narrow" w:cs="Arial"/>
                <w:sz w:val="24"/>
                <w:szCs w:val="24"/>
                <w:lang w:val="en-US"/>
              </w:rPr>
              <w:t xml:space="preserve">Had the plaintiff taken the time to properly respond to the request of the defendant, it </w:t>
            </w:r>
            <w:r w:rsidR="002E0283">
              <w:rPr>
                <w:rFonts w:ascii="Arial Narrow" w:hAnsi="Arial Narrow" w:cs="Arial"/>
                <w:sz w:val="24"/>
                <w:szCs w:val="24"/>
                <w:lang w:val="en-US"/>
              </w:rPr>
              <w:t xml:space="preserve">would have narrowed the dispute surrounding the discovery of documents. </w:t>
            </w:r>
            <w:r w:rsidR="00812C89">
              <w:rPr>
                <w:rFonts w:ascii="Arial Narrow" w:hAnsi="Arial Narrow" w:cs="Arial"/>
                <w:sz w:val="24"/>
                <w:szCs w:val="24"/>
                <w:lang w:val="en-US"/>
              </w:rPr>
              <w:t>The plaintiff could have approached this court for an extension but opted rather not to comply with the court orders.</w:t>
            </w:r>
          </w:p>
          <w:p w:rsidR="00812C89" w:rsidRDefault="00812C89" w:rsidP="00040D36">
            <w:pPr>
              <w:spacing w:line="360" w:lineRule="auto"/>
              <w:jc w:val="both"/>
              <w:rPr>
                <w:rFonts w:ascii="Arial Narrow" w:hAnsi="Arial Narrow" w:cs="Arial"/>
                <w:sz w:val="24"/>
                <w:szCs w:val="24"/>
                <w:lang w:val="en-US"/>
              </w:rPr>
            </w:pPr>
          </w:p>
          <w:p w:rsidR="00154EDB" w:rsidRDefault="00812C89" w:rsidP="00040D36">
            <w:pPr>
              <w:spacing w:line="360" w:lineRule="auto"/>
              <w:jc w:val="both"/>
              <w:rPr>
                <w:rFonts w:ascii="Arial Narrow" w:hAnsi="Arial Narrow" w:cs="Arial"/>
                <w:sz w:val="24"/>
                <w:szCs w:val="24"/>
                <w:lang w:val="en-US"/>
              </w:rPr>
            </w:pPr>
            <w:r>
              <w:rPr>
                <w:rFonts w:ascii="Arial Narrow" w:hAnsi="Arial Narrow" w:cs="Arial"/>
                <w:sz w:val="24"/>
                <w:szCs w:val="24"/>
                <w:lang w:val="en-US"/>
              </w:rPr>
              <w:t>[</w:t>
            </w:r>
            <w:r w:rsidR="009879E8">
              <w:rPr>
                <w:rFonts w:ascii="Arial Narrow" w:hAnsi="Arial Narrow" w:cs="Arial"/>
                <w:sz w:val="24"/>
                <w:szCs w:val="24"/>
                <w:lang w:val="en-US"/>
              </w:rPr>
              <w:t>22</w:t>
            </w:r>
            <w:r>
              <w:rPr>
                <w:rFonts w:ascii="Arial Narrow" w:hAnsi="Arial Narrow" w:cs="Arial"/>
                <w:sz w:val="24"/>
                <w:szCs w:val="24"/>
                <w:lang w:val="en-US"/>
              </w:rPr>
              <w:t xml:space="preserve">]    </w:t>
            </w:r>
            <w:r w:rsidR="00780CA1">
              <w:rPr>
                <w:rFonts w:ascii="Arial Narrow" w:hAnsi="Arial Narrow" w:cs="Arial"/>
                <w:sz w:val="24"/>
                <w:szCs w:val="24"/>
                <w:lang w:val="en-US"/>
              </w:rPr>
              <w:t xml:space="preserve">  </w:t>
            </w:r>
            <w:r>
              <w:rPr>
                <w:rFonts w:ascii="Arial Narrow" w:hAnsi="Arial Narrow" w:cs="Arial"/>
                <w:sz w:val="24"/>
                <w:szCs w:val="24"/>
                <w:lang w:val="en-US"/>
              </w:rPr>
              <w:t>This dispute between the parties has</w:t>
            </w:r>
            <w:r w:rsidR="00780CA1">
              <w:rPr>
                <w:rFonts w:ascii="Arial Narrow" w:hAnsi="Arial Narrow" w:cs="Arial"/>
                <w:sz w:val="24"/>
                <w:szCs w:val="24"/>
                <w:lang w:val="en-US"/>
              </w:rPr>
              <w:t xml:space="preserve"> been</w:t>
            </w:r>
            <w:r>
              <w:rPr>
                <w:rFonts w:ascii="Arial Narrow" w:hAnsi="Arial Narrow" w:cs="Arial"/>
                <w:sz w:val="24"/>
                <w:szCs w:val="24"/>
                <w:lang w:val="en-US"/>
              </w:rPr>
              <w:t xml:space="preserve"> pending since 2017 and both parties want to bring finality to the matter. The court take cognizance of prejudice pleaded by the defendant and would have to give an order which would mitigate the prejudice suffered by the defendant.</w:t>
            </w:r>
          </w:p>
          <w:p w:rsidR="00154EDB" w:rsidRDefault="00154EDB" w:rsidP="00040D36">
            <w:pPr>
              <w:spacing w:line="360" w:lineRule="auto"/>
              <w:jc w:val="both"/>
              <w:rPr>
                <w:rFonts w:ascii="Arial Narrow" w:hAnsi="Arial Narrow" w:cs="Arial"/>
                <w:sz w:val="24"/>
                <w:szCs w:val="24"/>
                <w:lang w:val="en-US"/>
              </w:rPr>
            </w:pPr>
          </w:p>
          <w:p w:rsidR="006248D1" w:rsidRDefault="00154EDB" w:rsidP="00040D36">
            <w:pPr>
              <w:spacing w:line="360" w:lineRule="auto"/>
              <w:jc w:val="both"/>
              <w:rPr>
                <w:rFonts w:ascii="Arial Narrow" w:hAnsi="Arial Narrow" w:cs="Arial"/>
                <w:sz w:val="24"/>
                <w:szCs w:val="24"/>
                <w:lang w:val="en-US"/>
              </w:rPr>
            </w:pPr>
            <w:r>
              <w:rPr>
                <w:rFonts w:ascii="Arial Narrow" w:hAnsi="Arial Narrow" w:cs="Arial"/>
                <w:sz w:val="24"/>
                <w:szCs w:val="24"/>
                <w:lang w:val="en-US"/>
              </w:rPr>
              <w:t>[</w:t>
            </w:r>
            <w:r w:rsidR="009879E8">
              <w:rPr>
                <w:rFonts w:ascii="Arial Narrow" w:hAnsi="Arial Narrow" w:cs="Arial"/>
                <w:sz w:val="24"/>
                <w:szCs w:val="24"/>
                <w:lang w:val="en-US"/>
              </w:rPr>
              <w:t>23</w:t>
            </w:r>
            <w:r>
              <w:rPr>
                <w:rFonts w:ascii="Arial Narrow" w:hAnsi="Arial Narrow" w:cs="Arial"/>
                <w:sz w:val="24"/>
                <w:szCs w:val="24"/>
                <w:lang w:val="en-US"/>
              </w:rPr>
              <w:t xml:space="preserve">]   </w:t>
            </w:r>
            <w:r w:rsidR="00780CA1">
              <w:rPr>
                <w:rFonts w:ascii="Arial Narrow" w:hAnsi="Arial Narrow" w:cs="Arial"/>
                <w:sz w:val="24"/>
                <w:szCs w:val="24"/>
                <w:lang w:val="en-US"/>
              </w:rPr>
              <w:t xml:space="preserve"> </w:t>
            </w:r>
            <w:r>
              <w:rPr>
                <w:rFonts w:ascii="Arial Narrow" w:hAnsi="Arial Narrow" w:cs="Arial"/>
                <w:sz w:val="24"/>
                <w:szCs w:val="24"/>
                <w:lang w:val="en-US"/>
              </w:rPr>
              <w:t>T</w:t>
            </w:r>
            <w:r w:rsidR="002E0283">
              <w:rPr>
                <w:rFonts w:ascii="Arial Narrow" w:hAnsi="Arial Narrow" w:cs="Arial"/>
                <w:sz w:val="24"/>
                <w:szCs w:val="24"/>
                <w:lang w:val="en-US"/>
              </w:rPr>
              <w:t xml:space="preserve">his court would be completely justified to show its disapproval for </w:t>
            </w:r>
            <w:r w:rsidR="00812C89">
              <w:rPr>
                <w:rFonts w:ascii="Arial Narrow" w:hAnsi="Arial Narrow" w:cs="Arial"/>
                <w:sz w:val="24"/>
                <w:szCs w:val="24"/>
                <w:lang w:val="en-US"/>
              </w:rPr>
              <w:t xml:space="preserve">the conduct of the plaintiff </w:t>
            </w:r>
            <w:r w:rsidR="002E0283">
              <w:rPr>
                <w:rFonts w:ascii="Arial Narrow" w:hAnsi="Arial Narrow" w:cs="Arial"/>
                <w:sz w:val="24"/>
                <w:szCs w:val="24"/>
                <w:lang w:val="en-US"/>
              </w:rPr>
              <w:t xml:space="preserve">in the strongest terms. I however consider that this </w:t>
            </w:r>
            <w:r>
              <w:rPr>
                <w:rFonts w:ascii="Arial Narrow" w:hAnsi="Arial Narrow" w:cs="Arial"/>
                <w:sz w:val="24"/>
                <w:szCs w:val="24"/>
                <w:lang w:val="en-US"/>
              </w:rPr>
              <w:t>matter</w:t>
            </w:r>
            <w:r w:rsidR="002E0283">
              <w:rPr>
                <w:rFonts w:ascii="Arial Narrow" w:hAnsi="Arial Narrow" w:cs="Arial"/>
                <w:sz w:val="24"/>
                <w:szCs w:val="24"/>
                <w:lang w:val="en-US"/>
              </w:rPr>
              <w:t xml:space="preserve"> is near finalization and that dismissing the plaintiff’s claim would be quite severe. The court </w:t>
            </w:r>
            <w:r w:rsidR="00812C89">
              <w:rPr>
                <w:rFonts w:ascii="Arial Narrow" w:hAnsi="Arial Narrow" w:cs="Arial"/>
                <w:sz w:val="24"/>
                <w:szCs w:val="24"/>
                <w:lang w:val="en-US"/>
              </w:rPr>
              <w:t xml:space="preserve">would mark its disapproval </w:t>
            </w:r>
            <w:r w:rsidR="002E0283">
              <w:rPr>
                <w:rFonts w:ascii="Arial Narrow" w:hAnsi="Arial Narrow" w:cs="Arial"/>
                <w:sz w:val="24"/>
                <w:szCs w:val="24"/>
                <w:lang w:val="en-US"/>
              </w:rPr>
              <w:t xml:space="preserve">by making an appropriate cost order. </w:t>
            </w:r>
          </w:p>
          <w:p w:rsidR="00812C89" w:rsidRDefault="00812C89" w:rsidP="00040D36">
            <w:pPr>
              <w:spacing w:line="360" w:lineRule="auto"/>
              <w:jc w:val="both"/>
              <w:rPr>
                <w:rFonts w:ascii="Arial Narrow" w:hAnsi="Arial Narrow" w:cs="Arial"/>
                <w:sz w:val="24"/>
                <w:szCs w:val="24"/>
                <w:lang w:val="en-US"/>
              </w:rPr>
            </w:pPr>
          </w:p>
          <w:p w:rsidR="00040D36" w:rsidRPr="008732D3" w:rsidRDefault="00551B6D" w:rsidP="00154EDB">
            <w:pPr>
              <w:spacing w:line="360" w:lineRule="auto"/>
              <w:jc w:val="both"/>
              <w:rPr>
                <w:rFonts w:ascii="Arial Narrow" w:hAnsi="Arial Narrow" w:cs="Arial"/>
                <w:sz w:val="24"/>
                <w:szCs w:val="24"/>
                <w:lang w:val="en-US"/>
              </w:rPr>
            </w:pPr>
            <w:r>
              <w:rPr>
                <w:rFonts w:ascii="Arial Narrow" w:hAnsi="Arial Narrow" w:cs="Arial"/>
                <w:sz w:val="24"/>
                <w:szCs w:val="24"/>
                <w:lang w:val="en-US"/>
              </w:rPr>
              <w:t>[</w:t>
            </w:r>
            <w:r w:rsidR="009879E8">
              <w:rPr>
                <w:rFonts w:ascii="Arial Narrow" w:hAnsi="Arial Narrow" w:cs="Arial"/>
                <w:sz w:val="24"/>
                <w:szCs w:val="24"/>
                <w:lang w:val="en-US"/>
              </w:rPr>
              <w:t>24</w:t>
            </w:r>
            <w:r>
              <w:rPr>
                <w:rFonts w:ascii="Arial Narrow" w:hAnsi="Arial Narrow" w:cs="Arial"/>
                <w:sz w:val="24"/>
                <w:szCs w:val="24"/>
                <w:lang w:val="en-US"/>
              </w:rPr>
              <w:t xml:space="preserve">]    </w:t>
            </w:r>
            <w:r w:rsidR="00780CA1">
              <w:rPr>
                <w:rFonts w:ascii="Arial Narrow" w:hAnsi="Arial Narrow" w:cs="Arial"/>
                <w:sz w:val="24"/>
                <w:szCs w:val="24"/>
                <w:lang w:val="en-US"/>
              </w:rPr>
              <w:t xml:space="preserve"> </w:t>
            </w:r>
            <w:r w:rsidR="00040D36" w:rsidRPr="008732D3">
              <w:rPr>
                <w:rFonts w:ascii="Arial Narrow" w:hAnsi="Arial Narrow" w:cs="Arial"/>
                <w:sz w:val="24"/>
                <w:szCs w:val="24"/>
                <w:lang w:val="en-US"/>
              </w:rPr>
              <w:t>For the afore</w:t>
            </w:r>
            <w:r w:rsidR="00B06560">
              <w:rPr>
                <w:rFonts w:ascii="Arial Narrow" w:hAnsi="Arial Narrow" w:cs="Arial"/>
                <w:sz w:val="24"/>
                <w:szCs w:val="24"/>
                <w:lang w:val="en-US"/>
              </w:rPr>
              <w:t>-</w:t>
            </w:r>
            <w:r w:rsidR="00040D36" w:rsidRPr="008732D3">
              <w:rPr>
                <w:rFonts w:ascii="Arial Narrow" w:hAnsi="Arial Narrow" w:cs="Arial"/>
                <w:sz w:val="24"/>
                <w:szCs w:val="24"/>
                <w:lang w:val="en-US"/>
              </w:rPr>
              <w:t>going reasons</w:t>
            </w:r>
            <w:r w:rsidR="00154EDB">
              <w:rPr>
                <w:rFonts w:ascii="Arial Narrow" w:hAnsi="Arial Narrow" w:cs="Arial"/>
                <w:sz w:val="24"/>
                <w:szCs w:val="24"/>
                <w:lang w:val="en-US"/>
              </w:rPr>
              <w:t xml:space="preserve"> this court would afford the plaintiff a final opportunity to</w:t>
            </w:r>
            <w:r w:rsidR="00154EDB" w:rsidRPr="00154EDB">
              <w:rPr>
                <w:rFonts w:ascii="Times New Roman" w:hAnsi="Times New Roman" w:cs="Times New Roman"/>
                <w:color w:val="000000"/>
                <w:sz w:val="23"/>
                <w:szCs w:val="23"/>
              </w:rPr>
              <w:t xml:space="preserve"> </w:t>
            </w:r>
            <w:r w:rsidR="00154EDB">
              <w:rPr>
                <w:rFonts w:ascii="Arial Narrow" w:hAnsi="Arial Narrow" w:cs="Arial"/>
                <w:sz w:val="24"/>
                <w:szCs w:val="24"/>
              </w:rPr>
              <w:t xml:space="preserve">deliver the documents to the defendant on or before </w:t>
            </w:r>
            <w:r>
              <w:rPr>
                <w:rFonts w:ascii="Arial Narrow" w:hAnsi="Arial Narrow" w:cs="Arial"/>
                <w:sz w:val="24"/>
                <w:szCs w:val="24"/>
              </w:rPr>
              <w:t>12</w:t>
            </w:r>
            <w:r w:rsidR="00154EDB">
              <w:rPr>
                <w:rFonts w:ascii="Arial Narrow" w:hAnsi="Arial Narrow" w:cs="Arial"/>
                <w:sz w:val="24"/>
                <w:szCs w:val="24"/>
              </w:rPr>
              <w:t xml:space="preserve"> June 2020</w:t>
            </w:r>
            <w:r w:rsidR="00154EDB" w:rsidRPr="00154EDB">
              <w:rPr>
                <w:rFonts w:ascii="Arial Narrow" w:hAnsi="Arial Narrow" w:cs="Arial"/>
                <w:sz w:val="24"/>
                <w:szCs w:val="24"/>
              </w:rPr>
              <w:t>; or</w:t>
            </w:r>
            <w:r w:rsidR="00154EDB">
              <w:rPr>
                <w:rFonts w:ascii="Arial Narrow" w:hAnsi="Arial Narrow" w:cs="Arial"/>
                <w:sz w:val="24"/>
                <w:szCs w:val="24"/>
              </w:rPr>
              <w:t xml:space="preserve"> </w:t>
            </w:r>
            <w:r w:rsidR="00154EDB" w:rsidRPr="00154EDB">
              <w:rPr>
                <w:rFonts w:ascii="Arial Narrow" w:hAnsi="Arial Narrow" w:cs="Arial"/>
                <w:sz w:val="24"/>
                <w:szCs w:val="24"/>
                <w:lang w:val="en-US"/>
              </w:rPr>
              <w:t xml:space="preserve">state on oath or by affirmation within 10 days of the order that such documents, are not in his or </w:t>
            </w:r>
            <w:r w:rsidR="00154EDB">
              <w:rPr>
                <w:rFonts w:ascii="Arial Narrow" w:hAnsi="Arial Narrow" w:cs="Arial"/>
                <w:sz w:val="24"/>
                <w:szCs w:val="24"/>
                <w:lang w:val="en-US"/>
              </w:rPr>
              <w:t xml:space="preserve">its </w:t>
            </w:r>
            <w:r w:rsidR="00154EDB" w:rsidRPr="00154EDB">
              <w:rPr>
                <w:rFonts w:ascii="Arial Narrow" w:hAnsi="Arial Narrow" w:cs="Arial"/>
                <w:sz w:val="24"/>
                <w:szCs w:val="24"/>
                <w:lang w:val="en-US"/>
              </w:rPr>
              <w:t>possession, in which case</w:t>
            </w:r>
            <w:r w:rsidR="00154EDB">
              <w:rPr>
                <w:rFonts w:ascii="Arial Narrow" w:hAnsi="Arial Narrow" w:cs="Arial"/>
                <w:sz w:val="24"/>
                <w:szCs w:val="24"/>
                <w:lang w:val="en-US"/>
              </w:rPr>
              <w:t xml:space="preserve"> the plaintiff mus</w:t>
            </w:r>
            <w:r w:rsidR="00154EDB" w:rsidRPr="00154EDB">
              <w:rPr>
                <w:rFonts w:ascii="Arial Narrow" w:hAnsi="Arial Narrow" w:cs="Arial"/>
                <w:sz w:val="24"/>
                <w:szCs w:val="24"/>
                <w:lang w:val="en-US"/>
              </w:rPr>
              <w:t>t state their whereabouts, if known</w:t>
            </w:r>
            <w:r w:rsidR="00154EDB">
              <w:rPr>
                <w:rFonts w:ascii="Arial Narrow" w:hAnsi="Arial Narrow" w:cs="Arial"/>
                <w:sz w:val="24"/>
                <w:szCs w:val="24"/>
                <w:lang w:val="en-US"/>
              </w:rPr>
              <w:t>. Failure to do so will result in this court dismissing plaintiff’s claim in terms of Rule 28 (13)</w:t>
            </w:r>
          </w:p>
          <w:p w:rsidR="00A27269" w:rsidRPr="007A751A" w:rsidRDefault="00A27269" w:rsidP="00BA2C89">
            <w:pPr>
              <w:spacing w:line="360" w:lineRule="auto"/>
              <w:jc w:val="both"/>
              <w:rPr>
                <w:rFonts w:ascii="Arial Narrow" w:hAnsi="Arial Narrow" w:cs="Arial"/>
                <w:sz w:val="24"/>
                <w:szCs w:val="24"/>
                <w:lang w:val="en-US"/>
              </w:rPr>
            </w:pPr>
          </w:p>
          <w:p w:rsidR="00A27269" w:rsidRDefault="00A27269" w:rsidP="00BA2C89">
            <w:pPr>
              <w:spacing w:line="360" w:lineRule="auto"/>
              <w:jc w:val="both"/>
              <w:rPr>
                <w:rFonts w:ascii="Arial Narrow" w:hAnsi="Arial Narrow" w:cs="Arial"/>
                <w:sz w:val="24"/>
                <w:szCs w:val="24"/>
                <w:u w:val="single"/>
                <w:lang w:val="en-US"/>
              </w:rPr>
            </w:pPr>
            <w:r w:rsidRPr="00944923">
              <w:rPr>
                <w:rFonts w:ascii="Arial Narrow" w:hAnsi="Arial Narrow" w:cs="Arial"/>
                <w:sz w:val="24"/>
                <w:szCs w:val="24"/>
                <w:u w:val="single"/>
                <w:lang w:val="en-US"/>
              </w:rPr>
              <w:t>Costs</w:t>
            </w:r>
          </w:p>
          <w:p w:rsidR="00780CA1" w:rsidRPr="00944923" w:rsidRDefault="00780CA1" w:rsidP="00BA2C89">
            <w:pPr>
              <w:spacing w:line="360" w:lineRule="auto"/>
              <w:jc w:val="both"/>
              <w:rPr>
                <w:rFonts w:ascii="Arial Narrow" w:hAnsi="Arial Narrow" w:cs="Arial"/>
                <w:sz w:val="24"/>
                <w:szCs w:val="24"/>
                <w:u w:val="single"/>
                <w:lang w:val="en-US"/>
              </w:rPr>
            </w:pPr>
          </w:p>
          <w:p w:rsidR="00A27269" w:rsidRDefault="00DD0A5E" w:rsidP="00BA2C89">
            <w:pPr>
              <w:spacing w:line="360" w:lineRule="auto"/>
              <w:jc w:val="both"/>
              <w:rPr>
                <w:rFonts w:ascii="Arial Narrow" w:hAnsi="Arial Narrow" w:cs="Arial"/>
                <w:sz w:val="24"/>
                <w:szCs w:val="24"/>
                <w:lang w:val="en-US"/>
              </w:rPr>
            </w:pPr>
            <w:r w:rsidRPr="00944923">
              <w:rPr>
                <w:rFonts w:ascii="Arial Narrow" w:hAnsi="Arial Narrow" w:cs="Arial"/>
                <w:sz w:val="24"/>
                <w:szCs w:val="24"/>
                <w:lang w:val="en-US"/>
              </w:rPr>
              <w:t>[</w:t>
            </w:r>
            <w:r w:rsidR="009879E8">
              <w:rPr>
                <w:rFonts w:ascii="Arial Narrow" w:hAnsi="Arial Narrow" w:cs="Arial"/>
                <w:sz w:val="24"/>
                <w:szCs w:val="24"/>
                <w:lang w:val="en-US"/>
              </w:rPr>
              <w:t>25</w:t>
            </w:r>
            <w:r w:rsidR="00A27269" w:rsidRPr="00944923">
              <w:rPr>
                <w:rFonts w:ascii="Arial Narrow" w:hAnsi="Arial Narrow" w:cs="Arial"/>
                <w:sz w:val="24"/>
                <w:szCs w:val="24"/>
                <w:lang w:val="en-US"/>
              </w:rPr>
              <w:t>]</w:t>
            </w:r>
            <w:r w:rsidR="00A27269" w:rsidRPr="00944923">
              <w:rPr>
                <w:rFonts w:ascii="Arial Narrow" w:hAnsi="Arial Narrow" w:cs="Arial"/>
                <w:sz w:val="24"/>
                <w:szCs w:val="24"/>
                <w:lang w:val="en-US"/>
              </w:rPr>
              <w:tab/>
            </w:r>
            <w:r w:rsidR="00484EDA" w:rsidRPr="00944923">
              <w:rPr>
                <w:rFonts w:ascii="Arial Narrow" w:hAnsi="Arial Narrow" w:cs="Arial"/>
                <w:sz w:val="24"/>
                <w:szCs w:val="24"/>
                <w:lang w:val="en-US"/>
              </w:rPr>
              <w:t>Th</w:t>
            </w:r>
            <w:r w:rsidRPr="00944923">
              <w:rPr>
                <w:rFonts w:ascii="Arial Narrow" w:hAnsi="Arial Narrow" w:cs="Arial"/>
                <w:sz w:val="24"/>
                <w:szCs w:val="24"/>
                <w:lang w:val="en-US"/>
              </w:rPr>
              <w:t>e defendant prays</w:t>
            </w:r>
            <w:r w:rsidR="00484EDA" w:rsidRPr="00944923">
              <w:rPr>
                <w:rFonts w:ascii="Arial Narrow" w:hAnsi="Arial Narrow" w:cs="Arial"/>
                <w:sz w:val="24"/>
                <w:szCs w:val="24"/>
                <w:lang w:val="en-US"/>
              </w:rPr>
              <w:t xml:space="preserve"> for punitive costs, </w:t>
            </w:r>
            <w:r w:rsidRPr="00944923">
              <w:rPr>
                <w:rFonts w:ascii="Arial Narrow" w:hAnsi="Arial Narrow" w:cs="Arial"/>
                <w:sz w:val="24"/>
                <w:szCs w:val="24"/>
                <w:lang w:val="en-US"/>
              </w:rPr>
              <w:t>unlimited</w:t>
            </w:r>
            <w:r w:rsidR="00484EDA" w:rsidRPr="00944923">
              <w:rPr>
                <w:rFonts w:ascii="Arial Narrow" w:hAnsi="Arial Narrow" w:cs="Arial"/>
                <w:sz w:val="24"/>
                <w:szCs w:val="24"/>
                <w:lang w:val="en-US"/>
              </w:rPr>
              <w:t xml:space="preserve"> on an attorney client scale, to </w:t>
            </w:r>
            <w:r w:rsidR="00A27269" w:rsidRPr="00944923">
              <w:rPr>
                <w:rFonts w:ascii="Arial Narrow" w:hAnsi="Arial Narrow" w:cs="Arial"/>
                <w:sz w:val="24"/>
                <w:szCs w:val="24"/>
                <w:lang w:val="en-US"/>
              </w:rPr>
              <w:t xml:space="preserve">be </w:t>
            </w:r>
            <w:r w:rsidR="00484EDA" w:rsidRPr="00944923">
              <w:rPr>
                <w:rFonts w:ascii="Arial Narrow" w:hAnsi="Arial Narrow" w:cs="Arial"/>
                <w:sz w:val="24"/>
                <w:szCs w:val="24"/>
                <w:lang w:val="en-US"/>
              </w:rPr>
              <w:t xml:space="preserve">granted against </w:t>
            </w:r>
            <w:proofErr w:type="spellStart"/>
            <w:r w:rsidR="00484EDA" w:rsidRPr="00944923">
              <w:rPr>
                <w:rFonts w:ascii="Arial Narrow" w:hAnsi="Arial Narrow" w:cs="Arial"/>
                <w:sz w:val="24"/>
                <w:szCs w:val="24"/>
                <w:lang w:val="en-US"/>
              </w:rPr>
              <w:t>Mr</w:t>
            </w:r>
            <w:proofErr w:type="spellEnd"/>
            <w:r w:rsidR="00484EDA" w:rsidRPr="00944923">
              <w:rPr>
                <w:rFonts w:ascii="Arial Narrow" w:hAnsi="Arial Narrow" w:cs="Arial"/>
                <w:sz w:val="24"/>
                <w:szCs w:val="24"/>
                <w:lang w:val="en-US"/>
              </w:rPr>
              <w:t xml:space="preserve"> </w:t>
            </w:r>
            <w:proofErr w:type="spellStart"/>
            <w:r w:rsidR="003A26AB" w:rsidRPr="00944923">
              <w:rPr>
                <w:rFonts w:ascii="Arial Narrow" w:hAnsi="Arial Narrow" w:cs="Arial"/>
                <w:sz w:val="24"/>
                <w:szCs w:val="24"/>
                <w:lang w:val="en-US"/>
              </w:rPr>
              <w:t>Mutilifa</w:t>
            </w:r>
            <w:proofErr w:type="spellEnd"/>
            <w:r w:rsidR="003A26AB" w:rsidRPr="00944923">
              <w:rPr>
                <w:rFonts w:ascii="Arial Narrow" w:hAnsi="Arial Narrow" w:cs="Arial"/>
                <w:sz w:val="24"/>
                <w:szCs w:val="24"/>
                <w:lang w:val="en-US"/>
              </w:rPr>
              <w:t>, a trustee of the plaintiff being the represen</w:t>
            </w:r>
            <w:r w:rsidR="00944923" w:rsidRPr="00944923">
              <w:rPr>
                <w:rFonts w:ascii="Arial Narrow" w:hAnsi="Arial Narrow" w:cs="Arial"/>
                <w:sz w:val="24"/>
                <w:szCs w:val="24"/>
                <w:lang w:val="en-US"/>
              </w:rPr>
              <w:t>ta</w:t>
            </w:r>
            <w:r w:rsidR="003A26AB" w:rsidRPr="00944923">
              <w:rPr>
                <w:rFonts w:ascii="Arial Narrow" w:hAnsi="Arial Narrow" w:cs="Arial"/>
                <w:sz w:val="24"/>
                <w:szCs w:val="24"/>
                <w:lang w:val="en-US"/>
              </w:rPr>
              <w:t>tive who instituted this claim on behalf of the plaintiff.</w:t>
            </w:r>
            <w:r w:rsidR="00484EDA" w:rsidRPr="00944923">
              <w:rPr>
                <w:rFonts w:ascii="Arial Narrow" w:hAnsi="Arial Narrow" w:cs="Arial"/>
                <w:sz w:val="24"/>
                <w:szCs w:val="24"/>
                <w:lang w:val="en-US"/>
              </w:rPr>
              <w:t xml:space="preserve"> The defendant seeks these costs as </w:t>
            </w:r>
            <w:r w:rsidRPr="00944923">
              <w:rPr>
                <w:rFonts w:ascii="Arial Narrow" w:hAnsi="Arial Narrow" w:cs="Arial"/>
                <w:sz w:val="24"/>
                <w:szCs w:val="24"/>
                <w:lang w:val="en-US"/>
              </w:rPr>
              <w:t>it</w:t>
            </w:r>
            <w:r w:rsidR="00484EDA" w:rsidRPr="00944923">
              <w:rPr>
                <w:rFonts w:ascii="Arial Narrow" w:hAnsi="Arial Narrow" w:cs="Arial"/>
                <w:sz w:val="24"/>
                <w:szCs w:val="24"/>
                <w:lang w:val="en-US"/>
              </w:rPr>
              <w:t xml:space="preserve"> contend</w:t>
            </w:r>
            <w:r w:rsidRPr="00944923">
              <w:rPr>
                <w:rFonts w:ascii="Arial Narrow" w:hAnsi="Arial Narrow" w:cs="Arial"/>
                <w:sz w:val="24"/>
                <w:szCs w:val="24"/>
                <w:lang w:val="en-US"/>
              </w:rPr>
              <w:t>s</w:t>
            </w:r>
            <w:r w:rsidR="00484EDA" w:rsidRPr="00944923">
              <w:rPr>
                <w:rFonts w:ascii="Arial Narrow" w:hAnsi="Arial Narrow" w:cs="Arial"/>
                <w:sz w:val="24"/>
                <w:szCs w:val="24"/>
                <w:lang w:val="en-US"/>
              </w:rPr>
              <w:t xml:space="preserve"> that the plaintiff unreasonabl</w:t>
            </w:r>
            <w:r w:rsidRPr="00944923">
              <w:rPr>
                <w:rFonts w:ascii="Arial Narrow" w:hAnsi="Arial Narrow" w:cs="Arial"/>
                <w:sz w:val="24"/>
                <w:szCs w:val="24"/>
                <w:lang w:val="en-US"/>
              </w:rPr>
              <w:t>y persisted with litigation of this matter, besides the fact that it failed to make rule co</w:t>
            </w:r>
            <w:r w:rsidR="00944923" w:rsidRPr="00944923">
              <w:rPr>
                <w:rFonts w:ascii="Arial Narrow" w:hAnsi="Arial Narrow" w:cs="Arial"/>
                <w:sz w:val="24"/>
                <w:szCs w:val="24"/>
                <w:lang w:val="en-US"/>
              </w:rPr>
              <w:t>mpliant discovery, the plaintiff</w:t>
            </w:r>
            <w:r w:rsidRPr="00944923">
              <w:rPr>
                <w:rFonts w:ascii="Arial Narrow" w:hAnsi="Arial Narrow" w:cs="Arial"/>
                <w:sz w:val="24"/>
                <w:szCs w:val="24"/>
                <w:lang w:val="en-US"/>
              </w:rPr>
              <w:t xml:space="preserve"> failed to approach the court in terms of the rules in order to make an application for extension of time to file its discovery when it became apparent that it would not meet the </w:t>
            </w:r>
            <w:r w:rsidR="003A26AB" w:rsidRPr="00944923">
              <w:rPr>
                <w:rFonts w:ascii="Arial Narrow" w:hAnsi="Arial Narrow" w:cs="Arial"/>
                <w:sz w:val="24"/>
                <w:szCs w:val="24"/>
                <w:lang w:val="en-US"/>
              </w:rPr>
              <w:t>deadline</w:t>
            </w:r>
            <w:r w:rsidRPr="00944923">
              <w:rPr>
                <w:rFonts w:ascii="Arial Narrow" w:hAnsi="Arial Narrow" w:cs="Arial"/>
                <w:sz w:val="24"/>
                <w:szCs w:val="24"/>
                <w:lang w:val="en-US"/>
              </w:rPr>
              <w:t>, and failed to file a condonation application in terms of rule 55.</w:t>
            </w:r>
          </w:p>
          <w:p w:rsidR="00012966" w:rsidRPr="00944923" w:rsidRDefault="00012966" w:rsidP="00BA2C89">
            <w:pPr>
              <w:spacing w:line="360" w:lineRule="auto"/>
              <w:jc w:val="both"/>
              <w:rPr>
                <w:rFonts w:ascii="Arial Narrow" w:hAnsi="Arial Narrow" w:cs="Arial"/>
                <w:sz w:val="24"/>
                <w:szCs w:val="24"/>
                <w:lang w:val="en-US"/>
              </w:rPr>
            </w:pPr>
          </w:p>
          <w:p w:rsidR="00DD0A5E" w:rsidRDefault="00012966" w:rsidP="00BA2C89">
            <w:pPr>
              <w:spacing w:line="360" w:lineRule="auto"/>
              <w:jc w:val="both"/>
              <w:rPr>
                <w:rFonts w:ascii="Arial Narrow" w:hAnsi="Arial Narrow" w:cs="Arial"/>
                <w:sz w:val="24"/>
                <w:szCs w:val="24"/>
                <w:lang w:val="en-US"/>
              </w:rPr>
            </w:pPr>
            <w:r w:rsidRPr="00EB5EB5">
              <w:rPr>
                <w:rFonts w:ascii="Arial Narrow" w:hAnsi="Arial Narrow" w:cs="Arial"/>
                <w:sz w:val="24"/>
                <w:szCs w:val="24"/>
                <w:lang w:val="en-US"/>
              </w:rPr>
              <w:t>[</w:t>
            </w:r>
            <w:r w:rsidR="009879E8">
              <w:rPr>
                <w:rFonts w:ascii="Arial Narrow" w:hAnsi="Arial Narrow" w:cs="Arial"/>
                <w:sz w:val="24"/>
                <w:szCs w:val="24"/>
                <w:lang w:val="en-US"/>
              </w:rPr>
              <w:t>26</w:t>
            </w:r>
            <w:r w:rsidRPr="00EB5EB5">
              <w:rPr>
                <w:rFonts w:ascii="Arial Narrow" w:hAnsi="Arial Narrow" w:cs="Arial"/>
                <w:sz w:val="24"/>
                <w:szCs w:val="24"/>
                <w:lang w:val="en-US"/>
              </w:rPr>
              <w:t xml:space="preserve">]         The </w:t>
            </w:r>
            <w:proofErr w:type="spellStart"/>
            <w:r w:rsidRPr="00EB5EB5">
              <w:rPr>
                <w:rFonts w:ascii="Arial Narrow" w:hAnsi="Arial Narrow" w:cs="Arial"/>
                <w:sz w:val="24"/>
                <w:szCs w:val="24"/>
                <w:lang w:val="en-US"/>
              </w:rPr>
              <w:t>honourable</w:t>
            </w:r>
            <w:proofErr w:type="spellEnd"/>
            <w:r w:rsidRPr="00EB5EB5">
              <w:rPr>
                <w:rFonts w:ascii="Arial Narrow" w:hAnsi="Arial Narrow" w:cs="Arial"/>
                <w:sz w:val="24"/>
                <w:szCs w:val="24"/>
                <w:lang w:val="en-US"/>
              </w:rPr>
              <w:t xml:space="preserve"> </w:t>
            </w:r>
            <w:proofErr w:type="spellStart"/>
            <w:r w:rsidRPr="00EB5EB5">
              <w:rPr>
                <w:rFonts w:ascii="Arial Narrow" w:hAnsi="Arial Narrow" w:cs="Arial"/>
                <w:sz w:val="24"/>
                <w:szCs w:val="24"/>
                <w:lang w:val="en-US"/>
              </w:rPr>
              <w:t>Masuku</w:t>
            </w:r>
            <w:proofErr w:type="spellEnd"/>
            <w:r w:rsidRPr="00EB5EB5">
              <w:rPr>
                <w:rFonts w:ascii="Arial Narrow" w:hAnsi="Arial Narrow" w:cs="Arial"/>
                <w:sz w:val="24"/>
                <w:szCs w:val="24"/>
                <w:lang w:val="en-US"/>
              </w:rPr>
              <w:t xml:space="preserve"> J in deciding on the issue of granting punitive costs in the case of </w:t>
            </w:r>
            <w:r w:rsidRPr="00EB5EB5">
              <w:rPr>
                <w:rFonts w:ascii="Arial Narrow" w:hAnsi="Arial Narrow" w:cs="Arial"/>
                <w:i/>
                <w:sz w:val="24"/>
                <w:szCs w:val="24"/>
                <w:lang w:val="en-US"/>
              </w:rPr>
              <w:t>Lazarus v The Government of the Republic of Namibia (Ministry of Safety and Security)</w:t>
            </w:r>
            <w:r w:rsidR="00E25E34">
              <w:rPr>
                <w:rFonts w:ascii="Arial Narrow" w:hAnsi="Arial Narrow" w:cs="Arial"/>
                <w:i/>
                <w:sz w:val="24"/>
                <w:szCs w:val="24"/>
                <w:lang w:val="en-US"/>
              </w:rPr>
              <w:t>,</w:t>
            </w:r>
            <w:r w:rsidRPr="00EB5EB5">
              <w:rPr>
                <w:rStyle w:val="FootnoteReference"/>
                <w:rFonts w:ascii="Arial Narrow" w:hAnsi="Arial Narrow" w:cs="Arial"/>
                <w:i/>
                <w:sz w:val="24"/>
                <w:szCs w:val="24"/>
                <w:lang w:val="en-US"/>
              </w:rPr>
              <w:footnoteReference w:id="2"/>
            </w:r>
            <w:r w:rsidRPr="00EB5EB5">
              <w:rPr>
                <w:rFonts w:ascii="Arial Narrow" w:hAnsi="Arial Narrow" w:cs="Arial"/>
                <w:sz w:val="24"/>
                <w:szCs w:val="24"/>
                <w:lang w:val="en-US"/>
              </w:rPr>
              <w:t xml:space="preserve"> quoted the passage from the South </w:t>
            </w:r>
            <w:r w:rsidRPr="00EB5EB5">
              <w:rPr>
                <w:rFonts w:ascii="Arial Narrow" w:hAnsi="Arial Narrow" w:cs="Arial"/>
                <w:sz w:val="24"/>
                <w:szCs w:val="24"/>
                <w:lang w:val="en-US"/>
              </w:rPr>
              <w:lastRenderedPageBreak/>
              <w:t xml:space="preserve">African Constitutional Court case of </w:t>
            </w:r>
            <w:r w:rsidRPr="00EB5EB5">
              <w:rPr>
                <w:rFonts w:ascii="Arial Narrow" w:hAnsi="Arial Narrow" w:cs="Arial"/>
                <w:i/>
                <w:sz w:val="24"/>
                <w:szCs w:val="24"/>
                <w:lang w:val="en-US"/>
              </w:rPr>
              <w:t>Black Sash Trust v Minister of Social Development</w:t>
            </w:r>
            <w:r w:rsidRPr="00EB5EB5">
              <w:rPr>
                <w:rFonts w:ascii="Arial Narrow" w:hAnsi="Arial Narrow" w:cs="Arial"/>
                <w:sz w:val="24"/>
                <w:szCs w:val="24"/>
                <w:vertAlign w:val="superscript"/>
                <w:lang w:val="en-US"/>
              </w:rPr>
              <w:footnoteReference w:id="3"/>
            </w:r>
            <w:r w:rsidRPr="00EB5EB5">
              <w:rPr>
                <w:rFonts w:ascii="Arial Narrow" w:hAnsi="Arial Narrow" w:cs="Arial"/>
                <w:sz w:val="24"/>
                <w:szCs w:val="24"/>
                <w:lang w:val="en-US"/>
              </w:rPr>
              <w:t xml:space="preserve"> which laid down the guidelines for granting personal costs orders as follows:</w:t>
            </w:r>
          </w:p>
          <w:p w:rsidR="00EB5EB5" w:rsidRPr="00EB5EB5" w:rsidRDefault="00EB5EB5" w:rsidP="00BA2C89">
            <w:pPr>
              <w:spacing w:line="360" w:lineRule="auto"/>
              <w:jc w:val="both"/>
              <w:rPr>
                <w:rFonts w:ascii="Arial Narrow" w:hAnsi="Arial Narrow" w:cs="Arial"/>
                <w:sz w:val="24"/>
                <w:szCs w:val="24"/>
                <w:lang w:val="en-US"/>
              </w:rPr>
            </w:pPr>
          </w:p>
          <w:p w:rsidR="00012966" w:rsidRPr="00EB5EB5" w:rsidRDefault="00012966" w:rsidP="00012966">
            <w:pPr>
              <w:spacing w:line="360" w:lineRule="auto"/>
              <w:jc w:val="both"/>
              <w:rPr>
                <w:rFonts w:ascii="Arial Narrow" w:hAnsi="Arial Narrow" w:cs="Arial"/>
                <w:lang w:val="en-US"/>
              </w:rPr>
            </w:pPr>
            <w:r w:rsidRPr="00EB5EB5">
              <w:rPr>
                <w:rFonts w:ascii="Arial Narrow" w:hAnsi="Arial Narrow" w:cs="Arial"/>
                <w:lang w:val="en-US"/>
              </w:rPr>
              <w:t xml:space="preserve">           ‘[5] </w:t>
            </w:r>
            <w:r w:rsidRPr="00EB5EB5">
              <w:rPr>
                <w:rFonts w:ascii="Arial Narrow" w:hAnsi="Arial Narrow" w:cs="Arial"/>
                <w:lang w:val="en-US"/>
              </w:rPr>
              <w:tab/>
              <w:t xml:space="preserve">The common-law rules for granting a personal costs order against persons acting in a representative capacity were based on what this Court in </w:t>
            </w:r>
            <w:proofErr w:type="spellStart"/>
            <w:r w:rsidRPr="00EB5EB5">
              <w:rPr>
                <w:rFonts w:ascii="Arial Narrow" w:hAnsi="Arial Narrow" w:cs="Arial"/>
                <w:i/>
                <w:iCs/>
                <w:lang w:val="en-US"/>
              </w:rPr>
              <w:t>Swartbooi</w:t>
            </w:r>
            <w:proofErr w:type="spellEnd"/>
            <w:r w:rsidRPr="00EB5EB5">
              <w:rPr>
                <w:rFonts w:ascii="Arial Narrow" w:hAnsi="Arial Narrow" w:cs="Arial"/>
                <w:i/>
                <w:iCs/>
                <w:lang w:val="en-US"/>
              </w:rPr>
              <w:t xml:space="preserve"> </w:t>
            </w:r>
            <w:r w:rsidRPr="00EB5EB5">
              <w:rPr>
                <w:rFonts w:ascii="Arial Narrow" w:hAnsi="Arial Narrow" w:cs="Arial"/>
                <w:lang w:val="en-US"/>
              </w:rPr>
              <w:t>described as conduct that was “motivated by malice or amount[</w:t>
            </w:r>
            <w:proofErr w:type="spellStart"/>
            <w:r w:rsidRPr="00EB5EB5">
              <w:rPr>
                <w:rFonts w:ascii="Arial Narrow" w:hAnsi="Arial Narrow" w:cs="Arial"/>
                <w:lang w:val="en-US"/>
              </w:rPr>
              <w:t>ed</w:t>
            </w:r>
            <w:proofErr w:type="spellEnd"/>
            <w:r w:rsidRPr="00EB5EB5">
              <w:rPr>
                <w:rFonts w:ascii="Arial Narrow" w:hAnsi="Arial Narrow" w:cs="Arial"/>
                <w:lang w:val="en-US"/>
              </w:rPr>
              <w:t xml:space="preserve">] to improper conduct”. In many cases the formulation of Innes CJ in </w:t>
            </w:r>
            <w:proofErr w:type="spellStart"/>
            <w:r w:rsidRPr="00EB5EB5">
              <w:rPr>
                <w:rFonts w:ascii="Arial Narrow" w:hAnsi="Arial Narrow" w:cs="Arial"/>
                <w:i/>
                <w:iCs/>
                <w:lang w:val="en-US"/>
              </w:rPr>
              <w:t>Vermaak’s</w:t>
            </w:r>
            <w:proofErr w:type="spellEnd"/>
            <w:r w:rsidRPr="00EB5EB5">
              <w:rPr>
                <w:rFonts w:ascii="Arial Narrow" w:hAnsi="Arial Narrow" w:cs="Arial"/>
                <w:i/>
                <w:iCs/>
                <w:lang w:val="en-US"/>
              </w:rPr>
              <w:t xml:space="preserve"> Executor</w:t>
            </w:r>
            <w:r w:rsidRPr="00EB5EB5">
              <w:rPr>
                <w:rFonts w:ascii="Arial Narrow" w:hAnsi="Arial Narrow" w:cs="Arial"/>
                <w:lang w:val="en-US"/>
              </w:rPr>
              <w:t xml:space="preserve">, that the representative’s “conduct in connection with the litigation in question must have been </w:t>
            </w:r>
            <w:r w:rsidRPr="00EB5EB5">
              <w:rPr>
                <w:rFonts w:ascii="Arial Narrow" w:hAnsi="Arial Narrow" w:cs="Arial"/>
                <w:i/>
                <w:iCs/>
                <w:lang w:val="en-US"/>
              </w:rPr>
              <w:t>mala fide</w:t>
            </w:r>
            <w:r w:rsidRPr="00EB5EB5">
              <w:rPr>
                <w:rFonts w:ascii="Arial Narrow" w:hAnsi="Arial Narrow" w:cs="Arial"/>
                <w:lang w:val="en-US"/>
              </w:rPr>
              <w:t>, negligent or unreasonable”, has been followed.</w:t>
            </w:r>
          </w:p>
          <w:p w:rsidR="00012966" w:rsidRPr="00EB5EB5" w:rsidRDefault="00012966" w:rsidP="00012966">
            <w:pPr>
              <w:spacing w:line="360" w:lineRule="auto"/>
              <w:jc w:val="both"/>
              <w:rPr>
                <w:rFonts w:ascii="Arial Narrow" w:hAnsi="Arial Narrow" w:cs="Arial"/>
                <w:lang w:val="en-US"/>
              </w:rPr>
            </w:pPr>
            <w:r w:rsidRPr="00EB5EB5">
              <w:rPr>
                <w:rFonts w:ascii="Arial Narrow" w:hAnsi="Arial Narrow" w:cs="Arial"/>
                <w:lang w:val="en-US"/>
              </w:rPr>
              <w:t xml:space="preserve">[6] </w:t>
            </w:r>
            <w:r w:rsidRPr="00EB5EB5">
              <w:rPr>
                <w:rFonts w:ascii="Arial Narrow" w:hAnsi="Arial Narrow" w:cs="Arial"/>
                <w:lang w:val="en-US"/>
              </w:rPr>
              <w:tab/>
              <w:t xml:space="preserve">When public officials were guilty of acting in </w:t>
            </w:r>
            <w:r w:rsidRPr="00EB5EB5">
              <w:rPr>
                <w:rFonts w:ascii="Arial Narrow" w:hAnsi="Arial Narrow" w:cs="Arial"/>
                <w:i/>
                <w:iCs/>
                <w:lang w:val="en-US"/>
              </w:rPr>
              <w:t xml:space="preserve">mala fides </w:t>
            </w:r>
            <w:r w:rsidRPr="00EB5EB5">
              <w:rPr>
                <w:rFonts w:ascii="Arial Narrow" w:hAnsi="Arial Narrow" w:cs="Arial"/>
                <w:lang w:val="en-US"/>
              </w:rPr>
              <w:t xml:space="preserve">(bad faith), courts have in the past made personal costs orders against them. Costs orders have been given against judicial officers where they have acted in bad faith. In </w:t>
            </w:r>
            <w:r w:rsidRPr="00EB5EB5">
              <w:rPr>
                <w:rFonts w:ascii="Arial Narrow" w:hAnsi="Arial Narrow" w:cs="Arial"/>
                <w:i/>
                <w:iCs/>
                <w:lang w:val="en-US"/>
              </w:rPr>
              <w:t xml:space="preserve">Regional Magistrate </w:t>
            </w:r>
            <w:r w:rsidRPr="00EB5EB5">
              <w:rPr>
                <w:rFonts w:ascii="Arial Narrow" w:hAnsi="Arial Narrow" w:cs="Arial"/>
                <w:lang w:val="en-US"/>
              </w:rPr>
              <w:t xml:space="preserve">Van </w:t>
            </w:r>
            <w:proofErr w:type="spellStart"/>
            <w:r w:rsidRPr="00EB5EB5">
              <w:rPr>
                <w:rFonts w:ascii="Arial Narrow" w:hAnsi="Arial Narrow" w:cs="Arial"/>
                <w:lang w:val="en-US"/>
              </w:rPr>
              <w:t>Winsen</w:t>
            </w:r>
            <w:proofErr w:type="spellEnd"/>
            <w:r w:rsidRPr="00EB5EB5">
              <w:rPr>
                <w:rFonts w:ascii="Arial Narrow" w:hAnsi="Arial Narrow" w:cs="Arial"/>
                <w:lang w:val="en-US"/>
              </w:rPr>
              <w:t xml:space="preserve"> AJ held that it “is the existence of </w:t>
            </w:r>
            <w:r w:rsidRPr="00EB5EB5">
              <w:rPr>
                <w:rFonts w:ascii="Arial Narrow" w:hAnsi="Arial Narrow" w:cs="Arial"/>
                <w:i/>
                <w:iCs/>
                <w:lang w:val="en-US"/>
              </w:rPr>
              <w:t xml:space="preserve">mala fides </w:t>
            </w:r>
            <w:r w:rsidRPr="00EB5EB5">
              <w:rPr>
                <w:rFonts w:ascii="Arial Narrow" w:hAnsi="Arial Narrow" w:cs="Arial"/>
                <w:lang w:val="en-US"/>
              </w:rPr>
              <w:t xml:space="preserve">on the part of the judicial officer that introduces the risk of an order of costs </w:t>
            </w:r>
            <w:r w:rsidRPr="00EB5EB5">
              <w:rPr>
                <w:rFonts w:ascii="Arial Narrow" w:hAnsi="Arial Narrow" w:cs="Arial"/>
                <w:i/>
                <w:iCs/>
                <w:lang w:val="en-US"/>
              </w:rPr>
              <w:t xml:space="preserve">de </w:t>
            </w:r>
            <w:proofErr w:type="spellStart"/>
            <w:r w:rsidRPr="00EB5EB5">
              <w:rPr>
                <w:rFonts w:ascii="Arial Narrow" w:hAnsi="Arial Narrow" w:cs="Arial"/>
                <w:i/>
                <w:iCs/>
                <w:lang w:val="en-US"/>
              </w:rPr>
              <w:t>bonis</w:t>
            </w:r>
            <w:proofErr w:type="spellEnd"/>
            <w:r w:rsidRPr="00EB5EB5">
              <w:rPr>
                <w:rFonts w:ascii="Arial Narrow" w:hAnsi="Arial Narrow" w:cs="Arial"/>
                <w:i/>
                <w:iCs/>
                <w:lang w:val="en-US"/>
              </w:rPr>
              <w:t xml:space="preserve"> </w:t>
            </w:r>
            <w:proofErr w:type="spellStart"/>
            <w:r w:rsidRPr="00EB5EB5">
              <w:rPr>
                <w:rFonts w:ascii="Arial Narrow" w:hAnsi="Arial Narrow" w:cs="Arial"/>
                <w:i/>
                <w:iCs/>
                <w:lang w:val="en-US"/>
              </w:rPr>
              <w:t>propriis</w:t>
            </w:r>
            <w:proofErr w:type="spellEnd"/>
            <w:r w:rsidRPr="00EB5EB5">
              <w:rPr>
                <w:rFonts w:ascii="Arial Narrow" w:hAnsi="Arial Narrow" w:cs="Arial"/>
                <w:i/>
                <w:iCs/>
                <w:lang w:val="en-US"/>
              </w:rPr>
              <w:t xml:space="preserve"> </w:t>
            </w:r>
            <w:r w:rsidRPr="00EB5EB5">
              <w:rPr>
                <w:rFonts w:ascii="Arial Narrow" w:hAnsi="Arial Narrow" w:cs="Arial"/>
                <w:lang w:val="en-US"/>
              </w:rPr>
              <w:t xml:space="preserve">being given against him”. A similar approach was taken in </w:t>
            </w:r>
            <w:proofErr w:type="spellStart"/>
            <w:r w:rsidRPr="00EB5EB5">
              <w:rPr>
                <w:rFonts w:ascii="Arial Narrow" w:hAnsi="Arial Narrow" w:cs="Arial"/>
                <w:i/>
                <w:iCs/>
                <w:lang w:val="en-US"/>
              </w:rPr>
              <w:t>Moeca</w:t>
            </w:r>
            <w:proofErr w:type="spellEnd"/>
            <w:r w:rsidRPr="00EB5EB5">
              <w:rPr>
                <w:rFonts w:ascii="Arial Narrow" w:hAnsi="Arial Narrow" w:cs="Arial"/>
                <w:lang w:val="en-US"/>
              </w:rPr>
              <w:t xml:space="preserve"> in which an order to pay costs </w:t>
            </w:r>
            <w:r w:rsidRPr="00EB5EB5">
              <w:rPr>
                <w:rFonts w:ascii="Arial Narrow" w:hAnsi="Arial Narrow" w:cs="Arial"/>
                <w:i/>
                <w:iCs/>
                <w:lang w:val="en-US"/>
              </w:rPr>
              <w:t xml:space="preserve">de </w:t>
            </w:r>
            <w:proofErr w:type="spellStart"/>
            <w:r w:rsidRPr="00EB5EB5">
              <w:rPr>
                <w:rFonts w:ascii="Arial Narrow" w:hAnsi="Arial Narrow" w:cs="Arial"/>
                <w:i/>
                <w:iCs/>
                <w:lang w:val="en-US"/>
              </w:rPr>
              <w:t>bonis</w:t>
            </w:r>
            <w:proofErr w:type="spellEnd"/>
            <w:r w:rsidRPr="00EB5EB5">
              <w:rPr>
                <w:rFonts w:ascii="Arial Narrow" w:hAnsi="Arial Narrow" w:cs="Arial"/>
                <w:i/>
                <w:iCs/>
                <w:lang w:val="en-US"/>
              </w:rPr>
              <w:t xml:space="preserve"> </w:t>
            </w:r>
            <w:proofErr w:type="spellStart"/>
            <w:r w:rsidRPr="00EB5EB5">
              <w:rPr>
                <w:rFonts w:ascii="Arial Narrow" w:hAnsi="Arial Narrow" w:cs="Arial"/>
                <w:i/>
                <w:iCs/>
                <w:lang w:val="en-US"/>
              </w:rPr>
              <w:t>propriis</w:t>
            </w:r>
            <w:proofErr w:type="spellEnd"/>
            <w:r w:rsidRPr="00EB5EB5">
              <w:rPr>
                <w:rFonts w:ascii="Arial Narrow" w:hAnsi="Arial Narrow" w:cs="Arial"/>
                <w:i/>
                <w:iCs/>
                <w:lang w:val="en-US"/>
              </w:rPr>
              <w:t xml:space="preserve"> </w:t>
            </w:r>
            <w:r w:rsidRPr="00EB5EB5">
              <w:rPr>
                <w:rFonts w:ascii="Arial Narrow" w:hAnsi="Arial Narrow" w:cs="Arial"/>
                <w:lang w:val="en-US"/>
              </w:rPr>
              <w:t xml:space="preserve">(from his or her own pocket) was made against an administrative official. He had handled this enquiry so badly and had made an order so inappropriate that the Court held that, on the assumption that </w:t>
            </w:r>
            <w:r w:rsidRPr="00EB5EB5">
              <w:rPr>
                <w:rFonts w:ascii="Arial Narrow" w:hAnsi="Arial Narrow" w:cs="Arial"/>
                <w:i/>
                <w:iCs/>
                <w:lang w:val="en-US"/>
              </w:rPr>
              <w:t xml:space="preserve">mala fides </w:t>
            </w:r>
            <w:r w:rsidR="00E25E34">
              <w:rPr>
                <w:rFonts w:ascii="Arial Narrow" w:hAnsi="Arial Narrow" w:cs="Arial"/>
                <w:lang w:val="en-US"/>
              </w:rPr>
              <w:t>must be shown, that it had.’</w:t>
            </w:r>
          </w:p>
          <w:p w:rsidR="00012966" w:rsidRPr="00EB5EB5" w:rsidRDefault="00012966" w:rsidP="00BA2C89">
            <w:pPr>
              <w:spacing w:line="360" w:lineRule="auto"/>
              <w:jc w:val="both"/>
              <w:rPr>
                <w:rFonts w:ascii="Arial Narrow" w:hAnsi="Arial Narrow" w:cs="Arial"/>
                <w:sz w:val="24"/>
                <w:szCs w:val="24"/>
                <w:lang w:val="en-US"/>
              </w:rPr>
            </w:pPr>
          </w:p>
          <w:p w:rsidR="00EB5EB5" w:rsidRPr="00EB5EB5" w:rsidRDefault="009879E8" w:rsidP="00BA2C89">
            <w:pPr>
              <w:spacing w:line="360" w:lineRule="auto"/>
              <w:jc w:val="both"/>
              <w:rPr>
                <w:rFonts w:ascii="Arial Narrow" w:hAnsi="Arial Narrow" w:cs="Arial"/>
                <w:sz w:val="24"/>
                <w:szCs w:val="24"/>
                <w:lang w:val="en-US"/>
              </w:rPr>
            </w:pPr>
            <w:r>
              <w:rPr>
                <w:rFonts w:ascii="Arial Narrow" w:hAnsi="Arial Narrow" w:cs="Arial"/>
                <w:sz w:val="24"/>
                <w:szCs w:val="24"/>
                <w:lang w:val="en-US"/>
              </w:rPr>
              <w:t>[27</w:t>
            </w:r>
            <w:r w:rsidR="00EB5EB5" w:rsidRPr="00EB5EB5">
              <w:rPr>
                <w:rFonts w:ascii="Arial Narrow" w:hAnsi="Arial Narrow" w:cs="Arial"/>
                <w:sz w:val="24"/>
                <w:szCs w:val="24"/>
                <w:lang w:val="en-US"/>
              </w:rPr>
              <w:t xml:space="preserve">]        I have no doubt that the same test may be applied </w:t>
            </w:r>
            <w:r w:rsidR="00EB5EB5" w:rsidRPr="009879E8">
              <w:rPr>
                <w:rFonts w:ascii="Arial Narrow" w:hAnsi="Arial Narrow" w:cs="Arial"/>
                <w:i/>
                <w:sz w:val="24"/>
                <w:szCs w:val="24"/>
                <w:lang w:val="en-US"/>
              </w:rPr>
              <w:t xml:space="preserve">in </w:t>
            </w:r>
            <w:proofErr w:type="spellStart"/>
            <w:r w:rsidR="00EB5EB5" w:rsidRPr="009879E8">
              <w:rPr>
                <w:rFonts w:ascii="Arial Narrow" w:hAnsi="Arial Narrow" w:cs="Arial"/>
                <w:i/>
                <w:sz w:val="24"/>
                <w:szCs w:val="24"/>
                <w:lang w:val="en-US"/>
              </w:rPr>
              <w:t>casu</w:t>
            </w:r>
            <w:proofErr w:type="spellEnd"/>
            <w:r w:rsidR="00EB5EB5" w:rsidRPr="00EB5EB5">
              <w:rPr>
                <w:rFonts w:ascii="Arial Narrow" w:hAnsi="Arial Narrow" w:cs="Arial"/>
                <w:sz w:val="24"/>
                <w:szCs w:val="24"/>
                <w:lang w:val="en-US"/>
              </w:rPr>
              <w:t xml:space="preserve">, this court is of the opinion that the current facts do not warrant punitive costs against </w:t>
            </w:r>
            <w:proofErr w:type="spellStart"/>
            <w:r w:rsidR="00EB5EB5" w:rsidRPr="00EB5EB5">
              <w:rPr>
                <w:rFonts w:ascii="Arial Narrow" w:hAnsi="Arial Narrow" w:cs="Arial"/>
                <w:sz w:val="24"/>
                <w:szCs w:val="24"/>
                <w:lang w:val="en-US"/>
              </w:rPr>
              <w:t>Mr</w:t>
            </w:r>
            <w:proofErr w:type="spellEnd"/>
            <w:r w:rsidR="00EB5EB5" w:rsidRPr="00EB5EB5">
              <w:rPr>
                <w:rFonts w:ascii="Arial Narrow" w:hAnsi="Arial Narrow" w:cs="Arial"/>
                <w:sz w:val="24"/>
                <w:szCs w:val="24"/>
                <w:lang w:val="en-US"/>
              </w:rPr>
              <w:t xml:space="preserve"> </w:t>
            </w:r>
            <w:proofErr w:type="spellStart"/>
            <w:r w:rsidR="00EB5EB5" w:rsidRPr="00EB5EB5">
              <w:rPr>
                <w:rFonts w:ascii="Arial Narrow" w:hAnsi="Arial Narrow" w:cs="Arial"/>
                <w:sz w:val="24"/>
                <w:szCs w:val="24"/>
                <w:lang w:val="en-US"/>
              </w:rPr>
              <w:t>Mutilifa</w:t>
            </w:r>
            <w:proofErr w:type="spellEnd"/>
            <w:r w:rsidR="00EB5EB5" w:rsidRPr="00EB5EB5">
              <w:rPr>
                <w:rFonts w:ascii="Arial Narrow" w:hAnsi="Arial Narrow" w:cs="Arial"/>
                <w:sz w:val="24"/>
                <w:szCs w:val="24"/>
                <w:lang w:val="en-US"/>
              </w:rPr>
              <w:t xml:space="preserve">, as he merely acted in his position as trustee of the plaintiff in the litigation of this matter. It is common cause that the plaintiff has litigated this matter in a poor fashion, however, there were numerous factors which contributed to this, and I therefore find that </w:t>
            </w:r>
            <w:proofErr w:type="spellStart"/>
            <w:r w:rsidR="00EB5EB5" w:rsidRPr="00EB5EB5">
              <w:rPr>
                <w:rFonts w:ascii="Arial Narrow" w:hAnsi="Arial Narrow" w:cs="Arial"/>
                <w:sz w:val="24"/>
                <w:szCs w:val="24"/>
                <w:lang w:val="en-US"/>
              </w:rPr>
              <w:t>Mr</w:t>
            </w:r>
            <w:proofErr w:type="spellEnd"/>
            <w:r w:rsidR="00EB5EB5" w:rsidRPr="00EB5EB5">
              <w:rPr>
                <w:rFonts w:ascii="Arial Narrow" w:hAnsi="Arial Narrow" w:cs="Arial"/>
                <w:sz w:val="24"/>
                <w:szCs w:val="24"/>
                <w:lang w:val="en-US"/>
              </w:rPr>
              <w:t xml:space="preserve"> </w:t>
            </w:r>
            <w:proofErr w:type="spellStart"/>
            <w:r w:rsidR="00EB5EB5" w:rsidRPr="00EB5EB5">
              <w:rPr>
                <w:rFonts w:ascii="Arial Narrow" w:hAnsi="Arial Narrow" w:cs="Arial"/>
                <w:sz w:val="24"/>
                <w:szCs w:val="24"/>
                <w:lang w:val="en-US"/>
              </w:rPr>
              <w:t>Mutilifa</w:t>
            </w:r>
            <w:proofErr w:type="spellEnd"/>
            <w:r w:rsidR="00EB5EB5" w:rsidRPr="00EB5EB5">
              <w:rPr>
                <w:rFonts w:ascii="Arial Narrow" w:hAnsi="Arial Narrow" w:cs="Arial"/>
                <w:sz w:val="24"/>
                <w:szCs w:val="24"/>
                <w:lang w:val="en-US"/>
              </w:rPr>
              <w:t xml:space="preserve"> is not to blame in his personal capacity. </w:t>
            </w:r>
          </w:p>
          <w:p w:rsidR="00EB5EB5" w:rsidRPr="00EB5EB5" w:rsidRDefault="00EB5EB5" w:rsidP="00BA2C89">
            <w:pPr>
              <w:spacing w:line="360" w:lineRule="auto"/>
              <w:jc w:val="both"/>
              <w:rPr>
                <w:rFonts w:ascii="Arial Narrow" w:hAnsi="Arial Narrow" w:cs="Arial"/>
                <w:sz w:val="24"/>
                <w:szCs w:val="24"/>
                <w:lang w:val="en-US"/>
              </w:rPr>
            </w:pPr>
          </w:p>
          <w:p w:rsidR="00DD0A5E" w:rsidRPr="00944923" w:rsidRDefault="00DD0A5E" w:rsidP="00BA2C89">
            <w:pPr>
              <w:spacing w:line="360" w:lineRule="auto"/>
              <w:jc w:val="both"/>
              <w:rPr>
                <w:rFonts w:ascii="Arial Narrow" w:hAnsi="Arial Narrow" w:cs="Arial"/>
                <w:sz w:val="24"/>
                <w:szCs w:val="24"/>
                <w:lang w:val="en-US"/>
              </w:rPr>
            </w:pPr>
            <w:r w:rsidRPr="00EB5EB5">
              <w:rPr>
                <w:rFonts w:ascii="Arial Narrow" w:hAnsi="Arial Narrow" w:cs="Arial"/>
                <w:sz w:val="24"/>
                <w:szCs w:val="24"/>
                <w:lang w:val="en-US"/>
              </w:rPr>
              <w:t>[</w:t>
            </w:r>
            <w:r w:rsidR="009879E8">
              <w:rPr>
                <w:rFonts w:ascii="Arial Narrow" w:hAnsi="Arial Narrow" w:cs="Arial"/>
                <w:sz w:val="24"/>
                <w:szCs w:val="24"/>
                <w:lang w:val="en-US"/>
              </w:rPr>
              <w:t>28</w:t>
            </w:r>
            <w:r w:rsidRPr="00EB5EB5">
              <w:rPr>
                <w:rFonts w:ascii="Arial Narrow" w:hAnsi="Arial Narrow" w:cs="Arial"/>
                <w:sz w:val="24"/>
                <w:szCs w:val="24"/>
                <w:lang w:val="en-US"/>
              </w:rPr>
              <w:t xml:space="preserve">]        </w:t>
            </w:r>
            <w:r w:rsidR="00154EDB">
              <w:rPr>
                <w:rFonts w:ascii="Arial Narrow" w:hAnsi="Arial Narrow" w:cs="Arial"/>
                <w:sz w:val="24"/>
                <w:szCs w:val="24"/>
                <w:lang w:val="en-US"/>
              </w:rPr>
              <w:t>I have stated that the conduct of the plaintiff herei</w:t>
            </w:r>
            <w:r w:rsidR="00551B6D">
              <w:rPr>
                <w:rFonts w:ascii="Arial Narrow" w:hAnsi="Arial Narrow" w:cs="Arial"/>
                <w:sz w:val="24"/>
                <w:szCs w:val="24"/>
                <w:lang w:val="en-US"/>
              </w:rPr>
              <w:t xml:space="preserve">n warrants this court to impose punitive costs. </w:t>
            </w:r>
            <w:r w:rsidR="00944923" w:rsidRPr="00944923">
              <w:rPr>
                <w:rFonts w:ascii="Arial Narrow" w:hAnsi="Arial Narrow" w:cs="Arial"/>
                <w:sz w:val="24"/>
                <w:szCs w:val="24"/>
                <w:lang w:val="en-US"/>
              </w:rPr>
              <w:t>However no punitive costs shal</w:t>
            </w:r>
            <w:r w:rsidR="00EB5EB5">
              <w:rPr>
                <w:rFonts w:ascii="Arial Narrow" w:hAnsi="Arial Narrow" w:cs="Arial"/>
                <w:sz w:val="24"/>
                <w:szCs w:val="24"/>
                <w:lang w:val="en-US"/>
              </w:rPr>
              <w:t>l be award</w:t>
            </w:r>
            <w:r w:rsidR="00551B6D">
              <w:rPr>
                <w:rFonts w:ascii="Arial Narrow" w:hAnsi="Arial Narrow" w:cs="Arial"/>
                <w:sz w:val="24"/>
                <w:szCs w:val="24"/>
                <w:lang w:val="en-US"/>
              </w:rPr>
              <w:t>ed</w:t>
            </w:r>
            <w:r w:rsidR="00EB5EB5">
              <w:rPr>
                <w:rFonts w:ascii="Arial Narrow" w:hAnsi="Arial Narrow" w:cs="Arial"/>
                <w:sz w:val="24"/>
                <w:szCs w:val="24"/>
                <w:lang w:val="en-US"/>
              </w:rPr>
              <w:t xml:space="preserve"> against the trustee of the plaintiff in his personal capacity</w:t>
            </w:r>
            <w:r w:rsidR="00944923" w:rsidRPr="00944923">
              <w:rPr>
                <w:rFonts w:ascii="Arial Narrow" w:hAnsi="Arial Narrow" w:cs="Arial"/>
                <w:sz w:val="24"/>
                <w:szCs w:val="24"/>
                <w:lang w:val="en-US"/>
              </w:rPr>
              <w:t>.</w:t>
            </w:r>
          </w:p>
          <w:p w:rsidR="00A27269" w:rsidRPr="00944923" w:rsidRDefault="00A27269" w:rsidP="00BA2C89">
            <w:pPr>
              <w:spacing w:line="360" w:lineRule="auto"/>
              <w:jc w:val="both"/>
              <w:rPr>
                <w:rFonts w:ascii="Arial Narrow" w:hAnsi="Arial Narrow" w:cs="Arial"/>
                <w:sz w:val="24"/>
                <w:szCs w:val="24"/>
                <w:lang w:val="en-US"/>
              </w:rPr>
            </w:pPr>
          </w:p>
          <w:p w:rsidR="00A27269" w:rsidRPr="00944923" w:rsidRDefault="00DD0A5E" w:rsidP="00BA2C89">
            <w:pPr>
              <w:spacing w:line="360" w:lineRule="auto"/>
              <w:rPr>
                <w:rFonts w:ascii="Arial Narrow" w:hAnsi="Arial Narrow" w:cs="Arial"/>
                <w:sz w:val="24"/>
                <w:szCs w:val="24"/>
                <w:lang w:val="en-US"/>
              </w:rPr>
            </w:pPr>
            <w:r w:rsidRPr="00944923">
              <w:rPr>
                <w:rFonts w:ascii="Arial Narrow" w:hAnsi="Arial Narrow" w:cs="Arial"/>
                <w:sz w:val="24"/>
                <w:szCs w:val="24"/>
                <w:lang w:val="en-US"/>
              </w:rPr>
              <w:t>[</w:t>
            </w:r>
            <w:r w:rsidR="009879E8">
              <w:rPr>
                <w:rFonts w:ascii="Arial Narrow" w:hAnsi="Arial Narrow" w:cs="Arial"/>
                <w:sz w:val="24"/>
                <w:szCs w:val="24"/>
                <w:lang w:val="en-US"/>
              </w:rPr>
              <w:t>29</w:t>
            </w:r>
            <w:r w:rsidR="00A27269" w:rsidRPr="00944923">
              <w:rPr>
                <w:rFonts w:ascii="Arial Narrow" w:hAnsi="Arial Narrow" w:cs="Arial"/>
                <w:sz w:val="24"/>
                <w:szCs w:val="24"/>
                <w:lang w:val="en-US"/>
              </w:rPr>
              <w:t>]</w:t>
            </w:r>
            <w:r w:rsidR="00A27269" w:rsidRPr="00944923">
              <w:rPr>
                <w:rFonts w:ascii="Arial Narrow" w:hAnsi="Arial Narrow" w:cs="Arial"/>
                <w:sz w:val="24"/>
                <w:szCs w:val="24"/>
                <w:lang w:val="en-US"/>
              </w:rPr>
              <w:tab/>
              <w:t>In the res</w:t>
            </w:r>
            <w:r w:rsidR="00944923" w:rsidRPr="00944923">
              <w:rPr>
                <w:rFonts w:ascii="Arial Narrow" w:hAnsi="Arial Narrow" w:cs="Arial"/>
                <w:sz w:val="24"/>
                <w:szCs w:val="24"/>
                <w:lang w:val="en-US"/>
              </w:rPr>
              <w:t>ult I make the following order:</w:t>
            </w:r>
          </w:p>
          <w:p w:rsidR="006C5A87" w:rsidRPr="00944923" w:rsidRDefault="006C5A87" w:rsidP="00BA2C89">
            <w:pPr>
              <w:spacing w:line="360" w:lineRule="auto"/>
              <w:rPr>
                <w:rFonts w:ascii="Arial Narrow" w:hAnsi="Arial Narrow" w:cs="Arial"/>
                <w:sz w:val="24"/>
                <w:szCs w:val="24"/>
                <w:lang w:val="en-US"/>
              </w:rPr>
            </w:pPr>
          </w:p>
          <w:p w:rsidR="00551B6D" w:rsidRPr="009879E8" w:rsidRDefault="00551B6D" w:rsidP="009879E8">
            <w:pPr>
              <w:pStyle w:val="ListParagraph"/>
              <w:numPr>
                <w:ilvl w:val="0"/>
                <w:numId w:val="7"/>
              </w:numPr>
              <w:tabs>
                <w:tab w:val="left" w:pos="432"/>
              </w:tabs>
              <w:spacing w:line="360" w:lineRule="auto"/>
              <w:jc w:val="both"/>
              <w:rPr>
                <w:rFonts w:ascii="Arial Narrow" w:hAnsi="Arial Narrow" w:cs="Arial"/>
                <w:sz w:val="24"/>
                <w:szCs w:val="24"/>
              </w:rPr>
            </w:pPr>
            <w:r w:rsidRPr="009879E8">
              <w:rPr>
                <w:rFonts w:ascii="Arial Narrow" w:hAnsi="Arial Narrow" w:cs="Arial"/>
                <w:sz w:val="24"/>
                <w:szCs w:val="24"/>
              </w:rPr>
              <w:t>Plaintiff is given a final opportunity to deliver the documents listed in defendant’s form 11 to the defendant on or before 12 June 2020 or state on oath or by affirmation within 10 days of this order that such documents, are not in his or its possession, in which case the plaintiff must state their whereabouts, if known. Failure to do so will result in this court dismissing plaintiff’s claim in terms of Rule 28 (13).</w:t>
            </w:r>
          </w:p>
          <w:p w:rsidR="009879E8" w:rsidRPr="00451DEF" w:rsidRDefault="005928A5" w:rsidP="009879E8">
            <w:pPr>
              <w:pStyle w:val="ListParagraph"/>
              <w:numPr>
                <w:ilvl w:val="0"/>
                <w:numId w:val="7"/>
              </w:numPr>
              <w:tabs>
                <w:tab w:val="left" w:pos="432"/>
              </w:tabs>
              <w:spacing w:before="240" w:after="160" w:line="360" w:lineRule="auto"/>
              <w:jc w:val="both"/>
              <w:rPr>
                <w:rFonts w:ascii="Arial Narrow" w:hAnsi="Arial Narrow" w:cs="Arial"/>
                <w:sz w:val="24"/>
                <w:szCs w:val="24"/>
              </w:rPr>
            </w:pPr>
            <w:r w:rsidRPr="009879E8">
              <w:rPr>
                <w:rFonts w:ascii="Arial Narrow" w:eastAsia="Times New Roman" w:hAnsi="Arial Narrow" w:cs="Arial"/>
                <w:spacing w:val="-3"/>
                <w:sz w:val="24"/>
                <w:szCs w:val="24"/>
              </w:rPr>
              <w:lastRenderedPageBreak/>
              <w:t>The pla</w:t>
            </w:r>
            <w:r w:rsidR="00551B6D" w:rsidRPr="009879E8">
              <w:rPr>
                <w:rFonts w:ascii="Arial Narrow" w:eastAsia="Times New Roman" w:hAnsi="Arial Narrow" w:cs="Arial"/>
                <w:spacing w:val="-3"/>
                <w:sz w:val="24"/>
                <w:szCs w:val="24"/>
              </w:rPr>
              <w:t xml:space="preserve">intiff </w:t>
            </w:r>
            <w:r w:rsidR="009879E8">
              <w:rPr>
                <w:rFonts w:ascii="Arial Narrow" w:eastAsia="Times New Roman" w:hAnsi="Arial Narrow" w:cs="Arial"/>
                <w:spacing w:val="-3"/>
                <w:sz w:val="24"/>
                <w:szCs w:val="24"/>
              </w:rPr>
              <w:t xml:space="preserve">in </w:t>
            </w:r>
            <w:r w:rsidR="009879E8">
              <w:rPr>
                <w:rFonts w:ascii="Arial Narrow" w:hAnsi="Arial Narrow" w:cs="Arial"/>
                <w:sz w:val="24"/>
                <w:szCs w:val="24"/>
              </w:rPr>
              <w:t xml:space="preserve">his capacity as a Trustee of </w:t>
            </w:r>
            <w:proofErr w:type="spellStart"/>
            <w:r w:rsidR="009879E8">
              <w:rPr>
                <w:rFonts w:ascii="Arial Narrow" w:hAnsi="Arial Narrow" w:cs="Arial"/>
                <w:sz w:val="24"/>
                <w:szCs w:val="24"/>
              </w:rPr>
              <w:t>Kuisebmund</w:t>
            </w:r>
            <w:proofErr w:type="spellEnd"/>
            <w:r w:rsidR="009879E8">
              <w:rPr>
                <w:rFonts w:ascii="Arial Narrow" w:hAnsi="Arial Narrow" w:cs="Arial"/>
                <w:sz w:val="24"/>
                <w:szCs w:val="24"/>
              </w:rPr>
              <w:t xml:space="preserve"> Community Housing Trust,</w:t>
            </w:r>
            <w:r w:rsidR="009879E8" w:rsidRPr="00451DEF">
              <w:rPr>
                <w:rFonts w:ascii="Arial Narrow" w:eastAsia="Times New Roman" w:hAnsi="Arial Narrow" w:cs="Arial"/>
                <w:spacing w:val="-3"/>
                <w:sz w:val="24"/>
                <w:szCs w:val="24"/>
              </w:rPr>
              <w:t xml:space="preserve"> is ordered to pay the defendant’s costs incurred in respect of the sanctions hearing, </w:t>
            </w:r>
            <w:r w:rsidR="009879E8" w:rsidRPr="00451DEF">
              <w:rPr>
                <w:rFonts w:ascii="Arial Narrow" w:eastAsia="Times New Roman" w:hAnsi="Arial Narrow" w:cs="Arial"/>
                <w:spacing w:val="-3"/>
                <w:sz w:val="24"/>
                <w:szCs w:val="24"/>
                <w:lang w:val="en-US"/>
              </w:rPr>
              <w:t>unlimited and on an attorney client scale</w:t>
            </w:r>
            <w:r w:rsidR="009879E8" w:rsidRPr="00451DEF">
              <w:rPr>
                <w:rFonts w:ascii="Arial Narrow" w:eastAsia="Times New Roman" w:hAnsi="Arial Narrow" w:cs="Arial"/>
                <w:spacing w:val="-3"/>
                <w:sz w:val="24"/>
                <w:szCs w:val="24"/>
              </w:rPr>
              <w:t>,</w:t>
            </w:r>
            <w:r w:rsidR="009879E8" w:rsidRPr="00451DEF">
              <w:rPr>
                <w:rFonts w:ascii="Arial Narrow" w:hAnsi="Arial Narrow" w:cs="Arial"/>
                <w:sz w:val="24"/>
                <w:szCs w:val="24"/>
                <w:lang w:val="en-US"/>
              </w:rPr>
              <w:t xml:space="preserve"> such costs to include the costs of one instructing and one instructed counsel.</w:t>
            </w:r>
          </w:p>
          <w:p w:rsidR="00551B6D" w:rsidRPr="00780CA1" w:rsidRDefault="00551B6D" w:rsidP="009879E8">
            <w:pPr>
              <w:pStyle w:val="ListParagraph"/>
              <w:numPr>
                <w:ilvl w:val="0"/>
                <w:numId w:val="7"/>
              </w:numPr>
              <w:rPr>
                <w:rFonts w:ascii="Arial Narrow" w:hAnsi="Arial Narrow" w:cs="Arial"/>
                <w:sz w:val="24"/>
                <w:szCs w:val="24"/>
                <w:lang w:val="en-US"/>
              </w:rPr>
            </w:pPr>
            <w:r>
              <w:rPr>
                <w:rFonts w:ascii="Arial Narrow" w:hAnsi="Arial Narrow" w:cs="Arial"/>
                <w:sz w:val="24"/>
                <w:szCs w:val="24"/>
              </w:rPr>
              <w:t>The matter is postponed to 17 June 2020 for a Status hearing.</w:t>
            </w:r>
          </w:p>
          <w:p w:rsidR="00780CA1" w:rsidRPr="00780CA1" w:rsidRDefault="00780CA1" w:rsidP="00780CA1">
            <w:pPr>
              <w:rPr>
                <w:rFonts w:ascii="Arial Narrow" w:hAnsi="Arial Narrow" w:cs="Arial"/>
                <w:sz w:val="24"/>
                <w:szCs w:val="24"/>
                <w:lang w:val="en-US"/>
              </w:rPr>
            </w:pPr>
          </w:p>
          <w:p w:rsidR="00A27269" w:rsidRPr="007A751A" w:rsidRDefault="00551B6D" w:rsidP="00551B6D">
            <w:pPr>
              <w:pStyle w:val="ListParagraph"/>
              <w:rPr>
                <w:rFonts w:ascii="Arial Narrow" w:hAnsi="Arial Narrow" w:cs="Arial"/>
                <w:sz w:val="24"/>
                <w:szCs w:val="24"/>
                <w:lang w:val="en-US"/>
              </w:rPr>
            </w:pPr>
            <w:r w:rsidRPr="007A751A">
              <w:rPr>
                <w:rFonts w:ascii="Arial Narrow" w:hAnsi="Arial Narrow" w:cs="Arial"/>
                <w:sz w:val="24"/>
                <w:szCs w:val="24"/>
                <w:lang w:val="en-US"/>
              </w:rPr>
              <w:t xml:space="preserve"> </w:t>
            </w:r>
          </w:p>
        </w:tc>
      </w:tr>
      <w:tr w:rsidR="00A27269" w:rsidRPr="002D4177" w:rsidTr="000A1962">
        <w:tc>
          <w:tcPr>
            <w:tcW w:w="4950" w:type="dxa"/>
          </w:tcPr>
          <w:p w:rsidR="00A27269" w:rsidRPr="002D4177" w:rsidRDefault="00D47105" w:rsidP="00BA2C89">
            <w:pPr>
              <w:rPr>
                <w:rFonts w:ascii="Arial" w:hAnsi="Arial" w:cs="Arial"/>
                <w:b/>
                <w:sz w:val="24"/>
                <w:szCs w:val="24"/>
                <w:lang w:val="en-US"/>
              </w:rPr>
            </w:pPr>
            <w:r w:rsidRPr="007A751A">
              <w:rPr>
                <w:rFonts w:ascii="Arial Narrow" w:hAnsi="Arial Narrow" w:cs="Arial"/>
                <w:b/>
                <w:sz w:val="24"/>
                <w:szCs w:val="24"/>
              </w:rPr>
              <w:lastRenderedPageBreak/>
              <w:t>Judges’</w:t>
            </w:r>
            <w:r>
              <w:rPr>
                <w:rFonts w:ascii="Arial" w:hAnsi="Arial" w:cs="Arial"/>
                <w:b/>
                <w:sz w:val="24"/>
                <w:szCs w:val="24"/>
              </w:rPr>
              <w:t xml:space="preserve"> </w:t>
            </w:r>
            <w:r w:rsidRPr="007A751A">
              <w:rPr>
                <w:rFonts w:ascii="Arial Narrow" w:hAnsi="Arial Narrow" w:cs="Arial"/>
                <w:b/>
                <w:sz w:val="24"/>
                <w:szCs w:val="24"/>
              </w:rPr>
              <w:t>signature</w:t>
            </w:r>
            <w:r>
              <w:rPr>
                <w:rFonts w:ascii="Arial" w:hAnsi="Arial" w:cs="Arial"/>
                <w:b/>
                <w:sz w:val="24"/>
                <w:szCs w:val="24"/>
              </w:rPr>
              <w:t>:</w:t>
            </w:r>
            <w:r>
              <w:rPr>
                <w:rFonts w:ascii="Arial" w:hAnsi="Arial" w:cs="Arial"/>
                <w:b/>
                <w:sz w:val="24"/>
                <w:szCs w:val="24"/>
              </w:rPr>
              <w:tab/>
            </w:r>
          </w:p>
        </w:tc>
        <w:tc>
          <w:tcPr>
            <w:tcW w:w="5063" w:type="dxa"/>
          </w:tcPr>
          <w:p w:rsidR="00A27269" w:rsidRPr="007A751A" w:rsidRDefault="00D47105" w:rsidP="00BA2C89">
            <w:pPr>
              <w:rPr>
                <w:rFonts w:ascii="Arial Narrow" w:hAnsi="Arial Narrow" w:cs="Arial"/>
                <w:b/>
                <w:sz w:val="24"/>
                <w:szCs w:val="24"/>
                <w:lang w:val="en-US"/>
              </w:rPr>
            </w:pPr>
            <w:r w:rsidRPr="007A751A">
              <w:rPr>
                <w:rFonts w:ascii="Arial Narrow" w:hAnsi="Arial Narrow" w:cs="Arial"/>
                <w:b/>
                <w:sz w:val="24"/>
                <w:szCs w:val="24"/>
              </w:rPr>
              <w:t>Note to the parties:</w:t>
            </w:r>
          </w:p>
        </w:tc>
      </w:tr>
      <w:tr w:rsidR="00A27269" w:rsidRPr="002D4177" w:rsidTr="000A1962">
        <w:tc>
          <w:tcPr>
            <w:tcW w:w="4950" w:type="dxa"/>
          </w:tcPr>
          <w:p w:rsidR="00A27269" w:rsidRPr="002D4177" w:rsidRDefault="00A27269" w:rsidP="00BA2C89">
            <w:pPr>
              <w:rPr>
                <w:rFonts w:ascii="Arial" w:hAnsi="Arial" w:cs="Arial"/>
                <w:sz w:val="24"/>
                <w:szCs w:val="24"/>
                <w:lang w:val="en-US"/>
              </w:rPr>
            </w:pPr>
          </w:p>
          <w:p w:rsidR="00A27269" w:rsidRPr="002D4177" w:rsidRDefault="00A27269" w:rsidP="00BA2C89">
            <w:pPr>
              <w:rPr>
                <w:rFonts w:ascii="Arial" w:hAnsi="Arial" w:cs="Arial"/>
                <w:sz w:val="24"/>
                <w:szCs w:val="24"/>
                <w:lang w:val="en-US"/>
              </w:rPr>
            </w:pPr>
          </w:p>
          <w:p w:rsidR="00A27269" w:rsidRPr="002D4177" w:rsidRDefault="00A27269" w:rsidP="00BA2C89">
            <w:pPr>
              <w:rPr>
                <w:rFonts w:ascii="Arial" w:hAnsi="Arial" w:cs="Arial"/>
                <w:sz w:val="24"/>
                <w:szCs w:val="24"/>
                <w:lang w:val="en-US"/>
              </w:rPr>
            </w:pPr>
          </w:p>
          <w:p w:rsidR="00A27269" w:rsidRPr="002D4177" w:rsidRDefault="00A27269" w:rsidP="00BA2C89">
            <w:pPr>
              <w:rPr>
                <w:rFonts w:ascii="Arial" w:hAnsi="Arial" w:cs="Arial"/>
                <w:sz w:val="24"/>
                <w:szCs w:val="24"/>
                <w:lang w:val="en-US"/>
              </w:rPr>
            </w:pPr>
          </w:p>
        </w:tc>
        <w:tc>
          <w:tcPr>
            <w:tcW w:w="5063" w:type="dxa"/>
          </w:tcPr>
          <w:p w:rsidR="00A27269" w:rsidRPr="007A751A" w:rsidRDefault="00A27269" w:rsidP="00BA2C89">
            <w:pPr>
              <w:rPr>
                <w:rFonts w:ascii="Arial Narrow" w:hAnsi="Arial Narrow" w:cs="Arial"/>
                <w:sz w:val="24"/>
                <w:szCs w:val="24"/>
                <w:lang w:val="en-US"/>
              </w:rPr>
            </w:pPr>
            <w:r w:rsidRPr="007A751A">
              <w:rPr>
                <w:rFonts w:ascii="Arial Narrow" w:hAnsi="Arial Narrow" w:cs="Arial"/>
                <w:sz w:val="24"/>
                <w:szCs w:val="24"/>
                <w:lang w:val="en-US"/>
              </w:rPr>
              <w:t xml:space="preserve">Not applicable </w:t>
            </w:r>
          </w:p>
        </w:tc>
      </w:tr>
      <w:tr w:rsidR="00A27269" w:rsidRPr="002D4177" w:rsidTr="000A1962">
        <w:tc>
          <w:tcPr>
            <w:tcW w:w="10013" w:type="dxa"/>
            <w:gridSpan w:val="2"/>
          </w:tcPr>
          <w:p w:rsidR="00A27269" w:rsidRPr="007A751A" w:rsidRDefault="00A27269" w:rsidP="00BA2C89">
            <w:pPr>
              <w:jc w:val="center"/>
              <w:rPr>
                <w:rFonts w:ascii="Arial Narrow" w:hAnsi="Arial Narrow" w:cs="Arial"/>
                <w:b/>
                <w:sz w:val="24"/>
                <w:szCs w:val="24"/>
                <w:lang w:val="en-US"/>
              </w:rPr>
            </w:pPr>
            <w:r w:rsidRPr="007A751A">
              <w:rPr>
                <w:rFonts w:ascii="Arial Narrow" w:hAnsi="Arial Narrow" w:cs="Arial"/>
                <w:b/>
                <w:sz w:val="24"/>
                <w:szCs w:val="24"/>
                <w:lang w:val="en-US"/>
              </w:rPr>
              <w:t>Counsel:</w:t>
            </w:r>
          </w:p>
        </w:tc>
      </w:tr>
      <w:tr w:rsidR="00A27269" w:rsidRPr="002D4177" w:rsidTr="000A1962">
        <w:tc>
          <w:tcPr>
            <w:tcW w:w="4950" w:type="dxa"/>
          </w:tcPr>
          <w:p w:rsidR="00A27269" w:rsidRDefault="00A27269" w:rsidP="00BA2C89">
            <w:pPr>
              <w:rPr>
                <w:rFonts w:ascii="Arial Narrow" w:hAnsi="Arial Narrow" w:cs="Arial"/>
                <w:b/>
                <w:sz w:val="24"/>
                <w:szCs w:val="24"/>
                <w:lang w:val="en-US"/>
              </w:rPr>
            </w:pPr>
            <w:r w:rsidRPr="007A751A">
              <w:rPr>
                <w:rFonts w:ascii="Arial Narrow" w:hAnsi="Arial Narrow" w:cs="Arial"/>
                <w:b/>
                <w:sz w:val="24"/>
                <w:szCs w:val="24"/>
                <w:lang w:val="en-US"/>
              </w:rPr>
              <w:t>Plaintiff</w:t>
            </w:r>
          </w:p>
          <w:p w:rsidR="00C534D7" w:rsidRDefault="00C534D7" w:rsidP="00BA2C89">
            <w:pPr>
              <w:rPr>
                <w:rFonts w:ascii="Arial Narrow" w:hAnsi="Arial Narrow" w:cs="Arial"/>
                <w:b/>
                <w:sz w:val="24"/>
                <w:szCs w:val="24"/>
                <w:lang w:val="en-US"/>
              </w:rPr>
            </w:pPr>
          </w:p>
          <w:p w:rsidR="00C534D7" w:rsidRPr="00C534D7" w:rsidRDefault="00C534D7" w:rsidP="00C534D7">
            <w:pPr>
              <w:rPr>
                <w:rFonts w:ascii="Arial Narrow" w:hAnsi="Arial Narrow" w:cs="Arial"/>
                <w:sz w:val="24"/>
                <w:szCs w:val="24"/>
                <w:lang w:val="en-US"/>
              </w:rPr>
            </w:pPr>
            <w:r w:rsidRPr="00C534D7">
              <w:rPr>
                <w:rFonts w:ascii="Arial Narrow" w:hAnsi="Arial Narrow" w:cs="Arial"/>
                <w:sz w:val="24"/>
                <w:szCs w:val="24"/>
                <w:lang w:val="en-US"/>
              </w:rPr>
              <w:t xml:space="preserve">Ms. T </w:t>
            </w:r>
            <w:proofErr w:type="spellStart"/>
            <w:r w:rsidRPr="00C534D7">
              <w:rPr>
                <w:rFonts w:ascii="Arial Narrow" w:hAnsi="Arial Narrow" w:cs="Arial"/>
                <w:sz w:val="24"/>
                <w:szCs w:val="24"/>
                <w:lang w:val="en-US"/>
              </w:rPr>
              <w:t>Iileka</w:t>
            </w:r>
            <w:proofErr w:type="spellEnd"/>
          </w:p>
          <w:p w:rsidR="00C534D7" w:rsidRPr="00C534D7" w:rsidRDefault="00C534D7" w:rsidP="00C534D7">
            <w:pPr>
              <w:rPr>
                <w:rFonts w:ascii="Arial Narrow" w:hAnsi="Arial Narrow" w:cs="Arial"/>
                <w:sz w:val="24"/>
                <w:szCs w:val="24"/>
                <w:lang w:val="en-US"/>
              </w:rPr>
            </w:pPr>
          </w:p>
          <w:p w:rsidR="00C534D7" w:rsidRPr="00C534D7" w:rsidRDefault="00C534D7" w:rsidP="00C534D7">
            <w:pPr>
              <w:rPr>
                <w:rFonts w:ascii="Arial Narrow" w:hAnsi="Arial Narrow" w:cs="Arial"/>
                <w:sz w:val="24"/>
                <w:szCs w:val="24"/>
                <w:lang w:val="en-US"/>
              </w:rPr>
            </w:pPr>
            <w:r w:rsidRPr="00C534D7">
              <w:rPr>
                <w:rFonts w:ascii="Arial Narrow" w:hAnsi="Arial Narrow" w:cs="Arial"/>
                <w:sz w:val="24"/>
                <w:szCs w:val="24"/>
                <w:lang w:val="en-US"/>
              </w:rPr>
              <w:t>On behalf of Plaintiff</w:t>
            </w:r>
          </w:p>
          <w:p w:rsidR="00C534D7" w:rsidRPr="00C534D7" w:rsidRDefault="00C534D7" w:rsidP="00BA2C89">
            <w:pPr>
              <w:rPr>
                <w:rFonts w:ascii="Arial Narrow" w:hAnsi="Arial Narrow" w:cs="Arial"/>
                <w:sz w:val="24"/>
                <w:szCs w:val="24"/>
                <w:lang w:val="en-US"/>
              </w:rPr>
            </w:pPr>
            <w:proofErr w:type="spellStart"/>
            <w:r w:rsidRPr="00C534D7">
              <w:rPr>
                <w:rFonts w:ascii="Arial Narrow" w:hAnsi="Arial Narrow" w:cs="Arial"/>
                <w:sz w:val="24"/>
                <w:szCs w:val="24"/>
                <w:lang w:val="en-US"/>
              </w:rPr>
              <w:t>Sisa</w:t>
            </w:r>
            <w:proofErr w:type="spellEnd"/>
            <w:r w:rsidRPr="00C534D7">
              <w:rPr>
                <w:rFonts w:ascii="Arial Narrow" w:hAnsi="Arial Narrow" w:cs="Arial"/>
                <w:sz w:val="24"/>
                <w:szCs w:val="24"/>
                <w:lang w:val="en-US"/>
              </w:rPr>
              <w:t xml:space="preserve"> </w:t>
            </w:r>
            <w:proofErr w:type="spellStart"/>
            <w:r w:rsidRPr="00C534D7">
              <w:rPr>
                <w:rFonts w:ascii="Arial Narrow" w:hAnsi="Arial Narrow" w:cs="Arial"/>
                <w:sz w:val="24"/>
                <w:szCs w:val="24"/>
                <w:lang w:val="en-US"/>
              </w:rPr>
              <w:t>Namandje</w:t>
            </w:r>
            <w:proofErr w:type="spellEnd"/>
            <w:r w:rsidRPr="00C534D7">
              <w:rPr>
                <w:rFonts w:ascii="Arial Narrow" w:hAnsi="Arial Narrow" w:cs="Arial"/>
                <w:sz w:val="24"/>
                <w:szCs w:val="24"/>
                <w:lang w:val="en-US"/>
              </w:rPr>
              <w:t xml:space="preserve"> &amp; Co. Inc.</w:t>
            </w:r>
          </w:p>
          <w:p w:rsidR="00C534D7" w:rsidRPr="007A751A" w:rsidRDefault="00C534D7" w:rsidP="00BA2C89">
            <w:pPr>
              <w:rPr>
                <w:rFonts w:ascii="Arial Narrow" w:hAnsi="Arial Narrow" w:cs="Arial"/>
                <w:b/>
                <w:sz w:val="24"/>
                <w:szCs w:val="24"/>
                <w:lang w:val="en-US"/>
              </w:rPr>
            </w:pPr>
          </w:p>
        </w:tc>
        <w:tc>
          <w:tcPr>
            <w:tcW w:w="5063" w:type="dxa"/>
          </w:tcPr>
          <w:p w:rsidR="00A27269" w:rsidRPr="007A751A" w:rsidRDefault="00A27269" w:rsidP="00BA2C89">
            <w:pPr>
              <w:rPr>
                <w:rFonts w:ascii="Arial Narrow" w:hAnsi="Arial Narrow" w:cs="Arial"/>
                <w:b/>
                <w:sz w:val="24"/>
                <w:szCs w:val="24"/>
                <w:lang w:val="en-US"/>
              </w:rPr>
            </w:pPr>
            <w:r w:rsidRPr="007A751A">
              <w:rPr>
                <w:rFonts w:ascii="Arial Narrow" w:hAnsi="Arial Narrow" w:cs="Arial"/>
                <w:b/>
                <w:sz w:val="24"/>
                <w:szCs w:val="24"/>
                <w:lang w:val="en-US"/>
              </w:rPr>
              <w:t>Defendant</w:t>
            </w:r>
          </w:p>
          <w:p w:rsidR="00A27269" w:rsidRDefault="00A27269" w:rsidP="00BA2C89">
            <w:pPr>
              <w:rPr>
                <w:rFonts w:ascii="Arial Narrow" w:hAnsi="Arial Narrow" w:cs="Arial"/>
                <w:sz w:val="24"/>
                <w:szCs w:val="24"/>
                <w:lang w:val="en-US"/>
              </w:rPr>
            </w:pPr>
          </w:p>
          <w:p w:rsidR="00C534D7" w:rsidRDefault="00C534D7" w:rsidP="00C534D7">
            <w:pPr>
              <w:rPr>
                <w:rFonts w:ascii="Arial Narrow" w:hAnsi="Arial Narrow" w:cs="Arial"/>
                <w:sz w:val="24"/>
                <w:szCs w:val="24"/>
                <w:lang w:val="en-US"/>
              </w:rPr>
            </w:pPr>
            <w:r>
              <w:rPr>
                <w:rFonts w:ascii="Arial Narrow" w:hAnsi="Arial Narrow" w:cs="Arial"/>
                <w:sz w:val="24"/>
                <w:szCs w:val="24"/>
                <w:lang w:val="en-US"/>
              </w:rPr>
              <w:t xml:space="preserve">Ms. E </w:t>
            </w:r>
            <w:proofErr w:type="spellStart"/>
            <w:r>
              <w:rPr>
                <w:rFonts w:ascii="Arial Narrow" w:hAnsi="Arial Narrow" w:cs="Arial"/>
                <w:sz w:val="24"/>
                <w:szCs w:val="24"/>
                <w:lang w:val="en-US"/>
              </w:rPr>
              <w:t>Yssel</w:t>
            </w:r>
            <w:proofErr w:type="spellEnd"/>
          </w:p>
          <w:p w:rsidR="00C534D7" w:rsidRPr="00C534D7" w:rsidRDefault="00C534D7" w:rsidP="00C534D7">
            <w:pPr>
              <w:rPr>
                <w:rFonts w:ascii="Arial Narrow" w:hAnsi="Arial Narrow" w:cs="Arial"/>
                <w:sz w:val="24"/>
                <w:szCs w:val="24"/>
                <w:lang w:val="en-US"/>
              </w:rPr>
            </w:pPr>
          </w:p>
          <w:p w:rsidR="00C534D7" w:rsidRPr="00C534D7" w:rsidRDefault="00C534D7" w:rsidP="00C534D7">
            <w:pPr>
              <w:rPr>
                <w:rFonts w:ascii="Arial Narrow" w:hAnsi="Arial Narrow" w:cs="Arial"/>
                <w:sz w:val="24"/>
                <w:szCs w:val="24"/>
                <w:lang w:val="en-US"/>
              </w:rPr>
            </w:pPr>
            <w:r w:rsidRPr="00C534D7">
              <w:rPr>
                <w:rFonts w:ascii="Arial Narrow" w:hAnsi="Arial Narrow" w:cs="Arial"/>
                <w:sz w:val="24"/>
                <w:szCs w:val="24"/>
                <w:lang w:val="en-US"/>
              </w:rPr>
              <w:t>On behalf of Defendant</w:t>
            </w:r>
          </w:p>
          <w:p w:rsidR="00C534D7" w:rsidRPr="007A751A" w:rsidRDefault="00C534D7" w:rsidP="00C534D7">
            <w:pPr>
              <w:rPr>
                <w:rFonts w:ascii="Arial Narrow" w:hAnsi="Arial Narrow" w:cs="Arial"/>
                <w:sz w:val="24"/>
                <w:szCs w:val="24"/>
                <w:lang w:val="en-US"/>
              </w:rPr>
            </w:pPr>
            <w:proofErr w:type="spellStart"/>
            <w:r w:rsidRPr="00C534D7">
              <w:rPr>
                <w:rFonts w:ascii="Arial Narrow" w:hAnsi="Arial Narrow" w:cs="Arial"/>
                <w:sz w:val="24"/>
                <w:szCs w:val="24"/>
                <w:lang w:val="en-US"/>
              </w:rPr>
              <w:t>Engling</w:t>
            </w:r>
            <w:proofErr w:type="spellEnd"/>
            <w:r w:rsidRPr="00C534D7">
              <w:rPr>
                <w:rFonts w:ascii="Arial Narrow" w:hAnsi="Arial Narrow" w:cs="Arial"/>
                <w:sz w:val="24"/>
                <w:szCs w:val="24"/>
                <w:lang w:val="en-US"/>
              </w:rPr>
              <w:t xml:space="preserve">, </w:t>
            </w:r>
            <w:proofErr w:type="spellStart"/>
            <w:r w:rsidRPr="00C534D7">
              <w:rPr>
                <w:rFonts w:ascii="Arial Narrow" w:hAnsi="Arial Narrow" w:cs="Arial"/>
                <w:sz w:val="24"/>
                <w:szCs w:val="24"/>
                <w:lang w:val="en-US"/>
              </w:rPr>
              <w:t>Stritter</w:t>
            </w:r>
            <w:proofErr w:type="spellEnd"/>
            <w:r w:rsidRPr="00C534D7">
              <w:rPr>
                <w:rFonts w:ascii="Arial Narrow" w:hAnsi="Arial Narrow" w:cs="Arial"/>
                <w:sz w:val="24"/>
                <w:szCs w:val="24"/>
                <w:lang w:val="en-US"/>
              </w:rPr>
              <w:t xml:space="preserve"> &amp; Partners</w:t>
            </w:r>
          </w:p>
        </w:tc>
      </w:tr>
      <w:tr w:rsidR="00A27269" w:rsidRPr="002D4177" w:rsidTr="000A1962">
        <w:tc>
          <w:tcPr>
            <w:tcW w:w="4950" w:type="dxa"/>
          </w:tcPr>
          <w:p w:rsidR="00A27269" w:rsidRPr="007A751A" w:rsidRDefault="00D47105" w:rsidP="00BA2C89">
            <w:pPr>
              <w:rPr>
                <w:rFonts w:ascii="Arial Narrow" w:hAnsi="Arial Narrow" w:cs="Arial"/>
                <w:sz w:val="24"/>
                <w:szCs w:val="24"/>
                <w:lang w:val="en-US"/>
              </w:rPr>
            </w:pPr>
            <w:r w:rsidRPr="007A751A">
              <w:rPr>
                <w:rFonts w:ascii="Arial Narrow" w:hAnsi="Arial Narrow" w:cs="Arial"/>
                <w:sz w:val="24"/>
                <w:szCs w:val="24"/>
                <w:lang w:val="en-US"/>
              </w:rPr>
              <w:t>Matter heard on the papers.</w:t>
            </w:r>
            <w:r w:rsidR="00A27269" w:rsidRPr="007A751A">
              <w:rPr>
                <w:rFonts w:ascii="Arial Narrow" w:hAnsi="Arial Narrow" w:cs="Arial"/>
                <w:sz w:val="24"/>
                <w:szCs w:val="24"/>
                <w:lang w:val="en-US"/>
              </w:rPr>
              <w:t xml:space="preserve"> </w:t>
            </w:r>
          </w:p>
        </w:tc>
        <w:tc>
          <w:tcPr>
            <w:tcW w:w="5063" w:type="dxa"/>
          </w:tcPr>
          <w:p w:rsidR="00A27269" w:rsidRPr="007A751A" w:rsidRDefault="00D47105" w:rsidP="00BA2C89">
            <w:pPr>
              <w:rPr>
                <w:rFonts w:ascii="Arial Narrow" w:hAnsi="Arial Narrow" w:cs="Arial"/>
                <w:sz w:val="24"/>
                <w:szCs w:val="24"/>
                <w:lang w:val="en-US"/>
              </w:rPr>
            </w:pPr>
            <w:r w:rsidRPr="007A751A">
              <w:rPr>
                <w:rFonts w:ascii="Arial Narrow" w:hAnsi="Arial Narrow" w:cs="Arial"/>
                <w:sz w:val="24"/>
                <w:szCs w:val="24"/>
                <w:lang w:val="en-US"/>
              </w:rPr>
              <w:t>Matter heard on the papers.</w:t>
            </w:r>
          </w:p>
        </w:tc>
      </w:tr>
    </w:tbl>
    <w:p w:rsidR="00A27269" w:rsidRPr="002D4177" w:rsidRDefault="00A27269" w:rsidP="00A27269">
      <w:pPr>
        <w:rPr>
          <w:rFonts w:ascii="Arial" w:hAnsi="Arial" w:cs="Arial"/>
        </w:rPr>
      </w:pPr>
    </w:p>
    <w:p w:rsidR="00A27269" w:rsidRPr="002D4177" w:rsidRDefault="00A27269" w:rsidP="00A27269"/>
    <w:p w:rsidR="00A27269" w:rsidRPr="002D4177" w:rsidRDefault="00A27269" w:rsidP="00A27269"/>
    <w:p w:rsidR="00A27269" w:rsidRPr="002D4177" w:rsidRDefault="00A27269" w:rsidP="00A27269"/>
    <w:p w:rsidR="00A27269" w:rsidRPr="002D4177" w:rsidRDefault="00A27269" w:rsidP="00A27269"/>
    <w:p w:rsidR="00A27269" w:rsidRDefault="00A27269" w:rsidP="00A27269"/>
    <w:p w:rsidR="00882A79" w:rsidRDefault="00882A79"/>
    <w:sectPr w:rsidR="00882A79" w:rsidSect="00BA2C89">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3C" w:rsidRDefault="00F8023C" w:rsidP="00A27269">
      <w:pPr>
        <w:spacing w:after="0" w:line="240" w:lineRule="auto"/>
      </w:pPr>
      <w:r>
        <w:separator/>
      </w:r>
    </w:p>
  </w:endnote>
  <w:endnote w:type="continuationSeparator" w:id="0">
    <w:p w:rsidR="00F8023C" w:rsidRDefault="00F8023C" w:rsidP="00A2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3C" w:rsidRDefault="00F8023C" w:rsidP="00A27269">
      <w:pPr>
        <w:spacing w:after="0" w:line="240" w:lineRule="auto"/>
      </w:pPr>
      <w:r>
        <w:separator/>
      </w:r>
    </w:p>
  </w:footnote>
  <w:footnote w:type="continuationSeparator" w:id="0">
    <w:p w:rsidR="00F8023C" w:rsidRDefault="00F8023C" w:rsidP="00A27269">
      <w:pPr>
        <w:spacing w:after="0" w:line="240" w:lineRule="auto"/>
      </w:pPr>
      <w:r>
        <w:continuationSeparator/>
      </w:r>
    </w:p>
  </w:footnote>
  <w:footnote w:id="1">
    <w:p w:rsidR="00BA2C89" w:rsidRPr="009D2123" w:rsidRDefault="00BA2C89" w:rsidP="009D2123">
      <w:pPr>
        <w:pStyle w:val="FootnoteText"/>
        <w:jc w:val="both"/>
        <w:rPr>
          <w:rFonts w:ascii="Arial Narrow" w:hAnsi="Arial Narrow"/>
        </w:rPr>
      </w:pPr>
      <w:r w:rsidRPr="009D2123">
        <w:rPr>
          <w:rStyle w:val="FootnoteReference"/>
          <w:rFonts w:ascii="Arial Narrow" w:hAnsi="Arial Narrow"/>
        </w:rPr>
        <w:footnoteRef/>
      </w:r>
      <w:r w:rsidRPr="009D2123">
        <w:rPr>
          <w:rFonts w:ascii="Arial Narrow" w:hAnsi="Arial Narrow"/>
        </w:rPr>
        <w:t xml:space="preserve"> 55. (1) The court or the managing judge may, on application on notice to every party and on good cause shown, make an order extending or shortening a time prescribed by these rules or by an order of court for doing an act or taking a step in connection with proceedings of any nature whatsoever, on such terms as the court or managing judge considers suitable or appropriate.</w:t>
      </w:r>
    </w:p>
  </w:footnote>
  <w:footnote w:id="2">
    <w:p w:rsidR="00BA2C89" w:rsidRPr="00012966" w:rsidRDefault="00BA2C89">
      <w:pPr>
        <w:pStyle w:val="FootnoteText"/>
        <w:rPr>
          <w:rFonts w:ascii="Arial Narrow" w:hAnsi="Arial Narrow"/>
          <w:lang w:val="en-US"/>
        </w:rPr>
      </w:pPr>
      <w:r w:rsidRPr="00012966">
        <w:rPr>
          <w:rStyle w:val="FootnoteReference"/>
          <w:rFonts w:ascii="Arial Narrow" w:hAnsi="Arial Narrow"/>
        </w:rPr>
        <w:footnoteRef/>
      </w:r>
      <w:r w:rsidRPr="00012966">
        <w:rPr>
          <w:rFonts w:ascii="Arial Narrow" w:hAnsi="Arial Narrow"/>
        </w:rPr>
        <w:t xml:space="preserve"> </w:t>
      </w:r>
      <w:r w:rsidRPr="00012966">
        <w:rPr>
          <w:rFonts w:ascii="Arial Narrow" w:hAnsi="Arial Narrow"/>
          <w:lang w:val="en-US"/>
        </w:rPr>
        <w:t>(I 3954/2015) [2017] NAHCMD 348 (1 December 2017).</w:t>
      </w:r>
    </w:p>
  </w:footnote>
  <w:footnote w:id="3">
    <w:p w:rsidR="00BA2C89" w:rsidRPr="00314C47" w:rsidRDefault="00BA2C89" w:rsidP="00012966">
      <w:pPr>
        <w:pStyle w:val="FootnoteText"/>
        <w:spacing w:line="360" w:lineRule="auto"/>
        <w:jc w:val="both"/>
        <w:rPr>
          <w:rFonts w:ascii="Arial" w:hAnsi="Arial" w:cs="Arial"/>
          <w:lang w:val="en-US"/>
        </w:rPr>
      </w:pPr>
      <w:r w:rsidRPr="00EF41D1">
        <w:rPr>
          <w:rStyle w:val="FootnoteReference"/>
          <w:rFonts w:ascii="Arial" w:hAnsi="Arial" w:cs="Arial"/>
        </w:rPr>
        <w:footnoteRef/>
      </w:r>
      <w:r>
        <w:rPr>
          <w:rFonts w:ascii="Arial" w:hAnsi="Arial" w:cs="Arial"/>
        </w:rPr>
        <w:t xml:space="preserve"> </w:t>
      </w:r>
      <w:r w:rsidRPr="00314C47">
        <w:rPr>
          <w:rFonts w:ascii="Arial Narrow" w:hAnsi="Arial Narrow" w:cs="Arial"/>
          <w:lang w:val="en-US"/>
        </w:rPr>
        <w:t>(CCT48/17) [2018] ZACC 36; 2018 (12) BCLR 1472 (CC) (27 September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9081"/>
      <w:docPartObj>
        <w:docPartGallery w:val="Page Numbers (Top of Page)"/>
        <w:docPartUnique/>
      </w:docPartObj>
    </w:sdtPr>
    <w:sdtEndPr>
      <w:rPr>
        <w:noProof/>
      </w:rPr>
    </w:sdtEndPr>
    <w:sdtContent>
      <w:p w:rsidR="00BA2C89" w:rsidRDefault="00BA2C89">
        <w:pPr>
          <w:pStyle w:val="Header"/>
          <w:jc w:val="center"/>
        </w:pPr>
        <w:r>
          <w:fldChar w:fldCharType="begin"/>
        </w:r>
        <w:r>
          <w:instrText xml:space="preserve"> PAGE   \* MERGEFORMAT </w:instrText>
        </w:r>
        <w:r>
          <w:fldChar w:fldCharType="separate"/>
        </w:r>
        <w:r w:rsidR="00C534D7">
          <w:rPr>
            <w:noProof/>
          </w:rPr>
          <w:t>9</w:t>
        </w:r>
        <w:r>
          <w:rPr>
            <w:noProof/>
          </w:rPr>
          <w:fldChar w:fldCharType="end"/>
        </w:r>
      </w:p>
    </w:sdtContent>
  </w:sdt>
  <w:p w:rsidR="00BA2C89" w:rsidRDefault="00BA2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B21"/>
    <w:multiLevelType w:val="hybridMultilevel"/>
    <w:tmpl w:val="3046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963F7"/>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D5E7D8B"/>
    <w:multiLevelType w:val="hybridMultilevel"/>
    <w:tmpl w:val="1700D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C034C"/>
    <w:multiLevelType w:val="hybridMultilevel"/>
    <w:tmpl w:val="72DE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943F0"/>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CA776E7"/>
    <w:multiLevelType w:val="hybridMultilevel"/>
    <w:tmpl w:val="AD80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69"/>
    <w:rsid w:val="00012966"/>
    <w:rsid w:val="00040D36"/>
    <w:rsid w:val="000455B3"/>
    <w:rsid w:val="0004695A"/>
    <w:rsid w:val="00064CCC"/>
    <w:rsid w:val="00083A29"/>
    <w:rsid w:val="000A1962"/>
    <w:rsid w:val="000A6F5C"/>
    <w:rsid w:val="000B39D3"/>
    <w:rsid w:val="00117CEE"/>
    <w:rsid w:val="001247FB"/>
    <w:rsid w:val="00132686"/>
    <w:rsid w:val="001462A2"/>
    <w:rsid w:val="00154EDB"/>
    <w:rsid w:val="00181307"/>
    <w:rsid w:val="0019149A"/>
    <w:rsid w:val="001A6A8E"/>
    <w:rsid w:val="001B12D4"/>
    <w:rsid w:val="001B2C7B"/>
    <w:rsid w:val="00223867"/>
    <w:rsid w:val="002742BE"/>
    <w:rsid w:val="002759E8"/>
    <w:rsid w:val="00280B4E"/>
    <w:rsid w:val="002933D5"/>
    <w:rsid w:val="002A7E68"/>
    <w:rsid w:val="002E0283"/>
    <w:rsid w:val="00314C47"/>
    <w:rsid w:val="00333989"/>
    <w:rsid w:val="00347C67"/>
    <w:rsid w:val="0038511D"/>
    <w:rsid w:val="003957AA"/>
    <w:rsid w:val="003A26AB"/>
    <w:rsid w:val="003B1D36"/>
    <w:rsid w:val="00421AF3"/>
    <w:rsid w:val="00425A37"/>
    <w:rsid w:val="004359EB"/>
    <w:rsid w:val="00451DEF"/>
    <w:rsid w:val="0045694A"/>
    <w:rsid w:val="00480FB7"/>
    <w:rsid w:val="00484EDA"/>
    <w:rsid w:val="004A5394"/>
    <w:rsid w:val="004E441A"/>
    <w:rsid w:val="004E7123"/>
    <w:rsid w:val="004F228E"/>
    <w:rsid w:val="004F61BC"/>
    <w:rsid w:val="00536AD8"/>
    <w:rsid w:val="00551B6D"/>
    <w:rsid w:val="00580211"/>
    <w:rsid w:val="005928A5"/>
    <w:rsid w:val="005B4672"/>
    <w:rsid w:val="005F2EE6"/>
    <w:rsid w:val="00602A19"/>
    <w:rsid w:val="00605656"/>
    <w:rsid w:val="00614D80"/>
    <w:rsid w:val="006248D1"/>
    <w:rsid w:val="00662DF7"/>
    <w:rsid w:val="006723EB"/>
    <w:rsid w:val="00677513"/>
    <w:rsid w:val="00681042"/>
    <w:rsid w:val="0069398C"/>
    <w:rsid w:val="006A6028"/>
    <w:rsid w:val="006C526C"/>
    <w:rsid w:val="006C5A87"/>
    <w:rsid w:val="006E0B6C"/>
    <w:rsid w:val="00705422"/>
    <w:rsid w:val="00775BD6"/>
    <w:rsid w:val="00780CA1"/>
    <w:rsid w:val="007A751A"/>
    <w:rsid w:val="00805137"/>
    <w:rsid w:val="00812C89"/>
    <w:rsid w:val="00840284"/>
    <w:rsid w:val="00851DA0"/>
    <w:rsid w:val="008712B1"/>
    <w:rsid w:val="008732D3"/>
    <w:rsid w:val="00882A79"/>
    <w:rsid w:val="00884CD2"/>
    <w:rsid w:val="0088559A"/>
    <w:rsid w:val="008B0DC7"/>
    <w:rsid w:val="008C27D0"/>
    <w:rsid w:val="008C60F0"/>
    <w:rsid w:val="008F0CBB"/>
    <w:rsid w:val="00910434"/>
    <w:rsid w:val="00935E6A"/>
    <w:rsid w:val="00944923"/>
    <w:rsid w:val="00955FE6"/>
    <w:rsid w:val="009575B3"/>
    <w:rsid w:val="009879E8"/>
    <w:rsid w:val="009C41FE"/>
    <w:rsid w:val="009D2123"/>
    <w:rsid w:val="009E545F"/>
    <w:rsid w:val="00A13854"/>
    <w:rsid w:val="00A27269"/>
    <w:rsid w:val="00AC7FBD"/>
    <w:rsid w:val="00B06560"/>
    <w:rsid w:val="00B76A26"/>
    <w:rsid w:val="00B8168F"/>
    <w:rsid w:val="00BA17CE"/>
    <w:rsid w:val="00BA2C89"/>
    <w:rsid w:val="00BA6937"/>
    <w:rsid w:val="00BE1228"/>
    <w:rsid w:val="00C534D7"/>
    <w:rsid w:val="00C75855"/>
    <w:rsid w:val="00C918AA"/>
    <w:rsid w:val="00CB1A96"/>
    <w:rsid w:val="00CD23C8"/>
    <w:rsid w:val="00CF21C9"/>
    <w:rsid w:val="00D031EE"/>
    <w:rsid w:val="00D121B8"/>
    <w:rsid w:val="00D47105"/>
    <w:rsid w:val="00D4726D"/>
    <w:rsid w:val="00D64B1D"/>
    <w:rsid w:val="00DD0A5E"/>
    <w:rsid w:val="00E03137"/>
    <w:rsid w:val="00E25E34"/>
    <w:rsid w:val="00E45076"/>
    <w:rsid w:val="00E9773E"/>
    <w:rsid w:val="00EB095F"/>
    <w:rsid w:val="00EB5EB5"/>
    <w:rsid w:val="00EC1852"/>
    <w:rsid w:val="00EC5F9C"/>
    <w:rsid w:val="00EE6BBB"/>
    <w:rsid w:val="00F8023C"/>
    <w:rsid w:val="00FD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B010D-73B7-4B0E-ADA3-838E43EE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105"/>
    <w:rPr>
      <w:lang w:val="en-GB"/>
    </w:rPr>
  </w:style>
  <w:style w:type="paragraph" w:styleId="Heading2">
    <w:name w:val="heading 2"/>
    <w:basedOn w:val="Normal"/>
    <w:next w:val="Normal"/>
    <w:link w:val="Heading2Char"/>
    <w:uiPriority w:val="9"/>
    <w:semiHidden/>
    <w:unhideWhenUsed/>
    <w:qFormat/>
    <w:rsid w:val="00314C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26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27269"/>
  </w:style>
  <w:style w:type="paragraph" w:styleId="FootnoteText">
    <w:name w:val="footnote text"/>
    <w:basedOn w:val="Normal"/>
    <w:link w:val="FootnoteTextChar"/>
    <w:uiPriority w:val="99"/>
    <w:semiHidden/>
    <w:unhideWhenUsed/>
    <w:rsid w:val="00A27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269"/>
    <w:rPr>
      <w:sz w:val="20"/>
      <w:szCs w:val="20"/>
      <w:lang w:val="en-GB"/>
    </w:rPr>
  </w:style>
  <w:style w:type="character" w:styleId="FootnoteReference">
    <w:name w:val="footnote reference"/>
    <w:basedOn w:val="DefaultParagraphFont"/>
    <w:uiPriority w:val="99"/>
    <w:unhideWhenUsed/>
    <w:rsid w:val="00A27269"/>
    <w:rPr>
      <w:vertAlign w:val="superscript"/>
    </w:rPr>
  </w:style>
  <w:style w:type="paragraph" w:styleId="ListParagraph">
    <w:name w:val="List Paragraph"/>
    <w:basedOn w:val="Normal"/>
    <w:uiPriority w:val="34"/>
    <w:qFormat/>
    <w:rsid w:val="00A27269"/>
    <w:pPr>
      <w:ind w:left="720"/>
      <w:contextualSpacing/>
    </w:pPr>
    <w:rPr>
      <w:lang w:val="en-ZA"/>
    </w:rPr>
  </w:style>
  <w:style w:type="character" w:customStyle="1" w:styleId="Heading2Char">
    <w:name w:val="Heading 2 Char"/>
    <w:basedOn w:val="DefaultParagraphFont"/>
    <w:link w:val="Heading2"/>
    <w:uiPriority w:val="9"/>
    <w:semiHidden/>
    <w:rsid w:val="00314C47"/>
    <w:rPr>
      <w:rFonts w:asciiTheme="majorHAnsi" w:eastAsiaTheme="majorEastAsia" w:hAnsiTheme="majorHAnsi" w:cstheme="majorBidi"/>
      <w:color w:val="2E74B5" w:themeColor="accent1" w:themeShade="BF"/>
      <w:sz w:val="26"/>
      <w:szCs w:val="26"/>
      <w:lang w:val="en-GB"/>
    </w:rPr>
  </w:style>
  <w:style w:type="paragraph" w:styleId="BalloonText">
    <w:name w:val="Balloon Text"/>
    <w:basedOn w:val="Normal"/>
    <w:link w:val="BalloonTextChar"/>
    <w:uiPriority w:val="99"/>
    <w:semiHidden/>
    <w:unhideWhenUsed/>
    <w:rsid w:val="006C5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8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2020-05-31T18:30:00+00:00</Judgment_x0020_Date>
    <Year xmlns="c1afb1bd-f2fb-40fd-9abb-aea55b4d7662">2020</Year>
  </documentManagement>
</p:properties>
</file>

<file path=customXml/itemProps1.xml><?xml version="1.0" encoding="utf-8"?>
<ds:datastoreItem xmlns:ds="http://schemas.openxmlformats.org/officeDocument/2006/customXml" ds:itemID="{C5DA0806-6A2D-4A2F-ABB4-2C3B5303F646}"/>
</file>

<file path=customXml/itemProps2.xml><?xml version="1.0" encoding="utf-8"?>
<ds:datastoreItem xmlns:ds="http://schemas.openxmlformats.org/officeDocument/2006/customXml" ds:itemID="{6E37931F-3A4F-422B-AE2D-C572A8D83ACD}"/>
</file>

<file path=customXml/itemProps3.xml><?xml version="1.0" encoding="utf-8"?>
<ds:datastoreItem xmlns:ds="http://schemas.openxmlformats.org/officeDocument/2006/customXml" ds:itemID="{1724015E-379E-4E37-A906-86113FFF451F}"/>
</file>

<file path=customXml/itemProps4.xml><?xml version="1.0" encoding="utf-8"?>
<ds:datastoreItem xmlns:ds="http://schemas.openxmlformats.org/officeDocument/2006/customXml" ds:itemID="{AD939312-00E1-4D88-AEEF-6E792B0103B1}"/>
</file>

<file path=docProps/app.xml><?xml version="1.0" encoding="utf-8"?>
<Properties xmlns="http://schemas.openxmlformats.org/officeDocument/2006/extended-properties" xmlns:vt="http://schemas.openxmlformats.org/officeDocument/2006/docPropsVTypes">
  <Template>Normal</Template>
  <TotalTime>0</TotalTime>
  <Pages>9</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Kuisebmond Community Housing Trust v Ndjekela (HC-MD-CIV-ACT-DEL-2018-01526) [2020] NAHCMD 209 (1 June 2020)</dc:title>
  <dc:creator>Mbeurora Karamata</dc:creator>
  <cp:lastModifiedBy>Administrator</cp:lastModifiedBy>
  <cp:revision>2</cp:revision>
  <cp:lastPrinted>2020-06-03T06:57:00Z</cp:lastPrinted>
  <dcterms:created xsi:type="dcterms:W3CDTF">2020-06-04T08:03:00Z</dcterms:created>
  <dcterms:modified xsi:type="dcterms:W3CDTF">2020-06-04T08:03:00Z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