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“ANNEXURE 11”</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026D86" w:rsidRDefault="006C2F95" w:rsidP="006D2D84">
            <w:pPr>
              <w:spacing w:line="360" w:lineRule="auto"/>
              <w:jc w:val="both"/>
              <w:rPr>
                <w:rFonts w:ascii="Arial" w:hAnsi="Arial" w:cs="Arial"/>
              </w:rPr>
            </w:pPr>
            <w:r>
              <w:rPr>
                <w:rFonts w:ascii="Arial" w:hAnsi="Arial" w:cs="Arial"/>
              </w:rPr>
              <w:t>IMMANUEL KAULUMA ELIFAS &amp; ANOTHER</w:t>
            </w:r>
            <w:r w:rsidR="00026D86" w:rsidRPr="00026D86">
              <w:rPr>
                <w:rFonts w:ascii="Arial" w:hAnsi="Arial" w:cs="Arial"/>
                <w:shd w:val="clear" w:color="auto" w:fill="FFFFFF"/>
              </w:rPr>
              <w:t xml:space="preserve"> vs </w:t>
            </w:r>
            <w:r>
              <w:rPr>
                <w:rFonts w:ascii="Arial" w:hAnsi="Arial" w:cs="Arial"/>
                <w:shd w:val="clear" w:color="auto" w:fill="FFFFFF"/>
              </w:rPr>
              <w:t>FILLEMON SHUUMBWA NANGOLO &amp; 7 OTHERS</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2A06F0" w:rsidRDefault="002A06F0" w:rsidP="006C2F95">
            <w:pPr>
              <w:spacing w:line="360" w:lineRule="auto"/>
              <w:jc w:val="both"/>
              <w:rPr>
                <w:rFonts w:ascii="Arial" w:hAnsi="Arial" w:cs="Arial"/>
              </w:rPr>
            </w:pPr>
            <w:r w:rsidRPr="002A06F0">
              <w:rPr>
                <w:rFonts w:ascii="Arial" w:hAnsi="Arial" w:cs="Arial"/>
              </w:rPr>
              <w:t>HC-MD-CIV-</w:t>
            </w:r>
            <w:r w:rsidR="006C2F95">
              <w:rPr>
                <w:rFonts w:ascii="Arial" w:hAnsi="Arial" w:cs="Arial"/>
              </w:rPr>
              <w:t>MOT-GEN</w:t>
            </w:r>
            <w:r w:rsidRPr="002A06F0">
              <w:rPr>
                <w:rFonts w:ascii="Arial" w:hAnsi="Arial" w:cs="Arial"/>
              </w:rPr>
              <w:t>-201</w:t>
            </w:r>
            <w:r w:rsidR="006C2F95">
              <w:rPr>
                <w:rFonts w:ascii="Arial" w:hAnsi="Arial" w:cs="Arial"/>
              </w:rPr>
              <w:t>8</w:t>
            </w:r>
            <w:r w:rsidRPr="002A06F0">
              <w:rPr>
                <w:rFonts w:ascii="Arial" w:hAnsi="Arial" w:cs="Arial"/>
              </w:rPr>
              <w:t>/00</w:t>
            </w:r>
            <w:r w:rsidR="006C2F95">
              <w:rPr>
                <w:rFonts w:ascii="Arial" w:hAnsi="Arial" w:cs="Arial"/>
              </w:rPr>
              <w:t>187</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710D">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09710D">
              <w:rPr>
                <w:rFonts w:ascii="Arial" w:hAnsi="Arial" w:cs="Arial"/>
              </w:rPr>
              <w:t>GEIER</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6C2F95" w:rsidP="006C2F95">
            <w:pPr>
              <w:spacing w:line="360" w:lineRule="auto"/>
              <w:rPr>
                <w:rFonts w:ascii="Arial" w:hAnsi="Arial" w:cs="Arial"/>
              </w:rPr>
            </w:pPr>
            <w:r>
              <w:rPr>
                <w:rFonts w:ascii="Arial" w:hAnsi="Arial" w:cs="Arial"/>
              </w:rPr>
              <w:t>12</w:t>
            </w:r>
            <w:r w:rsidR="0009710D">
              <w:rPr>
                <w:rFonts w:ascii="Arial" w:hAnsi="Arial" w:cs="Arial"/>
              </w:rPr>
              <w:t xml:space="preserve"> </w:t>
            </w:r>
            <w:r>
              <w:rPr>
                <w:rFonts w:ascii="Arial" w:hAnsi="Arial" w:cs="Arial"/>
              </w:rPr>
              <w:t>MAY</w:t>
            </w:r>
            <w:r w:rsidR="00F72F82" w:rsidRPr="006E49A3">
              <w:rPr>
                <w:rFonts w:ascii="Arial" w:hAnsi="Arial" w:cs="Arial"/>
              </w:rPr>
              <w:t xml:space="preserve"> </w:t>
            </w:r>
            <w:r w:rsidR="0009710D">
              <w:rPr>
                <w:rFonts w:ascii="Arial" w:hAnsi="Arial" w:cs="Arial"/>
              </w:rPr>
              <w:t>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6E49A3" w:rsidRDefault="001A1FDF" w:rsidP="006C2F95">
            <w:pPr>
              <w:spacing w:line="360" w:lineRule="auto"/>
              <w:jc w:val="both"/>
              <w:rPr>
                <w:rFonts w:ascii="Arial" w:hAnsi="Arial" w:cs="Arial"/>
                <w:b/>
              </w:rPr>
            </w:pPr>
            <w:r>
              <w:rPr>
                <w:rFonts w:ascii="Arial" w:hAnsi="Arial" w:cs="Arial"/>
              </w:rPr>
              <w:t>10</w:t>
            </w:r>
            <w:r w:rsidR="00026D86">
              <w:rPr>
                <w:rFonts w:ascii="Arial" w:hAnsi="Arial" w:cs="Arial"/>
              </w:rPr>
              <w:t xml:space="preserve"> </w:t>
            </w:r>
            <w:r w:rsidR="006C2F95">
              <w:rPr>
                <w:rFonts w:ascii="Arial" w:hAnsi="Arial" w:cs="Arial"/>
              </w:rPr>
              <w:t>JUNE</w:t>
            </w:r>
            <w:r w:rsidR="009F24FA" w:rsidRPr="006E49A3">
              <w:rPr>
                <w:rFonts w:ascii="Arial" w:hAnsi="Arial" w:cs="Arial"/>
              </w:rPr>
              <w:t xml:space="preserve"> </w:t>
            </w:r>
            <w:r w:rsidR="00F72F82" w:rsidRPr="006E49A3">
              <w:rPr>
                <w:rFonts w:ascii="Arial" w:hAnsi="Arial" w:cs="Arial"/>
              </w:rPr>
              <w:t>20</w:t>
            </w:r>
            <w:r w:rsidR="0009710D">
              <w:rPr>
                <w:rFonts w:ascii="Arial" w:hAnsi="Arial" w:cs="Arial"/>
              </w:rPr>
              <w:t>20</w:t>
            </w:r>
          </w:p>
        </w:tc>
      </w:tr>
      <w:tr w:rsidR="005955B1" w:rsidRPr="006E49A3" w:rsidTr="00BB1E6E">
        <w:trPr>
          <w:trHeight w:val="908"/>
        </w:trPr>
        <w:tc>
          <w:tcPr>
            <w:tcW w:w="9720" w:type="dxa"/>
            <w:gridSpan w:val="3"/>
          </w:tcPr>
          <w:p w:rsidR="00F71EB9" w:rsidRPr="006E49A3" w:rsidRDefault="005955B1" w:rsidP="004F4319">
            <w:pPr>
              <w:spacing w:line="360" w:lineRule="auto"/>
              <w:jc w:val="both"/>
              <w:rPr>
                <w:rFonts w:ascii="Arial" w:hAnsi="Arial" w:cs="Arial"/>
              </w:rPr>
            </w:pPr>
            <w:r w:rsidRPr="006E49A3">
              <w:rPr>
                <w:rFonts w:ascii="Arial" w:hAnsi="Arial" w:cs="Arial"/>
                <w:b/>
              </w:rPr>
              <w:t xml:space="preserve">Neutral citation: </w:t>
            </w:r>
            <w:bookmarkStart w:id="0" w:name="_GoBack"/>
            <w:r w:rsidR="006C2F95">
              <w:rPr>
                <w:rFonts w:ascii="Arial" w:hAnsi="Arial" w:cs="Arial"/>
                <w:i/>
              </w:rPr>
              <w:t>Kauluma</w:t>
            </w:r>
            <w:r w:rsidR="0009710D">
              <w:rPr>
                <w:rFonts w:ascii="Arial" w:hAnsi="Arial" w:cs="Arial"/>
                <w:i/>
              </w:rPr>
              <w:t xml:space="preserve"> </w:t>
            </w:r>
            <w:r w:rsidR="00F72F82" w:rsidRPr="006E49A3">
              <w:rPr>
                <w:rFonts w:ascii="Arial" w:hAnsi="Arial" w:cs="Arial"/>
                <w:i/>
              </w:rPr>
              <w:t xml:space="preserve">v </w:t>
            </w:r>
            <w:r w:rsidR="006C2F95">
              <w:rPr>
                <w:rFonts w:ascii="Arial" w:hAnsi="Arial" w:cs="Arial"/>
                <w:i/>
              </w:rPr>
              <w:t>Nangolo</w:t>
            </w:r>
            <w:r w:rsidR="00FC0878">
              <w:rPr>
                <w:rFonts w:ascii="Arial" w:hAnsi="Arial" w:cs="Arial"/>
                <w:i/>
              </w:rPr>
              <w:t xml:space="preserve"> </w:t>
            </w:r>
            <w:r w:rsidR="00026D86">
              <w:rPr>
                <w:rFonts w:ascii="Arial" w:hAnsi="Arial" w:cs="Arial"/>
                <w:i/>
              </w:rPr>
              <w:t xml:space="preserve"> </w:t>
            </w:r>
            <w:r w:rsidR="00B4625E" w:rsidRPr="006E49A3">
              <w:rPr>
                <w:rFonts w:ascii="Arial" w:hAnsi="Arial" w:cs="Arial"/>
              </w:rPr>
              <w:t>(</w:t>
            </w:r>
            <w:r w:rsidR="006C2F95" w:rsidRPr="002A06F0">
              <w:rPr>
                <w:rFonts w:ascii="Arial" w:hAnsi="Arial" w:cs="Arial"/>
              </w:rPr>
              <w:t>HC-MD-CIV-</w:t>
            </w:r>
            <w:r w:rsidR="006C2F95">
              <w:rPr>
                <w:rFonts w:ascii="Arial" w:hAnsi="Arial" w:cs="Arial"/>
              </w:rPr>
              <w:t>MOT-GEN</w:t>
            </w:r>
            <w:r w:rsidR="006C2F95" w:rsidRPr="002A06F0">
              <w:rPr>
                <w:rFonts w:ascii="Arial" w:hAnsi="Arial" w:cs="Arial"/>
              </w:rPr>
              <w:t>-201</w:t>
            </w:r>
            <w:r w:rsidR="006C2F95">
              <w:rPr>
                <w:rFonts w:ascii="Arial" w:hAnsi="Arial" w:cs="Arial"/>
              </w:rPr>
              <w:t>8</w:t>
            </w:r>
            <w:r w:rsidR="006C2F95" w:rsidRPr="002A06F0">
              <w:rPr>
                <w:rFonts w:ascii="Arial" w:hAnsi="Arial" w:cs="Arial"/>
              </w:rPr>
              <w:t>/00</w:t>
            </w:r>
            <w:r w:rsidR="006C2F95">
              <w:rPr>
                <w:rFonts w:ascii="Arial" w:hAnsi="Arial" w:cs="Arial"/>
              </w:rPr>
              <w:t>187</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09710D">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4F4319">
              <w:rPr>
                <w:rFonts w:ascii="Arial" w:hAnsi="Arial" w:cs="Arial"/>
              </w:rPr>
              <w:t>215</w:t>
            </w:r>
            <w:r w:rsidR="00B4625E" w:rsidRPr="006E49A3">
              <w:rPr>
                <w:rFonts w:ascii="Arial" w:hAnsi="Arial" w:cs="Arial"/>
              </w:rPr>
              <w:t xml:space="preserve"> (</w:t>
            </w:r>
            <w:r w:rsidR="001A1FDF">
              <w:rPr>
                <w:rFonts w:ascii="Arial" w:hAnsi="Arial" w:cs="Arial"/>
              </w:rPr>
              <w:t>10</w:t>
            </w:r>
            <w:r w:rsidR="00026D86">
              <w:rPr>
                <w:rFonts w:ascii="Arial" w:hAnsi="Arial" w:cs="Arial"/>
              </w:rPr>
              <w:t xml:space="preserve"> </w:t>
            </w:r>
            <w:r w:rsidR="006C2F95">
              <w:rPr>
                <w:rFonts w:ascii="Arial" w:hAnsi="Arial" w:cs="Arial"/>
              </w:rPr>
              <w:t>June</w:t>
            </w:r>
            <w:r w:rsidR="00F72F82" w:rsidRPr="006E49A3">
              <w:rPr>
                <w:rFonts w:ascii="Arial" w:hAnsi="Arial" w:cs="Arial"/>
              </w:rPr>
              <w:t xml:space="preserve"> 20</w:t>
            </w:r>
            <w:r w:rsidR="0009710D">
              <w:rPr>
                <w:rFonts w:ascii="Arial" w:hAnsi="Arial" w:cs="Arial"/>
              </w:rPr>
              <w:t>20</w:t>
            </w:r>
            <w:r w:rsidRPr="006E49A3">
              <w:rPr>
                <w:rFonts w:ascii="Arial" w:hAnsi="Arial" w:cs="Arial"/>
              </w:rPr>
              <w:t>)</w:t>
            </w:r>
            <w:bookmarkEnd w:id="0"/>
          </w:p>
        </w:tc>
      </w:tr>
      <w:tr w:rsidR="00281FAB" w:rsidRPr="006E49A3" w:rsidTr="00EB27A0">
        <w:tc>
          <w:tcPr>
            <w:tcW w:w="9720" w:type="dxa"/>
            <w:gridSpan w:val="3"/>
          </w:tcPr>
          <w:p w:rsidR="00EB27A0" w:rsidRPr="002234F4" w:rsidRDefault="00EB27A0" w:rsidP="002234F4">
            <w:pPr>
              <w:spacing w:line="360" w:lineRule="auto"/>
              <w:jc w:val="both"/>
              <w:rPr>
                <w:rFonts w:ascii="Arial" w:hAnsi="Arial" w:cs="Arial"/>
                <w:sz w:val="20"/>
                <w:szCs w:val="20"/>
              </w:rPr>
            </w:pPr>
          </w:p>
          <w:p w:rsidR="00EB27A0" w:rsidRPr="002234F4" w:rsidRDefault="00EB27A0" w:rsidP="002234F4">
            <w:pPr>
              <w:spacing w:line="360" w:lineRule="auto"/>
              <w:jc w:val="both"/>
              <w:rPr>
                <w:rFonts w:ascii="Arial" w:hAnsi="Arial" w:cs="Arial"/>
                <w:b/>
              </w:rPr>
            </w:pPr>
            <w:r w:rsidRPr="002234F4">
              <w:rPr>
                <w:rFonts w:ascii="Arial" w:hAnsi="Arial" w:cs="Arial"/>
                <w:b/>
              </w:rPr>
              <w:t>IT IS ORDERED THAT:</w:t>
            </w:r>
          </w:p>
          <w:p w:rsidR="008D65E9" w:rsidRPr="002234F4" w:rsidRDefault="008D65E9" w:rsidP="002234F4">
            <w:pPr>
              <w:spacing w:line="360" w:lineRule="auto"/>
              <w:jc w:val="both"/>
              <w:rPr>
                <w:rFonts w:ascii="Arial" w:hAnsi="Arial" w:cs="Arial"/>
                <w:sz w:val="20"/>
                <w:szCs w:val="20"/>
              </w:rPr>
            </w:pPr>
          </w:p>
          <w:p w:rsidR="00D26543" w:rsidRPr="002234F4" w:rsidRDefault="00D26543" w:rsidP="002234F4">
            <w:pPr>
              <w:pStyle w:val="ListParagraph"/>
              <w:numPr>
                <w:ilvl w:val="0"/>
                <w:numId w:val="8"/>
              </w:numPr>
              <w:spacing w:line="360" w:lineRule="auto"/>
              <w:ind w:left="446" w:hanging="426"/>
              <w:jc w:val="both"/>
              <w:rPr>
                <w:rFonts w:ascii="Arial" w:hAnsi="Arial" w:cs="Arial"/>
              </w:rPr>
            </w:pPr>
            <w:r w:rsidRPr="002234F4">
              <w:rPr>
                <w:rFonts w:ascii="Arial" w:hAnsi="Arial" w:cs="Arial"/>
              </w:rPr>
              <w:t xml:space="preserve">The Rule 61 application </w:t>
            </w:r>
            <w:r w:rsidR="00F233A9">
              <w:rPr>
                <w:rFonts w:ascii="Arial" w:hAnsi="Arial" w:cs="Arial"/>
              </w:rPr>
              <w:t>filed</w:t>
            </w:r>
            <w:r w:rsidRPr="002234F4">
              <w:rPr>
                <w:rFonts w:ascii="Arial" w:hAnsi="Arial" w:cs="Arial"/>
              </w:rPr>
              <w:t xml:space="preserve"> on 13 January 2020, is hereby dismissed with costs.</w:t>
            </w:r>
          </w:p>
          <w:p w:rsidR="00D26543" w:rsidRPr="002234F4" w:rsidRDefault="00D26543" w:rsidP="002234F4">
            <w:pPr>
              <w:pStyle w:val="ListParagraph"/>
              <w:spacing w:line="360" w:lineRule="auto"/>
              <w:ind w:left="446"/>
              <w:jc w:val="both"/>
              <w:rPr>
                <w:rFonts w:ascii="Arial" w:hAnsi="Arial" w:cs="Arial"/>
              </w:rPr>
            </w:pPr>
          </w:p>
          <w:p w:rsidR="007447AE" w:rsidRPr="002234F4" w:rsidRDefault="004D517F" w:rsidP="002234F4">
            <w:pPr>
              <w:pStyle w:val="ListParagraph"/>
              <w:numPr>
                <w:ilvl w:val="0"/>
                <w:numId w:val="8"/>
              </w:numPr>
              <w:spacing w:line="360" w:lineRule="auto"/>
              <w:ind w:left="446" w:hanging="426"/>
              <w:jc w:val="both"/>
              <w:rPr>
                <w:rFonts w:ascii="Arial" w:hAnsi="Arial" w:cs="Arial"/>
              </w:rPr>
            </w:pPr>
            <w:r w:rsidRPr="002234F4">
              <w:rPr>
                <w:rFonts w:ascii="Arial" w:hAnsi="Arial" w:cs="Arial"/>
              </w:rPr>
              <w:t>The late- filing of the Rule 97(3)</w:t>
            </w:r>
            <w:r w:rsidR="00D26543" w:rsidRPr="002234F4">
              <w:rPr>
                <w:rFonts w:ascii="Arial" w:hAnsi="Arial" w:cs="Arial"/>
              </w:rPr>
              <w:t xml:space="preserve"> application is not</w:t>
            </w:r>
            <w:r w:rsidRPr="002234F4">
              <w:rPr>
                <w:rFonts w:ascii="Arial" w:hAnsi="Arial" w:cs="Arial"/>
              </w:rPr>
              <w:t xml:space="preserve"> condoned.</w:t>
            </w:r>
          </w:p>
          <w:p w:rsidR="007447AE" w:rsidRPr="002234F4" w:rsidRDefault="007447AE" w:rsidP="002234F4">
            <w:pPr>
              <w:spacing w:line="360" w:lineRule="auto"/>
              <w:ind w:left="20"/>
              <w:jc w:val="both"/>
              <w:rPr>
                <w:rFonts w:ascii="Arial" w:hAnsi="Arial" w:cs="Arial"/>
              </w:rPr>
            </w:pPr>
          </w:p>
          <w:p w:rsidR="00905A48" w:rsidRPr="002234F4" w:rsidRDefault="004D517F" w:rsidP="002234F4">
            <w:pPr>
              <w:pStyle w:val="ListParagraph"/>
              <w:numPr>
                <w:ilvl w:val="0"/>
                <w:numId w:val="8"/>
              </w:numPr>
              <w:spacing w:line="360" w:lineRule="auto"/>
              <w:ind w:left="446" w:hanging="426"/>
              <w:jc w:val="both"/>
              <w:rPr>
                <w:rFonts w:ascii="Arial" w:hAnsi="Arial" w:cs="Arial"/>
              </w:rPr>
            </w:pPr>
            <w:r w:rsidRPr="002234F4">
              <w:rPr>
                <w:rFonts w:ascii="Arial" w:hAnsi="Arial" w:cs="Arial"/>
              </w:rPr>
              <w:t>The applicants in the said condonation application are to pay Mr Amalwa’s costs occasioned by the condonation application on th</w:t>
            </w:r>
            <w:r w:rsidR="00F233A9">
              <w:rPr>
                <w:rFonts w:ascii="Arial" w:hAnsi="Arial" w:cs="Arial"/>
              </w:rPr>
              <w:t>e attorney and own client scale,</w:t>
            </w:r>
            <w:r w:rsidR="00481A9B" w:rsidRPr="002234F4">
              <w:rPr>
                <w:rFonts w:ascii="Arial" w:hAnsi="Arial" w:cs="Arial"/>
              </w:rPr>
              <w:t xml:space="preserve"> </w:t>
            </w:r>
            <w:r w:rsidR="00F233A9">
              <w:rPr>
                <w:rFonts w:ascii="Arial" w:hAnsi="Arial" w:cs="Arial"/>
              </w:rPr>
              <w:t>s</w:t>
            </w:r>
            <w:r w:rsidR="00481A9B" w:rsidRPr="002234F4">
              <w:rPr>
                <w:rFonts w:ascii="Arial" w:hAnsi="Arial" w:cs="Arial"/>
              </w:rPr>
              <w:t>uch costs are also not to be capped as provided for in Rule 32(11).</w:t>
            </w:r>
          </w:p>
          <w:p w:rsidR="00837272" w:rsidRPr="002234F4" w:rsidRDefault="00837272" w:rsidP="002234F4">
            <w:pPr>
              <w:spacing w:line="360" w:lineRule="auto"/>
              <w:ind w:left="20"/>
              <w:jc w:val="both"/>
              <w:rPr>
                <w:rFonts w:ascii="Arial" w:hAnsi="Arial" w:cs="Arial"/>
              </w:rPr>
            </w:pPr>
          </w:p>
          <w:p w:rsidR="00CF3D16" w:rsidRPr="002234F4" w:rsidRDefault="00F34C7D" w:rsidP="002234F4">
            <w:pPr>
              <w:pStyle w:val="ListParagraph"/>
              <w:numPr>
                <w:ilvl w:val="0"/>
                <w:numId w:val="8"/>
              </w:numPr>
              <w:spacing w:line="360" w:lineRule="auto"/>
              <w:ind w:left="446" w:hanging="426"/>
              <w:jc w:val="both"/>
              <w:rPr>
                <w:rFonts w:ascii="Arial" w:hAnsi="Arial" w:cs="Arial"/>
              </w:rPr>
            </w:pPr>
            <w:r>
              <w:rPr>
                <w:rFonts w:ascii="Arial" w:hAnsi="Arial" w:cs="Arial"/>
              </w:rPr>
              <w:t>The case is postponed to 17</w:t>
            </w:r>
            <w:r w:rsidR="00DA5D82" w:rsidRPr="002234F4">
              <w:rPr>
                <w:rFonts w:ascii="Arial" w:hAnsi="Arial" w:cs="Arial"/>
              </w:rPr>
              <w:t xml:space="preserve"> June 2020 </w:t>
            </w:r>
            <w:r w:rsidR="00F233A9">
              <w:rPr>
                <w:rFonts w:ascii="Arial" w:hAnsi="Arial" w:cs="Arial"/>
              </w:rPr>
              <w:t xml:space="preserve">at 08h30 </w:t>
            </w:r>
            <w:r w:rsidR="00DA5D82" w:rsidRPr="002234F4">
              <w:rPr>
                <w:rFonts w:ascii="Arial" w:hAnsi="Arial" w:cs="Arial"/>
              </w:rPr>
              <w:t>for a Status Hearing.</w:t>
            </w:r>
          </w:p>
          <w:p w:rsidR="00686B3F" w:rsidRPr="002234F4" w:rsidRDefault="00686B3F" w:rsidP="002234F4">
            <w:pPr>
              <w:spacing w:line="360" w:lineRule="auto"/>
              <w:jc w:val="both"/>
              <w:rPr>
                <w:rFonts w:ascii="Arial" w:hAnsi="Arial" w:cs="Arial"/>
                <w:sz w:val="16"/>
                <w:szCs w:val="16"/>
              </w:rPr>
            </w:pPr>
          </w:p>
        </w:tc>
      </w:tr>
      <w:tr w:rsidR="00281FAB" w:rsidRPr="006E49A3" w:rsidTr="00EB27A0">
        <w:tc>
          <w:tcPr>
            <w:tcW w:w="9720" w:type="dxa"/>
            <w:gridSpan w:val="3"/>
          </w:tcPr>
          <w:p w:rsidR="00281FAB" w:rsidRPr="002234F4" w:rsidRDefault="008E6759" w:rsidP="002234F4">
            <w:pPr>
              <w:spacing w:line="360" w:lineRule="auto"/>
              <w:jc w:val="both"/>
              <w:rPr>
                <w:rFonts w:ascii="Arial" w:hAnsi="Arial" w:cs="Arial"/>
                <w:b/>
              </w:rPr>
            </w:pPr>
            <w:r w:rsidRPr="002234F4">
              <w:rPr>
                <w:rFonts w:ascii="Arial" w:hAnsi="Arial" w:cs="Arial"/>
                <w:b/>
              </w:rPr>
              <w:t>Following below are the reasons for the above order:</w:t>
            </w:r>
          </w:p>
        </w:tc>
      </w:tr>
      <w:tr w:rsidR="00281FAB" w:rsidRPr="006E49A3" w:rsidTr="00EB27A0">
        <w:tc>
          <w:tcPr>
            <w:tcW w:w="9720" w:type="dxa"/>
            <w:gridSpan w:val="3"/>
          </w:tcPr>
          <w:p w:rsidR="00BB1E6E" w:rsidRPr="002234F4" w:rsidRDefault="00BB1E6E" w:rsidP="002234F4">
            <w:pPr>
              <w:spacing w:line="360" w:lineRule="auto"/>
              <w:jc w:val="both"/>
              <w:rPr>
                <w:rFonts w:ascii="Arial" w:hAnsi="Arial" w:cs="Arial"/>
              </w:rPr>
            </w:pPr>
          </w:p>
          <w:p w:rsidR="00224965" w:rsidRPr="002234F4" w:rsidRDefault="00224965" w:rsidP="002234F4">
            <w:pPr>
              <w:spacing w:line="360" w:lineRule="auto"/>
              <w:jc w:val="both"/>
              <w:rPr>
                <w:rFonts w:ascii="Arial" w:hAnsi="Arial" w:cs="Arial"/>
                <w:u w:val="single"/>
              </w:rPr>
            </w:pPr>
            <w:r w:rsidRPr="002234F4">
              <w:rPr>
                <w:rFonts w:ascii="Arial" w:hAnsi="Arial" w:cs="Arial"/>
                <w:u w:val="single"/>
              </w:rPr>
              <w:t>The background facts</w:t>
            </w:r>
          </w:p>
          <w:p w:rsidR="00224965" w:rsidRPr="002234F4" w:rsidRDefault="00224965" w:rsidP="002234F4">
            <w:pPr>
              <w:spacing w:line="360" w:lineRule="auto"/>
              <w:jc w:val="both"/>
              <w:rPr>
                <w:rFonts w:ascii="Arial" w:hAnsi="Arial" w:cs="Arial"/>
              </w:rPr>
            </w:pPr>
          </w:p>
          <w:p w:rsidR="00C827E0" w:rsidRPr="002234F4" w:rsidRDefault="006D6F6D" w:rsidP="002234F4">
            <w:pPr>
              <w:widowControl w:val="0"/>
              <w:spacing w:line="360" w:lineRule="auto"/>
              <w:ind w:left="20" w:hanging="20"/>
              <w:jc w:val="both"/>
              <w:rPr>
                <w:rFonts w:ascii="Arial" w:hAnsi="Arial" w:cs="Arial"/>
                <w:sz w:val="24"/>
                <w:szCs w:val="24"/>
              </w:rPr>
            </w:pPr>
            <w:r w:rsidRPr="002234F4">
              <w:rPr>
                <w:rFonts w:ascii="Arial" w:hAnsi="Arial" w:cs="Arial"/>
                <w:sz w:val="24"/>
                <w:szCs w:val="24"/>
              </w:rPr>
              <w:t xml:space="preserve">[1]  </w:t>
            </w:r>
            <w:r w:rsidR="00C827E0" w:rsidRPr="002234F4">
              <w:rPr>
                <w:rFonts w:ascii="Arial" w:hAnsi="Arial" w:cs="Arial"/>
                <w:sz w:val="24"/>
                <w:szCs w:val="24"/>
              </w:rPr>
              <w:t>On the 16</w:t>
            </w:r>
            <w:r w:rsidR="00C827E0" w:rsidRPr="002234F4">
              <w:rPr>
                <w:rFonts w:ascii="Arial" w:hAnsi="Arial" w:cs="Arial"/>
                <w:sz w:val="24"/>
                <w:szCs w:val="24"/>
                <w:vertAlign w:val="superscript"/>
              </w:rPr>
              <w:t>th</w:t>
            </w:r>
            <w:r w:rsidR="001C495F">
              <w:rPr>
                <w:rFonts w:ascii="Arial" w:hAnsi="Arial" w:cs="Arial"/>
                <w:sz w:val="24"/>
                <w:szCs w:val="24"/>
              </w:rPr>
              <w:t xml:space="preserve"> of October 2019</w:t>
            </w:r>
            <w:r w:rsidR="00C827E0" w:rsidRPr="002234F4">
              <w:rPr>
                <w:rFonts w:ascii="Arial" w:hAnsi="Arial" w:cs="Arial"/>
                <w:sz w:val="24"/>
                <w:szCs w:val="24"/>
              </w:rPr>
              <w:t xml:space="preserve"> it was agreed</w:t>
            </w:r>
            <w:r w:rsidR="001C495F">
              <w:rPr>
                <w:rFonts w:ascii="Arial" w:hAnsi="Arial" w:cs="Arial"/>
                <w:sz w:val="24"/>
                <w:szCs w:val="24"/>
              </w:rPr>
              <w:t xml:space="preserve"> between the parties</w:t>
            </w:r>
            <w:r w:rsidR="00C827E0" w:rsidRPr="002234F4">
              <w:rPr>
                <w:rFonts w:ascii="Arial" w:hAnsi="Arial" w:cs="Arial"/>
                <w:sz w:val="24"/>
                <w:szCs w:val="24"/>
              </w:rPr>
              <w:t xml:space="preserve"> that the main appl</w:t>
            </w:r>
            <w:r w:rsidR="00224965" w:rsidRPr="002234F4">
              <w:rPr>
                <w:rFonts w:ascii="Arial" w:hAnsi="Arial" w:cs="Arial"/>
                <w:sz w:val="24"/>
                <w:szCs w:val="24"/>
              </w:rPr>
              <w:t>ication</w:t>
            </w:r>
            <w:r w:rsidR="001C495F">
              <w:rPr>
                <w:rFonts w:ascii="Arial" w:hAnsi="Arial" w:cs="Arial"/>
                <w:sz w:val="24"/>
                <w:szCs w:val="24"/>
              </w:rPr>
              <w:t>,</w:t>
            </w:r>
            <w:r w:rsidR="00224965" w:rsidRPr="002234F4">
              <w:rPr>
                <w:rFonts w:ascii="Arial" w:hAnsi="Arial" w:cs="Arial"/>
                <w:sz w:val="24"/>
                <w:szCs w:val="24"/>
              </w:rPr>
              <w:t xml:space="preserve"> pending before court</w:t>
            </w:r>
            <w:r w:rsidR="001C495F">
              <w:rPr>
                <w:rFonts w:ascii="Arial" w:hAnsi="Arial" w:cs="Arial"/>
                <w:sz w:val="24"/>
                <w:szCs w:val="24"/>
              </w:rPr>
              <w:t>,</w:t>
            </w:r>
            <w:r w:rsidR="00224965" w:rsidRPr="002234F4">
              <w:rPr>
                <w:rFonts w:ascii="Arial" w:hAnsi="Arial" w:cs="Arial"/>
                <w:sz w:val="24"/>
                <w:szCs w:val="24"/>
              </w:rPr>
              <w:t xml:space="preserve"> had become</w:t>
            </w:r>
            <w:r w:rsidR="00C827E0" w:rsidRPr="002234F4">
              <w:rPr>
                <w:rFonts w:ascii="Arial" w:hAnsi="Arial" w:cs="Arial"/>
                <w:sz w:val="24"/>
                <w:szCs w:val="24"/>
              </w:rPr>
              <w:t xml:space="preserve"> moot</w:t>
            </w:r>
            <w:r w:rsidR="001C495F">
              <w:rPr>
                <w:rFonts w:ascii="Arial" w:hAnsi="Arial" w:cs="Arial"/>
                <w:sz w:val="24"/>
                <w:szCs w:val="24"/>
              </w:rPr>
              <w:t>,</w:t>
            </w:r>
            <w:r w:rsidR="00224965" w:rsidRPr="002234F4">
              <w:rPr>
                <w:rFonts w:ascii="Arial" w:hAnsi="Arial" w:cs="Arial"/>
                <w:sz w:val="24"/>
                <w:szCs w:val="24"/>
              </w:rPr>
              <w:t xml:space="preserve"> due to the passing of the first applicant</w:t>
            </w:r>
            <w:r w:rsidR="00C827E0" w:rsidRPr="002234F4">
              <w:rPr>
                <w:rFonts w:ascii="Arial" w:hAnsi="Arial" w:cs="Arial"/>
                <w:sz w:val="24"/>
                <w:szCs w:val="24"/>
              </w:rPr>
              <w:t>, save for the issue of costs, which issue was stood over for determination.</w:t>
            </w:r>
          </w:p>
          <w:p w:rsidR="00C827E0" w:rsidRPr="002234F4" w:rsidRDefault="00C827E0" w:rsidP="002234F4">
            <w:pPr>
              <w:pStyle w:val="ListParagraph"/>
              <w:spacing w:line="360" w:lineRule="auto"/>
              <w:ind w:left="567" w:hanging="567"/>
              <w:rPr>
                <w:rFonts w:ascii="Arial" w:hAnsi="Arial" w:cs="Arial"/>
                <w:sz w:val="24"/>
                <w:szCs w:val="24"/>
              </w:rPr>
            </w:pPr>
          </w:p>
          <w:p w:rsidR="00C827E0" w:rsidRPr="002234F4" w:rsidRDefault="001C495F" w:rsidP="002234F4">
            <w:pPr>
              <w:widowControl w:val="0"/>
              <w:spacing w:line="360" w:lineRule="auto"/>
              <w:jc w:val="both"/>
              <w:rPr>
                <w:rFonts w:ascii="Arial" w:hAnsi="Arial" w:cs="Arial"/>
                <w:sz w:val="24"/>
                <w:szCs w:val="24"/>
              </w:rPr>
            </w:pPr>
            <w:r>
              <w:rPr>
                <w:rFonts w:ascii="Arial" w:hAnsi="Arial" w:cs="Arial"/>
                <w:sz w:val="24"/>
                <w:szCs w:val="24"/>
              </w:rPr>
              <w:t xml:space="preserve">[2] </w:t>
            </w:r>
            <w:r w:rsidR="00C827E0" w:rsidRPr="002234F4">
              <w:rPr>
                <w:rFonts w:ascii="Arial" w:hAnsi="Arial" w:cs="Arial"/>
                <w:sz w:val="24"/>
                <w:szCs w:val="24"/>
              </w:rPr>
              <w:t>The respondents</w:t>
            </w:r>
            <w:r>
              <w:rPr>
                <w:rFonts w:ascii="Arial" w:hAnsi="Arial" w:cs="Arial"/>
                <w:sz w:val="24"/>
                <w:szCs w:val="24"/>
              </w:rPr>
              <w:t>, who were insisting on costs,</w:t>
            </w:r>
            <w:r w:rsidR="00C827E0" w:rsidRPr="002234F4">
              <w:rPr>
                <w:rFonts w:ascii="Arial" w:hAnsi="Arial" w:cs="Arial"/>
                <w:sz w:val="24"/>
                <w:szCs w:val="24"/>
              </w:rPr>
              <w:t xml:space="preserve"> were ordered to deliver their intended application in terms of Rule 97(3) on or before the 29</w:t>
            </w:r>
            <w:r w:rsidR="00C827E0" w:rsidRPr="002234F4">
              <w:rPr>
                <w:rFonts w:ascii="Arial" w:hAnsi="Arial" w:cs="Arial"/>
                <w:sz w:val="24"/>
                <w:szCs w:val="24"/>
                <w:vertAlign w:val="superscript"/>
              </w:rPr>
              <w:t>th</w:t>
            </w:r>
            <w:r w:rsidR="00C827E0" w:rsidRPr="002234F4">
              <w:rPr>
                <w:rFonts w:ascii="Arial" w:hAnsi="Arial" w:cs="Arial"/>
                <w:sz w:val="24"/>
                <w:szCs w:val="24"/>
              </w:rPr>
              <w:t xml:space="preserve"> of October 2019</w:t>
            </w:r>
            <w:r w:rsidR="00224965" w:rsidRPr="002234F4">
              <w:rPr>
                <w:rFonts w:ascii="Arial" w:hAnsi="Arial" w:cs="Arial"/>
                <w:sz w:val="24"/>
                <w:szCs w:val="24"/>
              </w:rPr>
              <w:t>. This a</w:t>
            </w:r>
            <w:r w:rsidR="00C827E0" w:rsidRPr="002234F4">
              <w:rPr>
                <w:rFonts w:ascii="Arial" w:hAnsi="Arial" w:cs="Arial"/>
                <w:sz w:val="24"/>
                <w:szCs w:val="24"/>
              </w:rPr>
              <w:t xml:space="preserve">pplication </w:t>
            </w:r>
            <w:r w:rsidR="00C827E0" w:rsidRPr="002234F4">
              <w:rPr>
                <w:rFonts w:ascii="Arial" w:hAnsi="Arial" w:cs="Arial"/>
                <w:sz w:val="24"/>
                <w:szCs w:val="24"/>
              </w:rPr>
              <w:lastRenderedPageBreak/>
              <w:t>was brought on the 1</w:t>
            </w:r>
            <w:r w:rsidR="00C827E0" w:rsidRPr="002234F4">
              <w:rPr>
                <w:rFonts w:ascii="Arial" w:hAnsi="Arial" w:cs="Arial"/>
                <w:sz w:val="24"/>
                <w:szCs w:val="24"/>
                <w:vertAlign w:val="superscript"/>
              </w:rPr>
              <w:t>st</w:t>
            </w:r>
            <w:r w:rsidR="00C827E0" w:rsidRPr="002234F4">
              <w:rPr>
                <w:rFonts w:ascii="Arial" w:hAnsi="Arial" w:cs="Arial"/>
                <w:sz w:val="24"/>
                <w:szCs w:val="24"/>
              </w:rPr>
              <w:t xml:space="preserve"> of November 2019, three days out of time</w:t>
            </w:r>
            <w:r w:rsidR="00224965" w:rsidRPr="002234F4">
              <w:rPr>
                <w:rFonts w:ascii="Arial" w:hAnsi="Arial" w:cs="Arial"/>
                <w:sz w:val="24"/>
                <w:szCs w:val="24"/>
              </w:rPr>
              <w:t>, in respect of which a condonation application was launched on 4 December 2019</w:t>
            </w:r>
            <w:r w:rsidR="00C827E0" w:rsidRPr="002234F4">
              <w:rPr>
                <w:rFonts w:ascii="Arial" w:hAnsi="Arial" w:cs="Arial"/>
                <w:sz w:val="24"/>
                <w:szCs w:val="24"/>
              </w:rPr>
              <w:t>.</w:t>
            </w:r>
          </w:p>
          <w:p w:rsidR="00C827E0" w:rsidRPr="002234F4" w:rsidRDefault="00C827E0" w:rsidP="002234F4">
            <w:pPr>
              <w:widowControl w:val="0"/>
              <w:spacing w:line="360" w:lineRule="auto"/>
              <w:jc w:val="both"/>
              <w:rPr>
                <w:rFonts w:ascii="Arial" w:hAnsi="Arial" w:cs="Arial"/>
                <w:sz w:val="24"/>
                <w:szCs w:val="24"/>
              </w:rPr>
            </w:pPr>
          </w:p>
          <w:p w:rsidR="00224965" w:rsidRPr="002234F4" w:rsidRDefault="006D6F6D" w:rsidP="002234F4">
            <w:pPr>
              <w:widowControl w:val="0"/>
              <w:spacing w:line="360" w:lineRule="auto"/>
              <w:jc w:val="both"/>
              <w:rPr>
                <w:rFonts w:ascii="Arial" w:hAnsi="Arial" w:cs="Arial"/>
                <w:sz w:val="24"/>
                <w:szCs w:val="24"/>
              </w:rPr>
            </w:pPr>
            <w:r w:rsidRPr="002234F4">
              <w:rPr>
                <w:rFonts w:ascii="Arial" w:hAnsi="Arial" w:cs="Arial"/>
                <w:sz w:val="24"/>
                <w:szCs w:val="24"/>
              </w:rPr>
              <w:t xml:space="preserve">[3]  </w:t>
            </w:r>
            <w:r w:rsidR="00224965" w:rsidRPr="002234F4">
              <w:rPr>
                <w:rFonts w:ascii="Arial" w:hAnsi="Arial" w:cs="Arial"/>
                <w:sz w:val="24"/>
                <w:szCs w:val="24"/>
              </w:rPr>
              <w:t>In the Rule 97(3) application costs where</w:t>
            </w:r>
            <w:r w:rsidR="001C495F">
              <w:rPr>
                <w:rFonts w:ascii="Arial" w:hAnsi="Arial" w:cs="Arial"/>
                <w:sz w:val="24"/>
                <w:szCs w:val="24"/>
              </w:rPr>
              <w:t xml:space="preserve"> then</w:t>
            </w:r>
            <w:r w:rsidR="00224965" w:rsidRPr="002234F4">
              <w:rPr>
                <w:rFonts w:ascii="Arial" w:hAnsi="Arial" w:cs="Arial"/>
                <w:sz w:val="24"/>
                <w:szCs w:val="24"/>
              </w:rPr>
              <w:t xml:space="preserve"> sought against Mr Naeman Amalwa, the main deponent to all papers filed in behalf of the first and second applicants, in the main application.</w:t>
            </w:r>
            <w:r w:rsidR="00C827E0" w:rsidRPr="002234F4">
              <w:rPr>
                <w:rFonts w:ascii="Arial" w:hAnsi="Arial" w:cs="Arial"/>
                <w:sz w:val="24"/>
                <w:szCs w:val="24"/>
              </w:rPr>
              <w:t xml:space="preserve"> </w:t>
            </w:r>
          </w:p>
          <w:p w:rsidR="00224965" w:rsidRPr="002234F4" w:rsidRDefault="00224965" w:rsidP="002234F4">
            <w:pPr>
              <w:widowControl w:val="0"/>
              <w:spacing w:line="360" w:lineRule="auto"/>
              <w:jc w:val="both"/>
              <w:rPr>
                <w:rFonts w:ascii="Arial" w:hAnsi="Arial" w:cs="Arial"/>
                <w:sz w:val="24"/>
                <w:szCs w:val="24"/>
              </w:rPr>
            </w:pPr>
          </w:p>
          <w:p w:rsidR="00C827E0" w:rsidRPr="002234F4" w:rsidRDefault="006D6F6D" w:rsidP="002234F4">
            <w:pPr>
              <w:widowControl w:val="0"/>
              <w:spacing w:line="360" w:lineRule="auto"/>
              <w:jc w:val="both"/>
              <w:rPr>
                <w:rFonts w:ascii="Arial" w:hAnsi="Arial" w:cs="Arial"/>
                <w:sz w:val="24"/>
                <w:szCs w:val="24"/>
              </w:rPr>
            </w:pPr>
            <w:r w:rsidRPr="002234F4">
              <w:rPr>
                <w:rFonts w:ascii="Arial" w:hAnsi="Arial" w:cs="Arial"/>
                <w:sz w:val="24"/>
                <w:szCs w:val="24"/>
              </w:rPr>
              <w:t xml:space="preserve">[4]  </w:t>
            </w:r>
            <w:r w:rsidR="00224965" w:rsidRPr="002234F4">
              <w:rPr>
                <w:rFonts w:ascii="Arial" w:hAnsi="Arial" w:cs="Arial"/>
                <w:sz w:val="24"/>
                <w:szCs w:val="24"/>
              </w:rPr>
              <w:t>Mr Amalwa opposed the Rule 97(3) application and also the said application for condonation in respect of which he filed answering</w:t>
            </w:r>
            <w:r w:rsidR="00C1735E" w:rsidRPr="002234F4">
              <w:rPr>
                <w:rFonts w:ascii="Arial" w:hAnsi="Arial" w:cs="Arial"/>
                <w:sz w:val="24"/>
                <w:szCs w:val="24"/>
              </w:rPr>
              <w:t xml:space="preserve"> papers</w:t>
            </w:r>
            <w:r w:rsidR="00224965" w:rsidRPr="002234F4">
              <w:rPr>
                <w:rFonts w:ascii="Arial" w:hAnsi="Arial" w:cs="Arial"/>
                <w:sz w:val="24"/>
                <w:szCs w:val="24"/>
              </w:rPr>
              <w:t>.</w:t>
            </w:r>
          </w:p>
          <w:p w:rsidR="00224965" w:rsidRPr="002234F4" w:rsidRDefault="00224965" w:rsidP="002234F4">
            <w:pPr>
              <w:widowControl w:val="0"/>
              <w:spacing w:line="360" w:lineRule="auto"/>
              <w:jc w:val="both"/>
              <w:rPr>
                <w:rFonts w:ascii="Arial" w:hAnsi="Arial" w:cs="Arial"/>
                <w:sz w:val="24"/>
                <w:szCs w:val="24"/>
              </w:rPr>
            </w:pPr>
          </w:p>
          <w:p w:rsidR="00224965" w:rsidRPr="002234F4" w:rsidRDefault="006D6F6D" w:rsidP="002234F4">
            <w:pPr>
              <w:widowControl w:val="0"/>
              <w:spacing w:line="360" w:lineRule="auto"/>
              <w:jc w:val="both"/>
              <w:rPr>
                <w:rFonts w:ascii="Arial" w:hAnsi="Arial" w:cs="Arial"/>
                <w:sz w:val="24"/>
                <w:szCs w:val="24"/>
              </w:rPr>
            </w:pPr>
            <w:r w:rsidRPr="002234F4">
              <w:rPr>
                <w:rFonts w:ascii="Arial" w:hAnsi="Arial" w:cs="Arial"/>
                <w:sz w:val="24"/>
                <w:szCs w:val="24"/>
              </w:rPr>
              <w:t xml:space="preserve">[5]  </w:t>
            </w:r>
            <w:r w:rsidR="00C1735E" w:rsidRPr="002234F4">
              <w:rPr>
                <w:rFonts w:ascii="Arial" w:hAnsi="Arial" w:cs="Arial"/>
                <w:sz w:val="24"/>
                <w:szCs w:val="24"/>
              </w:rPr>
              <w:t>The answering papers filed in opposition to the condonation application where delivered on 13 December 2019.</w:t>
            </w:r>
          </w:p>
          <w:p w:rsidR="00C1735E" w:rsidRPr="002234F4" w:rsidRDefault="00C1735E" w:rsidP="002234F4">
            <w:pPr>
              <w:widowControl w:val="0"/>
              <w:spacing w:line="360" w:lineRule="auto"/>
              <w:jc w:val="both"/>
              <w:rPr>
                <w:rFonts w:ascii="Arial" w:hAnsi="Arial" w:cs="Arial"/>
                <w:sz w:val="24"/>
                <w:szCs w:val="24"/>
              </w:rPr>
            </w:pPr>
          </w:p>
          <w:p w:rsidR="00C1735E" w:rsidRPr="002234F4" w:rsidRDefault="006D6F6D" w:rsidP="002234F4">
            <w:pPr>
              <w:widowControl w:val="0"/>
              <w:spacing w:line="360" w:lineRule="auto"/>
              <w:jc w:val="both"/>
              <w:rPr>
                <w:rFonts w:ascii="Arial" w:hAnsi="Arial" w:cs="Arial"/>
                <w:sz w:val="24"/>
                <w:szCs w:val="24"/>
              </w:rPr>
            </w:pPr>
            <w:r w:rsidRPr="002234F4">
              <w:rPr>
                <w:rFonts w:ascii="Arial" w:hAnsi="Arial" w:cs="Arial"/>
                <w:sz w:val="24"/>
                <w:szCs w:val="24"/>
              </w:rPr>
              <w:t xml:space="preserve">[6]  </w:t>
            </w:r>
            <w:r w:rsidR="00C1735E" w:rsidRPr="002234F4">
              <w:rPr>
                <w:rFonts w:ascii="Arial" w:hAnsi="Arial" w:cs="Arial"/>
                <w:sz w:val="24"/>
                <w:szCs w:val="24"/>
              </w:rPr>
              <w:t>On 13 January 2020 a Notice of Irregular Proceedings, in terms of Rule 61 o</w:t>
            </w:r>
            <w:r w:rsidR="001C495F">
              <w:rPr>
                <w:rFonts w:ascii="Arial" w:hAnsi="Arial" w:cs="Arial"/>
                <w:sz w:val="24"/>
                <w:szCs w:val="24"/>
              </w:rPr>
              <w:t>f the Rules of Court was fil</w:t>
            </w:r>
            <w:r w:rsidR="00C1735E" w:rsidRPr="002234F4">
              <w:rPr>
                <w:rFonts w:ascii="Arial" w:hAnsi="Arial" w:cs="Arial"/>
                <w:sz w:val="24"/>
                <w:szCs w:val="24"/>
              </w:rPr>
              <w:t>ed on behalf of the applicants in the Rule 97(3) and condonation applications asserting that the notice to oppose the condonation application, delivered on 4 December 2019 and the subsequent answering affidavit filed on behalf of Mr. Amalwa</w:t>
            </w:r>
            <w:r w:rsidR="001C495F">
              <w:rPr>
                <w:rFonts w:ascii="Arial" w:hAnsi="Arial" w:cs="Arial"/>
                <w:sz w:val="24"/>
                <w:szCs w:val="24"/>
              </w:rPr>
              <w:t>,</w:t>
            </w:r>
            <w:r w:rsidR="00C1735E" w:rsidRPr="002234F4">
              <w:rPr>
                <w:rFonts w:ascii="Arial" w:hAnsi="Arial" w:cs="Arial"/>
                <w:sz w:val="24"/>
                <w:szCs w:val="24"/>
              </w:rPr>
              <w:t xml:space="preserve"> opposing the condonation application</w:t>
            </w:r>
            <w:r w:rsidR="001515EA" w:rsidRPr="002234F4">
              <w:rPr>
                <w:rFonts w:ascii="Arial" w:hAnsi="Arial" w:cs="Arial"/>
                <w:sz w:val="24"/>
                <w:szCs w:val="24"/>
              </w:rPr>
              <w:t xml:space="preserve"> on 13 December 2020</w:t>
            </w:r>
            <w:r w:rsidR="001C495F">
              <w:rPr>
                <w:rFonts w:ascii="Arial" w:hAnsi="Arial" w:cs="Arial"/>
                <w:sz w:val="24"/>
                <w:szCs w:val="24"/>
              </w:rPr>
              <w:t>,</w:t>
            </w:r>
            <w:r w:rsidR="00C1735E" w:rsidRPr="002234F4">
              <w:rPr>
                <w:rFonts w:ascii="Arial" w:hAnsi="Arial" w:cs="Arial"/>
                <w:sz w:val="24"/>
                <w:szCs w:val="24"/>
              </w:rPr>
              <w:t xml:space="preserve"> were irregular and in breach of various rules of court.</w:t>
            </w:r>
            <w:r w:rsidR="001515EA" w:rsidRPr="002234F4">
              <w:rPr>
                <w:rFonts w:ascii="Arial" w:hAnsi="Arial" w:cs="Arial"/>
                <w:sz w:val="24"/>
                <w:szCs w:val="24"/>
              </w:rPr>
              <w:t xml:space="preserve"> Mr Amalwa also opposed the Rule 61 application.</w:t>
            </w:r>
          </w:p>
          <w:p w:rsidR="00D36A81" w:rsidRPr="002234F4" w:rsidRDefault="00D36A81" w:rsidP="002234F4">
            <w:pPr>
              <w:spacing w:line="360" w:lineRule="auto"/>
              <w:jc w:val="both"/>
              <w:rPr>
                <w:rFonts w:ascii="Arial" w:hAnsi="Arial" w:cs="Arial"/>
                <w:sz w:val="24"/>
                <w:szCs w:val="24"/>
              </w:rPr>
            </w:pPr>
          </w:p>
          <w:p w:rsidR="00D36A81" w:rsidRPr="002234F4" w:rsidRDefault="00D767E6" w:rsidP="002234F4">
            <w:pPr>
              <w:spacing w:line="360" w:lineRule="auto"/>
              <w:jc w:val="both"/>
              <w:rPr>
                <w:rFonts w:ascii="Arial" w:hAnsi="Arial" w:cs="Arial"/>
                <w:sz w:val="24"/>
                <w:szCs w:val="24"/>
              </w:rPr>
            </w:pPr>
            <w:r w:rsidRPr="002234F4">
              <w:rPr>
                <w:rFonts w:ascii="Arial" w:hAnsi="Arial" w:cs="Arial"/>
              </w:rPr>
              <w:t>[7]</w:t>
            </w:r>
            <w:r w:rsidR="006D6F6D" w:rsidRPr="002234F4">
              <w:rPr>
                <w:rFonts w:ascii="Arial" w:hAnsi="Arial" w:cs="Arial"/>
                <w:sz w:val="24"/>
                <w:szCs w:val="24"/>
              </w:rPr>
              <w:t xml:space="preserve">  </w:t>
            </w:r>
            <w:r w:rsidRPr="002234F4">
              <w:rPr>
                <w:rFonts w:ascii="Arial" w:hAnsi="Arial" w:cs="Arial"/>
                <w:sz w:val="24"/>
                <w:szCs w:val="24"/>
              </w:rPr>
              <w:t>On 31 Jan</w:t>
            </w:r>
            <w:r w:rsidR="001515EA" w:rsidRPr="002234F4">
              <w:rPr>
                <w:rFonts w:ascii="Arial" w:hAnsi="Arial" w:cs="Arial"/>
                <w:sz w:val="24"/>
                <w:szCs w:val="24"/>
              </w:rPr>
              <w:t>u</w:t>
            </w:r>
            <w:r w:rsidRPr="002234F4">
              <w:rPr>
                <w:rFonts w:ascii="Arial" w:hAnsi="Arial" w:cs="Arial"/>
                <w:sz w:val="24"/>
                <w:szCs w:val="24"/>
              </w:rPr>
              <w:t>a</w:t>
            </w:r>
            <w:r w:rsidR="001515EA" w:rsidRPr="002234F4">
              <w:rPr>
                <w:rFonts w:ascii="Arial" w:hAnsi="Arial" w:cs="Arial"/>
                <w:sz w:val="24"/>
                <w:szCs w:val="24"/>
              </w:rPr>
              <w:t>ry 2020 the</w:t>
            </w:r>
            <w:r w:rsidRPr="002234F4">
              <w:rPr>
                <w:rFonts w:ascii="Arial" w:hAnsi="Arial" w:cs="Arial"/>
                <w:sz w:val="24"/>
                <w:szCs w:val="24"/>
              </w:rPr>
              <w:t xml:space="preserve"> C</w:t>
            </w:r>
            <w:r w:rsidR="001515EA" w:rsidRPr="002234F4">
              <w:rPr>
                <w:rFonts w:ascii="Arial" w:hAnsi="Arial" w:cs="Arial"/>
                <w:sz w:val="24"/>
                <w:szCs w:val="24"/>
              </w:rPr>
              <w:t>ourt postponed the matter to the 31</w:t>
            </w:r>
            <w:r w:rsidR="001515EA" w:rsidRPr="002234F4">
              <w:rPr>
                <w:rFonts w:ascii="Arial" w:hAnsi="Arial" w:cs="Arial"/>
                <w:sz w:val="24"/>
                <w:szCs w:val="24"/>
                <w:vertAlign w:val="superscript"/>
              </w:rPr>
              <w:t>st</w:t>
            </w:r>
            <w:r w:rsidR="001515EA" w:rsidRPr="002234F4">
              <w:rPr>
                <w:rFonts w:ascii="Arial" w:hAnsi="Arial" w:cs="Arial"/>
                <w:sz w:val="24"/>
                <w:szCs w:val="24"/>
              </w:rPr>
              <w:t xml:space="preserve"> of March 2020, for hearing of the condonation and Rule 61 applications.</w:t>
            </w:r>
          </w:p>
          <w:p w:rsidR="001515EA" w:rsidRPr="002234F4" w:rsidRDefault="001515EA" w:rsidP="002234F4">
            <w:pPr>
              <w:spacing w:line="360" w:lineRule="auto"/>
              <w:jc w:val="both"/>
              <w:rPr>
                <w:rFonts w:ascii="Arial" w:hAnsi="Arial" w:cs="Arial"/>
                <w:sz w:val="24"/>
                <w:szCs w:val="24"/>
              </w:rPr>
            </w:pPr>
          </w:p>
          <w:p w:rsidR="001515EA" w:rsidRPr="002234F4" w:rsidRDefault="006D6F6D" w:rsidP="002234F4">
            <w:pPr>
              <w:spacing w:line="360" w:lineRule="auto"/>
              <w:jc w:val="both"/>
              <w:rPr>
                <w:rFonts w:ascii="Arial" w:hAnsi="Arial" w:cs="Arial"/>
                <w:sz w:val="24"/>
                <w:szCs w:val="24"/>
              </w:rPr>
            </w:pPr>
            <w:r w:rsidRPr="002234F4">
              <w:rPr>
                <w:rFonts w:ascii="Arial" w:hAnsi="Arial" w:cs="Arial"/>
                <w:sz w:val="24"/>
                <w:szCs w:val="24"/>
              </w:rPr>
              <w:t xml:space="preserve">[8]  </w:t>
            </w:r>
            <w:r w:rsidR="001515EA" w:rsidRPr="002234F4">
              <w:rPr>
                <w:rFonts w:ascii="Arial" w:hAnsi="Arial" w:cs="Arial"/>
                <w:sz w:val="24"/>
                <w:szCs w:val="24"/>
              </w:rPr>
              <w:t>Due to the</w:t>
            </w:r>
            <w:r w:rsidR="00D767E6" w:rsidRPr="002234F4">
              <w:rPr>
                <w:rFonts w:ascii="Arial" w:hAnsi="Arial" w:cs="Arial"/>
                <w:sz w:val="24"/>
                <w:szCs w:val="24"/>
              </w:rPr>
              <w:t xml:space="preserve"> ensuing</w:t>
            </w:r>
            <w:r w:rsidR="001515EA" w:rsidRPr="002234F4">
              <w:rPr>
                <w:rFonts w:ascii="Arial" w:hAnsi="Arial" w:cs="Arial"/>
                <w:sz w:val="24"/>
                <w:szCs w:val="24"/>
              </w:rPr>
              <w:t xml:space="preserve"> national lockdown</w:t>
            </w:r>
            <w:r w:rsidR="00D767E6" w:rsidRPr="002234F4">
              <w:rPr>
                <w:rFonts w:ascii="Arial" w:hAnsi="Arial" w:cs="Arial"/>
                <w:sz w:val="24"/>
                <w:szCs w:val="24"/>
              </w:rPr>
              <w:t xml:space="preserve"> the case was not heard on 31 March 2020</w:t>
            </w:r>
            <w:r w:rsidR="001C495F">
              <w:rPr>
                <w:rFonts w:ascii="Arial" w:hAnsi="Arial" w:cs="Arial"/>
                <w:sz w:val="24"/>
                <w:szCs w:val="24"/>
              </w:rPr>
              <w:t xml:space="preserve"> and in accordance with the </w:t>
            </w:r>
            <w:r w:rsidR="001515EA" w:rsidRPr="002234F4">
              <w:rPr>
                <w:rFonts w:ascii="Arial" w:hAnsi="Arial" w:cs="Arial"/>
                <w:sz w:val="24"/>
                <w:szCs w:val="24"/>
              </w:rPr>
              <w:t xml:space="preserve">4 May 2020 </w:t>
            </w:r>
            <w:r w:rsidR="00D767E6" w:rsidRPr="002234F4">
              <w:rPr>
                <w:rFonts w:ascii="Arial" w:hAnsi="Arial" w:cs="Arial"/>
                <w:sz w:val="24"/>
                <w:szCs w:val="24"/>
              </w:rPr>
              <w:t>‘</w:t>
            </w:r>
            <w:r w:rsidR="001515EA" w:rsidRPr="002234F4">
              <w:rPr>
                <w:rFonts w:ascii="Arial" w:hAnsi="Arial" w:cs="Arial"/>
                <w:sz w:val="24"/>
                <w:szCs w:val="24"/>
              </w:rPr>
              <w:t>Revised Roadmap for the High Court whilst</w:t>
            </w:r>
            <w:r w:rsidR="00D767E6" w:rsidRPr="002234F4">
              <w:rPr>
                <w:rFonts w:ascii="Arial" w:hAnsi="Arial" w:cs="Arial"/>
                <w:sz w:val="24"/>
                <w:szCs w:val="24"/>
              </w:rPr>
              <w:t xml:space="preserve"> the S</w:t>
            </w:r>
            <w:r w:rsidR="001515EA" w:rsidRPr="002234F4">
              <w:rPr>
                <w:rFonts w:ascii="Arial" w:hAnsi="Arial" w:cs="Arial"/>
                <w:sz w:val="24"/>
                <w:szCs w:val="24"/>
              </w:rPr>
              <w:t xml:space="preserve">tate of </w:t>
            </w:r>
            <w:r w:rsidR="00D767E6" w:rsidRPr="002234F4">
              <w:rPr>
                <w:rFonts w:ascii="Arial" w:hAnsi="Arial" w:cs="Arial"/>
                <w:sz w:val="24"/>
                <w:szCs w:val="24"/>
              </w:rPr>
              <w:t>E</w:t>
            </w:r>
            <w:r w:rsidR="001515EA" w:rsidRPr="002234F4">
              <w:rPr>
                <w:rFonts w:ascii="Arial" w:hAnsi="Arial" w:cs="Arial"/>
                <w:sz w:val="24"/>
                <w:szCs w:val="24"/>
              </w:rPr>
              <w:t>mergency persists’ the parties waived their right to oral argument and agreed that the Court determine these applications with</w:t>
            </w:r>
            <w:r w:rsidR="00D767E6" w:rsidRPr="002234F4">
              <w:rPr>
                <w:rFonts w:ascii="Arial" w:hAnsi="Arial" w:cs="Arial"/>
                <w:sz w:val="24"/>
                <w:szCs w:val="24"/>
              </w:rPr>
              <w:t xml:space="preserve"> reference to the written heads of argument.</w:t>
            </w:r>
          </w:p>
          <w:p w:rsidR="00D767E6" w:rsidRPr="002234F4" w:rsidRDefault="00D767E6" w:rsidP="002234F4">
            <w:pPr>
              <w:spacing w:line="360" w:lineRule="auto"/>
              <w:jc w:val="both"/>
              <w:rPr>
                <w:rFonts w:ascii="Arial" w:hAnsi="Arial" w:cs="Arial"/>
                <w:sz w:val="24"/>
                <w:szCs w:val="24"/>
              </w:rPr>
            </w:pPr>
          </w:p>
          <w:p w:rsidR="00D767E6" w:rsidRPr="002234F4" w:rsidRDefault="006D6F6D" w:rsidP="002234F4">
            <w:pPr>
              <w:spacing w:line="360" w:lineRule="auto"/>
              <w:jc w:val="both"/>
              <w:rPr>
                <w:rFonts w:ascii="Arial" w:hAnsi="Arial" w:cs="Arial"/>
                <w:sz w:val="24"/>
                <w:szCs w:val="24"/>
              </w:rPr>
            </w:pPr>
            <w:r w:rsidRPr="002234F4">
              <w:rPr>
                <w:rFonts w:ascii="Arial" w:hAnsi="Arial" w:cs="Arial"/>
                <w:sz w:val="24"/>
                <w:szCs w:val="24"/>
              </w:rPr>
              <w:t xml:space="preserve">[9]  </w:t>
            </w:r>
            <w:r w:rsidR="00D767E6" w:rsidRPr="002234F4">
              <w:rPr>
                <w:rFonts w:ascii="Arial" w:hAnsi="Arial" w:cs="Arial"/>
                <w:sz w:val="24"/>
                <w:szCs w:val="24"/>
              </w:rPr>
              <w:t>It so becomes clear that 2 interlocutory applications require determination.</w:t>
            </w:r>
          </w:p>
          <w:p w:rsidR="002930F2" w:rsidRPr="002234F4" w:rsidRDefault="002930F2" w:rsidP="002234F4">
            <w:pPr>
              <w:spacing w:line="360" w:lineRule="auto"/>
              <w:jc w:val="both"/>
              <w:rPr>
                <w:rFonts w:ascii="Arial" w:hAnsi="Arial" w:cs="Arial"/>
                <w:sz w:val="24"/>
                <w:szCs w:val="24"/>
              </w:rPr>
            </w:pPr>
          </w:p>
          <w:p w:rsidR="002930F2" w:rsidRPr="002234F4" w:rsidRDefault="006D6F6D" w:rsidP="002234F4">
            <w:pPr>
              <w:spacing w:line="360" w:lineRule="auto"/>
              <w:jc w:val="both"/>
              <w:rPr>
                <w:rFonts w:ascii="Arial" w:hAnsi="Arial" w:cs="Arial"/>
                <w:sz w:val="24"/>
                <w:szCs w:val="24"/>
              </w:rPr>
            </w:pPr>
            <w:r w:rsidRPr="002234F4">
              <w:rPr>
                <w:rFonts w:ascii="Arial" w:hAnsi="Arial" w:cs="Arial"/>
                <w:sz w:val="24"/>
                <w:szCs w:val="24"/>
              </w:rPr>
              <w:t xml:space="preserve">[10]  </w:t>
            </w:r>
            <w:r w:rsidR="002930F2" w:rsidRPr="002234F4">
              <w:rPr>
                <w:rFonts w:ascii="Arial" w:hAnsi="Arial" w:cs="Arial"/>
                <w:sz w:val="24"/>
                <w:szCs w:val="24"/>
              </w:rPr>
              <w:t>As the</w:t>
            </w:r>
            <w:r w:rsidR="001C495F">
              <w:rPr>
                <w:rFonts w:ascii="Arial" w:hAnsi="Arial" w:cs="Arial"/>
                <w:sz w:val="24"/>
                <w:szCs w:val="24"/>
              </w:rPr>
              <w:t xml:space="preserve"> Rule 61 application is aimed at eliminating</w:t>
            </w:r>
            <w:r w:rsidR="002930F2" w:rsidRPr="002234F4">
              <w:rPr>
                <w:rFonts w:ascii="Arial" w:hAnsi="Arial" w:cs="Arial"/>
                <w:sz w:val="24"/>
                <w:szCs w:val="24"/>
              </w:rPr>
              <w:t xml:space="preserve"> the opposition to the condonation application that application will be dealt with first as its outcome will determine whether or not the condonation application will have to be determined on an opposed basis or not.</w:t>
            </w:r>
          </w:p>
          <w:p w:rsidR="005515BD" w:rsidRPr="002234F4" w:rsidRDefault="005515BD" w:rsidP="002234F4">
            <w:pPr>
              <w:spacing w:line="360" w:lineRule="auto"/>
              <w:jc w:val="both"/>
              <w:rPr>
                <w:rFonts w:ascii="Arial" w:hAnsi="Arial" w:cs="Arial"/>
                <w:sz w:val="24"/>
                <w:szCs w:val="24"/>
              </w:rPr>
            </w:pPr>
          </w:p>
          <w:p w:rsidR="0059498F" w:rsidRPr="002234F4" w:rsidRDefault="0059498F" w:rsidP="002234F4">
            <w:pPr>
              <w:spacing w:line="360" w:lineRule="auto"/>
              <w:jc w:val="both"/>
              <w:rPr>
                <w:rFonts w:ascii="Arial" w:hAnsi="Arial" w:cs="Arial"/>
                <w:sz w:val="24"/>
                <w:szCs w:val="24"/>
              </w:rPr>
            </w:pPr>
          </w:p>
          <w:p w:rsidR="0059498F" w:rsidRPr="002234F4" w:rsidRDefault="0059498F" w:rsidP="002234F4">
            <w:pPr>
              <w:spacing w:line="360" w:lineRule="auto"/>
              <w:jc w:val="both"/>
              <w:rPr>
                <w:rFonts w:ascii="Arial" w:hAnsi="Arial" w:cs="Arial"/>
                <w:sz w:val="24"/>
                <w:szCs w:val="24"/>
              </w:rPr>
            </w:pPr>
          </w:p>
          <w:p w:rsidR="005515BD" w:rsidRPr="002234F4" w:rsidRDefault="005515BD" w:rsidP="002234F4">
            <w:pPr>
              <w:spacing w:line="360" w:lineRule="auto"/>
              <w:jc w:val="both"/>
              <w:rPr>
                <w:rFonts w:ascii="Arial" w:hAnsi="Arial" w:cs="Arial"/>
                <w:sz w:val="24"/>
                <w:szCs w:val="24"/>
                <w:u w:val="single"/>
              </w:rPr>
            </w:pPr>
            <w:r w:rsidRPr="002234F4">
              <w:rPr>
                <w:rFonts w:ascii="Arial" w:hAnsi="Arial" w:cs="Arial"/>
                <w:sz w:val="24"/>
                <w:szCs w:val="24"/>
                <w:u w:val="single"/>
              </w:rPr>
              <w:t>The Rule 61 application</w:t>
            </w:r>
          </w:p>
          <w:p w:rsidR="005515BD" w:rsidRPr="002234F4" w:rsidRDefault="005515BD" w:rsidP="002234F4">
            <w:pPr>
              <w:spacing w:line="360" w:lineRule="auto"/>
              <w:jc w:val="both"/>
              <w:rPr>
                <w:rFonts w:ascii="Arial" w:hAnsi="Arial" w:cs="Arial"/>
                <w:sz w:val="24"/>
                <w:szCs w:val="24"/>
                <w:u w:val="single"/>
              </w:rPr>
            </w:pPr>
          </w:p>
          <w:p w:rsidR="005515BD" w:rsidRPr="002234F4" w:rsidRDefault="005515BD" w:rsidP="002234F4">
            <w:pPr>
              <w:spacing w:line="360" w:lineRule="auto"/>
              <w:jc w:val="both"/>
              <w:rPr>
                <w:rFonts w:ascii="Arial" w:hAnsi="Arial" w:cs="Arial"/>
                <w:sz w:val="24"/>
                <w:szCs w:val="24"/>
              </w:rPr>
            </w:pPr>
            <w:r w:rsidRPr="002234F4">
              <w:rPr>
                <w:rFonts w:ascii="Arial" w:hAnsi="Arial" w:cs="Arial"/>
                <w:sz w:val="24"/>
                <w:szCs w:val="24"/>
              </w:rPr>
              <w:t>[1</w:t>
            </w:r>
            <w:r w:rsidR="0059498F" w:rsidRPr="002234F4">
              <w:rPr>
                <w:rFonts w:ascii="Arial" w:hAnsi="Arial" w:cs="Arial"/>
                <w:sz w:val="24"/>
                <w:szCs w:val="24"/>
              </w:rPr>
              <w:t>1</w:t>
            </w:r>
            <w:r w:rsidRPr="002234F4">
              <w:rPr>
                <w:rFonts w:ascii="Arial" w:hAnsi="Arial" w:cs="Arial"/>
                <w:sz w:val="24"/>
                <w:szCs w:val="24"/>
              </w:rPr>
              <w:t>]</w:t>
            </w:r>
            <w:r w:rsidR="0059498F" w:rsidRPr="002234F4">
              <w:rPr>
                <w:rFonts w:ascii="Arial" w:hAnsi="Arial" w:cs="Arial"/>
                <w:sz w:val="24"/>
                <w:szCs w:val="24"/>
              </w:rPr>
              <w:t xml:space="preserve">  </w:t>
            </w:r>
            <w:r w:rsidRPr="002234F4">
              <w:rPr>
                <w:rFonts w:ascii="Arial" w:hAnsi="Arial" w:cs="Arial"/>
                <w:sz w:val="24"/>
                <w:szCs w:val="24"/>
              </w:rPr>
              <w:t>What is striking in this regard - and this aspect immediately springs to one’s notice - is that the Notice in terms of Rule 61 - attacking the validity of the Notice to Oppose - delivered on 4 December 2019 - and the answer filed on 13 December 2019 - was filed only on 13 January 2020 and served on Shikongo Law Chambers – Mr Ama</w:t>
            </w:r>
            <w:r w:rsidR="001C495F">
              <w:rPr>
                <w:rFonts w:ascii="Arial" w:hAnsi="Arial" w:cs="Arial"/>
                <w:sz w:val="24"/>
                <w:szCs w:val="24"/>
              </w:rPr>
              <w:t>lwa’s legal practitioners - eventually</w:t>
            </w:r>
            <w:r w:rsidRPr="002234F4">
              <w:rPr>
                <w:rFonts w:ascii="Arial" w:hAnsi="Arial" w:cs="Arial"/>
                <w:sz w:val="24"/>
                <w:szCs w:val="24"/>
              </w:rPr>
              <w:t xml:space="preserve"> on 16 January 2020. </w:t>
            </w:r>
          </w:p>
          <w:p w:rsidR="005515BD" w:rsidRPr="002234F4" w:rsidRDefault="005515BD" w:rsidP="002234F4">
            <w:pPr>
              <w:spacing w:line="360" w:lineRule="auto"/>
              <w:jc w:val="both"/>
              <w:rPr>
                <w:rFonts w:ascii="Arial" w:hAnsi="Arial" w:cs="Arial"/>
                <w:sz w:val="24"/>
                <w:szCs w:val="24"/>
              </w:rPr>
            </w:pPr>
          </w:p>
          <w:p w:rsidR="005515BD" w:rsidRPr="002234F4" w:rsidRDefault="005515BD" w:rsidP="002234F4">
            <w:pPr>
              <w:spacing w:line="360" w:lineRule="auto"/>
              <w:jc w:val="both"/>
              <w:rPr>
                <w:rFonts w:ascii="Arial" w:hAnsi="Arial" w:cs="Arial"/>
                <w:sz w:val="24"/>
                <w:szCs w:val="24"/>
              </w:rPr>
            </w:pPr>
            <w:r w:rsidRPr="002234F4">
              <w:rPr>
                <w:rFonts w:ascii="Arial" w:hAnsi="Arial" w:cs="Arial"/>
                <w:sz w:val="24"/>
                <w:szCs w:val="24"/>
              </w:rPr>
              <w:t>[</w:t>
            </w:r>
            <w:r w:rsidR="0059498F" w:rsidRPr="002234F4">
              <w:rPr>
                <w:rFonts w:ascii="Arial" w:hAnsi="Arial" w:cs="Arial"/>
                <w:sz w:val="24"/>
                <w:szCs w:val="24"/>
              </w:rPr>
              <w:t>12</w:t>
            </w:r>
            <w:r w:rsidRPr="002234F4">
              <w:rPr>
                <w:rFonts w:ascii="Arial" w:hAnsi="Arial" w:cs="Arial"/>
                <w:sz w:val="24"/>
                <w:szCs w:val="24"/>
              </w:rPr>
              <w:t>]</w:t>
            </w:r>
            <w:r w:rsidR="0059498F" w:rsidRPr="002234F4">
              <w:rPr>
                <w:rFonts w:ascii="Arial" w:hAnsi="Arial" w:cs="Arial"/>
                <w:sz w:val="24"/>
                <w:szCs w:val="24"/>
              </w:rPr>
              <w:t xml:space="preserve">  </w:t>
            </w:r>
            <w:r w:rsidRPr="002234F4">
              <w:rPr>
                <w:rFonts w:ascii="Arial" w:hAnsi="Arial" w:cs="Arial"/>
                <w:sz w:val="24"/>
                <w:szCs w:val="24"/>
              </w:rPr>
              <w:t>A Rule 61 application is however to be brought within 10 days of becoming aware of the irregularity.</w:t>
            </w:r>
            <w:r w:rsidRPr="002234F4">
              <w:rPr>
                <w:rStyle w:val="FootnoteReference"/>
                <w:rFonts w:ascii="Arial" w:hAnsi="Arial" w:cs="Arial"/>
                <w:sz w:val="24"/>
                <w:szCs w:val="24"/>
              </w:rPr>
              <w:footnoteReference w:id="1"/>
            </w:r>
            <w:r w:rsidRPr="002234F4">
              <w:rPr>
                <w:rFonts w:ascii="Arial" w:hAnsi="Arial" w:cs="Arial"/>
                <w:sz w:val="24"/>
                <w:szCs w:val="24"/>
              </w:rPr>
              <w:t xml:space="preserve"> It becomes clear immediately that the Rule 61 application was delivered in both instances more than 10 days after the filing of the complained of documents.</w:t>
            </w:r>
          </w:p>
          <w:p w:rsidR="005515BD" w:rsidRPr="002234F4" w:rsidRDefault="005515BD" w:rsidP="002234F4">
            <w:pPr>
              <w:spacing w:line="360" w:lineRule="auto"/>
              <w:jc w:val="both"/>
              <w:rPr>
                <w:rFonts w:ascii="Arial" w:hAnsi="Arial" w:cs="Arial"/>
                <w:sz w:val="24"/>
                <w:szCs w:val="24"/>
              </w:rPr>
            </w:pPr>
          </w:p>
          <w:p w:rsidR="005515BD" w:rsidRPr="002234F4" w:rsidRDefault="0059498F" w:rsidP="002234F4">
            <w:pPr>
              <w:spacing w:line="360" w:lineRule="auto"/>
              <w:jc w:val="both"/>
              <w:rPr>
                <w:rFonts w:ascii="Arial" w:hAnsi="Arial" w:cs="Arial"/>
                <w:sz w:val="24"/>
                <w:szCs w:val="24"/>
              </w:rPr>
            </w:pPr>
            <w:r w:rsidRPr="002234F4">
              <w:rPr>
                <w:rFonts w:ascii="Arial" w:hAnsi="Arial" w:cs="Arial"/>
                <w:sz w:val="24"/>
                <w:szCs w:val="24"/>
              </w:rPr>
              <w:t xml:space="preserve">[13]  </w:t>
            </w:r>
            <w:r w:rsidR="005515BD" w:rsidRPr="002234F4">
              <w:rPr>
                <w:rFonts w:ascii="Arial" w:hAnsi="Arial" w:cs="Arial"/>
                <w:sz w:val="24"/>
                <w:szCs w:val="24"/>
              </w:rPr>
              <w:t>The respondents – the applicants in the Rule 61 application – however did not file a founding affidavit in support of their ‘Notice of Irregular Proceedings’.</w:t>
            </w:r>
            <w:r w:rsidR="005515BD" w:rsidRPr="002234F4">
              <w:rPr>
                <w:rStyle w:val="FootnoteReference"/>
                <w:rFonts w:ascii="Arial" w:hAnsi="Arial" w:cs="Arial"/>
                <w:sz w:val="24"/>
                <w:szCs w:val="24"/>
              </w:rPr>
              <w:footnoteReference w:id="2"/>
            </w:r>
            <w:r w:rsidR="005515BD" w:rsidRPr="002234F4">
              <w:rPr>
                <w:rFonts w:ascii="Arial" w:hAnsi="Arial" w:cs="Arial"/>
                <w:sz w:val="24"/>
                <w:szCs w:val="24"/>
              </w:rPr>
              <w:t xml:space="preserve"> It is thus not apparent – and the applicants fail to address this aspect – when they became aware of the irregularities complained of.</w:t>
            </w:r>
          </w:p>
          <w:p w:rsidR="005515BD" w:rsidRPr="002234F4" w:rsidRDefault="005515BD" w:rsidP="002234F4">
            <w:pPr>
              <w:spacing w:line="360" w:lineRule="auto"/>
              <w:jc w:val="both"/>
              <w:rPr>
                <w:rFonts w:ascii="Arial" w:hAnsi="Arial" w:cs="Arial"/>
                <w:sz w:val="24"/>
                <w:szCs w:val="24"/>
              </w:rPr>
            </w:pPr>
          </w:p>
          <w:p w:rsidR="005515BD" w:rsidRPr="002234F4" w:rsidRDefault="005515BD" w:rsidP="002234F4">
            <w:pPr>
              <w:spacing w:line="360" w:lineRule="auto"/>
              <w:jc w:val="both"/>
              <w:rPr>
                <w:rFonts w:ascii="Arial" w:hAnsi="Arial" w:cs="Arial"/>
                <w:sz w:val="24"/>
                <w:szCs w:val="24"/>
              </w:rPr>
            </w:pPr>
            <w:r w:rsidRPr="002234F4">
              <w:rPr>
                <w:rFonts w:ascii="Arial" w:hAnsi="Arial" w:cs="Arial"/>
                <w:sz w:val="24"/>
                <w:szCs w:val="24"/>
              </w:rPr>
              <w:t>[</w:t>
            </w:r>
            <w:r w:rsidR="0059498F" w:rsidRPr="002234F4">
              <w:rPr>
                <w:rFonts w:ascii="Arial" w:hAnsi="Arial" w:cs="Arial"/>
                <w:sz w:val="24"/>
                <w:szCs w:val="24"/>
              </w:rPr>
              <w:t>14</w:t>
            </w:r>
            <w:r w:rsidRPr="002234F4">
              <w:rPr>
                <w:rFonts w:ascii="Arial" w:hAnsi="Arial" w:cs="Arial"/>
                <w:sz w:val="24"/>
                <w:szCs w:val="24"/>
              </w:rPr>
              <w:t>]</w:t>
            </w:r>
            <w:r w:rsidR="0059498F" w:rsidRPr="002234F4">
              <w:rPr>
                <w:rFonts w:ascii="Arial" w:hAnsi="Arial" w:cs="Arial"/>
                <w:sz w:val="24"/>
                <w:szCs w:val="24"/>
              </w:rPr>
              <w:t xml:space="preserve">  </w:t>
            </w:r>
            <w:r w:rsidRPr="002234F4">
              <w:rPr>
                <w:rFonts w:ascii="Arial" w:hAnsi="Arial" w:cs="Arial"/>
                <w:sz w:val="24"/>
                <w:szCs w:val="24"/>
              </w:rPr>
              <w:t>The notice to oppose and the answering affidavit to the condonation application where however filed on E-Justice. Not only does the E-Justice system alert the legal practitioner of record, in this instance Mrs Angula, immediately that a document has been filed on a particular court file, but the system also alerts the practitioner in question of such fact via an additional e-mail that is sent to such practitioner. It is because of these double notifications more than likely that the complained of steps immediately came to the knowledge of the applicants’ legal practitioner on the 4</w:t>
            </w:r>
            <w:r w:rsidRPr="002234F4">
              <w:rPr>
                <w:rFonts w:ascii="Arial" w:hAnsi="Arial" w:cs="Arial"/>
                <w:sz w:val="24"/>
                <w:szCs w:val="24"/>
                <w:vertAlign w:val="superscript"/>
              </w:rPr>
              <w:t>th</w:t>
            </w:r>
            <w:r w:rsidRPr="002234F4">
              <w:rPr>
                <w:rFonts w:ascii="Arial" w:hAnsi="Arial" w:cs="Arial"/>
                <w:sz w:val="24"/>
                <w:szCs w:val="24"/>
              </w:rPr>
              <w:t xml:space="preserve"> and 13</w:t>
            </w:r>
            <w:r w:rsidRPr="002234F4">
              <w:rPr>
                <w:rFonts w:ascii="Arial" w:hAnsi="Arial" w:cs="Arial"/>
                <w:sz w:val="24"/>
                <w:szCs w:val="24"/>
                <w:vertAlign w:val="superscript"/>
              </w:rPr>
              <w:t>th</w:t>
            </w:r>
            <w:r w:rsidRPr="002234F4">
              <w:rPr>
                <w:rFonts w:ascii="Arial" w:hAnsi="Arial" w:cs="Arial"/>
                <w:sz w:val="24"/>
                <w:szCs w:val="24"/>
              </w:rPr>
              <w:t xml:space="preserve"> December 2019 respectively. Yet </w:t>
            </w:r>
            <w:r w:rsidR="001C495F">
              <w:rPr>
                <w:rFonts w:ascii="Arial" w:hAnsi="Arial" w:cs="Arial"/>
                <w:sz w:val="24"/>
                <w:szCs w:val="24"/>
              </w:rPr>
              <w:t>the Rule 61 application was</w:t>
            </w:r>
            <w:r w:rsidRPr="002234F4">
              <w:rPr>
                <w:rFonts w:ascii="Arial" w:hAnsi="Arial" w:cs="Arial"/>
                <w:sz w:val="24"/>
                <w:szCs w:val="24"/>
              </w:rPr>
              <w:t xml:space="preserve"> filed well outside the 10- day- window on 13 January 2020 and served even later on 16 January 2020. It must in such circumstances be inferred that the Rule 61 application delivered in this instance was delivered out of time and should be dismissed for that reason alone.</w:t>
            </w:r>
          </w:p>
          <w:p w:rsidR="005515BD" w:rsidRPr="002234F4" w:rsidRDefault="005515BD" w:rsidP="002234F4">
            <w:pPr>
              <w:spacing w:line="360" w:lineRule="auto"/>
              <w:jc w:val="both"/>
              <w:rPr>
                <w:rFonts w:ascii="Arial" w:hAnsi="Arial" w:cs="Arial"/>
                <w:sz w:val="24"/>
                <w:szCs w:val="24"/>
              </w:rPr>
            </w:pPr>
          </w:p>
          <w:p w:rsidR="005515BD" w:rsidRPr="002234F4" w:rsidRDefault="005515BD" w:rsidP="002234F4">
            <w:pPr>
              <w:spacing w:line="360" w:lineRule="auto"/>
              <w:jc w:val="both"/>
              <w:rPr>
                <w:rFonts w:ascii="Arial" w:hAnsi="Arial" w:cs="Arial"/>
                <w:sz w:val="24"/>
                <w:szCs w:val="24"/>
              </w:rPr>
            </w:pPr>
            <w:r w:rsidRPr="002234F4">
              <w:rPr>
                <w:rFonts w:ascii="Arial" w:hAnsi="Arial" w:cs="Arial"/>
                <w:sz w:val="24"/>
                <w:szCs w:val="24"/>
              </w:rPr>
              <w:t>[</w:t>
            </w:r>
            <w:r w:rsidR="0059498F" w:rsidRPr="002234F4">
              <w:rPr>
                <w:rFonts w:ascii="Arial" w:hAnsi="Arial" w:cs="Arial"/>
                <w:sz w:val="24"/>
                <w:szCs w:val="24"/>
              </w:rPr>
              <w:t>15</w:t>
            </w:r>
            <w:r w:rsidRPr="002234F4">
              <w:rPr>
                <w:rFonts w:ascii="Arial" w:hAnsi="Arial" w:cs="Arial"/>
                <w:sz w:val="24"/>
                <w:szCs w:val="24"/>
              </w:rPr>
              <w:t>]</w:t>
            </w:r>
            <w:r w:rsidR="0059498F" w:rsidRPr="002234F4">
              <w:rPr>
                <w:rFonts w:ascii="Arial" w:hAnsi="Arial" w:cs="Arial"/>
                <w:sz w:val="24"/>
                <w:szCs w:val="24"/>
              </w:rPr>
              <w:t xml:space="preserve">  </w:t>
            </w:r>
            <w:r w:rsidRPr="002234F4">
              <w:rPr>
                <w:rFonts w:ascii="Arial" w:hAnsi="Arial" w:cs="Arial"/>
                <w:sz w:val="24"/>
                <w:szCs w:val="24"/>
              </w:rPr>
              <w:t>What is more is that the applicants in their Rule 61 Notice complain of the following :</w:t>
            </w:r>
          </w:p>
          <w:p w:rsidR="005515BD" w:rsidRPr="002234F4" w:rsidRDefault="005515BD" w:rsidP="002234F4">
            <w:pPr>
              <w:spacing w:line="360" w:lineRule="auto"/>
              <w:jc w:val="both"/>
              <w:rPr>
                <w:rFonts w:ascii="Arial" w:hAnsi="Arial" w:cs="Arial"/>
                <w:sz w:val="24"/>
                <w:szCs w:val="24"/>
              </w:rPr>
            </w:pPr>
          </w:p>
          <w:p w:rsidR="005241A4" w:rsidRPr="00431D15" w:rsidRDefault="005241A4" w:rsidP="005241A4">
            <w:pPr>
              <w:spacing w:line="360" w:lineRule="auto"/>
              <w:ind w:firstLine="588"/>
              <w:jc w:val="both"/>
              <w:rPr>
                <w:rFonts w:ascii="Arial" w:hAnsi="Arial" w:cs="Arial"/>
                <w:color w:val="000000" w:themeColor="text1"/>
              </w:rPr>
            </w:pPr>
            <w:r>
              <w:rPr>
                <w:rFonts w:ascii="Arial" w:hAnsi="Arial" w:cs="Arial"/>
                <w:color w:val="000000" w:themeColor="text1"/>
                <w:sz w:val="24"/>
                <w:szCs w:val="24"/>
              </w:rPr>
              <w:lastRenderedPageBreak/>
              <w:t xml:space="preserve"> </w:t>
            </w:r>
            <w:r w:rsidRPr="00431D15">
              <w:rPr>
                <w:rFonts w:ascii="Arial" w:hAnsi="Arial" w:cs="Arial"/>
                <w:color w:val="000000" w:themeColor="text1"/>
              </w:rPr>
              <w:t>‘1.1  that the said Naeman Amalwa is not a party to the proceedings and has</w:t>
            </w:r>
            <w:r w:rsidR="00523B76" w:rsidRPr="00431D15">
              <w:rPr>
                <w:rFonts w:ascii="Arial" w:hAnsi="Arial" w:cs="Arial"/>
                <w:color w:val="000000" w:themeColor="text1"/>
              </w:rPr>
              <w:t xml:space="preserve"> </w:t>
            </w:r>
            <w:r w:rsidRPr="00431D15">
              <w:rPr>
                <w:rFonts w:ascii="Arial" w:hAnsi="Arial" w:cs="Arial"/>
                <w:color w:val="000000" w:themeColor="text1"/>
              </w:rPr>
              <w:t>not been joined as party as required by the rule</w:t>
            </w:r>
            <w:r w:rsidR="00523B76" w:rsidRPr="00431D15">
              <w:rPr>
                <w:rFonts w:ascii="Arial" w:hAnsi="Arial" w:cs="Arial"/>
                <w:color w:val="000000" w:themeColor="text1"/>
              </w:rPr>
              <w:t>s</w:t>
            </w:r>
            <w:r w:rsidRPr="00431D15">
              <w:rPr>
                <w:rFonts w:ascii="Arial" w:hAnsi="Arial" w:cs="Arial"/>
                <w:color w:val="000000" w:themeColor="text1"/>
              </w:rPr>
              <w:t xml:space="preserve"> of the court and the legal practitioner representing the said Naeman Amalwa are not on record of the proceedings as required by the rules of court.</w:t>
            </w:r>
          </w:p>
          <w:p w:rsidR="005241A4" w:rsidRPr="00431D15" w:rsidRDefault="005241A4" w:rsidP="005241A4">
            <w:pPr>
              <w:spacing w:line="360" w:lineRule="auto"/>
              <w:ind w:firstLine="588"/>
              <w:jc w:val="both"/>
              <w:rPr>
                <w:rFonts w:ascii="Arial" w:hAnsi="Arial" w:cs="Arial"/>
                <w:color w:val="000000" w:themeColor="text1"/>
              </w:rPr>
            </w:pPr>
          </w:p>
          <w:p w:rsidR="005241A4" w:rsidRPr="00431D15" w:rsidRDefault="005241A4" w:rsidP="005241A4">
            <w:pPr>
              <w:spacing w:line="360" w:lineRule="auto"/>
              <w:ind w:firstLine="20"/>
              <w:jc w:val="both"/>
              <w:rPr>
                <w:rFonts w:ascii="Arial" w:hAnsi="Arial" w:cs="Arial"/>
                <w:color w:val="000000" w:themeColor="text1"/>
              </w:rPr>
            </w:pPr>
            <w:r w:rsidRPr="00431D15">
              <w:rPr>
                <w:rFonts w:ascii="Arial" w:hAnsi="Arial" w:cs="Arial"/>
                <w:color w:val="000000" w:themeColor="text1"/>
              </w:rPr>
              <w:t>1.2  Furthermore, no leave of the court was sought to permit the said Naeman Amalwa to be joined as a party to the proceedings.</w:t>
            </w:r>
          </w:p>
          <w:p w:rsidR="005241A4" w:rsidRPr="00431D15" w:rsidRDefault="005241A4" w:rsidP="005241A4">
            <w:pPr>
              <w:spacing w:line="360" w:lineRule="auto"/>
              <w:ind w:firstLine="20"/>
              <w:jc w:val="both"/>
              <w:rPr>
                <w:rFonts w:ascii="Arial" w:hAnsi="Arial" w:cs="Arial"/>
                <w:color w:val="000000" w:themeColor="text1"/>
              </w:rPr>
            </w:pPr>
          </w:p>
          <w:p w:rsidR="005A7DEC" w:rsidRPr="00431D15" w:rsidRDefault="005241A4" w:rsidP="005241A4">
            <w:pPr>
              <w:spacing w:line="360" w:lineRule="auto"/>
              <w:ind w:firstLine="20"/>
              <w:jc w:val="both"/>
              <w:rPr>
                <w:rFonts w:ascii="Arial" w:hAnsi="Arial" w:cs="Arial"/>
                <w:color w:val="000000" w:themeColor="text1"/>
              </w:rPr>
            </w:pPr>
            <w:r w:rsidRPr="00431D15">
              <w:rPr>
                <w:rFonts w:ascii="Arial" w:hAnsi="Arial" w:cs="Arial"/>
                <w:color w:val="000000" w:themeColor="text1"/>
              </w:rPr>
              <w:t>1.3  Please take notice that as result of this irregularity, the 1</w:t>
            </w:r>
            <w:r w:rsidRPr="00431D15">
              <w:rPr>
                <w:rFonts w:ascii="Arial" w:hAnsi="Arial" w:cs="Arial"/>
                <w:color w:val="000000" w:themeColor="text1"/>
                <w:vertAlign w:val="superscript"/>
              </w:rPr>
              <w:t>st</w:t>
            </w:r>
            <w:r w:rsidRPr="00431D15">
              <w:rPr>
                <w:rFonts w:ascii="Arial" w:hAnsi="Arial" w:cs="Arial"/>
                <w:color w:val="000000" w:themeColor="text1"/>
              </w:rPr>
              <w:t xml:space="preserve"> and 7</w:t>
            </w:r>
            <w:r w:rsidRPr="00431D15">
              <w:rPr>
                <w:rFonts w:ascii="Arial" w:hAnsi="Arial" w:cs="Arial"/>
                <w:color w:val="000000" w:themeColor="text1"/>
                <w:vertAlign w:val="superscript"/>
              </w:rPr>
              <w:t>th</w:t>
            </w:r>
            <w:r w:rsidRPr="00431D15">
              <w:rPr>
                <w:rFonts w:ascii="Arial" w:hAnsi="Arial" w:cs="Arial"/>
                <w:color w:val="000000" w:themeColor="text1"/>
              </w:rPr>
              <w:t xml:space="preserve"> respondent are prejudiced as to the filing and services of documents, enforcement of certain rules of court, and generally because the said Naeman Amalwa has not provided his full details and address as required by rules.</w:t>
            </w:r>
          </w:p>
          <w:p w:rsidR="005A7DEC" w:rsidRPr="00431D15" w:rsidRDefault="005A7DEC" w:rsidP="005241A4">
            <w:pPr>
              <w:spacing w:line="360" w:lineRule="auto"/>
              <w:ind w:firstLine="20"/>
              <w:jc w:val="both"/>
              <w:rPr>
                <w:rFonts w:ascii="Arial" w:hAnsi="Arial" w:cs="Arial"/>
                <w:color w:val="000000" w:themeColor="text1"/>
              </w:rPr>
            </w:pPr>
          </w:p>
          <w:p w:rsidR="005A7DEC" w:rsidRPr="00431D15" w:rsidRDefault="005A7DEC" w:rsidP="005241A4">
            <w:pPr>
              <w:spacing w:line="360" w:lineRule="auto"/>
              <w:ind w:firstLine="20"/>
              <w:jc w:val="both"/>
              <w:rPr>
                <w:rFonts w:ascii="Arial" w:hAnsi="Arial" w:cs="Arial"/>
                <w:color w:val="000000" w:themeColor="text1"/>
              </w:rPr>
            </w:pPr>
            <w:r w:rsidRPr="00431D15">
              <w:rPr>
                <w:rFonts w:ascii="Arial" w:hAnsi="Arial" w:cs="Arial"/>
                <w:color w:val="000000" w:themeColor="text1"/>
              </w:rPr>
              <w:t xml:space="preserve">1.4  In absence of such information the respondents are unable to establish his </w:t>
            </w:r>
            <w:r w:rsidRPr="00431D15">
              <w:rPr>
                <w:rFonts w:ascii="Arial" w:hAnsi="Arial" w:cs="Arial"/>
                <w:i/>
                <w:color w:val="000000" w:themeColor="text1"/>
              </w:rPr>
              <w:t>locus standi</w:t>
            </w:r>
            <w:r w:rsidRPr="00431D15">
              <w:rPr>
                <w:rFonts w:ascii="Arial" w:hAnsi="Arial" w:cs="Arial"/>
                <w:color w:val="000000" w:themeColor="text1"/>
              </w:rPr>
              <w:t xml:space="preserve"> and other procedural advantages provided for in the rules.</w:t>
            </w:r>
          </w:p>
          <w:p w:rsidR="005A7DEC" w:rsidRPr="00431D15" w:rsidRDefault="005A7DEC" w:rsidP="005241A4">
            <w:pPr>
              <w:spacing w:line="360" w:lineRule="auto"/>
              <w:ind w:firstLine="20"/>
              <w:jc w:val="both"/>
              <w:rPr>
                <w:rFonts w:ascii="Arial" w:hAnsi="Arial" w:cs="Arial"/>
                <w:color w:val="000000" w:themeColor="text1"/>
              </w:rPr>
            </w:pPr>
          </w:p>
          <w:p w:rsidR="005515BD" w:rsidRPr="00431D15" w:rsidRDefault="005A7DEC" w:rsidP="005241A4">
            <w:pPr>
              <w:spacing w:line="360" w:lineRule="auto"/>
              <w:ind w:firstLine="20"/>
              <w:jc w:val="both"/>
              <w:rPr>
                <w:rFonts w:ascii="Arial" w:hAnsi="Arial" w:cs="Arial"/>
                <w:color w:val="000000" w:themeColor="text1"/>
              </w:rPr>
            </w:pPr>
            <w:r w:rsidRPr="00431D15">
              <w:rPr>
                <w:rFonts w:ascii="Arial" w:hAnsi="Arial" w:cs="Arial"/>
                <w:color w:val="000000" w:themeColor="text1"/>
              </w:rPr>
              <w:t>1.5  The said Naeman Amalwa was obliged to comply with the rules of court as aforesaid despite the court order dated 4 December 2019. The court order is not a bar for the said Naeman Amalwa to comply with the rules of court and he should have been advised accordingly.</w:t>
            </w:r>
          </w:p>
          <w:p w:rsidR="005A7DEC" w:rsidRPr="00431D15" w:rsidRDefault="005A7DEC" w:rsidP="005241A4">
            <w:pPr>
              <w:spacing w:line="360" w:lineRule="auto"/>
              <w:ind w:firstLine="20"/>
              <w:jc w:val="both"/>
              <w:rPr>
                <w:rFonts w:ascii="Arial" w:hAnsi="Arial" w:cs="Arial"/>
                <w:color w:val="000000" w:themeColor="text1"/>
              </w:rPr>
            </w:pPr>
          </w:p>
          <w:p w:rsidR="005A7DEC" w:rsidRPr="005241A4" w:rsidRDefault="005A7DEC" w:rsidP="005241A4">
            <w:pPr>
              <w:spacing w:line="360" w:lineRule="auto"/>
              <w:ind w:firstLine="20"/>
              <w:jc w:val="both"/>
              <w:rPr>
                <w:rFonts w:ascii="Arial" w:hAnsi="Arial" w:cs="Arial"/>
                <w:color w:val="000000" w:themeColor="text1"/>
                <w:sz w:val="24"/>
                <w:szCs w:val="24"/>
              </w:rPr>
            </w:pPr>
            <w:r w:rsidRPr="00431D15">
              <w:rPr>
                <w:rFonts w:ascii="Arial" w:hAnsi="Arial" w:cs="Arial"/>
                <w:color w:val="000000" w:themeColor="text1"/>
              </w:rPr>
              <w:t xml:space="preserve">1.6  </w:t>
            </w:r>
            <w:r w:rsidR="00523B76" w:rsidRPr="00431D15">
              <w:rPr>
                <w:rFonts w:ascii="Arial" w:hAnsi="Arial" w:cs="Arial"/>
                <w:color w:val="000000" w:themeColor="text1"/>
              </w:rPr>
              <w:t>The opposition filed, and the answering affidavit is therefore irregular and should be set aside with costs.’</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E675EB" w:rsidRPr="002234F4">
              <w:rPr>
                <w:rFonts w:ascii="Arial" w:hAnsi="Arial" w:cs="Arial"/>
                <w:sz w:val="24"/>
                <w:szCs w:val="24"/>
              </w:rPr>
              <w:t>16</w:t>
            </w:r>
            <w:r w:rsidRPr="002234F4">
              <w:rPr>
                <w:rFonts w:ascii="Arial" w:hAnsi="Arial" w:cs="Arial"/>
                <w:sz w:val="24"/>
                <w:szCs w:val="24"/>
              </w:rPr>
              <w:t>]</w:t>
            </w:r>
            <w:r w:rsidR="00E675EB" w:rsidRPr="002234F4">
              <w:rPr>
                <w:rFonts w:ascii="Arial" w:hAnsi="Arial" w:cs="Arial"/>
                <w:sz w:val="24"/>
                <w:szCs w:val="24"/>
              </w:rPr>
              <w:t xml:space="preserve">  </w:t>
            </w:r>
            <w:r w:rsidRPr="002234F4">
              <w:rPr>
                <w:rFonts w:ascii="Arial" w:hAnsi="Arial" w:cs="Arial"/>
                <w:sz w:val="24"/>
                <w:szCs w:val="24"/>
              </w:rPr>
              <w:t>In the heads of argument filed in support of this application it was then submitted that:</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widowControl w:val="0"/>
              <w:spacing w:line="360" w:lineRule="auto"/>
              <w:jc w:val="both"/>
              <w:rPr>
                <w:rFonts w:ascii="Arial" w:hAnsi="Arial" w:cs="Arial"/>
                <w:szCs w:val="24"/>
              </w:rPr>
            </w:pPr>
            <w:r w:rsidRPr="002234F4">
              <w:rPr>
                <w:rFonts w:ascii="Arial" w:hAnsi="Arial" w:cs="Arial"/>
                <w:szCs w:val="24"/>
              </w:rPr>
              <w:t xml:space="preserve">     ‘The essence of the irregular proceeding is the fact that M</w:t>
            </w:r>
            <w:r w:rsidR="001C495F">
              <w:rPr>
                <w:rFonts w:ascii="Arial" w:hAnsi="Arial" w:cs="Arial"/>
                <w:szCs w:val="24"/>
              </w:rPr>
              <w:t>r. Amalwa is not a party</w:t>
            </w:r>
            <w:r w:rsidRPr="002234F4">
              <w:rPr>
                <w:rFonts w:ascii="Arial" w:hAnsi="Arial" w:cs="Arial"/>
                <w:szCs w:val="24"/>
              </w:rPr>
              <w:t xml:space="preserve"> to the proceeding and has not been joined as a party as required by the rules of court and the legal practitioners representing Mr. Amalwa are not on record as required by the rules of court. It is for this very reason that there is no rule 32(9) and (10) compliance in this matter, as the respondents cannot engage Mr. Amalwa or the legal practitioner purportedly on record.’</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E675EB" w:rsidRPr="002234F4">
              <w:rPr>
                <w:rFonts w:ascii="Arial" w:hAnsi="Arial" w:cs="Arial"/>
                <w:sz w:val="24"/>
                <w:szCs w:val="24"/>
              </w:rPr>
              <w:t>17</w:t>
            </w:r>
            <w:r w:rsidRPr="002234F4">
              <w:rPr>
                <w:rFonts w:ascii="Arial" w:hAnsi="Arial" w:cs="Arial"/>
                <w:sz w:val="24"/>
                <w:szCs w:val="24"/>
              </w:rPr>
              <w:t>]</w:t>
            </w:r>
            <w:r w:rsidR="00E675EB" w:rsidRPr="002234F4">
              <w:rPr>
                <w:rFonts w:ascii="Arial" w:hAnsi="Arial" w:cs="Arial"/>
                <w:sz w:val="24"/>
                <w:szCs w:val="24"/>
              </w:rPr>
              <w:t xml:space="preserve">  </w:t>
            </w:r>
            <w:r w:rsidRPr="002234F4">
              <w:rPr>
                <w:rFonts w:ascii="Arial" w:hAnsi="Arial" w:cs="Arial"/>
                <w:sz w:val="24"/>
                <w:szCs w:val="24"/>
              </w:rPr>
              <w:t xml:space="preserve">This stance constitutes an amazing turnabout, </w:t>
            </w:r>
            <w:r w:rsidR="001C495F">
              <w:rPr>
                <w:rFonts w:ascii="Arial" w:hAnsi="Arial" w:cs="Arial"/>
                <w:sz w:val="24"/>
                <w:szCs w:val="24"/>
              </w:rPr>
              <w:t>given the events which preceded</w:t>
            </w:r>
            <w:r w:rsidRPr="002234F4">
              <w:rPr>
                <w:rFonts w:ascii="Arial" w:hAnsi="Arial" w:cs="Arial"/>
                <w:sz w:val="24"/>
                <w:szCs w:val="24"/>
              </w:rPr>
              <w:t xml:space="preserve"> the eventual filing of the Rule 61 application. </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E675EB" w:rsidRPr="002234F4">
              <w:rPr>
                <w:rFonts w:ascii="Arial" w:hAnsi="Arial" w:cs="Arial"/>
                <w:sz w:val="24"/>
                <w:szCs w:val="24"/>
              </w:rPr>
              <w:t>18</w:t>
            </w:r>
            <w:r w:rsidRPr="002234F4">
              <w:rPr>
                <w:rFonts w:ascii="Arial" w:hAnsi="Arial" w:cs="Arial"/>
                <w:sz w:val="24"/>
                <w:szCs w:val="24"/>
              </w:rPr>
              <w:t>]</w:t>
            </w:r>
            <w:r w:rsidR="00E675EB" w:rsidRPr="002234F4">
              <w:rPr>
                <w:rFonts w:ascii="Arial" w:hAnsi="Arial" w:cs="Arial"/>
                <w:sz w:val="24"/>
                <w:szCs w:val="24"/>
              </w:rPr>
              <w:t xml:space="preserve">  </w:t>
            </w:r>
            <w:r w:rsidRPr="002234F4">
              <w:rPr>
                <w:rFonts w:ascii="Arial" w:hAnsi="Arial" w:cs="Arial"/>
                <w:sz w:val="24"/>
                <w:szCs w:val="24"/>
              </w:rPr>
              <w:t>Mrs Miller</w:t>
            </w:r>
            <w:r w:rsidR="00F34C7D">
              <w:rPr>
                <w:rFonts w:ascii="Arial" w:hAnsi="Arial" w:cs="Arial"/>
                <w:sz w:val="24"/>
                <w:szCs w:val="24"/>
              </w:rPr>
              <w:t>, on behalf of Mr Amalwa,</w:t>
            </w:r>
            <w:r w:rsidRPr="002234F4">
              <w:rPr>
                <w:rFonts w:ascii="Arial" w:hAnsi="Arial" w:cs="Arial"/>
                <w:sz w:val="24"/>
                <w:szCs w:val="24"/>
              </w:rPr>
              <w:t xml:space="preserve"> has aptly summarised these occurrences in her heads of argument. She did so as follows:</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pacing w:line="360" w:lineRule="auto"/>
              <w:jc w:val="both"/>
              <w:rPr>
                <w:rFonts w:ascii="Arial" w:hAnsi="Arial" w:cs="Arial"/>
                <w:bCs/>
              </w:rPr>
            </w:pPr>
            <w:r w:rsidRPr="002234F4">
              <w:rPr>
                <w:rFonts w:ascii="Arial" w:hAnsi="Arial" w:cs="Arial"/>
                <w:sz w:val="24"/>
                <w:szCs w:val="24"/>
              </w:rPr>
              <w:t xml:space="preserve">         </w:t>
            </w:r>
            <w:r w:rsidRPr="002234F4">
              <w:rPr>
                <w:rFonts w:ascii="Arial" w:hAnsi="Arial" w:cs="Arial"/>
                <w:bCs/>
              </w:rPr>
              <w:t>‘On 6 September 2019 Mr Amalwa filed an affidavit indicating his wish, as deponent to the various affidavits, not to continue with the application.</w:t>
            </w:r>
          </w:p>
          <w:p w:rsidR="005515BD" w:rsidRPr="002234F4" w:rsidRDefault="005515BD" w:rsidP="002234F4">
            <w:pPr>
              <w:spacing w:line="360" w:lineRule="auto"/>
              <w:jc w:val="both"/>
              <w:rPr>
                <w:rFonts w:ascii="Arial" w:hAnsi="Arial" w:cs="Arial"/>
                <w:bCs/>
              </w:rPr>
            </w:pPr>
            <w:r w:rsidRPr="002234F4">
              <w:rPr>
                <w:rFonts w:ascii="Arial" w:hAnsi="Arial" w:cs="Arial"/>
                <w:bCs/>
              </w:rPr>
              <w:lastRenderedPageBreak/>
              <w:t>On the same day, 6 September 2019, Shikongo Law Chambers withdrew as legal practitioners for the applicants in light of the passing of the first applicant and the re-constitution of the second applicant, coupled with the lack of instructions form the Government attorney and the attorneys (AngulaCo) for the (newly constituted) second applicant.</w:t>
            </w:r>
          </w:p>
          <w:p w:rsidR="005515BD" w:rsidRPr="002234F4" w:rsidRDefault="005515BD" w:rsidP="002234F4">
            <w:pPr>
              <w:spacing w:line="360" w:lineRule="auto"/>
              <w:jc w:val="both"/>
              <w:rPr>
                <w:rFonts w:ascii="Arial" w:hAnsi="Arial" w:cs="Arial"/>
                <w:bCs/>
              </w:rPr>
            </w:pPr>
            <w:r w:rsidRPr="002234F4">
              <w:rPr>
                <w:rFonts w:ascii="Arial" w:hAnsi="Arial" w:cs="Arial"/>
                <w:bCs/>
              </w:rPr>
              <w:t>On 12 September 2019 the respondents filed a status report indicating their intention to bring an application in terms of Rule 97(3) to hold Mr Amalwa liable for costs.</w:t>
            </w:r>
          </w:p>
          <w:p w:rsidR="005515BD" w:rsidRPr="002234F4" w:rsidRDefault="005515BD" w:rsidP="002234F4">
            <w:pPr>
              <w:spacing w:line="360" w:lineRule="auto"/>
              <w:jc w:val="both"/>
              <w:rPr>
                <w:rFonts w:ascii="Arial" w:hAnsi="Arial" w:cs="Arial"/>
                <w:bCs/>
              </w:rPr>
            </w:pPr>
            <w:r w:rsidRPr="002234F4">
              <w:rPr>
                <w:rFonts w:ascii="Arial" w:hAnsi="Arial" w:cs="Arial"/>
                <w:bCs/>
              </w:rPr>
              <w:t>In light of the intention of the respondents as aforesaid, Mr Amalwa instructed Shikongo Law Chambers to represent him, being an interested party, in the intended application against him for costs.</w:t>
            </w:r>
          </w:p>
          <w:p w:rsidR="005515BD" w:rsidRPr="002234F4" w:rsidRDefault="005515BD" w:rsidP="002234F4">
            <w:pPr>
              <w:spacing w:line="360" w:lineRule="auto"/>
              <w:jc w:val="both"/>
              <w:rPr>
                <w:rFonts w:ascii="Arial" w:hAnsi="Arial" w:cs="Arial"/>
                <w:bCs/>
              </w:rPr>
            </w:pPr>
            <w:r w:rsidRPr="002234F4">
              <w:rPr>
                <w:rFonts w:ascii="Arial" w:hAnsi="Arial" w:cs="Arial"/>
                <w:bCs/>
              </w:rPr>
              <w:t>On 17 September 2019 the matter appeared before Justice Geier in F Court, Windhoek. Mr Jacobs appeared for the respondents, assisted by a member of AngulaCo. Ms Miller appeared for Mr Amalwa.</w:t>
            </w:r>
          </w:p>
          <w:p w:rsidR="005515BD" w:rsidRPr="002234F4" w:rsidRDefault="005515BD" w:rsidP="002234F4">
            <w:pPr>
              <w:spacing w:line="360" w:lineRule="auto"/>
              <w:jc w:val="both"/>
              <w:rPr>
                <w:rFonts w:ascii="Arial" w:hAnsi="Arial" w:cs="Arial"/>
                <w:bCs/>
              </w:rPr>
            </w:pPr>
            <w:r w:rsidRPr="002234F4">
              <w:rPr>
                <w:rFonts w:ascii="Arial" w:hAnsi="Arial" w:cs="Arial"/>
                <w:bCs/>
              </w:rPr>
              <w:t>The proceedings of 17 September 2019 were transcribed by Hibatchi on instructions of Shikongo Law Chambers. The transcript is attached as Annexure “A”.</w:t>
            </w:r>
          </w:p>
          <w:p w:rsidR="005515BD" w:rsidRPr="002234F4" w:rsidRDefault="005515BD" w:rsidP="002234F4">
            <w:pPr>
              <w:spacing w:line="360" w:lineRule="auto"/>
              <w:jc w:val="both"/>
              <w:rPr>
                <w:rFonts w:ascii="Arial" w:hAnsi="Arial" w:cs="Arial"/>
                <w:bCs/>
              </w:rPr>
            </w:pPr>
            <w:r w:rsidRPr="002234F4">
              <w:rPr>
                <w:rFonts w:ascii="Arial" w:hAnsi="Arial" w:cs="Arial"/>
                <w:bCs/>
              </w:rPr>
              <w:t>The transcript shows that:</w:t>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 xml:space="preserve"> Ms Miller was given audience to appear on behalf of Mr Amawla.</w:t>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The court considers Mr Amala an interested party.</w:t>
            </w:r>
            <w:r w:rsidRPr="002234F4">
              <w:rPr>
                <w:rStyle w:val="FootnoteReference"/>
                <w:rFonts w:ascii="Arial" w:hAnsi="Arial" w:cs="Arial"/>
                <w:bCs/>
              </w:rPr>
              <w:footnoteReference w:id="3"/>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 xml:space="preserve"> Mr Jacobs insisted that Ms Miller file a Notice of Representation. </w:t>
            </w:r>
            <w:r w:rsidRPr="002234F4">
              <w:rPr>
                <w:rStyle w:val="FootnoteReference"/>
                <w:rFonts w:ascii="Arial" w:hAnsi="Arial" w:cs="Arial"/>
                <w:bCs/>
              </w:rPr>
              <w:footnoteReference w:id="4"/>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Ms Miller agreed, informing the Court that she would be unable to do so on e-justice since Mr Amalwa is not a party to the proceedings, and does not have a code. She undertook to file the Notice of Representation through the office of the Registrar.</w:t>
            </w:r>
            <w:r w:rsidRPr="002234F4">
              <w:rPr>
                <w:rStyle w:val="FootnoteReference"/>
                <w:rFonts w:ascii="Arial" w:hAnsi="Arial" w:cs="Arial"/>
                <w:bCs/>
              </w:rPr>
              <w:footnoteReference w:id="5"/>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 xml:space="preserve">Mr Miller also informed the Court that she would not receive alerts if documents are filed on e-justice, again because Mr Amalwa is not a party. </w:t>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Mr Jacobs undertook on behalf of the respondents that all documents to be filed on behalf of the respondents will be served on Shikongo Law Chambers.</w:t>
            </w:r>
            <w:r w:rsidRPr="002234F4">
              <w:rPr>
                <w:rStyle w:val="FootnoteReference"/>
                <w:rFonts w:ascii="Arial" w:hAnsi="Arial" w:cs="Arial"/>
                <w:bCs/>
              </w:rPr>
              <w:footnoteReference w:id="6"/>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The court allowed Ms Miller to come on record as the legal representative of Mr Amalwa.</w:t>
            </w:r>
          </w:p>
          <w:p w:rsidR="005515BD" w:rsidRPr="002234F4" w:rsidRDefault="005515BD" w:rsidP="002234F4">
            <w:pPr>
              <w:pStyle w:val="ListParagraph"/>
              <w:numPr>
                <w:ilvl w:val="1"/>
                <w:numId w:val="24"/>
              </w:numPr>
              <w:spacing w:line="360" w:lineRule="auto"/>
              <w:ind w:left="1155" w:hanging="567"/>
              <w:jc w:val="both"/>
              <w:rPr>
                <w:rFonts w:ascii="Arial" w:hAnsi="Arial" w:cs="Arial"/>
                <w:bCs/>
              </w:rPr>
            </w:pPr>
            <w:r w:rsidRPr="002234F4">
              <w:rPr>
                <w:rFonts w:ascii="Arial" w:hAnsi="Arial" w:cs="Arial"/>
                <w:bCs/>
              </w:rPr>
              <w:t>The court considered the service of documents to be an issue.</w:t>
            </w:r>
            <w:r w:rsidRPr="002234F4">
              <w:rPr>
                <w:rStyle w:val="FootnoteReference"/>
                <w:rFonts w:ascii="Arial" w:hAnsi="Arial" w:cs="Arial"/>
                <w:bCs/>
              </w:rPr>
              <w:footnoteReference w:id="7"/>
            </w:r>
          </w:p>
          <w:p w:rsidR="005515BD" w:rsidRPr="002234F4" w:rsidRDefault="005515BD" w:rsidP="002234F4">
            <w:pPr>
              <w:spacing w:line="360" w:lineRule="auto"/>
              <w:jc w:val="both"/>
              <w:rPr>
                <w:rFonts w:ascii="Arial" w:hAnsi="Arial" w:cs="Arial"/>
                <w:bCs/>
              </w:rPr>
            </w:pPr>
            <w:r w:rsidRPr="002234F4">
              <w:rPr>
                <w:rFonts w:ascii="Arial" w:hAnsi="Arial" w:cs="Arial"/>
                <w:bCs/>
              </w:rPr>
              <w:t>Ms Miller consequently filed a Notice of Representation through the E-justice Service Bureau on the same date, 17 September 2019.</w:t>
            </w:r>
          </w:p>
          <w:p w:rsidR="005515BD" w:rsidRPr="002234F4" w:rsidRDefault="005515BD" w:rsidP="002234F4">
            <w:pPr>
              <w:spacing w:line="360" w:lineRule="auto"/>
              <w:jc w:val="both"/>
              <w:rPr>
                <w:rFonts w:ascii="Arial" w:hAnsi="Arial" w:cs="Arial"/>
                <w:bCs/>
              </w:rPr>
            </w:pPr>
            <w:r w:rsidRPr="002234F4">
              <w:rPr>
                <w:rFonts w:ascii="Arial" w:hAnsi="Arial" w:cs="Arial"/>
                <w:bCs/>
              </w:rPr>
              <w:t>On 16 October 2019 the Court made the order which became the subject of the condonation application. That order ordered the respondents to file their intended application in terms of Rule 97(3) on or before 29 October 2019 and further granted Mr Amalwa leave to file answering affidavits to the respondents’ application in terms of Rule 97(3).</w:t>
            </w:r>
          </w:p>
          <w:p w:rsidR="005515BD" w:rsidRPr="002234F4" w:rsidRDefault="005515BD" w:rsidP="002234F4">
            <w:pPr>
              <w:spacing w:line="360" w:lineRule="auto"/>
              <w:jc w:val="both"/>
              <w:rPr>
                <w:rFonts w:ascii="Arial" w:hAnsi="Arial" w:cs="Arial"/>
                <w:bCs/>
              </w:rPr>
            </w:pPr>
            <w:r w:rsidRPr="002234F4">
              <w:rPr>
                <w:rFonts w:ascii="Arial" w:hAnsi="Arial" w:cs="Arial"/>
                <w:bCs/>
              </w:rPr>
              <w:lastRenderedPageBreak/>
              <w:t>On 1 November 2019 AngulaCo filed the Rule 97(3) application, with notice to both Shikongo Law Chambers and the Government Attorneys.</w:t>
            </w:r>
          </w:p>
          <w:p w:rsidR="005515BD" w:rsidRPr="002234F4" w:rsidRDefault="005515BD" w:rsidP="002234F4">
            <w:pPr>
              <w:spacing w:line="360" w:lineRule="auto"/>
              <w:jc w:val="both"/>
              <w:rPr>
                <w:rFonts w:ascii="Arial" w:hAnsi="Arial" w:cs="Arial"/>
                <w:bCs/>
              </w:rPr>
            </w:pPr>
            <w:r w:rsidRPr="002234F4">
              <w:rPr>
                <w:rFonts w:ascii="Arial" w:hAnsi="Arial" w:cs="Arial"/>
                <w:bCs/>
              </w:rPr>
              <w:t xml:space="preserve">On 15 November 2019 Mr Amalwa filed his notice to oppose as well as his answering affidavit. </w:t>
            </w:r>
          </w:p>
          <w:p w:rsidR="005515BD" w:rsidRPr="002234F4" w:rsidRDefault="005515BD" w:rsidP="002234F4">
            <w:pPr>
              <w:spacing w:line="360" w:lineRule="auto"/>
              <w:jc w:val="both"/>
              <w:rPr>
                <w:rFonts w:ascii="Arial" w:hAnsi="Arial" w:cs="Arial"/>
                <w:bCs/>
              </w:rPr>
            </w:pPr>
            <w:r w:rsidRPr="002234F4">
              <w:rPr>
                <w:rFonts w:ascii="Arial" w:hAnsi="Arial" w:cs="Arial"/>
                <w:bCs/>
              </w:rPr>
              <w:t>On 4 December 2019 the matter appeared before Justice Geier again. An application for condonation was not yet filed by the respondents for the late filing of their Rule 97(3) application. The court ordered the respondents to deliver their application for condonation before close of business that day – the 4</w:t>
            </w:r>
            <w:r w:rsidRPr="002234F4">
              <w:rPr>
                <w:rFonts w:ascii="Arial" w:hAnsi="Arial" w:cs="Arial"/>
                <w:bCs/>
                <w:vertAlign w:val="superscript"/>
              </w:rPr>
              <w:t>th</w:t>
            </w:r>
            <w:r w:rsidRPr="002234F4">
              <w:rPr>
                <w:rFonts w:ascii="Arial" w:hAnsi="Arial" w:cs="Arial"/>
                <w:bCs/>
              </w:rPr>
              <w:t xml:space="preserve"> of December.</w:t>
            </w:r>
          </w:p>
          <w:p w:rsidR="005515BD" w:rsidRPr="002234F4" w:rsidRDefault="005515BD" w:rsidP="002234F4">
            <w:pPr>
              <w:spacing w:line="360" w:lineRule="auto"/>
              <w:jc w:val="both"/>
              <w:rPr>
                <w:rFonts w:ascii="Arial" w:hAnsi="Arial" w:cs="Arial"/>
                <w:bCs/>
              </w:rPr>
            </w:pPr>
            <w:r w:rsidRPr="002234F4">
              <w:rPr>
                <w:rFonts w:ascii="Arial" w:hAnsi="Arial" w:cs="Arial"/>
                <w:bCs/>
              </w:rPr>
              <w:t>On the same day the court ordered Mr Amalwa to file his answering papers to such condonation application on or before 13 December 2019.</w:t>
            </w:r>
          </w:p>
          <w:p w:rsidR="005515BD" w:rsidRPr="002234F4" w:rsidRDefault="005515BD" w:rsidP="002234F4">
            <w:pPr>
              <w:spacing w:line="360" w:lineRule="auto"/>
              <w:jc w:val="both"/>
              <w:rPr>
                <w:rFonts w:ascii="Arial" w:hAnsi="Arial" w:cs="Arial"/>
                <w:bCs/>
                <w:i/>
                <w:iCs/>
              </w:rPr>
            </w:pPr>
            <w:r w:rsidRPr="002234F4">
              <w:rPr>
                <w:rFonts w:ascii="Arial" w:hAnsi="Arial" w:cs="Arial"/>
                <w:bCs/>
              </w:rPr>
              <w:t>On 4 December 2019 AngulaCo filed the application for condonation.</w:t>
            </w:r>
          </w:p>
          <w:p w:rsidR="005515BD" w:rsidRPr="002234F4" w:rsidRDefault="005515BD" w:rsidP="002234F4">
            <w:pPr>
              <w:spacing w:line="360" w:lineRule="auto"/>
              <w:jc w:val="both"/>
              <w:rPr>
                <w:rFonts w:ascii="Arial" w:hAnsi="Arial" w:cs="Arial"/>
                <w:bCs/>
                <w:i/>
                <w:iCs/>
              </w:rPr>
            </w:pPr>
            <w:r w:rsidRPr="002234F4">
              <w:rPr>
                <w:rFonts w:ascii="Arial" w:hAnsi="Arial" w:cs="Arial"/>
                <w:bCs/>
              </w:rPr>
              <w:t xml:space="preserve">Despite Mr Jacobs’ undertaking on 17 September 2019 in open Court, and the Court’s concern expressed regarding the service of documents, AngulaCo intentionally did not serve that application on Shikongo Law Chambers. It in fact did exactly what Mr Jacobs promised not to do and we quote him: </w:t>
            </w:r>
            <w:r w:rsidRPr="002234F4">
              <w:rPr>
                <w:rFonts w:ascii="Arial" w:hAnsi="Arial" w:cs="Arial"/>
                <w:bCs/>
                <w:i/>
                <w:iCs/>
              </w:rPr>
              <w:t>“My Lord we will not pull one pass my Learned Friend my Lord”.</w:t>
            </w:r>
            <w:r w:rsidRPr="002234F4">
              <w:rPr>
                <w:rStyle w:val="FootnoteReference"/>
                <w:rFonts w:ascii="Arial" w:hAnsi="Arial" w:cs="Arial"/>
                <w:bCs/>
                <w:i/>
                <w:iCs/>
              </w:rPr>
              <w:footnoteReference w:id="8"/>
            </w:r>
          </w:p>
          <w:p w:rsidR="005515BD" w:rsidRPr="002234F4" w:rsidRDefault="005515BD" w:rsidP="002234F4">
            <w:pPr>
              <w:spacing w:line="360" w:lineRule="auto"/>
              <w:jc w:val="both"/>
              <w:rPr>
                <w:rFonts w:ascii="Arial" w:hAnsi="Arial" w:cs="Arial"/>
                <w:bCs/>
                <w:i/>
                <w:iCs/>
              </w:rPr>
            </w:pPr>
            <w:r w:rsidRPr="002234F4">
              <w:rPr>
                <w:rFonts w:ascii="Arial" w:hAnsi="Arial" w:cs="Arial"/>
                <w:bCs/>
              </w:rPr>
              <w:t xml:space="preserve">Having regularly checked e-justice in lieu of receiving alerts, and having expected the application to be filed, the application for condonation was down-loaded from E-justice by Ms Miller. Mr Amalwa duly filed his answering affidavit thereto, in accordance with the court order of 4 December 2019. </w:t>
            </w:r>
          </w:p>
          <w:p w:rsidR="005515BD" w:rsidRPr="002234F4" w:rsidRDefault="005515BD" w:rsidP="002234F4">
            <w:pPr>
              <w:spacing w:line="360" w:lineRule="auto"/>
              <w:jc w:val="both"/>
              <w:rPr>
                <w:rFonts w:ascii="Arial" w:hAnsi="Arial" w:cs="Arial"/>
                <w:bCs/>
                <w:i/>
                <w:iCs/>
              </w:rPr>
            </w:pPr>
            <w:r w:rsidRPr="002234F4">
              <w:rPr>
                <w:rFonts w:ascii="Arial" w:hAnsi="Arial" w:cs="Arial"/>
                <w:bCs/>
              </w:rPr>
              <w:t>The respondents did not file a replying affidavit to the answering affidavit of Mr Amalwa.</w:t>
            </w:r>
          </w:p>
          <w:p w:rsidR="005515BD" w:rsidRPr="002234F4" w:rsidRDefault="005515BD" w:rsidP="002234F4">
            <w:pPr>
              <w:spacing w:line="360" w:lineRule="auto"/>
              <w:jc w:val="both"/>
              <w:rPr>
                <w:rFonts w:ascii="Arial" w:hAnsi="Arial" w:cs="Arial"/>
                <w:bCs/>
                <w:i/>
                <w:iCs/>
                <w:sz w:val="24"/>
                <w:szCs w:val="24"/>
              </w:rPr>
            </w:pPr>
            <w:r w:rsidRPr="002234F4">
              <w:rPr>
                <w:rFonts w:ascii="Arial" w:hAnsi="Arial" w:cs="Arial"/>
                <w:bCs/>
              </w:rPr>
              <w:t>In a bizarre twist AngulaCo, on 13 January 2020, filed a Notice of Irregular Proceedings in terms of Rule 61. This despite the Court order of 4 December 2019, ordering Mr Amalwa to file his answering affidavit before 13 December 2019.’</w:t>
            </w:r>
            <w:r w:rsidRPr="002234F4">
              <w:rPr>
                <w:rFonts w:ascii="Arial" w:hAnsi="Arial" w:cs="Arial"/>
                <w:bCs/>
                <w:sz w:val="24"/>
                <w:szCs w:val="24"/>
              </w:rPr>
              <w:t xml:space="preserve">   </w:t>
            </w:r>
          </w:p>
          <w:p w:rsidR="00283363" w:rsidRPr="002234F4" w:rsidRDefault="00283363"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283363" w:rsidRPr="002234F4">
              <w:rPr>
                <w:rFonts w:ascii="Arial" w:hAnsi="Arial" w:cs="Arial"/>
                <w:sz w:val="24"/>
                <w:szCs w:val="24"/>
              </w:rPr>
              <w:t>19</w:t>
            </w:r>
            <w:r w:rsidRPr="002234F4">
              <w:rPr>
                <w:rFonts w:ascii="Arial" w:hAnsi="Arial" w:cs="Arial"/>
                <w:sz w:val="24"/>
                <w:szCs w:val="24"/>
              </w:rPr>
              <w:t>]</w:t>
            </w:r>
            <w:r w:rsidR="00283363" w:rsidRPr="002234F4">
              <w:rPr>
                <w:rFonts w:ascii="Arial" w:hAnsi="Arial" w:cs="Arial"/>
                <w:sz w:val="24"/>
                <w:szCs w:val="24"/>
              </w:rPr>
              <w:t xml:space="preserve">  </w:t>
            </w:r>
            <w:r w:rsidRPr="002234F4">
              <w:rPr>
                <w:rFonts w:ascii="Arial" w:hAnsi="Arial" w:cs="Arial"/>
                <w:sz w:val="24"/>
                <w:szCs w:val="24"/>
              </w:rPr>
              <w:t>It so appears that the applicants to the Rule 61</w:t>
            </w:r>
            <w:r w:rsidR="00750F57">
              <w:rPr>
                <w:rFonts w:ascii="Arial" w:hAnsi="Arial" w:cs="Arial"/>
                <w:sz w:val="24"/>
                <w:szCs w:val="24"/>
              </w:rPr>
              <w:t xml:space="preserve"> application – through their</w:t>
            </w:r>
            <w:r w:rsidRPr="002234F4">
              <w:rPr>
                <w:rFonts w:ascii="Arial" w:hAnsi="Arial" w:cs="Arial"/>
                <w:sz w:val="24"/>
                <w:szCs w:val="24"/>
              </w:rPr>
              <w:t xml:space="preserve"> legal practitioners – that is through instructed- and instructing counsel - where from the outset – ie on 17 September 2019 already - acutely alerted by Mr Amalwa’s legal practitioner to all the problems they now complain of. They thus immediately obtained knowledge of the irregularities tha</w:t>
            </w:r>
            <w:r w:rsidR="001C495F">
              <w:rPr>
                <w:rFonts w:ascii="Arial" w:hAnsi="Arial" w:cs="Arial"/>
                <w:sz w:val="24"/>
                <w:szCs w:val="24"/>
              </w:rPr>
              <w:t>t were to come and that they then</w:t>
            </w:r>
            <w:r w:rsidRPr="002234F4">
              <w:rPr>
                <w:rFonts w:ascii="Arial" w:hAnsi="Arial" w:cs="Arial"/>
                <w:sz w:val="24"/>
                <w:szCs w:val="24"/>
              </w:rPr>
              <w:t xml:space="preserve"> complain</w:t>
            </w:r>
            <w:r w:rsidR="001C495F">
              <w:rPr>
                <w:rFonts w:ascii="Arial" w:hAnsi="Arial" w:cs="Arial"/>
                <w:sz w:val="24"/>
                <w:szCs w:val="24"/>
              </w:rPr>
              <w:t>ed</w:t>
            </w:r>
            <w:r w:rsidRPr="002234F4">
              <w:rPr>
                <w:rFonts w:ascii="Arial" w:hAnsi="Arial" w:cs="Arial"/>
                <w:sz w:val="24"/>
                <w:szCs w:val="24"/>
              </w:rPr>
              <w:t xml:space="preserve"> of many months later. In spite of reacting thereto appropriately they allowed the court to regulate the exchange of affidavits in respect of the Rule 97(3) application by way of the agreed to Court Order of 17 September 2019. In spite of such knowledge they also failed to attack the notice to oppose such application and the answering affidavits, filed subsequently</w:t>
            </w:r>
            <w:r w:rsidR="00750F57">
              <w:rPr>
                <w:rFonts w:ascii="Arial" w:hAnsi="Arial" w:cs="Arial"/>
                <w:sz w:val="24"/>
                <w:szCs w:val="24"/>
              </w:rPr>
              <w:t>,</w:t>
            </w:r>
            <w:r w:rsidRPr="002234F4">
              <w:rPr>
                <w:rFonts w:ascii="Arial" w:hAnsi="Arial" w:cs="Arial"/>
                <w:sz w:val="24"/>
                <w:szCs w:val="24"/>
              </w:rPr>
              <w:t xml:space="preserve"> in response thereto</w:t>
            </w:r>
            <w:r w:rsidR="00750F57">
              <w:rPr>
                <w:rFonts w:ascii="Arial" w:hAnsi="Arial" w:cs="Arial"/>
                <w:sz w:val="24"/>
                <w:szCs w:val="24"/>
              </w:rPr>
              <w:t>,</w:t>
            </w:r>
            <w:r w:rsidRPr="002234F4">
              <w:rPr>
                <w:rFonts w:ascii="Arial" w:hAnsi="Arial" w:cs="Arial"/>
                <w:sz w:val="24"/>
                <w:szCs w:val="24"/>
              </w:rPr>
              <w:t xml:space="preserve"> on 15 November 2019, by way of the Rule 61 </w:t>
            </w:r>
            <w:r w:rsidR="00283363" w:rsidRPr="002234F4">
              <w:rPr>
                <w:rFonts w:ascii="Arial" w:hAnsi="Arial" w:cs="Arial"/>
                <w:sz w:val="24"/>
                <w:szCs w:val="24"/>
              </w:rPr>
              <w:t>mechanism</w:t>
            </w:r>
            <w:r w:rsidRPr="002234F4">
              <w:rPr>
                <w:rFonts w:ascii="Arial" w:hAnsi="Arial" w:cs="Arial"/>
                <w:sz w:val="24"/>
                <w:szCs w:val="24"/>
              </w:rPr>
              <w:t>.</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283363" w:rsidRPr="002234F4">
              <w:rPr>
                <w:rFonts w:ascii="Arial" w:hAnsi="Arial" w:cs="Arial"/>
                <w:sz w:val="24"/>
                <w:szCs w:val="24"/>
              </w:rPr>
              <w:t xml:space="preserve">20]  </w:t>
            </w:r>
            <w:r w:rsidRPr="002234F4">
              <w:rPr>
                <w:rFonts w:ascii="Arial" w:hAnsi="Arial" w:cs="Arial"/>
                <w:sz w:val="24"/>
                <w:szCs w:val="24"/>
              </w:rPr>
              <w:t xml:space="preserve">The main application had become moot by then. The only aspect that precluded the finalisation of the entire case was the issue of costs. When the applicants in the Rule 61 application then brought their intended Rule 97(3) application and allowed Mr Amalwa to </w:t>
            </w:r>
            <w:r w:rsidRPr="002234F4">
              <w:rPr>
                <w:rFonts w:ascii="Arial" w:hAnsi="Arial" w:cs="Arial"/>
                <w:sz w:val="24"/>
                <w:szCs w:val="24"/>
              </w:rPr>
              <w:lastRenderedPageBreak/>
              <w:t>oppose</w:t>
            </w:r>
            <w:r w:rsidR="00935292">
              <w:rPr>
                <w:rFonts w:ascii="Arial" w:hAnsi="Arial" w:cs="Arial"/>
                <w:sz w:val="24"/>
                <w:szCs w:val="24"/>
              </w:rPr>
              <w:t xml:space="preserve"> same through the filing of answer</w:t>
            </w:r>
            <w:r w:rsidRPr="002234F4">
              <w:rPr>
                <w:rFonts w:ascii="Arial" w:hAnsi="Arial" w:cs="Arial"/>
                <w:sz w:val="24"/>
                <w:szCs w:val="24"/>
              </w:rPr>
              <w:t>ing papers on 15 November 2019</w:t>
            </w:r>
            <w:r w:rsidR="00935292">
              <w:rPr>
                <w:rFonts w:ascii="Arial" w:hAnsi="Arial" w:cs="Arial"/>
                <w:sz w:val="24"/>
                <w:szCs w:val="24"/>
              </w:rPr>
              <w:t>,</w:t>
            </w:r>
            <w:r w:rsidRPr="002234F4">
              <w:rPr>
                <w:rFonts w:ascii="Arial" w:hAnsi="Arial" w:cs="Arial"/>
                <w:sz w:val="24"/>
                <w:szCs w:val="24"/>
              </w:rPr>
              <w:t xml:space="preserve"> this advanced the main case further towards its conclusion. In other words further steps were taken </w:t>
            </w:r>
            <w:r w:rsidRPr="002234F4">
              <w:rPr>
                <w:rFonts w:ascii="Arial" w:hAnsi="Arial" w:cs="Arial"/>
                <w:i/>
                <w:sz w:val="24"/>
                <w:szCs w:val="24"/>
              </w:rPr>
              <w:t>‘in the cause’</w:t>
            </w:r>
            <w:r w:rsidRPr="002234F4">
              <w:rPr>
                <w:rFonts w:ascii="Arial" w:hAnsi="Arial" w:cs="Arial"/>
                <w:sz w:val="24"/>
                <w:szCs w:val="24"/>
              </w:rPr>
              <w:t>. This</w:t>
            </w:r>
            <w:r w:rsidR="00935292">
              <w:rPr>
                <w:rFonts w:ascii="Arial" w:hAnsi="Arial" w:cs="Arial"/>
                <w:sz w:val="24"/>
                <w:szCs w:val="24"/>
              </w:rPr>
              <w:t>, however,</w:t>
            </w:r>
            <w:r w:rsidRPr="002234F4">
              <w:rPr>
                <w:rFonts w:ascii="Arial" w:hAnsi="Arial" w:cs="Arial"/>
                <w:sz w:val="24"/>
                <w:szCs w:val="24"/>
              </w:rPr>
              <w:t xml:space="preserve"> is precisely what precludes a party from </w:t>
            </w:r>
            <w:r w:rsidR="00935292">
              <w:rPr>
                <w:rFonts w:ascii="Arial" w:hAnsi="Arial" w:cs="Arial"/>
                <w:sz w:val="24"/>
                <w:szCs w:val="24"/>
              </w:rPr>
              <w:t>resorting to the Rule 61 mechan</w:t>
            </w:r>
            <w:r w:rsidR="00750F57">
              <w:rPr>
                <w:rFonts w:ascii="Arial" w:hAnsi="Arial" w:cs="Arial"/>
                <w:sz w:val="24"/>
                <w:szCs w:val="24"/>
              </w:rPr>
              <w:t>ism</w:t>
            </w:r>
            <w:r w:rsidRPr="002234F4">
              <w:rPr>
                <w:rFonts w:ascii="Arial" w:hAnsi="Arial" w:cs="Arial"/>
                <w:sz w:val="24"/>
                <w:szCs w:val="24"/>
              </w:rPr>
              <w:t>.</w:t>
            </w:r>
            <w:r w:rsidRPr="002234F4">
              <w:rPr>
                <w:rStyle w:val="FootnoteReference"/>
                <w:rFonts w:ascii="Arial" w:hAnsi="Arial" w:cs="Arial"/>
                <w:sz w:val="24"/>
                <w:szCs w:val="24"/>
              </w:rPr>
              <w:footnoteReference w:id="9"/>
            </w:r>
            <w:r w:rsidRPr="002234F4">
              <w:rPr>
                <w:rFonts w:ascii="Arial" w:hAnsi="Arial" w:cs="Arial"/>
                <w:sz w:val="24"/>
                <w:szCs w:val="24"/>
              </w:rPr>
              <w:t xml:space="preserve"> Also this aspect must be fatal to the Rule 61 application launched only in January 2020.</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283363" w:rsidRPr="002234F4">
              <w:rPr>
                <w:rFonts w:ascii="Arial" w:hAnsi="Arial" w:cs="Arial"/>
                <w:sz w:val="24"/>
                <w:szCs w:val="24"/>
              </w:rPr>
              <w:t>21</w:t>
            </w:r>
            <w:r w:rsidRPr="002234F4">
              <w:rPr>
                <w:rFonts w:ascii="Arial" w:hAnsi="Arial" w:cs="Arial"/>
                <w:sz w:val="24"/>
                <w:szCs w:val="24"/>
              </w:rPr>
              <w:t>]</w:t>
            </w:r>
            <w:r w:rsidR="00283363" w:rsidRPr="002234F4">
              <w:rPr>
                <w:rFonts w:ascii="Arial" w:hAnsi="Arial" w:cs="Arial"/>
                <w:sz w:val="24"/>
                <w:szCs w:val="24"/>
              </w:rPr>
              <w:t xml:space="preserve">  </w:t>
            </w:r>
            <w:r w:rsidR="00750F57">
              <w:rPr>
                <w:rFonts w:ascii="Arial" w:hAnsi="Arial" w:cs="Arial"/>
                <w:sz w:val="24"/>
                <w:szCs w:val="24"/>
              </w:rPr>
              <w:t>So -</w:t>
            </w:r>
            <w:r w:rsidRPr="002234F4">
              <w:rPr>
                <w:rFonts w:ascii="Arial" w:hAnsi="Arial" w:cs="Arial"/>
                <w:sz w:val="24"/>
                <w:szCs w:val="24"/>
              </w:rPr>
              <w:t xml:space="preserve"> even if I have been wrong in coming to the conclusion that the Respondent’s Rule 61 application was brought out of time, warranting the dismissal of the Rule 61 application on that score alone, the taking of further steps in the cause, with knowledge of the irregularities now complained of, put the final nail in the ‘Rule 61 coffin’, disentitling the applicants subsequently to resort to the mechanisms afforded to them by Rule 61.</w:t>
            </w:r>
          </w:p>
          <w:p w:rsidR="005515BD" w:rsidRPr="002234F4" w:rsidRDefault="005515BD" w:rsidP="002234F4">
            <w:pPr>
              <w:suppressAutoHyphens/>
              <w:spacing w:line="360" w:lineRule="auto"/>
              <w:ind w:right="74"/>
              <w:jc w:val="both"/>
              <w:rPr>
                <w:rFonts w:ascii="Arial" w:hAnsi="Arial" w:cs="Arial"/>
                <w:sz w:val="24"/>
                <w:szCs w:val="24"/>
              </w:rPr>
            </w:pPr>
          </w:p>
          <w:p w:rsidR="005515BD" w:rsidRPr="002234F4" w:rsidRDefault="005515BD" w:rsidP="002234F4">
            <w:pPr>
              <w:suppressAutoHyphens/>
              <w:spacing w:line="360" w:lineRule="auto"/>
              <w:ind w:right="74"/>
              <w:jc w:val="both"/>
              <w:rPr>
                <w:rFonts w:ascii="Arial" w:hAnsi="Arial" w:cs="Arial"/>
                <w:sz w:val="24"/>
                <w:szCs w:val="24"/>
              </w:rPr>
            </w:pPr>
            <w:r w:rsidRPr="002234F4">
              <w:rPr>
                <w:rFonts w:ascii="Arial" w:hAnsi="Arial" w:cs="Arial"/>
                <w:sz w:val="24"/>
                <w:szCs w:val="24"/>
              </w:rPr>
              <w:t>[</w:t>
            </w:r>
            <w:r w:rsidR="00283363" w:rsidRPr="002234F4">
              <w:rPr>
                <w:rFonts w:ascii="Arial" w:hAnsi="Arial" w:cs="Arial"/>
                <w:sz w:val="24"/>
                <w:szCs w:val="24"/>
              </w:rPr>
              <w:t>22</w:t>
            </w:r>
            <w:r w:rsidRPr="002234F4">
              <w:rPr>
                <w:rFonts w:ascii="Arial" w:hAnsi="Arial" w:cs="Arial"/>
                <w:sz w:val="24"/>
                <w:szCs w:val="24"/>
              </w:rPr>
              <w:t>]</w:t>
            </w:r>
            <w:r w:rsidR="00283363" w:rsidRPr="002234F4">
              <w:rPr>
                <w:rFonts w:ascii="Arial" w:hAnsi="Arial" w:cs="Arial"/>
                <w:sz w:val="24"/>
                <w:szCs w:val="24"/>
              </w:rPr>
              <w:t xml:space="preserve">  </w:t>
            </w:r>
            <w:r w:rsidRPr="002234F4">
              <w:rPr>
                <w:rFonts w:ascii="Arial" w:hAnsi="Arial" w:cs="Arial"/>
                <w:sz w:val="24"/>
                <w:szCs w:val="24"/>
              </w:rPr>
              <w:t>It follows that the Rule 61 application must be dismissed with costs</w:t>
            </w:r>
            <w:r w:rsidR="00750F57">
              <w:rPr>
                <w:rFonts w:ascii="Arial" w:hAnsi="Arial" w:cs="Arial"/>
                <w:sz w:val="24"/>
                <w:szCs w:val="24"/>
              </w:rPr>
              <w:t xml:space="preserve"> and that the pending condonation application is to be determined on an opposed basis</w:t>
            </w:r>
            <w:r w:rsidRPr="002234F4">
              <w:rPr>
                <w:rFonts w:ascii="Arial" w:hAnsi="Arial" w:cs="Arial"/>
                <w:sz w:val="24"/>
                <w:szCs w:val="24"/>
              </w:rPr>
              <w:t>.</w:t>
            </w:r>
          </w:p>
          <w:p w:rsidR="00D767E6" w:rsidRPr="002234F4" w:rsidRDefault="00D767E6" w:rsidP="002234F4">
            <w:pPr>
              <w:spacing w:line="360" w:lineRule="auto"/>
              <w:jc w:val="both"/>
              <w:rPr>
                <w:rFonts w:ascii="Arial" w:hAnsi="Arial" w:cs="Arial"/>
                <w:sz w:val="24"/>
                <w:szCs w:val="24"/>
              </w:rPr>
            </w:pPr>
          </w:p>
          <w:p w:rsidR="00D767E6" w:rsidRPr="002234F4" w:rsidRDefault="00D767E6" w:rsidP="002234F4">
            <w:pPr>
              <w:spacing w:line="360" w:lineRule="auto"/>
              <w:jc w:val="both"/>
              <w:rPr>
                <w:rFonts w:ascii="Arial" w:hAnsi="Arial" w:cs="Arial"/>
                <w:sz w:val="24"/>
                <w:szCs w:val="24"/>
                <w:u w:val="single"/>
              </w:rPr>
            </w:pPr>
            <w:r w:rsidRPr="002234F4">
              <w:rPr>
                <w:rFonts w:ascii="Arial" w:hAnsi="Arial" w:cs="Arial"/>
                <w:sz w:val="24"/>
                <w:szCs w:val="24"/>
                <w:u w:val="single"/>
              </w:rPr>
              <w:t>The application for condonation for the late filing of the Rule 97(3) application</w:t>
            </w:r>
          </w:p>
          <w:p w:rsidR="00D767E6" w:rsidRPr="002234F4" w:rsidRDefault="00D767E6" w:rsidP="002234F4">
            <w:pPr>
              <w:spacing w:line="360" w:lineRule="auto"/>
              <w:jc w:val="both"/>
              <w:rPr>
                <w:rFonts w:ascii="Arial" w:hAnsi="Arial" w:cs="Arial"/>
                <w:sz w:val="24"/>
                <w:szCs w:val="24"/>
                <w:u w:val="single"/>
              </w:rPr>
            </w:pPr>
          </w:p>
          <w:p w:rsidR="00F16B31" w:rsidRPr="002234F4" w:rsidRDefault="00D767E6"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23</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Here it is clear that the</w:t>
            </w:r>
            <w:r w:rsidR="00F16B31" w:rsidRPr="002234F4">
              <w:rPr>
                <w:rFonts w:ascii="Arial" w:hAnsi="Arial" w:cs="Arial"/>
                <w:sz w:val="24"/>
                <w:szCs w:val="24"/>
              </w:rPr>
              <w:t xml:space="preserve"> Rule 97(3)</w:t>
            </w:r>
            <w:r w:rsidRPr="002234F4">
              <w:rPr>
                <w:rFonts w:ascii="Arial" w:hAnsi="Arial" w:cs="Arial"/>
                <w:sz w:val="24"/>
                <w:szCs w:val="24"/>
              </w:rPr>
              <w:t xml:space="preserve"> application was delivered 3 days out of time.</w:t>
            </w:r>
            <w:r w:rsidR="005515BD" w:rsidRPr="002234F4">
              <w:rPr>
                <w:rFonts w:ascii="Arial" w:hAnsi="Arial" w:cs="Arial"/>
                <w:sz w:val="24"/>
                <w:szCs w:val="24"/>
              </w:rPr>
              <w:t xml:space="preserve"> The degree of such late-compliance is</w:t>
            </w:r>
            <w:r w:rsidR="00F16B31" w:rsidRPr="002234F4">
              <w:rPr>
                <w:rFonts w:ascii="Arial" w:hAnsi="Arial" w:cs="Arial"/>
                <w:sz w:val="24"/>
                <w:szCs w:val="24"/>
              </w:rPr>
              <w:t xml:space="preserve"> thus,</w:t>
            </w:r>
            <w:r w:rsidR="005515BD" w:rsidRPr="002234F4">
              <w:rPr>
                <w:rFonts w:ascii="Arial" w:hAnsi="Arial" w:cs="Arial"/>
                <w:sz w:val="24"/>
                <w:szCs w:val="24"/>
              </w:rPr>
              <w:t xml:space="preserve"> at first glance</w:t>
            </w:r>
            <w:r w:rsidR="00F16B31" w:rsidRPr="002234F4">
              <w:rPr>
                <w:rFonts w:ascii="Arial" w:hAnsi="Arial" w:cs="Arial"/>
                <w:sz w:val="24"/>
                <w:szCs w:val="24"/>
              </w:rPr>
              <w:t>,</w:t>
            </w:r>
            <w:r w:rsidR="005515BD" w:rsidRPr="002234F4">
              <w:rPr>
                <w:rFonts w:ascii="Arial" w:hAnsi="Arial" w:cs="Arial"/>
                <w:sz w:val="24"/>
                <w:szCs w:val="24"/>
              </w:rPr>
              <w:t xml:space="preserve"> relatively minor. </w:t>
            </w:r>
            <w:r w:rsidR="00F16B31" w:rsidRPr="002234F4">
              <w:rPr>
                <w:rFonts w:ascii="Arial" w:hAnsi="Arial" w:cs="Arial"/>
                <w:sz w:val="24"/>
                <w:szCs w:val="24"/>
              </w:rPr>
              <w:t>Normally a Court would be inclined to condone such late-compliance.</w:t>
            </w:r>
          </w:p>
          <w:p w:rsidR="00F16B31" w:rsidRPr="002234F4" w:rsidRDefault="00F16B31" w:rsidP="002234F4">
            <w:pPr>
              <w:spacing w:line="360" w:lineRule="auto"/>
              <w:jc w:val="both"/>
              <w:rPr>
                <w:rFonts w:ascii="Arial" w:hAnsi="Arial" w:cs="Arial"/>
                <w:sz w:val="24"/>
                <w:szCs w:val="24"/>
              </w:rPr>
            </w:pPr>
          </w:p>
          <w:p w:rsidR="00D767E6" w:rsidRPr="002234F4" w:rsidRDefault="00AB65FB"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24</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Viewed against this background i</w:t>
            </w:r>
            <w:r w:rsidR="00935292">
              <w:rPr>
                <w:rFonts w:ascii="Arial" w:hAnsi="Arial" w:cs="Arial"/>
                <w:sz w:val="24"/>
                <w:szCs w:val="24"/>
              </w:rPr>
              <w:t>t wa</w:t>
            </w:r>
            <w:r w:rsidR="005515BD" w:rsidRPr="002234F4">
              <w:rPr>
                <w:rFonts w:ascii="Arial" w:hAnsi="Arial" w:cs="Arial"/>
                <w:sz w:val="24"/>
                <w:szCs w:val="24"/>
              </w:rPr>
              <w:t>s thus not surprising that this is</w:t>
            </w:r>
            <w:r w:rsidR="0044438C" w:rsidRPr="002234F4">
              <w:rPr>
                <w:rFonts w:ascii="Arial" w:hAnsi="Arial" w:cs="Arial"/>
                <w:sz w:val="24"/>
                <w:szCs w:val="24"/>
              </w:rPr>
              <w:t xml:space="preserve"> also</w:t>
            </w:r>
            <w:r w:rsidR="005515BD" w:rsidRPr="002234F4">
              <w:rPr>
                <w:rFonts w:ascii="Arial" w:hAnsi="Arial" w:cs="Arial"/>
                <w:sz w:val="24"/>
                <w:szCs w:val="24"/>
              </w:rPr>
              <w:t xml:space="preserve"> the first argument advanced</w:t>
            </w:r>
            <w:r w:rsidR="00023FD4" w:rsidRPr="002234F4">
              <w:rPr>
                <w:rFonts w:ascii="Arial" w:hAnsi="Arial" w:cs="Arial"/>
                <w:sz w:val="24"/>
                <w:szCs w:val="24"/>
              </w:rPr>
              <w:t xml:space="preserve"> by the respondents, in the main case,</w:t>
            </w:r>
            <w:r w:rsidR="005515BD" w:rsidRPr="002234F4">
              <w:rPr>
                <w:rFonts w:ascii="Arial" w:hAnsi="Arial" w:cs="Arial"/>
                <w:sz w:val="24"/>
                <w:szCs w:val="24"/>
              </w:rPr>
              <w:t xml:space="preserve"> in support of this application</w:t>
            </w:r>
            <w:r w:rsidR="00023FD4" w:rsidRPr="002234F4">
              <w:rPr>
                <w:rFonts w:ascii="Arial" w:hAnsi="Arial" w:cs="Arial"/>
                <w:sz w:val="24"/>
                <w:szCs w:val="24"/>
              </w:rPr>
              <w:t>.</w:t>
            </w:r>
          </w:p>
          <w:p w:rsidR="00023FD4" w:rsidRPr="002234F4" w:rsidRDefault="00023FD4" w:rsidP="002234F4">
            <w:pPr>
              <w:spacing w:line="360" w:lineRule="auto"/>
              <w:jc w:val="both"/>
              <w:rPr>
                <w:rFonts w:ascii="Arial" w:hAnsi="Arial" w:cs="Arial"/>
                <w:sz w:val="24"/>
                <w:szCs w:val="24"/>
              </w:rPr>
            </w:pPr>
          </w:p>
          <w:p w:rsidR="00023FD4" w:rsidRPr="002234F4" w:rsidRDefault="00023FD4"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25</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 xml:space="preserve">They argue further that Mr Amalwa suffered no real prejudice as a result as he managed to deliver his answering </w:t>
            </w:r>
            <w:r w:rsidR="0044438C" w:rsidRPr="002234F4">
              <w:rPr>
                <w:rFonts w:ascii="Arial" w:hAnsi="Arial" w:cs="Arial"/>
                <w:sz w:val="24"/>
                <w:szCs w:val="24"/>
              </w:rPr>
              <w:t>papers thereto in time, conceding at the same time</w:t>
            </w:r>
            <w:r w:rsidR="00750F57">
              <w:rPr>
                <w:rFonts w:ascii="Arial" w:hAnsi="Arial" w:cs="Arial"/>
                <w:sz w:val="24"/>
                <w:szCs w:val="24"/>
              </w:rPr>
              <w:t xml:space="preserve"> however</w:t>
            </w:r>
            <w:r w:rsidR="0044438C" w:rsidRPr="002234F4">
              <w:rPr>
                <w:rFonts w:ascii="Arial" w:hAnsi="Arial" w:cs="Arial"/>
                <w:sz w:val="24"/>
                <w:szCs w:val="24"/>
              </w:rPr>
              <w:t xml:space="preserve"> that his allowed</w:t>
            </w:r>
            <w:r w:rsidRPr="002234F4">
              <w:rPr>
                <w:rFonts w:ascii="Arial" w:hAnsi="Arial" w:cs="Arial"/>
                <w:sz w:val="24"/>
                <w:szCs w:val="24"/>
              </w:rPr>
              <w:t xml:space="preserve"> time</w:t>
            </w:r>
            <w:r w:rsidR="00935292">
              <w:rPr>
                <w:rFonts w:ascii="Arial" w:hAnsi="Arial" w:cs="Arial"/>
                <w:sz w:val="24"/>
                <w:szCs w:val="24"/>
              </w:rPr>
              <w:t>,</w:t>
            </w:r>
            <w:r w:rsidRPr="002234F4">
              <w:rPr>
                <w:rFonts w:ascii="Arial" w:hAnsi="Arial" w:cs="Arial"/>
                <w:sz w:val="24"/>
                <w:szCs w:val="24"/>
              </w:rPr>
              <w:t xml:space="preserve"> to do so</w:t>
            </w:r>
            <w:r w:rsidR="00935292">
              <w:rPr>
                <w:rFonts w:ascii="Arial" w:hAnsi="Arial" w:cs="Arial"/>
                <w:sz w:val="24"/>
                <w:szCs w:val="24"/>
              </w:rPr>
              <w:t>, had been shorten</w:t>
            </w:r>
            <w:r w:rsidRPr="002234F4">
              <w:rPr>
                <w:rFonts w:ascii="Arial" w:hAnsi="Arial" w:cs="Arial"/>
                <w:sz w:val="24"/>
                <w:szCs w:val="24"/>
              </w:rPr>
              <w:t>ed by their late-compliance.</w:t>
            </w:r>
          </w:p>
          <w:p w:rsidR="00023FD4" w:rsidRPr="002234F4" w:rsidRDefault="00023FD4" w:rsidP="002234F4">
            <w:pPr>
              <w:spacing w:line="360" w:lineRule="auto"/>
              <w:jc w:val="both"/>
              <w:rPr>
                <w:rFonts w:ascii="Arial" w:hAnsi="Arial" w:cs="Arial"/>
                <w:sz w:val="24"/>
                <w:szCs w:val="24"/>
              </w:rPr>
            </w:pPr>
          </w:p>
          <w:p w:rsidR="00023FD4" w:rsidRPr="002234F4" w:rsidRDefault="00023FD4"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26</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 xml:space="preserve">Importantly they rely further on the contentions that the application for condonation was brought </w:t>
            </w:r>
            <w:r w:rsidRPr="002234F4">
              <w:rPr>
                <w:rFonts w:ascii="Arial" w:hAnsi="Arial" w:cs="Arial"/>
                <w:i/>
                <w:sz w:val="24"/>
                <w:szCs w:val="24"/>
              </w:rPr>
              <w:t xml:space="preserve">‘ … as soon as the respondents became aware of the non-compliance …’ </w:t>
            </w:r>
            <w:r w:rsidRPr="002234F4">
              <w:rPr>
                <w:rFonts w:ascii="Arial" w:hAnsi="Arial" w:cs="Arial"/>
                <w:sz w:val="24"/>
                <w:szCs w:val="24"/>
              </w:rPr>
              <w:t>and that the first respondent, Mr Nangolo</w:t>
            </w:r>
            <w:r w:rsidR="006B3473" w:rsidRPr="002234F4">
              <w:rPr>
                <w:rFonts w:ascii="Arial" w:hAnsi="Arial" w:cs="Arial"/>
                <w:sz w:val="24"/>
                <w:szCs w:val="24"/>
              </w:rPr>
              <w:t>,</w:t>
            </w:r>
            <w:r w:rsidRPr="002234F4">
              <w:rPr>
                <w:rFonts w:ascii="Arial" w:hAnsi="Arial" w:cs="Arial"/>
                <w:sz w:val="24"/>
                <w:szCs w:val="24"/>
              </w:rPr>
              <w:t xml:space="preserve"> has </w:t>
            </w:r>
            <w:r w:rsidRPr="002234F4">
              <w:rPr>
                <w:rFonts w:ascii="Arial" w:hAnsi="Arial" w:cs="Arial"/>
                <w:i/>
                <w:sz w:val="24"/>
                <w:szCs w:val="24"/>
              </w:rPr>
              <w:t xml:space="preserve">‘ … set out a detailed explanation for the delay in filing the </w:t>
            </w:r>
            <w:r w:rsidRPr="002234F4">
              <w:rPr>
                <w:rFonts w:ascii="Arial" w:hAnsi="Arial" w:cs="Arial"/>
                <w:sz w:val="24"/>
                <w:szCs w:val="24"/>
              </w:rPr>
              <w:t>(condonation)</w:t>
            </w:r>
            <w:r w:rsidRPr="002234F4">
              <w:rPr>
                <w:rFonts w:ascii="Arial" w:hAnsi="Arial" w:cs="Arial"/>
                <w:i/>
                <w:sz w:val="24"/>
                <w:szCs w:val="24"/>
              </w:rPr>
              <w:t xml:space="preserve"> application</w:t>
            </w:r>
            <w:r w:rsidRPr="002234F4">
              <w:rPr>
                <w:rFonts w:ascii="Arial" w:hAnsi="Arial" w:cs="Arial"/>
                <w:sz w:val="24"/>
                <w:szCs w:val="24"/>
              </w:rPr>
              <w:t xml:space="preserve"> …’. They continue to point out</w:t>
            </w:r>
            <w:r w:rsidR="006B3473" w:rsidRPr="002234F4">
              <w:rPr>
                <w:rFonts w:ascii="Arial" w:hAnsi="Arial" w:cs="Arial"/>
                <w:sz w:val="24"/>
                <w:szCs w:val="24"/>
              </w:rPr>
              <w:t xml:space="preserve"> that :</w:t>
            </w:r>
          </w:p>
          <w:p w:rsidR="006B3473" w:rsidRPr="002234F4" w:rsidRDefault="006B3473" w:rsidP="002234F4">
            <w:pPr>
              <w:spacing w:line="360" w:lineRule="auto"/>
              <w:jc w:val="both"/>
              <w:rPr>
                <w:rFonts w:ascii="Arial" w:hAnsi="Arial" w:cs="Arial"/>
                <w:sz w:val="24"/>
                <w:szCs w:val="24"/>
              </w:rPr>
            </w:pPr>
          </w:p>
          <w:p w:rsidR="006B3473" w:rsidRPr="002234F4" w:rsidRDefault="006B3473" w:rsidP="002234F4">
            <w:pPr>
              <w:widowControl w:val="0"/>
              <w:spacing w:line="360" w:lineRule="auto"/>
              <w:jc w:val="both"/>
              <w:rPr>
                <w:rFonts w:ascii="Arial" w:hAnsi="Arial" w:cs="Arial"/>
                <w:szCs w:val="24"/>
              </w:rPr>
            </w:pPr>
            <w:r w:rsidRPr="002234F4">
              <w:rPr>
                <w:rFonts w:ascii="Arial" w:hAnsi="Arial" w:cs="Arial"/>
                <w:szCs w:val="24"/>
              </w:rPr>
              <w:t xml:space="preserve">     ‘It is common cause that the application brought was agreed to have become moot, save for the </w:t>
            </w:r>
            <w:r w:rsidRPr="002234F4">
              <w:rPr>
                <w:rFonts w:ascii="Arial" w:hAnsi="Arial" w:cs="Arial"/>
                <w:szCs w:val="24"/>
              </w:rPr>
              <w:lastRenderedPageBreak/>
              <w:t xml:space="preserve">issue of costs. Mr. Amalwa had no authority to bring any application on behalf of OTA or the late Omukwaniilwa. The authority of Mr. Amalwa in both capacities was challenged and this is evident from the papers in the main applications. </w:t>
            </w:r>
          </w:p>
          <w:p w:rsidR="006B3473" w:rsidRPr="002234F4" w:rsidRDefault="006B3473" w:rsidP="002234F4">
            <w:pPr>
              <w:pStyle w:val="ListParagraph"/>
              <w:spacing w:line="360" w:lineRule="auto"/>
              <w:ind w:left="567" w:hanging="567"/>
              <w:rPr>
                <w:rFonts w:ascii="Arial" w:hAnsi="Arial" w:cs="Arial"/>
                <w:szCs w:val="24"/>
              </w:rPr>
            </w:pPr>
          </w:p>
          <w:p w:rsidR="006B3473" w:rsidRPr="002234F4" w:rsidRDefault="006B3473" w:rsidP="002234F4">
            <w:pPr>
              <w:widowControl w:val="0"/>
              <w:spacing w:line="360" w:lineRule="auto"/>
              <w:jc w:val="both"/>
              <w:rPr>
                <w:rFonts w:ascii="Arial" w:hAnsi="Arial" w:cs="Arial"/>
                <w:szCs w:val="24"/>
              </w:rPr>
            </w:pPr>
            <w:r w:rsidRPr="002234F4">
              <w:rPr>
                <w:rFonts w:ascii="Arial" w:hAnsi="Arial" w:cs="Arial"/>
                <w:szCs w:val="24"/>
              </w:rPr>
              <w:t xml:space="preserve">The proceeding brought on behalf of the first applicant were extinguished in terms of the rules of this court. In view thereof, the parties who were authorised by the applicant are obliged to pay the cost of the respondents because the respondents are the successful parties. </w:t>
            </w:r>
          </w:p>
          <w:p w:rsidR="006B3473" w:rsidRPr="002234F4" w:rsidRDefault="006B3473" w:rsidP="002234F4">
            <w:pPr>
              <w:pStyle w:val="ListParagraph"/>
              <w:spacing w:line="360" w:lineRule="auto"/>
              <w:ind w:left="567" w:hanging="567"/>
              <w:rPr>
                <w:rFonts w:ascii="Arial" w:hAnsi="Arial" w:cs="Arial"/>
                <w:szCs w:val="24"/>
              </w:rPr>
            </w:pPr>
          </w:p>
          <w:p w:rsidR="006B3473" w:rsidRPr="002234F4" w:rsidRDefault="006B3473" w:rsidP="002234F4">
            <w:pPr>
              <w:widowControl w:val="0"/>
              <w:tabs>
                <w:tab w:val="left" w:pos="993"/>
              </w:tabs>
              <w:spacing w:line="360" w:lineRule="auto"/>
              <w:jc w:val="both"/>
              <w:rPr>
                <w:rFonts w:ascii="Arial" w:hAnsi="Arial" w:cs="Arial"/>
                <w:szCs w:val="24"/>
              </w:rPr>
            </w:pPr>
            <w:r w:rsidRPr="002234F4">
              <w:rPr>
                <w:rFonts w:ascii="Arial" w:hAnsi="Arial" w:cs="Arial"/>
                <w:szCs w:val="24"/>
              </w:rPr>
              <w:t>Mr. Amalwa, who was the deponent to the applications brought was never mandated by OTA in his capacity as senior traditional councillor, nor was he authorised by the late Omukwaniilwa to launch any of these applications as he had consistently asserted, as such he must bear the cost of those application personally.</w:t>
            </w:r>
          </w:p>
          <w:p w:rsidR="006B3473" w:rsidRPr="002234F4" w:rsidRDefault="006B3473" w:rsidP="002234F4">
            <w:pPr>
              <w:pStyle w:val="ListParagraph"/>
              <w:spacing w:line="360" w:lineRule="auto"/>
              <w:ind w:left="567" w:hanging="567"/>
              <w:rPr>
                <w:rFonts w:ascii="Arial" w:hAnsi="Arial" w:cs="Arial"/>
                <w:szCs w:val="24"/>
              </w:rPr>
            </w:pPr>
          </w:p>
          <w:p w:rsidR="006B3473" w:rsidRPr="002234F4" w:rsidRDefault="006B3473" w:rsidP="002234F4">
            <w:pPr>
              <w:widowControl w:val="0"/>
              <w:tabs>
                <w:tab w:val="left" w:pos="993"/>
              </w:tabs>
              <w:spacing w:line="360" w:lineRule="auto"/>
              <w:jc w:val="both"/>
              <w:rPr>
                <w:rFonts w:ascii="Arial" w:hAnsi="Arial" w:cs="Arial"/>
                <w:szCs w:val="24"/>
              </w:rPr>
            </w:pPr>
            <w:r w:rsidRPr="002234F4">
              <w:rPr>
                <w:rFonts w:ascii="Arial" w:hAnsi="Arial" w:cs="Arial"/>
                <w:szCs w:val="24"/>
              </w:rPr>
              <w:t>The respondents did not bring these applications and are entitled to receive the costs when application are not proceeded with.</w:t>
            </w:r>
          </w:p>
          <w:p w:rsidR="006B3473" w:rsidRPr="002234F4" w:rsidRDefault="006B3473" w:rsidP="002234F4">
            <w:pPr>
              <w:pStyle w:val="ListParagraph"/>
              <w:spacing w:line="360" w:lineRule="auto"/>
              <w:ind w:left="567" w:hanging="567"/>
              <w:rPr>
                <w:rFonts w:ascii="Arial" w:hAnsi="Arial" w:cs="Arial"/>
                <w:szCs w:val="24"/>
              </w:rPr>
            </w:pPr>
          </w:p>
          <w:p w:rsidR="006B3473" w:rsidRPr="002234F4" w:rsidRDefault="006B3473" w:rsidP="002234F4">
            <w:pPr>
              <w:widowControl w:val="0"/>
              <w:tabs>
                <w:tab w:val="left" w:pos="993"/>
              </w:tabs>
              <w:spacing w:line="360" w:lineRule="auto"/>
              <w:jc w:val="both"/>
              <w:rPr>
                <w:rFonts w:ascii="Arial" w:hAnsi="Arial" w:cs="Arial"/>
                <w:szCs w:val="24"/>
              </w:rPr>
            </w:pPr>
            <w:r w:rsidRPr="002234F4">
              <w:rPr>
                <w:rFonts w:ascii="Arial" w:hAnsi="Arial" w:cs="Arial"/>
                <w:szCs w:val="24"/>
              </w:rPr>
              <w:t xml:space="preserve">From the above it is clear that he respondents have great prospect of success in the application for costs. The respondents would be severally financially prejudiced should the Honourable court dismiss the application for costs.’ </w:t>
            </w:r>
          </w:p>
          <w:p w:rsidR="005515BD" w:rsidRPr="002234F4" w:rsidRDefault="005515BD" w:rsidP="002234F4">
            <w:pPr>
              <w:spacing w:line="360" w:lineRule="auto"/>
              <w:jc w:val="both"/>
              <w:rPr>
                <w:rFonts w:ascii="Arial" w:hAnsi="Arial" w:cs="Arial"/>
                <w:sz w:val="24"/>
                <w:szCs w:val="24"/>
              </w:rPr>
            </w:pPr>
          </w:p>
          <w:p w:rsidR="006B3473" w:rsidRPr="002234F4" w:rsidRDefault="006B3473"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27</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It was thus s</w:t>
            </w:r>
            <w:r w:rsidR="00642792">
              <w:rPr>
                <w:rFonts w:ascii="Arial" w:hAnsi="Arial" w:cs="Arial"/>
                <w:sz w:val="24"/>
                <w:szCs w:val="24"/>
              </w:rPr>
              <w:t>ubmitted in conclusion that</w:t>
            </w:r>
            <w:r w:rsidRPr="002234F4">
              <w:rPr>
                <w:rFonts w:ascii="Arial" w:hAnsi="Arial" w:cs="Arial"/>
                <w:sz w:val="24"/>
                <w:szCs w:val="24"/>
              </w:rPr>
              <w:t xml:space="preserve"> the respondents have complied with both the procedural and substantive requirements and should thus be granted the sought condonation.</w:t>
            </w:r>
          </w:p>
          <w:p w:rsidR="006B3473" w:rsidRPr="002234F4" w:rsidRDefault="006B3473" w:rsidP="002234F4">
            <w:pPr>
              <w:spacing w:line="360" w:lineRule="auto"/>
              <w:jc w:val="both"/>
              <w:rPr>
                <w:rFonts w:ascii="Arial" w:hAnsi="Arial" w:cs="Arial"/>
                <w:sz w:val="24"/>
                <w:szCs w:val="24"/>
              </w:rPr>
            </w:pPr>
          </w:p>
          <w:p w:rsidR="00AB65FB" w:rsidRPr="002234F4" w:rsidRDefault="00AB65FB"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 xml:space="preserve">28]  </w:t>
            </w:r>
            <w:r w:rsidRPr="002234F4">
              <w:rPr>
                <w:rFonts w:ascii="Arial" w:hAnsi="Arial" w:cs="Arial"/>
                <w:sz w:val="24"/>
                <w:szCs w:val="24"/>
              </w:rPr>
              <w:t>The picture that emerges from the case advanced in opposition to the sought condonation, by Mr Amalwa, is however dramatically different.</w:t>
            </w:r>
          </w:p>
          <w:p w:rsidR="00AB65FB" w:rsidRPr="002234F4" w:rsidRDefault="00AB65FB" w:rsidP="002234F4">
            <w:pPr>
              <w:spacing w:line="360" w:lineRule="auto"/>
              <w:jc w:val="both"/>
              <w:rPr>
                <w:rFonts w:ascii="Arial" w:hAnsi="Arial" w:cs="Arial"/>
                <w:sz w:val="24"/>
                <w:szCs w:val="24"/>
              </w:rPr>
            </w:pPr>
          </w:p>
          <w:p w:rsidR="00345EE0" w:rsidRPr="002234F4" w:rsidRDefault="00AB65FB" w:rsidP="002234F4">
            <w:pPr>
              <w:spacing w:line="360" w:lineRule="auto"/>
              <w:jc w:val="both"/>
              <w:rPr>
                <w:rFonts w:ascii="Arial" w:hAnsi="Arial" w:cs="Arial"/>
                <w:sz w:val="24"/>
                <w:szCs w:val="24"/>
              </w:rPr>
            </w:pPr>
            <w:r w:rsidRPr="002234F4">
              <w:rPr>
                <w:rFonts w:ascii="Arial" w:hAnsi="Arial" w:cs="Arial"/>
                <w:sz w:val="24"/>
                <w:szCs w:val="24"/>
              </w:rPr>
              <w:t>[</w:t>
            </w:r>
            <w:r w:rsidR="002273CC" w:rsidRPr="002234F4">
              <w:rPr>
                <w:rFonts w:ascii="Arial" w:hAnsi="Arial" w:cs="Arial"/>
                <w:sz w:val="24"/>
                <w:szCs w:val="24"/>
              </w:rPr>
              <w:t>29</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The first point that is made is that the condonation application was unduly delayed.</w:t>
            </w:r>
            <w:r w:rsidR="00EA3A04" w:rsidRPr="002234F4">
              <w:rPr>
                <w:rFonts w:ascii="Arial" w:hAnsi="Arial" w:cs="Arial"/>
                <w:sz w:val="24"/>
                <w:szCs w:val="24"/>
              </w:rPr>
              <w:t xml:space="preserve"> Here the Court was asked to take into account that the timeline, set by the Court Order of 17 October 2019, for the delivery of the Rule 97(3) on 29 October 2019, was not complied with. Upon enquiries made on behalf of Mr Amalwa to Angula Co, in this regard</w:t>
            </w:r>
            <w:r w:rsidR="0044438C" w:rsidRPr="002234F4">
              <w:rPr>
                <w:rFonts w:ascii="Arial" w:hAnsi="Arial" w:cs="Arial"/>
                <w:sz w:val="24"/>
                <w:szCs w:val="24"/>
              </w:rPr>
              <w:t>,</w:t>
            </w:r>
            <w:r w:rsidR="00EA3A04" w:rsidRPr="002234F4">
              <w:rPr>
                <w:rFonts w:ascii="Arial" w:hAnsi="Arial" w:cs="Arial"/>
                <w:sz w:val="24"/>
                <w:szCs w:val="24"/>
              </w:rPr>
              <w:t xml:space="preserve"> it was indicated on 30 October 2019</w:t>
            </w:r>
            <w:r w:rsidR="00935292">
              <w:rPr>
                <w:rFonts w:ascii="Arial" w:hAnsi="Arial" w:cs="Arial"/>
                <w:sz w:val="24"/>
                <w:szCs w:val="24"/>
              </w:rPr>
              <w:t xml:space="preserve"> by Angula Co</w:t>
            </w:r>
            <w:r w:rsidR="00EA3A04" w:rsidRPr="002234F4">
              <w:rPr>
                <w:rFonts w:ascii="Arial" w:hAnsi="Arial" w:cs="Arial"/>
                <w:sz w:val="24"/>
                <w:szCs w:val="24"/>
              </w:rPr>
              <w:t xml:space="preserve"> that the necessary condonation application would be</w:t>
            </w:r>
            <w:r w:rsidR="0044438C" w:rsidRPr="002234F4">
              <w:rPr>
                <w:rFonts w:ascii="Arial" w:hAnsi="Arial" w:cs="Arial"/>
                <w:sz w:val="24"/>
                <w:szCs w:val="24"/>
              </w:rPr>
              <w:t xml:space="preserve"> brought</w:t>
            </w:r>
            <w:r w:rsidR="00935292">
              <w:rPr>
                <w:rFonts w:ascii="Arial" w:hAnsi="Arial" w:cs="Arial"/>
                <w:sz w:val="24"/>
                <w:szCs w:val="24"/>
              </w:rPr>
              <w:t xml:space="preserve"> on the next day, ie.</w:t>
            </w:r>
            <w:r w:rsidR="0044438C" w:rsidRPr="002234F4">
              <w:rPr>
                <w:rFonts w:ascii="Arial" w:hAnsi="Arial" w:cs="Arial"/>
                <w:sz w:val="24"/>
                <w:szCs w:val="24"/>
              </w:rPr>
              <w:t xml:space="preserve"> by 31 October 2019. This</w:t>
            </w:r>
            <w:r w:rsidR="00EA3A04" w:rsidRPr="002234F4">
              <w:rPr>
                <w:rFonts w:ascii="Arial" w:hAnsi="Arial" w:cs="Arial"/>
                <w:sz w:val="24"/>
                <w:szCs w:val="24"/>
              </w:rPr>
              <w:t xml:space="preserve"> self-imposed deadline was not met and still had not been met by 4 December 2019, when the case came back to Court. It was for these reasons that the Court had to regulate the exchange of papers for the still to be brought condonation application on 4 December 2019. </w:t>
            </w:r>
          </w:p>
          <w:p w:rsidR="00345EE0" w:rsidRPr="002234F4" w:rsidRDefault="00345EE0" w:rsidP="002234F4">
            <w:pPr>
              <w:spacing w:line="360" w:lineRule="auto"/>
              <w:jc w:val="both"/>
              <w:rPr>
                <w:rFonts w:ascii="Arial" w:hAnsi="Arial" w:cs="Arial"/>
                <w:sz w:val="24"/>
                <w:szCs w:val="24"/>
              </w:rPr>
            </w:pPr>
          </w:p>
          <w:p w:rsidR="00345EE0" w:rsidRPr="002234F4" w:rsidRDefault="00345EE0" w:rsidP="002234F4">
            <w:pPr>
              <w:spacing w:line="360" w:lineRule="auto"/>
              <w:jc w:val="both"/>
              <w:rPr>
                <w:rFonts w:ascii="Arial" w:hAnsi="Arial" w:cs="Arial"/>
                <w:sz w:val="24"/>
                <w:szCs w:val="24"/>
              </w:rPr>
            </w:pPr>
            <w:r w:rsidRPr="002234F4">
              <w:rPr>
                <w:rFonts w:ascii="Arial" w:hAnsi="Arial" w:cs="Arial"/>
                <w:sz w:val="24"/>
                <w:szCs w:val="24"/>
              </w:rPr>
              <w:lastRenderedPageBreak/>
              <w:t>[</w:t>
            </w:r>
            <w:r w:rsidR="002273CC" w:rsidRPr="002234F4">
              <w:rPr>
                <w:rFonts w:ascii="Arial" w:hAnsi="Arial" w:cs="Arial"/>
                <w:sz w:val="24"/>
                <w:szCs w:val="24"/>
              </w:rPr>
              <w:t>30</w:t>
            </w:r>
            <w:r w:rsidRPr="002234F4">
              <w:rPr>
                <w:rFonts w:ascii="Arial" w:hAnsi="Arial" w:cs="Arial"/>
                <w:sz w:val="24"/>
                <w:szCs w:val="24"/>
              </w:rPr>
              <w:t>]</w:t>
            </w:r>
            <w:r w:rsidR="002273CC" w:rsidRPr="002234F4">
              <w:rPr>
                <w:rFonts w:ascii="Arial" w:hAnsi="Arial" w:cs="Arial"/>
                <w:sz w:val="24"/>
                <w:szCs w:val="24"/>
              </w:rPr>
              <w:t xml:space="preserve">  </w:t>
            </w:r>
            <w:r w:rsidRPr="002234F4">
              <w:rPr>
                <w:rFonts w:ascii="Arial" w:hAnsi="Arial" w:cs="Arial"/>
                <w:sz w:val="24"/>
                <w:szCs w:val="24"/>
              </w:rPr>
              <w:t xml:space="preserve">In regard to the explanation offered for the non-compliance with </w:t>
            </w:r>
            <w:r w:rsidR="0044438C" w:rsidRPr="002234F4">
              <w:rPr>
                <w:rFonts w:ascii="Arial" w:hAnsi="Arial" w:cs="Arial"/>
                <w:sz w:val="24"/>
                <w:szCs w:val="24"/>
              </w:rPr>
              <w:t>the time line set in the Court O</w:t>
            </w:r>
            <w:r w:rsidRPr="002234F4">
              <w:rPr>
                <w:rFonts w:ascii="Arial" w:hAnsi="Arial" w:cs="Arial"/>
                <w:sz w:val="24"/>
                <w:szCs w:val="24"/>
              </w:rPr>
              <w:t>rder of 17 October 2019 for the delivery of the Rule 97(3) application the following further deficiencies were exposed. Here it was submitted that :</w:t>
            </w:r>
          </w:p>
          <w:p w:rsidR="00345EE0" w:rsidRPr="002234F4" w:rsidRDefault="00345EE0" w:rsidP="002234F4">
            <w:pPr>
              <w:spacing w:line="360" w:lineRule="auto"/>
              <w:jc w:val="both"/>
              <w:rPr>
                <w:rFonts w:ascii="Arial" w:hAnsi="Arial" w:cs="Arial"/>
                <w:sz w:val="24"/>
                <w:szCs w:val="24"/>
              </w:rPr>
            </w:pPr>
          </w:p>
          <w:p w:rsidR="00345EE0" w:rsidRPr="002234F4" w:rsidRDefault="00345EE0" w:rsidP="002234F4">
            <w:pPr>
              <w:spacing w:line="360" w:lineRule="auto"/>
              <w:jc w:val="both"/>
              <w:rPr>
                <w:rFonts w:ascii="Arial" w:hAnsi="Arial" w:cs="Arial"/>
                <w:bCs/>
              </w:rPr>
            </w:pPr>
            <w:r w:rsidRPr="002234F4">
              <w:rPr>
                <w:rFonts w:ascii="Arial" w:hAnsi="Arial" w:cs="Arial"/>
                <w:bCs/>
                <w:sz w:val="24"/>
                <w:szCs w:val="24"/>
              </w:rPr>
              <w:t xml:space="preserve">   </w:t>
            </w:r>
            <w:r w:rsidRPr="002234F4">
              <w:rPr>
                <w:rFonts w:ascii="Arial" w:hAnsi="Arial" w:cs="Arial"/>
                <w:bCs/>
              </w:rPr>
              <w:t xml:space="preserve">   ‘The explanation for the non-compliance with the court order of 16 October 2019 is not reasonable and therefore not acceptable:</w:t>
            </w:r>
          </w:p>
          <w:p w:rsidR="00345EE0" w:rsidRPr="002234F4" w:rsidRDefault="00345EE0" w:rsidP="002234F4">
            <w:pPr>
              <w:pStyle w:val="ListParagraph"/>
              <w:numPr>
                <w:ilvl w:val="0"/>
                <w:numId w:val="29"/>
              </w:numPr>
              <w:spacing w:line="360" w:lineRule="auto"/>
              <w:ind w:left="1155" w:hanging="567"/>
              <w:jc w:val="both"/>
              <w:rPr>
                <w:rFonts w:ascii="Arial" w:hAnsi="Arial" w:cs="Arial"/>
                <w:bCs/>
              </w:rPr>
            </w:pPr>
            <w:r w:rsidRPr="002234F4">
              <w:rPr>
                <w:rFonts w:ascii="Arial" w:hAnsi="Arial" w:cs="Arial"/>
                <w:bCs/>
              </w:rPr>
              <w:t xml:space="preserve">The main reason advanced for non-compliance with the Court order of 16 October 2019 is that the deponent to the founding affidavit had to attend a workshop in Tsumeb from 28 to 31 October 2019. </w:t>
            </w:r>
            <w:r w:rsidRPr="002234F4">
              <w:rPr>
                <w:rStyle w:val="FootnoteReference"/>
                <w:rFonts w:ascii="Arial" w:hAnsi="Arial" w:cs="Arial"/>
                <w:bCs/>
              </w:rPr>
              <w:footnoteReference w:id="10"/>
            </w:r>
            <w:r w:rsidRPr="002234F4">
              <w:rPr>
                <w:rFonts w:ascii="Arial" w:hAnsi="Arial" w:cs="Arial"/>
                <w:bCs/>
              </w:rPr>
              <w:t xml:space="preserve"> He concedes that the period provided for filing the Rule 97(3) application (16 October to 29 October) was sufficient, but that it was not ideal for him</w:t>
            </w:r>
            <w:r w:rsidRPr="002234F4">
              <w:rPr>
                <w:rStyle w:val="FootnoteReference"/>
                <w:rFonts w:ascii="Arial" w:hAnsi="Arial" w:cs="Arial"/>
                <w:bCs/>
              </w:rPr>
              <w:footnoteReference w:id="11"/>
            </w:r>
            <w:r w:rsidRPr="002234F4">
              <w:rPr>
                <w:rFonts w:ascii="Arial" w:hAnsi="Arial" w:cs="Arial"/>
                <w:bCs/>
              </w:rPr>
              <w:t xml:space="preserve">. </w:t>
            </w:r>
          </w:p>
          <w:p w:rsidR="00345EE0" w:rsidRPr="002234F4" w:rsidRDefault="00345EE0" w:rsidP="002234F4">
            <w:pPr>
              <w:pStyle w:val="ListParagraph"/>
              <w:numPr>
                <w:ilvl w:val="0"/>
                <w:numId w:val="29"/>
              </w:numPr>
              <w:spacing w:line="360" w:lineRule="auto"/>
              <w:ind w:left="1155" w:hanging="567"/>
              <w:jc w:val="both"/>
              <w:rPr>
                <w:rFonts w:ascii="Arial" w:hAnsi="Arial" w:cs="Arial"/>
                <w:bCs/>
              </w:rPr>
            </w:pPr>
            <w:r w:rsidRPr="002234F4">
              <w:rPr>
                <w:rFonts w:ascii="Arial" w:hAnsi="Arial" w:cs="Arial"/>
                <w:bCs/>
              </w:rPr>
              <w:t xml:space="preserve">This, with respect, does not constitute an acceptable and/or reasonable explanation which warrants the granting of condonation. Especially so in light thereof that the order was granted on 16 October 2019 already while the deponent was unavailable only from 28 October 2019. </w:t>
            </w:r>
          </w:p>
          <w:p w:rsidR="004C4FAE" w:rsidRPr="002234F4" w:rsidRDefault="00345EE0" w:rsidP="002234F4">
            <w:pPr>
              <w:pStyle w:val="ListParagraph"/>
              <w:numPr>
                <w:ilvl w:val="0"/>
                <w:numId w:val="29"/>
              </w:numPr>
              <w:spacing w:line="360" w:lineRule="auto"/>
              <w:ind w:left="1155" w:hanging="567"/>
              <w:jc w:val="both"/>
              <w:rPr>
                <w:rFonts w:ascii="Arial" w:hAnsi="Arial" w:cs="Arial"/>
                <w:bCs/>
              </w:rPr>
            </w:pPr>
            <w:r w:rsidRPr="002234F4">
              <w:rPr>
                <w:rFonts w:ascii="Arial" w:hAnsi="Arial" w:cs="Arial"/>
                <w:bCs/>
              </w:rPr>
              <w:t>It only explains the period from to 27 October 2019 to 29 October 2019.</w:t>
            </w:r>
            <w:r w:rsidRPr="002234F4">
              <w:rPr>
                <w:rStyle w:val="FootnoteReference"/>
                <w:rFonts w:ascii="Arial" w:hAnsi="Arial" w:cs="Arial"/>
                <w:bCs/>
              </w:rPr>
              <w:footnoteReference w:id="12"/>
            </w:r>
            <w:r w:rsidRPr="002234F4">
              <w:rPr>
                <w:rFonts w:ascii="Arial" w:hAnsi="Arial" w:cs="Arial"/>
                <w:bCs/>
              </w:rPr>
              <w:t xml:space="preserve"> No explanation whatsoever is provided for the period from 16 October to 27 October 2019. It is evident from the founding affidavit that no action was taken from the date of the court order until 29 October 2019 when the deponent was able to telephonically consult with Ms Angula.</w:t>
            </w:r>
          </w:p>
          <w:p w:rsidR="00345EE0" w:rsidRPr="002234F4" w:rsidRDefault="00345EE0" w:rsidP="002234F4">
            <w:pPr>
              <w:pStyle w:val="ListParagraph"/>
              <w:numPr>
                <w:ilvl w:val="0"/>
                <w:numId w:val="29"/>
              </w:numPr>
              <w:spacing w:line="360" w:lineRule="auto"/>
              <w:ind w:left="1155" w:hanging="567"/>
              <w:jc w:val="both"/>
              <w:rPr>
                <w:rFonts w:ascii="Arial" w:hAnsi="Arial" w:cs="Arial"/>
                <w:bCs/>
              </w:rPr>
            </w:pPr>
            <w:r w:rsidRPr="002234F4">
              <w:rPr>
                <w:rFonts w:ascii="Arial" w:hAnsi="Arial" w:cs="Arial"/>
                <w:bCs/>
              </w:rPr>
              <w:t xml:space="preserve"> No reason is advanced why a telephonic consultation was not possible from 16 October 2019 to 27 October 2019.’</w:t>
            </w:r>
          </w:p>
          <w:p w:rsidR="00935292" w:rsidRDefault="00935292" w:rsidP="002234F4">
            <w:pPr>
              <w:spacing w:line="360" w:lineRule="auto"/>
              <w:jc w:val="both"/>
              <w:rPr>
                <w:rFonts w:ascii="Arial" w:hAnsi="Arial" w:cs="Arial"/>
                <w:bCs/>
                <w:sz w:val="24"/>
                <w:szCs w:val="24"/>
              </w:rPr>
            </w:pPr>
          </w:p>
          <w:p w:rsidR="004C4FAE" w:rsidRDefault="00C64F07" w:rsidP="002234F4">
            <w:pPr>
              <w:spacing w:line="360" w:lineRule="auto"/>
              <w:jc w:val="both"/>
              <w:rPr>
                <w:rFonts w:ascii="Arial" w:hAnsi="Arial" w:cs="Arial"/>
                <w:bCs/>
                <w:i/>
                <w:iCs/>
                <w:sz w:val="24"/>
                <w:szCs w:val="24"/>
              </w:rPr>
            </w:pPr>
            <w:r w:rsidRPr="002234F4">
              <w:rPr>
                <w:rFonts w:ascii="Arial" w:hAnsi="Arial" w:cs="Arial"/>
                <w:bCs/>
                <w:sz w:val="24"/>
                <w:szCs w:val="24"/>
              </w:rPr>
              <w:t>[</w:t>
            </w:r>
            <w:r w:rsidR="004F3A22" w:rsidRPr="002234F4">
              <w:rPr>
                <w:rFonts w:ascii="Arial" w:hAnsi="Arial" w:cs="Arial"/>
                <w:bCs/>
                <w:sz w:val="24"/>
                <w:szCs w:val="24"/>
              </w:rPr>
              <w:t>31</w:t>
            </w:r>
            <w:r w:rsidRPr="002234F4">
              <w:rPr>
                <w:rFonts w:ascii="Arial" w:hAnsi="Arial" w:cs="Arial"/>
                <w:bCs/>
                <w:sz w:val="24"/>
                <w:szCs w:val="24"/>
              </w:rPr>
              <w:t>]</w:t>
            </w:r>
            <w:r w:rsidR="004F3A22" w:rsidRPr="002234F4">
              <w:rPr>
                <w:rFonts w:ascii="Arial" w:hAnsi="Arial" w:cs="Arial"/>
                <w:bCs/>
                <w:sz w:val="24"/>
                <w:szCs w:val="24"/>
              </w:rPr>
              <w:t xml:space="preserve">  </w:t>
            </w:r>
            <w:r w:rsidR="00642792">
              <w:rPr>
                <w:rFonts w:ascii="Arial" w:hAnsi="Arial" w:cs="Arial"/>
                <w:bCs/>
                <w:sz w:val="24"/>
                <w:szCs w:val="24"/>
              </w:rPr>
              <w:t>It w</w:t>
            </w:r>
            <w:r w:rsidRPr="002234F4">
              <w:rPr>
                <w:rFonts w:ascii="Arial" w:hAnsi="Arial" w:cs="Arial"/>
                <w:bCs/>
                <w:sz w:val="24"/>
                <w:szCs w:val="24"/>
              </w:rPr>
              <w:t>as further pointed out that the applicants prospects of success had not been properly/adequately addressed</w:t>
            </w:r>
            <w:r w:rsidR="0044438C" w:rsidRPr="002234F4">
              <w:rPr>
                <w:rFonts w:ascii="Arial" w:hAnsi="Arial" w:cs="Arial"/>
                <w:bCs/>
                <w:sz w:val="24"/>
                <w:szCs w:val="24"/>
              </w:rPr>
              <w:t xml:space="preserve"> in the condonation application as al</w:t>
            </w:r>
            <w:r w:rsidR="00A27D8A" w:rsidRPr="002234F4">
              <w:rPr>
                <w:rFonts w:ascii="Arial" w:hAnsi="Arial" w:cs="Arial"/>
                <w:bCs/>
                <w:sz w:val="24"/>
                <w:szCs w:val="24"/>
              </w:rPr>
              <w:t>l that was alleged in this regard by</w:t>
            </w:r>
            <w:r w:rsidR="0044438C" w:rsidRPr="002234F4">
              <w:rPr>
                <w:rFonts w:ascii="Arial" w:hAnsi="Arial" w:cs="Arial"/>
                <w:bCs/>
                <w:sz w:val="24"/>
                <w:szCs w:val="24"/>
              </w:rPr>
              <w:t xml:space="preserve"> Mr Nangolo</w:t>
            </w:r>
            <w:r w:rsidR="00A27D8A" w:rsidRPr="002234F4">
              <w:rPr>
                <w:rFonts w:ascii="Arial" w:hAnsi="Arial" w:cs="Arial"/>
                <w:bCs/>
                <w:sz w:val="24"/>
                <w:szCs w:val="24"/>
              </w:rPr>
              <w:t xml:space="preserve"> was that</w:t>
            </w:r>
            <w:r w:rsidR="0044438C" w:rsidRPr="002234F4">
              <w:rPr>
                <w:rFonts w:ascii="Arial" w:hAnsi="Arial" w:cs="Arial"/>
                <w:bCs/>
                <w:sz w:val="24"/>
                <w:szCs w:val="24"/>
              </w:rPr>
              <w:t xml:space="preserve"> ‘ … </w:t>
            </w:r>
            <w:r w:rsidR="00A27D8A" w:rsidRPr="002234F4">
              <w:rPr>
                <w:rFonts w:ascii="Arial" w:hAnsi="Arial" w:cs="Arial"/>
                <w:bCs/>
                <w:i/>
                <w:iCs/>
                <w:sz w:val="24"/>
                <w:szCs w:val="24"/>
              </w:rPr>
              <w:t xml:space="preserve">“In the circumstance, the respondent has made out a good case for the costs order sought and </w:t>
            </w:r>
            <w:r w:rsidR="00A27D8A" w:rsidRPr="002234F4">
              <w:rPr>
                <w:rFonts w:ascii="Arial" w:hAnsi="Arial" w:cs="Arial"/>
                <w:bCs/>
                <w:i/>
                <w:iCs/>
                <w:sz w:val="24"/>
                <w:szCs w:val="24"/>
                <w:u w:val="single"/>
              </w:rPr>
              <w:t>enjoy prospects of success</w:t>
            </w:r>
            <w:r w:rsidR="00A27D8A" w:rsidRPr="002234F4">
              <w:rPr>
                <w:rFonts w:ascii="Arial" w:hAnsi="Arial" w:cs="Arial"/>
                <w:bCs/>
                <w:i/>
                <w:iCs/>
                <w:sz w:val="24"/>
                <w:szCs w:val="24"/>
              </w:rPr>
              <w:t xml:space="preserve"> as set out in its papers</w:t>
            </w:r>
            <w:r w:rsidR="00642792">
              <w:rPr>
                <w:rFonts w:ascii="Arial" w:hAnsi="Arial" w:cs="Arial"/>
                <w:bCs/>
                <w:i/>
                <w:iCs/>
                <w:sz w:val="24"/>
                <w:szCs w:val="24"/>
              </w:rPr>
              <w:t xml:space="preserve"> …</w:t>
            </w:r>
            <w:r w:rsidR="00A27D8A" w:rsidRPr="002234F4">
              <w:rPr>
                <w:rFonts w:ascii="Arial" w:hAnsi="Arial" w:cs="Arial"/>
                <w:bCs/>
                <w:i/>
                <w:iCs/>
                <w:sz w:val="24"/>
                <w:szCs w:val="24"/>
              </w:rPr>
              <w:t>”</w:t>
            </w:r>
            <w:r w:rsidR="00642792">
              <w:rPr>
                <w:rFonts w:ascii="Arial" w:hAnsi="Arial" w:cs="Arial"/>
                <w:bCs/>
                <w:i/>
                <w:iCs/>
                <w:sz w:val="24"/>
                <w:szCs w:val="24"/>
              </w:rPr>
              <w:t>.</w:t>
            </w:r>
          </w:p>
          <w:p w:rsidR="002234F4" w:rsidRPr="002234F4" w:rsidRDefault="002234F4" w:rsidP="002234F4">
            <w:pPr>
              <w:spacing w:line="360" w:lineRule="auto"/>
              <w:jc w:val="both"/>
              <w:rPr>
                <w:rFonts w:ascii="Arial" w:hAnsi="Arial" w:cs="Arial"/>
                <w:bCs/>
                <w:i/>
                <w:iCs/>
                <w:sz w:val="24"/>
                <w:szCs w:val="24"/>
              </w:rPr>
            </w:pPr>
          </w:p>
          <w:p w:rsidR="004C4FAE" w:rsidRDefault="00A27D8A" w:rsidP="002234F4">
            <w:pPr>
              <w:spacing w:line="360" w:lineRule="auto"/>
              <w:jc w:val="both"/>
              <w:rPr>
                <w:rFonts w:ascii="Arial" w:hAnsi="Arial" w:cs="Arial"/>
                <w:bCs/>
                <w:sz w:val="24"/>
                <w:szCs w:val="24"/>
              </w:rPr>
            </w:pPr>
            <w:r w:rsidRPr="002234F4">
              <w:rPr>
                <w:rFonts w:ascii="Arial" w:hAnsi="Arial" w:cs="Arial"/>
                <w:bCs/>
                <w:sz w:val="24"/>
                <w:szCs w:val="24"/>
              </w:rPr>
              <w:t>[</w:t>
            </w:r>
            <w:r w:rsidR="004F3A22" w:rsidRPr="002234F4">
              <w:rPr>
                <w:rFonts w:ascii="Arial" w:hAnsi="Arial" w:cs="Arial"/>
                <w:bCs/>
                <w:sz w:val="24"/>
                <w:szCs w:val="24"/>
              </w:rPr>
              <w:t>32</w:t>
            </w:r>
            <w:r w:rsidRPr="002234F4">
              <w:rPr>
                <w:rFonts w:ascii="Arial" w:hAnsi="Arial" w:cs="Arial"/>
                <w:bCs/>
                <w:sz w:val="24"/>
                <w:szCs w:val="24"/>
              </w:rPr>
              <w:t>]</w:t>
            </w:r>
            <w:r w:rsidR="004F3A22" w:rsidRPr="002234F4">
              <w:rPr>
                <w:rFonts w:ascii="Arial" w:hAnsi="Arial" w:cs="Arial"/>
                <w:bCs/>
                <w:sz w:val="24"/>
                <w:szCs w:val="24"/>
              </w:rPr>
              <w:t xml:space="preserve">  </w:t>
            </w:r>
            <w:r w:rsidRPr="002234F4">
              <w:rPr>
                <w:rFonts w:ascii="Arial" w:hAnsi="Arial" w:cs="Arial"/>
                <w:bCs/>
                <w:sz w:val="24"/>
                <w:szCs w:val="24"/>
              </w:rPr>
              <w:t>The following defects to the papers where then exposed :</w:t>
            </w:r>
          </w:p>
          <w:p w:rsidR="002234F4" w:rsidRPr="002234F4" w:rsidRDefault="002234F4" w:rsidP="002234F4">
            <w:pPr>
              <w:spacing w:line="360" w:lineRule="auto"/>
              <w:jc w:val="both"/>
              <w:rPr>
                <w:rFonts w:ascii="Arial" w:hAnsi="Arial" w:cs="Arial"/>
                <w:bCs/>
                <w:sz w:val="24"/>
                <w:szCs w:val="24"/>
              </w:rPr>
            </w:pPr>
          </w:p>
          <w:p w:rsidR="00A27D8A" w:rsidRPr="002234F4" w:rsidRDefault="00FE5A39" w:rsidP="002234F4">
            <w:pPr>
              <w:pStyle w:val="ListParagraph"/>
              <w:numPr>
                <w:ilvl w:val="0"/>
                <w:numId w:val="28"/>
              </w:numPr>
              <w:spacing w:line="360" w:lineRule="auto"/>
              <w:ind w:left="1155" w:hanging="567"/>
              <w:jc w:val="both"/>
              <w:rPr>
                <w:rFonts w:ascii="Arial" w:hAnsi="Arial" w:cs="Arial"/>
                <w:bCs/>
                <w:sz w:val="24"/>
                <w:szCs w:val="24"/>
              </w:rPr>
            </w:pPr>
            <w:r w:rsidRPr="002234F4">
              <w:rPr>
                <w:rFonts w:ascii="Arial" w:hAnsi="Arial" w:cs="Arial"/>
                <w:bCs/>
                <w:sz w:val="24"/>
                <w:szCs w:val="24"/>
              </w:rPr>
              <w:t>The Rule 97(3) Application</w:t>
            </w:r>
            <w:r w:rsidR="00A27D8A" w:rsidRPr="002234F4">
              <w:rPr>
                <w:rFonts w:ascii="Arial" w:hAnsi="Arial" w:cs="Arial"/>
                <w:bCs/>
                <w:sz w:val="24"/>
                <w:szCs w:val="24"/>
              </w:rPr>
              <w:t xml:space="preserve"> cites the deceased Immanuel Kauluma Elifas as 1</w:t>
            </w:r>
            <w:r w:rsidR="00A27D8A" w:rsidRPr="002234F4">
              <w:rPr>
                <w:rFonts w:ascii="Arial" w:hAnsi="Arial" w:cs="Arial"/>
                <w:bCs/>
                <w:sz w:val="24"/>
                <w:szCs w:val="24"/>
                <w:vertAlign w:val="superscript"/>
              </w:rPr>
              <w:t>st</w:t>
            </w:r>
            <w:r w:rsidR="00A27D8A" w:rsidRPr="002234F4">
              <w:rPr>
                <w:rFonts w:ascii="Arial" w:hAnsi="Arial" w:cs="Arial"/>
                <w:bCs/>
                <w:sz w:val="24"/>
                <w:szCs w:val="24"/>
              </w:rPr>
              <w:t xml:space="preserve"> applicant and the re-constituted OTA as 2</w:t>
            </w:r>
            <w:r w:rsidR="00A27D8A" w:rsidRPr="002234F4">
              <w:rPr>
                <w:rFonts w:ascii="Arial" w:hAnsi="Arial" w:cs="Arial"/>
                <w:bCs/>
                <w:sz w:val="24"/>
                <w:szCs w:val="24"/>
                <w:vertAlign w:val="superscript"/>
              </w:rPr>
              <w:t>nd</w:t>
            </w:r>
            <w:r w:rsidRPr="002234F4">
              <w:rPr>
                <w:rFonts w:ascii="Arial" w:hAnsi="Arial" w:cs="Arial"/>
                <w:bCs/>
                <w:sz w:val="24"/>
                <w:szCs w:val="24"/>
              </w:rPr>
              <w:t xml:space="preserve"> applicant, in spite of the fact that it must be</w:t>
            </w:r>
            <w:r w:rsidR="00A27D8A" w:rsidRPr="002234F4">
              <w:rPr>
                <w:rFonts w:ascii="Arial" w:hAnsi="Arial" w:cs="Arial"/>
                <w:bCs/>
                <w:sz w:val="24"/>
                <w:szCs w:val="24"/>
              </w:rPr>
              <w:t xml:space="preserve"> common cause that neither of those applicants are the </w:t>
            </w:r>
            <w:r w:rsidR="00A27D8A" w:rsidRPr="002234F4">
              <w:rPr>
                <w:rFonts w:ascii="Arial" w:hAnsi="Arial" w:cs="Arial"/>
                <w:bCs/>
                <w:i/>
                <w:iCs/>
                <w:sz w:val="24"/>
                <w:szCs w:val="24"/>
              </w:rPr>
              <w:t>applicant</w:t>
            </w:r>
            <w:r w:rsidRPr="002234F4">
              <w:rPr>
                <w:rFonts w:ascii="Arial" w:hAnsi="Arial" w:cs="Arial"/>
                <w:bCs/>
                <w:i/>
                <w:iCs/>
                <w:sz w:val="24"/>
                <w:szCs w:val="24"/>
              </w:rPr>
              <w:t>s</w:t>
            </w:r>
            <w:r w:rsidR="00A27D8A" w:rsidRPr="002234F4">
              <w:rPr>
                <w:rFonts w:ascii="Arial" w:hAnsi="Arial" w:cs="Arial"/>
                <w:bCs/>
                <w:sz w:val="24"/>
                <w:szCs w:val="24"/>
              </w:rPr>
              <w:t xml:space="preserve"> in the Rule 97(3) application.</w:t>
            </w:r>
            <w:r w:rsidRPr="002234F4">
              <w:rPr>
                <w:rFonts w:ascii="Arial" w:hAnsi="Arial" w:cs="Arial"/>
                <w:bCs/>
                <w:sz w:val="24"/>
                <w:szCs w:val="24"/>
              </w:rPr>
              <w:t xml:space="preserve"> </w:t>
            </w:r>
            <w:r w:rsidR="00A27D8A" w:rsidRPr="002234F4">
              <w:rPr>
                <w:rFonts w:ascii="Arial" w:hAnsi="Arial" w:cs="Arial"/>
                <w:bCs/>
                <w:sz w:val="24"/>
                <w:szCs w:val="24"/>
              </w:rPr>
              <w:t xml:space="preserve">The citation of the applicant(s) in the Rule 97(3) </w:t>
            </w:r>
            <w:r w:rsidR="00A27D8A" w:rsidRPr="002234F4">
              <w:rPr>
                <w:rFonts w:ascii="Arial" w:hAnsi="Arial" w:cs="Arial"/>
                <w:bCs/>
                <w:sz w:val="24"/>
                <w:szCs w:val="24"/>
              </w:rPr>
              <w:lastRenderedPageBreak/>
              <w:t>application is accordingly defective. The application should be</w:t>
            </w:r>
            <w:r w:rsidRPr="002234F4">
              <w:rPr>
                <w:rFonts w:ascii="Arial" w:hAnsi="Arial" w:cs="Arial"/>
                <w:bCs/>
                <w:sz w:val="24"/>
                <w:szCs w:val="24"/>
              </w:rPr>
              <w:t xml:space="preserve"> dismissed on this ground alone;</w:t>
            </w:r>
          </w:p>
          <w:p w:rsidR="00A27D8A" w:rsidRPr="002234F4" w:rsidRDefault="00A27D8A" w:rsidP="002234F4">
            <w:pPr>
              <w:pStyle w:val="ListParagraph"/>
              <w:numPr>
                <w:ilvl w:val="0"/>
                <w:numId w:val="28"/>
              </w:numPr>
              <w:spacing w:line="360" w:lineRule="auto"/>
              <w:ind w:left="1155" w:hanging="567"/>
              <w:jc w:val="both"/>
              <w:rPr>
                <w:rFonts w:ascii="Arial" w:hAnsi="Arial" w:cs="Arial"/>
                <w:bCs/>
                <w:sz w:val="24"/>
                <w:szCs w:val="24"/>
              </w:rPr>
            </w:pPr>
            <w:r w:rsidRPr="002234F4">
              <w:rPr>
                <w:rFonts w:ascii="Arial" w:hAnsi="Arial" w:cs="Arial"/>
                <w:bCs/>
                <w:sz w:val="24"/>
                <w:szCs w:val="24"/>
              </w:rPr>
              <w:t>In contradiction to the Rule 97(3) Application, the deponent, Mr Nangolo, in paragraph 2 of his founding affidavit states that this is “his”</w:t>
            </w:r>
            <w:r w:rsidR="00FE5A39" w:rsidRPr="002234F4">
              <w:rPr>
                <w:rFonts w:ascii="Arial" w:hAnsi="Arial" w:cs="Arial"/>
                <w:bCs/>
                <w:sz w:val="24"/>
                <w:szCs w:val="24"/>
              </w:rPr>
              <w:t xml:space="preserve"> application;</w:t>
            </w:r>
          </w:p>
          <w:p w:rsidR="00A27D8A" w:rsidRPr="002234F4" w:rsidRDefault="00A27D8A" w:rsidP="002234F4">
            <w:pPr>
              <w:pStyle w:val="ListParagraph"/>
              <w:numPr>
                <w:ilvl w:val="0"/>
                <w:numId w:val="28"/>
              </w:numPr>
              <w:spacing w:line="360" w:lineRule="auto"/>
              <w:ind w:left="1155" w:hanging="567"/>
              <w:jc w:val="both"/>
              <w:rPr>
                <w:rFonts w:ascii="Arial" w:hAnsi="Arial" w:cs="Arial"/>
                <w:bCs/>
                <w:sz w:val="24"/>
                <w:szCs w:val="24"/>
              </w:rPr>
            </w:pPr>
            <w:r w:rsidRPr="002234F4">
              <w:rPr>
                <w:rFonts w:ascii="Arial" w:hAnsi="Arial" w:cs="Arial"/>
                <w:bCs/>
                <w:sz w:val="24"/>
                <w:szCs w:val="24"/>
              </w:rPr>
              <w:t>Mr Amalwa is not cited as a party</w:t>
            </w:r>
            <w:r w:rsidR="00FE5A39" w:rsidRPr="002234F4">
              <w:rPr>
                <w:rFonts w:ascii="Arial" w:hAnsi="Arial" w:cs="Arial"/>
                <w:bCs/>
                <w:sz w:val="24"/>
                <w:szCs w:val="24"/>
              </w:rPr>
              <w:t xml:space="preserve"> to the proceedings. </w:t>
            </w:r>
            <w:r w:rsidRPr="002234F4">
              <w:rPr>
                <w:rFonts w:ascii="Arial" w:hAnsi="Arial" w:cs="Arial"/>
                <w:bCs/>
                <w:sz w:val="24"/>
                <w:szCs w:val="24"/>
              </w:rPr>
              <w:t>If relief is sought against Mr Amalwa, he must be cited as a respondent. This non-joinder alone is a gr</w:t>
            </w:r>
            <w:r w:rsidR="00FE5A39" w:rsidRPr="002234F4">
              <w:rPr>
                <w:rFonts w:ascii="Arial" w:hAnsi="Arial" w:cs="Arial"/>
                <w:bCs/>
                <w:sz w:val="24"/>
                <w:szCs w:val="24"/>
              </w:rPr>
              <w:t>ound to dismiss the application;</w:t>
            </w:r>
          </w:p>
          <w:p w:rsidR="00FE5A39" w:rsidRDefault="00A27D8A" w:rsidP="002234F4">
            <w:pPr>
              <w:pStyle w:val="ListParagraph"/>
              <w:numPr>
                <w:ilvl w:val="0"/>
                <w:numId w:val="28"/>
              </w:numPr>
              <w:spacing w:line="360" w:lineRule="auto"/>
              <w:ind w:left="1155" w:hanging="567"/>
              <w:jc w:val="both"/>
              <w:rPr>
                <w:rFonts w:ascii="Arial" w:hAnsi="Arial" w:cs="Arial"/>
                <w:bCs/>
                <w:sz w:val="24"/>
                <w:szCs w:val="24"/>
              </w:rPr>
            </w:pPr>
            <w:r w:rsidRPr="002234F4">
              <w:rPr>
                <w:rFonts w:ascii="Arial" w:hAnsi="Arial" w:cs="Arial"/>
                <w:bCs/>
                <w:sz w:val="24"/>
                <w:szCs w:val="24"/>
              </w:rPr>
              <w:t xml:space="preserve">The deponent </w:t>
            </w:r>
            <w:r w:rsidR="00FE5A39" w:rsidRPr="002234F4">
              <w:rPr>
                <w:rFonts w:ascii="Arial" w:hAnsi="Arial" w:cs="Arial"/>
                <w:bCs/>
                <w:sz w:val="24"/>
                <w:szCs w:val="24"/>
              </w:rPr>
              <w:t>Nangolo i</w:t>
            </w:r>
            <w:r w:rsidRPr="002234F4">
              <w:rPr>
                <w:rFonts w:ascii="Arial" w:hAnsi="Arial" w:cs="Arial"/>
                <w:bCs/>
                <w:sz w:val="24"/>
                <w:szCs w:val="24"/>
              </w:rPr>
              <w:t>ncorrectly states that Mr Amalwa instituted the main applications and withdrew the main applications.</w:t>
            </w:r>
            <w:r w:rsidRPr="002234F4">
              <w:rPr>
                <w:rStyle w:val="FootnoteReference"/>
                <w:rFonts w:ascii="Arial" w:hAnsi="Arial" w:cs="Arial"/>
                <w:bCs/>
                <w:sz w:val="24"/>
                <w:szCs w:val="24"/>
              </w:rPr>
              <w:footnoteReference w:id="13"/>
            </w:r>
            <w:r w:rsidRPr="002234F4">
              <w:rPr>
                <w:rFonts w:ascii="Arial" w:hAnsi="Arial" w:cs="Arial"/>
                <w:bCs/>
                <w:sz w:val="24"/>
                <w:szCs w:val="24"/>
              </w:rPr>
              <w:t xml:space="preserve"> This is impossible as he is not a party to the proceedings. He</w:t>
            </w:r>
            <w:r w:rsidR="00FE5A39" w:rsidRPr="002234F4">
              <w:rPr>
                <w:rFonts w:ascii="Arial" w:hAnsi="Arial" w:cs="Arial"/>
                <w:bCs/>
                <w:sz w:val="24"/>
                <w:szCs w:val="24"/>
              </w:rPr>
              <w:t xml:space="preserve"> merely</w:t>
            </w:r>
            <w:r w:rsidRPr="002234F4">
              <w:rPr>
                <w:rFonts w:ascii="Arial" w:hAnsi="Arial" w:cs="Arial"/>
                <w:bCs/>
                <w:sz w:val="24"/>
                <w:szCs w:val="24"/>
              </w:rPr>
              <w:t xml:space="preserve"> deposed to affidavits on behalf of the applicants who have either since (a) passed away or (b) </w:t>
            </w:r>
            <w:r w:rsidR="00FE5A39" w:rsidRPr="002234F4">
              <w:rPr>
                <w:rFonts w:ascii="Arial" w:hAnsi="Arial" w:cs="Arial"/>
                <w:bCs/>
                <w:sz w:val="24"/>
                <w:szCs w:val="24"/>
              </w:rPr>
              <w:t xml:space="preserve">where </w:t>
            </w:r>
            <w:r w:rsidRPr="002234F4">
              <w:rPr>
                <w:rFonts w:ascii="Arial" w:hAnsi="Arial" w:cs="Arial"/>
                <w:bCs/>
                <w:sz w:val="24"/>
                <w:szCs w:val="24"/>
              </w:rPr>
              <w:t xml:space="preserve">reconstituted. He did not institute the application, nor </w:t>
            </w:r>
            <w:r w:rsidR="00FE5A39" w:rsidRPr="002234F4">
              <w:rPr>
                <w:rFonts w:ascii="Arial" w:hAnsi="Arial" w:cs="Arial"/>
                <w:bCs/>
                <w:sz w:val="24"/>
                <w:szCs w:val="24"/>
              </w:rPr>
              <w:t>did he withdraw any application.</w:t>
            </w:r>
          </w:p>
          <w:p w:rsidR="002234F4" w:rsidRPr="002234F4" w:rsidRDefault="002234F4" w:rsidP="002234F4">
            <w:pPr>
              <w:pStyle w:val="ListParagraph"/>
              <w:spacing w:line="360" w:lineRule="auto"/>
              <w:ind w:left="1155"/>
              <w:jc w:val="both"/>
              <w:rPr>
                <w:rFonts w:ascii="Arial" w:hAnsi="Arial" w:cs="Arial"/>
                <w:bCs/>
                <w:sz w:val="24"/>
                <w:szCs w:val="24"/>
              </w:rPr>
            </w:pPr>
          </w:p>
          <w:p w:rsidR="002234F4" w:rsidRDefault="00FE5A39" w:rsidP="002234F4">
            <w:pPr>
              <w:spacing w:line="360" w:lineRule="auto"/>
              <w:jc w:val="both"/>
              <w:rPr>
                <w:rFonts w:ascii="Arial" w:hAnsi="Arial" w:cs="Arial"/>
                <w:bCs/>
                <w:sz w:val="24"/>
                <w:szCs w:val="24"/>
              </w:rPr>
            </w:pPr>
            <w:r w:rsidRPr="002234F4">
              <w:rPr>
                <w:rFonts w:ascii="Arial" w:hAnsi="Arial" w:cs="Arial"/>
                <w:bCs/>
                <w:sz w:val="24"/>
                <w:szCs w:val="24"/>
              </w:rPr>
              <w:t>[</w:t>
            </w:r>
            <w:r w:rsidR="004F3A22" w:rsidRPr="002234F4">
              <w:rPr>
                <w:rFonts w:ascii="Arial" w:hAnsi="Arial" w:cs="Arial"/>
                <w:bCs/>
                <w:sz w:val="24"/>
                <w:szCs w:val="24"/>
              </w:rPr>
              <w:t>33</w:t>
            </w:r>
            <w:r w:rsidRPr="002234F4">
              <w:rPr>
                <w:rFonts w:ascii="Arial" w:hAnsi="Arial" w:cs="Arial"/>
                <w:bCs/>
                <w:sz w:val="24"/>
                <w:szCs w:val="24"/>
              </w:rPr>
              <w:t>]</w:t>
            </w:r>
            <w:r w:rsidR="004F3A22" w:rsidRPr="002234F4">
              <w:rPr>
                <w:rFonts w:ascii="Arial" w:hAnsi="Arial" w:cs="Arial"/>
                <w:bCs/>
                <w:sz w:val="24"/>
                <w:szCs w:val="24"/>
              </w:rPr>
              <w:t xml:space="preserve">  </w:t>
            </w:r>
            <w:r w:rsidRPr="002234F4">
              <w:rPr>
                <w:rFonts w:ascii="Arial" w:hAnsi="Arial" w:cs="Arial"/>
                <w:bCs/>
                <w:sz w:val="24"/>
                <w:szCs w:val="24"/>
              </w:rPr>
              <w:t>It was further noted and pointed out that Mr Nangolo was apparently advised</w:t>
            </w:r>
            <w:r w:rsidR="00A27D8A" w:rsidRPr="002234F4">
              <w:rPr>
                <w:rFonts w:ascii="Arial" w:hAnsi="Arial" w:cs="Arial"/>
                <w:bCs/>
                <w:sz w:val="24"/>
                <w:szCs w:val="24"/>
              </w:rPr>
              <w:t xml:space="preserve"> that, when litigation is extinguished due to the death of a litigant, the person who was author</w:t>
            </w:r>
            <w:r w:rsidRPr="002234F4">
              <w:rPr>
                <w:rFonts w:ascii="Arial" w:hAnsi="Arial" w:cs="Arial"/>
                <w:bCs/>
                <w:sz w:val="24"/>
                <w:szCs w:val="24"/>
              </w:rPr>
              <w:t>ized by the deceased litigant would be</w:t>
            </w:r>
            <w:r w:rsidR="00A27D8A" w:rsidRPr="002234F4">
              <w:rPr>
                <w:rFonts w:ascii="Arial" w:hAnsi="Arial" w:cs="Arial"/>
                <w:bCs/>
                <w:sz w:val="24"/>
                <w:szCs w:val="24"/>
              </w:rPr>
              <w:t xml:space="preserve"> responsible for the costs </w:t>
            </w:r>
            <w:r w:rsidR="00A27D8A" w:rsidRPr="002234F4">
              <w:rPr>
                <w:rFonts w:ascii="Arial" w:hAnsi="Arial" w:cs="Arial"/>
                <w:bCs/>
                <w:i/>
                <w:iCs/>
                <w:sz w:val="24"/>
                <w:szCs w:val="24"/>
              </w:rPr>
              <w:t>because the respondents are the successful parties</w:t>
            </w:r>
            <w:r w:rsidRPr="002234F4">
              <w:rPr>
                <w:rFonts w:ascii="Arial" w:hAnsi="Arial" w:cs="Arial"/>
                <w:bCs/>
                <w:sz w:val="24"/>
                <w:szCs w:val="24"/>
              </w:rPr>
              <w:t>,</w:t>
            </w:r>
            <w:r w:rsidRPr="002234F4">
              <w:rPr>
                <w:rStyle w:val="FootnoteReference"/>
                <w:rFonts w:ascii="Arial" w:hAnsi="Arial" w:cs="Arial"/>
                <w:bCs/>
                <w:sz w:val="24"/>
                <w:szCs w:val="24"/>
              </w:rPr>
              <w:footnoteReference w:id="14"/>
            </w:r>
            <w:r w:rsidR="00A27D8A" w:rsidRPr="002234F4">
              <w:rPr>
                <w:rFonts w:ascii="Arial" w:hAnsi="Arial" w:cs="Arial"/>
                <w:bCs/>
                <w:sz w:val="24"/>
                <w:szCs w:val="24"/>
              </w:rPr>
              <w:t xml:space="preserve"> </w:t>
            </w:r>
            <w:r w:rsidRPr="002234F4">
              <w:rPr>
                <w:rFonts w:ascii="Arial" w:hAnsi="Arial" w:cs="Arial"/>
                <w:bCs/>
                <w:sz w:val="24"/>
                <w:szCs w:val="24"/>
              </w:rPr>
              <w:t>bu</w:t>
            </w:r>
            <w:r w:rsidR="003B5F6B" w:rsidRPr="002234F4">
              <w:rPr>
                <w:rFonts w:ascii="Arial" w:hAnsi="Arial" w:cs="Arial"/>
                <w:bCs/>
                <w:sz w:val="24"/>
                <w:szCs w:val="24"/>
              </w:rPr>
              <w:t>t</w:t>
            </w:r>
            <w:r w:rsidRPr="002234F4">
              <w:rPr>
                <w:rFonts w:ascii="Arial" w:hAnsi="Arial" w:cs="Arial"/>
                <w:bCs/>
                <w:sz w:val="24"/>
                <w:szCs w:val="24"/>
              </w:rPr>
              <w:t xml:space="preserve"> that Mrs Miller’s search</w:t>
            </w:r>
            <w:r w:rsidR="003B5F6B" w:rsidRPr="002234F4">
              <w:rPr>
                <w:rFonts w:ascii="Arial" w:hAnsi="Arial" w:cs="Arial"/>
                <w:bCs/>
                <w:sz w:val="24"/>
                <w:szCs w:val="24"/>
              </w:rPr>
              <w:t xml:space="preserve"> of the Rules did not find any </w:t>
            </w:r>
            <w:r w:rsidR="00A27D8A" w:rsidRPr="002234F4">
              <w:rPr>
                <w:rFonts w:ascii="Arial" w:hAnsi="Arial" w:cs="Arial"/>
                <w:bCs/>
                <w:sz w:val="24"/>
                <w:szCs w:val="24"/>
              </w:rPr>
              <w:t>substantiation for the statement that deponents</w:t>
            </w:r>
            <w:r w:rsidR="00935292">
              <w:rPr>
                <w:rFonts w:ascii="Arial" w:hAnsi="Arial" w:cs="Arial"/>
                <w:bCs/>
                <w:sz w:val="24"/>
                <w:szCs w:val="24"/>
              </w:rPr>
              <w:t>,</w:t>
            </w:r>
            <w:r w:rsidR="00A27D8A" w:rsidRPr="002234F4">
              <w:rPr>
                <w:rFonts w:ascii="Arial" w:hAnsi="Arial" w:cs="Arial"/>
                <w:bCs/>
                <w:sz w:val="24"/>
                <w:szCs w:val="24"/>
              </w:rPr>
              <w:t xml:space="preserve"> who attest to affidavits on behalf of litigants</w:t>
            </w:r>
            <w:r w:rsidR="00935292">
              <w:rPr>
                <w:rFonts w:ascii="Arial" w:hAnsi="Arial" w:cs="Arial"/>
                <w:bCs/>
                <w:sz w:val="24"/>
                <w:szCs w:val="24"/>
              </w:rPr>
              <w:t>,</w:t>
            </w:r>
            <w:r w:rsidR="00A27D8A" w:rsidRPr="002234F4">
              <w:rPr>
                <w:rFonts w:ascii="Arial" w:hAnsi="Arial" w:cs="Arial"/>
                <w:bCs/>
                <w:sz w:val="24"/>
                <w:szCs w:val="24"/>
              </w:rPr>
              <w:t xml:space="preserve"> are liable for costs as if the deponent is that litigant. </w:t>
            </w:r>
          </w:p>
          <w:p w:rsidR="00A27D8A" w:rsidRPr="002234F4" w:rsidRDefault="00A27D8A" w:rsidP="002234F4">
            <w:pPr>
              <w:spacing w:line="360" w:lineRule="auto"/>
              <w:jc w:val="both"/>
              <w:rPr>
                <w:rFonts w:ascii="Arial" w:hAnsi="Arial" w:cs="Arial"/>
                <w:bCs/>
                <w:sz w:val="24"/>
                <w:szCs w:val="24"/>
              </w:rPr>
            </w:pPr>
            <w:r w:rsidRPr="002234F4">
              <w:rPr>
                <w:rFonts w:ascii="Arial" w:hAnsi="Arial" w:cs="Arial"/>
                <w:bCs/>
                <w:sz w:val="24"/>
                <w:szCs w:val="24"/>
              </w:rPr>
              <w:t xml:space="preserve"> </w:t>
            </w:r>
          </w:p>
          <w:p w:rsidR="00A27D8A" w:rsidRDefault="003B5F6B" w:rsidP="002234F4">
            <w:pPr>
              <w:spacing w:line="360" w:lineRule="auto"/>
              <w:jc w:val="both"/>
              <w:rPr>
                <w:rFonts w:ascii="Arial" w:hAnsi="Arial" w:cs="Arial"/>
                <w:bCs/>
                <w:sz w:val="24"/>
                <w:szCs w:val="24"/>
              </w:rPr>
            </w:pPr>
            <w:r w:rsidRPr="002234F4">
              <w:rPr>
                <w:rFonts w:ascii="Arial" w:hAnsi="Arial" w:cs="Arial"/>
                <w:bCs/>
                <w:sz w:val="24"/>
                <w:szCs w:val="24"/>
              </w:rPr>
              <w:t>[</w:t>
            </w:r>
            <w:r w:rsidR="004F3A22" w:rsidRPr="002234F4">
              <w:rPr>
                <w:rFonts w:ascii="Arial" w:hAnsi="Arial" w:cs="Arial"/>
                <w:bCs/>
                <w:sz w:val="24"/>
                <w:szCs w:val="24"/>
              </w:rPr>
              <w:t>34</w:t>
            </w:r>
            <w:r w:rsidRPr="002234F4">
              <w:rPr>
                <w:rFonts w:ascii="Arial" w:hAnsi="Arial" w:cs="Arial"/>
                <w:bCs/>
                <w:sz w:val="24"/>
                <w:szCs w:val="24"/>
              </w:rPr>
              <w:t>]</w:t>
            </w:r>
            <w:r w:rsidR="004F3A22" w:rsidRPr="002234F4">
              <w:rPr>
                <w:rFonts w:ascii="Arial" w:hAnsi="Arial" w:cs="Arial"/>
                <w:bCs/>
                <w:sz w:val="24"/>
                <w:szCs w:val="24"/>
              </w:rPr>
              <w:t xml:space="preserve">  </w:t>
            </w:r>
            <w:r w:rsidRPr="002234F4">
              <w:rPr>
                <w:rFonts w:ascii="Arial" w:hAnsi="Arial" w:cs="Arial"/>
                <w:bCs/>
                <w:sz w:val="24"/>
                <w:szCs w:val="24"/>
              </w:rPr>
              <w:t>In any event it was submitted that the respondents are not to be regarded as</w:t>
            </w:r>
            <w:r w:rsidR="00A27D8A" w:rsidRPr="002234F4">
              <w:rPr>
                <w:rFonts w:ascii="Arial" w:hAnsi="Arial" w:cs="Arial"/>
                <w:bCs/>
                <w:sz w:val="24"/>
                <w:szCs w:val="24"/>
              </w:rPr>
              <w:t xml:space="preserve"> “the successful parties” merely as a result of the death of the first applicant. The merits of the applications had not been adjudicated</w:t>
            </w:r>
            <w:r w:rsidRPr="002234F4">
              <w:rPr>
                <w:rFonts w:ascii="Arial" w:hAnsi="Arial" w:cs="Arial"/>
                <w:bCs/>
                <w:sz w:val="24"/>
                <w:szCs w:val="24"/>
              </w:rPr>
              <w:t xml:space="preserve"> upon</w:t>
            </w:r>
            <w:r w:rsidR="00A27D8A" w:rsidRPr="002234F4">
              <w:rPr>
                <w:rFonts w:ascii="Arial" w:hAnsi="Arial" w:cs="Arial"/>
                <w:bCs/>
                <w:sz w:val="24"/>
                <w:szCs w:val="24"/>
              </w:rPr>
              <w:t xml:space="preserve"> inter alia because of the death of the first applic</w:t>
            </w:r>
            <w:r w:rsidRPr="002234F4">
              <w:rPr>
                <w:rFonts w:ascii="Arial" w:hAnsi="Arial" w:cs="Arial"/>
                <w:bCs/>
                <w:sz w:val="24"/>
                <w:szCs w:val="24"/>
              </w:rPr>
              <w:t>ant. No finding had been</w:t>
            </w:r>
            <w:r w:rsidR="00935292">
              <w:rPr>
                <w:rFonts w:ascii="Arial" w:hAnsi="Arial" w:cs="Arial"/>
                <w:bCs/>
                <w:sz w:val="24"/>
                <w:szCs w:val="24"/>
              </w:rPr>
              <w:t xml:space="preserve"> made on the merits. It wa</w:t>
            </w:r>
            <w:r w:rsidR="00A27D8A" w:rsidRPr="002234F4">
              <w:rPr>
                <w:rFonts w:ascii="Arial" w:hAnsi="Arial" w:cs="Arial"/>
                <w:bCs/>
                <w:sz w:val="24"/>
                <w:szCs w:val="24"/>
              </w:rPr>
              <w:t>s accordingly submitted</w:t>
            </w:r>
            <w:r w:rsidRPr="002234F4">
              <w:rPr>
                <w:rFonts w:ascii="Arial" w:hAnsi="Arial" w:cs="Arial"/>
                <w:bCs/>
                <w:sz w:val="24"/>
                <w:szCs w:val="24"/>
              </w:rPr>
              <w:t xml:space="preserve"> further</w:t>
            </w:r>
            <w:r w:rsidR="00A27D8A" w:rsidRPr="002234F4">
              <w:rPr>
                <w:rFonts w:ascii="Arial" w:hAnsi="Arial" w:cs="Arial"/>
                <w:bCs/>
                <w:sz w:val="24"/>
                <w:szCs w:val="24"/>
              </w:rPr>
              <w:t xml:space="preserve"> that th</w:t>
            </w:r>
            <w:r w:rsidRPr="002234F4">
              <w:rPr>
                <w:rFonts w:ascii="Arial" w:hAnsi="Arial" w:cs="Arial"/>
                <w:bCs/>
                <w:sz w:val="24"/>
                <w:szCs w:val="24"/>
              </w:rPr>
              <w:t>e advice so received wa</w:t>
            </w:r>
            <w:r w:rsidR="00A27D8A" w:rsidRPr="002234F4">
              <w:rPr>
                <w:rFonts w:ascii="Arial" w:hAnsi="Arial" w:cs="Arial"/>
                <w:bCs/>
                <w:sz w:val="24"/>
                <w:szCs w:val="24"/>
              </w:rPr>
              <w:t>s flawed.</w:t>
            </w:r>
            <w:r w:rsidRPr="002234F4">
              <w:rPr>
                <w:rFonts w:ascii="Arial" w:hAnsi="Arial" w:cs="Arial"/>
                <w:bCs/>
                <w:sz w:val="24"/>
                <w:szCs w:val="24"/>
              </w:rPr>
              <w:t xml:space="preserve"> In this regard t</w:t>
            </w:r>
            <w:r w:rsidR="00A27D8A" w:rsidRPr="002234F4">
              <w:rPr>
                <w:rFonts w:ascii="Arial" w:hAnsi="Arial" w:cs="Arial"/>
                <w:bCs/>
                <w:sz w:val="24"/>
                <w:szCs w:val="24"/>
              </w:rPr>
              <w:t>he concession</w:t>
            </w:r>
            <w:r w:rsidRPr="002234F4">
              <w:rPr>
                <w:rFonts w:ascii="Arial" w:hAnsi="Arial" w:cs="Arial"/>
                <w:bCs/>
                <w:sz w:val="24"/>
                <w:szCs w:val="24"/>
              </w:rPr>
              <w:t xml:space="preserve"> made by Mr Nangolo</w:t>
            </w:r>
            <w:r w:rsidR="00A27D8A" w:rsidRPr="002234F4">
              <w:rPr>
                <w:rFonts w:ascii="Arial" w:hAnsi="Arial" w:cs="Arial"/>
                <w:bCs/>
                <w:sz w:val="24"/>
                <w:szCs w:val="24"/>
              </w:rPr>
              <w:t xml:space="preserve"> that Mr Amawla was indeed authorised by the </w:t>
            </w:r>
            <w:r w:rsidRPr="002234F4">
              <w:rPr>
                <w:rFonts w:ascii="Arial" w:hAnsi="Arial" w:cs="Arial"/>
                <w:bCs/>
                <w:sz w:val="24"/>
                <w:szCs w:val="24"/>
              </w:rPr>
              <w:t>first applicant was</w:t>
            </w:r>
            <w:r w:rsidR="00A27D8A" w:rsidRPr="002234F4">
              <w:rPr>
                <w:rFonts w:ascii="Arial" w:hAnsi="Arial" w:cs="Arial"/>
                <w:bCs/>
                <w:sz w:val="24"/>
                <w:szCs w:val="24"/>
              </w:rPr>
              <w:t xml:space="preserve"> highlighted.</w:t>
            </w:r>
          </w:p>
          <w:p w:rsidR="002234F4" w:rsidRPr="002234F4" w:rsidRDefault="002234F4" w:rsidP="002234F4">
            <w:pPr>
              <w:spacing w:line="360" w:lineRule="auto"/>
              <w:jc w:val="both"/>
              <w:rPr>
                <w:rFonts w:ascii="Arial" w:hAnsi="Arial" w:cs="Arial"/>
                <w:bCs/>
                <w:sz w:val="24"/>
                <w:szCs w:val="24"/>
              </w:rPr>
            </w:pPr>
          </w:p>
          <w:p w:rsidR="003B5F6B" w:rsidRDefault="003B5F6B" w:rsidP="002234F4">
            <w:pPr>
              <w:spacing w:line="360" w:lineRule="auto"/>
              <w:jc w:val="both"/>
              <w:rPr>
                <w:rFonts w:ascii="Arial" w:hAnsi="Arial" w:cs="Arial"/>
                <w:bCs/>
                <w:sz w:val="24"/>
                <w:szCs w:val="24"/>
              </w:rPr>
            </w:pPr>
            <w:r w:rsidRPr="002234F4">
              <w:rPr>
                <w:rFonts w:ascii="Arial" w:hAnsi="Arial" w:cs="Arial"/>
                <w:bCs/>
                <w:sz w:val="24"/>
                <w:szCs w:val="24"/>
              </w:rPr>
              <w:t>[</w:t>
            </w:r>
            <w:r w:rsidR="004F3A22" w:rsidRPr="002234F4">
              <w:rPr>
                <w:rFonts w:ascii="Arial" w:hAnsi="Arial" w:cs="Arial"/>
                <w:bCs/>
                <w:sz w:val="24"/>
                <w:szCs w:val="24"/>
              </w:rPr>
              <w:t>35</w:t>
            </w:r>
            <w:r w:rsidRPr="002234F4">
              <w:rPr>
                <w:rFonts w:ascii="Arial" w:hAnsi="Arial" w:cs="Arial"/>
                <w:bCs/>
                <w:sz w:val="24"/>
                <w:szCs w:val="24"/>
              </w:rPr>
              <w:t>]</w:t>
            </w:r>
            <w:r w:rsidR="004F3A22" w:rsidRPr="002234F4">
              <w:rPr>
                <w:rFonts w:ascii="Arial" w:hAnsi="Arial" w:cs="Arial"/>
                <w:bCs/>
                <w:sz w:val="24"/>
                <w:szCs w:val="24"/>
              </w:rPr>
              <w:t xml:space="preserve">  </w:t>
            </w:r>
            <w:r w:rsidRPr="002234F4">
              <w:rPr>
                <w:rFonts w:ascii="Arial" w:hAnsi="Arial" w:cs="Arial"/>
                <w:bCs/>
                <w:sz w:val="24"/>
                <w:szCs w:val="24"/>
              </w:rPr>
              <w:t xml:space="preserve">Further </w:t>
            </w:r>
            <w:r w:rsidRPr="002234F4">
              <w:rPr>
                <w:rFonts w:ascii="Arial" w:hAnsi="Arial" w:cs="Arial"/>
                <w:bCs/>
                <w:i/>
                <w:sz w:val="24"/>
                <w:szCs w:val="24"/>
              </w:rPr>
              <w:t>in limine</w:t>
            </w:r>
            <w:r w:rsidR="00BE104A">
              <w:rPr>
                <w:rFonts w:ascii="Arial" w:hAnsi="Arial" w:cs="Arial"/>
                <w:bCs/>
                <w:sz w:val="24"/>
                <w:szCs w:val="24"/>
              </w:rPr>
              <w:t xml:space="preserve"> objections raised on behalf of</w:t>
            </w:r>
            <w:r w:rsidRPr="002234F4">
              <w:rPr>
                <w:rFonts w:ascii="Arial" w:hAnsi="Arial" w:cs="Arial"/>
                <w:bCs/>
                <w:sz w:val="24"/>
                <w:szCs w:val="24"/>
              </w:rPr>
              <w:t xml:space="preserve"> Mr Amalwa where </w:t>
            </w:r>
            <w:r w:rsidR="00314A7B" w:rsidRPr="002234F4">
              <w:rPr>
                <w:rFonts w:ascii="Arial" w:hAnsi="Arial" w:cs="Arial"/>
                <w:bCs/>
                <w:sz w:val="24"/>
                <w:szCs w:val="24"/>
              </w:rPr>
              <w:t xml:space="preserve">inter alia </w:t>
            </w:r>
            <w:r w:rsidRPr="002234F4">
              <w:rPr>
                <w:rFonts w:ascii="Arial" w:hAnsi="Arial" w:cs="Arial"/>
                <w:bCs/>
                <w:sz w:val="24"/>
                <w:szCs w:val="24"/>
              </w:rPr>
              <w:t>that :</w:t>
            </w:r>
          </w:p>
          <w:p w:rsidR="002234F4" w:rsidRPr="002234F4" w:rsidRDefault="002234F4" w:rsidP="002234F4">
            <w:pPr>
              <w:spacing w:line="360" w:lineRule="auto"/>
              <w:jc w:val="both"/>
              <w:rPr>
                <w:rFonts w:ascii="Arial" w:hAnsi="Arial" w:cs="Arial"/>
                <w:bCs/>
                <w:sz w:val="24"/>
                <w:szCs w:val="24"/>
              </w:rPr>
            </w:pPr>
          </w:p>
          <w:p w:rsidR="003B5F6B" w:rsidRPr="002234F4" w:rsidRDefault="003B5F6B" w:rsidP="002234F4">
            <w:pPr>
              <w:pStyle w:val="ListParagraph"/>
              <w:numPr>
                <w:ilvl w:val="0"/>
                <w:numId w:val="26"/>
              </w:numPr>
              <w:spacing w:line="360" w:lineRule="auto"/>
              <w:ind w:left="1155" w:hanging="567"/>
              <w:jc w:val="both"/>
              <w:rPr>
                <w:rFonts w:ascii="Arial" w:hAnsi="Arial" w:cs="Arial"/>
                <w:bCs/>
                <w:sz w:val="24"/>
                <w:szCs w:val="24"/>
              </w:rPr>
            </w:pPr>
            <w:r w:rsidRPr="002234F4">
              <w:rPr>
                <w:rFonts w:ascii="Arial" w:hAnsi="Arial" w:cs="Arial"/>
                <w:bCs/>
                <w:sz w:val="24"/>
                <w:szCs w:val="24"/>
              </w:rPr>
              <w:lastRenderedPageBreak/>
              <w:t xml:space="preserve">Rule 97(3) applies only to instances where a notice of withdrawal was filed. No notice of withdrawal was filed </w:t>
            </w:r>
            <w:r w:rsidRPr="002234F4">
              <w:rPr>
                <w:rFonts w:ascii="Arial" w:hAnsi="Arial" w:cs="Arial"/>
                <w:bCs/>
                <w:i/>
                <w:iCs/>
                <w:sz w:val="24"/>
                <w:szCs w:val="24"/>
              </w:rPr>
              <w:t>in casu</w:t>
            </w:r>
            <w:r w:rsidRPr="002234F4">
              <w:rPr>
                <w:rFonts w:ascii="Arial" w:hAnsi="Arial" w:cs="Arial"/>
                <w:bCs/>
                <w:sz w:val="24"/>
                <w:szCs w:val="24"/>
              </w:rPr>
              <w:t>. The application lodged by AngulaCo on behalf of the respondents thus had no legal basis;</w:t>
            </w:r>
          </w:p>
          <w:p w:rsidR="003B5F6B" w:rsidRPr="002234F4" w:rsidRDefault="003B5F6B" w:rsidP="002234F4">
            <w:pPr>
              <w:pStyle w:val="ListParagraph"/>
              <w:numPr>
                <w:ilvl w:val="0"/>
                <w:numId w:val="26"/>
              </w:numPr>
              <w:spacing w:line="360" w:lineRule="auto"/>
              <w:ind w:left="1155" w:hanging="567"/>
              <w:jc w:val="both"/>
              <w:rPr>
                <w:rFonts w:ascii="Arial" w:hAnsi="Arial" w:cs="Arial"/>
                <w:bCs/>
                <w:sz w:val="24"/>
                <w:szCs w:val="24"/>
              </w:rPr>
            </w:pPr>
            <w:r w:rsidRPr="002234F4">
              <w:rPr>
                <w:rFonts w:ascii="Arial" w:hAnsi="Arial" w:cs="Arial"/>
                <w:bCs/>
                <w:sz w:val="24"/>
                <w:szCs w:val="24"/>
              </w:rPr>
              <w:t>The requirements set by Rules 65</w:t>
            </w:r>
            <w:r w:rsidR="00314A7B" w:rsidRPr="002234F4">
              <w:rPr>
                <w:rFonts w:ascii="Arial" w:hAnsi="Arial" w:cs="Arial"/>
                <w:bCs/>
                <w:sz w:val="24"/>
                <w:szCs w:val="24"/>
              </w:rPr>
              <w:t xml:space="preserve">(2) where not complied with in circumstances where relief was claimed from Mr Amalwa but where he was not cited and where Mr Amalwa was not even served with </w:t>
            </w:r>
            <w:r w:rsidR="00AB3F40" w:rsidRPr="002234F4">
              <w:rPr>
                <w:rFonts w:ascii="Arial" w:hAnsi="Arial" w:cs="Arial"/>
                <w:bCs/>
                <w:sz w:val="24"/>
                <w:szCs w:val="24"/>
              </w:rPr>
              <w:t>the application, in spite of counsel’s</w:t>
            </w:r>
            <w:r w:rsidR="00314A7B" w:rsidRPr="002234F4">
              <w:rPr>
                <w:rFonts w:ascii="Arial" w:hAnsi="Arial" w:cs="Arial"/>
                <w:bCs/>
                <w:sz w:val="24"/>
                <w:szCs w:val="24"/>
              </w:rPr>
              <w:t xml:space="preserve"> express undertaking given in this regard;</w:t>
            </w:r>
            <w:r w:rsidR="00314A7B" w:rsidRPr="002234F4">
              <w:rPr>
                <w:rStyle w:val="FootnoteReference"/>
                <w:rFonts w:ascii="Arial" w:hAnsi="Arial" w:cs="Arial"/>
                <w:bCs/>
                <w:sz w:val="24"/>
                <w:szCs w:val="24"/>
              </w:rPr>
              <w:footnoteReference w:id="15"/>
            </w:r>
            <w:r w:rsidR="00314A7B" w:rsidRPr="002234F4">
              <w:rPr>
                <w:rFonts w:ascii="Arial" w:hAnsi="Arial" w:cs="Arial"/>
                <w:bCs/>
                <w:sz w:val="24"/>
                <w:szCs w:val="24"/>
              </w:rPr>
              <w:t xml:space="preserve"> and</w:t>
            </w:r>
          </w:p>
          <w:p w:rsidR="00314A7B" w:rsidRDefault="00314A7B" w:rsidP="002234F4">
            <w:pPr>
              <w:pStyle w:val="ListParagraph"/>
              <w:numPr>
                <w:ilvl w:val="0"/>
                <w:numId w:val="26"/>
              </w:numPr>
              <w:spacing w:line="360" w:lineRule="auto"/>
              <w:ind w:left="1155" w:hanging="567"/>
              <w:jc w:val="both"/>
              <w:rPr>
                <w:rFonts w:ascii="Arial" w:hAnsi="Arial" w:cs="Arial"/>
                <w:bCs/>
                <w:sz w:val="24"/>
                <w:szCs w:val="24"/>
              </w:rPr>
            </w:pPr>
            <w:r w:rsidRPr="002234F4">
              <w:rPr>
                <w:rFonts w:ascii="Arial" w:hAnsi="Arial" w:cs="Arial"/>
                <w:bCs/>
                <w:sz w:val="24"/>
                <w:szCs w:val="24"/>
              </w:rPr>
              <w:t>That with reference to the approach to disputed facts in motion proceedings Mr Amalwa’s version should</w:t>
            </w:r>
            <w:r w:rsidR="00634F16" w:rsidRPr="002234F4">
              <w:rPr>
                <w:rFonts w:ascii="Arial" w:hAnsi="Arial" w:cs="Arial"/>
                <w:bCs/>
                <w:sz w:val="24"/>
                <w:szCs w:val="24"/>
              </w:rPr>
              <w:t xml:space="preserve"> in any event</w:t>
            </w:r>
            <w:r w:rsidRPr="002234F4">
              <w:rPr>
                <w:rFonts w:ascii="Arial" w:hAnsi="Arial" w:cs="Arial"/>
                <w:bCs/>
                <w:sz w:val="24"/>
                <w:szCs w:val="24"/>
              </w:rPr>
              <w:t xml:space="preserve"> prevail</w:t>
            </w:r>
            <w:r w:rsidR="00634F16" w:rsidRPr="002234F4">
              <w:rPr>
                <w:rFonts w:ascii="Arial" w:hAnsi="Arial" w:cs="Arial"/>
                <w:bCs/>
                <w:sz w:val="24"/>
                <w:szCs w:val="24"/>
              </w:rPr>
              <w:t xml:space="preserve"> on the merits</w:t>
            </w:r>
            <w:r w:rsidRPr="002234F4">
              <w:rPr>
                <w:rFonts w:ascii="Arial" w:hAnsi="Arial" w:cs="Arial"/>
                <w:bCs/>
                <w:sz w:val="24"/>
                <w:szCs w:val="24"/>
              </w:rPr>
              <w:t>.</w:t>
            </w:r>
          </w:p>
          <w:p w:rsidR="002234F4" w:rsidRPr="002234F4" w:rsidRDefault="002234F4" w:rsidP="002234F4">
            <w:pPr>
              <w:pStyle w:val="ListParagraph"/>
              <w:spacing w:line="360" w:lineRule="auto"/>
              <w:ind w:left="1155"/>
              <w:jc w:val="both"/>
              <w:rPr>
                <w:rFonts w:ascii="Arial" w:hAnsi="Arial" w:cs="Arial"/>
                <w:bCs/>
                <w:sz w:val="24"/>
                <w:szCs w:val="24"/>
              </w:rPr>
            </w:pPr>
          </w:p>
          <w:p w:rsidR="003B5F6B" w:rsidRDefault="00314A7B" w:rsidP="002234F4">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36</w:t>
            </w:r>
            <w:r w:rsidRPr="002234F4">
              <w:rPr>
                <w:rFonts w:ascii="Arial" w:hAnsi="Arial" w:cs="Arial"/>
                <w:bCs/>
                <w:sz w:val="24"/>
                <w:szCs w:val="24"/>
              </w:rPr>
              <w:t>]</w:t>
            </w:r>
            <w:r w:rsidR="00E65DE9" w:rsidRPr="002234F4">
              <w:rPr>
                <w:rFonts w:ascii="Arial" w:hAnsi="Arial" w:cs="Arial"/>
                <w:bCs/>
                <w:sz w:val="24"/>
                <w:szCs w:val="24"/>
              </w:rPr>
              <w:t xml:space="preserve">  </w:t>
            </w:r>
            <w:r w:rsidR="00A94E25" w:rsidRPr="002234F4">
              <w:rPr>
                <w:rFonts w:ascii="Arial" w:hAnsi="Arial" w:cs="Arial"/>
                <w:bCs/>
                <w:sz w:val="24"/>
                <w:szCs w:val="24"/>
              </w:rPr>
              <w:t>Finally – and with reference to Rule 56(1)(d) - it was highlighted that</w:t>
            </w:r>
            <w:r w:rsidR="00634F16" w:rsidRPr="002234F4">
              <w:rPr>
                <w:rFonts w:ascii="Arial" w:hAnsi="Arial" w:cs="Arial"/>
                <w:bCs/>
                <w:sz w:val="24"/>
                <w:szCs w:val="24"/>
              </w:rPr>
              <w:t xml:space="preserve"> there </w:t>
            </w:r>
            <w:r w:rsidR="00935292">
              <w:rPr>
                <w:rFonts w:ascii="Arial" w:hAnsi="Arial" w:cs="Arial"/>
                <w:bCs/>
                <w:sz w:val="24"/>
                <w:szCs w:val="24"/>
              </w:rPr>
              <w:t>w</w:t>
            </w:r>
            <w:r w:rsidR="00634F16" w:rsidRPr="002234F4">
              <w:rPr>
                <w:rFonts w:ascii="Arial" w:hAnsi="Arial" w:cs="Arial"/>
                <w:bCs/>
                <w:sz w:val="24"/>
                <w:szCs w:val="24"/>
              </w:rPr>
              <w:t>ere</w:t>
            </w:r>
            <w:r w:rsidR="00F42A7B" w:rsidRPr="002234F4">
              <w:rPr>
                <w:rFonts w:ascii="Arial" w:hAnsi="Arial" w:cs="Arial"/>
                <w:bCs/>
                <w:sz w:val="24"/>
                <w:szCs w:val="24"/>
              </w:rPr>
              <w:t xml:space="preserve"> a number of</w:t>
            </w:r>
            <w:r w:rsidR="00A94E25" w:rsidRPr="002234F4">
              <w:rPr>
                <w:rFonts w:ascii="Arial" w:hAnsi="Arial" w:cs="Arial"/>
                <w:bCs/>
                <w:sz w:val="24"/>
                <w:szCs w:val="24"/>
              </w:rPr>
              <w:t xml:space="preserve"> previous instances of non-compliances which indicated the respondents’ lack of respect for the </w:t>
            </w:r>
            <w:r w:rsidR="00AB3F40" w:rsidRPr="002234F4">
              <w:rPr>
                <w:rFonts w:ascii="Arial" w:hAnsi="Arial" w:cs="Arial"/>
                <w:bCs/>
                <w:sz w:val="24"/>
                <w:szCs w:val="24"/>
              </w:rPr>
              <w:t>Rules of Court and the Court’s O</w:t>
            </w:r>
            <w:r w:rsidR="00A94E25" w:rsidRPr="002234F4">
              <w:rPr>
                <w:rFonts w:ascii="Arial" w:hAnsi="Arial" w:cs="Arial"/>
                <w:bCs/>
                <w:sz w:val="24"/>
                <w:szCs w:val="24"/>
              </w:rPr>
              <w:t>rders</w:t>
            </w:r>
            <w:r w:rsidR="00634F16" w:rsidRPr="002234F4">
              <w:rPr>
                <w:rFonts w:ascii="Arial" w:hAnsi="Arial" w:cs="Arial"/>
                <w:bCs/>
                <w:sz w:val="24"/>
                <w:szCs w:val="24"/>
              </w:rPr>
              <w:t xml:space="preserve"> </w:t>
            </w:r>
            <w:r w:rsidR="00A94E25" w:rsidRPr="002234F4">
              <w:rPr>
                <w:rFonts w:ascii="Arial" w:hAnsi="Arial" w:cs="Arial"/>
                <w:bCs/>
                <w:sz w:val="24"/>
                <w:szCs w:val="24"/>
              </w:rPr>
              <w:t>. The condonation sought should thus be refused with an adverse costs order.</w:t>
            </w:r>
          </w:p>
          <w:p w:rsidR="002234F4" w:rsidRDefault="002234F4" w:rsidP="002234F4">
            <w:pPr>
              <w:spacing w:line="360" w:lineRule="auto"/>
              <w:jc w:val="both"/>
              <w:rPr>
                <w:rFonts w:ascii="Arial" w:hAnsi="Arial" w:cs="Arial"/>
                <w:bCs/>
                <w:sz w:val="24"/>
                <w:szCs w:val="24"/>
              </w:rPr>
            </w:pPr>
          </w:p>
          <w:p w:rsidR="00935292" w:rsidRPr="00935292" w:rsidRDefault="00935292" w:rsidP="002234F4">
            <w:pPr>
              <w:spacing w:line="360" w:lineRule="auto"/>
              <w:jc w:val="both"/>
              <w:rPr>
                <w:rFonts w:ascii="Arial" w:hAnsi="Arial" w:cs="Arial"/>
                <w:bCs/>
                <w:sz w:val="24"/>
                <w:szCs w:val="24"/>
                <w:u w:val="single"/>
              </w:rPr>
            </w:pPr>
            <w:r w:rsidRPr="00935292">
              <w:rPr>
                <w:rFonts w:ascii="Arial" w:hAnsi="Arial" w:cs="Arial"/>
                <w:bCs/>
                <w:sz w:val="24"/>
                <w:szCs w:val="24"/>
                <w:u w:val="single"/>
              </w:rPr>
              <w:t>Resolution</w:t>
            </w:r>
          </w:p>
          <w:p w:rsidR="00935292" w:rsidRPr="002234F4" w:rsidRDefault="00935292" w:rsidP="002234F4">
            <w:pPr>
              <w:spacing w:line="360" w:lineRule="auto"/>
              <w:jc w:val="both"/>
              <w:rPr>
                <w:rFonts w:ascii="Arial" w:hAnsi="Arial" w:cs="Arial"/>
                <w:bCs/>
                <w:sz w:val="24"/>
                <w:szCs w:val="24"/>
              </w:rPr>
            </w:pPr>
          </w:p>
          <w:p w:rsidR="00A94E25" w:rsidRDefault="00A94E25" w:rsidP="002234F4">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37</w:t>
            </w:r>
            <w:r w:rsidRPr="002234F4">
              <w:rPr>
                <w:rFonts w:ascii="Arial" w:hAnsi="Arial" w:cs="Arial"/>
                <w:bCs/>
                <w:sz w:val="24"/>
                <w:szCs w:val="24"/>
              </w:rPr>
              <w:t>]</w:t>
            </w:r>
            <w:r w:rsidR="00E65DE9" w:rsidRPr="002234F4">
              <w:rPr>
                <w:rFonts w:ascii="Arial" w:hAnsi="Arial" w:cs="Arial"/>
                <w:bCs/>
                <w:sz w:val="24"/>
                <w:szCs w:val="24"/>
              </w:rPr>
              <w:t xml:space="preserve">  </w:t>
            </w:r>
            <w:r w:rsidR="00657620" w:rsidRPr="002234F4">
              <w:rPr>
                <w:rFonts w:ascii="Arial" w:hAnsi="Arial" w:cs="Arial"/>
                <w:bCs/>
                <w:sz w:val="24"/>
                <w:szCs w:val="24"/>
              </w:rPr>
              <w:t>When it so comes to the determination whether or not the respondents, the applicants in the condonation application</w:t>
            </w:r>
            <w:r w:rsidR="00935292">
              <w:rPr>
                <w:rFonts w:ascii="Arial" w:hAnsi="Arial" w:cs="Arial"/>
                <w:bCs/>
                <w:sz w:val="24"/>
                <w:szCs w:val="24"/>
              </w:rPr>
              <w:t>,</w:t>
            </w:r>
            <w:r w:rsidR="00657620" w:rsidRPr="002234F4">
              <w:rPr>
                <w:rFonts w:ascii="Arial" w:hAnsi="Arial" w:cs="Arial"/>
                <w:bCs/>
                <w:sz w:val="24"/>
                <w:szCs w:val="24"/>
              </w:rPr>
              <w:t xml:space="preserve"> have shown good cause</w:t>
            </w:r>
            <w:r w:rsidR="00BE104A">
              <w:rPr>
                <w:rFonts w:ascii="Arial" w:hAnsi="Arial" w:cs="Arial"/>
                <w:bCs/>
                <w:sz w:val="24"/>
                <w:szCs w:val="24"/>
              </w:rPr>
              <w:t>,</w:t>
            </w:r>
            <w:r w:rsidR="00657620" w:rsidRPr="002234F4">
              <w:rPr>
                <w:rFonts w:ascii="Arial" w:hAnsi="Arial" w:cs="Arial"/>
                <w:bCs/>
                <w:sz w:val="24"/>
                <w:szCs w:val="24"/>
              </w:rPr>
              <w:t xml:space="preserve"> it appears</w:t>
            </w:r>
            <w:r w:rsidR="004C4FAE" w:rsidRPr="002234F4">
              <w:rPr>
                <w:rFonts w:ascii="Arial" w:hAnsi="Arial" w:cs="Arial"/>
                <w:bCs/>
                <w:sz w:val="24"/>
                <w:szCs w:val="24"/>
              </w:rPr>
              <w:t>,</w:t>
            </w:r>
            <w:r w:rsidR="00AB3F40" w:rsidRPr="002234F4">
              <w:rPr>
                <w:rFonts w:ascii="Arial" w:hAnsi="Arial" w:cs="Arial"/>
                <w:bCs/>
                <w:sz w:val="24"/>
                <w:szCs w:val="24"/>
              </w:rPr>
              <w:t xml:space="preserve"> in the first instance</w:t>
            </w:r>
            <w:r w:rsidR="004C4FAE" w:rsidRPr="002234F4">
              <w:rPr>
                <w:rFonts w:ascii="Arial" w:hAnsi="Arial" w:cs="Arial"/>
                <w:bCs/>
                <w:sz w:val="24"/>
                <w:szCs w:val="24"/>
              </w:rPr>
              <w:t>, that</w:t>
            </w:r>
            <w:r w:rsidR="00E42E71" w:rsidRPr="002234F4">
              <w:rPr>
                <w:rFonts w:ascii="Arial" w:hAnsi="Arial" w:cs="Arial"/>
                <w:bCs/>
                <w:sz w:val="24"/>
                <w:szCs w:val="24"/>
              </w:rPr>
              <w:t>:</w:t>
            </w:r>
          </w:p>
          <w:p w:rsidR="002234F4" w:rsidRPr="002234F4" w:rsidRDefault="002234F4" w:rsidP="002234F4">
            <w:pPr>
              <w:spacing w:line="360" w:lineRule="auto"/>
              <w:jc w:val="both"/>
              <w:rPr>
                <w:rFonts w:ascii="Arial" w:hAnsi="Arial" w:cs="Arial"/>
                <w:bCs/>
                <w:sz w:val="24"/>
                <w:szCs w:val="24"/>
              </w:rPr>
            </w:pPr>
          </w:p>
          <w:p w:rsidR="00E42E71" w:rsidRDefault="00E42E71" w:rsidP="002234F4">
            <w:pPr>
              <w:pStyle w:val="ListParagraph"/>
              <w:numPr>
                <w:ilvl w:val="0"/>
                <w:numId w:val="27"/>
              </w:numPr>
              <w:spacing w:line="360" w:lineRule="auto"/>
              <w:ind w:left="1155" w:hanging="567"/>
              <w:jc w:val="both"/>
              <w:rPr>
                <w:rFonts w:ascii="Arial" w:hAnsi="Arial" w:cs="Arial"/>
                <w:bCs/>
                <w:sz w:val="24"/>
                <w:szCs w:val="24"/>
              </w:rPr>
            </w:pPr>
            <w:r w:rsidRPr="002234F4">
              <w:rPr>
                <w:rFonts w:ascii="Arial" w:hAnsi="Arial" w:cs="Arial"/>
                <w:bCs/>
                <w:sz w:val="24"/>
                <w:szCs w:val="24"/>
              </w:rPr>
              <w:t>They have</w:t>
            </w:r>
            <w:r w:rsidR="00AB3F40" w:rsidRPr="002234F4">
              <w:rPr>
                <w:rFonts w:ascii="Arial" w:hAnsi="Arial" w:cs="Arial"/>
                <w:bCs/>
                <w:sz w:val="24"/>
                <w:szCs w:val="24"/>
              </w:rPr>
              <w:t xml:space="preserve"> indeed</w:t>
            </w:r>
            <w:r w:rsidRPr="002234F4">
              <w:rPr>
                <w:rFonts w:ascii="Arial" w:hAnsi="Arial" w:cs="Arial"/>
                <w:bCs/>
                <w:sz w:val="24"/>
                <w:szCs w:val="24"/>
              </w:rPr>
              <w:t xml:space="preserve"> failed to provide a full, detailed and accurate </w:t>
            </w:r>
            <w:r w:rsidR="00AB3F40" w:rsidRPr="002234F4">
              <w:rPr>
                <w:rFonts w:ascii="Arial" w:hAnsi="Arial" w:cs="Arial"/>
                <w:bCs/>
                <w:sz w:val="24"/>
                <w:szCs w:val="24"/>
              </w:rPr>
              <w:t>explanation for their defaults. In this regard it was correctly exposed that they did fail</w:t>
            </w:r>
            <w:r w:rsidRPr="002234F4">
              <w:rPr>
                <w:rFonts w:ascii="Arial" w:hAnsi="Arial" w:cs="Arial"/>
                <w:bCs/>
                <w:sz w:val="24"/>
                <w:szCs w:val="24"/>
              </w:rPr>
              <w:t xml:space="preserve"> to explain the entire period </w:t>
            </w:r>
            <w:r w:rsidR="00AB3F40" w:rsidRPr="002234F4">
              <w:rPr>
                <w:rFonts w:ascii="Arial" w:hAnsi="Arial" w:cs="Arial"/>
                <w:bCs/>
                <w:sz w:val="24"/>
                <w:szCs w:val="24"/>
              </w:rPr>
              <w:t xml:space="preserve">during which </w:t>
            </w:r>
            <w:r w:rsidR="002051C1" w:rsidRPr="002234F4">
              <w:rPr>
                <w:rFonts w:ascii="Arial" w:hAnsi="Arial" w:cs="Arial"/>
                <w:bCs/>
                <w:sz w:val="24"/>
                <w:szCs w:val="24"/>
              </w:rPr>
              <w:t>the delay occurred.</w:t>
            </w:r>
            <w:r w:rsidR="00075CD1" w:rsidRPr="002234F4">
              <w:rPr>
                <w:rFonts w:ascii="Arial" w:hAnsi="Arial" w:cs="Arial"/>
                <w:bCs/>
                <w:sz w:val="24"/>
                <w:szCs w:val="24"/>
              </w:rPr>
              <w:t xml:space="preserve"> This holds true not only for the period 17 October 2019 to 29 October 2019, where at least there is an attempt at a partial explanation, but particularly also for the period 30 October 2019 to 4 December 2019. </w:t>
            </w:r>
          </w:p>
          <w:p w:rsidR="002234F4" w:rsidRPr="002234F4" w:rsidRDefault="002234F4" w:rsidP="002234F4">
            <w:pPr>
              <w:pStyle w:val="ListParagraph"/>
              <w:spacing w:line="360" w:lineRule="auto"/>
              <w:ind w:left="1155"/>
              <w:jc w:val="both"/>
              <w:rPr>
                <w:rFonts w:ascii="Arial" w:hAnsi="Arial" w:cs="Arial"/>
                <w:bCs/>
                <w:sz w:val="24"/>
                <w:szCs w:val="24"/>
              </w:rPr>
            </w:pPr>
          </w:p>
          <w:p w:rsidR="00E42E71" w:rsidRDefault="00E42E71" w:rsidP="002234F4">
            <w:pPr>
              <w:pStyle w:val="ListParagraph"/>
              <w:numPr>
                <w:ilvl w:val="0"/>
                <w:numId w:val="27"/>
              </w:numPr>
              <w:spacing w:line="360" w:lineRule="auto"/>
              <w:ind w:left="1155" w:hanging="567"/>
              <w:jc w:val="both"/>
              <w:rPr>
                <w:rFonts w:ascii="Arial" w:hAnsi="Arial" w:cs="Arial"/>
                <w:bCs/>
                <w:sz w:val="24"/>
                <w:szCs w:val="24"/>
              </w:rPr>
            </w:pPr>
            <w:r w:rsidRPr="002234F4">
              <w:rPr>
                <w:rFonts w:ascii="Arial" w:hAnsi="Arial" w:cs="Arial"/>
                <w:bCs/>
                <w:sz w:val="24"/>
                <w:szCs w:val="24"/>
              </w:rPr>
              <w:t xml:space="preserve">The condonation application was, in the circumstances, </w:t>
            </w:r>
            <w:r w:rsidR="00BE104A">
              <w:rPr>
                <w:rFonts w:ascii="Arial" w:hAnsi="Arial" w:cs="Arial"/>
                <w:bCs/>
                <w:sz w:val="24"/>
                <w:szCs w:val="24"/>
              </w:rPr>
              <w:t xml:space="preserve">also </w:t>
            </w:r>
            <w:r w:rsidRPr="002234F4">
              <w:rPr>
                <w:rFonts w:ascii="Arial" w:hAnsi="Arial" w:cs="Arial"/>
                <w:bCs/>
                <w:sz w:val="24"/>
                <w:szCs w:val="24"/>
              </w:rPr>
              <w:t>unreasonably delayed and not brought with reasonable promptitude.</w:t>
            </w:r>
            <w:r w:rsidR="002051C1" w:rsidRPr="002234F4">
              <w:rPr>
                <w:rFonts w:ascii="Arial" w:hAnsi="Arial" w:cs="Arial"/>
                <w:bCs/>
                <w:sz w:val="24"/>
                <w:szCs w:val="24"/>
              </w:rPr>
              <w:t xml:space="preserve"> So much becomes clear </w:t>
            </w:r>
            <w:r w:rsidR="002051C1" w:rsidRPr="002234F4">
              <w:rPr>
                <w:rFonts w:ascii="Arial" w:hAnsi="Arial" w:cs="Arial"/>
                <w:bCs/>
                <w:sz w:val="24"/>
                <w:szCs w:val="24"/>
              </w:rPr>
              <w:lastRenderedPageBreak/>
              <w:t xml:space="preserve">alone </w:t>
            </w:r>
            <w:r w:rsidR="00935292">
              <w:rPr>
                <w:rFonts w:ascii="Arial" w:hAnsi="Arial" w:cs="Arial"/>
                <w:bCs/>
                <w:sz w:val="24"/>
                <w:szCs w:val="24"/>
              </w:rPr>
              <w:t>from Mr Nangolo’s</w:t>
            </w:r>
            <w:r w:rsidR="002051C1" w:rsidRPr="002234F4">
              <w:rPr>
                <w:rFonts w:ascii="Arial" w:hAnsi="Arial" w:cs="Arial"/>
                <w:bCs/>
                <w:sz w:val="24"/>
                <w:szCs w:val="24"/>
              </w:rPr>
              <w:t xml:space="preserve"> concession made that</w:t>
            </w:r>
            <w:r w:rsidR="00075CD1" w:rsidRPr="002234F4">
              <w:rPr>
                <w:rFonts w:ascii="Arial" w:hAnsi="Arial" w:cs="Arial"/>
                <w:bCs/>
                <w:sz w:val="24"/>
                <w:szCs w:val="24"/>
              </w:rPr>
              <w:t xml:space="preserve"> sufficient time</w:t>
            </w:r>
            <w:r w:rsidR="000B663A">
              <w:rPr>
                <w:rFonts w:ascii="Arial" w:hAnsi="Arial" w:cs="Arial"/>
                <w:bCs/>
                <w:sz w:val="24"/>
                <w:szCs w:val="24"/>
              </w:rPr>
              <w:t>,</w:t>
            </w:r>
            <w:r w:rsidR="00075CD1" w:rsidRPr="002234F4">
              <w:rPr>
                <w:rFonts w:ascii="Arial" w:hAnsi="Arial" w:cs="Arial"/>
                <w:bCs/>
                <w:sz w:val="24"/>
                <w:szCs w:val="24"/>
              </w:rPr>
              <w:t xml:space="preserve"> for the Rule 97</w:t>
            </w:r>
            <w:r w:rsidR="002051C1" w:rsidRPr="002234F4">
              <w:rPr>
                <w:rFonts w:ascii="Arial" w:hAnsi="Arial" w:cs="Arial"/>
                <w:bCs/>
                <w:sz w:val="24"/>
                <w:szCs w:val="24"/>
              </w:rPr>
              <w:t xml:space="preserve"> application was granted</w:t>
            </w:r>
            <w:r w:rsidR="000B663A">
              <w:rPr>
                <w:rFonts w:ascii="Arial" w:hAnsi="Arial" w:cs="Arial"/>
                <w:bCs/>
                <w:sz w:val="24"/>
                <w:szCs w:val="24"/>
              </w:rPr>
              <w:t>,</w:t>
            </w:r>
            <w:r w:rsidR="002051C1" w:rsidRPr="002234F4">
              <w:rPr>
                <w:rFonts w:ascii="Arial" w:hAnsi="Arial" w:cs="Arial"/>
                <w:bCs/>
                <w:sz w:val="24"/>
                <w:szCs w:val="24"/>
              </w:rPr>
              <w:t xml:space="preserve"> and from the telephonic consultation Mr Nangolo had with Mrs Angula</w:t>
            </w:r>
            <w:r w:rsidR="000B663A">
              <w:rPr>
                <w:rFonts w:ascii="Arial" w:hAnsi="Arial" w:cs="Arial"/>
                <w:bCs/>
                <w:sz w:val="24"/>
                <w:szCs w:val="24"/>
              </w:rPr>
              <w:t>,</w:t>
            </w:r>
            <w:r w:rsidR="002051C1" w:rsidRPr="002234F4">
              <w:rPr>
                <w:rFonts w:ascii="Arial" w:hAnsi="Arial" w:cs="Arial"/>
                <w:bCs/>
                <w:sz w:val="24"/>
                <w:szCs w:val="24"/>
              </w:rPr>
              <w:t xml:space="preserve"> on </w:t>
            </w:r>
            <w:r w:rsidR="00075CD1" w:rsidRPr="002234F4">
              <w:rPr>
                <w:rFonts w:ascii="Arial" w:hAnsi="Arial" w:cs="Arial"/>
                <w:bCs/>
                <w:sz w:val="24"/>
                <w:szCs w:val="24"/>
              </w:rPr>
              <w:t xml:space="preserve">29 </w:t>
            </w:r>
            <w:r w:rsidR="002051C1" w:rsidRPr="002234F4">
              <w:rPr>
                <w:rFonts w:ascii="Arial" w:hAnsi="Arial" w:cs="Arial"/>
                <w:bCs/>
                <w:sz w:val="24"/>
                <w:szCs w:val="24"/>
              </w:rPr>
              <w:t>October 2019</w:t>
            </w:r>
            <w:r w:rsidR="000B663A">
              <w:rPr>
                <w:rFonts w:ascii="Arial" w:hAnsi="Arial" w:cs="Arial"/>
                <w:bCs/>
                <w:sz w:val="24"/>
                <w:szCs w:val="24"/>
              </w:rPr>
              <w:t>,</w:t>
            </w:r>
            <w:r w:rsidR="002051C1" w:rsidRPr="002234F4">
              <w:rPr>
                <w:rFonts w:ascii="Arial" w:hAnsi="Arial" w:cs="Arial"/>
                <w:bCs/>
                <w:sz w:val="24"/>
                <w:szCs w:val="24"/>
              </w:rPr>
              <w:t xml:space="preserve"> and the subsequent</w:t>
            </w:r>
            <w:r w:rsidR="00075CD1" w:rsidRPr="002234F4">
              <w:rPr>
                <w:rFonts w:ascii="Arial" w:hAnsi="Arial" w:cs="Arial"/>
                <w:bCs/>
                <w:sz w:val="24"/>
                <w:szCs w:val="24"/>
              </w:rPr>
              <w:t xml:space="preserve"> written</w:t>
            </w:r>
            <w:r w:rsidR="002051C1" w:rsidRPr="002234F4">
              <w:rPr>
                <w:rFonts w:ascii="Arial" w:hAnsi="Arial" w:cs="Arial"/>
                <w:bCs/>
                <w:sz w:val="24"/>
                <w:szCs w:val="24"/>
              </w:rPr>
              <w:t xml:space="preserve"> undertaking</w:t>
            </w:r>
            <w:r w:rsidR="000B663A">
              <w:rPr>
                <w:rFonts w:ascii="Arial" w:hAnsi="Arial" w:cs="Arial"/>
                <w:bCs/>
                <w:sz w:val="24"/>
                <w:szCs w:val="24"/>
              </w:rPr>
              <w:t>,</w:t>
            </w:r>
            <w:r w:rsidR="002051C1" w:rsidRPr="002234F4">
              <w:rPr>
                <w:rFonts w:ascii="Arial" w:hAnsi="Arial" w:cs="Arial"/>
                <w:bCs/>
                <w:sz w:val="24"/>
                <w:szCs w:val="24"/>
              </w:rPr>
              <w:t xml:space="preserve"> given on 30 October</w:t>
            </w:r>
            <w:r w:rsidR="00075CD1" w:rsidRPr="002234F4">
              <w:rPr>
                <w:rFonts w:ascii="Arial" w:hAnsi="Arial" w:cs="Arial"/>
                <w:bCs/>
                <w:sz w:val="24"/>
                <w:szCs w:val="24"/>
              </w:rPr>
              <w:t xml:space="preserve"> by Mrs Angula</w:t>
            </w:r>
            <w:r w:rsidR="000B663A">
              <w:rPr>
                <w:rFonts w:ascii="Arial" w:hAnsi="Arial" w:cs="Arial"/>
                <w:bCs/>
                <w:sz w:val="24"/>
                <w:szCs w:val="24"/>
              </w:rPr>
              <w:t>,</w:t>
            </w:r>
            <w:r w:rsidR="002051C1" w:rsidRPr="002234F4">
              <w:rPr>
                <w:rFonts w:ascii="Arial" w:hAnsi="Arial" w:cs="Arial"/>
                <w:bCs/>
                <w:sz w:val="24"/>
                <w:szCs w:val="24"/>
              </w:rPr>
              <w:t xml:space="preserve"> </w:t>
            </w:r>
            <w:r w:rsidR="000B663A">
              <w:rPr>
                <w:rFonts w:ascii="Arial" w:hAnsi="Arial" w:cs="Arial"/>
                <w:bCs/>
                <w:sz w:val="24"/>
                <w:szCs w:val="24"/>
              </w:rPr>
              <w:t>that the necessary</w:t>
            </w:r>
            <w:r w:rsidR="002051C1" w:rsidRPr="002234F4">
              <w:rPr>
                <w:rFonts w:ascii="Arial" w:hAnsi="Arial" w:cs="Arial"/>
                <w:bCs/>
                <w:sz w:val="24"/>
                <w:szCs w:val="24"/>
              </w:rPr>
              <w:t xml:space="preserve"> condonation application</w:t>
            </w:r>
            <w:r w:rsidR="000B663A">
              <w:rPr>
                <w:rFonts w:ascii="Arial" w:hAnsi="Arial" w:cs="Arial"/>
                <w:bCs/>
                <w:sz w:val="24"/>
                <w:szCs w:val="24"/>
              </w:rPr>
              <w:t xml:space="preserve"> would be brought</w:t>
            </w:r>
            <w:r w:rsidR="002051C1" w:rsidRPr="002234F4">
              <w:rPr>
                <w:rFonts w:ascii="Arial" w:hAnsi="Arial" w:cs="Arial"/>
                <w:bCs/>
                <w:sz w:val="24"/>
                <w:szCs w:val="24"/>
              </w:rPr>
              <w:t xml:space="preserve"> the following day</w:t>
            </w:r>
            <w:r w:rsidR="000B663A">
              <w:rPr>
                <w:rFonts w:ascii="Arial" w:hAnsi="Arial" w:cs="Arial"/>
                <w:bCs/>
                <w:sz w:val="24"/>
                <w:szCs w:val="24"/>
              </w:rPr>
              <w:t>, from which Mr Nangolo’s and Mrs Angula’s</w:t>
            </w:r>
            <w:r w:rsidR="00075CD1" w:rsidRPr="002234F4">
              <w:rPr>
                <w:rFonts w:ascii="Arial" w:hAnsi="Arial" w:cs="Arial"/>
                <w:bCs/>
                <w:sz w:val="24"/>
                <w:szCs w:val="24"/>
              </w:rPr>
              <w:t xml:space="preserve"> acute realisation becomes apparent that condonation would be required, necessitating the promised application, but where the bringing of such application was nevertheless delayed</w:t>
            </w:r>
            <w:r w:rsidR="00316A08" w:rsidRPr="002234F4">
              <w:rPr>
                <w:rFonts w:ascii="Arial" w:hAnsi="Arial" w:cs="Arial"/>
                <w:bCs/>
                <w:sz w:val="24"/>
                <w:szCs w:val="24"/>
              </w:rPr>
              <w:t xml:space="preserve"> further, for inexplicable reasons, to 4 December</w:t>
            </w:r>
            <w:r w:rsidR="002051C1" w:rsidRPr="002234F4">
              <w:rPr>
                <w:rFonts w:ascii="Arial" w:hAnsi="Arial" w:cs="Arial"/>
                <w:bCs/>
                <w:sz w:val="24"/>
                <w:szCs w:val="24"/>
              </w:rPr>
              <w:t>.</w:t>
            </w:r>
          </w:p>
          <w:p w:rsidR="002234F4" w:rsidRPr="002234F4" w:rsidRDefault="002234F4" w:rsidP="002234F4">
            <w:pPr>
              <w:pStyle w:val="ListParagraph"/>
              <w:spacing w:line="360" w:lineRule="auto"/>
              <w:ind w:left="1155"/>
              <w:jc w:val="both"/>
              <w:rPr>
                <w:rFonts w:ascii="Arial" w:hAnsi="Arial" w:cs="Arial"/>
                <w:bCs/>
                <w:sz w:val="24"/>
                <w:szCs w:val="24"/>
              </w:rPr>
            </w:pPr>
          </w:p>
          <w:p w:rsidR="00316A08" w:rsidRDefault="00316A08" w:rsidP="00561495">
            <w:pPr>
              <w:pStyle w:val="ListParagraph"/>
              <w:numPr>
                <w:ilvl w:val="0"/>
                <w:numId w:val="27"/>
              </w:numPr>
              <w:spacing w:line="360" w:lineRule="auto"/>
              <w:ind w:left="1155" w:hanging="567"/>
              <w:jc w:val="both"/>
              <w:rPr>
                <w:rFonts w:ascii="Arial" w:hAnsi="Arial" w:cs="Arial"/>
                <w:bCs/>
                <w:sz w:val="24"/>
                <w:szCs w:val="24"/>
              </w:rPr>
            </w:pPr>
            <w:r w:rsidRPr="002234F4">
              <w:rPr>
                <w:rFonts w:ascii="Arial" w:hAnsi="Arial" w:cs="Arial"/>
                <w:bCs/>
                <w:sz w:val="24"/>
                <w:szCs w:val="24"/>
              </w:rPr>
              <w:t>The First to Seventh Respondents’ Rule 97(3) application indeed suffers from obvious serious defects, as was exposed by Mrs Miller</w:t>
            </w:r>
            <w:r w:rsidR="000B663A">
              <w:rPr>
                <w:rFonts w:ascii="Arial" w:hAnsi="Arial" w:cs="Arial"/>
                <w:bCs/>
                <w:sz w:val="24"/>
                <w:szCs w:val="24"/>
              </w:rPr>
              <w:t>,</w:t>
            </w:r>
            <w:r w:rsidRPr="002234F4">
              <w:rPr>
                <w:rFonts w:ascii="Arial" w:hAnsi="Arial" w:cs="Arial"/>
                <w:bCs/>
                <w:sz w:val="24"/>
                <w:szCs w:val="24"/>
              </w:rPr>
              <w:t xml:space="preserve"> on behalf of Mr Amalwa. It does for example not take much to understand that the provisions of Rule 97 regulate the situation where a party </w:t>
            </w:r>
            <w:r w:rsidR="000B663A">
              <w:rPr>
                <w:rFonts w:ascii="Arial" w:hAnsi="Arial" w:cs="Arial"/>
                <w:bCs/>
                <w:sz w:val="24"/>
                <w:szCs w:val="24"/>
              </w:rPr>
              <w:t xml:space="preserve">to a </w:t>
            </w:r>
            <w:r w:rsidR="000B663A" w:rsidRPr="000B663A">
              <w:rPr>
                <w:rFonts w:ascii="Arial" w:hAnsi="Arial" w:cs="Arial"/>
                <w:bCs/>
                <w:i/>
                <w:sz w:val="24"/>
                <w:szCs w:val="24"/>
              </w:rPr>
              <w:t>lis</w:t>
            </w:r>
            <w:r w:rsidR="000B663A">
              <w:rPr>
                <w:rFonts w:ascii="Arial" w:hAnsi="Arial" w:cs="Arial"/>
                <w:bCs/>
                <w:sz w:val="24"/>
                <w:szCs w:val="24"/>
              </w:rPr>
              <w:t xml:space="preserve"> </w:t>
            </w:r>
            <w:r w:rsidRPr="002234F4">
              <w:rPr>
                <w:rFonts w:ascii="Arial" w:hAnsi="Arial" w:cs="Arial"/>
                <w:bCs/>
                <w:sz w:val="24"/>
                <w:szCs w:val="24"/>
              </w:rPr>
              <w:t xml:space="preserve">delivers a Notice of Withdrawal and fails in such notice to consent </w:t>
            </w:r>
            <w:r w:rsidR="000B663A">
              <w:rPr>
                <w:rFonts w:ascii="Arial" w:hAnsi="Arial" w:cs="Arial"/>
                <w:bCs/>
                <w:sz w:val="24"/>
                <w:szCs w:val="24"/>
              </w:rPr>
              <w:t>to pay costs, in which circumstances</w:t>
            </w:r>
            <w:r w:rsidRPr="002234F4">
              <w:rPr>
                <w:rFonts w:ascii="Arial" w:hAnsi="Arial" w:cs="Arial"/>
                <w:bCs/>
                <w:sz w:val="24"/>
                <w:szCs w:val="24"/>
              </w:rPr>
              <w:t xml:space="preserve"> the other party may apply</w:t>
            </w:r>
            <w:r w:rsidR="000B663A">
              <w:rPr>
                <w:rFonts w:ascii="Arial" w:hAnsi="Arial" w:cs="Arial"/>
                <w:bCs/>
                <w:sz w:val="24"/>
                <w:szCs w:val="24"/>
              </w:rPr>
              <w:t>,</w:t>
            </w:r>
            <w:r w:rsidRPr="002234F4">
              <w:rPr>
                <w:rFonts w:ascii="Arial" w:hAnsi="Arial" w:cs="Arial"/>
                <w:bCs/>
                <w:sz w:val="24"/>
                <w:szCs w:val="24"/>
              </w:rPr>
              <w:t xml:space="preserve"> in terms of Rule 97(3)</w:t>
            </w:r>
            <w:r w:rsidR="000B663A">
              <w:rPr>
                <w:rFonts w:ascii="Arial" w:hAnsi="Arial" w:cs="Arial"/>
                <w:bCs/>
                <w:sz w:val="24"/>
                <w:szCs w:val="24"/>
              </w:rPr>
              <w:t>,</w:t>
            </w:r>
            <w:r w:rsidRPr="002234F4">
              <w:rPr>
                <w:rFonts w:ascii="Arial" w:hAnsi="Arial" w:cs="Arial"/>
                <w:bCs/>
                <w:sz w:val="24"/>
                <w:szCs w:val="24"/>
              </w:rPr>
              <w:t xml:space="preserve"> for an order for costs.</w:t>
            </w:r>
            <w:r w:rsidRPr="002234F4">
              <w:rPr>
                <w:rStyle w:val="FootnoteReference"/>
                <w:rFonts w:ascii="Arial" w:hAnsi="Arial" w:cs="Arial"/>
                <w:bCs/>
                <w:sz w:val="24"/>
                <w:szCs w:val="24"/>
              </w:rPr>
              <w:footnoteReference w:id="16"/>
            </w:r>
            <w:r w:rsidRPr="002234F4">
              <w:rPr>
                <w:rFonts w:ascii="Arial" w:hAnsi="Arial" w:cs="Arial"/>
                <w:bCs/>
                <w:sz w:val="24"/>
                <w:szCs w:val="24"/>
              </w:rPr>
              <w:t xml:space="preserve"> The applicants in the main application at no stage delivered a Notice of Withdrawal</w:t>
            </w:r>
            <w:r w:rsidR="003A1F46" w:rsidRPr="002234F4">
              <w:rPr>
                <w:rFonts w:ascii="Arial" w:hAnsi="Arial" w:cs="Arial"/>
                <w:bCs/>
                <w:sz w:val="24"/>
                <w:szCs w:val="24"/>
              </w:rPr>
              <w:t xml:space="preserve"> and in such circumstances the respondents’ resort to the provisions of the</w:t>
            </w:r>
            <w:r w:rsidR="000B663A">
              <w:rPr>
                <w:rFonts w:ascii="Arial" w:hAnsi="Arial" w:cs="Arial"/>
                <w:bCs/>
                <w:sz w:val="24"/>
                <w:szCs w:val="24"/>
              </w:rPr>
              <w:t xml:space="preserve"> said</w:t>
            </w:r>
            <w:r w:rsidR="003A1F46" w:rsidRPr="002234F4">
              <w:rPr>
                <w:rFonts w:ascii="Arial" w:hAnsi="Arial" w:cs="Arial"/>
                <w:bCs/>
                <w:sz w:val="24"/>
                <w:szCs w:val="24"/>
              </w:rPr>
              <w:t xml:space="preserve"> Rule where ill-advised. It so appears that contrary to the averment by Mr Nangolo that the Rule 97(3) application </w:t>
            </w:r>
            <w:r w:rsidR="003A1F46" w:rsidRPr="002234F4">
              <w:rPr>
                <w:rFonts w:ascii="Arial" w:hAnsi="Arial" w:cs="Arial"/>
                <w:bCs/>
                <w:i/>
                <w:sz w:val="24"/>
                <w:szCs w:val="24"/>
              </w:rPr>
              <w:t>‘ … have great prospect of success … ‘</w:t>
            </w:r>
            <w:r w:rsidR="003A1F46" w:rsidRPr="002234F4">
              <w:rPr>
                <w:rFonts w:ascii="Arial" w:hAnsi="Arial" w:cs="Arial"/>
                <w:bCs/>
                <w:sz w:val="24"/>
                <w:szCs w:val="24"/>
              </w:rPr>
              <w:t>, it would seem that this is</w:t>
            </w:r>
            <w:r w:rsidR="000B663A">
              <w:rPr>
                <w:rFonts w:ascii="Arial" w:hAnsi="Arial" w:cs="Arial"/>
                <w:bCs/>
                <w:sz w:val="24"/>
                <w:szCs w:val="24"/>
              </w:rPr>
              <w:t xml:space="preserve"> actually</w:t>
            </w:r>
            <w:r w:rsidR="003A1F46" w:rsidRPr="002234F4">
              <w:rPr>
                <w:rFonts w:ascii="Arial" w:hAnsi="Arial" w:cs="Arial"/>
                <w:bCs/>
                <w:sz w:val="24"/>
                <w:szCs w:val="24"/>
              </w:rPr>
              <w:t xml:space="preserve"> not so.</w:t>
            </w:r>
          </w:p>
          <w:p w:rsidR="002234F4" w:rsidRPr="002234F4" w:rsidRDefault="002234F4" w:rsidP="00561495">
            <w:pPr>
              <w:pStyle w:val="ListParagraph"/>
              <w:spacing w:line="360" w:lineRule="auto"/>
              <w:ind w:left="1155"/>
              <w:jc w:val="both"/>
              <w:rPr>
                <w:rFonts w:ascii="Arial" w:hAnsi="Arial" w:cs="Arial"/>
                <w:bCs/>
                <w:sz w:val="24"/>
                <w:szCs w:val="24"/>
              </w:rPr>
            </w:pPr>
          </w:p>
          <w:p w:rsidR="003A1F46" w:rsidRDefault="003A1F46" w:rsidP="00561495">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38</w:t>
            </w:r>
            <w:r w:rsidRPr="002234F4">
              <w:rPr>
                <w:rFonts w:ascii="Arial" w:hAnsi="Arial" w:cs="Arial"/>
                <w:bCs/>
                <w:sz w:val="24"/>
                <w:szCs w:val="24"/>
              </w:rPr>
              <w:t>]</w:t>
            </w:r>
            <w:r w:rsidR="00E65DE9" w:rsidRPr="002234F4">
              <w:rPr>
                <w:rFonts w:ascii="Arial" w:hAnsi="Arial" w:cs="Arial"/>
                <w:bCs/>
                <w:sz w:val="24"/>
                <w:szCs w:val="24"/>
              </w:rPr>
              <w:t xml:space="preserve">  </w:t>
            </w:r>
            <w:r w:rsidRPr="002234F4">
              <w:rPr>
                <w:rFonts w:ascii="Arial" w:hAnsi="Arial" w:cs="Arial"/>
                <w:bCs/>
                <w:sz w:val="24"/>
                <w:szCs w:val="24"/>
              </w:rPr>
              <w:t>It should further be mentioned that the timeline</w:t>
            </w:r>
            <w:r w:rsidR="000B663A">
              <w:rPr>
                <w:rFonts w:ascii="Arial" w:hAnsi="Arial" w:cs="Arial"/>
                <w:bCs/>
                <w:sz w:val="24"/>
                <w:szCs w:val="24"/>
              </w:rPr>
              <w:t>,</w:t>
            </w:r>
            <w:r w:rsidRPr="002234F4">
              <w:rPr>
                <w:rFonts w:ascii="Arial" w:hAnsi="Arial" w:cs="Arial"/>
                <w:bCs/>
                <w:sz w:val="24"/>
                <w:szCs w:val="24"/>
              </w:rPr>
              <w:t xml:space="preserve"> for the filing of the R</w:t>
            </w:r>
            <w:r w:rsidR="000B663A">
              <w:rPr>
                <w:rFonts w:ascii="Arial" w:hAnsi="Arial" w:cs="Arial"/>
                <w:bCs/>
                <w:sz w:val="24"/>
                <w:szCs w:val="24"/>
              </w:rPr>
              <w:t xml:space="preserve">ule 97(3) application, </w:t>
            </w:r>
            <w:r w:rsidRPr="002234F4">
              <w:rPr>
                <w:rFonts w:ascii="Arial" w:hAnsi="Arial" w:cs="Arial"/>
                <w:bCs/>
                <w:sz w:val="24"/>
                <w:szCs w:val="24"/>
              </w:rPr>
              <w:t>embodied in the Court Order of 17 October 2019, was self-imposed. The Court enquired from counsel appearing for the Respondents</w:t>
            </w:r>
            <w:r w:rsidR="000B663A">
              <w:rPr>
                <w:rFonts w:ascii="Arial" w:hAnsi="Arial" w:cs="Arial"/>
                <w:bCs/>
                <w:sz w:val="24"/>
                <w:szCs w:val="24"/>
              </w:rPr>
              <w:t>,</w:t>
            </w:r>
            <w:r w:rsidRPr="002234F4">
              <w:rPr>
                <w:rFonts w:ascii="Arial" w:hAnsi="Arial" w:cs="Arial"/>
                <w:bCs/>
                <w:sz w:val="24"/>
                <w:szCs w:val="24"/>
              </w:rPr>
              <w:t xml:space="preserve"> on that occasion</w:t>
            </w:r>
            <w:r w:rsidR="000B663A">
              <w:rPr>
                <w:rFonts w:ascii="Arial" w:hAnsi="Arial" w:cs="Arial"/>
                <w:bCs/>
                <w:sz w:val="24"/>
                <w:szCs w:val="24"/>
              </w:rPr>
              <w:t>,</w:t>
            </w:r>
            <w:r w:rsidRPr="002234F4">
              <w:rPr>
                <w:rFonts w:ascii="Arial" w:hAnsi="Arial" w:cs="Arial"/>
                <w:bCs/>
                <w:sz w:val="24"/>
                <w:szCs w:val="24"/>
              </w:rPr>
              <w:t xml:space="preserve"> by when they felt they would be able to deliver the intended Rule 97(3) application. The date volunteered was the 29</w:t>
            </w:r>
            <w:r w:rsidRPr="002234F4">
              <w:rPr>
                <w:rFonts w:ascii="Arial" w:hAnsi="Arial" w:cs="Arial"/>
                <w:bCs/>
                <w:sz w:val="24"/>
                <w:szCs w:val="24"/>
                <w:vertAlign w:val="superscript"/>
              </w:rPr>
              <w:t>th</w:t>
            </w:r>
            <w:r w:rsidRPr="002234F4">
              <w:rPr>
                <w:rFonts w:ascii="Arial" w:hAnsi="Arial" w:cs="Arial"/>
                <w:bCs/>
                <w:sz w:val="24"/>
                <w:szCs w:val="24"/>
              </w:rPr>
              <w:t xml:space="preserve"> of October 2019. Upon confirmation</w:t>
            </w:r>
            <w:r w:rsidR="00E253EE" w:rsidRPr="002234F4">
              <w:rPr>
                <w:rFonts w:ascii="Arial" w:hAnsi="Arial" w:cs="Arial"/>
                <w:bCs/>
                <w:sz w:val="24"/>
                <w:szCs w:val="24"/>
              </w:rPr>
              <w:t>,</w:t>
            </w:r>
            <w:r w:rsidRPr="002234F4">
              <w:rPr>
                <w:rFonts w:ascii="Arial" w:hAnsi="Arial" w:cs="Arial"/>
                <w:bCs/>
                <w:sz w:val="24"/>
                <w:szCs w:val="24"/>
              </w:rPr>
              <w:t xml:space="preserve"> from counsel appearing for both parties</w:t>
            </w:r>
            <w:r w:rsidR="00E253EE" w:rsidRPr="002234F4">
              <w:rPr>
                <w:rFonts w:ascii="Arial" w:hAnsi="Arial" w:cs="Arial"/>
                <w:bCs/>
                <w:sz w:val="24"/>
                <w:szCs w:val="24"/>
              </w:rPr>
              <w:t xml:space="preserve">, the exchange of papers was </w:t>
            </w:r>
            <w:r w:rsidR="000B663A">
              <w:rPr>
                <w:rFonts w:ascii="Arial" w:hAnsi="Arial" w:cs="Arial"/>
                <w:bCs/>
                <w:sz w:val="24"/>
                <w:szCs w:val="24"/>
              </w:rPr>
              <w:t xml:space="preserve">then </w:t>
            </w:r>
            <w:r w:rsidR="00E253EE" w:rsidRPr="002234F4">
              <w:rPr>
                <w:rFonts w:ascii="Arial" w:hAnsi="Arial" w:cs="Arial"/>
                <w:bCs/>
                <w:sz w:val="24"/>
                <w:szCs w:val="24"/>
              </w:rPr>
              <w:t>regulated by Order of Court accordingly. That the timeline so ordered was fair and sufficient, (at least for his legal practitioners), was also confirmed by Mr Nangolo himself. This timeline did apparently not suit Mr Nangolo, who obviously felt that it was more important f</w:t>
            </w:r>
            <w:r w:rsidR="000B663A">
              <w:rPr>
                <w:rFonts w:ascii="Arial" w:hAnsi="Arial" w:cs="Arial"/>
                <w:bCs/>
                <w:sz w:val="24"/>
                <w:szCs w:val="24"/>
              </w:rPr>
              <w:t>or him to attend a workshop than</w:t>
            </w:r>
            <w:r w:rsidR="00E253EE" w:rsidRPr="002234F4">
              <w:rPr>
                <w:rFonts w:ascii="Arial" w:hAnsi="Arial" w:cs="Arial"/>
                <w:bCs/>
                <w:sz w:val="24"/>
                <w:szCs w:val="24"/>
              </w:rPr>
              <w:t xml:space="preserve"> to comply with the obligations imposed on him as a result of the agreed to Court Order. A party is of course free to approach a Court at any time</w:t>
            </w:r>
            <w:r w:rsidR="000B663A">
              <w:rPr>
                <w:rFonts w:ascii="Arial" w:hAnsi="Arial" w:cs="Arial"/>
                <w:bCs/>
                <w:sz w:val="24"/>
                <w:szCs w:val="24"/>
              </w:rPr>
              <w:t>,</w:t>
            </w:r>
            <w:r w:rsidR="00E253EE" w:rsidRPr="002234F4">
              <w:rPr>
                <w:rFonts w:ascii="Arial" w:hAnsi="Arial" w:cs="Arial"/>
                <w:bCs/>
                <w:sz w:val="24"/>
                <w:szCs w:val="24"/>
              </w:rPr>
              <w:t xml:space="preserve"> in terms of Rule 55</w:t>
            </w:r>
            <w:r w:rsidR="000B663A">
              <w:rPr>
                <w:rFonts w:ascii="Arial" w:hAnsi="Arial" w:cs="Arial"/>
                <w:bCs/>
                <w:sz w:val="24"/>
                <w:szCs w:val="24"/>
              </w:rPr>
              <w:t>,</w:t>
            </w:r>
            <w:r w:rsidR="00E253EE" w:rsidRPr="002234F4">
              <w:rPr>
                <w:rFonts w:ascii="Arial" w:hAnsi="Arial" w:cs="Arial"/>
                <w:bCs/>
                <w:sz w:val="24"/>
                <w:szCs w:val="24"/>
              </w:rPr>
              <w:t xml:space="preserve"> for the extension of a period of time for the taking of a step set in a Court Order. This was also not done.</w:t>
            </w:r>
          </w:p>
          <w:p w:rsidR="002234F4" w:rsidRPr="002234F4" w:rsidRDefault="002234F4" w:rsidP="002234F4">
            <w:pPr>
              <w:spacing w:line="360" w:lineRule="auto"/>
              <w:jc w:val="both"/>
              <w:rPr>
                <w:rFonts w:ascii="Arial" w:hAnsi="Arial" w:cs="Arial"/>
                <w:bCs/>
                <w:sz w:val="24"/>
                <w:szCs w:val="24"/>
              </w:rPr>
            </w:pPr>
          </w:p>
          <w:p w:rsidR="00E253EE" w:rsidRDefault="00E253EE" w:rsidP="002234F4">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39</w:t>
            </w:r>
            <w:r w:rsidRPr="002234F4">
              <w:rPr>
                <w:rFonts w:ascii="Arial" w:hAnsi="Arial" w:cs="Arial"/>
                <w:bCs/>
                <w:sz w:val="24"/>
                <w:szCs w:val="24"/>
              </w:rPr>
              <w:t>]</w:t>
            </w:r>
            <w:r w:rsidR="00E65DE9" w:rsidRPr="002234F4">
              <w:rPr>
                <w:rFonts w:ascii="Arial" w:hAnsi="Arial" w:cs="Arial"/>
                <w:bCs/>
                <w:sz w:val="24"/>
                <w:szCs w:val="24"/>
              </w:rPr>
              <w:t xml:space="preserve">  </w:t>
            </w:r>
            <w:r w:rsidRPr="002234F4">
              <w:rPr>
                <w:rFonts w:ascii="Arial" w:hAnsi="Arial" w:cs="Arial"/>
                <w:bCs/>
                <w:sz w:val="24"/>
                <w:szCs w:val="24"/>
              </w:rPr>
              <w:t>While the abovementioned aspects</w:t>
            </w:r>
            <w:r w:rsidR="009A2FCF" w:rsidRPr="002234F4">
              <w:rPr>
                <w:rFonts w:ascii="Arial" w:hAnsi="Arial" w:cs="Arial"/>
                <w:bCs/>
                <w:sz w:val="24"/>
                <w:szCs w:val="24"/>
              </w:rPr>
              <w:t>, on their own, would already have merited the dismissal of the condonation application, there are two further aspects, which make it clear</w:t>
            </w:r>
            <w:r w:rsidR="000B663A">
              <w:rPr>
                <w:rFonts w:ascii="Arial" w:hAnsi="Arial" w:cs="Arial"/>
                <w:bCs/>
                <w:sz w:val="24"/>
                <w:szCs w:val="24"/>
              </w:rPr>
              <w:t>,</w:t>
            </w:r>
            <w:r w:rsidR="009A2FCF" w:rsidRPr="002234F4">
              <w:rPr>
                <w:rFonts w:ascii="Arial" w:hAnsi="Arial" w:cs="Arial"/>
                <w:bCs/>
                <w:sz w:val="24"/>
                <w:szCs w:val="24"/>
              </w:rPr>
              <w:t xml:space="preserve"> beyond doubt, that the Court should exercise its discretion</w:t>
            </w:r>
            <w:r w:rsidR="000B663A">
              <w:rPr>
                <w:rFonts w:ascii="Arial" w:hAnsi="Arial" w:cs="Arial"/>
                <w:bCs/>
                <w:sz w:val="24"/>
                <w:szCs w:val="24"/>
              </w:rPr>
              <w:t>, in this instance,</w:t>
            </w:r>
            <w:r w:rsidR="009A2FCF" w:rsidRPr="002234F4">
              <w:rPr>
                <w:rFonts w:ascii="Arial" w:hAnsi="Arial" w:cs="Arial"/>
                <w:bCs/>
                <w:sz w:val="24"/>
                <w:szCs w:val="24"/>
              </w:rPr>
              <w:t xml:space="preserve"> in favour of Mr Amalwa. </w:t>
            </w:r>
          </w:p>
          <w:p w:rsidR="002234F4" w:rsidRPr="002234F4" w:rsidRDefault="002234F4" w:rsidP="002234F4">
            <w:pPr>
              <w:spacing w:line="360" w:lineRule="auto"/>
              <w:jc w:val="both"/>
              <w:rPr>
                <w:rFonts w:ascii="Arial" w:hAnsi="Arial" w:cs="Arial"/>
                <w:bCs/>
                <w:sz w:val="24"/>
                <w:szCs w:val="24"/>
              </w:rPr>
            </w:pPr>
          </w:p>
          <w:p w:rsidR="009A2FCF" w:rsidRDefault="009A2FCF" w:rsidP="002234F4">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40</w:t>
            </w:r>
            <w:r w:rsidRPr="002234F4">
              <w:rPr>
                <w:rFonts w:ascii="Arial" w:hAnsi="Arial" w:cs="Arial"/>
                <w:bCs/>
                <w:sz w:val="24"/>
                <w:szCs w:val="24"/>
              </w:rPr>
              <w:t>]</w:t>
            </w:r>
            <w:r w:rsidR="00E65DE9" w:rsidRPr="002234F4">
              <w:rPr>
                <w:rFonts w:ascii="Arial" w:hAnsi="Arial" w:cs="Arial"/>
                <w:bCs/>
                <w:sz w:val="24"/>
                <w:szCs w:val="24"/>
              </w:rPr>
              <w:t xml:space="preserve">  </w:t>
            </w:r>
            <w:r w:rsidRPr="002234F4">
              <w:rPr>
                <w:rFonts w:ascii="Arial" w:hAnsi="Arial" w:cs="Arial"/>
                <w:bCs/>
                <w:sz w:val="24"/>
                <w:szCs w:val="24"/>
              </w:rPr>
              <w:t>The first aspect is that it would appear that the delay in this instance was wilful.</w:t>
            </w:r>
          </w:p>
          <w:p w:rsidR="002234F4" w:rsidRPr="002234F4" w:rsidRDefault="002234F4" w:rsidP="002234F4">
            <w:pPr>
              <w:spacing w:line="360" w:lineRule="auto"/>
              <w:jc w:val="both"/>
              <w:rPr>
                <w:rFonts w:ascii="Arial" w:hAnsi="Arial" w:cs="Arial"/>
                <w:bCs/>
                <w:sz w:val="24"/>
                <w:szCs w:val="24"/>
              </w:rPr>
            </w:pPr>
          </w:p>
          <w:p w:rsidR="009A2FCF" w:rsidRDefault="009A2FCF" w:rsidP="002234F4">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41</w:t>
            </w:r>
            <w:r w:rsidRPr="002234F4">
              <w:rPr>
                <w:rFonts w:ascii="Arial" w:hAnsi="Arial" w:cs="Arial"/>
                <w:bCs/>
                <w:sz w:val="24"/>
                <w:szCs w:val="24"/>
              </w:rPr>
              <w:t>]</w:t>
            </w:r>
            <w:r w:rsidR="00FF48D8" w:rsidRPr="002234F4">
              <w:rPr>
                <w:rFonts w:ascii="Arial" w:hAnsi="Arial" w:cs="Arial"/>
                <w:bCs/>
                <w:sz w:val="24"/>
                <w:szCs w:val="24"/>
              </w:rPr>
              <w:t xml:space="preserve">  </w:t>
            </w:r>
            <w:r w:rsidRPr="002234F4">
              <w:rPr>
                <w:rFonts w:ascii="Arial" w:hAnsi="Arial" w:cs="Arial"/>
                <w:bCs/>
                <w:sz w:val="24"/>
                <w:szCs w:val="24"/>
              </w:rPr>
              <w:t xml:space="preserve">Before any party can </w:t>
            </w:r>
            <w:r w:rsidR="000B663A">
              <w:rPr>
                <w:rFonts w:ascii="Arial" w:hAnsi="Arial" w:cs="Arial"/>
                <w:bCs/>
                <w:sz w:val="24"/>
                <w:szCs w:val="24"/>
              </w:rPr>
              <w:t xml:space="preserve">however </w:t>
            </w:r>
            <w:r w:rsidRPr="002234F4">
              <w:rPr>
                <w:rFonts w:ascii="Arial" w:hAnsi="Arial" w:cs="Arial"/>
                <w:bCs/>
                <w:sz w:val="24"/>
                <w:szCs w:val="24"/>
              </w:rPr>
              <w:t>be said to be wilful the following element</w:t>
            </w:r>
            <w:r w:rsidR="008F65E5" w:rsidRPr="002234F4">
              <w:rPr>
                <w:rFonts w:ascii="Arial" w:hAnsi="Arial" w:cs="Arial"/>
                <w:bCs/>
                <w:sz w:val="24"/>
                <w:szCs w:val="24"/>
              </w:rPr>
              <w:t>s</w:t>
            </w:r>
            <w:r w:rsidRPr="002234F4">
              <w:rPr>
                <w:rFonts w:ascii="Arial" w:hAnsi="Arial" w:cs="Arial"/>
                <w:bCs/>
                <w:sz w:val="24"/>
                <w:szCs w:val="24"/>
              </w:rPr>
              <w:t xml:space="preserve"> should be present :</w:t>
            </w:r>
          </w:p>
          <w:p w:rsidR="002234F4" w:rsidRPr="002234F4" w:rsidRDefault="002234F4" w:rsidP="002234F4">
            <w:pPr>
              <w:spacing w:line="360" w:lineRule="auto"/>
              <w:jc w:val="both"/>
              <w:rPr>
                <w:rFonts w:ascii="Arial" w:hAnsi="Arial" w:cs="Arial"/>
                <w:bCs/>
                <w:sz w:val="24"/>
                <w:szCs w:val="24"/>
              </w:rPr>
            </w:pPr>
          </w:p>
          <w:p w:rsidR="009A2FCF" w:rsidRPr="002234F4" w:rsidRDefault="009A2FCF" w:rsidP="002234F4">
            <w:pPr>
              <w:pStyle w:val="ListParagraph"/>
              <w:numPr>
                <w:ilvl w:val="0"/>
                <w:numId w:val="31"/>
              </w:numPr>
              <w:spacing w:line="360" w:lineRule="auto"/>
              <w:ind w:left="1155" w:hanging="567"/>
              <w:jc w:val="both"/>
              <w:rPr>
                <w:rFonts w:ascii="Arial" w:hAnsi="Arial" w:cs="Arial"/>
                <w:bCs/>
                <w:sz w:val="24"/>
                <w:szCs w:val="24"/>
              </w:rPr>
            </w:pPr>
            <w:r w:rsidRPr="002234F4">
              <w:rPr>
                <w:rFonts w:ascii="Arial" w:hAnsi="Arial" w:cs="Arial"/>
                <w:bCs/>
                <w:sz w:val="24"/>
                <w:szCs w:val="24"/>
              </w:rPr>
              <w:t>there should be knowledge of the step that should be taken;</w:t>
            </w:r>
          </w:p>
          <w:p w:rsidR="008F65E5" w:rsidRPr="002234F4" w:rsidRDefault="009A2FCF" w:rsidP="002234F4">
            <w:pPr>
              <w:pStyle w:val="ListParagraph"/>
              <w:numPr>
                <w:ilvl w:val="0"/>
                <w:numId w:val="31"/>
              </w:numPr>
              <w:spacing w:line="360" w:lineRule="auto"/>
              <w:ind w:left="1155" w:hanging="567"/>
              <w:jc w:val="both"/>
              <w:rPr>
                <w:rFonts w:ascii="Arial" w:hAnsi="Arial" w:cs="Arial"/>
                <w:bCs/>
                <w:sz w:val="24"/>
                <w:szCs w:val="24"/>
              </w:rPr>
            </w:pPr>
            <w:r w:rsidRPr="002234F4">
              <w:rPr>
                <w:rFonts w:ascii="Arial" w:hAnsi="Arial" w:cs="Arial"/>
                <w:bCs/>
                <w:sz w:val="24"/>
                <w:szCs w:val="24"/>
              </w:rPr>
              <w:t xml:space="preserve">there should be a deliberate refraining from taking that step; </w:t>
            </w:r>
          </w:p>
          <w:p w:rsidR="009A2FCF" w:rsidRPr="002234F4" w:rsidRDefault="009A2FCF" w:rsidP="002234F4">
            <w:pPr>
              <w:pStyle w:val="ListParagraph"/>
              <w:spacing w:line="360" w:lineRule="auto"/>
              <w:ind w:left="1155" w:hanging="567"/>
              <w:jc w:val="both"/>
              <w:rPr>
                <w:rFonts w:ascii="Arial" w:hAnsi="Arial" w:cs="Arial"/>
                <w:bCs/>
                <w:sz w:val="24"/>
                <w:szCs w:val="24"/>
              </w:rPr>
            </w:pPr>
            <w:r w:rsidRPr="002234F4">
              <w:rPr>
                <w:rFonts w:ascii="Arial" w:hAnsi="Arial" w:cs="Arial"/>
                <w:bCs/>
                <w:sz w:val="24"/>
                <w:szCs w:val="24"/>
              </w:rPr>
              <w:t>and</w:t>
            </w:r>
            <w:r w:rsidR="008F65E5" w:rsidRPr="002234F4">
              <w:rPr>
                <w:rFonts w:ascii="Arial" w:hAnsi="Arial" w:cs="Arial"/>
                <w:bCs/>
                <w:sz w:val="24"/>
                <w:szCs w:val="24"/>
              </w:rPr>
              <w:t>, while being a ‘free agent’</w:t>
            </w:r>
          </w:p>
          <w:p w:rsidR="009A2FCF" w:rsidRDefault="009A2FCF" w:rsidP="002234F4">
            <w:pPr>
              <w:pStyle w:val="ListParagraph"/>
              <w:numPr>
                <w:ilvl w:val="0"/>
                <w:numId w:val="31"/>
              </w:numPr>
              <w:spacing w:line="360" w:lineRule="auto"/>
              <w:ind w:left="1155" w:hanging="567"/>
              <w:jc w:val="both"/>
              <w:rPr>
                <w:rFonts w:ascii="Arial" w:hAnsi="Arial" w:cs="Arial"/>
                <w:bCs/>
                <w:sz w:val="24"/>
                <w:szCs w:val="24"/>
              </w:rPr>
            </w:pPr>
            <w:r w:rsidRPr="002234F4">
              <w:rPr>
                <w:rFonts w:ascii="Arial" w:hAnsi="Arial" w:cs="Arial"/>
                <w:bCs/>
                <w:sz w:val="24"/>
                <w:szCs w:val="24"/>
              </w:rPr>
              <w:t>there should be an indifference as to the consequences the default may have</w:t>
            </w:r>
            <w:r w:rsidR="008F65E5" w:rsidRPr="002234F4">
              <w:rPr>
                <w:rFonts w:ascii="Arial" w:hAnsi="Arial" w:cs="Arial"/>
                <w:bCs/>
                <w:sz w:val="24"/>
                <w:szCs w:val="24"/>
              </w:rPr>
              <w:t>.</w:t>
            </w:r>
            <w:r w:rsidR="00BE104A">
              <w:rPr>
                <w:rStyle w:val="FootnoteReference"/>
                <w:rFonts w:ascii="Arial" w:hAnsi="Arial" w:cs="Arial"/>
                <w:bCs/>
                <w:sz w:val="24"/>
                <w:szCs w:val="24"/>
              </w:rPr>
              <w:footnoteReference w:id="17"/>
            </w:r>
          </w:p>
          <w:p w:rsidR="002234F4" w:rsidRPr="002234F4" w:rsidRDefault="002234F4" w:rsidP="002234F4">
            <w:pPr>
              <w:pStyle w:val="ListParagraph"/>
              <w:spacing w:line="360" w:lineRule="auto"/>
              <w:ind w:left="1155"/>
              <w:jc w:val="both"/>
              <w:rPr>
                <w:rFonts w:ascii="Arial" w:hAnsi="Arial" w:cs="Arial"/>
                <w:bCs/>
                <w:sz w:val="24"/>
                <w:szCs w:val="24"/>
              </w:rPr>
            </w:pPr>
          </w:p>
          <w:p w:rsidR="008F65E5" w:rsidRDefault="008F65E5" w:rsidP="002234F4">
            <w:pPr>
              <w:spacing w:line="360" w:lineRule="auto"/>
              <w:jc w:val="both"/>
              <w:rPr>
                <w:rFonts w:ascii="Arial" w:hAnsi="Arial" w:cs="Arial"/>
                <w:bCs/>
                <w:sz w:val="24"/>
                <w:szCs w:val="24"/>
              </w:rPr>
            </w:pPr>
            <w:r w:rsidRPr="002234F4">
              <w:rPr>
                <w:rFonts w:ascii="Arial" w:hAnsi="Arial" w:cs="Arial"/>
                <w:bCs/>
                <w:sz w:val="24"/>
                <w:szCs w:val="24"/>
              </w:rPr>
              <w:t>[</w:t>
            </w:r>
            <w:r w:rsidR="00E65DE9" w:rsidRPr="002234F4">
              <w:rPr>
                <w:rFonts w:ascii="Arial" w:hAnsi="Arial" w:cs="Arial"/>
                <w:bCs/>
                <w:sz w:val="24"/>
                <w:szCs w:val="24"/>
              </w:rPr>
              <w:t>42</w:t>
            </w:r>
            <w:r w:rsidRPr="002234F4">
              <w:rPr>
                <w:rFonts w:ascii="Arial" w:hAnsi="Arial" w:cs="Arial"/>
                <w:bCs/>
                <w:sz w:val="24"/>
                <w:szCs w:val="24"/>
              </w:rPr>
              <w:t>]</w:t>
            </w:r>
            <w:r w:rsidR="00E65DE9" w:rsidRPr="002234F4">
              <w:rPr>
                <w:rFonts w:ascii="Arial" w:hAnsi="Arial" w:cs="Arial"/>
                <w:bCs/>
                <w:sz w:val="24"/>
                <w:szCs w:val="24"/>
              </w:rPr>
              <w:t xml:space="preserve">  </w:t>
            </w:r>
            <w:r w:rsidRPr="002234F4">
              <w:rPr>
                <w:rFonts w:ascii="Arial" w:hAnsi="Arial" w:cs="Arial"/>
                <w:bCs/>
                <w:sz w:val="24"/>
                <w:szCs w:val="24"/>
              </w:rPr>
              <w:t xml:space="preserve">From the facts underlying this case all three requirements are met. There can be no doubt that both Mr Nangola and Mrs Angula where all along aware within what time the Rule 97(3) had to be brought - and – once the telephonic consultation between </w:t>
            </w:r>
            <w:r w:rsidR="000B663A">
              <w:rPr>
                <w:rFonts w:ascii="Arial" w:hAnsi="Arial" w:cs="Arial"/>
                <w:bCs/>
                <w:sz w:val="24"/>
                <w:szCs w:val="24"/>
              </w:rPr>
              <w:t xml:space="preserve">Mr </w:t>
            </w:r>
            <w:r w:rsidRPr="002234F4">
              <w:rPr>
                <w:rFonts w:ascii="Arial" w:hAnsi="Arial" w:cs="Arial"/>
                <w:bCs/>
                <w:sz w:val="24"/>
                <w:szCs w:val="24"/>
              </w:rPr>
              <w:t>Nangolo and Mrs Angula</w:t>
            </w:r>
            <w:r w:rsidR="000B663A">
              <w:rPr>
                <w:rFonts w:ascii="Arial" w:hAnsi="Arial" w:cs="Arial"/>
                <w:bCs/>
                <w:sz w:val="24"/>
                <w:szCs w:val="24"/>
              </w:rPr>
              <w:t xml:space="preserve"> had</w:t>
            </w:r>
            <w:r w:rsidRPr="002234F4">
              <w:rPr>
                <w:rFonts w:ascii="Arial" w:hAnsi="Arial" w:cs="Arial"/>
                <w:bCs/>
                <w:sz w:val="24"/>
                <w:szCs w:val="24"/>
              </w:rPr>
              <w:t xml:space="preserve"> occurred</w:t>
            </w:r>
            <w:r w:rsidR="000B663A">
              <w:rPr>
                <w:rFonts w:ascii="Arial" w:hAnsi="Arial" w:cs="Arial"/>
                <w:bCs/>
                <w:sz w:val="24"/>
                <w:szCs w:val="24"/>
              </w:rPr>
              <w:t xml:space="preserve"> -</w:t>
            </w:r>
            <w:r w:rsidRPr="002234F4">
              <w:rPr>
                <w:rFonts w:ascii="Arial" w:hAnsi="Arial" w:cs="Arial"/>
                <w:bCs/>
                <w:sz w:val="24"/>
                <w:szCs w:val="24"/>
              </w:rPr>
              <w:t xml:space="preserve"> on 29 October 2019 - that a condonation application would also have to be brought. Despite such knowledge the promised condonation application was neither delivered on 31 October 2019, or at any time immediately thereafter. It required the case management proceedings of 4 December to oblige the respondents to eventually deliver the application, and only once</w:t>
            </w:r>
            <w:r w:rsidR="00784B19" w:rsidRPr="002234F4">
              <w:rPr>
                <w:rFonts w:ascii="Arial" w:hAnsi="Arial" w:cs="Arial"/>
                <w:bCs/>
                <w:sz w:val="24"/>
                <w:szCs w:val="24"/>
              </w:rPr>
              <w:t xml:space="preserve"> they had been</w:t>
            </w:r>
            <w:r w:rsidRPr="002234F4">
              <w:rPr>
                <w:rFonts w:ascii="Arial" w:hAnsi="Arial" w:cs="Arial"/>
                <w:bCs/>
                <w:sz w:val="24"/>
                <w:szCs w:val="24"/>
              </w:rPr>
              <w:t xml:space="preserve"> ordered to do so. </w:t>
            </w:r>
          </w:p>
          <w:p w:rsidR="002234F4" w:rsidRPr="002234F4" w:rsidRDefault="002234F4" w:rsidP="002234F4">
            <w:pPr>
              <w:spacing w:line="360" w:lineRule="auto"/>
              <w:jc w:val="both"/>
              <w:rPr>
                <w:rFonts w:ascii="Arial" w:hAnsi="Arial" w:cs="Arial"/>
                <w:bCs/>
                <w:sz w:val="24"/>
                <w:szCs w:val="24"/>
              </w:rPr>
            </w:pPr>
          </w:p>
          <w:p w:rsidR="00784B19" w:rsidRPr="002234F4" w:rsidRDefault="00784B19" w:rsidP="002234F4">
            <w:pPr>
              <w:spacing w:line="360" w:lineRule="auto"/>
              <w:jc w:val="both"/>
              <w:rPr>
                <w:rFonts w:ascii="Arial" w:hAnsi="Arial" w:cs="Arial"/>
                <w:bCs/>
                <w:sz w:val="24"/>
                <w:szCs w:val="24"/>
              </w:rPr>
            </w:pPr>
            <w:r w:rsidRPr="002234F4">
              <w:rPr>
                <w:rFonts w:ascii="Arial" w:hAnsi="Arial" w:cs="Arial"/>
                <w:bCs/>
                <w:sz w:val="24"/>
                <w:szCs w:val="24"/>
              </w:rPr>
              <w:t>[</w:t>
            </w:r>
            <w:r w:rsidR="002234F4" w:rsidRPr="002234F4">
              <w:rPr>
                <w:rFonts w:ascii="Arial" w:hAnsi="Arial" w:cs="Arial"/>
                <w:bCs/>
                <w:sz w:val="24"/>
                <w:szCs w:val="24"/>
              </w:rPr>
              <w:t>43</w:t>
            </w:r>
            <w:r w:rsidRPr="002234F4">
              <w:rPr>
                <w:rFonts w:ascii="Arial" w:hAnsi="Arial" w:cs="Arial"/>
                <w:bCs/>
                <w:sz w:val="24"/>
                <w:szCs w:val="24"/>
              </w:rPr>
              <w:t>]</w:t>
            </w:r>
            <w:r w:rsidR="002234F4" w:rsidRPr="002234F4">
              <w:rPr>
                <w:rFonts w:ascii="Arial" w:hAnsi="Arial" w:cs="Arial"/>
                <w:bCs/>
                <w:sz w:val="24"/>
                <w:szCs w:val="24"/>
              </w:rPr>
              <w:t xml:space="preserve">  </w:t>
            </w:r>
            <w:r w:rsidRPr="002234F4">
              <w:rPr>
                <w:rFonts w:ascii="Arial" w:hAnsi="Arial" w:cs="Arial"/>
                <w:bCs/>
                <w:sz w:val="24"/>
                <w:szCs w:val="24"/>
              </w:rPr>
              <w:t>The inference to be drawn from the manner in which these obligations where approached by the respondents and their legal practitioner already go a long way in proving their indifference to the possible consequences flowing from their inaction. This indifference is however further underscored by their track record and ove</w:t>
            </w:r>
            <w:r w:rsidR="009731DD">
              <w:rPr>
                <w:rFonts w:ascii="Arial" w:hAnsi="Arial" w:cs="Arial"/>
                <w:bCs/>
                <w:sz w:val="24"/>
                <w:szCs w:val="24"/>
              </w:rPr>
              <w:t xml:space="preserve">rall conduct </w:t>
            </w:r>
            <w:r w:rsidR="00BE104A">
              <w:rPr>
                <w:rFonts w:ascii="Arial" w:hAnsi="Arial" w:cs="Arial"/>
                <w:bCs/>
                <w:sz w:val="24"/>
                <w:szCs w:val="24"/>
              </w:rPr>
              <w:t>in this case - and this is the second aspect -</w:t>
            </w:r>
            <w:r w:rsidR="009731DD">
              <w:rPr>
                <w:rFonts w:ascii="Arial" w:hAnsi="Arial" w:cs="Arial"/>
                <w:bCs/>
                <w:sz w:val="24"/>
                <w:szCs w:val="24"/>
              </w:rPr>
              <w:t xml:space="preserve"> in respect of which it had been</w:t>
            </w:r>
            <w:r w:rsidRPr="002234F4">
              <w:rPr>
                <w:rFonts w:ascii="Arial" w:hAnsi="Arial" w:cs="Arial"/>
                <w:bCs/>
                <w:sz w:val="24"/>
                <w:szCs w:val="24"/>
              </w:rPr>
              <w:t xml:space="preserve"> pointed out that there were a number of previous instances of non/late compliances with the Rules of Court and Case Management Orders. They were listed as follows :</w:t>
            </w:r>
          </w:p>
          <w:p w:rsidR="00784B19" w:rsidRPr="002234F4" w:rsidRDefault="00784B19" w:rsidP="002234F4">
            <w:pPr>
              <w:pStyle w:val="ListParagraph"/>
              <w:spacing w:line="360" w:lineRule="auto"/>
              <w:ind w:left="1080"/>
              <w:jc w:val="both"/>
              <w:rPr>
                <w:rFonts w:ascii="Arial" w:hAnsi="Arial" w:cs="Arial"/>
                <w:bCs/>
              </w:rPr>
            </w:pPr>
          </w:p>
          <w:p w:rsidR="00784B19" w:rsidRPr="002234F4" w:rsidRDefault="00784B19" w:rsidP="002234F4">
            <w:pPr>
              <w:pStyle w:val="ListParagraph"/>
              <w:spacing w:line="360" w:lineRule="auto"/>
              <w:ind w:left="1157" w:hanging="567"/>
              <w:jc w:val="both"/>
              <w:rPr>
                <w:rFonts w:ascii="Arial" w:hAnsi="Arial" w:cs="Arial"/>
                <w:bCs/>
              </w:rPr>
            </w:pPr>
            <w:r w:rsidRPr="002234F4">
              <w:rPr>
                <w:rFonts w:ascii="Arial" w:hAnsi="Arial" w:cs="Arial"/>
                <w:bCs/>
              </w:rPr>
              <w:lastRenderedPageBreak/>
              <w:t>‘</w:t>
            </w:r>
            <w:r w:rsidR="002234F4" w:rsidRPr="002234F4">
              <w:rPr>
                <w:rFonts w:ascii="Arial" w:hAnsi="Arial" w:cs="Arial"/>
                <w:bCs/>
              </w:rPr>
              <w:t xml:space="preserve">a)  </w:t>
            </w:r>
            <w:r w:rsidRPr="002234F4">
              <w:rPr>
                <w:rFonts w:ascii="Arial" w:hAnsi="Arial" w:cs="Arial"/>
                <w:bCs/>
              </w:rPr>
              <w:t>The condonation application dated 5 October 2018 for the non-compliance with Rule 66 – late filing of the respondents’ answering affidavit. The condonation application was filed approximately two months after the date of non-compliance;</w:t>
            </w:r>
          </w:p>
          <w:p w:rsidR="00784B19" w:rsidRPr="002234F4" w:rsidRDefault="002234F4" w:rsidP="002234F4">
            <w:pPr>
              <w:pStyle w:val="ListParagraph"/>
              <w:numPr>
                <w:ilvl w:val="0"/>
                <w:numId w:val="24"/>
              </w:numPr>
              <w:spacing w:line="360" w:lineRule="auto"/>
              <w:ind w:left="1155" w:hanging="567"/>
              <w:jc w:val="both"/>
              <w:rPr>
                <w:rFonts w:ascii="Arial" w:hAnsi="Arial" w:cs="Arial"/>
                <w:bCs/>
              </w:rPr>
            </w:pPr>
            <w:r w:rsidRPr="002234F4">
              <w:rPr>
                <w:rFonts w:ascii="Arial" w:hAnsi="Arial" w:cs="Arial"/>
                <w:bCs/>
              </w:rPr>
              <w:t xml:space="preserve"> </w:t>
            </w:r>
            <w:r w:rsidR="00784B19" w:rsidRPr="002234F4">
              <w:rPr>
                <w:rFonts w:ascii="Arial" w:hAnsi="Arial" w:cs="Arial"/>
                <w:bCs/>
              </w:rPr>
              <w:t>The condonation application dated 14 December 2018 – late filing of the respondents’ answering affidavit in the recusal application;</w:t>
            </w:r>
          </w:p>
          <w:p w:rsidR="00784B19" w:rsidRDefault="00784B19" w:rsidP="002234F4">
            <w:pPr>
              <w:pStyle w:val="ListParagraph"/>
              <w:numPr>
                <w:ilvl w:val="0"/>
                <w:numId w:val="24"/>
              </w:numPr>
              <w:spacing w:line="360" w:lineRule="auto"/>
              <w:ind w:left="1155" w:hanging="567"/>
              <w:jc w:val="both"/>
              <w:rPr>
                <w:rFonts w:ascii="Arial" w:hAnsi="Arial" w:cs="Arial"/>
                <w:bCs/>
              </w:rPr>
            </w:pPr>
            <w:r w:rsidRPr="002234F4">
              <w:rPr>
                <w:rFonts w:ascii="Arial" w:hAnsi="Arial" w:cs="Arial"/>
                <w:bCs/>
              </w:rPr>
              <w:t>The condonation application dated 29 January 2019 for the late filing of the respondents’ answering affidavit in the second application for recusal.’</w:t>
            </w:r>
          </w:p>
          <w:p w:rsidR="002234F4" w:rsidRPr="002234F4" w:rsidRDefault="002234F4" w:rsidP="002234F4">
            <w:pPr>
              <w:pStyle w:val="ListParagraph"/>
              <w:spacing w:line="360" w:lineRule="auto"/>
              <w:ind w:left="1155"/>
              <w:jc w:val="both"/>
              <w:rPr>
                <w:rFonts w:ascii="Arial" w:hAnsi="Arial" w:cs="Arial"/>
                <w:bCs/>
              </w:rPr>
            </w:pPr>
          </w:p>
          <w:p w:rsidR="00784B19" w:rsidRDefault="00784B19" w:rsidP="002234F4">
            <w:pPr>
              <w:spacing w:line="360" w:lineRule="auto"/>
              <w:jc w:val="both"/>
              <w:rPr>
                <w:rFonts w:ascii="Arial" w:hAnsi="Arial" w:cs="Arial"/>
                <w:bCs/>
                <w:sz w:val="24"/>
                <w:szCs w:val="24"/>
              </w:rPr>
            </w:pPr>
            <w:r w:rsidRPr="002234F4">
              <w:rPr>
                <w:rFonts w:ascii="Arial" w:hAnsi="Arial" w:cs="Arial"/>
                <w:bCs/>
                <w:sz w:val="24"/>
                <w:szCs w:val="24"/>
              </w:rPr>
              <w:t>[</w:t>
            </w:r>
            <w:r w:rsidR="002234F4" w:rsidRPr="002234F4">
              <w:rPr>
                <w:rFonts w:ascii="Arial" w:hAnsi="Arial" w:cs="Arial"/>
                <w:bCs/>
                <w:sz w:val="24"/>
                <w:szCs w:val="24"/>
              </w:rPr>
              <w:t>44</w:t>
            </w:r>
            <w:r w:rsidRPr="002234F4">
              <w:rPr>
                <w:rFonts w:ascii="Arial" w:hAnsi="Arial" w:cs="Arial"/>
                <w:bCs/>
                <w:sz w:val="24"/>
                <w:szCs w:val="24"/>
              </w:rPr>
              <w:t>]</w:t>
            </w:r>
            <w:r w:rsidR="002234F4" w:rsidRPr="002234F4">
              <w:rPr>
                <w:rFonts w:ascii="Arial" w:hAnsi="Arial" w:cs="Arial"/>
                <w:bCs/>
                <w:sz w:val="24"/>
                <w:szCs w:val="24"/>
              </w:rPr>
              <w:t xml:space="preserve">  </w:t>
            </w:r>
            <w:r w:rsidRPr="002234F4">
              <w:rPr>
                <w:rFonts w:ascii="Arial" w:hAnsi="Arial" w:cs="Arial"/>
                <w:bCs/>
                <w:sz w:val="24"/>
                <w:szCs w:val="24"/>
              </w:rPr>
              <w:t>The concl</w:t>
            </w:r>
            <w:r w:rsidR="009731DD">
              <w:rPr>
                <w:rFonts w:ascii="Arial" w:hAnsi="Arial" w:cs="Arial"/>
                <w:bCs/>
                <w:sz w:val="24"/>
                <w:szCs w:val="24"/>
              </w:rPr>
              <w:t xml:space="preserve">usion from this is inescapable - </w:t>
            </w:r>
            <w:r w:rsidRPr="002234F4">
              <w:rPr>
                <w:rFonts w:ascii="Arial" w:hAnsi="Arial" w:cs="Arial"/>
                <w:bCs/>
                <w:sz w:val="24"/>
                <w:szCs w:val="24"/>
              </w:rPr>
              <w:t>namely that the</w:t>
            </w:r>
            <w:r w:rsidR="001A010C" w:rsidRPr="002234F4">
              <w:rPr>
                <w:rFonts w:ascii="Arial" w:hAnsi="Arial" w:cs="Arial"/>
                <w:bCs/>
                <w:sz w:val="24"/>
                <w:szCs w:val="24"/>
              </w:rPr>
              <w:t xml:space="preserve"> first to seventh respondents, the</w:t>
            </w:r>
            <w:r w:rsidRPr="002234F4">
              <w:rPr>
                <w:rFonts w:ascii="Arial" w:hAnsi="Arial" w:cs="Arial"/>
                <w:bCs/>
                <w:sz w:val="24"/>
                <w:szCs w:val="24"/>
              </w:rPr>
              <w:t xml:space="preserve"> applicants</w:t>
            </w:r>
            <w:r w:rsidR="001A010C" w:rsidRPr="002234F4">
              <w:rPr>
                <w:rFonts w:ascii="Arial" w:hAnsi="Arial" w:cs="Arial"/>
                <w:bCs/>
                <w:sz w:val="24"/>
                <w:szCs w:val="24"/>
              </w:rPr>
              <w:t xml:space="preserve"> in this condonation application – in whose favour condonation was granted on thr</w:t>
            </w:r>
            <w:r w:rsidR="00BE104A">
              <w:rPr>
                <w:rFonts w:ascii="Arial" w:hAnsi="Arial" w:cs="Arial"/>
                <w:bCs/>
                <w:sz w:val="24"/>
                <w:szCs w:val="24"/>
              </w:rPr>
              <w:t>ee previous occasions – take</w:t>
            </w:r>
            <w:r w:rsidR="001A010C" w:rsidRPr="002234F4">
              <w:rPr>
                <w:rFonts w:ascii="Arial" w:hAnsi="Arial" w:cs="Arial"/>
                <w:bCs/>
                <w:sz w:val="24"/>
                <w:szCs w:val="24"/>
              </w:rPr>
              <w:t xml:space="preserve"> condonation for granted. This also seems to be the explanation for their indifferent attitude towards the</w:t>
            </w:r>
            <w:r w:rsidR="009731DD">
              <w:rPr>
                <w:rFonts w:ascii="Arial" w:hAnsi="Arial" w:cs="Arial"/>
                <w:bCs/>
                <w:sz w:val="24"/>
                <w:szCs w:val="24"/>
              </w:rPr>
              <w:t xml:space="preserve"> possible</w:t>
            </w:r>
            <w:r w:rsidR="001A010C" w:rsidRPr="002234F4">
              <w:rPr>
                <w:rFonts w:ascii="Arial" w:hAnsi="Arial" w:cs="Arial"/>
                <w:bCs/>
                <w:sz w:val="24"/>
                <w:szCs w:val="24"/>
              </w:rPr>
              <w:t xml:space="preserve"> consequences of their further default, which must then also be classified as wilful.</w:t>
            </w:r>
          </w:p>
          <w:p w:rsidR="002234F4" w:rsidRPr="002234F4" w:rsidRDefault="002234F4" w:rsidP="002234F4">
            <w:pPr>
              <w:spacing w:line="360" w:lineRule="auto"/>
              <w:jc w:val="both"/>
              <w:rPr>
                <w:rFonts w:ascii="Arial" w:hAnsi="Arial" w:cs="Arial"/>
                <w:bCs/>
                <w:sz w:val="24"/>
                <w:szCs w:val="24"/>
              </w:rPr>
            </w:pPr>
          </w:p>
          <w:p w:rsidR="001A010C" w:rsidRDefault="001A010C" w:rsidP="002234F4">
            <w:pPr>
              <w:spacing w:line="360" w:lineRule="auto"/>
              <w:jc w:val="both"/>
              <w:rPr>
                <w:rFonts w:ascii="Arial" w:hAnsi="Arial" w:cs="Arial"/>
                <w:bCs/>
                <w:sz w:val="24"/>
                <w:szCs w:val="24"/>
              </w:rPr>
            </w:pPr>
            <w:r w:rsidRPr="002234F4">
              <w:rPr>
                <w:rFonts w:ascii="Arial" w:hAnsi="Arial" w:cs="Arial"/>
                <w:bCs/>
                <w:sz w:val="24"/>
                <w:szCs w:val="24"/>
              </w:rPr>
              <w:t>[</w:t>
            </w:r>
            <w:r w:rsidR="002234F4" w:rsidRPr="002234F4">
              <w:rPr>
                <w:rFonts w:ascii="Arial" w:hAnsi="Arial" w:cs="Arial"/>
                <w:bCs/>
                <w:sz w:val="24"/>
                <w:szCs w:val="24"/>
              </w:rPr>
              <w:t>45</w:t>
            </w:r>
            <w:r w:rsidRPr="002234F4">
              <w:rPr>
                <w:rFonts w:ascii="Arial" w:hAnsi="Arial" w:cs="Arial"/>
                <w:bCs/>
                <w:sz w:val="24"/>
                <w:szCs w:val="24"/>
              </w:rPr>
              <w:t>]</w:t>
            </w:r>
            <w:r w:rsidR="002234F4" w:rsidRPr="002234F4">
              <w:rPr>
                <w:rFonts w:ascii="Arial" w:hAnsi="Arial" w:cs="Arial"/>
                <w:bCs/>
                <w:sz w:val="24"/>
                <w:szCs w:val="24"/>
              </w:rPr>
              <w:t xml:space="preserve">  </w:t>
            </w:r>
            <w:r w:rsidRPr="002234F4">
              <w:rPr>
                <w:rFonts w:ascii="Arial" w:hAnsi="Arial" w:cs="Arial"/>
                <w:bCs/>
                <w:sz w:val="24"/>
                <w:szCs w:val="24"/>
              </w:rPr>
              <w:t xml:space="preserve">The conduct of the respondents must, in the circumstances, </w:t>
            </w:r>
            <w:r w:rsidR="009731DD">
              <w:rPr>
                <w:rFonts w:ascii="Arial" w:hAnsi="Arial" w:cs="Arial"/>
                <w:bCs/>
                <w:sz w:val="24"/>
                <w:szCs w:val="24"/>
              </w:rPr>
              <w:t xml:space="preserve">also </w:t>
            </w:r>
            <w:r w:rsidRPr="002234F4">
              <w:rPr>
                <w:rFonts w:ascii="Arial" w:hAnsi="Arial" w:cs="Arial"/>
                <w:bCs/>
                <w:sz w:val="24"/>
                <w:szCs w:val="24"/>
              </w:rPr>
              <w:t>be considered as egregious. It foll</w:t>
            </w:r>
            <w:r w:rsidR="009731DD">
              <w:rPr>
                <w:rFonts w:ascii="Arial" w:hAnsi="Arial" w:cs="Arial"/>
                <w:bCs/>
                <w:sz w:val="24"/>
                <w:szCs w:val="24"/>
              </w:rPr>
              <w:t>ows that the sought condonation</w:t>
            </w:r>
            <w:r w:rsidRPr="002234F4">
              <w:rPr>
                <w:rFonts w:ascii="Arial" w:hAnsi="Arial" w:cs="Arial"/>
                <w:bCs/>
                <w:sz w:val="24"/>
                <w:szCs w:val="24"/>
              </w:rPr>
              <w:t xml:space="preserve"> can for these reasons not be granted.</w:t>
            </w:r>
          </w:p>
          <w:p w:rsidR="002234F4" w:rsidRPr="002234F4" w:rsidRDefault="002234F4" w:rsidP="002234F4">
            <w:pPr>
              <w:spacing w:line="360" w:lineRule="auto"/>
              <w:jc w:val="both"/>
              <w:rPr>
                <w:rFonts w:ascii="Arial" w:hAnsi="Arial" w:cs="Arial"/>
                <w:bCs/>
                <w:sz w:val="24"/>
                <w:szCs w:val="24"/>
                <w:u w:val="single"/>
              </w:rPr>
            </w:pPr>
          </w:p>
          <w:p w:rsidR="00314A7B" w:rsidRDefault="001A010C" w:rsidP="002234F4">
            <w:pPr>
              <w:spacing w:line="360" w:lineRule="auto"/>
              <w:jc w:val="both"/>
              <w:rPr>
                <w:rFonts w:ascii="Arial" w:hAnsi="Arial" w:cs="Arial"/>
                <w:bCs/>
                <w:sz w:val="24"/>
                <w:szCs w:val="24"/>
                <w:u w:val="single"/>
              </w:rPr>
            </w:pPr>
            <w:r w:rsidRPr="002234F4">
              <w:rPr>
                <w:rFonts w:ascii="Arial" w:hAnsi="Arial" w:cs="Arial"/>
                <w:bCs/>
                <w:sz w:val="24"/>
                <w:szCs w:val="24"/>
                <w:u w:val="single"/>
              </w:rPr>
              <w:t>Costs</w:t>
            </w:r>
          </w:p>
          <w:p w:rsidR="002234F4" w:rsidRPr="002234F4" w:rsidRDefault="002234F4" w:rsidP="002234F4">
            <w:pPr>
              <w:spacing w:line="360" w:lineRule="auto"/>
              <w:jc w:val="both"/>
              <w:rPr>
                <w:rFonts w:ascii="Arial" w:hAnsi="Arial" w:cs="Arial"/>
                <w:bCs/>
                <w:sz w:val="24"/>
                <w:szCs w:val="24"/>
                <w:u w:val="single"/>
              </w:rPr>
            </w:pPr>
          </w:p>
          <w:p w:rsidR="001A010C" w:rsidRPr="002234F4" w:rsidRDefault="001A29D5" w:rsidP="002234F4">
            <w:pPr>
              <w:spacing w:line="360" w:lineRule="auto"/>
              <w:jc w:val="both"/>
              <w:rPr>
                <w:rFonts w:ascii="Arial" w:hAnsi="Arial" w:cs="Arial"/>
                <w:sz w:val="24"/>
                <w:szCs w:val="24"/>
              </w:rPr>
            </w:pPr>
            <w:r w:rsidRPr="002234F4">
              <w:rPr>
                <w:rFonts w:ascii="Arial" w:hAnsi="Arial" w:cs="Arial"/>
                <w:sz w:val="24"/>
                <w:szCs w:val="24"/>
              </w:rPr>
              <w:t>[</w:t>
            </w:r>
            <w:r w:rsidR="002234F4" w:rsidRPr="002234F4">
              <w:rPr>
                <w:rFonts w:ascii="Arial" w:hAnsi="Arial" w:cs="Arial"/>
                <w:sz w:val="24"/>
                <w:szCs w:val="24"/>
              </w:rPr>
              <w:t>46</w:t>
            </w:r>
            <w:r w:rsidRPr="002234F4">
              <w:rPr>
                <w:rFonts w:ascii="Arial" w:hAnsi="Arial" w:cs="Arial"/>
                <w:sz w:val="24"/>
                <w:szCs w:val="24"/>
              </w:rPr>
              <w:t>]</w:t>
            </w:r>
            <w:r w:rsidR="002234F4" w:rsidRPr="002234F4">
              <w:rPr>
                <w:rFonts w:ascii="Arial" w:hAnsi="Arial" w:cs="Arial"/>
                <w:sz w:val="24"/>
                <w:szCs w:val="24"/>
              </w:rPr>
              <w:t xml:space="preserve">  </w:t>
            </w:r>
            <w:r w:rsidRPr="002234F4">
              <w:rPr>
                <w:rFonts w:ascii="Arial" w:hAnsi="Arial" w:cs="Arial"/>
                <w:sz w:val="24"/>
                <w:szCs w:val="24"/>
              </w:rPr>
              <w:t>As far as the</w:t>
            </w:r>
            <w:r w:rsidR="001A010C" w:rsidRPr="002234F4">
              <w:rPr>
                <w:rFonts w:ascii="Arial" w:hAnsi="Arial" w:cs="Arial"/>
                <w:sz w:val="24"/>
                <w:szCs w:val="24"/>
              </w:rPr>
              <w:t xml:space="preserve"> consequent</w:t>
            </w:r>
            <w:r w:rsidRPr="002234F4">
              <w:rPr>
                <w:rFonts w:ascii="Arial" w:hAnsi="Arial" w:cs="Arial"/>
                <w:sz w:val="24"/>
                <w:szCs w:val="24"/>
              </w:rPr>
              <w:t xml:space="preserve"> issue of costs</w:t>
            </w:r>
            <w:r w:rsidR="001A010C" w:rsidRPr="002234F4">
              <w:rPr>
                <w:rFonts w:ascii="Arial" w:hAnsi="Arial" w:cs="Arial"/>
                <w:sz w:val="24"/>
                <w:szCs w:val="24"/>
              </w:rPr>
              <w:t xml:space="preserve"> – in such circumstances -</w:t>
            </w:r>
            <w:r w:rsidR="009731DD">
              <w:rPr>
                <w:rFonts w:ascii="Arial" w:hAnsi="Arial" w:cs="Arial"/>
                <w:sz w:val="24"/>
                <w:szCs w:val="24"/>
              </w:rPr>
              <w:t xml:space="preserve"> is concerned</w:t>
            </w:r>
            <w:r w:rsidR="00BE104A">
              <w:rPr>
                <w:rFonts w:ascii="Arial" w:hAnsi="Arial" w:cs="Arial"/>
                <w:sz w:val="24"/>
                <w:szCs w:val="24"/>
              </w:rPr>
              <w:t>,</w:t>
            </w:r>
            <w:r w:rsidR="009731DD">
              <w:rPr>
                <w:rFonts w:ascii="Arial" w:hAnsi="Arial" w:cs="Arial"/>
                <w:sz w:val="24"/>
                <w:szCs w:val="24"/>
              </w:rPr>
              <w:t xml:space="preserve"> I believe </w:t>
            </w:r>
            <w:r w:rsidRPr="002234F4">
              <w:rPr>
                <w:rFonts w:ascii="Arial" w:hAnsi="Arial" w:cs="Arial"/>
                <w:sz w:val="24"/>
                <w:szCs w:val="24"/>
              </w:rPr>
              <w:t>that</w:t>
            </w:r>
            <w:r w:rsidR="001A010C" w:rsidRPr="002234F4">
              <w:rPr>
                <w:rFonts w:ascii="Arial" w:hAnsi="Arial" w:cs="Arial"/>
                <w:sz w:val="24"/>
                <w:szCs w:val="24"/>
              </w:rPr>
              <w:t xml:space="preserve"> </w:t>
            </w:r>
            <w:r w:rsidR="009731DD">
              <w:rPr>
                <w:rFonts w:ascii="Arial" w:hAnsi="Arial" w:cs="Arial"/>
                <w:sz w:val="24"/>
                <w:szCs w:val="24"/>
              </w:rPr>
              <w:t>nothing further needs to be added</w:t>
            </w:r>
            <w:r w:rsidR="001A010C" w:rsidRPr="002234F4">
              <w:rPr>
                <w:rFonts w:ascii="Arial" w:hAnsi="Arial" w:cs="Arial"/>
                <w:sz w:val="24"/>
                <w:szCs w:val="24"/>
              </w:rPr>
              <w:t>.</w:t>
            </w:r>
          </w:p>
          <w:p w:rsidR="001A010C" w:rsidRPr="002234F4" w:rsidRDefault="001A010C" w:rsidP="002234F4">
            <w:pPr>
              <w:spacing w:line="360" w:lineRule="auto"/>
              <w:jc w:val="both"/>
              <w:rPr>
                <w:rFonts w:ascii="Arial" w:hAnsi="Arial" w:cs="Arial"/>
                <w:sz w:val="24"/>
                <w:szCs w:val="24"/>
              </w:rPr>
            </w:pPr>
          </w:p>
          <w:p w:rsidR="004D517F" w:rsidRPr="002234F4" w:rsidRDefault="004D517F" w:rsidP="002234F4">
            <w:pPr>
              <w:spacing w:line="360" w:lineRule="auto"/>
              <w:jc w:val="both"/>
              <w:rPr>
                <w:rFonts w:ascii="Arial" w:hAnsi="Arial" w:cs="Arial"/>
                <w:bCs/>
                <w:sz w:val="24"/>
                <w:szCs w:val="24"/>
              </w:rPr>
            </w:pPr>
            <w:r w:rsidRPr="002234F4">
              <w:rPr>
                <w:rFonts w:ascii="Arial" w:hAnsi="Arial" w:cs="Arial"/>
                <w:bCs/>
                <w:sz w:val="24"/>
                <w:szCs w:val="24"/>
              </w:rPr>
              <w:t>[</w:t>
            </w:r>
            <w:r w:rsidR="002234F4" w:rsidRPr="002234F4">
              <w:rPr>
                <w:rFonts w:ascii="Arial" w:hAnsi="Arial" w:cs="Arial"/>
                <w:bCs/>
                <w:sz w:val="24"/>
                <w:szCs w:val="24"/>
              </w:rPr>
              <w:t>47</w:t>
            </w:r>
            <w:r w:rsidRPr="002234F4">
              <w:rPr>
                <w:rFonts w:ascii="Arial" w:hAnsi="Arial" w:cs="Arial"/>
                <w:bCs/>
                <w:sz w:val="24"/>
                <w:szCs w:val="24"/>
              </w:rPr>
              <w:t>]</w:t>
            </w:r>
            <w:r w:rsidR="002234F4" w:rsidRPr="002234F4">
              <w:rPr>
                <w:rFonts w:ascii="Arial" w:hAnsi="Arial" w:cs="Arial"/>
                <w:bCs/>
                <w:sz w:val="24"/>
                <w:szCs w:val="24"/>
              </w:rPr>
              <w:t xml:space="preserve">  </w:t>
            </w:r>
            <w:r w:rsidRPr="002234F4">
              <w:rPr>
                <w:rFonts w:ascii="Arial" w:hAnsi="Arial" w:cs="Arial"/>
                <w:bCs/>
                <w:sz w:val="24"/>
                <w:szCs w:val="24"/>
              </w:rPr>
              <w:t>Accordingly</w:t>
            </w:r>
            <w:r w:rsidR="001A010C" w:rsidRPr="002234F4">
              <w:rPr>
                <w:rFonts w:ascii="Arial" w:hAnsi="Arial" w:cs="Arial"/>
                <w:bCs/>
                <w:sz w:val="24"/>
                <w:szCs w:val="24"/>
              </w:rPr>
              <w:t xml:space="preserve"> -</w:t>
            </w:r>
            <w:r w:rsidRPr="002234F4">
              <w:rPr>
                <w:rFonts w:ascii="Arial" w:hAnsi="Arial" w:cs="Arial"/>
                <w:bCs/>
                <w:sz w:val="24"/>
                <w:szCs w:val="24"/>
              </w:rPr>
              <w:t xml:space="preserve"> and as a mark of the Court’s disapproval</w:t>
            </w:r>
            <w:r w:rsidR="001A010C" w:rsidRPr="002234F4">
              <w:rPr>
                <w:rFonts w:ascii="Arial" w:hAnsi="Arial" w:cs="Arial"/>
                <w:bCs/>
                <w:sz w:val="24"/>
                <w:szCs w:val="24"/>
              </w:rPr>
              <w:t xml:space="preserve"> of the aforeme</w:t>
            </w:r>
            <w:r w:rsidR="00B115FD" w:rsidRPr="002234F4">
              <w:rPr>
                <w:rFonts w:ascii="Arial" w:hAnsi="Arial" w:cs="Arial"/>
                <w:bCs/>
                <w:sz w:val="24"/>
                <w:szCs w:val="24"/>
              </w:rPr>
              <w:t>n</w:t>
            </w:r>
            <w:r w:rsidR="001A010C" w:rsidRPr="002234F4">
              <w:rPr>
                <w:rFonts w:ascii="Arial" w:hAnsi="Arial" w:cs="Arial"/>
                <w:bCs/>
                <w:sz w:val="24"/>
                <w:szCs w:val="24"/>
              </w:rPr>
              <w:t>tioned conduct</w:t>
            </w:r>
            <w:r w:rsidR="00B115FD" w:rsidRPr="002234F4">
              <w:rPr>
                <w:rFonts w:ascii="Arial" w:hAnsi="Arial" w:cs="Arial"/>
                <w:bCs/>
                <w:sz w:val="24"/>
                <w:szCs w:val="24"/>
              </w:rPr>
              <w:t xml:space="preserve"> of the respondents and their legal practitioner -</w:t>
            </w:r>
            <w:r w:rsidRPr="002234F4">
              <w:rPr>
                <w:rFonts w:ascii="Arial" w:hAnsi="Arial" w:cs="Arial"/>
                <w:bCs/>
                <w:sz w:val="24"/>
                <w:szCs w:val="24"/>
              </w:rPr>
              <w:t xml:space="preserve"> I will award the costs flowing from the</w:t>
            </w:r>
            <w:r w:rsidR="00BE104A">
              <w:rPr>
                <w:rFonts w:ascii="Arial" w:hAnsi="Arial" w:cs="Arial"/>
                <w:bCs/>
                <w:sz w:val="24"/>
                <w:szCs w:val="24"/>
              </w:rPr>
              <w:t>ir</w:t>
            </w:r>
            <w:r w:rsidRPr="002234F4">
              <w:rPr>
                <w:rFonts w:ascii="Arial" w:hAnsi="Arial" w:cs="Arial"/>
                <w:bCs/>
                <w:sz w:val="24"/>
                <w:szCs w:val="24"/>
              </w:rPr>
              <w:t xml:space="preserve"> application for condonation on the attorney and own client scale against the applicants</w:t>
            </w:r>
            <w:r w:rsidR="001A010C" w:rsidRPr="002234F4">
              <w:rPr>
                <w:rFonts w:ascii="Arial" w:hAnsi="Arial" w:cs="Arial"/>
                <w:bCs/>
                <w:sz w:val="24"/>
                <w:szCs w:val="24"/>
              </w:rPr>
              <w:t>, which costs are also</w:t>
            </w:r>
            <w:r w:rsidR="00B115FD" w:rsidRPr="002234F4">
              <w:rPr>
                <w:rFonts w:ascii="Arial" w:hAnsi="Arial" w:cs="Arial"/>
                <w:bCs/>
                <w:sz w:val="24"/>
                <w:szCs w:val="24"/>
              </w:rPr>
              <w:t xml:space="preserve"> not </w:t>
            </w:r>
            <w:r w:rsidR="00EC0A93">
              <w:rPr>
                <w:rFonts w:ascii="Arial" w:hAnsi="Arial" w:cs="Arial"/>
                <w:bCs/>
                <w:sz w:val="24"/>
                <w:szCs w:val="24"/>
              </w:rPr>
              <w:t xml:space="preserve">to </w:t>
            </w:r>
            <w:r w:rsidR="00B115FD" w:rsidRPr="002234F4">
              <w:rPr>
                <w:rFonts w:ascii="Arial" w:hAnsi="Arial" w:cs="Arial"/>
                <w:bCs/>
                <w:sz w:val="24"/>
                <w:szCs w:val="24"/>
              </w:rPr>
              <w:t xml:space="preserve">be capped, as provided for in Rule 32(11) of the Rules of Court. </w:t>
            </w:r>
          </w:p>
          <w:p w:rsidR="00096044" w:rsidRPr="002234F4" w:rsidRDefault="00096044" w:rsidP="002234F4">
            <w:pPr>
              <w:suppressAutoHyphens/>
              <w:spacing w:line="360" w:lineRule="auto"/>
              <w:ind w:right="74"/>
              <w:jc w:val="both"/>
              <w:rPr>
                <w:rFonts w:ascii="Arial" w:hAnsi="Arial" w:cs="Arial"/>
              </w:rPr>
            </w:pPr>
          </w:p>
        </w:tc>
      </w:tr>
      <w:tr w:rsidR="00BE5489" w:rsidRPr="006E49A3" w:rsidTr="00C04EBD">
        <w:tc>
          <w:tcPr>
            <w:tcW w:w="4770" w:type="dxa"/>
          </w:tcPr>
          <w:p w:rsidR="00BE5489" w:rsidRPr="006E49A3" w:rsidRDefault="002E057D" w:rsidP="002E057D">
            <w:pPr>
              <w:spacing w:line="360" w:lineRule="auto"/>
              <w:jc w:val="center"/>
              <w:rPr>
                <w:rFonts w:ascii="Arial" w:hAnsi="Arial" w:cs="Arial"/>
                <w:b/>
              </w:rPr>
            </w:pPr>
            <w:r>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423A5">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t>Applicant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p>
        </w:tc>
      </w:tr>
      <w:tr w:rsidR="00A23F8A" w:rsidRPr="006E49A3" w:rsidTr="00FD38C2">
        <w:tc>
          <w:tcPr>
            <w:tcW w:w="4770" w:type="dxa"/>
          </w:tcPr>
          <w:p w:rsidR="008E6759" w:rsidRPr="006E49A3" w:rsidRDefault="00B115FD" w:rsidP="008E6759">
            <w:pPr>
              <w:spacing w:line="360" w:lineRule="auto"/>
              <w:jc w:val="center"/>
              <w:rPr>
                <w:rFonts w:ascii="Arial" w:hAnsi="Arial" w:cs="Arial"/>
              </w:rPr>
            </w:pPr>
            <w:r>
              <w:rPr>
                <w:rFonts w:ascii="Arial" w:hAnsi="Arial" w:cs="Arial"/>
              </w:rPr>
              <w:t>Mrs Miller</w:t>
            </w:r>
          </w:p>
          <w:p w:rsidR="008E6759" w:rsidRPr="006E49A3" w:rsidRDefault="00B115FD" w:rsidP="008E6759">
            <w:pPr>
              <w:spacing w:line="360" w:lineRule="auto"/>
              <w:jc w:val="center"/>
              <w:rPr>
                <w:rFonts w:ascii="Arial" w:hAnsi="Arial" w:cs="Arial"/>
                <w:i/>
              </w:rPr>
            </w:pPr>
            <w:r>
              <w:rPr>
                <w:rFonts w:ascii="Arial" w:hAnsi="Arial" w:cs="Arial"/>
                <w:i/>
              </w:rPr>
              <w:t>of</w:t>
            </w:r>
          </w:p>
          <w:p w:rsidR="008E6759" w:rsidRPr="006E49A3" w:rsidRDefault="006C2F95" w:rsidP="00146F1D">
            <w:pPr>
              <w:spacing w:line="360" w:lineRule="auto"/>
              <w:jc w:val="center"/>
              <w:rPr>
                <w:rFonts w:ascii="Arial" w:hAnsi="Arial" w:cs="Arial"/>
              </w:rPr>
            </w:pPr>
            <w:r>
              <w:rPr>
                <w:rFonts w:ascii="Arial" w:hAnsi="Arial" w:cs="Arial"/>
              </w:rPr>
              <w:t>Shikongo Law Chambers</w:t>
            </w:r>
          </w:p>
        </w:tc>
        <w:tc>
          <w:tcPr>
            <w:tcW w:w="4950" w:type="dxa"/>
            <w:gridSpan w:val="2"/>
          </w:tcPr>
          <w:p w:rsidR="008E6759" w:rsidRDefault="00B115FD" w:rsidP="008E6759">
            <w:pPr>
              <w:spacing w:line="360" w:lineRule="auto"/>
              <w:jc w:val="center"/>
              <w:rPr>
                <w:rFonts w:ascii="Arial" w:hAnsi="Arial" w:cs="Arial"/>
              </w:rPr>
            </w:pPr>
            <w:r>
              <w:rPr>
                <w:rFonts w:ascii="Arial" w:hAnsi="Arial" w:cs="Arial"/>
              </w:rPr>
              <w:t>Mrs Angula</w:t>
            </w:r>
          </w:p>
          <w:p w:rsidR="00265783" w:rsidRPr="006E49A3" w:rsidRDefault="00265783" w:rsidP="00265783">
            <w:pPr>
              <w:spacing w:line="360" w:lineRule="auto"/>
              <w:jc w:val="center"/>
              <w:rPr>
                <w:rFonts w:ascii="Arial" w:hAnsi="Arial" w:cs="Arial"/>
                <w:i/>
              </w:rPr>
            </w:pPr>
            <w:r>
              <w:rPr>
                <w:rFonts w:ascii="Arial" w:hAnsi="Arial" w:cs="Arial"/>
                <w:i/>
              </w:rPr>
              <w:t>of</w:t>
            </w:r>
          </w:p>
          <w:p w:rsidR="006E49A3" w:rsidRPr="006E49A3" w:rsidRDefault="006C2F95" w:rsidP="00146F1D">
            <w:pPr>
              <w:spacing w:line="360" w:lineRule="auto"/>
              <w:jc w:val="center"/>
              <w:rPr>
                <w:rFonts w:ascii="Arial" w:hAnsi="Arial" w:cs="Arial"/>
              </w:rPr>
            </w:pPr>
            <w:r>
              <w:rPr>
                <w:rFonts w:ascii="Arial" w:hAnsi="Arial" w:cs="Arial"/>
              </w:rPr>
              <w:t>AngulaCo. Inc.</w:t>
            </w:r>
          </w:p>
        </w:tc>
      </w:tr>
    </w:tbl>
    <w:p w:rsidR="00422CA6" w:rsidRPr="006E49A3" w:rsidRDefault="00422CA6" w:rsidP="00EB27A0">
      <w:pPr>
        <w:spacing w:after="0" w:line="360" w:lineRule="auto"/>
        <w:jc w:val="both"/>
        <w:rPr>
          <w:rFonts w:ascii="Arial" w:hAnsi="Arial" w:cs="Arial"/>
          <w:sz w:val="24"/>
          <w:szCs w:val="24"/>
        </w:rPr>
      </w:pPr>
    </w:p>
    <w:sectPr w:rsidR="00422CA6" w:rsidRPr="006E49A3" w:rsidSect="00026D86">
      <w:footerReference w:type="default" r:id="rId8"/>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6C" w:rsidRDefault="003E296C" w:rsidP="00A23F8A">
      <w:pPr>
        <w:spacing w:after="0" w:line="240" w:lineRule="auto"/>
      </w:pPr>
      <w:r>
        <w:separator/>
      </w:r>
    </w:p>
  </w:endnote>
  <w:endnote w:type="continuationSeparator" w:id="0">
    <w:p w:rsidR="003E296C" w:rsidRDefault="003E296C"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FC0878">
          <w:rPr>
            <w:rFonts w:ascii="Arial Narrow" w:hAnsi="Arial Narrow"/>
            <w:noProof/>
            <w:sz w:val="18"/>
            <w:szCs w:val="18"/>
          </w:rPr>
          <w:t>6</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6C" w:rsidRDefault="003E296C" w:rsidP="00A23F8A">
      <w:pPr>
        <w:spacing w:after="0" w:line="240" w:lineRule="auto"/>
      </w:pPr>
      <w:r>
        <w:separator/>
      </w:r>
    </w:p>
  </w:footnote>
  <w:footnote w:type="continuationSeparator" w:id="0">
    <w:p w:rsidR="003E296C" w:rsidRDefault="003E296C" w:rsidP="00A23F8A">
      <w:pPr>
        <w:spacing w:after="0" w:line="240" w:lineRule="auto"/>
      </w:pPr>
      <w:r>
        <w:continuationSeparator/>
      </w:r>
    </w:p>
  </w:footnote>
  <w:footnote w:id="1">
    <w:p w:rsidR="005515BD" w:rsidRPr="0059498F" w:rsidRDefault="005515BD" w:rsidP="0059498F">
      <w:pPr>
        <w:pStyle w:val="FootnoteText"/>
        <w:rPr>
          <w:rFonts w:ascii="Arial" w:hAnsi="Arial" w:cs="Arial"/>
          <w:lang w:val="en-US"/>
        </w:rPr>
      </w:pPr>
      <w:r w:rsidRPr="0059498F">
        <w:rPr>
          <w:rStyle w:val="FootnoteReference"/>
          <w:rFonts w:ascii="Arial" w:hAnsi="Arial" w:cs="Arial"/>
        </w:rPr>
        <w:footnoteRef/>
      </w:r>
      <w:r w:rsidRPr="0059498F">
        <w:rPr>
          <w:rFonts w:ascii="Arial" w:hAnsi="Arial" w:cs="Arial"/>
        </w:rPr>
        <w:t xml:space="preserve"> </w:t>
      </w:r>
      <w:r w:rsidRPr="0059498F">
        <w:rPr>
          <w:rFonts w:ascii="Arial" w:hAnsi="Arial" w:cs="Arial"/>
          <w:lang w:val="en-US"/>
        </w:rPr>
        <w:t>See Rule 61(1)</w:t>
      </w:r>
      <w:r w:rsidR="004631A6">
        <w:rPr>
          <w:rFonts w:ascii="Arial" w:hAnsi="Arial" w:cs="Arial"/>
          <w:lang w:val="en-US"/>
        </w:rPr>
        <w:t>.</w:t>
      </w:r>
    </w:p>
  </w:footnote>
  <w:footnote w:id="2">
    <w:p w:rsidR="005515BD" w:rsidRPr="0059498F" w:rsidRDefault="005515BD" w:rsidP="0059498F">
      <w:pPr>
        <w:pStyle w:val="FootnoteText"/>
        <w:jc w:val="both"/>
        <w:rPr>
          <w:rFonts w:ascii="Arial" w:hAnsi="Arial" w:cs="Arial"/>
        </w:rPr>
      </w:pPr>
      <w:r w:rsidRPr="0059498F">
        <w:rPr>
          <w:rStyle w:val="FootnoteReference"/>
          <w:rFonts w:ascii="Arial" w:hAnsi="Arial" w:cs="Arial"/>
        </w:rPr>
        <w:footnoteRef/>
      </w:r>
      <w:r w:rsidRPr="0059498F">
        <w:rPr>
          <w:rFonts w:ascii="Arial" w:hAnsi="Arial" w:cs="Arial"/>
        </w:rPr>
        <w:t xml:space="preserve"> </w:t>
      </w:r>
      <w:r w:rsidRPr="0059498F">
        <w:rPr>
          <w:rFonts w:ascii="Arial" w:hAnsi="Arial" w:cs="Arial"/>
          <w:lang w:val="en-US"/>
        </w:rPr>
        <w:t xml:space="preserve">That they were entitled to do so appears from </w:t>
      </w:r>
      <w:r w:rsidRPr="0059498F">
        <w:rPr>
          <w:rFonts w:ascii="Arial" w:hAnsi="Arial" w:cs="Arial"/>
          <w:i/>
          <w:lang w:val="en-US"/>
        </w:rPr>
        <w:t>Veldman and Another v Bester</w:t>
      </w:r>
      <w:r w:rsidRPr="0059498F">
        <w:rPr>
          <w:rFonts w:ascii="Arial" w:hAnsi="Arial" w:cs="Arial"/>
          <w:lang w:val="en-US"/>
        </w:rPr>
        <w:t xml:space="preserve"> 2011 (2) NR 581 (HC) at [18] to [25] (under the old rules) and</w:t>
      </w:r>
      <w:r w:rsidRPr="0059498F">
        <w:rPr>
          <w:rFonts w:ascii="Arial" w:eastAsiaTheme="minorEastAsia" w:hAnsi="Arial" w:cs="Arial"/>
        </w:rPr>
        <w:t xml:space="preserve"> </w:t>
      </w:r>
      <w:r w:rsidRPr="0059498F">
        <w:rPr>
          <w:rFonts w:ascii="Arial" w:eastAsiaTheme="minorEastAsia" w:hAnsi="Arial" w:cs="Arial"/>
          <w:i/>
        </w:rPr>
        <w:t>Namibia Competition Commission v Namib Mills (Pty) Ltd</w:t>
      </w:r>
      <w:r w:rsidRPr="0059498F">
        <w:rPr>
          <w:rFonts w:ascii="Arial" w:eastAsiaTheme="minorEastAsia" w:hAnsi="Arial" w:cs="Arial"/>
        </w:rPr>
        <w:t xml:space="preserve"> (HC-MD-CIV-MOT-GEN-2017/00061) [2019] 465 (7 November 2019) (under the new rules).                                                                          </w:t>
      </w:r>
    </w:p>
    <w:p w:rsidR="005515BD" w:rsidRPr="0033314F" w:rsidRDefault="005515BD" w:rsidP="005515BD">
      <w:pPr>
        <w:pStyle w:val="FootnoteText"/>
        <w:rPr>
          <w:lang w:val="en-US"/>
        </w:rPr>
      </w:pPr>
    </w:p>
  </w:footnote>
  <w:footnote w:id="3">
    <w:p w:rsidR="005515BD" w:rsidRPr="00283363" w:rsidRDefault="005515BD" w:rsidP="005515BD">
      <w:pPr>
        <w:pStyle w:val="FootnoteText"/>
        <w:rPr>
          <w:rFonts w:ascii="Arial" w:hAnsi="Arial" w:cs="Arial"/>
          <w:lang w:val="en-GB"/>
        </w:rPr>
      </w:pPr>
      <w:r w:rsidRPr="00283363">
        <w:rPr>
          <w:rStyle w:val="FootnoteReference"/>
          <w:rFonts w:ascii="Arial" w:hAnsi="Arial" w:cs="Arial"/>
        </w:rPr>
        <w:footnoteRef/>
      </w:r>
      <w:r w:rsidRPr="00283363">
        <w:rPr>
          <w:rFonts w:ascii="Arial" w:hAnsi="Arial" w:cs="Arial"/>
        </w:rPr>
        <w:t xml:space="preserve"> </w:t>
      </w:r>
      <w:r w:rsidRPr="00283363">
        <w:rPr>
          <w:rFonts w:ascii="Arial" w:hAnsi="Arial" w:cs="Arial"/>
          <w:lang w:val="en-GB"/>
        </w:rPr>
        <w:t>Transcript of 17 September 2019 – Page 32, Line 20</w:t>
      </w:r>
      <w:r w:rsidR="002234F4">
        <w:rPr>
          <w:rFonts w:ascii="Arial" w:hAnsi="Arial" w:cs="Arial"/>
          <w:lang w:val="en-GB"/>
        </w:rPr>
        <w:t>.</w:t>
      </w:r>
    </w:p>
  </w:footnote>
  <w:footnote w:id="4">
    <w:p w:rsidR="005515BD" w:rsidRPr="00283363" w:rsidRDefault="005515BD" w:rsidP="005515BD">
      <w:pPr>
        <w:pStyle w:val="FootnoteText"/>
        <w:rPr>
          <w:rFonts w:ascii="Arial" w:hAnsi="Arial" w:cs="Arial"/>
          <w:lang w:val="en-GB"/>
        </w:rPr>
      </w:pPr>
      <w:r w:rsidRPr="00283363">
        <w:rPr>
          <w:rStyle w:val="FootnoteReference"/>
          <w:rFonts w:ascii="Arial" w:hAnsi="Arial" w:cs="Arial"/>
        </w:rPr>
        <w:footnoteRef/>
      </w:r>
      <w:r w:rsidRPr="00283363">
        <w:rPr>
          <w:rFonts w:ascii="Arial" w:hAnsi="Arial" w:cs="Arial"/>
        </w:rPr>
        <w:t xml:space="preserve"> Transcript, </w:t>
      </w:r>
      <w:r w:rsidRPr="00283363">
        <w:rPr>
          <w:rFonts w:ascii="Arial" w:hAnsi="Arial" w:cs="Arial"/>
          <w:lang w:val="en-GB"/>
        </w:rPr>
        <w:t xml:space="preserve">Page 16, line 12 </w:t>
      </w:r>
      <w:r w:rsidR="004631A6">
        <w:rPr>
          <w:rFonts w:ascii="Arial" w:hAnsi="Arial" w:cs="Arial"/>
          <w:lang w:val="en-GB"/>
        </w:rPr>
        <w:t>–</w:t>
      </w:r>
      <w:r w:rsidRPr="00283363">
        <w:rPr>
          <w:rFonts w:ascii="Arial" w:hAnsi="Arial" w:cs="Arial"/>
          <w:lang w:val="en-GB"/>
        </w:rPr>
        <w:t xml:space="preserve"> 15</w:t>
      </w:r>
      <w:r w:rsidR="004631A6">
        <w:rPr>
          <w:rFonts w:ascii="Arial" w:hAnsi="Arial" w:cs="Arial"/>
          <w:lang w:val="en-GB"/>
        </w:rPr>
        <w:t>.</w:t>
      </w:r>
    </w:p>
  </w:footnote>
  <w:footnote w:id="5">
    <w:p w:rsidR="005515BD" w:rsidRPr="00283363" w:rsidRDefault="005515BD" w:rsidP="005515BD">
      <w:pPr>
        <w:pStyle w:val="FootnoteText"/>
        <w:rPr>
          <w:rFonts w:ascii="Arial" w:hAnsi="Arial" w:cs="Arial"/>
          <w:lang w:val="en-GB"/>
        </w:rPr>
      </w:pPr>
      <w:r w:rsidRPr="00283363">
        <w:rPr>
          <w:rStyle w:val="FootnoteReference"/>
          <w:rFonts w:ascii="Arial" w:hAnsi="Arial" w:cs="Arial"/>
        </w:rPr>
        <w:footnoteRef/>
      </w:r>
      <w:r w:rsidRPr="00283363">
        <w:rPr>
          <w:rFonts w:ascii="Arial" w:hAnsi="Arial" w:cs="Arial"/>
        </w:rPr>
        <w:t xml:space="preserve"> Transcript, </w:t>
      </w:r>
      <w:r w:rsidRPr="00283363">
        <w:rPr>
          <w:rFonts w:ascii="Arial" w:hAnsi="Arial" w:cs="Arial"/>
          <w:lang w:val="en-GB"/>
        </w:rPr>
        <w:t xml:space="preserve">Page 32, lines 12 </w:t>
      </w:r>
      <w:r w:rsidR="004631A6">
        <w:rPr>
          <w:rFonts w:ascii="Arial" w:hAnsi="Arial" w:cs="Arial"/>
          <w:lang w:val="en-GB"/>
        </w:rPr>
        <w:t>–</w:t>
      </w:r>
      <w:r w:rsidRPr="00283363">
        <w:rPr>
          <w:rFonts w:ascii="Arial" w:hAnsi="Arial" w:cs="Arial"/>
          <w:lang w:val="en-GB"/>
        </w:rPr>
        <w:t xml:space="preserve"> 17</w:t>
      </w:r>
      <w:r w:rsidR="004631A6">
        <w:rPr>
          <w:rFonts w:ascii="Arial" w:hAnsi="Arial" w:cs="Arial"/>
          <w:lang w:val="en-GB"/>
        </w:rPr>
        <w:t>.</w:t>
      </w:r>
    </w:p>
  </w:footnote>
  <w:footnote w:id="6">
    <w:p w:rsidR="005515BD" w:rsidRPr="00283363" w:rsidRDefault="005515BD" w:rsidP="005515BD">
      <w:pPr>
        <w:pStyle w:val="FootnoteText"/>
        <w:rPr>
          <w:rFonts w:ascii="Arial" w:hAnsi="Arial" w:cs="Arial"/>
          <w:lang w:val="en-GB"/>
        </w:rPr>
      </w:pPr>
      <w:r w:rsidRPr="00283363">
        <w:rPr>
          <w:rStyle w:val="FootnoteReference"/>
          <w:rFonts w:ascii="Arial" w:hAnsi="Arial" w:cs="Arial"/>
        </w:rPr>
        <w:footnoteRef/>
      </w:r>
      <w:r w:rsidRPr="00283363">
        <w:rPr>
          <w:rFonts w:ascii="Arial" w:hAnsi="Arial" w:cs="Arial"/>
        </w:rPr>
        <w:t xml:space="preserve"> Transcript, </w:t>
      </w:r>
      <w:r w:rsidRPr="00283363">
        <w:rPr>
          <w:rFonts w:ascii="Arial" w:hAnsi="Arial" w:cs="Arial"/>
          <w:lang w:val="en-GB"/>
        </w:rPr>
        <w:t xml:space="preserve">Page 32, lines 27 – 29, Page 33, lines 4 </w:t>
      </w:r>
      <w:r w:rsidR="004631A6">
        <w:rPr>
          <w:rFonts w:ascii="Arial" w:hAnsi="Arial" w:cs="Arial"/>
          <w:lang w:val="en-GB"/>
        </w:rPr>
        <w:t>–</w:t>
      </w:r>
      <w:r w:rsidRPr="00283363">
        <w:rPr>
          <w:rFonts w:ascii="Arial" w:hAnsi="Arial" w:cs="Arial"/>
          <w:lang w:val="en-GB"/>
        </w:rPr>
        <w:t xml:space="preserve"> 5</w:t>
      </w:r>
      <w:r w:rsidR="004631A6">
        <w:rPr>
          <w:rFonts w:ascii="Arial" w:hAnsi="Arial" w:cs="Arial"/>
          <w:lang w:val="en-GB"/>
        </w:rPr>
        <w:t>.</w:t>
      </w:r>
    </w:p>
  </w:footnote>
  <w:footnote w:id="7">
    <w:p w:rsidR="005515BD" w:rsidRPr="00283363" w:rsidRDefault="005515BD" w:rsidP="005515BD">
      <w:pPr>
        <w:pStyle w:val="FootnoteText"/>
        <w:rPr>
          <w:rFonts w:ascii="Arial" w:hAnsi="Arial" w:cs="Arial"/>
          <w:lang w:val="en-GB"/>
        </w:rPr>
      </w:pPr>
      <w:r w:rsidRPr="00283363">
        <w:rPr>
          <w:rStyle w:val="FootnoteReference"/>
          <w:rFonts w:ascii="Arial" w:hAnsi="Arial" w:cs="Arial"/>
        </w:rPr>
        <w:footnoteRef/>
      </w:r>
      <w:r w:rsidRPr="00283363">
        <w:rPr>
          <w:rFonts w:ascii="Arial" w:hAnsi="Arial" w:cs="Arial"/>
        </w:rPr>
        <w:t xml:space="preserve"> Transcript, Page 32, lines 9 </w:t>
      </w:r>
      <w:r w:rsidR="004631A6">
        <w:rPr>
          <w:rFonts w:ascii="Arial" w:hAnsi="Arial" w:cs="Arial"/>
        </w:rPr>
        <w:t>–</w:t>
      </w:r>
      <w:r w:rsidRPr="00283363">
        <w:rPr>
          <w:rFonts w:ascii="Arial" w:hAnsi="Arial" w:cs="Arial"/>
        </w:rPr>
        <w:t xml:space="preserve"> 10</w:t>
      </w:r>
      <w:r w:rsidR="004631A6">
        <w:rPr>
          <w:rFonts w:ascii="Arial" w:hAnsi="Arial" w:cs="Arial"/>
        </w:rPr>
        <w:t>.</w:t>
      </w:r>
    </w:p>
  </w:footnote>
  <w:footnote w:id="8">
    <w:p w:rsidR="005515BD" w:rsidRPr="002273CC" w:rsidRDefault="005515BD" w:rsidP="005515BD">
      <w:pPr>
        <w:pStyle w:val="FootnoteText"/>
        <w:rPr>
          <w:rFonts w:ascii="Arial" w:hAnsi="Arial" w:cs="Arial"/>
          <w:lang w:val="en-GB"/>
        </w:rPr>
      </w:pPr>
      <w:r w:rsidRPr="002273CC">
        <w:rPr>
          <w:rStyle w:val="FootnoteReference"/>
          <w:rFonts w:ascii="Arial" w:hAnsi="Arial" w:cs="Arial"/>
        </w:rPr>
        <w:footnoteRef/>
      </w:r>
      <w:r w:rsidRPr="002273CC">
        <w:rPr>
          <w:rFonts w:ascii="Arial" w:hAnsi="Arial" w:cs="Arial"/>
        </w:rPr>
        <w:t xml:space="preserve"> Transcript,</w:t>
      </w:r>
      <w:r w:rsidRPr="002273CC">
        <w:rPr>
          <w:rFonts w:ascii="Arial" w:hAnsi="Arial" w:cs="Arial"/>
          <w:lang w:val="en-GB"/>
        </w:rPr>
        <w:t xml:space="preserve"> Page 33, lines 4 </w:t>
      </w:r>
      <w:r w:rsidR="002273CC">
        <w:rPr>
          <w:rFonts w:ascii="Arial" w:hAnsi="Arial" w:cs="Arial"/>
          <w:lang w:val="en-GB"/>
        </w:rPr>
        <w:t>–</w:t>
      </w:r>
      <w:r w:rsidRPr="002273CC">
        <w:rPr>
          <w:rFonts w:ascii="Arial" w:hAnsi="Arial" w:cs="Arial"/>
          <w:lang w:val="en-GB"/>
        </w:rPr>
        <w:t xml:space="preserve"> 5</w:t>
      </w:r>
      <w:r w:rsidR="002273CC">
        <w:rPr>
          <w:rFonts w:ascii="Arial" w:hAnsi="Arial" w:cs="Arial"/>
          <w:lang w:val="en-GB"/>
        </w:rPr>
        <w:t>.</w:t>
      </w:r>
    </w:p>
  </w:footnote>
  <w:footnote w:id="9">
    <w:p w:rsidR="005515BD" w:rsidRPr="002273CC" w:rsidRDefault="005515BD" w:rsidP="005515BD">
      <w:pPr>
        <w:pStyle w:val="FootnoteText"/>
        <w:rPr>
          <w:rFonts w:ascii="Arial" w:hAnsi="Arial" w:cs="Arial"/>
          <w:lang w:val="en-US"/>
        </w:rPr>
      </w:pPr>
      <w:r w:rsidRPr="002273CC">
        <w:rPr>
          <w:rStyle w:val="FootnoteReference"/>
          <w:rFonts w:ascii="Arial" w:hAnsi="Arial" w:cs="Arial"/>
        </w:rPr>
        <w:footnoteRef/>
      </w:r>
      <w:r w:rsidRPr="002273CC">
        <w:rPr>
          <w:rFonts w:ascii="Arial" w:hAnsi="Arial" w:cs="Arial"/>
        </w:rPr>
        <w:t xml:space="preserve"> </w:t>
      </w:r>
      <w:r w:rsidRPr="002273CC">
        <w:rPr>
          <w:rFonts w:ascii="Arial" w:hAnsi="Arial" w:cs="Arial"/>
          <w:lang w:val="en-US"/>
        </w:rPr>
        <w:t>See Veldman v Bester at [73] to [74]</w:t>
      </w:r>
      <w:r w:rsidR="002273CC" w:rsidRPr="002273CC">
        <w:rPr>
          <w:rFonts w:ascii="Arial" w:hAnsi="Arial" w:cs="Arial"/>
          <w:lang w:val="en-US"/>
        </w:rPr>
        <w:t>.</w:t>
      </w:r>
    </w:p>
  </w:footnote>
  <w:footnote w:id="10">
    <w:p w:rsidR="00345EE0" w:rsidRPr="002273CC" w:rsidRDefault="00345EE0" w:rsidP="00345EE0">
      <w:pPr>
        <w:pStyle w:val="FootnoteText"/>
        <w:rPr>
          <w:rFonts w:ascii="Arial" w:hAnsi="Arial" w:cs="Arial"/>
          <w:lang w:val="en-GB"/>
        </w:rPr>
      </w:pPr>
      <w:r w:rsidRPr="002273CC">
        <w:rPr>
          <w:rStyle w:val="FootnoteReference"/>
          <w:rFonts w:ascii="Arial" w:hAnsi="Arial" w:cs="Arial"/>
        </w:rPr>
        <w:footnoteRef/>
      </w:r>
      <w:r w:rsidRPr="002273CC">
        <w:rPr>
          <w:rFonts w:ascii="Arial" w:hAnsi="Arial" w:cs="Arial"/>
        </w:rPr>
        <w:t xml:space="preserve"> </w:t>
      </w:r>
      <w:r w:rsidRPr="002273CC">
        <w:rPr>
          <w:rFonts w:ascii="Arial" w:hAnsi="Arial" w:cs="Arial"/>
          <w:lang w:val="en-GB"/>
        </w:rPr>
        <w:t>Par 3 of the founding affidavit – page 4</w:t>
      </w:r>
      <w:r w:rsidR="002273CC">
        <w:rPr>
          <w:rFonts w:ascii="Arial" w:hAnsi="Arial" w:cs="Arial"/>
          <w:lang w:val="en-GB"/>
        </w:rPr>
        <w:t>.</w:t>
      </w:r>
    </w:p>
  </w:footnote>
  <w:footnote w:id="11">
    <w:p w:rsidR="00345EE0" w:rsidRPr="002273CC" w:rsidRDefault="00345EE0" w:rsidP="00345EE0">
      <w:pPr>
        <w:pStyle w:val="FootnoteText"/>
        <w:rPr>
          <w:rFonts w:ascii="Arial" w:hAnsi="Arial" w:cs="Arial"/>
          <w:lang w:val="en-GB"/>
        </w:rPr>
      </w:pPr>
      <w:r w:rsidRPr="002273CC">
        <w:rPr>
          <w:rStyle w:val="FootnoteReference"/>
          <w:rFonts w:ascii="Arial" w:hAnsi="Arial" w:cs="Arial"/>
        </w:rPr>
        <w:footnoteRef/>
      </w:r>
      <w:r w:rsidRPr="002273CC">
        <w:rPr>
          <w:rFonts w:ascii="Arial" w:hAnsi="Arial" w:cs="Arial"/>
        </w:rPr>
        <w:t xml:space="preserve"> </w:t>
      </w:r>
      <w:r w:rsidRPr="002273CC">
        <w:rPr>
          <w:rFonts w:ascii="Arial" w:hAnsi="Arial" w:cs="Arial"/>
          <w:lang w:val="en-GB"/>
        </w:rPr>
        <w:t>Par 4 of the founding affidavit – Page 3</w:t>
      </w:r>
      <w:r w:rsidR="002273CC">
        <w:rPr>
          <w:rFonts w:ascii="Arial" w:hAnsi="Arial" w:cs="Arial"/>
          <w:lang w:val="en-GB"/>
        </w:rPr>
        <w:t>.</w:t>
      </w:r>
    </w:p>
  </w:footnote>
  <w:footnote w:id="12">
    <w:p w:rsidR="00345EE0" w:rsidRPr="002273CC" w:rsidRDefault="00345EE0" w:rsidP="00345EE0">
      <w:pPr>
        <w:pStyle w:val="FootnoteText"/>
        <w:rPr>
          <w:rFonts w:ascii="Arial" w:hAnsi="Arial" w:cs="Arial"/>
          <w:lang w:val="en-GB"/>
        </w:rPr>
      </w:pPr>
      <w:r w:rsidRPr="002273CC">
        <w:rPr>
          <w:rStyle w:val="FootnoteReference"/>
          <w:rFonts w:ascii="Arial" w:hAnsi="Arial" w:cs="Arial"/>
        </w:rPr>
        <w:footnoteRef/>
      </w:r>
      <w:r w:rsidRPr="002273CC">
        <w:rPr>
          <w:rFonts w:ascii="Arial" w:hAnsi="Arial" w:cs="Arial"/>
        </w:rPr>
        <w:t xml:space="preserve"> </w:t>
      </w:r>
      <w:r w:rsidRPr="002273CC">
        <w:rPr>
          <w:rFonts w:ascii="Arial" w:hAnsi="Arial" w:cs="Arial"/>
          <w:lang w:val="en-GB"/>
        </w:rPr>
        <w:t>Par 3 – 5 of the founding affidavit – page 4</w:t>
      </w:r>
      <w:r w:rsidR="002273CC">
        <w:rPr>
          <w:rFonts w:ascii="Arial" w:hAnsi="Arial" w:cs="Arial"/>
          <w:lang w:val="en-GB"/>
        </w:rPr>
        <w:t>.</w:t>
      </w:r>
    </w:p>
  </w:footnote>
  <w:footnote w:id="13">
    <w:p w:rsidR="00A27D8A" w:rsidRPr="00EF0BFA" w:rsidRDefault="00A27D8A" w:rsidP="00A27D8A">
      <w:pPr>
        <w:pStyle w:val="FootnoteText"/>
        <w:rPr>
          <w:lang w:val="en-GB"/>
        </w:rPr>
      </w:pPr>
      <w:r>
        <w:rPr>
          <w:rStyle w:val="FootnoteReference"/>
        </w:rPr>
        <w:footnoteRef/>
      </w:r>
      <w:r>
        <w:t xml:space="preserve"> </w:t>
      </w:r>
      <w:r>
        <w:rPr>
          <w:lang w:val="en-GB"/>
        </w:rPr>
        <w:t>Par 2 of the founding affidavit in the Rule 97 application</w:t>
      </w:r>
      <w:r w:rsidR="004631A6">
        <w:rPr>
          <w:lang w:val="en-GB"/>
        </w:rPr>
        <w:t>.</w:t>
      </w:r>
    </w:p>
  </w:footnote>
  <w:footnote w:id="14">
    <w:p w:rsidR="00FE5A39" w:rsidRPr="00314A7B" w:rsidRDefault="00FE5A39" w:rsidP="00314A7B">
      <w:pPr>
        <w:spacing w:line="240" w:lineRule="auto"/>
        <w:jc w:val="both"/>
        <w:rPr>
          <w:rFonts w:ascii="Arial" w:hAnsi="Arial" w:cs="Arial"/>
          <w:bCs/>
          <w:i/>
          <w:iCs/>
          <w:sz w:val="20"/>
          <w:szCs w:val="20"/>
          <w:u w:val="single"/>
        </w:rPr>
      </w:pPr>
      <w:r w:rsidRPr="00FE5A39">
        <w:rPr>
          <w:rStyle w:val="FootnoteReference"/>
          <w:rFonts w:ascii="Arial" w:hAnsi="Arial" w:cs="Arial"/>
          <w:sz w:val="20"/>
          <w:szCs w:val="20"/>
        </w:rPr>
        <w:footnoteRef/>
      </w:r>
      <w:r>
        <w:rPr>
          <w:rFonts w:ascii="Arial" w:hAnsi="Arial" w:cs="Arial"/>
          <w:sz w:val="20"/>
          <w:szCs w:val="20"/>
        </w:rPr>
        <w:t xml:space="preserve"> Nangolo stated in paragraph 9 of the founding papers to the Rule 97(3) application:</w:t>
      </w:r>
      <w:r w:rsidRPr="00FE5A39">
        <w:rPr>
          <w:rFonts w:ascii="Arial" w:hAnsi="Arial" w:cs="Arial"/>
          <w:sz w:val="20"/>
          <w:szCs w:val="20"/>
        </w:rPr>
        <w:t xml:space="preserve"> </w:t>
      </w:r>
      <w:r w:rsidRPr="00FE5A39">
        <w:rPr>
          <w:rFonts w:ascii="Arial" w:hAnsi="Arial" w:cs="Arial"/>
          <w:bCs/>
          <w:i/>
          <w:iCs/>
          <w:sz w:val="20"/>
          <w:szCs w:val="20"/>
        </w:rPr>
        <w:t xml:space="preserve">“I was advised that the proceedings brought on behalf of the first applicant were extinguished in terms of the rules of court. In view thereof, </w:t>
      </w:r>
      <w:r w:rsidRPr="00FE5A39">
        <w:rPr>
          <w:rFonts w:ascii="Arial" w:hAnsi="Arial" w:cs="Arial"/>
          <w:bCs/>
          <w:i/>
          <w:iCs/>
          <w:sz w:val="20"/>
          <w:szCs w:val="20"/>
          <w:u w:val="single"/>
        </w:rPr>
        <w:t>the parties who were authorized by the first applicant</w:t>
      </w:r>
      <w:r w:rsidRPr="00FE5A39">
        <w:rPr>
          <w:rFonts w:ascii="Arial" w:hAnsi="Arial" w:cs="Arial"/>
          <w:bCs/>
          <w:i/>
          <w:iCs/>
          <w:sz w:val="20"/>
          <w:szCs w:val="20"/>
        </w:rPr>
        <w:t xml:space="preserve"> are obliged to pay the cost of the respondents </w:t>
      </w:r>
      <w:r w:rsidRPr="00FE5A39">
        <w:rPr>
          <w:rFonts w:ascii="Arial" w:hAnsi="Arial" w:cs="Arial"/>
          <w:bCs/>
          <w:i/>
          <w:iCs/>
          <w:sz w:val="20"/>
          <w:szCs w:val="20"/>
          <w:u w:val="single"/>
        </w:rPr>
        <w:t>because the respondents are the successful parties.</w:t>
      </w:r>
    </w:p>
  </w:footnote>
  <w:footnote w:id="15">
    <w:p w:rsidR="00314A7B" w:rsidRDefault="00314A7B" w:rsidP="00314A7B">
      <w:pPr>
        <w:spacing w:line="240" w:lineRule="auto"/>
        <w:jc w:val="both"/>
        <w:rPr>
          <w:rFonts w:ascii="Arial" w:hAnsi="Arial" w:cs="Arial"/>
          <w:i/>
          <w:iCs/>
          <w:sz w:val="24"/>
          <w:szCs w:val="24"/>
        </w:rPr>
      </w:pPr>
      <w:r>
        <w:rPr>
          <w:rStyle w:val="FootnoteReference"/>
        </w:rPr>
        <w:footnoteRef/>
      </w:r>
      <w:r>
        <w:t xml:space="preserve"> </w:t>
      </w:r>
      <w:r>
        <w:rPr>
          <w:lang w:val="en-US"/>
        </w:rPr>
        <w:t>Compare Rule 65:</w:t>
      </w:r>
      <w:r w:rsidRPr="00314A7B">
        <w:rPr>
          <w:rFonts w:ascii="Arial" w:hAnsi="Arial" w:cs="Arial"/>
          <w:i/>
          <w:iCs/>
          <w:sz w:val="20"/>
          <w:szCs w:val="20"/>
        </w:rPr>
        <w:t xml:space="preserve"> “(2) Where relief is claimed against a person or where it is necessary or proper to give a person notice of such application, the notice of motion must be addressed to both the registrar and that person, otherwise the notice must be addressed to the registrar only.”</w:t>
      </w:r>
    </w:p>
    <w:p w:rsidR="00314A7B" w:rsidRPr="00A94E25" w:rsidRDefault="00314A7B" w:rsidP="00A94E25">
      <w:pPr>
        <w:spacing w:line="240" w:lineRule="auto"/>
        <w:jc w:val="both"/>
        <w:rPr>
          <w:rFonts w:ascii="Arial" w:hAnsi="Arial" w:cs="Arial"/>
          <w:i/>
          <w:iCs/>
          <w:sz w:val="20"/>
          <w:szCs w:val="20"/>
        </w:rPr>
      </w:pPr>
      <w:r w:rsidRPr="00314A7B">
        <w:rPr>
          <w:rFonts w:ascii="Arial" w:hAnsi="Arial" w:cs="Arial"/>
          <w:i/>
          <w:iCs/>
          <w:sz w:val="20"/>
          <w:szCs w:val="20"/>
        </w:rPr>
        <w:t>(4) Every application, other than one brought ex parte in terms of rule 72, must be brought on notice of motion on Form 17 and true copies of the notice and all annexures thereto must be served, either before or after the application is issued by the registrar, on every party to whom notice of the application is to be given.”</w:t>
      </w:r>
    </w:p>
  </w:footnote>
  <w:footnote w:id="16">
    <w:p w:rsidR="00316A08" w:rsidRPr="00E65DE9" w:rsidRDefault="00316A08">
      <w:pPr>
        <w:pStyle w:val="FootnoteText"/>
        <w:rPr>
          <w:rFonts w:ascii="Arial" w:hAnsi="Arial" w:cs="Arial"/>
          <w:lang w:val="en-US"/>
        </w:rPr>
      </w:pPr>
      <w:r w:rsidRPr="00E65DE9">
        <w:rPr>
          <w:rStyle w:val="FootnoteReference"/>
          <w:rFonts w:ascii="Arial" w:hAnsi="Arial" w:cs="Arial"/>
        </w:rPr>
        <w:footnoteRef/>
      </w:r>
      <w:r w:rsidRPr="00E65DE9">
        <w:rPr>
          <w:rFonts w:ascii="Arial" w:hAnsi="Arial" w:cs="Arial"/>
        </w:rPr>
        <w:t xml:space="preserve"> </w:t>
      </w:r>
      <w:r w:rsidRPr="00E65DE9">
        <w:rPr>
          <w:rFonts w:ascii="Arial" w:hAnsi="Arial" w:cs="Arial"/>
          <w:lang w:val="en-US"/>
        </w:rPr>
        <w:t>Compare the provisions of Rules 97(1) and (3)</w:t>
      </w:r>
      <w:r w:rsidR="00E65DE9">
        <w:rPr>
          <w:rFonts w:ascii="Arial" w:hAnsi="Arial" w:cs="Arial"/>
          <w:lang w:val="en-US"/>
        </w:rPr>
        <w:t>.</w:t>
      </w:r>
    </w:p>
  </w:footnote>
  <w:footnote w:id="17">
    <w:p w:rsidR="00BE104A" w:rsidRPr="00BE104A" w:rsidRDefault="00BE104A" w:rsidP="00BE104A">
      <w:pPr>
        <w:pStyle w:val="FootnoteText"/>
        <w:jc w:val="both"/>
        <w:rPr>
          <w:lang w:val="en-US"/>
        </w:rPr>
      </w:pPr>
      <w:r>
        <w:rPr>
          <w:rStyle w:val="FootnoteReference"/>
        </w:rPr>
        <w:footnoteRef/>
      </w:r>
      <w:r>
        <w:t xml:space="preserve"> </w:t>
      </w:r>
      <w:r>
        <w:rPr>
          <w:lang w:val="en-US"/>
        </w:rPr>
        <w:t>See for instance generally the discussion appearing in Erasmus : Superior Court Practice’ at p B1-202 (Service 38,2012)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626"/>
    <w:multiLevelType w:val="multilevel"/>
    <w:tmpl w:val="D368E06E"/>
    <w:lvl w:ilvl="0">
      <w:start w:val="16"/>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122D0CA6"/>
    <w:multiLevelType w:val="hybridMultilevel"/>
    <w:tmpl w:val="AB1241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3E61EE"/>
    <w:multiLevelType w:val="multilevel"/>
    <w:tmpl w:val="6172D3F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16A62"/>
    <w:multiLevelType w:val="hybridMultilevel"/>
    <w:tmpl w:val="CB3A1A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1E33"/>
    <w:multiLevelType w:val="hybridMultilevel"/>
    <w:tmpl w:val="F940CADA"/>
    <w:lvl w:ilvl="0" w:tplc="E506D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C12888"/>
    <w:multiLevelType w:val="hybridMultilevel"/>
    <w:tmpl w:val="17FC6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43679"/>
    <w:multiLevelType w:val="hybridMultilevel"/>
    <w:tmpl w:val="FADE9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F257C"/>
    <w:multiLevelType w:val="multilevel"/>
    <w:tmpl w:val="9EFEFB62"/>
    <w:lvl w:ilvl="0">
      <w:start w:val="19"/>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4153C01"/>
    <w:multiLevelType w:val="multilevel"/>
    <w:tmpl w:val="84EE1C22"/>
    <w:lvl w:ilvl="0">
      <w:start w:val="18"/>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DF1188"/>
    <w:multiLevelType w:val="hybridMultilevel"/>
    <w:tmpl w:val="6B24BC0E"/>
    <w:lvl w:ilvl="0" w:tplc="B81EF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1340F7"/>
    <w:multiLevelType w:val="hybridMultilevel"/>
    <w:tmpl w:val="D410F2D2"/>
    <w:lvl w:ilvl="0" w:tplc="72D6EF0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B10C1B"/>
    <w:multiLevelType w:val="hybridMultilevel"/>
    <w:tmpl w:val="D2848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0766C"/>
    <w:multiLevelType w:val="hybridMultilevel"/>
    <w:tmpl w:val="08064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20"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653FD1"/>
    <w:multiLevelType w:val="hybridMultilevel"/>
    <w:tmpl w:val="B3EE5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32859"/>
    <w:multiLevelType w:val="hybridMultilevel"/>
    <w:tmpl w:val="4D92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D479F8"/>
    <w:multiLevelType w:val="hybridMultilevel"/>
    <w:tmpl w:val="478EA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E06C1"/>
    <w:multiLevelType w:val="hybridMultilevel"/>
    <w:tmpl w:val="FADE9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F55E31"/>
    <w:multiLevelType w:val="hybridMultilevel"/>
    <w:tmpl w:val="AAD06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25985"/>
    <w:multiLevelType w:val="multilevel"/>
    <w:tmpl w:val="F9B6854C"/>
    <w:lvl w:ilvl="0">
      <w:start w:val="21"/>
      <w:numFmt w:val="decimal"/>
      <w:lvlText w:val="%1"/>
      <w:lvlJc w:val="left"/>
      <w:pPr>
        <w:ind w:left="465" w:hanging="465"/>
      </w:pPr>
      <w:rPr>
        <w:rFonts w:hint="default"/>
        <w:b w:val="0"/>
        <w:bCs/>
      </w:rPr>
    </w:lvl>
    <w:lvl w:ilvl="1">
      <w:start w:val="1"/>
      <w:numFmt w:val="decimal"/>
      <w:lvlText w:val="%1.%2"/>
      <w:lvlJc w:val="left"/>
      <w:pPr>
        <w:ind w:left="1905" w:hanging="465"/>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45E0E03"/>
    <w:multiLevelType w:val="hybridMultilevel"/>
    <w:tmpl w:val="8F704F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D7C83"/>
    <w:multiLevelType w:val="hybridMultilevel"/>
    <w:tmpl w:val="D6EEEED4"/>
    <w:lvl w:ilvl="0" w:tplc="B5A86C8C">
      <w:start w:val="1"/>
      <w:numFmt w:val="decimal"/>
      <w:lvlText w:val="%1."/>
      <w:lvlJc w:val="left"/>
      <w:pPr>
        <w:ind w:left="1080" w:hanging="360"/>
      </w:pPr>
      <w:rPr>
        <w:rFonts w:hint="default"/>
        <w:b w:val="0"/>
        <w:bCs/>
        <w:i w:val="0"/>
        <w:iCs w:val="0"/>
      </w:rPr>
    </w:lvl>
    <w:lvl w:ilvl="1" w:tplc="EABE0B60">
      <w:start w:val="1"/>
      <w:numFmt w:val="lowerLetter"/>
      <w:lvlText w:val="%2."/>
      <w:lvlJc w:val="left"/>
      <w:pPr>
        <w:ind w:left="1800" w:hanging="360"/>
      </w:pPr>
      <w:rPr>
        <w:i w:val="0"/>
        <w:i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3"/>
  </w:num>
  <w:num w:numId="4">
    <w:abstractNumId w:val="20"/>
  </w:num>
  <w:num w:numId="5">
    <w:abstractNumId w:val="16"/>
  </w:num>
  <w:num w:numId="6">
    <w:abstractNumId w:val="12"/>
  </w:num>
  <w:num w:numId="7">
    <w:abstractNumId w:val="31"/>
  </w:num>
  <w:num w:numId="8">
    <w:abstractNumId w:val="26"/>
  </w:num>
  <w:num w:numId="9">
    <w:abstractNumId w:val="11"/>
  </w:num>
  <w:num w:numId="10">
    <w:abstractNumId w:val="19"/>
  </w:num>
  <w:num w:numId="11">
    <w:abstractNumId w:val="8"/>
  </w:num>
  <w:num w:numId="12">
    <w:abstractNumId w:val="2"/>
  </w:num>
  <w:num w:numId="13">
    <w:abstractNumId w:val="30"/>
  </w:num>
  <w:num w:numId="14">
    <w:abstractNumId w:val="28"/>
  </w:num>
  <w:num w:numId="15">
    <w:abstractNumId w:val="27"/>
  </w:num>
  <w:num w:numId="16">
    <w:abstractNumId w:val="14"/>
  </w:num>
  <w:num w:numId="17">
    <w:abstractNumId w:val="21"/>
  </w:num>
  <w:num w:numId="18">
    <w:abstractNumId w:val="3"/>
  </w:num>
  <w:num w:numId="19">
    <w:abstractNumId w:val="1"/>
  </w:num>
  <w:num w:numId="20">
    <w:abstractNumId w:val="0"/>
  </w:num>
  <w:num w:numId="21">
    <w:abstractNumId w:val="24"/>
  </w:num>
  <w:num w:numId="22">
    <w:abstractNumId w:val="10"/>
  </w:num>
  <w:num w:numId="23">
    <w:abstractNumId w:val="6"/>
  </w:num>
  <w:num w:numId="24">
    <w:abstractNumId w:val="29"/>
  </w:num>
  <w:num w:numId="25">
    <w:abstractNumId w:val="9"/>
  </w:num>
  <w:num w:numId="26">
    <w:abstractNumId w:val="25"/>
  </w:num>
  <w:num w:numId="27">
    <w:abstractNumId w:val="18"/>
  </w:num>
  <w:num w:numId="28">
    <w:abstractNumId w:val="4"/>
  </w:num>
  <w:num w:numId="29">
    <w:abstractNumId w:val="13"/>
  </w:num>
  <w:num w:numId="30">
    <w:abstractNumId w:val="22"/>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2B7B"/>
    <w:rsid w:val="00007708"/>
    <w:rsid w:val="00014CC8"/>
    <w:rsid w:val="00023FD4"/>
    <w:rsid w:val="00026D86"/>
    <w:rsid w:val="00062068"/>
    <w:rsid w:val="00065CE7"/>
    <w:rsid w:val="00075CD1"/>
    <w:rsid w:val="0007655E"/>
    <w:rsid w:val="00090783"/>
    <w:rsid w:val="00091C59"/>
    <w:rsid w:val="00092FD2"/>
    <w:rsid w:val="00096044"/>
    <w:rsid w:val="0009710D"/>
    <w:rsid w:val="000B663A"/>
    <w:rsid w:val="000C0A07"/>
    <w:rsid w:val="000C1B3C"/>
    <w:rsid w:val="000D5FE9"/>
    <w:rsid w:val="000E362A"/>
    <w:rsid w:val="000E51E7"/>
    <w:rsid w:val="000F1180"/>
    <w:rsid w:val="00112D50"/>
    <w:rsid w:val="00113321"/>
    <w:rsid w:val="00124EC8"/>
    <w:rsid w:val="001338C3"/>
    <w:rsid w:val="001417E6"/>
    <w:rsid w:val="00146F1D"/>
    <w:rsid w:val="001515EA"/>
    <w:rsid w:val="00156A17"/>
    <w:rsid w:val="00165FEE"/>
    <w:rsid w:val="001711F9"/>
    <w:rsid w:val="0017153C"/>
    <w:rsid w:val="00173036"/>
    <w:rsid w:val="001804AD"/>
    <w:rsid w:val="001A010C"/>
    <w:rsid w:val="001A1FDF"/>
    <w:rsid w:val="001A29D5"/>
    <w:rsid w:val="001A6403"/>
    <w:rsid w:val="001B23D9"/>
    <w:rsid w:val="001B710C"/>
    <w:rsid w:val="001C495F"/>
    <w:rsid w:val="001D41D2"/>
    <w:rsid w:val="001E39EE"/>
    <w:rsid w:val="001E70F9"/>
    <w:rsid w:val="001F1ECD"/>
    <w:rsid w:val="001F4A48"/>
    <w:rsid w:val="001F75A9"/>
    <w:rsid w:val="002002FA"/>
    <w:rsid w:val="00203E3D"/>
    <w:rsid w:val="002051C1"/>
    <w:rsid w:val="002100DF"/>
    <w:rsid w:val="002207D9"/>
    <w:rsid w:val="002234F4"/>
    <w:rsid w:val="00223D66"/>
    <w:rsid w:val="00224965"/>
    <w:rsid w:val="002273CC"/>
    <w:rsid w:val="00263A9B"/>
    <w:rsid w:val="00265783"/>
    <w:rsid w:val="00266B3E"/>
    <w:rsid w:val="002736CF"/>
    <w:rsid w:val="00281A10"/>
    <w:rsid w:val="00281FAB"/>
    <w:rsid w:val="00283363"/>
    <w:rsid w:val="002930F2"/>
    <w:rsid w:val="002A06F0"/>
    <w:rsid w:val="002B1C34"/>
    <w:rsid w:val="002B3F1D"/>
    <w:rsid w:val="002C3150"/>
    <w:rsid w:val="002C3DA1"/>
    <w:rsid w:val="002C520F"/>
    <w:rsid w:val="002C6FA8"/>
    <w:rsid w:val="002D4C2A"/>
    <w:rsid w:val="002E057D"/>
    <w:rsid w:val="002E3BFB"/>
    <w:rsid w:val="00300CF7"/>
    <w:rsid w:val="0030287B"/>
    <w:rsid w:val="00314A7B"/>
    <w:rsid w:val="00316A08"/>
    <w:rsid w:val="00323762"/>
    <w:rsid w:val="0033314F"/>
    <w:rsid w:val="00333A49"/>
    <w:rsid w:val="00334EC0"/>
    <w:rsid w:val="003375D1"/>
    <w:rsid w:val="00342AC5"/>
    <w:rsid w:val="00345EE0"/>
    <w:rsid w:val="00347DBC"/>
    <w:rsid w:val="003576D0"/>
    <w:rsid w:val="00364D3C"/>
    <w:rsid w:val="00371CD0"/>
    <w:rsid w:val="003723C3"/>
    <w:rsid w:val="00391A6E"/>
    <w:rsid w:val="0039308E"/>
    <w:rsid w:val="00393E41"/>
    <w:rsid w:val="00396AF1"/>
    <w:rsid w:val="003A0103"/>
    <w:rsid w:val="003A101F"/>
    <w:rsid w:val="003A1F46"/>
    <w:rsid w:val="003A7E2F"/>
    <w:rsid w:val="003B0E74"/>
    <w:rsid w:val="003B5F6B"/>
    <w:rsid w:val="003C4403"/>
    <w:rsid w:val="003C4613"/>
    <w:rsid w:val="003E296C"/>
    <w:rsid w:val="003E3AA3"/>
    <w:rsid w:val="003E3D0D"/>
    <w:rsid w:val="003E3FC4"/>
    <w:rsid w:val="003E50E8"/>
    <w:rsid w:val="003F52A2"/>
    <w:rsid w:val="003F63E0"/>
    <w:rsid w:val="00422CA6"/>
    <w:rsid w:val="00425554"/>
    <w:rsid w:val="00431D15"/>
    <w:rsid w:val="0044438C"/>
    <w:rsid w:val="004514DE"/>
    <w:rsid w:val="004546CC"/>
    <w:rsid w:val="00456199"/>
    <w:rsid w:val="004631A6"/>
    <w:rsid w:val="00470B0C"/>
    <w:rsid w:val="00481A9B"/>
    <w:rsid w:val="004B355E"/>
    <w:rsid w:val="004B5538"/>
    <w:rsid w:val="004B5E87"/>
    <w:rsid w:val="004C4FAE"/>
    <w:rsid w:val="004C644E"/>
    <w:rsid w:val="004D517F"/>
    <w:rsid w:val="004E581F"/>
    <w:rsid w:val="004E7D33"/>
    <w:rsid w:val="004F3A22"/>
    <w:rsid w:val="004F4319"/>
    <w:rsid w:val="0050338C"/>
    <w:rsid w:val="005234EE"/>
    <w:rsid w:val="00523B76"/>
    <w:rsid w:val="005241A4"/>
    <w:rsid w:val="005403D8"/>
    <w:rsid w:val="005515BD"/>
    <w:rsid w:val="00557400"/>
    <w:rsid w:val="005577B6"/>
    <w:rsid w:val="00560857"/>
    <w:rsid w:val="00561495"/>
    <w:rsid w:val="00562A14"/>
    <w:rsid w:val="0056512A"/>
    <w:rsid w:val="0056693A"/>
    <w:rsid w:val="005700A8"/>
    <w:rsid w:val="0059498F"/>
    <w:rsid w:val="005955B1"/>
    <w:rsid w:val="005A66F8"/>
    <w:rsid w:val="005A7DEC"/>
    <w:rsid w:val="005B7A31"/>
    <w:rsid w:val="005D0592"/>
    <w:rsid w:val="005D6172"/>
    <w:rsid w:val="005D7161"/>
    <w:rsid w:val="005E5A8F"/>
    <w:rsid w:val="0060394A"/>
    <w:rsid w:val="006039AA"/>
    <w:rsid w:val="00621EE8"/>
    <w:rsid w:val="0062225A"/>
    <w:rsid w:val="00627C26"/>
    <w:rsid w:val="00634F16"/>
    <w:rsid w:val="00642792"/>
    <w:rsid w:val="006475B1"/>
    <w:rsid w:val="00647A7B"/>
    <w:rsid w:val="00652595"/>
    <w:rsid w:val="00657620"/>
    <w:rsid w:val="00666306"/>
    <w:rsid w:val="00676253"/>
    <w:rsid w:val="006809D8"/>
    <w:rsid w:val="00686B3F"/>
    <w:rsid w:val="006B1F56"/>
    <w:rsid w:val="006B1F60"/>
    <w:rsid w:val="006B3473"/>
    <w:rsid w:val="006C2872"/>
    <w:rsid w:val="006C2F95"/>
    <w:rsid w:val="006D1141"/>
    <w:rsid w:val="006D22F9"/>
    <w:rsid w:val="006D2D84"/>
    <w:rsid w:val="006D3794"/>
    <w:rsid w:val="006D6F6D"/>
    <w:rsid w:val="006E0DC5"/>
    <w:rsid w:val="006E2964"/>
    <w:rsid w:val="006E49A3"/>
    <w:rsid w:val="006F4A66"/>
    <w:rsid w:val="00711F52"/>
    <w:rsid w:val="00715AD2"/>
    <w:rsid w:val="00723F03"/>
    <w:rsid w:val="0072640A"/>
    <w:rsid w:val="0073012B"/>
    <w:rsid w:val="007329D4"/>
    <w:rsid w:val="0074126A"/>
    <w:rsid w:val="007447AE"/>
    <w:rsid w:val="00750F57"/>
    <w:rsid w:val="00764071"/>
    <w:rsid w:val="00772C8E"/>
    <w:rsid w:val="0078341F"/>
    <w:rsid w:val="00784B19"/>
    <w:rsid w:val="00790E9F"/>
    <w:rsid w:val="0079456D"/>
    <w:rsid w:val="00797188"/>
    <w:rsid w:val="00797247"/>
    <w:rsid w:val="007A1FD4"/>
    <w:rsid w:val="007A64D4"/>
    <w:rsid w:val="007B665C"/>
    <w:rsid w:val="007C6B41"/>
    <w:rsid w:val="007F3578"/>
    <w:rsid w:val="00805BCE"/>
    <w:rsid w:val="00806B14"/>
    <w:rsid w:val="00812E09"/>
    <w:rsid w:val="0081352A"/>
    <w:rsid w:val="00823237"/>
    <w:rsid w:val="00825474"/>
    <w:rsid w:val="00837272"/>
    <w:rsid w:val="00843145"/>
    <w:rsid w:val="00851B88"/>
    <w:rsid w:val="00864008"/>
    <w:rsid w:val="00864FC2"/>
    <w:rsid w:val="00867BDF"/>
    <w:rsid w:val="00890143"/>
    <w:rsid w:val="008930A5"/>
    <w:rsid w:val="008A14A9"/>
    <w:rsid w:val="008B1C23"/>
    <w:rsid w:val="008C0AC7"/>
    <w:rsid w:val="008D2B93"/>
    <w:rsid w:val="008D5B8D"/>
    <w:rsid w:val="008D65E9"/>
    <w:rsid w:val="008D79D4"/>
    <w:rsid w:val="008E6759"/>
    <w:rsid w:val="008F65E5"/>
    <w:rsid w:val="00902CE8"/>
    <w:rsid w:val="00905A48"/>
    <w:rsid w:val="00912D4E"/>
    <w:rsid w:val="00913A1D"/>
    <w:rsid w:val="00935292"/>
    <w:rsid w:val="00942BE6"/>
    <w:rsid w:val="009435FA"/>
    <w:rsid w:val="00945A2F"/>
    <w:rsid w:val="00947BEE"/>
    <w:rsid w:val="00952193"/>
    <w:rsid w:val="00952B28"/>
    <w:rsid w:val="009633A4"/>
    <w:rsid w:val="009731DD"/>
    <w:rsid w:val="0098277A"/>
    <w:rsid w:val="00985096"/>
    <w:rsid w:val="00992A7D"/>
    <w:rsid w:val="00997334"/>
    <w:rsid w:val="009A2FCF"/>
    <w:rsid w:val="009A5F60"/>
    <w:rsid w:val="009B096F"/>
    <w:rsid w:val="009B6E25"/>
    <w:rsid w:val="009C36A5"/>
    <w:rsid w:val="009C7093"/>
    <w:rsid w:val="009F24FA"/>
    <w:rsid w:val="009F6C8B"/>
    <w:rsid w:val="00A06FD8"/>
    <w:rsid w:val="00A14435"/>
    <w:rsid w:val="00A16AC6"/>
    <w:rsid w:val="00A23F8A"/>
    <w:rsid w:val="00A258AF"/>
    <w:rsid w:val="00A27D8A"/>
    <w:rsid w:val="00A40097"/>
    <w:rsid w:val="00A4515E"/>
    <w:rsid w:val="00A5368E"/>
    <w:rsid w:val="00A5758F"/>
    <w:rsid w:val="00A635A8"/>
    <w:rsid w:val="00A6494E"/>
    <w:rsid w:val="00A772D3"/>
    <w:rsid w:val="00A81203"/>
    <w:rsid w:val="00A82F94"/>
    <w:rsid w:val="00A94E25"/>
    <w:rsid w:val="00AB28DD"/>
    <w:rsid w:val="00AB3745"/>
    <w:rsid w:val="00AB3F40"/>
    <w:rsid w:val="00AB40C6"/>
    <w:rsid w:val="00AB5193"/>
    <w:rsid w:val="00AB65FB"/>
    <w:rsid w:val="00AC4198"/>
    <w:rsid w:val="00AD0FCD"/>
    <w:rsid w:val="00AD1833"/>
    <w:rsid w:val="00B07B4B"/>
    <w:rsid w:val="00B115FD"/>
    <w:rsid w:val="00B160EB"/>
    <w:rsid w:val="00B1649C"/>
    <w:rsid w:val="00B25A1B"/>
    <w:rsid w:val="00B30012"/>
    <w:rsid w:val="00B337FC"/>
    <w:rsid w:val="00B40BBE"/>
    <w:rsid w:val="00B423A5"/>
    <w:rsid w:val="00B4625E"/>
    <w:rsid w:val="00B53D6D"/>
    <w:rsid w:val="00B66325"/>
    <w:rsid w:val="00B76671"/>
    <w:rsid w:val="00B8518D"/>
    <w:rsid w:val="00BA213D"/>
    <w:rsid w:val="00BA3715"/>
    <w:rsid w:val="00BA48EA"/>
    <w:rsid w:val="00BB1E6E"/>
    <w:rsid w:val="00BB388A"/>
    <w:rsid w:val="00BC4D4A"/>
    <w:rsid w:val="00BE104A"/>
    <w:rsid w:val="00BE5489"/>
    <w:rsid w:val="00BE7DE8"/>
    <w:rsid w:val="00BF539E"/>
    <w:rsid w:val="00BF6DAE"/>
    <w:rsid w:val="00C04EBD"/>
    <w:rsid w:val="00C06B39"/>
    <w:rsid w:val="00C10C58"/>
    <w:rsid w:val="00C119BC"/>
    <w:rsid w:val="00C1735E"/>
    <w:rsid w:val="00C249D9"/>
    <w:rsid w:val="00C332BE"/>
    <w:rsid w:val="00C356C5"/>
    <w:rsid w:val="00C50A1F"/>
    <w:rsid w:val="00C64F07"/>
    <w:rsid w:val="00C73154"/>
    <w:rsid w:val="00C827E0"/>
    <w:rsid w:val="00CA2B73"/>
    <w:rsid w:val="00CA4320"/>
    <w:rsid w:val="00CB39F0"/>
    <w:rsid w:val="00CB4CA9"/>
    <w:rsid w:val="00CC191C"/>
    <w:rsid w:val="00CC4D82"/>
    <w:rsid w:val="00CC4E7A"/>
    <w:rsid w:val="00CC5024"/>
    <w:rsid w:val="00CE6E11"/>
    <w:rsid w:val="00CF1316"/>
    <w:rsid w:val="00CF3D16"/>
    <w:rsid w:val="00CF6287"/>
    <w:rsid w:val="00D00FD1"/>
    <w:rsid w:val="00D0287E"/>
    <w:rsid w:val="00D10858"/>
    <w:rsid w:val="00D153C7"/>
    <w:rsid w:val="00D22ACF"/>
    <w:rsid w:val="00D26543"/>
    <w:rsid w:val="00D36A81"/>
    <w:rsid w:val="00D40029"/>
    <w:rsid w:val="00D64023"/>
    <w:rsid w:val="00D73FFF"/>
    <w:rsid w:val="00D767E6"/>
    <w:rsid w:val="00D862BF"/>
    <w:rsid w:val="00D93AFF"/>
    <w:rsid w:val="00DA5D82"/>
    <w:rsid w:val="00DB2F26"/>
    <w:rsid w:val="00DC392E"/>
    <w:rsid w:val="00DD1F31"/>
    <w:rsid w:val="00DE3D2F"/>
    <w:rsid w:val="00DE417A"/>
    <w:rsid w:val="00DF290C"/>
    <w:rsid w:val="00DF3375"/>
    <w:rsid w:val="00DF4287"/>
    <w:rsid w:val="00E1002B"/>
    <w:rsid w:val="00E253EE"/>
    <w:rsid w:val="00E256F6"/>
    <w:rsid w:val="00E3339B"/>
    <w:rsid w:val="00E41527"/>
    <w:rsid w:val="00E41C88"/>
    <w:rsid w:val="00E42E71"/>
    <w:rsid w:val="00E44BBF"/>
    <w:rsid w:val="00E619CB"/>
    <w:rsid w:val="00E65DE9"/>
    <w:rsid w:val="00E675EB"/>
    <w:rsid w:val="00E765F9"/>
    <w:rsid w:val="00E8143F"/>
    <w:rsid w:val="00EA06CF"/>
    <w:rsid w:val="00EA3A04"/>
    <w:rsid w:val="00EA4E96"/>
    <w:rsid w:val="00EB27A0"/>
    <w:rsid w:val="00EC0A93"/>
    <w:rsid w:val="00EC4507"/>
    <w:rsid w:val="00ED7D16"/>
    <w:rsid w:val="00EE19B5"/>
    <w:rsid w:val="00F11950"/>
    <w:rsid w:val="00F16B31"/>
    <w:rsid w:val="00F16C57"/>
    <w:rsid w:val="00F233A9"/>
    <w:rsid w:val="00F24301"/>
    <w:rsid w:val="00F34C7D"/>
    <w:rsid w:val="00F3787E"/>
    <w:rsid w:val="00F42A7B"/>
    <w:rsid w:val="00F53DDE"/>
    <w:rsid w:val="00F571A4"/>
    <w:rsid w:val="00F66EB8"/>
    <w:rsid w:val="00F71EB9"/>
    <w:rsid w:val="00F72F82"/>
    <w:rsid w:val="00FB2069"/>
    <w:rsid w:val="00FC0878"/>
    <w:rsid w:val="00FD3814"/>
    <w:rsid w:val="00FD38C2"/>
    <w:rsid w:val="00FE5A39"/>
    <w:rsid w:val="00FF48D8"/>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EBCEE-7001-4BB5-8998-F93E4D12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aliases w:val="HCR: - Footnote text"/>
    <w:basedOn w:val="Normal"/>
    <w:link w:val="FootnoteTextChar"/>
    <w:uiPriority w:val="99"/>
    <w:unhideWhenUsed/>
    <w:qFormat/>
    <w:rsid w:val="00B07B4B"/>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B07B4B"/>
    <w:rPr>
      <w:sz w:val="20"/>
      <w:szCs w:val="20"/>
    </w:rPr>
  </w:style>
  <w:style w:type="character" w:styleId="FootnoteReference">
    <w:name w:val="footnote reference"/>
    <w:basedOn w:val="DefaultParagraphFont"/>
    <w:uiPriority w:val="99"/>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2020-06-09T18:30:00+00:00</Judgment_x0020_Date>
    <Year xmlns="c1afb1bd-f2fb-40fd-9abb-aea55b4d7662">2020</Year>
  </documentManagement>
</p:properties>
</file>

<file path=customXml/itemProps1.xml><?xml version="1.0" encoding="utf-8"?>
<ds:datastoreItem xmlns:ds="http://schemas.openxmlformats.org/officeDocument/2006/customXml" ds:itemID="{F9284A2B-E653-4D1D-9C0E-00C7F9BD004B}"/>
</file>

<file path=customXml/itemProps2.xml><?xml version="1.0" encoding="utf-8"?>
<ds:datastoreItem xmlns:ds="http://schemas.openxmlformats.org/officeDocument/2006/customXml" ds:itemID="{F092E745-6477-47C9-B152-2D52D57FC9C0}"/>
</file>

<file path=customXml/itemProps3.xml><?xml version="1.0" encoding="utf-8"?>
<ds:datastoreItem xmlns:ds="http://schemas.openxmlformats.org/officeDocument/2006/customXml" ds:itemID="{AF153736-C8BD-4A9D-A773-E9667A6CEF8C}"/>
</file>

<file path=customXml/itemProps4.xml><?xml version="1.0" encoding="utf-8"?>
<ds:datastoreItem xmlns:ds="http://schemas.openxmlformats.org/officeDocument/2006/customXml" ds:itemID="{26F16592-E2C3-4875-9F5C-5893B6188AC3}"/>
</file>

<file path=docProps/app.xml><?xml version="1.0" encoding="utf-8"?>
<Properties xmlns="http://schemas.openxmlformats.org/officeDocument/2006/extended-properties" xmlns:vt="http://schemas.openxmlformats.org/officeDocument/2006/docPropsVTypes">
  <Template>Normal</Template>
  <TotalTime>0</TotalTime>
  <Pages>14</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Kauluma v Nangolo  (HC-MD-CIV-MOT-GEN-2018-00187) [2020] NAHCMD 215 (10 June 2020)</dc:title>
  <dc:subject/>
  <dc:creator>E. Kharases</dc:creator>
  <cp:keywords/>
  <dc:description/>
  <cp:lastModifiedBy>Administrator</cp:lastModifiedBy>
  <cp:revision>2</cp:revision>
  <cp:lastPrinted>2020-06-11T09:30:00Z</cp:lastPrinted>
  <dcterms:created xsi:type="dcterms:W3CDTF">2020-06-11T10:00:00Z</dcterms:created>
  <dcterms:modified xsi:type="dcterms:W3CDTF">2020-06-11T10:00:00Z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