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A3" w:rsidRPr="006E49A3" w:rsidRDefault="006E49A3" w:rsidP="006E49A3">
      <w:pPr>
        <w:spacing w:after="0" w:line="240" w:lineRule="auto"/>
        <w:jc w:val="center"/>
        <w:rPr>
          <w:rFonts w:ascii="Arial" w:hAnsi="Arial" w:cs="Arial"/>
          <w:sz w:val="26"/>
          <w:szCs w:val="26"/>
        </w:rPr>
      </w:pPr>
      <w:r w:rsidRPr="006E49A3">
        <w:rPr>
          <w:rFonts w:ascii="Arial" w:hAnsi="Arial" w:cs="Arial"/>
          <w:sz w:val="26"/>
          <w:szCs w:val="26"/>
        </w:rPr>
        <w:t>“ANNEXURE 11”</w:t>
      </w:r>
    </w:p>
    <w:p w:rsidR="006E49A3" w:rsidRPr="006E49A3" w:rsidRDefault="00DD35CD" w:rsidP="006E49A3">
      <w:pPr>
        <w:spacing w:after="0" w:line="240" w:lineRule="auto"/>
        <w:jc w:val="center"/>
        <w:rPr>
          <w:rFonts w:ascii="Arial" w:hAnsi="Arial" w:cs="Arial"/>
          <w:sz w:val="26"/>
          <w:szCs w:val="26"/>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5CC63ACC" wp14:editId="3BCA9A32">
                <wp:simplePos x="0" y="0"/>
                <wp:positionH relativeFrom="column">
                  <wp:posOffset>4572000</wp:posOffset>
                </wp:positionH>
                <wp:positionV relativeFrom="paragraph">
                  <wp:posOffset>27305</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D35CD" w:rsidRPr="00483760" w:rsidRDefault="00DD35CD" w:rsidP="00DD35CD">
                            <w:pPr>
                              <w:spacing w:after="106"/>
                              <w:jc w:val="center"/>
                              <w:rPr>
                                <w:b/>
                              </w:rPr>
                            </w:pPr>
                            <w:r>
                              <w:rPr>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63ACC" id="_x0000_t202" coordsize="21600,21600" o:spt="202" path="m,l,21600r21600,l21600,xe">
                <v:stroke joinstyle="miter"/>
                <v:path gradientshapeok="t" o:connecttype="rect"/>
              </v:shapetype>
              <v:shape id="Text Box 2" o:spid="_x0000_s1026" type="#_x0000_t202" style="position:absolute;left:0;text-align:left;margin-left:5in;margin-top:2.1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" strokecolor="white">
                <v:textbox>
                  <w:txbxContent>
                    <w:p w:rsidR="00DD35CD" w:rsidRPr="00483760" w:rsidRDefault="00DD35CD" w:rsidP="00DD35CD">
                      <w:pPr>
                        <w:spacing w:after="106"/>
                        <w:jc w:val="center"/>
                        <w:rPr>
                          <w:b/>
                        </w:rPr>
                      </w:pPr>
                      <w:r>
                        <w:rPr>
                          <w:b/>
                        </w:rPr>
                        <w:t>REPORTABLE</w:t>
                      </w:r>
                    </w:p>
                  </w:txbxContent>
                </v:textbox>
              </v:shape>
            </w:pict>
          </mc:Fallback>
        </mc:AlternateContent>
      </w:r>
      <w:r w:rsidR="006E49A3" w:rsidRPr="006E49A3">
        <w:rPr>
          <w:rFonts w:ascii="Arial" w:hAnsi="Arial" w:cs="Arial"/>
          <w:sz w:val="26"/>
          <w:szCs w:val="26"/>
        </w:rPr>
        <w:t>Practice Directive 61</w:t>
      </w:r>
    </w:p>
    <w:p w:rsidR="006E49A3" w:rsidRPr="006E49A3" w:rsidRDefault="006E49A3" w:rsidP="006E49A3">
      <w:pPr>
        <w:spacing w:after="0" w:line="360" w:lineRule="auto"/>
        <w:jc w:val="both"/>
        <w:rPr>
          <w:rFonts w:ascii="Arial" w:hAnsi="Arial" w:cs="Arial"/>
          <w:sz w:val="24"/>
          <w:szCs w:val="24"/>
        </w:rPr>
      </w:pPr>
    </w:p>
    <w:p w:rsidR="006E49A3" w:rsidRPr="006E49A3" w:rsidRDefault="006E49A3" w:rsidP="006E49A3">
      <w:pPr>
        <w:spacing w:after="0" w:line="360" w:lineRule="auto"/>
        <w:jc w:val="center"/>
        <w:rPr>
          <w:rFonts w:ascii="Arial" w:hAnsi="Arial" w:cs="Arial"/>
          <w:b/>
          <w:sz w:val="24"/>
          <w:szCs w:val="24"/>
        </w:rPr>
      </w:pPr>
      <w:r w:rsidRPr="006E49A3">
        <w:rPr>
          <w:rFonts w:ascii="Arial" w:hAnsi="Arial" w:cs="Arial"/>
          <w:b/>
          <w:sz w:val="24"/>
          <w:szCs w:val="24"/>
        </w:rPr>
        <w:t>IN THE HIGH COURT OF NAMIBIA</w:t>
      </w:r>
    </w:p>
    <w:p w:rsidR="00281FAB" w:rsidRPr="006E49A3" w:rsidRDefault="00281FAB" w:rsidP="00EB27A0">
      <w:pPr>
        <w:spacing w:after="0" w:line="360" w:lineRule="auto"/>
        <w:jc w:val="both"/>
        <w:rPr>
          <w:rFonts w:ascii="Arial" w:hAnsi="Arial" w:cs="Arial"/>
        </w:rPr>
      </w:pPr>
    </w:p>
    <w:tbl>
      <w:tblPr>
        <w:tblStyle w:val="TableGrid"/>
        <w:tblW w:w="9720" w:type="dxa"/>
        <w:tblInd w:w="-275" w:type="dxa"/>
        <w:tblLook w:val="04A0" w:firstRow="1" w:lastRow="0" w:firstColumn="1" w:lastColumn="0" w:noHBand="0" w:noVBand="1"/>
      </w:tblPr>
      <w:tblGrid>
        <w:gridCol w:w="5429"/>
        <w:gridCol w:w="511"/>
        <w:gridCol w:w="3780"/>
      </w:tblGrid>
      <w:tr w:rsidR="00C73154" w:rsidRPr="006E49A3" w:rsidTr="005403D8">
        <w:trPr>
          <w:trHeight w:val="744"/>
        </w:trPr>
        <w:tc>
          <w:tcPr>
            <w:tcW w:w="5397" w:type="dxa"/>
            <w:gridSpan w:val="2"/>
            <w:vMerge w:val="restart"/>
          </w:tcPr>
          <w:p w:rsidR="00C73154" w:rsidRPr="006E49A3" w:rsidRDefault="00C73154" w:rsidP="00EB27A0">
            <w:pPr>
              <w:spacing w:line="360" w:lineRule="auto"/>
              <w:jc w:val="both"/>
              <w:rPr>
                <w:rFonts w:ascii="Arial" w:hAnsi="Arial" w:cs="Arial"/>
              </w:rPr>
            </w:pPr>
            <w:r w:rsidRPr="006E49A3">
              <w:rPr>
                <w:rFonts w:ascii="Arial" w:hAnsi="Arial" w:cs="Arial"/>
                <w:b/>
              </w:rPr>
              <w:t>Case Title:</w:t>
            </w:r>
          </w:p>
          <w:p w:rsidR="00C73154" w:rsidRPr="00026D86" w:rsidRDefault="00A253E6" w:rsidP="006D2D84">
            <w:pPr>
              <w:spacing w:line="360" w:lineRule="auto"/>
              <w:jc w:val="both"/>
              <w:rPr>
                <w:rFonts w:ascii="Arial" w:hAnsi="Arial" w:cs="Arial"/>
              </w:rPr>
            </w:pPr>
            <w:r w:rsidRPr="00A253E6">
              <w:rPr>
                <w:rFonts w:ascii="Arial" w:hAnsi="Arial" w:cs="Arial"/>
              </w:rPr>
              <w:t>HOLLARD INSURANCE COMPANY OF NAMIBIA</w:t>
            </w:r>
            <w:r w:rsidR="006C2F95">
              <w:rPr>
                <w:rFonts w:ascii="Arial" w:hAnsi="Arial" w:cs="Arial"/>
              </w:rPr>
              <w:t xml:space="preserve"> &amp; </w:t>
            </w:r>
            <w:r>
              <w:rPr>
                <w:rFonts w:ascii="Arial" w:hAnsi="Arial" w:cs="Arial"/>
              </w:rPr>
              <w:t xml:space="preserve">11 </w:t>
            </w:r>
            <w:r w:rsidR="006C2F95">
              <w:rPr>
                <w:rFonts w:ascii="Arial" w:hAnsi="Arial" w:cs="Arial"/>
              </w:rPr>
              <w:t>OTHER</w:t>
            </w:r>
            <w:r>
              <w:rPr>
                <w:rFonts w:ascii="Arial" w:hAnsi="Arial" w:cs="Arial"/>
              </w:rPr>
              <w:t>S</w:t>
            </w:r>
            <w:r w:rsidR="00026D86" w:rsidRPr="00026D86">
              <w:rPr>
                <w:rFonts w:ascii="Arial" w:hAnsi="Arial" w:cs="Arial"/>
                <w:shd w:val="clear" w:color="auto" w:fill="FFFFFF"/>
              </w:rPr>
              <w:t xml:space="preserve"> vs </w:t>
            </w:r>
            <w:r w:rsidRPr="00A253E6">
              <w:rPr>
                <w:rFonts w:ascii="Arial" w:hAnsi="Arial" w:cs="Arial"/>
              </w:rPr>
              <w:t>MINISTER OF FINANCE</w:t>
            </w:r>
            <w:r w:rsidR="006C2F95">
              <w:rPr>
                <w:rFonts w:ascii="Arial" w:hAnsi="Arial" w:cs="Arial"/>
                <w:shd w:val="clear" w:color="auto" w:fill="FFFFFF"/>
              </w:rPr>
              <w:t xml:space="preserve"> &amp; </w:t>
            </w:r>
            <w:r>
              <w:rPr>
                <w:rFonts w:ascii="Arial" w:hAnsi="Arial" w:cs="Arial"/>
                <w:shd w:val="clear" w:color="auto" w:fill="FFFFFF"/>
              </w:rPr>
              <w:t>AN</w:t>
            </w:r>
            <w:r w:rsidR="006C2F95">
              <w:rPr>
                <w:rFonts w:ascii="Arial" w:hAnsi="Arial" w:cs="Arial"/>
                <w:shd w:val="clear" w:color="auto" w:fill="FFFFFF"/>
              </w:rPr>
              <w:t>OTHER</w:t>
            </w:r>
          </w:p>
          <w:p w:rsidR="00C73154" w:rsidRPr="006E49A3" w:rsidRDefault="00C73154" w:rsidP="006D2D84">
            <w:pPr>
              <w:spacing w:line="360" w:lineRule="auto"/>
              <w:jc w:val="both"/>
              <w:rPr>
                <w:rFonts w:ascii="Arial" w:hAnsi="Arial" w:cs="Arial"/>
              </w:rPr>
            </w:pPr>
          </w:p>
        </w:tc>
        <w:tc>
          <w:tcPr>
            <w:tcW w:w="4323" w:type="dxa"/>
          </w:tcPr>
          <w:p w:rsidR="00C73154" w:rsidRPr="006E49A3" w:rsidRDefault="00C73154" w:rsidP="00905A48">
            <w:pPr>
              <w:spacing w:line="360" w:lineRule="auto"/>
              <w:jc w:val="both"/>
              <w:rPr>
                <w:rFonts w:ascii="Arial" w:hAnsi="Arial" w:cs="Arial"/>
                <w:b/>
              </w:rPr>
            </w:pPr>
            <w:r w:rsidRPr="006E49A3">
              <w:rPr>
                <w:rFonts w:ascii="Arial" w:hAnsi="Arial" w:cs="Arial"/>
                <w:b/>
              </w:rPr>
              <w:t>Case No:</w:t>
            </w:r>
          </w:p>
          <w:p w:rsidR="00C73154" w:rsidRPr="00A253E6" w:rsidRDefault="00A253E6" w:rsidP="006C2F95">
            <w:pPr>
              <w:spacing w:line="360" w:lineRule="auto"/>
              <w:jc w:val="both"/>
              <w:rPr>
                <w:rFonts w:ascii="Arial" w:hAnsi="Arial" w:cs="Arial"/>
              </w:rPr>
            </w:pPr>
            <w:r w:rsidRPr="00A253E6">
              <w:rPr>
                <w:rFonts w:ascii="Arial" w:hAnsi="Arial" w:cs="Arial"/>
              </w:rPr>
              <w:t>HC-MD-CIV-MOT-REV-2018/00127</w:t>
            </w:r>
          </w:p>
        </w:tc>
      </w:tr>
      <w:tr w:rsidR="00C73154" w:rsidRPr="006E49A3" w:rsidTr="005403D8">
        <w:trPr>
          <w:trHeight w:val="844"/>
        </w:trPr>
        <w:tc>
          <w:tcPr>
            <w:tcW w:w="5397" w:type="dxa"/>
            <w:gridSpan w:val="2"/>
            <w:vMerge/>
          </w:tcPr>
          <w:p w:rsidR="00C73154" w:rsidRPr="006E49A3" w:rsidRDefault="00C73154" w:rsidP="00EB27A0">
            <w:pPr>
              <w:spacing w:line="360" w:lineRule="auto"/>
              <w:jc w:val="both"/>
              <w:rPr>
                <w:rFonts w:ascii="Arial" w:hAnsi="Arial" w:cs="Arial"/>
              </w:rPr>
            </w:pPr>
          </w:p>
        </w:tc>
        <w:tc>
          <w:tcPr>
            <w:tcW w:w="4323" w:type="dxa"/>
          </w:tcPr>
          <w:p w:rsidR="00C73154" w:rsidRPr="006E49A3" w:rsidRDefault="00C73154" w:rsidP="00EB27A0">
            <w:pPr>
              <w:spacing w:line="360" w:lineRule="auto"/>
              <w:jc w:val="both"/>
              <w:rPr>
                <w:rFonts w:ascii="Arial" w:hAnsi="Arial" w:cs="Arial"/>
              </w:rPr>
            </w:pPr>
            <w:r w:rsidRPr="006E49A3">
              <w:rPr>
                <w:rFonts w:ascii="Arial" w:hAnsi="Arial" w:cs="Arial"/>
                <w:b/>
              </w:rPr>
              <w:t>Division of Court:</w:t>
            </w:r>
          </w:p>
          <w:p w:rsidR="00C73154" w:rsidRPr="006E49A3" w:rsidRDefault="00C73154" w:rsidP="00092FD2">
            <w:pPr>
              <w:spacing w:line="360" w:lineRule="auto"/>
              <w:jc w:val="both"/>
              <w:rPr>
                <w:rFonts w:ascii="Arial" w:hAnsi="Arial" w:cs="Arial"/>
              </w:rPr>
            </w:pPr>
            <w:r w:rsidRPr="006E49A3">
              <w:rPr>
                <w:rFonts w:ascii="Arial" w:hAnsi="Arial" w:cs="Arial"/>
              </w:rPr>
              <w:t>H</w:t>
            </w:r>
            <w:r w:rsidR="00092FD2" w:rsidRPr="006E49A3">
              <w:rPr>
                <w:rFonts w:ascii="Arial" w:hAnsi="Arial" w:cs="Arial"/>
              </w:rPr>
              <w:t>IGH COURT (MAIN DIVISION</w:t>
            </w:r>
            <w:r w:rsidR="00890143" w:rsidRPr="006E49A3">
              <w:rPr>
                <w:rFonts w:ascii="Arial" w:hAnsi="Arial" w:cs="Arial"/>
              </w:rPr>
              <w:t>)</w:t>
            </w:r>
          </w:p>
        </w:tc>
      </w:tr>
      <w:tr w:rsidR="005403D8" w:rsidRPr="006E49A3" w:rsidTr="005403D8">
        <w:trPr>
          <w:trHeight w:val="645"/>
        </w:trPr>
        <w:tc>
          <w:tcPr>
            <w:tcW w:w="5397" w:type="dxa"/>
            <w:gridSpan w:val="2"/>
            <w:vMerge w:val="restart"/>
          </w:tcPr>
          <w:p w:rsidR="005403D8" w:rsidRPr="006E49A3" w:rsidRDefault="005403D8" w:rsidP="00EB27A0">
            <w:pPr>
              <w:spacing w:line="360" w:lineRule="auto"/>
              <w:jc w:val="both"/>
              <w:rPr>
                <w:rFonts w:ascii="Arial" w:hAnsi="Arial" w:cs="Arial"/>
                <w:b/>
              </w:rPr>
            </w:pPr>
            <w:r w:rsidRPr="006E49A3">
              <w:rPr>
                <w:rFonts w:ascii="Arial" w:hAnsi="Arial" w:cs="Arial"/>
                <w:b/>
              </w:rPr>
              <w:t>Heard before:</w:t>
            </w:r>
          </w:p>
          <w:p w:rsidR="005403D8" w:rsidRPr="006E49A3" w:rsidRDefault="005403D8" w:rsidP="0009710D">
            <w:pPr>
              <w:spacing w:line="360" w:lineRule="auto"/>
              <w:jc w:val="both"/>
              <w:rPr>
                <w:rFonts w:ascii="Arial" w:hAnsi="Arial" w:cs="Arial"/>
              </w:rPr>
            </w:pPr>
            <w:r w:rsidRPr="006E49A3">
              <w:rPr>
                <w:rFonts w:ascii="Arial" w:hAnsi="Arial" w:cs="Arial"/>
              </w:rPr>
              <w:t>H</w:t>
            </w:r>
            <w:r w:rsidR="00092FD2" w:rsidRPr="006E49A3">
              <w:rPr>
                <w:rFonts w:ascii="Arial" w:hAnsi="Arial" w:cs="Arial"/>
              </w:rPr>
              <w:t xml:space="preserve">ONOURABLE MR JUSTICE </w:t>
            </w:r>
            <w:r w:rsidR="0009710D">
              <w:rPr>
                <w:rFonts w:ascii="Arial" w:hAnsi="Arial" w:cs="Arial"/>
              </w:rPr>
              <w:t>GEIER</w:t>
            </w:r>
          </w:p>
        </w:tc>
        <w:tc>
          <w:tcPr>
            <w:tcW w:w="4323" w:type="dxa"/>
          </w:tcPr>
          <w:p w:rsidR="005403D8" w:rsidRPr="006E49A3" w:rsidRDefault="005403D8" w:rsidP="00EB27A0">
            <w:pPr>
              <w:spacing w:line="360" w:lineRule="auto"/>
              <w:jc w:val="both"/>
              <w:rPr>
                <w:rFonts w:ascii="Arial" w:hAnsi="Arial" w:cs="Arial"/>
                <w:b/>
              </w:rPr>
            </w:pPr>
            <w:r w:rsidRPr="006E49A3">
              <w:rPr>
                <w:rFonts w:ascii="Arial" w:hAnsi="Arial" w:cs="Arial"/>
                <w:b/>
              </w:rPr>
              <w:t xml:space="preserve">Date </w:t>
            </w:r>
            <w:r w:rsidR="00AB2EE4">
              <w:rPr>
                <w:rFonts w:ascii="Arial" w:hAnsi="Arial" w:cs="Arial"/>
                <w:b/>
              </w:rPr>
              <w:t>reserved</w:t>
            </w:r>
            <w:r w:rsidRPr="006E49A3">
              <w:rPr>
                <w:rFonts w:ascii="Arial" w:hAnsi="Arial" w:cs="Arial"/>
                <w:b/>
              </w:rPr>
              <w:t>:</w:t>
            </w:r>
          </w:p>
          <w:p w:rsidR="005403D8" w:rsidRPr="006E49A3" w:rsidRDefault="00AB2EE4" w:rsidP="00AB2EE4">
            <w:pPr>
              <w:spacing w:line="360" w:lineRule="auto"/>
              <w:rPr>
                <w:rFonts w:ascii="Arial" w:hAnsi="Arial" w:cs="Arial"/>
              </w:rPr>
            </w:pPr>
            <w:r>
              <w:rPr>
                <w:rFonts w:ascii="Arial" w:hAnsi="Arial" w:cs="Arial"/>
              </w:rPr>
              <w:t>09</w:t>
            </w:r>
            <w:r w:rsidR="0009710D">
              <w:rPr>
                <w:rFonts w:ascii="Arial" w:hAnsi="Arial" w:cs="Arial"/>
              </w:rPr>
              <w:t xml:space="preserve"> </w:t>
            </w:r>
            <w:r>
              <w:rPr>
                <w:rFonts w:ascii="Arial" w:hAnsi="Arial" w:cs="Arial"/>
              </w:rPr>
              <w:t>JUNE</w:t>
            </w:r>
            <w:r w:rsidR="00F72F82" w:rsidRPr="006E49A3">
              <w:rPr>
                <w:rFonts w:ascii="Arial" w:hAnsi="Arial" w:cs="Arial"/>
              </w:rPr>
              <w:t xml:space="preserve"> </w:t>
            </w:r>
            <w:r w:rsidR="0009710D">
              <w:rPr>
                <w:rFonts w:ascii="Arial" w:hAnsi="Arial" w:cs="Arial"/>
              </w:rPr>
              <w:t>2020</w:t>
            </w:r>
          </w:p>
        </w:tc>
      </w:tr>
      <w:tr w:rsidR="005403D8" w:rsidRPr="006E49A3" w:rsidTr="00FD38C2">
        <w:trPr>
          <w:trHeight w:val="588"/>
        </w:trPr>
        <w:tc>
          <w:tcPr>
            <w:tcW w:w="5397" w:type="dxa"/>
            <w:gridSpan w:val="2"/>
            <w:vMerge/>
          </w:tcPr>
          <w:p w:rsidR="005403D8" w:rsidRPr="006E49A3" w:rsidRDefault="005403D8" w:rsidP="00EB27A0">
            <w:pPr>
              <w:spacing w:line="360" w:lineRule="auto"/>
              <w:jc w:val="both"/>
              <w:rPr>
                <w:rFonts w:ascii="Arial" w:hAnsi="Arial" w:cs="Arial"/>
                <w:b/>
              </w:rPr>
            </w:pPr>
          </w:p>
        </w:tc>
        <w:tc>
          <w:tcPr>
            <w:tcW w:w="4323" w:type="dxa"/>
          </w:tcPr>
          <w:p w:rsidR="005403D8" w:rsidRPr="006E49A3" w:rsidRDefault="005403D8" w:rsidP="005403D8">
            <w:pPr>
              <w:spacing w:line="360" w:lineRule="auto"/>
              <w:jc w:val="both"/>
              <w:rPr>
                <w:rFonts w:ascii="Arial" w:hAnsi="Arial" w:cs="Arial"/>
                <w:b/>
              </w:rPr>
            </w:pPr>
            <w:r w:rsidRPr="006E49A3">
              <w:rPr>
                <w:rFonts w:ascii="Arial" w:hAnsi="Arial" w:cs="Arial"/>
                <w:b/>
              </w:rPr>
              <w:t>Delivered on:</w:t>
            </w:r>
          </w:p>
          <w:p w:rsidR="005403D8" w:rsidRPr="006E49A3" w:rsidRDefault="004C5B6A" w:rsidP="00AB2EE4">
            <w:pPr>
              <w:spacing w:line="360" w:lineRule="auto"/>
              <w:jc w:val="both"/>
              <w:rPr>
                <w:rFonts w:ascii="Arial" w:hAnsi="Arial" w:cs="Arial"/>
                <w:b/>
              </w:rPr>
            </w:pPr>
            <w:r>
              <w:rPr>
                <w:rFonts w:ascii="Arial" w:hAnsi="Arial" w:cs="Arial"/>
              </w:rPr>
              <w:t>24 JUNE</w:t>
            </w:r>
            <w:r w:rsidR="009F24FA" w:rsidRPr="006E49A3">
              <w:rPr>
                <w:rFonts w:ascii="Arial" w:hAnsi="Arial" w:cs="Arial"/>
              </w:rPr>
              <w:t xml:space="preserve"> </w:t>
            </w:r>
            <w:r w:rsidR="00F72F82" w:rsidRPr="006E49A3">
              <w:rPr>
                <w:rFonts w:ascii="Arial" w:hAnsi="Arial" w:cs="Arial"/>
              </w:rPr>
              <w:t>20</w:t>
            </w:r>
            <w:r w:rsidR="0009710D">
              <w:rPr>
                <w:rFonts w:ascii="Arial" w:hAnsi="Arial" w:cs="Arial"/>
              </w:rPr>
              <w:t>20</w:t>
            </w:r>
          </w:p>
        </w:tc>
      </w:tr>
      <w:tr w:rsidR="005955B1" w:rsidRPr="006E49A3" w:rsidTr="00BB1E6E">
        <w:trPr>
          <w:trHeight w:val="908"/>
        </w:trPr>
        <w:tc>
          <w:tcPr>
            <w:tcW w:w="9720" w:type="dxa"/>
            <w:gridSpan w:val="3"/>
          </w:tcPr>
          <w:p w:rsidR="00F71EB9" w:rsidRPr="006E49A3" w:rsidRDefault="005955B1" w:rsidP="00015E9D">
            <w:pPr>
              <w:spacing w:line="360" w:lineRule="auto"/>
              <w:jc w:val="both"/>
              <w:rPr>
                <w:rFonts w:ascii="Arial" w:hAnsi="Arial" w:cs="Arial"/>
              </w:rPr>
            </w:pPr>
            <w:r w:rsidRPr="006E49A3">
              <w:rPr>
                <w:rFonts w:ascii="Arial" w:hAnsi="Arial" w:cs="Arial"/>
                <w:b/>
              </w:rPr>
              <w:t xml:space="preserve">Neutral citation: </w:t>
            </w:r>
            <w:r w:rsidR="00AB2EE4">
              <w:rPr>
                <w:rFonts w:ascii="Arial" w:hAnsi="Arial" w:cs="Arial"/>
                <w:i/>
              </w:rPr>
              <w:t xml:space="preserve">Hollard Insurance Company of Namibia </w:t>
            </w:r>
            <w:r w:rsidR="00F72F82" w:rsidRPr="006E49A3">
              <w:rPr>
                <w:rFonts w:ascii="Arial" w:hAnsi="Arial" w:cs="Arial"/>
                <w:i/>
              </w:rPr>
              <w:t xml:space="preserve">v </w:t>
            </w:r>
            <w:r w:rsidR="00AB2EE4">
              <w:rPr>
                <w:rFonts w:ascii="Arial" w:hAnsi="Arial" w:cs="Arial"/>
                <w:i/>
              </w:rPr>
              <w:t>Minister of Finance</w:t>
            </w:r>
            <w:r w:rsidR="00026D86">
              <w:rPr>
                <w:rFonts w:ascii="Arial" w:hAnsi="Arial" w:cs="Arial"/>
                <w:i/>
              </w:rPr>
              <w:t xml:space="preserve"> </w:t>
            </w:r>
            <w:r w:rsidR="00B4625E" w:rsidRPr="006E49A3">
              <w:rPr>
                <w:rFonts w:ascii="Arial" w:hAnsi="Arial" w:cs="Arial"/>
              </w:rPr>
              <w:t>(</w:t>
            </w:r>
            <w:r w:rsidR="00AB2EE4" w:rsidRPr="00A253E6">
              <w:rPr>
                <w:rFonts w:ascii="Arial" w:hAnsi="Arial" w:cs="Arial"/>
              </w:rPr>
              <w:t>HC-MD-CIV-MOT-REV-2018/00127</w:t>
            </w:r>
            <w:r w:rsidR="00B4625E" w:rsidRPr="006E49A3">
              <w:rPr>
                <w:rFonts w:ascii="Arial" w:hAnsi="Arial" w:cs="Arial"/>
              </w:rPr>
              <w:t>)</w:t>
            </w:r>
            <w:r w:rsidR="00B4625E" w:rsidRPr="006E49A3">
              <w:rPr>
                <w:rFonts w:ascii="Arial" w:hAnsi="Arial" w:cs="Arial"/>
                <w:b/>
              </w:rPr>
              <w:t xml:space="preserve"> </w:t>
            </w:r>
            <w:r w:rsidR="00B4625E" w:rsidRPr="006E49A3">
              <w:rPr>
                <w:rFonts w:ascii="Arial" w:hAnsi="Arial" w:cs="Arial"/>
              </w:rPr>
              <w:t>[20</w:t>
            </w:r>
            <w:r w:rsidR="0009710D">
              <w:rPr>
                <w:rFonts w:ascii="Arial" w:hAnsi="Arial" w:cs="Arial"/>
              </w:rPr>
              <w:t>20</w:t>
            </w:r>
            <w:r w:rsidR="00B4625E" w:rsidRPr="006E49A3">
              <w:rPr>
                <w:rFonts w:ascii="Arial" w:hAnsi="Arial" w:cs="Arial"/>
              </w:rPr>
              <w:t xml:space="preserve">] </w:t>
            </w:r>
            <w:r w:rsidRPr="006E49A3">
              <w:rPr>
                <w:rFonts w:ascii="Arial" w:hAnsi="Arial" w:cs="Arial"/>
              </w:rPr>
              <w:t xml:space="preserve">NAHCMD </w:t>
            </w:r>
            <w:r w:rsidR="00015E9D">
              <w:rPr>
                <w:rFonts w:ascii="Arial" w:hAnsi="Arial" w:cs="Arial"/>
              </w:rPr>
              <w:t>247</w:t>
            </w:r>
            <w:r w:rsidR="00B4625E" w:rsidRPr="006E49A3">
              <w:rPr>
                <w:rFonts w:ascii="Arial" w:hAnsi="Arial" w:cs="Arial"/>
              </w:rPr>
              <w:t xml:space="preserve"> (</w:t>
            </w:r>
            <w:r w:rsidR="00D40DDC">
              <w:rPr>
                <w:rFonts w:ascii="Arial" w:hAnsi="Arial" w:cs="Arial"/>
              </w:rPr>
              <w:t>24</w:t>
            </w:r>
            <w:r w:rsidR="00026D86">
              <w:rPr>
                <w:rFonts w:ascii="Arial" w:hAnsi="Arial" w:cs="Arial"/>
              </w:rPr>
              <w:t xml:space="preserve"> </w:t>
            </w:r>
            <w:r w:rsidR="00D40DDC">
              <w:rPr>
                <w:rFonts w:ascii="Arial" w:hAnsi="Arial" w:cs="Arial"/>
              </w:rPr>
              <w:t>June</w:t>
            </w:r>
            <w:r w:rsidR="00F72F82" w:rsidRPr="006E49A3">
              <w:rPr>
                <w:rFonts w:ascii="Arial" w:hAnsi="Arial" w:cs="Arial"/>
              </w:rPr>
              <w:t xml:space="preserve"> 20</w:t>
            </w:r>
            <w:r w:rsidR="0009710D">
              <w:rPr>
                <w:rFonts w:ascii="Arial" w:hAnsi="Arial" w:cs="Arial"/>
              </w:rPr>
              <w:t>20</w:t>
            </w:r>
            <w:r w:rsidRPr="006E49A3">
              <w:rPr>
                <w:rFonts w:ascii="Arial" w:hAnsi="Arial" w:cs="Arial"/>
              </w:rPr>
              <w:t>)</w:t>
            </w:r>
          </w:p>
        </w:tc>
      </w:tr>
      <w:tr w:rsidR="00281FAB" w:rsidRPr="006E49A3" w:rsidTr="00EB27A0">
        <w:tc>
          <w:tcPr>
            <w:tcW w:w="9720" w:type="dxa"/>
            <w:gridSpan w:val="3"/>
          </w:tcPr>
          <w:p w:rsidR="00EB27A0" w:rsidRPr="002234F4" w:rsidRDefault="00EB27A0" w:rsidP="002234F4">
            <w:pPr>
              <w:spacing w:line="360" w:lineRule="auto"/>
              <w:jc w:val="both"/>
              <w:rPr>
                <w:rFonts w:ascii="Arial" w:hAnsi="Arial" w:cs="Arial"/>
                <w:sz w:val="20"/>
                <w:szCs w:val="20"/>
              </w:rPr>
            </w:pPr>
          </w:p>
          <w:p w:rsidR="00EB27A0" w:rsidRPr="002234F4" w:rsidRDefault="00EB27A0" w:rsidP="00D40DDC">
            <w:pPr>
              <w:spacing w:line="360" w:lineRule="auto"/>
              <w:jc w:val="both"/>
              <w:rPr>
                <w:rFonts w:ascii="Arial" w:hAnsi="Arial" w:cs="Arial"/>
                <w:b/>
              </w:rPr>
            </w:pPr>
            <w:r w:rsidRPr="002234F4">
              <w:rPr>
                <w:rFonts w:ascii="Arial" w:hAnsi="Arial" w:cs="Arial"/>
                <w:b/>
              </w:rPr>
              <w:t>IT IS ORDERED THAT:</w:t>
            </w:r>
          </w:p>
          <w:p w:rsidR="00D26543" w:rsidRPr="002234F4" w:rsidRDefault="00D26543" w:rsidP="00D40DDC">
            <w:pPr>
              <w:pStyle w:val="ListParagraph"/>
              <w:spacing w:line="360" w:lineRule="auto"/>
              <w:ind w:left="446"/>
              <w:jc w:val="both"/>
              <w:rPr>
                <w:rFonts w:ascii="Arial" w:hAnsi="Arial" w:cs="Arial"/>
              </w:rPr>
            </w:pPr>
          </w:p>
          <w:p w:rsidR="00A96D28" w:rsidRDefault="00A96D28" w:rsidP="00D40DDC">
            <w:pPr>
              <w:pStyle w:val="ListParagraph"/>
              <w:numPr>
                <w:ilvl w:val="0"/>
                <w:numId w:val="33"/>
              </w:numPr>
              <w:spacing w:line="360" w:lineRule="auto"/>
              <w:ind w:left="588" w:hanging="588"/>
              <w:contextualSpacing w:val="0"/>
              <w:jc w:val="both"/>
              <w:rPr>
                <w:rFonts w:ascii="Arial" w:hAnsi="Arial" w:cs="Arial"/>
                <w:color w:val="000000" w:themeColor="text1"/>
                <w:sz w:val="24"/>
                <w:szCs w:val="24"/>
              </w:rPr>
            </w:pPr>
            <w:r w:rsidRPr="00A96D28">
              <w:rPr>
                <w:rFonts w:ascii="Arial" w:hAnsi="Arial" w:cs="Arial"/>
                <w:color w:val="000000" w:themeColor="text1"/>
                <w:sz w:val="24"/>
                <w:szCs w:val="24"/>
              </w:rPr>
              <w:t>Prayers 4.10 and 4.11 of the Notice of Application for leave to Appeal, dated 11 February 2020 are granted.</w:t>
            </w:r>
          </w:p>
          <w:p w:rsidR="00D40DDC" w:rsidRDefault="00D40DDC" w:rsidP="00D40DDC">
            <w:pPr>
              <w:pStyle w:val="ListParagraph"/>
              <w:spacing w:line="360" w:lineRule="auto"/>
              <w:ind w:left="588"/>
              <w:contextualSpacing w:val="0"/>
              <w:jc w:val="both"/>
              <w:rPr>
                <w:rFonts w:ascii="Arial" w:hAnsi="Arial" w:cs="Arial"/>
                <w:color w:val="000000" w:themeColor="text1"/>
                <w:sz w:val="24"/>
                <w:szCs w:val="24"/>
              </w:rPr>
            </w:pPr>
          </w:p>
          <w:p w:rsidR="00CF3D16" w:rsidRPr="00A96D28" w:rsidRDefault="00A96D28" w:rsidP="00D40DDC">
            <w:pPr>
              <w:pStyle w:val="ListParagraph"/>
              <w:numPr>
                <w:ilvl w:val="0"/>
                <w:numId w:val="33"/>
              </w:numPr>
              <w:spacing w:line="360" w:lineRule="auto"/>
              <w:ind w:left="588" w:hanging="588"/>
              <w:contextualSpacing w:val="0"/>
              <w:jc w:val="both"/>
              <w:rPr>
                <w:rFonts w:ascii="Arial" w:hAnsi="Arial" w:cs="Arial"/>
                <w:color w:val="000000" w:themeColor="text1"/>
                <w:sz w:val="24"/>
                <w:szCs w:val="24"/>
              </w:rPr>
            </w:pPr>
            <w:r w:rsidRPr="00A96D28">
              <w:rPr>
                <w:rFonts w:ascii="Arial" w:hAnsi="Arial" w:cs="Arial"/>
                <w:color w:val="000000" w:themeColor="text1"/>
                <w:sz w:val="24"/>
                <w:szCs w:val="24"/>
              </w:rPr>
              <w:t xml:space="preserve">The case </w:t>
            </w:r>
            <w:r w:rsidR="00701F1F">
              <w:rPr>
                <w:rFonts w:ascii="Arial" w:hAnsi="Arial" w:cs="Arial"/>
                <w:color w:val="000000" w:themeColor="text1"/>
                <w:sz w:val="24"/>
                <w:szCs w:val="24"/>
              </w:rPr>
              <w:t xml:space="preserve">is postponed to 18 November 2020 at 08h30 </w:t>
            </w:r>
            <w:r w:rsidRPr="00A96D28">
              <w:rPr>
                <w:rFonts w:ascii="Arial" w:hAnsi="Arial" w:cs="Arial"/>
                <w:color w:val="000000" w:themeColor="text1"/>
                <w:sz w:val="24"/>
                <w:szCs w:val="24"/>
              </w:rPr>
              <w:t>for a Status Hearing.</w:t>
            </w:r>
          </w:p>
          <w:p w:rsidR="00686B3F" w:rsidRPr="002234F4" w:rsidRDefault="00686B3F" w:rsidP="002234F4">
            <w:pPr>
              <w:spacing w:line="360" w:lineRule="auto"/>
              <w:jc w:val="both"/>
              <w:rPr>
                <w:rFonts w:ascii="Arial" w:hAnsi="Arial" w:cs="Arial"/>
                <w:sz w:val="16"/>
                <w:szCs w:val="16"/>
              </w:rPr>
            </w:pPr>
          </w:p>
        </w:tc>
      </w:tr>
      <w:tr w:rsidR="00281FAB" w:rsidRPr="006E49A3" w:rsidTr="00EB27A0">
        <w:tc>
          <w:tcPr>
            <w:tcW w:w="9720" w:type="dxa"/>
            <w:gridSpan w:val="3"/>
          </w:tcPr>
          <w:p w:rsidR="0009400E" w:rsidRDefault="0009400E" w:rsidP="002234F4">
            <w:pPr>
              <w:spacing w:line="360" w:lineRule="auto"/>
              <w:jc w:val="both"/>
              <w:rPr>
                <w:rFonts w:ascii="Arial" w:hAnsi="Arial" w:cs="Arial"/>
                <w:b/>
              </w:rPr>
            </w:pPr>
          </w:p>
          <w:p w:rsidR="00281FAB" w:rsidRPr="002234F4" w:rsidRDefault="008E6759" w:rsidP="002234F4">
            <w:pPr>
              <w:spacing w:line="360" w:lineRule="auto"/>
              <w:jc w:val="both"/>
              <w:rPr>
                <w:rFonts w:ascii="Arial" w:hAnsi="Arial" w:cs="Arial"/>
                <w:b/>
              </w:rPr>
            </w:pPr>
            <w:r w:rsidRPr="002234F4">
              <w:rPr>
                <w:rFonts w:ascii="Arial" w:hAnsi="Arial" w:cs="Arial"/>
                <w:b/>
              </w:rPr>
              <w:t>Following below are the reasons for the above order:</w:t>
            </w:r>
          </w:p>
        </w:tc>
      </w:tr>
      <w:tr w:rsidR="00281FAB" w:rsidRPr="006E49A3" w:rsidTr="00EB27A0">
        <w:tc>
          <w:tcPr>
            <w:tcW w:w="9720" w:type="dxa"/>
            <w:gridSpan w:val="3"/>
          </w:tcPr>
          <w:p w:rsidR="00BB1E6E" w:rsidRPr="002234F4" w:rsidRDefault="00BB1E6E" w:rsidP="002234F4">
            <w:pPr>
              <w:spacing w:line="360" w:lineRule="auto"/>
              <w:jc w:val="both"/>
              <w:rPr>
                <w:rFonts w:ascii="Arial" w:hAnsi="Arial" w:cs="Arial"/>
              </w:rPr>
            </w:pPr>
          </w:p>
          <w:p w:rsidR="00224965" w:rsidRPr="00D40DDC" w:rsidRDefault="00D85A75" w:rsidP="00D40DDC">
            <w:pPr>
              <w:spacing w:line="360" w:lineRule="auto"/>
              <w:jc w:val="both"/>
              <w:rPr>
                <w:rFonts w:ascii="Arial" w:hAnsi="Arial" w:cs="Arial"/>
                <w:sz w:val="24"/>
                <w:szCs w:val="24"/>
                <w:u w:val="single"/>
              </w:rPr>
            </w:pPr>
            <w:r w:rsidRPr="00D40DDC">
              <w:rPr>
                <w:rFonts w:ascii="Arial" w:hAnsi="Arial" w:cs="Arial"/>
                <w:sz w:val="24"/>
                <w:szCs w:val="24"/>
                <w:u w:val="single"/>
              </w:rPr>
              <w:t xml:space="preserve">Introductory </w:t>
            </w:r>
            <w:r w:rsidR="00224965" w:rsidRPr="00D40DDC">
              <w:rPr>
                <w:rFonts w:ascii="Arial" w:hAnsi="Arial" w:cs="Arial"/>
                <w:sz w:val="24"/>
                <w:szCs w:val="24"/>
                <w:u w:val="single"/>
              </w:rPr>
              <w:t>facts</w:t>
            </w:r>
          </w:p>
          <w:p w:rsidR="00D85A75" w:rsidRPr="00D40DDC" w:rsidRDefault="00D85A75" w:rsidP="00D40DDC">
            <w:pPr>
              <w:spacing w:line="360" w:lineRule="auto"/>
              <w:jc w:val="both"/>
              <w:rPr>
                <w:rFonts w:ascii="Arial" w:hAnsi="Arial" w:cs="Arial"/>
                <w:sz w:val="24"/>
                <w:szCs w:val="24"/>
                <w:u w:val="single"/>
              </w:rPr>
            </w:pPr>
          </w:p>
          <w:p w:rsidR="00D85A75" w:rsidRPr="00D40DDC" w:rsidRDefault="00D85A75" w:rsidP="00D40DDC">
            <w:pPr>
              <w:pStyle w:val="ListParagraph"/>
              <w:numPr>
                <w:ilvl w:val="0"/>
                <w:numId w:val="37"/>
              </w:numPr>
              <w:spacing w:line="360" w:lineRule="auto"/>
              <w:ind w:left="588" w:hanging="588"/>
              <w:jc w:val="both"/>
              <w:rPr>
                <w:rFonts w:ascii="Arial" w:hAnsi="Arial" w:cs="Arial"/>
                <w:color w:val="000000" w:themeColor="text1"/>
                <w:sz w:val="24"/>
                <w:szCs w:val="24"/>
              </w:rPr>
            </w:pPr>
            <w:r w:rsidRPr="00D40DDC">
              <w:rPr>
                <w:rFonts w:ascii="Arial" w:hAnsi="Arial" w:cs="Arial"/>
                <w:color w:val="000000" w:themeColor="text1"/>
                <w:sz w:val="24"/>
                <w:szCs w:val="24"/>
              </w:rPr>
              <w:t>On 24 February 2020, the first respondent (‘the Minister</w:t>
            </w:r>
            <w:r w:rsidR="00C50199" w:rsidRPr="00D40DDC">
              <w:rPr>
                <w:rFonts w:ascii="Arial" w:hAnsi="Arial" w:cs="Arial"/>
                <w:color w:val="000000" w:themeColor="text1"/>
                <w:sz w:val="24"/>
                <w:szCs w:val="24"/>
              </w:rPr>
              <w:t xml:space="preserve"> of Finance</w:t>
            </w:r>
            <w:r w:rsidRPr="00D40DDC">
              <w:rPr>
                <w:rFonts w:ascii="Arial" w:hAnsi="Arial" w:cs="Arial"/>
                <w:color w:val="000000" w:themeColor="text1"/>
                <w:sz w:val="24"/>
                <w:szCs w:val="24"/>
              </w:rPr>
              <w:t>’) filed an application for leave to appeal to the Supreme Court against the whole of the judgment and order of this Court</w:t>
            </w:r>
            <w:r w:rsidR="00AC46FB" w:rsidRPr="00D40DDC">
              <w:rPr>
                <w:rFonts w:ascii="Arial" w:hAnsi="Arial" w:cs="Arial"/>
                <w:color w:val="000000" w:themeColor="text1"/>
                <w:sz w:val="24"/>
                <w:szCs w:val="24"/>
              </w:rPr>
              <w:t xml:space="preserve"> (deliver</w:t>
            </w:r>
            <w:r w:rsidRPr="00D40DDC">
              <w:rPr>
                <w:rFonts w:ascii="Arial" w:hAnsi="Arial" w:cs="Arial"/>
                <w:color w:val="000000" w:themeColor="text1"/>
                <w:sz w:val="24"/>
                <w:szCs w:val="24"/>
              </w:rPr>
              <w:t>ed</w:t>
            </w:r>
            <w:r w:rsidR="00AC46FB" w:rsidRPr="00D40DDC">
              <w:rPr>
                <w:rFonts w:ascii="Arial" w:hAnsi="Arial" w:cs="Arial"/>
                <w:color w:val="000000" w:themeColor="text1"/>
                <w:sz w:val="24"/>
                <w:szCs w:val="24"/>
              </w:rPr>
              <w:t xml:space="preserve"> on</w:t>
            </w:r>
            <w:r w:rsidRPr="00D40DDC">
              <w:rPr>
                <w:rFonts w:ascii="Arial" w:hAnsi="Arial" w:cs="Arial"/>
                <w:color w:val="000000" w:themeColor="text1"/>
                <w:sz w:val="24"/>
                <w:szCs w:val="24"/>
              </w:rPr>
              <w:t xml:space="preserve"> 21 January 2020), save for those portions of the judgment and order refusing to grant the orders sought by the applicants.</w:t>
            </w:r>
          </w:p>
          <w:p w:rsidR="00D40DDC" w:rsidRPr="00D40DDC" w:rsidRDefault="00D40DDC" w:rsidP="00D40DDC">
            <w:pPr>
              <w:pStyle w:val="ListParagraph"/>
              <w:spacing w:line="360" w:lineRule="auto"/>
              <w:ind w:left="588"/>
              <w:jc w:val="both"/>
              <w:rPr>
                <w:rFonts w:ascii="Arial" w:hAnsi="Arial" w:cs="Arial"/>
                <w:color w:val="000000" w:themeColor="text1"/>
                <w:sz w:val="24"/>
                <w:szCs w:val="24"/>
              </w:rPr>
            </w:pPr>
          </w:p>
          <w:p w:rsidR="00D85A75" w:rsidRPr="00D40DDC" w:rsidRDefault="00D85A75" w:rsidP="00D40DDC">
            <w:pPr>
              <w:pStyle w:val="ListParagraph"/>
              <w:numPr>
                <w:ilvl w:val="0"/>
                <w:numId w:val="37"/>
              </w:numPr>
              <w:spacing w:line="360" w:lineRule="auto"/>
              <w:ind w:left="590" w:hanging="588"/>
              <w:jc w:val="both"/>
              <w:rPr>
                <w:rFonts w:ascii="Arial" w:hAnsi="Arial" w:cs="Arial"/>
                <w:color w:val="000000" w:themeColor="text1"/>
                <w:sz w:val="24"/>
                <w:szCs w:val="24"/>
              </w:rPr>
            </w:pPr>
            <w:r w:rsidRPr="00D40DDC">
              <w:rPr>
                <w:rFonts w:ascii="Arial" w:hAnsi="Arial" w:cs="Arial"/>
                <w:sz w:val="24"/>
                <w:szCs w:val="24"/>
              </w:rPr>
              <w:t>The complained of judgment and order</w:t>
            </w:r>
            <w:r w:rsidR="00AD347C" w:rsidRPr="00D40DDC">
              <w:rPr>
                <w:rFonts w:ascii="Arial" w:hAnsi="Arial" w:cs="Arial"/>
                <w:sz w:val="24"/>
                <w:szCs w:val="24"/>
              </w:rPr>
              <w:t>s where an interlocutory judgment and the resultant interlocutory orders,</w:t>
            </w:r>
            <w:r w:rsidRPr="00D40DDC">
              <w:rPr>
                <w:rFonts w:ascii="Arial" w:hAnsi="Arial" w:cs="Arial"/>
                <w:sz w:val="24"/>
                <w:szCs w:val="24"/>
              </w:rPr>
              <w:t xml:space="preserve"> made in the course of a pending review application</w:t>
            </w:r>
            <w:r w:rsidR="00AD347C" w:rsidRPr="00D40DDC">
              <w:rPr>
                <w:rFonts w:ascii="Arial" w:hAnsi="Arial" w:cs="Arial"/>
                <w:sz w:val="24"/>
                <w:szCs w:val="24"/>
              </w:rPr>
              <w:t>, emanated essentially from</w:t>
            </w:r>
            <w:r w:rsidR="00C50199" w:rsidRPr="00D40DDC">
              <w:rPr>
                <w:rFonts w:ascii="Arial" w:hAnsi="Arial" w:cs="Arial"/>
                <w:sz w:val="24"/>
                <w:szCs w:val="24"/>
              </w:rPr>
              <w:t xml:space="preserve"> a</w:t>
            </w:r>
            <w:r w:rsidR="00AD347C" w:rsidRPr="00D40DDC">
              <w:rPr>
                <w:rFonts w:ascii="Arial" w:hAnsi="Arial" w:cs="Arial"/>
                <w:sz w:val="24"/>
                <w:szCs w:val="24"/>
              </w:rPr>
              <w:t xml:space="preserve"> request for additional documents/materials alleged to </w:t>
            </w:r>
            <w:r w:rsidR="00AD347C" w:rsidRPr="00D40DDC">
              <w:rPr>
                <w:rFonts w:ascii="Arial" w:hAnsi="Arial" w:cs="Arial"/>
                <w:sz w:val="24"/>
                <w:szCs w:val="24"/>
              </w:rPr>
              <w:lastRenderedPageBreak/>
              <w:t xml:space="preserve">have been in the possession of- or which were available to the decision- maker, </w:t>
            </w:r>
            <w:r w:rsidR="00C50199" w:rsidRPr="00D40DDC">
              <w:rPr>
                <w:rFonts w:ascii="Arial" w:hAnsi="Arial" w:cs="Arial"/>
                <w:sz w:val="24"/>
                <w:szCs w:val="24"/>
              </w:rPr>
              <w:t xml:space="preserve">the said Minister, </w:t>
            </w:r>
            <w:r w:rsidR="00AD347C" w:rsidRPr="00D40DDC">
              <w:rPr>
                <w:rFonts w:ascii="Arial" w:hAnsi="Arial" w:cs="Arial"/>
                <w:sz w:val="24"/>
                <w:szCs w:val="24"/>
              </w:rPr>
              <w:t>at the material time</w:t>
            </w:r>
            <w:r w:rsidR="001440AE" w:rsidRPr="00D40DDC">
              <w:rPr>
                <w:rFonts w:ascii="Arial" w:hAnsi="Arial" w:cs="Arial"/>
                <w:sz w:val="24"/>
                <w:szCs w:val="24"/>
              </w:rPr>
              <w:t>,</w:t>
            </w:r>
            <w:r w:rsidR="00AD347C" w:rsidRPr="00D40DDC">
              <w:rPr>
                <w:rFonts w:ascii="Arial" w:hAnsi="Arial" w:cs="Arial"/>
                <w:sz w:val="24"/>
                <w:szCs w:val="24"/>
              </w:rPr>
              <w:t xml:space="preserve"> and which were relevant</w:t>
            </w:r>
            <w:r w:rsidR="001440AE" w:rsidRPr="00D40DDC">
              <w:rPr>
                <w:rFonts w:ascii="Arial" w:hAnsi="Arial" w:cs="Arial"/>
                <w:sz w:val="24"/>
                <w:szCs w:val="24"/>
              </w:rPr>
              <w:t>,</w:t>
            </w:r>
            <w:r w:rsidR="00AD347C" w:rsidRPr="00D40DDC">
              <w:rPr>
                <w:rFonts w:ascii="Arial" w:hAnsi="Arial" w:cs="Arial"/>
                <w:sz w:val="24"/>
                <w:szCs w:val="24"/>
              </w:rPr>
              <w:t xml:space="preserve"> to the decisions sought to be reviewed.</w:t>
            </w:r>
          </w:p>
          <w:p w:rsidR="00D40DDC" w:rsidRPr="00D40DDC" w:rsidRDefault="00D40DDC" w:rsidP="00D40DDC">
            <w:pPr>
              <w:pStyle w:val="ListParagraph"/>
              <w:spacing w:line="360" w:lineRule="auto"/>
              <w:ind w:left="590"/>
              <w:jc w:val="both"/>
              <w:rPr>
                <w:rFonts w:ascii="Arial" w:hAnsi="Arial" w:cs="Arial"/>
                <w:color w:val="000000" w:themeColor="text1"/>
                <w:sz w:val="24"/>
                <w:szCs w:val="24"/>
              </w:rPr>
            </w:pPr>
          </w:p>
          <w:p w:rsidR="002B7F66" w:rsidRDefault="002B7F66" w:rsidP="00D40DDC">
            <w:pPr>
              <w:spacing w:line="360" w:lineRule="auto"/>
              <w:jc w:val="both"/>
              <w:rPr>
                <w:rFonts w:ascii="Arial" w:hAnsi="Arial" w:cs="Arial"/>
                <w:sz w:val="24"/>
                <w:szCs w:val="24"/>
                <w:u w:val="single"/>
              </w:rPr>
            </w:pPr>
            <w:r w:rsidRPr="00D40DDC">
              <w:rPr>
                <w:rFonts w:ascii="Arial" w:hAnsi="Arial" w:cs="Arial"/>
                <w:sz w:val="24"/>
                <w:szCs w:val="24"/>
                <w:u w:val="single"/>
              </w:rPr>
              <w:t>The procedural issue</w:t>
            </w:r>
            <w:r w:rsidR="00DC4D46" w:rsidRPr="00D40DDC">
              <w:rPr>
                <w:rFonts w:ascii="Arial" w:hAnsi="Arial" w:cs="Arial"/>
                <w:sz w:val="24"/>
                <w:szCs w:val="24"/>
                <w:u w:val="single"/>
              </w:rPr>
              <w:t xml:space="preserve"> – application for leave to appeal brought on ‘notice of application’ and not on ‘n</w:t>
            </w:r>
            <w:r w:rsidR="00701F1F">
              <w:rPr>
                <w:rFonts w:ascii="Arial" w:hAnsi="Arial" w:cs="Arial"/>
                <w:sz w:val="24"/>
                <w:szCs w:val="24"/>
                <w:u w:val="single"/>
              </w:rPr>
              <w:t>otice of motion’ supported by</w:t>
            </w:r>
            <w:r w:rsidR="00DC4D46" w:rsidRPr="00D40DDC">
              <w:rPr>
                <w:rFonts w:ascii="Arial" w:hAnsi="Arial" w:cs="Arial"/>
                <w:sz w:val="24"/>
                <w:szCs w:val="24"/>
                <w:u w:val="single"/>
              </w:rPr>
              <w:t xml:space="preserve"> affidavit</w:t>
            </w:r>
          </w:p>
          <w:p w:rsidR="00D40DDC" w:rsidRPr="00D40DDC" w:rsidRDefault="00D40DDC" w:rsidP="00D40DDC">
            <w:pPr>
              <w:spacing w:line="360" w:lineRule="auto"/>
              <w:jc w:val="both"/>
              <w:rPr>
                <w:rFonts w:ascii="Arial" w:hAnsi="Arial" w:cs="Arial"/>
                <w:color w:val="000000" w:themeColor="text1"/>
                <w:sz w:val="24"/>
                <w:szCs w:val="24"/>
                <w:u w:val="single"/>
              </w:rPr>
            </w:pPr>
          </w:p>
          <w:p w:rsidR="00C50199" w:rsidRPr="00D40DDC" w:rsidRDefault="00C50199"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sz w:val="24"/>
                <w:szCs w:val="24"/>
              </w:rPr>
              <w:t xml:space="preserve">During the subsequent case management process a procedural issue arose. The application for leave to appeal had been delivered in the ‘usual form’ on ‘notice of application’ and not on ‘notice of motion’ supported by an affidavit. </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C50199" w:rsidRDefault="00C50199"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sz w:val="24"/>
                <w:szCs w:val="24"/>
              </w:rPr>
              <w:t>Counsel for both parties then duly alerted the Court to a recent deci</w:t>
            </w:r>
            <w:r w:rsidR="00DC4D46" w:rsidRPr="00D40DDC">
              <w:rPr>
                <w:rFonts w:ascii="Arial" w:hAnsi="Arial" w:cs="Arial"/>
                <w:sz w:val="24"/>
                <w:szCs w:val="24"/>
              </w:rPr>
              <w:t>sion – the judgment delivered by</w:t>
            </w:r>
            <w:r w:rsidRPr="00D40DDC">
              <w:rPr>
                <w:rFonts w:ascii="Arial" w:hAnsi="Arial" w:cs="Arial"/>
                <w:color w:val="000000" w:themeColor="text1"/>
                <w:sz w:val="24"/>
                <w:szCs w:val="24"/>
              </w:rPr>
              <w:t xml:space="preserve"> the Labour Court - in </w:t>
            </w:r>
            <w:r w:rsidRPr="00D40DDC">
              <w:rPr>
                <w:rFonts w:ascii="Arial" w:hAnsi="Arial" w:cs="Arial"/>
                <w:i/>
                <w:iCs/>
                <w:color w:val="000000" w:themeColor="text1"/>
                <w:sz w:val="24"/>
                <w:szCs w:val="24"/>
              </w:rPr>
              <w:t>Namibia Water Corporation Ltd v Tjipangandjara</w:t>
            </w:r>
            <w:r w:rsidRPr="00D40DDC">
              <w:rPr>
                <w:rFonts w:ascii="Arial" w:hAnsi="Arial" w:cs="Arial"/>
                <w:color w:val="000000" w:themeColor="text1"/>
                <w:sz w:val="24"/>
                <w:szCs w:val="24"/>
              </w:rPr>
              <w:t xml:space="preserve"> (LCA 16 &amp; 17/2017) [2019] NALCMD 33 (21 November 2019).  In</w:t>
            </w:r>
            <w:r w:rsidR="00665E11" w:rsidRPr="00D40DDC">
              <w:rPr>
                <w:rFonts w:ascii="Arial" w:hAnsi="Arial" w:cs="Arial"/>
                <w:color w:val="000000" w:themeColor="text1"/>
                <w:sz w:val="24"/>
                <w:szCs w:val="24"/>
              </w:rPr>
              <w:t xml:space="preserve"> that case it was held that</w:t>
            </w:r>
            <w:r w:rsidRPr="00D40DDC">
              <w:rPr>
                <w:rFonts w:ascii="Arial" w:hAnsi="Arial" w:cs="Arial"/>
                <w:color w:val="000000" w:themeColor="text1"/>
                <w:sz w:val="24"/>
                <w:szCs w:val="24"/>
              </w:rPr>
              <w:t xml:space="preserve"> an application for leave to appeal should be brought on notice of motion and</w:t>
            </w:r>
            <w:r w:rsidR="00701F1F">
              <w:rPr>
                <w:rFonts w:ascii="Arial" w:hAnsi="Arial" w:cs="Arial"/>
                <w:color w:val="000000" w:themeColor="text1"/>
                <w:sz w:val="24"/>
                <w:szCs w:val="24"/>
              </w:rPr>
              <w:t xml:space="preserve"> be</w:t>
            </w:r>
            <w:r w:rsidRPr="00D40DDC">
              <w:rPr>
                <w:rFonts w:ascii="Arial" w:hAnsi="Arial" w:cs="Arial"/>
                <w:color w:val="000000" w:themeColor="text1"/>
                <w:sz w:val="24"/>
                <w:szCs w:val="24"/>
              </w:rPr>
              <w:t xml:space="preserve"> supported by an affidavit</w:t>
            </w:r>
            <w:r w:rsidR="00DC4D46" w:rsidRPr="00D40DDC">
              <w:rPr>
                <w:rFonts w:ascii="Arial" w:hAnsi="Arial" w:cs="Arial"/>
                <w:color w:val="000000" w:themeColor="text1"/>
                <w:sz w:val="24"/>
                <w:szCs w:val="24"/>
              </w:rPr>
              <w:t>.</w:t>
            </w:r>
            <w:r w:rsidR="00DC4D46" w:rsidRPr="00D40DDC">
              <w:rPr>
                <w:rStyle w:val="FootnoteReference"/>
                <w:rFonts w:ascii="Arial" w:hAnsi="Arial" w:cs="Arial"/>
                <w:color w:val="000000" w:themeColor="text1"/>
                <w:sz w:val="24"/>
                <w:szCs w:val="24"/>
              </w:rPr>
              <w:footnoteReference w:id="1"/>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C50199" w:rsidRPr="00D40DDC" w:rsidRDefault="00C50199"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sz w:val="24"/>
                <w:szCs w:val="24"/>
              </w:rPr>
              <w:t>The court thus requested the parties to consider the impact of that decision, if any, on the currently pending application</w:t>
            </w:r>
            <w:r w:rsidRPr="00D40DDC">
              <w:rPr>
                <w:rFonts w:ascii="Arial" w:hAnsi="Arial" w:cs="Arial"/>
                <w:color w:val="000000" w:themeColor="text1"/>
                <w:sz w:val="24"/>
                <w:szCs w:val="24"/>
              </w:rPr>
              <w:t>.</w:t>
            </w:r>
            <w:r w:rsidRPr="00D40DDC">
              <w:rPr>
                <w:rFonts w:ascii="Arial" w:hAnsi="Arial" w:cs="Arial"/>
                <w:sz w:val="24"/>
                <w:szCs w:val="24"/>
              </w:rPr>
              <w:t xml:space="preserve"> </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05599A" w:rsidRPr="00D40DDC" w:rsidRDefault="0005599A"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lang w:val="en-GB"/>
              </w:rPr>
            </w:pPr>
            <w:r w:rsidRPr="00D40DDC">
              <w:rPr>
                <w:rFonts w:ascii="Arial" w:hAnsi="Arial" w:cs="Arial"/>
                <w:sz w:val="24"/>
                <w:szCs w:val="24"/>
              </w:rPr>
              <w:t>The parties in this matter then were agreed that this Court</w:t>
            </w:r>
            <w:r w:rsidRPr="00D40DDC">
              <w:rPr>
                <w:rFonts w:ascii="Arial" w:hAnsi="Arial" w:cs="Arial"/>
                <w:color w:val="000000" w:themeColor="text1"/>
                <w:sz w:val="24"/>
                <w:szCs w:val="24"/>
              </w:rPr>
              <w:t xml:space="preserve"> should </w:t>
            </w:r>
            <w:r w:rsidRPr="00D40DDC">
              <w:rPr>
                <w:rFonts w:ascii="Arial" w:hAnsi="Arial" w:cs="Arial"/>
                <w:color w:val="000000" w:themeColor="text1"/>
                <w:sz w:val="24"/>
                <w:szCs w:val="24"/>
                <w:u w:val="single"/>
              </w:rPr>
              <w:t>not</w:t>
            </w:r>
            <w:r w:rsidRPr="00D40DDC">
              <w:rPr>
                <w:rFonts w:ascii="Arial" w:hAnsi="Arial" w:cs="Arial"/>
                <w:color w:val="000000" w:themeColor="text1"/>
                <w:sz w:val="24"/>
                <w:szCs w:val="24"/>
              </w:rPr>
              <w:t xml:space="preserve"> follow the approach adopted by the Labour Court in </w:t>
            </w:r>
            <w:r w:rsidRPr="00D40DDC">
              <w:rPr>
                <w:rFonts w:ascii="Arial" w:hAnsi="Arial" w:cs="Arial"/>
                <w:i/>
                <w:iCs/>
                <w:color w:val="000000" w:themeColor="text1"/>
                <w:sz w:val="24"/>
                <w:szCs w:val="24"/>
              </w:rPr>
              <w:t xml:space="preserve">Namibia Water Corporation.  </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lang w:val="en-GB"/>
              </w:rPr>
            </w:pPr>
          </w:p>
          <w:p w:rsidR="0005599A" w:rsidRPr="00D40DDC" w:rsidRDefault="0005599A"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lang w:val="en-GB"/>
              </w:rPr>
            </w:pPr>
            <w:r w:rsidRPr="00D40DDC">
              <w:rPr>
                <w:rFonts w:ascii="Arial" w:hAnsi="Arial" w:cs="Arial"/>
                <w:color w:val="000000" w:themeColor="text1"/>
                <w:sz w:val="24"/>
                <w:szCs w:val="24"/>
              </w:rPr>
              <w:t>It w</w:t>
            </w:r>
            <w:r w:rsidR="00701F1F">
              <w:rPr>
                <w:rFonts w:ascii="Arial" w:hAnsi="Arial" w:cs="Arial"/>
                <w:color w:val="000000" w:themeColor="text1"/>
                <w:sz w:val="24"/>
                <w:szCs w:val="24"/>
              </w:rPr>
              <w:t>as submitted that the judgment wa</w:t>
            </w:r>
            <w:r w:rsidRPr="00D40DDC">
              <w:rPr>
                <w:rFonts w:ascii="Arial" w:hAnsi="Arial" w:cs="Arial"/>
                <w:color w:val="000000" w:themeColor="text1"/>
                <w:sz w:val="24"/>
                <w:szCs w:val="24"/>
              </w:rPr>
              <w:t>s clearly wrong, that it was not consistent with Rule 115</w:t>
            </w:r>
            <w:r w:rsidR="00701F1F">
              <w:rPr>
                <w:rFonts w:ascii="Arial" w:hAnsi="Arial" w:cs="Arial"/>
                <w:color w:val="000000" w:themeColor="text1"/>
                <w:sz w:val="24"/>
                <w:szCs w:val="24"/>
              </w:rPr>
              <w:t>,</w:t>
            </w:r>
            <w:r w:rsidRPr="00D40DDC">
              <w:rPr>
                <w:rFonts w:ascii="Arial" w:hAnsi="Arial" w:cs="Arial"/>
                <w:color w:val="000000" w:themeColor="text1"/>
                <w:sz w:val="24"/>
                <w:szCs w:val="24"/>
              </w:rPr>
              <w:t xml:space="preserve"> which regulates leave to appeal and were</w:t>
            </w:r>
            <w:r w:rsidR="00701F1F">
              <w:rPr>
                <w:rFonts w:ascii="Arial" w:hAnsi="Arial" w:cs="Arial"/>
                <w:color w:val="000000" w:themeColor="text1"/>
                <w:sz w:val="24"/>
                <w:szCs w:val="24"/>
              </w:rPr>
              <w:t>,</w:t>
            </w:r>
            <w:r w:rsidRPr="00D40DDC">
              <w:rPr>
                <w:rFonts w:ascii="Arial" w:hAnsi="Arial" w:cs="Arial"/>
                <w:color w:val="000000" w:themeColor="text1"/>
                <w:sz w:val="24"/>
                <w:szCs w:val="24"/>
              </w:rPr>
              <w:t xml:space="preserve"> plainly</w:t>
            </w:r>
            <w:r w:rsidR="00701F1F">
              <w:rPr>
                <w:rFonts w:ascii="Arial" w:hAnsi="Arial" w:cs="Arial"/>
                <w:color w:val="000000" w:themeColor="text1"/>
                <w:sz w:val="24"/>
                <w:szCs w:val="24"/>
              </w:rPr>
              <w:t>,</w:t>
            </w:r>
            <w:r w:rsidRPr="00D40DDC">
              <w:rPr>
                <w:rFonts w:ascii="Arial" w:hAnsi="Arial" w:cs="Arial"/>
                <w:color w:val="000000" w:themeColor="text1"/>
                <w:sz w:val="24"/>
                <w:szCs w:val="24"/>
              </w:rPr>
              <w:t xml:space="preserve"> no evidence is required on affidavit for purposes of securing leave to appeal. The evidence on which such an application may permissibly rely is already before court.  Indeed, so it was submitted further,</w:t>
            </w:r>
            <w:r w:rsidR="006915BC" w:rsidRPr="00D40DDC">
              <w:rPr>
                <w:rFonts w:ascii="Arial" w:hAnsi="Arial" w:cs="Arial"/>
                <w:color w:val="000000" w:themeColor="text1"/>
                <w:sz w:val="24"/>
                <w:szCs w:val="24"/>
              </w:rPr>
              <w:t xml:space="preserve"> this</w:t>
            </w:r>
            <w:r w:rsidRPr="00D40DDC">
              <w:rPr>
                <w:rFonts w:ascii="Arial" w:hAnsi="Arial" w:cs="Arial"/>
                <w:color w:val="000000" w:themeColor="text1"/>
                <w:sz w:val="24"/>
                <w:szCs w:val="24"/>
              </w:rPr>
              <w:t xml:space="preserve"> was directly contrary to the logic of appeals and for the determination of the</w:t>
            </w:r>
            <w:r w:rsidR="006915BC" w:rsidRPr="00D40DDC">
              <w:rPr>
                <w:rFonts w:ascii="Arial" w:hAnsi="Arial" w:cs="Arial"/>
                <w:color w:val="000000" w:themeColor="text1"/>
                <w:sz w:val="24"/>
                <w:szCs w:val="24"/>
              </w:rPr>
              <w:t xml:space="preserve"> relevant</w:t>
            </w:r>
            <w:r w:rsidRPr="00D40DDC">
              <w:rPr>
                <w:rFonts w:ascii="Arial" w:hAnsi="Arial" w:cs="Arial"/>
                <w:color w:val="000000" w:themeColor="text1"/>
                <w:sz w:val="24"/>
                <w:szCs w:val="24"/>
              </w:rPr>
              <w:t xml:space="preserve"> issues</w:t>
            </w:r>
            <w:r w:rsidR="006915BC" w:rsidRPr="00D40DDC">
              <w:rPr>
                <w:rFonts w:ascii="Arial" w:hAnsi="Arial" w:cs="Arial"/>
                <w:color w:val="000000" w:themeColor="text1"/>
                <w:sz w:val="24"/>
                <w:szCs w:val="24"/>
              </w:rPr>
              <w:t xml:space="preserve"> against which</w:t>
            </w:r>
            <w:r w:rsidRPr="00D40DDC">
              <w:rPr>
                <w:rFonts w:ascii="Arial" w:hAnsi="Arial" w:cs="Arial"/>
                <w:color w:val="000000" w:themeColor="text1"/>
                <w:sz w:val="24"/>
                <w:szCs w:val="24"/>
              </w:rPr>
              <w:t xml:space="preserve"> leave should be granted</w:t>
            </w:r>
            <w:r w:rsidR="006915BC" w:rsidRPr="00D40DDC">
              <w:rPr>
                <w:rFonts w:ascii="Arial" w:hAnsi="Arial" w:cs="Arial"/>
                <w:color w:val="000000" w:themeColor="text1"/>
                <w:sz w:val="24"/>
                <w:szCs w:val="24"/>
              </w:rPr>
              <w:t xml:space="preserve"> or refused and that such issues were</w:t>
            </w:r>
            <w:r w:rsidRPr="00D40DDC">
              <w:rPr>
                <w:rFonts w:ascii="Arial" w:hAnsi="Arial" w:cs="Arial"/>
                <w:color w:val="000000" w:themeColor="text1"/>
                <w:sz w:val="24"/>
                <w:szCs w:val="24"/>
              </w:rPr>
              <w:t xml:space="preserve"> to be argued and determined on mat</w:t>
            </w:r>
            <w:r w:rsidR="006915BC" w:rsidRPr="00D40DDC">
              <w:rPr>
                <w:rFonts w:ascii="Arial" w:hAnsi="Arial" w:cs="Arial"/>
                <w:color w:val="000000" w:themeColor="text1"/>
                <w:sz w:val="24"/>
                <w:szCs w:val="24"/>
              </w:rPr>
              <w:t>ters extraneous to the record to</w:t>
            </w:r>
            <w:r w:rsidRPr="00D40DDC">
              <w:rPr>
                <w:rFonts w:ascii="Arial" w:hAnsi="Arial" w:cs="Arial"/>
                <w:color w:val="000000" w:themeColor="text1"/>
                <w:sz w:val="24"/>
                <w:szCs w:val="24"/>
              </w:rPr>
              <w:t xml:space="preserve"> </w:t>
            </w:r>
            <w:r w:rsidR="006915BC" w:rsidRPr="00D40DDC">
              <w:rPr>
                <w:rFonts w:ascii="Arial" w:hAnsi="Arial" w:cs="Arial"/>
                <w:color w:val="000000" w:themeColor="text1"/>
                <w:sz w:val="24"/>
                <w:szCs w:val="24"/>
              </w:rPr>
              <w:t>which an</w:t>
            </w:r>
            <w:r w:rsidRPr="00D40DDC">
              <w:rPr>
                <w:rFonts w:ascii="Arial" w:hAnsi="Arial" w:cs="Arial"/>
                <w:color w:val="000000" w:themeColor="text1"/>
                <w:sz w:val="24"/>
                <w:szCs w:val="24"/>
              </w:rPr>
              <w:t xml:space="preserve"> appeal court</w:t>
            </w:r>
            <w:r w:rsidR="006915BC" w:rsidRPr="00D40DDC">
              <w:rPr>
                <w:rFonts w:ascii="Arial" w:hAnsi="Arial" w:cs="Arial"/>
                <w:color w:val="000000" w:themeColor="text1"/>
                <w:sz w:val="24"/>
                <w:szCs w:val="24"/>
              </w:rPr>
              <w:t>,</w:t>
            </w:r>
            <w:r w:rsidRPr="00D40DDC">
              <w:rPr>
                <w:rFonts w:ascii="Arial" w:hAnsi="Arial" w:cs="Arial"/>
                <w:color w:val="000000" w:themeColor="text1"/>
                <w:sz w:val="24"/>
                <w:szCs w:val="24"/>
              </w:rPr>
              <w:t xml:space="preserve"> (in principle)</w:t>
            </w:r>
            <w:r w:rsidR="006915BC" w:rsidRPr="00D40DDC">
              <w:rPr>
                <w:rFonts w:ascii="Arial" w:hAnsi="Arial" w:cs="Arial"/>
                <w:color w:val="000000" w:themeColor="text1"/>
                <w:sz w:val="24"/>
                <w:szCs w:val="24"/>
              </w:rPr>
              <w:t>,</w:t>
            </w:r>
            <w:r w:rsidRPr="00D40DDC">
              <w:rPr>
                <w:rFonts w:ascii="Arial" w:hAnsi="Arial" w:cs="Arial"/>
                <w:color w:val="000000" w:themeColor="text1"/>
                <w:sz w:val="24"/>
                <w:szCs w:val="24"/>
              </w:rPr>
              <w:t xml:space="preserve"> is confined. </w:t>
            </w:r>
            <w:r w:rsidR="006915BC" w:rsidRPr="00D40DDC">
              <w:rPr>
                <w:rFonts w:ascii="Arial" w:hAnsi="Arial" w:cs="Arial"/>
                <w:color w:val="000000" w:themeColor="text1"/>
                <w:sz w:val="24"/>
                <w:szCs w:val="24"/>
              </w:rPr>
              <w:t>Here it was further relevant t</w:t>
            </w:r>
            <w:r w:rsidRPr="00D40DDC">
              <w:rPr>
                <w:rFonts w:ascii="Arial" w:hAnsi="Arial" w:cs="Arial"/>
                <w:color w:val="000000" w:themeColor="text1"/>
                <w:sz w:val="24"/>
                <w:szCs w:val="24"/>
              </w:rPr>
              <w:t>hat leave to appeal may be sought immediately after judgment (without the need to file any process)</w:t>
            </w:r>
            <w:r w:rsidR="00DC4D46" w:rsidRPr="00D40DDC">
              <w:rPr>
                <w:rStyle w:val="FootnoteReference"/>
                <w:rFonts w:ascii="Arial" w:hAnsi="Arial" w:cs="Arial"/>
                <w:color w:val="000000" w:themeColor="text1"/>
                <w:sz w:val="24"/>
                <w:szCs w:val="24"/>
              </w:rPr>
              <w:footnoteReference w:id="2"/>
            </w:r>
            <w:r w:rsidR="006915BC" w:rsidRPr="00D40DDC">
              <w:rPr>
                <w:rFonts w:ascii="Arial" w:hAnsi="Arial" w:cs="Arial"/>
                <w:color w:val="000000" w:themeColor="text1"/>
                <w:sz w:val="24"/>
                <w:szCs w:val="24"/>
              </w:rPr>
              <w:t xml:space="preserve"> and thus that all these aspects clearly demonstrate</w:t>
            </w:r>
            <w:r w:rsidRPr="00D40DDC">
              <w:rPr>
                <w:rFonts w:ascii="Arial" w:hAnsi="Arial" w:cs="Arial"/>
                <w:color w:val="000000" w:themeColor="text1"/>
                <w:sz w:val="24"/>
                <w:szCs w:val="24"/>
              </w:rPr>
              <w:t xml:space="preserve"> that the</w:t>
            </w:r>
            <w:r w:rsidR="006915BC" w:rsidRPr="00D40DDC">
              <w:rPr>
                <w:rFonts w:ascii="Arial" w:hAnsi="Arial" w:cs="Arial"/>
                <w:i/>
                <w:iCs/>
                <w:color w:val="000000" w:themeColor="text1"/>
                <w:sz w:val="24"/>
                <w:szCs w:val="24"/>
              </w:rPr>
              <w:t xml:space="preserve"> Namibia Water Corporation </w:t>
            </w:r>
            <w:r w:rsidR="006915BC" w:rsidRPr="00D40DDC">
              <w:rPr>
                <w:rFonts w:ascii="Arial" w:hAnsi="Arial" w:cs="Arial"/>
                <w:color w:val="000000" w:themeColor="text1"/>
                <w:sz w:val="24"/>
                <w:szCs w:val="24"/>
              </w:rPr>
              <w:t>judgment wa</w:t>
            </w:r>
            <w:r w:rsidRPr="00D40DDC">
              <w:rPr>
                <w:rFonts w:ascii="Arial" w:hAnsi="Arial" w:cs="Arial"/>
                <w:color w:val="000000" w:themeColor="text1"/>
                <w:sz w:val="24"/>
                <w:szCs w:val="24"/>
              </w:rPr>
              <w:t xml:space="preserve">s wrong. </w:t>
            </w:r>
            <w:r w:rsidR="006915BC" w:rsidRPr="00D40DDC">
              <w:rPr>
                <w:rFonts w:ascii="Arial" w:hAnsi="Arial" w:cs="Arial"/>
                <w:color w:val="000000" w:themeColor="text1"/>
                <w:sz w:val="24"/>
                <w:szCs w:val="24"/>
              </w:rPr>
              <w:t xml:space="preserve">In any event such judgment did neither </w:t>
            </w:r>
            <w:r w:rsidR="006915BC" w:rsidRPr="00D40DDC">
              <w:rPr>
                <w:rFonts w:ascii="Arial" w:hAnsi="Arial" w:cs="Arial"/>
                <w:color w:val="000000" w:themeColor="text1"/>
                <w:sz w:val="24"/>
                <w:szCs w:val="24"/>
              </w:rPr>
              <w:lastRenderedPageBreak/>
              <w:t>accord with</w:t>
            </w:r>
            <w:r w:rsidRPr="00D40DDC">
              <w:rPr>
                <w:rFonts w:ascii="Arial" w:hAnsi="Arial" w:cs="Arial"/>
                <w:color w:val="000000" w:themeColor="text1"/>
                <w:sz w:val="24"/>
                <w:szCs w:val="24"/>
              </w:rPr>
              <w:t xml:space="preserve"> the practice in this Court</w:t>
            </w:r>
            <w:r w:rsidR="00701F1F">
              <w:rPr>
                <w:rFonts w:ascii="Arial" w:hAnsi="Arial" w:cs="Arial"/>
                <w:color w:val="000000" w:themeColor="text1"/>
                <w:sz w:val="24"/>
                <w:szCs w:val="24"/>
              </w:rPr>
              <w:t>,</w:t>
            </w:r>
            <w:r w:rsidRPr="00D40DDC">
              <w:rPr>
                <w:rFonts w:ascii="Arial" w:hAnsi="Arial" w:cs="Arial"/>
                <w:color w:val="000000" w:themeColor="text1"/>
                <w:sz w:val="24"/>
                <w:szCs w:val="24"/>
              </w:rPr>
              <w:t xml:space="preserve"> nor</w:t>
            </w:r>
            <w:r w:rsidR="006915BC" w:rsidRPr="00D40DDC">
              <w:rPr>
                <w:rFonts w:ascii="Arial" w:hAnsi="Arial" w:cs="Arial"/>
                <w:color w:val="000000" w:themeColor="text1"/>
                <w:sz w:val="24"/>
                <w:szCs w:val="24"/>
              </w:rPr>
              <w:t xml:space="preserve"> was it</w:t>
            </w:r>
            <w:r w:rsidRPr="00D40DDC">
              <w:rPr>
                <w:rFonts w:ascii="Arial" w:hAnsi="Arial" w:cs="Arial"/>
                <w:color w:val="000000" w:themeColor="text1"/>
                <w:sz w:val="24"/>
                <w:szCs w:val="24"/>
              </w:rPr>
              <w:t xml:space="preserve"> consistent</w:t>
            </w:r>
            <w:r w:rsidR="00701F1F">
              <w:rPr>
                <w:rFonts w:ascii="Arial" w:hAnsi="Arial" w:cs="Arial"/>
                <w:color w:val="000000" w:themeColor="text1"/>
                <w:sz w:val="24"/>
                <w:szCs w:val="24"/>
              </w:rPr>
              <w:t>,</w:t>
            </w:r>
            <w:r w:rsidRPr="00D40DDC">
              <w:rPr>
                <w:rFonts w:ascii="Arial" w:hAnsi="Arial" w:cs="Arial"/>
                <w:color w:val="000000" w:themeColor="text1"/>
                <w:sz w:val="24"/>
                <w:szCs w:val="24"/>
              </w:rPr>
              <w:t xml:space="preserve"> with its authorities</w:t>
            </w:r>
            <w:r w:rsidR="00701F1F">
              <w:rPr>
                <w:rFonts w:ascii="Arial" w:hAnsi="Arial" w:cs="Arial"/>
                <w:color w:val="000000" w:themeColor="text1"/>
                <w:sz w:val="24"/>
                <w:szCs w:val="24"/>
              </w:rPr>
              <w:t>,</w:t>
            </w:r>
            <w:r w:rsidRPr="00D40DDC">
              <w:rPr>
                <w:rFonts w:ascii="Arial" w:hAnsi="Arial" w:cs="Arial"/>
                <w:color w:val="000000" w:themeColor="text1"/>
                <w:sz w:val="24"/>
                <w:szCs w:val="24"/>
              </w:rPr>
              <w:t xml:space="preserve"> that an application for leave to app</w:t>
            </w:r>
            <w:r w:rsidR="00701F1F">
              <w:rPr>
                <w:rFonts w:ascii="Arial" w:hAnsi="Arial" w:cs="Arial"/>
                <w:color w:val="000000" w:themeColor="text1"/>
                <w:sz w:val="24"/>
                <w:szCs w:val="24"/>
              </w:rPr>
              <w:t>eal should be sought on ‘notice of application’</w:t>
            </w:r>
            <w:r w:rsidRPr="00D40DDC">
              <w:rPr>
                <w:rFonts w:ascii="Arial" w:hAnsi="Arial" w:cs="Arial"/>
                <w:color w:val="000000" w:themeColor="text1"/>
                <w:sz w:val="24"/>
                <w:szCs w:val="24"/>
              </w:rPr>
              <w:t>.</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lang w:val="en-GB"/>
              </w:rPr>
            </w:pPr>
          </w:p>
          <w:p w:rsidR="00824F14" w:rsidRPr="00D40DDC" w:rsidRDefault="00824F14"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I agree with these joint submissions and the reasons advanced therein. They ultimately al</w:t>
            </w:r>
            <w:r w:rsidR="00C62493" w:rsidRPr="00D40DDC">
              <w:rPr>
                <w:rFonts w:ascii="Arial" w:hAnsi="Arial" w:cs="Arial"/>
                <w:color w:val="000000" w:themeColor="text1"/>
                <w:sz w:val="24"/>
                <w:szCs w:val="24"/>
              </w:rPr>
              <w:t>so accord with the practice which</w:t>
            </w:r>
            <w:r w:rsidRPr="00D40DDC">
              <w:rPr>
                <w:rFonts w:ascii="Arial" w:hAnsi="Arial" w:cs="Arial"/>
                <w:color w:val="000000" w:themeColor="text1"/>
                <w:sz w:val="24"/>
                <w:szCs w:val="24"/>
              </w:rPr>
              <w:t xml:space="preserve"> has been followed in th</w:t>
            </w:r>
            <w:r w:rsidR="00C62493" w:rsidRPr="00D40DDC">
              <w:rPr>
                <w:rFonts w:ascii="Arial" w:hAnsi="Arial" w:cs="Arial"/>
                <w:color w:val="000000" w:themeColor="text1"/>
                <w:sz w:val="24"/>
                <w:szCs w:val="24"/>
              </w:rPr>
              <w:t xml:space="preserve">is jurisdiction for many years. </w:t>
            </w:r>
            <w:r w:rsidR="00CE298D" w:rsidRPr="00D40DDC">
              <w:rPr>
                <w:rFonts w:ascii="Arial" w:hAnsi="Arial" w:cs="Arial"/>
                <w:color w:val="000000" w:themeColor="text1"/>
                <w:sz w:val="24"/>
                <w:szCs w:val="24"/>
              </w:rPr>
              <w:t>In this regard it is</w:t>
            </w:r>
            <w:r w:rsidR="00A76653" w:rsidRPr="00D40DDC">
              <w:rPr>
                <w:rFonts w:ascii="Arial" w:hAnsi="Arial" w:cs="Arial"/>
                <w:color w:val="000000" w:themeColor="text1"/>
                <w:sz w:val="24"/>
                <w:szCs w:val="24"/>
              </w:rPr>
              <w:t xml:space="preserve"> also</w:t>
            </w:r>
            <w:r w:rsidR="00CE298D" w:rsidRPr="00D40DDC">
              <w:rPr>
                <w:rFonts w:ascii="Arial" w:hAnsi="Arial" w:cs="Arial"/>
                <w:color w:val="000000" w:themeColor="text1"/>
                <w:sz w:val="24"/>
                <w:szCs w:val="24"/>
              </w:rPr>
              <w:t xml:space="preserve"> clear that not all applications have to be brought ‘on notice of motion’ supported by an affidavit</w:t>
            </w:r>
            <w:r w:rsidR="00C62493" w:rsidRPr="00D40DDC">
              <w:rPr>
                <w:rFonts w:ascii="Arial" w:hAnsi="Arial" w:cs="Arial"/>
                <w:color w:val="000000" w:themeColor="text1"/>
                <w:sz w:val="24"/>
                <w:szCs w:val="24"/>
              </w:rPr>
              <w:t xml:space="preserve"> an</w:t>
            </w:r>
            <w:r w:rsidR="00CE298D" w:rsidRPr="00D40DDC">
              <w:rPr>
                <w:rFonts w:ascii="Arial" w:hAnsi="Arial" w:cs="Arial"/>
                <w:color w:val="000000" w:themeColor="text1"/>
                <w:sz w:val="24"/>
                <w:szCs w:val="24"/>
              </w:rPr>
              <w:t>d that an</w:t>
            </w:r>
            <w:r w:rsidR="00C62493" w:rsidRPr="00D40DDC">
              <w:rPr>
                <w:rFonts w:ascii="Arial" w:hAnsi="Arial" w:cs="Arial"/>
                <w:color w:val="000000" w:themeColor="text1"/>
                <w:sz w:val="24"/>
                <w:szCs w:val="24"/>
              </w:rPr>
              <w:t xml:space="preserve"> application</w:t>
            </w:r>
            <w:r w:rsidR="00CE298D" w:rsidRPr="00D40DDC">
              <w:rPr>
                <w:rFonts w:ascii="Arial" w:hAnsi="Arial" w:cs="Arial"/>
                <w:color w:val="000000" w:themeColor="text1"/>
                <w:sz w:val="24"/>
                <w:szCs w:val="24"/>
              </w:rPr>
              <w:t xml:space="preserve"> can also be brought ‘on notice’, in an appropriate case, for as long as it is accompanied by the grounds</w:t>
            </w:r>
            <w:r w:rsidR="00A76653" w:rsidRPr="00D40DDC">
              <w:rPr>
                <w:rFonts w:ascii="Arial" w:hAnsi="Arial" w:cs="Arial"/>
                <w:color w:val="000000" w:themeColor="text1"/>
                <w:sz w:val="24"/>
                <w:szCs w:val="24"/>
              </w:rPr>
              <w:t>,</w:t>
            </w:r>
            <w:r w:rsidR="00A76653" w:rsidRPr="00D40DDC">
              <w:rPr>
                <w:rStyle w:val="FootnoteReference"/>
                <w:rFonts w:ascii="Arial" w:hAnsi="Arial" w:cs="Arial"/>
                <w:color w:val="000000" w:themeColor="text1"/>
                <w:sz w:val="24"/>
                <w:szCs w:val="24"/>
              </w:rPr>
              <w:footnoteReference w:id="3"/>
            </w:r>
            <w:r w:rsidR="00CE298D" w:rsidRPr="00D40DDC">
              <w:rPr>
                <w:rFonts w:ascii="Arial" w:hAnsi="Arial" w:cs="Arial"/>
                <w:color w:val="000000" w:themeColor="text1"/>
                <w:sz w:val="24"/>
                <w:szCs w:val="24"/>
              </w:rPr>
              <w:t xml:space="preserve"> on which such application is based.</w:t>
            </w:r>
            <w:r w:rsidR="00CE298D" w:rsidRPr="00D40DDC">
              <w:rPr>
                <w:rStyle w:val="FootnoteReference"/>
                <w:rFonts w:ascii="Arial" w:hAnsi="Arial" w:cs="Arial"/>
                <w:color w:val="000000" w:themeColor="text1"/>
                <w:sz w:val="24"/>
                <w:szCs w:val="24"/>
              </w:rPr>
              <w:footnoteReference w:id="4"/>
            </w:r>
            <w:r w:rsidR="00CE298D" w:rsidRPr="00D40DDC">
              <w:rPr>
                <w:rFonts w:ascii="Arial" w:hAnsi="Arial" w:cs="Arial"/>
                <w:color w:val="000000" w:themeColor="text1"/>
                <w:sz w:val="24"/>
                <w:szCs w:val="24"/>
              </w:rPr>
              <w:t xml:space="preserve"> </w:t>
            </w:r>
            <w:r w:rsidRPr="00D40DDC">
              <w:rPr>
                <w:rFonts w:ascii="Arial" w:hAnsi="Arial" w:cs="Arial"/>
                <w:color w:val="000000" w:themeColor="text1"/>
                <w:sz w:val="24"/>
                <w:szCs w:val="24"/>
              </w:rPr>
              <w:t xml:space="preserve">I will thus regard myself not bound by the </w:t>
            </w:r>
            <w:r w:rsidRPr="00D40DDC">
              <w:rPr>
                <w:rFonts w:ascii="Arial" w:hAnsi="Arial" w:cs="Arial"/>
                <w:i/>
                <w:iCs/>
                <w:color w:val="000000" w:themeColor="text1"/>
                <w:sz w:val="24"/>
                <w:szCs w:val="24"/>
              </w:rPr>
              <w:t xml:space="preserve">Namibia Water Corporation </w:t>
            </w:r>
            <w:r w:rsidRPr="00D40DDC">
              <w:rPr>
                <w:rFonts w:ascii="Arial" w:hAnsi="Arial" w:cs="Arial"/>
                <w:iCs/>
                <w:color w:val="000000" w:themeColor="text1"/>
                <w:sz w:val="24"/>
                <w:szCs w:val="24"/>
              </w:rPr>
              <w:t xml:space="preserve">decision and I will </w:t>
            </w:r>
            <w:r w:rsidR="00701F1F">
              <w:rPr>
                <w:rFonts w:ascii="Arial" w:hAnsi="Arial" w:cs="Arial"/>
                <w:iCs/>
                <w:color w:val="000000" w:themeColor="text1"/>
                <w:sz w:val="24"/>
                <w:szCs w:val="24"/>
              </w:rPr>
              <w:t xml:space="preserve">accordingly </w:t>
            </w:r>
            <w:r w:rsidRPr="00D40DDC">
              <w:rPr>
                <w:rFonts w:ascii="Arial" w:hAnsi="Arial" w:cs="Arial"/>
                <w:iCs/>
                <w:color w:val="000000" w:themeColor="text1"/>
                <w:sz w:val="24"/>
                <w:szCs w:val="24"/>
              </w:rPr>
              <w:t>not follow it.</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05599A" w:rsidRDefault="0005599A"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 xml:space="preserve">However, </w:t>
            </w:r>
            <w:r w:rsidRPr="00D40DDC">
              <w:rPr>
                <w:rFonts w:ascii="Arial" w:hAnsi="Arial" w:cs="Arial"/>
                <w:i/>
                <w:iCs/>
                <w:color w:val="000000" w:themeColor="text1"/>
                <w:sz w:val="24"/>
                <w:szCs w:val="24"/>
              </w:rPr>
              <w:t>ex abundante cautela</w:t>
            </w:r>
            <w:r w:rsidRPr="00D40DDC">
              <w:rPr>
                <w:rFonts w:ascii="Arial" w:hAnsi="Arial" w:cs="Arial"/>
                <w:color w:val="000000" w:themeColor="text1"/>
                <w:sz w:val="24"/>
                <w:szCs w:val="24"/>
              </w:rPr>
              <w:t>, the Minister</w:t>
            </w:r>
            <w:r w:rsidR="006915BC" w:rsidRPr="00D40DDC">
              <w:rPr>
                <w:rFonts w:ascii="Arial" w:hAnsi="Arial" w:cs="Arial"/>
                <w:color w:val="000000" w:themeColor="text1"/>
                <w:sz w:val="24"/>
                <w:szCs w:val="24"/>
              </w:rPr>
              <w:t xml:space="preserve"> </w:t>
            </w:r>
            <w:r w:rsidR="00701F1F">
              <w:rPr>
                <w:rFonts w:ascii="Arial" w:hAnsi="Arial" w:cs="Arial"/>
                <w:color w:val="000000" w:themeColor="text1"/>
                <w:sz w:val="24"/>
                <w:szCs w:val="24"/>
              </w:rPr>
              <w:t xml:space="preserve">did </w:t>
            </w:r>
            <w:r w:rsidR="006915BC" w:rsidRPr="00D40DDC">
              <w:rPr>
                <w:rFonts w:ascii="Arial" w:hAnsi="Arial" w:cs="Arial"/>
                <w:color w:val="000000" w:themeColor="text1"/>
                <w:sz w:val="24"/>
                <w:szCs w:val="24"/>
              </w:rPr>
              <w:t>nevertheless</w:t>
            </w:r>
            <w:r w:rsidR="00701F1F">
              <w:rPr>
                <w:rFonts w:ascii="Arial" w:hAnsi="Arial" w:cs="Arial"/>
                <w:color w:val="000000" w:themeColor="text1"/>
                <w:sz w:val="24"/>
                <w:szCs w:val="24"/>
              </w:rPr>
              <w:t xml:space="preserve"> file</w:t>
            </w:r>
            <w:r w:rsidRPr="00D40DDC">
              <w:rPr>
                <w:rFonts w:ascii="Arial" w:hAnsi="Arial" w:cs="Arial"/>
                <w:color w:val="000000" w:themeColor="text1"/>
                <w:sz w:val="24"/>
                <w:szCs w:val="24"/>
              </w:rPr>
              <w:t xml:space="preserve"> an application seeking: (a) insofar as necessary, condonation for the late filing of a notice of motion and supporting affidavit as per </w:t>
            </w:r>
            <w:r w:rsidRPr="00D40DDC">
              <w:rPr>
                <w:rFonts w:ascii="Arial" w:hAnsi="Arial" w:cs="Arial"/>
                <w:i/>
                <w:iCs/>
                <w:color w:val="000000" w:themeColor="text1"/>
                <w:sz w:val="24"/>
                <w:szCs w:val="24"/>
              </w:rPr>
              <w:t>Namibia Water Corporation</w:t>
            </w:r>
            <w:r w:rsidRPr="00D40DDC">
              <w:rPr>
                <w:rFonts w:ascii="Arial" w:hAnsi="Arial" w:cs="Arial"/>
                <w:color w:val="000000" w:themeColor="text1"/>
                <w:sz w:val="24"/>
                <w:szCs w:val="24"/>
              </w:rPr>
              <w:t xml:space="preserve">; and (b) leave to file the supporting affidavit incorporating by reference the notice of application for leave to appeal filed on 11 February 2020.  The </w:t>
            </w:r>
            <w:r w:rsidR="00824F14" w:rsidRPr="00D40DDC">
              <w:rPr>
                <w:rFonts w:ascii="Arial" w:hAnsi="Arial" w:cs="Arial"/>
                <w:color w:val="000000" w:themeColor="text1"/>
                <w:sz w:val="24"/>
                <w:szCs w:val="24"/>
              </w:rPr>
              <w:t>application wa</w:t>
            </w:r>
            <w:r w:rsidRPr="00D40DDC">
              <w:rPr>
                <w:rFonts w:ascii="Arial" w:hAnsi="Arial" w:cs="Arial"/>
                <w:color w:val="000000" w:themeColor="text1"/>
                <w:sz w:val="24"/>
                <w:szCs w:val="24"/>
              </w:rPr>
              <w:t>s unopposed</w:t>
            </w:r>
            <w:r w:rsidR="00701F1F">
              <w:rPr>
                <w:rFonts w:ascii="Arial" w:hAnsi="Arial" w:cs="Arial"/>
                <w:color w:val="000000" w:themeColor="text1"/>
                <w:sz w:val="24"/>
                <w:szCs w:val="24"/>
              </w:rPr>
              <w:t>. I</w:t>
            </w:r>
            <w:r w:rsidR="00824F14" w:rsidRPr="00D40DDC">
              <w:rPr>
                <w:rFonts w:ascii="Arial" w:hAnsi="Arial" w:cs="Arial"/>
                <w:color w:val="000000" w:themeColor="text1"/>
                <w:sz w:val="24"/>
                <w:szCs w:val="24"/>
              </w:rPr>
              <w:t>t follows that it should be granted in the circumstances</w:t>
            </w:r>
            <w:r w:rsidR="00701F1F">
              <w:rPr>
                <w:rFonts w:ascii="Arial" w:hAnsi="Arial" w:cs="Arial"/>
                <w:color w:val="000000" w:themeColor="text1"/>
                <w:sz w:val="24"/>
                <w:szCs w:val="24"/>
              </w:rPr>
              <w:t>, in so far as this may have been necessary</w:t>
            </w:r>
            <w:r w:rsidRPr="00D40DDC">
              <w:rPr>
                <w:rFonts w:ascii="Arial" w:hAnsi="Arial" w:cs="Arial"/>
                <w:color w:val="000000" w:themeColor="text1"/>
                <w:sz w:val="24"/>
                <w:szCs w:val="24"/>
              </w:rPr>
              <w:t>.</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0F0BA3" w:rsidRDefault="000F0BA3" w:rsidP="00D40DDC">
            <w:pPr>
              <w:spacing w:line="360" w:lineRule="auto"/>
              <w:jc w:val="both"/>
              <w:rPr>
                <w:rFonts w:ascii="Arial" w:hAnsi="Arial" w:cs="Arial"/>
                <w:color w:val="000000" w:themeColor="text1"/>
                <w:sz w:val="24"/>
                <w:szCs w:val="24"/>
                <w:u w:val="single"/>
              </w:rPr>
            </w:pPr>
            <w:r w:rsidRPr="00D40DDC">
              <w:rPr>
                <w:rFonts w:ascii="Arial" w:hAnsi="Arial" w:cs="Arial"/>
                <w:color w:val="000000" w:themeColor="text1"/>
                <w:sz w:val="24"/>
                <w:szCs w:val="24"/>
                <w:u w:val="single"/>
              </w:rPr>
              <w:t>The consideration of the merits of the application for leave to appeal</w:t>
            </w:r>
          </w:p>
          <w:p w:rsidR="00D40DDC" w:rsidRPr="00D40DDC" w:rsidRDefault="00D40DDC" w:rsidP="00D40DDC">
            <w:pPr>
              <w:spacing w:line="360" w:lineRule="auto"/>
              <w:jc w:val="both"/>
              <w:rPr>
                <w:rFonts w:ascii="Arial" w:hAnsi="Arial" w:cs="Arial"/>
                <w:color w:val="000000" w:themeColor="text1"/>
                <w:sz w:val="24"/>
                <w:szCs w:val="24"/>
                <w:u w:val="single"/>
              </w:rPr>
            </w:pPr>
          </w:p>
          <w:p w:rsidR="00224965" w:rsidRPr="00D40DDC" w:rsidRDefault="000F0BA3"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sz w:val="24"/>
                <w:szCs w:val="24"/>
              </w:rPr>
              <w:t>When it so comes to the determination of the merits of the application for leave to appeal, it must firstly be said that both parties filed thorough</w:t>
            </w:r>
            <w:r w:rsidR="00C62493" w:rsidRPr="00D40DDC">
              <w:rPr>
                <w:rFonts w:ascii="Arial" w:hAnsi="Arial" w:cs="Arial"/>
                <w:sz w:val="24"/>
                <w:szCs w:val="24"/>
              </w:rPr>
              <w:t>-</w:t>
            </w:r>
            <w:r w:rsidRPr="00D40DDC">
              <w:rPr>
                <w:rFonts w:ascii="Arial" w:hAnsi="Arial" w:cs="Arial"/>
                <w:sz w:val="24"/>
                <w:szCs w:val="24"/>
              </w:rPr>
              <w:t xml:space="preserve"> and impressive heads of argument. I am grateful to counsel for their effort and industry.</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0F0BA3" w:rsidRPr="00D40DDC" w:rsidRDefault="000F0BA3"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sz w:val="24"/>
                <w:szCs w:val="24"/>
              </w:rPr>
              <w:t>The</w:t>
            </w:r>
            <w:r w:rsidR="00D83E05" w:rsidRPr="00D40DDC">
              <w:rPr>
                <w:rFonts w:ascii="Arial" w:hAnsi="Arial" w:cs="Arial"/>
                <w:sz w:val="24"/>
                <w:szCs w:val="24"/>
              </w:rPr>
              <w:t xml:space="preserve"> main issue</w:t>
            </w:r>
            <w:r w:rsidR="00A76653" w:rsidRPr="00D40DDC">
              <w:rPr>
                <w:rFonts w:ascii="Arial" w:hAnsi="Arial" w:cs="Arial"/>
                <w:sz w:val="24"/>
                <w:szCs w:val="24"/>
              </w:rPr>
              <w:t xml:space="preserve"> around which</w:t>
            </w:r>
            <w:r w:rsidR="00D83E05" w:rsidRPr="00D40DDC">
              <w:rPr>
                <w:rFonts w:ascii="Arial" w:hAnsi="Arial" w:cs="Arial"/>
                <w:sz w:val="24"/>
                <w:szCs w:val="24"/>
              </w:rPr>
              <w:t xml:space="preserve"> this part of the dispute centered was, whether or not, the orders, made by this Court, on 21 January 2020, where appealable at all and thus whether or not the threshold requirements for leave to appeal had been met.</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D83E05" w:rsidRPr="00D40DDC" w:rsidRDefault="00D83E05"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sz w:val="24"/>
                <w:szCs w:val="24"/>
              </w:rPr>
              <w:t>In the second instance the parties advanced detailed submissions – for and against – each ruling</w:t>
            </w:r>
            <w:r w:rsidR="0009356C" w:rsidRPr="00D40DDC">
              <w:rPr>
                <w:rFonts w:ascii="Arial" w:hAnsi="Arial" w:cs="Arial"/>
                <w:sz w:val="24"/>
                <w:szCs w:val="24"/>
              </w:rPr>
              <w:t xml:space="preserve"> -</w:t>
            </w:r>
            <w:r w:rsidRPr="00D40DDC">
              <w:rPr>
                <w:rFonts w:ascii="Arial" w:hAnsi="Arial" w:cs="Arial"/>
                <w:sz w:val="24"/>
                <w:szCs w:val="24"/>
              </w:rPr>
              <w:t xml:space="preserve"> the Court had made on each of the requests for additional discovery made on behalf the applicants in the main case.</w:t>
            </w:r>
          </w:p>
          <w:p w:rsidR="00D40DDC" w:rsidRPr="00D40DDC" w:rsidRDefault="00D40DDC" w:rsidP="00D40DDC">
            <w:pPr>
              <w:pStyle w:val="ListParagraph"/>
              <w:rPr>
                <w:rFonts w:ascii="Arial" w:hAnsi="Arial" w:cs="Arial"/>
                <w:color w:val="000000" w:themeColor="text1"/>
                <w:sz w:val="24"/>
                <w:szCs w:val="24"/>
              </w:rPr>
            </w:pP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09356C" w:rsidRDefault="0009356C"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sz w:val="24"/>
                <w:szCs w:val="24"/>
              </w:rPr>
              <w:t xml:space="preserve">Upon a thorough review of the submissions and arguments made in this regard I must say that I </w:t>
            </w:r>
            <w:r w:rsidR="008B0232" w:rsidRPr="00D40DDC">
              <w:rPr>
                <w:rFonts w:ascii="Arial" w:hAnsi="Arial" w:cs="Arial"/>
                <w:sz w:val="24"/>
                <w:szCs w:val="24"/>
              </w:rPr>
              <w:t>would, in the normal course, have been</w:t>
            </w:r>
            <w:r w:rsidRPr="00D40DDC">
              <w:rPr>
                <w:rFonts w:ascii="Arial" w:hAnsi="Arial" w:cs="Arial"/>
                <w:sz w:val="24"/>
                <w:szCs w:val="24"/>
              </w:rPr>
              <w:t xml:space="preserve"> persuaded by the submissions and arguments advanced on behalf of the respondents in this application for leave to appeal an</w:t>
            </w:r>
            <w:r w:rsidR="00505D78" w:rsidRPr="00D40DDC">
              <w:rPr>
                <w:rFonts w:ascii="Arial" w:hAnsi="Arial" w:cs="Arial"/>
                <w:sz w:val="24"/>
                <w:szCs w:val="24"/>
              </w:rPr>
              <w:t>d consequentially</w:t>
            </w:r>
            <w:r w:rsidRPr="00D40DDC">
              <w:rPr>
                <w:rFonts w:ascii="Arial" w:hAnsi="Arial" w:cs="Arial"/>
                <w:sz w:val="24"/>
                <w:szCs w:val="24"/>
              </w:rPr>
              <w:t xml:space="preserve"> would have been inclined to refuse</w:t>
            </w:r>
            <w:r w:rsidR="008B0232" w:rsidRPr="00D40DDC">
              <w:rPr>
                <w:rFonts w:ascii="Arial" w:hAnsi="Arial" w:cs="Arial"/>
                <w:sz w:val="24"/>
                <w:szCs w:val="24"/>
              </w:rPr>
              <w:t xml:space="preserve"> the sought</w:t>
            </w:r>
            <w:r w:rsidRPr="00D40DDC">
              <w:rPr>
                <w:rFonts w:ascii="Arial" w:hAnsi="Arial" w:cs="Arial"/>
                <w:sz w:val="24"/>
                <w:szCs w:val="24"/>
              </w:rPr>
              <w:t xml:space="preserve"> leave to appeal. Not only did the detailed submissions in defence of the respective rulings made by the Court show that there would have been no reasonable prospect</w:t>
            </w:r>
            <w:r w:rsidRPr="00D40DDC">
              <w:rPr>
                <w:rFonts w:ascii="Arial" w:hAnsi="Arial" w:cs="Arial"/>
                <w:color w:val="000000" w:themeColor="text1"/>
                <w:sz w:val="24"/>
                <w:szCs w:val="24"/>
              </w:rPr>
              <w:t xml:space="preserve"> that another court may come to a different conclusion in relation to one or more of this Court’s findings</w:t>
            </w:r>
            <w:r w:rsidR="00505D78" w:rsidRPr="00D40DDC">
              <w:rPr>
                <w:rStyle w:val="FootnoteReference"/>
                <w:rFonts w:ascii="Arial" w:hAnsi="Arial" w:cs="Arial"/>
                <w:color w:val="000000" w:themeColor="text1"/>
                <w:sz w:val="24"/>
                <w:szCs w:val="24"/>
              </w:rPr>
              <w:footnoteReference w:id="5"/>
            </w:r>
            <w:r w:rsidRPr="00D40DDC">
              <w:rPr>
                <w:rFonts w:ascii="Arial" w:hAnsi="Arial" w:cs="Arial"/>
                <w:color w:val="000000" w:themeColor="text1"/>
                <w:sz w:val="24"/>
                <w:szCs w:val="24"/>
              </w:rPr>
              <w:t xml:space="preserve"> which underpinned its order</w:t>
            </w:r>
            <w:r w:rsidR="0040533A" w:rsidRPr="00D40DDC">
              <w:rPr>
                <w:rFonts w:ascii="Arial" w:hAnsi="Arial" w:cs="Arial"/>
                <w:color w:val="000000" w:themeColor="text1"/>
                <w:sz w:val="24"/>
                <w:szCs w:val="24"/>
              </w:rPr>
              <w:t>s</w:t>
            </w:r>
            <w:r w:rsidRPr="00D40DDC">
              <w:rPr>
                <w:rFonts w:ascii="Arial" w:hAnsi="Arial" w:cs="Arial"/>
                <w:color w:val="000000" w:themeColor="text1"/>
                <w:sz w:val="24"/>
                <w:szCs w:val="24"/>
              </w:rPr>
              <w:t xml:space="preserve"> of 21 January 2020</w:t>
            </w:r>
            <w:r w:rsidR="008B0232" w:rsidRPr="00D40DDC">
              <w:rPr>
                <w:rFonts w:ascii="Arial" w:hAnsi="Arial" w:cs="Arial"/>
                <w:color w:val="000000" w:themeColor="text1"/>
                <w:sz w:val="24"/>
                <w:szCs w:val="24"/>
              </w:rPr>
              <w:t>, but also the submissions relating to the non-appealability of the orders would have found favour with myself.</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8B0232" w:rsidRDefault="008B0232"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The referred to orders must surely be classified as</w:t>
            </w:r>
            <w:r w:rsidR="00701F1F">
              <w:rPr>
                <w:rFonts w:ascii="Arial" w:hAnsi="Arial" w:cs="Arial"/>
                <w:color w:val="000000" w:themeColor="text1"/>
                <w:sz w:val="24"/>
                <w:szCs w:val="24"/>
              </w:rPr>
              <w:t xml:space="preserve"> simple</w:t>
            </w:r>
            <w:r w:rsidRPr="00D40DDC">
              <w:rPr>
                <w:rFonts w:ascii="Arial" w:hAnsi="Arial" w:cs="Arial"/>
                <w:color w:val="000000" w:themeColor="text1"/>
                <w:sz w:val="24"/>
                <w:szCs w:val="24"/>
              </w:rPr>
              <w:t xml:space="preserve"> ‘interlocutory rulings’. They were procedural rulings – or directives - relating to additional ‘discovery’. They did </w:t>
            </w:r>
            <w:r w:rsidR="0040533A" w:rsidRPr="00D40DDC">
              <w:rPr>
                <w:rFonts w:ascii="Arial" w:hAnsi="Arial" w:cs="Arial"/>
                <w:color w:val="000000" w:themeColor="text1"/>
                <w:sz w:val="24"/>
                <w:szCs w:val="24"/>
              </w:rPr>
              <w:t xml:space="preserve">not </w:t>
            </w:r>
            <w:r w:rsidRPr="00D40DDC">
              <w:rPr>
                <w:rFonts w:ascii="Arial" w:hAnsi="Arial" w:cs="Arial"/>
                <w:color w:val="000000" w:themeColor="text1"/>
                <w:sz w:val="24"/>
                <w:szCs w:val="24"/>
              </w:rPr>
              <w:t xml:space="preserve">decide anything about the substance of the </w:t>
            </w:r>
            <w:r w:rsidR="0040533A" w:rsidRPr="00D40DDC">
              <w:rPr>
                <w:rFonts w:ascii="Arial" w:hAnsi="Arial" w:cs="Arial"/>
                <w:color w:val="000000" w:themeColor="text1"/>
                <w:sz w:val="24"/>
                <w:szCs w:val="24"/>
              </w:rPr>
              <w:t xml:space="preserve">main </w:t>
            </w:r>
            <w:r w:rsidRPr="00D40DDC">
              <w:rPr>
                <w:rFonts w:ascii="Arial" w:hAnsi="Arial" w:cs="Arial"/>
                <w:color w:val="000000" w:themeColor="text1"/>
                <w:sz w:val="24"/>
                <w:szCs w:val="24"/>
              </w:rPr>
              <w:t>dispute between the parties</w:t>
            </w:r>
            <w:r w:rsidR="0040533A" w:rsidRPr="00D40DDC">
              <w:rPr>
                <w:rFonts w:ascii="Arial" w:hAnsi="Arial" w:cs="Arial"/>
                <w:color w:val="000000" w:themeColor="text1"/>
                <w:sz w:val="24"/>
                <w:szCs w:val="24"/>
              </w:rPr>
              <w:t xml:space="preserve"> in this review. Orders of this kind are generally not appealable.</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8A04EE" w:rsidRDefault="008A04EE" w:rsidP="00D40DDC">
            <w:pPr>
              <w:spacing w:line="360" w:lineRule="auto"/>
              <w:jc w:val="both"/>
              <w:rPr>
                <w:rFonts w:ascii="Arial" w:hAnsi="Arial" w:cs="Arial"/>
                <w:color w:val="000000" w:themeColor="text1"/>
                <w:sz w:val="24"/>
                <w:szCs w:val="24"/>
                <w:u w:val="single"/>
              </w:rPr>
            </w:pPr>
            <w:r w:rsidRPr="00D40DDC">
              <w:rPr>
                <w:rFonts w:ascii="Arial" w:hAnsi="Arial" w:cs="Arial"/>
                <w:color w:val="000000" w:themeColor="text1"/>
                <w:sz w:val="24"/>
                <w:szCs w:val="24"/>
                <w:u w:val="single"/>
              </w:rPr>
              <w:t>The consideration of the possible impact of the interests of justice on the application</w:t>
            </w:r>
          </w:p>
          <w:p w:rsidR="00D40DDC" w:rsidRPr="00D40DDC" w:rsidRDefault="00D40DDC" w:rsidP="00D40DDC">
            <w:pPr>
              <w:spacing w:line="360" w:lineRule="auto"/>
              <w:jc w:val="both"/>
              <w:rPr>
                <w:rFonts w:ascii="Arial" w:hAnsi="Arial" w:cs="Arial"/>
                <w:color w:val="000000" w:themeColor="text1"/>
                <w:sz w:val="24"/>
                <w:szCs w:val="24"/>
                <w:u w:val="single"/>
              </w:rPr>
            </w:pPr>
          </w:p>
          <w:p w:rsidR="0040533A" w:rsidRDefault="0040533A"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Be that as it may. In the introduction to the main heads of argument filed in support of the Minister’s quest for leave to appeal it was pointed out that :</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40533A" w:rsidRPr="00D40DDC" w:rsidRDefault="0040533A" w:rsidP="00D40DDC">
            <w:pPr>
              <w:pStyle w:val="ListParagraph"/>
              <w:spacing w:line="360" w:lineRule="auto"/>
              <w:ind w:left="567"/>
              <w:contextualSpacing w:val="0"/>
              <w:jc w:val="both"/>
              <w:rPr>
                <w:rFonts w:ascii="Arial" w:hAnsi="Arial" w:cs="Arial"/>
                <w:color w:val="000000" w:themeColor="text1"/>
              </w:rPr>
            </w:pPr>
            <w:r w:rsidRPr="00D40DDC">
              <w:rPr>
                <w:rFonts w:ascii="Arial" w:hAnsi="Arial" w:cs="Arial"/>
                <w:color w:val="000000" w:themeColor="text1"/>
                <w:sz w:val="24"/>
                <w:szCs w:val="24"/>
              </w:rPr>
              <w:t xml:space="preserve">          </w:t>
            </w:r>
            <w:r w:rsidRPr="00D40DDC">
              <w:rPr>
                <w:rFonts w:ascii="Arial" w:hAnsi="Arial" w:cs="Arial"/>
                <w:color w:val="000000" w:themeColor="text1"/>
              </w:rPr>
              <w:t>‘ … Furthermore, the interests of justice dictate that an appeal lies to the Supreme Court. The judgment has far-reaching implications for the scope and application of Rule 76 in future judicial reviews…’.</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40533A" w:rsidRDefault="0040533A"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This aspect, in my view, is an important consideration, which requires determination.</w:t>
            </w:r>
            <w:r w:rsidR="00E16C33" w:rsidRPr="00D40DDC">
              <w:rPr>
                <w:rFonts w:ascii="Arial" w:hAnsi="Arial" w:cs="Arial"/>
                <w:color w:val="000000" w:themeColor="text1"/>
                <w:sz w:val="24"/>
                <w:szCs w:val="24"/>
              </w:rPr>
              <w:t xml:space="preserve"> It is an aspect that clearly cannot be ignored, although counsel for the respondents resisted this notion and argued otherwise.</w:t>
            </w:r>
          </w:p>
          <w:p w:rsidR="00D40DDC" w:rsidRPr="00D40DDC" w:rsidRDefault="00D40DDC" w:rsidP="00D40DDC">
            <w:pPr>
              <w:pStyle w:val="ListParagraph"/>
              <w:spacing w:line="360" w:lineRule="auto"/>
              <w:ind w:left="567"/>
              <w:contextualSpacing w:val="0"/>
              <w:jc w:val="both"/>
              <w:rPr>
                <w:rFonts w:ascii="Arial" w:hAnsi="Arial" w:cs="Arial"/>
                <w:color w:val="000000" w:themeColor="text1"/>
                <w:sz w:val="24"/>
                <w:szCs w:val="24"/>
              </w:rPr>
            </w:pPr>
          </w:p>
          <w:p w:rsidR="0040533A" w:rsidRDefault="00E16C33"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They did so as follows :</w:t>
            </w:r>
          </w:p>
          <w:p w:rsidR="00643EF9" w:rsidRDefault="00643EF9" w:rsidP="00643EF9">
            <w:pPr>
              <w:spacing w:line="360" w:lineRule="auto"/>
              <w:jc w:val="both"/>
              <w:rPr>
                <w:rFonts w:ascii="Arial" w:hAnsi="Arial" w:cs="Arial"/>
                <w:color w:val="000000" w:themeColor="text1"/>
                <w:sz w:val="24"/>
                <w:szCs w:val="24"/>
              </w:rPr>
            </w:pPr>
          </w:p>
          <w:p w:rsidR="00643EF9" w:rsidRDefault="00643EF9" w:rsidP="00643EF9">
            <w:pPr>
              <w:spacing w:line="360" w:lineRule="auto"/>
              <w:jc w:val="both"/>
              <w:rPr>
                <w:rFonts w:ascii="Arial" w:hAnsi="Arial" w:cs="Arial"/>
                <w:color w:val="000000" w:themeColor="text1"/>
                <w:sz w:val="24"/>
                <w:szCs w:val="24"/>
              </w:rPr>
            </w:pPr>
          </w:p>
          <w:p w:rsidR="00643EF9" w:rsidRDefault="00643EF9" w:rsidP="00643EF9">
            <w:pPr>
              <w:spacing w:line="360" w:lineRule="auto"/>
              <w:jc w:val="both"/>
              <w:rPr>
                <w:rFonts w:ascii="Arial" w:hAnsi="Arial" w:cs="Arial"/>
                <w:color w:val="000000" w:themeColor="text1"/>
                <w:sz w:val="24"/>
                <w:szCs w:val="24"/>
              </w:rPr>
            </w:pPr>
          </w:p>
          <w:p w:rsidR="00643EF9" w:rsidRPr="00643EF9" w:rsidRDefault="00643EF9" w:rsidP="00643EF9">
            <w:pPr>
              <w:spacing w:line="360" w:lineRule="auto"/>
              <w:jc w:val="both"/>
              <w:rPr>
                <w:rFonts w:ascii="Arial" w:hAnsi="Arial" w:cs="Arial"/>
                <w:color w:val="000000" w:themeColor="text1"/>
                <w:sz w:val="24"/>
                <w:szCs w:val="24"/>
              </w:rPr>
            </w:pPr>
          </w:p>
          <w:p w:rsidR="00006ACE" w:rsidRPr="00006ACE" w:rsidRDefault="00006ACE" w:rsidP="00006ACE">
            <w:pPr>
              <w:pStyle w:val="Heading1"/>
              <w:spacing w:before="0" w:after="0" w:line="360" w:lineRule="auto"/>
              <w:ind w:left="588"/>
              <w:jc w:val="both"/>
              <w:outlineLvl w:val="0"/>
              <w:rPr>
                <w:rFonts w:ascii="Arial" w:hAnsi="Arial" w:cs="Arial"/>
                <w:b w:val="0"/>
                <w:sz w:val="22"/>
                <w:szCs w:val="22"/>
              </w:rPr>
            </w:pPr>
            <w:r>
              <w:rPr>
                <w:rFonts w:ascii="Arial" w:hAnsi="Arial" w:cs="Arial"/>
                <w:b w:val="0"/>
                <w:sz w:val="22"/>
                <w:szCs w:val="22"/>
              </w:rPr>
              <w:t xml:space="preserve">‘16.  </w:t>
            </w:r>
            <w:r w:rsidRPr="00006ACE">
              <w:rPr>
                <w:rFonts w:ascii="Arial" w:hAnsi="Arial" w:cs="Arial"/>
                <w:b w:val="0"/>
                <w:sz w:val="22"/>
                <w:szCs w:val="22"/>
              </w:rPr>
              <w:t>The applicants do not agree that this is a principle in the determination of the first leg – the threshold enquiry – in an application for leave to appeal in Namibia, which is whether the orders are appealable at all.  The interests of justice may be relevant in the second leg of the enquiry, when a court must determine whether leave to appeal should be granted against orders that are appealable.   This alleged principle is holus bolus an importation of the South African principles and its legislation.  It may have been a bona fide mistake, but it is wrong.</w:t>
            </w:r>
          </w:p>
          <w:p w:rsidR="00006ACE" w:rsidRPr="00006ACE" w:rsidRDefault="00006ACE" w:rsidP="00006ACE">
            <w:pPr>
              <w:spacing w:line="360" w:lineRule="auto"/>
              <w:jc w:val="both"/>
              <w:rPr>
                <w:rFonts w:ascii="Arial" w:hAnsi="Arial" w:cs="Arial"/>
              </w:rPr>
            </w:pPr>
          </w:p>
          <w:p w:rsidR="00C54A2F" w:rsidRDefault="00006ACE" w:rsidP="00006ACE">
            <w:pPr>
              <w:pStyle w:val="ListParagraph"/>
              <w:spacing w:line="360" w:lineRule="auto"/>
              <w:ind w:left="567"/>
              <w:contextualSpacing w:val="0"/>
              <w:jc w:val="both"/>
              <w:rPr>
                <w:rFonts w:ascii="Arial" w:hAnsi="Arial" w:cs="Arial"/>
              </w:rPr>
            </w:pPr>
            <w:r>
              <w:rPr>
                <w:rFonts w:ascii="Arial" w:hAnsi="Arial" w:cs="Arial"/>
              </w:rPr>
              <w:t xml:space="preserve">17.  </w:t>
            </w:r>
            <w:r w:rsidRPr="00006ACE">
              <w:rPr>
                <w:rFonts w:ascii="Arial" w:hAnsi="Arial" w:cs="Arial"/>
              </w:rPr>
              <w:t>The Namibian authorities</w:t>
            </w:r>
            <w:r w:rsidRPr="00006ACE">
              <w:rPr>
                <w:rStyle w:val="FootnoteReference"/>
                <w:rFonts w:ascii="Arial" w:hAnsi="Arial" w:cs="Arial"/>
              </w:rPr>
              <w:footnoteReference w:id="6"/>
            </w:r>
            <w:r w:rsidRPr="00006ACE">
              <w:rPr>
                <w:rFonts w:ascii="Arial" w:hAnsi="Arial" w:cs="Arial"/>
              </w:rPr>
              <w:t xml:space="preserve"> on which the first respondent relies do not establish or support the proposition that the interests of justice are relevant to the threshold enquiry.  In paragraph 5 of </w:t>
            </w:r>
            <w:r w:rsidRPr="00006ACE">
              <w:rPr>
                <w:rFonts w:ascii="Arial" w:hAnsi="Arial" w:cs="Arial"/>
                <w:u w:val="single"/>
              </w:rPr>
              <w:t>Von Weidts</w:t>
            </w:r>
            <w:r w:rsidRPr="00006ACE">
              <w:rPr>
                <w:rFonts w:ascii="Arial" w:hAnsi="Arial" w:cs="Arial"/>
              </w:rPr>
              <w:t xml:space="preserve">, the court merely referenced the cited and then – recent SCA judgment in considering the propriety of a litigant presenting a constitutional argument on appeal for the first time, without having raised it in the court of first instance.  And in </w:t>
            </w:r>
            <w:r w:rsidRPr="00006ACE">
              <w:rPr>
                <w:rFonts w:ascii="Arial" w:hAnsi="Arial" w:cs="Arial"/>
                <w:u w:val="single"/>
              </w:rPr>
              <w:t>Lameck</w:t>
            </w:r>
            <w:r w:rsidRPr="00006ACE">
              <w:rPr>
                <w:rFonts w:ascii="Arial" w:hAnsi="Arial" w:cs="Arial"/>
              </w:rPr>
              <w:t>, paragraphs 10 and 11 dealt with the interest of justice on the second leg of the enquiry.   But, as we have already submitted, this mistake may have crept in because of the erroneous assumption that South African legislation is applicable here.</w:t>
            </w:r>
            <w:r>
              <w:rPr>
                <w:rFonts w:ascii="Arial" w:hAnsi="Arial" w:cs="Arial"/>
              </w:rPr>
              <w:t>’</w:t>
            </w:r>
          </w:p>
          <w:p w:rsidR="009A12B9" w:rsidRPr="00006ACE" w:rsidRDefault="009A12B9" w:rsidP="00006ACE">
            <w:pPr>
              <w:pStyle w:val="ListParagraph"/>
              <w:spacing w:line="360" w:lineRule="auto"/>
              <w:ind w:left="567"/>
              <w:contextualSpacing w:val="0"/>
              <w:jc w:val="both"/>
              <w:rPr>
                <w:rFonts w:ascii="Arial" w:hAnsi="Arial" w:cs="Arial"/>
              </w:rPr>
            </w:pPr>
          </w:p>
          <w:p w:rsidR="00C54A2F" w:rsidRDefault="00997E4C"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In spite of this stance</w:t>
            </w:r>
            <w:r w:rsidR="00C54A2F" w:rsidRPr="00D40DDC">
              <w:rPr>
                <w:rFonts w:ascii="Arial" w:hAnsi="Arial" w:cs="Arial"/>
                <w:color w:val="000000" w:themeColor="text1"/>
                <w:sz w:val="24"/>
                <w:szCs w:val="24"/>
              </w:rPr>
              <w:t xml:space="preserve"> they also advance the following additional factors for consideration :</w:t>
            </w:r>
          </w:p>
          <w:p w:rsidR="009A12B9" w:rsidRPr="009A12B9" w:rsidRDefault="009A12B9" w:rsidP="009A12B9">
            <w:pPr>
              <w:pStyle w:val="ListParagraph"/>
              <w:spacing w:line="360" w:lineRule="auto"/>
              <w:ind w:left="567"/>
              <w:contextualSpacing w:val="0"/>
              <w:jc w:val="both"/>
              <w:rPr>
                <w:rFonts w:ascii="Arial" w:hAnsi="Arial" w:cs="Arial"/>
                <w:color w:val="000000" w:themeColor="text1"/>
              </w:rPr>
            </w:pPr>
          </w:p>
          <w:p w:rsidR="00015E9D" w:rsidRPr="009A12B9" w:rsidRDefault="002C2EE3" w:rsidP="00015E9D">
            <w:pPr>
              <w:pStyle w:val="Heading1"/>
              <w:spacing w:before="0" w:after="0" w:line="360" w:lineRule="auto"/>
              <w:ind w:left="588"/>
              <w:jc w:val="both"/>
              <w:outlineLvl w:val="0"/>
              <w:rPr>
                <w:rFonts w:ascii="Arial" w:hAnsi="Arial" w:cs="Arial"/>
                <w:b w:val="0"/>
                <w:sz w:val="22"/>
                <w:szCs w:val="22"/>
              </w:rPr>
            </w:pPr>
            <w:r>
              <w:rPr>
                <w:rFonts w:ascii="Arial" w:hAnsi="Arial" w:cs="Arial"/>
                <w:b w:val="0"/>
                <w:color w:val="000000" w:themeColor="text1"/>
                <w:sz w:val="22"/>
                <w:szCs w:val="22"/>
              </w:rPr>
              <w:t xml:space="preserve">‘38. </w:t>
            </w:r>
            <w:r w:rsidR="00015E9D" w:rsidRPr="009A12B9">
              <w:rPr>
                <w:rFonts w:ascii="Arial" w:hAnsi="Arial" w:cs="Arial"/>
                <w:b w:val="0"/>
                <w:sz w:val="22"/>
                <w:szCs w:val="22"/>
              </w:rPr>
              <w:t>Moreover, one of the primary policy reasons for the reluctance to allow appeals on interlocutory matters which do not have a definite effect on the rights between the parties, is the importance attached to avoiding piecemeal litigation.</w:t>
            </w:r>
            <w:r w:rsidR="00015E9D" w:rsidRPr="009A12B9">
              <w:rPr>
                <w:rStyle w:val="FootnoteReference"/>
                <w:rFonts w:ascii="Arial" w:hAnsi="Arial" w:cs="Arial"/>
                <w:b w:val="0"/>
                <w:sz w:val="22"/>
                <w:szCs w:val="22"/>
              </w:rPr>
              <w:footnoteReference w:id="7"/>
            </w:r>
            <w:r w:rsidR="00015E9D" w:rsidRPr="009A12B9">
              <w:rPr>
                <w:rFonts w:ascii="Arial" w:hAnsi="Arial" w:cs="Arial"/>
                <w:b w:val="0"/>
                <w:sz w:val="22"/>
                <w:szCs w:val="22"/>
              </w:rPr>
              <w:t xml:space="preserve">  In the present case, the interests of justice require that this matter not be adjudicated on a piecemeal basis.  The pleadings in </w:t>
            </w:r>
            <w:r w:rsidR="00015E9D" w:rsidRPr="009A12B9">
              <w:rPr>
                <w:rFonts w:ascii="Arial" w:hAnsi="Arial" w:cs="Arial"/>
                <w:b w:val="0"/>
                <w:sz w:val="22"/>
                <w:szCs w:val="22"/>
              </w:rPr>
              <w:lastRenderedPageBreak/>
              <w:t>this case, and what is common knowledge about the extent of litigation between the parties on the issues to be decided in this review, make plain that this is not a case where the court should await a decision by the Supreme Court on a matter that is neither definitive o</w:t>
            </w:r>
            <w:r>
              <w:rPr>
                <w:rFonts w:ascii="Arial" w:hAnsi="Arial" w:cs="Arial"/>
                <w:b w:val="0"/>
                <w:sz w:val="22"/>
                <w:szCs w:val="22"/>
              </w:rPr>
              <w:t>f the rights of the parties nor</w:t>
            </w:r>
            <w:r w:rsidR="00015E9D" w:rsidRPr="009A12B9">
              <w:rPr>
                <w:rFonts w:ascii="Arial" w:hAnsi="Arial" w:cs="Arial"/>
                <w:b w:val="0"/>
                <w:sz w:val="22"/>
                <w:szCs w:val="22"/>
              </w:rPr>
              <w:t xml:space="preserve"> disposes of at least a substantial portion of the relief claimed in the main proceedings.  Reviews must be </w:t>
            </w:r>
            <w:r w:rsidR="00015E9D" w:rsidRPr="009A12B9">
              <w:rPr>
                <w:rFonts w:ascii="Arial" w:hAnsi="Arial" w:cs="Arial"/>
                <w:b w:val="0"/>
                <w:i/>
                <w:iCs/>
                <w:sz w:val="22"/>
                <w:szCs w:val="22"/>
              </w:rPr>
              <w:t>instituted</w:t>
            </w:r>
            <w:r w:rsidR="00015E9D" w:rsidRPr="009A12B9">
              <w:rPr>
                <w:rFonts w:ascii="Arial" w:hAnsi="Arial" w:cs="Arial"/>
                <w:b w:val="0"/>
                <w:sz w:val="22"/>
                <w:szCs w:val="22"/>
              </w:rPr>
              <w:t xml:space="preserve"> without undue delay, for reasons well known.  For the same reasons review applications should be </w:t>
            </w:r>
            <w:r w:rsidR="00015E9D" w:rsidRPr="009A12B9">
              <w:rPr>
                <w:rFonts w:ascii="Arial" w:hAnsi="Arial" w:cs="Arial"/>
                <w:b w:val="0"/>
                <w:i/>
                <w:iCs/>
                <w:sz w:val="22"/>
                <w:szCs w:val="22"/>
              </w:rPr>
              <w:t>finalised</w:t>
            </w:r>
            <w:r w:rsidR="00015E9D" w:rsidRPr="009A12B9">
              <w:rPr>
                <w:rFonts w:ascii="Arial" w:hAnsi="Arial" w:cs="Arial"/>
                <w:b w:val="0"/>
                <w:sz w:val="22"/>
                <w:szCs w:val="22"/>
              </w:rPr>
              <w:t xml:space="preserve"> without delay.   </w:t>
            </w:r>
          </w:p>
          <w:p w:rsidR="00C54A2F" w:rsidRDefault="00C54A2F" w:rsidP="009A12B9">
            <w:pPr>
              <w:spacing w:line="360" w:lineRule="auto"/>
              <w:ind w:left="588"/>
              <w:jc w:val="both"/>
              <w:rPr>
                <w:rFonts w:ascii="Arial" w:hAnsi="Arial" w:cs="Arial"/>
                <w:color w:val="000000" w:themeColor="text1"/>
                <w:sz w:val="24"/>
                <w:szCs w:val="24"/>
              </w:rPr>
            </w:pPr>
          </w:p>
          <w:p w:rsidR="00015E9D" w:rsidRPr="009A12B9" w:rsidRDefault="00015E9D" w:rsidP="00015E9D">
            <w:pPr>
              <w:pStyle w:val="Heading1"/>
              <w:spacing w:before="0" w:after="0" w:line="360" w:lineRule="auto"/>
              <w:ind w:left="588"/>
              <w:jc w:val="both"/>
              <w:outlineLvl w:val="0"/>
              <w:rPr>
                <w:rFonts w:ascii="Arial" w:hAnsi="Arial" w:cs="Arial"/>
                <w:b w:val="0"/>
                <w:sz w:val="22"/>
                <w:szCs w:val="22"/>
              </w:rPr>
            </w:pPr>
            <w:r>
              <w:rPr>
                <w:rFonts w:ascii="Arial" w:hAnsi="Arial" w:cs="Arial"/>
                <w:b w:val="0"/>
                <w:sz w:val="22"/>
                <w:szCs w:val="22"/>
              </w:rPr>
              <w:t xml:space="preserve">39.  </w:t>
            </w:r>
            <w:r w:rsidRPr="009A12B9">
              <w:rPr>
                <w:rFonts w:ascii="Arial" w:hAnsi="Arial" w:cs="Arial"/>
                <w:b w:val="0"/>
                <w:sz w:val="22"/>
                <w:szCs w:val="22"/>
              </w:rPr>
              <w:t xml:space="preserve">The first respondent’s concern that other courts will be bound by this court’s decision is a strange concern.  Since when, we respectfully ask, is the </w:t>
            </w:r>
            <w:r w:rsidRPr="009A12B9">
              <w:rPr>
                <w:rFonts w:ascii="Arial" w:hAnsi="Arial" w:cs="Arial"/>
                <w:b w:val="0"/>
                <w:i/>
                <w:sz w:val="22"/>
                <w:szCs w:val="22"/>
              </w:rPr>
              <w:t>stare decisis</w:t>
            </w:r>
            <w:r w:rsidRPr="009A12B9">
              <w:rPr>
                <w:rFonts w:ascii="Arial" w:hAnsi="Arial" w:cs="Arial"/>
                <w:b w:val="0"/>
                <w:sz w:val="22"/>
                <w:szCs w:val="22"/>
              </w:rPr>
              <w:t xml:space="preserve"> principle a factor to be taken into consideration in an application for leave to appeal. Of course, other courts must follow the ratio of this case where applicable on the facts.  And it is a good thing at that.  Furthermore, the interests of justice cannot only focus on “other” potential litigants, or on the general public, but must also consider and balance the interests of the parties to the present case and the significance of the issues at stake in the main application.  In the present case, the orders which the court granted on 21 January 2020 merely regulate the conduct of litigation and do not dispose of any of the issues in the review, launched in April 2018.  All of the issues in the review are yet to be determined.  </w:t>
            </w:r>
          </w:p>
          <w:p w:rsidR="00015E9D" w:rsidRDefault="00015E9D" w:rsidP="009A12B9">
            <w:pPr>
              <w:spacing w:line="360" w:lineRule="auto"/>
              <w:ind w:left="588"/>
              <w:jc w:val="both"/>
              <w:rPr>
                <w:rFonts w:ascii="Arial" w:hAnsi="Arial" w:cs="Arial"/>
                <w:color w:val="000000" w:themeColor="text1"/>
                <w:sz w:val="24"/>
                <w:szCs w:val="24"/>
              </w:rPr>
            </w:pPr>
          </w:p>
          <w:p w:rsidR="00015E9D" w:rsidRDefault="00015E9D" w:rsidP="00015E9D">
            <w:pPr>
              <w:spacing w:line="360" w:lineRule="auto"/>
              <w:ind w:left="588"/>
              <w:jc w:val="both"/>
              <w:rPr>
                <w:rFonts w:ascii="Arial" w:hAnsi="Arial" w:cs="Arial"/>
              </w:rPr>
            </w:pPr>
            <w:r>
              <w:rPr>
                <w:rFonts w:ascii="Arial" w:hAnsi="Arial" w:cs="Arial"/>
              </w:rPr>
              <w:t xml:space="preserve">40.  </w:t>
            </w:r>
            <w:r w:rsidRPr="009A12B9">
              <w:rPr>
                <w:rFonts w:ascii="Arial" w:hAnsi="Arial" w:cs="Arial"/>
              </w:rPr>
              <w:t xml:space="preserve">In addition, the court did not reinterpret Rule 76(6) or Rule 53.  The court in effect simply applied the principles established long ago in the celebrated case of </w:t>
            </w:r>
            <w:r w:rsidRPr="009A12B9">
              <w:rPr>
                <w:rFonts w:ascii="Arial" w:hAnsi="Arial" w:cs="Arial"/>
                <w:u w:val="single"/>
              </w:rPr>
              <w:t>Johannesburg City Council</w:t>
            </w:r>
            <w:r w:rsidRPr="009A12B9">
              <w:rPr>
                <w:rFonts w:ascii="Arial" w:hAnsi="Arial" w:cs="Arial"/>
              </w:rPr>
              <w:t xml:space="preserve"> and confirmed in Namibia in </w:t>
            </w:r>
            <w:r w:rsidRPr="009A12B9">
              <w:rPr>
                <w:rFonts w:ascii="Arial" w:hAnsi="Arial" w:cs="Arial"/>
                <w:u w:val="single"/>
              </w:rPr>
              <w:t>Aonin Fishing</w:t>
            </w:r>
            <w:r w:rsidRPr="009A12B9">
              <w:rPr>
                <w:rFonts w:ascii="Arial" w:hAnsi="Arial" w:cs="Arial"/>
              </w:rPr>
              <w:t xml:space="preserve"> already in 1998.  When the first respondent’s complaints are closely examined, it is clear that his complaints are directed to the High Court’s application of those principles, and to the High Court’s application of its common sense.  While it is indeed so that the court also relied on the </w:t>
            </w:r>
            <w:r w:rsidRPr="009A12B9">
              <w:rPr>
                <w:rFonts w:ascii="Arial" w:hAnsi="Arial" w:cs="Arial"/>
                <w:u w:val="single"/>
              </w:rPr>
              <w:t>Helen Suzman Foundation</w:t>
            </w:r>
            <w:r w:rsidRPr="009A12B9">
              <w:rPr>
                <w:rFonts w:ascii="Arial" w:hAnsi="Arial" w:cs="Arial"/>
              </w:rPr>
              <w:t xml:space="preserve"> case, it did so primarily to support its application of the principles gleaned from </w:t>
            </w:r>
            <w:r w:rsidRPr="009A12B9">
              <w:rPr>
                <w:rFonts w:ascii="Arial" w:hAnsi="Arial" w:cs="Arial"/>
                <w:u w:val="single"/>
              </w:rPr>
              <w:t>Johannesburg City Council</w:t>
            </w:r>
            <w:r w:rsidRPr="009A12B9">
              <w:rPr>
                <w:rFonts w:ascii="Arial" w:hAnsi="Arial" w:cs="Arial"/>
              </w:rPr>
              <w:t xml:space="preserve"> and </w:t>
            </w:r>
            <w:r w:rsidRPr="009A12B9">
              <w:rPr>
                <w:rFonts w:ascii="Arial" w:hAnsi="Arial" w:cs="Arial"/>
                <w:u w:val="single"/>
              </w:rPr>
              <w:t>Aonin Fishing</w:t>
            </w:r>
            <w:r w:rsidRPr="009A12B9">
              <w:rPr>
                <w:rFonts w:ascii="Arial" w:hAnsi="Arial" w:cs="Arial"/>
              </w:rPr>
              <w:t xml:space="preserve">, and its common sense.  The court’s reliance for guidance on </w:t>
            </w:r>
            <w:r w:rsidRPr="009A12B9">
              <w:rPr>
                <w:rFonts w:ascii="Arial" w:hAnsi="Arial" w:cs="Arial"/>
                <w:u w:val="single"/>
              </w:rPr>
              <w:t>Helen Suzman Foundation</w:t>
            </w:r>
            <w:r w:rsidRPr="009A12B9">
              <w:rPr>
                <w:rFonts w:ascii="Arial" w:hAnsi="Arial" w:cs="Arial"/>
              </w:rPr>
              <w:t xml:space="preserve"> does not make it in interests of justice for the review (which is not relevant to the threshold enquiry anyway) to be postponed to 2022, which would be the inevitable result if the matter is to proceed to the Supreme Court.  In any event, the first respondent cannot seriously suggest - and he also does not do so - that the Namibian Supreme Court will find that </w:t>
            </w:r>
            <w:r w:rsidRPr="009A12B9">
              <w:rPr>
                <w:rFonts w:ascii="Arial" w:hAnsi="Arial" w:cs="Arial"/>
                <w:u w:val="single"/>
              </w:rPr>
              <w:t xml:space="preserve">Helen Suzman Foundation </w:t>
            </w:r>
            <w:r w:rsidRPr="009A12B9">
              <w:rPr>
                <w:rFonts w:ascii="Arial" w:hAnsi="Arial" w:cs="Arial"/>
              </w:rPr>
              <w:t>was wrongly and should not be followed in Namibia.</w:t>
            </w:r>
          </w:p>
          <w:p w:rsidR="00015E9D" w:rsidRDefault="00015E9D" w:rsidP="00015E9D">
            <w:pPr>
              <w:spacing w:line="360" w:lineRule="auto"/>
              <w:ind w:left="588"/>
              <w:jc w:val="both"/>
              <w:rPr>
                <w:rFonts w:ascii="Arial" w:hAnsi="Arial" w:cs="Arial"/>
              </w:rPr>
            </w:pPr>
            <w:r>
              <w:rPr>
                <w:rFonts w:ascii="Arial" w:hAnsi="Arial" w:cs="Arial"/>
              </w:rPr>
              <w:t>…</w:t>
            </w:r>
          </w:p>
          <w:p w:rsidR="00015E9D" w:rsidRPr="009A12B9" w:rsidRDefault="00015E9D" w:rsidP="00015E9D">
            <w:pPr>
              <w:spacing w:line="360" w:lineRule="auto"/>
              <w:ind w:left="588"/>
              <w:jc w:val="both"/>
              <w:rPr>
                <w:rFonts w:ascii="Arial" w:hAnsi="Arial" w:cs="Arial"/>
              </w:rPr>
            </w:pPr>
          </w:p>
          <w:p w:rsidR="00015E9D" w:rsidRPr="009A12B9" w:rsidRDefault="00015E9D" w:rsidP="00015E9D">
            <w:pPr>
              <w:pStyle w:val="Heading1"/>
              <w:spacing w:before="0" w:after="0" w:line="360" w:lineRule="auto"/>
              <w:ind w:left="588"/>
              <w:jc w:val="both"/>
              <w:outlineLvl w:val="0"/>
              <w:rPr>
                <w:rFonts w:ascii="Arial" w:hAnsi="Arial" w:cs="Arial"/>
                <w:b w:val="0"/>
                <w:sz w:val="22"/>
                <w:szCs w:val="22"/>
              </w:rPr>
            </w:pPr>
            <w:r>
              <w:rPr>
                <w:rFonts w:ascii="Arial" w:hAnsi="Arial" w:cs="Arial"/>
                <w:b w:val="0"/>
                <w:sz w:val="22"/>
                <w:szCs w:val="22"/>
              </w:rPr>
              <w:t xml:space="preserve">63.  </w:t>
            </w:r>
            <w:r w:rsidRPr="009A12B9">
              <w:rPr>
                <w:rFonts w:ascii="Arial" w:hAnsi="Arial" w:cs="Arial"/>
                <w:b w:val="0"/>
                <w:sz w:val="22"/>
                <w:szCs w:val="22"/>
              </w:rPr>
              <w:t>In the premises the conclusions in paragraph 40 are incorrect.  There is no need, in the interest of justice or in the public interest, for the current litigation between the parties to be stopped mid-stream to await the determination of an appeal, and only resume in 2022.</w:t>
            </w:r>
            <w:r>
              <w:rPr>
                <w:rFonts w:ascii="Arial" w:hAnsi="Arial" w:cs="Arial"/>
                <w:b w:val="0"/>
                <w:sz w:val="22"/>
                <w:szCs w:val="22"/>
              </w:rPr>
              <w:t>’</w:t>
            </w:r>
            <w:r w:rsidRPr="009A12B9">
              <w:rPr>
                <w:rFonts w:ascii="Arial" w:hAnsi="Arial" w:cs="Arial"/>
                <w:b w:val="0"/>
                <w:sz w:val="22"/>
                <w:szCs w:val="22"/>
              </w:rPr>
              <w:t xml:space="preserve">  </w:t>
            </w:r>
          </w:p>
          <w:p w:rsidR="00015E9D" w:rsidRPr="00D40DDC" w:rsidRDefault="00015E9D" w:rsidP="009A12B9">
            <w:pPr>
              <w:spacing w:line="360" w:lineRule="auto"/>
              <w:ind w:left="588"/>
              <w:jc w:val="both"/>
              <w:rPr>
                <w:rFonts w:ascii="Arial" w:hAnsi="Arial" w:cs="Arial"/>
                <w:color w:val="000000" w:themeColor="text1"/>
                <w:sz w:val="24"/>
                <w:szCs w:val="24"/>
              </w:rPr>
            </w:pPr>
          </w:p>
          <w:p w:rsidR="00C54A2F" w:rsidRDefault="00E54A33"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lastRenderedPageBreak/>
              <w:t>On the other hand it was argued on behalf of the Minister that one of the principles relevant to the determination of whether the Court’s judgment of 21 January 2020 was appealable was that :</w:t>
            </w:r>
          </w:p>
          <w:p w:rsidR="00E86360" w:rsidRPr="00D40DDC" w:rsidRDefault="00E86360" w:rsidP="00E86360">
            <w:pPr>
              <w:pStyle w:val="ListParagraph"/>
              <w:spacing w:line="360" w:lineRule="auto"/>
              <w:ind w:left="567"/>
              <w:contextualSpacing w:val="0"/>
              <w:jc w:val="both"/>
              <w:rPr>
                <w:rFonts w:ascii="Arial" w:hAnsi="Arial" w:cs="Arial"/>
                <w:color w:val="000000" w:themeColor="text1"/>
                <w:sz w:val="24"/>
                <w:szCs w:val="24"/>
              </w:rPr>
            </w:pPr>
          </w:p>
          <w:p w:rsidR="00E54A33" w:rsidRPr="00E86360" w:rsidRDefault="00E54A33" w:rsidP="00D40DDC">
            <w:pPr>
              <w:pStyle w:val="ListParagraph"/>
              <w:spacing w:line="360" w:lineRule="auto"/>
              <w:ind w:left="567"/>
              <w:contextualSpacing w:val="0"/>
              <w:jc w:val="both"/>
              <w:rPr>
                <w:rFonts w:ascii="Arial" w:hAnsi="Arial" w:cs="Arial"/>
                <w:color w:val="000000" w:themeColor="text1"/>
              </w:rPr>
            </w:pPr>
            <w:r w:rsidRPr="00E86360">
              <w:rPr>
                <w:rFonts w:ascii="Arial" w:hAnsi="Arial" w:cs="Arial"/>
                <w:color w:val="000000" w:themeColor="text1"/>
              </w:rPr>
              <w:t xml:space="preserve">   ‘ … it is clearly in the interests of justice that leave to appeal is granted.  The proper construction of Rule 76(6) is not only of importance to the parties but of significant public importance given its application to all future judicial reviews.</w:t>
            </w:r>
            <w:r w:rsidRPr="00E86360">
              <w:rPr>
                <w:rStyle w:val="FootnoteReference"/>
                <w:rFonts w:ascii="Arial" w:hAnsi="Arial" w:cs="Arial"/>
                <w:color w:val="000000" w:themeColor="text1"/>
              </w:rPr>
              <w:footnoteReference w:id="8"/>
            </w:r>
            <w:r w:rsidRPr="00E86360">
              <w:rPr>
                <w:rFonts w:ascii="Arial" w:hAnsi="Arial" w:cs="Arial"/>
                <w:color w:val="000000" w:themeColor="text1"/>
              </w:rPr>
              <w:t xml:space="preserve">  In this regard, this Court’s findings </w:t>
            </w:r>
            <w:r w:rsidRPr="00E86360">
              <w:rPr>
                <w:rFonts w:ascii="Arial" w:hAnsi="Arial" w:cs="Arial"/>
                <w:i/>
                <w:iCs/>
                <w:color w:val="000000" w:themeColor="text1"/>
              </w:rPr>
              <w:t xml:space="preserve">inter alia </w:t>
            </w:r>
            <w:r w:rsidRPr="00E86360">
              <w:rPr>
                <w:rFonts w:ascii="Arial" w:hAnsi="Arial" w:cs="Arial"/>
                <w:color w:val="000000" w:themeColor="text1"/>
              </w:rPr>
              <w:t xml:space="preserve">as to the application of the South African Constitutional Court’s judgment in </w:t>
            </w:r>
            <w:r w:rsidRPr="00E86360">
              <w:rPr>
                <w:rFonts w:ascii="Arial" w:hAnsi="Arial" w:cs="Arial"/>
                <w:i/>
                <w:iCs/>
                <w:color w:val="000000" w:themeColor="text1"/>
              </w:rPr>
              <w:t>Helen Suzman Foundation</w:t>
            </w:r>
            <w:r w:rsidRPr="00E86360">
              <w:rPr>
                <w:rStyle w:val="FootnoteReference"/>
                <w:rFonts w:ascii="Arial" w:hAnsi="Arial" w:cs="Arial"/>
                <w:i/>
                <w:iCs/>
                <w:color w:val="000000" w:themeColor="text1"/>
              </w:rPr>
              <w:footnoteReference w:id="9"/>
            </w:r>
            <w:r w:rsidRPr="00E86360">
              <w:rPr>
                <w:rFonts w:ascii="Arial" w:hAnsi="Arial" w:cs="Arial"/>
                <w:color w:val="000000" w:themeColor="text1"/>
              </w:rPr>
              <w:t>, and its findings as to the scope of Rule 76(6), are matters which merit the attention of the Supreme Court.’</w:t>
            </w:r>
          </w:p>
          <w:p w:rsidR="00E86360" w:rsidRPr="00D40DDC" w:rsidRDefault="00E86360" w:rsidP="00D40DDC">
            <w:pPr>
              <w:pStyle w:val="ListParagraph"/>
              <w:spacing w:line="360" w:lineRule="auto"/>
              <w:ind w:left="567"/>
              <w:contextualSpacing w:val="0"/>
              <w:jc w:val="both"/>
              <w:rPr>
                <w:rFonts w:ascii="Arial" w:hAnsi="Arial" w:cs="Arial"/>
                <w:color w:val="000000" w:themeColor="text1"/>
                <w:sz w:val="24"/>
                <w:szCs w:val="24"/>
              </w:rPr>
            </w:pPr>
          </w:p>
          <w:p w:rsidR="00E54A33" w:rsidRDefault="00E54A33"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It was su</w:t>
            </w:r>
            <w:r w:rsidR="00517658" w:rsidRPr="00D40DDC">
              <w:rPr>
                <w:rFonts w:ascii="Arial" w:hAnsi="Arial" w:cs="Arial"/>
                <w:color w:val="000000" w:themeColor="text1"/>
                <w:sz w:val="24"/>
                <w:szCs w:val="24"/>
              </w:rPr>
              <w:t>bmitted further that :</w:t>
            </w:r>
          </w:p>
          <w:p w:rsidR="00E86360" w:rsidRPr="00D40DDC" w:rsidRDefault="00E86360" w:rsidP="00E86360">
            <w:pPr>
              <w:pStyle w:val="ListParagraph"/>
              <w:spacing w:line="360" w:lineRule="auto"/>
              <w:ind w:left="567"/>
              <w:contextualSpacing w:val="0"/>
              <w:jc w:val="both"/>
              <w:rPr>
                <w:rFonts w:ascii="Arial" w:hAnsi="Arial" w:cs="Arial"/>
                <w:color w:val="000000" w:themeColor="text1"/>
                <w:sz w:val="24"/>
                <w:szCs w:val="24"/>
              </w:rPr>
            </w:pPr>
          </w:p>
          <w:p w:rsidR="00517658" w:rsidRDefault="00517658" w:rsidP="00D40DDC">
            <w:pPr>
              <w:pStyle w:val="ListParagraph"/>
              <w:keepNext/>
              <w:snapToGrid w:val="0"/>
              <w:spacing w:line="360" w:lineRule="auto"/>
              <w:ind w:left="567"/>
              <w:contextualSpacing w:val="0"/>
              <w:jc w:val="both"/>
              <w:rPr>
                <w:rFonts w:ascii="Arial" w:hAnsi="Arial" w:cs="Arial"/>
                <w:color w:val="000000" w:themeColor="text1"/>
              </w:rPr>
            </w:pPr>
            <w:r w:rsidRPr="00E86360">
              <w:rPr>
                <w:rFonts w:ascii="Arial" w:hAnsi="Arial" w:cs="Arial"/>
                <w:color w:val="000000" w:themeColor="text1"/>
              </w:rPr>
              <w:t xml:space="preserve">       ‘ … Moreover, the matter raises important questions about the proper construction of Rule 76 and the obligations on decision-makers (and the rights of litigants) in all future judicial reviews.  Rule 76 lies at the heart of the very important remedy of judicial review: it is clearly in the public interest for the validity of the new ground broken by the Court’s judgment in this matter to be pronounced upon by the highest Court.’</w:t>
            </w:r>
          </w:p>
          <w:p w:rsidR="00E86360" w:rsidRPr="00E86360" w:rsidRDefault="00E86360" w:rsidP="00D40DDC">
            <w:pPr>
              <w:pStyle w:val="ListParagraph"/>
              <w:keepNext/>
              <w:snapToGrid w:val="0"/>
              <w:spacing w:line="360" w:lineRule="auto"/>
              <w:ind w:left="567"/>
              <w:contextualSpacing w:val="0"/>
              <w:jc w:val="both"/>
              <w:rPr>
                <w:rFonts w:ascii="Arial" w:hAnsi="Arial" w:cs="Arial"/>
                <w:b/>
                <w:color w:val="000000" w:themeColor="text1"/>
              </w:rPr>
            </w:pPr>
          </w:p>
          <w:p w:rsidR="00517658" w:rsidRDefault="00701F1F" w:rsidP="00D40DDC">
            <w:pPr>
              <w:pStyle w:val="ListParagraph"/>
              <w:numPr>
                <w:ilvl w:val="0"/>
                <w:numId w:val="37"/>
              </w:numPr>
              <w:spacing w:line="360" w:lineRule="auto"/>
              <w:ind w:left="567" w:hanging="567"/>
              <w:contextualSpacing w:val="0"/>
              <w:jc w:val="both"/>
              <w:rPr>
                <w:rFonts w:ascii="Arial" w:hAnsi="Arial" w:cs="Arial"/>
                <w:color w:val="000000" w:themeColor="text1"/>
                <w:sz w:val="24"/>
                <w:szCs w:val="24"/>
              </w:rPr>
            </w:pPr>
            <w:r>
              <w:rPr>
                <w:rFonts w:ascii="Arial" w:hAnsi="Arial" w:cs="Arial"/>
                <w:color w:val="000000" w:themeColor="text1"/>
                <w:sz w:val="24"/>
                <w:szCs w:val="24"/>
              </w:rPr>
              <w:t>T</w:t>
            </w:r>
            <w:r w:rsidR="00517658" w:rsidRPr="00D40DDC">
              <w:rPr>
                <w:rFonts w:ascii="Arial" w:hAnsi="Arial" w:cs="Arial"/>
                <w:color w:val="000000" w:themeColor="text1"/>
                <w:sz w:val="24"/>
                <w:szCs w:val="24"/>
              </w:rPr>
              <w:t>he replying submissions where less assertive and now to the effect that :</w:t>
            </w:r>
          </w:p>
          <w:p w:rsidR="00E86360" w:rsidRPr="00D40DDC" w:rsidRDefault="00E86360" w:rsidP="00E86360">
            <w:pPr>
              <w:pStyle w:val="ListParagraph"/>
              <w:spacing w:line="360" w:lineRule="auto"/>
              <w:ind w:left="567"/>
              <w:contextualSpacing w:val="0"/>
              <w:jc w:val="both"/>
              <w:rPr>
                <w:rFonts w:ascii="Arial" w:hAnsi="Arial" w:cs="Arial"/>
                <w:color w:val="000000" w:themeColor="text1"/>
                <w:sz w:val="24"/>
                <w:szCs w:val="24"/>
              </w:rPr>
            </w:pPr>
          </w:p>
          <w:p w:rsidR="00250BD5" w:rsidRPr="00E86360" w:rsidRDefault="00250BD5" w:rsidP="00D40DDC">
            <w:pPr>
              <w:pStyle w:val="ListParagraph"/>
              <w:spacing w:line="360" w:lineRule="auto"/>
              <w:ind w:left="567"/>
              <w:contextualSpacing w:val="0"/>
              <w:jc w:val="both"/>
              <w:rPr>
                <w:rFonts w:ascii="Arial" w:hAnsi="Arial" w:cs="Arial"/>
              </w:rPr>
            </w:pPr>
            <w:r w:rsidRPr="00D40DDC">
              <w:rPr>
                <w:rFonts w:ascii="Arial" w:hAnsi="Arial" w:cs="Arial"/>
                <w:color w:val="000000" w:themeColor="text1"/>
                <w:sz w:val="24"/>
                <w:szCs w:val="24"/>
              </w:rPr>
              <w:t xml:space="preserve">  </w:t>
            </w:r>
            <w:r w:rsidRPr="00E86360">
              <w:rPr>
                <w:rFonts w:ascii="Arial" w:hAnsi="Arial" w:cs="Arial"/>
                <w:color w:val="000000" w:themeColor="text1"/>
              </w:rPr>
              <w:t xml:space="preserve">‘ … </w:t>
            </w:r>
            <w:r w:rsidRPr="00E86360">
              <w:rPr>
                <w:rFonts w:ascii="Arial" w:hAnsi="Arial" w:cs="Arial"/>
              </w:rPr>
              <w:t xml:space="preserve">Although interests of justice is generally an important consideration to </w:t>
            </w:r>
            <w:r w:rsidRPr="00E86360">
              <w:rPr>
                <w:rFonts w:ascii="Arial" w:hAnsi="Arial" w:cs="Arial"/>
                <w:color w:val="000000" w:themeColor="text1"/>
              </w:rPr>
              <w:t>determine</w:t>
            </w:r>
            <w:r w:rsidRPr="00E86360">
              <w:rPr>
                <w:rFonts w:ascii="Arial" w:hAnsi="Arial" w:cs="Arial"/>
              </w:rPr>
              <w:t xml:space="preserve"> whether leave to appeal must be granted, we respectfully submit that there is nothing which precludes this Court from considering interests of justice in determining whether an order is appealable or not. In any event, such an approach is consistent with comparative jurisdiction.</w:t>
            </w:r>
            <w:r w:rsidRPr="00E86360">
              <w:rPr>
                <w:rStyle w:val="FootnoteReference"/>
                <w:rFonts w:ascii="Arial" w:hAnsi="Arial" w:cs="Arial"/>
              </w:rPr>
              <w:footnoteReference w:id="10"/>
            </w:r>
            <w:r w:rsidRPr="00E86360">
              <w:rPr>
                <w:rFonts w:ascii="Arial" w:hAnsi="Arial" w:cs="Arial"/>
              </w:rPr>
              <w:t xml:space="preserve"> We accordingly invite the Court to take it into account.’</w:t>
            </w:r>
          </w:p>
          <w:p w:rsidR="00250BD5" w:rsidRPr="00D40DDC" w:rsidRDefault="00250BD5" w:rsidP="00D40DDC">
            <w:pPr>
              <w:pStyle w:val="ListParagraph"/>
              <w:spacing w:line="360" w:lineRule="auto"/>
              <w:ind w:left="567"/>
              <w:contextualSpacing w:val="0"/>
              <w:jc w:val="both"/>
              <w:rPr>
                <w:rFonts w:ascii="Arial" w:hAnsi="Arial" w:cs="Arial"/>
                <w:color w:val="000000" w:themeColor="text1"/>
                <w:sz w:val="24"/>
                <w:szCs w:val="24"/>
              </w:rPr>
            </w:pPr>
          </w:p>
          <w:p w:rsidR="00517658" w:rsidRDefault="00250BD5" w:rsidP="00E86360">
            <w:pPr>
              <w:pStyle w:val="ListParagraph"/>
              <w:numPr>
                <w:ilvl w:val="0"/>
                <w:numId w:val="37"/>
              </w:numPr>
              <w:spacing w:line="360" w:lineRule="auto"/>
              <w:ind w:left="588" w:hanging="56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 xml:space="preserve"> </w:t>
            </w:r>
            <w:r w:rsidR="00DC5173" w:rsidRPr="00D40DDC">
              <w:rPr>
                <w:rFonts w:ascii="Arial" w:hAnsi="Arial" w:cs="Arial"/>
                <w:color w:val="000000" w:themeColor="text1"/>
                <w:sz w:val="24"/>
                <w:szCs w:val="24"/>
              </w:rPr>
              <w:t xml:space="preserve">When it comes to the consideration of this further aspect it must firstly be said that I did not find </w:t>
            </w:r>
            <w:r w:rsidR="006769B3" w:rsidRPr="00D40DDC">
              <w:rPr>
                <w:rFonts w:ascii="Arial" w:hAnsi="Arial" w:cs="Arial"/>
                <w:color w:val="000000" w:themeColor="text1"/>
                <w:sz w:val="24"/>
                <w:szCs w:val="24"/>
              </w:rPr>
              <w:t>the Namibian authorities relied upon</w:t>
            </w:r>
            <w:r w:rsidR="003E03A1" w:rsidRPr="00D40DDC">
              <w:rPr>
                <w:rStyle w:val="FootnoteReference"/>
                <w:rFonts w:ascii="Arial" w:hAnsi="Arial" w:cs="Arial"/>
                <w:color w:val="000000" w:themeColor="text1"/>
                <w:sz w:val="24"/>
                <w:szCs w:val="24"/>
              </w:rPr>
              <w:footnoteReference w:id="11"/>
            </w:r>
            <w:r w:rsidR="006769B3" w:rsidRPr="00D40DDC">
              <w:rPr>
                <w:rFonts w:ascii="Arial" w:hAnsi="Arial" w:cs="Arial"/>
                <w:color w:val="000000" w:themeColor="text1"/>
                <w:sz w:val="24"/>
                <w:szCs w:val="24"/>
              </w:rPr>
              <w:t xml:space="preserve"> </w:t>
            </w:r>
            <w:r w:rsidR="003E03A1" w:rsidRPr="00D40DDC">
              <w:rPr>
                <w:rFonts w:ascii="Arial" w:hAnsi="Arial" w:cs="Arial"/>
                <w:color w:val="000000" w:themeColor="text1"/>
                <w:sz w:val="24"/>
                <w:szCs w:val="24"/>
              </w:rPr>
              <w:t>by the applicant for leave to appeal</w:t>
            </w:r>
            <w:r w:rsidR="00DC5173" w:rsidRPr="00D40DDC">
              <w:rPr>
                <w:rFonts w:ascii="Arial" w:hAnsi="Arial" w:cs="Arial"/>
                <w:color w:val="000000" w:themeColor="text1"/>
                <w:sz w:val="24"/>
                <w:szCs w:val="24"/>
              </w:rPr>
              <w:t xml:space="preserve"> very helpful.</w:t>
            </w:r>
            <w:r w:rsidR="003E03A1" w:rsidRPr="00D40DDC">
              <w:rPr>
                <w:rFonts w:ascii="Arial" w:hAnsi="Arial" w:cs="Arial"/>
                <w:color w:val="000000" w:themeColor="text1"/>
                <w:sz w:val="24"/>
                <w:szCs w:val="24"/>
              </w:rPr>
              <w:t xml:space="preserve"> </w:t>
            </w:r>
            <w:r w:rsidR="00615F82" w:rsidRPr="00D40DDC">
              <w:rPr>
                <w:rFonts w:ascii="Arial" w:hAnsi="Arial" w:cs="Arial"/>
                <w:color w:val="000000" w:themeColor="text1"/>
                <w:sz w:val="24"/>
                <w:szCs w:val="24"/>
              </w:rPr>
              <w:t>In a footnote</w:t>
            </w:r>
            <w:r w:rsidR="003E03A1" w:rsidRPr="00D40DDC">
              <w:rPr>
                <w:rFonts w:ascii="Arial" w:hAnsi="Arial" w:cs="Arial"/>
                <w:color w:val="000000" w:themeColor="text1"/>
                <w:sz w:val="24"/>
                <w:szCs w:val="24"/>
              </w:rPr>
              <w:t xml:space="preserve"> however</w:t>
            </w:r>
            <w:r w:rsidR="00615F82" w:rsidRPr="00D40DDC">
              <w:rPr>
                <w:rFonts w:ascii="Arial" w:hAnsi="Arial" w:cs="Arial"/>
                <w:color w:val="000000" w:themeColor="text1"/>
                <w:sz w:val="24"/>
                <w:szCs w:val="24"/>
              </w:rPr>
              <w:t xml:space="preserve"> reference was made to</w:t>
            </w:r>
            <w:r w:rsidRPr="00D40DDC">
              <w:rPr>
                <w:rFonts w:ascii="Arial" w:hAnsi="Arial" w:cs="Arial"/>
                <w:sz w:val="24"/>
                <w:szCs w:val="24"/>
              </w:rPr>
              <w:t xml:space="preserve"> </w:t>
            </w:r>
            <w:r w:rsidRPr="00D40DDC">
              <w:rPr>
                <w:rFonts w:ascii="Arial" w:hAnsi="Arial" w:cs="Arial"/>
                <w:i/>
                <w:color w:val="000000" w:themeColor="text1"/>
                <w:sz w:val="24"/>
                <w:szCs w:val="24"/>
              </w:rPr>
              <w:t>Tshwane City v Afriforum </w:t>
            </w:r>
            <w:r w:rsidRPr="00D40DDC">
              <w:rPr>
                <w:rFonts w:ascii="Arial" w:hAnsi="Arial" w:cs="Arial"/>
                <w:color w:val="000000" w:themeColor="text1"/>
                <w:sz w:val="24"/>
                <w:szCs w:val="24"/>
              </w:rPr>
              <w:t>2016 (6) SA 279 (CC) (2016 (9) BCLR 1133; [2016] ZACC 19) where Mogoeng CJ, writing for the full bench of the South African Constitutional Court</w:t>
            </w:r>
            <w:r w:rsidR="00505D78" w:rsidRPr="00D40DDC">
              <w:rPr>
                <w:rFonts w:ascii="Arial" w:hAnsi="Arial" w:cs="Arial"/>
                <w:color w:val="000000" w:themeColor="text1"/>
                <w:sz w:val="24"/>
                <w:szCs w:val="24"/>
              </w:rPr>
              <w:t>,</w:t>
            </w:r>
            <w:r w:rsidR="002C2EE3">
              <w:rPr>
                <w:rFonts w:ascii="Arial" w:hAnsi="Arial" w:cs="Arial"/>
                <w:color w:val="000000" w:themeColor="text1"/>
                <w:sz w:val="24"/>
                <w:szCs w:val="24"/>
              </w:rPr>
              <w:t xml:space="preserve"> had this to say</w:t>
            </w:r>
            <w:r w:rsidRPr="00D40DDC">
              <w:rPr>
                <w:rFonts w:ascii="Arial" w:hAnsi="Arial" w:cs="Arial"/>
                <w:color w:val="000000" w:themeColor="text1"/>
                <w:sz w:val="24"/>
                <w:szCs w:val="24"/>
              </w:rPr>
              <w:t>:</w:t>
            </w:r>
          </w:p>
          <w:p w:rsidR="00E86360" w:rsidRPr="00D40DDC" w:rsidRDefault="00E86360" w:rsidP="00E86360">
            <w:pPr>
              <w:pStyle w:val="ListParagraph"/>
              <w:spacing w:line="360" w:lineRule="auto"/>
              <w:ind w:left="588"/>
              <w:contextualSpacing w:val="0"/>
              <w:jc w:val="both"/>
              <w:rPr>
                <w:rFonts w:ascii="Arial" w:hAnsi="Arial" w:cs="Arial"/>
                <w:color w:val="000000" w:themeColor="text1"/>
                <w:sz w:val="24"/>
                <w:szCs w:val="24"/>
              </w:rPr>
            </w:pPr>
          </w:p>
          <w:p w:rsidR="00423747" w:rsidRPr="00D03018" w:rsidRDefault="00701F1F" w:rsidP="00E86360">
            <w:pPr>
              <w:spacing w:line="360" w:lineRule="auto"/>
              <w:ind w:left="588"/>
              <w:jc w:val="both"/>
              <w:rPr>
                <w:rFonts w:ascii="Arial" w:hAnsi="Arial" w:cs="Arial"/>
                <w:color w:val="000000" w:themeColor="text1"/>
              </w:rPr>
            </w:pPr>
            <w:r>
              <w:rPr>
                <w:rFonts w:ascii="Arial" w:hAnsi="Arial" w:cs="Arial"/>
                <w:color w:val="000000" w:themeColor="text1"/>
              </w:rPr>
              <w:t xml:space="preserve">‘[39] </w:t>
            </w:r>
            <w:r w:rsidR="00423747" w:rsidRPr="00D03018">
              <w:rPr>
                <w:rFonts w:ascii="Arial" w:hAnsi="Arial" w:cs="Arial"/>
                <w:color w:val="000000" w:themeColor="text1"/>
              </w:rPr>
              <w:t>The appealability of interim orders in terms of the common law depends on whether they are final in effect.</w:t>
            </w:r>
            <w:r w:rsidR="00423747" w:rsidRPr="00D03018">
              <w:rPr>
                <w:rStyle w:val="FootnoteReference"/>
                <w:rFonts w:ascii="Arial" w:hAnsi="Arial" w:cs="Arial"/>
                <w:color w:val="000000" w:themeColor="text1"/>
              </w:rPr>
              <w:footnoteReference w:id="12"/>
            </w:r>
            <w:r w:rsidR="00423747" w:rsidRPr="00D03018">
              <w:rPr>
                <w:rFonts w:ascii="Arial" w:hAnsi="Arial" w:cs="Arial"/>
                <w:color w:val="000000" w:themeColor="text1"/>
              </w:rPr>
              <w:t xml:space="preserve">  …</w:t>
            </w:r>
          </w:p>
          <w:p w:rsidR="00E86360" w:rsidRPr="00D03018" w:rsidRDefault="00E86360" w:rsidP="00E86360">
            <w:pPr>
              <w:spacing w:line="360" w:lineRule="auto"/>
              <w:ind w:left="588"/>
              <w:jc w:val="both"/>
              <w:rPr>
                <w:rFonts w:ascii="Arial" w:hAnsi="Arial" w:cs="Arial"/>
                <w:color w:val="000000" w:themeColor="text1"/>
              </w:rPr>
            </w:pPr>
          </w:p>
          <w:p w:rsidR="00423747" w:rsidRPr="00D03018" w:rsidRDefault="00423747" w:rsidP="00E86360">
            <w:pPr>
              <w:spacing w:line="360" w:lineRule="auto"/>
              <w:ind w:left="588"/>
              <w:jc w:val="both"/>
              <w:rPr>
                <w:rFonts w:ascii="Arial" w:hAnsi="Arial" w:cs="Arial"/>
                <w:color w:val="000000" w:themeColor="text1"/>
              </w:rPr>
            </w:pPr>
            <w:r w:rsidRPr="00D03018">
              <w:rPr>
                <w:rFonts w:ascii="Arial" w:hAnsi="Arial" w:cs="Arial"/>
                <w:color w:val="000000" w:themeColor="text1"/>
              </w:rPr>
              <w:t>[40] The common-law test for appealability has since been denuded of its somewhat inflexible nature. Unsurprisingly so because the common law is not on par with but subservient to the supreme law that prescribes the interests of justice as the only requirement to be met for the grant of leave to appeal. Unlike before</w:t>
            </w:r>
            <w:r w:rsidRPr="00D03018">
              <w:rPr>
                <w:rStyle w:val="FootnoteReference"/>
                <w:rFonts w:ascii="Arial" w:hAnsi="Arial" w:cs="Arial"/>
                <w:color w:val="000000" w:themeColor="text1"/>
              </w:rPr>
              <w:footnoteReference w:id="13"/>
            </w:r>
            <w:r w:rsidRPr="00D03018">
              <w:rPr>
                <w:rFonts w:ascii="Arial" w:hAnsi="Arial" w:cs="Arial"/>
                <w:color w:val="000000" w:themeColor="text1"/>
              </w:rPr>
              <w:t xml:space="preserve"> appealability no longer depends largely on whether the interim order appealed against has final effect or is dispositive of a substantial portion of the relief claimed in the main application. All this is now subsumed under the constitutional interests of justice standard. The overarching role of interests of justice considerations has relativised the final effect of the order or the disposition of the substantial portion of what is pending before the review court, in determining appealability.</w:t>
            </w:r>
            <w:r w:rsidRPr="00D03018">
              <w:rPr>
                <w:rStyle w:val="FootnoteReference"/>
                <w:rFonts w:ascii="Arial" w:hAnsi="Arial" w:cs="Arial"/>
                <w:color w:val="000000" w:themeColor="text1"/>
              </w:rPr>
              <w:footnoteReference w:id="14"/>
            </w:r>
            <w:r w:rsidRPr="00D03018">
              <w:rPr>
                <w:rFonts w:ascii="Arial" w:hAnsi="Arial" w:cs="Arial"/>
                <w:color w:val="000000" w:themeColor="text1"/>
              </w:rPr>
              <w:t xml:space="preserve"> The principle was set out in OUTA by Moseneke DCJ in these terms:</w:t>
            </w:r>
          </w:p>
          <w:p w:rsidR="00F53848" w:rsidRPr="00D03018" w:rsidRDefault="00F53848" w:rsidP="00E86360">
            <w:pPr>
              <w:spacing w:line="360" w:lineRule="auto"/>
              <w:ind w:left="588"/>
              <w:jc w:val="both"/>
              <w:rPr>
                <w:rFonts w:ascii="Arial" w:hAnsi="Arial" w:cs="Arial"/>
                <w:color w:val="000000" w:themeColor="text1"/>
              </w:rPr>
            </w:pPr>
          </w:p>
          <w:p w:rsidR="00423747" w:rsidRPr="00D03018" w:rsidRDefault="00423747" w:rsidP="00F53848">
            <w:pPr>
              <w:spacing w:line="360" w:lineRule="auto"/>
              <w:ind w:left="588"/>
              <w:jc w:val="both"/>
              <w:rPr>
                <w:rFonts w:ascii="Arial" w:hAnsi="Arial" w:cs="Arial"/>
                <w:color w:val="000000" w:themeColor="text1"/>
              </w:rPr>
            </w:pPr>
            <w:r w:rsidRPr="00D03018">
              <w:rPr>
                <w:rFonts w:ascii="Arial" w:hAnsi="Arial" w:cs="Arial"/>
                <w:color w:val="000000" w:themeColor="text1"/>
              </w:rPr>
              <w:t>'This court has granted leave to appeal in relation to interim orders before. It has made it clear that the operative standard is the interests of justice. To that end, it must have regard to and weigh carefully all germane circumstances. Whether an interim order has a final effect or disposes of a substantial portion of the relief sought in a pending review is a relevant and important consideration. Yet, it is not the only or always decisive consideration. It is just as important to assess whether the temporary restraining order has an immediate and substantial effect, including whether the harm that flows from it is serious, immediate, ongoing and irreparable.'</w:t>
            </w:r>
            <w:r w:rsidRPr="00D03018">
              <w:rPr>
                <w:rStyle w:val="FootnoteReference"/>
                <w:rFonts w:ascii="Arial" w:hAnsi="Arial" w:cs="Arial"/>
                <w:color w:val="000000" w:themeColor="text1"/>
              </w:rPr>
              <w:footnoteReference w:id="15"/>
            </w:r>
            <w:r w:rsidRPr="00D03018">
              <w:rPr>
                <w:rFonts w:ascii="Arial" w:hAnsi="Arial" w:cs="Arial"/>
                <w:color w:val="000000" w:themeColor="text1"/>
              </w:rPr>
              <w:t xml:space="preserve">   …..</w:t>
            </w:r>
          </w:p>
          <w:p w:rsidR="00F53848" w:rsidRPr="00D03018" w:rsidRDefault="00F53848" w:rsidP="00F53848">
            <w:pPr>
              <w:spacing w:line="360" w:lineRule="auto"/>
              <w:ind w:left="588"/>
              <w:jc w:val="both"/>
              <w:rPr>
                <w:rFonts w:ascii="Arial" w:hAnsi="Arial" w:cs="Arial"/>
                <w:color w:val="000000" w:themeColor="text1"/>
              </w:rPr>
            </w:pPr>
          </w:p>
          <w:p w:rsidR="00423747" w:rsidRPr="00D03018" w:rsidRDefault="00423747" w:rsidP="00F53848">
            <w:pPr>
              <w:spacing w:line="360" w:lineRule="auto"/>
              <w:ind w:left="588"/>
              <w:jc w:val="both"/>
              <w:rPr>
                <w:rFonts w:ascii="Arial" w:hAnsi="Arial" w:cs="Arial"/>
                <w:color w:val="000000" w:themeColor="text1"/>
              </w:rPr>
            </w:pPr>
            <w:r w:rsidRPr="00D03018">
              <w:rPr>
                <w:rFonts w:ascii="Arial" w:hAnsi="Arial" w:cs="Arial"/>
                <w:color w:val="000000" w:themeColor="text1"/>
              </w:rPr>
              <w:t>[41]</w:t>
            </w:r>
            <w:r w:rsidR="00F53848" w:rsidRPr="00D03018">
              <w:rPr>
                <w:rFonts w:ascii="Arial" w:hAnsi="Arial" w:cs="Arial"/>
                <w:color w:val="000000" w:themeColor="text1"/>
              </w:rPr>
              <w:t xml:space="preserve"> </w:t>
            </w:r>
            <w:r w:rsidRPr="00D03018">
              <w:rPr>
                <w:rFonts w:ascii="Arial" w:hAnsi="Arial" w:cs="Arial"/>
                <w:color w:val="000000" w:themeColor="text1"/>
              </w:rPr>
              <w:t xml:space="preserve"> What the role of interests of justice is in this kind of application, again entails the need to ensure that form never trumps any approach that would advance the interests of justice. If </w:t>
            </w:r>
            <w:r w:rsidRPr="00D03018">
              <w:rPr>
                <w:rFonts w:ascii="Arial" w:hAnsi="Arial" w:cs="Arial"/>
                <w:color w:val="000000" w:themeColor="text1"/>
              </w:rPr>
              <w:lastRenderedPageBreak/>
              <w:t>appealability or the grant of leave to appeal would best serve the interests of justice, then the appeal should be proceeded with no matter what the pre-Constitution common-law impediments might suggest. This is especially so where, as in this case, the interim order should not have been granted in the first place by reason of a failure to meet the requirements. The Constitution and our law are all about real justice, not mere formalities. Importantly, the constitutional prescripts of legality and the rule of law demand that nobody, not even a court of law, exercises powers they do not have. Where separation of powers is implicated and forbids the grant of the order sought to be appealed against, the interests of justice demand that even an order that is not of final effect or does not dispose of a substantial  portion of the issues in the main application, nevertheless be appealable.</w:t>
            </w:r>
          </w:p>
          <w:p w:rsidR="00701F1F" w:rsidRDefault="00701F1F" w:rsidP="00D03018">
            <w:pPr>
              <w:spacing w:line="360" w:lineRule="auto"/>
              <w:ind w:left="588"/>
              <w:jc w:val="both"/>
              <w:rPr>
                <w:rFonts w:ascii="Arial" w:hAnsi="Arial" w:cs="Arial"/>
                <w:color w:val="000000" w:themeColor="text1"/>
              </w:rPr>
            </w:pPr>
          </w:p>
          <w:p w:rsidR="00423747" w:rsidRDefault="00423747" w:rsidP="00D03018">
            <w:pPr>
              <w:spacing w:line="360" w:lineRule="auto"/>
              <w:ind w:left="588"/>
              <w:jc w:val="both"/>
              <w:rPr>
                <w:rFonts w:ascii="Arial" w:hAnsi="Arial" w:cs="Arial"/>
                <w:color w:val="000000" w:themeColor="text1"/>
                <w:sz w:val="24"/>
                <w:szCs w:val="24"/>
              </w:rPr>
            </w:pPr>
            <w:r w:rsidRPr="00D03018">
              <w:rPr>
                <w:rFonts w:ascii="Arial" w:hAnsi="Arial" w:cs="Arial"/>
                <w:color w:val="000000" w:themeColor="text1"/>
              </w:rPr>
              <w:t>[42]</w:t>
            </w:r>
            <w:r w:rsidR="00701F1F">
              <w:rPr>
                <w:rFonts w:ascii="Arial" w:hAnsi="Arial" w:cs="Arial"/>
                <w:color w:val="000000" w:themeColor="text1"/>
              </w:rPr>
              <w:t xml:space="preserve"> </w:t>
            </w:r>
            <w:r w:rsidRPr="00D03018">
              <w:rPr>
                <w:rFonts w:ascii="Arial" w:hAnsi="Arial" w:cs="Arial"/>
                <w:color w:val="000000" w:themeColor="text1"/>
              </w:rPr>
              <w:t>Consequently, although the final effect of the interim order or the disposition of a substantial portion of issues in the main application is not irrelevant to the determination of appealability and the grant of leave, they are in terms of our constitutional jurisprudence hardly ever determinative of appealability or leave.</w:t>
            </w:r>
            <w:r w:rsidRPr="00D03018">
              <w:rPr>
                <w:rStyle w:val="FootnoteReference"/>
                <w:rFonts w:ascii="Arial" w:hAnsi="Arial" w:cs="Arial"/>
                <w:color w:val="000000" w:themeColor="text1"/>
              </w:rPr>
              <w:footnoteReference w:id="16"/>
            </w:r>
            <w:r w:rsidRPr="00D03018">
              <w:rPr>
                <w:rFonts w:ascii="Arial" w:hAnsi="Arial" w:cs="Arial"/>
                <w:color w:val="000000" w:themeColor="text1"/>
              </w:rPr>
              <w:t xml:space="preserve">  …’.</w:t>
            </w:r>
          </w:p>
          <w:p w:rsidR="00D03018" w:rsidRPr="00D40DDC" w:rsidRDefault="00D03018" w:rsidP="00D03018">
            <w:pPr>
              <w:spacing w:line="360" w:lineRule="auto"/>
              <w:ind w:left="588"/>
              <w:jc w:val="both"/>
              <w:rPr>
                <w:rFonts w:ascii="Arial" w:hAnsi="Arial" w:cs="Arial"/>
                <w:color w:val="000000" w:themeColor="text1"/>
                <w:sz w:val="24"/>
                <w:szCs w:val="24"/>
              </w:rPr>
            </w:pPr>
          </w:p>
          <w:p w:rsidR="00E40094" w:rsidRDefault="00E352CF" w:rsidP="00D03018">
            <w:pPr>
              <w:pStyle w:val="ListParagraph"/>
              <w:numPr>
                <w:ilvl w:val="0"/>
                <w:numId w:val="37"/>
              </w:numPr>
              <w:spacing w:line="360" w:lineRule="auto"/>
              <w:ind w:left="588" w:hanging="56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Whist</w:t>
            </w:r>
            <w:r w:rsidR="00423747" w:rsidRPr="00D40DDC">
              <w:rPr>
                <w:rFonts w:ascii="Arial" w:hAnsi="Arial" w:cs="Arial"/>
                <w:color w:val="000000" w:themeColor="text1"/>
                <w:sz w:val="24"/>
                <w:szCs w:val="24"/>
              </w:rPr>
              <w:t xml:space="preserve"> recognising the context in which </w:t>
            </w:r>
            <w:r w:rsidRPr="00D40DDC">
              <w:rPr>
                <w:rFonts w:ascii="Arial" w:hAnsi="Arial" w:cs="Arial"/>
                <w:color w:val="000000" w:themeColor="text1"/>
                <w:sz w:val="24"/>
                <w:szCs w:val="24"/>
              </w:rPr>
              <w:t xml:space="preserve">all </w:t>
            </w:r>
            <w:r w:rsidR="00423747" w:rsidRPr="00D40DDC">
              <w:rPr>
                <w:rFonts w:ascii="Arial" w:hAnsi="Arial" w:cs="Arial"/>
                <w:color w:val="000000" w:themeColor="text1"/>
                <w:sz w:val="24"/>
                <w:szCs w:val="24"/>
              </w:rPr>
              <w:t>this was said by the Constitutional Court and</w:t>
            </w:r>
            <w:r w:rsidRPr="00D40DDC">
              <w:rPr>
                <w:rFonts w:ascii="Arial" w:hAnsi="Arial" w:cs="Arial"/>
                <w:color w:val="000000" w:themeColor="text1"/>
                <w:sz w:val="24"/>
                <w:szCs w:val="24"/>
              </w:rPr>
              <w:t xml:space="preserve"> being</w:t>
            </w:r>
            <w:r w:rsidR="00423747" w:rsidRPr="00D40DDC">
              <w:rPr>
                <w:rFonts w:ascii="Arial" w:hAnsi="Arial" w:cs="Arial"/>
                <w:color w:val="000000" w:themeColor="text1"/>
                <w:sz w:val="24"/>
                <w:szCs w:val="24"/>
              </w:rPr>
              <w:t xml:space="preserve"> mindful of</w:t>
            </w:r>
            <w:r w:rsidRPr="00D40DDC">
              <w:rPr>
                <w:rFonts w:ascii="Arial" w:hAnsi="Arial" w:cs="Arial"/>
                <w:color w:val="000000" w:themeColor="text1"/>
                <w:sz w:val="24"/>
                <w:szCs w:val="24"/>
              </w:rPr>
              <w:t xml:space="preserve"> the arguments that the relied upon Namibian authorities do not constitute support for the relevance of the interests of justice principle for purposes of determining the threshold enquiry of appealability</w:t>
            </w:r>
            <w:r w:rsidR="00701F1F">
              <w:rPr>
                <w:rFonts w:ascii="Arial" w:hAnsi="Arial" w:cs="Arial"/>
                <w:color w:val="000000" w:themeColor="text1"/>
                <w:sz w:val="24"/>
                <w:szCs w:val="24"/>
              </w:rPr>
              <w:t xml:space="preserve"> in Namibia</w:t>
            </w:r>
            <w:r w:rsidRPr="00D40DDC">
              <w:rPr>
                <w:rFonts w:ascii="Arial" w:hAnsi="Arial" w:cs="Arial"/>
                <w:color w:val="000000" w:themeColor="text1"/>
                <w:sz w:val="24"/>
                <w:szCs w:val="24"/>
              </w:rPr>
              <w:t xml:space="preserve"> and that the adoption of the principle</w:t>
            </w:r>
            <w:r w:rsidR="00701F1F">
              <w:rPr>
                <w:rFonts w:ascii="Arial" w:hAnsi="Arial" w:cs="Arial"/>
                <w:color w:val="000000" w:themeColor="text1"/>
                <w:sz w:val="24"/>
                <w:szCs w:val="24"/>
              </w:rPr>
              <w:t xml:space="preserve"> here</w:t>
            </w:r>
            <w:r w:rsidRPr="00D40DDC">
              <w:rPr>
                <w:rFonts w:ascii="Arial" w:hAnsi="Arial" w:cs="Arial"/>
                <w:color w:val="000000" w:themeColor="text1"/>
                <w:sz w:val="24"/>
                <w:szCs w:val="24"/>
              </w:rPr>
              <w:t xml:space="preserve"> would also constitute a ‘holus bolus’ importation of South African principles based on its legislation</w:t>
            </w:r>
            <w:r w:rsidR="007F4DDB">
              <w:rPr>
                <w:rFonts w:ascii="Arial" w:hAnsi="Arial" w:cs="Arial"/>
                <w:color w:val="000000" w:themeColor="text1"/>
                <w:sz w:val="24"/>
                <w:szCs w:val="24"/>
              </w:rPr>
              <w:t xml:space="preserve"> and Constitution</w:t>
            </w:r>
            <w:r w:rsidRPr="00D40DDC">
              <w:rPr>
                <w:rFonts w:ascii="Arial" w:hAnsi="Arial" w:cs="Arial"/>
                <w:color w:val="000000" w:themeColor="text1"/>
                <w:sz w:val="24"/>
                <w:szCs w:val="24"/>
              </w:rPr>
              <w:t xml:space="preserve"> into our jurisdiction I believe that certain general important aspects can</w:t>
            </w:r>
            <w:r w:rsidR="00715281" w:rsidRPr="00D40DDC">
              <w:rPr>
                <w:rFonts w:ascii="Arial" w:hAnsi="Arial" w:cs="Arial"/>
                <w:color w:val="000000" w:themeColor="text1"/>
                <w:sz w:val="24"/>
                <w:szCs w:val="24"/>
              </w:rPr>
              <w:t xml:space="preserve"> nevertheless</w:t>
            </w:r>
            <w:r w:rsidRPr="00D40DDC">
              <w:rPr>
                <w:rFonts w:ascii="Arial" w:hAnsi="Arial" w:cs="Arial"/>
                <w:color w:val="000000" w:themeColor="text1"/>
                <w:sz w:val="24"/>
                <w:szCs w:val="24"/>
              </w:rPr>
              <w:t xml:space="preserve"> be extracted from the learned Chief Justices dictum,</w:t>
            </w:r>
            <w:r w:rsidR="00E40094" w:rsidRPr="00D40DDC">
              <w:rPr>
                <w:rFonts w:ascii="Arial" w:hAnsi="Arial" w:cs="Arial"/>
                <w:color w:val="000000" w:themeColor="text1"/>
                <w:sz w:val="24"/>
                <w:szCs w:val="24"/>
              </w:rPr>
              <w:t xml:space="preserve"> without difficulty,</w:t>
            </w:r>
            <w:r w:rsidRPr="00D40DDC">
              <w:rPr>
                <w:rFonts w:ascii="Arial" w:hAnsi="Arial" w:cs="Arial"/>
                <w:color w:val="000000" w:themeColor="text1"/>
                <w:sz w:val="24"/>
                <w:szCs w:val="24"/>
              </w:rPr>
              <w:t xml:space="preserve"> which must be of relevance in our jurisdiction as well. They are :</w:t>
            </w:r>
          </w:p>
          <w:p w:rsidR="00991C7C" w:rsidRPr="00D40DDC" w:rsidRDefault="00991C7C" w:rsidP="00991C7C">
            <w:pPr>
              <w:pStyle w:val="ListParagraph"/>
              <w:spacing w:line="360" w:lineRule="auto"/>
              <w:ind w:left="588"/>
              <w:contextualSpacing w:val="0"/>
              <w:jc w:val="both"/>
              <w:rPr>
                <w:rFonts w:ascii="Arial" w:hAnsi="Arial" w:cs="Arial"/>
                <w:color w:val="000000" w:themeColor="text1"/>
                <w:sz w:val="24"/>
                <w:szCs w:val="24"/>
              </w:rPr>
            </w:pPr>
          </w:p>
          <w:p w:rsidR="00EB0AE8" w:rsidRDefault="00EB0AE8" w:rsidP="00991C7C">
            <w:pPr>
              <w:pStyle w:val="ListParagraph"/>
              <w:numPr>
                <w:ilvl w:val="0"/>
                <w:numId w:val="35"/>
              </w:numPr>
              <w:spacing w:line="360" w:lineRule="auto"/>
              <w:ind w:left="1155" w:hanging="567"/>
              <w:jc w:val="both"/>
              <w:rPr>
                <w:rFonts w:ascii="Arial" w:hAnsi="Arial" w:cs="Arial"/>
                <w:color w:val="000000" w:themeColor="text1"/>
                <w:sz w:val="24"/>
                <w:szCs w:val="24"/>
              </w:rPr>
            </w:pPr>
            <w:r w:rsidRPr="00D40DDC">
              <w:rPr>
                <w:rFonts w:ascii="Arial" w:hAnsi="Arial" w:cs="Arial"/>
                <w:color w:val="000000" w:themeColor="text1"/>
                <w:sz w:val="24"/>
                <w:szCs w:val="24"/>
              </w:rPr>
              <w:t>Why should appealability</w:t>
            </w:r>
            <w:r w:rsidR="007F4DDB">
              <w:rPr>
                <w:rFonts w:ascii="Arial" w:hAnsi="Arial" w:cs="Arial"/>
                <w:color w:val="000000" w:themeColor="text1"/>
                <w:sz w:val="24"/>
                <w:szCs w:val="24"/>
              </w:rPr>
              <w:t xml:space="preserve"> in a constitutional era</w:t>
            </w:r>
            <w:r w:rsidRPr="00D40DDC">
              <w:rPr>
                <w:rFonts w:ascii="Arial" w:hAnsi="Arial" w:cs="Arial"/>
                <w:color w:val="000000" w:themeColor="text1"/>
                <w:sz w:val="24"/>
                <w:szCs w:val="24"/>
              </w:rPr>
              <w:t xml:space="preserve"> still depend largely on whether the interim order appealed against has final effect or is dispositive of a substantial portion of the relief claimed in the main application? I s</w:t>
            </w:r>
            <w:r w:rsidR="007E4D90" w:rsidRPr="00D40DDC">
              <w:rPr>
                <w:rFonts w:ascii="Arial" w:hAnsi="Arial" w:cs="Arial"/>
                <w:color w:val="000000" w:themeColor="text1"/>
                <w:sz w:val="24"/>
                <w:szCs w:val="24"/>
              </w:rPr>
              <w:t>ee no reason why this should</w:t>
            </w:r>
            <w:r w:rsidRPr="00D40DDC">
              <w:rPr>
                <w:rFonts w:ascii="Arial" w:hAnsi="Arial" w:cs="Arial"/>
                <w:color w:val="000000" w:themeColor="text1"/>
                <w:sz w:val="24"/>
                <w:szCs w:val="24"/>
              </w:rPr>
              <w:t xml:space="preserve"> be so</w:t>
            </w:r>
            <w:r w:rsidR="007E4D90" w:rsidRPr="00D40DDC">
              <w:rPr>
                <w:rFonts w:ascii="Arial" w:hAnsi="Arial" w:cs="Arial"/>
                <w:color w:val="000000" w:themeColor="text1"/>
                <w:sz w:val="24"/>
                <w:szCs w:val="24"/>
              </w:rPr>
              <w:t xml:space="preserve"> exclusively, when the applicable test</w:t>
            </w:r>
            <w:r w:rsidR="0044449D" w:rsidRPr="00D40DDC">
              <w:rPr>
                <w:rFonts w:ascii="Arial" w:hAnsi="Arial" w:cs="Arial"/>
                <w:color w:val="000000" w:themeColor="text1"/>
                <w:sz w:val="24"/>
                <w:szCs w:val="24"/>
              </w:rPr>
              <w:t>s allow</w:t>
            </w:r>
            <w:r w:rsidR="007E4D90" w:rsidRPr="00D40DDC">
              <w:rPr>
                <w:rFonts w:ascii="Arial" w:hAnsi="Arial" w:cs="Arial"/>
                <w:color w:val="000000" w:themeColor="text1"/>
                <w:sz w:val="24"/>
                <w:szCs w:val="24"/>
              </w:rPr>
              <w:t xml:space="preserve"> for some flexibility already</w:t>
            </w:r>
            <w:r w:rsidR="00064450" w:rsidRPr="00D40DDC">
              <w:rPr>
                <w:rFonts w:ascii="Arial" w:hAnsi="Arial" w:cs="Arial"/>
                <w:color w:val="000000" w:themeColor="text1"/>
                <w:sz w:val="24"/>
                <w:szCs w:val="24"/>
              </w:rPr>
              <w:t>;</w:t>
            </w:r>
            <w:r w:rsidR="008A0DCC" w:rsidRPr="00D40DDC">
              <w:rPr>
                <w:rFonts w:ascii="Arial" w:hAnsi="Arial" w:cs="Arial"/>
                <w:color w:val="000000" w:themeColor="text1"/>
                <w:sz w:val="24"/>
                <w:szCs w:val="24"/>
              </w:rPr>
              <w:t xml:space="preserve"> ie. In respect of which it was said </w:t>
            </w:r>
            <w:r w:rsidR="00715281" w:rsidRPr="00D40DDC">
              <w:rPr>
                <w:rFonts w:ascii="Arial" w:hAnsi="Arial" w:cs="Arial"/>
                <w:color w:val="000000" w:themeColor="text1"/>
                <w:sz w:val="24"/>
                <w:szCs w:val="24"/>
              </w:rPr>
              <w:t xml:space="preserve">for example </w:t>
            </w:r>
            <w:r w:rsidR="008A0DCC" w:rsidRPr="00D40DDC">
              <w:rPr>
                <w:rFonts w:ascii="Arial" w:hAnsi="Arial" w:cs="Arial"/>
                <w:color w:val="000000" w:themeColor="text1"/>
                <w:sz w:val="24"/>
                <w:szCs w:val="24"/>
              </w:rPr>
              <w:t xml:space="preserve">in </w:t>
            </w:r>
            <w:r w:rsidR="008A0DCC" w:rsidRPr="00D40DDC">
              <w:rPr>
                <w:rFonts w:ascii="Arial" w:hAnsi="Arial" w:cs="Arial"/>
                <w:i/>
                <w:color w:val="000000" w:themeColor="text1"/>
                <w:sz w:val="24"/>
                <w:szCs w:val="24"/>
              </w:rPr>
              <w:t>Moch</w:t>
            </w:r>
            <w:r w:rsidR="008A0DCC" w:rsidRPr="00D40DDC">
              <w:rPr>
                <w:rStyle w:val="FootnoteReference"/>
                <w:rFonts w:ascii="Arial" w:hAnsi="Arial" w:cs="Arial"/>
                <w:i/>
                <w:color w:val="000000" w:themeColor="text1"/>
                <w:sz w:val="24"/>
                <w:szCs w:val="24"/>
              </w:rPr>
              <w:footnoteReference w:id="17"/>
            </w:r>
            <w:r w:rsidR="008A0DCC" w:rsidRPr="00D40DDC">
              <w:rPr>
                <w:rFonts w:ascii="Arial" w:hAnsi="Arial" w:cs="Arial"/>
                <w:color w:val="000000" w:themeColor="text1"/>
                <w:sz w:val="24"/>
                <w:szCs w:val="24"/>
              </w:rPr>
              <w:t xml:space="preserve"> that the </w:t>
            </w:r>
            <w:r w:rsidR="008A0DCC" w:rsidRPr="00D40DDC">
              <w:rPr>
                <w:rFonts w:ascii="Arial" w:hAnsi="Arial" w:cs="Arial"/>
                <w:i/>
                <w:color w:val="000000" w:themeColor="text1"/>
                <w:sz w:val="24"/>
                <w:szCs w:val="24"/>
              </w:rPr>
              <w:t>Zweni</w:t>
            </w:r>
            <w:r w:rsidR="008A0DCC" w:rsidRPr="00D40DDC">
              <w:rPr>
                <w:rFonts w:ascii="Arial" w:hAnsi="Arial" w:cs="Arial"/>
                <w:color w:val="000000" w:themeColor="text1"/>
                <w:sz w:val="24"/>
                <w:szCs w:val="24"/>
              </w:rPr>
              <w:t xml:space="preserve"> principles were not intended to be exhaustive or ‘cast in stone’</w:t>
            </w:r>
            <w:r w:rsidR="00997E4C" w:rsidRPr="00D40DDC">
              <w:rPr>
                <w:rFonts w:ascii="Arial" w:hAnsi="Arial" w:cs="Arial"/>
                <w:color w:val="000000" w:themeColor="text1"/>
                <w:sz w:val="24"/>
                <w:szCs w:val="24"/>
              </w:rPr>
              <w:t>, which principles have already been adopted in this jurisdiction;</w:t>
            </w:r>
            <w:r w:rsidR="009A7A36" w:rsidRPr="00D40DDC">
              <w:rPr>
                <w:rStyle w:val="FootnoteReference"/>
                <w:rFonts w:ascii="Arial" w:hAnsi="Arial" w:cs="Arial"/>
                <w:color w:val="000000" w:themeColor="text1"/>
                <w:sz w:val="24"/>
                <w:szCs w:val="24"/>
              </w:rPr>
              <w:footnoteReference w:id="18"/>
            </w:r>
          </w:p>
          <w:p w:rsidR="00991C7C" w:rsidRPr="00D40DDC" w:rsidRDefault="00991C7C" w:rsidP="00991C7C">
            <w:pPr>
              <w:pStyle w:val="ListParagraph"/>
              <w:spacing w:line="360" w:lineRule="auto"/>
              <w:ind w:left="1155"/>
              <w:jc w:val="both"/>
              <w:rPr>
                <w:rFonts w:ascii="Arial" w:hAnsi="Arial" w:cs="Arial"/>
                <w:color w:val="000000" w:themeColor="text1"/>
                <w:sz w:val="24"/>
                <w:szCs w:val="24"/>
              </w:rPr>
            </w:pPr>
          </w:p>
          <w:p w:rsidR="00991C7C" w:rsidRDefault="00EB0AE8" w:rsidP="00991C7C">
            <w:pPr>
              <w:pStyle w:val="ListParagraph"/>
              <w:numPr>
                <w:ilvl w:val="0"/>
                <w:numId w:val="35"/>
              </w:numPr>
              <w:spacing w:line="360" w:lineRule="auto"/>
              <w:ind w:left="1155" w:hanging="567"/>
              <w:jc w:val="both"/>
              <w:rPr>
                <w:rFonts w:ascii="Arial" w:hAnsi="Arial" w:cs="Arial"/>
                <w:color w:val="000000" w:themeColor="text1"/>
                <w:sz w:val="24"/>
                <w:szCs w:val="24"/>
              </w:rPr>
            </w:pPr>
            <w:r w:rsidRPr="00D40DDC">
              <w:rPr>
                <w:rFonts w:ascii="Arial" w:hAnsi="Arial" w:cs="Arial"/>
                <w:color w:val="000000" w:themeColor="text1"/>
                <w:sz w:val="24"/>
                <w:szCs w:val="24"/>
              </w:rPr>
              <w:lastRenderedPageBreak/>
              <w:t>Can it not be said</w:t>
            </w:r>
            <w:r w:rsidR="0044449D" w:rsidRPr="00D40DDC">
              <w:rPr>
                <w:rFonts w:ascii="Arial" w:hAnsi="Arial" w:cs="Arial"/>
                <w:color w:val="000000" w:themeColor="text1"/>
                <w:sz w:val="24"/>
                <w:szCs w:val="24"/>
              </w:rPr>
              <w:t xml:space="preserve"> generally</w:t>
            </w:r>
            <w:r w:rsidRPr="00D40DDC">
              <w:rPr>
                <w:rFonts w:ascii="Arial" w:hAnsi="Arial" w:cs="Arial"/>
                <w:color w:val="000000" w:themeColor="text1"/>
                <w:sz w:val="24"/>
                <w:szCs w:val="24"/>
              </w:rPr>
              <w:t xml:space="preserve"> that the prevailing constitutional interests in this country d</w:t>
            </w:r>
            <w:r w:rsidR="00064450" w:rsidRPr="00D40DDC">
              <w:rPr>
                <w:rFonts w:ascii="Arial" w:hAnsi="Arial" w:cs="Arial"/>
                <w:color w:val="000000" w:themeColor="text1"/>
                <w:sz w:val="24"/>
                <w:szCs w:val="24"/>
              </w:rPr>
              <w:t>o</w:t>
            </w:r>
            <w:r w:rsidR="0044449D" w:rsidRPr="00D40DDC">
              <w:rPr>
                <w:rFonts w:ascii="Arial" w:hAnsi="Arial" w:cs="Arial"/>
                <w:color w:val="000000" w:themeColor="text1"/>
                <w:sz w:val="24"/>
                <w:szCs w:val="24"/>
              </w:rPr>
              <w:t xml:space="preserve"> not</w:t>
            </w:r>
            <w:r w:rsidR="00064450" w:rsidRPr="00D40DDC">
              <w:rPr>
                <w:rFonts w:ascii="Arial" w:hAnsi="Arial" w:cs="Arial"/>
                <w:color w:val="000000" w:themeColor="text1"/>
                <w:sz w:val="24"/>
                <w:szCs w:val="24"/>
              </w:rPr>
              <w:t xml:space="preserve"> </w:t>
            </w:r>
            <w:r w:rsidR="0044449D" w:rsidRPr="00D40DDC">
              <w:rPr>
                <w:rFonts w:ascii="Arial" w:hAnsi="Arial" w:cs="Arial"/>
                <w:color w:val="000000" w:themeColor="text1"/>
                <w:sz w:val="24"/>
                <w:szCs w:val="24"/>
              </w:rPr>
              <w:t>ex</w:t>
            </w:r>
            <w:r w:rsidRPr="00D40DDC">
              <w:rPr>
                <w:rFonts w:ascii="Arial" w:hAnsi="Arial" w:cs="Arial"/>
                <w:color w:val="000000" w:themeColor="text1"/>
                <w:sz w:val="24"/>
                <w:szCs w:val="24"/>
              </w:rPr>
              <w:t>clude the interests of justice standard</w:t>
            </w:r>
            <w:r w:rsidR="00064450" w:rsidRPr="00D40DDC">
              <w:rPr>
                <w:rFonts w:ascii="Arial" w:hAnsi="Arial" w:cs="Arial"/>
                <w:color w:val="000000" w:themeColor="text1"/>
                <w:sz w:val="24"/>
                <w:szCs w:val="24"/>
              </w:rPr>
              <w:t>;</w:t>
            </w:r>
            <w:r w:rsidR="008A4407" w:rsidRPr="00D40DDC">
              <w:rPr>
                <w:rStyle w:val="FootnoteReference"/>
                <w:rFonts w:ascii="Arial" w:hAnsi="Arial" w:cs="Arial"/>
                <w:color w:val="000000" w:themeColor="text1"/>
                <w:sz w:val="24"/>
                <w:szCs w:val="24"/>
              </w:rPr>
              <w:footnoteReference w:id="19"/>
            </w:r>
            <w:r w:rsidRPr="00D40DDC">
              <w:rPr>
                <w:rFonts w:ascii="Arial" w:hAnsi="Arial" w:cs="Arial"/>
                <w:color w:val="000000" w:themeColor="text1"/>
                <w:sz w:val="24"/>
                <w:szCs w:val="24"/>
              </w:rPr>
              <w:t xml:space="preserve"> </w:t>
            </w:r>
          </w:p>
          <w:p w:rsidR="00EB0AE8" w:rsidRPr="00D40DDC" w:rsidRDefault="00EB0AE8" w:rsidP="00991C7C">
            <w:pPr>
              <w:pStyle w:val="ListParagraph"/>
              <w:spacing w:line="360" w:lineRule="auto"/>
              <w:jc w:val="both"/>
              <w:rPr>
                <w:rFonts w:ascii="Arial" w:hAnsi="Arial" w:cs="Arial"/>
                <w:color w:val="000000" w:themeColor="text1"/>
                <w:sz w:val="24"/>
                <w:szCs w:val="24"/>
              </w:rPr>
            </w:pPr>
            <w:r w:rsidRPr="00D40DDC">
              <w:rPr>
                <w:rFonts w:ascii="Arial" w:hAnsi="Arial" w:cs="Arial"/>
                <w:color w:val="000000" w:themeColor="text1"/>
                <w:sz w:val="24"/>
                <w:szCs w:val="24"/>
              </w:rPr>
              <w:t xml:space="preserve"> </w:t>
            </w:r>
          </w:p>
          <w:p w:rsidR="00064450" w:rsidRDefault="00EB0AE8" w:rsidP="00991C7C">
            <w:pPr>
              <w:pStyle w:val="ListParagraph"/>
              <w:numPr>
                <w:ilvl w:val="0"/>
                <w:numId w:val="35"/>
              </w:numPr>
              <w:spacing w:line="360" w:lineRule="auto"/>
              <w:ind w:left="1155" w:hanging="567"/>
              <w:jc w:val="both"/>
              <w:rPr>
                <w:rFonts w:ascii="Arial" w:hAnsi="Arial" w:cs="Arial"/>
                <w:color w:val="000000" w:themeColor="text1"/>
                <w:sz w:val="24"/>
                <w:szCs w:val="24"/>
              </w:rPr>
            </w:pPr>
            <w:r w:rsidRPr="00D40DDC">
              <w:rPr>
                <w:rFonts w:ascii="Arial" w:hAnsi="Arial" w:cs="Arial"/>
                <w:color w:val="000000" w:themeColor="text1"/>
                <w:sz w:val="24"/>
                <w:szCs w:val="24"/>
              </w:rPr>
              <w:t>Why should the overarching role of</w:t>
            </w:r>
            <w:r w:rsidR="00064450" w:rsidRPr="00D40DDC">
              <w:rPr>
                <w:rFonts w:ascii="Arial" w:hAnsi="Arial" w:cs="Arial"/>
                <w:color w:val="000000" w:themeColor="text1"/>
                <w:sz w:val="24"/>
                <w:szCs w:val="24"/>
              </w:rPr>
              <w:t xml:space="preserve"> the</w:t>
            </w:r>
            <w:r w:rsidRPr="00D40DDC">
              <w:rPr>
                <w:rFonts w:ascii="Arial" w:hAnsi="Arial" w:cs="Arial"/>
                <w:color w:val="000000" w:themeColor="text1"/>
                <w:sz w:val="24"/>
                <w:szCs w:val="24"/>
              </w:rPr>
              <w:t xml:space="preserve"> interests of justice considerations not play a role in determining appealability</w:t>
            </w:r>
            <w:r w:rsidR="00997E4C" w:rsidRPr="00D40DDC">
              <w:rPr>
                <w:rFonts w:ascii="Arial" w:hAnsi="Arial" w:cs="Arial"/>
                <w:color w:val="000000" w:themeColor="text1"/>
                <w:sz w:val="24"/>
                <w:szCs w:val="24"/>
              </w:rPr>
              <w:t xml:space="preserve"> </w:t>
            </w:r>
            <w:r w:rsidR="00ED4B8B">
              <w:rPr>
                <w:rFonts w:ascii="Arial" w:hAnsi="Arial" w:cs="Arial"/>
                <w:color w:val="000000" w:themeColor="text1"/>
                <w:sz w:val="24"/>
                <w:szCs w:val="24"/>
              </w:rPr>
              <w:t xml:space="preserve">in Namibia </w:t>
            </w:r>
            <w:r w:rsidR="00997E4C" w:rsidRPr="00D40DDC">
              <w:rPr>
                <w:rFonts w:ascii="Arial" w:hAnsi="Arial" w:cs="Arial"/>
                <w:color w:val="000000" w:themeColor="text1"/>
                <w:sz w:val="24"/>
                <w:szCs w:val="24"/>
              </w:rPr>
              <w:t>as well</w:t>
            </w:r>
            <w:r w:rsidR="0044449D" w:rsidRPr="00D40DDC">
              <w:rPr>
                <w:rFonts w:ascii="Arial" w:hAnsi="Arial" w:cs="Arial"/>
                <w:color w:val="000000" w:themeColor="text1"/>
                <w:sz w:val="24"/>
                <w:szCs w:val="24"/>
              </w:rPr>
              <w:t>?</w:t>
            </w:r>
            <w:r w:rsidR="007E4D90" w:rsidRPr="00D40DDC">
              <w:rPr>
                <w:rFonts w:ascii="Arial" w:hAnsi="Arial" w:cs="Arial"/>
                <w:color w:val="000000" w:themeColor="text1"/>
                <w:sz w:val="24"/>
                <w:szCs w:val="24"/>
              </w:rPr>
              <w:t xml:space="preserve"> I believe they should</w:t>
            </w:r>
            <w:r w:rsidR="0044449D" w:rsidRPr="00D40DDC">
              <w:rPr>
                <w:rFonts w:ascii="Arial" w:hAnsi="Arial" w:cs="Arial"/>
                <w:color w:val="000000" w:themeColor="text1"/>
                <w:sz w:val="24"/>
                <w:szCs w:val="24"/>
              </w:rPr>
              <w:t xml:space="preserve"> -</w:t>
            </w:r>
            <w:r w:rsidR="00064450" w:rsidRPr="00D40DDC">
              <w:rPr>
                <w:rFonts w:ascii="Arial" w:hAnsi="Arial" w:cs="Arial"/>
                <w:color w:val="000000" w:themeColor="text1"/>
                <w:sz w:val="24"/>
                <w:szCs w:val="24"/>
              </w:rPr>
              <w:t xml:space="preserve"> after all our Courts do not turn a blind eye to such considerations;</w:t>
            </w:r>
            <w:r w:rsidR="00715281" w:rsidRPr="00D40DDC">
              <w:rPr>
                <w:rStyle w:val="FootnoteReference"/>
                <w:rFonts w:ascii="Arial" w:hAnsi="Arial" w:cs="Arial"/>
                <w:color w:val="000000" w:themeColor="text1"/>
                <w:sz w:val="24"/>
                <w:szCs w:val="24"/>
              </w:rPr>
              <w:footnoteReference w:id="20"/>
            </w:r>
          </w:p>
          <w:p w:rsidR="00991C7C" w:rsidRPr="00991C7C" w:rsidRDefault="00991C7C" w:rsidP="00991C7C">
            <w:pPr>
              <w:pStyle w:val="ListParagraph"/>
              <w:rPr>
                <w:rFonts w:ascii="Arial" w:hAnsi="Arial" w:cs="Arial"/>
                <w:color w:val="000000" w:themeColor="text1"/>
                <w:sz w:val="24"/>
                <w:szCs w:val="24"/>
              </w:rPr>
            </w:pPr>
          </w:p>
          <w:p w:rsidR="00064450" w:rsidRDefault="00064450" w:rsidP="00991C7C">
            <w:pPr>
              <w:pStyle w:val="ListParagraph"/>
              <w:numPr>
                <w:ilvl w:val="0"/>
                <w:numId w:val="35"/>
              </w:numPr>
              <w:spacing w:line="360" w:lineRule="auto"/>
              <w:ind w:left="1155" w:hanging="567"/>
              <w:jc w:val="both"/>
              <w:rPr>
                <w:rFonts w:ascii="Arial" w:hAnsi="Arial" w:cs="Arial"/>
                <w:color w:val="000000" w:themeColor="text1"/>
                <w:sz w:val="24"/>
                <w:szCs w:val="24"/>
              </w:rPr>
            </w:pPr>
            <w:r w:rsidRPr="00D40DDC">
              <w:rPr>
                <w:rFonts w:ascii="Arial" w:hAnsi="Arial" w:cs="Arial"/>
                <w:color w:val="000000" w:themeColor="text1"/>
                <w:sz w:val="24"/>
                <w:szCs w:val="24"/>
              </w:rPr>
              <w:t xml:space="preserve">Can it not also be said </w:t>
            </w:r>
            <w:r w:rsidR="00ED4B8B">
              <w:rPr>
                <w:rFonts w:ascii="Arial" w:hAnsi="Arial" w:cs="Arial"/>
                <w:color w:val="000000" w:themeColor="text1"/>
                <w:sz w:val="24"/>
                <w:szCs w:val="24"/>
              </w:rPr>
              <w:t>generally that</w:t>
            </w:r>
            <w:r w:rsidRPr="00D40DDC">
              <w:rPr>
                <w:rFonts w:ascii="Arial" w:hAnsi="Arial" w:cs="Arial"/>
                <w:color w:val="000000" w:themeColor="text1"/>
                <w:sz w:val="24"/>
                <w:szCs w:val="24"/>
              </w:rPr>
              <w:t xml:space="preserve"> the role of </w:t>
            </w:r>
            <w:r w:rsidR="00ED4B8B">
              <w:rPr>
                <w:rFonts w:ascii="Arial" w:hAnsi="Arial" w:cs="Arial"/>
                <w:color w:val="000000" w:themeColor="text1"/>
                <w:sz w:val="24"/>
                <w:szCs w:val="24"/>
              </w:rPr>
              <w:t xml:space="preserve">the </w:t>
            </w:r>
            <w:r w:rsidRPr="00D40DDC">
              <w:rPr>
                <w:rFonts w:ascii="Arial" w:hAnsi="Arial" w:cs="Arial"/>
                <w:color w:val="000000" w:themeColor="text1"/>
                <w:sz w:val="24"/>
                <w:szCs w:val="24"/>
              </w:rPr>
              <w:t>interests of justice</w:t>
            </w:r>
            <w:r w:rsidR="00ED4B8B">
              <w:rPr>
                <w:rFonts w:ascii="Arial" w:hAnsi="Arial" w:cs="Arial"/>
                <w:color w:val="000000" w:themeColor="text1"/>
                <w:sz w:val="24"/>
                <w:szCs w:val="24"/>
              </w:rPr>
              <w:t xml:space="preserve"> principle </w:t>
            </w:r>
            <w:r w:rsidRPr="00D40DDC">
              <w:rPr>
                <w:rFonts w:ascii="Arial" w:hAnsi="Arial" w:cs="Arial"/>
                <w:color w:val="000000" w:themeColor="text1"/>
                <w:sz w:val="24"/>
                <w:szCs w:val="24"/>
              </w:rPr>
              <w:t>in this kind of application, also entails the need to ensure that form never trumps any approach that would advance the interests of justice</w:t>
            </w:r>
            <w:r w:rsidR="008A4407" w:rsidRPr="00D40DDC">
              <w:rPr>
                <w:rStyle w:val="FootnoteReference"/>
                <w:rFonts w:ascii="Arial" w:hAnsi="Arial" w:cs="Arial"/>
                <w:color w:val="000000" w:themeColor="text1"/>
                <w:sz w:val="24"/>
                <w:szCs w:val="24"/>
              </w:rPr>
              <w:footnoteReference w:id="21"/>
            </w:r>
            <w:r w:rsidRPr="00D40DDC">
              <w:rPr>
                <w:rFonts w:ascii="Arial" w:hAnsi="Arial" w:cs="Arial"/>
                <w:color w:val="000000" w:themeColor="text1"/>
                <w:sz w:val="24"/>
                <w:szCs w:val="24"/>
              </w:rPr>
              <w:t>; and</w:t>
            </w:r>
          </w:p>
          <w:p w:rsidR="00991C7C" w:rsidRPr="00D40DDC" w:rsidRDefault="00991C7C" w:rsidP="00991C7C">
            <w:pPr>
              <w:pStyle w:val="ListParagraph"/>
              <w:spacing w:line="360" w:lineRule="auto"/>
              <w:ind w:left="1155" w:hanging="567"/>
              <w:jc w:val="both"/>
              <w:rPr>
                <w:rFonts w:ascii="Arial" w:hAnsi="Arial" w:cs="Arial"/>
                <w:color w:val="000000" w:themeColor="text1"/>
                <w:sz w:val="24"/>
                <w:szCs w:val="24"/>
              </w:rPr>
            </w:pPr>
          </w:p>
          <w:p w:rsidR="00064450" w:rsidRPr="00D40DDC" w:rsidRDefault="00ED4B8B" w:rsidP="00991C7C">
            <w:pPr>
              <w:pStyle w:val="ListParagraph"/>
              <w:numPr>
                <w:ilvl w:val="0"/>
                <w:numId w:val="35"/>
              </w:numPr>
              <w:spacing w:line="360" w:lineRule="auto"/>
              <w:ind w:left="1155" w:hanging="567"/>
              <w:jc w:val="both"/>
              <w:rPr>
                <w:rFonts w:ascii="Arial" w:hAnsi="Arial" w:cs="Arial"/>
                <w:color w:val="000000" w:themeColor="text1"/>
                <w:sz w:val="24"/>
                <w:szCs w:val="24"/>
              </w:rPr>
            </w:pPr>
            <w:r>
              <w:rPr>
                <w:rFonts w:ascii="Arial" w:hAnsi="Arial" w:cs="Arial"/>
                <w:color w:val="000000" w:themeColor="text1"/>
                <w:sz w:val="24"/>
                <w:szCs w:val="24"/>
              </w:rPr>
              <w:t>Can it not be said in such premises that i</w:t>
            </w:r>
            <w:r w:rsidR="00064450" w:rsidRPr="00D40DDC">
              <w:rPr>
                <w:rFonts w:ascii="Arial" w:hAnsi="Arial" w:cs="Arial"/>
                <w:color w:val="000000" w:themeColor="text1"/>
                <w:sz w:val="24"/>
                <w:szCs w:val="24"/>
              </w:rPr>
              <w:t>f appealability or the grant of leave to appeal would best serve the interests of justice, then the appeal should be proceeded with</w:t>
            </w:r>
            <w:r>
              <w:rPr>
                <w:rFonts w:ascii="Arial" w:hAnsi="Arial" w:cs="Arial"/>
                <w:color w:val="000000" w:themeColor="text1"/>
                <w:sz w:val="24"/>
                <w:szCs w:val="24"/>
              </w:rPr>
              <w:t>,</w:t>
            </w:r>
            <w:r w:rsidR="00064450" w:rsidRPr="00D40DDC">
              <w:rPr>
                <w:rFonts w:ascii="Arial" w:hAnsi="Arial" w:cs="Arial"/>
                <w:color w:val="000000" w:themeColor="text1"/>
                <w:sz w:val="24"/>
                <w:szCs w:val="24"/>
              </w:rPr>
              <w:t xml:space="preserve"> no matter what</w:t>
            </w:r>
            <w:r w:rsidR="00997E4C" w:rsidRPr="00D40DDC">
              <w:rPr>
                <w:rFonts w:ascii="Arial" w:hAnsi="Arial" w:cs="Arial"/>
                <w:color w:val="000000" w:themeColor="text1"/>
                <w:sz w:val="24"/>
                <w:szCs w:val="24"/>
              </w:rPr>
              <w:t xml:space="preserve"> the other legal</w:t>
            </w:r>
            <w:r w:rsidR="00064450" w:rsidRPr="00D40DDC">
              <w:rPr>
                <w:rFonts w:ascii="Arial" w:hAnsi="Arial" w:cs="Arial"/>
                <w:color w:val="000000" w:themeColor="text1"/>
                <w:sz w:val="24"/>
                <w:szCs w:val="24"/>
              </w:rPr>
              <w:t xml:space="preserve"> impediments might suggest.</w:t>
            </w:r>
          </w:p>
          <w:p w:rsidR="00482D28" w:rsidRPr="00482D28" w:rsidRDefault="00482D28" w:rsidP="00482D28">
            <w:pPr>
              <w:spacing w:line="360" w:lineRule="auto"/>
              <w:jc w:val="both"/>
              <w:rPr>
                <w:rFonts w:ascii="Arial" w:hAnsi="Arial" w:cs="Arial"/>
                <w:color w:val="000000" w:themeColor="text1"/>
                <w:sz w:val="24"/>
                <w:szCs w:val="24"/>
              </w:rPr>
            </w:pPr>
          </w:p>
          <w:p w:rsidR="005A0003" w:rsidRDefault="00ED4B8B" w:rsidP="00991C7C">
            <w:pPr>
              <w:pStyle w:val="ListParagraph"/>
              <w:numPr>
                <w:ilvl w:val="0"/>
                <w:numId w:val="37"/>
              </w:numPr>
              <w:spacing w:line="360" w:lineRule="auto"/>
              <w:ind w:left="588" w:hanging="568"/>
              <w:contextualSpacing w:val="0"/>
              <w:jc w:val="both"/>
              <w:rPr>
                <w:rFonts w:ascii="Arial" w:hAnsi="Arial" w:cs="Arial"/>
                <w:color w:val="000000" w:themeColor="text1"/>
                <w:sz w:val="24"/>
                <w:szCs w:val="24"/>
              </w:rPr>
            </w:pPr>
            <w:r>
              <w:rPr>
                <w:rFonts w:ascii="Arial" w:hAnsi="Arial" w:cs="Arial"/>
                <w:color w:val="000000" w:themeColor="text1"/>
                <w:sz w:val="24"/>
                <w:szCs w:val="24"/>
              </w:rPr>
              <w:t>Given the above considerations</w:t>
            </w:r>
            <w:r w:rsidR="00482D28">
              <w:rPr>
                <w:rFonts w:ascii="Arial" w:hAnsi="Arial" w:cs="Arial"/>
                <w:color w:val="000000" w:themeColor="text1"/>
                <w:sz w:val="24"/>
                <w:szCs w:val="24"/>
              </w:rPr>
              <w:t xml:space="preserve"> I believe that it can</w:t>
            </w:r>
            <w:r w:rsidR="005A0003" w:rsidRPr="00D40DDC">
              <w:rPr>
                <w:rFonts w:ascii="Arial" w:hAnsi="Arial" w:cs="Arial"/>
                <w:color w:val="000000" w:themeColor="text1"/>
                <w:sz w:val="24"/>
                <w:szCs w:val="24"/>
              </w:rPr>
              <w:t xml:space="preserve"> firstly be said that I </w:t>
            </w:r>
            <w:r w:rsidR="00D13D78">
              <w:rPr>
                <w:rFonts w:ascii="Arial" w:hAnsi="Arial" w:cs="Arial"/>
                <w:color w:val="000000" w:themeColor="text1"/>
                <w:sz w:val="24"/>
                <w:szCs w:val="24"/>
              </w:rPr>
              <w:t xml:space="preserve">am able to </w:t>
            </w:r>
            <w:r w:rsidR="005A0003" w:rsidRPr="00D40DDC">
              <w:rPr>
                <w:rFonts w:ascii="Arial" w:hAnsi="Arial" w:cs="Arial"/>
                <w:color w:val="000000" w:themeColor="text1"/>
                <w:sz w:val="24"/>
                <w:szCs w:val="24"/>
              </w:rPr>
              <w:t>uphold</w:t>
            </w:r>
            <w:r w:rsidR="00D13D78">
              <w:rPr>
                <w:rFonts w:ascii="Arial" w:hAnsi="Arial" w:cs="Arial"/>
                <w:color w:val="000000" w:themeColor="text1"/>
                <w:sz w:val="24"/>
                <w:szCs w:val="24"/>
              </w:rPr>
              <w:t>, on that basis,</w:t>
            </w:r>
            <w:r w:rsidR="005A0003" w:rsidRPr="00D40DDC">
              <w:rPr>
                <w:rFonts w:ascii="Arial" w:hAnsi="Arial" w:cs="Arial"/>
                <w:color w:val="000000" w:themeColor="text1"/>
                <w:sz w:val="24"/>
                <w:szCs w:val="24"/>
              </w:rPr>
              <w:t xml:space="preserve"> the submission that there is nothing to preclude this Court to also consider the interests of justice in determining whether it should grant leave to appeal</w:t>
            </w:r>
            <w:r w:rsidR="00482D28">
              <w:rPr>
                <w:rFonts w:ascii="Arial" w:hAnsi="Arial" w:cs="Arial"/>
                <w:color w:val="000000" w:themeColor="text1"/>
                <w:sz w:val="24"/>
                <w:szCs w:val="24"/>
              </w:rPr>
              <w:t xml:space="preserve"> in this case</w:t>
            </w:r>
            <w:r w:rsidR="005A0003" w:rsidRPr="00D40DDC">
              <w:rPr>
                <w:rFonts w:ascii="Arial" w:hAnsi="Arial" w:cs="Arial"/>
                <w:color w:val="000000" w:themeColor="text1"/>
                <w:sz w:val="24"/>
                <w:szCs w:val="24"/>
              </w:rPr>
              <w:t xml:space="preserve"> or not.</w:t>
            </w:r>
          </w:p>
          <w:p w:rsidR="00991C7C" w:rsidRPr="00D40DDC" w:rsidRDefault="00991C7C" w:rsidP="00991C7C">
            <w:pPr>
              <w:pStyle w:val="ListParagraph"/>
              <w:spacing w:line="360" w:lineRule="auto"/>
              <w:ind w:left="588" w:hanging="568"/>
              <w:contextualSpacing w:val="0"/>
              <w:jc w:val="both"/>
              <w:rPr>
                <w:rFonts w:ascii="Arial" w:hAnsi="Arial" w:cs="Arial"/>
                <w:color w:val="000000" w:themeColor="text1"/>
                <w:sz w:val="24"/>
                <w:szCs w:val="24"/>
              </w:rPr>
            </w:pPr>
          </w:p>
          <w:p w:rsidR="005A0003" w:rsidRDefault="005A0003" w:rsidP="00991C7C">
            <w:pPr>
              <w:pStyle w:val="ListParagraph"/>
              <w:numPr>
                <w:ilvl w:val="0"/>
                <w:numId w:val="37"/>
              </w:numPr>
              <w:spacing w:line="360" w:lineRule="auto"/>
              <w:ind w:left="588" w:hanging="56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 xml:space="preserve">Secondly, each case should </w:t>
            </w:r>
            <w:r w:rsidR="00D13D78">
              <w:rPr>
                <w:rFonts w:ascii="Arial" w:hAnsi="Arial" w:cs="Arial"/>
                <w:color w:val="000000" w:themeColor="text1"/>
                <w:sz w:val="24"/>
                <w:szCs w:val="24"/>
              </w:rPr>
              <w:t xml:space="preserve">however </w:t>
            </w:r>
            <w:r w:rsidRPr="00D40DDC">
              <w:rPr>
                <w:rFonts w:ascii="Arial" w:hAnsi="Arial" w:cs="Arial"/>
                <w:color w:val="000000" w:themeColor="text1"/>
                <w:sz w:val="24"/>
                <w:szCs w:val="24"/>
              </w:rPr>
              <w:t>be determined in the light of its own facts.</w:t>
            </w:r>
            <w:r w:rsidR="008A4407" w:rsidRPr="00D40DDC">
              <w:rPr>
                <w:rFonts w:ascii="Arial" w:hAnsi="Arial" w:cs="Arial"/>
                <w:color w:val="000000" w:themeColor="text1"/>
                <w:sz w:val="24"/>
                <w:szCs w:val="24"/>
              </w:rPr>
              <w:t xml:space="preserve"> This would </w:t>
            </w:r>
            <w:r w:rsidR="00D13D78">
              <w:rPr>
                <w:rFonts w:ascii="Arial" w:hAnsi="Arial" w:cs="Arial"/>
                <w:color w:val="000000" w:themeColor="text1"/>
                <w:sz w:val="24"/>
                <w:szCs w:val="24"/>
              </w:rPr>
              <w:t xml:space="preserve">also </w:t>
            </w:r>
            <w:r w:rsidR="008A4407" w:rsidRPr="00D40DDC">
              <w:rPr>
                <w:rFonts w:ascii="Arial" w:hAnsi="Arial" w:cs="Arial"/>
                <w:color w:val="000000" w:themeColor="text1"/>
                <w:sz w:val="24"/>
                <w:szCs w:val="24"/>
              </w:rPr>
              <w:t>be stating the obvious.</w:t>
            </w:r>
          </w:p>
          <w:p w:rsidR="00991C7C" w:rsidRPr="00D40DDC" w:rsidRDefault="00991C7C" w:rsidP="00991C7C">
            <w:pPr>
              <w:pStyle w:val="ListParagraph"/>
              <w:spacing w:line="360" w:lineRule="auto"/>
              <w:ind w:left="588" w:hanging="568"/>
              <w:contextualSpacing w:val="0"/>
              <w:jc w:val="both"/>
              <w:rPr>
                <w:rFonts w:ascii="Arial" w:hAnsi="Arial" w:cs="Arial"/>
                <w:color w:val="000000" w:themeColor="text1"/>
                <w:sz w:val="24"/>
                <w:szCs w:val="24"/>
              </w:rPr>
            </w:pPr>
          </w:p>
          <w:p w:rsidR="005A0003" w:rsidRDefault="005A0003" w:rsidP="00991C7C">
            <w:pPr>
              <w:pStyle w:val="ListParagraph"/>
              <w:numPr>
                <w:ilvl w:val="0"/>
                <w:numId w:val="37"/>
              </w:numPr>
              <w:spacing w:line="360" w:lineRule="auto"/>
              <w:ind w:left="588" w:hanging="56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Thirdly, the number of factors that can be considered in this regard should</w:t>
            </w:r>
            <w:r w:rsidR="00D13D78">
              <w:rPr>
                <w:rFonts w:ascii="Arial" w:hAnsi="Arial" w:cs="Arial"/>
                <w:color w:val="000000" w:themeColor="text1"/>
                <w:sz w:val="24"/>
                <w:szCs w:val="24"/>
              </w:rPr>
              <w:t>,</w:t>
            </w:r>
            <w:r w:rsidR="0095138B" w:rsidRPr="00D40DDC">
              <w:rPr>
                <w:rFonts w:ascii="Arial" w:hAnsi="Arial" w:cs="Arial"/>
                <w:color w:val="000000" w:themeColor="text1"/>
                <w:sz w:val="24"/>
                <w:szCs w:val="24"/>
              </w:rPr>
              <w:t xml:space="preserve"> surely</w:t>
            </w:r>
            <w:r w:rsidR="00D13D78">
              <w:rPr>
                <w:rFonts w:ascii="Arial" w:hAnsi="Arial" w:cs="Arial"/>
                <w:color w:val="000000" w:themeColor="text1"/>
                <w:sz w:val="24"/>
                <w:szCs w:val="24"/>
              </w:rPr>
              <w:t>,</w:t>
            </w:r>
            <w:r w:rsidRPr="00D40DDC">
              <w:rPr>
                <w:rFonts w:ascii="Arial" w:hAnsi="Arial" w:cs="Arial"/>
                <w:color w:val="000000" w:themeColor="text1"/>
                <w:sz w:val="24"/>
                <w:szCs w:val="24"/>
              </w:rPr>
              <w:t xml:space="preserve"> not be limited.</w:t>
            </w:r>
          </w:p>
          <w:p w:rsidR="00991C7C" w:rsidRPr="00D40DDC" w:rsidRDefault="00991C7C" w:rsidP="00991C7C">
            <w:pPr>
              <w:pStyle w:val="ListParagraph"/>
              <w:spacing w:line="360" w:lineRule="auto"/>
              <w:ind w:left="588" w:hanging="568"/>
              <w:contextualSpacing w:val="0"/>
              <w:jc w:val="both"/>
              <w:rPr>
                <w:rFonts w:ascii="Arial" w:hAnsi="Arial" w:cs="Arial"/>
                <w:color w:val="000000" w:themeColor="text1"/>
                <w:sz w:val="24"/>
                <w:szCs w:val="24"/>
              </w:rPr>
            </w:pPr>
          </w:p>
          <w:p w:rsidR="008A0DCC" w:rsidRDefault="008A0DCC" w:rsidP="00991C7C">
            <w:pPr>
              <w:pStyle w:val="ListParagraph"/>
              <w:numPr>
                <w:ilvl w:val="0"/>
                <w:numId w:val="37"/>
              </w:numPr>
              <w:spacing w:line="360" w:lineRule="auto"/>
              <w:ind w:left="588" w:hanging="56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 xml:space="preserve">The fact that an </w:t>
            </w:r>
            <w:r w:rsidR="00482D28">
              <w:rPr>
                <w:rFonts w:ascii="Arial" w:hAnsi="Arial" w:cs="Arial"/>
                <w:color w:val="000000" w:themeColor="text1"/>
                <w:sz w:val="24"/>
                <w:szCs w:val="24"/>
              </w:rPr>
              <w:t xml:space="preserve">‘interim’ </w:t>
            </w:r>
            <w:r w:rsidRPr="00D40DDC">
              <w:rPr>
                <w:rFonts w:ascii="Arial" w:hAnsi="Arial" w:cs="Arial"/>
                <w:color w:val="000000" w:themeColor="text1"/>
                <w:sz w:val="24"/>
                <w:szCs w:val="24"/>
              </w:rPr>
              <w:t>appeal will traverse matters of significant importance is such a factor.</w:t>
            </w:r>
            <w:r w:rsidR="008A04EE" w:rsidRPr="00D40DDC">
              <w:rPr>
                <w:rFonts w:ascii="Arial" w:hAnsi="Arial" w:cs="Arial"/>
                <w:color w:val="000000" w:themeColor="text1"/>
                <w:sz w:val="24"/>
                <w:szCs w:val="24"/>
              </w:rPr>
              <w:t xml:space="preserve"> Others, for example,</w:t>
            </w:r>
            <w:r w:rsidR="008A4407" w:rsidRPr="00D40DDC">
              <w:rPr>
                <w:rFonts w:ascii="Arial" w:hAnsi="Arial" w:cs="Arial"/>
                <w:color w:val="000000" w:themeColor="text1"/>
                <w:sz w:val="24"/>
                <w:szCs w:val="24"/>
              </w:rPr>
              <w:t xml:space="preserve"> would be </w:t>
            </w:r>
            <w:r w:rsidR="009A7A36" w:rsidRPr="00D40DDC">
              <w:rPr>
                <w:rFonts w:ascii="Arial" w:hAnsi="Arial" w:cs="Arial"/>
                <w:color w:val="000000" w:themeColor="text1"/>
                <w:sz w:val="24"/>
                <w:szCs w:val="24"/>
              </w:rPr>
              <w:t>the reluctance of the Courts to allow appeals in interlocutory matters in order to avoid piecemeal litigation or where the appeal would not at least dispose of a substantial portion of the relief claimed</w:t>
            </w:r>
            <w:r w:rsidR="008A04EE" w:rsidRPr="00D40DDC">
              <w:rPr>
                <w:rFonts w:ascii="Arial" w:hAnsi="Arial" w:cs="Arial"/>
                <w:color w:val="000000" w:themeColor="text1"/>
                <w:sz w:val="24"/>
                <w:szCs w:val="24"/>
              </w:rPr>
              <w:t xml:space="preserve"> and where considerations of delay</w:t>
            </w:r>
            <w:r w:rsidR="000F561E" w:rsidRPr="00D40DDC">
              <w:rPr>
                <w:rFonts w:ascii="Arial" w:hAnsi="Arial" w:cs="Arial"/>
                <w:color w:val="000000" w:themeColor="text1"/>
                <w:sz w:val="24"/>
                <w:szCs w:val="24"/>
              </w:rPr>
              <w:t xml:space="preserve"> also causing additional costs</w:t>
            </w:r>
            <w:r w:rsidR="008A04EE" w:rsidRPr="00D40DDC">
              <w:rPr>
                <w:rFonts w:ascii="Arial" w:hAnsi="Arial" w:cs="Arial"/>
                <w:color w:val="000000" w:themeColor="text1"/>
                <w:sz w:val="24"/>
                <w:szCs w:val="24"/>
              </w:rPr>
              <w:t xml:space="preserve"> would also come into play</w:t>
            </w:r>
            <w:r w:rsidR="009A7A36" w:rsidRPr="00D40DDC">
              <w:rPr>
                <w:rFonts w:ascii="Arial" w:hAnsi="Arial" w:cs="Arial"/>
                <w:color w:val="000000" w:themeColor="text1"/>
                <w:sz w:val="24"/>
                <w:szCs w:val="24"/>
              </w:rPr>
              <w:t>.</w:t>
            </w:r>
          </w:p>
          <w:p w:rsidR="00991C7C" w:rsidRPr="00D40DDC" w:rsidRDefault="00991C7C" w:rsidP="00991C7C">
            <w:pPr>
              <w:pStyle w:val="ListParagraph"/>
              <w:spacing w:line="360" w:lineRule="auto"/>
              <w:ind w:left="588" w:hanging="568"/>
              <w:contextualSpacing w:val="0"/>
              <w:jc w:val="both"/>
              <w:rPr>
                <w:rFonts w:ascii="Arial" w:hAnsi="Arial" w:cs="Arial"/>
                <w:color w:val="000000" w:themeColor="text1"/>
                <w:sz w:val="24"/>
                <w:szCs w:val="24"/>
              </w:rPr>
            </w:pPr>
          </w:p>
          <w:p w:rsidR="008A0DCC" w:rsidRDefault="00DC5173" w:rsidP="00991C7C">
            <w:pPr>
              <w:pStyle w:val="ListParagraph"/>
              <w:numPr>
                <w:ilvl w:val="0"/>
                <w:numId w:val="37"/>
              </w:numPr>
              <w:spacing w:line="360" w:lineRule="auto"/>
              <w:ind w:left="588" w:hanging="56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lastRenderedPageBreak/>
              <w:t xml:space="preserve">The respondents in this application have relied on the latter factors. </w:t>
            </w:r>
            <w:r w:rsidR="000F561E" w:rsidRPr="00D40DDC">
              <w:rPr>
                <w:rFonts w:ascii="Arial" w:hAnsi="Arial" w:cs="Arial"/>
                <w:color w:val="000000" w:themeColor="text1"/>
                <w:sz w:val="24"/>
                <w:szCs w:val="24"/>
              </w:rPr>
              <w:t>It was also not without irony that it was argued on their behalf that the Minister’s concern that other Court</w:t>
            </w:r>
            <w:r w:rsidR="00482D28">
              <w:rPr>
                <w:rFonts w:ascii="Arial" w:hAnsi="Arial" w:cs="Arial"/>
                <w:color w:val="000000" w:themeColor="text1"/>
                <w:sz w:val="24"/>
                <w:szCs w:val="24"/>
              </w:rPr>
              <w:t>s</w:t>
            </w:r>
            <w:r w:rsidR="000F561E" w:rsidRPr="00D40DDC">
              <w:rPr>
                <w:rFonts w:ascii="Arial" w:hAnsi="Arial" w:cs="Arial"/>
                <w:color w:val="000000" w:themeColor="text1"/>
                <w:sz w:val="24"/>
                <w:szCs w:val="24"/>
              </w:rPr>
              <w:t xml:space="preserve"> would be bound by this Court’s decision was </w:t>
            </w:r>
            <w:r w:rsidR="00482D28">
              <w:rPr>
                <w:rFonts w:ascii="Arial" w:hAnsi="Arial" w:cs="Arial"/>
                <w:color w:val="000000" w:themeColor="text1"/>
                <w:sz w:val="24"/>
                <w:szCs w:val="24"/>
              </w:rPr>
              <w:t>‘</w:t>
            </w:r>
            <w:r w:rsidR="000F561E" w:rsidRPr="00D40DDC">
              <w:rPr>
                <w:rFonts w:ascii="Arial" w:hAnsi="Arial" w:cs="Arial"/>
                <w:color w:val="000000" w:themeColor="text1"/>
                <w:sz w:val="24"/>
                <w:szCs w:val="24"/>
              </w:rPr>
              <w:t>a strange concern</w:t>
            </w:r>
            <w:r w:rsidR="00482D28">
              <w:rPr>
                <w:rFonts w:ascii="Arial" w:hAnsi="Arial" w:cs="Arial"/>
                <w:color w:val="000000" w:themeColor="text1"/>
                <w:sz w:val="24"/>
                <w:szCs w:val="24"/>
              </w:rPr>
              <w:t>’</w:t>
            </w:r>
            <w:r w:rsidR="000F561E" w:rsidRPr="00D40DDC">
              <w:rPr>
                <w:rFonts w:ascii="Arial" w:hAnsi="Arial" w:cs="Arial"/>
                <w:color w:val="000000" w:themeColor="text1"/>
                <w:sz w:val="24"/>
                <w:szCs w:val="24"/>
              </w:rPr>
              <w:t xml:space="preserve"> and that the </w:t>
            </w:r>
            <w:r w:rsidR="000F561E" w:rsidRPr="00D40DDC">
              <w:rPr>
                <w:rFonts w:ascii="Arial" w:hAnsi="Arial" w:cs="Arial"/>
                <w:i/>
                <w:color w:val="000000" w:themeColor="text1"/>
                <w:sz w:val="24"/>
                <w:szCs w:val="24"/>
              </w:rPr>
              <w:t>stare decisis</w:t>
            </w:r>
            <w:r w:rsidR="000F561E" w:rsidRPr="00D40DDC">
              <w:rPr>
                <w:rFonts w:ascii="Arial" w:hAnsi="Arial" w:cs="Arial"/>
                <w:color w:val="000000" w:themeColor="text1"/>
                <w:sz w:val="24"/>
                <w:szCs w:val="24"/>
              </w:rPr>
              <w:t xml:space="preserve"> principle should not be a relevant factor to be taken into account.</w:t>
            </w:r>
          </w:p>
          <w:p w:rsidR="00991C7C" w:rsidRPr="00D40DDC" w:rsidRDefault="00991C7C" w:rsidP="00991C7C">
            <w:pPr>
              <w:pStyle w:val="ListParagraph"/>
              <w:spacing w:line="360" w:lineRule="auto"/>
              <w:ind w:left="588" w:hanging="568"/>
              <w:contextualSpacing w:val="0"/>
              <w:jc w:val="both"/>
              <w:rPr>
                <w:rFonts w:ascii="Arial" w:hAnsi="Arial" w:cs="Arial"/>
                <w:color w:val="000000" w:themeColor="text1"/>
                <w:sz w:val="24"/>
                <w:szCs w:val="24"/>
              </w:rPr>
            </w:pPr>
          </w:p>
          <w:p w:rsidR="000F561E" w:rsidRDefault="000F561E" w:rsidP="00991C7C">
            <w:pPr>
              <w:pStyle w:val="ListParagraph"/>
              <w:numPr>
                <w:ilvl w:val="0"/>
                <w:numId w:val="37"/>
              </w:numPr>
              <w:spacing w:line="360" w:lineRule="auto"/>
              <w:ind w:left="588" w:hanging="56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The significance of this Court’s judgement of 21 January 2020 was also downplayed, in respect of which it was</w:t>
            </w:r>
            <w:r w:rsidR="00482D28">
              <w:rPr>
                <w:rFonts w:ascii="Arial" w:hAnsi="Arial" w:cs="Arial"/>
                <w:color w:val="000000" w:themeColor="text1"/>
                <w:sz w:val="24"/>
                <w:szCs w:val="24"/>
              </w:rPr>
              <w:t xml:space="preserve"> for instance</w:t>
            </w:r>
            <w:r w:rsidRPr="00D40DDC">
              <w:rPr>
                <w:rFonts w:ascii="Arial" w:hAnsi="Arial" w:cs="Arial"/>
                <w:color w:val="000000" w:themeColor="text1"/>
                <w:sz w:val="24"/>
                <w:szCs w:val="24"/>
              </w:rPr>
              <w:t xml:space="preserve"> argued that </w:t>
            </w:r>
            <w:r w:rsidRPr="00D40DDC">
              <w:rPr>
                <w:rFonts w:ascii="Arial" w:hAnsi="Arial" w:cs="Arial"/>
                <w:i/>
                <w:color w:val="000000" w:themeColor="text1"/>
                <w:sz w:val="24"/>
                <w:szCs w:val="24"/>
              </w:rPr>
              <w:t>‘the Court did not re-interpret Rule 76(6) or Rule 53’</w:t>
            </w:r>
            <w:r w:rsidRPr="00D40DDC">
              <w:rPr>
                <w:rFonts w:ascii="Arial" w:hAnsi="Arial" w:cs="Arial"/>
                <w:color w:val="000000" w:themeColor="text1"/>
                <w:sz w:val="24"/>
                <w:szCs w:val="24"/>
              </w:rPr>
              <w:t>.</w:t>
            </w:r>
          </w:p>
          <w:p w:rsidR="00991C7C" w:rsidRPr="00D40DDC" w:rsidRDefault="00991C7C" w:rsidP="00991C7C">
            <w:pPr>
              <w:pStyle w:val="ListParagraph"/>
              <w:spacing w:line="360" w:lineRule="auto"/>
              <w:contextualSpacing w:val="0"/>
              <w:jc w:val="both"/>
              <w:rPr>
                <w:rFonts w:ascii="Arial" w:hAnsi="Arial" w:cs="Arial"/>
                <w:color w:val="000000" w:themeColor="text1"/>
                <w:sz w:val="24"/>
                <w:szCs w:val="24"/>
              </w:rPr>
            </w:pPr>
          </w:p>
          <w:p w:rsidR="00B30144" w:rsidRPr="00B8045A" w:rsidRDefault="00B30144" w:rsidP="004A28DC">
            <w:pPr>
              <w:pStyle w:val="ListParagraph"/>
              <w:numPr>
                <w:ilvl w:val="0"/>
                <w:numId w:val="37"/>
              </w:numPr>
              <w:spacing w:line="360" w:lineRule="auto"/>
              <w:ind w:left="588" w:hanging="56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In spite of these weighty considerations and valid submissions</w:t>
            </w:r>
            <w:r w:rsidR="00D13D78">
              <w:rPr>
                <w:rFonts w:ascii="Arial" w:hAnsi="Arial" w:cs="Arial"/>
                <w:color w:val="000000" w:themeColor="text1"/>
                <w:sz w:val="24"/>
                <w:szCs w:val="24"/>
              </w:rPr>
              <w:t xml:space="preserve"> to the contrary</w:t>
            </w:r>
            <w:r w:rsidRPr="00D40DDC">
              <w:rPr>
                <w:rFonts w:ascii="Arial" w:hAnsi="Arial" w:cs="Arial"/>
                <w:color w:val="000000" w:themeColor="text1"/>
                <w:sz w:val="24"/>
                <w:szCs w:val="24"/>
              </w:rPr>
              <w:t xml:space="preserve"> I align myself with the submissions</w:t>
            </w:r>
            <w:r w:rsidR="00482D28">
              <w:rPr>
                <w:rFonts w:ascii="Arial" w:hAnsi="Arial" w:cs="Arial"/>
                <w:color w:val="000000" w:themeColor="text1"/>
                <w:sz w:val="24"/>
                <w:szCs w:val="24"/>
              </w:rPr>
              <w:t xml:space="preserve"> made on behalf of the Minister</w:t>
            </w:r>
            <w:r w:rsidRPr="00D40DDC">
              <w:rPr>
                <w:rFonts w:ascii="Arial" w:hAnsi="Arial" w:cs="Arial"/>
                <w:color w:val="000000" w:themeColor="text1"/>
                <w:sz w:val="24"/>
                <w:szCs w:val="24"/>
              </w:rPr>
              <w:t xml:space="preserve"> that </w:t>
            </w:r>
            <w:r w:rsidRPr="00D40DDC">
              <w:rPr>
                <w:rFonts w:ascii="Arial" w:hAnsi="Arial" w:cs="Arial"/>
                <w:i/>
                <w:color w:val="000000" w:themeColor="text1"/>
                <w:sz w:val="24"/>
                <w:szCs w:val="24"/>
              </w:rPr>
              <w:t xml:space="preserve">‘ … the proper construction of Rule 76(6) is not only of importance to the parties but of significant public importance given its application to all future judicial reviews. In this regard, this Court’s findings </w:t>
            </w:r>
            <w:r w:rsidRPr="00D40DDC">
              <w:rPr>
                <w:rFonts w:ascii="Arial" w:hAnsi="Arial" w:cs="Arial"/>
                <w:i/>
                <w:iCs/>
                <w:color w:val="000000" w:themeColor="text1"/>
                <w:sz w:val="24"/>
                <w:szCs w:val="24"/>
              </w:rPr>
              <w:t xml:space="preserve">inter alia </w:t>
            </w:r>
            <w:r w:rsidRPr="00D40DDC">
              <w:rPr>
                <w:rFonts w:ascii="Arial" w:hAnsi="Arial" w:cs="Arial"/>
                <w:i/>
                <w:color w:val="000000" w:themeColor="text1"/>
                <w:sz w:val="24"/>
                <w:szCs w:val="24"/>
              </w:rPr>
              <w:t xml:space="preserve">as to the application of the South African Constitutional Court’s judgment in </w:t>
            </w:r>
            <w:r w:rsidRPr="00D40DDC">
              <w:rPr>
                <w:rFonts w:ascii="Arial" w:hAnsi="Arial" w:cs="Arial"/>
                <w:i/>
                <w:iCs/>
                <w:color w:val="000000" w:themeColor="text1"/>
                <w:sz w:val="24"/>
                <w:szCs w:val="24"/>
              </w:rPr>
              <w:t>Helen Suzman Foundation</w:t>
            </w:r>
            <w:r w:rsidRPr="00D40DDC">
              <w:rPr>
                <w:rStyle w:val="FootnoteReference"/>
                <w:rFonts w:ascii="Arial" w:hAnsi="Arial" w:cs="Arial"/>
                <w:i/>
                <w:iCs/>
                <w:color w:val="000000" w:themeColor="text1"/>
                <w:sz w:val="24"/>
                <w:szCs w:val="24"/>
              </w:rPr>
              <w:footnoteReference w:id="22"/>
            </w:r>
            <w:r w:rsidRPr="00D40DDC">
              <w:rPr>
                <w:rFonts w:ascii="Arial" w:hAnsi="Arial" w:cs="Arial"/>
                <w:i/>
                <w:color w:val="000000" w:themeColor="text1"/>
                <w:sz w:val="24"/>
                <w:szCs w:val="24"/>
              </w:rPr>
              <w:t>, and its findings as to the scope of Rule 76(6), are matters which merit the attention of the Supreme Court…’.</w:t>
            </w:r>
          </w:p>
          <w:p w:rsidR="00B8045A" w:rsidRPr="00D40DDC" w:rsidRDefault="00B8045A" w:rsidP="00B8045A">
            <w:pPr>
              <w:pStyle w:val="ListParagraph"/>
              <w:spacing w:line="360" w:lineRule="auto"/>
              <w:ind w:left="588"/>
              <w:contextualSpacing w:val="0"/>
              <w:jc w:val="both"/>
              <w:rPr>
                <w:rFonts w:ascii="Arial" w:hAnsi="Arial" w:cs="Arial"/>
                <w:color w:val="000000" w:themeColor="text1"/>
                <w:sz w:val="24"/>
                <w:szCs w:val="24"/>
              </w:rPr>
            </w:pPr>
          </w:p>
          <w:p w:rsidR="00FD5DB7" w:rsidRDefault="00482D28" w:rsidP="00B8045A">
            <w:pPr>
              <w:pStyle w:val="ListParagraph"/>
              <w:numPr>
                <w:ilvl w:val="0"/>
                <w:numId w:val="37"/>
              </w:numPr>
              <w:spacing w:line="360" w:lineRule="auto"/>
              <w:ind w:left="588" w:hanging="568"/>
              <w:contextualSpacing w:val="0"/>
              <w:jc w:val="both"/>
              <w:rPr>
                <w:rFonts w:ascii="Arial" w:hAnsi="Arial" w:cs="Arial"/>
                <w:color w:val="000000" w:themeColor="text1"/>
                <w:sz w:val="24"/>
                <w:szCs w:val="24"/>
              </w:rPr>
            </w:pPr>
            <w:r>
              <w:rPr>
                <w:rFonts w:ascii="Arial" w:hAnsi="Arial" w:cs="Arial"/>
                <w:color w:val="000000" w:themeColor="text1"/>
                <w:sz w:val="24"/>
                <w:szCs w:val="24"/>
              </w:rPr>
              <w:t>These submission</w:t>
            </w:r>
            <w:r w:rsidR="00D13D78">
              <w:rPr>
                <w:rFonts w:ascii="Arial" w:hAnsi="Arial" w:cs="Arial"/>
                <w:color w:val="000000" w:themeColor="text1"/>
                <w:sz w:val="24"/>
                <w:szCs w:val="24"/>
              </w:rPr>
              <w:t>s</w:t>
            </w:r>
            <w:r>
              <w:rPr>
                <w:rFonts w:ascii="Arial" w:hAnsi="Arial" w:cs="Arial"/>
                <w:color w:val="000000" w:themeColor="text1"/>
                <w:sz w:val="24"/>
                <w:szCs w:val="24"/>
              </w:rPr>
              <w:t xml:space="preserve"> are indeed</w:t>
            </w:r>
            <w:r w:rsidR="00B30144" w:rsidRPr="00D40DDC">
              <w:rPr>
                <w:rFonts w:ascii="Arial" w:hAnsi="Arial" w:cs="Arial"/>
                <w:color w:val="000000" w:themeColor="text1"/>
                <w:sz w:val="24"/>
                <w:szCs w:val="24"/>
              </w:rPr>
              <w:t xml:space="preserve"> borne out by the judgment in question in which the Court n</w:t>
            </w:r>
            <w:r>
              <w:rPr>
                <w:rFonts w:ascii="Arial" w:hAnsi="Arial" w:cs="Arial"/>
                <w:color w:val="000000" w:themeColor="text1"/>
                <w:sz w:val="24"/>
                <w:szCs w:val="24"/>
              </w:rPr>
              <w:t>ot only endeavoured to tabulate</w:t>
            </w:r>
            <w:r w:rsidR="00B30144" w:rsidRPr="00D40DDC">
              <w:rPr>
                <w:rFonts w:ascii="Arial" w:hAnsi="Arial" w:cs="Arial"/>
                <w:color w:val="000000" w:themeColor="text1"/>
                <w:sz w:val="24"/>
                <w:szCs w:val="24"/>
              </w:rPr>
              <w:t xml:space="preserve"> the</w:t>
            </w:r>
            <w:r w:rsidR="00352287" w:rsidRPr="00D40DDC">
              <w:rPr>
                <w:rFonts w:ascii="Arial" w:hAnsi="Arial" w:cs="Arial"/>
                <w:color w:val="000000" w:themeColor="text1"/>
                <w:sz w:val="24"/>
                <w:szCs w:val="24"/>
              </w:rPr>
              <w:t xml:space="preserve"> generally</w:t>
            </w:r>
            <w:r w:rsidR="00B30144" w:rsidRPr="00D40DDC">
              <w:rPr>
                <w:rFonts w:ascii="Arial" w:hAnsi="Arial" w:cs="Arial"/>
                <w:color w:val="000000" w:themeColor="text1"/>
                <w:sz w:val="24"/>
                <w:szCs w:val="24"/>
              </w:rPr>
              <w:t xml:space="preserve"> applicable legal principles</w:t>
            </w:r>
            <w:r>
              <w:rPr>
                <w:rFonts w:ascii="Arial" w:hAnsi="Arial" w:cs="Arial"/>
                <w:color w:val="000000" w:themeColor="text1"/>
                <w:sz w:val="24"/>
                <w:szCs w:val="24"/>
              </w:rPr>
              <w:t xml:space="preserve"> pertaining to</w:t>
            </w:r>
            <w:r w:rsidR="00D13D78">
              <w:rPr>
                <w:rFonts w:ascii="Arial" w:hAnsi="Arial" w:cs="Arial"/>
                <w:color w:val="000000" w:themeColor="text1"/>
                <w:sz w:val="24"/>
                <w:szCs w:val="24"/>
              </w:rPr>
              <w:t xml:space="preserve"> additional</w:t>
            </w:r>
            <w:r>
              <w:rPr>
                <w:rFonts w:ascii="Arial" w:hAnsi="Arial" w:cs="Arial"/>
                <w:color w:val="000000" w:themeColor="text1"/>
                <w:sz w:val="24"/>
                <w:szCs w:val="24"/>
              </w:rPr>
              <w:t xml:space="preserve"> ‘discovery’ in reviews’</w:t>
            </w:r>
            <w:r w:rsidR="00352287" w:rsidRPr="00D40DDC">
              <w:rPr>
                <w:rFonts w:ascii="Arial" w:hAnsi="Arial" w:cs="Arial"/>
                <w:color w:val="000000" w:themeColor="text1"/>
                <w:sz w:val="24"/>
                <w:szCs w:val="24"/>
              </w:rPr>
              <w:t xml:space="preserve"> </w:t>
            </w:r>
            <w:r w:rsidR="00352287" w:rsidRPr="00D40DDC">
              <w:rPr>
                <w:rStyle w:val="FootnoteReference"/>
                <w:rFonts w:ascii="Arial" w:hAnsi="Arial" w:cs="Arial"/>
                <w:color w:val="000000" w:themeColor="text1"/>
                <w:sz w:val="24"/>
                <w:szCs w:val="24"/>
              </w:rPr>
              <w:footnoteReference w:id="23"/>
            </w:r>
            <w:r w:rsidR="00B30144" w:rsidRPr="00D40DDC">
              <w:rPr>
                <w:rFonts w:ascii="Arial" w:hAnsi="Arial" w:cs="Arial"/>
                <w:color w:val="000000" w:themeColor="text1"/>
                <w:sz w:val="24"/>
                <w:szCs w:val="24"/>
              </w:rPr>
              <w:t xml:space="preserve">, </w:t>
            </w:r>
            <w:r w:rsidR="00D13D78">
              <w:rPr>
                <w:rFonts w:ascii="Arial" w:hAnsi="Arial" w:cs="Arial"/>
                <w:color w:val="000000" w:themeColor="text1"/>
                <w:sz w:val="24"/>
                <w:szCs w:val="24"/>
              </w:rPr>
              <w:t xml:space="preserve">but also </w:t>
            </w:r>
            <w:r w:rsidR="00352287" w:rsidRPr="00D40DDC">
              <w:rPr>
                <w:rFonts w:ascii="Arial" w:hAnsi="Arial" w:cs="Arial"/>
                <w:color w:val="000000" w:themeColor="text1"/>
                <w:sz w:val="24"/>
                <w:szCs w:val="24"/>
              </w:rPr>
              <w:t>the</w:t>
            </w:r>
            <w:r w:rsidR="00D13D78">
              <w:rPr>
                <w:rFonts w:ascii="Arial" w:hAnsi="Arial" w:cs="Arial"/>
                <w:color w:val="000000" w:themeColor="text1"/>
                <w:sz w:val="24"/>
                <w:szCs w:val="24"/>
              </w:rPr>
              <w:t xml:space="preserve"> relevant</w:t>
            </w:r>
            <w:r w:rsidR="00352287" w:rsidRPr="00D40DDC">
              <w:rPr>
                <w:rFonts w:ascii="Arial" w:hAnsi="Arial" w:cs="Arial"/>
                <w:color w:val="000000" w:themeColor="text1"/>
                <w:sz w:val="24"/>
                <w:szCs w:val="24"/>
              </w:rPr>
              <w:t xml:space="preserve"> overarching constitutional principles </w:t>
            </w:r>
            <w:r w:rsidR="00352287" w:rsidRPr="00D40DDC">
              <w:rPr>
                <w:rStyle w:val="FootnoteReference"/>
                <w:rFonts w:ascii="Arial" w:hAnsi="Arial" w:cs="Arial"/>
                <w:color w:val="000000" w:themeColor="text1"/>
                <w:sz w:val="24"/>
                <w:szCs w:val="24"/>
              </w:rPr>
              <w:footnoteReference w:id="24"/>
            </w:r>
            <w:r w:rsidR="00352287" w:rsidRPr="00D40DDC">
              <w:rPr>
                <w:rFonts w:ascii="Arial" w:hAnsi="Arial" w:cs="Arial"/>
                <w:color w:val="000000" w:themeColor="text1"/>
                <w:sz w:val="24"/>
                <w:szCs w:val="24"/>
              </w:rPr>
              <w:t xml:space="preserve"> and </w:t>
            </w:r>
            <w:r>
              <w:rPr>
                <w:rFonts w:ascii="Arial" w:hAnsi="Arial" w:cs="Arial"/>
                <w:color w:val="000000" w:themeColor="text1"/>
                <w:sz w:val="24"/>
                <w:szCs w:val="24"/>
              </w:rPr>
              <w:t xml:space="preserve">also </w:t>
            </w:r>
            <w:r w:rsidR="00352287" w:rsidRPr="00D40DDC">
              <w:rPr>
                <w:rFonts w:ascii="Arial" w:hAnsi="Arial" w:cs="Arial"/>
                <w:color w:val="000000" w:themeColor="text1"/>
                <w:sz w:val="24"/>
                <w:szCs w:val="24"/>
              </w:rPr>
              <w:t xml:space="preserve">certain specifically applicable principles </w:t>
            </w:r>
            <w:r w:rsidR="00352287" w:rsidRPr="00D40DDC">
              <w:rPr>
                <w:rStyle w:val="FootnoteReference"/>
                <w:rFonts w:ascii="Arial" w:hAnsi="Arial" w:cs="Arial"/>
                <w:color w:val="000000" w:themeColor="text1"/>
                <w:sz w:val="24"/>
                <w:szCs w:val="24"/>
              </w:rPr>
              <w:footnoteReference w:id="25"/>
            </w:r>
            <w:r w:rsidR="00352287" w:rsidRPr="00D40DDC">
              <w:rPr>
                <w:rFonts w:ascii="Arial" w:hAnsi="Arial" w:cs="Arial"/>
                <w:color w:val="000000" w:themeColor="text1"/>
                <w:sz w:val="24"/>
                <w:szCs w:val="24"/>
              </w:rPr>
              <w:t>.The court then interpreted the concepts of ‘po</w:t>
            </w:r>
            <w:r w:rsidR="00D13D78">
              <w:rPr>
                <w:rFonts w:ascii="Arial" w:hAnsi="Arial" w:cs="Arial"/>
                <w:color w:val="000000" w:themeColor="text1"/>
                <w:sz w:val="24"/>
                <w:szCs w:val="24"/>
              </w:rPr>
              <w:t>ssession’ as utilised in Rule 76</w:t>
            </w:r>
            <w:r w:rsidR="00352287" w:rsidRPr="00D40DDC">
              <w:rPr>
                <w:rFonts w:ascii="Arial" w:hAnsi="Arial" w:cs="Arial"/>
                <w:color w:val="000000" w:themeColor="text1"/>
                <w:sz w:val="24"/>
                <w:szCs w:val="24"/>
              </w:rPr>
              <w:t>(6)</w:t>
            </w:r>
            <w:r w:rsidR="00352287" w:rsidRPr="00D40DDC">
              <w:rPr>
                <w:rStyle w:val="FootnoteReference"/>
                <w:rFonts w:ascii="Arial" w:hAnsi="Arial" w:cs="Arial"/>
                <w:color w:val="000000" w:themeColor="text1"/>
                <w:sz w:val="24"/>
                <w:szCs w:val="24"/>
              </w:rPr>
              <w:footnoteReference w:id="26"/>
            </w:r>
            <w:r w:rsidR="00352287" w:rsidRPr="00D40DDC">
              <w:rPr>
                <w:rFonts w:ascii="Arial" w:hAnsi="Arial" w:cs="Arial"/>
                <w:color w:val="000000" w:themeColor="text1"/>
                <w:sz w:val="24"/>
                <w:szCs w:val="24"/>
              </w:rPr>
              <w:t xml:space="preserve"> and that of ‘relevance’</w:t>
            </w:r>
            <w:r w:rsidR="00FD5DB7" w:rsidRPr="00D40DDC">
              <w:rPr>
                <w:rFonts w:ascii="Arial" w:hAnsi="Arial" w:cs="Arial"/>
                <w:color w:val="000000" w:themeColor="text1"/>
                <w:sz w:val="24"/>
                <w:szCs w:val="24"/>
              </w:rPr>
              <w:t>. The fundamental differences pertaining to ‘discovery’ in motion proceedings, in general, and those underpinning reviews where considered and dealt with, with reference</w:t>
            </w:r>
            <w:r w:rsidR="00D13D78">
              <w:rPr>
                <w:rFonts w:ascii="Arial" w:hAnsi="Arial" w:cs="Arial"/>
                <w:color w:val="000000" w:themeColor="text1"/>
                <w:sz w:val="24"/>
                <w:szCs w:val="24"/>
              </w:rPr>
              <w:t xml:space="preserve"> also</w:t>
            </w:r>
            <w:r w:rsidR="00FD5DB7" w:rsidRPr="00D40DDC">
              <w:rPr>
                <w:rFonts w:ascii="Arial" w:hAnsi="Arial" w:cs="Arial"/>
                <w:color w:val="000000" w:themeColor="text1"/>
                <w:sz w:val="24"/>
                <w:szCs w:val="24"/>
              </w:rPr>
              <w:t xml:space="preserve"> to the Helen Suzman Foundation decision </w:t>
            </w:r>
            <w:r w:rsidR="00FD5DB7" w:rsidRPr="00D40DDC">
              <w:rPr>
                <w:rStyle w:val="FootnoteReference"/>
                <w:rFonts w:ascii="Arial" w:hAnsi="Arial" w:cs="Arial"/>
                <w:color w:val="000000" w:themeColor="text1"/>
                <w:sz w:val="24"/>
                <w:szCs w:val="24"/>
              </w:rPr>
              <w:footnoteReference w:id="27"/>
            </w:r>
            <w:r w:rsidR="00FD5DB7" w:rsidRPr="00D40DDC">
              <w:rPr>
                <w:rFonts w:ascii="Arial" w:hAnsi="Arial" w:cs="Arial"/>
                <w:color w:val="000000" w:themeColor="text1"/>
                <w:sz w:val="24"/>
                <w:szCs w:val="24"/>
              </w:rPr>
              <w:t xml:space="preserve"> and from which the Court ultimately distilled the</w:t>
            </w:r>
            <w:r w:rsidR="00D13D78">
              <w:rPr>
                <w:rFonts w:ascii="Arial" w:hAnsi="Arial" w:cs="Arial"/>
                <w:color w:val="000000" w:themeColor="text1"/>
                <w:sz w:val="24"/>
                <w:szCs w:val="24"/>
              </w:rPr>
              <w:t>, from now on, and for the time being,</w:t>
            </w:r>
            <w:r w:rsidR="00FD5DB7" w:rsidRPr="00D40DDC">
              <w:rPr>
                <w:rFonts w:ascii="Arial" w:hAnsi="Arial" w:cs="Arial"/>
                <w:color w:val="000000" w:themeColor="text1"/>
                <w:sz w:val="24"/>
                <w:szCs w:val="24"/>
              </w:rPr>
              <w:t xml:space="preserve"> governing principles and which it then did in the following manner :</w:t>
            </w:r>
          </w:p>
          <w:p w:rsidR="00B8045A" w:rsidRPr="00D40DDC" w:rsidRDefault="00B8045A" w:rsidP="00B8045A">
            <w:pPr>
              <w:pStyle w:val="ListParagraph"/>
              <w:spacing w:line="360" w:lineRule="auto"/>
              <w:ind w:left="588"/>
              <w:contextualSpacing w:val="0"/>
              <w:jc w:val="both"/>
              <w:rPr>
                <w:rFonts w:ascii="Arial" w:hAnsi="Arial" w:cs="Arial"/>
                <w:color w:val="000000" w:themeColor="text1"/>
                <w:sz w:val="24"/>
                <w:szCs w:val="24"/>
              </w:rPr>
            </w:pPr>
          </w:p>
          <w:p w:rsidR="00FD5DB7" w:rsidRPr="00D40DDC" w:rsidRDefault="00FD5DB7" w:rsidP="00B8045A">
            <w:pPr>
              <w:pStyle w:val="Heading1"/>
              <w:spacing w:before="0" w:after="0" w:line="360" w:lineRule="auto"/>
              <w:ind w:left="588"/>
              <w:jc w:val="both"/>
              <w:outlineLvl w:val="0"/>
              <w:rPr>
                <w:rFonts w:ascii="Arial" w:hAnsi="Arial" w:cs="Arial"/>
                <w:b w:val="0"/>
                <w:sz w:val="24"/>
                <w:szCs w:val="24"/>
              </w:rPr>
            </w:pPr>
            <w:r w:rsidRPr="00B8045A">
              <w:rPr>
                <w:rFonts w:ascii="Arial" w:hAnsi="Arial" w:cs="Arial"/>
                <w:b w:val="0"/>
                <w:sz w:val="22"/>
                <w:szCs w:val="22"/>
              </w:rPr>
              <w:t>‘[20]</w:t>
            </w:r>
            <w:r w:rsidRPr="00B8045A">
              <w:rPr>
                <w:rFonts w:ascii="Arial" w:hAnsi="Arial" w:cs="Arial"/>
                <w:b w:val="0"/>
                <w:sz w:val="22"/>
                <w:szCs w:val="22"/>
              </w:rPr>
              <w:tab/>
              <w:t xml:space="preserve">Accordingly what must be disclosed is all information relevant to the impugned decision as otherwise the provisions of Rule 76 would be rendered meaningless. The Rule in any event requires this in express terms. The rule also clearly envisages the grounds of </w:t>
            </w:r>
            <w:r w:rsidRPr="00B8045A">
              <w:rPr>
                <w:rFonts w:ascii="Arial" w:hAnsi="Arial" w:cs="Arial"/>
                <w:b w:val="0"/>
                <w:sz w:val="22"/>
                <w:szCs w:val="22"/>
              </w:rPr>
              <w:lastRenderedPageBreak/>
              <w:t xml:space="preserve">review changing later. ‘Relevance’ should thus be assessed as it relates to the decision sought to be reviewed, not with reference to the case pleaded originally in the founding affidavit. In this regard it can thus be said that, what must be disclosed - and it is here that I would think that the material change comes in - are all those </w:t>
            </w:r>
            <w:r w:rsidRPr="00B8045A">
              <w:rPr>
                <w:rFonts w:ascii="Arial" w:hAnsi="Arial" w:cs="Arial"/>
                <w:b w:val="0"/>
                <w:i/>
                <w:sz w:val="22"/>
                <w:szCs w:val="22"/>
              </w:rPr>
              <w:t xml:space="preserve">‘ … documents/materials that could have any tendency, in reason, to establish any possible/potential review ground in relation to the decision to be reviewed, ie. all materials relevant to the exercise of the public power in question …’. </w:t>
            </w:r>
            <w:r w:rsidRPr="00B8045A">
              <w:rPr>
                <w:rFonts w:ascii="Arial" w:hAnsi="Arial" w:cs="Arial"/>
                <w:b w:val="0"/>
                <w:sz w:val="22"/>
                <w:szCs w:val="22"/>
              </w:rPr>
              <w:t>It follows - and I thus uphold the submission - that the word ‘relevance’ as used in Rule 76(6) is ‘wide(r) in its scope and meaning’ in these respects. The concept thus differs in its scope and the way and from how it is applied in action- and also in motion proceedings in general. It is thus also not limited only to the actual material serving before the decision-maker but it so also includes all material available to the decision-maker – whether considered or not – for as long as it is relevant to the decision to be reviewed - and in any event it includes the material that is incorporated by reference. In this regard it was thus correctly submitted that</w:t>
            </w:r>
            <w:r w:rsidRPr="00B8045A">
              <w:rPr>
                <w:rFonts w:ascii="Arial" w:hAnsi="Arial" w:cs="Arial"/>
                <w:b w:val="0"/>
                <w:i/>
                <w:sz w:val="22"/>
                <w:szCs w:val="22"/>
              </w:rPr>
              <w:t xml:space="preserve"> ‘an applicant in a review will be entitled to documents that are relevant to the case pleaded in the founding affidavit, and</w:t>
            </w:r>
            <w:r w:rsidRPr="00B8045A">
              <w:rPr>
                <w:rFonts w:ascii="Arial" w:hAnsi="Arial" w:cs="Arial"/>
                <w:b w:val="0"/>
                <w:sz w:val="22"/>
                <w:szCs w:val="22"/>
              </w:rPr>
              <w:t>/or(my insertion)</w:t>
            </w:r>
            <w:r w:rsidRPr="00B8045A">
              <w:rPr>
                <w:rFonts w:ascii="Arial" w:hAnsi="Arial" w:cs="Arial"/>
                <w:b w:val="0"/>
                <w:i/>
                <w:sz w:val="22"/>
                <w:szCs w:val="22"/>
              </w:rPr>
              <w:t xml:space="preserve"> to any other information that relates to the decision sought to be reviewed even if the relevance does not specifically appear from the pleadings’</w:t>
            </w:r>
            <w:r w:rsidRPr="00B8045A">
              <w:rPr>
                <w:rFonts w:ascii="Arial" w:hAnsi="Arial" w:cs="Arial"/>
                <w:b w:val="0"/>
                <w:sz w:val="22"/>
                <w:szCs w:val="22"/>
              </w:rPr>
              <w:t>.</w:t>
            </w:r>
            <w:r w:rsidRPr="00D40DDC">
              <w:rPr>
                <w:rFonts w:ascii="Arial" w:hAnsi="Arial" w:cs="Arial"/>
                <w:b w:val="0"/>
                <w:sz w:val="24"/>
                <w:szCs w:val="24"/>
              </w:rPr>
              <w:t xml:space="preserve"> </w:t>
            </w:r>
            <w:r w:rsidR="008B52A3" w:rsidRPr="00D40DDC">
              <w:rPr>
                <w:rFonts w:ascii="Arial" w:hAnsi="Arial" w:cs="Arial"/>
                <w:b w:val="0"/>
                <w:sz w:val="24"/>
                <w:szCs w:val="24"/>
              </w:rPr>
              <w:t>‘</w:t>
            </w:r>
            <w:r w:rsidRPr="00D40DDC">
              <w:rPr>
                <w:rFonts w:ascii="Arial" w:hAnsi="Arial" w:cs="Arial"/>
                <w:b w:val="0"/>
                <w:sz w:val="24"/>
                <w:szCs w:val="24"/>
              </w:rPr>
              <w:t xml:space="preserve"> </w:t>
            </w:r>
          </w:p>
          <w:p w:rsidR="00FD5DB7" w:rsidRPr="00D40DDC" w:rsidRDefault="00FD5DB7" w:rsidP="00D40DDC">
            <w:pPr>
              <w:pStyle w:val="ListParagraph"/>
              <w:spacing w:line="360" w:lineRule="auto"/>
              <w:ind w:left="360"/>
              <w:contextualSpacing w:val="0"/>
              <w:jc w:val="both"/>
              <w:rPr>
                <w:rFonts w:ascii="Arial" w:hAnsi="Arial" w:cs="Arial"/>
                <w:color w:val="000000" w:themeColor="text1"/>
                <w:sz w:val="24"/>
                <w:szCs w:val="24"/>
              </w:rPr>
            </w:pPr>
          </w:p>
          <w:p w:rsidR="000F561E" w:rsidRDefault="00FD5DB7" w:rsidP="00B8045A">
            <w:pPr>
              <w:pStyle w:val="ListParagraph"/>
              <w:numPr>
                <w:ilvl w:val="0"/>
                <w:numId w:val="37"/>
              </w:numPr>
              <w:spacing w:line="360" w:lineRule="auto"/>
              <w:ind w:left="588" w:hanging="58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 xml:space="preserve"> </w:t>
            </w:r>
            <w:r w:rsidR="008B52A3" w:rsidRPr="00D40DDC">
              <w:rPr>
                <w:rFonts w:ascii="Arial" w:hAnsi="Arial" w:cs="Arial"/>
                <w:color w:val="000000" w:themeColor="text1"/>
                <w:sz w:val="24"/>
                <w:szCs w:val="24"/>
              </w:rPr>
              <w:t>Given the</w:t>
            </w:r>
            <w:r w:rsidR="00482D28">
              <w:rPr>
                <w:rFonts w:ascii="Arial" w:hAnsi="Arial" w:cs="Arial"/>
                <w:color w:val="000000" w:themeColor="text1"/>
                <w:sz w:val="24"/>
                <w:szCs w:val="24"/>
              </w:rPr>
              <w:t xml:space="preserve"> further</w:t>
            </w:r>
            <w:r w:rsidR="008B52A3" w:rsidRPr="00D40DDC">
              <w:rPr>
                <w:rFonts w:ascii="Arial" w:hAnsi="Arial" w:cs="Arial"/>
                <w:color w:val="000000" w:themeColor="text1"/>
                <w:sz w:val="24"/>
                <w:szCs w:val="24"/>
              </w:rPr>
              <w:t xml:space="preserve"> fact </w:t>
            </w:r>
            <w:r w:rsidR="00482D28">
              <w:rPr>
                <w:rFonts w:ascii="Arial" w:hAnsi="Arial" w:cs="Arial"/>
                <w:color w:val="000000" w:themeColor="text1"/>
                <w:sz w:val="24"/>
                <w:szCs w:val="24"/>
              </w:rPr>
              <w:t>the Court’s judgment</w:t>
            </w:r>
            <w:r w:rsidR="00B11950">
              <w:rPr>
                <w:rFonts w:ascii="Arial" w:hAnsi="Arial" w:cs="Arial"/>
                <w:color w:val="000000" w:themeColor="text1"/>
                <w:sz w:val="24"/>
                <w:szCs w:val="24"/>
              </w:rPr>
              <w:t xml:space="preserve"> i</w:t>
            </w:r>
            <w:r w:rsidR="00482D28">
              <w:rPr>
                <w:rFonts w:ascii="Arial" w:hAnsi="Arial" w:cs="Arial"/>
                <w:color w:val="000000" w:themeColor="text1"/>
                <w:sz w:val="24"/>
                <w:szCs w:val="24"/>
              </w:rPr>
              <w:t xml:space="preserve">s of importance to the parties and </w:t>
            </w:r>
            <w:r w:rsidR="008B52A3" w:rsidRPr="00D40DDC">
              <w:rPr>
                <w:rFonts w:ascii="Arial" w:hAnsi="Arial" w:cs="Arial"/>
                <w:color w:val="000000" w:themeColor="text1"/>
                <w:sz w:val="24"/>
                <w:szCs w:val="24"/>
              </w:rPr>
              <w:t xml:space="preserve">that </w:t>
            </w:r>
            <w:r w:rsidR="008B52A3" w:rsidRPr="00D40DDC">
              <w:rPr>
                <w:rFonts w:ascii="Arial" w:hAnsi="Arial" w:cs="Arial"/>
                <w:i/>
                <w:color w:val="000000" w:themeColor="text1"/>
                <w:sz w:val="24"/>
                <w:szCs w:val="24"/>
              </w:rPr>
              <w:t>‘ … Rule 76 indeed lies at the heart of the very important remedy of judicial review …’</w:t>
            </w:r>
            <w:r w:rsidR="008B52A3" w:rsidRPr="00D40DDC">
              <w:rPr>
                <w:rFonts w:ascii="Arial" w:hAnsi="Arial" w:cs="Arial"/>
                <w:color w:val="000000" w:themeColor="text1"/>
                <w:sz w:val="24"/>
                <w:szCs w:val="24"/>
              </w:rPr>
              <w:t xml:space="preserve">  and given the fact that the judgment</w:t>
            </w:r>
            <w:r w:rsidR="00477C94" w:rsidRPr="00D40DDC">
              <w:rPr>
                <w:rFonts w:ascii="Arial" w:hAnsi="Arial" w:cs="Arial"/>
                <w:color w:val="000000" w:themeColor="text1"/>
                <w:sz w:val="24"/>
                <w:szCs w:val="24"/>
              </w:rPr>
              <w:t xml:space="preserve"> of 21 January 2020</w:t>
            </w:r>
            <w:r w:rsidR="00482D28">
              <w:rPr>
                <w:rFonts w:ascii="Arial" w:hAnsi="Arial" w:cs="Arial"/>
                <w:color w:val="000000" w:themeColor="text1"/>
                <w:sz w:val="24"/>
                <w:szCs w:val="24"/>
              </w:rPr>
              <w:t xml:space="preserve"> was</w:t>
            </w:r>
            <w:r w:rsidR="00E86C54">
              <w:rPr>
                <w:rFonts w:ascii="Arial" w:hAnsi="Arial" w:cs="Arial"/>
                <w:color w:val="000000" w:themeColor="text1"/>
                <w:sz w:val="24"/>
                <w:szCs w:val="24"/>
              </w:rPr>
              <w:t xml:space="preserve"> further</w:t>
            </w:r>
            <w:r w:rsidR="00482D28">
              <w:rPr>
                <w:rFonts w:ascii="Arial" w:hAnsi="Arial" w:cs="Arial"/>
                <w:color w:val="000000" w:themeColor="text1"/>
                <w:sz w:val="24"/>
                <w:szCs w:val="24"/>
              </w:rPr>
              <w:t xml:space="preserve"> of significant public importance</w:t>
            </w:r>
            <w:r w:rsidR="00B11950">
              <w:rPr>
                <w:rFonts w:ascii="Arial" w:hAnsi="Arial" w:cs="Arial"/>
                <w:color w:val="000000" w:themeColor="text1"/>
                <w:sz w:val="24"/>
                <w:szCs w:val="24"/>
              </w:rPr>
              <w:t xml:space="preserve"> given its application to future reviews as it</w:t>
            </w:r>
            <w:r w:rsidR="00477C94" w:rsidRPr="00D40DDC">
              <w:rPr>
                <w:rFonts w:ascii="Arial" w:hAnsi="Arial" w:cs="Arial"/>
                <w:color w:val="000000" w:themeColor="text1"/>
                <w:sz w:val="24"/>
                <w:szCs w:val="24"/>
              </w:rPr>
              <w:t xml:space="preserve"> clearly </w:t>
            </w:r>
            <w:r w:rsidR="00E86C54">
              <w:rPr>
                <w:rFonts w:ascii="Arial" w:hAnsi="Arial" w:cs="Arial"/>
                <w:i/>
                <w:color w:val="000000" w:themeColor="text1"/>
                <w:sz w:val="24"/>
                <w:szCs w:val="24"/>
              </w:rPr>
              <w:t>‘broke</w:t>
            </w:r>
            <w:r w:rsidR="00477C94" w:rsidRPr="00D40DDC">
              <w:rPr>
                <w:rFonts w:ascii="Arial" w:hAnsi="Arial" w:cs="Arial"/>
                <w:i/>
                <w:color w:val="000000" w:themeColor="text1"/>
                <w:sz w:val="24"/>
                <w:szCs w:val="24"/>
              </w:rPr>
              <w:t xml:space="preserve"> new ground’</w:t>
            </w:r>
            <w:r w:rsidR="00477C94" w:rsidRPr="00D40DDC">
              <w:rPr>
                <w:rFonts w:ascii="Arial" w:hAnsi="Arial" w:cs="Arial"/>
                <w:color w:val="000000" w:themeColor="text1"/>
                <w:sz w:val="24"/>
                <w:szCs w:val="24"/>
              </w:rPr>
              <w:t xml:space="preserve">, at least in Namibia, in this regard, and in circumstances where applications for review are </w:t>
            </w:r>
            <w:r w:rsidR="00E86C54">
              <w:rPr>
                <w:rFonts w:ascii="Arial" w:hAnsi="Arial" w:cs="Arial"/>
                <w:color w:val="000000" w:themeColor="text1"/>
                <w:sz w:val="24"/>
                <w:szCs w:val="24"/>
              </w:rPr>
              <w:t>frequent,</w:t>
            </w:r>
            <w:r w:rsidR="00477C94" w:rsidRPr="00D40DDC">
              <w:rPr>
                <w:rFonts w:ascii="Arial" w:hAnsi="Arial" w:cs="Arial"/>
                <w:color w:val="000000" w:themeColor="text1"/>
                <w:sz w:val="24"/>
                <w:szCs w:val="24"/>
              </w:rPr>
              <w:t xml:space="preserve"> in</w:t>
            </w:r>
            <w:r w:rsidR="00A96D28" w:rsidRPr="00D40DDC">
              <w:rPr>
                <w:rFonts w:ascii="Arial" w:hAnsi="Arial" w:cs="Arial"/>
                <w:color w:val="000000" w:themeColor="text1"/>
                <w:sz w:val="24"/>
                <w:szCs w:val="24"/>
              </w:rPr>
              <w:t xml:space="preserve"> the course of</w:t>
            </w:r>
            <w:r w:rsidR="00477C94" w:rsidRPr="00D40DDC">
              <w:rPr>
                <w:rFonts w:ascii="Arial" w:hAnsi="Arial" w:cs="Arial"/>
                <w:color w:val="000000" w:themeColor="text1"/>
                <w:sz w:val="24"/>
                <w:szCs w:val="24"/>
              </w:rPr>
              <w:t xml:space="preserve"> which applications in terms of Rule 76(6) often require the </w:t>
            </w:r>
            <w:r w:rsidR="00477C94" w:rsidRPr="00D40DDC">
              <w:rPr>
                <w:rFonts w:ascii="Arial" w:hAnsi="Arial" w:cs="Arial"/>
                <w:i/>
                <w:color w:val="000000" w:themeColor="text1"/>
                <w:sz w:val="24"/>
                <w:szCs w:val="24"/>
              </w:rPr>
              <w:t>in limine</w:t>
            </w:r>
            <w:r w:rsidR="00B11950">
              <w:rPr>
                <w:rFonts w:ascii="Arial" w:hAnsi="Arial" w:cs="Arial"/>
                <w:color w:val="000000" w:themeColor="text1"/>
                <w:sz w:val="24"/>
                <w:szCs w:val="24"/>
              </w:rPr>
              <w:t xml:space="preserve"> determination of the Courts</w:t>
            </w:r>
            <w:r w:rsidR="00E86C54">
              <w:rPr>
                <w:rFonts w:ascii="Arial" w:hAnsi="Arial" w:cs="Arial"/>
                <w:color w:val="000000" w:themeColor="text1"/>
                <w:sz w:val="24"/>
                <w:szCs w:val="24"/>
              </w:rPr>
              <w:t>,</w:t>
            </w:r>
            <w:r w:rsidR="00A96D28" w:rsidRPr="00D40DDC">
              <w:rPr>
                <w:rFonts w:ascii="Arial" w:hAnsi="Arial" w:cs="Arial"/>
                <w:color w:val="000000" w:themeColor="text1"/>
                <w:sz w:val="24"/>
                <w:szCs w:val="24"/>
              </w:rPr>
              <w:t xml:space="preserve"> </w:t>
            </w:r>
            <w:r w:rsidR="00477C94" w:rsidRPr="00D40DDC">
              <w:rPr>
                <w:rFonts w:ascii="Arial" w:hAnsi="Arial" w:cs="Arial"/>
                <w:color w:val="000000" w:themeColor="text1"/>
                <w:sz w:val="24"/>
                <w:szCs w:val="24"/>
              </w:rPr>
              <w:t>in which</w:t>
            </w:r>
            <w:r w:rsidR="00E86C54">
              <w:rPr>
                <w:rFonts w:ascii="Arial" w:hAnsi="Arial" w:cs="Arial"/>
                <w:color w:val="000000" w:themeColor="text1"/>
                <w:sz w:val="24"/>
                <w:szCs w:val="24"/>
              </w:rPr>
              <w:t xml:space="preserve"> then</w:t>
            </w:r>
            <w:r w:rsidR="00477C94" w:rsidRPr="00D40DDC">
              <w:rPr>
                <w:rFonts w:ascii="Arial" w:hAnsi="Arial" w:cs="Arial"/>
                <w:color w:val="000000" w:themeColor="text1"/>
                <w:sz w:val="24"/>
                <w:szCs w:val="24"/>
              </w:rPr>
              <w:t xml:space="preserve"> these </w:t>
            </w:r>
            <w:r w:rsidR="00477C94" w:rsidRPr="00D40DDC">
              <w:rPr>
                <w:rFonts w:ascii="Arial" w:hAnsi="Arial" w:cs="Arial"/>
                <w:i/>
                <w:color w:val="000000" w:themeColor="text1"/>
                <w:sz w:val="24"/>
                <w:szCs w:val="24"/>
              </w:rPr>
              <w:t>‘groundbreaking’</w:t>
            </w:r>
            <w:r w:rsidR="00477C94" w:rsidRPr="00D40DDC">
              <w:rPr>
                <w:rFonts w:ascii="Arial" w:hAnsi="Arial" w:cs="Arial"/>
                <w:color w:val="000000" w:themeColor="text1"/>
                <w:sz w:val="24"/>
                <w:szCs w:val="24"/>
              </w:rPr>
              <w:t xml:space="preserve"> principles thus find frequent application, I believe that it is indeed in the interests of justice that leave to appeal be granted in this particular instance</w:t>
            </w:r>
            <w:r w:rsidR="00A96D28" w:rsidRPr="00D40DDC">
              <w:rPr>
                <w:rFonts w:ascii="Arial" w:hAnsi="Arial" w:cs="Arial"/>
                <w:color w:val="000000" w:themeColor="text1"/>
                <w:sz w:val="24"/>
                <w:szCs w:val="24"/>
              </w:rPr>
              <w:t>,</w:t>
            </w:r>
            <w:r w:rsidR="00477C94" w:rsidRPr="00D40DDC">
              <w:rPr>
                <w:rFonts w:ascii="Arial" w:hAnsi="Arial" w:cs="Arial"/>
                <w:color w:val="000000" w:themeColor="text1"/>
                <w:sz w:val="24"/>
                <w:szCs w:val="24"/>
              </w:rPr>
              <w:t xml:space="preserve"> as the subject matter of the</w:t>
            </w:r>
            <w:r w:rsidR="00255EE1" w:rsidRPr="00D40DDC">
              <w:rPr>
                <w:rFonts w:ascii="Arial" w:hAnsi="Arial" w:cs="Arial"/>
                <w:color w:val="000000" w:themeColor="text1"/>
                <w:sz w:val="24"/>
                <w:szCs w:val="24"/>
              </w:rPr>
              <w:t xml:space="preserve"> appeal</w:t>
            </w:r>
            <w:r w:rsidR="00DD35CD">
              <w:rPr>
                <w:rFonts w:ascii="Arial" w:hAnsi="Arial" w:cs="Arial"/>
                <w:color w:val="000000" w:themeColor="text1"/>
                <w:sz w:val="24"/>
                <w:szCs w:val="24"/>
              </w:rPr>
              <w:t>,</w:t>
            </w:r>
            <w:r w:rsidR="00255EE1" w:rsidRPr="00D40DDC">
              <w:rPr>
                <w:rFonts w:ascii="Arial" w:hAnsi="Arial" w:cs="Arial"/>
                <w:color w:val="000000" w:themeColor="text1"/>
                <w:sz w:val="24"/>
                <w:szCs w:val="24"/>
              </w:rPr>
              <w:t xml:space="preserve"> that I will allow, does indeed, in my respectful opinion, warrant the attention of</w:t>
            </w:r>
            <w:r w:rsidR="00477C94" w:rsidRPr="00D40DDC">
              <w:rPr>
                <w:rFonts w:ascii="Arial" w:hAnsi="Arial" w:cs="Arial"/>
                <w:color w:val="000000" w:themeColor="text1"/>
                <w:sz w:val="24"/>
                <w:szCs w:val="24"/>
              </w:rPr>
              <w:t xml:space="preserve"> the Supreme Court</w:t>
            </w:r>
            <w:r w:rsidR="00255EE1" w:rsidRPr="00D40DDC">
              <w:rPr>
                <w:rFonts w:ascii="Arial" w:hAnsi="Arial" w:cs="Arial"/>
                <w:color w:val="000000" w:themeColor="text1"/>
                <w:sz w:val="24"/>
                <w:szCs w:val="24"/>
              </w:rPr>
              <w:t>.</w:t>
            </w:r>
          </w:p>
          <w:p w:rsidR="004C3AA5" w:rsidRPr="00D40DDC" w:rsidRDefault="004C3AA5" w:rsidP="004C3AA5">
            <w:pPr>
              <w:pStyle w:val="ListParagraph"/>
              <w:spacing w:line="360" w:lineRule="auto"/>
              <w:ind w:left="588"/>
              <w:contextualSpacing w:val="0"/>
              <w:jc w:val="both"/>
              <w:rPr>
                <w:rFonts w:ascii="Arial" w:hAnsi="Arial" w:cs="Arial"/>
                <w:color w:val="000000" w:themeColor="text1"/>
                <w:sz w:val="24"/>
                <w:szCs w:val="24"/>
              </w:rPr>
            </w:pPr>
          </w:p>
          <w:p w:rsidR="004C3AA5" w:rsidRDefault="00A012CF" w:rsidP="004C3AA5">
            <w:pPr>
              <w:pStyle w:val="ListParagraph"/>
              <w:numPr>
                <w:ilvl w:val="0"/>
                <w:numId w:val="37"/>
              </w:numPr>
              <w:spacing w:line="360" w:lineRule="auto"/>
              <w:ind w:left="588" w:hanging="56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In the result :</w:t>
            </w:r>
          </w:p>
          <w:p w:rsidR="00A012CF" w:rsidRPr="00D40DDC" w:rsidRDefault="00A012CF" w:rsidP="004C3AA5">
            <w:pPr>
              <w:pStyle w:val="ListParagraph"/>
              <w:spacing w:line="360" w:lineRule="auto"/>
              <w:ind w:left="58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 xml:space="preserve"> </w:t>
            </w:r>
          </w:p>
          <w:p w:rsidR="00A012CF" w:rsidRDefault="00A012CF" w:rsidP="004C3AA5">
            <w:pPr>
              <w:pStyle w:val="ListParagraph"/>
              <w:numPr>
                <w:ilvl w:val="0"/>
                <w:numId w:val="36"/>
              </w:numPr>
              <w:spacing w:line="360" w:lineRule="auto"/>
              <w:ind w:left="588" w:hanging="58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Prayers 4.10 and 4.11 of the Notice of Application for leave to Appeal, dated 11 February 2020 are granted.</w:t>
            </w:r>
          </w:p>
          <w:p w:rsidR="004C3AA5" w:rsidRPr="00D40DDC" w:rsidRDefault="004C3AA5" w:rsidP="004C3AA5">
            <w:pPr>
              <w:pStyle w:val="ListParagraph"/>
              <w:spacing w:line="360" w:lineRule="auto"/>
              <w:ind w:left="588"/>
              <w:contextualSpacing w:val="0"/>
              <w:jc w:val="both"/>
              <w:rPr>
                <w:rFonts w:ascii="Arial" w:hAnsi="Arial" w:cs="Arial"/>
                <w:color w:val="000000" w:themeColor="text1"/>
                <w:sz w:val="24"/>
                <w:szCs w:val="24"/>
              </w:rPr>
            </w:pPr>
          </w:p>
          <w:p w:rsidR="00A012CF" w:rsidRPr="00D40DDC" w:rsidRDefault="00A012CF" w:rsidP="004C3AA5">
            <w:pPr>
              <w:pStyle w:val="ListParagraph"/>
              <w:numPr>
                <w:ilvl w:val="0"/>
                <w:numId w:val="36"/>
              </w:numPr>
              <w:spacing w:line="360" w:lineRule="auto"/>
              <w:ind w:left="588" w:hanging="588"/>
              <w:contextualSpacing w:val="0"/>
              <w:jc w:val="both"/>
              <w:rPr>
                <w:rFonts w:ascii="Arial" w:hAnsi="Arial" w:cs="Arial"/>
                <w:color w:val="000000" w:themeColor="text1"/>
                <w:sz w:val="24"/>
                <w:szCs w:val="24"/>
              </w:rPr>
            </w:pPr>
            <w:r w:rsidRPr="00D40DDC">
              <w:rPr>
                <w:rFonts w:ascii="Arial" w:hAnsi="Arial" w:cs="Arial"/>
                <w:color w:val="000000" w:themeColor="text1"/>
                <w:sz w:val="24"/>
                <w:szCs w:val="24"/>
              </w:rPr>
              <w:t>The case is postponed to</w:t>
            </w:r>
            <w:r w:rsidR="00B11950">
              <w:rPr>
                <w:rFonts w:ascii="Arial" w:hAnsi="Arial" w:cs="Arial"/>
                <w:color w:val="000000" w:themeColor="text1"/>
                <w:sz w:val="24"/>
                <w:szCs w:val="24"/>
              </w:rPr>
              <w:t xml:space="preserve"> 18 November 2020 at 08h30</w:t>
            </w:r>
            <w:r w:rsidRPr="00D40DDC">
              <w:rPr>
                <w:rFonts w:ascii="Arial" w:hAnsi="Arial" w:cs="Arial"/>
                <w:color w:val="000000" w:themeColor="text1"/>
                <w:sz w:val="24"/>
                <w:szCs w:val="24"/>
              </w:rPr>
              <w:t xml:space="preserve"> for a Status Hearing.</w:t>
            </w:r>
          </w:p>
          <w:p w:rsidR="004D517F" w:rsidRPr="002234F4" w:rsidRDefault="00B115FD" w:rsidP="002234F4">
            <w:pPr>
              <w:spacing w:line="360" w:lineRule="auto"/>
              <w:jc w:val="both"/>
              <w:rPr>
                <w:rFonts w:ascii="Arial" w:hAnsi="Arial" w:cs="Arial"/>
                <w:bCs/>
                <w:sz w:val="24"/>
                <w:szCs w:val="24"/>
              </w:rPr>
            </w:pPr>
            <w:r w:rsidRPr="002234F4">
              <w:rPr>
                <w:rFonts w:ascii="Arial" w:hAnsi="Arial" w:cs="Arial"/>
                <w:bCs/>
                <w:sz w:val="24"/>
                <w:szCs w:val="24"/>
              </w:rPr>
              <w:t xml:space="preserve"> </w:t>
            </w:r>
          </w:p>
          <w:p w:rsidR="00096044" w:rsidRPr="002234F4" w:rsidRDefault="00096044" w:rsidP="002234F4">
            <w:pPr>
              <w:suppressAutoHyphens/>
              <w:spacing w:line="360" w:lineRule="auto"/>
              <w:ind w:right="74"/>
              <w:jc w:val="both"/>
              <w:rPr>
                <w:rFonts w:ascii="Arial" w:hAnsi="Arial" w:cs="Arial"/>
              </w:rPr>
            </w:pPr>
          </w:p>
        </w:tc>
      </w:tr>
      <w:tr w:rsidR="00BE5489" w:rsidRPr="006E49A3" w:rsidTr="00C04EBD">
        <w:tc>
          <w:tcPr>
            <w:tcW w:w="4770" w:type="dxa"/>
          </w:tcPr>
          <w:p w:rsidR="00BE5489" w:rsidRPr="006E49A3" w:rsidRDefault="002E057D" w:rsidP="002E057D">
            <w:pPr>
              <w:spacing w:line="360" w:lineRule="auto"/>
              <w:jc w:val="center"/>
              <w:rPr>
                <w:rFonts w:ascii="Arial" w:hAnsi="Arial" w:cs="Arial"/>
                <w:b/>
              </w:rPr>
            </w:pPr>
            <w:r>
              <w:rPr>
                <w:rFonts w:ascii="Arial" w:hAnsi="Arial" w:cs="Arial"/>
                <w:b/>
              </w:rPr>
              <w:lastRenderedPageBreak/>
              <w:t>Judge’s signature</w:t>
            </w:r>
          </w:p>
        </w:tc>
        <w:tc>
          <w:tcPr>
            <w:tcW w:w="4950" w:type="dxa"/>
            <w:gridSpan w:val="2"/>
          </w:tcPr>
          <w:p w:rsidR="00BE5489" w:rsidRPr="006E49A3" w:rsidRDefault="00EB27A0" w:rsidP="0050338C">
            <w:pPr>
              <w:spacing w:line="360" w:lineRule="auto"/>
              <w:jc w:val="center"/>
              <w:rPr>
                <w:rFonts w:ascii="Arial" w:hAnsi="Arial" w:cs="Arial"/>
                <w:b/>
              </w:rPr>
            </w:pPr>
            <w:r w:rsidRPr="006E49A3">
              <w:rPr>
                <w:rFonts w:ascii="Arial" w:hAnsi="Arial" w:cs="Arial"/>
                <w:b/>
              </w:rPr>
              <w:t>Note to the parties:</w:t>
            </w:r>
          </w:p>
        </w:tc>
      </w:tr>
      <w:tr w:rsidR="00BE5489" w:rsidRPr="006E49A3" w:rsidTr="0050338C">
        <w:trPr>
          <w:trHeight w:val="1114"/>
        </w:trPr>
        <w:tc>
          <w:tcPr>
            <w:tcW w:w="4770" w:type="dxa"/>
          </w:tcPr>
          <w:p w:rsidR="00BE5489" w:rsidRPr="006E49A3" w:rsidRDefault="00BE5489" w:rsidP="00EB27A0">
            <w:pPr>
              <w:spacing w:line="360" w:lineRule="auto"/>
              <w:jc w:val="both"/>
              <w:rPr>
                <w:rFonts w:ascii="Arial" w:hAnsi="Arial" w:cs="Arial"/>
              </w:rPr>
            </w:pPr>
          </w:p>
          <w:p w:rsidR="009F6C8B" w:rsidRPr="006E49A3" w:rsidRDefault="009F6C8B" w:rsidP="00EB27A0">
            <w:pPr>
              <w:spacing w:line="360" w:lineRule="auto"/>
              <w:jc w:val="both"/>
              <w:rPr>
                <w:rFonts w:ascii="Arial" w:hAnsi="Arial" w:cs="Arial"/>
              </w:rPr>
            </w:pPr>
          </w:p>
        </w:tc>
        <w:tc>
          <w:tcPr>
            <w:tcW w:w="4950" w:type="dxa"/>
            <w:gridSpan w:val="2"/>
          </w:tcPr>
          <w:p w:rsidR="00BE5489" w:rsidRPr="006E49A3" w:rsidRDefault="0060394A" w:rsidP="00952193">
            <w:pPr>
              <w:spacing w:line="360" w:lineRule="auto"/>
              <w:jc w:val="both"/>
              <w:rPr>
                <w:rFonts w:ascii="Arial" w:hAnsi="Arial" w:cs="Arial"/>
              </w:rPr>
            </w:pPr>
            <w:r w:rsidRPr="006E49A3">
              <w:rPr>
                <w:rFonts w:ascii="Arial" w:hAnsi="Arial" w:cs="Arial"/>
              </w:rPr>
              <w:t>Not applicable.</w:t>
            </w:r>
          </w:p>
        </w:tc>
      </w:tr>
      <w:tr w:rsidR="00A23F8A" w:rsidRPr="006E49A3" w:rsidTr="00B423A5">
        <w:tc>
          <w:tcPr>
            <w:tcW w:w="9720" w:type="dxa"/>
            <w:gridSpan w:val="3"/>
          </w:tcPr>
          <w:p w:rsidR="00A23F8A" w:rsidRPr="006E49A3" w:rsidRDefault="00A23F8A" w:rsidP="00A23F8A">
            <w:pPr>
              <w:spacing w:line="360" w:lineRule="auto"/>
              <w:jc w:val="center"/>
              <w:rPr>
                <w:rFonts w:ascii="Arial" w:hAnsi="Arial" w:cs="Arial"/>
                <w:b/>
              </w:rPr>
            </w:pPr>
            <w:r w:rsidRPr="006E49A3">
              <w:rPr>
                <w:rFonts w:ascii="Arial" w:hAnsi="Arial" w:cs="Arial"/>
                <w:b/>
              </w:rPr>
              <w:t>Counsel:</w:t>
            </w:r>
          </w:p>
        </w:tc>
      </w:tr>
      <w:tr w:rsidR="00FD38C2" w:rsidRPr="006E49A3" w:rsidTr="00FD38C2">
        <w:tc>
          <w:tcPr>
            <w:tcW w:w="4770" w:type="dxa"/>
          </w:tcPr>
          <w:p w:rsidR="00FD38C2" w:rsidRPr="006E49A3" w:rsidRDefault="00890143" w:rsidP="00265783">
            <w:pPr>
              <w:spacing w:line="360" w:lineRule="auto"/>
              <w:jc w:val="center"/>
              <w:rPr>
                <w:rFonts w:ascii="Arial" w:hAnsi="Arial" w:cs="Arial"/>
                <w:b/>
              </w:rPr>
            </w:pPr>
            <w:r w:rsidRPr="006E49A3">
              <w:rPr>
                <w:rFonts w:ascii="Arial" w:hAnsi="Arial" w:cs="Arial"/>
                <w:b/>
              </w:rPr>
              <w:t>Applicant</w:t>
            </w:r>
          </w:p>
        </w:tc>
        <w:tc>
          <w:tcPr>
            <w:tcW w:w="4950" w:type="dxa"/>
            <w:gridSpan w:val="2"/>
          </w:tcPr>
          <w:p w:rsidR="00FD38C2" w:rsidRPr="006E49A3" w:rsidRDefault="00265783" w:rsidP="00265783">
            <w:pPr>
              <w:spacing w:line="360" w:lineRule="auto"/>
              <w:jc w:val="center"/>
              <w:rPr>
                <w:rFonts w:ascii="Arial" w:hAnsi="Arial" w:cs="Arial"/>
                <w:b/>
              </w:rPr>
            </w:pPr>
            <w:r>
              <w:rPr>
                <w:rFonts w:ascii="Arial" w:hAnsi="Arial" w:cs="Arial"/>
                <w:b/>
              </w:rPr>
              <w:t>R</w:t>
            </w:r>
            <w:r w:rsidR="0050338C" w:rsidRPr="006E49A3">
              <w:rPr>
                <w:rFonts w:ascii="Arial" w:hAnsi="Arial" w:cs="Arial"/>
                <w:b/>
              </w:rPr>
              <w:t>espondent</w:t>
            </w:r>
            <w:r w:rsidR="001C687D">
              <w:rPr>
                <w:rFonts w:ascii="Arial" w:hAnsi="Arial" w:cs="Arial"/>
                <w:b/>
              </w:rPr>
              <w:t>s</w:t>
            </w:r>
          </w:p>
        </w:tc>
      </w:tr>
      <w:tr w:rsidR="00A23F8A" w:rsidRPr="006E49A3" w:rsidTr="00FD38C2">
        <w:tc>
          <w:tcPr>
            <w:tcW w:w="4770" w:type="dxa"/>
          </w:tcPr>
          <w:p w:rsidR="001C687D" w:rsidRPr="00223261" w:rsidRDefault="001C687D" w:rsidP="001C687D">
            <w:pPr>
              <w:ind w:left="4320" w:hanging="4313"/>
              <w:jc w:val="center"/>
              <w:rPr>
                <w:rFonts w:ascii="Arial" w:hAnsi="Arial" w:cs="Arial"/>
                <w:bCs/>
                <w:color w:val="000000" w:themeColor="text1"/>
              </w:rPr>
            </w:pPr>
            <w:r w:rsidRPr="00223261">
              <w:rPr>
                <w:rFonts w:ascii="Arial" w:hAnsi="Arial" w:cs="Arial"/>
                <w:bCs/>
                <w:color w:val="000000" w:themeColor="text1"/>
              </w:rPr>
              <w:t>JJ Gauntlett SC QC</w:t>
            </w:r>
          </w:p>
          <w:p w:rsidR="001C687D" w:rsidRPr="00223261" w:rsidRDefault="001C687D" w:rsidP="001C687D">
            <w:pPr>
              <w:ind w:left="4320" w:hanging="4313"/>
              <w:rPr>
                <w:rFonts w:ascii="Arial" w:hAnsi="Arial" w:cs="Arial"/>
                <w:bCs/>
                <w:color w:val="000000" w:themeColor="text1"/>
              </w:rPr>
            </w:pPr>
            <w:r w:rsidRPr="00223261">
              <w:rPr>
                <w:rFonts w:ascii="Arial" w:hAnsi="Arial" w:cs="Arial"/>
                <w:bCs/>
                <w:color w:val="000000" w:themeColor="text1"/>
              </w:rPr>
              <w:t xml:space="preserve">                            </w:t>
            </w:r>
            <w:r w:rsidR="00B14141">
              <w:rPr>
                <w:rFonts w:ascii="Arial" w:hAnsi="Arial" w:cs="Arial"/>
                <w:bCs/>
                <w:color w:val="000000" w:themeColor="text1"/>
              </w:rPr>
              <w:t xml:space="preserve">      </w:t>
            </w:r>
            <w:r w:rsidRPr="00223261">
              <w:rPr>
                <w:rFonts w:ascii="Arial" w:hAnsi="Arial" w:cs="Arial"/>
                <w:bCs/>
                <w:color w:val="000000" w:themeColor="text1"/>
              </w:rPr>
              <w:t>LC Kelly</w:t>
            </w:r>
          </w:p>
          <w:p w:rsidR="001C687D" w:rsidRPr="00223261" w:rsidRDefault="001C687D" w:rsidP="001C687D">
            <w:pPr>
              <w:ind w:left="1708" w:hanging="6021"/>
              <w:jc w:val="center"/>
              <w:rPr>
                <w:rFonts w:ascii="Arial" w:hAnsi="Arial" w:cs="Arial"/>
                <w:bCs/>
                <w:color w:val="000000" w:themeColor="text1"/>
              </w:rPr>
            </w:pPr>
            <w:r w:rsidRPr="00223261">
              <w:rPr>
                <w:rFonts w:ascii="Arial" w:hAnsi="Arial" w:cs="Arial"/>
                <w:bCs/>
                <w:color w:val="000000" w:themeColor="text1"/>
              </w:rPr>
              <w:t xml:space="preserve">                                                           </w:t>
            </w:r>
            <w:r w:rsidR="00B14141">
              <w:rPr>
                <w:rFonts w:ascii="Arial" w:hAnsi="Arial" w:cs="Arial"/>
                <w:bCs/>
                <w:color w:val="000000" w:themeColor="text1"/>
              </w:rPr>
              <w:t xml:space="preserve">      </w:t>
            </w:r>
            <w:r w:rsidRPr="00223261">
              <w:rPr>
                <w:rFonts w:ascii="Arial" w:hAnsi="Arial" w:cs="Arial"/>
                <w:bCs/>
                <w:color w:val="000000" w:themeColor="text1"/>
              </w:rPr>
              <w:t>E Nekwaya</w:t>
            </w:r>
          </w:p>
          <w:p w:rsidR="001C687D" w:rsidRPr="00375DB9" w:rsidRDefault="001C687D" w:rsidP="001C687D">
            <w:pPr>
              <w:ind w:left="1708" w:hanging="6021"/>
              <w:jc w:val="center"/>
              <w:rPr>
                <w:rFonts w:ascii="Arial" w:hAnsi="Arial" w:cs="Arial"/>
                <w:bCs/>
                <w:color w:val="000000" w:themeColor="text1"/>
              </w:rPr>
            </w:pPr>
          </w:p>
          <w:p w:rsidR="001C687D" w:rsidRPr="006E49A3" w:rsidRDefault="00B14141" w:rsidP="00B14141">
            <w:pPr>
              <w:spacing w:line="360" w:lineRule="auto"/>
              <w:rPr>
                <w:rFonts w:ascii="Arial" w:hAnsi="Arial" w:cs="Arial"/>
                <w:i/>
              </w:rPr>
            </w:pPr>
            <w:r>
              <w:rPr>
                <w:rFonts w:ascii="Arial" w:hAnsi="Arial" w:cs="Arial"/>
                <w:i/>
              </w:rPr>
              <w:t xml:space="preserve">                            </w:t>
            </w:r>
            <w:r w:rsidR="001C687D">
              <w:rPr>
                <w:rFonts w:ascii="Arial" w:hAnsi="Arial" w:cs="Arial"/>
                <w:i/>
              </w:rPr>
              <w:t>Instructed by</w:t>
            </w:r>
          </w:p>
          <w:p w:rsidR="001C687D" w:rsidRDefault="00B14141" w:rsidP="00B14141">
            <w:pPr>
              <w:spacing w:line="360" w:lineRule="auto"/>
              <w:rPr>
                <w:rFonts w:ascii="Arial" w:hAnsi="Arial" w:cs="Arial"/>
              </w:rPr>
            </w:pPr>
            <w:r>
              <w:rPr>
                <w:rFonts w:ascii="Arial" w:hAnsi="Arial" w:cs="Arial"/>
              </w:rPr>
              <w:t xml:space="preserve">                  </w:t>
            </w:r>
            <w:r w:rsidR="001C687D">
              <w:rPr>
                <w:rFonts w:ascii="Arial" w:hAnsi="Arial" w:cs="Arial"/>
              </w:rPr>
              <w:t>Sisa Namandje &amp; Co. Inc.</w:t>
            </w:r>
          </w:p>
          <w:p w:rsidR="008E6759" w:rsidRPr="006E49A3" w:rsidRDefault="008E6759" w:rsidP="00146F1D">
            <w:pPr>
              <w:spacing w:line="360" w:lineRule="auto"/>
              <w:jc w:val="center"/>
              <w:rPr>
                <w:rFonts w:ascii="Arial" w:hAnsi="Arial" w:cs="Arial"/>
              </w:rPr>
            </w:pPr>
          </w:p>
        </w:tc>
        <w:tc>
          <w:tcPr>
            <w:tcW w:w="4950" w:type="dxa"/>
            <w:gridSpan w:val="2"/>
          </w:tcPr>
          <w:p w:rsidR="001C687D" w:rsidRPr="00375DB9" w:rsidRDefault="00B14141" w:rsidP="001C687D">
            <w:pPr>
              <w:jc w:val="both"/>
              <w:rPr>
                <w:rFonts w:ascii="Arial" w:hAnsi="Arial" w:cs="Arial"/>
              </w:rPr>
            </w:pPr>
            <w:r>
              <w:rPr>
                <w:rFonts w:ascii="Arial" w:hAnsi="Arial" w:cs="Arial"/>
              </w:rPr>
              <w:t xml:space="preserve">                   </w:t>
            </w:r>
            <w:r w:rsidR="001C687D" w:rsidRPr="00375DB9">
              <w:rPr>
                <w:rFonts w:ascii="Arial" w:hAnsi="Arial" w:cs="Arial"/>
              </w:rPr>
              <w:t>R Heathcote SC</w:t>
            </w:r>
          </w:p>
          <w:p w:rsidR="001C687D" w:rsidRDefault="001C687D" w:rsidP="001C687D">
            <w:pPr>
              <w:jc w:val="both"/>
              <w:rPr>
                <w:rFonts w:ascii="Arial" w:hAnsi="Arial" w:cs="Arial"/>
              </w:rPr>
            </w:pPr>
            <w:r>
              <w:rPr>
                <w:rFonts w:ascii="Arial" w:hAnsi="Arial" w:cs="Arial"/>
              </w:rPr>
              <w:t xml:space="preserve">                    </w:t>
            </w:r>
            <w:r w:rsidRPr="00375DB9">
              <w:rPr>
                <w:rFonts w:ascii="Arial" w:hAnsi="Arial" w:cs="Arial"/>
              </w:rPr>
              <w:t>R Maasdorp</w:t>
            </w:r>
          </w:p>
          <w:p w:rsidR="001C687D" w:rsidRPr="00375DB9" w:rsidRDefault="001C687D" w:rsidP="001C687D">
            <w:pPr>
              <w:jc w:val="both"/>
              <w:rPr>
                <w:rFonts w:ascii="Arial" w:hAnsi="Arial" w:cs="Arial"/>
              </w:rPr>
            </w:pPr>
          </w:p>
          <w:p w:rsidR="001C687D" w:rsidRPr="006E49A3" w:rsidRDefault="00B14141" w:rsidP="001C687D">
            <w:pPr>
              <w:spacing w:line="360" w:lineRule="auto"/>
              <w:jc w:val="both"/>
              <w:rPr>
                <w:rFonts w:ascii="Arial" w:hAnsi="Arial" w:cs="Arial"/>
                <w:i/>
              </w:rPr>
            </w:pPr>
            <w:r>
              <w:rPr>
                <w:rFonts w:ascii="Arial" w:hAnsi="Arial" w:cs="Arial"/>
                <w:i/>
              </w:rPr>
              <w:t xml:space="preserve">                   </w:t>
            </w:r>
            <w:r w:rsidR="001C687D">
              <w:rPr>
                <w:rFonts w:ascii="Arial" w:hAnsi="Arial" w:cs="Arial"/>
                <w:i/>
              </w:rPr>
              <w:t>Instructed by</w:t>
            </w:r>
          </w:p>
          <w:p w:rsidR="001C687D" w:rsidRPr="006E49A3" w:rsidRDefault="00B14141" w:rsidP="001C687D">
            <w:pPr>
              <w:spacing w:line="360" w:lineRule="auto"/>
              <w:jc w:val="both"/>
              <w:rPr>
                <w:rFonts w:ascii="Arial" w:hAnsi="Arial" w:cs="Arial"/>
                <w:sz w:val="24"/>
                <w:szCs w:val="24"/>
              </w:rPr>
            </w:pPr>
            <w:r>
              <w:rPr>
                <w:rFonts w:ascii="Arial" w:hAnsi="Arial" w:cs="Arial"/>
              </w:rPr>
              <w:t xml:space="preserve">       </w:t>
            </w:r>
            <w:r w:rsidR="001C687D">
              <w:rPr>
                <w:rFonts w:ascii="Arial" w:hAnsi="Arial" w:cs="Arial"/>
              </w:rPr>
              <w:t>Francois Erasmus &amp; Partners</w:t>
            </w:r>
          </w:p>
          <w:p w:rsidR="001C687D" w:rsidRPr="006E49A3" w:rsidRDefault="001C687D" w:rsidP="001C687D">
            <w:pPr>
              <w:spacing w:line="360" w:lineRule="auto"/>
              <w:jc w:val="center"/>
              <w:rPr>
                <w:rFonts w:ascii="Arial" w:hAnsi="Arial" w:cs="Arial"/>
              </w:rPr>
            </w:pPr>
          </w:p>
        </w:tc>
      </w:tr>
    </w:tbl>
    <w:p w:rsidR="00422CA6" w:rsidRDefault="00422CA6" w:rsidP="00EB27A0">
      <w:pPr>
        <w:spacing w:after="0" w:line="360" w:lineRule="auto"/>
        <w:jc w:val="both"/>
        <w:rPr>
          <w:rFonts w:ascii="Arial" w:hAnsi="Arial" w:cs="Arial"/>
          <w:sz w:val="24"/>
          <w:szCs w:val="24"/>
        </w:rPr>
      </w:pPr>
    </w:p>
    <w:p w:rsidR="001C687D" w:rsidRDefault="001C687D" w:rsidP="00EB27A0">
      <w:pPr>
        <w:spacing w:after="0" w:line="360" w:lineRule="auto"/>
        <w:jc w:val="both"/>
        <w:rPr>
          <w:rFonts w:ascii="Arial" w:hAnsi="Arial" w:cs="Arial"/>
          <w:sz w:val="24"/>
          <w:szCs w:val="24"/>
        </w:rPr>
      </w:pPr>
    </w:p>
    <w:sectPr w:rsidR="001C687D" w:rsidSect="00026D86">
      <w:footerReference w:type="default" r:id="rId8"/>
      <w:pgSz w:w="11906" w:h="16838"/>
      <w:pgMar w:top="1134" w:right="1440" w:bottom="851" w:left="1440"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F9" w:rsidRDefault="00836FF9" w:rsidP="00A23F8A">
      <w:pPr>
        <w:spacing w:after="0" w:line="240" w:lineRule="auto"/>
      </w:pPr>
      <w:r>
        <w:separator/>
      </w:r>
    </w:p>
  </w:endnote>
  <w:endnote w:type="continuationSeparator" w:id="0">
    <w:p w:rsidR="00836FF9" w:rsidRDefault="00836FF9"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792931"/>
      <w:docPartObj>
        <w:docPartGallery w:val="Page Numbers (Bottom of Page)"/>
        <w:docPartUnique/>
      </w:docPartObj>
    </w:sdtPr>
    <w:sdtEndPr>
      <w:rPr>
        <w:noProof/>
      </w:rPr>
    </w:sdtEndPr>
    <w:sdtContent>
      <w:p w:rsidR="00A23F8A" w:rsidRDefault="00A23F8A">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2C2EE3">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F9" w:rsidRDefault="00836FF9" w:rsidP="00A23F8A">
      <w:pPr>
        <w:spacing w:after="0" w:line="240" w:lineRule="auto"/>
      </w:pPr>
      <w:r>
        <w:separator/>
      </w:r>
    </w:p>
  </w:footnote>
  <w:footnote w:type="continuationSeparator" w:id="0">
    <w:p w:rsidR="00836FF9" w:rsidRDefault="00836FF9" w:rsidP="00A23F8A">
      <w:pPr>
        <w:spacing w:after="0" w:line="240" w:lineRule="auto"/>
      </w:pPr>
      <w:r>
        <w:continuationSeparator/>
      </w:r>
    </w:p>
  </w:footnote>
  <w:footnote w:id="1">
    <w:p w:rsidR="00DC4D46" w:rsidRPr="00DC4D46" w:rsidRDefault="00DC4D46">
      <w:pPr>
        <w:pStyle w:val="FootnoteText"/>
        <w:rPr>
          <w:lang w:val="en-US"/>
        </w:rPr>
      </w:pPr>
      <w:r w:rsidRPr="00DC4D46">
        <w:rPr>
          <w:rStyle w:val="FootnoteReference"/>
          <w:rFonts w:ascii="Arial" w:hAnsi="Arial" w:cs="Arial"/>
        </w:rPr>
        <w:footnoteRef/>
      </w:r>
      <w:r w:rsidRPr="00DC4D46">
        <w:rPr>
          <w:rFonts w:ascii="Arial" w:hAnsi="Arial" w:cs="Arial"/>
        </w:rPr>
        <w:t xml:space="preserve"> See</w:t>
      </w:r>
      <w:r>
        <w:t xml:space="preserve"> </w:t>
      </w:r>
      <w:r w:rsidRPr="00DC4D46">
        <w:rPr>
          <w:rFonts w:ascii="Arial" w:hAnsi="Arial" w:cs="Arial"/>
          <w:i/>
          <w:iCs/>
          <w:color w:val="000000" w:themeColor="text1"/>
        </w:rPr>
        <w:t xml:space="preserve">Namibia Water Corporation Ltd v Tjipangandjara </w:t>
      </w:r>
      <w:r w:rsidRPr="00DC4D46">
        <w:rPr>
          <w:rFonts w:ascii="Arial" w:hAnsi="Arial" w:cs="Arial"/>
          <w:iCs/>
          <w:color w:val="000000" w:themeColor="text1"/>
        </w:rPr>
        <w:t>at [15]</w:t>
      </w:r>
      <w:r w:rsidR="00D40DDC">
        <w:rPr>
          <w:rFonts w:ascii="Arial" w:hAnsi="Arial" w:cs="Arial"/>
          <w:iCs/>
          <w:color w:val="000000" w:themeColor="text1"/>
        </w:rPr>
        <w:t>.</w:t>
      </w:r>
    </w:p>
  </w:footnote>
  <w:footnote w:id="2">
    <w:p w:rsidR="00DC4D46" w:rsidRPr="00A76653" w:rsidRDefault="00DC4D46" w:rsidP="00F24531">
      <w:pPr>
        <w:pStyle w:val="FootnoteText"/>
        <w:jc w:val="both"/>
        <w:rPr>
          <w:rFonts w:ascii="Arial" w:hAnsi="Arial" w:cs="Arial"/>
          <w:lang w:val="en-US"/>
        </w:rPr>
      </w:pPr>
      <w:r>
        <w:rPr>
          <w:rStyle w:val="FootnoteReference"/>
        </w:rPr>
        <w:footnoteRef/>
      </w:r>
      <w:r w:rsidRPr="00A76653">
        <w:rPr>
          <w:rFonts w:ascii="Arial" w:hAnsi="Arial" w:cs="Arial"/>
        </w:rPr>
        <w:t xml:space="preserve"> </w:t>
      </w:r>
      <w:r w:rsidRPr="00A76653">
        <w:rPr>
          <w:rFonts w:ascii="Arial" w:hAnsi="Arial" w:cs="Arial"/>
          <w:lang w:val="en-US"/>
        </w:rPr>
        <w:t>See Rule 115(1)</w:t>
      </w:r>
      <w:r w:rsidR="00D40DDC">
        <w:rPr>
          <w:rFonts w:ascii="Arial" w:hAnsi="Arial" w:cs="Arial"/>
          <w:lang w:val="en-US"/>
        </w:rPr>
        <w:t>.</w:t>
      </w:r>
    </w:p>
  </w:footnote>
  <w:footnote w:id="3">
    <w:p w:rsidR="00A76653" w:rsidRPr="00A76653" w:rsidRDefault="00A76653">
      <w:pPr>
        <w:pStyle w:val="FootnoteText"/>
        <w:rPr>
          <w:rFonts w:ascii="Arial" w:hAnsi="Arial" w:cs="Arial"/>
          <w:lang w:val="en-US"/>
        </w:rPr>
      </w:pPr>
      <w:r w:rsidRPr="00A76653">
        <w:rPr>
          <w:rStyle w:val="FootnoteReference"/>
          <w:rFonts w:ascii="Arial" w:hAnsi="Arial" w:cs="Arial"/>
        </w:rPr>
        <w:footnoteRef/>
      </w:r>
      <w:r w:rsidRPr="00A76653">
        <w:rPr>
          <w:rFonts w:ascii="Arial" w:hAnsi="Arial" w:cs="Arial"/>
        </w:rPr>
        <w:t xml:space="preserve"> </w:t>
      </w:r>
      <w:r w:rsidRPr="00A76653">
        <w:rPr>
          <w:rFonts w:ascii="Arial" w:hAnsi="Arial" w:cs="Arial"/>
          <w:lang w:val="en-US"/>
        </w:rPr>
        <w:t>As required in this instance by Rule 115(2)</w:t>
      </w:r>
      <w:r w:rsidR="00D40DDC">
        <w:rPr>
          <w:rFonts w:ascii="Arial" w:hAnsi="Arial" w:cs="Arial"/>
          <w:lang w:val="en-US"/>
        </w:rPr>
        <w:t>.</w:t>
      </w:r>
    </w:p>
  </w:footnote>
  <w:footnote w:id="4">
    <w:p w:rsidR="00CE298D" w:rsidRPr="00CE298D" w:rsidRDefault="00CE298D" w:rsidP="00F24531">
      <w:pPr>
        <w:pStyle w:val="FootnoteText"/>
        <w:jc w:val="both"/>
        <w:rPr>
          <w:lang w:val="en-US"/>
        </w:rPr>
      </w:pPr>
      <w:r w:rsidRPr="00A76653">
        <w:rPr>
          <w:rStyle w:val="FootnoteReference"/>
          <w:rFonts w:ascii="Arial" w:hAnsi="Arial" w:cs="Arial"/>
        </w:rPr>
        <w:footnoteRef/>
      </w:r>
      <w:r w:rsidRPr="00A76653">
        <w:rPr>
          <w:rFonts w:ascii="Arial" w:hAnsi="Arial" w:cs="Arial"/>
        </w:rPr>
        <w:t xml:space="preserve"> </w:t>
      </w:r>
      <w:r w:rsidR="00F24531" w:rsidRPr="00A76653">
        <w:rPr>
          <w:rFonts w:ascii="Arial" w:hAnsi="Arial" w:cs="Arial"/>
          <w:lang w:val="en-US"/>
        </w:rPr>
        <w:t>Compare</w:t>
      </w:r>
      <w:r w:rsidRPr="00A76653">
        <w:rPr>
          <w:rFonts w:ascii="Arial" w:hAnsi="Arial" w:cs="Arial"/>
          <w:lang w:val="en-US"/>
        </w:rPr>
        <w:t xml:space="preserve"> in this regard for instance Rules 61(1) and (2)</w:t>
      </w:r>
      <w:r w:rsidR="002C2EE3">
        <w:rPr>
          <w:rFonts w:ascii="Arial" w:hAnsi="Arial" w:cs="Arial"/>
          <w:lang w:val="en-US"/>
        </w:rPr>
        <w:t xml:space="preserve"> See also</w:t>
      </w:r>
      <w:r w:rsidR="00A76653">
        <w:rPr>
          <w:rFonts w:ascii="Arial" w:hAnsi="Arial" w:cs="Arial"/>
          <w:lang w:val="en-US"/>
        </w:rPr>
        <w:t>:</w:t>
      </w:r>
      <w:r>
        <w:rPr>
          <w:lang w:val="en-US"/>
        </w:rPr>
        <w:t xml:space="preserve"> </w:t>
      </w:r>
      <w:r w:rsidR="00F24531" w:rsidRPr="0059498F">
        <w:rPr>
          <w:rFonts w:ascii="Arial" w:hAnsi="Arial" w:cs="Arial"/>
          <w:i/>
          <w:lang w:val="en-US"/>
        </w:rPr>
        <w:t>Veldman and Another v Bester</w:t>
      </w:r>
      <w:r w:rsidR="00F24531" w:rsidRPr="0059498F">
        <w:rPr>
          <w:rFonts w:ascii="Arial" w:hAnsi="Arial" w:cs="Arial"/>
          <w:lang w:val="en-US"/>
        </w:rPr>
        <w:t xml:space="preserve"> 2011 (2) NR 581 (HC) at [18] to [25] (under the old rules) and</w:t>
      </w:r>
      <w:r w:rsidR="00F24531" w:rsidRPr="0059498F">
        <w:rPr>
          <w:rFonts w:ascii="Arial" w:eastAsiaTheme="minorEastAsia" w:hAnsi="Arial" w:cs="Arial"/>
        </w:rPr>
        <w:t xml:space="preserve"> </w:t>
      </w:r>
      <w:r w:rsidR="00F24531" w:rsidRPr="0059498F">
        <w:rPr>
          <w:rFonts w:ascii="Arial" w:eastAsiaTheme="minorEastAsia" w:hAnsi="Arial" w:cs="Arial"/>
          <w:i/>
        </w:rPr>
        <w:t>Namibia Competition Commission v Namib Mills (Pty) Ltd</w:t>
      </w:r>
      <w:r w:rsidR="00F24531" w:rsidRPr="0059498F">
        <w:rPr>
          <w:rFonts w:ascii="Arial" w:eastAsiaTheme="minorEastAsia" w:hAnsi="Arial" w:cs="Arial"/>
        </w:rPr>
        <w:t xml:space="preserve"> (HC-MD-CIV-MOT-GEN-2017/00061) [2019] 465 (7 November 2019) (under the new rules)</w:t>
      </w:r>
      <w:r w:rsidR="00D40DDC">
        <w:rPr>
          <w:rFonts w:ascii="Arial" w:eastAsiaTheme="minorEastAsia" w:hAnsi="Arial" w:cs="Arial"/>
        </w:rPr>
        <w:t>.</w:t>
      </w:r>
    </w:p>
  </w:footnote>
  <w:footnote w:id="5">
    <w:p w:rsidR="00505D78" w:rsidRPr="00006ACE" w:rsidRDefault="00505D78" w:rsidP="00505D78">
      <w:pPr>
        <w:pStyle w:val="FootnoteText"/>
        <w:jc w:val="both"/>
        <w:rPr>
          <w:rFonts w:ascii="Arial" w:hAnsi="Arial" w:cs="Arial"/>
          <w:lang w:val="en-US"/>
        </w:rPr>
      </w:pPr>
      <w:r w:rsidRPr="00006ACE">
        <w:rPr>
          <w:rStyle w:val="FootnoteReference"/>
          <w:rFonts w:ascii="Arial" w:hAnsi="Arial" w:cs="Arial"/>
        </w:rPr>
        <w:footnoteRef/>
      </w:r>
      <w:r w:rsidRPr="00006ACE">
        <w:rPr>
          <w:rFonts w:ascii="Arial" w:hAnsi="Arial" w:cs="Arial"/>
        </w:rPr>
        <w:t xml:space="preserve"> </w:t>
      </w:r>
      <w:r w:rsidRPr="00006ACE">
        <w:rPr>
          <w:rFonts w:ascii="Arial" w:hAnsi="Arial" w:cs="Arial"/>
          <w:lang w:val="en-US"/>
        </w:rPr>
        <w:t>Save possibly for those relating to the Court order under paragraph 4 which relate to the preceding interpretation of the concept ‘possession’ as used in Rule 76(6) and the resultant qualified order for the production of materials possibly not in the possession of the Minister</w:t>
      </w:r>
      <w:r w:rsidR="00006ACE">
        <w:rPr>
          <w:rFonts w:ascii="Arial" w:hAnsi="Arial" w:cs="Arial"/>
          <w:lang w:val="en-US"/>
        </w:rPr>
        <w:t>.</w:t>
      </w:r>
    </w:p>
  </w:footnote>
  <w:footnote w:id="6">
    <w:p w:rsidR="00006ACE" w:rsidRPr="009A12B9" w:rsidRDefault="00006ACE" w:rsidP="009A12B9">
      <w:pPr>
        <w:pStyle w:val="FootnoteText"/>
        <w:jc w:val="both"/>
        <w:rPr>
          <w:rFonts w:ascii="Arial" w:hAnsi="Arial" w:cs="Arial"/>
          <w:lang w:val="en-US"/>
        </w:rPr>
      </w:pPr>
      <w:r w:rsidRPr="009A12B9">
        <w:rPr>
          <w:rStyle w:val="FootnoteReference"/>
          <w:rFonts w:ascii="Arial" w:hAnsi="Arial" w:cs="Arial"/>
        </w:rPr>
        <w:footnoteRef/>
      </w:r>
      <w:r w:rsidRPr="009A12B9">
        <w:rPr>
          <w:rFonts w:ascii="Arial" w:hAnsi="Arial" w:cs="Arial"/>
        </w:rPr>
        <w:t xml:space="preserve"> </w:t>
      </w:r>
      <w:r w:rsidRPr="009A12B9">
        <w:rPr>
          <w:rFonts w:ascii="Arial" w:hAnsi="Arial" w:cs="Arial"/>
          <w:u w:val="single"/>
        </w:rPr>
        <w:t>Von Weidts v Minister of Lands and Resettlement and Another</w:t>
      </w:r>
      <w:r w:rsidRPr="009A12B9">
        <w:rPr>
          <w:rFonts w:ascii="Arial" w:hAnsi="Arial" w:cs="Arial"/>
        </w:rPr>
        <w:t xml:space="preserve"> 2016 (2) NR 500 (HC) at par 5 with reference to </w:t>
      </w:r>
      <w:r w:rsidRPr="009A12B9">
        <w:rPr>
          <w:rFonts w:ascii="Arial" w:hAnsi="Arial" w:cs="Arial"/>
          <w:u w:val="single"/>
        </w:rPr>
        <w:t>Minister of Justice and Constitutional Development and Others v Southern Africa Litigation Centre and Others</w:t>
      </w:r>
      <w:r w:rsidRPr="009A12B9">
        <w:rPr>
          <w:rFonts w:ascii="Arial" w:hAnsi="Arial" w:cs="Arial"/>
        </w:rPr>
        <w:t xml:space="preserve"> 2016 (3) SA 317 (SCA) at par 24; </w:t>
      </w:r>
      <w:r w:rsidRPr="009A12B9">
        <w:rPr>
          <w:rFonts w:ascii="Arial" w:hAnsi="Arial" w:cs="Arial"/>
          <w:u w:val="single"/>
        </w:rPr>
        <w:t>Lameck v State</w:t>
      </w:r>
      <w:r w:rsidRPr="009A12B9">
        <w:rPr>
          <w:rFonts w:ascii="Arial" w:hAnsi="Arial" w:cs="Arial"/>
        </w:rPr>
        <w:t xml:space="preserve"> (CC 15/2015) [2014] NAHCMD 85 (10 April 2015) at par 10 and 11</w:t>
      </w:r>
      <w:r w:rsidR="002C2EE3">
        <w:rPr>
          <w:rFonts w:ascii="Arial" w:hAnsi="Arial" w:cs="Arial"/>
        </w:rPr>
        <w:t>.</w:t>
      </w:r>
    </w:p>
  </w:footnote>
  <w:footnote w:id="7">
    <w:p w:rsidR="00015E9D" w:rsidRPr="009A12B9" w:rsidRDefault="00015E9D" w:rsidP="00015E9D">
      <w:pPr>
        <w:pStyle w:val="FootnoteText"/>
        <w:jc w:val="both"/>
        <w:rPr>
          <w:rFonts w:ascii="Arial" w:hAnsi="Arial" w:cs="Arial"/>
        </w:rPr>
      </w:pPr>
      <w:r w:rsidRPr="009A12B9">
        <w:rPr>
          <w:rStyle w:val="FootnoteReference"/>
          <w:rFonts w:ascii="Arial" w:hAnsi="Arial" w:cs="Arial"/>
        </w:rPr>
        <w:footnoteRef/>
      </w:r>
      <w:r w:rsidRPr="009A12B9">
        <w:rPr>
          <w:rFonts w:ascii="Arial" w:hAnsi="Arial" w:cs="Arial"/>
        </w:rPr>
        <w:t xml:space="preserve"> </w:t>
      </w:r>
      <w:r w:rsidRPr="009A12B9">
        <w:rPr>
          <w:rFonts w:ascii="Arial" w:hAnsi="Arial" w:cs="Arial"/>
          <w:u w:val="single"/>
        </w:rPr>
        <w:t>Hollard</w:t>
      </w:r>
      <w:r w:rsidRPr="009A12B9">
        <w:rPr>
          <w:rFonts w:ascii="Arial" w:hAnsi="Arial" w:cs="Arial"/>
        </w:rPr>
        <w:t xml:space="preserve"> at par 9 (quoting par 20 of </w:t>
      </w:r>
      <w:r w:rsidRPr="009A12B9">
        <w:rPr>
          <w:rFonts w:ascii="Arial" w:hAnsi="Arial" w:cs="Arial"/>
          <w:u w:val="single"/>
        </w:rPr>
        <w:t>Shetu</w:t>
      </w:r>
      <w:r w:rsidRPr="009A12B9">
        <w:rPr>
          <w:rFonts w:ascii="Arial" w:hAnsi="Arial" w:cs="Arial"/>
        </w:rPr>
        <w:t xml:space="preserve">): </w:t>
      </w:r>
    </w:p>
    <w:p w:rsidR="00015E9D" w:rsidRPr="009A12B9" w:rsidRDefault="00015E9D" w:rsidP="00015E9D">
      <w:pPr>
        <w:pStyle w:val="FootnoteText"/>
        <w:ind w:left="567"/>
        <w:jc w:val="both"/>
        <w:rPr>
          <w:rFonts w:ascii="Arial" w:hAnsi="Arial" w:cs="Arial"/>
        </w:rPr>
      </w:pPr>
      <w:r w:rsidRPr="009A12B9">
        <w:rPr>
          <w:rFonts w:ascii="Arial" w:hAnsi="Arial" w:cs="Arial"/>
        </w:rPr>
        <w:t>“There are important reasons for preventing appeals on rulings. In </w:t>
      </w:r>
      <w:r w:rsidRPr="009A12B9">
        <w:rPr>
          <w:rFonts w:ascii="Arial" w:hAnsi="Arial" w:cs="Arial"/>
          <w:i/>
          <w:iCs/>
        </w:rPr>
        <w:t>Knouwds NO v Josea and Another</w:t>
      </w:r>
      <w:r w:rsidRPr="009A12B9">
        <w:rPr>
          <w:rFonts w:ascii="Arial" w:hAnsi="Arial" w:cs="Arial"/>
        </w:rPr>
        <w:t>, this court cited with approval the following remarks of the South African Supreme Court of Appeal in </w:t>
      </w:r>
      <w:r w:rsidRPr="009A12B9">
        <w:rPr>
          <w:rFonts w:ascii="Arial" w:hAnsi="Arial" w:cs="Arial"/>
          <w:i/>
          <w:iCs/>
        </w:rPr>
        <w:t>Guardian National Insurance Co Ltd v Searle NO</w:t>
      </w:r>
      <w:r w:rsidRPr="009A12B9">
        <w:rPr>
          <w:rFonts w:ascii="Arial" w:hAnsi="Arial" w:cs="Arial"/>
        </w:rPr>
        <w:t xml:space="preserve">, </w:t>
      </w:r>
    </w:p>
    <w:p w:rsidR="00015E9D" w:rsidRPr="009A12B9" w:rsidRDefault="00015E9D" w:rsidP="00015E9D">
      <w:pPr>
        <w:pStyle w:val="FootnoteText"/>
        <w:ind w:left="1134"/>
        <w:jc w:val="both"/>
        <w:rPr>
          <w:rFonts w:ascii="Arial" w:hAnsi="Arial" w:cs="Arial"/>
        </w:rPr>
      </w:pPr>
      <w:r w:rsidRPr="009A12B9">
        <w:rPr>
          <w:rFonts w:ascii="Arial" w:hAnsi="Arial" w:cs="Arial"/>
          <w:i/>
          <w:iCs/>
        </w:rPr>
        <w:t>'There are still sound grounds for a basic approach which avoids the piecemeal appellate disposal of the issues in litigation. It is unnecessarily expensive and generally it is desirable for obvious reasons, that such issues be resolved by the same court and at one and the same time.'</w:t>
      </w:r>
      <w:r w:rsidRPr="009A12B9">
        <w:rPr>
          <w:rFonts w:ascii="Arial" w:hAnsi="Arial" w:cs="Arial"/>
        </w:rPr>
        <w:t xml:space="preserve">  As the court in </w:t>
      </w:r>
      <w:r w:rsidRPr="009A12B9">
        <w:rPr>
          <w:rFonts w:ascii="Arial" w:hAnsi="Arial" w:cs="Arial"/>
          <w:i/>
          <w:iCs/>
        </w:rPr>
        <w:t>Guardian National Insurance</w:t>
      </w:r>
      <w:r w:rsidRPr="009A12B9">
        <w:rPr>
          <w:rFonts w:ascii="Arial" w:hAnsi="Arial" w:cs="Arial"/>
        </w:rPr>
        <w:t> went on to note, one of the risks of permitting appeals on orders that are not final in effect, is that it could result in two appeals on the same issue which would be 'squarely in conflict' with the need to avoid piecemeal appeals.”</w:t>
      </w:r>
    </w:p>
    <w:p w:rsidR="00015E9D" w:rsidRPr="009A12B9" w:rsidRDefault="00015E9D" w:rsidP="00015E9D">
      <w:pPr>
        <w:pStyle w:val="FootnoteText"/>
        <w:jc w:val="both"/>
        <w:rPr>
          <w:rFonts w:ascii="Arial" w:hAnsi="Arial" w:cs="Arial"/>
          <w:lang w:val="en-US"/>
        </w:rPr>
      </w:pPr>
      <w:r w:rsidRPr="009A12B9">
        <w:rPr>
          <w:rFonts w:ascii="Arial" w:hAnsi="Arial" w:cs="Arial"/>
          <w:lang w:val="en-US"/>
        </w:rPr>
        <w:t>And at par 28:</w:t>
      </w:r>
    </w:p>
    <w:p w:rsidR="00015E9D" w:rsidRPr="009A12B9" w:rsidRDefault="00015E9D" w:rsidP="00015E9D">
      <w:pPr>
        <w:pStyle w:val="FootnoteText"/>
        <w:ind w:left="567"/>
        <w:jc w:val="both"/>
        <w:rPr>
          <w:rFonts w:ascii="Arial" w:hAnsi="Arial" w:cs="Arial"/>
          <w:lang w:val="en-US"/>
        </w:rPr>
      </w:pPr>
      <w:r w:rsidRPr="009A12B9">
        <w:rPr>
          <w:rFonts w:ascii="Arial" w:hAnsi="Arial" w:cs="Arial"/>
        </w:rPr>
        <w:t>This approach would at the same time - and to borrow a phrase - also </w:t>
      </w:r>
      <w:r w:rsidRPr="009A12B9">
        <w:rPr>
          <w:rFonts w:ascii="Arial" w:hAnsi="Arial" w:cs="Arial"/>
          <w:i/>
          <w:iCs/>
        </w:rPr>
        <w:t>‘prevent the parties from yo-yoing up and down the courts’</w:t>
      </w:r>
      <w:r w:rsidRPr="009A12B9">
        <w:rPr>
          <w:rFonts w:ascii="Arial" w:hAnsi="Arial" w:cs="Arial"/>
        </w:rPr>
        <w:t> and which approach would also prevent, at the same time, the piecemeal- appellate adjudication of issues in the litigation, pending before the lower court, which would also achieve a cost- and time saving effect, which course would also avoid the potential possibility of two appeals, on the same issue.</w:t>
      </w:r>
    </w:p>
  </w:footnote>
  <w:footnote w:id="8">
    <w:p w:rsidR="00E54A33" w:rsidRPr="00B61D65" w:rsidRDefault="00E54A33" w:rsidP="00E86360">
      <w:pPr>
        <w:pStyle w:val="FootnoteText"/>
        <w:rPr>
          <w:rFonts w:ascii="Arial" w:hAnsi="Arial" w:cs="Arial"/>
        </w:rPr>
      </w:pPr>
      <w:r w:rsidRPr="00B61D65">
        <w:rPr>
          <w:rStyle w:val="FootnoteReference"/>
          <w:rFonts w:ascii="Arial" w:hAnsi="Arial" w:cs="Arial"/>
        </w:rPr>
        <w:footnoteRef/>
      </w:r>
      <w:r w:rsidRPr="00B61D65">
        <w:rPr>
          <w:rFonts w:ascii="Arial" w:hAnsi="Arial" w:cs="Arial"/>
        </w:rPr>
        <w:t xml:space="preserve"> </w:t>
      </w:r>
      <w:r w:rsidRPr="00B61D65">
        <w:rPr>
          <w:rFonts w:ascii="Arial" w:hAnsi="Arial" w:cs="Arial"/>
          <w:i/>
          <w:iCs/>
        </w:rPr>
        <w:t>Lameck supra</w:t>
      </w:r>
      <w:r w:rsidRPr="00B61D65">
        <w:rPr>
          <w:rFonts w:ascii="Arial" w:hAnsi="Arial" w:cs="Arial"/>
        </w:rPr>
        <w:t xml:space="preserve"> para 10.</w:t>
      </w:r>
    </w:p>
  </w:footnote>
  <w:footnote w:id="9">
    <w:p w:rsidR="00E54A33" w:rsidRPr="00B61D65" w:rsidRDefault="00E54A33" w:rsidP="00E86360">
      <w:pPr>
        <w:pStyle w:val="FootnoteText"/>
        <w:snapToGrid w:val="0"/>
        <w:jc w:val="both"/>
        <w:rPr>
          <w:rFonts w:ascii="Arial" w:hAnsi="Arial" w:cs="Arial"/>
        </w:rPr>
      </w:pPr>
      <w:r w:rsidRPr="00B61D65">
        <w:rPr>
          <w:rStyle w:val="FootnoteReference"/>
          <w:rFonts w:ascii="Arial" w:hAnsi="Arial" w:cs="Arial"/>
        </w:rPr>
        <w:footnoteRef/>
      </w:r>
      <w:r w:rsidRPr="00B61D65">
        <w:rPr>
          <w:rFonts w:ascii="Arial" w:hAnsi="Arial" w:cs="Arial"/>
        </w:rPr>
        <w:t xml:space="preserve"> </w:t>
      </w:r>
      <w:r w:rsidRPr="00B61D65">
        <w:rPr>
          <w:rFonts w:ascii="Arial" w:hAnsi="Arial" w:cs="Arial"/>
          <w:i/>
        </w:rPr>
        <w:t xml:space="preserve">Helen Suzman Foundation v Judicial Service Commission </w:t>
      </w:r>
      <w:r w:rsidRPr="00B61D65">
        <w:rPr>
          <w:rFonts w:ascii="Arial" w:hAnsi="Arial" w:cs="Arial"/>
        </w:rPr>
        <w:t>2018 (4) SA 1 (CC).</w:t>
      </w:r>
    </w:p>
  </w:footnote>
  <w:footnote w:id="10">
    <w:p w:rsidR="00250BD5" w:rsidRPr="00701F1F" w:rsidRDefault="00250BD5" w:rsidP="00701F1F">
      <w:pPr>
        <w:pStyle w:val="FootnoteText"/>
        <w:jc w:val="both"/>
        <w:rPr>
          <w:rFonts w:ascii="Arial" w:hAnsi="Arial" w:cs="Arial"/>
          <w:color w:val="000000" w:themeColor="text1"/>
        </w:rPr>
      </w:pPr>
      <w:r w:rsidRPr="00D03018">
        <w:rPr>
          <w:rStyle w:val="FootnoteReference"/>
          <w:rFonts w:ascii="Arial" w:hAnsi="Arial" w:cs="Arial"/>
          <w:color w:val="000000" w:themeColor="text1"/>
        </w:rPr>
        <w:footnoteRef/>
      </w:r>
      <w:r w:rsidRPr="00D03018">
        <w:rPr>
          <w:rFonts w:ascii="Arial" w:hAnsi="Arial" w:cs="Arial"/>
          <w:color w:val="000000" w:themeColor="text1"/>
        </w:rPr>
        <w:t xml:space="preserve"> </w:t>
      </w:r>
      <w:r w:rsidRPr="00701F1F">
        <w:rPr>
          <w:rFonts w:ascii="Arial" w:hAnsi="Arial" w:cs="Arial"/>
          <w:i/>
          <w:color w:val="000000" w:themeColor="text1"/>
        </w:rPr>
        <w:t xml:space="preserve">City of Tshwane Metropolitan Municipality v Afriforum </w:t>
      </w:r>
      <w:r w:rsidRPr="00D03018">
        <w:rPr>
          <w:rFonts w:ascii="Arial" w:hAnsi="Arial" w:cs="Arial"/>
          <w:color w:val="000000" w:themeColor="text1"/>
        </w:rPr>
        <w:t>2016 (6)</w:t>
      </w:r>
      <w:r w:rsidR="00701F1F">
        <w:rPr>
          <w:rFonts w:ascii="Arial" w:hAnsi="Arial" w:cs="Arial"/>
          <w:color w:val="000000" w:themeColor="text1"/>
        </w:rPr>
        <w:t xml:space="preserve"> SA 279 (CC) at para 40 et seq. </w:t>
      </w:r>
      <w:r w:rsidRPr="00D03018">
        <w:rPr>
          <w:rFonts w:ascii="Arial" w:hAnsi="Arial" w:cs="Arial"/>
          <w:i/>
          <w:iCs/>
          <w:color w:val="000000" w:themeColor="text1"/>
        </w:rPr>
        <w:t>Lameck v State</w:t>
      </w:r>
      <w:r w:rsidRPr="00D03018">
        <w:rPr>
          <w:rFonts w:ascii="Arial" w:hAnsi="Arial" w:cs="Arial"/>
          <w:color w:val="000000" w:themeColor="text1"/>
        </w:rPr>
        <w:t xml:space="preserve"> (CC 15/2015) [2014] NAHCMD 85 (10 April 2015) para 10 and 11.</w:t>
      </w:r>
    </w:p>
  </w:footnote>
  <w:footnote w:id="11">
    <w:p w:rsidR="003E03A1" w:rsidRPr="00D03018" w:rsidRDefault="003E03A1" w:rsidP="00D03018">
      <w:pPr>
        <w:pStyle w:val="FootnoteText"/>
        <w:jc w:val="both"/>
        <w:rPr>
          <w:rFonts w:ascii="Arial" w:hAnsi="Arial" w:cs="Arial"/>
          <w:lang w:val="en-US"/>
        </w:rPr>
      </w:pPr>
      <w:r w:rsidRPr="00D03018">
        <w:rPr>
          <w:rStyle w:val="FootnoteReference"/>
          <w:rFonts w:ascii="Arial" w:hAnsi="Arial" w:cs="Arial"/>
        </w:rPr>
        <w:footnoteRef/>
      </w:r>
      <w:r w:rsidRPr="00D03018">
        <w:rPr>
          <w:rFonts w:ascii="Arial" w:hAnsi="Arial" w:cs="Arial"/>
        </w:rPr>
        <w:t xml:space="preserve"> </w:t>
      </w:r>
      <w:r w:rsidRPr="00D03018">
        <w:rPr>
          <w:rFonts w:ascii="Arial" w:hAnsi="Arial" w:cs="Arial"/>
          <w:i/>
          <w:iCs/>
        </w:rPr>
        <w:t>Lameck v State</w:t>
      </w:r>
      <w:r w:rsidRPr="00D03018">
        <w:rPr>
          <w:rFonts w:ascii="Arial" w:hAnsi="Arial" w:cs="Arial"/>
        </w:rPr>
        <w:t xml:space="preserve"> (CC 15/2015) [2014] NAHCMD 85 (10 April 2015) at [10] – [11], </w:t>
      </w:r>
      <w:r w:rsidRPr="00D03018">
        <w:rPr>
          <w:rFonts w:ascii="Arial" w:hAnsi="Arial" w:cs="Arial"/>
          <w:i/>
        </w:rPr>
        <w:t xml:space="preserve">Von Weidts v Minister of Lands and Resettlement and Another </w:t>
      </w:r>
      <w:r w:rsidRPr="00D03018">
        <w:rPr>
          <w:rFonts w:ascii="Arial" w:hAnsi="Arial" w:cs="Arial"/>
        </w:rPr>
        <w:t>2016 (2) NR 500 (HC) at [5]</w:t>
      </w:r>
      <w:r w:rsidR="00643EF9">
        <w:rPr>
          <w:rFonts w:ascii="Arial" w:hAnsi="Arial" w:cs="Arial"/>
        </w:rPr>
        <w:t>.</w:t>
      </w:r>
    </w:p>
  </w:footnote>
  <w:footnote w:id="12">
    <w:p w:rsidR="00423747" w:rsidRPr="00D03018" w:rsidRDefault="00423747" w:rsidP="00D03018">
      <w:pPr>
        <w:pStyle w:val="FootnoteText"/>
        <w:jc w:val="both"/>
        <w:rPr>
          <w:rFonts w:ascii="Arial" w:hAnsi="Arial" w:cs="Arial"/>
        </w:rPr>
      </w:pPr>
      <w:r w:rsidRPr="00D03018">
        <w:rPr>
          <w:rStyle w:val="FootnoteReference"/>
          <w:rFonts w:ascii="Arial" w:hAnsi="Arial" w:cs="Arial"/>
        </w:rPr>
        <w:footnoteRef/>
      </w:r>
      <w:r w:rsidRPr="00D03018">
        <w:rPr>
          <w:rFonts w:ascii="Arial" w:hAnsi="Arial" w:cs="Arial"/>
        </w:rPr>
        <w:t xml:space="preserve"> OUTA above n3 para 24. (</w:t>
      </w:r>
      <w:r w:rsidRPr="00D03018">
        <w:rPr>
          <w:rFonts w:ascii="Arial" w:hAnsi="Arial" w:cs="Arial"/>
          <w:i/>
        </w:rPr>
        <w:t>National Treasury and Others v Opposition to Urban Tolling Alliance and Others</w:t>
      </w:r>
      <w:r w:rsidRPr="00D03018">
        <w:rPr>
          <w:rFonts w:ascii="Arial" w:hAnsi="Arial" w:cs="Arial"/>
        </w:rPr>
        <w:t xml:space="preserve"> 2012 (6) SA 223 (CC) (2012 (11) BCLR 1148; [2012] ZACC 18) (OUTA) ) See also </w:t>
      </w:r>
      <w:r w:rsidRPr="00D03018">
        <w:rPr>
          <w:rFonts w:ascii="Arial" w:hAnsi="Arial" w:cs="Arial"/>
          <w:i/>
        </w:rPr>
        <w:t>Zweni v Minister of Law and Order</w:t>
      </w:r>
      <w:r w:rsidRPr="00D03018">
        <w:rPr>
          <w:rFonts w:ascii="Arial" w:hAnsi="Arial" w:cs="Arial"/>
        </w:rPr>
        <w:t> 1993 (1) SA 523 (A) ([1992] ZASCA 197) (Zweni) at 532J – 533A, where the court stated that:</w:t>
      </w:r>
    </w:p>
    <w:p w:rsidR="00423747" w:rsidRPr="00D03018" w:rsidRDefault="00423747" w:rsidP="00D03018">
      <w:pPr>
        <w:pStyle w:val="FootnoteText"/>
        <w:jc w:val="both"/>
        <w:rPr>
          <w:rFonts w:ascii="Arial" w:hAnsi="Arial" w:cs="Arial"/>
          <w:lang w:val="en-US"/>
        </w:rPr>
      </w:pPr>
      <w:r w:rsidRPr="00D03018">
        <w:rPr>
          <w:rFonts w:ascii="Arial" w:hAnsi="Arial" w:cs="Arial"/>
        </w:rPr>
        <w:tab/>
        <w:t>'(F)irst, the decision must be final in effect and not susceptible of alteration by the Court of first instance; second, it must be definitive of the rights of the parties; and, third, it must have the effect of disposing of at least a substantial portion of the relief claimed in the main proceedings.'</w:t>
      </w:r>
    </w:p>
  </w:footnote>
  <w:footnote w:id="13">
    <w:p w:rsidR="00423747" w:rsidRPr="00D03018" w:rsidRDefault="00423747" w:rsidP="00D03018">
      <w:pPr>
        <w:pStyle w:val="FootnoteText"/>
        <w:jc w:val="both"/>
        <w:rPr>
          <w:rFonts w:ascii="Arial" w:hAnsi="Arial" w:cs="Arial"/>
          <w:lang w:val="en-US"/>
        </w:rPr>
      </w:pPr>
      <w:r w:rsidRPr="00D03018">
        <w:rPr>
          <w:rStyle w:val="FootnoteReference"/>
          <w:rFonts w:ascii="Arial" w:hAnsi="Arial" w:cs="Arial"/>
        </w:rPr>
        <w:footnoteRef/>
      </w:r>
      <w:r w:rsidRPr="00D03018">
        <w:rPr>
          <w:rFonts w:ascii="Arial" w:hAnsi="Arial" w:cs="Arial"/>
        </w:rPr>
        <w:t xml:space="preserve"> See Zweni above n9 at 532J – 533A.</w:t>
      </w:r>
    </w:p>
  </w:footnote>
  <w:footnote w:id="14">
    <w:p w:rsidR="00423747" w:rsidRPr="00D03018" w:rsidRDefault="00423747" w:rsidP="00D03018">
      <w:pPr>
        <w:pStyle w:val="FootnoteText"/>
        <w:jc w:val="both"/>
        <w:rPr>
          <w:rFonts w:ascii="Arial" w:hAnsi="Arial" w:cs="Arial"/>
        </w:rPr>
      </w:pPr>
      <w:r w:rsidRPr="00D03018">
        <w:rPr>
          <w:rStyle w:val="FootnoteReference"/>
          <w:rFonts w:ascii="Arial" w:hAnsi="Arial" w:cs="Arial"/>
        </w:rPr>
        <w:footnoteRef/>
      </w:r>
      <w:r w:rsidRPr="00D03018">
        <w:rPr>
          <w:rFonts w:ascii="Arial" w:hAnsi="Arial" w:cs="Arial"/>
        </w:rPr>
        <w:t xml:space="preserve"> </w:t>
      </w:r>
      <w:r w:rsidRPr="00D03018">
        <w:rPr>
          <w:rFonts w:ascii="Arial" w:hAnsi="Arial" w:cs="Arial"/>
          <w:i/>
        </w:rPr>
        <w:t>South African Informal Traders Forum and Others v City of Johannesburg and Others</w:t>
      </w:r>
      <w:r w:rsidRPr="00D03018">
        <w:rPr>
          <w:rFonts w:ascii="Arial" w:hAnsi="Arial" w:cs="Arial"/>
        </w:rPr>
        <w:t> 2014 (4) SA 371 (CC) (2014 (6) BCLR 726; [2014] ZACC 8) (Informal Traders) para 17 states:</w:t>
      </w:r>
    </w:p>
    <w:p w:rsidR="00423747" w:rsidRPr="00D03018" w:rsidRDefault="00423747" w:rsidP="00D03018">
      <w:pPr>
        <w:pStyle w:val="FootnoteText"/>
        <w:jc w:val="both"/>
        <w:rPr>
          <w:rFonts w:ascii="Arial" w:hAnsi="Arial" w:cs="Arial"/>
          <w:lang w:val="en-US"/>
        </w:rPr>
      </w:pPr>
      <w:r w:rsidRPr="00D03018">
        <w:rPr>
          <w:rFonts w:ascii="Arial" w:hAnsi="Arial" w:cs="Arial"/>
        </w:rPr>
        <w:tab/>
        <w:t>'This provision [s 167(6) of the Constitution] makes it plain that the court has a wide appellate jurisdiction on constitutional matters. It may decide whether to hear an appeal from any court on any constitutional dispute provided it serves the interests of justice to do so. There is no pre-ordained divide between appealable and non-appealable issues. Provided a dispute relates to a constitutional matter, there is no general rule that prevents this court from hearing an appeal against an interlocutory decision such as the refusal of an interim interdict. However, it would be appealable only if the interests of justice so demand. Thus, this court would not without more agree to hear an appeal that impugns an interlocutory decision, especially because such a decision is open to reconsideration by the court that has granted it. Doing so would be an exception rather than the norm.'</w:t>
      </w:r>
    </w:p>
  </w:footnote>
  <w:footnote w:id="15">
    <w:p w:rsidR="00423747" w:rsidRPr="00D03018" w:rsidRDefault="00423747" w:rsidP="00D03018">
      <w:pPr>
        <w:pStyle w:val="FootnoteText"/>
        <w:jc w:val="both"/>
        <w:rPr>
          <w:rFonts w:ascii="Arial" w:hAnsi="Arial" w:cs="Arial"/>
          <w:lang w:val="en-US"/>
        </w:rPr>
      </w:pPr>
      <w:r w:rsidRPr="00D03018">
        <w:rPr>
          <w:rStyle w:val="FootnoteReference"/>
          <w:rFonts w:ascii="Arial" w:hAnsi="Arial" w:cs="Arial"/>
        </w:rPr>
        <w:footnoteRef/>
      </w:r>
      <w:r w:rsidRPr="00D03018">
        <w:rPr>
          <w:rFonts w:ascii="Arial" w:hAnsi="Arial" w:cs="Arial"/>
        </w:rPr>
        <w:t xml:space="preserve"> OUTA above n3 para 25</w:t>
      </w:r>
      <w:r w:rsidR="00D03018">
        <w:rPr>
          <w:rFonts w:ascii="Arial" w:hAnsi="Arial" w:cs="Arial"/>
        </w:rPr>
        <w:t>.</w:t>
      </w:r>
    </w:p>
  </w:footnote>
  <w:footnote w:id="16">
    <w:p w:rsidR="00423747" w:rsidRPr="00D83425" w:rsidRDefault="00423747" w:rsidP="00423747">
      <w:pPr>
        <w:pStyle w:val="FootnoteText"/>
        <w:rPr>
          <w:lang w:val="en-US"/>
        </w:rPr>
      </w:pPr>
      <w:r>
        <w:rPr>
          <w:rStyle w:val="FootnoteReference"/>
        </w:rPr>
        <w:footnoteRef/>
      </w:r>
      <w:r>
        <w:t xml:space="preserve"> </w:t>
      </w:r>
      <w:r w:rsidRPr="00423747">
        <w:t>Id para 25</w:t>
      </w:r>
      <w:r w:rsidR="00643EF9">
        <w:t>.</w:t>
      </w:r>
    </w:p>
  </w:footnote>
  <w:footnote w:id="17">
    <w:p w:rsidR="008A0DCC" w:rsidRPr="00991C7C" w:rsidRDefault="008A0DCC" w:rsidP="00991C7C">
      <w:pPr>
        <w:pStyle w:val="FootnoteText"/>
        <w:jc w:val="both"/>
        <w:rPr>
          <w:rFonts w:ascii="Arial" w:hAnsi="Arial" w:cs="Arial"/>
          <w:lang w:val="en-US"/>
        </w:rPr>
      </w:pPr>
      <w:r w:rsidRPr="00991C7C">
        <w:rPr>
          <w:rStyle w:val="FootnoteReference"/>
          <w:rFonts w:ascii="Arial" w:hAnsi="Arial" w:cs="Arial"/>
        </w:rPr>
        <w:footnoteRef/>
      </w:r>
      <w:r w:rsidRPr="00991C7C">
        <w:rPr>
          <w:rFonts w:ascii="Arial" w:hAnsi="Arial" w:cs="Arial"/>
          <w:i/>
        </w:rPr>
        <w:t xml:space="preserve"> Moch v Nedtravel (Pty) Ltd t/a American Express Travel Service</w:t>
      </w:r>
      <w:r w:rsidRPr="00991C7C">
        <w:rPr>
          <w:rFonts w:ascii="Arial" w:hAnsi="Arial" w:cs="Arial"/>
        </w:rPr>
        <w:t> 1996 (3) SA 1 (A) at 10F</w:t>
      </w:r>
      <w:r w:rsidR="00991C7C">
        <w:rPr>
          <w:rFonts w:ascii="Arial" w:hAnsi="Arial" w:cs="Arial"/>
        </w:rPr>
        <w:t>.</w:t>
      </w:r>
    </w:p>
  </w:footnote>
  <w:footnote w:id="18">
    <w:p w:rsidR="009A7A36" w:rsidRPr="00991C7C" w:rsidRDefault="009A7A36" w:rsidP="00991C7C">
      <w:pPr>
        <w:pStyle w:val="FootnoteText"/>
        <w:jc w:val="both"/>
        <w:rPr>
          <w:rFonts w:ascii="Arial" w:hAnsi="Arial" w:cs="Arial"/>
          <w:lang w:val="en-US"/>
        </w:rPr>
      </w:pPr>
      <w:r w:rsidRPr="00991C7C">
        <w:rPr>
          <w:rStyle w:val="FootnoteReference"/>
          <w:rFonts w:ascii="Arial" w:hAnsi="Arial" w:cs="Arial"/>
        </w:rPr>
        <w:footnoteRef/>
      </w:r>
      <w:r w:rsidRPr="00991C7C">
        <w:rPr>
          <w:rFonts w:ascii="Arial" w:hAnsi="Arial" w:cs="Arial"/>
        </w:rPr>
        <w:t xml:space="preserve"> </w:t>
      </w:r>
      <w:r w:rsidR="00ED4B8B">
        <w:rPr>
          <w:rFonts w:ascii="Arial" w:hAnsi="Arial" w:cs="Arial"/>
          <w:lang w:val="en-US"/>
        </w:rPr>
        <w:t>See for example</w:t>
      </w:r>
      <w:r w:rsidRPr="00991C7C">
        <w:rPr>
          <w:rFonts w:ascii="Arial" w:hAnsi="Arial" w:cs="Arial"/>
          <w:lang w:val="en-US"/>
        </w:rPr>
        <w:t xml:space="preserve"> :</w:t>
      </w:r>
      <w:r w:rsidRPr="00991C7C">
        <w:rPr>
          <w:rFonts w:ascii="Arial" w:hAnsi="Arial" w:cs="Arial"/>
          <w:i/>
          <w:lang w:val="en-US"/>
        </w:rPr>
        <w:t xml:space="preserve"> Shetu Trading CC v Chair, Tender Board of Namibia and Others</w:t>
      </w:r>
      <w:r w:rsidRPr="00991C7C">
        <w:rPr>
          <w:rFonts w:ascii="Arial" w:hAnsi="Arial" w:cs="Arial"/>
          <w:lang w:val="en-US"/>
        </w:rPr>
        <w:t xml:space="preserve"> </w:t>
      </w:r>
      <w:r w:rsidR="00505D78" w:rsidRPr="00991C7C">
        <w:rPr>
          <w:rFonts w:ascii="Arial" w:hAnsi="Arial" w:cs="Arial"/>
        </w:rPr>
        <w:t>2012 (1) NR 162 (SC</w:t>
      </w:r>
      <w:r w:rsidR="00505D78" w:rsidRPr="00991C7C">
        <w:rPr>
          <w:rFonts w:ascii="Arial" w:hAnsi="Arial" w:cs="Arial"/>
          <w:lang w:val="en-US"/>
        </w:rPr>
        <w:t xml:space="preserve"> </w:t>
      </w:r>
      <w:r w:rsidRPr="00991C7C">
        <w:rPr>
          <w:rFonts w:ascii="Arial" w:hAnsi="Arial" w:cs="Arial"/>
          <w:lang w:val="en-US"/>
        </w:rPr>
        <w:t>at [22]</w:t>
      </w:r>
      <w:r w:rsidR="00991C7C">
        <w:rPr>
          <w:rFonts w:ascii="Arial" w:hAnsi="Arial" w:cs="Arial"/>
          <w:lang w:val="en-US"/>
        </w:rPr>
        <w:t>.</w:t>
      </w:r>
    </w:p>
  </w:footnote>
  <w:footnote w:id="19">
    <w:p w:rsidR="008A4407" w:rsidRPr="00991C7C" w:rsidRDefault="008A4407" w:rsidP="00991C7C">
      <w:pPr>
        <w:pStyle w:val="FootnoteText"/>
        <w:jc w:val="both"/>
        <w:rPr>
          <w:rFonts w:ascii="Arial" w:hAnsi="Arial" w:cs="Arial"/>
          <w:lang w:val="en-US"/>
        </w:rPr>
      </w:pPr>
      <w:r w:rsidRPr="00991C7C">
        <w:rPr>
          <w:rStyle w:val="FootnoteReference"/>
          <w:rFonts w:ascii="Arial" w:hAnsi="Arial" w:cs="Arial"/>
        </w:rPr>
        <w:footnoteRef/>
      </w:r>
      <w:r w:rsidRPr="00991C7C">
        <w:rPr>
          <w:rFonts w:ascii="Arial" w:hAnsi="Arial" w:cs="Arial"/>
        </w:rPr>
        <w:t xml:space="preserve"> </w:t>
      </w:r>
      <w:r w:rsidRPr="00991C7C">
        <w:rPr>
          <w:rFonts w:ascii="Arial" w:hAnsi="Arial" w:cs="Arial"/>
          <w:lang w:val="en-US"/>
        </w:rPr>
        <w:t xml:space="preserve">: See for example : </w:t>
      </w:r>
      <w:r w:rsidRPr="00991C7C">
        <w:rPr>
          <w:rFonts w:ascii="Arial" w:hAnsi="Arial" w:cs="Arial"/>
          <w:i/>
          <w:lang w:val="en-US"/>
        </w:rPr>
        <w:t>Prosecutor-General v Paulo and Another</w:t>
      </w:r>
      <w:r w:rsidRPr="00991C7C">
        <w:rPr>
          <w:rFonts w:ascii="Arial" w:hAnsi="Arial" w:cs="Arial"/>
          <w:lang w:val="en-US"/>
        </w:rPr>
        <w:t xml:space="preserve"> 2017 (1) NR 178 (HC) at [21} or </w:t>
      </w:r>
      <w:r w:rsidRPr="00991C7C">
        <w:rPr>
          <w:rFonts w:ascii="Arial" w:hAnsi="Arial" w:cs="Arial"/>
          <w:i/>
          <w:lang w:val="en-US"/>
        </w:rPr>
        <w:t>Standard Bank of Namibia Ltd v Atlantic Meat Market</w:t>
      </w:r>
      <w:r w:rsidRPr="00991C7C">
        <w:rPr>
          <w:rFonts w:ascii="Arial" w:hAnsi="Arial" w:cs="Arial"/>
          <w:lang w:val="en-US"/>
        </w:rPr>
        <w:t> 2014 (4) NR 1158 (SC) at [30]</w:t>
      </w:r>
      <w:r w:rsidR="00991C7C">
        <w:rPr>
          <w:rFonts w:ascii="Arial" w:hAnsi="Arial" w:cs="Arial"/>
          <w:lang w:val="en-US"/>
        </w:rPr>
        <w:t>.</w:t>
      </w:r>
    </w:p>
  </w:footnote>
  <w:footnote w:id="20">
    <w:p w:rsidR="00715281" w:rsidRPr="00991C7C" w:rsidRDefault="00715281" w:rsidP="00991C7C">
      <w:pPr>
        <w:pStyle w:val="FootnoteText"/>
        <w:jc w:val="both"/>
        <w:rPr>
          <w:rFonts w:ascii="Arial" w:hAnsi="Arial" w:cs="Arial"/>
          <w:lang w:val="en-US"/>
        </w:rPr>
      </w:pPr>
      <w:r w:rsidRPr="00991C7C">
        <w:rPr>
          <w:rStyle w:val="FootnoteReference"/>
          <w:rFonts w:ascii="Arial" w:hAnsi="Arial" w:cs="Arial"/>
        </w:rPr>
        <w:footnoteRef/>
      </w:r>
      <w:r w:rsidRPr="00991C7C">
        <w:rPr>
          <w:rFonts w:ascii="Arial" w:hAnsi="Arial" w:cs="Arial"/>
        </w:rPr>
        <w:t xml:space="preserve"> </w:t>
      </w:r>
      <w:r w:rsidRPr="00991C7C">
        <w:rPr>
          <w:rFonts w:ascii="Arial" w:hAnsi="Arial" w:cs="Arial"/>
          <w:lang w:val="en-US"/>
        </w:rPr>
        <w:t>Compare for example</w:t>
      </w:r>
      <w:r w:rsidR="008A4407" w:rsidRPr="00991C7C">
        <w:rPr>
          <w:rFonts w:ascii="Arial" w:hAnsi="Arial" w:cs="Arial"/>
          <w:lang w:val="en-US"/>
        </w:rPr>
        <w:t xml:space="preserve"> : </w:t>
      </w:r>
      <w:r w:rsidR="008A4407" w:rsidRPr="00991C7C">
        <w:rPr>
          <w:rFonts w:ascii="Arial" w:hAnsi="Arial" w:cs="Arial"/>
          <w:i/>
          <w:lang w:val="en-US"/>
        </w:rPr>
        <w:t>Prosecutor-General v Paulo and Another</w:t>
      </w:r>
      <w:r w:rsidR="008A4407" w:rsidRPr="00991C7C">
        <w:rPr>
          <w:rFonts w:ascii="Arial" w:hAnsi="Arial" w:cs="Arial"/>
          <w:lang w:val="en-US"/>
        </w:rPr>
        <w:t xml:space="preserve"> 2017 (1) NR 178 (HC) at [21} or </w:t>
      </w:r>
      <w:r w:rsidR="008A4407" w:rsidRPr="00991C7C">
        <w:rPr>
          <w:rFonts w:ascii="Arial" w:hAnsi="Arial" w:cs="Arial"/>
          <w:i/>
          <w:lang w:val="en-US"/>
        </w:rPr>
        <w:t>Standard Bank of Namibia Ltd v Atlantic Meat Market</w:t>
      </w:r>
      <w:r w:rsidR="008A4407" w:rsidRPr="00991C7C">
        <w:rPr>
          <w:rFonts w:ascii="Arial" w:hAnsi="Arial" w:cs="Arial"/>
          <w:lang w:val="en-US"/>
        </w:rPr>
        <w:t> 2014 (4) NR 1158 (SC) at [30]</w:t>
      </w:r>
      <w:r w:rsidR="00991C7C">
        <w:rPr>
          <w:rFonts w:ascii="Arial" w:hAnsi="Arial" w:cs="Arial"/>
          <w:lang w:val="en-US"/>
        </w:rPr>
        <w:t>.</w:t>
      </w:r>
    </w:p>
  </w:footnote>
  <w:footnote w:id="21">
    <w:p w:rsidR="008A4407" w:rsidRPr="00991C7C" w:rsidRDefault="008A4407" w:rsidP="00991C7C">
      <w:pPr>
        <w:pStyle w:val="FootnoteText"/>
        <w:jc w:val="both"/>
        <w:rPr>
          <w:rFonts w:ascii="Arial" w:hAnsi="Arial" w:cs="Arial"/>
          <w:lang w:val="en-US"/>
        </w:rPr>
      </w:pPr>
      <w:r w:rsidRPr="00991C7C">
        <w:rPr>
          <w:rStyle w:val="FootnoteReference"/>
          <w:rFonts w:ascii="Arial" w:hAnsi="Arial" w:cs="Arial"/>
        </w:rPr>
        <w:footnoteRef/>
      </w:r>
      <w:r w:rsidRPr="00991C7C">
        <w:rPr>
          <w:rFonts w:ascii="Arial" w:hAnsi="Arial" w:cs="Arial"/>
        </w:rPr>
        <w:t xml:space="preserve"> </w:t>
      </w:r>
      <w:r w:rsidRPr="00991C7C">
        <w:rPr>
          <w:rFonts w:ascii="Arial" w:hAnsi="Arial" w:cs="Arial"/>
          <w:lang w:val="en-US"/>
        </w:rPr>
        <w:t xml:space="preserve">See for instance : </w:t>
      </w:r>
      <w:r w:rsidRPr="00991C7C">
        <w:rPr>
          <w:rFonts w:ascii="Arial" w:hAnsi="Arial" w:cs="Arial"/>
          <w:i/>
          <w:lang w:val="en-US"/>
        </w:rPr>
        <w:t>Prosecutor-General v Paulo and Another</w:t>
      </w:r>
      <w:r w:rsidRPr="00991C7C">
        <w:rPr>
          <w:rFonts w:ascii="Arial" w:hAnsi="Arial" w:cs="Arial"/>
          <w:lang w:val="en-US"/>
        </w:rPr>
        <w:t xml:space="preserve"> 2017 (1) NR 178 (HC) at [21}</w:t>
      </w:r>
      <w:r w:rsidR="00991C7C">
        <w:rPr>
          <w:rFonts w:ascii="Arial" w:hAnsi="Arial" w:cs="Arial"/>
          <w:lang w:val="en-US"/>
        </w:rPr>
        <w:t>.</w:t>
      </w:r>
    </w:p>
  </w:footnote>
  <w:footnote w:id="22">
    <w:p w:rsidR="00B30144" w:rsidRPr="00B61D65" w:rsidRDefault="00B30144" w:rsidP="00B30144">
      <w:pPr>
        <w:pStyle w:val="FootnoteText"/>
        <w:snapToGrid w:val="0"/>
        <w:spacing w:after="120"/>
        <w:jc w:val="both"/>
        <w:rPr>
          <w:rFonts w:ascii="Arial" w:hAnsi="Arial" w:cs="Arial"/>
        </w:rPr>
      </w:pPr>
      <w:r w:rsidRPr="00B61D65">
        <w:rPr>
          <w:rStyle w:val="FootnoteReference"/>
          <w:rFonts w:ascii="Arial" w:hAnsi="Arial" w:cs="Arial"/>
        </w:rPr>
        <w:footnoteRef/>
      </w:r>
      <w:r w:rsidRPr="00B61D65">
        <w:rPr>
          <w:rFonts w:ascii="Arial" w:hAnsi="Arial" w:cs="Arial"/>
        </w:rPr>
        <w:t xml:space="preserve"> </w:t>
      </w:r>
      <w:r w:rsidRPr="00B61D65">
        <w:rPr>
          <w:rFonts w:ascii="Arial" w:hAnsi="Arial" w:cs="Arial"/>
          <w:i/>
        </w:rPr>
        <w:t xml:space="preserve">Helen Suzman Foundation v Judicial Service Commission </w:t>
      </w:r>
      <w:r w:rsidRPr="00B61D65">
        <w:rPr>
          <w:rFonts w:ascii="Arial" w:hAnsi="Arial" w:cs="Arial"/>
        </w:rPr>
        <w:t>2018 (4) SA 1 (CC).</w:t>
      </w:r>
    </w:p>
  </w:footnote>
  <w:footnote w:id="23">
    <w:p w:rsidR="00352287" w:rsidRPr="00B8045A" w:rsidRDefault="00352287">
      <w:pPr>
        <w:pStyle w:val="FootnoteText"/>
        <w:rPr>
          <w:rFonts w:ascii="Arial" w:hAnsi="Arial" w:cs="Arial"/>
          <w:lang w:val="en-US"/>
        </w:rPr>
      </w:pPr>
      <w:r w:rsidRPr="00B8045A">
        <w:rPr>
          <w:rStyle w:val="FootnoteReference"/>
          <w:rFonts w:ascii="Arial" w:hAnsi="Arial" w:cs="Arial"/>
        </w:rPr>
        <w:footnoteRef/>
      </w:r>
      <w:r w:rsidRPr="00B8045A">
        <w:rPr>
          <w:rFonts w:ascii="Arial" w:hAnsi="Arial" w:cs="Arial"/>
        </w:rPr>
        <w:t xml:space="preserve"> </w:t>
      </w:r>
      <w:r w:rsidRPr="00B8045A">
        <w:rPr>
          <w:rFonts w:ascii="Arial" w:hAnsi="Arial" w:cs="Arial"/>
          <w:lang w:val="en-US"/>
        </w:rPr>
        <w:t>See p</w:t>
      </w:r>
      <w:r w:rsidR="002C2EE3">
        <w:rPr>
          <w:rFonts w:ascii="Arial" w:hAnsi="Arial" w:cs="Arial"/>
          <w:lang w:val="en-US"/>
        </w:rPr>
        <w:t>a</w:t>
      </w:r>
      <w:r w:rsidRPr="00B8045A">
        <w:rPr>
          <w:rFonts w:ascii="Arial" w:hAnsi="Arial" w:cs="Arial"/>
          <w:lang w:val="en-US"/>
        </w:rPr>
        <w:t>ragraph [11] of the Judgment of 21 January 2020</w:t>
      </w:r>
      <w:r w:rsidR="00B8045A">
        <w:rPr>
          <w:rFonts w:ascii="Arial" w:hAnsi="Arial" w:cs="Arial"/>
          <w:lang w:val="en-US"/>
        </w:rPr>
        <w:t>.</w:t>
      </w:r>
    </w:p>
  </w:footnote>
  <w:footnote w:id="24">
    <w:p w:rsidR="00352287" w:rsidRPr="00B8045A" w:rsidRDefault="00352287">
      <w:pPr>
        <w:pStyle w:val="FootnoteText"/>
        <w:rPr>
          <w:rFonts w:ascii="Arial" w:hAnsi="Arial" w:cs="Arial"/>
          <w:lang w:val="en-US"/>
        </w:rPr>
      </w:pPr>
      <w:r w:rsidRPr="00B8045A">
        <w:rPr>
          <w:rStyle w:val="FootnoteReference"/>
          <w:rFonts w:ascii="Arial" w:hAnsi="Arial" w:cs="Arial"/>
        </w:rPr>
        <w:footnoteRef/>
      </w:r>
      <w:r w:rsidRPr="00B8045A">
        <w:rPr>
          <w:rFonts w:ascii="Arial" w:hAnsi="Arial" w:cs="Arial"/>
        </w:rPr>
        <w:t xml:space="preserve"> </w:t>
      </w:r>
      <w:r w:rsidRPr="00B8045A">
        <w:rPr>
          <w:rFonts w:ascii="Arial" w:hAnsi="Arial" w:cs="Arial"/>
          <w:lang w:val="en-US"/>
        </w:rPr>
        <w:t>See p</w:t>
      </w:r>
      <w:r w:rsidR="002C2EE3">
        <w:rPr>
          <w:rFonts w:ascii="Arial" w:hAnsi="Arial" w:cs="Arial"/>
          <w:lang w:val="en-US"/>
        </w:rPr>
        <w:t>a</w:t>
      </w:r>
      <w:r w:rsidRPr="00B8045A">
        <w:rPr>
          <w:rFonts w:ascii="Arial" w:hAnsi="Arial" w:cs="Arial"/>
          <w:lang w:val="en-US"/>
        </w:rPr>
        <w:t>ragraph [12] of the Judgment of 21 January 2020</w:t>
      </w:r>
      <w:r w:rsidR="00B8045A">
        <w:rPr>
          <w:rFonts w:ascii="Arial" w:hAnsi="Arial" w:cs="Arial"/>
          <w:lang w:val="en-US"/>
        </w:rPr>
        <w:t>.</w:t>
      </w:r>
    </w:p>
  </w:footnote>
  <w:footnote w:id="25">
    <w:p w:rsidR="00352287" w:rsidRPr="00B8045A" w:rsidRDefault="00352287">
      <w:pPr>
        <w:pStyle w:val="FootnoteText"/>
        <w:rPr>
          <w:rFonts w:ascii="Arial" w:hAnsi="Arial" w:cs="Arial"/>
          <w:lang w:val="en-US"/>
        </w:rPr>
      </w:pPr>
      <w:r w:rsidRPr="00B8045A">
        <w:rPr>
          <w:rStyle w:val="FootnoteReference"/>
          <w:rFonts w:ascii="Arial" w:hAnsi="Arial" w:cs="Arial"/>
        </w:rPr>
        <w:footnoteRef/>
      </w:r>
      <w:r w:rsidRPr="00B8045A">
        <w:rPr>
          <w:rFonts w:ascii="Arial" w:hAnsi="Arial" w:cs="Arial"/>
        </w:rPr>
        <w:t xml:space="preserve"> </w:t>
      </w:r>
      <w:r w:rsidRPr="00B8045A">
        <w:rPr>
          <w:rFonts w:ascii="Arial" w:hAnsi="Arial" w:cs="Arial"/>
          <w:lang w:val="en-US"/>
        </w:rPr>
        <w:t xml:space="preserve">See </w:t>
      </w:r>
      <w:r w:rsidR="002C2EE3" w:rsidRPr="00B8045A">
        <w:rPr>
          <w:rFonts w:ascii="Arial" w:hAnsi="Arial" w:cs="Arial"/>
          <w:lang w:val="en-US"/>
        </w:rPr>
        <w:t>paragraph</w:t>
      </w:r>
      <w:r w:rsidRPr="00B8045A">
        <w:rPr>
          <w:rFonts w:ascii="Arial" w:hAnsi="Arial" w:cs="Arial"/>
          <w:lang w:val="en-US"/>
        </w:rPr>
        <w:t xml:space="preserve"> [13] of the Judgment of 21 January 2020</w:t>
      </w:r>
      <w:r w:rsidR="00B8045A">
        <w:rPr>
          <w:rFonts w:ascii="Arial" w:hAnsi="Arial" w:cs="Arial"/>
          <w:lang w:val="en-US"/>
        </w:rPr>
        <w:t>.</w:t>
      </w:r>
    </w:p>
  </w:footnote>
  <w:footnote w:id="26">
    <w:p w:rsidR="00352287" w:rsidRPr="00B8045A" w:rsidRDefault="00352287">
      <w:pPr>
        <w:pStyle w:val="FootnoteText"/>
        <w:rPr>
          <w:rFonts w:ascii="Arial" w:hAnsi="Arial" w:cs="Arial"/>
          <w:lang w:val="en-US"/>
        </w:rPr>
      </w:pPr>
      <w:r w:rsidRPr="00B8045A">
        <w:rPr>
          <w:rStyle w:val="FootnoteReference"/>
          <w:rFonts w:ascii="Arial" w:hAnsi="Arial" w:cs="Arial"/>
        </w:rPr>
        <w:footnoteRef/>
      </w:r>
      <w:r w:rsidRPr="00B8045A">
        <w:rPr>
          <w:rFonts w:ascii="Arial" w:hAnsi="Arial" w:cs="Arial"/>
        </w:rPr>
        <w:t xml:space="preserve"> </w:t>
      </w:r>
      <w:r w:rsidRPr="00B8045A">
        <w:rPr>
          <w:rFonts w:ascii="Arial" w:hAnsi="Arial" w:cs="Arial"/>
          <w:lang w:val="en-US"/>
        </w:rPr>
        <w:t xml:space="preserve">See </w:t>
      </w:r>
      <w:r w:rsidR="002C2EE3" w:rsidRPr="00B8045A">
        <w:rPr>
          <w:rFonts w:ascii="Arial" w:hAnsi="Arial" w:cs="Arial"/>
          <w:lang w:val="en-US"/>
        </w:rPr>
        <w:t>paragraphs</w:t>
      </w:r>
      <w:r w:rsidRPr="00B8045A">
        <w:rPr>
          <w:rFonts w:ascii="Arial" w:hAnsi="Arial" w:cs="Arial"/>
          <w:lang w:val="en-US"/>
        </w:rPr>
        <w:t xml:space="preserve"> [14] to [16] and </w:t>
      </w:r>
      <w:r w:rsidR="00FD5DB7" w:rsidRPr="00B8045A">
        <w:rPr>
          <w:rFonts w:ascii="Arial" w:hAnsi="Arial" w:cs="Arial"/>
          <w:lang w:val="en-US"/>
        </w:rPr>
        <w:t>[17] to</w:t>
      </w:r>
      <w:r w:rsidRPr="00B8045A">
        <w:rPr>
          <w:rFonts w:ascii="Arial" w:hAnsi="Arial" w:cs="Arial"/>
          <w:lang w:val="en-US"/>
        </w:rPr>
        <w:t xml:space="preserve"> of the Judgment of 21 January 2020</w:t>
      </w:r>
      <w:r w:rsidR="00B8045A">
        <w:rPr>
          <w:rFonts w:ascii="Arial" w:hAnsi="Arial" w:cs="Arial"/>
          <w:lang w:val="en-US"/>
        </w:rPr>
        <w:t>.</w:t>
      </w:r>
    </w:p>
  </w:footnote>
  <w:footnote w:id="27">
    <w:p w:rsidR="00FD5DB7" w:rsidRPr="00B8045A" w:rsidRDefault="00FD5DB7">
      <w:pPr>
        <w:pStyle w:val="FootnoteText"/>
        <w:rPr>
          <w:rFonts w:ascii="Arial" w:hAnsi="Arial" w:cs="Arial"/>
          <w:lang w:val="en-US"/>
        </w:rPr>
      </w:pPr>
      <w:r w:rsidRPr="00B8045A">
        <w:rPr>
          <w:rStyle w:val="FootnoteReference"/>
          <w:rFonts w:ascii="Arial" w:hAnsi="Arial" w:cs="Arial"/>
        </w:rPr>
        <w:footnoteRef/>
      </w:r>
      <w:r w:rsidRPr="00B8045A">
        <w:rPr>
          <w:rFonts w:ascii="Arial" w:hAnsi="Arial" w:cs="Arial"/>
        </w:rPr>
        <w:t xml:space="preserve"> </w:t>
      </w:r>
      <w:r w:rsidRPr="00B8045A">
        <w:rPr>
          <w:rFonts w:ascii="Arial" w:hAnsi="Arial" w:cs="Arial"/>
          <w:lang w:val="en-US"/>
        </w:rPr>
        <w:t xml:space="preserve">See </w:t>
      </w:r>
      <w:r w:rsidR="002C2EE3" w:rsidRPr="00B8045A">
        <w:rPr>
          <w:rFonts w:ascii="Arial" w:hAnsi="Arial" w:cs="Arial"/>
          <w:lang w:val="en-US"/>
        </w:rPr>
        <w:t>paragraph</w:t>
      </w:r>
      <w:bookmarkStart w:id="0" w:name="_GoBack"/>
      <w:bookmarkEnd w:id="0"/>
      <w:r w:rsidRPr="00B8045A">
        <w:rPr>
          <w:rFonts w:ascii="Arial" w:hAnsi="Arial" w:cs="Arial"/>
          <w:lang w:val="en-US"/>
        </w:rPr>
        <w:t xml:space="preserve"> [11] of the Judgment of 21 January 2020</w:t>
      </w:r>
      <w:r w:rsidR="00B8045A">
        <w:rPr>
          <w:rFonts w:ascii="Arial" w:hAnsi="Arial" w:cs="Arial"/>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626"/>
    <w:multiLevelType w:val="multilevel"/>
    <w:tmpl w:val="D368E06E"/>
    <w:lvl w:ilvl="0">
      <w:start w:val="16"/>
      <w:numFmt w:val="decimal"/>
      <w:lvlText w:val="%1"/>
      <w:lvlJc w:val="left"/>
      <w:pPr>
        <w:ind w:left="465" w:hanging="465"/>
      </w:pPr>
      <w:rPr>
        <w:rFonts w:hint="default"/>
      </w:rPr>
    </w:lvl>
    <w:lvl w:ilvl="1">
      <w:start w:val="1"/>
      <w:numFmt w:val="decimal"/>
      <w:lvlText w:val="%1.%2"/>
      <w:lvlJc w:val="left"/>
      <w:pPr>
        <w:ind w:left="2625" w:hanging="46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F974645"/>
    <w:multiLevelType w:val="hybridMultilevel"/>
    <w:tmpl w:val="C1D81E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2D0CA6"/>
    <w:multiLevelType w:val="hybridMultilevel"/>
    <w:tmpl w:val="AB1241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3E61EE"/>
    <w:multiLevelType w:val="multilevel"/>
    <w:tmpl w:val="6172D3F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D16A62"/>
    <w:multiLevelType w:val="hybridMultilevel"/>
    <w:tmpl w:val="CB3A1A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51E33"/>
    <w:multiLevelType w:val="hybridMultilevel"/>
    <w:tmpl w:val="F940CADA"/>
    <w:lvl w:ilvl="0" w:tplc="E506D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8C12888"/>
    <w:multiLevelType w:val="hybridMultilevel"/>
    <w:tmpl w:val="17FC6C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43679"/>
    <w:multiLevelType w:val="hybridMultilevel"/>
    <w:tmpl w:val="FADE9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F257C"/>
    <w:multiLevelType w:val="multilevel"/>
    <w:tmpl w:val="9EFEFB62"/>
    <w:lvl w:ilvl="0">
      <w:start w:val="19"/>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4153C01"/>
    <w:multiLevelType w:val="multilevel"/>
    <w:tmpl w:val="84EE1C22"/>
    <w:lvl w:ilvl="0">
      <w:start w:val="18"/>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FDF1188"/>
    <w:multiLevelType w:val="hybridMultilevel"/>
    <w:tmpl w:val="6B24BC0E"/>
    <w:lvl w:ilvl="0" w:tplc="B81EF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1340F7"/>
    <w:multiLevelType w:val="hybridMultilevel"/>
    <w:tmpl w:val="D410F2D2"/>
    <w:lvl w:ilvl="0" w:tplc="72D6EF0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631C2C"/>
    <w:multiLevelType w:val="hybridMultilevel"/>
    <w:tmpl w:val="838E5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BB10C1B"/>
    <w:multiLevelType w:val="hybridMultilevel"/>
    <w:tmpl w:val="D2848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A7526"/>
    <w:multiLevelType w:val="hybridMultilevel"/>
    <w:tmpl w:val="CFEC1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00766C"/>
    <w:multiLevelType w:val="hybridMultilevel"/>
    <w:tmpl w:val="08064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23" w15:restartNumberingAfterBreak="0">
    <w:nsid w:val="5F063A72"/>
    <w:multiLevelType w:val="multilevel"/>
    <w:tmpl w:val="DF7C2FB6"/>
    <w:lvl w:ilvl="0">
      <w:start w:val="1"/>
      <w:numFmt w:val="decimal"/>
      <w:lvlText w:val="%1."/>
      <w:lvlJc w:val="left"/>
      <w:pPr>
        <w:ind w:left="360" w:hanging="360"/>
      </w:pPr>
      <w:rPr>
        <w:rFonts w:ascii="Arial" w:hAnsi="Arial" w:cs="Arial" w:hint="default"/>
        <w:b w:val="0"/>
        <w:i w:val="0"/>
        <w:iCs w:val="0"/>
        <w:sz w:val="24"/>
        <w:szCs w:val="24"/>
      </w:rPr>
    </w:lvl>
    <w:lvl w:ilvl="1">
      <w:start w:val="1"/>
      <w:numFmt w:val="decimal"/>
      <w:lvlText w:val="%1.%2."/>
      <w:lvlJc w:val="left"/>
      <w:pPr>
        <w:ind w:left="792" w:hanging="432"/>
      </w:pPr>
      <w:rPr>
        <w:rFonts w:hint="default"/>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4653FD1"/>
    <w:multiLevelType w:val="hybridMultilevel"/>
    <w:tmpl w:val="B3EE5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32859"/>
    <w:multiLevelType w:val="hybridMultilevel"/>
    <w:tmpl w:val="4D923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7D479F8"/>
    <w:multiLevelType w:val="hybridMultilevel"/>
    <w:tmpl w:val="478EA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36DEA"/>
    <w:multiLevelType w:val="hybridMultilevel"/>
    <w:tmpl w:val="D7DC90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E06C1"/>
    <w:multiLevelType w:val="hybridMultilevel"/>
    <w:tmpl w:val="FADE9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3512E"/>
    <w:multiLevelType w:val="hybridMultilevel"/>
    <w:tmpl w:val="F8740784"/>
    <w:lvl w:ilvl="0" w:tplc="AF90C65C">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F55E31"/>
    <w:multiLevelType w:val="hybridMultilevel"/>
    <w:tmpl w:val="AAD06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25985"/>
    <w:multiLevelType w:val="multilevel"/>
    <w:tmpl w:val="F9B6854C"/>
    <w:lvl w:ilvl="0">
      <w:start w:val="21"/>
      <w:numFmt w:val="decimal"/>
      <w:lvlText w:val="%1"/>
      <w:lvlJc w:val="left"/>
      <w:pPr>
        <w:ind w:left="465" w:hanging="465"/>
      </w:pPr>
      <w:rPr>
        <w:rFonts w:hint="default"/>
        <w:b w:val="0"/>
        <w:bCs/>
      </w:rPr>
    </w:lvl>
    <w:lvl w:ilvl="1">
      <w:start w:val="1"/>
      <w:numFmt w:val="decimal"/>
      <w:lvlText w:val="%1.%2"/>
      <w:lvlJc w:val="left"/>
      <w:pPr>
        <w:ind w:left="1905" w:hanging="465"/>
      </w:pPr>
      <w:rPr>
        <w:rFonts w:hint="default"/>
        <w:b w:val="0"/>
        <w:b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45E0E03"/>
    <w:multiLevelType w:val="hybridMultilevel"/>
    <w:tmpl w:val="8F704F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D7C83"/>
    <w:multiLevelType w:val="hybridMultilevel"/>
    <w:tmpl w:val="D6EEEED4"/>
    <w:lvl w:ilvl="0" w:tplc="B5A86C8C">
      <w:start w:val="1"/>
      <w:numFmt w:val="decimal"/>
      <w:lvlText w:val="%1."/>
      <w:lvlJc w:val="left"/>
      <w:pPr>
        <w:ind w:left="1080" w:hanging="360"/>
      </w:pPr>
      <w:rPr>
        <w:rFonts w:hint="default"/>
        <w:b w:val="0"/>
        <w:bCs/>
        <w:i w:val="0"/>
        <w:iCs w:val="0"/>
      </w:rPr>
    </w:lvl>
    <w:lvl w:ilvl="1" w:tplc="EABE0B60">
      <w:start w:val="1"/>
      <w:numFmt w:val="lowerLetter"/>
      <w:lvlText w:val="%2."/>
      <w:lvlJc w:val="left"/>
      <w:pPr>
        <w:ind w:left="1800" w:hanging="360"/>
      </w:pPr>
      <w:rPr>
        <w:i w:val="0"/>
        <w:i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7"/>
  </w:num>
  <w:num w:numId="4">
    <w:abstractNumId w:val="24"/>
  </w:num>
  <w:num w:numId="5">
    <w:abstractNumId w:val="18"/>
  </w:num>
  <w:num w:numId="6">
    <w:abstractNumId w:val="13"/>
  </w:num>
  <w:num w:numId="7">
    <w:abstractNumId w:val="36"/>
  </w:num>
  <w:num w:numId="8">
    <w:abstractNumId w:val="31"/>
  </w:num>
  <w:num w:numId="9">
    <w:abstractNumId w:val="12"/>
  </w:num>
  <w:num w:numId="10">
    <w:abstractNumId w:val="22"/>
  </w:num>
  <w:num w:numId="11">
    <w:abstractNumId w:val="9"/>
  </w:num>
  <w:num w:numId="12">
    <w:abstractNumId w:val="3"/>
  </w:num>
  <w:num w:numId="13">
    <w:abstractNumId w:val="35"/>
  </w:num>
  <w:num w:numId="14">
    <w:abstractNumId w:val="33"/>
  </w:num>
  <w:num w:numId="15">
    <w:abstractNumId w:val="32"/>
  </w:num>
  <w:num w:numId="16">
    <w:abstractNumId w:val="15"/>
  </w:num>
  <w:num w:numId="17">
    <w:abstractNumId w:val="25"/>
  </w:num>
  <w:num w:numId="18">
    <w:abstractNumId w:val="4"/>
  </w:num>
  <w:num w:numId="19">
    <w:abstractNumId w:val="2"/>
  </w:num>
  <w:num w:numId="20">
    <w:abstractNumId w:val="0"/>
  </w:num>
  <w:num w:numId="21">
    <w:abstractNumId w:val="28"/>
  </w:num>
  <w:num w:numId="22">
    <w:abstractNumId w:val="11"/>
  </w:num>
  <w:num w:numId="23">
    <w:abstractNumId w:val="7"/>
  </w:num>
  <w:num w:numId="24">
    <w:abstractNumId w:val="34"/>
  </w:num>
  <w:num w:numId="25">
    <w:abstractNumId w:val="10"/>
  </w:num>
  <w:num w:numId="26">
    <w:abstractNumId w:val="30"/>
  </w:num>
  <w:num w:numId="27">
    <w:abstractNumId w:val="21"/>
  </w:num>
  <w:num w:numId="28">
    <w:abstractNumId w:val="5"/>
  </w:num>
  <w:num w:numId="29">
    <w:abstractNumId w:val="14"/>
  </w:num>
  <w:num w:numId="30">
    <w:abstractNumId w:val="26"/>
  </w:num>
  <w:num w:numId="31">
    <w:abstractNumId w:val="19"/>
  </w:num>
  <w:num w:numId="32">
    <w:abstractNumId w:val="8"/>
  </w:num>
  <w:num w:numId="33">
    <w:abstractNumId w:val="23"/>
  </w:num>
  <w:num w:numId="34">
    <w:abstractNumId w:val="17"/>
  </w:num>
  <w:num w:numId="35">
    <w:abstractNumId w:val="29"/>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2B7B"/>
    <w:rsid w:val="00006ACE"/>
    <w:rsid w:val="00007708"/>
    <w:rsid w:val="00014CC8"/>
    <w:rsid w:val="00015E9D"/>
    <w:rsid w:val="00023FD4"/>
    <w:rsid w:val="00026D86"/>
    <w:rsid w:val="00036700"/>
    <w:rsid w:val="0005599A"/>
    <w:rsid w:val="00062068"/>
    <w:rsid w:val="00064450"/>
    <w:rsid w:val="00065CE7"/>
    <w:rsid w:val="00075CD1"/>
    <w:rsid w:val="0007655E"/>
    <w:rsid w:val="00090783"/>
    <w:rsid w:val="00091C59"/>
    <w:rsid w:val="00092FD2"/>
    <w:rsid w:val="0009356C"/>
    <w:rsid w:val="0009400E"/>
    <w:rsid w:val="00096044"/>
    <w:rsid w:val="0009710D"/>
    <w:rsid w:val="000B663A"/>
    <w:rsid w:val="000C0A07"/>
    <w:rsid w:val="000C1B3C"/>
    <w:rsid w:val="000D5FE9"/>
    <w:rsid w:val="000E362A"/>
    <w:rsid w:val="000E51E7"/>
    <w:rsid w:val="000F0BA3"/>
    <w:rsid w:val="000F1180"/>
    <w:rsid w:val="000F561E"/>
    <w:rsid w:val="00112661"/>
    <w:rsid w:val="00112D50"/>
    <w:rsid w:val="00113321"/>
    <w:rsid w:val="00124EC8"/>
    <w:rsid w:val="001338C3"/>
    <w:rsid w:val="001417E6"/>
    <w:rsid w:val="001440AE"/>
    <w:rsid w:val="00146F1D"/>
    <w:rsid w:val="001515EA"/>
    <w:rsid w:val="00156A17"/>
    <w:rsid w:val="00165FEE"/>
    <w:rsid w:val="001711F9"/>
    <w:rsid w:val="0017153C"/>
    <w:rsid w:val="00173036"/>
    <w:rsid w:val="001804AD"/>
    <w:rsid w:val="001A010C"/>
    <w:rsid w:val="001A1FDF"/>
    <w:rsid w:val="001A29D5"/>
    <w:rsid w:val="001A6403"/>
    <w:rsid w:val="001B23D9"/>
    <w:rsid w:val="001B710C"/>
    <w:rsid w:val="001C495F"/>
    <w:rsid w:val="001C687D"/>
    <w:rsid w:val="001D41D2"/>
    <w:rsid w:val="001E39EE"/>
    <w:rsid w:val="001E70F9"/>
    <w:rsid w:val="001F1ECD"/>
    <w:rsid w:val="001F4A48"/>
    <w:rsid w:val="001F75A9"/>
    <w:rsid w:val="002002FA"/>
    <w:rsid w:val="00203E3D"/>
    <w:rsid w:val="002051C1"/>
    <w:rsid w:val="002100DF"/>
    <w:rsid w:val="002207D9"/>
    <w:rsid w:val="00223261"/>
    <w:rsid w:val="002234F4"/>
    <w:rsid w:val="00223D66"/>
    <w:rsid w:val="00224965"/>
    <w:rsid w:val="002273CC"/>
    <w:rsid w:val="00250BD5"/>
    <w:rsid w:val="00255EE1"/>
    <w:rsid w:val="00263A9B"/>
    <w:rsid w:val="00265783"/>
    <w:rsid w:val="00266B3E"/>
    <w:rsid w:val="002736CF"/>
    <w:rsid w:val="00281A10"/>
    <w:rsid w:val="00281FAB"/>
    <w:rsid w:val="00283363"/>
    <w:rsid w:val="002930F2"/>
    <w:rsid w:val="002A06F0"/>
    <w:rsid w:val="002B1C34"/>
    <w:rsid w:val="002B3F1D"/>
    <w:rsid w:val="002B7F66"/>
    <w:rsid w:val="002C2EE3"/>
    <w:rsid w:val="002C3150"/>
    <w:rsid w:val="002C3DA1"/>
    <w:rsid w:val="002C520F"/>
    <w:rsid w:val="002C6FA8"/>
    <w:rsid w:val="002D4C2A"/>
    <w:rsid w:val="002E057D"/>
    <w:rsid w:val="002E3BFB"/>
    <w:rsid w:val="00300CF7"/>
    <w:rsid w:val="0030287B"/>
    <w:rsid w:val="00314A7B"/>
    <w:rsid w:val="00316A08"/>
    <w:rsid w:val="00323762"/>
    <w:rsid w:val="0033314F"/>
    <w:rsid w:val="00333A49"/>
    <w:rsid w:val="00334EC0"/>
    <w:rsid w:val="003375D1"/>
    <w:rsid w:val="00342AC5"/>
    <w:rsid w:val="00345EE0"/>
    <w:rsid w:val="00347DBC"/>
    <w:rsid w:val="00352287"/>
    <w:rsid w:val="003576D0"/>
    <w:rsid w:val="00364096"/>
    <w:rsid w:val="00364D3C"/>
    <w:rsid w:val="00371CD0"/>
    <w:rsid w:val="003723C3"/>
    <w:rsid w:val="00375DB9"/>
    <w:rsid w:val="0037725D"/>
    <w:rsid w:val="00391A6E"/>
    <w:rsid w:val="0039308E"/>
    <w:rsid w:val="00393E41"/>
    <w:rsid w:val="00396AF1"/>
    <w:rsid w:val="003A0103"/>
    <w:rsid w:val="003A101F"/>
    <w:rsid w:val="003A1F46"/>
    <w:rsid w:val="003A7E2F"/>
    <w:rsid w:val="003B0E74"/>
    <w:rsid w:val="003B5F6B"/>
    <w:rsid w:val="003C4403"/>
    <w:rsid w:val="003C4613"/>
    <w:rsid w:val="003E03A1"/>
    <w:rsid w:val="003E3AA3"/>
    <w:rsid w:val="003E3D0D"/>
    <w:rsid w:val="003E3FC4"/>
    <w:rsid w:val="003E50E8"/>
    <w:rsid w:val="003F52A2"/>
    <w:rsid w:val="003F63E0"/>
    <w:rsid w:val="0040533A"/>
    <w:rsid w:val="00422CA6"/>
    <w:rsid w:val="00423747"/>
    <w:rsid w:val="00425554"/>
    <w:rsid w:val="00431D15"/>
    <w:rsid w:val="0044438C"/>
    <w:rsid w:val="0044449D"/>
    <w:rsid w:val="004514DE"/>
    <w:rsid w:val="004546CC"/>
    <w:rsid w:val="00456199"/>
    <w:rsid w:val="004631A6"/>
    <w:rsid w:val="00470B0C"/>
    <w:rsid w:val="00477C94"/>
    <w:rsid w:val="00481A9B"/>
    <w:rsid w:val="00482D28"/>
    <w:rsid w:val="004A28DC"/>
    <w:rsid w:val="004B355E"/>
    <w:rsid w:val="004B5538"/>
    <w:rsid w:val="004B5E87"/>
    <w:rsid w:val="004C3AA5"/>
    <w:rsid w:val="004C4FAE"/>
    <w:rsid w:val="004C5B6A"/>
    <w:rsid w:val="004C644E"/>
    <w:rsid w:val="004D517F"/>
    <w:rsid w:val="004E581F"/>
    <w:rsid w:val="004E7D33"/>
    <w:rsid w:val="004F3A22"/>
    <w:rsid w:val="004F4319"/>
    <w:rsid w:val="0050338C"/>
    <w:rsid w:val="00505D78"/>
    <w:rsid w:val="00517658"/>
    <w:rsid w:val="005234EE"/>
    <w:rsid w:val="00523B76"/>
    <w:rsid w:val="005241A4"/>
    <w:rsid w:val="005355A1"/>
    <w:rsid w:val="005403D8"/>
    <w:rsid w:val="005515BD"/>
    <w:rsid w:val="00557400"/>
    <w:rsid w:val="005577B6"/>
    <w:rsid w:val="00560857"/>
    <w:rsid w:val="00561495"/>
    <w:rsid w:val="00562A14"/>
    <w:rsid w:val="0056512A"/>
    <w:rsid w:val="0056693A"/>
    <w:rsid w:val="005700A8"/>
    <w:rsid w:val="0059498F"/>
    <w:rsid w:val="005955B1"/>
    <w:rsid w:val="005A0003"/>
    <w:rsid w:val="005A66F8"/>
    <w:rsid w:val="005A7DEC"/>
    <w:rsid w:val="005B7A31"/>
    <w:rsid w:val="005D0592"/>
    <w:rsid w:val="005D6172"/>
    <w:rsid w:val="005D7161"/>
    <w:rsid w:val="005E5A8F"/>
    <w:rsid w:val="005F014E"/>
    <w:rsid w:val="0060394A"/>
    <w:rsid w:val="006039AA"/>
    <w:rsid w:val="00615F82"/>
    <w:rsid w:val="00621EE8"/>
    <w:rsid w:val="0062225A"/>
    <w:rsid w:val="00627C26"/>
    <w:rsid w:val="00634F16"/>
    <w:rsid w:val="00642792"/>
    <w:rsid w:val="00643EF9"/>
    <w:rsid w:val="006475B1"/>
    <w:rsid w:val="00647A7B"/>
    <w:rsid w:val="00652595"/>
    <w:rsid w:val="00657620"/>
    <w:rsid w:val="00665E11"/>
    <w:rsid w:val="00666306"/>
    <w:rsid w:val="00676253"/>
    <w:rsid w:val="006769B3"/>
    <w:rsid w:val="006809D8"/>
    <w:rsid w:val="00686B3F"/>
    <w:rsid w:val="006915BC"/>
    <w:rsid w:val="006B1F56"/>
    <w:rsid w:val="006B1F60"/>
    <w:rsid w:val="006B3473"/>
    <w:rsid w:val="006C2872"/>
    <w:rsid w:val="006C2F95"/>
    <w:rsid w:val="006D1141"/>
    <w:rsid w:val="006D22F9"/>
    <w:rsid w:val="006D2D84"/>
    <w:rsid w:val="006D3794"/>
    <w:rsid w:val="006D6F6D"/>
    <w:rsid w:val="006E0DC5"/>
    <w:rsid w:val="006E2964"/>
    <w:rsid w:val="006E49A3"/>
    <w:rsid w:val="006F4A66"/>
    <w:rsid w:val="00701F1F"/>
    <w:rsid w:val="00711F52"/>
    <w:rsid w:val="00715281"/>
    <w:rsid w:val="00715AD2"/>
    <w:rsid w:val="00723F03"/>
    <w:rsid w:val="0072640A"/>
    <w:rsid w:val="0073012B"/>
    <w:rsid w:val="007329D4"/>
    <w:rsid w:val="0074126A"/>
    <w:rsid w:val="007447AE"/>
    <w:rsid w:val="00750F57"/>
    <w:rsid w:val="00764071"/>
    <w:rsid w:val="00767A32"/>
    <w:rsid w:val="00772C8E"/>
    <w:rsid w:val="0078341F"/>
    <w:rsid w:val="00784B19"/>
    <w:rsid w:val="00790E9F"/>
    <w:rsid w:val="0079456D"/>
    <w:rsid w:val="00797188"/>
    <w:rsid w:val="00797247"/>
    <w:rsid w:val="007A1FD4"/>
    <w:rsid w:val="007A64D4"/>
    <w:rsid w:val="007B665C"/>
    <w:rsid w:val="007C6B41"/>
    <w:rsid w:val="007E4D90"/>
    <w:rsid w:val="007F3578"/>
    <w:rsid w:val="007F4DDB"/>
    <w:rsid w:val="00805BCE"/>
    <w:rsid w:val="00806B14"/>
    <w:rsid w:val="00812E09"/>
    <w:rsid w:val="0081352A"/>
    <w:rsid w:val="00823237"/>
    <w:rsid w:val="00824F14"/>
    <w:rsid w:val="00825474"/>
    <w:rsid w:val="00836FF9"/>
    <w:rsid w:val="00837272"/>
    <w:rsid w:val="00843145"/>
    <w:rsid w:val="00851B88"/>
    <w:rsid w:val="00864008"/>
    <w:rsid w:val="00864FC2"/>
    <w:rsid w:val="00867BDF"/>
    <w:rsid w:val="0087090E"/>
    <w:rsid w:val="00890143"/>
    <w:rsid w:val="008930A5"/>
    <w:rsid w:val="008A04EE"/>
    <w:rsid w:val="008A0DCC"/>
    <w:rsid w:val="008A14A9"/>
    <w:rsid w:val="008A4407"/>
    <w:rsid w:val="008B0232"/>
    <w:rsid w:val="008B1C23"/>
    <w:rsid w:val="008B52A3"/>
    <w:rsid w:val="008C0AC7"/>
    <w:rsid w:val="008D2B93"/>
    <w:rsid w:val="008D5B8D"/>
    <w:rsid w:val="008D65E9"/>
    <w:rsid w:val="008D79D4"/>
    <w:rsid w:val="008E6759"/>
    <w:rsid w:val="008F65E5"/>
    <w:rsid w:val="00902CE8"/>
    <w:rsid w:val="00902DED"/>
    <w:rsid w:val="00905A48"/>
    <w:rsid w:val="00912D4E"/>
    <w:rsid w:val="00913A1D"/>
    <w:rsid w:val="00935292"/>
    <w:rsid w:val="00942BE6"/>
    <w:rsid w:val="009435FA"/>
    <w:rsid w:val="00945A2F"/>
    <w:rsid w:val="00947BEE"/>
    <w:rsid w:val="0095138B"/>
    <w:rsid w:val="00952193"/>
    <w:rsid w:val="00952B28"/>
    <w:rsid w:val="00957945"/>
    <w:rsid w:val="009633A4"/>
    <w:rsid w:val="009731DD"/>
    <w:rsid w:val="0098277A"/>
    <w:rsid w:val="00985096"/>
    <w:rsid w:val="00991C7C"/>
    <w:rsid w:val="00992A7D"/>
    <w:rsid w:val="00997334"/>
    <w:rsid w:val="00997E4C"/>
    <w:rsid w:val="009A12B9"/>
    <w:rsid w:val="009A2FCF"/>
    <w:rsid w:val="009A5F60"/>
    <w:rsid w:val="009A7A36"/>
    <w:rsid w:val="009B096F"/>
    <w:rsid w:val="009B6E25"/>
    <w:rsid w:val="009C36A5"/>
    <w:rsid w:val="009C7093"/>
    <w:rsid w:val="009D36D5"/>
    <w:rsid w:val="009F24FA"/>
    <w:rsid w:val="009F6C8B"/>
    <w:rsid w:val="00A012CF"/>
    <w:rsid w:val="00A06FD8"/>
    <w:rsid w:val="00A14435"/>
    <w:rsid w:val="00A16AC6"/>
    <w:rsid w:val="00A23F8A"/>
    <w:rsid w:val="00A253E6"/>
    <w:rsid w:val="00A258AF"/>
    <w:rsid w:val="00A27D8A"/>
    <w:rsid w:val="00A40097"/>
    <w:rsid w:val="00A4515E"/>
    <w:rsid w:val="00A5368E"/>
    <w:rsid w:val="00A5758F"/>
    <w:rsid w:val="00A57BFE"/>
    <w:rsid w:val="00A635A8"/>
    <w:rsid w:val="00A6494E"/>
    <w:rsid w:val="00A76653"/>
    <w:rsid w:val="00A772D3"/>
    <w:rsid w:val="00A81203"/>
    <w:rsid w:val="00A82F94"/>
    <w:rsid w:val="00A94E25"/>
    <w:rsid w:val="00A96D28"/>
    <w:rsid w:val="00AB28DD"/>
    <w:rsid w:val="00AB2EE4"/>
    <w:rsid w:val="00AB3745"/>
    <w:rsid w:val="00AB3F40"/>
    <w:rsid w:val="00AB40C6"/>
    <w:rsid w:val="00AB5193"/>
    <w:rsid w:val="00AB65FB"/>
    <w:rsid w:val="00AC0810"/>
    <w:rsid w:val="00AC4198"/>
    <w:rsid w:val="00AC46FB"/>
    <w:rsid w:val="00AD0FCD"/>
    <w:rsid w:val="00AD1833"/>
    <w:rsid w:val="00AD347C"/>
    <w:rsid w:val="00B07B4B"/>
    <w:rsid w:val="00B115FD"/>
    <w:rsid w:val="00B11950"/>
    <w:rsid w:val="00B14141"/>
    <w:rsid w:val="00B160EB"/>
    <w:rsid w:val="00B1649C"/>
    <w:rsid w:val="00B20F75"/>
    <w:rsid w:val="00B25A1B"/>
    <w:rsid w:val="00B30012"/>
    <w:rsid w:val="00B30144"/>
    <w:rsid w:val="00B337FC"/>
    <w:rsid w:val="00B40BBE"/>
    <w:rsid w:val="00B423A5"/>
    <w:rsid w:val="00B4625E"/>
    <w:rsid w:val="00B53D6D"/>
    <w:rsid w:val="00B66325"/>
    <w:rsid w:val="00B76671"/>
    <w:rsid w:val="00B8045A"/>
    <w:rsid w:val="00B8518D"/>
    <w:rsid w:val="00BA213D"/>
    <w:rsid w:val="00BA3715"/>
    <w:rsid w:val="00BA48EA"/>
    <w:rsid w:val="00BB1E6E"/>
    <w:rsid w:val="00BB388A"/>
    <w:rsid w:val="00BC4D4A"/>
    <w:rsid w:val="00BD1E4B"/>
    <w:rsid w:val="00BE104A"/>
    <w:rsid w:val="00BE5489"/>
    <w:rsid w:val="00BE7DE8"/>
    <w:rsid w:val="00BF539E"/>
    <w:rsid w:val="00BF6DAE"/>
    <w:rsid w:val="00C04EBD"/>
    <w:rsid w:val="00C06B39"/>
    <w:rsid w:val="00C10C58"/>
    <w:rsid w:val="00C119BC"/>
    <w:rsid w:val="00C1735E"/>
    <w:rsid w:val="00C249D9"/>
    <w:rsid w:val="00C332BE"/>
    <w:rsid w:val="00C3495F"/>
    <w:rsid w:val="00C356C5"/>
    <w:rsid w:val="00C50199"/>
    <w:rsid w:val="00C50A1F"/>
    <w:rsid w:val="00C54A2F"/>
    <w:rsid w:val="00C62493"/>
    <w:rsid w:val="00C64F07"/>
    <w:rsid w:val="00C73154"/>
    <w:rsid w:val="00C827E0"/>
    <w:rsid w:val="00CA2B73"/>
    <w:rsid w:val="00CA4320"/>
    <w:rsid w:val="00CB39F0"/>
    <w:rsid w:val="00CB4CA9"/>
    <w:rsid w:val="00CC191C"/>
    <w:rsid w:val="00CC4D82"/>
    <w:rsid w:val="00CC4E7A"/>
    <w:rsid w:val="00CC5024"/>
    <w:rsid w:val="00CE298D"/>
    <w:rsid w:val="00CE6E11"/>
    <w:rsid w:val="00CF1316"/>
    <w:rsid w:val="00CF3D16"/>
    <w:rsid w:val="00CF6287"/>
    <w:rsid w:val="00D00FD1"/>
    <w:rsid w:val="00D0287E"/>
    <w:rsid w:val="00D03018"/>
    <w:rsid w:val="00D10858"/>
    <w:rsid w:val="00D13D78"/>
    <w:rsid w:val="00D153C7"/>
    <w:rsid w:val="00D16068"/>
    <w:rsid w:val="00D22ACF"/>
    <w:rsid w:val="00D26543"/>
    <w:rsid w:val="00D36A81"/>
    <w:rsid w:val="00D40029"/>
    <w:rsid w:val="00D40DDC"/>
    <w:rsid w:val="00D64023"/>
    <w:rsid w:val="00D73FFF"/>
    <w:rsid w:val="00D767E6"/>
    <w:rsid w:val="00D83425"/>
    <w:rsid w:val="00D83E05"/>
    <w:rsid w:val="00D85A75"/>
    <w:rsid w:val="00D862BF"/>
    <w:rsid w:val="00D93AFF"/>
    <w:rsid w:val="00DA5D82"/>
    <w:rsid w:val="00DB2F26"/>
    <w:rsid w:val="00DC392E"/>
    <w:rsid w:val="00DC4D46"/>
    <w:rsid w:val="00DC5173"/>
    <w:rsid w:val="00DD1F31"/>
    <w:rsid w:val="00DD35CD"/>
    <w:rsid w:val="00DE3D2F"/>
    <w:rsid w:val="00DE417A"/>
    <w:rsid w:val="00DF290C"/>
    <w:rsid w:val="00DF3375"/>
    <w:rsid w:val="00DF4287"/>
    <w:rsid w:val="00E1002B"/>
    <w:rsid w:val="00E16C33"/>
    <w:rsid w:val="00E253EE"/>
    <w:rsid w:val="00E256F6"/>
    <w:rsid w:val="00E3339B"/>
    <w:rsid w:val="00E352CF"/>
    <w:rsid w:val="00E40094"/>
    <w:rsid w:val="00E41527"/>
    <w:rsid w:val="00E41C88"/>
    <w:rsid w:val="00E42E71"/>
    <w:rsid w:val="00E44BBF"/>
    <w:rsid w:val="00E54A33"/>
    <w:rsid w:val="00E619CB"/>
    <w:rsid w:val="00E65DE9"/>
    <w:rsid w:val="00E675EB"/>
    <w:rsid w:val="00E765F9"/>
    <w:rsid w:val="00E8143F"/>
    <w:rsid w:val="00E86360"/>
    <w:rsid w:val="00E86C54"/>
    <w:rsid w:val="00EA06CF"/>
    <w:rsid w:val="00EA3A04"/>
    <w:rsid w:val="00EA4E96"/>
    <w:rsid w:val="00EB0AE8"/>
    <w:rsid w:val="00EB27A0"/>
    <w:rsid w:val="00EC0A93"/>
    <w:rsid w:val="00EC4507"/>
    <w:rsid w:val="00ED4B8B"/>
    <w:rsid w:val="00ED7D16"/>
    <w:rsid w:val="00EE19B5"/>
    <w:rsid w:val="00F11950"/>
    <w:rsid w:val="00F16426"/>
    <w:rsid w:val="00F16B31"/>
    <w:rsid w:val="00F16C57"/>
    <w:rsid w:val="00F233A9"/>
    <w:rsid w:val="00F24301"/>
    <w:rsid w:val="00F24531"/>
    <w:rsid w:val="00F34C7D"/>
    <w:rsid w:val="00F3787E"/>
    <w:rsid w:val="00F42A7B"/>
    <w:rsid w:val="00F53848"/>
    <w:rsid w:val="00F53DDE"/>
    <w:rsid w:val="00F571A4"/>
    <w:rsid w:val="00F66EB8"/>
    <w:rsid w:val="00F71EB9"/>
    <w:rsid w:val="00F72F82"/>
    <w:rsid w:val="00FB2069"/>
    <w:rsid w:val="00FD3814"/>
    <w:rsid w:val="00FD38C2"/>
    <w:rsid w:val="00FD5DB7"/>
    <w:rsid w:val="00FE5A39"/>
    <w:rsid w:val="00FF48D8"/>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3EBCEE-7001-4BB5-8998-F93E4D12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5DB7"/>
    <w:pPr>
      <w:keepNext/>
      <w:spacing w:before="240" w:after="60" w:line="276"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B07B4B"/>
    <w:pPr>
      <w:spacing w:after="0" w:line="240" w:lineRule="auto"/>
    </w:pPr>
    <w:rPr>
      <w:sz w:val="20"/>
      <w:szCs w:val="20"/>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basedOn w:val="DefaultParagraphFont"/>
    <w:link w:val="FootnoteText"/>
    <w:uiPriority w:val="99"/>
    <w:rsid w:val="00B07B4B"/>
    <w:rPr>
      <w:sz w:val="20"/>
      <w:szCs w:val="20"/>
    </w:rPr>
  </w:style>
  <w:style w:type="character" w:styleId="FootnoteReference">
    <w:name w:val="footnote reference"/>
    <w:aliases w:val="Ref,de nota al pie,註腳內容,Footnotes refss,(NECG) Footnote Reference,fr,Appel note de bas de page,Heading 6 Char1,do not use4 Char1,Footnote symbol,Style 12,Footnote,Footnote Reference1,Ref1,de nota al pie1,11 pt,註?腳內—e"/>
    <w:basedOn w:val="DefaultParagraphFont"/>
    <w:uiPriority w:val="99"/>
    <w:unhideWhenUsed/>
    <w:qFormat/>
    <w:rsid w:val="00B07B4B"/>
    <w:rPr>
      <w:vertAlign w:val="superscript"/>
    </w:rPr>
  </w:style>
  <w:style w:type="character" w:customStyle="1" w:styleId="Heading1Char">
    <w:name w:val="Heading 1 Char"/>
    <w:basedOn w:val="DefaultParagraphFont"/>
    <w:link w:val="Heading1"/>
    <w:rsid w:val="00FD5DB7"/>
    <w:rPr>
      <w:rFonts w:ascii="Cambria" w:eastAsia="Times New Roman" w:hAnsi="Cambria" w:cs="Times New Roman"/>
      <w:b/>
      <w:bCs/>
      <w:kern w:val="32"/>
      <w:sz w:val="32"/>
      <w:szCs w:val="32"/>
      <w:lang w:val="en-US"/>
    </w:rPr>
  </w:style>
  <w:style w:type="paragraph" w:styleId="ListNumber">
    <w:name w:val="List Number"/>
    <w:basedOn w:val="Normal"/>
    <w:semiHidden/>
    <w:rsid w:val="00006ACE"/>
    <w:pPr>
      <w:widowControl w:val="0"/>
      <w:spacing w:after="0" w:line="360" w:lineRule="auto"/>
      <w:ind w:left="360" w:hanging="360"/>
      <w:jc w:val="both"/>
    </w:pPr>
    <w:rPr>
      <w:rFonts w:ascii="Arial" w:eastAsia="Times New Roman" w:hAnsi="Arial" w:cs="Times New Roman"/>
      <w:spacing w:val="-3"/>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2020-06-23T18:30:00+00:00</Judgment_x0020_Date>
    <Year xmlns="c1afb1bd-f2fb-40fd-9abb-aea55b4d7662">2020</Year>
  </documentManagement>
</p:properties>
</file>

<file path=customXml/itemProps1.xml><?xml version="1.0" encoding="utf-8"?>
<ds:datastoreItem xmlns:ds="http://schemas.openxmlformats.org/officeDocument/2006/customXml" ds:itemID="{E09606FD-3159-4B52-95AF-F4BE66CB086A}"/>
</file>

<file path=customXml/itemProps2.xml><?xml version="1.0" encoding="utf-8"?>
<ds:datastoreItem xmlns:ds="http://schemas.openxmlformats.org/officeDocument/2006/customXml" ds:itemID="{FEF792CD-5EBB-4FFA-A2E7-64CEFFAC51B2}"/>
</file>

<file path=customXml/itemProps3.xml><?xml version="1.0" encoding="utf-8"?>
<ds:datastoreItem xmlns:ds="http://schemas.openxmlformats.org/officeDocument/2006/customXml" ds:itemID="{131D9050-F166-4BD4-BF12-B17456596798}"/>
</file>

<file path=customXml/itemProps4.xml><?xml version="1.0" encoding="utf-8"?>
<ds:datastoreItem xmlns:ds="http://schemas.openxmlformats.org/officeDocument/2006/customXml" ds:itemID="{0E8B1653-78A8-4414-9A58-2E969C6986EE}"/>
</file>

<file path=docProps/app.xml><?xml version="1.0" encoding="utf-8"?>
<Properties xmlns="http://schemas.openxmlformats.org/officeDocument/2006/extended-properties" xmlns:vt="http://schemas.openxmlformats.org/officeDocument/2006/docPropsVTypes">
  <Template>Normal</Template>
  <TotalTime>1</TotalTime>
  <Pages>13</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Hollard Insurance Co v Minister of Finance (HC-MD-CIV-MOT-REV-2018-00127) [2020] NAHCMD 247 (24 June 2020)</dc:title>
  <dc:subject/>
  <dc:creator>E. Kharases</dc:creator>
  <cp:keywords/>
  <dc:description/>
  <cp:lastModifiedBy>Administrator</cp:lastModifiedBy>
  <cp:revision>2</cp:revision>
  <cp:lastPrinted>2020-06-24T10:10:00Z</cp:lastPrinted>
  <dcterms:created xsi:type="dcterms:W3CDTF">2020-06-25T06:54:00Z</dcterms:created>
  <dcterms:modified xsi:type="dcterms:W3CDTF">2020-06-25T06:54:00Z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