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9720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A90E1C" w:rsidRPr="00A90E1C" w:rsidTr="007C116C">
        <w:trPr>
          <w:trHeight w:val="744"/>
        </w:trPr>
        <w:tc>
          <w:tcPr>
            <w:tcW w:w="5397" w:type="dxa"/>
            <w:gridSpan w:val="2"/>
          </w:tcPr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Case Title:</w:t>
            </w:r>
          </w:p>
          <w:p w:rsidR="00D35047" w:rsidRPr="00A90E1C" w:rsidRDefault="009D1D30" w:rsidP="007C116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 xml:space="preserve">The State v Asser </w:t>
            </w:r>
            <w:proofErr w:type="spellStart"/>
            <w:r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>Mweulinale</w:t>
            </w:r>
            <w:proofErr w:type="spellEnd"/>
          </w:p>
          <w:p w:rsidR="00CC4996" w:rsidRPr="00A90E1C" w:rsidRDefault="00CC4996" w:rsidP="007C116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23" w:type="dxa"/>
          </w:tcPr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Case No:</w:t>
            </w:r>
          </w:p>
          <w:p w:rsidR="00D35047" w:rsidRPr="00A90E1C" w:rsidRDefault="00B13BE8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CR</w:t>
            </w:r>
            <w:r w:rsidR="00CF3BA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AA47B4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44/2020</w:t>
            </w:r>
          </w:p>
        </w:tc>
      </w:tr>
      <w:tr w:rsidR="00A90E1C" w:rsidRPr="00A90E1C" w:rsidTr="007C116C">
        <w:trPr>
          <w:trHeight w:val="844"/>
        </w:trPr>
        <w:tc>
          <w:tcPr>
            <w:tcW w:w="5397" w:type="dxa"/>
            <w:gridSpan w:val="2"/>
          </w:tcPr>
          <w:p w:rsidR="00D35047" w:rsidRPr="00A90E1C" w:rsidRDefault="00B13BE8" w:rsidP="007C116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High Court MD Review No:</w:t>
            </w:r>
          </w:p>
          <w:p w:rsidR="00EB0194" w:rsidRPr="00A90E1C" w:rsidRDefault="00CB5190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806/2020</w:t>
            </w:r>
          </w:p>
        </w:tc>
        <w:tc>
          <w:tcPr>
            <w:tcW w:w="4323" w:type="dxa"/>
          </w:tcPr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Division of Court:</w:t>
            </w:r>
          </w:p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Main Division</w:t>
            </w:r>
          </w:p>
        </w:tc>
      </w:tr>
      <w:tr w:rsidR="00A90E1C" w:rsidRPr="00A90E1C" w:rsidTr="007C116C">
        <w:trPr>
          <w:trHeight w:val="1662"/>
        </w:trPr>
        <w:tc>
          <w:tcPr>
            <w:tcW w:w="5397" w:type="dxa"/>
            <w:gridSpan w:val="2"/>
          </w:tcPr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Heard before:</w:t>
            </w:r>
            <w:r w:rsidR="009D1D30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D35047" w:rsidRDefault="00FD3287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Shivute</w:t>
            </w:r>
            <w:proofErr w:type="spellEnd"/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J et</w:t>
            </w:r>
          </w:p>
          <w:p w:rsidR="00FD3287" w:rsidRPr="00A90E1C" w:rsidRDefault="00FD3287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Claasen J</w:t>
            </w:r>
          </w:p>
        </w:tc>
        <w:tc>
          <w:tcPr>
            <w:tcW w:w="4323" w:type="dxa"/>
          </w:tcPr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Delivered on:</w:t>
            </w:r>
          </w:p>
          <w:p w:rsidR="00D35047" w:rsidRPr="00A90E1C" w:rsidRDefault="00EB31AF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  </w:t>
            </w:r>
            <w:r w:rsid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25 </w:t>
            </w:r>
            <w:r w:rsidR="00CB5190" w:rsidRP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June </w:t>
            </w:r>
            <w:r w:rsidRP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795A7A" w:rsidRP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2020</w:t>
            </w:r>
          </w:p>
        </w:tc>
      </w:tr>
      <w:tr w:rsidR="00A90E1C" w:rsidRPr="00A90E1C" w:rsidTr="007C116C">
        <w:tc>
          <w:tcPr>
            <w:tcW w:w="9720" w:type="dxa"/>
            <w:gridSpan w:val="3"/>
          </w:tcPr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 xml:space="preserve">Neutral citation: </w:t>
            </w:r>
            <w:r w:rsidRPr="00A90E1C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 xml:space="preserve">S </w:t>
            </w:r>
            <w:r w:rsidR="00CB5190" w:rsidRPr="00A90E1C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 xml:space="preserve"> v </w:t>
            </w:r>
            <w:proofErr w:type="spellStart"/>
            <w:r w:rsidR="00CB5190" w:rsidRPr="00A90E1C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>Mweu</w:t>
            </w:r>
            <w:r w:rsidR="00B902C1" w:rsidRPr="00A90E1C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>lin</w:t>
            </w:r>
            <w:r w:rsidR="00CB5190" w:rsidRPr="00A90E1C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>ale</w:t>
            </w:r>
            <w:proofErr w:type="spellEnd"/>
            <w:r w:rsidR="00CB5190" w:rsidRPr="00A90E1C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="00AA47B4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>(</w:t>
            </w:r>
            <w:bookmarkStart w:id="0" w:name="_GoBack"/>
            <w:r w:rsidR="0028634A" w:rsidRPr="0028634A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CR</w:t>
            </w:r>
            <w:r w:rsidR="0028634A">
              <w:rPr>
                <w:rFonts w:ascii="Arial Narrow" w:hAnsi="Arial Narrow" w:cs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bookmarkEnd w:id="0"/>
            <w:r w:rsidR="00AA47B4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44/2020</w:t>
            </w:r>
            <w:r w:rsidR="00795A7A"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) [2020</w:t>
            </w:r>
            <w:r w:rsidR="00B13BE8"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] NAHCMD</w:t>
            </w:r>
            <w:r w:rsidR="00AA47B4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252 </w:t>
            </w:r>
            <w:r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(</w:t>
            </w:r>
            <w:r w:rsidR="009D1D30"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FD3287"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25 </w:t>
            </w:r>
            <w:r w:rsidR="009D1D30"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June </w:t>
            </w:r>
            <w:r w:rsidR="00795A7A"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2020</w:t>
            </w:r>
            <w:r w:rsidRPr="000552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)</w:t>
            </w:r>
          </w:p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90E1C" w:rsidRPr="00A90E1C" w:rsidTr="007C116C">
        <w:tc>
          <w:tcPr>
            <w:tcW w:w="9720" w:type="dxa"/>
            <w:gridSpan w:val="3"/>
          </w:tcPr>
          <w:p w:rsidR="00D35047" w:rsidRPr="00A90E1C" w:rsidRDefault="00EB31AF" w:rsidP="007C116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The order:</w:t>
            </w:r>
          </w:p>
          <w:p w:rsidR="00EB31AF" w:rsidRPr="00A90E1C" w:rsidRDefault="00EB31AF" w:rsidP="007C116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440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</w:t>
            </w:r>
            <w:r w:rsidR="00CB5190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accused’s admission of guilt in terms of section 57 of the Criminal Procedure Act made on 21 January 2020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is set aside</w:t>
            </w:r>
            <w:r w:rsidR="00CB5190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.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CB5190" w:rsidRPr="00A90E1C" w:rsidRDefault="00CB5190" w:rsidP="007C116C">
            <w:pPr>
              <w:numPr>
                <w:ilvl w:val="0"/>
                <w:numId w:val="15"/>
              </w:numPr>
              <w:spacing w:line="360" w:lineRule="auto"/>
              <w:ind w:left="1440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The entering of the particulars prescribed in section 57(6) of the Criminal Procedure Act by the clerk of court is set aside and expunged from the criminal record book.</w:t>
            </w:r>
          </w:p>
          <w:p w:rsidR="00D35047" w:rsidRPr="00A90E1C" w:rsidRDefault="00CB5190" w:rsidP="007C116C">
            <w:pPr>
              <w:numPr>
                <w:ilvl w:val="0"/>
                <w:numId w:val="15"/>
              </w:numPr>
              <w:spacing w:line="360" w:lineRule="auto"/>
              <w:ind w:left="1440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clerk of court </w:t>
            </w:r>
            <w:r w:rsidR="00004C2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shall refund the</w:t>
            </w:r>
            <w:r w:rsidR="00A2380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amount of </w:t>
            </w:r>
            <w:r w:rsidR="00004C2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N$ 1000-00</w:t>
            </w:r>
            <w:r w:rsidR="00A2380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954F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to the accused </w:t>
            </w:r>
            <w:r w:rsidR="00A2380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which was paid a</w:t>
            </w:r>
            <w:r w:rsidR="00EE38AA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s fine to written notice serial number </w:t>
            </w:r>
            <w:r w:rsidR="00B902C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043</w:t>
            </w:r>
            <w:r w:rsidR="008D3AC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013</w:t>
            </w:r>
            <w:r w:rsidR="00954F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o</w:t>
            </w:r>
            <w:r w:rsidR="00A2380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n </w:t>
            </w:r>
            <w:r w:rsidR="00004C2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21 January 2020 </w:t>
            </w:r>
            <w:r w:rsidR="00874420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as soon as possible.</w:t>
            </w:r>
          </w:p>
          <w:p w:rsidR="00004C21" w:rsidRPr="00A90E1C" w:rsidRDefault="00004C21" w:rsidP="007C116C">
            <w:pPr>
              <w:spacing w:line="360" w:lineRule="auto"/>
              <w:ind w:left="1440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A90E1C" w:rsidRPr="00A90E1C" w:rsidTr="007C116C">
        <w:tc>
          <w:tcPr>
            <w:tcW w:w="9720" w:type="dxa"/>
            <w:gridSpan w:val="3"/>
          </w:tcPr>
          <w:p w:rsidR="00D35047" w:rsidRPr="00A90E1C" w:rsidRDefault="00D35047" w:rsidP="007C116C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Reasons for order:</w:t>
            </w:r>
          </w:p>
        </w:tc>
      </w:tr>
      <w:tr w:rsidR="00A90E1C" w:rsidRPr="00A90E1C" w:rsidTr="007C116C">
        <w:tc>
          <w:tcPr>
            <w:tcW w:w="9720" w:type="dxa"/>
            <w:gridSpan w:val="3"/>
          </w:tcPr>
          <w:p w:rsidR="00055297" w:rsidRDefault="00055297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D35047" w:rsidRPr="00A90E1C" w:rsidRDefault="003B0D55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Claasen </w:t>
            </w:r>
            <w:r w:rsidR="00D3504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J (</w:t>
            </w:r>
            <w:r w:rsid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D3504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concurring </w:t>
            </w:r>
            <w:proofErr w:type="spellStart"/>
            <w:r w:rsid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Shivute</w:t>
            </w:r>
            <w:proofErr w:type="spellEnd"/>
            <w:r w:rsid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FD3287" w:rsidRP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J</w:t>
            </w:r>
            <w:r w:rsidR="00D35047" w:rsidRP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)</w:t>
            </w:r>
            <w:r w:rsidR="00775A2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95A7A" w:rsidRPr="00A90E1C" w:rsidRDefault="00795A7A" w:rsidP="007C116C">
            <w:p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A2380A" w:rsidRPr="00A90E1C" w:rsidRDefault="00004C21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This </w:t>
            </w:r>
            <w:r w:rsidR="00B902C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case </w:t>
            </w:r>
            <w:r w:rsidR="009D1D30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is before us not in the ordinary course of review, but in terms of section </w:t>
            </w:r>
            <w:r w:rsidR="009D1D30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304(4) of the Criminal Procedure Act as amended (hereafter referred to as CPA)</w:t>
            </w:r>
            <w:r w:rsidR="00567E69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.</w:t>
            </w:r>
            <w:r w:rsidR="009D1D30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566182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It was </w:t>
            </w:r>
            <w:r w:rsidR="00B902C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referred to this C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ourt by the Divisional Magistrate of Windhoek Central Division </w:t>
            </w:r>
            <w:r w:rsidR="00A2380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with a recommendation that the</w:t>
            </w:r>
            <w:r w:rsidR="009A5E5C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admission of guilt be </w:t>
            </w:r>
            <w:r w:rsidR="00A2380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set aside and the fine be refunded to the accused.</w:t>
            </w:r>
          </w:p>
          <w:p w:rsidR="00FB4721" w:rsidRPr="00A90E1C" w:rsidRDefault="00FB4721" w:rsidP="007C116C">
            <w:pPr>
              <w:pStyle w:val="ListParagraph"/>
              <w:spacing w:line="360" w:lineRule="auto"/>
              <w:ind w:left="810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A2380A" w:rsidRDefault="00205AE6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lastRenderedPageBreak/>
              <w:t xml:space="preserve">The bundle that was placed before the review court comprised of the original written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notice issued to the accused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, an affidavit by the accused, a letter</w:t>
            </w:r>
            <w:r w:rsidR="00954F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by </w:t>
            </w:r>
            <w:r w:rsidR="00566182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</w:t>
            </w:r>
            <w:r w:rsidR="00954F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Divisional Magistrate,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 letter by the </w:t>
            </w:r>
            <w:r w:rsidR="00954F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Head of Office of the Windhoek Magistrates’ Court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, a letter by the </w:t>
            </w:r>
            <w:r w:rsidR="005E3A7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Additional </w:t>
            </w:r>
            <w:r w:rsidR="00954F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Magistrate who checked the admission of guilt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and a general receipt issued to the Katutura Police Station. </w:t>
            </w:r>
          </w:p>
          <w:p w:rsidR="00E14A18" w:rsidRPr="00E14A18" w:rsidRDefault="00E14A18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624879" w:rsidRPr="00A90E1C" w:rsidRDefault="00624879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At the outset I must state that the narrative deposed to by </w:t>
            </w:r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Mr </w:t>
            </w:r>
            <w:proofErr w:type="spellStart"/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Mweulinale</w:t>
            </w:r>
            <w:proofErr w:type="spellEnd"/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is not clear in all </w:t>
            </w:r>
            <w:r w:rsidR="00856559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res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pects. I will endeavour to set out the essential parts. </w:t>
            </w:r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He was arrested </w:t>
            </w:r>
            <w:r w:rsidR="002D7E3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on</w:t>
            </w:r>
            <w:r w:rsidR="00566182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5E3A7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20 January 2020 </w:t>
            </w:r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b</w:t>
            </w:r>
            <w:r w:rsidR="005E3A7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y a certain </w:t>
            </w:r>
            <w:r w:rsid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p</w:t>
            </w:r>
            <w:r w:rsidR="005E3A7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oli</w:t>
            </w:r>
            <w:r w:rsid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ce o</w:t>
            </w:r>
            <w:r w:rsidR="005E3A7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fficer</w:t>
            </w:r>
            <w:r w:rsidR="004E5A34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along the </w:t>
            </w:r>
            <w:r w:rsidR="005E3A7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B1 western by-pass road in Windhoek</w:t>
            </w:r>
            <w:r w:rsidR="00566182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for al</w:t>
            </w:r>
            <w:r w:rsidR="002D7E3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legedly failing to stop his</w:t>
            </w:r>
            <w:r w:rsidR="00566182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vehicle when directed to stop by a police officer. </w:t>
            </w:r>
            <w:r w:rsidR="00FB472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Later that evening at K</w:t>
            </w:r>
            <w:r w:rsidR="004E5A34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atutura Police Station</w:t>
            </w:r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, </w:t>
            </w:r>
            <w:r w:rsidR="00B10FB8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 case was opened for </w:t>
            </w:r>
            <w:r w:rsidR="004E5A34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reckless, negligent driving and defeating the course of justice. </w:t>
            </w:r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</w:t>
            </w:r>
            <w:r w:rsidR="00FD328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said official also informed </w:t>
            </w:r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Mr </w:t>
            </w:r>
            <w:proofErr w:type="spellStart"/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Mweulinale</w:t>
            </w:r>
            <w:proofErr w:type="spellEnd"/>
            <w:r w:rsidR="00EC4F8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to </w:t>
            </w:r>
            <w:r w:rsidR="00856559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prepare </w:t>
            </w:r>
            <w:r w:rsidR="00C00559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N$ 1000-00 if he</w:t>
            </w:r>
            <w:r w:rsidR="002D7E3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does not want to s</w:t>
            </w:r>
            <w:r w:rsidR="00E14A18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leep in jail, but it was </w:t>
            </w:r>
            <w:r w:rsidR="002D7E3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too late and he </w:t>
            </w:r>
            <w:r w:rsidR="00C00559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spen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</w:t>
            </w:r>
            <w:r w:rsidR="00C00559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the night at Katutura Police Station. </w:t>
            </w:r>
          </w:p>
          <w:p w:rsidR="00FB4721" w:rsidRPr="00A90E1C" w:rsidRDefault="00FB4721" w:rsidP="007C116C">
            <w:pPr>
              <w:pStyle w:val="ListParagraph"/>
              <w:spacing w:line="360" w:lineRule="auto"/>
              <w:ind w:left="810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FB4721" w:rsidRPr="00A90E1C" w:rsidRDefault="00C00559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next day 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Mr</w:t>
            </w:r>
            <w:r w:rsidR="002F7273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2F7273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Mweulinale</w:t>
            </w:r>
            <w:proofErr w:type="spellEnd"/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contacted a friend </w:t>
            </w:r>
            <w:r w:rsidR="00A6270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who brought N$ 1000-00.  He 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stated</w:t>
            </w:r>
            <w:r w:rsidR="00D73F9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that </w:t>
            </w:r>
            <w:r w:rsidR="00D73F9A" w:rsidRPr="00A90E1C">
              <w:rPr>
                <w:rFonts w:ascii="Arial Narrow" w:hAnsi="Arial Narrow" w:cs="Arial"/>
                <w:color w:val="595959" w:themeColor="text1" w:themeTint="A6"/>
              </w:rPr>
              <w:t>‘At 15h00 on 21/01/2020 they took me to a finger print and he told me to prepare N$ 1000-00 to pay in order to release me.</w:t>
            </w:r>
            <w:r w:rsidR="00D73F9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’ (sic) </w:t>
            </w:r>
            <w:r w:rsidR="00856559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Subsequently he was told 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that </w:t>
            </w:r>
            <w:r w:rsidR="00856559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case ends there because </w:t>
            </w:r>
            <w:r w:rsidR="00D73F9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he p</w:t>
            </w:r>
            <w:r w:rsidR="00A6270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aid an admission of guilt fine. </w:t>
            </w:r>
          </w:p>
          <w:p w:rsidR="00FB4721" w:rsidRPr="00A90E1C" w:rsidRDefault="00FB4721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DC7ACF" w:rsidRPr="00A90E1C" w:rsidRDefault="00A62707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The g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ist of the grievance is that Mr </w:t>
            </w:r>
            <w:proofErr w:type="spellStart"/>
            <w:r w:rsidR="002F7273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Mweulinale</w:t>
            </w:r>
            <w:proofErr w:type="spellEnd"/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did not</w:t>
            </w:r>
            <w:r w:rsidR="002D7E3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comprehend or agree that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N$ 1000-00 constituted payment for an admission of guilt </w:t>
            </w:r>
            <w:r w:rsidR="00FB472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for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offense </w:t>
            </w:r>
            <w:r w:rsid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and 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that </w:t>
            </w:r>
            <w:r w:rsid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he wants to go to court </w:t>
            </w:r>
            <w:r w:rsidR="00D73F9A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to clear his name. </w:t>
            </w:r>
          </w:p>
          <w:p w:rsidR="00576D21" w:rsidRPr="00A90E1C" w:rsidRDefault="00576D21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FB4721" w:rsidRPr="00EE74D5" w:rsidRDefault="00FB4721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The Additional Magistrate explains in her letter that she checked the particular written notice and</w:t>
            </w:r>
            <w:r w:rsidR="001C7D3D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in that way fulfilled her duty.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EE74D5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It emanated from Head of Office</w:t>
            </w:r>
            <w:r w:rsidR="00213C06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’s letter that he formed the opinion that </w:t>
            </w:r>
            <w:r w:rsidR="00A75F58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the Police</w:t>
            </w:r>
            <w:r w:rsidR="00213C06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Officer disguised the 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bail money</w:t>
            </w:r>
            <w:r w:rsidR="00213C06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as a court fine and 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that he </w:t>
            </w:r>
            <w:r w:rsidR="00213C06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r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equested the </w:t>
            </w:r>
            <w:r w:rsidR="00576D21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Divisional Magistrate 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to refer the </w:t>
            </w:r>
            <w:r w:rsidR="00A75F58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case for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213C06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 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special review. The Divisional Magistrate complied with that request. It </w:t>
            </w:r>
            <w:r w:rsidR="007D36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appears 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that the</w:t>
            </w:r>
            <w:r w:rsidR="00227172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re was no written </w:t>
            </w:r>
            <w:r w:rsid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representation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7D369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by the accused that</w:t>
            </w:r>
            <w:r w:rsidR="00227172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could have been c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onsidered by the Additional Magistrate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at the time of 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check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ing </w:t>
            </w:r>
            <w:r w:rsidR="002D7E3C" w:rsidRPr="00EE74D5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documents. </w:t>
            </w:r>
          </w:p>
          <w:p w:rsidR="00A76976" w:rsidRPr="00A90E1C" w:rsidRDefault="00A76976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837E4E" w:rsidRPr="00A90E1C" w:rsidRDefault="00C816D2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A</w:t>
            </w:r>
            <w:r w:rsidR="00A76976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n 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inspection o</w:t>
            </w:r>
            <w:r w:rsidR="00A76976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f the charge a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 set out in the written notice</w:t>
            </w:r>
            <w:r w:rsidR="00A76976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serial number 043013 </w:t>
            </w:r>
            <w:r w:rsidR="00A2634F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reveals </w:t>
            </w:r>
            <w:r w:rsidR="00A76976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that it is defective. </w:t>
            </w:r>
            <w:r w:rsidR="00973094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</w:t>
            </w:r>
            <w:r w:rsidR="00A76976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he</w:t>
            </w:r>
            <w:r w:rsidR="00387CFE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name of the </w:t>
            </w:r>
            <w:r w:rsidR="00973094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offense reads ‘</w:t>
            </w:r>
            <w:r w:rsidR="00973094" w:rsidRPr="00A90E1C">
              <w:rPr>
                <w:rFonts w:ascii="Arial Narrow" w:hAnsi="Arial Narrow" w:cs="Arial"/>
                <w:color w:val="595959" w:themeColor="text1" w:themeTint="A6"/>
              </w:rPr>
              <w:t xml:space="preserve">Reckless, Negligent </w:t>
            </w:r>
            <w:r w:rsidR="00A76976" w:rsidRPr="00A90E1C">
              <w:rPr>
                <w:rFonts w:ascii="Arial Narrow" w:hAnsi="Arial Narrow" w:cs="Arial"/>
                <w:color w:val="595959" w:themeColor="text1" w:themeTint="A6"/>
              </w:rPr>
              <w:t xml:space="preserve"> </w:t>
            </w:r>
            <w:r w:rsidR="00973094" w:rsidRPr="00A90E1C">
              <w:rPr>
                <w:rFonts w:ascii="Arial Narrow" w:hAnsi="Arial Narrow" w:cs="Arial"/>
                <w:color w:val="595959" w:themeColor="text1" w:themeTint="A6"/>
              </w:rPr>
              <w:t xml:space="preserve">driving &amp; Defeating the course of Justice,’ </w:t>
            </w:r>
            <w:r w:rsidR="00387CFE" w:rsidRPr="00E20C6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whereas the particulars </w:t>
            </w:r>
            <w:r w:rsidR="00A90E1C" w:rsidRPr="00E20C6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of the charge </w:t>
            </w:r>
            <w:r w:rsidR="00387CFE" w:rsidRPr="00E20C6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state that on</w:t>
            </w:r>
            <w:r w:rsidR="00567E69" w:rsidRPr="00E20C6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20/</w:t>
            </w:r>
            <w:r w:rsidR="00973094" w:rsidRPr="00E20C6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01/2020 at or near Katutura B1 road, Western </w:t>
            </w:r>
            <w:r w:rsidR="00973094" w:rsidRPr="00E20C6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lastRenderedPageBreak/>
              <w:t xml:space="preserve">bypass </w:t>
            </w:r>
            <w:r w:rsidR="00973094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in the said district the suspect failed to stop his vehicle when stopped by the police officer executing his duty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in uniform</w:t>
            </w:r>
            <w:r w:rsidR="00B10FB8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.</w:t>
            </w:r>
          </w:p>
          <w:p w:rsidR="00973094" w:rsidRPr="00A90E1C" w:rsidRDefault="00973094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714607" w:rsidRPr="00A90E1C" w:rsidRDefault="00387CFE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Section 84(1) of the CPA provides that a charge shall set out an offense in such a manner that the accused is sufficiently informed on the nature of the charge. </w:t>
            </w:r>
            <w:r w:rsidR="00DD645D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14607" w:rsidRPr="00A90E1C" w:rsidRDefault="00714607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567E69" w:rsidRDefault="00DD645D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In the written notice </w:t>
            </w:r>
            <w:r w:rsidR="0071460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before 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us</w:t>
            </w:r>
            <w:r w:rsidR="0071460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, </w:t>
            </w:r>
            <w:r w:rsidR="00C0703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specific offense with which Mr </w:t>
            </w:r>
            <w:proofErr w:type="spellStart"/>
            <w:r w:rsidR="00C0703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M</w:t>
            </w:r>
            <w:r w:rsidR="00B10FB8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weulinale</w:t>
            </w:r>
            <w:proofErr w:type="spellEnd"/>
            <w:r w:rsidR="00B10FB8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C0703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was charged is all but clear</w:t>
            </w:r>
            <w:r w:rsidR="002F7273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,</w:t>
            </w:r>
            <w:r w:rsidR="00C0703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as it </w:t>
            </w:r>
            <w:r w:rsidR="008D3AC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combines several </w:t>
            </w:r>
            <w:r w:rsidR="0071460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different offenses </w:t>
            </w:r>
            <w:r w:rsidR="002D5A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in one offense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.</w:t>
            </w:r>
            <w:r w:rsidR="002D5AC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As far as reckless and negligent driving is concerned, though </w:t>
            </w:r>
            <w:r w:rsidR="00567E69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they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are charged under the same provision i.e. </w:t>
            </w:r>
            <w:r w:rsidR="00C0703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contravening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section 80(1) of</w:t>
            </w:r>
            <w:r w:rsidR="004458D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Act 22 of 1999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,</w:t>
            </w:r>
            <w:r w:rsidR="00637D6B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1C4EF1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(hereafter referred to as t</w:t>
            </w:r>
            <w:r w:rsidR="00637D6B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he Act)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they differ </w:t>
            </w:r>
            <w:r w:rsidR="00B10FB8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as the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blameworthiness that is attributed to reckless driving is higher than that of </w:t>
            </w:r>
            <w:r w:rsidR="004458D7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negligent driving. </w:t>
            </w:r>
            <w:r w:rsidR="00567E69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Furthermore in the Uniform Traffic Fine List approved for the District of Windhoek,</w:t>
            </w:r>
            <w:r w:rsidR="00567E69">
              <w:rPr>
                <w:rStyle w:val="FootnoteReference"/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footnoteReference w:id="1"/>
            </w:r>
            <w:r w:rsidR="00567E69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the offenses of Reckless or Negligent Driving are indicated as offenses for which an admission of guilt fine ought not to be given. </w:t>
            </w:r>
            <w:r w:rsidR="00B4511B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567E69" w:rsidRPr="00567E69" w:rsidRDefault="00567E69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973094" w:rsidRPr="00A90E1C" w:rsidRDefault="004458D7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In the case of statutory offenses, it is </w:t>
            </w:r>
            <w:r w:rsidR="001C4EF1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required to 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cite the particular provisions of the legislation, which was</w:t>
            </w:r>
            <w:r w:rsidR="001C4EF1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not done in the written notice at hand.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C07031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1C4EF1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Had the p</w:t>
            </w:r>
            <w:r w:rsidR="00051B0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olice </w:t>
            </w:r>
            <w:r w:rsidR="001C4EF1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o</w:t>
            </w:r>
            <w:r w:rsidR="00051B0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fficer contemplated the traffic offense to be that of failed to stop in compliance with any direction conveyed by a road traffic sign or direction by a traffic officer in uniform</w:t>
            </w:r>
            <w:r w:rsidR="00637D6B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, he/she</w:t>
            </w:r>
            <w:r w:rsidR="00051B0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should have</w:t>
            </w:r>
            <w:r w:rsidR="00844B47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051B0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included that the offense was a contravention of Regulation 340(a) read with Regulation 369 and section </w:t>
            </w:r>
            <w:r w:rsidR="00637D6B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1, 86 and 89 of the Act.</w:t>
            </w:r>
          </w:p>
          <w:p w:rsidR="003E384F" w:rsidRPr="00A90E1C" w:rsidRDefault="003E384F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3E384F" w:rsidRPr="00A90E1C" w:rsidRDefault="002A544F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</w:t>
            </w:r>
            <w:r w:rsidR="00B4511B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n </w:t>
            </w:r>
            <w:r w:rsidR="00F545A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looking at the charge 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as formulated on the written notice </w:t>
            </w:r>
            <w:r w:rsidR="00F545A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accused could not have pleaded guilty to the defective charge. </w:t>
            </w:r>
            <w:r w:rsidR="003E384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Therefore, the magistrate when checking the writte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n notice in terms of section 57</w:t>
            </w:r>
            <w:r w:rsidR="003E384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(7) of the CPA</w:t>
            </w:r>
            <w:r w:rsidR="00F545A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should </w:t>
            </w:r>
            <w:r w:rsidR="003E384F"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not have found that the conviction was in order</w:t>
            </w:r>
            <w:r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and</w:t>
            </w:r>
            <w:r w:rsidR="00F545A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should not have confirmed it. </w:t>
            </w:r>
          </w:p>
          <w:p w:rsidR="003E384F" w:rsidRPr="00A90E1C" w:rsidRDefault="003E384F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3E384F" w:rsidRPr="00A90E1C" w:rsidRDefault="003E384F" w:rsidP="007C11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In the result the following order is made:</w:t>
            </w:r>
          </w:p>
          <w:p w:rsidR="003E384F" w:rsidRPr="00A90E1C" w:rsidRDefault="003E384F" w:rsidP="007C116C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The accused’s admission of guilt in terms of section 57 of the Criminal Procedure Act made on 21 January 2020 is set aside. </w:t>
            </w:r>
          </w:p>
          <w:p w:rsidR="003E384F" w:rsidRPr="00A90E1C" w:rsidRDefault="003E384F" w:rsidP="007C116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The entering of the particulars prescribed in section 57(6) of the Criminal Procedure Act by the clerk of court is set aside and expunged from the criminal record book.</w:t>
            </w:r>
          </w:p>
          <w:p w:rsidR="003E384F" w:rsidRPr="00A90E1C" w:rsidRDefault="003E384F" w:rsidP="007C116C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lastRenderedPageBreak/>
              <w:t xml:space="preserve">The clerk of court shall refund the amount of N$ 1000-00 to the accused which was paid as </w:t>
            </w:r>
            <w:r w:rsidR="008D3AC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fine to written notice </w:t>
            </w:r>
            <w:r w:rsidR="00EE38AA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serial number </w:t>
            </w:r>
            <w:r w:rsidR="008D3AC6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043013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 on 21 January 202</w:t>
            </w:r>
            <w:r w:rsidR="001C4EF1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>0 as soon as possible</w:t>
            </w:r>
            <w:r w:rsidRPr="00A90E1C"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3E384F" w:rsidRPr="00A90E1C" w:rsidRDefault="003E384F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3E384F" w:rsidRPr="00A90E1C" w:rsidRDefault="003E384F" w:rsidP="007C116C">
            <w:pPr>
              <w:pStyle w:val="ListParagrap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  <w:p w:rsidR="003E384F" w:rsidRPr="00A90E1C" w:rsidRDefault="003E384F" w:rsidP="007C116C">
            <w:pPr>
              <w:pStyle w:val="ListParagraph"/>
              <w:spacing w:line="360" w:lineRule="auto"/>
              <w:ind w:left="810"/>
              <w:jc w:val="both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A90E1C" w:rsidRPr="00A90E1C" w:rsidTr="007C116C">
        <w:tc>
          <w:tcPr>
            <w:tcW w:w="4770" w:type="dxa"/>
          </w:tcPr>
          <w:p w:rsidR="00A031D3" w:rsidRDefault="00A031D3" w:rsidP="007C116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</w:p>
          <w:p w:rsidR="00A031D3" w:rsidRPr="00A90E1C" w:rsidRDefault="00A031D3" w:rsidP="007C116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D35047" w:rsidRPr="00A90E1C" w:rsidRDefault="00D35047" w:rsidP="007C116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35047" w:rsidRPr="00A90E1C" w:rsidRDefault="00D35047" w:rsidP="007C116C">
            <w:pPr>
              <w:spacing w:line="360" w:lineRule="auto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90E1C" w:rsidRPr="00A90E1C" w:rsidTr="007C116C">
        <w:trPr>
          <w:trHeight w:val="827"/>
        </w:trPr>
        <w:tc>
          <w:tcPr>
            <w:tcW w:w="4770" w:type="dxa"/>
          </w:tcPr>
          <w:p w:rsidR="00D35047" w:rsidRPr="00A90E1C" w:rsidRDefault="00A031D3" w:rsidP="007C116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C M CLAASEN</w:t>
            </w:r>
          </w:p>
          <w:p w:rsidR="00D35047" w:rsidRPr="00A90E1C" w:rsidRDefault="00D35047" w:rsidP="007C116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0C7EFF" w:rsidRPr="00A90E1C" w:rsidRDefault="00A031D3" w:rsidP="007C116C">
            <w:pPr>
              <w:spacing w:line="360" w:lineRule="auto"/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 xml:space="preserve">                                     N </w:t>
            </w:r>
            <w:proofErr w:type="spellStart"/>
            <w:r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N</w:t>
            </w:r>
            <w:proofErr w:type="spellEnd"/>
            <w:r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 xml:space="preserve"> SHIVUTE</w:t>
            </w:r>
          </w:p>
          <w:p w:rsidR="00D35047" w:rsidRPr="00A90E1C" w:rsidRDefault="000C7EFF" w:rsidP="007C116C">
            <w:pPr>
              <w:spacing w:line="360" w:lineRule="auto"/>
              <w:jc w:val="center"/>
              <w:rPr>
                <w:rFonts w:ascii="Arial Narrow" w:hAnsi="Arial Narrow" w:cs="Arial"/>
                <w:color w:val="595959" w:themeColor="text1" w:themeTint="A6"/>
                <w:sz w:val="24"/>
                <w:szCs w:val="24"/>
              </w:rPr>
            </w:pPr>
            <w:r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J</w:t>
            </w:r>
            <w:r w:rsidR="00D35047" w:rsidRPr="00A90E1C">
              <w:rPr>
                <w:rFonts w:ascii="Arial Narrow" w:hAnsi="Arial Narrow" w:cs="Arial"/>
                <w:b/>
                <w:color w:val="595959" w:themeColor="text1" w:themeTint="A6"/>
                <w:sz w:val="24"/>
                <w:szCs w:val="24"/>
              </w:rPr>
              <w:t>UDGE</w:t>
            </w:r>
          </w:p>
        </w:tc>
      </w:tr>
    </w:tbl>
    <w:p w:rsidR="00B97A95" w:rsidRPr="00A90E1C" w:rsidRDefault="00B97A95" w:rsidP="00D92DB9">
      <w:pPr>
        <w:rPr>
          <w:rFonts w:ascii="Arial Narrow" w:hAnsi="Arial Narrow" w:cs="Arial"/>
          <w:color w:val="595959" w:themeColor="text1" w:themeTint="A6"/>
        </w:rPr>
      </w:pPr>
    </w:p>
    <w:sectPr w:rsidR="00B97A95" w:rsidRPr="00A90E1C" w:rsidSect="00B4589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19" w:rsidRDefault="00034819" w:rsidP="00F1192F">
      <w:pPr>
        <w:spacing w:after="0" w:line="240" w:lineRule="auto"/>
      </w:pPr>
      <w:r>
        <w:separator/>
      </w:r>
    </w:p>
  </w:endnote>
  <w:endnote w:type="continuationSeparator" w:id="0">
    <w:p w:rsidR="00034819" w:rsidRDefault="00034819" w:rsidP="00F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19" w:rsidRDefault="00034819" w:rsidP="00F1192F">
      <w:pPr>
        <w:spacing w:after="0" w:line="240" w:lineRule="auto"/>
      </w:pPr>
      <w:r>
        <w:separator/>
      </w:r>
    </w:p>
  </w:footnote>
  <w:footnote w:type="continuationSeparator" w:id="0">
    <w:p w:rsidR="00034819" w:rsidRDefault="00034819" w:rsidP="00F1192F">
      <w:pPr>
        <w:spacing w:after="0" w:line="240" w:lineRule="auto"/>
      </w:pPr>
      <w:r>
        <w:continuationSeparator/>
      </w:r>
    </w:p>
  </w:footnote>
  <w:footnote w:id="1">
    <w:p w:rsidR="00567E69" w:rsidRDefault="00567E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4EF1">
        <w:rPr>
          <w:rFonts w:ascii="Arial Narrow" w:hAnsi="Arial Narrow"/>
        </w:rPr>
        <w:t>Page 107 of Uniform Traffic Fine List Namibia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5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899" w:rsidRDefault="00B458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3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6CB3" w:rsidRDefault="00266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6C" w:rsidRDefault="007C116C" w:rsidP="007C116C">
    <w:pPr>
      <w:pStyle w:val="Header"/>
      <w:jc w:val="center"/>
    </w:pPr>
    <w:r>
      <w:t>“ANNEXURE 11”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5A"/>
    <w:multiLevelType w:val="hybridMultilevel"/>
    <w:tmpl w:val="F908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7D2E"/>
    <w:multiLevelType w:val="hybridMultilevel"/>
    <w:tmpl w:val="30EAD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278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447C0"/>
    <w:multiLevelType w:val="hybridMultilevel"/>
    <w:tmpl w:val="03E846D8"/>
    <w:lvl w:ilvl="0" w:tplc="C2805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96284"/>
    <w:multiLevelType w:val="hybridMultilevel"/>
    <w:tmpl w:val="0AA0FF80"/>
    <w:lvl w:ilvl="0" w:tplc="B934A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9D0BE7"/>
    <w:multiLevelType w:val="hybridMultilevel"/>
    <w:tmpl w:val="F266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4C8A"/>
    <w:multiLevelType w:val="hybridMultilevel"/>
    <w:tmpl w:val="3636346A"/>
    <w:lvl w:ilvl="0" w:tplc="103C106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1155C3D"/>
    <w:multiLevelType w:val="hybridMultilevel"/>
    <w:tmpl w:val="CEA65B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03302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13228"/>
    <w:multiLevelType w:val="hybridMultilevel"/>
    <w:tmpl w:val="12022CA0"/>
    <w:lvl w:ilvl="0" w:tplc="8E9674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9107BF7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2F2EBD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A1BC2"/>
    <w:multiLevelType w:val="hybridMultilevel"/>
    <w:tmpl w:val="9776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574A0"/>
    <w:multiLevelType w:val="hybridMultilevel"/>
    <w:tmpl w:val="D616C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3DE5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C13F87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13C3A"/>
    <w:multiLevelType w:val="hybridMultilevel"/>
    <w:tmpl w:val="23747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B3E7E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B4B8C"/>
    <w:multiLevelType w:val="hybridMultilevel"/>
    <w:tmpl w:val="641CFC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709A9"/>
    <w:multiLevelType w:val="hybridMultilevel"/>
    <w:tmpl w:val="86943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C0721A"/>
    <w:multiLevelType w:val="hybridMultilevel"/>
    <w:tmpl w:val="D616C4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225DD1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971166"/>
    <w:multiLevelType w:val="hybridMultilevel"/>
    <w:tmpl w:val="4CA4A966"/>
    <w:lvl w:ilvl="0" w:tplc="429A7518">
      <w:start w:val="1"/>
      <w:numFmt w:val="lowerLetter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10"/>
  </w:num>
  <w:num w:numId="11">
    <w:abstractNumId w:val="21"/>
  </w:num>
  <w:num w:numId="12">
    <w:abstractNumId w:val="0"/>
  </w:num>
  <w:num w:numId="13">
    <w:abstractNumId w:val="19"/>
  </w:num>
  <w:num w:numId="14">
    <w:abstractNumId w:val="1"/>
  </w:num>
  <w:num w:numId="15">
    <w:abstractNumId w:val="13"/>
  </w:num>
  <w:num w:numId="16">
    <w:abstractNumId w:val="7"/>
  </w:num>
  <w:num w:numId="17">
    <w:abstractNumId w:val="18"/>
  </w:num>
  <w:num w:numId="18">
    <w:abstractNumId w:val="22"/>
  </w:num>
  <w:num w:numId="19">
    <w:abstractNumId w:val="4"/>
  </w:num>
  <w:num w:numId="20">
    <w:abstractNumId w:val="16"/>
  </w:num>
  <w:num w:numId="21">
    <w:abstractNumId w:val="2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7"/>
    <w:rsid w:val="000030B5"/>
    <w:rsid w:val="00004C21"/>
    <w:rsid w:val="00034819"/>
    <w:rsid w:val="00051B0C"/>
    <w:rsid w:val="00055297"/>
    <w:rsid w:val="000578F5"/>
    <w:rsid w:val="00064AD7"/>
    <w:rsid w:val="000841C3"/>
    <w:rsid w:val="000B4D4B"/>
    <w:rsid w:val="000C2508"/>
    <w:rsid w:val="000C2FE7"/>
    <w:rsid w:val="000C7EFF"/>
    <w:rsid w:val="000E2922"/>
    <w:rsid w:val="00105613"/>
    <w:rsid w:val="00124718"/>
    <w:rsid w:val="00167555"/>
    <w:rsid w:val="001A41D5"/>
    <w:rsid w:val="001A57CD"/>
    <w:rsid w:val="001B7928"/>
    <w:rsid w:val="001C0E01"/>
    <w:rsid w:val="001C4EF1"/>
    <w:rsid w:val="001C7D3D"/>
    <w:rsid w:val="00205AE6"/>
    <w:rsid w:val="00206C38"/>
    <w:rsid w:val="00207368"/>
    <w:rsid w:val="00213C06"/>
    <w:rsid w:val="00223FBB"/>
    <w:rsid w:val="00224FEA"/>
    <w:rsid w:val="00227172"/>
    <w:rsid w:val="00233D4A"/>
    <w:rsid w:val="002342C4"/>
    <w:rsid w:val="002474DD"/>
    <w:rsid w:val="00253D66"/>
    <w:rsid w:val="00266CB3"/>
    <w:rsid w:val="002745F1"/>
    <w:rsid w:val="00282698"/>
    <w:rsid w:val="0028634A"/>
    <w:rsid w:val="002A544F"/>
    <w:rsid w:val="002D3562"/>
    <w:rsid w:val="002D38C3"/>
    <w:rsid w:val="002D5ACF"/>
    <w:rsid w:val="002D7E3C"/>
    <w:rsid w:val="002E3B96"/>
    <w:rsid w:val="002E5924"/>
    <w:rsid w:val="002E70C5"/>
    <w:rsid w:val="002E7367"/>
    <w:rsid w:val="002F7273"/>
    <w:rsid w:val="003231A6"/>
    <w:rsid w:val="00333485"/>
    <w:rsid w:val="00333633"/>
    <w:rsid w:val="00333F47"/>
    <w:rsid w:val="0035563F"/>
    <w:rsid w:val="00357E76"/>
    <w:rsid w:val="00362104"/>
    <w:rsid w:val="0036491B"/>
    <w:rsid w:val="00384F99"/>
    <w:rsid w:val="00387CFE"/>
    <w:rsid w:val="00392432"/>
    <w:rsid w:val="003B0D55"/>
    <w:rsid w:val="003B2244"/>
    <w:rsid w:val="003C38CD"/>
    <w:rsid w:val="003C52F8"/>
    <w:rsid w:val="003D2913"/>
    <w:rsid w:val="003E384F"/>
    <w:rsid w:val="003E6085"/>
    <w:rsid w:val="003F525B"/>
    <w:rsid w:val="004057CA"/>
    <w:rsid w:val="00407DA4"/>
    <w:rsid w:val="00410C1A"/>
    <w:rsid w:val="00421539"/>
    <w:rsid w:val="004278AB"/>
    <w:rsid w:val="004360DF"/>
    <w:rsid w:val="004458D7"/>
    <w:rsid w:val="004953D9"/>
    <w:rsid w:val="00497954"/>
    <w:rsid w:val="004B5EF3"/>
    <w:rsid w:val="004C47C8"/>
    <w:rsid w:val="004C6E41"/>
    <w:rsid w:val="004E5A34"/>
    <w:rsid w:val="004F119B"/>
    <w:rsid w:val="004F47E5"/>
    <w:rsid w:val="0050248C"/>
    <w:rsid w:val="00504649"/>
    <w:rsid w:val="00505B25"/>
    <w:rsid w:val="00526942"/>
    <w:rsid w:val="00535D52"/>
    <w:rsid w:val="00547317"/>
    <w:rsid w:val="00550128"/>
    <w:rsid w:val="00566182"/>
    <w:rsid w:val="00567E69"/>
    <w:rsid w:val="00576D21"/>
    <w:rsid w:val="005843F2"/>
    <w:rsid w:val="00584D49"/>
    <w:rsid w:val="0059000D"/>
    <w:rsid w:val="005A6E32"/>
    <w:rsid w:val="005C0EE6"/>
    <w:rsid w:val="005C15FA"/>
    <w:rsid w:val="005C1AE5"/>
    <w:rsid w:val="005D7CD3"/>
    <w:rsid w:val="005E3A7D"/>
    <w:rsid w:val="005E4F50"/>
    <w:rsid w:val="005E73E8"/>
    <w:rsid w:val="00602974"/>
    <w:rsid w:val="00624879"/>
    <w:rsid w:val="0063048F"/>
    <w:rsid w:val="00632C1B"/>
    <w:rsid w:val="00637D6B"/>
    <w:rsid w:val="006423F7"/>
    <w:rsid w:val="00663198"/>
    <w:rsid w:val="006956C2"/>
    <w:rsid w:val="006E1FEF"/>
    <w:rsid w:val="006F16D5"/>
    <w:rsid w:val="006F1BE0"/>
    <w:rsid w:val="007032C8"/>
    <w:rsid w:val="00714607"/>
    <w:rsid w:val="007165AE"/>
    <w:rsid w:val="00736D3F"/>
    <w:rsid w:val="00742201"/>
    <w:rsid w:val="00744A3F"/>
    <w:rsid w:val="00775A2F"/>
    <w:rsid w:val="00776E80"/>
    <w:rsid w:val="00795A7A"/>
    <w:rsid w:val="007C116C"/>
    <w:rsid w:val="007D3697"/>
    <w:rsid w:val="007D6F45"/>
    <w:rsid w:val="007E47F9"/>
    <w:rsid w:val="007E612B"/>
    <w:rsid w:val="007F7B07"/>
    <w:rsid w:val="00806B22"/>
    <w:rsid w:val="0082349A"/>
    <w:rsid w:val="00824893"/>
    <w:rsid w:val="00837E4E"/>
    <w:rsid w:val="00844B47"/>
    <w:rsid w:val="00846C12"/>
    <w:rsid w:val="00847263"/>
    <w:rsid w:val="00856559"/>
    <w:rsid w:val="0087379F"/>
    <w:rsid w:val="00874420"/>
    <w:rsid w:val="008D3AC6"/>
    <w:rsid w:val="008E1542"/>
    <w:rsid w:val="008F684B"/>
    <w:rsid w:val="0092347B"/>
    <w:rsid w:val="00924352"/>
    <w:rsid w:val="00926BAA"/>
    <w:rsid w:val="009417E8"/>
    <w:rsid w:val="00946EF3"/>
    <w:rsid w:val="00954FCF"/>
    <w:rsid w:val="009628AF"/>
    <w:rsid w:val="00973094"/>
    <w:rsid w:val="00997D55"/>
    <w:rsid w:val="009A4EBC"/>
    <w:rsid w:val="009A5E5C"/>
    <w:rsid w:val="009C1857"/>
    <w:rsid w:val="009C600C"/>
    <w:rsid w:val="009D1D30"/>
    <w:rsid w:val="009D2630"/>
    <w:rsid w:val="009E003A"/>
    <w:rsid w:val="00A031D3"/>
    <w:rsid w:val="00A11F6C"/>
    <w:rsid w:val="00A121FF"/>
    <w:rsid w:val="00A1663F"/>
    <w:rsid w:val="00A2380A"/>
    <w:rsid w:val="00A2634F"/>
    <w:rsid w:val="00A4025A"/>
    <w:rsid w:val="00A5533A"/>
    <w:rsid w:val="00A62707"/>
    <w:rsid w:val="00A7007A"/>
    <w:rsid w:val="00A75F58"/>
    <w:rsid w:val="00A76976"/>
    <w:rsid w:val="00A90E1C"/>
    <w:rsid w:val="00A91AAE"/>
    <w:rsid w:val="00AA0FD4"/>
    <w:rsid w:val="00AA47B4"/>
    <w:rsid w:val="00AC0E58"/>
    <w:rsid w:val="00AD427A"/>
    <w:rsid w:val="00AE4BDB"/>
    <w:rsid w:val="00AF30DA"/>
    <w:rsid w:val="00AF5991"/>
    <w:rsid w:val="00B10FB8"/>
    <w:rsid w:val="00B13BE8"/>
    <w:rsid w:val="00B23CF8"/>
    <w:rsid w:val="00B303A9"/>
    <w:rsid w:val="00B349AE"/>
    <w:rsid w:val="00B4511B"/>
    <w:rsid w:val="00B45899"/>
    <w:rsid w:val="00B53F70"/>
    <w:rsid w:val="00B840FC"/>
    <w:rsid w:val="00B902C1"/>
    <w:rsid w:val="00B97A95"/>
    <w:rsid w:val="00B97F54"/>
    <w:rsid w:val="00BE21EF"/>
    <w:rsid w:val="00BF6FF3"/>
    <w:rsid w:val="00C00559"/>
    <w:rsid w:val="00C05608"/>
    <w:rsid w:val="00C07031"/>
    <w:rsid w:val="00C221F8"/>
    <w:rsid w:val="00C7204E"/>
    <w:rsid w:val="00C816D2"/>
    <w:rsid w:val="00CA70E5"/>
    <w:rsid w:val="00CA7405"/>
    <w:rsid w:val="00CB0A27"/>
    <w:rsid w:val="00CB5190"/>
    <w:rsid w:val="00CB6D7D"/>
    <w:rsid w:val="00CC4996"/>
    <w:rsid w:val="00CE6426"/>
    <w:rsid w:val="00CF3BAD"/>
    <w:rsid w:val="00CF55E4"/>
    <w:rsid w:val="00D01948"/>
    <w:rsid w:val="00D12366"/>
    <w:rsid w:val="00D35047"/>
    <w:rsid w:val="00D553A3"/>
    <w:rsid w:val="00D66A4A"/>
    <w:rsid w:val="00D73F9A"/>
    <w:rsid w:val="00D90A60"/>
    <w:rsid w:val="00D92DB9"/>
    <w:rsid w:val="00D9375F"/>
    <w:rsid w:val="00DB140F"/>
    <w:rsid w:val="00DB302C"/>
    <w:rsid w:val="00DC35AF"/>
    <w:rsid w:val="00DC46FE"/>
    <w:rsid w:val="00DC7ACF"/>
    <w:rsid w:val="00DD2E5B"/>
    <w:rsid w:val="00DD645D"/>
    <w:rsid w:val="00DD71DE"/>
    <w:rsid w:val="00DF17CF"/>
    <w:rsid w:val="00E0494E"/>
    <w:rsid w:val="00E14A18"/>
    <w:rsid w:val="00E20C66"/>
    <w:rsid w:val="00E26711"/>
    <w:rsid w:val="00E3129A"/>
    <w:rsid w:val="00E32C4C"/>
    <w:rsid w:val="00E33FE2"/>
    <w:rsid w:val="00E43B39"/>
    <w:rsid w:val="00E533B2"/>
    <w:rsid w:val="00E54FCC"/>
    <w:rsid w:val="00E55BDF"/>
    <w:rsid w:val="00E601B2"/>
    <w:rsid w:val="00E63192"/>
    <w:rsid w:val="00E772B2"/>
    <w:rsid w:val="00E81269"/>
    <w:rsid w:val="00EB0194"/>
    <w:rsid w:val="00EB31AF"/>
    <w:rsid w:val="00EC4F8A"/>
    <w:rsid w:val="00EC6886"/>
    <w:rsid w:val="00ED77C5"/>
    <w:rsid w:val="00EE38AA"/>
    <w:rsid w:val="00EE74D5"/>
    <w:rsid w:val="00F1192F"/>
    <w:rsid w:val="00F179EA"/>
    <w:rsid w:val="00F545A6"/>
    <w:rsid w:val="00F62459"/>
    <w:rsid w:val="00F960FC"/>
    <w:rsid w:val="00FA35DA"/>
    <w:rsid w:val="00FB1579"/>
    <w:rsid w:val="00FB3220"/>
    <w:rsid w:val="00FB4721"/>
    <w:rsid w:val="00FC30AC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9F7C1-9B13-4627-883B-D970D32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4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11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192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119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B3"/>
  </w:style>
  <w:style w:type="paragraph" w:styleId="Footer">
    <w:name w:val="footer"/>
    <w:basedOn w:val="Normal"/>
    <w:link w:val="Foot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B3"/>
  </w:style>
  <w:style w:type="paragraph" w:styleId="BalloonText">
    <w:name w:val="Balloon Text"/>
    <w:basedOn w:val="Normal"/>
    <w:link w:val="BalloonTextChar"/>
    <w:uiPriority w:val="99"/>
    <w:semiHidden/>
    <w:unhideWhenUsed/>
    <w:rsid w:val="0006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2020-06-24T18:30:00+00:00</Judgment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86BE-B15D-4BCB-907F-BBF2EF0F5B22}"/>
</file>

<file path=customXml/itemProps2.xml><?xml version="1.0" encoding="utf-8"?>
<ds:datastoreItem xmlns:ds="http://schemas.openxmlformats.org/officeDocument/2006/customXml" ds:itemID="{2C355A9E-C761-4011-B5E8-1FDC5D1DEEC9}"/>
</file>

<file path=customXml/itemProps3.xml><?xml version="1.0" encoding="utf-8"?>
<ds:datastoreItem xmlns:ds="http://schemas.openxmlformats.org/officeDocument/2006/customXml" ds:itemID="{745002EE-8C79-4EFD-A616-BB0ED0DF244E}"/>
</file>

<file path=customXml/itemProps4.xml><?xml version="1.0" encoding="utf-8"?>
<ds:datastoreItem xmlns:ds="http://schemas.openxmlformats.org/officeDocument/2006/customXml" ds:itemID="{F75A739E-085D-45B4-ABA6-ABBCF2FCB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v Mweulinale (CR 44-2020) [2020] NAHCMD 252 (25 June 2020)</dc:title>
  <dc:subject/>
  <dc:creator>Thomas Kasita</dc:creator>
  <cp:keywords/>
  <dc:description/>
  <cp:lastModifiedBy>Administrator</cp:lastModifiedBy>
  <cp:revision>2</cp:revision>
  <cp:lastPrinted>2020-06-25T12:26:00Z</cp:lastPrinted>
  <dcterms:created xsi:type="dcterms:W3CDTF">2020-06-25T14:49:00Z</dcterms:created>
  <dcterms:modified xsi:type="dcterms:W3CDTF">2020-06-25T14:49:00Z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