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1F" w:rsidRPr="00E45AA5" w:rsidRDefault="00505D1F" w:rsidP="00C802C7">
      <w:pPr>
        <w:spacing w:after="0" w:line="360" w:lineRule="auto"/>
        <w:jc w:val="center"/>
        <w:rPr>
          <w:rFonts w:ascii="Arial" w:hAnsi="Arial" w:cs="Arial"/>
          <w:b/>
          <w:sz w:val="24"/>
          <w:szCs w:val="24"/>
        </w:rPr>
      </w:pPr>
      <w:r w:rsidRPr="00E45AA5">
        <w:rPr>
          <w:rFonts w:ascii="Arial" w:hAnsi="Arial" w:cs="Arial"/>
          <w:b/>
          <w:sz w:val="24"/>
          <w:szCs w:val="24"/>
        </w:rPr>
        <w:t>REPUBLIC OF NAMIBIA</w:t>
      </w:r>
      <w:r w:rsidRPr="00E45AA5">
        <w:rPr>
          <w:rFonts w:ascii="Arial" w:hAnsi="Arial" w:cs="Arial"/>
          <w:b/>
          <w:noProof/>
          <w:sz w:val="24"/>
          <w:szCs w:val="24"/>
          <w:lang w:val="en-US"/>
        </w:rPr>
        <w:drawing>
          <wp:anchor distT="0" distB="0" distL="114300" distR="114300" simplePos="0" relativeHeight="251660288" behindDoc="0" locked="0" layoutInCell="1" allowOverlap="1" wp14:anchorId="0D7E7F03" wp14:editId="48DB5DF2">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505D1F" w:rsidRPr="00E45AA5" w:rsidRDefault="00505D1F" w:rsidP="00C802C7">
      <w:pPr>
        <w:spacing w:after="0" w:line="360" w:lineRule="auto"/>
        <w:jc w:val="center"/>
        <w:rPr>
          <w:rFonts w:ascii="Arial" w:hAnsi="Arial" w:cs="Arial"/>
          <w:b/>
          <w:sz w:val="24"/>
          <w:szCs w:val="24"/>
        </w:rPr>
      </w:pPr>
    </w:p>
    <w:p w:rsidR="00505D1F" w:rsidRPr="00E45AA5" w:rsidRDefault="00505D1F" w:rsidP="00C802C7">
      <w:pPr>
        <w:spacing w:after="0" w:line="360" w:lineRule="auto"/>
        <w:jc w:val="center"/>
        <w:rPr>
          <w:rFonts w:ascii="Arial" w:hAnsi="Arial" w:cs="Arial"/>
          <w:b/>
          <w:sz w:val="24"/>
          <w:szCs w:val="24"/>
        </w:rPr>
      </w:pPr>
    </w:p>
    <w:p w:rsidR="00505D1F" w:rsidRPr="00E45AA5" w:rsidRDefault="00505D1F" w:rsidP="00C802C7">
      <w:pPr>
        <w:spacing w:after="0" w:line="360" w:lineRule="auto"/>
        <w:jc w:val="center"/>
        <w:rPr>
          <w:rFonts w:ascii="Arial" w:hAnsi="Arial" w:cs="Arial"/>
          <w:b/>
          <w:sz w:val="24"/>
          <w:szCs w:val="24"/>
        </w:rPr>
      </w:pPr>
    </w:p>
    <w:p w:rsidR="00505D1F" w:rsidRPr="00E45AA5" w:rsidRDefault="00505D1F" w:rsidP="00C802C7">
      <w:pPr>
        <w:spacing w:after="0" w:line="360" w:lineRule="auto"/>
        <w:jc w:val="center"/>
        <w:rPr>
          <w:rFonts w:ascii="Arial" w:hAnsi="Arial" w:cs="Arial"/>
          <w:b/>
          <w:sz w:val="24"/>
          <w:szCs w:val="24"/>
        </w:rPr>
      </w:pPr>
    </w:p>
    <w:p w:rsidR="00505D1F" w:rsidRPr="00E45AA5" w:rsidRDefault="00505D1F" w:rsidP="00C802C7">
      <w:pPr>
        <w:spacing w:after="0" w:line="360" w:lineRule="auto"/>
        <w:jc w:val="center"/>
        <w:rPr>
          <w:rFonts w:ascii="Arial" w:hAnsi="Arial" w:cs="Arial"/>
          <w:b/>
          <w:sz w:val="24"/>
          <w:szCs w:val="24"/>
        </w:rPr>
      </w:pPr>
    </w:p>
    <w:p w:rsidR="00505D1F" w:rsidRPr="00E45AA5" w:rsidRDefault="00505D1F" w:rsidP="00C802C7">
      <w:pPr>
        <w:spacing w:after="0" w:line="360" w:lineRule="auto"/>
        <w:jc w:val="center"/>
        <w:rPr>
          <w:rFonts w:ascii="Arial" w:hAnsi="Arial" w:cs="Arial"/>
          <w:b/>
          <w:sz w:val="24"/>
          <w:szCs w:val="24"/>
        </w:rPr>
      </w:pPr>
    </w:p>
    <w:p w:rsidR="00505D1F" w:rsidRPr="00E45AA5" w:rsidRDefault="00505D1F" w:rsidP="0058747D">
      <w:pPr>
        <w:spacing w:after="0" w:line="240" w:lineRule="auto"/>
        <w:jc w:val="center"/>
        <w:rPr>
          <w:rFonts w:ascii="Arial" w:hAnsi="Arial" w:cs="Arial"/>
          <w:b/>
          <w:sz w:val="24"/>
          <w:szCs w:val="24"/>
        </w:rPr>
      </w:pPr>
      <w:r w:rsidRPr="00E45AA5">
        <w:rPr>
          <w:rFonts w:ascii="Arial" w:hAnsi="Arial" w:cs="Arial"/>
          <w:b/>
          <w:sz w:val="24"/>
          <w:szCs w:val="24"/>
        </w:rPr>
        <w:t>HIGH COURT OF NAMIBIA, MAIN DIVISION, WINDHOEK</w:t>
      </w:r>
    </w:p>
    <w:p w:rsidR="00505D1F" w:rsidRPr="00E45AA5" w:rsidRDefault="00505D1F" w:rsidP="0058747D">
      <w:pPr>
        <w:spacing w:after="0" w:line="240" w:lineRule="auto"/>
        <w:jc w:val="center"/>
        <w:rPr>
          <w:rFonts w:ascii="Arial" w:hAnsi="Arial" w:cs="Arial"/>
          <w:b/>
          <w:sz w:val="24"/>
          <w:szCs w:val="24"/>
        </w:rPr>
      </w:pPr>
    </w:p>
    <w:p w:rsidR="00505D1F" w:rsidRPr="00E45AA5" w:rsidRDefault="00AC7E41" w:rsidP="0058747D">
      <w:pPr>
        <w:spacing w:after="0" w:line="240" w:lineRule="auto"/>
        <w:jc w:val="center"/>
        <w:rPr>
          <w:rFonts w:ascii="Arial" w:hAnsi="Arial" w:cs="Arial"/>
          <w:sz w:val="24"/>
          <w:szCs w:val="24"/>
        </w:rPr>
      </w:pPr>
      <w:r>
        <w:rPr>
          <w:rFonts w:ascii="Arial" w:hAnsi="Arial" w:cs="Arial"/>
          <w:b/>
          <w:sz w:val="24"/>
          <w:szCs w:val="24"/>
        </w:rPr>
        <w:t>RULING: VARIATION</w:t>
      </w:r>
      <w:r w:rsidR="004934D5">
        <w:rPr>
          <w:rFonts w:ascii="Arial" w:hAnsi="Arial" w:cs="Arial"/>
          <w:b/>
          <w:sz w:val="24"/>
          <w:szCs w:val="24"/>
        </w:rPr>
        <w:t xml:space="preserve"> AND CONDONATION</w:t>
      </w:r>
      <w:r>
        <w:rPr>
          <w:rFonts w:ascii="Arial" w:hAnsi="Arial" w:cs="Arial"/>
          <w:b/>
          <w:sz w:val="24"/>
          <w:szCs w:val="24"/>
        </w:rPr>
        <w:t xml:space="preserve"> APPLICATION</w:t>
      </w:r>
    </w:p>
    <w:p w:rsidR="00505D1F" w:rsidRPr="00E45AA5" w:rsidRDefault="00505D1F" w:rsidP="007E45F7">
      <w:pPr>
        <w:spacing w:after="0" w:line="360" w:lineRule="auto"/>
        <w:jc w:val="both"/>
        <w:rPr>
          <w:rFonts w:ascii="Arial" w:hAnsi="Arial" w:cs="Arial"/>
          <w:sz w:val="24"/>
          <w:szCs w:val="24"/>
        </w:rPr>
      </w:pPr>
    </w:p>
    <w:p w:rsidR="00505D1F" w:rsidRPr="00E45AA5" w:rsidRDefault="00505D1F" w:rsidP="00C802C7">
      <w:pPr>
        <w:spacing w:after="0" w:line="360" w:lineRule="auto"/>
        <w:jc w:val="right"/>
        <w:rPr>
          <w:rFonts w:ascii="Arial" w:hAnsi="Arial" w:cs="Arial"/>
          <w:sz w:val="24"/>
          <w:szCs w:val="24"/>
        </w:rPr>
      </w:pPr>
      <w:r w:rsidRPr="00E45AA5">
        <w:rPr>
          <w:rFonts w:ascii="Arial" w:hAnsi="Arial" w:cs="Arial"/>
          <w:sz w:val="24"/>
          <w:szCs w:val="24"/>
        </w:rPr>
        <w:t xml:space="preserve">Case No: </w:t>
      </w:r>
      <w:r w:rsidR="00E45AA5" w:rsidRPr="00E45AA5">
        <w:rPr>
          <w:rFonts w:ascii="Arial" w:hAnsi="Arial" w:cs="Arial"/>
          <w:sz w:val="24"/>
          <w:szCs w:val="24"/>
          <w:lang w:val="en-US"/>
        </w:rPr>
        <w:t>HC-MD-CIV-ACT-DEL-2016/02394</w:t>
      </w:r>
    </w:p>
    <w:p w:rsidR="00505D1F" w:rsidRPr="00E45AA5" w:rsidRDefault="00505D1F" w:rsidP="007E45F7">
      <w:pPr>
        <w:spacing w:after="0" w:line="360" w:lineRule="auto"/>
        <w:jc w:val="both"/>
        <w:rPr>
          <w:rFonts w:ascii="Arial" w:hAnsi="Arial" w:cs="Arial"/>
          <w:sz w:val="24"/>
          <w:szCs w:val="24"/>
        </w:rPr>
      </w:pPr>
      <w:r w:rsidRPr="00E45AA5">
        <w:rPr>
          <w:rFonts w:ascii="Arial" w:hAnsi="Arial" w:cs="Arial"/>
          <w:sz w:val="24"/>
          <w:szCs w:val="24"/>
        </w:rPr>
        <w:t>In the matter between:</w:t>
      </w:r>
    </w:p>
    <w:p w:rsidR="00505D1F" w:rsidRPr="00E45AA5" w:rsidRDefault="00505D1F" w:rsidP="007E45F7">
      <w:pPr>
        <w:spacing w:after="0" w:line="360" w:lineRule="auto"/>
        <w:jc w:val="both"/>
        <w:rPr>
          <w:rFonts w:ascii="Arial" w:hAnsi="Arial" w:cs="Arial"/>
          <w:sz w:val="24"/>
          <w:szCs w:val="24"/>
        </w:rPr>
      </w:pPr>
    </w:p>
    <w:p w:rsidR="005A7609" w:rsidRDefault="005A7609" w:rsidP="007E45F7">
      <w:pPr>
        <w:tabs>
          <w:tab w:val="right" w:pos="9356"/>
        </w:tabs>
        <w:spacing w:after="0" w:line="360" w:lineRule="auto"/>
        <w:jc w:val="both"/>
        <w:rPr>
          <w:rFonts w:ascii="Arial" w:hAnsi="Arial" w:cs="Arial"/>
          <w:b/>
          <w:sz w:val="24"/>
          <w:szCs w:val="24"/>
        </w:rPr>
      </w:pPr>
      <w:r w:rsidRPr="00E45AA5">
        <w:rPr>
          <w:rFonts w:ascii="Arial" w:hAnsi="Arial" w:cs="Arial"/>
          <w:b/>
          <w:sz w:val="24"/>
          <w:szCs w:val="24"/>
          <w:lang w:val="en-GB"/>
        </w:rPr>
        <w:t>KARSLRUH NUMBER ONE FARMING CLOSE CORPORATION</w:t>
      </w:r>
      <w:r>
        <w:rPr>
          <w:rFonts w:ascii="Arial" w:hAnsi="Arial" w:cs="Arial"/>
          <w:b/>
          <w:sz w:val="24"/>
          <w:szCs w:val="24"/>
        </w:rPr>
        <w:tab/>
        <w:t>FIRST PLAINTIFF</w:t>
      </w:r>
    </w:p>
    <w:p w:rsidR="005A7609" w:rsidRDefault="005A7609" w:rsidP="007E45F7">
      <w:pPr>
        <w:tabs>
          <w:tab w:val="right" w:pos="9356"/>
        </w:tabs>
        <w:spacing w:after="0" w:line="360" w:lineRule="auto"/>
        <w:jc w:val="both"/>
        <w:rPr>
          <w:rFonts w:ascii="Arial" w:hAnsi="Arial" w:cs="Arial"/>
          <w:b/>
          <w:sz w:val="24"/>
          <w:szCs w:val="24"/>
        </w:rPr>
      </w:pPr>
      <w:r>
        <w:rPr>
          <w:rFonts w:ascii="Arial" w:hAnsi="Arial" w:cs="Arial"/>
          <w:b/>
          <w:sz w:val="24"/>
          <w:szCs w:val="24"/>
        </w:rPr>
        <w:t>NABIL BENANI</w:t>
      </w:r>
      <w:r>
        <w:rPr>
          <w:rFonts w:ascii="Arial" w:hAnsi="Arial" w:cs="Arial"/>
          <w:b/>
          <w:sz w:val="24"/>
          <w:szCs w:val="24"/>
        </w:rPr>
        <w:tab/>
        <w:t>SECOND PLAINTIFF</w:t>
      </w:r>
    </w:p>
    <w:p w:rsidR="005A7609" w:rsidRPr="00E45AA5" w:rsidRDefault="005A7609" w:rsidP="007E45F7">
      <w:pPr>
        <w:tabs>
          <w:tab w:val="right" w:pos="9356"/>
        </w:tabs>
        <w:spacing w:after="0" w:line="360" w:lineRule="auto"/>
        <w:jc w:val="both"/>
        <w:rPr>
          <w:rFonts w:ascii="Arial" w:hAnsi="Arial" w:cs="Arial"/>
          <w:b/>
          <w:sz w:val="24"/>
          <w:szCs w:val="24"/>
        </w:rPr>
      </w:pPr>
      <w:r>
        <w:rPr>
          <w:rFonts w:ascii="Arial" w:hAnsi="Arial" w:cs="Arial"/>
          <w:b/>
          <w:sz w:val="24"/>
          <w:szCs w:val="24"/>
        </w:rPr>
        <w:t>MOHAMED BOUDOUNI</w:t>
      </w:r>
      <w:r>
        <w:rPr>
          <w:rFonts w:ascii="Arial" w:hAnsi="Arial" w:cs="Arial"/>
          <w:b/>
          <w:sz w:val="24"/>
          <w:szCs w:val="24"/>
        </w:rPr>
        <w:tab/>
        <w:t>THIRD PLAINTIFF</w:t>
      </w:r>
    </w:p>
    <w:p w:rsidR="005A7609" w:rsidRDefault="005A7609" w:rsidP="007E45F7">
      <w:pPr>
        <w:tabs>
          <w:tab w:val="right" w:pos="9356"/>
        </w:tabs>
        <w:spacing w:after="0" w:line="360" w:lineRule="auto"/>
        <w:jc w:val="both"/>
        <w:rPr>
          <w:rFonts w:ascii="Arial" w:hAnsi="Arial" w:cs="Arial"/>
          <w:b/>
          <w:sz w:val="24"/>
          <w:szCs w:val="24"/>
          <w:lang w:val="en-GB"/>
        </w:rPr>
      </w:pPr>
    </w:p>
    <w:p w:rsidR="005A7609" w:rsidRDefault="00AC7E41" w:rsidP="007E45F7">
      <w:pPr>
        <w:tabs>
          <w:tab w:val="right" w:pos="9356"/>
        </w:tabs>
        <w:spacing w:after="0" w:line="360" w:lineRule="auto"/>
        <w:jc w:val="both"/>
        <w:rPr>
          <w:rFonts w:ascii="Arial" w:hAnsi="Arial" w:cs="Arial"/>
          <w:b/>
          <w:sz w:val="24"/>
          <w:szCs w:val="24"/>
          <w:lang w:val="en-GB"/>
        </w:rPr>
      </w:pPr>
      <w:r>
        <w:rPr>
          <w:rFonts w:ascii="Arial" w:hAnsi="Arial" w:cs="Arial"/>
          <w:b/>
          <w:sz w:val="24"/>
          <w:szCs w:val="24"/>
          <w:lang w:val="en-GB"/>
        </w:rPr>
        <w:t>a</w:t>
      </w:r>
      <w:r w:rsidR="005A7609">
        <w:rPr>
          <w:rFonts w:ascii="Arial" w:hAnsi="Arial" w:cs="Arial"/>
          <w:b/>
          <w:sz w:val="24"/>
          <w:szCs w:val="24"/>
          <w:lang w:val="en-GB"/>
        </w:rPr>
        <w:t>nd</w:t>
      </w:r>
    </w:p>
    <w:p w:rsidR="005A7609" w:rsidRDefault="005A7609" w:rsidP="007E45F7">
      <w:pPr>
        <w:tabs>
          <w:tab w:val="right" w:pos="9356"/>
        </w:tabs>
        <w:spacing w:after="0" w:line="360" w:lineRule="auto"/>
        <w:jc w:val="both"/>
        <w:rPr>
          <w:rFonts w:ascii="Arial" w:hAnsi="Arial" w:cs="Arial"/>
          <w:b/>
          <w:sz w:val="24"/>
          <w:szCs w:val="24"/>
          <w:lang w:val="en-GB"/>
        </w:rPr>
      </w:pPr>
    </w:p>
    <w:p w:rsidR="00EF1A7D" w:rsidRDefault="00E45AA5" w:rsidP="007E45F7">
      <w:pPr>
        <w:tabs>
          <w:tab w:val="right" w:pos="9356"/>
        </w:tabs>
        <w:spacing w:after="0" w:line="360" w:lineRule="auto"/>
        <w:jc w:val="both"/>
        <w:rPr>
          <w:rFonts w:ascii="Arial" w:hAnsi="Arial" w:cs="Arial"/>
          <w:b/>
          <w:sz w:val="24"/>
          <w:szCs w:val="24"/>
        </w:rPr>
      </w:pPr>
      <w:r w:rsidRPr="00E45AA5">
        <w:rPr>
          <w:rFonts w:ascii="Arial" w:hAnsi="Arial" w:cs="Arial"/>
          <w:b/>
          <w:sz w:val="24"/>
          <w:szCs w:val="24"/>
          <w:lang w:val="en-GB"/>
        </w:rPr>
        <w:t>DE WET ESTERHUIZEN</w:t>
      </w:r>
      <w:r w:rsidRPr="00E45AA5">
        <w:rPr>
          <w:rFonts w:ascii="Arial" w:hAnsi="Arial" w:cs="Arial"/>
          <w:b/>
          <w:sz w:val="24"/>
          <w:szCs w:val="24"/>
        </w:rPr>
        <w:t> </w:t>
      </w:r>
      <w:r w:rsidRPr="00E45AA5">
        <w:rPr>
          <w:rFonts w:ascii="Arial" w:hAnsi="Arial" w:cs="Arial"/>
          <w:b/>
          <w:sz w:val="24"/>
          <w:szCs w:val="24"/>
        </w:rPr>
        <w:tab/>
      </w:r>
      <w:r w:rsidR="005A7609">
        <w:rPr>
          <w:rFonts w:ascii="Arial" w:hAnsi="Arial" w:cs="Arial"/>
          <w:b/>
          <w:sz w:val="24"/>
          <w:szCs w:val="24"/>
        </w:rPr>
        <w:t>FIRST DEFENDANT</w:t>
      </w:r>
    </w:p>
    <w:p w:rsidR="00845F82" w:rsidRPr="00E45AA5" w:rsidRDefault="00EF1A7D" w:rsidP="007E45F7">
      <w:pPr>
        <w:tabs>
          <w:tab w:val="right" w:pos="9356"/>
        </w:tabs>
        <w:spacing w:after="0" w:line="360" w:lineRule="auto"/>
        <w:jc w:val="both"/>
        <w:rPr>
          <w:rFonts w:ascii="Arial" w:hAnsi="Arial" w:cs="Arial"/>
          <w:b/>
          <w:sz w:val="24"/>
          <w:szCs w:val="24"/>
        </w:rPr>
      </w:pPr>
      <w:r>
        <w:rPr>
          <w:rFonts w:ascii="Arial" w:hAnsi="Arial" w:cs="Arial"/>
          <w:b/>
          <w:sz w:val="24"/>
          <w:szCs w:val="24"/>
        </w:rPr>
        <w:t>QUINTON KEYS</w:t>
      </w:r>
      <w:r>
        <w:rPr>
          <w:rFonts w:ascii="Arial" w:hAnsi="Arial" w:cs="Arial"/>
          <w:b/>
          <w:sz w:val="24"/>
          <w:szCs w:val="24"/>
        </w:rPr>
        <w:tab/>
        <w:t>SECOND DEFENDANT</w:t>
      </w:r>
      <w:r w:rsidR="005A7609" w:rsidRPr="00E45AA5">
        <w:rPr>
          <w:rFonts w:ascii="Arial" w:hAnsi="Arial" w:cs="Arial"/>
          <w:b/>
          <w:sz w:val="24"/>
          <w:szCs w:val="24"/>
        </w:rPr>
        <w:t xml:space="preserve">                                          </w:t>
      </w:r>
    </w:p>
    <w:p w:rsidR="00845F82" w:rsidRPr="00E45AA5" w:rsidRDefault="00845F82" w:rsidP="007E45F7">
      <w:pPr>
        <w:tabs>
          <w:tab w:val="right" w:pos="9356"/>
        </w:tabs>
        <w:spacing w:after="0" w:line="360" w:lineRule="auto"/>
        <w:jc w:val="both"/>
        <w:rPr>
          <w:rFonts w:ascii="Arial" w:hAnsi="Arial" w:cs="Arial"/>
          <w:b/>
          <w:sz w:val="24"/>
          <w:szCs w:val="24"/>
        </w:rPr>
      </w:pPr>
    </w:p>
    <w:p w:rsidR="00505D1F" w:rsidRPr="00E45AA5" w:rsidRDefault="00845F82" w:rsidP="007E45F7">
      <w:pPr>
        <w:tabs>
          <w:tab w:val="right" w:pos="9356"/>
        </w:tabs>
        <w:spacing w:after="0" w:line="360" w:lineRule="auto"/>
        <w:jc w:val="both"/>
        <w:rPr>
          <w:rFonts w:ascii="Arial" w:hAnsi="Arial" w:cs="Arial"/>
          <w:b/>
          <w:sz w:val="24"/>
          <w:szCs w:val="24"/>
        </w:rPr>
      </w:pPr>
      <w:r w:rsidRPr="00E45AA5">
        <w:rPr>
          <w:rFonts w:ascii="Arial" w:hAnsi="Arial" w:cs="Arial"/>
          <w:b/>
          <w:sz w:val="24"/>
          <w:szCs w:val="24"/>
        </w:rPr>
        <w:t>Neutral Citation</w:t>
      </w:r>
      <w:r w:rsidRPr="00E45AA5">
        <w:rPr>
          <w:rFonts w:ascii="Arial" w:hAnsi="Arial" w:cs="Arial"/>
          <w:b/>
          <w:i/>
          <w:sz w:val="24"/>
          <w:szCs w:val="24"/>
        </w:rPr>
        <w:t>:</w:t>
      </w:r>
      <w:r w:rsidR="00E45AA5" w:rsidRPr="00E45AA5">
        <w:rPr>
          <w:rFonts w:ascii="Arial" w:hAnsi="Arial" w:cs="Arial"/>
          <w:i/>
          <w:sz w:val="24"/>
          <w:szCs w:val="24"/>
          <w:lang w:val="en-GB"/>
        </w:rPr>
        <w:t xml:space="preserve"> Karslruh Number One Farming Close Corporation</w:t>
      </w:r>
      <w:r w:rsidR="00AC7E41">
        <w:rPr>
          <w:rFonts w:ascii="Arial" w:hAnsi="Arial" w:cs="Arial"/>
          <w:i/>
          <w:sz w:val="24"/>
          <w:szCs w:val="24"/>
          <w:lang w:val="en-GB"/>
        </w:rPr>
        <w:t xml:space="preserve"> v Esterhuizen </w:t>
      </w:r>
      <w:r w:rsidR="00AC7E41" w:rsidRPr="00E45AA5">
        <w:rPr>
          <w:rFonts w:ascii="Arial" w:hAnsi="Arial" w:cs="Arial"/>
          <w:i/>
          <w:sz w:val="24"/>
          <w:szCs w:val="24"/>
          <w:lang w:val="en-US"/>
        </w:rPr>
        <w:t>(</w:t>
      </w:r>
      <w:r w:rsidR="00E45AA5" w:rsidRPr="00E11DD1">
        <w:rPr>
          <w:rFonts w:ascii="Arial" w:hAnsi="Arial" w:cs="Arial"/>
          <w:sz w:val="24"/>
          <w:szCs w:val="24"/>
          <w:lang w:val="en-US"/>
        </w:rPr>
        <w:t>HC-MD-CIV-ACT-D</w:t>
      </w:r>
      <w:r w:rsidR="00D84B88">
        <w:rPr>
          <w:rFonts w:ascii="Arial" w:hAnsi="Arial" w:cs="Arial"/>
          <w:sz w:val="24"/>
          <w:szCs w:val="24"/>
          <w:lang w:val="en-US"/>
        </w:rPr>
        <w:t>EL-2016/02394) [2020] NAHCMD 255</w:t>
      </w:r>
      <w:r w:rsidR="003B25CA">
        <w:rPr>
          <w:rFonts w:ascii="Arial" w:hAnsi="Arial" w:cs="Arial"/>
          <w:sz w:val="24"/>
          <w:szCs w:val="24"/>
          <w:lang w:val="en-US"/>
        </w:rPr>
        <w:t xml:space="preserve"> </w:t>
      </w:r>
      <w:r w:rsidR="008325B3">
        <w:rPr>
          <w:rFonts w:ascii="Arial" w:hAnsi="Arial" w:cs="Arial"/>
          <w:sz w:val="24"/>
          <w:szCs w:val="24"/>
          <w:lang w:val="en-US"/>
        </w:rPr>
        <w:t>(16 June</w:t>
      </w:r>
      <w:r w:rsidR="00E45AA5" w:rsidRPr="00E11DD1">
        <w:rPr>
          <w:rFonts w:ascii="Arial" w:hAnsi="Arial" w:cs="Arial"/>
          <w:sz w:val="24"/>
          <w:szCs w:val="24"/>
          <w:lang w:val="en-US"/>
        </w:rPr>
        <w:t xml:space="preserve"> 2020)</w:t>
      </w:r>
      <w:r w:rsidR="00505D1F" w:rsidRPr="00E45AA5">
        <w:rPr>
          <w:rFonts w:ascii="Arial" w:hAnsi="Arial" w:cs="Arial"/>
          <w:b/>
          <w:sz w:val="24"/>
          <w:szCs w:val="24"/>
        </w:rPr>
        <w:tab/>
      </w:r>
    </w:p>
    <w:p w:rsidR="00505D1F" w:rsidRPr="00E45AA5" w:rsidRDefault="00505D1F" w:rsidP="007E45F7">
      <w:pPr>
        <w:spacing w:after="0" w:line="360" w:lineRule="auto"/>
        <w:jc w:val="both"/>
        <w:rPr>
          <w:rFonts w:ascii="Arial" w:hAnsi="Arial" w:cs="Arial"/>
          <w:b/>
          <w:sz w:val="24"/>
          <w:szCs w:val="24"/>
        </w:rPr>
      </w:pPr>
    </w:p>
    <w:p w:rsidR="00505D1F" w:rsidRPr="00E45AA5" w:rsidRDefault="00505D1F" w:rsidP="007E45F7">
      <w:pPr>
        <w:spacing w:after="0" w:line="360" w:lineRule="auto"/>
        <w:jc w:val="both"/>
        <w:rPr>
          <w:rFonts w:ascii="Arial" w:hAnsi="Arial" w:cs="Arial"/>
          <w:b/>
          <w:sz w:val="24"/>
          <w:szCs w:val="24"/>
        </w:rPr>
      </w:pPr>
      <w:r w:rsidRPr="0058747D">
        <w:rPr>
          <w:rFonts w:ascii="Arial" w:hAnsi="Arial" w:cs="Arial"/>
          <w:b/>
          <w:sz w:val="24"/>
          <w:szCs w:val="24"/>
        </w:rPr>
        <w:t>CORAM</w:t>
      </w:r>
      <w:r w:rsidRPr="00E45AA5">
        <w:rPr>
          <w:rFonts w:ascii="Arial" w:hAnsi="Arial" w:cs="Arial"/>
          <w:sz w:val="24"/>
          <w:szCs w:val="24"/>
        </w:rPr>
        <w:t>:</w:t>
      </w:r>
      <w:r w:rsidRPr="00E45AA5">
        <w:rPr>
          <w:rFonts w:ascii="Arial" w:hAnsi="Arial" w:cs="Arial"/>
          <w:b/>
          <w:sz w:val="24"/>
          <w:szCs w:val="24"/>
        </w:rPr>
        <w:tab/>
        <w:t>PRINSLOO J</w:t>
      </w:r>
    </w:p>
    <w:p w:rsidR="00505D1F" w:rsidRPr="00E45AA5" w:rsidRDefault="00505D1F" w:rsidP="007E45F7">
      <w:pPr>
        <w:spacing w:after="0" w:line="360" w:lineRule="auto"/>
        <w:jc w:val="both"/>
        <w:rPr>
          <w:rFonts w:ascii="Arial" w:hAnsi="Arial" w:cs="Arial"/>
          <w:sz w:val="24"/>
          <w:szCs w:val="24"/>
        </w:rPr>
      </w:pPr>
      <w:r w:rsidRPr="0058747D">
        <w:rPr>
          <w:rFonts w:ascii="Arial" w:hAnsi="Arial" w:cs="Arial"/>
          <w:b/>
          <w:sz w:val="24"/>
          <w:szCs w:val="24"/>
        </w:rPr>
        <w:t>Heard:</w:t>
      </w:r>
      <w:r w:rsidRPr="00E45AA5">
        <w:rPr>
          <w:rFonts w:ascii="Arial" w:hAnsi="Arial" w:cs="Arial"/>
          <w:sz w:val="24"/>
          <w:szCs w:val="24"/>
        </w:rPr>
        <w:t xml:space="preserve"> </w:t>
      </w:r>
      <w:r w:rsidRPr="00E45AA5">
        <w:rPr>
          <w:rFonts w:ascii="Arial" w:hAnsi="Arial" w:cs="Arial"/>
          <w:sz w:val="24"/>
          <w:szCs w:val="24"/>
        </w:rPr>
        <w:tab/>
      </w:r>
      <w:r w:rsidR="00D84B88">
        <w:rPr>
          <w:rFonts w:ascii="Arial" w:hAnsi="Arial" w:cs="Arial"/>
          <w:sz w:val="24"/>
          <w:szCs w:val="24"/>
        </w:rPr>
        <w:t xml:space="preserve">12 May </w:t>
      </w:r>
      <w:r w:rsidR="00E45AA5" w:rsidRPr="00E45AA5">
        <w:rPr>
          <w:rFonts w:ascii="Arial" w:hAnsi="Arial" w:cs="Arial"/>
          <w:sz w:val="24"/>
          <w:szCs w:val="24"/>
        </w:rPr>
        <w:t>2020</w:t>
      </w:r>
    </w:p>
    <w:p w:rsidR="00505D1F" w:rsidRPr="00E45AA5" w:rsidRDefault="008325B3" w:rsidP="007E45F7">
      <w:pPr>
        <w:spacing w:after="0" w:line="360" w:lineRule="auto"/>
        <w:jc w:val="both"/>
        <w:rPr>
          <w:rFonts w:ascii="Arial" w:hAnsi="Arial" w:cs="Arial"/>
          <w:sz w:val="24"/>
          <w:szCs w:val="24"/>
        </w:rPr>
      </w:pPr>
      <w:r w:rsidRPr="0058747D">
        <w:rPr>
          <w:rFonts w:ascii="Arial" w:hAnsi="Arial" w:cs="Arial"/>
          <w:b/>
          <w:sz w:val="24"/>
          <w:szCs w:val="24"/>
        </w:rPr>
        <w:t>Delivered:</w:t>
      </w:r>
      <w:r>
        <w:rPr>
          <w:rFonts w:ascii="Arial" w:hAnsi="Arial" w:cs="Arial"/>
          <w:sz w:val="24"/>
          <w:szCs w:val="24"/>
        </w:rPr>
        <w:tab/>
        <w:t>16 June</w:t>
      </w:r>
      <w:r w:rsidR="00E45AA5" w:rsidRPr="00E45AA5">
        <w:rPr>
          <w:rFonts w:ascii="Arial" w:hAnsi="Arial" w:cs="Arial"/>
          <w:sz w:val="24"/>
          <w:szCs w:val="24"/>
        </w:rPr>
        <w:t xml:space="preserve"> 2020</w:t>
      </w:r>
    </w:p>
    <w:p w:rsidR="005A7609" w:rsidRDefault="00A70FB8" w:rsidP="007E45F7">
      <w:pPr>
        <w:spacing w:after="0" w:line="360" w:lineRule="auto"/>
        <w:jc w:val="both"/>
        <w:rPr>
          <w:rFonts w:ascii="Arial" w:hAnsi="Arial" w:cs="Arial"/>
          <w:sz w:val="24"/>
          <w:szCs w:val="24"/>
        </w:rPr>
      </w:pPr>
      <w:r w:rsidRPr="0058747D">
        <w:rPr>
          <w:rFonts w:ascii="Arial" w:hAnsi="Arial" w:cs="Arial"/>
          <w:b/>
          <w:sz w:val="24"/>
          <w:szCs w:val="24"/>
        </w:rPr>
        <w:t>Reasons:</w:t>
      </w:r>
      <w:r>
        <w:rPr>
          <w:rFonts w:ascii="Arial" w:hAnsi="Arial" w:cs="Arial"/>
          <w:sz w:val="24"/>
          <w:szCs w:val="24"/>
        </w:rPr>
        <w:tab/>
        <w:t>26</w:t>
      </w:r>
      <w:r w:rsidR="008325B3">
        <w:rPr>
          <w:rFonts w:ascii="Arial" w:hAnsi="Arial" w:cs="Arial"/>
          <w:sz w:val="24"/>
          <w:szCs w:val="24"/>
        </w:rPr>
        <w:t xml:space="preserve"> June</w:t>
      </w:r>
      <w:r w:rsidR="00E45AA5" w:rsidRPr="00E45AA5">
        <w:rPr>
          <w:rFonts w:ascii="Arial" w:hAnsi="Arial" w:cs="Arial"/>
          <w:sz w:val="24"/>
          <w:szCs w:val="24"/>
        </w:rPr>
        <w:t xml:space="preserve"> 2020</w:t>
      </w:r>
    </w:p>
    <w:p w:rsidR="00C5111C" w:rsidRDefault="00C5111C" w:rsidP="007E45F7">
      <w:pPr>
        <w:spacing w:after="0" w:line="360" w:lineRule="auto"/>
        <w:jc w:val="both"/>
        <w:rPr>
          <w:rFonts w:ascii="Arial" w:hAnsi="Arial" w:cs="Arial"/>
          <w:sz w:val="24"/>
          <w:szCs w:val="24"/>
        </w:rPr>
      </w:pPr>
    </w:p>
    <w:p w:rsidR="00523D18" w:rsidRDefault="00C5111C" w:rsidP="007E45F7">
      <w:pPr>
        <w:spacing w:after="0" w:line="360" w:lineRule="auto"/>
        <w:jc w:val="both"/>
        <w:rPr>
          <w:rFonts w:ascii="Arial" w:hAnsi="Arial" w:cs="Arial"/>
          <w:sz w:val="24"/>
          <w:szCs w:val="24"/>
          <w:lang w:val="en-US" w:bidi="en-US"/>
        </w:rPr>
      </w:pPr>
      <w:r w:rsidRPr="00C5111C">
        <w:rPr>
          <w:rFonts w:ascii="Arial" w:hAnsi="Arial" w:cs="Arial"/>
          <w:b/>
          <w:sz w:val="24"/>
          <w:szCs w:val="24"/>
        </w:rPr>
        <w:lastRenderedPageBreak/>
        <w:t>Flynote:</w:t>
      </w:r>
      <w:r>
        <w:rPr>
          <w:rFonts w:ascii="Arial" w:hAnsi="Arial" w:cs="Arial"/>
          <w:sz w:val="24"/>
          <w:szCs w:val="24"/>
        </w:rPr>
        <w:tab/>
      </w:r>
      <w:r w:rsidR="00523D18" w:rsidRPr="00523D18">
        <w:rPr>
          <w:rFonts w:ascii="Arial" w:hAnsi="Arial" w:cs="Arial"/>
          <w:i/>
          <w:sz w:val="24"/>
          <w:szCs w:val="24"/>
        </w:rPr>
        <w:t xml:space="preserve">Civil </w:t>
      </w:r>
      <w:r w:rsidR="00523D18">
        <w:rPr>
          <w:rFonts w:ascii="Arial" w:hAnsi="Arial" w:cs="Arial"/>
          <w:i/>
          <w:sz w:val="24"/>
          <w:szCs w:val="24"/>
          <w:lang w:bidi="en-US"/>
        </w:rPr>
        <w:t xml:space="preserve">Practice – </w:t>
      </w:r>
      <w:r w:rsidR="00D10D53">
        <w:rPr>
          <w:rFonts w:ascii="Arial" w:hAnsi="Arial" w:cs="Arial"/>
          <w:i/>
          <w:sz w:val="24"/>
          <w:szCs w:val="24"/>
          <w:lang w:bidi="en-US"/>
        </w:rPr>
        <w:t>Judgments and O</w:t>
      </w:r>
      <w:r w:rsidR="00523D18" w:rsidRPr="00523D18">
        <w:rPr>
          <w:rFonts w:ascii="Arial" w:hAnsi="Arial" w:cs="Arial"/>
          <w:i/>
          <w:sz w:val="24"/>
          <w:szCs w:val="24"/>
          <w:lang w:bidi="en-US"/>
        </w:rPr>
        <w:t>rders</w:t>
      </w:r>
      <w:r w:rsidR="00523D18">
        <w:rPr>
          <w:rFonts w:ascii="Arial" w:hAnsi="Arial" w:cs="Arial"/>
          <w:sz w:val="24"/>
          <w:szCs w:val="24"/>
          <w:lang w:bidi="en-US"/>
        </w:rPr>
        <w:t xml:space="preserve"> – Rescission of order – </w:t>
      </w:r>
      <w:r w:rsidR="00523D18" w:rsidRPr="00523D18">
        <w:rPr>
          <w:rFonts w:ascii="Arial" w:hAnsi="Arial" w:cs="Arial"/>
          <w:sz w:val="24"/>
          <w:szCs w:val="24"/>
          <w:lang w:bidi="en-US"/>
        </w:rPr>
        <w:t xml:space="preserve">Can only be granted in terms of rule 103 of Rules of High Court or under common law </w:t>
      </w:r>
      <w:r w:rsidR="004E70D1" w:rsidRPr="004E70D1">
        <w:rPr>
          <w:rFonts w:ascii="Arial" w:hAnsi="Arial" w:cs="Arial"/>
          <w:sz w:val="24"/>
          <w:szCs w:val="24"/>
          <w:lang w:val="en-US" w:bidi="en-US"/>
        </w:rPr>
        <w:t>in which there is an ambiguity or a patent error or omission, but only to the extent of that ambiguity or omission</w:t>
      </w:r>
      <w:r w:rsidR="004E70D1">
        <w:rPr>
          <w:rFonts w:ascii="Arial" w:hAnsi="Arial" w:cs="Arial"/>
          <w:sz w:val="24"/>
          <w:szCs w:val="24"/>
          <w:lang w:val="en-US" w:bidi="en-US"/>
        </w:rPr>
        <w:t>.</w:t>
      </w:r>
    </w:p>
    <w:p w:rsidR="004E70D1" w:rsidRDefault="004E70D1" w:rsidP="007E45F7">
      <w:pPr>
        <w:spacing w:after="0" w:line="360" w:lineRule="auto"/>
        <w:jc w:val="both"/>
        <w:rPr>
          <w:rFonts w:ascii="Arial" w:hAnsi="Arial" w:cs="Arial"/>
          <w:sz w:val="24"/>
          <w:szCs w:val="24"/>
          <w:lang w:val="en-US" w:bidi="en-US"/>
        </w:rPr>
      </w:pPr>
    </w:p>
    <w:p w:rsidR="004E70D1" w:rsidRDefault="0096048C" w:rsidP="007E45F7">
      <w:pPr>
        <w:spacing w:after="0" w:line="360" w:lineRule="auto"/>
        <w:jc w:val="both"/>
        <w:rPr>
          <w:rFonts w:ascii="Arial" w:hAnsi="Arial" w:cs="Arial"/>
          <w:sz w:val="24"/>
          <w:szCs w:val="24"/>
        </w:rPr>
      </w:pPr>
      <w:r w:rsidRPr="0096048C">
        <w:rPr>
          <w:rFonts w:ascii="Arial" w:hAnsi="Arial" w:cs="Arial"/>
          <w:i/>
          <w:sz w:val="24"/>
          <w:szCs w:val="24"/>
          <w:lang w:bidi="en-US"/>
        </w:rPr>
        <w:t>Rescission</w:t>
      </w:r>
      <w:r>
        <w:rPr>
          <w:rFonts w:ascii="Arial" w:hAnsi="Arial" w:cs="Arial"/>
          <w:sz w:val="24"/>
          <w:szCs w:val="24"/>
          <w:lang w:bidi="en-US"/>
        </w:rPr>
        <w:t xml:space="preserve"> – </w:t>
      </w:r>
      <w:r w:rsidR="004E70D1" w:rsidRPr="004E70D1">
        <w:rPr>
          <w:rFonts w:ascii="Arial" w:hAnsi="Arial" w:cs="Arial"/>
          <w:sz w:val="24"/>
          <w:szCs w:val="24"/>
          <w:lang w:bidi="en-US"/>
        </w:rPr>
        <w:t>Courts do not necessarily amend their final orders unless certain identified exceptions und</w:t>
      </w:r>
      <w:r w:rsidR="004E70D1">
        <w:rPr>
          <w:rFonts w:ascii="Arial" w:hAnsi="Arial" w:cs="Arial"/>
          <w:sz w:val="24"/>
          <w:szCs w:val="24"/>
          <w:lang w:bidi="en-US"/>
        </w:rPr>
        <w:t>er common law and statue exist – C</w:t>
      </w:r>
      <w:r w:rsidR="004E70D1" w:rsidRPr="004E70D1">
        <w:rPr>
          <w:rFonts w:ascii="Arial" w:hAnsi="Arial" w:cs="Arial"/>
          <w:sz w:val="24"/>
          <w:szCs w:val="24"/>
          <w:lang w:bidi="en-US"/>
        </w:rPr>
        <w:t>ommon law exception</w:t>
      </w:r>
      <w:r w:rsidR="004E70D1">
        <w:rPr>
          <w:rFonts w:ascii="Arial" w:hAnsi="Arial" w:cs="Arial"/>
          <w:sz w:val="24"/>
          <w:szCs w:val="24"/>
          <w:lang w:bidi="en-US"/>
        </w:rPr>
        <w:t>s – N</w:t>
      </w:r>
      <w:r w:rsidR="004E70D1" w:rsidRPr="004E70D1">
        <w:rPr>
          <w:rFonts w:ascii="Arial" w:hAnsi="Arial" w:cs="Arial"/>
          <w:sz w:val="24"/>
          <w:szCs w:val="24"/>
          <w:lang w:bidi="en-US"/>
        </w:rPr>
        <w:t>ot inclusive and may be extended depending on the circu</w:t>
      </w:r>
      <w:r w:rsidR="004E70D1">
        <w:rPr>
          <w:rFonts w:ascii="Arial" w:hAnsi="Arial" w:cs="Arial"/>
          <w:sz w:val="24"/>
          <w:szCs w:val="24"/>
          <w:lang w:bidi="en-US"/>
        </w:rPr>
        <w:t>mstances of the particular case – S</w:t>
      </w:r>
      <w:r w:rsidR="004E70D1" w:rsidRPr="004E70D1">
        <w:rPr>
          <w:rFonts w:ascii="Arial" w:hAnsi="Arial" w:cs="Arial"/>
          <w:sz w:val="24"/>
          <w:szCs w:val="24"/>
          <w:lang w:bidi="en-US"/>
        </w:rPr>
        <w:t>upplementing of a judgment or clarification of a judgment.</w:t>
      </w:r>
    </w:p>
    <w:p w:rsidR="00523D18" w:rsidRDefault="00523D18" w:rsidP="007E45F7">
      <w:pPr>
        <w:spacing w:after="0" w:line="360" w:lineRule="auto"/>
        <w:jc w:val="both"/>
        <w:rPr>
          <w:rFonts w:ascii="Arial" w:hAnsi="Arial" w:cs="Arial"/>
          <w:sz w:val="24"/>
          <w:szCs w:val="24"/>
        </w:rPr>
      </w:pPr>
    </w:p>
    <w:p w:rsidR="006A6C33" w:rsidRPr="00C5111C" w:rsidRDefault="00523D18" w:rsidP="007E45F7">
      <w:pPr>
        <w:spacing w:after="0" w:line="360" w:lineRule="auto"/>
        <w:jc w:val="both"/>
        <w:rPr>
          <w:rFonts w:ascii="Arial" w:hAnsi="Arial" w:cs="Arial"/>
          <w:sz w:val="24"/>
          <w:szCs w:val="24"/>
        </w:rPr>
      </w:pPr>
      <w:r>
        <w:rPr>
          <w:rFonts w:ascii="Arial" w:hAnsi="Arial" w:cs="Arial"/>
          <w:i/>
          <w:sz w:val="24"/>
          <w:szCs w:val="24"/>
        </w:rPr>
        <w:t>Civil Practice</w:t>
      </w:r>
      <w:r w:rsidR="005548E3" w:rsidRPr="00523D18">
        <w:rPr>
          <w:rFonts w:ascii="Arial" w:hAnsi="Arial" w:cs="Arial"/>
          <w:i/>
          <w:sz w:val="24"/>
          <w:szCs w:val="24"/>
        </w:rPr>
        <w:t xml:space="preserve"> – Condonation application</w:t>
      </w:r>
      <w:r w:rsidR="005548E3">
        <w:rPr>
          <w:rFonts w:ascii="Arial" w:hAnsi="Arial" w:cs="Arial"/>
          <w:sz w:val="24"/>
          <w:szCs w:val="24"/>
        </w:rPr>
        <w:t xml:space="preserve"> – Trite principles – Applicant must offer </w:t>
      </w:r>
      <w:r w:rsidR="005548E3" w:rsidRPr="005548E3">
        <w:rPr>
          <w:rFonts w:ascii="Arial" w:hAnsi="Arial" w:cs="Arial"/>
          <w:sz w:val="24"/>
          <w:szCs w:val="24"/>
        </w:rPr>
        <w:t xml:space="preserve">acceptable, bona fide and reasonable explanation for the delay and </w:t>
      </w:r>
      <w:r w:rsidR="005548E3">
        <w:rPr>
          <w:rFonts w:ascii="Arial" w:hAnsi="Arial" w:cs="Arial"/>
          <w:sz w:val="24"/>
          <w:szCs w:val="24"/>
          <w:lang w:val="en-US"/>
        </w:rPr>
        <w:t xml:space="preserve">non-compliance with </w:t>
      </w:r>
      <w:r w:rsidR="005548E3" w:rsidRPr="005548E3">
        <w:rPr>
          <w:rFonts w:ascii="Arial" w:hAnsi="Arial" w:cs="Arial"/>
          <w:sz w:val="24"/>
          <w:szCs w:val="24"/>
          <w:lang w:val="en-US"/>
        </w:rPr>
        <w:t xml:space="preserve">rules of court as well as </w:t>
      </w:r>
      <w:r w:rsidR="005548E3">
        <w:rPr>
          <w:rFonts w:ascii="Arial" w:hAnsi="Arial" w:cs="Arial"/>
          <w:sz w:val="24"/>
          <w:szCs w:val="24"/>
          <w:lang w:val="en-US"/>
        </w:rPr>
        <w:t>satisfy the C</w:t>
      </w:r>
      <w:r w:rsidR="005548E3" w:rsidRPr="005548E3">
        <w:rPr>
          <w:rFonts w:ascii="Arial" w:hAnsi="Arial" w:cs="Arial"/>
          <w:sz w:val="24"/>
          <w:szCs w:val="24"/>
          <w:lang w:val="en-US"/>
        </w:rPr>
        <w:t>ourt that there are reasonable prospects of success on the merits</w:t>
      </w:r>
      <w:r w:rsidR="005548E3">
        <w:rPr>
          <w:rFonts w:ascii="Arial" w:hAnsi="Arial" w:cs="Arial"/>
          <w:sz w:val="24"/>
          <w:szCs w:val="24"/>
          <w:lang w:val="en-US"/>
        </w:rPr>
        <w:t xml:space="preserve"> – </w:t>
      </w:r>
      <w:r w:rsidR="005548E3">
        <w:rPr>
          <w:rFonts w:ascii="Arial" w:hAnsi="Arial" w:cs="Arial"/>
          <w:sz w:val="24"/>
          <w:szCs w:val="24"/>
        </w:rPr>
        <w:t xml:space="preserve">Prospects of success an important but not decisive consideration – Flagrant and gross disregard of the Rules of Court due to non-compliances Court need not consider prospects of success. </w:t>
      </w:r>
    </w:p>
    <w:p w:rsidR="005A7609" w:rsidRPr="00E45AA5" w:rsidRDefault="005A7609" w:rsidP="00C802C7">
      <w:pPr>
        <w:pBdr>
          <w:bottom w:val="single" w:sz="6" w:space="1" w:color="auto"/>
        </w:pBdr>
        <w:spacing w:after="0" w:line="240" w:lineRule="auto"/>
        <w:jc w:val="both"/>
        <w:rPr>
          <w:rFonts w:ascii="Arial" w:hAnsi="Arial" w:cs="Arial"/>
          <w:b/>
          <w:sz w:val="24"/>
          <w:szCs w:val="24"/>
        </w:rPr>
      </w:pPr>
    </w:p>
    <w:p w:rsidR="00505D1F" w:rsidRPr="00E45AA5" w:rsidRDefault="00505D1F" w:rsidP="00C802C7">
      <w:pPr>
        <w:spacing w:after="0" w:line="240" w:lineRule="auto"/>
        <w:jc w:val="both"/>
        <w:rPr>
          <w:rFonts w:ascii="Arial" w:hAnsi="Arial" w:cs="Arial"/>
          <w:b/>
          <w:sz w:val="24"/>
          <w:szCs w:val="24"/>
        </w:rPr>
      </w:pPr>
    </w:p>
    <w:p w:rsidR="00505D1F" w:rsidRPr="00E45AA5" w:rsidRDefault="00505D1F" w:rsidP="00C802C7">
      <w:pPr>
        <w:spacing w:after="0" w:line="240" w:lineRule="auto"/>
        <w:jc w:val="center"/>
        <w:rPr>
          <w:rFonts w:ascii="Arial" w:hAnsi="Arial" w:cs="Arial"/>
          <w:b/>
          <w:sz w:val="24"/>
          <w:szCs w:val="24"/>
        </w:rPr>
      </w:pPr>
      <w:r w:rsidRPr="00E45AA5">
        <w:rPr>
          <w:rFonts w:ascii="Arial" w:hAnsi="Arial" w:cs="Arial"/>
          <w:b/>
          <w:sz w:val="24"/>
          <w:szCs w:val="24"/>
        </w:rPr>
        <w:t>ORDER</w:t>
      </w:r>
    </w:p>
    <w:p w:rsidR="00505D1F" w:rsidRPr="00E45AA5" w:rsidRDefault="00505D1F" w:rsidP="00C802C7">
      <w:pPr>
        <w:pBdr>
          <w:bottom w:val="single" w:sz="6" w:space="1" w:color="auto"/>
        </w:pBdr>
        <w:spacing w:after="0" w:line="240" w:lineRule="auto"/>
        <w:jc w:val="both"/>
        <w:rPr>
          <w:rFonts w:ascii="Arial" w:hAnsi="Arial" w:cs="Arial"/>
          <w:b/>
          <w:sz w:val="24"/>
          <w:szCs w:val="24"/>
        </w:rPr>
      </w:pPr>
    </w:p>
    <w:p w:rsidR="00A776A9" w:rsidRPr="00E45AA5" w:rsidRDefault="00A776A9" w:rsidP="007E45F7">
      <w:pPr>
        <w:tabs>
          <w:tab w:val="left" w:pos="4110"/>
        </w:tabs>
        <w:spacing w:after="0" w:line="360" w:lineRule="auto"/>
        <w:jc w:val="both"/>
        <w:rPr>
          <w:rFonts w:ascii="Arial" w:hAnsi="Arial" w:cs="Arial"/>
          <w:b/>
          <w:sz w:val="24"/>
          <w:szCs w:val="24"/>
        </w:rPr>
      </w:pPr>
      <w:r>
        <w:rPr>
          <w:rFonts w:ascii="Arial" w:hAnsi="Arial" w:cs="Arial"/>
          <w:b/>
          <w:sz w:val="24"/>
          <w:szCs w:val="24"/>
        </w:rPr>
        <w:tab/>
      </w:r>
    </w:p>
    <w:p w:rsidR="00120982" w:rsidRPr="00120982" w:rsidRDefault="00120982" w:rsidP="00120982">
      <w:pPr>
        <w:spacing w:after="0" w:line="360" w:lineRule="auto"/>
        <w:ind w:left="360"/>
        <w:jc w:val="both"/>
        <w:rPr>
          <w:rFonts w:ascii="Arial" w:hAnsi="Arial" w:cs="Arial"/>
          <w:sz w:val="24"/>
          <w:szCs w:val="24"/>
        </w:rPr>
      </w:pPr>
    </w:p>
    <w:p w:rsidR="008325B3" w:rsidRDefault="008325B3" w:rsidP="007E45F7">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 xml:space="preserve">The </w:t>
      </w:r>
      <w:r w:rsidR="00060D3C">
        <w:rPr>
          <w:rFonts w:ascii="Arial" w:hAnsi="Arial" w:cs="Arial"/>
          <w:sz w:val="24"/>
          <w:szCs w:val="24"/>
        </w:rPr>
        <w:t xml:space="preserve">Court hereby declines to vary the order </w:t>
      </w:r>
      <w:r w:rsidR="00DB77C4">
        <w:rPr>
          <w:rFonts w:ascii="Arial" w:hAnsi="Arial" w:cs="Arial"/>
          <w:sz w:val="24"/>
          <w:szCs w:val="24"/>
        </w:rPr>
        <w:t>of 21 February 2020</w:t>
      </w:r>
      <w:r>
        <w:rPr>
          <w:rFonts w:ascii="Arial" w:hAnsi="Arial" w:cs="Arial"/>
          <w:sz w:val="24"/>
          <w:szCs w:val="24"/>
        </w:rPr>
        <w:t>.</w:t>
      </w:r>
    </w:p>
    <w:p w:rsidR="008325B3" w:rsidRDefault="008325B3" w:rsidP="007E45F7">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The First Defendant’s condonation is hereby denied</w:t>
      </w:r>
      <w:r w:rsidR="008A724C">
        <w:rPr>
          <w:rFonts w:ascii="Arial" w:hAnsi="Arial" w:cs="Arial"/>
          <w:sz w:val="24"/>
          <w:szCs w:val="24"/>
        </w:rPr>
        <w:t xml:space="preserve"> and the said application is dismissed</w:t>
      </w:r>
      <w:r>
        <w:rPr>
          <w:rFonts w:ascii="Arial" w:hAnsi="Arial" w:cs="Arial"/>
          <w:sz w:val="24"/>
          <w:szCs w:val="24"/>
        </w:rPr>
        <w:t xml:space="preserve">. </w:t>
      </w:r>
    </w:p>
    <w:p w:rsidR="008325B3" w:rsidRDefault="008A724C" w:rsidP="007E45F7">
      <w:pPr>
        <w:pStyle w:val="ListParagraph"/>
        <w:numPr>
          <w:ilvl w:val="0"/>
          <w:numId w:val="15"/>
        </w:numPr>
        <w:spacing w:after="0" w:line="360" w:lineRule="auto"/>
        <w:jc w:val="both"/>
        <w:rPr>
          <w:rFonts w:ascii="Arial" w:hAnsi="Arial" w:cs="Arial"/>
          <w:sz w:val="24"/>
          <w:szCs w:val="24"/>
        </w:rPr>
      </w:pPr>
      <w:r>
        <w:rPr>
          <w:rFonts w:ascii="Arial" w:hAnsi="Arial" w:cs="Arial"/>
          <w:sz w:val="24"/>
          <w:szCs w:val="24"/>
        </w:rPr>
        <w:t>C</w:t>
      </w:r>
      <w:r w:rsidR="008325B3">
        <w:rPr>
          <w:rFonts w:ascii="Arial" w:hAnsi="Arial" w:cs="Arial"/>
          <w:sz w:val="24"/>
          <w:szCs w:val="24"/>
        </w:rPr>
        <w:t xml:space="preserve">ost: </w:t>
      </w:r>
    </w:p>
    <w:p w:rsidR="008325B3" w:rsidRDefault="008325B3" w:rsidP="007E45F7">
      <w:pPr>
        <w:pStyle w:val="ListParagraph"/>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B0110F">
        <w:rPr>
          <w:rFonts w:ascii="Arial" w:eastAsia="Times New Roman" w:hAnsi="Arial" w:cs="Arial"/>
          <w:sz w:val="24"/>
          <w:szCs w:val="24"/>
          <w:lang w:val="en-GB"/>
        </w:rPr>
        <w:t xml:space="preserve">Each party to bear </w:t>
      </w:r>
      <w:r>
        <w:rPr>
          <w:rFonts w:ascii="Arial" w:eastAsia="Times New Roman" w:hAnsi="Arial" w:cs="Arial"/>
          <w:sz w:val="24"/>
          <w:szCs w:val="24"/>
          <w:lang w:val="en-GB"/>
        </w:rPr>
        <w:t>its own costs for the variation</w:t>
      </w:r>
      <w:r w:rsidRPr="00B0110F">
        <w:rPr>
          <w:rFonts w:ascii="Arial" w:eastAsia="Times New Roman" w:hAnsi="Arial" w:cs="Arial"/>
          <w:sz w:val="24"/>
          <w:szCs w:val="24"/>
          <w:lang w:val="en-GB"/>
        </w:rPr>
        <w:t xml:space="preserve"> </w:t>
      </w:r>
      <w:r>
        <w:rPr>
          <w:rFonts w:ascii="Arial" w:eastAsia="Times New Roman" w:hAnsi="Arial" w:cs="Arial"/>
          <w:sz w:val="24"/>
          <w:szCs w:val="24"/>
          <w:lang w:val="en-GB"/>
        </w:rPr>
        <w:t xml:space="preserve">application. </w:t>
      </w:r>
    </w:p>
    <w:p w:rsidR="008325B3" w:rsidRPr="00DB77C4" w:rsidRDefault="008325B3" w:rsidP="007E45F7">
      <w:pPr>
        <w:pStyle w:val="ListParagraph"/>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First Defendant to pay the Plaintiffs’ costs occasioned in the opposition of </w:t>
      </w:r>
      <w:r w:rsidRPr="00DB77C4">
        <w:rPr>
          <w:rFonts w:ascii="Arial" w:hAnsi="Arial" w:cs="Arial"/>
          <w:sz w:val="24"/>
          <w:szCs w:val="24"/>
        </w:rPr>
        <w:tab/>
        <w:t xml:space="preserve">the condonation application </w:t>
      </w:r>
      <w:r w:rsidR="008A724C" w:rsidRPr="00DB77C4">
        <w:rPr>
          <w:rFonts w:ascii="Arial" w:hAnsi="Arial" w:cs="Arial"/>
          <w:sz w:val="24"/>
          <w:szCs w:val="24"/>
        </w:rPr>
        <w:t xml:space="preserve">which is </w:t>
      </w:r>
      <w:r w:rsidR="005666E6" w:rsidRPr="00DB77C4">
        <w:rPr>
          <w:rFonts w:ascii="Arial" w:hAnsi="Arial" w:cs="Arial"/>
          <w:sz w:val="24"/>
          <w:szCs w:val="24"/>
        </w:rPr>
        <w:t>limited to</w:t>
      </w:r>
      <w:r w:rsidRPr="00DB77C4">
        <w:rPr>
          <w:rFonts w:ascii="Arial" w:hAnsi="Arial" w:cs="Arial"/>
          <w:sz w:val="24"/>
          <w:szCs w:val="24"/>
        </w:rPr>
        <w:t xml:space="preserve"> Rule 32 (11).</w:t>
      </w:r>
    </w:p>
    <w:p w:rsidR="00F71AEF" w:rsidRPr="00DB77C4" w:rsidRDefault="00060D3C" w:rsidP="007E45F7">
      <w:pPr>
        <w:pStyle w:val="ListParagraph"/>
        <w:numPr>
          <w:ilvl w:val="0"/>
          <w:numId w:val="15"/>
        </w:numPr>
        <w:spacing w:after="0" w:line="360" w:lineRule="auto"/>
        <w:jc w:val="both"/>
        <w:rPr>
          <w:rFonts w:ascii="Arial" w:eastAsia="Times New Roman" w:hAnsi="Arial" w:cs="Arial"/>
          <w:sz w:val="24"/>
          <w:szCs w:val="24"/>
          <w:lang w:val="en-GB"/>
        </w:rPr>
      </w:pPr>
      <w:r w:rsidRPr="00DB77C4">
        <w:rPr>
          <w:rFonts w:ascii="Arial" w:hAnsi="Arial" w:cs="Arial"/>
          <w:sz w:val="24"/>
          <w:szCs w:val="24"/>
        </w:rPr>
        <w:t xml:space="preserve">Matter is postponed to </w:t>
      </w:r>
      <w:r w:rsidRPr="00DB77C4">
        <w:rPr>
          <w:rFonts w:ascii="Arial" w:hAnsi="Arial" w:cs="Arial"/>
          <w:b/>
          <w:sz w:val="24"/>
          <w:szCs w:val="24"/>
        </w:rPr>
        <w:t>2 July 2020</w:t>
      </w:r>
      <w:r w:rsidRPr="00DB77C4">
        <w:rPr>
          <w:rFonts w:ascii="Arial" w:hAnsi="Arial" w:cs="Arial"/>
          <w:sz w:val="24"/>
          <w:szCs w:val="24"/>
        </w:rPr>
        <w:t xml:space="preserve"> at </w:t>
      </w:r>
      <w:r w:rsidRPr="00DB77C4">
        <w:rPr>
          <w:rFonts w:ascii="Arial" w:hAnsi="Arial" w:cs="Arial"/>
          <w:b/>
          <w:sz w:val="24"/>
          <w:szCs w:val="24"/>
        </w:rPr>
        <w:t>15h00</w:t>
      </w:r>
      <w:r w:rsidRPr="00DB77C4">
        <w:rPr>
          <w:rFonts w:ascii="Arial" w:hAnsi="Arial" w:cs="Arial"/>
          <w:sz w:val="24"/>
          <w:szCs w:val="24"/>
        </w:rPr>
        <w:t xml:space="preserve"> for Status hearing.</w:t>
      </w:r>
    </w:p>
    <w:p w:rsidR="00060D3C" w:rsidRPr="00120982" w:rsidRDefault="00060D3C" w:rsidP="007E45F7">
      <w:pPr>
        <w:pStyle w:val="ListParagraph"/>
        <w:numPr>
          <w:ilvl w:val="0"/>
          <w:numId w:val="15"/>
        </w:numPr>
        <w:spacing w:after="0" w:line="360" w:lineRule="auto"/>
        <w:jc w:val="both"/>
        <w:rPr>
          <w:rFonts w:ascii="Arial" w:eastAsia="Times New Roman" w:hAnsi="Arial" w:cs="Arial"/>
          <w:sz w:val="24"/>
          <w:szCs w:val="24"/>
          <w:lang w:val="en-GB"/>
        </w:rPr>
      </w:pPr>
      <w:r w:rsidRPr="00DB77C4">
        <w:rPr>
          <w:rFonts w:ascii="Arial" w:hAnsi="Arial" w:cs="Arial"/>
          <w:sz w:val="24"/>
          <w:szCs w:val="24"/>
        </w:rPr>
        <w:t xml:space="preserve">Joint </w:t>
      </w:r>
      <w:r w:rsidRPr="00D84B88">
        <w:rPr>
          <w:rFonts w:ascii="Arial" w:hAnsi="Arial" w:cs="Arial"/>
          <w:sz w:val="24"/>
          <w:szCs w:val="24"/>
        </w:rPr>
        <w:t xml:space="preserve">status report on the </w:t>
      </w:r>
      <w:r w:rsidR="00DB77C4" w:rsidRPr="00D84B88">
        <w:rPr>
          <w:rFonts w:ascii="Arial" w:hAnsi="Arial" w:cs="Arial"/>
          <w:sz w:val="24"/>
          <w:szCs w:val="24"/>
        </w:rPr>
        <w:t>further conduct of the matter to be filed on or both 29 May 2020.</w:t>
      </w:r>
      <w:r w:rsidR="00DB77C4" w:rsidRPr="00DB77C4">
        <w:rPr>
          <w:rFonts w:ascii="Arial" w:hAnsi="Arial" w:cs="Arial"/>
          <w:sz w:val="24"/>
          <w:szCs w:val="24"/>
        </w:rPr>
        <w:t xml:space="preserve"> </w:t>
      </w:r>
    </w:p>
    <w:p w:rsidR="00120982" w:rsidRPr="0058747D" w:rsidRDefault="00120982" w:rsidP="0058747D">
      <w:pPr>
        <w:spacing w:after="0" w:line="360" w:lineRule="auto"/>
        <w:jc w:val="both"/>
        <w:rPr>
          <w:rFonts w:ascii="Arial" w:eastAsia="Times New Roman" w:hAnsi="Arial" w:cs="Arial"/>
          <w:sz w:val="24"/>
          <w:szCs w:val="24"/>
          <w:lang w:val="en-GB"/>
        </w:rPr>
      </w:pPr>
    </w:p>
    <w:p w:rsidR="00505D1F" w:rsidRPr="00E45AA5" w:rsidRDefault="00505D1F" w:rsidP="00C802C7">
      <w:pPr>
        <w:spacing w:after="0" w:line="240" w:lineRule="auto"/>
        <w:jc w:val="both"/>
        <w:rPr>
          <w:rFonts w:ascii="Arial" w:hAnsi="Arial" w:cs="Arial"/>
        </w:rPr>
      </w:pPr>
      <w:r w:rsidRPr="00E45AA5">
        <w:rPr>
          <w:rFonts w:ascii="Arial" w:hAnsi="Arial" w:cs="Arial"/>
        </w:rPr>
        <w:t>_____________________________________________________</w:t>
      </w:r>
      <w:r w:rsidR="005150B4" w:rsidRPr="00E45AA5">
        <w:rPr>
          <w:rFonts w:ascii="Arial" w:hAnsi="Arial" w:cs="Arial"/>
        </w:rPr>
        <w:t>_______________________</w:t>
      </w:r>
    </w:p>
    <w:p w:rsidR="00E04F3D" w:rsidRPr="00E45AA5" w:rsidRDefault="00E04F3D" w:rsidP="00C802C7">
      <w:pPr>
        <w:spacing w:after="0" w:line="240" w:lineRule="auto"/>
        <w:jc w:val="both"/>
        <w:rPr>
          <w:rFonts w:ascii="Arial" w:hAnsi="Arial" w:cs="Arial"/>
          <w:b/>
          <w:sz w:val="24"/>
          <w:szCs w:val="24"/>
        </w:rPr>
      </w:pPr>
    </w:p>
    <w:p w:rsidR="00505D1F" w:rsidRPr="00E45AA5" w:rsidRDefault="004934D5" w:rsidP="00C802C7">
      <w:pPr>
        <w:spacing w:after="0" w:line="240" w:lineRule="auto"/>
        <w:jc w:val="center"/>
        <w:rPr>
          <w:rFonts w:ascii="Arial" w:hAnsi="Arial" w:cs="Arial"/>
          <w:b/>
          <w:sz w:val="24"/>
          <w:szCs w:val="24"/>
        </w:rPr>
      </w:pPr>
      <w:r>
        <w:rPr>
          <w:rFonts w:ascii="Arial" w:hAnsi="Arial" w:cs="Arial"/>
          <w:b/>
          <w:sz w:val="24"/>
          <w:szCs w:val="24"/>
        </w:rPr>
        <w:t>RULING</w:t>
      </w:r>
    </w:p>
    <w:p w:rsidR="00E04F3D" w:rsidRPr="00E45AA5" w:rsidRDefault="00505D1F" w:rsidP="00C802C7">
      <w:pPr>
        <w:spacing w:after="0" w:line="240" w:lineRule="auto"/>
        <w:jc w:val="both"/>
        <w:rPr>
          <w:rFonts w:ascii="Arial" w:hAnsi="Arial" w:cs="Arial"/>
        </w:rPr>
      </w:pPr>
      <w:r w:rsidRPr="00E45AA5">
        <w:rPr>
          <w:rFonts w:ascii="Arial" w:hAnsi="Arial" w:cs="Arial"/>
        </w:rPr>
        <w:t>_____________________________________________________</w:t>
      </w:r>
      <w:r w:rsidR="005150B4" w:rsidRPr="00E45AA5">
        <w:rPr>
          <w:rFonts w:ascii="Arial" w:hAnsi="Arial" w:cs="Arial"/>
        </w:rPr>
        <w:t>_______________________</w:t>
      </w:r>
    </w:p>
    <w:p w:rsidR="007100CF" w:rsidRPr="00E45AA5" w:rsidRDefault="007100CF" w:rsidP="007E45F7">
      <w:pPr>
        <w:spacing w:after="0" w:line="360" w:lineRule="auto"/>
        <w:jc w:val="both"/>
        <w:rPr>
          <w:rFonts w:ascii="Arial" w:hAnsi="Arial" w:cs="Arial"/>
          <w:sz w:val="24"/>
          <w:szCs w:val="24"/>
          <w:u w:val="single"/>
        </w:rPr>
      </w:pPr>
    </w:p>
    <w:p w:rsidR="007A627B" w:rsidRPr="007A627B" w:rsidRDefault="007A627B" w:rsidP="007E45F7">
      <w:pPr>
        <w:spacing w:after="0" w:line="360" w:lineRule="auto"/>
        <w:jc w:val="both"/>
        <w:rPr>
          <w:rFonts w:ascii="Arial" w:hAnsi="Arial" w:cs="Arial"/>
          <w:sz w:val="24"/>
          <w:szCs w:val="24"/>
          <w:lang w:val="af-ZA"/>
        </w:rPr>
      </w:pPr>
      <w:r w:rsidRPr="007A627B">
        <w:rPr>
          <w:rFonts w:ascii="Arial" w:hAnsi="Arial" w:cs="Arial"/>
          <w:sz w:val="24"/>
          <w:szCs w:val="24"/>
          <w:lang w:val="af-ZA"/>
        </w:rPr>
        <w:t>PRINSLOO J</w:t>
      </w:r>
    </w:p>
    <w:p w:rsidR="007A627B" w:rsidRDefault="007A627B" w:rsidP="007E45F7">
      <w:pPr>
        <w:spacing w:after="0" w:line="360" w:lineRule="auto"/>
        <w:jc w:val="both"/>
        <w:rPr>
          <w:rFonts w:ascii="Arial" w:hAnsi="Arial" w:cs="Arial"/>
          <w:sz w:val="24"/>
          <w:szCs w:val="24"/>
          <w:u w:val="single"/>
          <w:lang w:val="af-ZA"/>
        </w:rPr>
      </w:pPr>
    </w:p>
    <w:p w:rsidR="00E45AA5" w:rsidRPr="00E45AA5" w:rsidRDefault="00E45AA5" w:rsidP="007E45F7">
      <w:pPr>
        <w:spacing w:after="0" w:line="360" w:lineRule="auto"/>
        <w:jc w:val="both"/>
        <w:rPr>
          <w:rFonts w:ascii="Arial" w:hAnsi="Arial" w:cs="Arial"/>
          <w:sz w:val="24"/>
          <w:szCs w:val="24"/>
          <w:u w:val="single"/>
          <w:lang w:val="af-ZA"/>
        </w:rPr>
      </w:pPr>
      <w:r w:rsidRPr="00E45AA5">
        <w:rPr>
          <w:rFonts w:ascii="Arial" w:hAnsi="Arial" w:cs="Arial"/>
          <w:sz w:val="24"/>
          <w:szCs w:val="24"/>
          <w:u w:val="single"/>
          <w:lang w:val="af-ZA"/>
        </w:rPr>
        <w:t>Introduction</w:t>
      </w:r>
    </w:p>
    <w:p w:rsidR="00E45AA5" w:rsidRPr="00E45AA5" w:rsidRDefault="00E45AA5" w:rsidP="007E45F7">
      <w:pPr>
        <w:spacing w:after="0" w:line="360" w:lineRule="auto"/>
        <w:jc w:val="both"/>
        <w:rPr>
          <w:rFonts w:ascii="Arial" w:hAnsi="Arial" w:cs="Arial"/>
          <w:sz w:val="24"/>
          <w:szCs w:val="24"/>
          <w:u w:val="single"/>
          <w:lang w:val="af-ZA"/>
        </w:rPr>
      </w:pPr>
    </w:p>
    <w:p w:rsidR="00E45AA5" w:rsidRDefault="00E45AA5" w:rsidP="007E45F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E45AA5">
        <w:rPr>
          <w:rFonts w:ascii="Arial" w:hAnsi="Arial" w:cs="Arial"/>
          <w:sz w:val="24"/>
          <w:szCs w:val="24"/>
        </w:rPr>
        <w:t>T</w:t>
      </w:r>
      <w:r w:rsidR="008325B3">
        <w:rPr>
          <w:rFonts w:ascii="Arial" w:hAnsi="Arial" w:cs="Arial"/>
          <w:sz w:val="24"/>
          <w:szCs w:val="24"/>
        </w:rPr>
        <w:t>o avoid confusion as this matter relates to two application</w:t>
      </w:r>
      <w:r w:rsidR="00877378">
        <w:rPr>
          <w:rFonts w:ascii="Arial" w:hAnsi="Arial" w:cs="Arial"/>
          <w:sz w:val="24"/>
          <w:szCs w:val="24"/>
        </w:rPr>
        <w:t>s</w:t>
      </w:r>
      <w:r w:rsidR="008325B3">
        <w:rPr>
          <w:rFonts w:ascii="Arial" w:hAnsi="Arial" w:cs="Arial"/>
          <w:sz w:val="24"/>
          <w:szCs w:val="24"/>
        </w:rPr>
        <w:t>, t</w:t>
      </w:r>
      <w:r w:rsidRPr="00E45AA5">
        <w:rPr>
          <w:rFonts w:ascii="Arial" w:hAnsi="Arial" w:cs="Arial"/>
          <w:sz w:val="24"/>
          <w:szCs w:val="24"/>
        </w:rPr>
        <w:t xml:space="preserve">he parties will be referred to as they are in </w:t>
      </w:r>
      <w:r w:rsidR="008325B3">
        <w:rPr>
          <w:rFonts w:ascii="Arial" w:hAnsi="Arial" w:cs="Arial"/>
          <w:sz w:val="24"/>
          <w:szCs w:val="24"/>
        </w:rPr>
        <w:t xml:space="preserve">the main action. </w:t>
      </w:r>
    </w:p>
    <w:p w:rsidR="008325B3" w:rsidRPr="00E45AA5" w:rsidRDefault="008325B3" w:rsidP="007E45F7">
      <w:pPr>
        <w:spacing w:after="0" w:line="360" w:lineRule="auto"/>
        <w:jc w:val="both"/>
        <w:rPr>
          <w:rFonts w:ascii="Arial" w:hAnsi="Arial" w:cs="Arial"/>
          <w:sz w:val="24"/>
          <w:szCs w:val="24"/>
        </w:rPr>
      </w:pPr>
    </w:p>
    <w:p w:rsidR="00877378" w:rsidRDefault="00E45AA5" w:rsidP="007E45F7">
      <w:pPr>
        <w:spacing w:after="0" w:line="360" w:lineRule="auto"/>
        <w:jc w:val="both"/>
        <w:rPr>
          <w:rFonts w:ascii="Arial" w:hAnsi="Arial" w:cs="Arial"/>
          <w:sz w:val="24"/>
          <w:szCs w:val="24"/>
        </w:rPr>
      </w:pPr>
      <w:r w:rsidRPr="00E45AA5">
        <w:rPr>
          <w:rFonts w:ascii="Arial" w:hAnsi="Arial" w:cs="Arial"/>
          <w:sz w:val="24"/>
          <w:szCs w:val="24"/>
        </w:rPr>
        <w:t>[2</w:t>
      </w:r>
      <w:r>
        <w:rPr>
          <w:rFonts w:ascii="Arial" w:hAnsi="Arial" w:cs="Arial"/>
          <w:sz w:val="24"/>
          <w:szCs w:val="24"/>
        </w:rPr>
        <w:t>]</w:t>
      </w:r>
      <w:r>
        <w:rPr>
          <w:rFonts w:ascii="Arial" w:hAnsi="Arial" w:cs="Arial"/>
          <w:sz w:val="24"/>
          <w:szCs w:val="24"/>
        </w:rPr>
        <w:tab/>
      </w:r>
      <w:r w:rsidRPr="00E45AA5">
        <w:rPr>
          <w:rFonts w:ascii="Arial" w:hAnsi="Arial" w:cs="Arial"/>
          <w:sz w:val="24"/>
          <w:szCs w:val="24"/>
        </w:rPr>
        <w:t xml:space="preserve">The </w:t>
      </w:r>
      <w:r w:rsidR="00877378">
        <w:rPr>
          <w:rFonts w:ascii="Arial" w:hAnsi="Arial" w:cs="Arial"/>
          <w:sz w:val="24"/>
          <w:szCs w:val="24"/>
        </w:rPr>
        <w:t xml:space="preserve">matter before me relates to a variation application as well as a condonation application. I will therefore firstly deal with the variation application and then proceed to deal with the condonation application.  </w:t>
      </w:r>
    </w:p>
    <w:p w:rsidR="00120982" w:rsidRDefault="00120982" w:rsidP="007E45F7">
      <w:pPr>
        <w:spacing w:after="0" w:line="360" w:lineRule="auto"/>
        <w:jc w:val="both"/>
        <w:rPr>
          <w:rFonts w:ascii="Arial" w:hAnsi="Arial" w:cs="Arial"/>
          <w:sz w:val="24"/>
          <w:szCs w:val="24"/>
        </w:rPr>
      </w:pPr>
    </w:p>
    <w:p w:rsidR="00120982" w:rsidRDefault="00120982" w:rsidP="007E45F7">
      <w:pPr>
        <w:spacing w:after="0" w:line="360" w:lineRule="auto"/>
        <w:jc w:val="both"/>
        <w:rPr>
          <w:rFonts w:ascii="Arial" w:hAnsi="Arial" w:cs="Arial"/>
          <w:sz w:val="24"/>
          <w:szCs w:val="24"/>
        </w:rPr>
      </w:pPr>
    </w:p>
    <w:p w:rsidR="00877378" w:rsidRDefault="00877378" w:rsidP="007E45F7">
      <w:pPr>
        <w:spacing w:after="0" w:line="360" w:lineRule="auto"/>
        <w:jc w:val="both"/>
        <w:rPr>
          <w:rFonts w:ascii="Arial" w:hAnsi="Arial" w:cs="Arial"/>
          <w:sz w:val="24"/>
          <w:szCs w:val="24"/>
          <w:u w:val="single"/>
        </w:rPr>
      </w:pPr>
      <w:r w:rsidRPr="00877378">
        <w:rPr>
          <w:rFonts w:ascii="Arial" w:hAnsi="Arial" w:cs="Arial"/>
          <w:sz w:val="24"/>
          <w:szCs w:val="24"/>
          <w:u w:val="single"/>
        </w:rPr>
        <w:t>Variation application</w:t>
      </w:r>
    </w:p>
    <w:p w:rsidR="00877378" w:rsidRDefault="00877378" w:rsidP="007E45F7">
      <w:pPr>
        <w:spacing w:after="0" w:line="360" w:lineRule="auto"/>
        <w:jc w:val="both"/>
        <w:rPr>
          <w:rFonts w:ascii="Arial" w:hAnsi="Arial" w:cs="Arial"/>
          <w:sz w:val="24"/>
          <w:szCs w:val="24"/>
        </w:rPr>
      </w:pPr>
    </w:p>
    <w:p w:rsidR="00DE41D8" w:rsidRDefault="00877378" w:rsidP="007E45F7">
      <w:pPr>
        <w:spacing w:after="0" w:line="360" w:lineRule="auto"/>
        <w:jc w:val="both"/>
        <w:rPr>
          <w:rFonts w:ascii="Arial" w:hAnsi="Arial" w:cs="Arial"/>
          <w:sz w:val="24"/>
          <w:szCs w:val="24"/>
          <w:lang w:val="en-US"/>
        </w:rPr>
      </w:pPr>
      <w:r>
        <w:rPr>
          <w:rFonts w:ascii="Arial" w:hAnsi="Arial" w:cs="Arial"/>
          <w:sz w:val="24"/>
          <w:szCs w:val="24"/>
        </w:rPr>
        <w:t>[</w:t>
      </w:r>
      <w:r w:rsidR="00B754BD">
        <w:rPr>
          <w:rFonts w:ascii="Arial" w:hAnsi="Arial" w:cs="Arial"/>
          <w:sz w:val="24"/>
          <w:szCs w:val="24"/>
        </w:rPr>
        <w:t>3</w:t>
      </w:r>
      <w:r>
        <w:rPr>
          <w:rFonts w:ascii="Arial" w:hAnsi="Arial" w:cs="Arial"/>
          <w:sz w:val="24"/>
          <w:szCs w:val="24"/>
        </w:rPr>
        <w:t>]</w:t>
      </w:r>
      <w:r>
        <w:rPr>
          <w:rFonts w:ascii="Arial" w:hAnsi="Arial" w:cs="Arial"/>
          <w:sz w:val="24"/>
          <w:szCs w:val="24"/>
        </w:rPr>
        <w:tab/>
      </w:r>
      <w:r w:rsidR="007E45F7">
        <w:rPr>
          <w:rFonts w:ascii="Arial" w:hAnsi="Arial" w:cs="Arial"/>
          <w:sz w:val="24"/>
          <w:szCs w:val="24"/>
          <w:lang w:val="en-US"/>
        </w:rPr>
        <w:t xml:space="preserve">The plaintiffs seek a variation of the court order dated 21 February 2020. </w:t>
      </w:r>
      <w:r w:rsidR="001866BB">
        <w:rPr>
          <w:rFonts w:ascii="Arial" w:hAnsi="Arial" w:cs="Arial"/>
          <w:sz w:val="24"/>
          <w:szCs w:val="24"/>
        </w:rPr>
        <w:t xml:space="preserve">This application is brought in terms of </w:t>
      </w:r>
      <w:r w:rsidR="001866BB" w:rsidRPr="004A6187">
        <w:rPr>
          <w:rFonts w:ascii="Arial" w:hAnsi="Arial" w:cs="Arial"/>
          <w:sz w:val="24"/>
          <w:szCs w:val="24"/>
          <w:lang w:val="en-US"/>
        </w:rPr>
        <w:t>Rule 103(1</w:t>
      </w:r>
      <w:r w:rsidR="001A5006" w:rsidRPr="004A6187">
        <w:rPr>
          <w:rFonts w:ascii="Arial" w:hAnsi="Arial" w:cs="Arial"/>
          <w:sz w:val="24"/>
          <w:szCs w:val="24"/>
          <w:lang w:val="en-US"/>
        </w:rPr>
        <w:t>) (</w:t>
      </w:r>
      <w:r w:rsidR="001866BB" w:rsidRPr="004A6187">
        <w:rPr>
          <w:rFonts w:ascii="Arial" w:hAnsi="Arial" w:cs="Arial"/>
          <w:sz w:val="24"/>
          <w:szCs w:val="24"/>
          <w:lang w:val="en-US"/>
        </w:rPr>
        <w:t>c)</w:t>
      </w:r>
      <w:r w:rsidR="001866BB">
        <w:rPr>
          <w:rFonts w:ascii="Arial" w:hAnsi="Arial" w:cs="Arial"/>
          <w:sz w:val="24"/>
          <w:szCs w:val="24"/>
          <w:lang w:val="en-US"/>
        </w:rPr>
        <w:t xml:space="preserve"> which </w:t>
      </w:r>
      <w:r w:rsidR="00DE41D8" w:rsidRPr="004A6187">
        <w:rPr>
          <w:rFonts w:ascii="Arial" w:hAnsi="Arial" w:cs="Arial"/>
          <w:sz w:val="24"/>
          <w:szCs w:val="24"/>
          <w:lang w:val="en-US"/>
        </w:rPr>
        <w:t>prescribes that:</w:t>
      </w:r>
    </w:p>
    <w:p w:rsidR="007E45F7" w:rsidRPr="004A6187" w:rsidRDefault="007E45F7" w:rsidP="007E45F7">
      <w:pPr>
        <w:spacing w:after="0" w:line="360" w:lineRule="auto"/>
        <w:jc w:val="both"/>
        <w:rPr>
          <w:rFonts w:ascii="Arial" w:hAnsi="Arial" w:cs="Arial"/>
          <w:sz w:val="24"/>
          <w:szCs w:val="24"/>
          <w:lang w:val="en-US"/>
        </w:rPr>
      </w:pPr>
    </w:p>
    <w:p w:rsidR="00DE41D8" w:rsidRPr="004A6187" w:rsidRDefault="00DE41D8" w:rsidP="007E45F7">
      <w:pPr>
        <w:spacing w:after="0" w:line="360" w:lineRule="auto"/>
        <w:jc w:val="both"/>
        <w:rPr>
          <w:rFonts w:ascii="Arial" w:hAnsi="Arial" w:cs="Arial"/>
          <w:b/>
          <w:bCs/>
          <w:lang w:val="en-US"/>
        </w:rPr>
      </w:pPr>
      <w:r w:rsidRPr="004A6187">
        <w:rPr>
          <w:rFonts w:ascii="Arial" w:hAnsi="Arial" w:cs="Arial"/>
          <w:b/>
          <w:bCs/>
          <w:lang w:val="en-US"/>
        </w:rPr>
        <w:t>‘Variation and rescission of order or judgment generally</w:t>
      </w:r>
    </w:p>
    <w:p w:rsidR="00DE41D8" w:rsidRPr="004A6187" w:rsidRDefault="00DE41D8" w:rsidP="007E45F7">
      <w:pPr>
        <w:spacing w:after="0" w:line="360" w:lineRule="auto"/>
        <w:jc w:val="both"/>
        <w:rPr>
          <w:rFonts w:ascii="Arial" w:hAnsi="Arial" w:cs="Arial"/>
          <w:b/>
          <w:bCs/>
          <w:lang w:val="en-US"/>
        </w:rPr>
      </w:pPr>
    </w:p>
    <w:p w:rsidR="00DE41D8" w:rsidRPr="004A6187" w:rsidRDefault="00DE41D8" w:rsidP="007E45F7">
      <w:pPr>
        <w:spacing w:after="0" w:line="360" w:lineRule="auto"/>
        <w:jc w:val="both"/>
        <w:rPr>
          <w:rFonts w:ascii="Arial" w:hAnsi="Arial" w:cs="Arial"/>
          <w:lang w:val="en-US"/>
        </w:rPr>
      </w:pPr>
      <w:r w:rsidRPr="004A6187">
        <w:rPr>
          <w:rFonts w:ascii="Arial" w:hAnsi="Arial" w:cs="Arial"/>
          <w:b/>
          <w:bCs/>
          <w:lang w:val="en-US"/>
        </w:rPr>
        <w:tab/>
        <w:t>103.</w:t>
      </w:r>
      <w:r w:rsidRPr="004A6187">
        <w:rPr>
          <w:rFonts w:ascii="Arial" w:hAnsi="Arial" w:cs="Arial"/>
          <w:b/>
          <w:bCs/>
          <w:lang w:val="en-US"/>
        </w:rPr>
        <w:tab/>
      </w:r>
      <w:r w:rsidRPr="004A6187">
        <w:rPr>
          <w:rFonts w:ascii="Arial" w:hAnsi="Arial" w:cs="Arial"/>
          <w:lang w:val="en-US"/>
        </w:rPr>
        <w:t>(1)</w:t>
      </w:r>
      <w:r w:rsidRPr="004A6187">
        <w:rPr>
          <w:rFonts w:ascii="Arial" w:hAnsi="Arial" w:cs="Arial"/>
          <w:lang w:val="en-US"/>
        </w:rPr>
        <w:tab/>
        <w:t>In addition to the powers it may have, the court may of its own initiative or on the application of any party affected brought within a reasonable time, rescind or vary any order or judgment -</w:t>
      </w:r>
    </w:p>
    <w:p w:rsidR="00DE41D8" w:rsidRPr="004A6187" w:rsidRDefault="00DE41D8" w:rsidP="007E45F7">
      <w:pPr>
        <w:spacing w:after="0" w:line="360" w:lineRule="auto"/>
        <w:jc w:val="both"/>
        <w:rPr>
          <w:rFonts w:ascii="Arial" w:hAnsi="Arial" w:cs="Arial"/>
          <w:lang w:val="en-US"/>
        </w:rPr>
      </w:pPr>
      <w:r w:rsidRPr="004A6187">
        <w:rPr>
          <w:rFonts w:ascii="Arial" w:hAnsi="Arial" w:cs="Arial"/>
          <w:lang w:val="en-US"/>
        </w:rPr>
        <w:t>(a) . . .;</w:t>
      </w:r>
    </w:p>
    <w:p w:rsidR="00DE41D8" w:rsidRPr="004A6187" w:rsidRDefault="00DE41D8" w:rsidP="007E45F7">
      <w:pPr>
        <w:spacing w:after="0" w:line="360" w:lineRule="auto"/>
        <w:jc w:val="both"/>
        <w:rPr>
          <w:rFonts w:ascii="Arial" w:hAnsi="Arial" w:cs="Arial"/>
          <w:lang w:val="en-US"/>
        </w:rPr>
      </w:pPr>
      <w:r w:rsidRPr="004A6187">
        <w:rPr>
          <w:rFonts w:ascii="Arial" w:hAnsi="Arial" w:cs="Arial"/>
          <w:lang w:val="en-US"/>
        </w:rPr>
        <w:t>(b) . . .;</w:t>
      </w:r>
    </w:p>
    <w:p w:rsidR="00DE41D8" w:rsidRPr="004A6187" w:rsidRDefault="00DE41D8" w:rsidP="007E45F7">
      <w:pPr>
        <w:spacing w:after="0" w:line="360" w:lineRule="auto"/>
        <w:jc w:val="both"/>
        <w:rPr>
          <w:rFonts w:ascii="Arial" w:hAnsi="Arial" w:cs="Arial"/>
          <w:lang w:val="en-US"/>
        </w:rPr>
      </w:pPr>
      <w:r w:rsidRPr="004A6187">
        <w:rPr>
          <w:rFonts w:ascii="Arial" w:hAnsi="Arial" w:cs="Arial"/>
          <w:lang w:val="en-US"/>
        </w:rPr>
        <w:t>(c) in which there is an ambiguity or a patent error or omission, but only to the extent of that ambiguity or omission;</w:t>
      </w:r>
    </w:p>
    <w:p w:rsidR="00DE41D8" w:rsidRDefault="00DE41D8" w:rsidP="007E45F7">
      <w:pPr>
        <w:spacing w:after="0" w:line="360" w:lineRule="auto"/>
        <w:jc w:val="both"/>
        <w:rPr>
          <w:rFonts w:ascii="Arial" w:hAnsi="Arial" w:cs="Arial"/>
          <w:sz w:val="24"/>
          <w:szCs w:val="24"/>
        </w:rPr>
      </w:pPr>
      <w:r w:rsidRPr="004A6187">
        <w:rPr>
          <w:rFonts w:ascii="Arial" w:hAnsi="Arial" w:cs="Arial"/>
          <w:lang w:val="en-US"/>
        </w:rPr>
        <w:t>(d) . . .</w:t>
      </w:r>
    </w:p>
    <w:p w:rsidR="00DE41D8" w:rsidRDefault="00DE41D8" w:rsidP="007E45F7">
      <w:pPr>
        <w:spacing w:after="0" w:line="360" w:lineRule="auto"/>
        <w:jc w:val="both"/>
        <w:rPr>
          <w:rFonts w:ascii="Arial" w:hAnsi="Arial" w:cs="Arial"/>
          <w:sz w:val="24"/>
          <w:szCs w:val="24"/>
        </w:rPr>
      </w:pPr>
    </w:p>
    <w:p w:rsidR="00CD27B0" w:rsidRDefault="00DE41D8" w:rsidP="007E45F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77378">
        <w:rPr>
          <w:rFonts w:ascii="Arial" w:hAnsi="Arial" w:cs="Arial"/>
          <w:sz w:val="24"/>
          <w:szCs w:val="24"/>
        </w:rPr>
        <w:t>This application emanates</w:t>
      </w:r>
      <w:r w:rsidR="00CD27B0">
        <w:rPr>
          <w:rFonts w:ascii="Arial" w:hAnsi="Arial" w:cs="Arial"/>
          <w:sz w:val="24"/>
          <w:szCs w:val="24"/>
        </w:rPr>
        <w:t xml:space="preserve"> from an order of 21</w:t>
      </w:r>
      <w:r w:rsidR="002218DA">
        <w:rPr>
          <w:rFonts w:ascii="Arial" w:hAnsi="Arial" w:cs="Arial"/>
          <w:sz w:val="24"/>
          <w:szCs w:val="24"/>
        </w:rPr>
        <w:t xml:space="preserve"> February 2020 wherein the Court</w:t>
      </w:r>
      <w:r w:rsidR="00CD27B0">
        <w:rPr>
          <w:rFonts w:ascii="Arial" w:hAnsi="Arial" w:cs="Arial"/>
          <w:sz w:val="24"/>
          <w:szCs w:val="24"/>
        </w:rPr>
        <w:t xml:space="preserve"> ordered the following:</w:t>
      </w:r>
    </w:p>
    <w:p w:rsidR="00CD27B0" w:rsidRDefault="00CD27B0" w:rsidP="007E45F7">
      <w:pPr>
        <w:spacing w:after="0" w:line="360" w:lineRule="auto"/>
        <w:jc w:val="both"/>
        <w:rPr>
          <w:rFonts w:ascii="Arial" w:hAnsi="Arial" w:cs="Arial"/>
          <w:sz w:val="24"/>
          <w:szCs w:val="24"/>
        </w:rPr>
      </w:pPr>
    </w:p>
    <w:p w:rsidR="00CD27B0" w:rsidRPr="00C2561B" w:rsidRDefault="00CD27B0" w:rsidP="007E45F7">
      <w:pPr>
        <w:spacing w:after="0" w:line="360" w:lineRule="auto"/>
        <w:jc w:val="both"/>
        <w:rPr>
          <w:rFonts w:ascii="Arial" w:hAnsi="Arial" w:cs="Arial"/>
          <w:b/>
        </w:rPr>
      </w:pPr>
      <w:r>
        <w:rPr>
          <w:rFonts w:ascii="Arial" w:hAnsi="Arial" w:cs="Arial"/>
          <w:sz w:val="24"/>
          <w:szCs w:val="24"/>
        </w:rPr>
        <w:tab/>
      </w:r>
      <w:r w:rsidRPr="00C2561B">
        <w:rPr>
          <w:rFonts w:ascii="Arial" w:hAnsi="Arial" w:cs="Arial"/>
        </w:rPr>
        <w:t>‘</w:t>
      </w:r>
      <w:r w:rsidRPr="00C2561B">
        <w:rPr>
          <w:rFonts w:ascii="Arial" w:hAnsi="Arial" w:cs="Arial"/>
          <w:b/>
        </w:rPr>
        <w:t>Ruling:</w:t>
      </w:r>
    </w:p>
    <w:p w:rsidR="00C2561B" w:rsidRPr="00C2561B" w:rsidRDefault="00C2561B" w:rsidP="007E45F7">
      <w:pPr>
        <w:spacing w:after="0" w:line="360" w:lineRule="auto"/>
        <w:jc w:val="both"/>
        <w:rPr>
          <w:rFonts w:ascii="Arial" w:hAnsi="Arial" w:cs="Arial"/>
        </w:rPr>
      </w:pPr>
    </w:p>
    <w:p w:rsidR="00476E6B" w:rsidRDefault="00CD27B0" w:rsidP="007E45F7">
      <w:pPr>
        <w:pStyle w:val="ListParagraph"/>
        <w:numPr>
          <w:ilvl w:val="0"/>
          <w:numId w:val="20"/>
        </w:numPr>
        <w:spacing w:after="0" w:line="360" w:lineRule="auto"/>
        <w:jc w:val="both"/>
        <w:rPr>
          <w:rFonts w:ascii="Arial" w:hAnsi="Arial" w:cs="Arial"/>
        </w:rPr>
      </w:pPr>
      <w:r w:rsidRPr="00476E6B">
        <w:rPr>
          <w:rFonts w:ascii="Arial" w:hAnsi="Arial" w:cs="Arial"/>
        </w:rPr>
        <w:t>Applicant's non-compliance with this court's orders of 27 June 20</w:t>
      </w:r>
      <w:r w:rsidR="00C2561B" w:rsidRPr="00476E6B">
        <w:rPr>
          <w:rFonts w:ascii="Arial" w:hAnsi="Arial" w:cs="Arial"/>
        </w:rPr>
        <w:t xml:space="preserve">19, 1 August 2019 and 22 August </w:t>
      </w:r>
      <w:r w:rsidRPr="00476E6B">
        <w:rPr>
          <w:rFonts w:ascii="Arial" w:hAnsi="Arial" w:cs="Arial"/>
        </w:rPr>
        <w:t>is hereby condoned.</w:t>
      </w:r>
    </w:p>
    <w:p w:rsidR="00476E6B" w:rsidRDefault="00CD27B0" w:rsidP="007E45F7">
      <w:pPr>
        <w:pStyle w:val="ListParagraph"/>
        <w:numPr>
          <w:ilvl w:val="0"/>
          <w:numId w:val="20"/>
        </w:numPr>
        <w:spacing w:after="0" w:line="360" w:lineRule="auto"/>
        <w:jc w:val="both"/>
        <w:rPr>
          <w:rFonts w:ascii="Arial" w:hAnsi="Arial" w:cs="Arial"/>
        </w:rPr>
      </w:pPr>
      <w:r w:rsidRPr="00476E6B">
        <w:rPr>
          <w:rFonts w:ascii="Arial" w:hAnsi="Arial" w:cs="Arial"/>
        </w:rPr>
        <w:t>The applicant's plea, defence and claim struck on 22 August 2019 is hereby reinstated.</w:t>
      </w:r>
    </w:p>
    <w:p w:rsidR="00476E6B" w:rsidRDefault="00CD27B0" w:rsidP="007E45F7">
      <w:pPr>
        <w:pStyle w:val="ListParagraph"/>
        <w:numPr>
          <w:ilvl w:val="0"/>
          <w:numId w:val="20"/>
        </w:numPr>
        <w:spacing w:after="0" w:line="360" w:lineRule="auto"/>
        <w:jc w:val="both"/>
        <w:rPr>
          <w:rFonts w:ascii="Arial" w:hAnsi="Arial" w:cs="Arial"/>
        </w:rPr>
      </w:pPr>
      <w:r w:rsidRPr="00476E6B">
        <w:rPr>
          <w:rFonts w:ascii="Arial" w:hAnsi="Arial" w:cs="Arial"/>
        </w:rPr>
        <w:t>Orders made by this court in respect of claim 1 and 2 on 27 Sep</w:t>
      </w:r>
      <w:r w:rsidR="00C2561B" w:rsidRPr="00476E6B">
        <w:rPr>
          <w:rFonts w:ascii="Arial" w:hAnsi="Arial" w:cs="Arial"/>
        </w:rPr>
        <w:t xml:space="preserve">tember 2019 is hereby rescinded </w:t>
      </w:r>
      <w:r w:rsidRPr="00476E6B">
        <w:rPr>
          <w:rFonts w:ascii="Arial" w:hAnsi="Arial" w:cs="Arial"/>
        </w:rPr>
        <w:t>in terms of Rule 103 (1) (a) and all processes and steps that may h</w:t>
      </w:r>
      <w:r w:rsidR="00C2561B" w:rsidRPr="00476E6B">
        <w:rPr>
          <w:rFonts w:ascii="Arial" w:hAnsi="Arial" w:cs="Arial"/>
        </w:rPr>
        <w:t xml:space="preserve">ave taken place in pursuance of </w:t>
      </w:r>
      <w:r w:rsidRPr="00476E6B">
        <w:rPr>
          <w:rFonts w:ascii="Arial" w:hAnsi="Arial" w:cs="Arial"/>
        </w:rPr>
        <w:t>such orders are set aside.</w:t>
      </w:r>
    </w:p>
    <w:p w:rsidR="00476E6B" w:rsidRDefault="00CD27B0" w:rsidP="007E45F7">
      <w:pPr>
        <w:pStyle w:val="ListParagraph"/>
        <w:numPr>
          <w:ilvl w:val="0"/>
          <w:numId w:val="20"/>
        </w:numPr>
        <w:spacing w:after="0" w:line="360" w:lineRule="auto"/>
        <w:jc w:val="both"/>
        <w:rPr>
          <w:rFonts w:ascii="Arial" w:hAnsi="Arial" w:cs="Arial"/>
        </w:rPr>
      </w:pPr>
      <w:r w:rsidRPr="00476E6B">
        <w:rPr>
          <w:rFonts w:ascii="Arial" w:hAnsi="Arial" w:cs="Arial"/>
        </w:rPr>
        <w:t>Applicant is granted 10 days from date of this order, to file all outstanding pleadings.</w:t>
      </w:r>
    </w:p>
    <w:p w:rsidR="00CD27B0" w:rsidRPr="00476E6B" w:rsidRDefault="00CD27B0" w:rsidP="007E45F7">
      <w:pPr>
        <w:pStyle w:val="ListParagraph"/>
        <w:numPr>
          <w:ilvl w:val="0"/>
          <w:numId w:val="20"/>
        </w:numPr>
        <w:spacing w:after="0" w:line="360" w:lineRule="auto"/>
        <w:jc w:val="both"/>
        <w:rPr>
          <w:rFonts w:ascii="Arial" w:hAnsi="Arial" w:cs="Arial"/>
        </w:rPr>
      </w:pPr>
      <w:r w:rsidRPr="00476E6B">
        <w:rPr>
          <w:rFonts w:ascii="Arial" w:hAnsi="Arial" w:cs="Arial"/>
        </w:rPr>
        <w:t>Each party to bear its own costs for the rescission application and th</w:t>
      </w:r>
      <w:r w:rsidR="00C2561B" w:rsidRPr="00476E6B">
        <w:rPr>
          <w:rFonts w:ascii="Arial" w:hAnsi="Arial" w:cs="Arial"/>
        </w:rPr>
        <w:t xml:space="preserve">e re-instatement of applicant's </w:t>
      </w:r>
      <w:r w:rsidRPr="00476E6B">
        <w:rPr>
          <w:rFonts w:ascii="Arial" w:hAnsi="Arial" w:cs="Arial"/>
        </w:rPr>
        <w:t>defence.</w:t>
      </w:r>
    </w:p>
    <w:p w:rsidR="00C2561B" w:rsidRPr="00C2561B" w:rsidRDefault="00702B35" w:rsidP="007E45F7">
      <w:pPr>
        <w:spacing w:after="0" w:line="360" w:lineRule="auto"/>
        <w:ind w:left="450"/>
        <w:jc w:val="both"/>
        <w:rPr>
          <w:rFonts w:ascii="Arial" w:hAnsi="Arial" w:cs="Arial"/>
        </w:rPr>
      </w:pPr>
      <w:r>
        <w:rPr>
          <w:rFonts w:ascii="Arial" w:hAnsi="Arial" w:cs="Arial"/>
        </w:rPr>
        <w:tab/>
      </w:r>
      <w:r w:rsidR="00C2561B" w:rsidRPr="00C2561B">
        <w:rPr>
          <w:rFonts w:ascii="Arial" w:hAnsi="Arial" w:cs="Arial"/>
        </w:rPr>
        <w:t xml:space="preserve">. . .’ </w:t>
      </w:r>
    </w:p>
    <w:p w:rsidR="00C2561B" w:rsidRDefault="00C2561B" w:rsidP="007E45F7">
      <w:pPr>
        <w:spacing w:after="0" w:line="360" w:lineRule="auto"/>
        <w:jc w:val="both"/>
        <w:rPr>
          <w:rFonts w:ascii="Arial" w:hAnsi="Arial" w:cs="Arial"/>
          <w:sz w:val="24"/>
          <w:szCs w:val="24"/>
        </w:rPr>
      </w:pPr>
    </w:p>
    <w:p w:rsidR="00E45AA5" w:rsidRPr="00E45AA5" w:rsidRDefault="00476E6B" w:rsidP="007E45F7">
      <w:pPr>
        <w:spacing w:after="0" w:line="360" w:lineRule="auto"/>
        <w:jc w:val="both"/>
        <w:rPr>
          <w:rFonts w:ascii="Arial" w:hAnsi="Arial" w:cs="Arial"/>
          <w:sz w:val="24"/>
          <w:szCs w:val="24"/>
        </w:rPr>
      </w:pPr>
      <w:r>
        <w:rPr>
          <w:rFonts w:ascii="Arial" w:hAnsi="Arial" w:cs="Arial"/>
          <w:sz w:val="24"/>
          <w:szCs w:val="24"/>
        </w:rPr>
        <w:t>[</w:t>
      </w:r>
      <w:r w:rsidR="00DE41D8">
        <w:rPr>
          <w:rFonts w:ascii="Arial" w:hAnsi="Arial" w:cs="Arial"/>
          <w:sz w:val="24"/>
          <w:szCs w:val="24"/>
        </w:rPr>
        <w:t>5</w:t>
      </w:r>
      <w:r>
        <w:rPr>
          <w:rFonts w:ascii="Arial" w:hAnsi="Arial" w:cs="Arial"/>
          <w:sz w:val="24"/>
          <w:szCs w:val="24"/>
        </w:rPr>
        <w:t>]</w:t>
      </w:r>
      <w:r>
        <w:rPr>
          <w:rFonts w:ascii="Arial" w:hAnsi="Arial" w:cs="Arial"/>
          <w:sz w:val="24"/>
          <w:szCs w:val="24"/>
        </w:rPr>
        <w:tab/>
        <w:t>Based on the above order the plaintiffs seek</w:t>
      </w:r>
      <w:r w:rsidR="00E45AA5" w:rsidRPr="00E45AA5">
        <w:rPr>
          <w:rFonts w:ascii="Arial" w:hAnsi="Arial" w:cs="Arial"/>
          <w:sz w:val="24"/>
          <w:szCs w:val="24"/>
        </w:rPr>
        <w:t xml:space="preserve"> the following:</w:t>
      </w:r>
    </w:p>
    <w:p w:rsidR="00E45AA5" w:rsidRPr="00E45AA5" w:rsidRDefault="00E45AA5" w:rsidP="007E45F7">
      <w:pPr>
        <w:spacing w:after="0" w:line="360" w:lineRule="auto"/>
        <w:jc w:val="both"/>
        <w:rPr>
          <w:rFonts w:ascii="Arial" w:hAnsi="Arial" w:cs="Arial"/>
          <w:sz w:val="24"/>
          <w:szCs w:val="24"/>
        </w:rPr>
      </w:pPr>
    </w:p>
    <w:p w:rsidR="00E45AA5" w:rsidRDefault="00E45AA5" w:rsidP="007E45F7">
      <w:pPr>
        <w:pStyle w:val="ListParagraph"/>
        <w:numPr>
          <w:ilvl w:val="0"/>
          <w:numId w:val="17"/>
        </w:numPr>
        <w:spacing w:after="0" w:line="360" w:lineRule="auto"/>
        <w:jc w:val="both"/>
        <w:rPr>
          <w:rFonts w:ascii="Arial" w:hAnsi="Arial" w:cs="Arial"/>
        </w:rPr>
      </w:pPr>
      <w:r w:rsidRPr="00E45AA5">
        <w:rPr>
          <w:rFonts w:ascii="Arial" w:hAnsi="Arial" w:cs="Arial"/>
        </w:rPr>
        <w:t>‘</w:t>
      </w:r>
      <w:r w:rsidR="00476E6B" w:rsidRPr="00476E6B">
        <w:rPr>
          <w:rFonts w:ascii="Arial" w:hAnsi="Arial" w:cs="Arial"/>
        </w:rPr>
        <w:t xml:space="preserve">Applicant's non-compliance with this court's orders of 27 June 2019, 1 August 2019 and 22 August </w:t>
      </w:r>
      <w:r w:rsidR="00476E6B">
        <w:rPr>
          <w:rFonts w:ascii="Arial" w:hAnsi="Arial" w:cs="Arial"/>
        </w:rPr>
        <w:t xml:space="preserve">2019 </w:t>
      </w:r>
      <w:r w:rsidR="00476E6B" w:rsidRPr="00476E6B">
        <w:rPr>
          <w:rFonts w:ascii="Arial" w:hAnsi="Arial" w:cs="Arial"/>
        </w:rPr>
        <w:t>is hereby condoned</w:t>
      </w:r>
      <w:r w:rsidR="00476E6B">
        <w:rPr>
          <w:rFonts w:ascii="Arial" w:hAnsi="Arial" w:cs="Arial"/>
        </w:rPr>
        <w:t xml:space="preserve"> insofar they relate to claim 2</w:t>
      </w:r>
      <w:r w:rsidRPr="00E45AA5">
        <w:rPr>
          <w:rFonts w:ascii="Arial" w:hAnsi="Arial" w:cs="Arial"/>
        </w:rPr>
        <w:t>.</w:t>
      </w:r>
    </w:p>
    <w:p w:rsidR="00AD07F2" w:rsidRPr="00E45AA5" w:rsidRDefault="00AD07F2" w:rsidP="007E45F7">
      <w:pPr>
        <w:pStyle w:val="ListParagraph"/>
        <w:numPr>
          <w:ilvl w:val="0"/>
          <w:numId w:val="17"/>
        </w:numPr>
        <w:spacing w:after="0" w:line="360" w:lineRule="auto"/>
        <w:jc w:val="both"/>
        <w:rPr>
          <w:rFonts w:ascii="Arial" w:hAnsi="Arial" w:cs="Arial"/>
        </w:rPr>
      </w:pPr>
      <w:r w:rsidRPr="00476E6B">
        <w:rPr>
          <w:rFonts w:ascii="Arial" w:hAnsi="Arial" w:cs="Arial"/>
        </w:rPr>
        <w:t xml:space="preserve">Orders made by this </w:t>
      </w:r>
      <w:r>
        <w:rPr>
          <w:rFonts w:ascii="Arial" w:hAnsi="Arial" w:cs="Arial"/>
        </w:rPr>
        <w:t xml:space="preserve">court in respect of claim </w:t>
      </w:r>
      <w:r w:rsidRPr="00476E6B">
        <w:rPr>
          <w:rFonts w:ascii="Arial" w:hAnsi="Arial" w:cs="Arial"/>
        </w:rPr>
        <w:t>2</w:t>
      </w:r>
      <w:r>
        <w:rPr>
          <w:rFonts w:ascii="Arial" w:hAnsi="Arial" w:cs="Arial"/>
        </w:rPr>
        <w:t>,</w:t>
      </w:r>
      <w:r w:rsidRPr="00476E6B">
        <w:rPr>
          <w:rFonts w:ascii="Arial" w:hAnsi="Arial" w:cs="Arial"/>
        </w:rPr>
        <w:t xml:space="preserve"> on 27 September 2019</w:t>
      </w:r>
      <w:r>
        <w:rPr>
          <w:rFonts w:ascii="Arial" w:hAnsi="Arial" w:cs="Arial"/>
        </w:rPr>
        <w:t>, based on the affidavit of Jacqueline Domange,</w:t>
      </w:r>
      <w:r w:rsidRPr="00476E6B">
        <w:rPr>
          <w:rFonts w:ascii="Arial" w:hAnsi="Arial" w:cs="Arial"/>
        </w:rPr>
        <w:t xml:space="preserve"> is hereby rescinded in terms of Rule 103 (1) (a) and all processes and steps that may have taken place in pursuance of such orders are set aside.</w:t>
      </w:r>
    </w:p>
    <w:p w:rsidR="00702B35" w:rsidRDefault="00702B35" w:rsidP="007E45F7">
      <w:pPr>
        <w:pStyle w:val="ListParagraph"/>
        <w:numPr>
          <w:ilvl w:val="0"/>
          <w:numId w:val="17"/>
        </w:numPr>
        <w:spacing w:after="0" w:line="360" w:lineRule="auto"/>
        <w:jc w:val="both"/>
        <w:rPr>
          <w:rFonts w:ascii="Arial" w:hAnsi="Arial" w:cs="Arial"/>
        </w:rPr>
      </w:pPr>
      <w:r>
        <w:rPr>
          <w:rFonts w:ascii="Arial" w:hAnsi="Arial" w:cs="Arial"/>
        </w:rPr>
        <w:t>The applicant’s</w:t>
      </w:r>
      <w:r w:rsidR="00E45AA5" w:rsidRPr="00E45AA5">
        <w:rPr>
          <w:rFonts w:ascii="Arial" w:hAnsi="Arial" w:cs="Arial"/>
        </w:rPr>
        <w:t xml:space="preserve"> plea, defence and claim </w:t>
      </w:r>
      <w:r>
        <w:rPr>
          <w:rFonts w:ascii="Arial" w:hAnsi="Arial" w:cs="Arial"/>
        </w:rPr>
        <w:t>relating to claim 2, which were struck</w:t>
      </w:r>
      <w:r w:rsidR="00E45AA5" w:rsidRPr="00E45AA5">
        <w:rPr>
          <w:rFonts w:ascii="Arial" w:hAnsi="Arial" w:cs="Arial"/>
        </w:rPr>
        <w:t xml:space="preserve"> on 22 August 2019</w:t>
      </w:r>
      <w:r>
        <w:rPr>
          <w:rFonts w:ascii="Arial" w:hAnsi="Arial" w:cs="Arial"/>
        </w:rPr>
        <w:t xml:space="preserve"> is hereby reinstated</w:t>
      </w:r>
      <w:r w:rsidR="00E45AA5" w:rsidRPr="00702B35">
        <w:rPr>
          <w:rFonts w:ascii="Arial" w:hAnsi="Arial" w:cs="Arial"/>
        </w:rPr>
        <w:t>.</w:t>
      </w:r>
    </w:p>
    <w:p w:rsidR="00E45AA5" w:rsidRPr="00702B35" w:rsidRDefault="00702B35" w:rsidP="007E45F7">
      <w:pPr>
        <w:pStyle w:val="ListParagraph"/>
        <w:spacing w:after="0" w:line="360" w:lineRule="auto"/>
        <w:ind w:left="360"/>
        <w:jc w:val="both"/>
        <w:rPr>
          <w:rFonts w:ascii="Arial" w:hAnsi="Arial" w:cs="Arial"/>
        </w:rPr>
      </w:pPr>
      <w:r>
        <w:rPr>
          <w:rFonts w:ascii="Arial" w:hAnsi="Arial" w:cs="Arial"/>
        </w:rPr>
        <w:tab/>
      </w:r>
      <w:r w:rsidR="00E45AA5" w:rsidRPr="00702B35">
        <w:rPr>
          <w:rFonts w:ascii="Arial" w:hAnsi="Arial" w:cs="Arial"/>
        </w:rPr>
        <w:t>. . .’</w:t>
      </w:r>
    </w:p>
    <w:p w:rsidR="00E45AA5" w:rsidRPr="00E45AA5" w:rsidRDefault="00E45AA5" w:rsidP="007E45F7">
      <w:pPr>
        <w:spacing w:after="0" w:line="360" w:lineRule="auto"/>
        <w:jc w:val="both"/>
        <w:rPr>
          <w:rFonts w:ascii="Arial" w:hAnsi="Arial" w:cs="Arial"/>
          <w:sz w:val="24"/>
          <w:szCs w:val="24"/>
          <w:u w:val="single"/>
        </w:rPr>
      </w:pPr>
    </w:p>
    <w:p w:rsidR="00702B35" w:rsidRDefault="00DE41D8" w:rsidP="007E45F7">
      <w:pPr>
        <w:spacing w:after="0" w:line="360" w:lineRule="auto"/>
        <w:jc w:val="both"/>
        <w:rPr>
          <w:rFonts w:ascii="Arial" w:hAnsi="Arial" w:cs="Arial"/>
          <w:sz w:val="24"/>
          <w:szCs w:val="24"/>
        </w:rPr>
      </w:pPr>
      <w:r>
        <w:rPr>
          <w:rFonts w:ascii="Arial" w:hAnsi="Arial" w:cs="Arial"/>
          <w:sz w:val="24"/>
          <w:szCs w:val="24"/>
        </w:rPr>
        <w:t>[6</w:t>
      </w:r>
      <w:r w:rsidR="00E45AA5">
        <w:rPr>
          <w:rFonts w:ascii="Arial" w:hAnsi="Arial" w:cs="Arial"/>
          <w:sz w:val="24"/>
          <w:szCs w:val="24"/>
        </w:rPr>
        <w:t>]</w:t>
      </w:r>
      <w:r w:rsidR="00E45AA5">
        <w:rPr>
          <w:rFonts w:ascii="Arial" w:hAnsi="Arial" w:cs="Arial"/>
          <w:sz w:val="24"/>
          <w:szCs w:val="24"/>
        </w:rPr>
        <w:tab/>
      </w:r>
      <w:r w:rsidR="00702B35">
        <w:rPr>
          <w:rFonts w:ascii="Arial" w:hAnsi="Arial" w:cs="Arial"/>
          <w:sz w:val="24"/>
          <w:szCs w:val="24"/>
        </w:rPr>
        <w:t>The order made on 21 February 2020 was based on a rescission application that was brought by the first defendant in which application the first defendant was successful.</w:t>
      </w:r>
      <w:r w:rsidR="00702B35">
        <w:rPr>
          <w:rStyle w:val="FootnoteReference"/>
          <w:rFonts w:ascii="Arial" w:hAnsi="Arial" w:cs="Arial"/>
          <w:sz w:val="24"/>
          <w:szCs w:val="24"/>
        </w:rPr>
        <w:footnoteReference w:id="1"/>
      </w:r>
    </w:p>
    <w:p w:rsidR="00E45AA5" w:rsidRPr="00790718" w:rsidRDefault="00E45AA5" w:rsidP="007E45F7">
      <w:pPr>
        <w:spacing w:after="0" w:line="360" w:lineRule="auto"/>
        <w:jc w:val="both"/>
        <w:rPr>
          <w:rFonts w:ascii="Arial" w:hAnsi="Arial" w:cs="Arial"/>
          <w:sz w:val="24"/>
          <w:szCs w:val="24"/>
          <w:lang w:val="en-US"/>
        </w:rPr>
      </w:pPr>
      <w:r w:rsidRPr="00E45AA5">
        <w:rPr>
          <w:rFonts w:ascii="Arial" w:hAnsi="Arial" w:cs="Arial"/>
          <w:sz w:val="24"/>
          <w:szCs w:val="24"/>
          <w:lang w:val="en-US"/>
        </w:rPr>
        <w:lastRenderedPageBreak/>
        <w:t xml:space="preserve"> </w:t>
      </w:r>
    </w:p>
    <w:p w:rsidR="00E45AA5" w:rsidRPr="00790718" w:rsidRDefault="002008CB" w:rsidP="003B009D">
      <w:pPr>
        <w:tabs>
          <w:tab w:val="left" w:pos="720"/>
          <w:tab w:val="left" w:pos="1380"/>
          <w:tab w:val="left" w:pos="2505"/>
        </w:tabs>
        <w:spacing w:after="0" w:line="360" w:lineRule="auto"/>
        <w:jc w:val="both"/>
        <w:rPr>
          <w:rFonts w:ascii="Arial" w:hAnsi="Arial" w:cs="Arial"/>
          <w:i/>
          <w:sz w:val="24"/>
          <w:szCs w:val="24"/>
        </w:rPr>
      </w:pPr>
      <w:r>
        <w:rPr>
          <w:rFonts w:ascii="Arial" w:hAnsi="Arial" w:cs="Arial"/>
          <w:i/>
          <w:sz w:val="24"/>
          <w:szCs w:val="24"/>
        </w:rPr>
        <w:t>P</w:t>
      </w:r>
      <w:r w:rsidR="00B754BD" w:rsidRPr="00790718">
        <w:rPr>
          <w:rFonts w:ascii="Arial" w:hAnsi="Arial" w:cs="Arial"/>
          <w:i/>
          <w:sz w:val="24"/>
          <w:szCs w:val="24"/>
        </w:rPr>
        <w:t>laintiffs’</w:t>
      </w:r>
      <w:r w:rsidR="00E45AA5" w:rsidRPr="00790718">
        <w:rPr>
          <w:rFonts w:ascii="Arial" w:hAnsi="Arial" w:cs="Arial"/>
          <w:i/>
          <w:sz w:val="24"/>
          <w:szCs w:val="24"/>
        </w:rPr>
        <w:t xml:space="preserve"> case</w:t>
      </w:r>
      <w:r w:rsidR="003B009D">
        <w:rPr>
          <w:rFonts w:ascii="Arial" w:hAnsi="Arial" w:cs="Arial"/>
          <w:i/>
          <w:sz w:val="24"/>
          <w:szCs w:val="24"/>
        </w:rPr>
        <w:tab/>
      </w:r>
    </w:p>
    <w:p w:rsidR="00E45AA5" w:rsidRPr="00E45AA5" w:rsidRDefault="00E45AA5" w:rsidP="007E45F7">
      <w:pPr>
        <w:tabs>
          <w:tab w:val="left" w:pos="720"/>
          <w:tab w:val="left" w:pos="1380"/>
        </w:tabs>
        <w:spacing w:after="0" w:line="360" w:lineRule="auto"/>
        <w:jc w:val="both"/>
        <w:rPr>
          <w:rFonts w:ascii="Arial" w:hAnsi="Arial" w:cs="Arial"/>
          <w:sz w:val="24"/>
          <w:szCs w:val="24"/>
          <w:u w:val="single"/>
        </w:rPr>
      </w:pPr>
    </w:p>
    <w:p w:rsidR="00C22CE3" w:rsidRDefault="00E45AA5" w:rsidP="007E45F7">
      <w:pPr>
        <w:tabs>
          <w:tab w:val="left" w:pos="720"/>
          <w:tab w:val="left" w:pos="1380"/>
        </w:tabs>
        <w:spacing w:after="0" w:line="360" w:lineRule="auto"/>
        <w:jc w:val="both"/>
        <w:rPr>
          <w:rFonts w:ascii="Arial" w:hAnsi="Arial" w:cs="Arial"/>
          <w:sz w:val="24"/>
          <w:szCs w:val="24"/>
        </w:rPr>
      </w:pPr>
      <w:r w:rsidRPr="00E45AA5">
        <w:rPr>
          <w:rFonts w:ascii="Arial" w:hAnsi="Arial" w:cs="Arial"/>
          <w:sz w:val="24"/>
          <w:szCs w:val="24"/>
        </w:rPr>
        <w:t>[</w:t>
      </w:r>
      <w:r w:rsidR="00DE41D8">
        <w:rPr>
          <w:rFonts w:ascii="Arial" w:hAnsi="Arial" w:cs="Arial"/>
          <w:sz w:val="24"/>
          <w:szCs w:val="24"/>
        </w:rPr>
        <w:t>7</w:t>
      </w:r>
      <w:r>
        <w:rPr>
          <w:rFonts w:ascii="Arial" w:hAnsi="Arial" w:cs="Arial"/>
          <w:sz w:val="24"/>
          <w:szCs w:val="24"/>
        </w:rPr>
        <w:t>]</w:t>
      </w:r>
      <w:r>
        <w:rPr>
          <w:rFonts w:ascii="Arial" w:hAnsi="Arial" w:cs="Arial"/>
          <w:sz w:val="24"/>
          <w:szCs w:val="24"/>
        </w:rPr>
        <w:tab/>
      </w:r>
      <w:r w:rsidR="002935F6">
        <w:rPr>
          <w:rFonts w:ascii="Arial" w:hAnsi="Arial" w:cs="Arial"/>
          <w:sz w:val="24"/>
          <w:szCs w:val="24"/>
        </w:rPr>
        <w:t>To put the plaintiffs’ argument in context it is necessary to quote</w:t>
      </w:r>
      <w:r w:rsidR="00790718">
        <w:rPr>
          <w:rFonts w:ascii="Arial" w:hAnsi="Arial" w:cs="Arial"/>
          <w:sz w:val="24"/>
          <w:szCs w:val="24"/>
        </w:rPr>
        <w:t xml:space="preserve"> one of</w:t>
      </w:r>
      <w:r w:rsidR="002935F6">
        <w:rPr>
          <w:rFonts w:ascii="Arial" w:hAnsi="Arial" w:cs="Arial"/>
          <w:sz w:val="24"/>
          <w:szCs w:val="24"/>
        </w:rPr>
        <w:t xml:space="preserve"> the para</w:t>
      </w:r>
      <w:r w:rsidR="006F6FD9">
        <w:rPr>
          <w:rFonts w:ascii="Arial" w:hAnsi="Arial" w:cs="Arial"/>
          <w:sz w:val="24"/>
          <w:szCs w:val="24"/>
        </w:rPr>
        <w:t>s</w:t>
      </w:r>
      <w:r w:rsidR="002935F6">
        <w:rPr>
          <w:rFonts w:ascii="Arial" w:hAnsi="Arial" w:cs="Arial"/>
          <w:sz w:val="24"/>
          <w:szCs w:val="24"/>
        </w:rPr>
        <w:t xml:space="preserve"> of the rescission judgment</w:t>
      </w:r>
      <w:r w:rsidR="002935F6">
        <w:rPr>
          <w:rStyle w:val="FootnoteReference"/>
          <w:rFonts w:ascii="Arial" w:hAnsi="Arial" w:cs="Arial"/>
          <w:sz w:val="24"/>
          <w:szCs w:val="24"/>
        </w:rPr>
        <w:footnoteReference w:id="2"/>
      </w:r>
      <w:r w:rsidR="002935F6">
        <w:rPr>
          <w:rFonts w:ascii="Arial" w:hAnsi="Arial" w:cs="Arial"/>
          <w:sz w:val="24"/>
          <w:szCs w:val="24"/>
        </w:rPr>
        <w:t xml:space="preserve"> that brought </w:t>
      </w:r>
      <w:r w:rsidR="004D76FB">
        <w:rPr>
          <w:rFonts w:ascii="Arial" w:hAnsi="Arial" w:cs="Arial"/>
          <w:sz w:val="24"/>
          <w:szCs w:val="24"/>
        </w:rPr>
        <w:t xml:space="preserve">about the variation application. </w:t>
      </w:r>
      <w:r w:rsidR="002935F6">
        <w:rPr>
          <w:rFonts w:ascii="Arial" w:hAnsi="Arial" w:cs="Arial"/>
          <w:sz w:val="24"/>
          <w:szCs w:val="24"/>
        </w:rPr>
        <w:t>Para 34</w:t>
      </w:r>
      <w:r w:rsidR="00C36740">
        <w:rPr>
          <w:rFonts w:ascii="Arial" w:hAnsi="Arial" w:cs="Arial"/>
          <w:sz w:val="24"/>
          <w:szCs w:val="24"/>
        </w:rPr>
        <w:t xml:space="preserve"> states that: </w:t>
      </w:r>
    </w:p>
    <w:p w:rsidR="00C36740" w:rsidRDefault="00C36740" w:rsidP="007E45F7">
      <w:pPr>
        <w:tabs>
          <w:tab w:val="left" w:pos="720"/>
          <w:tab w:val="left" w:pos="1380"/>
        </w:tabs>
        <w:spacing w:after="0" w:line="360" w:lineRule="auto"/>
        <w:jc w:val="both"/>
        <w:rPr>
          <w:rFonts w:ascii="Arial" w:hAnsi="Arial" w:cs="Arial"/>
          <w:sz w:val="24"/>
          <w:szCs w:val="24"/>
        </w:rPr>
      </w:pPr>
    </w:p>
    <w:p w:rsidR="00C36740" w:rsidRPr="00C36740" w:rsidRDefault="00C36740" w:rsidP="007E45F7">
      <w:pPr>
        <w:tabs>
          <w:tab w:val="left" w:pos="720"/>
          <w:tab w:val="left" w:pos="1380"/>
        </w:tabs>
        <w:spacing w:after="0" w:line="360" w:lineRule="auto"/>
        <w:jc w:val="both"/>
        <w:rPr>
          <w:rFonts w:ascii="Arial" w:hAnsi="Arial" w:cs="Arial"/>
        </w:rPr>
      </w:pPr>
      <w:r>
        <w:rPr>
          <w:rFonts w:ascii="Arial" w:hAnsi="Arial" w:cs="Arial"/>
        </w:rPr>
        <w:tab/>
        <w:t>‘</w:t>
      </w:r>
      <w:r w:rsidRPr="00C36740">
        <w:rPr>
          <w:rFonts w:ascii="Arial" w:hAnsi="Arial" w:cs="Arial"/>
        </w:rPr>
        <w:t>I therefore hold that the irregularity of authentication must stand and rescind the orders erroneously granted based on that issue alone.</w:t>
      </w:r>
      <w:r>
        <w:rPr>
          <w:rFonts w:ascii="Arial" w:hAnsi="Arial" w:cs="Arial"/>
        </w:rPr>
        <w:t>’</w:t>
      </w:r>
    </w:p>
    <w:p w:rsidR="00E45AA5" w:rsidRPr="00E45AA5" w:rsidRDefault="00E45AA5" w:rsidP="007E45F7">
      <w:pPr>
        <w:spacing w:after="0" w:line="360" w:lineRule="auto"/>
        <w:jc w:val="both"/>
        <w:rPr>
          <w:rFonts w:ascii="Arial" w:hAnsi="Arial" w:cs="Arial"/>
          <w:sz w:val="24"/>
          <w:szCs w:val="24"/>
        </w:rPr>
      </w:pPr>
    </w:p>
    <w:p w:rsidR="00E45AA5" w:rsidRPr="00E45AA5" w:rsidRDefault="00E45AA5" w:rsidP="007E45F7">
      <w:pPr>
        <w:spacing w:after="0" w:line="360" w:lineRule="auto"/>
        <w:jc w:val="both"/>
        <w:rPr>
          <w:rFonts w:ascii="Arial" w:hAnsi="Arial" w:cs="Arial"/>
          <w:sz w:val="24"/>
          <w:szCs w:val="24"/>
        </w:rPr>
      </w:pPr>
      <w:r w:rsidRPr="00E45AA5">
        <w:rPr>
          <w:rFonts w:ascii="Arial" w:hAnsi="Arial" w:cs="Arial"/>
          <w:sz w:val="24"/>
          <w:szCs w:val="24"/>
        </w:rPr>
        <w:t>[</w:t>
      </w:r>
      <w:r w:rsidR="00DE41D8">
        <w:rPr>
          <w:rFonts w:ascii="Arial" w:hAnsi="Arial" w:cs="Arial"/>
          <w:sz w:val="24"/>
          <w:szCs w:val="24"/>
        </w:rPr>
        <w:t>8</w:t>
      </w:r>
      <w:r>
        <w:rPr>
          <w:rFonts w:ascii="Arial" w:hAnsi="Arial" w:cs="Arial"/>
          <w:sz w:val="24"/>
          <w:szCs w:val="24"/>
        </w:rPr>
        <w:t>]</w:t>
      </w:r>
      <w:r>
        <w:rPr>
          <w:rFonts w:ascii="Arial" w:hAnsi="Arial" w:cs="Arial"/>
          <w:sz w:val="24"/>
          <w:szCs w:val="24"/>
        </w:rPr>
        <w:tab/>
      </w:r>
      <w:r w:rsidR="006444ED">
        <w:rPr>
          <w:rFonts w:ascii="Arial" w:hAnsi="Arial" w:cs="Arial"/>
          <w:sz w:val="24"/>
          <w:szCs w:val="24"/>
        </w:rPr>
        <w:t>The plaintiffs argue</w:t>
      </w:r>
      <w:r w:rsidR="00C36740">
        <w:rPr>
          <w:rFonts w:ascii="Arial" w:hAnsi="Arial" w:cs="Arial"/>
          <w:sz w:val="24"/>
          <w:szCs w:val="24"/>
        </w:rPr>
        <w:t xml:space="preserve"> that from reading the above para of the judgment, the order in respect of </w:t>
      </w:r>
      <w:r w:rsidR="00C36740" w:rsidRPr="00E81199">
        <w:rPr>
          <w:rFonts w:ascii="Arial" w:hAnsi="Arial" w:cs="Arial"/>
          <w:sz w:val="24"/>
          <w:szCs w:val="24"/>
        </w:rPr>
        <w:t>claim 1</w:t>
      </w:r>
      <w:r w:rsidR="00AF535C">
        <w:rPr>
          <w:rStyle w:val="FootnoteReference"/>
          <w:rFonts w:ascii="Arial" w:hAnsi="Arial" w:cs="Arial"/>
          <w:sz w:val="24"/>
          <w:szCs w:val="24"/>
        </w:rPr>
        <w:footnoteReference w:id="3"/>
      </w:r>
      <w:r w:rsidR="00C36740" w:rsidRPr="00E81199">
        <w:rPr>
          <w:rFonts w:ascii="Arial" w:hAnsi="Arial" w:cs="Arial"/>
          <w:sz w:val="24"/>
          <w:szCs w:val="24"/>
        </w:rPr>
        <w:t xml:space="preserve"> and 2</w:t>
      </w:r>
      <w:r w:rsidR="00AF535C">
        <w:rPr>
          <w:rStyle w:val="FootnoteReference"/>
          <w:rFonts w:ascii="Arial" w:hAnsi="Arial" w:cs="Arial"/>
          <w:sz w:val="24"/>
          <w:szCs w:val="24"/>
        </w:rPr>
        <w:footnoteReference w:id="4"/>
      </w:r>
      <w:r w:rsidR="00C36740" w:rsidRPr="00E81199">
        <w:rPr>
          <w:rFonts w:ascii="Arial" w:hAnsi="Arial" w:cs="Arial"/>
          <w:sz w:val="24"/>
          <w:szCs w:val="24"/>
        </w:rPr>
        <w:t xml:space="preserve"> were </w:t>
      </w:r>
      <w:r w:rsidR="00ED0AD2">
        <w:rPr>
          <w:rFonts w:ascii="Arial" w:hAnsi="Arial" w:cs="Arial"/>
          <w:sz w:val="24"/>
          <w:szCs w:val="24"/>
        </w:rPr>
        <w:t>purely</w:t>
      </w:r>
      <w:r w:rsidR="00614E50" w:rsidRPr="00E81199">
        <w:rPr>
          <w:rFonts w:ascii="Arial" w:hAnsi="Arial" w:cs="Arial"/>
          <w:sz w:val="24"/>
          <w:szCs w:val="24"/>
        </w:rPr>
        <w:t xml:space="preserve"> </w:t>
      </w:r>
      <w:r w:rsidR="00C36740" w:rsidRPr="00E81199">
        <w:rPr>
          <w:rFonts w:ascii="Arial" w:hAnsi="Arial" w:cs="Arial"/>
          <w:sz w:val="24"/>
          <w:szCs w:val="24"/>
        </w:rPr>
        <w:t xml:space="preserve">rescinded based on the </w:t>
      </w:r>
      <w:r w:rsidR="00614E50" w:rsidRPr="00E81199">
        <w:rPr>
          <w:rFonts w:ascii="Arial" w:hAnsi="Arial" w:cs="Arial"/>
          <w:sz w:val="24"/>
          <w:szCs w:val="24"/>
        </w:rPr>
        <w:t>conclusion</w:t>
      </w:r>
      <w:r w:rsidR="00C36740" w:rsidRPr="00E81199">
        <w:rPr>
          <w:rFonts w:ascii="Arial" w:hAnsi="Arial" w:cs="Arial"/>
          <w:sz w:val="24"/>
          <w:szCs w:val="24"/>
        </w:rPr>
        <w:t xml:space="preserve"> </w:t>
      </w:r>
      <w:r w:rsidR="00614E50" w:rsidRPr="00E81199">
        <w:rPr>
          <w:rFonts w:ascii="Arial" w:hAnsi="Arial" w:cs="Arial"/>
          <w:sz w:val="24"/>
          <w:szCs w:val="24"/>
        </w:rPr>
        <w:t xml:space="preserve">of the Court  </w:t>
      </w:r>
      <w:r w:rsidR="00C36740" w:rsidRPr="00E81199">
        <w:rPr>
          <w:rFonts w:ascii="Arial" w:hAnsi="Arial" w:cs="Arial"/>
          <w:sz w:val="24"/>
          <w:szCs w:val="24"/>
        </w:rPr>
        <w:t>that the</w:t>
      </w:r>
      <w:r w:rsidR="00071BC0" w:rsidRPr="00E81199">
        <w:rPr>
          <w:rFonts w:ascii="Arial" w:hAnsi="Arial" w:cs="Arial"/>
          <w:sz w:val="24"/>
          <w:szCs w:val="24"/>
        </w:rPr>
        <w:t xml:space="preserve"> issue of the</w:t>
      </w:r>
      <w:r w:rsidR="00C36740" w:rsidRPr="00E81199">
        <w:rPr>
          <w:rFonts w:ascii="Arial" w:hAnsi="Arial" w:cs="Arial"/>
          <w:sz w:val="24"/>
          <w:szCs w:val="24"/>
        </w:rPr>
        <w:t xml:space="preserve"> irregularity of authentication</w:t>
      </w:r>
      <w:r w:rsidR="00C36740">
        <w:rPr>
          <w:rFonts w:ascii="Arial" w:hAnsi="Arial" w:cs="Arial"/>
          <w:sz w:val="24"/>
          <w:szCs w:val="24"/>
        </w:rPr>
        <w:t xml:space="preserve"> must stand</w:t>
      </w:r>
      <w:r w:rsidR="00071BC0">
        <w:rPr>
          <w:rFonts w:ascii="Arial" w:hAnsi="Arial" w:cs="Arial"/>
          <w:sz w:val="24"/>
          <w:szCs w:val="24"/>
        </w:rPr>
        <w:t xml:space="preserve"> and rescind the orders that were erroneously granted based on that irregularity</w:t>
      </w:r>
      <w:r w:rsidRPr="00E45AA5">
        <w:rPr>
          <w:rFonts w:ascii="Arial" w:hAnsi="Arial" w:cs="Arial"/>
          <w:sz w:val="24"/>
          <w:szCs w:val="24"/>
        </w:rPr>
        <w:t>.</w:t>
      </w:r>
      <w:r w:rsidR="00071BC0">
        <w:rPr>
          <w:rFonts w:ascii="Arial" w:hAnsi="Arial" w:cs="Arial"/>
          <w:sz w:val="24"/>
          <w:szCs w:val="24"/>
        </w:rPr>
        <w:t xml:space="preserve"> </w:t>
      </w:r>
      <w:r w:rsidRPr="00E45AA5">
        <w:rPr>
          <w:rFonts w:ascii="Arial" w:hAnsi="Arial" w:cs="Arial"/>
          <w:sz w:val="24"/>
          <w:szCs w:val="24"/>
        </w:rPr>
        <w:t xml:space="preserve"> </w:t>
      </w:r>
    </w:p>
    <w:p w:rsidR="00E45AA5" w:rsidRPr="00E45AA5" w:rsidRDefault="00E45AA5" w:rsidP="007E45F7">
      <w:pPr>
        <w:spacing w:after="0" w:line="360" w:lineRule="auto"/>
        <w:jc w:val="both"/>
        <w:rPr>
          <w:rFonts w:ascii="Arial" w:hAnsi="Arial" w:cs="Arial"/>
          <w:sz w:val="24"/>
          <w:szCs w:val="24"/>
        </w:rPr>
      </w:pPr>
    </w:p>
    <w:p w:rsidR="00011482" w:rsidRDefault="00E45AA5" w:rsidP="007E45F7">
      <w:pPr>
        <w:spacing w:after="0" w:line="360" w:lineRule="auto"/>
        <w:jc w:val="both"/>
        <w:rPr>
          <w:rFonts w:ascii="Arial" w:hAnsi="Arial" w:cs="Arial"/>
          <w:sz w:val="24"/>
          <w:szCs w:val="24"/>
        </w:rPr>
      </w:pPr>
      <w:r w:rsidRPr="00E45AA5">
        <w:rPr>
          <w:rFonts w:ascii="Arial" w:hAnsi="Arial" w:cs="Arial"/>
          <w:sz w:val="24"/>
          <w:szCs w:val="24"/>
        </w:rPr>
        <w:t>[</w:t>
      </w:r>
      <w:r w:rsidR="00DE41D8">
        <w:rPr>
          <w:rFonts w:ascii="Arial" w:hAnsi="Arial" w:cs="Arial"/>
          <w:sz w:val="24"/>
          <w:szCs w:val="24"/>
        </w:rPr>
        <w:t>9</w:t>
      </w:r>
      <w:r>
        <w:rPr>
          <w:rFonts w:ascii="Arial" w:hAnsi="Arial" w:cs="Arial"/>
          <w:sz w:val="24"/>
          <w:szCs w:val="24"/>
        </w:rPr>
        <w:t>]</w:t>
      </w:r>
      <w:r>
        <w:rPr>
          <w:rFonts w:ascii="Arial" w:hAnsi="Arial" w:cs="Arial"/>
          <w:sz w:val="24"/>
          <w:szCs w:val="24"/>
        </w:rPr>
        <w:tab/>
      </w:r>
      <w:r w:rsidR="001E2D69">
        <w:rPr>
          <w:rFonts w:ascii="Arial" w:hAnsi="Arial" w:cs="Arial"/>
          <w:sz w:val="24"/>
          <w:szCs w:val="24"/>
        </w:rPr>
        <w:t>The plaintiffs argue that only claim 2 was reliant on the damages affidavit of Jacqueline Domange, which was commissioned in France and was</w:t>
      </w:r>
      <w:r w:rsidR="00C17844">
        <w:rPr>
          <w:rFonts w:ascii="Arial" w:hAnsi="Arial" w:cs="Arial"/>
          <w:sz w:val="24"/>
          <w:szCs w:val="24"/>
        </w:rPr>
        <w:t xml:space="preserve"> the bone of contention on the issue of</w:t>
      </w:r>
      <w:r w:rsidR="001E2D69">
        <w:rPr>
          <w:rFonts w:ascii="Arial" w:hAnsi="Arial" w:cs="Arial"/>
          <w:sz w:val="24"/>
          <w:szCs w:val="24"/>
        </w:rPr>
        <w:t xml:space="preserve"> authent</w:t>
      </w:r>
      <w:r w:rsidR="00C17844">
        <w:rPr>
          <w:rFonts w:ascii="Arial" w:hAnsi="Arial" w:cs="Arial"/>
          <w:sz w:val="24"/>
          <w:szCs w:val="24"/>
        </w:rPr>
        <w:t>ication</w:t>
      </w:r>
      <w:r w:rsidR="001E2D69">
        <w:rPr>
          <w:rFonts w:ascii="Arial" w:hAnsi="Arial" w:cs="Arial"/>
          <w:sz w:val="24"/>
          <w:szCs w:val="24"/>
        </w:rPr>
        <w:t xml:space="preserve"> and that claim 1 was based on affidavits commissioned </w:t>
      </w:r>
      <w:r w:rsidR="00774A83">
        <w:rPr>
          <w:rFonts w:ascii="Arial" w:hAnsi="Arial" w:cs="Arial"/>
          <w:sz w:val="24"/>
          <w:szCs w:val="24"/>
        </w:rPr>
        <w:t>in Windhoek. The issue of authentication is onl</w:t>
      </w:r>
      <w:r w:rsidR="00FF0C54">
        <w:rPr>
          <w:rFonts w:ascii="Arial" w:hAnsi="Arial" w:cs="Arial"/>
          <w:sz w:val="24"/>
          <w:szCs w:val="24"/>
        </w:rPr>
        <w:t xml:space="preserve">y in respect of claim 2 and </w:t>
      </w:r>
      <w:r w:rsidR="00774A83">
        <w:rPr>
          <w:rFonts w:ascii="Arial" w:hAnsi="Arial" w:cs="Arial"/>
          <w:sz w:val="24"/>
          <w:szCs w:val="24"/>
        </w:rPr>
        <w:t xml:space="preserve">the unaffected claim should therefore stand to be left intact and not rescinded. </w:t>
      </w:r>
    </w:p>
    <w:p w:rsidR="00011482" w:rsidRDefault="00011482" w:rsidP="007E45F7">
      <w:pPr>
        <w:spacing w:after="0" w:line="360" w:lineRule="auto"/>
        <w:jc w:val="both"/>
        <w:rPr>
          <w:rFonts w:ascii="Arial" w:hAnsi="Arial" w:cs="Arial"/>
          <w:sz w:val="24"/>
          <w:szCs w:val="24"/>
        </w:rPr>
      </w:pPr>
    </w:p>
    <w:p w:rsidR="00E45AA5" w:rsidRDefault="00011482" w:rsidP="007E45F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E2D69">
        <w:rPr>
          <w:rFonts w:ascii="Arial" w:hAnsi="Arial" w:cs="Arial"/>
          <w:sz w:val="24"/>
          <w:szCs w:val="24"/>
        </w:rPr>
        <w:t>The plaintiffs contend that the affidavits in respect of claim 1, including the affidavit to substantiate lost items</w:t>
      </w:r>
      <w:r w:rsidR="001E2D69">
        <w:rPr>
          <w:rStyle w:val="FootnoteReference"/>
          <w:rFonts w:ascii="Arial" w:hAnsi="Arial" w:cs="Arial"/>
          <w:sz w:val="24"/>
          <w:szCs w:val="24"/>
        </w:rPr>
        <w:footnoteReference w:id="5"/>
      </w:r>
      <w:r w:rsidR="001E2D69">
        <w:rPr>
          <w:rFonts w:ascii="Arial" w:hAnsi="Arial" w:cs="Arial"/>
          <w:sz w:val="24"/>
          <w:szCs w:val="24"/>
        </w:rPr>
        <w:t>, were not the subject matter of the Court’s ruling on the issue of authentication</w:t>
      </w:r>
      <w:r w:rsidR="005D5652">
        <w:rPr>
          <w:rFonts w:ascii="Arial" w:hAnsi="Arial" w:cs="Arial"/>
          <w:sz w:val="24"/>
          <w:szCs w:val="24"/>
        </w:rPr>
        <w:t xml:space="preserve">. They therefore hold the view that to rescind the default judgment in respect of claim 1 on the basis of the erroneous authentication was a patent error on the part of the Court. The plaintiffs therefore seek a variation of the order in terms of rule </w:t>
      </w:r>
      <w:r w:rsidR="005D5652">
        <w:rPr>
          <w:rFonts w:ascii="Arial" w:hAnsi="Arial" w:cs="Arial"/>
          <w:sz w:val="24"/>
          <w:szCs w:val="24"/>
        </w:rPr>
        <w:lastRenderedPageBreak/>
        <w:t>103(1</w:t>
      </w:r>
      <w:r w:rsidR="00AF462E">
        <w:rPr>
          <w:rFonts w:ascii="Arial" w:hAnsi="Arial" w:cs="Arial"/>
          <w:sz w:val="24"/>
          <w:szCs w:val="24"/>
        </w:rPr>
        <w:t>) (</w:t>
      </w:r>
      <w:r w:rsidR="005D5652">
        <w:rPr>
          <w:rFonts w:ascii="Arial" w:hAnsi="Arial" w:cs="Arial"/>
          <w:sz w:val="24"/>
          <w:szCs w:val="24"/>
        </w:rPr>
        <w:t>c) to limit the resci</w:t>
      </w:r>
      <w:r w:rsidR="004A6187">
        <w:rPr>
          <w:rFonts w:ascii="Arial" w:hAnsi="Arial" w:cs="Arial"/>
          <w:sz w:val="24"/>
          <w:szCs w:val="24"/>
        </w:rPr>
        <w:t>ssion of the default judgment to</w:t>
      </w:r>
      <w:r w:rsidR="005D5652">
        <w:rPr>
          <w:rFonts w:ascii="Arial" w:hAnsi="Arial" w:cs="Arial"/>
          <w:sz w:val="24"/>
          <w:szCs w:val="24"/>
        </w:rPr>
        <w:t xml:space="preserve"> claim 2 which was based on the irregular </w:t>
      </w:r>
      <w:r w:rsidR="009E6F6E">
        <w:rPr>
          <w:rFonts w:ascii="Arial" w:hAnsi="Arial" w:cs="Arial"/>
          <w:sz w:val="24"/>
          <w:szCs w:val="24"/>
        </w:rPr>
        <w:t xml:space="preserve">(unauthenticated) </w:t>
      </w:r>
      <w:r w:rsidR="005D5652">
        <w:rPr>
          <w:rFonts w:ascii="Arial" w:hAnsi="Arial" w:cs="Arial"/>
          <w:sz w:val="24"/>
          <w:szCs w:val="24"/>
        </w:rPr>
        <w:t xml:space="preserve">affidavit. </w:t>
      </w:r>
    </w:p>
    <w:p w:rsidR="00E45AA5" w:rsidRDefault="00E45AA5" w:rsidP="007E45F7">
      <w:pPr>
        <w:spacing w:after="0" w:line="360" w:lineRule="auto"/>
        <w:jc w:val="both"/>
        <w:rPr>
          <w:rFonts w:ascii="Arial" w:hAnsi="Arial" w:cs="Arial"/>
          <w:sz w:val="24"/>
          <w:szCs w:val="24"/>
        </w:rPr>
      </w:pPr>
    </w:p>
    <w:p w:rsidR="00363E06" w:rsidRPr="00363E06" w:rsidRDefault="00363E06" w:rsidP="007E45F7">
      <w:pPr>
        <w:spacing w:after="0" w:line="360" w:lineRule="auto"/>
        <w:jc w:val="both"/>
        <w:rPr>
          <w:rFonts w:ascii="Arial" w:hAnsi="Arial" w:cs="Arial"/>
          <w:i/>
          <w:sz w:val="24"/>
          <w:szCs w:val="24"/>
        </w:rPr>
      </w:pPr>
      <w:r w:rsidRPr="00363E06">
        <w:rPr>
          <w:rFonts w:ascii="Arial" w:hAnsi="Arial" w:cs="Arial"/>
          <w:i/>
          <w:sz w:val="24"/>
          <w:szCs w:val="24"/>
        </w:rPr>
        <w:t xml:space="preserve">First defendant’s case </w:t>
      </w:r>
    </w:p>
    <w:p w:rsidR="00363E06" w:rsidRPr="00E45AA5" w:rsidRDefault="00363E06" w:rsidP="007E45F7">
      <w:pPr>
        <w:spacing w:after="0" w:line="360" w:lineRule="auto"/>
        <w:jc w:val="both"/>
        <w:rPr>
          <w:rFonts w:ascii="Arial" w:hAnsi="Arial" w:cs="Arial"/>
          <w:sz w:val="24"/>
          <w:szCs w:val="24"/>
        </w:rPr>
      </w:pPr>
    </w:p>
    <w:p w:rsidR="00E45AA5" w:rsidRPr="004A6187" w:rsidRDefault="008C1BD8" w:rsidP="007E45F7">
      <w:pPr>
        <w:spacing w:after="0" w:line="360" w:lineRule="auto"/>
        <w:jc w:val="both"/>
        <w:rPr>
          <w:rFonts w:ascii="Arial" w:hAnsi="Arial" w:cs="Arial"/>
          <w:lang w:val="en-US"/>
        </w:rPr>
      </w:pPr>
      <w:r>
        <w:rPr>
          <w:rFonts w:ascii="Arial" w:hAnsi="Arial" w:cs="Arial"/>
          <w:sz w:val="24"/>
          <w:szCs w:val="24"/>
        </w:rPr>
        <w:t>[11</w:t>
      </w:r>
      <w:r w:rsidR="00E45AA5">
        <w:rPr>
          <w:rFonts w:ascii="Arial" w:hAnsi="Arial" w:cs="Arial"/>
          <w:sz w:val="24"/>
          <w:szCs w:val="24"/>
        </w:rPr>
        <w:t>]</w:t>
      </w:r>
      <w:r w:rsidR="00E45AA5">
        <w:rPr>
          <w:rFonts w:ascii="Arial" w:hAnsi="Arial" w:cs="Arial"/>
          <w:sz w:val="24"/>
          <w:szCs w:val="24"/>
        </w:rPr>
        <w:tab/>
      </w:r>
      <w:r w:rsidR="00224C06">
        <w:rPr>
          <w:rFonts w:ascii="Arial" w:hAnsi="Arial" w:cs="Arial"/>
          <w:sz w:val="24"/>
          <w:szCs w:val="24"/>
        </w:rPr>
        <w:t xml:space="preserve">The first defendant does not deny the contentions raised by the plaintiffs’ that the order and/or judgment handed down with respect to the rescission application contains an ambiguity, patent error or omission. Neither does he deny the facts upon which the plaintiff’s rely to assert their claim for a variation of the order and/or judgment. </w:t>
      </w:r>
    </w:p>
    <w:p w:rsidR="00E45AA5" w:rsidRPr="00E45AA5" w:rsidRDefault="00E45AA5" w:rsidP="007E45F7">
      <w:pPr>
        <w:spacing w:after="0" w:line="360" w:lineRule="auto"/>
        <w:jc w:val="both"/>
        <w:rPr>
          <w:rFonts w:ascii="Arial" w:hAnsi="Arial" w:cs="Arial"/>
          <w:sz w:val="24"/>
          <w:szCs w:val="24"/>
        </w:rPr>
      </w:pPr>
    </w:p>
    <w:p w:rsidR="00E45AA5" w:rsidRDefault="008C1BD8" w:rsidP="007E45F7">
      <w:pPr>
        <w:spacing w:after="0" w:line="360" w:lineRule="auto"/>
        <w:jc w:val="both"/>
        <w:rPr>
          <w:rFonts w:ascii="Arial" w:hAnsi="Arial" w:cs="Arial"/>
          <w:sz w:val="24"/>
          <w:szCs w:val="24"/>
        </w:rPr>
      </w:pPr>
      <w:r>
        <w:rPr>
          <w:rFonts w:ascii="Arial" w:hAnsi="Arial" w:cs="Arial"/>
          <w:sz w:val="24"/>
          <w:szCs w:val="24"/>
        </w:rPr>
        <w:t>[12</w:t>
      </w:r>
      <w:r w:rsidR="00D87AAF">
        <w:rPr>
          <w:rFonts w:ascii="Arial" w:hAnsi="Arial" w:cs="Arial"/>
          <w:sz w:val="24"/>
          <w:szCs w:val="24"/>
        </w:rPr>
        <w:t>]</w:t>
      </w:r>
      <w:r w:rsidR="00D87AAF">
        <w:rPr>
          <w:rFonts w:ascii="Arial" w:hAnsi="Arial" w:cs="Arial"/>
          <w:sz w:val="24"/>
          <w:szCs w:val="24"/>
        </w:rPr>
        <w:tab/>
        <w:t xml:space="preserve">The first defendant however argues that the claim for variation, in light of the consequences to be </w:t>
      </w:r>
      <w:r w:rsidR="00BB6815">
        <w:rPr>
          <w:rFonts w:ascii="Arial" w:hAnsi="Arial" w:cs="Arial"/>
          <w:sz w:val="24"/>
          <w:szCs w:val="24"/>
        </w:rPr>
        <w:t>gained</w:t>
      </w:r>
      <w:r w:rsidR="00D87AAF">
        <w:rPr>
          <w:rFonts w:ascii="Arial" w:hAnsi="Arial" w:cs="Arial"/>
          <w:sz w:val="24"/>
          <w:szCs w:val="24"/>
        </w:rPr>
        <w:t xml:space="preserve"> by the granting of the plaintiffs’ desired relief, is incompetent. He contends that the relief </w:t>
      </w:r>
      <w:r w:rsidR="00C15BAD">
        <w:rPr>
          <w:rFonts w:ascii="Arial" w:hAnsi="Arial" w:cs="Arial"/>
          <w:sz w:val="24"/>
          <w:szCs w:val="24"/>
        </w:rPr>
        <w:t xml:space="preserve">should be limited </w:t>
      </w:r>
      <w:r w:rsidR="00D87AAF">
        <w:rPr>
          <w:rFonts w:ascii="Arial" w:hAnsi="Arial" w:cs="Arial"/>
          <w:sz w:val="24"/>
          <w:szCs w:val="24"/>
        </w:rPr>
        <w:t xml:space="preserve">to the extent of the </w:t>
      </w:r>
      <w:r w:rsidR="00C15BAD">
        <w:rPr>
          <w:rFonts w:ascii="Arial" w:hAnsi="Arial" w:cs="Arial"/>
          <w:sz w:val="24"/>
          <w:szCs w:val="24"/>
        </w:rPr>
        <w:t xml:space="preserve">order and/or judgment containing the ambiguity, error or omission. </w:t>
      </w:r>
    </w:p>
    <w:p w:rsidR="00D87AAF" w:rsidRPr="00D87AAF" w:rsidRDefault="00D87AAF" w:rsidP="007E45F7">
      <w:pPr>
        <w:spacing w:after="0" w:line="360" w:lineRule="auto"/>
        <w:jc w:val="both"/>
        <w:rPr>
          <w:rFonts w:ascii="Arial" w:hAnsi="Arial" w:cs="Arial"/>
          <w:sz w:val="24"/>
          <w:szCs w:val="24"/>
        </w:rPr>
      </w:pPr>
    </w:p>
    <w:p w:rsidR="00E45AA5" w:rsidRDefault="00BB578D" w:rsidP="007E45F7">
      <w:pPr>
        <w:spacing w:after="0" w:line="360" w:lineRule="auto"/>
        <w:jc w:val="both"/>
        <w:rPr>
          <w:rFonts w:ascii="Arial" w:hAnsi="Arial" w:cs="Arial"/>
          <w:sz w:val="24"/>
          <w:szCs w:val="24"/>
        </w:rPr>
      </w:pPr>
      <w:r>
        <w:rPr>
          <w:rFonts w:ascii="Arial" w:hAnsi="Arial" w:cs="Arial"/>
          <w:sz w:val="24"/>
          <w:szCs w:val="24"/>
        </w:rPr>
        <w:t>[13</w:t>
      </w:r>
      <w:r w:rsidR="00E45AA5">
        <w:rPr>
          <w:rFonts w:ascii="Arial" w:hAnsi="Arial" w:cs="Arial"/>
          <w:sz w:val="24"/>
          <w:szCs w:val="24"/>
        </w:rPr>
        <w:t>]</w:t>
      </w:r>
      <w:r w:rsidR="00E45AA5">
        <w:rPr>
          <w:rFonts w:ascii="Arial" w:hAnsi="Arial" w:cs="Arial"/>
          <w:sz w:val="24"/>
          <w:szCs w:val="24"/>
        </w:rPr>
        <w:tab/>
      </w:r>
      <w:r w:rsidR="005E602F">
        <w:rPr>
          <w:rFonts w:ascii="Arial" w:hAnsi="Arial" w:cs="Arial"/>
          <w:sz w:val="24"/>
          <w:szCs w:val="24"/>
        </w:rPr>
        <w:t>First defendant contends</w:t>
      </w:r>
      <w:r w:rsidR="004F4A2F">
        <w:rPr>
          <w:rFonts w:ascii="Arial" w:hAnsi="Arial" w:cs="Arial"/>
          <w:sz w:val="24"/>
          <w:szCs w:val="24"/>
        </w:rPr>
        <w:t xml:space="preserve"> that the order and/or judgment of the rescission application contains no determination</w:t>
      </w:r>
      <w:r w:rsidR="00BB3DAA">
        <w:rPr>
          <w:rFonts w:ascii="Arial" w:hAnsi="Arial" w:cs="Arial"/>
          <w:sz w:val="24"/>
          <w:szCs w:val="24"/>
        </w:rPr>
        <w:t xml:space="preserve"> or reason for the</w:t>
      </w:r>
      <w:r w:rsidR="004F4A2F">
        <w:rPr>
          <w:rFonts w:ascii="Arial" w:hAnsi="Arial" w:cs="Arial"/>
          <w:sz w:val="24"/>
          <w:szCs w:val="24"/>
        </w:rPr>
        <w:t xml:space="preserve"> rescission of claim 1 apart from the contested para 34 of the judgment referred to earlier herein in para 7. </w:t>
      </w:r>
      <w:r w:rsidR="00114809">
        <w:rPr>
          <w:rFonts w:ascii="Arial" w:hAnsi="Arial" w:cs="Arial"/>
          <w:sz w:val="24"/>
          <w:szCs w:val="24"/>
        </w:rPr>
        <w:t xml:space="preserve">It was argued by </w:t>
      </w:r>
      <w:r w:rsidR="0049585E">
        <w:rPr>
          <w:rFonts w:ascii="Arial" w:hAnsi="Arial" w:cs="Arial"/>
          <w:sz w:val="24"/>
          <w:szCs w:val="24"/>
        </w:rPr>
        <w:t xml:space="preserve">his </w:t>
      </w:r>
      <w:r w:rsidR="00114809">
        <w:rPr>
          <w:rFonts w:ascii="Arial" w:hAnsi="Arial" w:cs="Arial"/>
          <w:sz w:val="24"/>
          <w:szCs w:val="24"/>
        </w:rPr>
        <w:t xml:space="preserve">counsel that the absence of a determination of the reasons for the rescission of claim 1 is not only an error but constitutes an omission and ambiguity. </w:t>
      </w:r>
      <w:r w:rsidR="004F4A2F">
        <w:rPr>
          <w:rFonts w:ascii="Arial" w:hAnsi="Arial" w:cs="Arial"/>
          <w:sz w:val="24"/>
          <w:szCs w:val="24"/>
        </w:rPr>
        <w:t>Due to the said ambiguity the variation of the judgment as per the relief sought by the applicant will not suffice or remedy the ambiguity. The vari</w:t>
      </w:r>
      <w:r w:rsidR="005E602F">
        <w:rPr>
          <w:rFonts w:ascii="Arial" w:hAnsi="Arial" w:cs="Arial"/>
          <w:sz w:val="24"/>
          <w:szCs w:val="24"/>
        </w:rPr>
        <w:t xml:space="preserve">ation </w:t>
      </w:r>
      <w:r w:rsidR="0049585E">
        <w:rPr>
          <w:rFonts w:ascii="Arial" w:hAnsi="Arial" w:cs="Arial"/>
          <w:sz w:val="24"/>
          <w:szCs w:val="24"/>
        </w:rPr>
        <w:t>sought by the plaintiff</w:t>
      </w:r>
      <w:r w:rsidR="004F4A2F">
        <w:rPr>
          <w:rFonts w:ascii="Arial" w:hAnsi="Arial" w:cs="Arial"/>
          <w:sz w:val="24"/>
          <w:szCs w:val="24"/>
        </w:rPr>
        <w:t>s</w:t>
      </w:r>
      <w:r w:rsidR="0049585E">
        <w:rPr>
          <w:rFonts w:ascii="Arial" w:hAnsi="Arial" w:cs="Arial"/>
          <w:sz w:val="24"/>
          <w:szCs w:val="24"/>
        </w:rPr>
        <w:t>’</w:t>
      </w:r>
      <w:r w:rsidR="004F4A2F">
        <w:rPr>
          <w:rFonts w:ascii="Arial" w:hAnsi="Arial" w:cs="Arial"/>
          <w:sz w:val="24"/>
          <w:szCs w:val="24"/>
        </w:rPr>
        <w:t>, as per the preferred relief</w:t>
      </w:r>
      <w:r w:rsidR="005E602F">
        <w:rPr>
          <w:rFonts w:ascii="Arial" w:hAnsi="Arial" w:cs="Arial"/>
          <w:sz w:val="24"/>
          <w:szCs w:val="24"/>
        </w:rPr>
        <w:t>,</w:t>
      </w:r>
      <w:r w:rsidR="004F4A2F">
        <w:rPr>
          <w:rFonts w:ascii="Arial" w:hAnsi="Arial" w:cs="Arial"/>
          <w:sz w:val="24"/>
          <w:szCs w:val="24"/>
        </w:rPr>
        <w:t xml:space="preserve"> does not conform with the requirements of Rule 103(1)(c) because the ambiguity and omission will remain despite the variation according to the terms proposed by the plaintiffs’.</w:t>
      </w:r>
      <w:r w:rsidR="0027643B" w:rsidRPr="0027643B">
        <w:rPr>
          <w:rFonts w:ascii="Arial" w:hAnsi="Arial" w:cs="Arial"/>
          <w:sz w:val="24"/>
          <w:szCs w:val="24"/>
        </w:rPr>
        <w:t xml:space="preserve"> </w:t>
      </w:r>
      <w:r w:rsidR="0027643B">
        <w:rPr>
          <w:rFonts w:ascii="Arial" w:hAnsi="Arial" w:cs="Arial"/>
          <w:sz w:val="24"/>
          <w:szCs w:val="24"/>
        </w:rPr>
        <w:t xml:space="preserve">First defendant is of the view that the manner in which the order is sought to be varied fails to remedy the ambiguity caused by the omission of a determination on the rescission of claim 1.  </w:t>
      </w:r>
    </w:p>
    <w:p w:rsidR="005E602F" w:rsidRDefault="005E602F" w:rsidP="007E45F7">
      <w:pPr>
        <w:spacing w:after="0" w:line="360" w:lineRule="auto"/>
        <w:jc w:val="both"/>
        <w:rPr>
          <w:rFonts w:ascii="Arial" w:hAnsi="Arial" w:cs="Arial"/>
          <w:sz w:val="24"/>
          <w:szCs w:val="24"/>
        </w:rPr>
      </w:pPr>
    </w:p>
    <w:p w:rsidR="005E602F" w:rsidRDefault="005E602F" w:rsidP="007E45F7">
      <w:pPr>
        <w:spacing w:after="0" w:line="360" w:lineRule="auto"/>
        <w:jc w:val="both"/>
        <w:rPr>
          <w:rFonts w:ascii="Arial" w:hAnsi="Arial" w:cs="Arial"/>
          <w:sz w:val="24"/>
          <w:szCs w:val="24"/>
        </w:rPr>
      </w:pPr>
      <w:r>
        <w:rPr>
          <w:rFonts w:ascii="Arial" w:hAnsi="Arial" w:cs="Arial"/>
          <w:sz w:val="24"/>
          <w:szCs w:val="24"/>
        </w:rPr>
        <w:t>[</w:t>
      </w:r>
      <w:r w:rsidR="00E20317">
        <w:rPr>
          <w:rFonts w:ascii="Arial" w:hAnsi="Arial" w:cs="Arial"/>
          <w:sz w:val="24"/>
          <w:szCs w:val="24"/>
        </w:rPr>
        <w:t>14</w:t>
      </w:r>
      <w:r>
        <w:rPr>
          <w:rFonts w:ascii="Arial" w:hAnsi="Arial" w:cs="Arial"/>
          <w:sz w:val="24"/>
          <w:szCs w:val="24"/>
        </w:rPr>
        <w:t>]</w:t>
      </w:r>
      <w:r>
        <w:rPr>
          <w:rFonts w:ascii="Arial" w:hAnsi="Arial" w:cs="Arial"/>
          <w:sz w:val="24"/>
          <w:szCs w:val="24"/>
        </w:rPr>
        <w:tab/>
        <w:t xml:space="preserve">First defendant maintains that rescinding a claim that is unrelated to the determination of authentication would amount to a patent error. </w:t>
      </w:r>
      <w:r w:rsidR="00114809">
        <w:rPr>
          <w:rFonts w:ascii="Arial" w:hAnsi="Arial" w:cs="Arial"/>
          <w:sz w:val="24"/>
          <w:szCs w:val="24"/>
        </w:rPr>
        <w:t xml:space="preserve">Counsel </w:t>
      </w:r>
      <w:r w:rsidR="00455B33">
        <w:rPr>
          <w:rFonts w:ascii="Arial" w:hAnsi="Arial" w:cs="Arial"/>
          <w:sz w:val="24"/>
          <w:szCs w:val="24"/>
        </w:rPr>
        <w:t xml:space="preserve">argues that the patent error or ambiguity lies in the </w:t>
      </w:r>
      <w:r w:rsidR="00455B33" w:rsidRPr="00455B33">
        <w:rPr>
          <w:rFonts w:ascii="Arial" w:hAnsi="Arial" w:cs="Arial"/>
          <w:sz w:val="24"/>
          <w:szCs w:val="24"/>
          <w:u w:val="single"/>
        </w:rPr>
        <w:t>reason</w:t>
      </w:r>
      <w:r w:rsidR="00455B33">
        <w:rPr>
          <w:rFonts w:ascii="Arial" w:hAnsi="Arial" w:cs="Arial"/>
          <w:sz w:val="24"/>
          <w:szCs w:val="24"/>
        </w:rPr>
        <w:t xml:space="preserve"> for the rescission of both claims and not the </w:t>
      </w:r>
      <w:r w:rsidR="00455B33">
        <w:rPr>
          <w:rFonts w:ascii="Arial" w:hAnsi="Arial" w:cs="Arial"/>
          <w:sz w:val="24"/>
          <w:szCs w:val="24"/>
        </w:rPr>
        <w:lastRenderedPageBreak/>
        <w:t xml:space="preserve">rescission of both claims for </w:t>
      </w:r>
      <w:r w:rsidR="00455B33">
        <w:rPr>
          <w:rFonts w:ascii="Arial" w:hAnsi="Arial" w:cs="Arial"/>
          <w:sz w:val="24"/>
          <w:szCs w:val="24"/>
          <w:u w:val="single"/>
        </w:rPr>
        <w:t>whatever reason</w:t>
      </w:r>
      <w:r w:rsidR="00455B33">
        <w:rPr>
          <w:rFonts w:ascii="Arial" w:hAnsi="Arial" w:cs="Arial"/>
          <w:sz w:val="24"/>
          <w:szCs w:val="24"/>
        </w:rPr>
        <w:t xml:space="preserve">. </w:t>
      </w:r>
      <w:r w:rsidR="002A6FD1">
        <w:rPr>
          <w:rFonts w:ascii="Arial" w:hAnsi="Arial" w:cs="Arial"/>
          <w:sz w:val="24"/>
          <w:szCs w:val="24"/>
        </w:rPr>
        <w:t xml:space="preserve">Counsel for the plaintiffs however denies that an ambiguity exists with regard to the rescission of claim 1. </w:t>
      </w:r>
      <w:r w:rsidR="0027643B">
        <w:rPr>
          <w:rFonts w:ascii="Arial" w:hAnsi="Arial" w:cs="Arial"/>
          <w:sz w:val="24"/>
          <w:szCs w:val="24"/>
        </w:rPr>
        <w:t>She</w:t>
      </w:r>
      <w:r w:rsidR="002A6FD1">
        <w:rPr>
          <w:rFonts w:ascii="Arial" w:hAnsi="Arial" w:cs="Arial"/>
          <w:sz w:val="24"/>
          <w:szCs w:val="24"/>
        </w:rPr>
        <w:t xml:space="preserve"> maintains that such is nothing but a patent error as admitted by the first defendant albeit his attempt to reclassify such patent error as an ambiguity.  </w:t>
      </w:r>
    </w:p>
    <w:p w:rsidR="00486C06" w:rsidRDefault="00486C06" w:rsidP="007E45F7">
      <w:pPr>
        <w:spacing w:after="0" w:line="360" w:lineRule="auto"/>
        <w:jc w:val="both"/>
        <w:rPr>
          <w:rFonts w:ascii="Arial" w:hAnsi="Arial" w:cs="Arial"/>
          <w:sz w:val="24"/>
          <w:szCs w:val="24"/>
        </w:rPr>
      </w:pPr>
    </w:p>
    <w:p w:rsidR="005214A3" w:rsidRDefault="00486C06" w:rsidP="007E45F7">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7643B">
        <w:rPr>
          <w:rFonts w:ascii="Arial" w:hAnsi="Arial" w:cs="Arial"/>
          <w:sz w:val="24"/>
          <w:szCs w:val="24"/>
        </w:rPr>
        <w:t>F</w:t>
      </w:r>
      <w:r w:rsidR="0049585E">
        <w:rPr>
          <w:rFonts w:ascii="Arial" w:hAnsi="Arial" w:cs="Arial"/>
          <w:sz w:val="24"/>
          <w:szCs w:val="24"/>
        </w:rPr>
        <w:t>irst defendant</w:t>
      </w:r>
      <w:r w:rsidR="004F4A2F">
        <w:rPr>
          <w:rFonts w:ascii="Arial" w:hAnsi="Arial" w:cs="Arial"/>
          <w:sz w:val="24"/>
          <w:szCs w:val="24"/>
        </w:rPr>
        <w:t xml:space="preserve"> submits that the suitable remedy available lies in the principles </w:t>
      </w:r>
      <w:r w:rsidR="00CD3107">
        <w:rPr>
          <w:rFonts w:ascii="Arial" w:hAnsi="Arial" w:cs="Arial"/>
          <w:sz w:val="24"/>
          <w:szCs w:val="24"/>
        </w:rPr>
        <w:t xml:space="preserve">of common law </w:t>
      </w:r>
      <w:r w:rsidR="004F4A2F">
        <w:rPr>
          <w:rFonts w:ascii="Arial" w:hAnsi="Arial" w:cs="Arial"/>
          <w:sz w:val="24"/>
          <w:szCs w:val="24"/>
        </w:rPr>
        <w:t xml:space="preserve">relating to clarification </w:t>
      </w:r>
      <w:r w:rsidR="00CD3107">
        <w:rPr>
          <w:rFonts w:ascii="Arial" w:hAnsi="Arial" w:cs="Arial"/>
          <w:sz w:val="24"/>
          <w:szCs w:val="24"/>
        </w:rPr>
        <w:t>and interpretation of judgments</w:t>
      </w:r>
      <w:r w:rsidR="00FF1366">
        <w:rPr>
          <w:rFonts w:ascii="Arial" w:hAnsi="Arial" w:cs="Arial"/>
          <w:sz w:val="24"/>
          <w:szCs w:val="24"/>
        </w:rPr>
        <w:t xml:space="preserve"> as the intention of the judgment remains unequivocal</w:t>
      </w:r>
      <w:r w:rsidR="00E45AA5" w:rsidRPr="00E45AA5">
        <w:rPr>
          <w:rFonts w:ascii="Arial" w:hAnsi="Arial" w:cs="Arial"/>
          <w:sz w:val="24"/>
          <w:szCs w:val="24"/>
        </w:rPr>
        <w:t xml:space="preserve">. </w:t>
      </w:r>
      <w:r w:rsidR="005214A3">
        <w:rPr>
          <w:rFonts w:ascii="Arial" w:hAnsi="Arial" w:cs="Arial"/>
          <w:sz w:val="24"/>
          <w:szCs w:val="24"/>
        </w:rPr>
        <w:t xml:space="preserve">Counsel referred to the case of </w:t>
      </w:r>
      <w:r w:rsidR="005214A3" w:rsidRPr="005214A3">
        <w:rPr>
          <w:rFonts w:ascii="Arial" w:hAnsi="Arial" w:cs="Arial"/>
          <w:i/>
          <w:sz w:val="24"/>
          <w:szCs w:val="24"/>
        </w:rPr>
        <w:t>L v L</w:t>
      </w:r>
      <w:r w:rsidR="005214A3">
        <w:rPr>
          <w:rStyle w:val="FootnoteReference"/>
          <w:rFonts w:ascii="Arial" w:hAnsi="Arial" w:cs="Arial"/>
          <w:sz w:val="24"/>
          <w:szCs w:val="24"/>
        </w:rPr>
        <w:footnoteReference w:id="6"/>
      </w:r>
      <w:r w:rsidR="005214A3">
        <w:rPr>
          <w:rFonts w:ascii="Arial" w:hAnsi="Arial" w:cs="Arial"/>
          <w:sz w:val="24"/>
          <w:szCs w:val="24"/>
        </w:rPr>
        <w:t xml:space="preserve"> wherein it was stated that the</w:t>
      </w:r>
      <w:r w:rsidR="00B35B03">
        <w:rPr>
          <w:rFonts w:ascii="Arial" w:hAnsi="Arial" w:cs="Arial"/>
          <w:sz w:val="24"/>
          <w:szCs w:val="24"/>
        </w:rPr>
        <w:t xml:space="preserve"> general rule is that</w:t>
      </w:r>
      <w:r w:rsidR="005214A3">
        <w:rPr>
          <w:rFonts w:ascii="Arial" w:hAnsi="Arial" w:cs="Arial"/>
          <w:sz w:val="24"/>
          <w:szCs w:val="24"/>
        </w:rPr>
        <w:t xml:space="preserve"> Courts do not necessarily amend their final orders unless certain identified exceptions under common law and statue exist. The common law exception</w:t>
      </w:r>
      <w:r w:rsidR="00B35B03">
        <w:rPr>
          <w:rFonts w:ascii="Arial" w:hAnsi="Arial" w:cs="Arial"/>
          <w:sz w:val="24"/>
          <w:szCs w:val="24"/>
        </w:rPr>
        <w:t>s, which are not inclusive and may be extended depending on the circumstances of the particular case,</w:t>
      </w:r>
      <w:r w:rsidR="005214A3">
        <w:rPr>
          <w:rFonts w:ascii="Arial" w:hAnsi="Arial" w:cs="Arial"/>
          <w:sz w:val="24"/>
          <w:szCs w:val="24"/>
        </w:rPr>
        <w:t xml:space="preserve"> are either </w:t>
      </w:r>
      <w:r w:rsidR="00B35B03">
        <w:rPr>
          <w:rFonts w:ascii="Arial" w:hAnsi="Arial" w:cs="Arial"/>
          <w:sz w:val="24"/>
          <w:szCs w:val="24"/>
        </w:rPr>
        <w:t>supplementing of a judgment or clarification of a</w:t>
      </w:r>
      <w:r w:rsidR="005214A3">
        <w:rPr>
          <w:rFonts w:ascii="Arial" w:hAnsi="Arial" w:cs="Arial"/>
          <w:sz w:val="24"/>
          <w:szCs w:val="24"/>
        </w:rPr>
        <w:t xml:space="preserve"> judgment.  </w:t>
      </w:r>
    </w:p>
    <w:p w:rsidR="00FF0015" w:rsidRDefault="00FF0015" w:rsidP="007E45F7">
      <w:pPr>
        <w:spacing w:after="0" w:line="360" w:lineRule="auto"/>
        <w:jc w:val="both"/>
        <w:rPr>
          <w:rFonts w:ascii="Arial" w:hAnsi="Arial" w:cs="Arial"/>
          <w:sz w:val="24"/>
          <w:szCs w:val="24"/>
        </w:rPr>
      </w:pPr>
    </w:p>
    <w:p w:rsidR="00E45AA5" w:rsidRPr="00E45AA5" w:rsidRDefault="00FF0015" w:rsidP="007E45F7">
      <w:pPr>
        <w:spacing w:after="0" w:line="360" w:lineRule="auto"/>
        <w:jc w:val="both"/>
        <w:rPr>
          <w:rFonts w:ascii="Arial" w:hAnsi="Arial" w:cs="Arial"/>
          <w:sz w:val="24"/>
          <w:szCs w:val="24"/>
        </w:rPr>
      </w:pPr>
      <w:r>
        <w:rPr>
          <w:rFonts w:ascii="Arial" w:hAnsi="Arial" w:cs="Arial"/>
          <w:sz w:val="24"/>
          <w:szCs w:val="24"/>
        </w:rPr>
        <w:t>[</w:t>
      </w:r>
      <w:r w:rsidR="009B7449">
        <w:rPr>
          <w:rFonts w:ascii="Arial" w:hAnsi="Arial" w:cs="Arial"/>
          <w:sz w:val="24"/>
          <w:szCs w:val="24"/>
        </w:rPr>
        <w:t>16</w:t>
      </w:r>
      <w:r>
        <w:rPr>
          <w:rFonts w:ascii="Arial" w:hAnsi="Arial" w:cs="Arial"/>
          <w:sz w:val="24"/>
          <w:szCs w:val="24"/>
        </w:rPr>
        <w:t>]</w:t>
      </w:r>
      <w:r>
        <w:rPr>
          <w:rFonts w:ascii="Arial" w:hAnsi="Arial" w:cs="Arial"/>
          <w:sz w:val="24"/>
          <w:szCs w:val="24"/>
        </w:rPr>
        <w:tab/>
      </w:r>
      <w:r w:rsidR="009748A6">
        <w:rPr>
          <w:rFonts w:ascii="Arial" w:hAnsi="Arial" w:cs="Arial"/>
          <w:sz w:val="24"/>
          <w:szCs w:val="24"/>
        </w:rPr>
        <w:t>Counsel on behalf of the plaintiffs</w:t>
      </w:r>
      <w:r w:rsidR="002A6FD1">
        <w:rPr>
          <w:rFonts w:ascii="Arial" w:hAnsi="Arial" w:cs="Arial"/>
          <w:sz w:val="24"/>
          <w:szCs w:val="24"/>
        </w:rPr>
        <w:t xml:space="preserve"> however</w:t>
      </w:r>
      <w:r w:rsidR="00126488">
        <w:rPr>
          <w:rFonts w:ascii="Arial" w:hAnsi="Arial" w:cs="Arial"/>
          <w:sz w:val="24"/>
          <w:szCs w:val="24"/>
        </w:rPr>
        <w:t xml:space="preserve"> argue</w:t>
      </w:r>
      <w:r w:rsidR="009748A6">
        <w:rPr>
          <w:rFonts w:ascii="Arial" w:hAnsi="Arial" w:cs="Arial"/>
          <w:sz w:val="24"/>
          <w:szCs w:val="24"/>
        </w:rPr>
        <w:t xml:space="preserve"> that the fact that the first defendant admitted that this application is brought on account of a patent error, the application should be granted, and that based on the admitted patent error the remedy of </w:t>
      </w:r>
      <w:r w:rsidR="00626269">
        <w:rPr>
          <w:rFonts w:ascii="Arial" w:hAnsi="Arial" w:cs="Arial"/>
          <w:sz w:val="24"/>
          <w:szCs w:val="24"/>
        </w:rPr>
        <w:t>clarification and</w:t>
      </w:r>
      <w:r w:rsidR="009748A6">
        <w:rPr>
          <w:rFonts w:ascii="Arial" w:hAnsi="Arial" w:cs="Arial"/>
          <w:sz w:val="24"/>
          <w:szCs w:val="24"/>
        </w:rPr>
        <w:t xml:space="preserve"> or interpretation of the judgment is not applicable nor appropriate in resp</w:t>
      </w:r>
      <w:r w:rsidR="00C63AE7">
        <w:rPr>
          <w:rFonts w:ascii="Arial" w:hAnsi="Arial" w:cs="Arial"/>
          <w:sz w:val="24"/>
          <w:szCs w:val="24"/>
        </w:rPr>
        <w:t>ect of the said admitted error</w:t>
      </w:r>
      <w:r w:rsidR="00AA537C">
        <w:rPr>
          <w:rFonts w:ascii="Arial" w:hAnsi="Arial" w:cs="Arial"/>
          <w:sz w:val="24"/>
          <w:szCs w:val="24"/>
        </w:rPr>
        <w:t>. Counsel also argued that the said remedy is also not applicable as there is no application or counter application brought by the first defendant in this regard.</w:t>
      </w:r>
    </w:p>
    <w:p w:rsidR="00E45AA5" w:rsidRPr="00E45AA5" w:rsidRDefault="00E45AA5" w:rsidP="007E45F7">
      <w:pPr>
        <w:spacing w:after="0" w:line="360" w:lineRule="auto"/>
        <w:jc w:val="both"/>
        <w:rPr>
          <w:rFonts w:ascii="Arial" w:hAnsi="Arial" w:cs="Arial"/>
          <w:sz w:val="24"/>
          <w:szCs w:val="24"/>
          <w:u w:val="single"/>
          <w:lang w:val="af-ZA"/>
        </w:rPr>
      </w:pPr>
    </w:p>
    <w:p w:rsidR="00E45AA5" w:rsidRDefault="005D1484" w:rsidP="007E45F7">
      <w:pPr>
        <w:spacing w:after="0" w:line="360" w:lineRule="auto"/>
        <w:jc w:val="both"/>
        <w:rPr>
          <w:rFonts w:ascii="Arial" w:hAnsi="Arial" w:cs="Arial"/>
          <w:i/>
          <w:sz w:val="24"/>
          <w:szCs w:val="24"/>
          <w:lang w:val="af-ZA"/>
        </w:rPr>
      </w:pPr>
      <w:r w:rsidRPr="008B1FE8">
        <w:rPr>
          <w:rFonts w:ascii="Arial" w:hAnsi="Arial" w:cs="Arial"/>
          <w:i/>
          <w:sz w:val="24"/>
          <w:szCs w:val="24"/>
          <w:lang w:val="af-ZA"/>
        </w:rPr>
        <w:t>L</w:t>
      </w:r>
      <w:r w:rsidR="005B5F4B" w:rsidRPr="008B1FE8">
        <w:rPr>
          <w:rFonts w:ascii="Arial" w:hAnsi="Arial" w:cs="Arial"/>
          <w:i/>
          <w:sz w:val="24"/>
          <w:szCs w:val="24"/>
          <w:lang w:val="af-ZA"/>
        </w:rPr>
        <w:t xml:space="preserve">egal principles </w:t>
      </w:r>
      <w:r w:rsidR="009B7449" w:rsidRPr="008B1FE8">
        <w:rPr>
          <w:rFonts w:ascii="Arial" w:hAnsi="Arial" w:cs="Arial"/>
          <w:i/>
          <w:sz w:val="24"/>
          <w:szCs w:val="24"/>
          <w:lang w:val="af-ZA"/>
        </w:rPr>
        <w:t>and application of the law to the facts</w:t>
      </w:r>
    </w:p>
    <w:p w:rsidR="0049585E" w:rsidRPr="008B1FE8" w:rsidRDefault="0049585E" w:rsidP="007E45F7">
      <w:pPr>
        <w:spacing w:after="0" w:line="360" w:lineRule="auto"/>
        <w:jc w:val="both"/>
        <w:rPr>
          <w:rFonts w:ascii="Arial" w:hAnsi="Arial" w:cs="Arial"/>
          <w:i/>
          <w:sz w:val="24"/>
          <w:szCs w:val="24"/>
          <w:lang w:val="af-ZA"/>
        </w:rPr>
      </w:pPr>
    </w:p>
    <w:p w:rsidR="00E45AA5" w:rsidRPr="0049585E" w:rsidRDefault="00810625" w:rsidP="00F15816">
      <w:pPr>
        <w:spacing w:after="0" w:line="360" w:lineRule="auto"/>
        <w:jc w:val="both"/>
        <w:rPr>
          <w:rFonts w:ascii="Arial" w:hAnsi="Arial" w:cs="Arial"/>
          <w:i/>
          <w:sz w:val="24"/>
          <w:szCs w:val="24"/>
          <w:u w:val="single"/>
          <w:lang w:val="af-ZA"/>
        </w:rPr>
      </w:pPr>
      <w:r w:rsidRPr="0049585E">
        <w:rPr>
          <w:rFonts w:ascii="Arial" w:hAnsi="Arial" w:cs="Arial"/>
          <w:i/>
          <w:sz w:val="24"/>
          <w:szCs w:val="24"/>
          <w:u w:val="single"/>
          <w:lang w:val="af-ZA"/>
        </w:rPr>
        <w:t>Rule 103(1)(c)</w:t>
      </w:r>
    </w:p>
    <w:p w:rsidR="0049585E" w:rsidRPr="0049585E" w:rsidRDefault="0049585E" w:rsidP="00F15816">
      <w:pPr>
        <w:spacing w:after="0" w:line="360" w:lineRule="auto"/>
        <w:jc w:val="both"/>
        <w:rPr>
          <w:rFonts w:ascii="Arial" w:hAnsi="Arial" w:cs="Arial"/>
          <w:sz w:val="24"/>
          <w:szCs w:val="24"/>
          <w:lang w:val="af-ZA"/>
        </w:rPr>
      </w:pPr>
    </w:p>
    <w:p w:rsidR="006B4A38" w:rsidRDefault="00E84874" w:rsidP="00F15816">
      <w:pPr>
        <w:spacing w:after="0" w:line="360" w:lineRule="auto"/>
        <w:jc w:val="both"/>
        <w:rPr>
          <w:rFonts w:ascii="Arial" w:hAnsi="Arial" w:cs="Arial"/>
          <w:sz w:val="24"/>
          <w:szCs w:val="24"/>
          <w:lang w:val="af-ZA"/>
        </w:rPr>
      </w:pPr>
      <w:r w:rsidRPr="00E84874">
        <w:rPr>
          <w:rFonts w:ascii="Arial" w:hAnsi="Arial" w:cs="Arial"/>
          <w:sz w:val="24"/>
          <w:szCs w:val="24"/>
          <w:lang w:val="af-ZA"/>
        </w:rPr>
        <w:t>[</w:t>
      </w:r>
      <w:r w:rsidR="00167247">
        <w:rPr>
          <w:rFonts w:ascii="Arial" w:hAnsi="Arial" w:cs="Arial"/>
          <w:sz w:val="24"/>
          <w:szCs w:val="24"/>
          <w:lang w:val="af-ZA"/>
        </w:rPr>
        <w:t>17</w:t>
      </w:r>
      <w:r w:rsidRPr="00E84874">
        <w:rPr>
          <w:rFonts w:ascii="Arial" w:hAnsi="Arial" w:cs="Arial"/>
          <w:sz w:val="24"/>
          <w:szCs w:val="24"/>
          <w:lang w:val="af-ZA"/>
        </w:rPr>
        <w:t>]</w:t>
      </w:r>
      <w:r w:rsidRPr="00E84874">
        <w:rPr>
          <w:rFonts w:ascii="Arial" w:hAnsi="Arial" w:cs="Arial"/>
          <w:sz w:val="24"/>
          <w:szCs w:val="24"/>
          <w:lang w:val="af-ZA"/>
        </w:rPr>
        <w:tab/>
      </w:r>
      <w:r w:rsidR="006B4A38">
        <w:rPr>
          <w:rFonts w:ascii="Arial" w:hAnsi="Arial" w:cs="Arial"/>
          <w:sz w:val="24"/>
          <w:szCs w:val="24"/>
          <w:lang w:val="af-ZA"/>
        </w:rPr>
        <w:t>Interestingly the counself for the plaintiff</w:t>
      </w:r>
      <w:r w:rsidR="00167247">
        <w:rPr>
          <w:rFonts w:ascii="Arial" w:hAnsi="Arial" w:cs="Arial"/>
          <w:sz w:val="24"/>
          <w:szCs w:val="24"/>
          <w:lang w:val="af-ZA"/>
        </w:rPr>
        <w:t>s argue</w:t>
      </w:r>
      <w:r w:rsidR="006B4A38">
        <w:rPr>
          <w:rFonts w:ascii="Arial" w:hAnsi="Arial" w:cs="Arial"/>
          <w:sz w:val="24"/>
          <w:szCs w:val="24"/>
          <w:lang w:val="af-ZA"/>
        </w:rPr>
        <w:t xml:space="preserve"> that the mere fact that the parties are in agreement that there is an ommission or ambiguity in the reasons advanced by this court for her order</w:t>
      </w:r>
      <w:r w:rsidR="00735102">
        <w:rPr>
          <w:rFonts w:ascii="Arial" w:hAnsi="Arial" w:cs="Arial"/>
          <w:sz w:val="24"/>
          <w:szCs w:val="24"/>
          <w:lang w:val="af-ZA"/>
        </w:rPr>
        <w:t xml:space="preserve"> </w:t>
      </w:r>
      <w:r w:rsidR="00167247">
        <w:rPr>
          <w:rFonts w:ascii="Arial" w:hAnsi="Arial" w:cs="Arial"/>
          <w:sz w:val="24"/>
          <w:szCs w:val="24"/>
          <w:lang w:val="af-ZA"/>
        </w:rPr>
        <w:t>, it</w:t>
      </w:r>
      <w:r w:rsidR="006B4A38">
        <w:rPr>
          <w:rFonts w:ascii="Arial" w:hAnsi="Arial" w:cs="Arial"/>
          <w:sz w:val="24"/>
          <w:szCs w:val="24"/>
          <w:lang w:val="af-ZA"/>
        </w:rPr>
        <w:t xml:space="preserve">would </w:t>
      </w:r>
      <w:r w:rsidR="00735102">
        <w:rPr>
          <w:rFonts w:ascii="Arial" w:hAnsi="Arial" w:cs="Arial"/>
          <w:sz w:val="24"/>
          <w:szCs w:val="24"/>
          <w:lang w:val="af-ZA"/>
        </w:rPr>
        <w:t xml:space="preserve">be sufficient to </w:t>
      </w:r>
      <w:r w:rsidR="006B4A38">
        <w:rPr>
          <w:rFonts w:ascii="Arial" w:hAnsi="Arial" w:cs="Arial"/>
          <w:sz w:val="24"/>
          <w:szCs w:val="24"/>
          <w:lang w:val="af-ZA"/>
        </w:rPr>
        <w:t>entitle the plaintiff</w:t>
      </w:r>
      <w:r w:rsidR="00167247">
        <w:rPr>
          <w:rFonts w:ascii="Arial" w:hAnsi="Arial" w:cs="Arial"/>
          <w:sz w:val="24"/>
          <w:szCs w:val="24"/>
          <w:lang w:val="af-ZA"/>
        </w:rPr>
        <w:t>s</w:t>
      </w:r>
      <w:r w:rsidR="006B4A38">
        <w:rPr>
          <w:rFonts w:ascii="Arial" w:hAnsi="Arial" w:cs="Arial"/>
          <w:sz w:val="24"/>
          <w:szCs w:val="24"/>
          <w:lang w:val="af-ZA"/>
        </w:rPr>
        <w:t xml:space="preserve"> </w:t>
      </w:r>
      <w:r w:rsidR="00735102">
        <w:rPr>
          <w:rFonts w:ascii="Arial" w:hAnsi="Arial" w:cs="Arial"/>
          <w:sz w:val="24"/>
          <w:szCs w:val="24"/>
          <w:lang w:val="af-ZA"/>
        </w:rPr>
        <w:t xml:space="preserve">to </w:t>
      </w:r>
      <w:r w:rsidR="006B4A38">
        <w:rPr>
          <w:rFonts w:ascii="Arial" w:hAnsi="Arial" w:cs="Arial"/>
          <w:sz w:val="24"/>
          <w:szCs w:val="24"/>
          <w:lang w:val="af-ZA"/>
        </w:rPr>
        <w:t xml:space="preserve">the variation sought in </w:t>
      </w:r>
      <w:r w:rsidR="00167247">
        <w:rPr>
          <w:rFonts w:ascii="Arial" w:hAnsi="Arial" w:cs="Arial"/>
          <w:sz w:val="24"/>
          <w:szCs w:val="24"/>
          <w:lang w:val="af-ZA"/>
        </w:rPr>
        <w:t>t</w:t>
      </w:r>
      <w:r w:rsidR="006B4A38">
        <w:rPr>
          <w:rFonts w:ascii="Arial" w:hAnsi="Arial" w:cs="Arial"/>
          <w:sz w:val="24"/>
          <w:szCs w:val="24"/>
          <w:lang w:val="af-ZA"/>
        </w:rPr>
        <w:t>he</w:t>
      </w:r>
      <w:r w:rsidR="00167247">
        <w:rPr>
          <w:rFonts w:ascii="Arial" w:hAnsi="Arial" w:cs="Arial"/>
          <w:sz w:val="24"/>
          <w:szCs w:val="24"/>
          <w:lang w:val="af-ZA"/>
        </w:rPr>
        <w:t>i</w:t>
      </w:r>
      <w:r w:rsidR="006B4A38">
        <w:rPr>
          <w:rFonts w:ascii="Arial" w:hAnsi="Arial" w:cs="Arial"/>
          <w:sz w:val="24"/>
          <w:szCs w:val="24"/>
          <w:lang w:val="af-ZA"/>
        </w:rPr>
        <w:t xml:space="preserve">r papers. </w:t>
      </w:r>
    </w:p>
    <w:p w:rsidR="006B4A38" w:rsidRDefault="006B4A38" w:rsidP="00F15816">
      <w:pPr>
        <w:spacing w:after="0" w:line="360" w:lineRule="auto"/>
        <w:jc w:val="both"/>
        <w:rPr>
          <w:rFonts w:ascii="Arial" w:hAnsi="Arial" w:cs="Arial"/>
          <w:sz w:val="24"/>
          <w:szCs w:val="24"/>
          <w:lang w:val="af-ZA"/>
        </w:rPr>
      </w:pPr>
    </w:p>
    <w:p w:rsidR="00FD6A9B" w:rsidRDefault="006B4A38" w:rsidP="00F15816">
      <w:pPr>
        <w:spacing w:after="0" w:line="360" w:lineRule="auto"/>
        <w:jc w:val="both"/>
        <w:rPr>
          <w:rFonts w:ascii="Arial" w:hAnsi="Arial" w:cs="Arial"/>
          <w:sz w:val="24"/>
          <w:szCs w:val="24"/>
          <w:lang w:val="af-ZA"/>
        </w:rPr>
      </w:pPr>
      <w:r>
        <w:rPr>
          <w:rFonts w:ascii="Arial" w:hAnsi="Arial" w:cs="Arial"/>
          <w:sz w:val="24"/>
          <w:szCs w:val="24"/>
          <w:lang w:val="af-ZA"/>
        </w:rPr>
        <w:t>[</w:t>
      </w:r>
      <w:r w:rsidR="00167247">
        <w:rPr>
          <w:rFonts w:ascii="Arial" w:hAnsi="Arial" w:cs="Arial"/>
          <w:sz w:val="24"/>
          <w:szCs w:val="24"/>
          <w:lang w:val="af-ZA"/>
        </w:rPr>
        <w:t>18</w:t>
      </w:r>
      <w:r>
        <w:rPr>
          <w:rFonts w:ascii="Arial" w:hAnsi="Arial" w:cs="Arial"/>
          <w:sz w:val="24"/>
          <w:szCs w:val="24"/>
          <w:lang w:val="af-ZA"/>
        </w:rPr>
        <w:t>]</w:t>
      </w:r>
      <w:r>
        <w:rPr>
          <w:rFonts w:ascii="Arial" w:hAnsi="Arial" w:cs="Arial"/>
          <w:sz w:val="24"/>
          <w:szCs w:val="24"/>
          <w:lang w:val="af-ZA"/>
        </w:rPr>
        <w:tab/>
      </w:r>
      <w:r w:rsidR="00776EE3">
        <w:rPr>
          <w:rFonts w:ascii="Arial" w:hAnsi="Arial" w:cs="Arial"/>
          <w:sz w:val="24"/>
          <w:szCs w:val="24"/>
          <w:lang w:val="af-ZA"/>
        </w:rPr>
        <w:t>This cannot be so as o</w:t>
      </w:r>
      <w:r w:rsidR="00F15816">
        <w:rPr>
          <w:rFonts w:ascii="Arial" w:hAnsi="Arial" w:cs="Arial"/>
          <w:sz w:val="24"/>
          <w:szCs w:val="24"/>
          <w:lang w:val="af-ZA"/>
        </w:rPr>
        <w:t xml:space="preserve">ne </w:t>
      </w:r>
      <w:r w:rsidR="00735102">
        <w:rPr>
          <w:rFonts w:ascii="Arial" w:hAnsi="Arial" w:cs="Arial"/>
          <w:sz w:val="24"/>
          <w:szCs w:val="24"/>
          <w:lang w:val="af-ZA"/>
        </w:rPr>
        <w:t>must</w:t>
      </w:r>
      <w:r w:rsidR="00F15816">
        <w:rPr>
          <w:rFonts w:ascii="Arial" w:hAnsi="Arial" w:cs="Arial"/>
          <w:sz w:val="24"/>
          <w:szCs w:val="24"/>
          <w:lang w:val="af-ZA"/>
        </w:rPr>
        <w:t xml:space="preserve"> keep in mind</w:t>
      </w:r>
      <w:r>
        <w:rPr>
          <w:rFonts w:ascii="Arial" w:hAnsi="Arial" w:cs="Arial"/>
          <w:sz w:val="24"/>
          <w:szCs w:val="24"/>
          <w:lang w:val="af-ZA"/>
        </w:rPr>
        <w:t xml:space="preserve"> that</w:t>
      </w:r>
      <w:r w:rsidR="00F15816">
        <w:rPr>
          <w:rFonts w:ascii="Arial" w:hAnsi="Arial" w:cs="Arial"/>
          <w:sz w:val="24"/>
          <w:szCs w:val="24"/>
          <w:lang w:val="af-ZA"/>
        </w:rPr>
        <w:t xml:space="preserve"> the </w:t>
      </w:r>
      <w:r w:rsidR="00735102">
        <w:rPr>
          <w:rFonts w:ascii="Arial" w:hAnsi="Arial" w:cs="Arial"/>
          <w:sz w:val="24"/>
          <w:szCs w:val="24"/>
          <w:lang w:val="af-ZA"/>
        </w:rPr>
        <w:t>guiding principle is that</w:t>
      </w:r>
      <w:r w:rsidR="00F15816">
        <w:rPr>
          <w:rFonts w:ascii="Arial" w:hAnsi="Arial" w:cs="Arial"/>
          <w:sz w:val="24"/>
          <w:szCs w:val="24"/>
          <w:lang w:val="af-ZA"/>
        </w:rPr>
        <w:t xml:space="preserve"> once a court pronounces itself in a judgment or order, it is </w:t>
      </w:r>
      <w:r w:rsidR="00F15816" w:rsidRPr="00FD6A9B">
        <w:rPr>
          <w:rFonts w:ascii="Arial" w:hAnsi="Arial" w:cs="Arial"/>
          <w:i/>
          <w:sz w:val="24"/>
          <w:szCs w:val="24"/>
          <w:lang w:val="af-ZA"/>
        </w:rPr>
        <w:t>functus officio</w:t>
      </w:r>
      <w:r>
        <w:rPr>
          <w:rFonts w:ascii="Arial" w:hAnsi="Arial" w:cs="Arial"/>
          <w:sz w:val="24"/>
          <w:szCs w:val="24"/>
          <w:lang w:val="af-ZA"/>
        </w:rPr>
        <w:t xml:space="preserve"> and</w:t>
      </w:r>
      <w:r w:rsidR="00735102">
        <w:rPr>
          <w:rFonts w:ascii="Arial" w:hAnsi="Arial" w:cs="Arial"/>
          <w:sz w:val="24"/>
          <w:szCs w:val="24"/>
          <w:lang w:val="af-ZA"/>
        </w:rPr>
        <w:t xml:space="preserve"> the court may not ordinarily vary or rescind its own judgment. There are however exceptions to this general principle and </w:t>
      </w:r>
      <w:r w:rsidR="00167247">
        <w:rPr>
          <w:rFonts w:ascii="Arial" w:hAnsi="Arial" w:cs="Arial"/>
          <w:sz w:val="24"/>
          <w:szCs w:val="24"/>
          <w:lang w:val="af-ZA"/>
        </w:rPr>
        <w:t xml:space="preserve">rule 103 is in place to </w:t>
      </w:r>
      <w:r w:rsidR="00735102">
        <w:rPr>
          <w:rFonts w:ascii="Arial" w:hAnsi="Arial" w:cs="Arial"/>
          <w:sz w:val="24"/>
          <w:szCs w:val="24"/>
          <w:lang w:val="af-ZA"/>
        </w:rPr>
        <w:t>allow a</w:t>
      </w:r>
      <w:r w:rsidR="00DE6398">
        <w:rPr>
          <w:rFonts w:ascii="Arial" w:hAnsi="Arial" w:cs="Arial"/>
          <w:sz w:val="24"/>
          <w:szCs w:val="24"/>
          <w:lang w:val="af-ZA"/>
        </w:rPr>
        <w:t xml:space="preserve"> judge the d</w:t>
      </w:r>
      <w:r w:rsidR="00167247">
        <w:rPr>
          <w:rFonts w:ascii="Arial" w:hAnsi="Arial" w:cs="Arial"/>
          <w:sz w:val="24"/>
          <w:szCs w:val="24"/>
          <w:lang w:val="af-ZA"/>
        </w:rPr>
        <w:t>iscretion to vary or rescind an</w:t>
      </w:r>
      <w:r w:rsidR="00DE6398">
        <w:rPr>
          <w:rFonts w:ascii="Arial" w:hAnsi="Arial" w:cs="Arial"/>
          <w:sz w:val="24"/>
          <w:szCs w:val="24"/>
          <w:lang w:val="af-ZA"/>
        </w:rPr>
        <w:t xml:space="preserve"> order but this discretion must be exercised judicially.</w:t>
      </w:r>
    </w:p>
    <w:p w:rsidR="006B4A38" w:rsidRDefault="006B4A38" w:rsidP="00F15816">
      <w:pPr>
        <w:spacing w:after="0" w:line="360" w:lineRule="auto"/>
        <w:jc w:val="both"/>
        <w:rPr>
          <w:rFonts w:ascii="Arial" w:hAnsi="Arial" w:cs="Arial"/>
          <w:sz w:val="24"/>
          <w:szCs w:val="24"/>
          <w:lang w:val="af-ZA"/>
        </w:rPr>
      </w:pPr>
    </w:p>
    <w:p w:rsidR="006B4A38" w:rsidRDefault="006B4A38" w:rsidP="006B4A38">
      <w:pPr>
        <w:spacing w:after="0" w:line="360" w:lineRule="auto"/>
        <w:jc w:val="both"/>
        <w:rPr>
          <w:rFonts w:ascii="Arial" w:hAnsi="Arial" w:cs="Arial"/>
          <w:sz w:val="24"/>
          <w:szCs w:val="24"/>
        </w:rPr>
      </w:pPr>
      <w:r>
        <w:rPr>
          <w:rFonts w:ascii="Arial" w:hAnsi="Arial" w:cs="Arial"/>
          <w:sz w:val="24"/>
          <w:szCs w:val="24"/>
          <w:lang w:val="af-ZA"/>
        </w:rPr>
        <w:t>[</w:t>
      </w:r>
      <w:r w:rsidR="00167247">
        <w:rPr>
          <w:rFonts w:ascii="Arial" w:hAnsi="Arial" w:cs="Arial"/>
          <w:sz w:val="24"/>
          <w:szCs w:val="24"/>
          <w:lang w:val="af-ZA"/>
        </w:rPr>
        <w:t>19</w:t>
      </w:r>
      <w:r>
        <w:rPr>
          <w:rFonts w:ascii="Arial" w:hAnsi="Arial" w:cs="Arial"/>
          <w:sz w:val="24"/>
          <w:szCs w:val="24"/>
          <w:lang w:val="af-ZA"/>
        </w:rPr>
        <w:t xml:space="preserve">] </w:t>
      </w:r>
      <w:r>
        <w:rPr>
          <w:rFonts w:ascii="Arial" w:hAnsi="Arial" w:cs="Arial"/>
          <w:sz w:val="24"/>
          <w:szCs w:val="24"/>
          <w:lang w:val="af-ZA"/>
        </w:rPr>
        <w:tab/>
      </w:r>
      <w:r>
        <w:rPr>
          <w:rFonts w:ascii="Arial" w:hAnsi="Arial" w:cs="Arial"/>
          <w:sz w:val="24"/>
          <w:szCs w:val="24"/>
        </w:rPr>
        <w:t>Rule 103</w:t>
      </w:r>
      <w:r w:rsidR="00DE6398">
        <w:rPr>
          <w:rFonts w:ascii="Arial" w:hAnsi="Arial" w:cs="Arial"/>
          <w:sz w:val="24"/>
          <w:szCs w:val="24"/>
        </w:rPr>
        <w:t>,</w:t>
      </w:r>
      <w:r>
        <w:rPr>
          <w:rFonts w:ascii="Arial" w:hAnsi="Arial" w:cs="Arial"/>
          <w:sz w:val="24"/>
          <w:szCs w:val="24"/>
        </w:rPr>
        <w:t xml:space="preserve"> in terms of which the application </w:t>
      </w:r>
      <w:r w:rsidR="00EC2C4A">
        <w:rPr>
          <w:rFonts w:ascii="Arial" w:hAnsi="Arial" w:cs="Arial"/>
          <w:sz w:val="24"/>
          <w:szCs w:val="24"/>
        </w:rPr>
        <w:t>before me</w:t>
      </w:r>
      <w:r>
        <w:rPr>
          <w:rFonts w:ascii="Arial" w:hAnsi="Arial" w:cs="Arial"/>
          <w:sz w:val="24"/>
          <w:szCs w:val="24"/>
        </w:rPr>
        <w:t xml:space="preserve"> was brought</w:t>
      </w:r>
      <w:r w:rsidR="00DE6398">
        <w:rPr>
          <w:rFonts w:ascii="Arial" w:hAnsi="Arial" w:cs="Arial"/>
          <w:sz w:val="24"/>
          <w:szCs w:val="24"/>
        </w:rPr>
        <w:t>,</w:t>
      </w:r>
      <w:r>
        <w:rPr>
          <w:rFonts w:ascii="Arial" w:hAnsi="Arial" w:cs="Arial"/>
          <w:sz w:val="24"/>
          <w:szCs w:val="24"/>
        </w:rPr>
        <w:t xml:space="preserve"> caters for </w:t>
      </w:r>
      <w:r w:rsidR="006A57A6">
        <w:rPr>
          <w:rFonts w:ascii="Arial" w:hAnsi="Arial" w:cs="Arial"/>
          <w:sz w:val="24"/>
          <w:szCs w:val="24"/>
        </w:rPr>
        <w:t>variation or rescission</w:t>
      </w:r>
      <w:r>
        <w:rPr>
          <w:rFonts w:ascii="Arial" w:hAnsi="Arial" w:cs="Arial"/>
          <w:sz w:val="24"/>
          <w:szCs w:val="24"/>
        </w:rPr>
        <w:t xml:space="preserve"> of a judgment or order</w:t>
      </w:r>
      <w:r w:rsidR="00667EC4">
        <w:rPr>
          <w:rFonts w:ascii="Arial" w:hAnsi="Arial" w:cs="Arial"/>
          <w:sz w:val="24"/>
          <w:szCs w:val="24"/>
        </w:rPr>
        <w:t xml:space="preserve"> but such rescission or variation  </w:t>
      </w:r>
      <w:r>
        <w:rPr>
          <w:rFonts w:ascii="Arial" w:hAnsi="Arial" w:cs="Arial"/>
          <w:sz w:val="24"/>
          <w:szCs w:val="24"/>
        </w:rPr>
        <w:t>does not follow automatically</w:t>
      </w:r>
      <w:r w:rsidR="00EC2C4A">
        <w:rPr>
          <w:rFonts w:ascii="Arial" w:hAnsi="Arial" w:cs="Arial"/>
          <w:sz w:val="24"/>
          <w:szCs w:val="24"/>
        </w:rPr>
        <w:t>,</w:t>
      </w:r>
      <w:r>
        <w:rPr>
          <w:rFonts w:ascii="Arial" w:hAnsi="Arial" w:cs="Arial"/>
          <w:sz w:val="24"/>
          <w:szCs w:val="24"/>
        </w:rPr>
        <w:t xml:space="preserve"> even once a mistake has been proven</w:t>
      </w:r>
      <w:r w:rsidR="00167247">
        <w:rPr>
          <w:rFonts w:ascii="Arial" w:hAnsi="Arial" w:cs="Arial"/>
          <w:sz w:val="24"/>
          <w:szCs w:val="24"/>
        </w:rPr>
        <w:t>,</w:t>
      </w:r>
      <w:r w:rsidR="00667EC4">
        <w:rPr>
          <w:rFonts w:ascii="Arial" w:hAnsi="Arial" w:cs="Arial"/>
          <w:sz w:val="24"/>
          <w:szCs w:val="24"/>
        </w:rPr>
        <w:t xml:space="preserve"> </w:t>
      </w:r>
      <w:r w:rsidR="003A3B97">
        <w:rPr>
          <w:rFonts w:ascii="Arial" w:hAnsi="Arial" w:cs="Arial"/>
          <w:sz w:val="24"/>
          <w:szCs w:val="24"/>
        </w:rPr>
        <w:t>as n</w:t>
      </w:r>
      <w:r w:rsidR="00667EC4" w:rsidRPr="00667EC4">
        <w:rPr>
          <w:rFonts w:ascii="Arial" w:hAnsi="Arial" w:cs="Arial"/>
          <w:color w:val="242121"/>
          <w:sz w:val="24"/>
          <w:szCs w:val="24"/>
          <w:shd w:val="clear" w:color="auto" w:fill="FFFFFF"/>
        </w:rPr>
        <w:t>ot every mistake or irregularity may be corrected in terms of th</w:t>
      </w:r>
      <w:r w:rsidR="006A57A6">
        <w:rPr>
          <w:rFonts w:ascii="Arial" w:hAnsi="Arial" w:cs="Arial"/>
          <w:color w:val="242121"/>
          <w:sz w:val="24"/>
          <w:szCs w:val="24"/>
          <w:shd w:val="clear" w:color="auto" w:fill="FFFFFF"/>
        </w:rPr>
        <w:t>is</w:t>
      </w:r>
      <w:r w:rsidR="00667EC4" w:rsidRPr="00667EC4">
        <w:rPr>
          <w:rFonts w:ascii="Arial" w:hAnsi="Arial" w:cs="Arial"/>
          <w:color w:val="242121"/>
          <w:sz w:val="24"/>
          <w:szCs w:val="24"/>
          <w:shd w:val="clear" w:color="auto" w:fill="FFFFFF"/>
        </w:rPr>
        <w:t xml:space="preserve"> rule.</w:t>
      </w:r>
      <w:r>
        <w:rPr>
          <w:rFonts w:ascii="Arial" w:hAnsi="Arial" w:cs="Arial"/>
          <w:sz w:val="24"/>
          <w:szCs w:val="24"/>
        </w:rPr>
        <w:t xml:space="preserve"> </w:t>
      </w:r>
    </w:p>
    <w:p w:rsidR="006B4A38" w:rsidRPr="00E45AA5" w:rsidRDefault="006B4A38" w:rsidP="006B4A38">
      <w:pPr>
        <w:spacing w:after="0" w:line="360" w:lineRule="auto"/>
        <w:jc w:val="both"/>
        <w:rPr>
          <w:rFonts w:ascii="Arial" w:hAnsi="Arial" w:cs="Arial"/>
          <w:sz w:val="24"/>
          <w:szCs w:val="24"/>
        </w:rPr>
      </w:pPr>
    </w:p>
    <w:p w:rsidR="00F15816" w:rsidRDefault="00FD6A9B" w:rsidP="00F15816">
      <w:pPr>
        <w:spacing w:after="0" w:line="360" w:lineRule="auto"/>
        <w:jc w:val="both"/>
        <w:rPr>
          <w:rFonts w:ascii="Arial" w:hAnsi="Arial" w:cs="Arial"/>
          <w:sz w:val="24"/>
          <w:szCs w:val="24"/>
          <w:lang w:val="en-US"/>
        </w:rPr>
      </w:pPr>
      <w:r w:rsidRPr="00167247">
        <w:rPr>
          <w:rFonts w:ascii="Arial" w:hAnsi="Arial" w:cs="Arial"/>
          <w:sz w:val="24"/>
          <w:szCs w:val="24"/>
          <w:lang w:val="af-ZA"/>
        </w:rPr>
        <w:t>[</w:t>
      </w:r>
      <w:r w:rsidR="00167247" w:rsidRPr="00167247">
        <w:rPr>
          <w:rFonts w:ascii="Arial" w:hAnsi="Arial" w:cs="Arial"/>
          <w:sz w:val="24"/>
          <w:szCs w:val="24"/>
          <w:lang w:val="af-ZA"/>
        </w:rPr>
        <w:t>20</w:t>
      </w:r>
      <w:r w:rsidRPr="00167247">
        <w:rPr>
          <w:rFonts w:ascii="Arial" w:hAnsi="Arial" w:cs="Arial"/>
          <w:sz w:val="24"/>
          <w:szCs w:val="24"/>
          <w:lang w:val="af-ZA"/>
        </w:rPr>
        <w:t>]</w:t>
      </w:r>
      <w:r w:rsidRPr="00167247">
        <w:rPr>
          <w:rFonts w:ascii="Arial" w:hAnsi="Arial" w:cs="Arial"/>
          <w:sz w:val="24"/>
          <w:szCs w:val="24"/>
          <w:lang w:val="af-ZA"/>
        </w:rPr>
        <w:tab/>
      </w:r>
      <w:r w:rsidR="00667EC4" w:rsidRPr="00167247">
        <w:rPr>
          <w:rFonts w:ascii="Arial" w:hAnsi="Arial" w:cs="Arial"/>
          <w:sz w:val="24"/>
          <w:szCs w:val="24"/>
          <w:lang w:val="af-ZA"/>
        </w:rPr>
        <w:t>In</w:t>
      </w:r>
      <w:r w:rsidRPr="00167247">
        <w:rPr>
          <w:rFonts w:ascii="Arial" w:hAnsi="Arial" w:cs="Arial"/>
          <w:sz w:val="24"/>
          <w:szCs w:val="24"/>
          <w:lang w:val="af-ZA"/>
        </w:rPr>
        <w:t xml:space="preserve"> </w:t>
      </w:r>
      <w:r w:rsidR="00E84874" w:rsidRPr="00167247">
        <w:rPr>
          <w:rFonts w:ascii="Arial" w:hAnsi="Arial" w:cs="Arial"/>
          <w:i/>
          <w:iCs/>
          <w:sz w:val="24"/>
          <w:szCs w:val="24"/>
          <w:lang w:val="en-US"/>
        </w:rPr>
        <w:t>Colyn v Tiger Food Industries Ltd t/a Meadow Feed Mills Cape</w:t>
      </w:r>
      <w:r w:rsidR="00E84874" w:rsidRPr="00167247">
        <w:rPr>
          <w:rStyle w:val="FootnoteReference"/>
          <w:rFonts w:ascii="Arial" w:hAnsi="Arial" w:cs="Arial"/>
          <w:i/>
          <w:iCs/>
          <w:sz w:val="24"/>
          <w:szCs w:val="24"/>
          <w:lang w:val="en-US"/>
        </w:rPr>
        <w:footnoteReference w:id="7"/>
      </w:r>
      <w:r w:rsidR="00E84874" w:rsidRPr="00167247">
        <w:rPr>
          <w:rFonts w:ascii="Arial" w:hAnsi="Arial" w:cs="Arial"/>
          <w:sz w:val="24"/>
          <w:szCs w:val="24"/>
          <w:lang w:val="en-US"/>
        </w:rPr>
        <w:t> the court</w:t>
      </w:r>
      <w:r w:rsidR="003A3B97" w:rsidRPr="00167247">
        <w:rPr>
          <w:rFonts w:ascii="Arial" w:hAnsi="Arial" w:cs="Arial"/>
          <w:sz w:val="24"/>
          <w:szCs w:val="24"/>
          <w:lang w:val="en-US"/>
        </w:rPr>
        <w:t>,</w:t>
      </w:r>
      <w:r w:rsidR="00E84874" w:rsidRPr="00167247">
        <w:rPr>
          <w:rFonts w:ascii="Arial" w:hAnsi="Arial" w:cs="Arial"/>
          <w:sz w:val="24"/>
          <w:szCs w:val="24"/>
          <w:lang w:val="en-US"/>
        </w:rPr>
        <w:t xml:space="preserve"> </w:t>
      </w:r>
      <w:r w:rsidR="008B14BD" w:rsidRPr="00167247">
        <w:rPr>
          <w:rFonts w:ascii="Arial" w:hAnsi="Arial" w:cs="Arial"/>
          <w:sz w:val="24"/>
          <w:szCs w:val="24"/>
          <w:lang w:val="en-US"/>
        </w:rPr>
        <w:t>in its discussion of t</w:t>
      </w:r>
      <w:r w:rsidR="008B14BD" w:rsidRPr="00167247">
        <w:rPr>
          <w:rFonts w:ascii="Arial" w:hAnsi="Arial" w:cs="Arial"/>
          <w:sz w:val="24"/>
          <w:szCs w:val="24"/>
          <w:shd w:val="clear" w:color="auto" w:fill="FFFFFF"/>
        </w:rPr>
        <w:t xml:space="preserve">he common law before the introduction </w:t>
      </w:r>
      <w:r w:rsidR="00167247">
        <w:rPr>
          <w:rFonts w:ascii="Arial" w:hAnsi="Arial" w:cs="Arial"/>
          <w:sz w:val="24"/>
          <w:szCs w:val="24"/>
          <w:shd w:val="clear" w:color="auto" w:fill="FFFFFF"/>
        </w:rPr>
        <w:t xml:space="preserve">of </w:t>
      </w:r>
      <w:r w:rsidR="008B14BD" w:rsidRPr="00167247">
        <w:rPr>
          <w:rFonts w:ascii="Arial" w:hAnsi="Arial" w:cs="Arial"/>
          <w:sz w:val="24"/>
          <w:szCs w:val="24"/>
          <w:shd w:val="clear" w:color="auto" w:fill="FFFFFF"/>
        </w:rPr>
        <w:t xml:space="preserve">the Uniform Rules of Court and more specifically regarding the rescission or variation </w:t>
      </w:r>
      <w:r w:rsidR="00167247">
        <w:rPr>
          <w:rFonts w:ascii="Arial" w:hAnsi="Arial" w:cs="Arial"/>
          <w:sz w:val="24"/>
          <w:szCs w:val="24"/>
          <w:shd w:val="clear" w:color="auto" w:fill="FFFFFF"/>
        </w:rPr>
        <w:t>of</w:t>
      </w:r>
      <w:r w:rsidR="008B14BD" w:rsidRPr="00167247">
        <w:rPr>
          <w:rFonts w:ascii="Arial" w:hAnsi="Arial" w:cs="Arial"/>
          <w:sz w:val="24"/>
          <w:szCs w:val="24"/>
          <w:shd w:val="clear" w:color="auto" w:fill="FFFFFF"/>
        </w:rPr>
        <w:t xml:space="preserve"> court order</w:t>
      </w:r>
      <w:r w:rsidR="00167247">
        <w:rPr>
          <w:rFonts w:ascii="Arial" w:hAnsi="Arial" w:cs="Arial"/>
          <w:sz w:val="24"/>
          <w:szCs w:val="24"/>
          <w:shd w:val="clear" w:color="auto" w:fill="FFFFFF"/>
        </w:rPr>
        <w:t>s</w:t>
      </w:r>
      <w:r w:rsidR="008B14BD" w:rsidRPr="00167247">
        <w:rPr>
          <w:rFonts w:ascii="Arial" w:hAnsi="Arial" w:cs="Arial"/>
          <w:sz w:val="24"/>
          <w:szCs w:val="24"/>
          <w:shd w:val="clear" w:color="auto" w:fill="FFFFFF"/>
        </w:rPr>
        <w:t xml:space="preserve"> erroneously sought or erroneously granted in the absence of any party affected thereby</w:t>
      </w:r>
      <w:r w:rsidR="003C099F" w:rsidRPr="00167247">
        <w:rPr>
          <w:rFonts w:ascii="Arial" w:hAnsi="Arial" w:cs="Arial"/>
          <w:sz w:val="24"/>
          <w:szCs w:val="24"/>
          <w:lang w:val="en-US"/>
        </w:rPr>
        <w:t>,</w:t>
      </w:r>
      <w:r w:rsidR="008B14BD" w:rsidRPr="00167247">
        <w:rPr>
          <w:rFonts w:ascii="Arial" w:hAnsi="Arial" w:cs="Arial"/>
          <w:sz w:val="24"/>
          <w:szCs w:val="24"/>
          <w:lang w:val="en-US"/>
        </w:rPr>
        <w:t xml:space="preserve"> </w:t>
      </w:r>
      <w:r w:rsidR="00E84874" w:rsidRPr="00167247">
        <w:rPr>
          <w:rFonts w:ascii="Arial" w:hAnsi="Arial" w:cs="Arial"/>
          <w:sz w:val="24"/>
          <w:szCs w:val="24"/>
          <w:lang w:val="en-US"/>
        </w:rPr>
        <w:t>stated</w:t>
      </w:r>
      <w:r w:rsidR="00F15816" w:rsidRPr="00167247">
        <w:rPr>
          <w:rFonts w:ascii="Arial" w:hAnsi="Arial" w:cs="Arial"/>
          <w:sz w:val="24"/>
          <w:szCs w:val="24"/>
          <w:lang w:val="en-US"/>
        </w:rPr>
        <w:t xml:space="preserve"> that</w:t>
      </w:r>
      <w:r w:rsidR="00E84874" w:rsidRPr="00167247">
        <w:rPr>
          <w:rFonts w:ascii="Arial" w:hAnsi="Arial" w:cs="Arial"/>
          <w:sz w:val="24"/>
          <w:szCs w:val="24"/>
          <w:lang w:val="en-US"/>
        </w:rPr>
        <w:t>:</w:t>
      </w:r>
    </w:p>
    <w:p w:rsidR="00167247" w:rsidRPr="00167247" w:rsidRDefault="00167247" w:rsidP="00F15816">
      <w:pPr>
        <w:spacing w:after="0" w:line="360" w:lineRule="auto"/>
        <w:jc w:val="both"/>
        <w:rPr>
          <w:rFonts w:ascii="Arial" w:hAnsi="Arial" w:cs="Arial"/>
          <w:sz w:val="24"/>
          <w:szCs w:val="24"/>
          <w:lang w:val="en-US"/>
        </w:rPr>
      </w:pPr>
    </w:p>
    <w:p w:rsidR="00E84874" w:rsidRPr="00CD3B28" w:rsidRDefault="00161BF3" w:rsidP="00F15816">
      <w:pPr>
        <w:spacing w:after="0" w:line="360" w:lineRule="auto"/>
        <w:jc w:val="both"/>
        <w:rPr>
          <w:rFonts w:ascii="Arial" w:hAnsi="Arial" w:cs="Arial"/>
          <w:lang w:val="en-US"/>
        </w:rPr>
      </w:pPr>
      <w:r>
        <w:rPr>
          <w:rFonts w:ascii="Arial" w:hAnsi="Arial" w:cs="Arial"/>
          <w:sz w:val="24"/>
          <w:szCs w:val="24"/>
          <w:lang w:val="en-US"/>
        </w:rPr>
        <w:tab/>
      </w:r>
      <w:r w:rsidRPr="00CF01CE">
        <w:rPr>
          <w:rFonts w:ascii="Arial" w:hAnsi="Arial" w:cs="Arial"/>
          <w:lang w:val="en-US"/>
        </w:rPr>
        <w:t>‘</w:t>
      </w:r>
      <w:r w:rsidR="00E84874" w:rsidRPr="00CF01CE">
        <w:rPr>
          <w:rFonts w:ascii="Arial" w:hAnsi="Arial" w:cs="Arial"/>
          <w:lang w:val="en-US"/>
        </w:rPr>
        <w:t>[</w:t>
      </w:r>
      <w:r w:rsidR="00E84874" w:rsidRPr="00CD3B28">
        <w:rPr>
          <w:rFonts w:ascii="Arial" w:hAnsi="Arial" w:cs="Arial"/>
          <w:lang w:val="en-US"/>
        </w:rPr>
        <w:t>4] As I shall try to explain in due course, the common law before the introduction of Rules to regulate the practice of superior Courts in South Africa is the proper context for the interpretation of the Rule. The guiding principle of the common-law is certainty of judgments. Once judgment is given in a matter it is final. It may not thereafter be altered by the Judge who delivered it. He becomes functus officio and may not ordinarily vary or rescind his own judgment </w:t>
      </w:r>
      <w:r w:rsidR="00E84874" w:rsidRPr="00CD3B28">
        <w:rPr>
          <w:rFonts w:ascii="Arial" w:hAnsi="Arial" w:cs="Arial"/>
          <w:i/>
          <w:iCs/>
          <w:lang w:val="en-US"/>
        </w:rPr>
        <w:t>(Firestone SA (Pty) Ltd v Genticuro AG</w:t>
      </w:r>
      <w:r w:rsidR="0033715B" w:rsidRPr="00CD3B28">
        <w:rPr>
          <w:rStyle w:val="FootnoteReference"/>
          <w:rFonts w:ascii="Arial" w:hAnsi="Arial" w:cs="Arial"/>
          <w:i/>
          <w:iCs/>
          <w:lang w:val="en-US"/>
        </w:rPr>
        <w:footnoteReference w:id="8"/>
      </w:r>
      <w:r w:rsidR="00E84874" w:rsidRPr="00CD3B28">
        <w:rPr>
          <w:rFonts w:ascii="Arial" w:hAnsi="Arial" w:cs="Arial"/>
          <w:i/>
          <w:iCs/>
          <w:lang w:val="en-US"/>
        </w:rPr>
        <w:t>)</w:t>
      </w:r>
      <w:r w:rsidR="00E84874" w:rsidRPr="00CD3B28">
        <w:rPr>
          <w:rFonts w:ascii="Arial" w:hAnsi="Arial" w:cs="Arial"/>
          <w:lang w:val="en-US"/>
        </w:rPr>
        <w:t>. That is the function of a Court of appeal. There are exceptions. After evidence is led and the merits of the dispute have been determined, rescission is permissible only in the limited case of a judgment obtained by fraud or, exceptionally, justus error.</w:t>
      </w:r>
      <w:r w:rsidRPr="00CD3B28">
        <w:rPr>
          <w:rFonts w:ascii="Arial" w:hAnsi="Arial" w:cs="Arial"/>
          <w:lang w:val="en-US"/>
        </w:rPr>
        <w:t xml:space="preserve"> . </w:t>
      </w:r>
      <w:r w:rsidR="00E84874" w:rsidRPr="00CD3B28">
        <w:rPr>
          <w:rFonts w:ascii="Arial" w:hAnsi="Arial" w:cs="Arial"/>
          <w:lang w:val="en-US"/>
        </w:rPr>
        <w:t>. There are also, thirdly, exceptions which do not relate to rescission but to the correction, alteration and supplementation of a judgment or order. These are for the most part conveniently summarised in the headnote of </w:t>
      </w:r>
      <w:r w:rsidR="00E84874" w:rsidRPr="00CD3B28">
        <w:rPr>
          <w:rFonts w:ascii="Arial" w:hAnsi="Arial" w:cs="Arial"/>
          <w:i/>
          <w:iCs/>
          <w:lang w:val="en-US"/>
        </w:rPr>
        <w:t>Firestone SA (Pty) Ltd v Genticuro AG (supra)</w:t>
      </w:r>
      <w:r w:rsidR="00E84874" w:rsidRPr="00CD3B28">
        <w:rPr>
          <w:rFonts w:ascii="Arial" w:hAnsi="Arial" w:cs="Arial"/>
          <w:lang w:val="en-US"/>
        </w:rPr>
        <w:t> as follows:</w:t>
      </w:r>
    </w:p>
    <w:p w:rsidR="00F84ACC" w:rsidRPr="00CD3B28" w:rsidRDefault="00161BF3" w:rsidP="00667EC4">
      <w:pPr>
        <w:spacing w:after="0" w:line="360" w:lineRule="auto"/>
        <w:jc w:val="both"/>
        <w:rPr>
          <w:rFonts w:ascii="Arial" w:hAnsi="Arial" w:cs="Arial"/>
        </w:rPr>
      </w:pPr>
      <w:r w:rsidRPr="00CD3B28">
        <w:rPr>
          <w:rFonts w:ascii="Arial" w:hAnsi="Arial" w:cs="Arial"/>
          <w:lang w:val="en-US"/>
        </w:rPr>
        <w:lastRenderedPageBreak/>
        <w:tab/>
      </w:r>
      <w:r w:rsidR="00667EC4" w:rsidRPr="00CD3B28">
        <w:rPr>
          <w:rFonts w:ascii="Arial" w:hAnsi="Arial" w:cs="Arial"/>
          <w:lang w:val="en-US"/>
        </w:rPr>
        <w:t>‘”</w:t>
      </w:r>
      <w:r w:rsidR="00F84ACC" w:rsidRPr="00CD3B28">
        <w:rPr>
          <w:rFonts w:ascii="Arial" w:hAnsi="Arial" w:cs="Arial"/>
        </w:rPr>
        <w:t>1. The principal judgment or order may be supplemented in respect of accessory or consequential matters, for example, costs or interest on the judgment debt, that the court overlooked or inadvertently omitted to grant.</w:t>
      </w:r>
    </w:p>
    <w:p w:rsidR="00F84ACC" w:rsidRPr="00CD3B28" w:rsidRDefault="00F84ACC" w:rsidP="00667EC4">
      <w:pPr>
        <w:pStyle w:val="NormalWeb"/>
        <w:shd w:val="clear" w:color="auto" w:fill="FFFFFF"/>
        <w:spacing w:before="144" w:beforeAutospacing="0" w:after="288" w:afterAutospacing="0" w:line="360" w:lineRule="auto"/>
        <w:ind w:firstLine="720"/>
        <w:jc w:val="both"/>
        <w:rPr>
          <w:rFonts w:ascii="Arial" w:hAnsi="Arial" w:cs="Arial"/>
          <w:sz w:val="22"/>
          <w:szCs w:val="22"/>
        </w:rPr>
      </w:pPr>
      <w:r w:rsidRPr="00CD3B28">
        <w:rPr>
          <w:rFonts w:ascii="Arial" w:hAnsi="Arial" w:cs="Arial"/>
          <w:sz w:val="22"/>
          <w:szCs w:val="22"/>
        </w:rPr>
        <w:t>2. The court may clarify its judgment or order, if, on a proper interpretation, the meaning thereof remains obscure, ambiguous or otherwise uncertain, so as to give effect to its true intention, provided it does not thereby alter "the sense and substance" of the judgment or order.</w:t>
      </w:r>
    </w:p>
    <w:p w:rsidR="00F84ACC" w:rsidRPr="00CD3B28" w:rsidRDefault="00F84ACC" w:rsidP="00667EC4">
      <w:pPr>
        <w:pStyle w:val="western"/>
        <w:shd w:val="clear" w:color="auto" w:fill="FFFFFF"/>
        <w:spacing w:before="144" w:beforeAutospacing="0" w:after="288" w:afterAutospacing="0" w:line="360" w:lineRule="auto"/>
        <w:ind w:firstLine="720"/>
        <w:jc w:val="both"/>
        <w:rPr>
          <w:rFonts w:ascii="Arial" w:hAnsi="Arial" w:cs="Arial"/>
          <w:sz w:val="22"/>
          <w:szCs w:val="22"/>
          <w:lang w:val="en-GB"/>
        </w:rPr>
      </w:pPr>
      <w:r w:rsidRPr="00CD3B28">
        <w:rPr>
          <w:rFonts w:ascii="Arial" w:hAnsi="Arial" w:cs="Arial"/>
          <w:sz w:val="22"/>
          <w:szCs w:val="22"/>
          <w:lang w:val="en-GB"/>
        </w:rPr>
        <w:t>3. The court may correct a clerical, arithmetical, or other error in its judgment or order so as to give effect to its true intention. This exception is confined to the mere correction of an error in expressing the judgment or order; it does not extend to altering its intended sense or substance.</w:t>
      </w:r>
    </w:p>
    <w:p w:rsidR="00F84ACC" w:rsidRPr="00CD3B28" w:rsidRDefault="00F84ACC" w:rsidP="00667EC4">
      <w:pPr>
        <w:pStyle w:val="western"/>
        <w:shd w:val="clear" w:color="auto" w:fill="FFFFFF"/>
        <w:spacing w:before="144" w:beforeAutospacing="0" w:after="288" w:afterAutospacing="0" w:line="360" w:lineRule="auto"/>
        <w:ind w:firstLine="720"/>
        <w:jc w:val="both"/>
        <w:rPr>
          <w:rFonts w:ascii="Arial" w:hAnsi="Arial" w:cs="Arial"/>
          <w:sz w:val="22"/>
          <w:szCs w:val="22"/>
          <w:lang w:val="en-GB"/>
        </w:rPr>
      </w:pPr>
      <w:r w:rsidRPr="00CD3B28">
        <w:rPr>
          <w:rFonts w:ascii="Arial" w:hAnsi="Arial" w:cs="Arial"/>
          <w:sz w:val="22"/>
          <w:szCs w:val="22"/>
          <w:lang w:val="en-GB"/>
        </w:rPr>
        <w:t>4. Where counsel has argued the merits and not the costs of a case (which nowadays often happens since the question of costs may depend upon the ultimate decision on the merits), but the court, in granting judgment, also makes an order concerning the costs, it may thereafter correct, alter or supplement that order.’</w:t>
      </w:r>
      <w:r w:rsidR="00667EC4" w:rsidRPr="00CD3B28">
        <w:rPr>
          <w:rFonts w:ascii="Arial" w:hAnsi="Arial" w:cs="Arial"/>
          <w:sz w:val="22"/>
          <w:szCs w:val="22"/>
          <w:lang w:val="en-GB"/>
        </w:rPr>
        <w:t>”</w:t>
      </w:r>
      <w:r w:rsidR="003A3B97" w:rsidRPr="00CD3B28">
        <w:rPr>
          <w:rStyle w:val="FootnoteReference"/>
          <w:rFonts w:ascii="Arial" w:hAnsi="Arial" w:cs="Arial"/>
          <w:lang w:val="en-US"/>
        </w:rPr>
        <w:t xml:space="preserve"> </w:t>
      </w:r>
      <w:r w:rsidR="003A3B97" w:rsidRPr="00CD3B28">
        <w:rPr>
          <w:rStyle w:val="FootnoteReference"/>
          <w:rFonts w:ascii="Arial" w:hAnsi="Arial" w:cs="Arial"/>
          <w:lang w:val="en-US"/>
        </w:rPr>
        <w:footnoteReference w:id="9"/>
      </w:r>
      <w:r w:rsidR="003A3B97" w:rsidRPr="00CD3B28">
        <w:rPr>
          <w:rStyle w:val="FootnoteReference"/>
          <w:rFonts w:ascii="Arial" w:hAnsi="Arial" w:cs="Arial"/>
          <w:lang w:val="en-US"/>
        </w:rPr>
        <w:t xml:space="preserve"> </w:t>
      </w:r>
    </w:p>
    <w:p w:rsidR="00142839" w:rsidRDefault="006A57A6" w:rsidP="007E45F7">
      <w:pPr>
        <w:spacing w:after="0" w:line="360" w:lineRule="auto"/>
        <w:jc w:val="both"/>
        <w:rPr>
          <w:rFonts w:ascii="Arial" w:hAnsi="Arial" w:cs="Arial"/>
          <w:sz w:val="24"/>
          <w:szCs w:val="24"/>
        </w:rPr>
      </w:pPr>
      <w:r w:rsidRPr="00CD3B28">
        <w:rPr>
          <w:rFonts w:ascii="Arial" w:hAnsi="Arial" w:cs="Arial"/>
          <w:sz w:val="24"/>
          <w:szCs w:val="24"/>
        </w:rPr>
        <w:t>[</w:t>
      </w:r>
      <w:r w:rsidR="00CD3B28">
        <w:rPr>
          <w:rFonts w:ascii="Arial" w:hAnsi="Arial" w:cs="Arial"/>
          <w:sz w:val="24"/>
          <w:szCs w:val="24"/>
        </w:rPr>
        <w:t>21</w:t>
      </w:r>
      <w:r w:rsidRPr="00CD3B28">
        <w:rPr>
          <w:rFonts w:ascii="Arial" w:hAnsi="Arial" w:cs="Arial"/>
          <w:sz w:val="24"/>
          <w:szCs w:val="24"/>
        </w:rPr>
        <w:t>]</w:t>
      </w:r>
      <w:r w:rsidRPr="00CD3B28">
        <w:rPr>
          <w:rFonts w:ascii="Arial" w:hAnsi="Arial" w:cs="Arial"/>
          <w:sz w:val="24"/>
          <w:szCs w:val="24"/>
        </w:rPr>
        <w:tab/>
        <w:t xml:space="preserve"> From my understanding rule 103 was introduced </w:t>
      </w:r>
      <w:r>
        <w:rPr>
          <w:rFonts w:ascii="Arial" w:hAnsi="Arial" w:cs="Arial"/>
          <w:sz w:val="24"/>
          <w:szCs w:val="24"/>
        </w:rPr>
        <w:t>to cater for errors in</w:t>
      </w:r>
      <w:r w:rsidR="00CD3B28">
        <w:rPr>
          <w:rFonts w:ascii="Arial" w:hAnsi="Arial" w:cs="Arial"/>
          <w:sz w:val="24"/>
          <w:szCs w:val="24"/>
        </w:rPr>
        <w:t xml:space="preserve"> a</w:t>
      </w:r>
      <w:r>
        <w:rPr>
          <w:rFonts w:ascii="Arial" w:hAnsi="Arial" w:cs="Arial"/>
          <w:sz w:val="24"/>
          <w:szCs w:val="24"/>
        </w:rPr>
        <w:t xml:space="preserve"> judgment which are obviously wrong and which are procedurally based</w:t>
      </w:r>
      <w:r>
        <w:rPr>
          <w:rStyle w:val="FootnoteReference"/>
          <w:rFonts w:ascii="Arial" w:hAnsi="Arial" w:cs="Arial"/>
          <w:sz w:val="24"/>
          <w:szCs w:val="24"/>
        </w:rPr>
        <w:footnoteReference w:id="10"/>
      </w:r>
      <w:r>
        <w:rPr>
          <w:rFonts w:ascii="Arial" w:hAnsi="Arial" w:cs="Arial"/>
          <w:sz w:val="24"/>
          <w:szCs w:val="24"/>
        </w:rPr>
        <w:t xml:space="preserve">. It does not allow a judge to review his </w:t>
      </w:r>
      <w:r w:rsidR="00CD3B28">
        <w:rPr>
          <w:rFonts w:ascii="Arial" w:hAnsi="Arial" w:cs="Arial"/>
          <w:sz w:val="24"/>
          <w:szCs w:val="24"/>
        </w:rPr>
        <w:t xml:space="preserve">or her </w:t>
      </w:r>
      <w:r>
        <w:rPr>
          <w:rFonts w:ascii="Arial" w:hAnsi="Arial" w:cs="Arial"/>
          <w:sz w:val="24"/>
          <w:szCs w:val="24"/>
        </w:rPr>
        <w:t xml:space="preserve">own work and correct it. This much is clear from the </w:t>
      </w:r>
      <w:r w:rsidRPr="00A57C76">
        <w:rPr>
          <w:rFonts w:ascii="Arial" w:hAnsi="Arial" w:cs="Arial"/>
          <w:i/>
          <w:sz w:val="24"/>
          <w:szCs w:val="24"/>
        </w:rPr>
        <w:t xml:space="preserve">Firestone </w:t>
      </w:r>
      <w:r w:rsidRPr="006A57A6">
        <w:rPr>
          <w:rFonts w:ascii="Arial" w:hAnsi="Arial" w:cs="Arial"/>
          <w:sz w:val="24"/>
          <w:szCs w:val="24"/>
        </w:rPr>
        <w:t>matter</w:t>
      </w:r>
      <w:r>
        <w:rPr>
          <w:rStyle w:val="FootnoteReference"/>
          <w:rFonts w:ascii="Arial" w:hAnsi="Arial" w:cs="Arial"/>
          <w:sz w:val="24"/>
          <w:szCs w:val="24"/>
        </w:rPr>
        <w:footnoteReference w:id="11"/>
      </w:r>
      <w:r>
        <w:rPr>
          <w:rFonts w:ascii="Arial" w:hAnsi="Arial" w:cs="Arial"/>
          <w:sz w:val="24"/>
          <w:szCs w:val="24"/>
        </w:rPr>
        <w:t xml:space="preserve"> wherein the Court held that a Court ‘may not alter the order to correct something which the Court intended even though the Court may have been wrong. To do this it would be necessary to appeal.’</w:t>
      </w:r>
    </w:p>
    <w:p w:rsidR="003C099F" w:rsidRDefault="003C099F" w:rsidP="003C099F">
      <w:pPr>
        <w:spacing w:after="0" w:line="360" w:lineRule="auto"/>
        <w:jc w:val="both"/>
        <w:rPr>
          <w:rFonts w:ascii="Arial" w:hAnsi="Arial" w:cs="Arial"/>
          <w:sz w:val="24"/>
          <w:szCs w:val="24"/>
          <w:lang w:val="en-US"/>
        </w:rPr>
      </w:pPr>
    </w:p>
    <w:p w:rsidR="00330A80" w:rsidRDefault="003C099F" w:rsidP="003C099F">
      <w:pPr>
        <w:spacing w:after="0" w:line="360" w:lineRule="auto"/>
        <w:jc w:val="both"/>
        <w:rPr>
          <w:rFonts w:ascii="Arial" w:hAnsi="Arial" w:cs="Arial"/>
          <w:sz w:val="24"/>
          <w:szCs w:val="24"/>
        </w:rPr>
      </w:pPr>
      <w:r>
        <w:rPr>
          <w:rFonts w:ascii="Arial" w:hAnsi="Arial" w:cs="Arial"/>
          <w:sz w:val="24"/>
          <w:szCs w:val="24"/>
        </w:rPr>
        <w:t>[</w:t>
      </w:r>
      <w:r w:rsidR="00CA0E2E">
        <w:rPr>
          <w:rFonts w:ascii="Arial" w:hAnsi="Arial" w:cs="Arial"/>
          <w:sz w:val="24"/>
          <w:szCs w:val="24"/>
        </w:rPr>
        <w:t>22</w:t>
      </w:r>
      <w:r>
        <w:rPr>
          <w:rFonts w:ascii="Arial" w:hAnsi="Arial" w:cs="Arial"/>
          <w:sz w:val="24"/>
          <w:szCs w:val="24"/>
        </w:rPr>
        <w:t>]</w:t>
      </w:r>
      <w:r>
        <w:rPr>
          <w:rFonts w:ascii="Arial" w:hAnsi="Arial" w:cs="Arial"/>
          <w:sz w:val="24"/>
          <w:szCs w:val="24"/>
        </w:rPr>
        <w:tab/>
      </w:r>
      <w:r w:rsidR="00EC2C4A">
        <w:rPr>
          <w:rFonts w:ascii="Arial" w:hAnsi="Arial" w:cs="Arial"/>
          <w:sz w:val="24"/>
          <w:szCs w:val="24"/>
        </w:rPr>
        <w:t>Due to an unfortunate oversight the</w:t>
      </w:r>
      <w:r w:rsidR="00330A80">
        <w:rPr>
          <w:rFonts w:ascii="Arial" w:hAnsi="Arial" w:cs="Arial"/>
          <w:sz w:val="24"/>
          <w:szCs w:val="24"/>
        </w:rPr>
        <w:t xml:space="preserve"> </w:t>
      </w:r>
      <w:r w:rsidR="00FE758C">
        <w:rPr>
          <w:rFonts w:ascii="Arial" w:hAnsi="Arial" w:cs="Arial"/>
          <w:sz w:val="24"/>
          <w:szCs w:val="24"/>
        </w:rPr>
        <w:t xml:space="preserve">reasons for the </w:t>
      </w:r>
      <w:r w:rsidR="00330A80">
        <w:rPr>
          <w:rFonts w:ascii="Arial" w:hAnsi="Arial" w:cs="Arial"/>
          <w:sz w:val="24"/>
          <w:szCs w:val="24"/>
        </w:rPr>
        <w:t xml:space="preserve">rescission of the first claim was omitted </w:t>
      </w:r>
      <w:r w:rsidR="00EC2C4A">
        <w:rPr>
          <w:rFonts w:ascii="Arial" w:hAnsi="Arial" w:cs="Arial"/>
          <w:sz w:val="24"/>
          <w:szCs w:val="24"/>
        </w:rPr>
        <w:t xml:space="preserve">but if one </w:t>
      </w:r>
      <w:r w:rsidR="00CA0E2E">
        <w:rPr>
          <w:rFonts w:ascii="Arial" w:hAnsi="Arial" w:cs="Arial"/>
          <w:sz w:val="24"/>
          <w:szCs w:val="24"/>
        </w:rPr>
        <w:t xml:space="preserve">has </w:t>
      </w:r>
      <w:r w:rsidR="00EC2C4A">
        <w:rPr>
          <w:rFonts w:ascii="Arial" w:hAnsi="Arial" w:cs="Arial"/>
          <w:sz w:val="24"/>
          <w:szCs w:val="24"/>
        </w:rPr>
        <w:t xml:space="preserve">regard to the judgment as a whole the </w:t>
      </w:r>
      <w:r w:rsidR="00330A80">
        <w:rPr>
          <w:rFonts w:ascii="Arial" w:hAnsi="Arial" w:cs="Arial"/>
          <w:sz w:val="24"/>
          <w:szCs w:val="24"/>
        </w:rPr>
        <w:t xml:space="preserve">intention of the court is clear, and so is the order. </w:t>
      </w:r>
    </w:p>
    <w:p w:rsidR="00330A80" w:rsidRDefault="00330A80" w:rsidP="003C099F">
      <w:pPr>
        <w:spacing w:after="0" w:line="360" w:lineRule="auto"/>
        <w:jc w:val="both"/>
        <w:rPr>
          <w:rFonts w:ascii="Arial" w:hAnsi="Arial" w:cs="Arial"/>
          <w:sz w:val="24"/>
          <w:szCs w:val="24"/>
        </w:rPr>
      </w:pPr>
    </w:p>
    <w:p w:rsidR="003C63E1" w:rsidRDefault="00330A80" w:rsidP="003C099F">
      <w:pPr>
        <w:spacing w:after="0" w:line="360" w:lineRule="auto"/>
        <w:jc w:val="both"/>
        <w:rPr>
          <w:rFonts w:ascii="Arial" w:hAnsi="Arial" w:cs="Arial"/>
          <w:sz w:val="24"/>
          <w:szCs w:val="24"/>
          <w:lang w:val="en-GB"/>
        </w:rPr>
      </w:pPr>
      <w:r>
        <w:rPr>
          <w:rFonts w:ascii="Arial" w:hAnsi="Arial" w:cs="Arial"/>
          <w:sz w:val="24"/>
          <w:szCs w:val="24"/>
        </w:rPr>
        <w:t>[</w:t>
      </w:r>
      <w:r w:rsidR="00CA0E2E">
        <w:rPr>
          <w:rFonts w:ascii="Arial" w:hAnsi="Arial" w:cs="Arial"/>
          <w:sz w:val="24"/>
          <w:szCs w:val="24"/>
        </w:rPr>
        <w:t>23</w:t>
      </w:r>
      <w:r>
        <w:rPr>
          <w:rFonts w:ascii="Arial" w:hAnsi="Arial" w:cs="Arial"/>
          <w:sz w:val="24"/>
          <w:szCs w:val="24"/>
        </w:rPr>
        <w:t>]</w:t>
      </w:r>
      <w:r>
        <w:rPr>
          <w:rFonts w:ascii="Arial" w:hAnsi="Arial" w:cs="Arial"/>
          <w:sz w:val="24"/>
          <w:szCs w:val="24"/>
        </w:rPr>
        <w:tab/>
      </w:r>
      <w:r>
        <w:rPr>
          <w:rFonts w:ascii="Arial" w:hAnsi="Arial" w:cs="Arial"/>
          <w:sz w:val="24"/>
          <w:szCs w:val="24"/>
          <w:lang w:val="en-GB"/>
        </w:rPr>
        <w:t xml:space="preserve">In </w:t>
      </w:r>
      <w:r w:rsidRPr="00FD6A9B">
        <w:rPr>
          <w:rFonts w:ascii="Arial" w:hAnsi="Arial" w:cs="Arial"/>
          <w:i/>
          <w:sz w:val="24"/>
          <w:szCs w:val="24"/>
        </w:rPr>
        <w:t>Herbstein and Van Winsen: The Civil Practice of the High Courts and the Supreme Court of Appeal of South Africa</w:t>
      </w:r>
      <w:r>
        <w:rPr>
          <w:rStyle w:val="FootnoteReference"/>
          <w:rFonts w:ascii="Arial" w:hAnsi="Arial" w:cs="Arial"/>
          <w:i/>
          <w:sz w:val="24"/>
          <w:szCs w:val="24"/>
        </w:rPr>
        <w:footnoteReference w:id="12"/>
      </w:r>
      <w:r w:rsidRPr="00745948">
        <w:rPr>
          <w:rFonts w:ascii="Arial" w:hAnsi="Arial" w:cs="Arial"/>
          <w:sz w:val="24"/>
          <w:szCs w:val="24"/>
        </w:rPr>
        <w:t xml:space="preserve"> a ‘patent error or omission’ is described as an </w:t>
      </w:r>
      <w:r w:rsidRPr="00745948">
        <w:rPr>
          <w:rFonts w:ascii="Arial" w:hAnsi="Arial" w:cs="Arial"/>
          <w:sz w:val="24"/>
          <w:szCs w:val="24"/>
        </w:rPr>
        <w:lastRenderedPageBreak/>
        <w:t>error or omission as a result of which the judgment or order granted does not reflect the intention of the judicial officer pronouncing it.</w:t>
      </w:r>
      <w:r w:rsidRPr="00330A80">
        <w:rPr>
          <w:rFonts w:ascii="Arial" w:hAnsi="Arial" w:cs="Arial"/>
          <w:sz w:val="24"/>
          <w:szCs w:val="24"/>
          <w:lang w:val="en-GB"/>
        </w:rPr>
        <w:t xml:space="preserve"> </w:t>
      </w:r>
    </w:p>
    <w:p w:rsidR="00EC2C4A" w:rsidRDefault="00EC2C4A" w:rsidP="003C099F">
      <w:pPr>
        <w:spacing w:after="0" w:line="360" w:lineRule="auto"/>
        <w:jc w:val="both"/>
        <w:rPr>
          <w:rFonts w:ascii="Arial" w:hAnsi="Arial" w:cs="Arial"/>
          <w:sz w:val="24"/>
          <w:szCs w:val="24"/>
        </w:rPr>
      </w:pPr>
    </w:p>
    <w:p w:rsidR="00330A80" w:rsidRDefault="00CA0E2E" w:rsidP="00330A80">
      <w:pPr>
        <w:tabs>
          <w:tab w:val="left" w:pos="720"/>
          <w:tab w:val="left" w:pos="1380"/>
        </w:tabs>
        <w:spacing w:after="0"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330A80">
        <w:rPr>
          <w:rFonts w:ascii="Arial" w:hAnsi="Arial" w:cs="Arial"/>
          <w:sz w:val="24"/>
          <w:szCs w:val="24"/>
          <w:lang w:val="en-GB"/>
        </w:rPr>
        <w:t xml:space="preserve">Counsel for the first defendant correctly pointed out that no error can be found in the order itself and what stands to be criticized can be found in the body of the judgment, ie. in </w:t>
      </w:r>
      <w:r>
        <w:rPr>
          <w:rFonts w:ascii="Arial" w:hAnsi="Arial" w:cs="Arial"/>
          <w:sz w:val="24"/>
          <w:szCs w:val="24"/>
          <w:lang w:val="en-GB"/>
        </w:rPr>
        <w:t>the reason for the rescission of</w:t>
      </w:r>
      <w:r w:rsidR="00330A80">
        <w:rPr>
          <w:rFonts w:ascii="Arial" w:hAnsi="Arial" w:cs="Arial"/>
          <w:sz w:val="24"/>
          <w:szCs w:val="24"/>
          <w:lang w:val="en-GB"/>
        </w:rPr>
        <w:t xml:space="preserve"> both claims and not the rescission of both cl</w:t>
      </w:r>
      <w:r>
        <w:rPr>
          <w:rFonts w:ascii="Arial" w:hAnsi="Arial" w:cs="Arial"/>
          <w:sz w:val="24"/>
          <w:szCs w:val="24"/>
          <w:lang w:val="en-GB"/>
        </w:rPr>
        <w:t>aims for whatever reason. C</w:t>
      </w:r>
      <w:r w:rsidR="00330A80">
        <w:rPr>
          <w:rFonts w:ascii="Arial" w:hAnsi="Arial" w:cs="Arial"/>
          <w:sz w:val="24"/>
          <w:szCs w:val="24"/>
          <w:lang w:val="en-GB"/>
        </w:rPr>
        <w:t xml:space="preserve">ounsel is also correct in submitting that even if the order is varied it does not address the </w:t>
      </w:r>
      <w:r w:rsidR="00B14D5A">
        <w:rPr>
          <w:rFonts w:ascii="Arial" w:hAnsi="Arial" w:cs="Arial"/>
          <w:sz w:val="24"/>
          <w:szCs w:val="24"/>
          <w:lang w:val="en-GB"/>
        </w:rPr>
        <w:t>omission</w:t>
      </w:r>
      <w:r w:rsidR="00330A80">
        <w:rPr>
          <w:rFonts w:ascii="Arial" w:hAnsi="Arial" w:cs="Arial"/>
          <w:sz w:val="24"/>
          <w:szCs w:val="24"/>
          <w:lang w:val="en-GB"/>
        </w:rPr>
        <w:t>.</w:t>
      </w:r>
    </w:p>
    <w:p w:rsidR="003C63E1" w:rsidRDefault="003C63E1" w:rsidP="00330A80">
      <w:pPr>
        <w:tabs>
          <w:tab w:val="left" w:pos="720"/>
          <w:tab w:val="left" w:pos="1380"/>
        </w:tabs>
        <w:spacing w:after="0" w:line="360" w:lineRule="auto"/>
        <w:jc w:val="both"/>
        <w:rPr>
          <w:rFonts w:ascii="Arial" w:hAnsi="Arial" w:cs="Arial"/>
          <w:sz w:val="24"/>
          <w:szCs w:val="24"/>
          <w:lang w:val="en-GB"/>
        </w:rPr>
      </w:pPr>
    </w:p>
    <w:p w:rsidR="00330A80" w:rsidRDefault="00330A80" w:rsidP="00330A80">
      <w:pPr>
        <w:tabs>
          <w:tab w:val="left" w:pos="720"/>
          <w:tab w:val="left" w:pos="1380"/>
        </w:tabs>
        <w:spacing w:after="0" w:line="360" w:lineRule="auto"/>
        <w:jc w:val="both"/>
        <w:rPr>
          <w:rFonts w:ascii="Arial" w:hAnsi="Arial" w:cs="Arial"/>
          <w:sz w:val="24"/>
          <w:szCs w:val="24"/>
          <w:lang w:val="en-GB"/>
        </w:rPr>
      </w:pPr>
      <w:r>
        <w:rPr>
          <w:rFonts w:ascii="Arial" w:hAnsi="Arial" w:cs="Arial"/>
          <w:sz w:val="24"/>
          <w:szCs w:val="24"/>
          <w:lang w:val="en-GB"/>
        </w:rPr>
        <w:t>[</w:t>
      </w:r>
      <w:r w:rsidR="00CA0E2E">
        <w:rPr>
          <w:rFonts w:ascii="Arial" w:hAnsi="Arial" w:cs="Arial"/>
          <w:sz w:val="24"/>
          <w:szCs w:val="24"/>
          <w:lang w:val="en-GB"/>
        </w:rPr>
        <w:t>25</w:t>
      </w:r>
      <w:r>
        <w:rPr>
          <w:rFonts w:ascii="Arial" w:hAnsi="Arial" w:cs="Arial"/>
          <w:sz w:val="24"/>
          <w:szCs w:val="24"/>
          <w:lang w:val="en-GB"/>
        </w:rPr>
        <w:t>]</w:t>
      </w:r>
      <w:r>
        <w:rPr>
          <w:rFonts w:ascii="Arial" w:hAnsi="Arial" w:cs="Arial"/>
          <w:sz w:val="24"/>
          <w:szCs w:val="24"/>
          <w:lang w:val="en-GB"/>
        </w:rPr>
        <w:tab/>
        <w:t>This court cannot sit in</w:t>
      </w:r>
      <w:r w:rsidR="00CA0E2E">
        <w:rPr>
          <w:rFonts w:ascii="Arial" w:hAnsi="Arial" w:cs="Arial"/>
          <w:sz w:val="24"/>
          <w:szCs w:val="24"/>
          <w:lang w:val="en-GB"/>
        </w:rPr>
        <w:t xml:space="preserve"> a</w:t>
      </w:r>
      <w:r>
        <w:rPr>
          <w:rFonts w:ascii="Arial" w:hAnsi="Arial" w:cs="Arial"/>
          <w:sz w:val="24"/>
          <w:szCs w:val="24"/>
          <w:lang w:val="en-GB"/>
        </w:rPr>
        <w:t xml:space="preserve"> judgement of itself and anything that relates to the </w:t>
      </w:r>
      <w:r w:rsidR="005B26A4">
        <w:rPr>
          <w:rFonts w:ascii="Arial" w:hAnsi="Arial" w:cs="Arial"/>
          <w:sz w:val="24"/>
          <w:szCs w:val="24"/>
          <w:lang w:val="en-GB"/>
        </w:rPr>
        <w:t xml:space="preserve">work of a judge properly considered and conclusively decided lies in the domain of a review or an appeal. The fact that there was an oversight in discussing the factors in respect of the rescission of the first claim </w:t>
      </w:r>
      <w:r w:rsidR="003C63E1">
        <w:rPr>
          <w:rFonts w:ascii="Arial" w:hAnsi="Arial" w:cs="Arial"/>
          <w:sz w:val="24"/>
          <w:szCs w:val="24"/>
          <w:lang w:val="en-GB"/>
        </w:rPr>
        <w:t>can</w:t>
      </w:r>
      <w:r w:rsidR="005B26A4">
        <w:rPr>
          <w:rFonts w:ascii="Arial" w:hAnsi="Arial" w:cs="Arial"/>
          <w:sz w:val="24"/>
          <w:szCs w:val="24"/>
          <w:lang w:val="en-GB"/>
        </w:rPr>
        <w:t xml:space="preserve">not </w:t>
      </w:r>
      <w:r w:rsidR="00EC2C4A">
        <w:rPr>
          <w:rFonts w:ascii="Arial" w:hAnsi="Arial" w:cs="Arial"/>
          <w:sz w:val="24"/>
          <w:szCs w:val="24"/>
          <w:lang w:val="en-GB"/>
        </w:rPr>
        <w:t>automatically</w:t>
      </w:r>
      <w:r w:rsidR="005B26A4">
        <w:rPr>
          <w:rFonts w:ascii="Arial" w:hAnsi="Arial" w:cs="Arial"/>
          <w:sz w:val="24"/>
          <w:szCs w:val="24"/>
          <w:lang w:val="en-GB"/>
        </w:rPr>
        <w:t xml:space="preserve"> result in the variation of the court order. </w:t>
      </w:r>
    </w:p>
    <w:p w:rsidR="00330A80" w:rsidRDefault="00330A80" w:rsidP="003C099F">
      <w:pPr>
        <w:spacing w:after="0" w:line="360" w:lineRule="auto"/>
        <w:jc w:val="both"/>
        <w:rPr>
          <w:rFonts w:ascii="Arial" w:hAnsi="Arial" w:cs="Arial"/>
          <w:sz w:val="24"/>
          <w:szCs w:val="24"/>
        </w:rPr>
      </w:pPr>
    </w:p>
    <w:p w:rsidR="00EC2C4A" w:rsidRDefault="00FD6A9B" w:rsidP="00EC2C4A">
      <w:pPr>
        <w:spacing w:after="0" w:line="360" w:lineRule="auto"/>
        <w:jc w:val="both"/>
        <w:rPr>
          <w:rFonts w:ascii="Arial" w:hAnsi="Arial" w:cs="Arial"/>
          <w:sz w:val="24"/>
          <w:szCs w:val="24"/>
        </w:rPr>
      </w:pPr>
      <w:r>
        <w:rPr>
          <w:rFonts w:ascii="Arial" w:hAnsi="Arial" w:cs="Arial"/>
          <w:sz w:val="24"/>
          <w:szCs w:val="24"/>
        </w:rPr>
        <w:t>[</w:t>
      </w:r>
      <w:r w:rsidR="00CA0E2E">
        <w:rPr>
          <w:rFonts w:ascii="Arial" w:hAnsi="Arial" w:cs="Arial"/>
          <w:sz w:val="24"/>
          <w:szCs w:val="24"/>
        </w:rPr>
        <w:t>26</w:t>
      </w:r>
      <w:r>
        <w:rPr>
          <w:rFonts w:ascii="Arial" w:hAnsi="Arial" w:cs="Arial"/>
          <w:sz w:val="24"/>
          <w:szCs w:val="24"/>
        </w:rPr>
        <w:t>]</w:t>
      </w:r>
      <w:r>
        <w:rPr>
          <w:rFonts w:ascii="Arial" w:hAnsi="Arial" w:cs="Arial"/>
          <w:sz w:val="24"/>
          <w:szCs w:val="24"/>
        </w:rPr>
        <w:tab/>
      </w:r>
      <w:r w:rsidR="00EC2C4A">
        <w:rPr>
          <w:rFonts w:ascii="Arial" w:hAnsi="Arial" w:cs="Arial"/>
          <w:sz w:val="24"/>
          <w:szCs w:val="24"/>
        </w:rPr>
        <w:t>T</w:t>
      </w:r>
      <w:r w:rsidR="005B26A4" w:rsidRPr="005B26A4">
        <w:rPr>
          <w:rFonts w:ascii="Arial" w:hAnsi="Arial" w:cs="Arial"/>
          <w:sz w:val="24"/>
          <w:szCs w:val="24"/>
        </w:rPr>
        <w:t>he order</w:t>
      </w:r>
      <w:r w:rsidR="00EC2C4A">
        <w:rPr>
          <w:rFonts w:ascii="Arial" w:hAnsi="Arial" w:cs="Arial"/>
          <w:sz w:val="24"/>
          <w:szCs w:val="24"/>
        </w:rPr>
        <w:t xml:space="preserve"> of court</w:t>
      </w:r>
      <w:r w:rsidR="005B26A4" w:rsidRPr="005B26A4">
        <w:rPr>
          <w:rFonts w:ascii="Arial" w:hAnsi="Arial" w:cs="Arial"/>
          <w:sz w:val="24"/>
          <w:szCs w:val="24"/>
        </w:rPr>
        <w:t xml:space="preserve"> must undoubtedly be read as part of the entire judgment and not as a separate document, but the </w:t>
      </w:r>
      <w:r w:rsidR="00EC2C4A">
        <w:rPr>
          <w:rFonts w:ascii="Arial" w:hAnsi="Arial" w:cs="Arial"/>
          <w:sz w:val="24"/>
          <w:szCs w:val="24"/>
        </w:rPr>
        <w:t>c</w:t>
      </w:r>
      <w:r w:rsidR="005B26A4" w:rsidRPr="005B26A4">
        <w:rPr>
          <w:rFonts w:ascii="Arial" w:hAnsi="Arial" w:cs="Arial"/>
          <w:sz w:val="24"/>
          <w:szCs w:val="24"/>
        </w:rPr>
        <w:t>ourt's directions must be found in the order and not elsewhere. If the meaning of an order is clear and unambiguous, it is decisive, and cannot be restricted or extended by anything else stated in the judgment</w:t>
      </w:r>
      <w:r w:rsidR="005B26A4">
        <w:rPr>
          <w:rStyle w:val="FootnoteReference"/>
          <w:rFonts w:ascii="Arial" w:hAnsi="Arial" w:cs="Arial"/>
          <w:sz w:val="24"/>
          <w:szCs w:val="24"/>
        </w:rPr>
        <w:footnoteReference w:id="13"/>
      </w:r>
      <w:r w:rsidR="005B26A4" w:rsidRPr="005B26A4">
        <w:rPr>
          <w:rFonts w:ascii="Arial" w:hAnsi="Arial" w:cs="Arial"/>
          <w:sz w:val="24"/>
          <w:szCs w:val="24"/>
        </w:rPr>
        <w:t>.</w:t>
      </w:r>
    </w:p>
    <w:p w:rsidR="00EC2C4A" w:rsidRDefault="00EC2C4A" w:rsidP="00EC2C4A">
      <w:pPr>
        <w:spacing w:after="0" w:line="360" w:lineRule="auto"/>
        <w:jc w:val="both"/>
        <w:rPr>
          <w:rFonts w:ascii="Arial" w:hAnsi="Arial" w:cs="Arial"/>
          <w:sz w:val="24"/>
          <w:szCs w:val="24"/>
        </w:rPr>
      </w:pPr>
    </w:p>
    <w:p w:rsidR="005B26A4" w:rsidRDefault="00EC2C4A" w:rsidP="00EC2C4A">
      <w:pPr>
        <w:spacing w:after="0" w:line="360" w:lineRule="auto"/>
        <w:jc w:val="both"/>
        <w:rPr>
          <w:rFonts w:ascii="Arial" w:hAnsi="Arial" w:cs="Arial"/>
          <w:sz w:val="24"/>
          <w:szCs w:val="24"/>
          <w:lang w:val="en-GB"/>
        </w:rPr>
      </w:pPr>
      <w:r>
        <w:rPr>
          <w:rFonts w:ascii="Arial" w:hAnsi="Arial" w:cs="Arial"/>
          <w:sz w:val="24"/>
          <w:szCs w:val="24"/>
        </w:rPr>
        <w:t>[</w:t>
      </w:r>
      <w:r w:rsidR="00CA0E2E">
        <w:rPr>
          <w:rFonts w:ascii="Arial" w:hAnsi="Arial" w:cs="Arial"/>
          <w:sz w:val="24"/>
          <w:szCs w:val="24"/>
        </w:rPr>
        <w:t>27</w:t>
      </w:r>
      <w:r>
        <w:rPr>
          <w:rFonts w:ascii="Arial" w:hAnsi="Arial" w:cs="Arial"/>
          <w:sz w:val="24"/>
          <w:szCs w:val="24"/>
        </w:rPr>
        <w:t>]</w:t>
      </w:r>
      <w:r>
        <w:rPr>
          <w:rFonts w:ascii="Arial" w:hAnsi="Arial" w:cs="Arial"/>
          <w:sz w:val="24"/>
          <w:szCs w:val="24"/>
        </w:rPr>
        <w:tab/>
      </w:r>
      <w:r w:rsidRPr="00EC2C4A">
        <w:rPr>
          <w:rFonts w:ascii="Arial" w:hAnsi="Arial" w:cs="Arial"/>
          <w:sz w:val="24"/>
          <w:szCs w:val="24"/>
          <w:lang w:val="en-GB"/>
        </w:rPr>
        <w:t xml:space="preserve"> </w:t>
      </w:r>
      <w:r>
        <w:rPr>
          <w:rFonts w:ascii="Arial" w:hAnsi="Arial" w:cs="Arial"/>
          <w:sz w:val="24"/>
          <w:szCs w:val="24"/>
          <w:lang w:val="en-GB"/>
        </w:rPr>
        <w:t>I am of the considered view that the order of this court pronounced on 2</w:t>
      </w:r>
      <w:r w:rsidR="00813E2E">
        <w:rPr>
          <w:rFonts w:ascii="Arial" w:hAnsi="Arial" w:cs="Arial"/>
          <w:sz w:val="24"/>
          <w:szCs w:val="24"/>
          <w:lang w:val="en-GB"/>
        </w:rPr>
        <w:t>1</w:t>
      </w:r>
      <w:r>
        <w:rPr>
          <w:rFonts w:ascii="Arial" w:hAnsi="Arial" w:cs="Arial"/>
          <w:sz w:val="24"/>
          <w:szCs w:val="24"/>
          <w:lang w:val="en-GB"/>
        </w:rPr>
        <w:t xml:space="preserve"> February 2020  is clear and concise and there is no ambig</w:t>
      </w:r>
      <w:r w:rsidR="00CA0E2E">
        <w:rPr>
          <w:rFonts w:ascii="Arial" w:hAnsi="Arial" w:cs="Arial"/>
          <w:sz w:val="24"/>
          <w:szCs w:val="24"/>
          <w:lang w:val="en-GB"/>
        </w:rPr>
        <w:t>uity contained therein and as a</w:t>
      </w:r>
      <w:r>
        <w:rPr>
          <w:rFonts w:ascii="Arial" w:hAnsi="Arial" w:cs="Arial"/>
          <w:sz w:val="24"/>
          <w:szCs w:val="24"/>
          <w:lang w:val="en-GB"/>
        </w:rPr>
        <w:t xml:space="preserve"> result rule 103(1)(c) does not find application to the order. If the court is to address the principal judgment and reconsider the reasons advance</w:t>
      </w:r>
      <w:r w:rsidR="00CA0E2E">
        <w:rPr>
          <w:rFonts w:ascii="Arial" w:hAnsi="Arial" w:cs="Arial"/>
          <w:sz w:val="24"/>
          <w:szCs w:val="24"/>
          <w:lang w:val="en-GB"/>
        </w:rPr>
        <w:t>d</w:t>
      </w:r>
      <w:r>
        <w:rPr>
          <w:rFonts w:ascii="Arial" w:hAnsi="Arial" w:cs="Arial"/>
          <w:sz w:val="24"/>
          <w:szCs w:val="24"/>
          <w:lang w:val="en-GB"/>
        </w:rPr>
        <w:t xml:space="preserve"> it will amount to varying the intended sense of substance of the judgment and that </w:t>
      </w:r>
      <w:r w:rsidR="00810625">
        <w:rPr>
          <w:rFonts w:ascii="Arial" w:hAnsi="Arial" w:cs="Arial"/>
          <w:sz w:val="24"/>
          <w:szCs w:val="24"/>
          <w:lang w:val="en-GB"/>
        </w:rPr>
        <w:t xml:space="preserve">would not fall within the ambit of Rule 103 and can therefore not be done. </w:t>
      </w:r>
    </w:p>
    <w:p w:rsidR="00810625" w:rsidRDefault="00810625" w:rsidP="00EC2C4A">
      <w:pPr>
        <w:spacing w:after="0" w:line="360" w:lineRule="auto"/>
        <w:jc w:val="both"/>
        <w:rPr>
          <w:rFonts w:ascii="Arial" w:hAnsi="Arial" w:cs="Arial"/>
          <w:i/>
          <w:sz w:val="24"/>
          <w:szCs w:val="24"/>
        </w:rPr>
      </w:pPr>
    </w:p>
    <w:p w:rsidR="00EC2C4A" w:rsidRPr="00CA0E2E" w:rsidRDefault="00810625" w:rsidP="00EC2C4A">
      <w:pPr>
        <w:spacing w:after="0" w:line="360" w:lineRule="auto"/>
        <w:jc w:val="both"/>
        <w:rPr>
          <w:rFonts w:ascii="Arial" w:hAnsi="Arial" w:cs="Arial"/>
          <w:i/>
          <w:sz w:val="24"/>
          <w:szCs w:val="24"/>
        </w:rPr>
      </w:pPr>
      <w:r w:rsidRPr="00CA0E2E">
        <w:rPr>
          <w:rFonts w:ascii="Arial" w:hAnsi="Arial" w:cs="Arial"/>
          <w:i/>
          <w:sz w:val="24"/>
          <w:szCs w:val="24"/>
        </w:rPr>
        <w:t>The common law approach</w:t>
      </w:r>
    </w:p>
    <w:p w:rsidR="00810625" w:rsidRPr="00CA0E2E" w:rsidRDefault="00BA7318" w:rsidP="00735102">
      <w:pPr>
        <w:spacing w:after="0" w:line="360" w:lineRule="auto"/>
        <w:jc w:val="both"/>
        <w:rPr>
          <w:rFonts w:ascii="Arial" w:hAnsi="Arial" w:cs="Arial"/>
          <w:sz w:val="24"/>
          <w:szCs w:val="24"/>
        </w:rPr>
      </w:pPr>
      <w:r w:rsidRPr="00CA0E2E">
        <w:rPr>
          <w:rFonts w:ascii="Arial" w:hAnsi="Arial" w:cs="Arial"/>
          <w:sz w:val="24"/>
          <w:szCs w:val="24"/>
        </w:rPr>
        <w:t xml:space="preserve"> </w:t>
      </w:r>
    </w:p>
    <w:p w:rsidR="00BA7318" w:rsidRPr="00CA0E2E" w:rsidRDefault="00BA7318" w:rsidP="00735102">
      <w:pPr>
        <w:spacing w:after="0" w:line="360" w:lineRule="auto"/>
        <w:jc w:val="both"/>
        <w:rPr>
          <w:rFonts w:ascii="Arial" w:hAnsi="Arial" w:cs="Arial"/>
          <w:sz w:val="24"/>
          <w:szCs w:val="24"/>
        </w:rPr>
      </w:pPr>
      <w:r w:rsidRPr="00CA0E2E">
        <w:rPr>
          <w:rFonts w:ascii="Arial" w:hAnsi="Arial" w:cs="Arial"/>
          <w:sz w:val="24"/>
          <w:szCs w:val="24"/>
        </w:rPr>
        <w:t>[</w:t>
      </w:r>
      <w:r w:rsidR="00CA0E2E" w:rsidRPr="00CA0E2E">
        <w:rPr>
          <w:rFonts w:ascii="Arial" w:hAnsi="Arial" w:cs="Arial"/>
          <w:sz w:val="24"/>
          <w:szCs w:val="24"/>
        </w:rPr>
        <w:t>28</w:t>
      </w:r>
      <w:r w:rsidRPr="00CA0E2E">
        <w:rPr>
          <w:rFonts w:ascii="Arial" w:hAnsi="Arial" w:cs="Arial"/>
          <w:sz w:val="24"/>
          <w:szCs w:val="24"/>
        </w:rPr>
        <w:t>]</w:t>
      </w:r>
      <w:r w:rsidRPr="00CA0E2E">
        <w:rPr>
          <w:rFonts w:ascii="Arial" w:hAnsi="Arial" w:cs="Arial"/>
          <w:sz w:val="24"/>
          <w:szCs w:val="24"/>
        </w:rPr>
        <w:tab/>
        <w:t>The counsel for the</w:t>
      </w:r>
      <w:r w:rsidR="00CA0E2E">
        <w:rPr>
          <w:rFonts w:ascii="Arial" w:hAnsi="Arial" w:cs="Arial"/>
          <w:sz w:val="24"/>
          <w:szCs w:val="24"/>
        </w:rPr>
        <w:t xml:space="preserve"> first defendant argued that</w:t>
      </w:r>
      <w:r w:rsidRPr="00CA0E2E">
        <w:rPr>
          <w:rFonts w:ascii="Arial" w:hAnsi="Arial" w:cs="Arial"/>
          <w:sz w:val="24"/>
          <w:szCs w:val="24"/>
        </w:rPr>
        <w:t xml:space="preserve"> in order to remedy the concern of the plaintiff</w:t>
      </w:r>
      <w:r w:rsidR="00CA0E2E">
        <w:rPr>
          <w:rFonts w:ascii="Arial" w:hAnsi="Arial" w:cs="Arial"/>
          <w:sz w:val="24"/>
          <w:szCs w:val="24"/>
        </w:rPr>
        <w:t>s</w:t>
      </w:r>
      <w:r w:rsidRPr="00CA0E2E">
        <w:rPr>
          <w:rFonts w:ascii="Arial" w:hAnsi="Arial" w:cs="Arial"/>
          <w:sz w:val="24"/>
          <w:szCs w:val="24"/>
        </w:rPr>
        <w:t xml:space="preserve"> the appropriate approach can be found in the common law principles of </w:t>
      </w:r>
      <w:r w:rsidRPr="00CA0E2E">
        <w:rPr>
          <w:rFonts w:ascii="Arial" w:hAnsi="Arial" w:cs="Arial"/>
          <w:sz w:val="24"/>
          <w:szCs w:val="24"/>
        </w:rPr>
        <w:lastRenderedPageBreak/>
        <w:t xml:space="preserve">clarification of the judgment. It is indeed correct that a court may in certain circumstance under the common law clarify its judgment. </w:t>
      </w:r>
    </w:p>
    <w:p w:rsidR="00BA7318" w:rsidRPr="00CA0E2E" w:rsidRDefault="00BA7318" w:rsidP="00735102">
      <w:pPr>
        <w:spacing w:after="0" w:line="360" w:lineRule="auto"/>
        <w:jc w:val="both"/>
        <w:rPr>
          <w:rFonts w:ascii="Arial" w:hAnsi="Arial" w:cs="Arial"/>
          <w:sz w:val="24"/>
          <w:szCs w:val="24"/>
        </w:rPr>
      </w:pPr>
    </w:p>
    <w:p w:rsidR="00702DF2" w:rsidRDefault="00BA7318" w:rsidP="00735102">
      <w:pPr>
        <w:spacing w:after="0" w:line="360" w:lineRule="auto"/>
        <w:jc w:val="both"/>
        <w:rPr>
          <w:rFonts w:ascii="Arial" w:hAnsi="Arial" w:cs="Arial"/>
          <w:sz w:val="24"/>
          <w:szCs w:val="24"/>
        </w:rPr>
      </w:pPr>
      <w:r w:rsidRPr="00CA0E2E">
        <w:rPr>
          <w:rFonts w:ascii="Arial" w:hAnsi="Arial" w:cs="Arial"/>
          <w:sz w:val="24"/>
          <w:szCs w:val="24"/>
        </w:rPr>
        <w:t>[</w:t>
      </w:r>
      <w:r w:rsidR="00CA0E2E">
        <w:rPr>
          <w:rFonts w:ascii="Arial" w:hAnsi="Arial" w:cs="Arial"/>
          <w:sz w:val="24"/>
          <w:szCs w:val="24"/>
        </w:rPr>
        <w:t>29</w:t>
      </w:r>
      <w:r w:rsidRPr="00CA0E2E">
        <w:rPr>
          <w:rFonts w:ascii="Arial" w:hAnsi="Arial" w:cs="Arial"/>
          <w:sz w:val="24"/>
          <w:szCs w:val="24"/>
        </w:rPr>
        <w:t>]</w:t>
      </w:r>
      <w:r w:rsidRPr="00CA0E2E">
        <w:rPr>
          <w:rFonts w:ascii="Arial" w:hAnsi="Arial" w:cs="Arial"/>
          <w:sz w:val="24"/>
          <w:szCs w:val="24"/>
        </w:rPr>
        <w:tab/>
        <w:t xml:space="preserve">If </w:t>
      </w:r>
      <w:r w:rsidR="00776EE3" w:rsidRPr="00CA0E2E">
        <w:rPr>
          <w:rFonts w:ascii="Arial" w:hAnsi="Arial" w:cs="Arial"/>
          <w:sz w:val="24"/>
          <w:szCs w:val="24"/>
        </w:rPr>
        <w:t xml:space="preserve">I understand </w:t>
      </w:r>
      <w:r w:rsidRPr="00CA0E2E">
        <w:rPr>
          <w:rFonts w:ascii="Arial" w:hAnsi="Arial" w:cs="Arial"/>
          <w:sz w:val="24"/>
          <w:szCs w:val="24"/>
        </w:rPr>
        <w:t xml:space="preserve">the </w:t>
      </w:r>
      <w:r w:rsidRPr="00CA0E2E">
        <w:rPr>
          <w:rFonts w:ascii="Arial" w:hAnsi="Arial" w:cs="Arial"/>
          <w:i/>
          <w:sz w:val="24"/>
          <w:szCs w:val="24"/>
        </w:rPr>
        <w:t>Firestone</w:t>
      </w:r>
      <w:r w:rsidRPr="00CA0E2E">
        <w:rPr>
          <w:rFonts w:ascii="Arial" w:hAnsi="Arial" w:cs="Arial"/>
          <w:sz w:val="24"/>
          <w:szCs w:val="24"/>
        </w:rPr>
        <w:t xml:space="preserve"> matter and the </w:t>
      </w:r>
      <w:r w:rsidRPr="00CA0E2E">
        <w:rPr>
          <w:rFonts w:ascii="Arial" w:hAnsi="Arial" w:cs="Arial"/>
          <w:i/>
          <w:sz w:val="24"/>
          <w:szCs w:val="24"/>
        </w:rPr>
        <w:t>Colyn</w:t>
      </w:r>
      <w:r w:rsidRPr="00CA0E2E">
        <w:rPr>
          <w:rFonts w:ascii="Arial" w:hAnsi="Arial" w:cs="Arial"/>
          <w:sz w:val="24"/>
          <w:szCs w:val="24"/>
        </w:rPr>
        <w:t xml:space="preserve"> matter correct then</w:t>
      </w:r>
      <w:r w:rsidR="00702DF2" w:rsidRPr="00CA0E2E">
        <w:rPr>
          <w:rFonts w:ascii="Arial" w:hAnsi="Arial" w:cs="Arial"/>
          <w:sz w:val="24"/>
          <w:szCs w:val="24"/>
        </w:rPr>
        <w:t xml:space="preserve"> </w:t>
      </w:r>
      <w:r w:rsidRPr="00CA0E2E">
        <w:rPr>
          <w:rFonts w:ascii="Arial" w:hAnsi="Arial" w:cs="Arial"/>
          <w:sz w:val="24"/>
          <w:szCs w:val="24"/>
        </w:rPr>
        <w:t>it appears that</w:t>
      </w:r>
      <w:r w:rsidR="00776EE3" w:rsidRPr="00CA0E2E">
        <w:rPr>
          <w:rFonts w:ascii="Arial" w:hAnsi="Arial" w:cs="Arial"/>
          <w:sz w:val="24"/>
          <w:szCs w:val="24"/>
        </w:rPr>
        <w:t xml:space="preserve"> under the common law</w:t>
      </w:r>
      <w:r w:rsidRPr="00CA0E2E">
        <w:rPr>
          <w:rFonts w:ascii="Arial" w:hAnsi="Arial" w:cs="Arial"/>
          <w:sz w:val="24"/>
          <w:szCs w:val="24"/>
        </w:rPr>
        <w:t xml:space="preserve"> </w:t>
      </w:r>
      <w:r w:rsidR="00702DF2" w:rsidRPr="00CA0E2E">
        <w:rPr>
          <w:rFonts w:ascii="Arial" w:hAnsi="Arial" w:cs="Arial"/>
          <w:sz w:val="24"/>
          <w:szCs w:val="24"/>
        </w:rPr>
        <w:t>a principal judgment could be supplemented if an accessory had been inadvertently omitted. Such accessory or consequential matters would be for example, costs o</w:t>
      </w:r>
      <w:r w:rsidR="00CA0E2E">
        <w:rPr>
          <w:rFonts w:ascii="Arial" w:hAnsi="Arial" w:cs="Arial"/>
          <w:sz w:val="24"/>
          <w:szCs w:val="24"/>
        </w:rPr>
        <w:t>r interest of the judgment debt</w:t>
      </w:r>
      <w:r w:rsidR="00702DF2" w:rsidRPr="00CA0E2E">
        <w:rPr>
          <w:rFonts w:ascii="Arial" w:hAnsi="Arial" w:cs="Arial"/>
          <w:sz w:val="24"/>
          <w:szCs w:val="24"/>
        </w:rPr>
        <w:t xml:space="preserve"> that the Court overlooked or inadvertently omitted to </w:t>
      </w:r>
      <w:r w:rsidR="00CA0E2E">
        <w:rPr>
          <w:rFonts w:ascii="Arial" w:hAnsi="Arial" w:cs="Arial"/>
          <w:sz w:val="24"/>
          <w:szCs w:val="24"/>
        </w:rPr>
        <w:t>‘</w:t>
      </w:r>
      <w:r w:rsidR="00702DF2" w:rsidRPr="00CA0E2E">
        <w:rPr>
          <w:rFonts w:ascii="Arial" w:hAnsi="Arial" w:cs="Arial"/>
          <w:sz w:val="24"/>
          <w:szCs w:val="24"/>
        </w:rPr>
        <w:t xml:space="preserve">grant’ or ‘clarify’ it ‘if, on a proper interpretation, the meaning thereof remains obscure, ambiguous or otherwise uncertain, </w:t>
      </w:r>
      <w:r w:rsidR="00702DF2" w:rsidRPr="00702DF2">
        <w:rPr>
          <w:rFonts w:ascii="Arial" w:hAnsi="Arial" w:cs="Arial"/>
          <w:sz w:val="24"/>
          <w:szCs w:val="24"/>
        </w:rPr>
        <w:t>so as to give effect to its true intention</w:t>
      </w:r>
      <w:r w:rsidR="00776EE3">
        <w:rPr>
          <w:rFonts w:ascii="Arial" w:hAnsi="Arial" w:cs="Arial"/>
          <w:sz w:val="24"/>
          <w:szCs w:val="24"/>
        </w:rPr>
        <w:t>.</w:t>
      </w:r>
      <w:r w:rsidR="00CA0E2E">
        <w:rPr>
          <w:rFonts w:ascii="Arial" w:hAnsi="Arial" w:cs="Arial"/>
          <w:sz w:val="24"/>
          <w:szCs w:val="24"/>
        </w:rPr>
        <w:t>’</w:t>
      </w:r>
      <w:r w:rsidR="00776EE3" w:rsidRPr="00776EE3">
        <w:rPr>
          <w:rFonts w:ascii="Arial" w:hAnsi="Arial" w:cs="Arial"/>
        </w:rPr>
        <w:t xml:space="preserve"> </w:t>
      </w:r>
      <w:r w:rsidR="00776EE3">
        <w:rPr>
          <w:rFonts w:ascii="Arial" w:hAnsi="Arial" w:cs="Arial"/>
        </w:rPr>
        <w:t xml:space="preserve"> </w:t>
      </w:r>
      <w:r w:rsidR="00776EE3" w:rsidRPr="00776EE3">
        <w:rPr>
          <w:rFonts w:ascii="Arial" w:hAnsi="Arial" w:cs="Arial"/>
          <w:sz w:val="24"/>
          <w:szCs w:val="24"/>
        </w:rPr>
        <w:t>However, insofar as a court may have a general discretion to correct, alter or supplement its judgmen</w:t>
      </w:r>
      <w:r w:rsidR="00CA0E2E">
        <w:rPr>
          <w:rFonts w:ascii="Arial" w:hAnsi="Arial" w:cs="Arial"/>
          <w:sz w:val="24"/>
          <w:szCs w:val="24"/>
        </w:rPr>
        <w:t xml:space="preserve">t or order in appropriate </w:t>
      </w:r>
      <w:r w:rsidR="00776EE3" w:rsidRPr="00776EE3">
        <w:rPr>
          <w:rFonts w:ascii="Arial" w:hAnsi="Arial" w:cs="Arial"/>
          <w:sz w:val="24"/>
          <w:szCs w:val="24"/>
        </w:rPr>
        <w:t>cases such discretion should be used sparingly.</w:t>
      </w:r>
    </w:p>
    <w:p w:rsidR="00E90E1C" w:rsidRDefault="00E90E1C" w:rsidP="00735102">
      <w:pPr>
        <w:spacing w:after="0" w:line="360" w:lineRule="auto"/>
        <w:jc w:val="both"/>
        <w:rPr>
          <w:rFonts w:ascii="Arial" w:hAnsi="Arial" w:cs="Arial"/>
          <w:sz w:val="24"/>
          <w:szCs w:val="24"/>
        </w:rPr>
      </w:pPr>
    </w:p>
    <w:p w:rsidR="00E90E1C" w:rsidRDefault="00E90E1C" w:rsidP="00735102">
      <w:pPr>
        <w:spacing w:after="0" w:line="360" w:lineRule="auto"/>
        <w:jc w:val="both"/>
        <w:rPr>
          <w:rFonts w:ascii="Arial" w:hAnsi="Arial" w:cs="Arial"/>
          <w:sz w:val="24"/>
          <w:szCs w:val="24"/>
        </w:rPr>
      </w:pPr>
      <w:r>
        <w:rPr>
          <w:rFonts w:ascii="Arial" w:hAnsi="Arial" w:cs="Arial"/>
          <w:sz w:val="24"/>
          <w:szCs w:val="24"/>
        </w:rPr>
        <w:t>[</w:t>
      </w:r>
      <w:r w:rsidR="001A6853">
        <w:rPr>
          <w:rFonts w:ascii="Arial" w:hAnsi="Arial" w:cs="Arial"/>
          <w:sz w:val="24"/>
          <w:szCs w:val="24"/>
        </w:rPr>
        <w:t>30</w:t>
      </w:r>
      <w:r>
        <w:rPr>
          <w:rFonts w:ascii="Arial" w:hAnsi="Arial" w:cs="Arial"/>
          <w:sz w:val="24"/>
          <w:szCs w:val="24"/>
        </w:rPr>
        <w:t>]</w:t>
      </w:r>
      <w:r>
        <w:rPr>
          <w:rFonts w:ascii="Arial" w:hAnsi="Arial" w:cs="Arial"/>
          <w:sz w:val="24"/>
          <w:szCs w:val="24"/>
        </w:rPr>
        <w:tab/>
        <w:t xml:space="preserve"> The issue complained of by the plaintiff</w:t>
      </w:r>
      <w:r w:rsidR="00CA0E2E">
        <w:rPr>
          <w:rFonts w:ascii="Arial" w:hAnsi="Arial" w:cs="Arial"/>
          <w:sz w:val="24"/>
          <w:szCs w:val="24"/>
        </w:rPr>
        <w:t>’</w:t>
      </w:r>
      <w:r>
        <w:rPr>
          <w:rFonts w:ascii="Arial" w:hAnsi="Arial" w:cs="Arial"/>
          <w:sz w:val="24"/>
          <w:szCs w:val="24"/>
        </w:rPr>
        <w:t xml:space="preserve"> cannot be qualified as an accessory or consequential matter and therefore the judgment cannot be supplemented. </w:t>
      </w:r>
    </w:p>
    <w:p w:rsidR="00E90E1C" w:rsidRDefault="00E90E1C" w:rsidP="00735102">
      <w:pPr>
        <w:spacing w:after="0" w:line="360" w:lineRule="auto"/>
        <w:jc w:val="both"/>
        <w:rPr>
          <w:rFonts w:ascii="Arial" w:hAnsi="Arial" w:cs="Arial"/>
          <w:sz w:val="24"/>
          <w:szCs w:val="24"/>
        </w:rPr>
      </w:pPr>
    </w:p>
    <w:p w:rsidR="00776EE3" w:rsidRDefault="00E90E1C" w:rsidP="00735102">
      <w:pPr>
        <w:spacing w:after="0" w:line="360" w:lineRule="auto"/>
        <w:jc w:val="both"/>
        <w:rPr>
          <w:rFonts w:ascii="Arial" w:hAnsi="Arial" w:cs="Arial"/>
          <w:sz w:val="24"/>
          <w:szCs w:val="24"/>
        </w:rPr>
      </w:pPr>
      <w:r>
        <w:rPr>
          <w:rFonts w:ascii="Arial" w:hAnsi="Arial" w:cs="Arial"/>
          <w:sz w:val="24"/>
          <w:szCs w:val="24"/>
        </w:rPr>
        <w:t>[</w:t>
      </w:r>
      <w:r w:rsidR="001A6853">
        <w:rPr>
          <w:rFonts w:ascii="Arial" w:hAnsi="Arial" w:cs="Arial"/>
          <w:sz w:val="24"/>
          <w:szCs w:val="24"/>
        </w:rPr>
        <w:t>31</w:t>
      </w:r>
      <w:r>
        <w:rPr>
          <w:rFonts w:ascii="Arial" w:hAnsi="Arial" w:cs="Arial"/>
          <w:sz w:val="24"/>
          <w:szCs w:val="24"/>
        </w:rPr>
        <w:t>]</w:t>
      </w:r>
      <w:r>
        <w:rPr>
          <w:rFonts w:ascii="Arial" w:hAnsi="Arial" w:cs="Arial"/>
          <w:sz w:val="24"/>
          <w:szCs w:val="24"/>
        </w:rPr>
        <w:tab/>
        <w:t xml:space="preserve">The court may also clarify its judgment or order if, on proper interpretation the meaning thereof remains obscure, ambiguous or otherwise unsure, in so far as to give effect to the court’s true intention provided that it does not thereby alter the ‘sense and substance’ of the judgment or order.   By advancing further reasons in an attempt to clarify the judgment </w:t>
      </w:r>
      <w:r w:rsidR="001A6853">
        <w:rPr>
          <w:rFonts w:ascii="Arial" w:hAnsi="Arial" w:cs="Arial"/>
          <w:sz w:val="24"/>
          <w:szCs w:val="24"/>
        </w:rPr>
        <w:t>this would</w:t>
      </w:r>
      <w:r>
        <w:rPr>
          <w:rFonts w:ascii="Arial" w:hAnsi="Arial" w:cs="Arial"/>
          <w:sz w:val="24"/>
          <w:szCs w:val="24"/>
        </w:rPr>
        <w:t xml:space="preserve"> result in altering the sense and the substance of the judgment, which cannot be done. </w:t>
      </w:r>
    </w:p>
    <w:p w:rsidR="00E90E1C" w:rsidRDefault="00E90E1C" w:rsidP="00735102">
      <w:pPr>
        <w:spacing w:after="0" w:line="360" w:lineRule="auto"/>
        <w:jc w:val="both"/>
        <w:rPr>
          <w:rFonts w:ascii="Arial" w:hAnsi="Arial" w:cs="Arial"/>
          <w:sz w:val="24"/>
          <w:szCs w:val="24"/>
        </w:rPr>
      </w:pPr>
    </w:p>
    <w:p w:rsidR="00E90E1C" w:rsidRPr="00702DF2" w:rsidRDefault="00E90E1C" w:rsidP="00735102">
      <w:pPr>
        <w:spacing w:after="0" w:line="360" w:lineRule="auto"/>
        <w:jc w:val="both"/>
        <w:rPr>
          <w:rFonts w:ascii="Arial" w:hAnsi="Arial" w:cs="Arial"/>
          <w:sz w:val="24"/>
          <w:szCs w:val="24"/>
        </w:rPr>
      </w:pPr>
      <w:r>
        <w:rPr>
          <w:rFonts w:ascii="Arial" w:hAnsi="Arial" w:cs="Arial"/>
          <w:sz w:val="24"/>
          <w:szCs w:val="24"/>
        </w:rPr>
        <w:t>[</w:t>
      </w:r>
      <w:r w:rsidR="001A6853">
        <w:rPr>
          <w:rFonts w:ascii="Arial" w:hAnsi="Arial" w:cs="Arial"/>
          <w:sz w:val="24"/>
          <w:szCs w:val="24"/>
        </w:rPr>
        <w:t>32</w:t>
      </w:r>
      <w:r>
        <w:rPr>
          <w:rFonts w:ascii="Arial" w:hAnsi="Arial" w:cs="Arial"/>
          <w:sz w:val="24"/>
          <w:szCs w:val="24"/>
        </w:rPr>
        <w:t>]</w:t>
      </w:r>
      <w:r>
        <w:rPr>
          <w:rFonts w:ascii="Arial" w:hAnsi="Arial" w:cs="Arial"/>
          <w:sz w:val="24"/>
          <w:szCs w:val="24"/>
        </w:rPr>
        <w:tab/>
        <w:t xml:space="preserve">Therefore, </w:t>
      </w:r>
      <w:r w:rsidR="00FE758C">
        <w:rPr>
          <w:rFonts w:ascii="Arial" w:hAnsi="Arial" w:cs="Arial"/>
          <w:sz w:val="24"/>
          <w:szCs w:val="24"/>
        </w:rPr>
        <w:t xml:space="preserve">whether the application is in terms of the Rules of Court or in terms of the common law </w:t>
      </w:r>
      <w:r w:rsidR="001A6853">
        <w:rPr>
          <w:rFonts w:ascii="Arial" w:hAnsi="Arial" w:cs="Arial"/>
          <w:sz w:val="24"/>
          <w:szCs w:val="24"/>
        </w:rPr>
        <w:t>the Court</w:t>
      </w:r>
      <w:r w:rsidR="00FE758C">
        <w:rPr>
          <w:rFonts w:ascii="Arial" w:hAnsi="Arial" w:cs="Arial"/>
          <w:sz w:val="24"/>
          <w:szCs w:val="24"/>
        </w:rPr>
        <w:t xml:space="preserve"> cannot supplement, clarify or vary its order without affecting the sense and substance of the judgment. </w:t>
      </w:r>
    </w:p>
    <w:p w:rsidR="00B14D5A" w:rsidRDefault="00B14D5A" w:rsidP="00B14D5A">
      <w:pPr>
        <w:spacing w:after="0" w:line="360" w:lineRule="auto"/>
        <w:jc w:val="both"/>
        <w:rPr>
          <w:rFonts w:ascii="Arial" w:hAnsi="Arial" w:cs="Arial"/>
          <w:sz w:val="24"/>
          <w:szCs w:val="24"/>
        </w:rPr>
      </w:pPr>
    </w:p>
    <w:p w:rsidR="00B14D5A" w:rsidRDefault="00B14D5A" w:rsidP="00B14D5A">
      <w:pPr>
        <w:spacing w:after="0" w:line="360" w:lineRule="auto"/>
        <w:jc w:val="both"/>
        <w:rPr>
          <w:rFonts w:ascii="Arial" w:hAnsi="Arial" w:cs="Arial"/>
          <w:sz w:val="24"/>
          <w:szCs w:val="24"/>
        </w:rPr>
      </w:pPr>
      <w:r>
        <w:rPr>
          <w:rFonts w:ascii="Arial" w:hAnsi="Arial" w:cs="Arial"/>
          <w:sz w:val="24"/>
          <w:szCs w:val="24"/>
        </w:rPr>
        <w:t>[</w:t>
      </w:r>
      <w:r w:rsidR="001A6853">
        <w:rPr>
          <w:rFonts w:ascii="Arial" w:hAnsi="Arial" w:cs="Arial"/>
          <w:sz w:val="24"/>
          <w:szCs w:val="24"/>
        </w:rPr>
        <w:t>33</w:t>
      </w:r>
      <w:r>
        <w:rPr>
          <w:rFonts w:ascii="Arial" w:hAnsi="Arial" w:cs="Arial"/>
          <w:sz w:val="24"/>
          <w:szCs w:val="24"/>
        </w:rPr>
        <w:t>]</w:t>
      </w:r>
      <w:r>
        <w:rPr>
          <w:rFonts w:ascii="Arial" w:hAnsi="Arial" w:cs="Arial"/>
          <w:sz w:val="24"/>
          <w:szCs w:val="24"/>
        </w:rPr>
        <w:tab/>
      </w:r>
      <w:r w:rsidR="00FE758C">
        <w:rPr>
          <w:rFonts w:ascii="Arial" w:hAnsi="Arial" w:cs="Arial"/>
          <w:sz w:val="24"/>
          <w:szCs w:val="24"/>
        </w:rPr>
        <w:t xml:space="preserve">This court must therefore decline to vary the order and as a result </w:t>
      </w:r>
      <w:r>
        <w:rPr>
          <w:rFonts w:ascii="Arial" w:hAnsi="Arial" w:cs="Arial"/>
          <w:sz w:val="24"/>
          <w:szCs w:val="24"/>
        </w:rPr>
        <w:t xml:space="preserve">the application for variation of the order is refused. </w:t>
      </w:r>
    </w:p>
    <w:p w:rsidR="00FE758C" w:rsidRDefault="00FE758C" w:rsidP="007E45F7">
      <w:pPr>
        <w:spacing w:after="0" w:line="360" w:lineRule="auto"/>
        <w:jc w:val="both"/>
        <w:rPr>
          <w:rFonts w:ascii="Arial" w:hAnsi="Arial" w:cs="Arial"/>
          <w:sz w:val="24"/>
          <w:szCs w:val="24"/>
          <w:u w:val="single"/>
          <w:lang w:val="en-US"/>
        </w:rPr>
      </w:pPr>
    </w:p>
    <w:p w:rsidR="00D10D53" w:rsidRDefault="00D10D53" w:rsidP="007E45F7">
      <w:pPr>
        <w:spacing w:after="0" w:line="360" w:lineRule="auto"/>
        <w:jc w:val="both"/>
        <w:rPr>
          <w:rFonts w:ascii="Arial" w:hAnsi="Arial" w:cs="Arial"/>
          <w:sz w:val="24"/>
          <w:szCs w:val="24"/>
          <w:u w:val="single"/>
          <w:lang w:val="en-US"/>
        </w:rPr>
      </w:pPr>
    </w:p>
    <w:p w:rsidR="00D10D53" w:rsidRDefault="00D10D53" w:rsidP="007E45F7">
      <w:pPr>
        <w:spacing w:after="0" w:line="360" w:lineRule="auto"/>
        <w:jc w:val="both"/>
        <w:rPr>
          <w:rFonts w:ascii="Arial" w:hAnsi="Arial" w:cs="Arial"/>
          <w:sz w:val="24"/>
          <w:szCs w:val="24"/>
          <w:u w:val="single"/>
          <w:lang w:val="en-US"/>
        </w:rPr>
      </w:pPr>
    </w:p>
    <w:p w:rsidR="004046A5" w:rsidRPr="004046A5" w:rsidRDefault="004046A5" w:rsidP="007E45F7">
      <w:pPr>
        <w:spacing w:after="0" w:line="360" w:lineRule="auto"/>
        <w:jc w:val="both"/>
        <w:rPr>
          <w:rFonts w:ascii="Arial" w:hAnsi="Arial" w:cs="Arial"/>
          <w:sz w:val="24"/>
          <w:szCs w:val="24"/>
          <w:u w:val="single"/>
          <w:lang w:val="en-US"/>
        </w:rPr>
      </w:pPr>
      <w:r w:rsidRPr="004046A5">
        <w:rPr>
          <w:rFonts w:ascii="Arial" w:hAnsi="Arial" w:cs="Arial"/>
          <w:sz w:val="24"/>
          <w:szCs w:val="24"/>
          <w:u w:val="single"/>
          <w:lang w:val="en-US"/>
        </w:rPr>
        <w:lastRenderedPageBreak/>
        <w:t xml:space="preserve">Condonation application </w:t>
      </w:r>
    </w:p>
    <w:p w:rsidR="00E45AA5" w:rsidRPr="00E45AA5" w:rsidRDefault="00E45AA5" w:rsidP="007E45F7">
      <w:pPr>
        <w:tabs>
          <w:tab w:val="left" w:pos="720"/>
          <w:tab w:val="left" w:pos="1380"/>
        </w:tabs>
        <w:spacing w:after="0" w:line="360" w:lineRule="auto"/>
        <w:jc w:val="both"/>
        <w:rPr>
          <w:rFonts w:ascii="Arial" w:hAnsi="Arial" w:cs="Arial"/>
          <w:sz w:val="24"/>
          <w:szCs w:val="24"/>
        </w:rPr>
      </w:pPr>
    </w:p>
    <w:p w:rsidR="007238EC" w:rsidRPr="002D308F" w:rsidRDefault="007F5049"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642EED">
        <w:rPr>
          <w:rFonts w:ascii="Arial" w:hAnsi="Arial" w:cs="Arial"/>
          <w:sz w:val="24"/>
          <w:szCs w:val="24"/>
        </w:rPr>
        <w:t>34</w:t>
      </w:r>
      <w:r w:rsidR="00E45AA5">
        <w:rPr>
          <w:rFonts w:ascii="Arial" w:hAnsi="Arial" w:cs="Arial"/>
          <w:sz w:val="24"/>
          <w:szCs w:val="24"/>
        </w:rPr>
        <w:t>]</w:t>
      </w:r>
      <w:r w:rsidR="00E45AA5">
        <w:rPr>
          <w:rFonts w:ascii="Arial" w:hAnsi="Arial" w:cs="Arial"/>
          <w:sz w:val="24"/>
          <w:szCs w:val="24"/>
        </w:rPr>
        <w:tab/>
      </w:r>
      <w:r w:rsidR="00456D28" w:rsidRPr="00456D28">
        <w:rPr>
          <w:rFonts w:ascii="Arial" w:hAnsi="Arial" w:cs="Arial"/>
          <w:sz w:val="24"/>
          <w:szCs w:val="24"/>
        </w:rPr>
        <w:t>The present application com</w:t>
      </w:r>
      <w:r w:rsidR="00456D28">
        <w:rPr>
          <w:rFonts w:ascii="Arial" w:hAnsi="Arial" w:cs="Arial"/>
          <w:sz w:val="24"/>
          <w:szCs w:val="24"/>
        </w:rPr>
        <w:t>es after the court’s ruling on 21 February 2020</w:t>
      </w:r>
      <w:r w:rsidR="00456D28" w:rsidRPr="00456D28">
        <w:rPr>
          <w:rFonts w:ascii="Arial" w:hAnsi="Arial" w:cs="Arial"/>
          <w:sz w:val="24"/>
          <w:szCs w:val="24"/>
        </w:rPr>
        <w:t xml:space="preserve"> wherein the </w:t>
      </w:r>
      <w:r w:rsidR="00456D28">
        <w:rPr>
          <w:rFonts w:ascii="Arial" w:hAnsi="Arial" w:cs="Arial"/>
          <w:sz w:val="24"/>
          <w:szCs w:val="24"/>
        </w:rPr>
        <w:t xml:space="preserve">first </w:t>
      </w:r>
      <w:r w:rsidR="00456D28" w:rsidRPr="00456D28">
        <w:rPr>
          <w:rFonts w:ascii="Arial" w:hAnsi="Arial" w:cs="Arial"/>
          <w:sz w:val="24"/>
          <w:szCs w:val="24"/>
        </w:rPr>
        <w:t>d</w:t>
      </w:r>
      <w:r w:rsidR="00456D28">
        <w:rPr>
          <w:rFonts w:ascii="Arial" w:hAnsi="Arial" w:cs="Arial"/>
          <w:sz w:val="24"/>
          <w:szCs w:val="24"/>
        </w:rPr>
        <w:t>efendant’s rescission application was successful and the court ordere</w:t>
      </w:r>
      <w:r w:rsidR="00922218">
        <w:rPr>
          <w:rFonts w:ascii="Arial" w:hAnsi="Arial" w:cs="Arial"/>
          <w:sz w:val="24"/>
          <w:szCs w:val="24"/>
        </w:rPr>
        <w:t>d that he</w:t>
      </w:r>
      <w:r w:rsidR="00456D28">
        <w:rPr>
          <w:rFonts w:ascii="Arial" w:hAnsi="Arial" w:cs="Arial"/>
          <w:sz w:val="24"/>
          <w:szCs w:val="24"/>
        </w:rPr>
        <w:t xml:space="preserve"> file all outstanding pleadings, including his witness statement, </w:t>
      </w:r>
      <w:r w:rsidR="00922218">
        <w:rPr>
          <w:rFonts w:ascii="Arial" w:hAnsi="Arial" w:cs="Arial"/>
          <w:sz w:val="24"/>
          <w:szCs w:val="24"/>
        </w:rPr>
        <w:t>10 days from date of the</w:t>
      </w:r>
      <w:r w:rsidR="00456D28" w:rsidRPr="00456D28">
        <w:rPr>
          <w:rFonts w:ascii="Arial" w:hAnsi="Arial" w:cs="Arial"/>
          <w:sz w:val="24"/>
          <w:szCs w:val="24"/>
        </w:rPr>
        <w:t xml:space="preserve"> order</w:t>
      </w:r>
      <w:r w:rsidR="00456D28">
        <w:rPr>
          <w:rFonts w:ascii="Arial" w:hAnsi="Arial" w:cs="Arial"/>
          <w:sz w:val="24"/>
          <w:szCs w:val="24"/>
        </w:rPr>
        <w:t xml:space="preserve">. If </w:t>
      </w:r>
      <w:r w:rsidR="006B1ADE">
        <w:rPr>
          <w:rFonts w:ascii="Arial" w:hAnsi="Arial" w:cs="Arial"/>
          <w:sz w:val="24"/>
          <w:szCs w:val="24"/>
        </w:rPr>
        <w:t xml:space="preserve">one computes the </w:t>
      </w:r>
      <w:r w:rsidR="00456D28">
        <w:rPr>
          <w:rFonts w:ascii="Arial" w:hAnsi="Arial" w:cs="Arial"/>
          <w:sz w:val="24"/>
          <w:szCs w:val="24"/>
        </w:rPr>
        <w:t xml:space="preserve">court days from 21 February 2020, the outstanding pleadings were to be filed by 5 March 2020. </w:t>
      </w:r>
      <w:r w:rsidR="004632A1">
        <w:rPr>
          <w:rFonts w:ascii="Arial" w:hAnsi="Arial" w:cs="Arial"/>
          <w:sz w:val="24"/>
          <w:szCs w:val="24"/>
        </w:rPr>
        <w:t xml:space="preserve">The first defendant seeks condonation for his non-compliance with the </w:t>
      </w:r>
      <w:r w:rsidR="00903B34">
        <w:rPr>
          <w:rFonts w:ascii="Arial" w:hAnsi="Arial" w:cs="Arial"/>
          <w:sz w:val="24"/>
          <w:szCs w:val="24"/>
        </w:rPr>
        <w:t xml:space="preserve">said </w:t>
      </w:r>
      <w:r w:rsidR="004632A1">
        <w:rPr>
          <w:rFonts w:ascii="Arial" w:hAnsi="Arial" w:cs="Arial"/>
          <w:sz w:val="24"/>
          <w:szCs w:val="24"/>
        </w:rPr>
        <w:t xml:space="preserve">court </w:t>
      </w:r>
      <w:r w:rsidR="00922218">
        <w:rPr>
          <w:rFonts w:ascii="Arial" w:hAnsi="Arial" w:cs="Arial"/>
          <w:sz w:val="24"/>
          <w:szCs w:val="24"/>
        </w:rPr>
        <w:t>order of</w:t>
      </w:r>
      <w:r w:rsidR="004632A1">
        <w:rPr>
          <w:rFonts w:ascii="Arial" w:hAnsi="Arial" w:cs="Arial"/>
          <w:sz w:val="24"/>
          <w:szCs w:val="24"/>
        </w:rPr>
        <w:t xml:space="preserve"> 21 February 2020 in that he failed to file his </w:t>
      </w:r>
      <w:r w:rsidR="00642EED">
        <w:rPr>
          <w:rFonts w:ascii="Arial" w:hAnsi="Arial" w:cs="Arial"/>
          <w:sz w:val="24"/>
          <w:szCs w:val="24"/>
        </w:rPr>
        <w:t>expert report and</w:t>
      </w:r>
      <w:r w:rsidR="004632A1">
        <w:rPr>
          <w:rFonts w:ascii="Arial" w:hAnsi="Arial" w:cs="Arial"/>
          <w:sz w:val="24"/>
          <w:szCs w:val="24"/>
        </w:rPr>
        <w:t xml:space="preserve"> statement within 10 days from date of the</w:t>
      </w:r>
      <w:r w:rsidR="00922218">
        <w:rPr>
          <w:rFonts w:ascii="Arial" w:hAnsi="Arial" w:cs="Arial"/>
          <w:sz w:val="24"/>
          <w:szCs w:val="24"/>
        </w:rPr>
        <w:t xml:space="preserve"> said</w:t>
      </w:r>
      <w:r w:rsidR="004632A1">
        <w:rPr>
          <w:rFonts w:ascii="Arial" w:hAnsi="Arial" w:cs="Arial"/>
          <w:sz w:val="24"/>
          <w:szCs w:val="24"/>
        </w:rPr>
        <w:t xml:space="preserve"> order</w:t>
      </w:r>
      <w:r w:rsidR="004046A5">
        <w:rPr>
          <w:rFonts w:ascii="Arial" w:hAnsi="Arial" w:cs="Arial"/>
          <w:sz w:val="24"/>
          <w:szCs w:val="24"/>
        </w:rPr>
        <w:t>.</w:t>
      </w:r>
    </w:p>
    <w:p w:rsidR="004046A5" w:rsidRPr="00E45AA5" w:rsidRDefault="004046A5" w:rsidP="007E45F7">
      <w:pPr>
        <w:tabs>
          <w:tab w:val="left" w:pos="720"/>
          <w:tab w:val="left" w:pos="1380"/>
        </w:tabs>
        <w:spacing w:after="0" w:line="360" w:lineRule="auto"/>
        <w:jc w:val="both"/>
        <w:rPr>
          <w:rFonts w:ascii="Arial" w:hAnsi="Arial" w:cs="Arial"/>
          <w:sz w:val="24"/>
          <w:szCs w:val="24"/>
        </w:rPr>
      </w:pPr>
    </w:p>
    <w:p w:rsidR="00E45AA5" w:rsidRPr="00E45AA5" w:rsidRDefault="007F5049"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642EED">
        <w:rPr>
          <w:rFonts w:ascii="Arial" w:hAnsi="Arial" w:cs="Arial"/>
          <w:sz w:val="24"/>
          <w:szCs w:val="24"/>
        </w:rPr>
        <w:t>35</w:t>
      </w:r>
      <w:r w:rsidR="00E45AA5">
        <w:rPr>
          <w:rFonts w:ascii="Arial" w:hAnsi="Arial" w:cs="Arial"/>
          <w:sz w:val="24"/>
          <w:szCs w:val="24"/>
        </w:rPr>
        <w:t>]</w:t>
      </w:r>
      <w:r w:rsidR="00E45AA5">
        <w:rPr>
          <w:rFonts w:ascii="Arial" w:hAnsi="Arial" w:cs="Arial"/>
          <w:sz w:val="24"/>
          <w:szCs w:val="24"/>
        </w:rPr>
        <w:tab/>
      </w:r>
      <w:r w:rsidR="00922218">
        <w:rPr>
          <w:rFonts w:ascii="Arial" w:hAnsi="Arial" w:cs="Arial"/>
          <w:sz w:val="24"/>
          <w:szCs w:val="24"/>
        </w:rPr>
        <w:t xml:space="preserve">To put the reasoning and findings of the Court that will follow hereinafter in context, it is necessary to point out </w:t>
      </w:r>
      <w:r w:rsidR="00903B34">
        <w:rPr>
          <w:rFonts w:ascii="Arial" w:hAnsi="Arial" w:cs="Arial"/>
          <w:sz w:val="24"/>
          <w:szCs w:val="24"/>
        </w:rPr>
        <w:t xml:space="preserve">first defendant’s </w:t>
      </w:r>
      <w:r w:rsidR="00922218">
        <w:rPr>
          <w:rFonts w:ascii="Arial" w:hAnsi="Arial" w:cs="Arial"/>
          <w:sz w:val="24"/>
          <w:szCs w:val="24"/>
        </w:rPr>
        <w:t>previous non-compliances</w:t>
      </w:r>
      <w:r w:rsidR="005E0F8E">
        <w:rPr>
          <w:rFonts w:ascii="Arial" w:hAnsi="Arial" w:cs="Arial"/>
          <w:sz w:val="24"/>
          <w:szCs w:val="24"/>
        </w:rPr>
        <w:t xml:space="preserve"> with</w:t>
      </w:r>
      <w:r w:rsidR="00922218">
        <w:rPr>
          <w:rFonts w:ascii="Arial" w:hAnsi="Arial" w:cs="Arial"/>
          <w:sz w:val="24"/>
          <w:szCs w:val="24"/>
        </w:rPr>
        <w:t xml:space="preserve"> court orders </w:t>
      </w:r>
      <w:r w:rsidR="00903B34">
        <w:rPr>
          <w:rFonts w:ascii="Arial" w:hAnsi="Arial" w:cs="Arial"/>
          <w:sz w:val="24"/>
          <w:szCs w:val="24"/>
        </w:rPr>
        <w:t>and application</w:t>
      </w:r>
      <w:r w:rsidR="00D6568D">
        <w:rPr>
          <w:rFonts w:ascii="Arial" w:hAnsi="Arial" w:cs="Arial"/>
          <w:sz w:val="24"/>
          <w:szCs w:val="24"/>
        </w:rPr>
        <w:t>s</w:t>
      </w:r>
      <w:r w:rsidR="00903B34">
        <w:rPr>
          <w:rFonts w:ascii="Arial" w:hAnsi="Arial" w:cs="Arial"/>
          <w:sz w:val="24"/>
          <w:szCs w:val="24"/>
        </w:rPr>
        <w:t xml:space="preserve"> brought at the instance of the first </w:t>
      </w:r>
      <w:r w:rsidR="00D6568D">
        <w:rPr>
          <w:rFonts w:ascii="Arial" w:hAnsi="Arial" w:cs="Arial"/>
          <w:sz w:val="24"/>
          <w:szCs w:val="24"/>
        </w:rPr>
        <w:t>defendant</w:t>
      </w:r>
      <w:r w:rsidR="00922218">
        <w:rPr>
          <w:rFonts w:ascii="Arial" w:hAnsi="Arial" w:cs="Arial"/>
          <w:sz w:val="24"/>
          <w:szCs w:val="24"/>
        </w:rPr>
        <w:t xml:space="preserve">. </w:t>
      </w:r>
      <w:r w:rsidR="00456D28">
        <w:rPr>
          <w:rFonts w:ascii="Arial" w:hAnsi="Arial" w:cs="Arial"/>
          <w:sz w:val="24"/>
          <w:szCs w:val="24"/>
        </w:rPr>
        <w:t xml:space="preserve">As one can </w:t>
      </w:r>
      <w:r w:rsidR="00E1772E">
        <w:rPr>
          <w:rFonts w:ascii="Arial" w:hAnsi="Arial" w:cs="Arial"/>
          <w:sz w:val="24"/>
          <w:szCs w:val="24"/>
        </w:rPr>
        <w:t>grasp</w:t>
      </w:r>
      <w:r w:rsidR="00456D28">
        <w:rPr>
          <w:rFonts w:ascii="Arial" w:hAnsi="Arial" w:cs="Arial"/>
          <w:sz w:val="24"/>
          <w:szCs w:val="24"/>
        </w:rPr>
        <w:t xml:space="preserve"> from the case number, t</w:t>
      </w:r>
      <w:r w:rsidR="00456D28" w:rsidRPr="00456D28">
        <w:rPr>
          <w:rFonts w:ascii="Arial" w:hAnsi="Arial" w:cs="Arial"/>
          <w:sz w:val="24"/>
          <w:szCs w:val="24"/>
        </w:rPr>
        <w:t xml:space="preserve">his matter stems </w:t>
      </w:r>
      <w:r w:rsidR="00456D28">
        <w:rPr>
          <w:rFonts w:ascii="Arial" w:hAnsi="Arial" w:cs="Arial"/>
          <w:sz w:val="24"/>
          <w:szCs w:val="24"/>
        </w:rPr>
        <w:t xml:space="preserve">from </w:t>
      </w:r>
      <w:r w:rsidR="00456D28" w:rsidRPr="00456D28">
        <w:rPr>
          <w:rFonts w:ascii="Arial" w:hAnsi="Arial" w:cs="Arial"/>
          <w:sz w:val="24"/>
          <w:szCs w:val="24"/>
        </w:rPr>
        <w:t>2016 and it has a troubled past consisting of a number of non-compliances</w:t>
      </w:r>
      <w:r w:rsidR="00D6568D">
        <w:rPr>
          <w:rFonts w:ascii="Arial" w:hAnsi="Arial" w:cs="Arial"/>
          <w:sz w:val="24"/>
          <w:szCs w:val="24"/>
        </w:rPr>
        <w:t xml:space="preserve"> and interlocutory applications</w:t>
      </w:r>
      <w:r w:rsidR="00E45AA5" w:rsidRPr="00E45AA5">
        <w:rPr>
          <w:rFonts w:ascii="Arial" w:hAnsi="Arial" w:cs="Arial"/>
          <w:sz w:val="24"/>
          <w:szCs w:val="24"/>
        </w:rPr>
        <w:t xml:space="preserve">.    </w:t>
      </w:r>
    </w:p>
    <w:p w:rsidR="00E45AA5" w:rsidRPr="00E45AA5" w:rsidRDefault="00E45AA5" w:rsidP="007E45F7">
      <w:pPr>
        <w:tabs>
          <w:tab w:val="left" w:pos="720"/>
          <w:tab w:val="left" w:pos="1380"/>
        </w:tabs>
        <w:spacing w:after="0" w:line="360" w:lineRule="auto"/>
        <w:jc w:val="both"/>
        <w:rPr>
          <w:rFonts w:ascii="Arial" w:hAnsi="Arial" w:cs="Arial"/>
          <w:sz w:val="24"/>
          <w:szCs w:val="24"/>
        </w:rPr>
      </w:pPr>
    </w:p>
    <w:p w:rsidR="00642EED" w:rsidRDefault="00E45AA5" w:rsidP="007E45F7">
      <w:pPr>
        <w:tabs>
          <w:tab w:val="left" w:pos="720"/>
          <w:tab w:val="left" w:pos="1380"/>
        </w:tabs>
        <w:spacing w:after="0" w:line="360" w:lineRule="auto"/>
        <w:jc w:val="both"/>
        <w:rPr>
          <w:rFonts w:ascii="Arial" w:hAnsi="Arial" w:cs="Arial"/>
          <w:sz w:val="24"/>
          <w:szCs w:val="24"/>
          <w:lang w:val="en-US"/>
        </w:rPr>
      </w:pPr>
      <w:r w:rsidRPr="00BB578D">
        <w:rPr>
          <w:rFonts w:ascii="Arial" w:hAnsi="Arial" w:cs="Arial"/>
          <w:sz w:val="24"/>
          <w:szCs w:val="24"/>
        </w:rPr>
        <w:t>[</w:t>
      </w:r>
      <w:r w:rsidR="00642EED">
        <w:rPr>
          <w:rFonts w:ascii="Arial" w:hAnsi="Arial" w:cs="Arial"/>
          <w:sz w:val="24"/>
          <w:szCs w:val="24"/>
        </w:rPr>
        <w:t>36</w:t>
      </w:r>
      <w:r w:rsidRPr="00BB578D">
        <w:rPr>
          <w:rFonts w:ascii="Arial" w:hAnsi="Arial" w:cs="Arial"/>
          <w:sz w:val="24"/>
          <w:szCs w:val="24"/>
        </w:rPr>
        <w:t>]</w:t>
      </w:r>
      <w:r w:rsidRPr="00BB578D">
        <w:rPr>
          <w:rFonts w:ascii="Arial" w:hAnsi="Arial" w:cs="Arial"/>
          <w:sz w:val="24"/>
          <w:szCs w:val="24"/>
        </w:rPr>
        <w:tab/>
      </w:r>
      <w:r w:rsidR="00D6568D">
        <w:rPr>
          <w:rFonts w:ascii="Arial" w:hAnsi="Arial" w:cs="Arial"/>
          <w:sz w:val="24"/>
          <w:szCs w:val="24"/>
        </w:rPr>
        <w:t xml:space="preserve">On 19 July 2017 the court ordered that witness statements, including expert reports and summaries be filed as per the </w:t>
      </w:r>
      <w:r w:rsidR="0087757C">
        <w:rPr>
          <w:rFonts w:ascii="Arial" w:hAnsi="Arial" w:cs="Arial"/>
          <w:sz w:val="24"/>
          <w:szCs w:val="24"/>
        </w:rPr>
        <w:t>parties’</w:t>
      </w:r>
      <w:r w:rsidR="00D6568D">
        <w:rPr>
          <w:rFonts w:ascii="Arial" w:hAnsi="Arial" w:cs="Arial"/>
          <w:sz w:val="24"/>
          <w:szCs w:val="24"/>
        </w:rPr>
        <w:t xml:space="preserve"> joint case management report. The </w:t>
      </w:r>
      <w:r w:rsidR="0087757C">
        <w:rPr>
          <w:rFonts w:ascii="Arial" w:hAnsi="Arial" w:cs="Arial"/>
          <w:sz w:val="24"/>
          <w:szCs w:val="24"/>
        </w:rPr>
        <w:t>plaintiffs</w:t>
      </w:r>
      <w:r w:rsidR="00D6568D">
        <w:rPr>
          <w:rFonts w:ascii="Arial" w:hAnsi="Arial" w:cs="Arial"/>
          <w:sz w:val="24"/>
          <w:szCs w:val="24"/>
        </w:rPr>
        <w:t xml:space="preserve"> </w:t>
      </w:r>
      <w:r w:rsidR="0087757C">
        <w:rPr>
          <w:rFonts w:ascii="Arial" w:hAnsi="Arial" w:cs="Arial"/>
          <w:sz w:val="24"/>
          <w:szCs w:val="24"/>
        </w:rPr>
        <w:t>complied with the court order however the first defendant didn’t comply with the order</w:t>
      </w:r>
      <w:r w:rsidR="004046A5">
        <w:rPr>
          <w:rFonts w:ascii="Arial" w:hAnsi="Arial" w:cs="Arial"/>
          <w:sz w:val="24"/>
          <w:szCs w:val="24"/>
          <w:lang w:val="en-US"/>
        </w:rPr>
        <w:t>.</w:t>
      </w:r>
      <w:r w:rsidR="0087757C">
        <w:rPr>
          <w:rFonts w:ascii="Arial" w:hAnsi="Arial" w:cs="Arial"/>
          <w:sz w:val="24"/>
          <w:szCs w:val="24"/>
          <w:lang w:val="en-US"/>
        </w:rPr>
        <w:t xml:space="preserve"> First defendant only managed to file his own witness stat</w:t>
      </w:r>
      <w:r w:rsidR="008279E3">
        <w:rPr>
          <w:rFonts w:ascii="Arial" w:hAnsi="Arial" w:cs="Arial"/>
          <w:sz w:val="24"/>
          <w:szCs w:val="24"/>
          <w:lang w:val="en-US"/>
        </w:rPr>
        <w:t xml:space="preserve">ement on 4 October 2017 after condonation and </w:t>
      </w:r>
      <w:r w:rsidR="0087757C">
        <w:rPr>
          <w:rFonts w:ascii="Arial" w:hAnsi="Arial" w:cs="Arial"/>
          <w:sz w:val="24"/>
          <w:szCs w:val="24"/>
          <w:lang w:val="en-US"/>
        </w:rPr>
        <w:t xml:space="preserve">postponement was sought. </w:t>
      </w:r>
    </w:p>
    <w:p w:rsidR="00642EED" w:rsidRDefault="00642EED" w:rsidP="007E45F7">
      <w:pPr>
        <w:tabs>
          <w:tab w:val="left" w:pos="720"/>
          <w:tab w:val="left" w:pos="1380"/>
        </w:tabs>
        <w:spacing w:after="0" w:line="360" w:lineRule="auto"/>
        <w:jc w:val="both"/>
        <w:rPr>
          <w:rFonts w:ascii="Arial" w:hAnsi="Arial" w:cs="Arial"/>
          <w:sz w:val="24"/>
          <w:szCs w:val="24"/>
          <w:lang w:val="en-US"/>
        </w:rPr>
      </w:pPr>
    </w:p>
    <w:p w:rsidR="00C13649" w:rsidRDefault="00642EED"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87757C">
        <w:rPr>
          <w:rFonts w:ascii="Arial" w:hAnsi="Arial" w:cs="Arial"/>
          <w:sz w:val="24"/>
          <w:szCs w:val="24"/>
          <w:lang w:val="en-US"/>
        </w:rPr>
        <w:t>The matter was subsequently postponed for trial to 14 – 18 May</w:t>
      </w:r>
      <w:r w:rsidR="008279E3">
        <w:rPr>
          <w:rFonts w:ascii="Arial" w:hAnsi="Arial" w:cs="Arial"/>
          <w:sz w:val="24"/>
          <w:szCs w:val="24"/>
          <w:lang w:val="en-US"/>
        </w:rPr>
        <w:t xml:space="preserve"> 2018. An application for postponement of the trial </w:t>
      </w:r>
      <w:r>
        <w:rPr>
          <w:rFonts w:ascii="Arial" w:hAnsi="Arial" w:cs="Arial"/>
          <w:sz w:val="24"/>
          <w:szCs w:val="24"/>
          <w:lang w:val="en-US"/>
        </w:rPr>
        <w:t xml:space="preserve">to allow the first defendant to file its expert reports and statements </w:t>
      </w:r>
      <w:r w:rsidR="008279E3">
        <w:rPr>
          <w:rFonts w:ascii="Arial" w:hAnsi="Arial" w:cs="Arial"/>
          <w:sz w:val="24"/>
          <w:szCs w:val="24"/>
          <w:lang w:val="en-US"/>
        </w:rPr>
        <w:t>was then brought by the first defendant on 25 April 2018 which was argued</w:t>
      </w:r>
      <w:r w:rsidR="00461EA4">
        <w:rPr>
          <w:rFonts w:ascii="Arial" w:hAnsi="Arial" w:cs="Arial"/>
          <w:sz w:val="24"/>
          <w:szCs w:val="24"/>
          <w:lang w:val="en-US"/>
        </w:rPr>
        <w:t xml:space="preserve"> on the first day of the trial </w:t>
      </w:r>
      <w:r w:rsidR="008279E3">
        <w:rPr>
          <w:rFonts w:ascii="Arial" w:hAnsi="Arial" w:cs="Arial"/>
          <w:sz w:val="24"/>
          <w:szCs w:val="24"/>
          <w:lang w:val="en-US"/>
        </w:rPr>
        <w:t>and which was granted. First defendant was then ordered to file his e</w:t>
      </w:r>
      <w:r w:rsidR="00461EA4">
        <w:rPr>
          <w:rFonts w:ascii="Arial" w:hAnsi="Arial" w:cs="Arial"/>
          <w:sz w:val="24"/>
          <w:szCs w:val="24"/>
          <w:lang w:val="en-US"/>
        </w:rPr>
        <w:t>xport statements and summaries</w:t>
      </w:r>
      <w:r w:rsidR="008279E3">
        <w:rPr>
          <w:rFonts w:ascii="Arial" w:hAnsi="Arial" w:cs="Arial"/>
          <w:sz w:val="24"/>
          <w:szCs w:val="24"/>
          <w:lang w:val="en-US"/>
        </w:rPr>
        <w:t xml:space="preserve"> on 28 June 2018 as well as the condonation application for the late filing of the said report</w:t>
      </w:r>
      <w:r w:rsidR="00461EA4">
        <w:rPr>
          <w:rFonts w:ascii="Arial" w:hAnsi="Arial" w:cs="Arial"/>
          <w:sz w:val="24"/>
          <w:szCs w:val="24"/>
          <w:lang w:val="en-US"/>
        </w:rPr>
        <w:t>s and summaries</w:t>
      </w:r>
      <w:r w:rsidR="008279E3">
        <w:rPr>
          <w:rFonts w:ascii="Arial" w:hAnsi="Arial" w:cs="Arial"/>
          <w:sz w:val="24"/>
          <w:szCs w:val="24"/>
          <w:lang w:val="en-US"/>
        </w:rPr>
        <w:t xml:space="preserve">. </w:t>
      </w:r>
      <w:r w:rsidR="00461EA4">
        <w:rPr>
          <w:rFonts w:ascii="Arial" w:hAnsi="Arial" w:cs="Arial"/>
          <w:sz w:val="24"/>
          <w:szCs w:val="24"/>
          <w:lang w:val="en-US"/>
        </w:rPr>
        <w:t xml:space="preserve">First defendant complied with the order. </w:t>
      </w:r>
      <w:r w:rsidR="008279E3">
        <w:rPr>
          <w:rFonts w:ascii="Arial" w:hAnsi="Arial" w:cs="Arial"/>
          <w:sz w:val="24"/>
          <w:szCs w:val="24"/>
          <w:lang w:val="en-US"/>
        </w:rPr>
        <w:t xml:space="preserve">The condonation </w:t>
      </w:r>
      <w:r w:rsidR="00461EA4">
        <w:rPr>
          <w:rFonts w:ascii="Arial" w:hAnsi="Arial" w:cs="Arial"/>
          <w:sz w:val="24"/>
          <w:szCs w:val="24"/>
          <w:lang w:val="en-US"/>
        </w:rPr>
        <w:t xml:space="preserve">application </w:t>
      </w:r>
      <w:r w:rsidR="008279E3">
        <w:rPr>
          <w:rFonts w:ascii="Arial" w:hAnsi="Arial" w:cs="Arial"/>
          <w:sz w:val="24"/>
          <w:szCs w:val="24"/>
          <w:lang w:val="en-US"/>
        </w:rPr>
        <w:t xml:space="preserve">was opposed but subsequently withdrawn by the plaintiffs. </w:t>
      </w:r>
    </w:p>
    <w:p w:rsidR="00C13649" w:rsidRDefault="00C13649" w:rsidP="007E45F7">
      <w:pPr>
        <w:tabs>
          <w:tab w:val="left" w:pos="720"/>
          <w:tab w:val="left" w:pos="1380"/>
        </w:tabs>
        <w:spacing w:after="0" w:line="360" w:lineRule="auto"/>
        <w:jc w:val="both"/>
        <w:rPr>
          <w:rFonts w:ascii="Arial" w:hAnsi="Arial" w:cs="Arial"/>
          <w:sz w:val="24"/>
          <w:szCs w:val="24"/>
          <w:lang w:val="en-US"/>
        </w:rPr>
      </w:pPr>
    </w:p>
    <w:p w:rsidR="00EB6237" w:rsidRDefault="00C13649"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lastRenderedPageBreak/>
        <w:t>[38]</w:t>
      </w:r>
      <w:r>
        <w:rPr>
          <w:rFonts w:ascii="Arial" w:hAnsi="Arial" w:cs="Arial"/>
          <w:sz w:val="24"/>
          <w:szCs w:val="24"/>
          <w:lang w:val="en-US"/>
        </w:rPr>
        <w:tab/>
      </w:r>
      <w:r w:rsidR="008279E3">
        <w:rPr>
          <w:rFonts w:ascii="Arial" w:hAnsi="Arial" w:cs="Arial"/>
          <w:sz w:val="24"/>
          <w:szCs w:val="24"/>
          <w:lang w:val="en-US"/>
        </w:rPr>
        <w:t>The first defendant then brought an application for consolidation</w:t>
      </w:r>
      <w:r w:rsidR="00A51377">
        <w:rPr>
          <w:rFonts w:ascii="Arial" w:hAnsi="Arial" w:cs="Arial"/>
          <w:sz w:val="24"/>
          <w:szCs w:val="24"/>
          <w:lang w:val="en-US"/>
        </w:rPr>
        <w:t xml:space="preserve"> on 16 August 2018</w:t>
      </w:r>
      <w:r w:rsidR="008279E3">
        <w:rPr>
          <w:rFonts w:ascii="Arial" w:hAnsi="Arial" w:cs="Arial"/>
          <w:sz w:val="24"/>
          <w:szCs w:val="24"/>
          <w:lang w:val="en-US"/>
        </w:rPr>
        <w:t xml:space="preserve"> whic</w:t>
      </w:r>
      <w:r w:rsidR="00A51377">
        <w:rPr>
          <w:rFonts w:ascii="Arial" w:hAnsi="Arial" w:cs="Arial"/>
          <w:sz w:val="24"/>
          <w:szCs w:val="24"/>
          <w:lang w:val="en-US"/>
        </w:rPr>
        <w:t>h was opposed by the plaintiff</w:t>
      </w:r>
      <w:r w:rsidR="00EB6237">
        <w:rPr>
          <w:rFonts w:ascii="Arial" w:hAnsi="Arial" w:cs="Arial"/>
          <w:sz w:val="24"/>
          <w:szCs w:val="24"/>
          <w:lang w:val="en-US"/>
        </w:rPr>
        <w:t>s’</w:t>
      </w:r>
      <w:r w:rsidR="00A51377">
        <w:rPr>
          <w:rFonts w:ascii="Arial" w:hAnsi="Arial" w:cs="Arial"/>
          <w:sz w:val="24"/>
          <w:szCs w:val="24"/>
          <w:lang w:val="en-US"/>
        </w:rPr>
        <w:t xml:space="preserve"> and which was consequently granted. </w:t>
      </w:r>
      <w:r w:rsidR="00461EA4">
        <w:rPr>
          <w:rFonts w:ascii="Arial" w:hAnsi="Arial" w:cs="Arial"/>
          <w:sz w:val="24"/>
          <w:szCs w:val="24"/>
          <w:lang w:val="en-US"/>
        </w:rPr>
        <w:t>The m</w:t>
      </w:r>
      <w:r w:rsidR="00A51377">
        <w:rPr>
          <w:rFonts w:ascii="Arial" w:hAnsi="Arial" w:cs="Arial"/>
          <w:sz w:val="24"/>
          <w:szCs w:val="24"/>
          <w:lang w:val="en-US"/>
        </w:rPr>
        <w:t xml:space="preserve">atter was then referred for mediation which was unsuccessful. </w:t>
      </w:r>
    </w:p>
    <w:p w:rsidR="00EB6237" w:rsidRDefault="00EB6237" w:rsidP="007E45F7">
      <w:pPr>
        <w:tabs>
          <w:tab w:val="left" w:pos="720"/>
          <w:tab w:val="left" w:pos="1380"/>
        </w:tabs>
        <w:spacing w:after="0" w:line="360" w:lineRule="auto"/>
        <w:jc w:val="both"/>
        <w:rPr>
          <w:rFonts w:ascii="Arial" w:hAnsi="Arial" w:cs="Arial"/>
          <w:sz w:val="24"/>
          <w:szCs w:val="24"/>
          <w:lang w:val="en-US"/>
        </w:rPr>
      </w:pPr>
    </w:p>
    <w:p w:rsidR="00EB6237" w:rsidRDefault="00EB6237"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A51377">
        <w:rPr>
          <w:rFonts w:ascii="Arial" w:hAnsi="Arial" w:cs="Arial"/>
          <w:sz w:val="24"/>
          <w:szCs w:val="24"/>
          <w:lang w:val="en-US"/>
        </w:rPr>
        <w:t xml:space="preserve">Parties then appeared in Court on 28 March 2019 </w:t>
      </w:r>
      <w:r w:rsidR="00607603">
        <w:rPr>
          <w:rFonts w:ascii="Arial" w:hAnsi="Arial" w:cs="Arial"/>
          <w:sz w:val="24"/>
          <w:szCs w:val="24"/>
          <w:lang w:val="en-US"/>
        </w:rPr>
        <w:t xml:space="preserve">wherein the matter was postponed to 16 </w:t>
      </w:r>
      <w:r w:rsidR="00461EA4">
        <w:rPr>
          <w:rFonts w:ascii="Arial" w:hAnsi="Arial" w:cs="Arial"/>
          <w:sz w:val="24"/>
          <w:szCs w:val="24"/>
          <w:lang w:val="en-US"/>
        </w:rPr>
        <w:t>May 2019</w:t>
      </w:r>
      <w:r w:rsidR="00607603">
        <w:rPr>
          <w:rFonts w:ascii="Arial" w:hAnsi="Arial" w:cs="Arial"/>
          <w:sz w:val="24"/>
          <w:szCs w:val="24"/>
          <w:lang w:val="en-US"/>
        </w:rPr>
        <w:t xml:space="preserve"> to afford the parties an opportunity to </w:t>
      </w:r>
      <w:r w:rsidR="00A51377">
        <w:rPr>
          <w:rFonts w:ascii="Arial" w:hAnsi="Arial" w:cs="Arial"/>
          <w:sz w:val="24"/>
          <w:szCs w:val="24"/>
          <w:lang w:val="en-US"/>
        </w:rPr>
        <w:t>file any outstanding expert statements on or before 7 May 2019.</w:t>
      </w:r>
      <w:r w:rsidR="00607603">
        <w:rPr>
          <w:rFonts w:ascii="Arial" w:hAnsi="Arial" w:cs="Arial"/>
          <w:sz w:val="24"/>
          <w:szCs w:val="24"/>
          <w:lang w:val="en-US"/>
        </w:rPr>
        <w:t xml:space="preserve"> Parties filed a joint case management report on </w:t>
      </w:r>
      <w:r w:rsidR="00461EA4">
        <w:rPr>
          <w:rFonts w:ascii="Arial" w:hAnsi="Arial" w:cs="Arial"/>
          <w:sz w:val="24"/>
          <w:szCs w:val="24"/>
          <w:lang w:val="en-US"/>
        </w:rPr>
        <w:t>16 May 2019</w:t>
      </w:r>
      <w:r w:rsidR="00607603">
        <w:rPr>
          <w:rFonts w:ascii="Arial" w:hAnsi="Arial" w:cs="Arial"/>
          <w:sz w:val="24"/>
          <w:szCs w:val="24"/>
          <w:lang w:val="en-US"/>
        </w:rPr>
        <w:t xml:space="preserve"> wherein it was indicated that the plaintiffs had already filed all their expert statements and that first defendant failed to file its expert statement and will bring a condonation application. When the matter appeared on 19 May</w:t>
      </w:r>
      <w:r w:rsidR="00461EA4">
        <w:rPr>
          <w:rFonts w:ascii="Arial" w:hAnsi="Arial" w:cs="Arial"/>
          <w:sz w:val="24"/>
          <w:szCs w:val="24"/>
          <w:lang w:val="en-US"/>
        </w:rPr>
        <w:t xml:space="preserve"> 2019 the</w:t>
      </w:r>
      <w:r w:rsidR="00607603">
        <w:rPr>
          <w:rFonts w:ascii="Arial" w:hAnsi="Arial" w:cs="Arial"/>
          <w:sz w:val="24"/>
          <w:szCs w:val="24"/>
          <w:lang w:val="en-US"/>
        </w:rPr>
        <w:t xml:space="preserve"> </w:t>
      </w:r>
      <w:r w:rsidR="00461EA4">
        <w:rPr>
          <w:rFonts w:ascii="Arial" w:hAnsi="Arial" w:cs="Arial"/>
          <w:sz w:val="24"/>
          <w:szCs w:val="24"/>
          <w:lang w:val="en-US"/>
        </w:rPr>
        <w:t>erstwhile legal practitioner</w:t>
      </w:r>
      <w:r w:rsidR="00607603">
        <w:rPr>
          <w:rFonts w:ascii="Arial" w:hAnsi="Arial" w:cs="Arial"/>
          <w:sz w:val="24"/>
          <w:szCs w:val="24"/>
          <w:lang w:val="en-US"/>
        </w:rPr>
        <w:t xml:space="preserve"> for the plaintiffs indicated that</w:t>
      </w:r>
      <w:r w:rsidR="00461EA4">
        <w:rPr>
          <w:rFonts w:ascii="Arial" w:hAnsi="Arial" w:cs="Arial"/>
          <w:sz w:val="24"/>
          <w:szCs w:val="24"/>
          <w:lang w:val="en-US"/>
        </w:rPr>
        <w:t xml:space="preserve"> they will not oppose</w:t>
      </w:r>
      <w:r w:rsidR="00607603">
        <w:rPr>
          <w:rFonts w:ascii="Arial" w:hAnsi="Arial" w:cs="Arial"/>
          <w:sz w:val="24"/>
          <w:szCs w:val="24"/>
          <w:lang w:val="en-US"/>
        </w:rPr>
        <w:t xml:space="preserve"> the condonation application for th</w:t>
      </w:r>
      <w:r w:rsidR="00461EA4">
        <w:rPr>
          <w:rFonts w:ascii="Arial" w:hAnsi="Arial" w:cs="Arial"/>
          <w:sz w:val="24"/>
          <w:szCs w:val="24"/>
          <w:lang w:val="en-US"/>
        </w:rPr>
        <w:t>e late filing of the expert</w:t>
      </w:r>
      <w:r w:rsidR="00607603">
        <w:rPr>
          <w:rFonts w:ascii="Arial" w:hAnsi="Arial" w:cs="Arial"/>
          <w:sz w:val="24"/>
          <w:szCs w:val="24"/>
          <w:lang w:val="en-US"/>
        </w:rPr>
        <w:t xml:space="preserve"> statement. The court then granted the condonation and the matter was postponed to 27 June 2019 </w:t>
      </w:r>
      <w:r w:rsidR="00461EA4">
        <w:rPr>
          <w:rFonts w:ascii="Arial" w:hAnsi="Arial" w:cs="Arial"/>
          <w:sz w:val="24"/>
          <w:szCs w:val="24"/>
          <w:lang w:val="en-US"/>
        </w:rPr>
        <w:t xml:space="preserve">to afford the first defendant </w:t>
      </w:r>
      <w:r>
        <w:rPr>
          <w:rFonts w:ascii="Arial" w:hAnsi="Arial" w:cs="Arial"/>
          <w:sz w:val="24"/>
          <w:szCs w:val="24"/>
          <w:lang w:val="en-US"/>
        </w:rPr>
        <w:t xml:space="preserve">an opportunity </w:t>
      </w:r>
      <w:r w:rsidR="00461EA4">
        <w:rPr>
          <w:rFonts w:ascii="Arial" w:hAnsi="Arial" w:cs="Arial"/>
          <w:sz w:val="24"/>
          <w:szCs w:val="24"/>
          <w:lang w:val="en-US"/>
        </w:rPr>
        <w:t xml:space="preserve">to file its expert statement by </w:t>
      </w:r>
      <w:r w:rsidR="00607603">
        <w:rPr>
          <w:rFonts w:ascii="Arial" w:hAnsi="Arial" w:cs="Arial"/>
          <w:sz w:val="24"/>
          <w:szCs w:val="24"/>
          <w:lang w:val="en-US"/>
        </w:rPr>
        <w:t>17 June 2019, which he</w:t>
      </w:r>
      <w:r w:rsidR="00461EA4">
        <w:rPr>
          <w:rFonts w:ascii="Arial" w:hAnsi="Arial" w:cs="Arial"/>
          <w:sz w:val="24"/>
          <w:szCs w:val="24"/>
          <w:lang w:val="en-US"/>
        </w:rPr>
        <w:t xml:space="preserve"> once again</w:t>
      </w:r>
      <w:r w:rsidR="00607603">
        <w:rPr>
          <w:rFonts w:ascii="Arial" w:hAnsi="Arial" w:cs="Arial"/>
          <w:sz w:val="24"/>
          <w:szCs w:val="24"/>
          <w:lang w:val="en-US"/>
        </w:rPr>
        <w:t xml:space="preserve"> failed to do. </w:t>
      </w:r>
    </w:p>
    <w:p w:rsidR="00EB6237" w:rsidRDefault="00EB6237" w:rsidP="007E45F7">
      <w:pPr>
        <w:tabs>
          <w:tab w:val="left" w:pos="720"/>
          <w:tab w:val="left" w:pos="1380"/>
        </w:tabs>
        <w:spacing w:after="0" w:line="360" w:lineRule="auto"/>
        <w:jc w:val="both"/>
        <w:rPr>
          <w:rFonts w:ascii="Arial" w:hAnsi="Arial" w:cs="Arial"/>
          <w:sz w:val="24"/>
          <w:szCs w:val="24"/>
          <w:lang w:val="en-US"/>
        </w:rPr>
      </w:pPr>
    </w:p>
    <w:p w:rsidR="00EB6237" w:rsidRDefault="00EB6237"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607603">
        <w:rPr>
          <w:rFonts w:ascii="Arial" w:hAnsi="Arial" w:cs="Arial"/>
          <w:sz w:val="24"/>
          <w:szCs w:val="24"/>
          <w:lang w:val="en-US"/>
        </w:rPr>
        <w:t xml:space="preserve">First defendant’s erstwhile legal practitioner then withdrew due to lack of instructions from the first defendant. First defendant </w:t>
      </w:r>
      <w:r w:rsidR="00461EA4">
        <w:rPr>
          <w:rFonts w:ascii="Arial" w:hAnsi="Arial" w:cs="Arial"/>
          <w:sz w:val="24"/>
          <w:szCs w:val="24"/>
          <w:lang w:val="en-US"/>
        </w:rPr>
        <w:t xml:space="preserve">was subsequently </w:t>
      </w:r>
      <w:r w:rsidR="00607603">
        <w:rPr>
          <w:rFonts w:ascii="Arial" w:hAnsi="Arial" w:cs="Arial"/>
          <w:sz w:val="24"/>
          <w:szCs w:val="24"/>
          <w:lang w:val="en-US"/>
        </w:rPr>
        <w:t xml:space="preserve">ordered to appear </w:t>
      </w:r>
      <w:r w:rsidR="00461EA4">
        <w:rPr>
          <w:rFonts w:ascii="Arial" w:hAnsi="Arial" w:cs="Arial"/>
          <w:sz w:val="24"/>
          <w:szCs w:val="24"/>
          <w:lang w:val="en-US"/>
        </w:rPr>
        <w:t xml:space="preserve">in Court </w:t>
      </w:r>
      <w:r w:rsidR="00607603">
        <w:rPr>
          <w:rFonts w:ascii="Arial" w:hAnsi="Arial" w:cs="Arial"/>
          <w:sz w:val="24"/>
          <w:szCs w:val="24"/>
          <w:lang w:val="en-US"/>
        </w:rPr>
        <w:t xml:space="preserve">personally or duly represented which he failed to do. His defence was then struck which led to default judgment being granted in favor of the plaintiffs. </w:t>
      </w:r>
    </w:p>
    <w:p w:rsidR="00EB6237" w:rsidRDefault="00EB6237" w:rsidP="007E45F7">
      <w:pPr>
        <w:tabs>
          <w:tab w:val="left" w:pos="720"/>
          <w:tab w:val="left" w:pos="1380"/>
        </w:tabs>
        <w:spacing w:after="0" w:line="360" w:lineRule="auto"/>
        <w:jc w:val="both"/>
        <w:rPr>
          <w:rFonts w:ascii="Arial" w:hAnsi="Arial" w:cs="Arial"/>
          <w:sz w:val="24"/>
          <w:szCs w:val="24"/>
          <w:lang w:val="en-US"/>
        </w:rPr>
      </w:pPr>
    </w:p>
    <w:p w:rsidR="00E45AA5" w:rsidRPr="00E45AA5" w:rsidRDefault="00DE26CB" w:rsidP="007E45F7">
      <w:pPr>
        <w:tabs>
          <w:tab w:val="left" w:pos="720"/>
          <w:tab w:val="left" w:pos="1380"/>
        </w:tabs>
        <w:spacing w:after="0" w:line="360" w:lineRule="auto"/>
        <w:jc w:val="both"/>
        <w:rPr>
          <w:rFonts w:ascii="Arial" w:hAnsi="Arial" w:cs="Arial"/>
          <w:lang w:val="en-US"/>
        </w:rPr>
      </w:pPr>
      <w:r>
        <w:rPr>
          <w:rFonts w:ascii="Arial" w:hAnsi="Arial" w:cs="Arial"/>
          <w:sz w:val="24"/>
          <w:szCs w:val="24"/>
          <w:lang w:val="en-US"/>
        </w:rPr>
        <w:t>[</w:t>
      </w:r>
      <w:r w:rsidR="00EB6237">
        <w:rPr>
          <w:rFonts w:ascii="Arial" w:hAnsi="Arial" w:cs="Arial"/>
          <w:sz w:val="24"/>
          <w:szCs w:val="24"/>
          <w:lang w:val="en-US"/>
        </w:rPr>
        <w:t>41]</w:t>
      </w:r>
      <w:r w:rsidR="00EB6237">
        <w:rPr>
          <w:rFonts w:ascii="Arial" w:hAnsi="Arial" w:cs="Arial"/>
          <w:sz w:val="24"/>
          <w:szCs w:val="24"/>
          <w:lang w:val="en-US"/>
        </w:rPr>
        <w:tab/>
      </w:r>
      <w:r w:rsidR="00607603">
        <w:rPr>
          <w:rFonts w:ascii="Arial" w:hAnsi="Arial" w:cs="Arial"/>
          <w:sz w:val="24"/>
          <w:szCs w:val="24"/>
          <w:lang w:val="en-US"/>
        </w:rPr>
        <w:t>As indicated above an application for rescission</w:t>
      </w:r>
      <w:r w:rsidR="00EB6237">
        <w:rPr>
          <w:rFonts w:ascii="Arial" w:hAnsi="Arial" w:cs="Arial"/>
          <w:sz w:val="24"/>
          <w:szCs w:val="24"/>
          <w:lang w:val="en-US"/>
        </w:rPr>
        <w:t xml:space="preserve"> was then brought on his behalf to </w:t>
      </w:r>
      <w:r w:rsidR="00753A56">
        <w:rPr>
          <w:rFonts w:ascii="Arial" w:hAnsi="Arial" w:cs="Arial"/>
          <w:sz w:val="24"/>
          <w:szCs w:val="24"/>
          <w:lang w:val="en-US"/>
        </w:rPr>
        <w:t xml:space="preserve">rescind the order striking his defence and any subsequent orders. First defendant </w:t>
      </w:r>
      <w:r w:rsidR="00607603">
        <w:rPr>
          <w:rFonts w:ascii="Arial" w:hAnsi="Arial" w:cs="Arial"/>
          <w:sz w:val="24"/>
          <w:szCs w:val="24"/>
          <w:lang w:val="en-US"/>
        </w:rPr>
        <w:t xml:space="preserve">was successful with </w:t>
      </w:r>
      <w:r w:rsidR="00753A56">
        <w:rPr>
          <w:rFonts w:ascii="Arial" w:hAnsi="Arial" w:cs="Arial"/>
          <w:sz w:val="24"/>
          <w:szCs w:val="24"/>
          <w:lang w:val="en-US"/>
        </w:rPr>
        <w:t xml:space="preserve">this rescission application </w:t>
      </w:r>
      <w:r w:rsidR="00EB6237">
        <w:rPr>
          <w:rFonts w:ascii="Arial" w:hAnsi="Arial" w:cs="Arial"/>
          <w:sz w:val="24"/>
          <w:szCs w:val="24"/>
          <w:lang w:val="en-US"/>
        </w:rPr>
        <w:t>and he was ordered t</w:t>
      </w:r>
      <w:r w:rsidR="00607603">
        <w:rPr>
          <w:rFonts w:ascii="Arial" w:hAnsi="Arial" w:cs="Arial"/>
          <w:sz w:val="24"/>
          <w:szCs w:val="24"/>
          <w:lang w:val="en-US"/>
        </w:rPr>
        <w:t>o file all outstanding pleadings, including</w:t>
      </w:r>
      <w:r w:rsidR="00753A56">
        <w:rPr>
          <w:rFonts w:ascii="Arial" w:hAnsi="Arial" w:cs="Arial"/>
          <w:sz w:val="24"/>
          <w:szCs w:val="24"/>
          <w:lang w:val="en-US"/>
        </w:rPr>
        <w:t xml:space="preserve"> the expert statements within 10</w:t>
      </w:r>
      <w:r w:rsidR="00607603">
        <w:rPr>
          <w:rFonts w:ascii="Arial" w:hAnsi="Arial" w:cs="Arial"/>
          <w:sz w:val="24"/>
          <w:szCs w:val="24"/>
          <w:lang w:val="en-US"/>
        </w:rPr>
        <w:t xml:space="preserve"> days of the order b</w:t>
      </w:r>
      <w:r w:rsidR="00753A56">
        <w:rPr>
          <w:rFonts w:ascii="Arial" w:hAnsi="Arial" w:cs="Arial"/>
          <w:sz w:val="24"/>
          <w:szCs w:val="24"/>
          <w:lang w:val="en-US"/>
        </w:rPr>
        <w:t xml:space="preserve">ut he failed to comply with the </w:t>
      </w:r>
      <w:r w:rsidR="00607603">
        <w:rPr>
          <w:rFonts w:ascii="Arial" w:hAnsi="Arial" w:cs="Arial"/>
          <w:sz w:val="24"/>
          <w:szCs w:val="24"/>
          <w:lang w:val="en-US"/>
        </w:rPr>
        <w:t xml:space="preserve">order which led to this application.  </w:t>
      </w:r>
    </w:p>
    <w:p w:rsidR="00EB6237" w:rsidRDefault="00EB6237" w:rsidP="007E45F7">
      <w:pPr>
        <w:tabs>
          <w:tab w:val="left" w:pos="720"/>
          <w:tab w:val="left" w:pos="1380"/>
        </w:tabs>
        <w:spacing w:after="0" w:line="360" w:lineRule="auto"/>
        <w:jc w:val="both"/>
        <w:rPr>
          <w:rFonts w:ascii="Arial" w:hAnsi="Arial" w:cs="Arial"/>
          <w:color w:val="7030A0"/>
          <w:sz w:val="24"/>
          <w:szCs w:val="24"/>
          <w:lang w:val="en-US"/>
        </w:rPr>
      </w:pPr>
    </w:p>
    <w:p w:rsidR="00EF18AF" w:rsidRPr="00EF18AF" w:rsidRDefault="00B52145" w:rsidP="007E45F7">
      <w:pPr>
        <w:tabs>
          <w:tab w:val="left" w:pos="720"/>
          <w:tab w:val="left" w:pos="1380"/>
        </w:tabs>
        <w:spacing w:after="0" w:line="360" w:lineRule="auto"/>
        <w:jc w:val="both"/>
        <w:rPr>
          <w:rFonts w:ascii="Arial" w:hAnsi="Arial" w:cs="Arial"/>
          <w:i/>
          <w:sz w:val="24"/>
          <w:szCs w:val="24"/>
          <w:lang w:val="en-US"/>
        </w:rPr>
      </w:pPr>
      <w:r>
        <w:rPr>
          <w:rFonts w:ascii="Arial" w:hAnsi="Arial" w:cs="Arial"/>
          <w:i/>
          <w:sz w:val="24"/>
          <w:szCs w:val="24"/>
          <w:lang w:val="en-US"/>
        </w:rPr>
        <w:t>First defendant’s</w:t>
      </w:r>
      <w:r w:rsidR="00EF18AF">
        <w:rPr>
          <w:rFonts w:ascii="Arial" w:hAnsi="Arial" w:cs="Arial"/>
          <w:i/>
          <w:sz w:val="24"/>
          <w:szCs w:val="24"/>
          <w:lang w:val="en-US"/>
        </w:rPr>
        <w:t>’</w:t>
      </w:r>
      <w:r w:rsidR="00EF18AF" w:rsidRPr="00EF18AF">
        <w:rPr>
          <w:rFonts w:ascii="Arial" w:hAnsi="Arial" w:cs="Arial"/>
          <w:i/>
          <w:sz w:val="24"/>
          <w:szCs w:val="24"/>
          <w:lang w:val="en-US"/>
        </w:rPr>
        <w:t xml:space="preserve"> case </w:t>
      </w:r>
    </w:p>
    <w:p w:rsidR="00EF18AF" w:rsidRDefault="00EF18AF" w:rsidP="007E45F7">
      <w:pPr>
        <w:tabs>
          <w:tab w:val="left" w:pos="720"/>
          <w:tab w:val="left" w:pos="1380"/>
        </w:tabs>
        <w:spacing w:after="0" w:line="360" w:lineRule="auto"/>
        <w:jc w:val="both"/>
        <w:rPr>
          <w:rFonts w:ascii="Arial" w:hAnsi="Arial" w:cs="Arial"/>
          <w:sz w:val="24"/>
          <w:szCs w:val="24"/>
          <w:lang w:val="en-US"/>
        </w:rPr>
      </w:pPr>
    </w:p>
    <w:p w:rsidR="00E45AA5" w:rsidRPr="00E45AA5" w:rsidRDefault="007F5049"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w:t>
      </w:r>
      <w:r w:rsidR="00DE26CB">
        <w:rPr>
          <w:rFonts w:ascii="Arial" w:hAnsi="Arial" w:cs="Arial"/>
          <w:sz w:val="24"/>
          <w:szCs w:val="24"/>
          <w:lang w:val="en-US"/>
        </w:rPr>
        <w:t>42</w:t>
      </w:r>
      <w:r w:rsidR="00E45AA5">
        <w:rPr>
          <w:rFonts w:ascii="Arial" w:hAnsi="Arial" w:cs="Arial"/>
          <w:sz w:val="24"/>
          <w:szCs w:val="24"/>
          <w:lang w:val="en-US"/>
        </w:rPr>
        <w:t>]</w:t>
      </w:r>
      <w:r w:rsidR="00E45AA5">
        <w:rPr>
          <w:rFonts w:ascii="Arial" w:hAnsi="Arial" w:cs="Arial"/>
          <w:sz w:val="24"/>
          <w:szCs w:val="24"/>
          <w:lang w:val="en-US"/>
        </w:rPr>
        <w:tab/>
      </w:r>
      <w:r w:rsidR="00516209">
        <w:rPr>
          <w:rFonts w:ascii="Arial" w:hAnsi="Arial" w:cs="Arial"/>
          <w:sz w:val="24"/>
          <w:szCs w:val="24"/>
          <w:lang w:val="en-US"/>
        </w:rPr>
        <w:t>As regards his explanation for the non-compliance with the court of 21 February 2020, f</w:t>
      </w:r>
      <w:r w:rsidR="00C6174C">
        <w:rPr>
          <w:rFonts w:ascii="Arial" w:hAnsi="Arial" w:cs="Arial"/>
          <w:sz w:val="24"/>
          <w:szCs w:val="24"/>
          <w:lang w:val="en-US"/>
        </w:rPr>
        <w:t xml:space="preserve">irst defendant contends that he was advised in early December 2019 and late January 2020 of the date of the rescission application and was told to place the legal </w:t>
      </w:r>
      <w:r w:rsidR="00C6174C">
        <w:rPr>
          <w:rFonts w:ascii="Arial" w:hAnsi="Arial" w:cs="Arial"/>
          <w:sz w:val="24"/>
          <w:szCs w:val="24"/>
          <w:lang w:val="en-US"/>
        </w:rPr>
        <w:lastRenderedPageBreak/>
        <w:t>practitioners in funds,</w:t>
      </w:r>
      <w:r w:rsidR="00C6174C">
        <w:rPr>
          <w:rFonts w:ascii="Arial" w:hAnsi="Arial" w:cs="Arial"/>
          <w:sz w:val="24"/>
          <w:szCs w:val="24"/>
        </w:rPr>
        <w:t xml:space="preserve"> however he was unable to do so before the hearing of the application. He was then advised on 21 February 2020 that the application was granted in his favour and that he needed to file all his outstanding pleadings within 10 days from date of order. On his own admission, he </w:t>
      </w:r>
      <w:r w:rsidR="006B2585">
        <w:rPr>
          <w:rFonts w:ascii="Arial" w:hAnsi="Arial" w:cs="Arial"/>
          <w:sz w:val="24"/>
          <w:szCs w:val="24"/>
        </w:rPr>
        <w:t>was also advised</w:t>
      </w:r>
      <w:r w:rsidR="00C6174C">
        <w:rPr>
          <w:rFonts w:ascii="Arial" w:hAnsi="Arial" w:cs="Arial"/>
          <w:sz w:val="24"/>
          <w:szCs w:val="24"/>
        </w:rPr>
        <w:t xml:space="preserve"> before the application was heard that </w:t>
      </w:r>
      <w:r w:rsidR="006B2585">
        <w:rPr>
          <w:rFonts w:ascii="Arial" w:hAnsi="Arial" w:cs="Arial"/>
          <w:sz w:val="24"/>
          <w:szCs w:val="24"/>
        </w:rPr>
        <w:t xml:space="preserve">he had to secure the services of a suitable expert should the application be in his favour. </w:t>
      </w:r>
      <w:r w:rsidR="00134326">
        <w:rPr>
          <w:rFonts w:ascii="Arial" w:hAnsi="Arial" w:cs="Arial"/>
          <w:sz w:val="24"/>
          <w:szCs w:val="24"/>
        </w:rPr>
        <w:t xml:space="preserve">On 2 March 2020 he was contacted with regard to the preparation and filing of the expert report. He then got in touch with the expert and on 4 March 2020 he and the said expert had a consultation at his legal </w:t>
      </w:r>
      <w:r w:rsidR="008D34B3">
        <w:rPr>
          <w:rFonts w:ascii="Arial" w:hAnsi="Arial" w:cs="Arial"/>
          <w:sz w:val="24"/>
          <w:szCs w:val="24"/>
        </w:rPr>
        <w:t>practitioner’s</w:t>
      </w:r>
      <w:r w:rsidR="00134326">
        <w:rPr>
          <w:rFonts w:ascii="Arial" w:hAnsi="Arial" w:cs="Arial"/>
          <w:sz w:val="24"/>
          <w:szCs w:val="24"/>
        </w:rPr>
        <w:t xml:space="preserve"> offices pursuant to the preparation of the expert statements. It had then become apparent during the consultation that although the statements would be completed in time for filing before the due date, the expert might have difficulty in signing the report prior to the due date as he was to travel to South Africa. </w:t>
      </w:r>
    </w:p>
    <w:p w:rsidR="00E45AA5" w:rsidRPr="00E45AA5" w:rsidRDefault="00E45AA5" w:rsidP="007E45F7">
      <w:pPr>
        <w:tabs>
          <w:tab w:val="left" w:pos="720"/>
          <w:tab w:val="left" w:pos="1380"/>
        </w:tabs>
        <w:spacing w:after="0" w:line="360" w:lineRule="auto"/>
        <w:jc w:val="both"/>
        <w:rPr>
          <w:rFonts w:ascii="Arial" w:hAnsi="Arial" w:cs="Arial"/>
          <w:sz w:val="24"/>
          <w:szCs w:val="24"/>
          <w:lang w:val="en-US"/>
        </w:rPr>
      </w:pPr>
    </w:p>
    <w:p w:rsidR="00E45AA5" w:rsidRPr="00E45AA5" w:rsidRDefault="00E45AA5" w:rsidP="007E45F7">
      <w:pPr>
        <w:tabs>
          <w:tab w:val="left" w:pos="720"/>
          <w:tab w:val="left" w:pos="1380"/>
        </w:tabs>
        <w:spacing w:after="0" w:line="360" w:lineRule="auto"/>
        <w:jc w:val="both"/>
        <w:rPr>
          <w:rFonts w:ascii="Arial" w:hAnsi="Arial" w:cs="Arial"/>
          <w:sz w:val="24"/>
          <w:szCs w:val="24"/>
          <w:lang w:val="en-US"/>
        </w:rPr>
      </w:pPr>
      <w:r w:rsidRPr="00E45AA5">
        <w:rPr>
          <w:rFonts w:ascii="Arial" w:hAnsi="Arial" w:cs="Arial"/>
          <w:sz w:val="24"/>
          <w:szCs w:val="24"/>
          <w:lang w:val="en-US"/>
        </w:rPr>
        <w:t>[</w:t>
      </w:r>
      <w:r w:rsidR="00DE26CB">
        <w:rPr>
          <w:rFonts w:ascii="Arial" w:hAnsi="Arial" w:cs="Arial"/>
          <w:sz w:val="24"/>
          <w:szCs w:val="24"/>
          <w:lang w:val="en-US"/>
        </w:rPr>
        <w:t>43</w:t>
      </w:r>
      <w:r>
        <w:rPr>
          <w:rFonts w:ascii="Arial" w:hAnsi="Arial" w:cs="Arial"/>
          <w:sz w:val="24"/>
          <w:szCs w:val="24"/>
          <w:lang w:val="en-US"/>
        </w:rPr>
        <w:t>]</w:t>
      </w:r>
      <w:r>
        <w:rPr>
          <w:rFonts w:ascii="Arial" w:hAnsi="Arial" w:cs="Arial"/>
          <w:sz w:val="24"/>
          <w:szCs w:val="24"/>
          <w:lang w:val="en-US"/>
        </w:rPr>
        <w:tab/>
      </w:r>
      <w:r w:rsidR="00397E9C">
        <w:rPr>
          <w:rFonts w:ascii="Arial" w:hAnsi="Arial" w:cs="Arial"/>
          <w:sz w:val="24"/>
          <w:szCs w:val="24"/>
          <w:lang w:val="en-US"/>
        </w:rPr>
        <w:t xml:space="preserve">First </w:t>
      </w:r>
      <w:r w:rsidR="009835FB">
        <w:rPr>
          <w:rFonts w:ascii="Arial" w:hAnsi="Arial" w:cs="Arial"/>
          <w:sz w:val="24"/>
          <w:szCs w:val="24"/>
          <w:lang w:val="en-US"/>
        </w:rPr>
        <w:t>defendant further contends</w:t>
      </w:r>
      <w:r w:rsidR="00397E9C">
        <w:rPr>
          <w:rFonts w:ascii="Arial" w:hAnsi="Arial" w:cs="Arial"/>
          <w:sz w:val="24"/>
          <w:szCs w:val="24"/>
          <w:lang w:val="en-US"/>
        </w:rPr>
        <w:t xml:space="preserve"> that </w:t>
      </w:r>
      <w:r w:rsidR="00C34FAD">
        <w:rPr>
          <w:rFonts w:ascii="Arial" w:hAnsi="Arial" w:cs="Arial"/>
          <w:sz w:val="24"/>
          <w:szCs w:val="24"/>
          <w:lang w:val="en-US"/>
        </w:rPr>
        <w:t>i</w:t>
      </w:r>
      <w:r w:rsidR="00397E9C">
        <w:rPr>
          <w:rFonts w:ascii="Arial" w:hAnsi="Arial" w:cs="Arial"/>
          <w:sz w:val="24"/>
          <w:szCs w:val="24"/>
          <w:lang w:val="en-US"/>
        </w:rPr>
        <w:t>t was also agreed at the consultation that the expert will endeavor to obtain printing and scanning facilities so that he will be abl</w:t>
      </w:r>
      <w:r w:rsidR="009835FB">
        <w:rPr>
          <w:rFonts w:ascii="Arial" w:hAnsi="Arial" w:cs="Arial"/>
          <w:sz w:val="24"/>
          <w:szCs w:val="24"/>
          <w:lang w:val="en-US"/>
        </w:rPr>
        <w:t xml:space="preserve">e to sign the report </w:t>
      </w:r>
      <w:r w:rsidR="008D34B3">
        <w:rPr>
          <w:rFonts w:ascii="Arial" w:hAnsi="Arial" w:cs="Arial"/>
          <w:sz w:val="24"/>
          <w:szCs w:val="24"/>
          <w:lang w:val="en-US"/>
        </w:rPr>
        <w:t>and</w:t>
      </w:r>
      <w:r w:rsidR="009835FB">
        <w:rPr>
          <w:rFonts w:ascii="Arial" w:hAnsi="Arial" w:cs="Arial"/>
          <w:sz w:val="24"/>
          <w:szCs w:val="24"/>
          <w:lang w:val="en-US"/>
        </w:rPr>
        <w:t xml:space="preserve"> sam</w:t>
      </w:r>
      <w:r w:rsidR="00397E9C">
        <w:rPr>
          <w:rFonts w:ascii="Arial" w:hAnsi="Arial" w:cs="Arial"/>
          <w:sz w:val="24"/>
          <w:szCs w:val="24"/>
          <w:lang w:val="en-US"/>
        </w:rPr>
        <w:t xml:space="preserve">e can be filed on 6 March 2020. Unfortunately </w:t>
      </w:r>
      <w:r w:rsidR="009835FB">
        <w:rPr>
          <w:rFonts w:ascii="Arial" w:hAnsi="Arial" w:cs="Arial"/>
          <w:sz w:val="24"/>
          <w:szCs w:val="24"/>
          <w:lang w:val="en-US"/>
        </w:rPr>
        <w:t>the signing of the expert report did not materialize</w:t>
      </w:r>
      <w:r w:rsidR="00397E9C">
        <w:rPr>
          <w:rFonts w:ascii="Arial" w:hAnsi="Arial" w:cs="Arial"/>
          <w:sz w:val="24"/>
          <w:szCs w:val="24"/>
          <w:lang w:val="en-US"/>
        </w:rPr>
        <w:t xml:space="preserve"> on</w:t>
      </w:r>
      <w:r w:rsidR="009835FB">
        <w:rPr>
          <w:rFonts w:ascii="Arial" w:hAnsi="Arial" w:cs="Arial"/>
          <w:sz w:val="24"/>
          <w:szCs w:val="24"/>
          <w:lang w:val="en-US"/>
        </w:rPr>
        <w:t xml:space="preserve"> or before</w:t>
      </w:r>
      <w:r w:rsidR="00397E9C">
        <w:rPr>
          <w:rFonts w:ascii="Arial" w:hAnsi="Arial" w:cs="Arial"/>
          <w:sz w:val="24"/>
          <w:szCs w:val="24"/>
          <w:lang w:val="en-US"/>
        </w:rPr>
        <w:t xml:space="preserve"> 6 March 202</w:t>
      </w:r>
      <w:r w:rsidR="009835FB">
        <w:rPr>
          <w:rFonts w:ascii="Arial" w:hAnsi="Arial" w:cs="Arial"/>
          <w:sz w:val="24"/>
          <w:szCs w:val="24"/>
          <w:lang w:val="en-US"/>
        </w:rPr>
        <w:t>0</w:t>
      </w:r>
      <w:r w:rsidR="00397E9C">
        <w:rPr>
          <w:rFonts w:ascii="Arial" w:hAnsi="Arial" w:cs="Arial"/>
          <w:sz w:val="24"/>
          <w:szCs w:val="24"/>
          <w:lang w:val="en-US"/>
        </w:rPr>
        <w:t>.</w:t>
      </w:r>
      <w:r w:rsidR="009835FB">
        <w:rPr>
          <w:rFonts w:ascii="Arial" w:hAnsi="Arial" w:cs="Arial"/>
          <w:sz w:val="24"/>
          <w:szCs w:val="24"/>
          <w:lang w:val="en-US"/>
        </w:rPr>
        <w:t xml:space="preserve"> As a result and upon advise from his legal practitioner, he gave instructions that the unsigned report and summary be filed in an effort to mitigate the prejudice that may be caused by</w:t>
      </w:r>
      <w:r w:rsidR="00DA37F3">
        <w:rPr>
          <w:rFonts w:ascii="Arial" w:hAnsi="Arial" w:cs="Arial"/>
          <w:sz w:val="24"/>
          <w:szCs w:val="24"/>
          <w:lang w:val="en-US"/>
        </w:rPr>
        <w:t xml:space="preserve"> his non-compliance while in the meantime he tries to contact his expert who he lost contact with since his travel to South Africa. </w:t>
      </w:r>
    </w:p>
    <w:p w:rsidR="009835FB" w:rsidRDefault="009835FB" w:rsidP="007E45F7">
      <w:pPr>
        <w:tabs>
          <w:tab w:val="left" w:pos="720"/>
          <w:tab w:val="left" w:pos="1380"/>
        </w:tabs>
        <w:spacing w:after="0" w:line="360" w:lineRule="auto"/>
        <w:jc w:val="both"/>
        <w:rPr>
          <w:rFonts w:ascii="Arial" w:hAnsi="Arial" w:cs="Arial"/>
          <w:sz w:val="24"/>
          <w:szCs w:val="24"/>
          <w:lang w:val="en-US"/>
        </w:rPr>
      </w:pPr>
    </w:p>
    <w:p w:rsidR="00E45AA5" w:rsidRPr="00E45AA5" w:rsidRDefault="007F5049" w:rsidP="007E45F7">
      <w:pPr>
        <w:tabs>
          <w:tab w:val="left" w:pos="720"/>
          <w:tab w:val="left" w:pos="1380"/>
        </w:tabs>
        <w:spacing w:after="0" w:line="360" w:lineRule="auto"/>
        <w:jc w:val="both"/>
        <w:rPr>
          <w:rFonts w:ascii="Arial" w:hAnsi="Arial" w:cs="Arial"/>
          <w:lang w:val="en-US"/>
        </w:rPr>
      </w:pPr>
      <w:r>
        <w:rPr>
          <w:rFonts w:ascii="Arial" w:hAnsi="Arial" w:cs="Arial"/>
          <w:sz w:val="24"/>
          <w:szCs w:val="24"/>
          <w:lang w:val="en-US"/>
        </w:rPr>
        <w:t>[</w:t>
      </w:r>
      <w:r w:rsidR="00DE26CB">
        <w:rPr>
          <w:rFonts w:ascii="Arial" w:hAnsi="Arial" w:cs="Arial"/>
          <w:sz w:val="24"/>
          <w:szCs w:val="24"/>
          <w:lang w:val="en-US"/>
        </w:rPr>
        <w:t>44</w:t>
      </w:r>
      <w:r w:rsidR="00E45AA5">
        <w:rPr>
          <w:rFonts w:ascii="Arial" w:hAnsi="Arial" w:cs="Arial"/>
          <w:sz w:val="24"/>
          <w:szCs w:val="24"/>
          <w:lang w:val="en-US"/>
        </w:rPr>
        <w:t>]</w:t>
      </w:r>
      <w:r w:rsidR="00E45AA5">
        <w:rPr>
          <w:rFonts w:ascii="Arial" w:hAnsi="Arial" w:cs="Arial"/>
          <w:sz w:val="24"/>
          <w:szCs w:val="24"/>
          <w:lang w:val="en-US"/>
        </w:rPr>
        <w:tab/>
      </w:r>
      <w:r w:rsidR="00244BBC">
        <w:rPr>
          <w:rFonts w:ascii="Arial" w:hAnsi="Arial" w:cs="Arial"/>
          <w:sz w:val="24"/>
          <w:szCs w:val="24"/>
          <w:lang w:val="en-US"/>
        </w:rPr>
        <w:t xml:space="preserve">It is </w:t>
      </w:r>
      <w:r w:rsidR="00244BBC" w:rsidRPr="008D34B3">
        <w:rPr>
          <w:rFonts w:ascii="Arial" w:hAnsi="Arial" w:cs="Arial"/>
          <w:sz w:val="24"/>
          <w:szCs w:val="24"/>
          <w:lang w:val="en-US"/>
        </w:rPr>
        <w:t xml:space="preserve">the </w:t>
      </w:r>
      <w:r w:rsidR="00813E2E" w:rsidRPr="008D34B3">
        <w:rPr>
          <w:rFonts w:ascii="Arial" w:hAnsi="Arial" w:cs="Arial"/>
          <w:sz w:val="24"/>
          <w:szCs w:val="24"/>
          <w:lang w:val="en-US"/>
        </w:rPr>
        <w:t>f</w:t>
      </w:r>
      <w:r w:rsidR="00244BBC" w:rsidRPr="008D34B3">
        <w:rPr>
          <w:rFonts w:ascii="Arial" w:hAnsi="Arial" w:cs="Arial"/>
          <w:sz w:val="24"/>
          <w:szCs w:val="24"/>
          <w:lang w:val="en-US"/>
        </w:rPr>
        <w:t>irst defendant’s version that between 6 March 2020 and 15 March 2020 he has made attempts to contact the expert in order to obtain his signature on the export report</w:t>
      </w:r>
      <w:r w:rsidR="004046A5" w:rsidRPr="008D34B3">
        <w:rPr>
          <w:rFonts w:ascii="Arial" w:hAnsi="Arial" w:cs="Arial"/>
          <w:sz w:val="24"/>
          <w:szCs w:val="24"/>
          <w:lang w:val="en-US"/>
        </w:rPr>
        <w:t>.</w:t>
      </w:r>
      <w:r w:rsidR="00244BBC" w:rsidRPr="008D34B3">
        <w:rPr>
          <w:rFonts w:ascii="Arial" w:hAnsi="Arial" w:cs="Arial"/>
          <w:sz w:val="24"/>
          <w:szCs w:val="24"/>
          <w:lang w:val="en-US"/>
        </w:rPr>
        <w:t xml:space="preserve"> He also alleges that during this period he could not a</w:t>
      </w:r>
      <w:r w:rsidR="008D34B3" w:rsidRPr="008D34B3">
        <w:rPr>
          <w:rFonts w:ascii="Arial" w:hAnsi="Arial" w:cs="Arial"/>
          <w:sz w:val="24"/>
          <w:szCs w:val="24"/>
          <w:lang w:val="en-US"/>
        </w:rPr>
        <w:t>dvise his legal practitioners as</w:t>
      </w:r>
      <w:r w:rsidR="00244BBC" w:rsidRPr="008D34B3">
        <w:rPr>
          <w:rFonts w:ascii="Arial" w:hAnsi="Arial" w:cs="Arial"/>
          <w:sz w:val="24"/>
          <w:szCs w:val="24"/>
          <w:lang w:val="en-US"/>
        </w:rPr>
        <w:t xml:space="preserve"> to when the expert will provide a signed </w:t>
      </w:r>
      <w:r w:rsidR="00244BBC">
        <w:rPr>
          <w:rFonts w:ascii="Arial" w:hAnsi="Arial" w:cs="Arial"/>
          <w:sz w:val="24"/>
          <w:szCs w:val="24"/>
          <w:lang w:val="en-US"/>
        </w:rPr>
        <w:t>expert report and as a result a condonation and extension application could not be brought timeously as the first defendant still had no contact with the exp</w:t>
      </w:r>
      <w:r w:rsidR="00866CA2">
        <w:rPr>
          <w:rFonts w:ascii="Arial" w:hAnsi="Arial" w:cs="Arial"/>
          <w:sz w:val="24"/>
          <w:szCs w:val="24"/>
          <w:lang w:val="en-US"/>
        </w:rPr>
        <w:t>e</w:t>
      </w:r>
      <w:r w:rsidR="00244BBC">
        <w:rPr>
          <w:rFonts w:ascii="Arial" w:hAnsi="Arial" w:cs="Arial"/>
          <w:sz w:val="24"/>
          <w:szCs w:val="24"/>
          <w:lang w:val="en-US"/>
        </w:rPr>
        <w:t>rt.</w:t>
      </w:r>
      <w:r w:rsidR="00866CA2">
        <w:rPr>
          <w:rFonts w:ascii="Arial" w:hAnsi="Arial" w:cs="Arial"/>
          <w:sz w:val="24"/>
          <w:szCs w:val="24"/>
          <w:lang w:val="en-US"/>
        </w:rPr>
        <w:t xml:space="preserve"> </w:t>
      </w:r>
      <w:r w:rsidR="00C73611">
        <w:rPr>
          <w:rFonts w:ascii="Arial" w:hAnsi="Arial" w:cs="Arial"/>
          <w:sz w:val="24"/>
          <w:szCs w:val="24"/>
          <w:lang w:val="en-US"/>
        </w:rPr>
        <w:t>He only managed to get in contact with the expert on 16 March 2020 and that is when he was informed that the expert had remained in South Africa longer than expected and was unable to sign the report.</w:t>
      </w:r>
      <w:r w:rsidR="00B02806">
        <w:rPr>
          <w:rFonts w:ascii="Arial" w:hAnsi="Arial" w:cs="Arial"/>
          <w:sz w:val="24"/>
          <w:szCs w:val="24"/>
          <w:lang w:val="en-US"/>
        </w:rPr>
        <w:t xml:space="preserve"> As a result of the above, first defendant could only lodge his condonation application on 20 March 2020. </w:t>
      </w:r>
      <w:r w:rsidR="00C73611">
        <w:rPr>
          <w:rFonts w:ascii="Arial" w:hAnsi="Arial" w:cs="Arial"/>
          <w:sz w:val="24"/>
          <w:szCs w:val="24"/>
          <w:lang w:val="en-US"/>
        </w:rPr>
        <w:t xml:space="preserve">  </w:t>
      </w:r>
      <w:r w:rsidR="00244BBC">
        <w:rPr>
          <w:rFonts w:ascii="Arial" w:hAnsi="Arial" w:cs="Arial"/>
          <w:sz w:val="24"/>
          <w:szCs w:val="24"/>
          <w:lang w:val="en-US"/>
        </w:rPr>
        <w:t xml:space="preserve">   </w:t>
      </w:r>
    </w:p>
    <w:p w:rsidR="00E45AA5" w:rsidRPr="00E45AA5" w:rsidRDefault="00E45AA5" w:rsidP="007E45F7">
      <w:pPr>
        <w:tabs>
          <w:tab w:val="left" w:pos="720"/>
          <w:tab w:val="left" w:pos="1380"/>
        </w:tabs>
        <w:spacing w:after="0" w:line="360" w:lineRule="auto"/>
        <w:jc w:val="both"/>
        <w:rPr>
          <w:rFonts w:ascii="Arial" w:hAnsi="Arial" w:cs="Arial"/>
          <w:sz w:val="24"/>
          <w:szCs w:val="24"/>
          <w:lang w:val="en-US"/>
        </w:rPr>
      </w:pPr>
    </w:p>
    <w:p w:rsidR="004046A5" w:rsidRPr="00E45AA5" w:rsidRDefault="007F5049" w:rsidP="007E45F7">
      <w:pPr>
        <w:tabs>
          <w:tab w:val="left" w:pos="720"/>
          <w:tab w:val="left" w:pos="1380"/>
        </w:tabs>
        <w:spacing w:after="0" w:line="360" w:lineRule="auto"/>
        <w:jc w:val="both"/>
        <w:rPr>
          <w:rFonts w:ascii="Arial" w:hAnsi="Arial" w:cs="Arial"/>
          <w:i/>
          <w:sz w:val="24"/>
          <w:szCs w:val="24"/>
          <w:lang w:val="en-US"/>
        </w:rPr>
      </w:pPr>
      <w:r w:rsidRPr="004C2576">
        <w:rPr>
          <w:rFonts w:ascii="Arial" w:hAnsi="Arial" w:cs="Arial"/>
          <w:sz w:val="24"/>
          <w:szCs w:val="24"/>
          <w:lang w:val="en-US"/>
        </w:rPr>
        <w:t>[</w:t>
      </w:r>
      <w:r w:rsidR="00DE26CB">
        <w:rPr>
          <w:rFonts w:ascii="Arial" w:hAnsi="Arial" w:cs="Arial"/>
          <w:sz w:val="24"/>
          <w:szCs w:val="24"/>
          <w:lang w:val="en-US"/>
        </w:rPr>
        <w:t>45</w:t>
      </w:r>
      <w:r w:rsidR="00E45AA5" w:rsidRPr="004C2576">
        <w:rPr>
          <w:rFonts w:ascii="Arial" w:hAnsi="Arial" w:cs="Arial"/>
          <w:sz w:val="24"/>
          <w:szCs w:val="24"/>
          <w:lang w:val="en-US"/>
        </w:rPr>
        <w:t>]</w:t>
      </w:r>
      <w:r w:rsidR="00E45AA5" w:rsidRPr="004C2576">
        <w:rPr>
          <w:rFonts w:ascii="Arial" w:hAnsi="Arial" w:cs="Arial"/>
          <w:sz w:val="24"/>
          <w:szCs w:val="24"/>
          <w:lang w:val="en-US"/>
        </w:rPr>
        <w:tab/>
      </w:r>
      <w:r w:rsidR="008D34B3" w:rsidRPr="004C2576">
        <w:rPr>
          <w:rFonts w:ascii="Arial" w:hAnsi="Arial" w:cs="Arial"/>
          <w:sz w:val="24"/>
          <w:szCs w:val="24"/>
          <w:lang w:val="en-US"/>
        </w:rPr>
        <w:t>As to his</w:t>
      </w:r>
      <w:r w:rsidR="00A246C5" w:rsidRPr="004C2576">
        <w:rPr>
          <w:rFonts w:ascii="Arial" w:hAnsi="Arial" w:cs="Arial"/>
          <w:sz w:val="24"/>
          <w:szCs w:val="24"/>
          <w:lang w:val="en-US"/>
        </w:rPr>
        <w:t xml:space="preserve"> defence on the main action</w:t>
      </w:r>
      <w:r w:rsidR="00933BA4" w:rsidRPr="004C2576">
        <w:rPr>
          <w:rFonts w:ascii="Arial" w:hAnsi="Arial" w:cs="Arial"/>
          <w:sz w:val="24"/>
          <w:szCs w:val="24"/>
          <w:lang w:val="en-US"/>
        </w:rPr>
        <w:t xml:space="preserve">, first defendant </w:t>
      </w:r>
      <w:r w:rsidR="00571DD5" w:rsidRPr="004C2576">
        <w:rPr>
          <w:rFonts w:ascii="Arial" w:hAnsi="Arial" w:cs="Arial"/>
          <w:sz w:val="24"/>
          <w:szCs w:val="24"/>
          <w:lang w:val="en-US"/>
        </w:rPr>
        <w:t>alleges that he has a claim for payment in the amount of N$ 3 million, th</w:t>
      </w:r>
      <w:r w:rsidR="00680A6A" w:rsidRPr="004C2576">
        <w:rPr>
          <w:rFonts w:ascii="Arial" w:hAnsi="Arial" w:cs="Arial"/>
          <w:sz w:val="24"/>
          <w:szCs w:val="24"/>
          <w:lang w:val="en-US"/>
        </w:rPr>
        <w:t>r</w:t>
      </w:r>
      <w:r w:rsidR="00571DD5" w:rsidRPr="004C2576">
        <w:rPr>
          <w:rFonts w:ascii="Arial" w:hAnsi="Arial" w:cs="Arial"/>
          <w:sz w:val="24"/>
          <w:szCs w:val="24"/>
          <w:lang w:val="en-US"/>
        </w:rPr>
        <w:t>ough an acknowledgment</w:t>
      </w:r>
      <w:r w:rsidR="008A10E2" w:rsidRPr="004C2576">
        <w:rPr>
          <w:rFonts w:ascii="Arial" w:hAnsi="Arial" w:cs="Arial"/>
          <w:sz w:val="24"/>
          <w:szCs w:val="24"/>
          <w:lang w:val="en-US"/>
        </w:rPr>
        <w:t xml:space="preserve"> of</w:t>
      </w:r>
      <w:r w:rsidR="00571DD5" w:rsidRPr="004C2576">
        <w:rPr>
          <w:rFonts w:ascii="Arial" w:hAnsi="Arial" w:cs="Arial"/>
          <w:sz w:val="24"/>
          <w:szCs w:val="24"/>
          <w:lang w:val="en-US"/>
        </w:rPr>
        <w:t xml:space="preserve"> debt, against the plaintiff. He further </w:t>
      </w:r>
      <w:r w:rsidR="00933BA4" w:rsidRPr="004C2576">
        <w:rPr>
          <w:rFonts w:ascii="Arial" w:hAnsi="Arial" w:cs="Arial"/>
          <w:sz w:val="24"/>
          <w:szCs w:val="24"/>
          <w:lang w:val="en-US"/>
        </w:rPr>
        <w:t xml:space="preserve">maintains that </w:t>
      </w:r>
      <w:r w:rsidR="00477436" w:rsidRPr="004C2576">
        <w:rPr>
          <w:rFonts w:ascii="Arial" w:hAnsi="Arial" w:cs="Arial"/>
          <w:sz w:val="24"/>
          <w:szCs w:val="24"/>
          <w:lang w:val="en-US"/>
        </w:rPr>
        <w:t xml:space="preserve">with regard to the eviction order that was granted by the Magistrates Court in </w:t>
      </w:r>
      <w:r w:rsidR="009E4BD5" w:rsidRPr="004C2576">
        <w:rPr>
          <w:rFonts w:ascii="Arial" w:hAnsi="Arial" w:cs="Arial"/>
          <w:sz w:val="24"/>
          <w:szCs w:val="24"/>
          <w:lang w:val="en-US"/>
        </w:rPr>
        <w:t xml:space="preserve">2017 </w:t>
      </w:r>
      <w:r w:rsidR="009E4BD5">
        <w:rPr>
          <w:rFonts w:ascii="Arial" w:hAnsi="Arial" w:cs="Arial"/>
          <w:sz w:val="24"/>
          <w:szCs w:val="24"/>
          <w:lang w:val="en-US"/>
        </w:rPr>
        <w:t>he</w:t>
      </w:r>
      <w:r w:rsidR="00477436">
        <w:rPr>
          <w:rFonts w:ascii="Arial" w:hAnsi="Arial" w:cs="Arial"/>
          <w:sz w:val="24"/>
          <w:szCs w:val="24"/>
          <w:lang w:val="en-US"/>
        </w:rPr>
        <w:t xml:space="preserve"> was in lawful occupation of the first plaintiff’s property and </w:t>
      </w:r>
      <w:r w:rsidR="00D72F4B">
        <w:rPr>
          <w:rFonts w:ascii="Arial" w:hAnsi="Arial" w:cs="Arial"/>
          <w:sz w:val="24"/>
          <w:szCs w:val="24"/>
          <w:lang w:val="en-US"/>
        </w:rPr>
        <w:t xml:space="preserve">such occupation </w:t>
      </w:r>
      <w:r w:rsidR="00477436">
        <w:rPr>
          <w:rFonts w:ascii="Arial" w:hAnsi="Arial" w:cs="Arial"/>
          <w:sz w:val="24"/>
          <w:szCs w:val="24"/>
          <w:lang w:val="en-US"/>
        </w:rPr>
        <w:t xml:space="preserve">was </w:t>
      </w:r>
      <w:r w:rsidR="00F07CF4">
        <w:rPr>
          <w:rFonts w:ascii="Arial" w:hAnsi="Arial" w:cs="Arial"/>
          <w:sz w:val="24"/>
          <w:szCs w:val="24"/>
          <w:lang w:val="en-US"/>
        </w:rPr>
        <w:t xml:space="preserve">as </w:t>
      </w:r>
      <w:r w:rsidR="00477436">
        <w:rPr>
          <w:rFonts w:ascii="Arial" w:hAnsi="Arial" w:cs="Arial"/>
          <w:sz w:val="24"/>
          <w:szCs w:val="24"/>
          <w:lang w:val="en-US"/>
        </w:rPr>
        <w:t xml:space="preserve">a result of an agreement between himself and second and third plaintiff. </w:t>
      </w:r>
      <w:r w:rsidR="00A246C5">
        <w:rPr>
          <w:rFonts w:ascii="Arial" w:hAnsi="Arial" w:cs="Arial"/>
          <w:sz w:val="24"/>
          <w:szCs w:val="24"/>
          <w:lang w:val="en-US"/>
        </w:rPr>
        <w:t>He disputes that he was</w:t>
      </w:r>
      <w:r w:rsidR="00D72F4B">
        <w:rPr>
          <w:rFonts w:ascii="Arial" w:hAnsi="Arial" w:cs="Arial"/>
          <w:sz w:val="24"/>
          <w:szCs w:val="24"/>
          <w:lang w:val="en-US"/>
        </w:rPr>
        <w:t xml:space="preserve"> in</w:t>
      </w:r>
      <w:r w:rsidR="00A246C5">
        <w:rPr>
          <w:rFonts w:ascii="Arial" w:hAnsi="Arial" w:cs="Arial"/>
          <w:sz w:val="24"/>
          <w:szCs w:val="24"/>
          <w:lang w:val="en-US"/>
        </w:rPr>
        <w:t xml:space="preserve"> unlawful occupation. </w:t>
      </w:r>
      <w:r w:rsidR="004C3632">
        <w:rPr>
          <w:rFonts w:ascii="Arial" w:hAnsi="Arial" w:cs="Arial"/>
          <w:sz w:val="24"/>
          <w:szCs w:val="24"/>
          <w:lang w:val="en-US"/>
        </w:rPr>
        <w:t>As to the d</w:t>
      </w:r>
      <w:r w:rsidR="008D34B3">
        <w:rPr>
          <w:rFonts w:ascii="Arial" w:hAnsi="Arial" w:cs="Arial"/>
          <w:sz w:val="24"/>
          <w:szCs w:val="24"/>
          <w:lang w:val="en-US"/>
        </w:rPr>
        <w:t>amages claim in respect of the olive o</w:t>
      </w:r>
      <w:r w:rsidR="004C3632">
        <w:rPr>
          <w:rFonts w:ascii="Arial" w:hAnsi="Arial" w:cs="Arial"/>
          <w:sz w:val="24"/>
          <w:szCs w:val="24"/>
          <w:lang w:val="en-US"/>
        </w:rPr>
        <w:t xml:space="preserve">rchard, first defendant argues that plaintiffs’ claim cannot stand as the alleged damages are incomprehensible as he did not occupy the farm at a time when </w:t>
      </w:r>
      <w:r w:rsidR="008D34B3">
        <w:rPr>
          <w:rFonts w:ascii="Arial" w:hAnsi="Arial" w:cs="Arial"/>
          <w:sz w:val="24"/>
          <w:szCs w:val="24"/>
          <w:lang w:val="en-US"/>
        </w:rPr>
        <w:t>there was a viable olive o</w:t>
      </w:r>
      <w:r w:rsidR="004C3632">
        <w:rPr>
          <w:rFonts w:ascii="Arial" w:hAnsi="Arial" w:cs="Arial"/>
          <w:sz w:val="24"/>
          <w:szCs w:val="24"/>
          <w:lang w:val="en-US"/>
        </w:rPr>
        <w:t>rchard plantation and did not interfere with any activities that related to</w:t>
      </w:r>
      <w:r w:rsidR="008D34B3">
        <w:rPr>
          <w:rFonts w:ascii="Arial" w:hAnsi="Arial" w:cs="Arial"/>
          <w:sz w:val="24"/>
          <w:szCs w:val="24"/>
          <w:lang w:val="en-US"/>
        </w:rPr>
        <w:t xml:space="preserve"> the care and management of an olive o</w:t>
      </w:r>
      <w:r w:rsidR="004C3632">
        <w:rPr>
          <w:rFonts w:ascii="Arial" w:hAnsi="Arial" w:cs="Arial"/>
          <w:sz w:val="24"/>
          <w:szCs w:val="24"/>
          <w:lang w:val="en-US"/>
        </w:rPr>
        <w:t>rchard. Neither was there, in any event, such a plantation during or prior to his occupation of the property. He argues that the plaintiffs claim</w:t>
      </w:r>
      <w:r w:rsidR="00DE26CB">
        <w:rPr>
          <w:rFonts w:ascii="Arial" w:hAnsi="Arial" w:cs="Arial"/>
          <w:sz w:val="24"/>
          <w:szCs w:val="24"/>
          <w:lang w:val="en-US"/>
        </w:rPr>
        <w:t xml:space="preserve"> in any event</w:t>
      </w:r>
      <w:r w:rsidR="004C3632">
        <w:rPr>
          <w:rFonts w:ascii="Arial" w:hAnsi="Arial" w:cs="Arial"/>
          <w:sz w:val="24"/>
          <w:szCs w:val="24"/>
          <w:lang w:val="en-US"/>
        </w:rPr>
        <w:t xml:space="preserve"> cannot stand in a court of law as their claim is for gross profit that wou</w:t>
      </w:r>
      <w:r w:rsidR="008D34B3">
        <w:rPr>
          <w:rFonts w:ascii="Arial" w:hAnsi="Arial" w:cs="Arial"/>
          <w:sz w:val="24"/>
          <w:szCs w:val="24"/>
          <w:lang w:val="en-US"/>
        </w:rPr>
        <w:t>ld have been made based on the olive o</w:t>
      </w:r>
      <w:r w:rsidR="004C3632">
        <w:rPr>
          <w:rFonts w:ascii="Arial" w:hAnsi="Arial" w:cs="Arial"/>
          <w:sz w:val="24"/>
          <w:szCs w:val="24"/>
          <w:lang w:val="en-US"/>
        </w:rPr>
        <w:t>rchard</w:t>
      </w:r>
      <w:r w:rsidR="008D34B3">
        <w:rPr>
          <w:rFonts w:ascii="Arial" w:hAnsi="Arial" w:cs="Arial"/>
          <w:sz w:val="24"/>
          <w:szCs w:val="24"/>
          <w:lang w:val="en-US"/>
        </w:rPr>
        <w:t xml:space="preserve"> </w:t>
      </w:r>
      <w:r w:rsidR="004C3632">
        <w:rPr>
          <w:rFonts w:ascii="Arial" w:hAnsi="Arial" w:cs="Arial"/>
          <w:sz w:val="24"/>
          <w:szCs w:val="24"/>
          <w:lang w:val="en-US"/>
        </w:rPr>
        <w:t xml:space="preserve">plantation. The plaintiffs cannot claim gross profit without deducting reasonable expenditure associated with running such an orchard. </w:t>
      </w:r>
    </w:p>
    <w:p w:rsidR="00E45AA5" w:rsidRPr="004046A5" w:rsidRDefault="00E45AA5" w:rsidP="007E45F7">
      <w:pPr>
        <w:tabs>
          <w:tab w:val="left" w:pos="720"/>
          <w:tab w:val="left" w:pos="1380"/>
        </w:tabs>
        <w:spacing w:after="0" w:line="360" w:lineRule="auto"/>
        <w:jc w:val="both"/>
        <w:rPr>
          <w:rFonts w:ascii="Arial" w:hAnsi="Arial" w:cs="Arial"/>
          <w:sz w:val="24"/>
          <w:szCs w:val="24"/>
          <w:lang w:val="en-US"/>
        </w:rPr>
      </w:pPr>
    </w:p>
    <w:p w:rsidR="00E45AA5" w:rsidRDefault="007F5049"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w:t>
      </w:r>
      <w:r w:rsidR="00DE26CB">
        <w:rPr>
          <w:rFonts w:ascii="Arial" w:hAnsi="Arial" w:cs="Arial"/>
          <w:sz w:val="24"/>
          <w:szCs w:val="24"/>
          <w:lang w:val="en-US"/>
        </w:rPr>
        <w:t>46</w:t>
      </w:r>
      <w:r w:rsidR="00E45AA5">
        <w:rPr>
          <w:rFonts w:ascii="Arial" w:hAnsi="Arial" w:cs="Arial"/>
          <w:sz w:val="24"/>
          <w:szCs w:val="24"/>
          <w:lang w:val="en-US"/>
        </w:rPr>
        <w:t>]</w:t>
      </w:r>
      <w:r w:rsidR="00E45AA5">
        <w:rPr>
          <w:rFonts w:ascii="Arial" w:hAnsi="Arial" w:cs="Arial"/>
          <w:sz w:val="24"/>
          <w:szCs w:val="24"/>
          <w:lang w:val="en-US"/>
        </w:rPr>
        <w:tab/>
      </w:r>
      <w:r w:rsidR="00FE79B5">
        <w:rPr>
          <w:rFonts w:ascii="Arial" w:hAnsi="Arial" w:cs="Arial"/>
          <w:sz w:val="24"/>
          <w:szCs w:val="24"/>
          <w:lang w:val="en-US"/>
        </w:rPr>
        <w:t>First defendant further argues that he did not occupy the whole of plaintiffs’ farm but only a portion that he had found dormant</w:t>
      </w:r>
      <w:r w:rsidR="004046A5">
        <w:rPr>
          <w:rFonts w:ascii="Arial" w:hAnsi="Arial" w:cs="Arial"/>
          <w:sz w:val="24"/>
          <w:szCs w:val="24"/>
          <w:lang w:val="en-US"/>
        </w:rPr>
        <w:t>.</w:t>
      </w:r>
      <w:r w:rsidR="00FE79B5">
        <w:rPr>
          <w:rFonts w:ascii="Arial" w:hAnsi="Arial" w:cs="Arial"/>
          <w:sz w:val="24"/>
          <w:szCs w:val="24"/>
          <w:lang w:val="en-US"/>
        </w:rPr>
        <w:t xml:space="preserve"> He alleges that no lease agreement was in any event in place with any prospective tenant for the portion of the plaintiffs’ property that he occupied and that the amount he is charged for reasonable ‘rental’ does not correspond with amounts paid by neighboring tenants that occupied other and similar portions of the property. In addition </w:t>
      </w:r>
      <w:r w:rsidR="00FD0919">
        <w:rPr>
          <w:rFonts w:ascii="Arial" w:hAnsi="Arial" w:cs="Arial"/>
          <w:sz w:val="24"/>
          <w:szCs w:val="24"/>
          <w:lang w:val="en-US"/>
        </w:rPr>
        <w:t xml:space="preserve">the plaintiffs failed to allege that if it was not for the first defendant’s unlawful occupation, the plaintiffs’ would have leased the property out and would have received the amount which they claim for damages. </w:t>
      </w:r>
    </w:p>
    <w:p w:rsidR="00FE79B5" w:rsidRPr="00E45AA5" w:rsidRDefault="00FE79B5" w:rsidP="007E45F7">
      <w:pPr>
        <w:tabs>
          <w:tab w:val="left" w:pos="720"/>
          <w:tab w:val="left" w:pos="1380"/>
        </w:tabs>
        <w:spacing w:after="0" w:line="360" w:lineRule="auto"/>
        <w:jc w:val="both"/>
        <w:rPr>
          <w:rFonts w:ascii="Arial" w:hAnsi="Arial" w:cs="Arial"/>
          <w:sz w:val="24"/>
          <w:szCs w:val="24"/>
          <w:lang w:val="en-US"/>
        </w:rPr>
      </w:pPr>
    </w:p>
    <w:p w:rsidR="00E45AA5" w:rsidRDefault="00B52145" w:rsidP="007E45F7">
      <w:pPr>
        <w:tabs>
          <w:tab w:val="left" w:pos="720"/>
          <w:tab w:val="left" w:pos="1380"/>
        </w:tabs>
        <w:spacing w:after="0" w:line="360" w:lineRule="auto"/>
        <w:jc w:val="both"/>
        <w:rPr>
          <w:rFonts w:ascii="Arial" w:hAnsi="Arial" w:cs="Arial"/>
          <w:i/>
          <w:sz w:val="24"/>
          <w:szCs w:val="24"/>
          <w:lang w:val="en-US"/>
        </w:rPr>
      </w:pPr>
      <w:r>
        <w:rPr>
          <w:rFonts w:ascii="Arial" w:hAnsi="Arial" w:cs="Arial"/>
          <w:i/>
          <w:sz w:val="24"/>
          <w:szCs w:val="24"/>
          <w:lang w:val="en-US"/>
        </w:rPr>
        <w:t>Plaintiff’s case</w:t>
      </w:r>
    </w:p>
    <w:p w:rsidR="00B52145" w:rsidRPr="00B52145" w:rsidRDefault="00B52145" w:rsidP="007E45F7">
      <w:pPr>
        <w:tabs>
          <w:tab w:val="left" w:pos="720"/>
          <w:tab w:val="left" w:pos="1380"/>
        </w:tabs>
        <w:spacing w:after="0" w:line="360" w:lineRule="auto"/>
        <w:jc w:val="both"/>
        <w:rPr>
          <w:rFonts w:ascii="Arial" w:hAnsi="Arial" w:cs="Arial"/>
          <w:sz w:val="24"/>
          <w:szCs w:val="24"/>
          <w:lang w:val="en-US"/>
        </w:rPr>
      </w:pPr>
    </w:p>
    <w:p w:rsidR="004046A5" w:rsidRDefault="00E45AA5" w:rsidP="007E45F7">
      <w:pPr>
        <w:tabs>
          <w:tab w:val="left" w:pos="720"/>
          <w:tab w:val="left" w:pos="1380"/>
        </w:tabs>
        <w:spacing w:after="0" w:line="360" w:lineRule="auto"/>
        <w:jc w:val="both"/>
        <w:rPr>
          <w:rFonts w:ascii="Arial" w:hAnsi="Arial" w:cs="Arial"/>
          <w:sz w:val="24"/>
          <w:szCs w:val="24"/>
          <w:lang w:val="en-US"/>
        </w:rPr>
      </w:pPr>
      <w:r w:rsidRPr="00E45AA5">
        <w:rPr>
          <w:rFonts w:ascii="Arial" w:hAnsi="Arial" w:cs="Arial"/>
          <w:sz w:val="24"/>
          <w:szCs w:val="24"/>
          <w:lang w:val="en-US"/>
        </w:rPr>
        <w:t>[</w:t>
      </w:r>
      <w:r w:rsidR="00DE26CB">
        <w:rPr>
          <w:rFonts w:ascii="Arial" w:hAnsi="Arial" w:cs="Arial"/>
          <w:sz w:val="24"/>
          <w:szCs w:val="24"/>
          <w:lang w:val="en-US"/>
        </w:rPr>
        <w:t>47</w:t>
      </w:r>
      <w:r>
        <w:rPr>
          <w:rFonts w:ascii="Arial" w:hAnsi="Arial" w:cs="Arial"/>
          <w:sz w:val="24"/>
          <w:szCs w:val="24"/>
          <w:lang w:val="en-US"/>
        </w:rPr>
        <w:t>]</w:t>
      </w:r>
      <w:r>
        <w:rPr>
          <w:rFonts w:ascii="Arial" w:hAnsi="Arial" w:cs="Arial"/>
          <w:sz w:val="24"/>
          <w:szCs w:val="24"/>
          <w:lang w:val="en-US"/>
        </w:rPr>
        <w:tab/>
      </w:r>
      <w:r w:rsidR="00EE3570">
        <w:rPr>
          <w:rFonts w:ascii="Arial" w:hAnsi="Arial" w:cs="Arial"/>
          <w:sz w:val="24"/>
          <w:szCs w:val="24"/>
          <w:lang w:val="en-US"/>
        </w:rPr>
        <w:t xml:space="preserve">Plaintiffs raised a point in limine in that the first defendant solely relies on the expert witness as a reason for his late filing of the expert report, however he failed to provide a confirmatory affidavit of the expert to confirm the content of the founding affidavit filed by </w:t>
      </w:r>
      <w:r w:rsidR="00EE3570">
        <w:rPr>
          <w:rFonts w:ascii="Arial" w:hAnsi="Arial" w:cs="Arial"/>
          <w:sz w:val="24"/>
          <w:szCs w:val="24"/>
          <w:lang w:val="en-US"/>
        </w:rPr>
        <w:lastRenderedPageBreak/>
        <w:t xml:space="preserve">the first defendant. Plaintiffs therefore argue that facts which are not deposed to under oath constitute hearsay evidence, which evidence is inadmissible under law. As a result the Court should disregard all and any averments by the first defendant which rely or refer to the expert as the expert failed to file a confirmatory affidavit indicating that he has read the affidavit of the first defendant and the facts contained therein are to the best of his knowledge true and correct in so far as they refer or relate to him.  </w:t>
      </w:r>
    </w:p>
    <w:p w:rsidR="00213207" w:rsidRDefault="00213207" w:rsidP="007E45F7">
      <w:pPr>
        <w:tabs>
          <w:tab w:val="left" w:pos="720"/>
          <w:tab w:val="left" w:pos="1380"/>
        </w:tabs>
        <w:spacing w:after="0" w:line="360" w:lineRule="auto"/>
        <w:jc w:val="both"/>
        <w:rPr>
          <w:rFonts w:ascii="Arial" w:hAnsi="Arial" w:cs="Arial"/>
          <w:sz w:val="24"/>
          <w:szCs w:val="24"/>
          <w:lang w:val="en-US"/>
        </w:rPr>
      </w:pPr>
    </w:p>
    <w:p w:rsidR="00213207" w:rsidRPr="00E45AA5" w:rsidRDefault="00213207"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w:t>
      </w:r>
      <w:r w:rsidR="00A973C3">
        <w:rPr>
          <w:rFonts w:ascii="Arial" w:hAnsi="Arial" w:cs="Arial"/>
          <w:sz w:val="24"/>
          <w:szCs w:val="24"/>
          <w:lang w:val="en-US"/>
        </w:rPr>
        <w:t>48</w:t>
      </w:r>
      <w:r>
        <w:rPr>
          <w:rFonts w:ascii="Arial" w:hAnsi="Arial" w:cs="Arial"/>
          <w:sz w:val="24"/>
          <w:szCs w:val="24"/>
          <w:lang w:val="en-US"/>
        </w:rPr>
        <w:t>]</w:t>
      </w:r>
      <w:r>
        <w:rPr>
          <w:rFonts w:ascii="Arial" w:hAnsi="Arial" w:cs="Arial"/>
          <w:sz w:val="24"/>
          <w:szCs w:val="24"/>
          <w:lang w:val="en-US"/>
        </w:rPr>
        <w:tab/>
        <w:t>First defendant however argues that the reason and purpose of including the statements of the expert in his founding affidavit is to indicate that the statements were indeed made by the expert and does not hold the intention to have the statements regarded as being truthful, as a result thereof the evidence cannot therefore be regarded as inadmissible. Counsel referred the Court to the case</w:t>
      </w:r>
      <w:r w:rsidR="00BE7322">
        <w:rPr>
          <w:rFonts w:ascii="Arial" w:hAnsi="Arial" w:cs="Arial"/>
          <w:sz w:val="24"/>
          <w:szCs w:val="24"/>
          <w:lang w:val="en-US"/>
        </w:rPr>
        <w:t>s</w:t>
      </w:r>
      <w:r>
        <w:rPr>
          <w:rFonts w:ascii="Arial" w:hAnsi="Arial" w:cs="Arial"/>
          <w:sz w:val="24"/>
          <w:szCs w:val="24"/>
          <w:lang w:val="en-US"/>
        </w:rPr>
        <w:t xml:space="preserve"> of </w:t>
      </w:r>
      <w:r w:rsidRPr="00B25B55">
        <w:rPr>
          <w:rFonts w:ascii="Arial" w:hAnsi="Arial" w:cs="Arial"/>
          <w:i/>
          <w:sz w:val="24"/>
          <w:szCs w:val="24"/>
          <w:lang w:val="en-US"/>
        </w:rPr>
        <w:t>Subramaniam v Public Prosecutor</w:t>
      </w:r>
      <w:r>
        <w:rPr>
          <w:rStyle w:val="FootnoteReference"/>
          <w:rFonts w:ascii="Arial" w:hAnsi="Arial" w:cs="Arial"/>
          <w:sz w:val="24"/>
          <w:szCs w:val="24"/>
          <w:lang w:val="en-US"/>
        </w:rPr>
        <w:footnoteReference w:id="14"/>
      </w:r>
      <w:r w:rsidR="00BE7322" w:rsidRPr="00BE7322">
        <w:rPr>
          <w:rFonts w:ascii="Arial" w:hAnsi="Arial" w:cs="Arial"/>
          <w:i/>
          <w:sz w:val="24"/>
          <w:szCs w:val="24"/>
          <w:lang w:val="en-US"/>
        </w:rPr>
        <w:t xml:space="preserve"> </w:t>
      </w:r>
      <w:r w:rsidR="00BE7322">
        <w:rPr>
          <w:rFonts w:ascii="Arial" w:hAnsi="Arial" w:cs="Arial"/>
          <w:sz w:val="24"/>
          <w:szCs w:val="24"/>
          <w:lang w:val="en-US"/>
        </w:rPr>
        <w:t xml:space="preserve">and </w:t>
      </w:r>
      <w:r w:rsidR="00BE7322" w:rsidRPr="00BE7322">
        <w:rPr>
          <w:rFonts w:ascii="Arial" w:hAnsi="Arial" w:cs="Arial"/>
          <w:i/>
          <w:sz w:val="24"/>
          <w:szCs w:val="24"/>
          <w:lang w:val="en-US"/>
        </w:rPr>
        <w:t>Aupindi v Shilemba and Others</w:t>
      </w:r>
      <w:r w:rsidR="00BE7322">
        <w:rPr>
          <w:rStyle w:val="FootnoteReference"/>
          <w:rFonts w:ascii="Arial" w:hAnsi="Arial" w:cs="Arial"/>
          <w:sz w:val="24"/>
          <w:szCs w:val="24"/>
          <w:lang w:val="en-US"/>
        </w:rPr>
        <w:footnoteReference w:id="15"/>
      </w:r>
      <w:r w:rsidR="00BE7322">
        <w:rPr>
          <w:rFonts w:ascii="Arial" w:hAnsi="Arial" w:cs="Arial"/>
          <w:sz w:val="24"/>
          <w:szCs w:val="24"/>
          <w:lang w:val="en-US"/>
        </w:rPr>
        <w:t xml:space="preserve"> wherein it was held in the latter case that ‘the hearsay evidence is admissible and relevant where the state of mind of a person has to be proved is only first hand hearsay evidence’. Counsel therefore submits that </w:t>
      </w:r>
      <w:r w:rsidR="00D70FB2">
        <w:rPr>
          <w:rFonts w:ascii="Arial" w:hAnsi="Arial" w:cs="Arial"/>
          <w:sz w:val="24"/>
          <w:szCs w:val="24"/>
          <w:lang w:val="en-US"/>
        </w:rPr>
        <w:t>first defendant’s reliance on hearsay evidence came about as a result of the communication between the first defendant and his expert witnes</w:t>
      </w:r>
      <w:r w:rsidR="00EC00DD">
        <w:rPr>
          <w:rFonts w:ascii="Arial" w:hAnsi="Arial" w:cs="Arial"/>
          <w:sz w:val="24"/>
          <w:szCs w:val="24"/>
          <w:lang w:val="en-US"/>
        </w:rPr>
        <w:t>s and that plaintiffs fail to provide arguments as to what the reason is for adducing</w:t>
      </w:r>
      <w:r w:rsidR="00A970A7">
        <w:rPr>
          <w:rFonts w:ascii="Arial" w:hAnsi="Arial" w:cs="Arial"/>
          <w:sz w:val="24"/>
          <w:szCs w:val="24"/>
          <w:lang w:val="en-US"/>
        </w:rPr>
        <w:t xml:space="preserve"> the hearsay evidence. Counsel further submits that it is not first defendant’s contention that the expert was indeed in South Africa or indisposed at the time of filing the report. What the first defendant intends to demonstrate is merely the facts that resulted in the non-compliance. </w:t>
      </w:r>
    </w:p>
    <w:p w:rsidR="00E45AA5" w:rsidRPr="00E45AA5" w:rsidRDefault="00E45AA5" w:rsidP="007E45F7">
      <w:pPr>
        <w:tabs>
          <w:tab w:val="left" w:pos="720"/>
          <w:tab w:val="left" w:pos="1380"/>
        </w:tabs>
        <w:spacing w:after="0" w:line="360" w:lineRule="auto"/>
        <w:jc w:val="both"/>
        <w:rPr>
          <w:rFonts w:ascii="Arial" w:hAnsi="Arial" w:cs="Arial"/>
          <w:sz w:val="24"/>
          <w:szCs w:val="24"/>
          <w:lang w:val="en-US"/>
        </w:rPr>
      </w:pPr>
    </w:p>
    <w:p w:rsidR="00E45AA5" w:rsidRPr="00E45AA5" w:rsidRDefault="00A973C3"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lang w:val="en-US"/>
        </w:rPr>
        <w:t>[49</w:t>
      </w:r>
      <w:r w:rsidR="00E45AA5" w:rsidRPr="00C91B7E">
        <w:rPr>
          <w:rFonts w:ascii="Arial" w:hAnsi="Arial" w:cs="Arial"/>
          <w:sz w:val="24"/>
          <w:szCs w:val="24"/>
          <w:lang w:val="en-US"/>
        </w:rPr>
        <w:t>]</w:t>
      </w:r>
      <w:r w:rsidR="00E45AA5" w:rsidRPr="00C91B7E">
        <w:rPr>
          <w:rFonts w:ascii="Arial" w:hAnsi="Arial" w:cs="Arial"/>
          <w:sz w:val="24"/>
          <w:szCs w:val="24"/>
          <w:lang w:val="en-US"/>
        </w:rPr>
        <w:tab/>
      </w:r>
      <w:r w:rsidR="00A17DBF">
        <w:rPr>
          <w:rFonts w:ascii="Arial" w:hAnsi="Arial" w:cs="Arial"/>
          <w:sz w:val="24"/>
          <w:szCs w:val="24"/>
          <w:lang w:val="en-US"/>
        </w:rPr>
        <w:t xml:space="preserve">Plaintiffs submit that this application is amongst many applications for condonation brought by the first defendant occasioned </w:t>
      </w:r>
      <w:r w:rsidR="00CE317A">
        <w:rPr>
          <w:rFonts w:ascii="Arial" w:hAnsi="Arial" w:cs="Arial"/>
          <w:sz w:val="24"/>
          <w:szCs w:val="24"/>
          <w:lang w:val="en-US"/>
        </w:rPr>
        <w:t>by his</w:t>
      </w:r>
      <w:r w:rsidR="00A17DBF">
        <w:rPr>
          <w:rFonts w:ascii="Arial" w:hAnsi="Arial" w:cs="Arial"/>
          <w:sz w:val="24"/>
          <w:szCs w:val="24"/>
          <w:lang w:val="en-US"/>
        </w:rPr>
        <w:t xml:space="preserve"> non-compliances with court orders and referred the Court to the history of non-compliances set out in the answering affidavit of the </w:t>
      </w:r>
      <w:r w:rsidR="00A17DBF" w:rsidRPr="00A973C3">
        <w:rPr>
          <w:rFonts w:ascii="Arial" w:hAnsi="Arial" w:cs="Arial"/>
          <w:sz w:val="24"/>
          <w:szCs w:val="24"/>
          <w:lang w:val="en-US"/>
        </w:rPr>
        <w:t xml:space="preserve">plaintiffs </w:t>
      </w:r>
      <w:r w:rsidR="00CE317A" w:rsidRPr="00A973C3">
        <w:rPr>
          <w:rFonts w:ascii="Arial" w:hAnsi="Arial" w:cs="Arial"/>
          <w:sz w:val="24"/>
          <w:szCs w:val="24"/>
          <w:lang w:val="en-US"/>
        </w:rPr>
        <w:t xml:space="preserve">in </w:t>
      </w:r>
      <w:r w:rsidR="00A17DBF" w:rsidRPr="00A973C3">
        <w:rPr>
          <w:rFonts w:ascii="Arial" w:hAnsi="Arial" w:cs="Arial"/>
          <w:sz w:val="24"/>
          <w:szCs w:val="24"/>
          <w:lang w:val="en-US"/>
        </w:rPr>
        <w:t>the recession application</w:t>
      </w:r>
      <w:r w:rsidR="00C44E31" w:rsidRPr="00A973C3">
        <w:rPr>
          <w:rFonts w:ascii="Arial" w:hAnsi="Arial" w:cs="Arial"/>
          <w:sz w:val="24"/>
          <w:szCs w:val="24"/>
          <w:lang w:val="en-US"/>
        </w:rPr>
        <w:t>,</w:t>
      </w:r>
      <w:r w:rsidR="00CE317A" w:rsidRPr="00A973C3">
        <w:rPr>
          <w:rFonts w:ascii="Arial" w:hAnsi="Arial" w:cs="Arial"/>
          <w:sz w:val="24"/>
          <w:szCs w:val="24"/>
          <w:lang w:val="en-US"/>
        </w:rPr>
        <w:t xml:space="preserve"> which the Court has summarized </w:t>
      </w:r>
      <w:r w:rsidRPr="00A973C3">
        <w:rPr>
          <w:rFonts w:ascii="Arial" w:hAnsi="Arial" w:cs="Arial"/>
          <w:sz w:val="24"/>
          <w:szCs w:val="24"/>
          <w:lang w:val="en-US"/>
        </w:rPr>
        <w:t xml:space="preserve">more fully </w:t>
      </w:r>
      <w:r w:rsidR="00CE317A" w:rsidRPr="00A973C3">
        <w:rPr>
          <w:rFonts w:ascii="Arial" w:hAnsi="Arial" w:cs="Arial"/>
          <w:sz w:val="24"/>
          <w:szCs w:val="24"/>
          <w:lang w:val="en-US"/>
        </w:rPr>
        <w:t xml:space="preserve">as set out in </w:t>
      </w:r>
      <w:r w:rsidRPr="00A973C3">
        <w:rPr>
          <w:rFonts w:ascii="Arial" w:hAnsi="Arial" w:cs="Arial"/>
          <w:sz w:val="24"/>
          <w:szCs w:val="24"/>
          <w:lang w:val="en-US"/>
        </w:rPr>
        <w:t>paras 36 to 40</w:t>
      </w:r>
      <w:r w:rsidR="00CE317A" w:rsidRPr="00A973C3">
        <w:rPr>
          <w:rFonts w:ascii="Arial" w:hAnsi="Arial" w:cs="Arial"/>
          <w:sz w:val="24"/>
          <w:szCs w:val="24"/>
          <w:lang w:val="en-US"/>
        </w:rPr>
        <w:t xml:space="preserve"> above</w:t>
      </w:r>
      <w:r w:rsidR="00E45AA5" w:rsidRPr="00A973C3">
        <w:rPr>
          <w:rFonts w:ascii="Arial" w:hAnsi="Arial" w:cs="Arial"/>
          <w:sz w:val="24"/>
          <w:szCs w:val="24"/>
        </w:rPr>
        <w:t>.</w:t>
      </w:r>
      <w:r w:rsidR="00B4535D" w:rsidRPr="00A973C3">
        <w:rPr>
          <w:rFonts w:ascii="Arial" w:hAnsi="Arial" w:cs="Arial"/>
          <w:sz w:val="24"/>
          <w:szCs w:val="24"/>
        </w:rPr>
        <w:t xml:space="preserve"> </w:t>
      </w:r>
      <w:r w:rsidR="00B4535D">
        <w:rPr>
          <w:rFonts w:ascii="Arial" w:hAnsi="Arial" w:cs="Arial"/>
          <w:sz w:val="24"/>
          <w:szCs w:val="24"/>
        </w:rPr>
        <w:t xml:space="preserve">The Plaintiff further submits that this application demonstrates first </w:t>
      </w:r>
      <w:r w:rsidR="00B716A3">
        <w:rPr>
          <w:rFonts w:ascii="Arial" w:hAnsi="Arial" w:cs="Arial"/>
          <w:sz w:val="24"/>
          <w:szCs w:val="24"/>
        </w:rPr>
        <w:t>defendant’s</w:t>
      </w:r>
      <w:r w:rsidR="00B4535D">
        <w:rPr>
          <w:rFonts w:ascii="Arial" w:hAnsi="Arial" w:cs="Arial"/>
          <w:sz w:val="24"/>
          <w:szCs w:val="24"/>
        </w:rPr>
        <w:t xml:space="preserve"> </w:t>
      </w:r>
      <w:r w:rsidR="00B4535D" w:rsidRPr="00B4535D">
        <w:rPr>
          <w:rFonts w:ascii="Arial" w:hAnsi="Arial" w:cs="Arial"/>
          <w:sz w:val="24"/>
          <w:szCs w:val="24"/>
        </w:rPr>
        <w:t>lackadaisical</w:t>
      </w:r>
      <w:r w:rsidR="00B4535D">
        <w:rPr>
          <w:rFonts w:ascii="Arial" w:hAnsi="Arial" w:cs="Arial"/>
          <w:sz w:val="24"/>
          <w:szCs w:val="24"/>
        </w:rPr>
        <w:t xml:space="preserve"> approach to litigate this matter by </w:t>
      </w:r>
      <w:r w:rsidR="00B4535D">
        <w:rPr>
          <w:rFonts w:ascii="Arial" w:hAnsi="Arial" w:cs="Arial"/>
          <w:sz w:val="24"/>
          <w:szCs w:val="24"/>
        </w:rPr>
        <w:lastRenderedPageBreak/>
        <w:t>unnecessarily prolonging the finalization of this matter</w:t>
      </w:r>
      <w:r w:rsidR="00C44E31">
        <w:rPr>
          <w:rFonts w:ascii="Arial" w:hAnsi="Arial" w:cs="Arial"/>
          <w:sz w:val="24"/>
          <w:szCs w:val="24"/>
        </w:rPr>
        <w:t xml:space="preserve"> given the previous favourable exercise of the Court’s discretion to grant condonation to the first defendant</w:t>
      </w:r>
      <w:r w:rsidR="00B4535D">
        <w:rPr>
          <w:rFonts w:ascii="Arial" w:hAnsi="Arial" w:cs="Arial"/>
          <w:sz w:val="24"/>
          <w:szCs w:val="24"/>
        </w:rPr>
        <w:t xml:space="preserve">. </w:t>
      </w:r>
    </w:p>
    <w:p w:rsidR="00E45AA5" w:rsidRPr="00C91B7E" w:rsidRDefault="00E45AA5" w:rsidP="007E45F7">
      <w:pPr>
        <w:tabs>
          <w:tab w:val="left" w:pos="720"/>
          <w:tab w:val="left" w:pos="1380"/>
        </w:tabs>
        <w:spacing w:after="0" w:line="360" w:lineRule="auto"/>
        <w:jc w:val="both"/>
        <w:rPr>
          <w:rFonts w:ascii="Arial" w:hAnsi="Arial" w:cs="Arial"/>
          <w:sz w:val="24"/>
          <w:szCs w:val="24"/>
        </w:rPr>
      </w:pPr>
    </w:p>
    <w:p w:rsidR="007A627B" w:rsidRDefault="00A973C3"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[50</w:t>
      </w:r>
      <w:r w:rsidR="00352690" w:rsidRPr="00C91B7E">
        <w:rPr>
          <w:rFonts w:ascii="Arial" w:hAnsi="Arial" w:cs="Arial"/>
          <w:sz w:val="24"/>
          <w:szCs w:val="24"/>
        </w:rPr>
        <w:t>]</w:t>
      </w:r>
      <w:r w:rsidR="00352690" w:rsidRPr="00C91B7E">
        <w:rPr>
          <w:rFonts w:ascii="Arial" w:hAnsi="Arial" w:cs="Arial"/>
          <w:sz w:val="24"/>
          <w:szCs w:val="24"/>
        </w:rPr>
        <w:tab/>
      </w:r>
      <w:r w:rsidR="005C1553">
        <w:rPr>
          <w:rFonts w:ascii="Arial" w:hAnsi="Arial" w:cs="Arial"/>
          <w:sz w:val="24"/>
          <w:szCs w:val="24"/>
        </w:rPr>
        <w:t xml:space="preserve">Plaintiffs argue that more than a week passed from 21 February 2020 until 2 March 2020 </w:t>
      </w:r>
      <w:r w:rsidR="006C5FD7">
        <w:rPr>
          <w:rFonts w:ascii="Arial" w:hAnsi="Arial" w:cs="Arial"/>
          <w:sz w:val="24"/>
          <w:szCs w:val="24"/>
        </w:rPr>
        <w:t xml:space="preserve">when the first defendant placed his legal practitioner with funds </w:t>
      </w:r>
      <w:r w:rsidR="005C1553">
        <w:rPr>
          <w:rFonts w:ascii="Arial" w:hAnsi="Arial" w:cs="Arial"/>
          <w:sz w:val="24"/>
          <w:szCs w:val="24"/>
        </w:rPr>
        <w:t xml:space="preserve">however no explanation is given why the first defendant did not contact his legal practitioner </w:t>
      </w:r>
      <w:r w:rsidR="00C65E18">
        <w:rPr>
          <w:rFonts w:ascii="Arial" w:hAnsi="Arial" w:cs="Arial"/>
          <w:sz w:val="24"/>
          <w:szCs w:val="24"/>
        </w:rPr>
        <w:t>timeously</w:t>
      </w:r>
      <w:r w:rsidR="006C5FD7">
        <w:rPr>
          <w:rFonts w:ascii="Arial" w:hAnsi="Arial" w:cs="Arial"/>
          <w:sz w:val="24"/>
          <w:szCs w:val="24"/>
        </w:rPr>
        <w:t>. First defendant also failed to attend to his legal practitioner’s office on 2 March 2020 when he placed them in fund and only approached their office on 4 March 2020 with</w:t>
      </w:r>
      <w:r w:rsidR="003D7512">
        <w:rPr>
          <w:rFonts w:ascii="Arial" w:hAnsi="Arial" w:cs="Arial"/>
          <w:sz w:val="24"/>
          <w:szCs w:val="24"/>
        </w:rPr>
        <w:t>out giving any explanation as to</w:t>
      </w:r>
      <w:r w:rsidR="006C5FD7">
        <w:rPr>
          <w:rFonts w:ascii="Arial" w:hAnsi="Arial" w:cs="Arial"/>
          <w:sz w:val="24"/>
          <w:szCs w:val="24"/>
        </w:rPr>
        <w:t xml:space="preserve"> why the consultation could not be arranged earlier.</w:t>
      </w:r>
    </w:p>
    <w:p w:rsidR="006C5FD7" w:rsidRPr="00C91B7E" w:rsidRDefault="006C5FD7" w:rsidP="007E45F7">
      <w:pPr>
        <w:tabs>
          <w:tab w:val="left" w:pos="720"/>
          <w:tab w:val="left" w:pos="1380"/>
        </w:tabs>
        <w:spacing w:after="0" w:line="360" w:lineRule="auto"/>
        <w:jc w:val="both"/>
        <w:rPr>
          <w:rFonts w:ascii="Arial" w:hAnsi="Arial" w:cs="Arial"/>
          <w:sz w:val="24"/>
          <w:szCs w:val="24"/>
        </w:rPr>
      </w:pPr>
    </w:p>
    <w:p w:rsidR="007A627B" w:rsidRDefault="007A627B" w:rsidP="007E45F7">
      <w:pPr>
        <w:tabs>
          <w:tab w:val="left" w:pos="720"/>
          <w:tab w:val="left" w:pos="1380"/>
        </w:tabs>
        <w:spacing w:after="0" w:line="360" w:lineRule="auto"/>
        <w:jc w:val="both"/>
        <w:rPr>
          <w:rFonts w:ascii="Arial" w:hAnsi="Arial" w:cs="Arial"/>
          <w:sz w:val="24"/>
          <w:szCs w:val="24"/>
        </w:rPr>
      </w:pPr>
      <w:r w:rsidRPr="00C91B7E">
        <w:rPr>
          <w:rFonts w:ascii="Arial" w:hAnsi="Arial" w:cs="Arial"/>
          <w:sz w:val="24"/>
          <w:szCs w:val="24"/>
        </w:rPr>
        <w:t>[</w:t>
      </w:r>
      <w:r w:rsidR="00A973C3">
        <w:rPr>
          <w:rFonts w:ascii="Arial" w:hAnsi="Arial" w:cs="Arial"/>
          <w:sz w:val="24"/>
          <w:szCs w:val="24"/>
        </w:rPr>
        <w:t>51</w:t>
      </w:r>
      <w:r w:rsidR="002B30B1">
        <w:rPr>
          <w:rFonts w:ascii="Arial" w:hAnsi="Arial" w:cs="Arial"/>
          <w:sz w:val="24"/>
          <w:szCs w:val="24"/>
        </w:rPr>
        <w:t>]</w:t>
      </w:r>
      <w:r w:rsidR="002B30B1">
        <w:rPr>
          <w:rFonts w:ascii="Arial" w:hAnsi="Arial" w:cs="Arial"/>
          <w:sz w:val="24"/>
          <w:szCs w:val="24"/>
        </w:rPr>
        <w:tab/>
      </w:r>
      <w:r w:rsidR="00AC4E7F">
        <w:rPr>
          <w:rFonts w:ascii="Arial" w:hAnsi="Arial" w:cs="Arial"/>
          <w:sz w:val="24"/>
          <w:szCs w:val="24"/>
        </w:rPr>
        <w:t>Plaintiffs argue that the first defendant failed to explain the nature of the alleged difficulty for the expert to sign the report on time before 6 March 2020</w:t>
      </w:r>
      <w:r w:rsidR="004A61FF">
        <w:rPr>
          <w:rFonts w:ascii="Arial" w:hAnsi="Arial" w:cs="Arial"/>
          <w:sz w:val="24"/>
          <w:szCs w:val="24"/>
        </w:rPr>
        <w:t xml:space="preserve"> or before he could travel</w:t>
      </w:r>
      <w:r w:rsidR="00AC4E7F">
        <w:rPr>
          <w:rFonts w:ascii="Arial" w:hAnsi="Arial" w:cs="Arial"/>
          <w:sz w:val="24"/>
          <w:szCs w:val="24"/>
        </w:rPr>
        <w:t xml:space="preserve"> other than the fact that the expert had to travel to South Africa</w:t>
      </w:r>
      <w:r w:rsidR="00CD78C8">
        <w:rPr>
          <w:rFonts w:ascii="Arial" w:hAnsi="Arial" w:cs="Arial"/>
          <w:sz w:val="24"/>
          <w:szCs w:val="24"/>
        </w:rPr>
        <w:t>,</w:t>
      </w:r>
      <w:r w:rsidR="00AC4E7F">
        <w:rPr>
          <w:rFonts w:ascii="Arial" w:hAnsi="Arial" w:cs="Arial"/>
          <w:sz w:val="24"/>
          <w:szCs w:val="24"/>
        </w:rPr>
        <w:t xml:space="preserve"> without</w:t>
      </w:r>
      <w:r w:rsidR="004A61FF">
        <w:rPr>
          <w:rFonts w:ascii="Arial" w:hAnsi="Arial" w:cs="Arial"/>
          <w:sz w:val="24"/>
          <w:szCs w:val="24"/>
        </w:rPr>
        <w:t xml:space="preserve"> also</w:t>
      </w:r>
      <w:r w:rsidR="00AC4E7F">
        <w:rPr>
          <w:rFonts w:ascii="Arial" w:hAnsi="Arial" w:cs="Arial"/>
          <w:sz w:val="24"/>
          <w:szCs w:val="24"/>
        </w:rPr>
        <w:t xml:space="preserve"> indicating the exact date which the expert had to travel</w:t>
      </w:r>
      <w:r w:rsidR="00D66D46">
        <w:rPr>
          <w:rFonts w:ascii="Arial" w:hAnsi="Arial" w:cs="Arial"/>
          <w:sz w:val="24"/>
          <w:szCs w:val="24"/>
        </w:rPr>
        <w:t xml:space="preserve"> and also failing to allege whether the expert was alerted to the deadline for filing the report before his supposed departure</w:t>
      </w:r>
      <w:r w:rsidR="002B30B1">
        <w:rPr>
          <w:rFonts w:ascii="Arial" w:hAnsi="Arial" w:cs="Arial"/>
          <w:sz w:val="24"/>
          <w:szCs w:val="24"/>
        </w:rPr>
        <w:t>.</w:t>
      </w:r>
      <w:r w:rsidR="00CF75C6">
        <w:rPr>
          <w:rFonts w:ascii="Arial" w:hAnsi="Arial" w:cs="Arial"/>
          <w:sz w:val="24"/>
          <w:szCs w:val="24"/>
        </w:rPr>
        <w:t xml:space="preserve"> First defendant also failed to indicate the date of the expert’s satisfaction with the content of the report</w:t>
      </w:r>
      <w:r w:rsidR="00BD7AC1">
        <w:rPr>
          <w:rFonts w:ascii="Arial" w:hAnsi="Arial" w:cs="Arial"/>
          <w:sz w:val="24"/>
          <w:szCs w:val="24"/>
        </w:rPr>
        <w:t>.</w:t>
      </w:r>
      <w:r w:rsidR="00C947C3">
        <w:rPr>
          <w:rFonts w:ascii="Arial" w:hAnsi="Arial" w:cs="Arial"/>
          <w:sz w:val="24"/>
          <w:szCs w:val="24"/>
        </w:rPr>
        <w:t xml:space="preserve"> Further, no explanation is given as to why the expert could not sign the report</w:t>
      </w:r>
      <w:r w:rsidR="00760FEF">
        <w:rPr>
          <w:rFonts w:ascii="Arial" w:hAnsi="Arial" w:cs="Arial"/>
          <w:sz w:val="24"/>
          <w:szCs w:val="24"/>
        </w:rPr>
        <w:t xml:space="preserve"> physically or dispatch it via fax or email.</w:t>
      </w:r>
      <w:r w:rsidR="00C947C3">
        <w:rPr>
          <w:rFonts w:ascii="Arial" w:hAnsi="Arial" w:cs="Arial"/>
          <w:sz w:val="24"/>
          <w:szCs w:val="24"/>
        </w:rPr>
        <w:t xml:space="preserve"> </w:t>
      </w:r>
    </w:p>
    <w:p w:rsidR="00512EA2" w:rsidRDefault="00512EA2" w:rsidP="007E45F7">
      <w:pPr>
        <w:tabs>
          <w:tab w:val="left" w:pos="720"/>
          <w:tab w:val="left" w:pos="1380"/>
        </w:tabs>
        <w:spacing w:after="0" w:line="360" w:lineRule="auto"/>
        <w:jc w:val="both"/>
        <w:rPr>
          <w:rFonts w:ascii="Arial" w:hAnsi="Arial" w:cs="Arial"/>
          <w:sz w:val="24"/>
          <w:szCs w:val="24"/>
        </w:rPr>
      </w:pPr>
    </w:p>
    <w:p w:rsidR="00512EA2" w:rsidRDefault="00512EA2"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A973C3">
        <w:rPr>
          <w:rFonts w:ascii="Arial" w:hAnsi="Arial" w:cs="Arial"/>
          <w:sz w:val="24"/>
          <w:szCs w:val="24"/>
        </w:rPr>
        <w:t>52</w:t>
      </w:r>
      <w:r>
        <w:rPr>
          <w:rFonts w:ascii="Arial" w:hAnsi="Arial" w:cs="Arial"/>
          <w:sz w:val="24"/>
          <w:szCs w:val="24"/>
        </w:rPr>
        <w:t>]</w:t>
      </w:r>
      <w:r>
        <w:rPr>
          <w:rFonts w:ascii="Arial" w:hAnsi="Arial" w:cs="Arial"/>
          <w:sz w:val="24"/>
          <w:szCs w:val="24"/>
        </w:rPr>
        <w:tab/>
        <w:t xml:space="preserve">Plaintiffs further argue that the unsigned report that was filed on 20 March 2020 indicates that it wouldn’t have taken more than a few hours at the most to prepare it given the nature of its content and the number of </w:t>
      </w:r>
      <w:r w:rsidR="001E45B6">
        <w:rPr>
          <w:rFonts w:ascii="Arial" w:hAnsi="Arial" w:cs="Arial"/>
          <w:sz w:val="24"/>
          <w:szCs w:val="24"/>
        </w:rPr>
        <w:t xml:space="preserve">pages, five (5) in total. This clearly shows that had the first defendant timeously attended to the preparation of the report, it would have been filed on time.  </w:t>
      </w:r>
    </w:p>
    <w:p w:rsidR="00CA32C4" w:rsidRDefault="00CA32C4" w:rsidP="007E45F7">
      <w:pPr>
        <w:tabs>
          <w:tab w:val="left" w:pos="720"/>
          <w:tab w:val="left" w:pos="1380"/>
        </w:tabs>
        <w:spacing w:after="0" w:line="360" w:lineRule="auto"/>
        <w:jc w:val="both"/>
        <w:rPr>
          <w:rFonts w:ascii="Arial" w:hAnsi="Arial" w:cs="Arial"/>
          <w:sz w:val="24"/>
          <w:szCs w:val="24"/>
        </w:rPr>
      </w:pPr>
    </w:p>
    <w:p w:rsidR="00F9121B" w:rsidRDefault="00CA32C4"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A973C3">
        <w:rPr>
          <w:rFonts w:ascii="Arial" w:hAnsi="Arial" w:cs="Arial"/>
          <w:sz w:val="24"/>
          <w:szCs w:val="24"/>
        </w:rPr>
        <w:t>53</w:t>
      </w:r>
      <w:r>
        <w:rPr>
          <w:rFonts w:ascii="Arial" w:hAnsi="Arial" w:cs="Arial"/>
          <w:sz w:val="24"/>
          <w:szCs w:val="24"/>
        </w:rPr>
        <w:t>]</w:t>
      </w:r>
      <w:r>
        <w:rPr>
          <w:rFonts w:ascii="Arial" w:hAnsi="Arial" w:cs="Arial"/>
          <w:sz w:val="24"/>
          <w:szCs w:val="24"/>
        </w:rPr>
        <w:tab/>
      </w:r>
      <w:r w:rsidR="009C6821">
        <w:rPr>
          <w:rFonts w:ascii="Arial" w:hAnsi="Arial" w:cs="Arial"/>
          <w:sz w:val="24"/>
          <w:szCs w:val="24"/>
        </w:rPr>
        <w:t>With regard to first defendant’</w:t>
      </w:r>
      <w:r w:rsidR="0055288D">
        <w:rPr>
          <w:rFonts w:ascii="Arial" w:hAnsi="Arial" w:cs="Arial"/>
          <w:sz w:val="24"/>
          <w:szCs w:val="24"/>
        </w:rPr>
        <w:t>s defence and merits on</w:t>
      </w:r>
      <w:r w:rsidR="009C6821">
        <w:rPr>
          <w:rFonts w:ascii="Arial" w:hAnsi="Arial" w:cs="Arial"/>
          <w:sz w:val="24"/>
          <w:szCs w:val="24"/>
        </w:rPr>
        <w:t xml:space="preserve"> the main action, plaintiffs maintain that the Magistrates Court made a ruling on the issue of unlawful occupation, which ruling remains unchallenged. Therefore this defence does not hold water and remains to be dismissed. </w:t>
      </w:r>
      <w:r w:rsidR="0022635C">
        <w:rPr>
          <w:rFonts w:ascii="Arial" w:hAnsi="Arial" w:cs="Arial"/>
          <w:sz w:val="24"/>
          <w:szCs w:val="24"/>
        </w:rPr>
        <w:t>Plaintiffs maintain that the first defendant was indeed in full occupation of the entire property for the duration of his stay and enjoyed the benefits of the property to the full extend at</w:t>
      </w:r>
      <w:r w:rsidR="0055288D">
        <w:rPr>
          <w:rFonts w:ascii="Arial" w:hAnsi="Arial" w:cs="Arial"/>
          <w:sz w:val="24"/>
          <w:szCs w:val="24"/>
        </w:rPr>
        <w:t xml:space="preserve"> the</w:t>
      </w:r>
      <w:r w:rsidR="0022635C">
        <w:rPr>
          <w:rFonts w:ascii="Arial" w:hAnsi="Arial" w:cs="Arial"/>
          <w:sz w:val="24"/>
          <w:szCs w:val="24"/>
        </w:rPr>
        <w:t xml:space="preserve"> exclusion of the plaintiffs. Plaintiffs further deny </w:t>
      </w:r>
      <w:r w:rsidR="0055288D">
        <w:rPr>
          <w:rFonts w:ascii="Arial" w:hAnsi="Arial" w:cs="Arial"/>
          <w:sz w:val="24"/>
          <w:szCs w:val="24"/>
        </w:rPr>
        <w:t xml:space="preserve">being </w:t>
      </w:r>
      <w:r w:rsidR="0055288D">
        <w:rPr>
          <w:rFonts w:ascii="Arial" w:hAnsi="Arial" w:cs="Arial"/>
          <w:sz w:val="24"/>
          <w:szCs w:val="24"/>
        </w:rPr>
        <w:lastRenderedPageBreak/>
        <w:t xml:space="preserve">indebted to the plaintiff in the amount </w:t>
      </w:r>
      <w:r w:rsidR="009A4A09">
        <w:rPr>
          <w:rFonts w:ascii="Arial" w:hAnsi="Arial" w:cs="Arial"/>
          <w:sz w:val="24"/>
          <w:szCs w:val="24"/>
        </w:rPr>
        <w:t xml:space="preserve">of N$ </w:t>
      </w:r>
      <w:r w:rsidR="0055288D">
        <w:rPr>
          <w:rFonts w:ascii="Arial" w:hAnsi="Arial" w:cs="Arial"/>
          <w:sz w:val="24"/>
          <w:szCs w:val="24"/>
        </w:rPr>
        <w:t xml:space="preserve">3 million and submit that such a claim has in any event since prescribed. Plaintiff therefore submit that the first defendant has no bona fide defence to the plaintiffs claim and his application stands to be dismissed. </w:t>
      </w:r>
    </w:p>
    <w:p w:rsidR="009352CD" w:rsidRDefault="009352CD" w:rsidP="007E45F7">
      <w:pPr>
        <w:tabs>
          <w:tab w:val="left" w:pos="720"/>
          <w:tab w:val="left" w:pos="1380"/>
        </w:tabs>
        <w:spacing w:after="0" w:line="360" w:lineRule="auto"/>
        <w:jc w:val="both"/>
        <w:rPr>
          <w:rFonts w:ascii="Arial" w:hAnsi="Arial" w:cs="Arial"/>
          <w:sz w:val="24"/>
          <w:szCs w:val="24"/>
        </w:rPr>
      </w:pPr>
    </w:p>
    <w:p w:rsidR="00F9121B" w:rsidRPr="00C91B7E" w:rsidRDefault="00F9121B"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A973C3">
        <w:rPr>
          <w:rFonts w:ascii="Arial" w:hAnsi="Arial" w:cs="Arial"/>
          <w:sz w:val="24"/>
          <w:szCs w:val="24"/>
        </w:rPr>
        <w:t>54</w:t>
      </w:r>
      <w:r>
        <w:rPr>
          <w:rFonts w:ascii="Arial" w:hAnsi="Arial" w:cs="Arial"/>
          <w:sz w:val="24"/>
          <w:szCs w:val="24"/>
        </w:rPr>
        <w:t>]</w:t>
      </w:r>
      <w:r>
        <w:rPr>
          <w:rFonts w:ascii="Arial" w:hAnsi="Arial" w:cs="Arial"/>
          <w:sz w:val="24"/>
          <w:szCs w:val="24"/>
        </w:rPr>
        <w:tab/>
      </w:r>
      <w:r w:rsidR="009A4A09">
        <w:rPr>
          <w:rFonts w:ascii="Arial" w:hAnsi="Arial" w:cs="Arial"/>
          <w:sz w:val="24"/>
          <w:szCs w:val="24"/>
        </w:rPr>
        <w:t xml:space="preserve">In conclusion, plaintiffs assert that they have suffered the utmost prejudice as this matter has been delayed for such a long time and has been on the court roll for over four years. </w:t>
      </w:r>
    </w:p>
    <w:p w:rsidR="00E45AA5" w:rsidRDefault="00E45AA5" w:rsidP="007E45F7">
      <w:pPr>
        <w:tabs>
          <w:tab w:val="left" w:pos="720"/>
          <w:tab w:val="left" w:pos="1380"/>
        </w:tabs>
        <w:spacing w:after="0" w:line="360" w:lineRule="auto"/>
        <w:jc w:val="both"/>
        <w:rPr>
          <w:rFonts w:ascii="Arial" w:hAnsi="Arial" w:cs="Arial"/>
          <w:sz w:val="24"/>
          <w:szCs w:val="24"/>
        </w:rPr>
      </w:pPr>
    </w:p>
    <w:p w:rsidR="008B1FE8" w:rsidRDefault="008B1FE8"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u w:val="single"/>
          <w:lang w:val="af-ZA"/>
        </w:rPr>
        <w:t>Legal principles and application of the law to the facts</w:t>
      </w:r>
    </w:p>
    <w:p w:rsidR="008B1FE8" w:rsidRDefault="008B1FE8" w:rsidP="007E45F7">
      <w:pPr>
        <w:tabs>
          <w:tab w:val="left" w:pos="720"/>
          <w:tab w:val="left" w:pos="1380"/>
        </w:tabs>
        <w:spacing w:after="0" w:line="360" w:lineRule="auto"/>
        <w:jc w:val="both"/>
        <w:rPr>
          <w:rFonts w:ascii="Arial" w:hAnsi="Arial" w:cs="Arial"/>
          <w:sz w:val="24"/>
          <w:szCs w:val="24"/>
        </w:rPr>
      </w:pPr>
    </w:p>
    <w:p w:rsidR="00982F66" w:rsidRDefault="00464AA4"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A973C3">
        <w:rPr>
          <w:rFonts w:ascii="Arial" w:hAnsi="Arial" w:cs="Arial"/>
          <w:sz w:val="24"/>
          <w:szCs w:val="24"/>
        </w:rPr>
        <w:t>55</w:t>
      </w:r>
      <w:r>
        <w:rPr>
          <w:rFonts w:ascii="Arial" w:hAnsi="Arial" w:cs="Arial"/>
          <w:sz w:val="24"/>
          <w:szCs w:val="24"/>
        </w:rPr>
        <w:t>]</w:t>
      </w:r>
      <w:r>
        <w:rPr>
          <w:rFonts w:ascii="Arial" w:hAnsi="Arial" w:cs="Arial"/>
          <w:sz w:val="24"/>
          <w:szCs w:val="24"/>
        </w:rPr>
        <w:tab/>
      </w:r>
      <w:r w:rsidR="00FE25E5">
        <w:rPr>
          <w:rFonts w:ascii="Arial" w:hAnsi="Arial" w:cs="Arial"/>
          <w:sz w:val="24"/>
          <w:szCs w:val="24"/>
        </w:rPr>
        <w:t xml:space="preserve">On the issue of inadmissible hearsay evidence, in the case of </w:t>
      </w:r>
      <w:r w:rsidR="00FE25E5" w:rsidRPr="00FE25E5">
        <w:rPr>
          <w:rFonts w:ascii="Arial" w:hAnsi="Arial" w:cs="Arial"/>
          <w:i/>
          <w:sz w:val="24"/>
          <w:szCs w:val="24"/>
        </w:rPr>
        <w:t>S v Chanda</w:t>
      </w:r>
      <w:r w:rsidR="00FE25E5">
        <w:rPr>
          <w:rStyle w:val="FootnoteReference"/>
          <w:rFonts w:ascii="Arial" w:hAnsi="Arial" w:cs="Arial"/>
          <w:sz w:val="24"/>
          <w:szCs w:val="24"/>
        </w:rPr>
        <w:footnoteReference w:id="16"/>
      </w:r>
      <w:r w:rsidR="00FE25E5">
        <w:rPr>
          <w:rFonts w:ascii="Arial" w:hAnsi="Arial" w:cs="Arial"/>
          <w:sz w:val="24"/>
          <w:szCs w:val="24"/>
        </w:rPr>
        <w:t xml:space="preserve"> hearsay evidence has been defined as: </w:t>
      </w:r>
    </w:p>
    <w:p w:rsidR="00FE25E5" w:rsidRDefault="00FE25E5" w:rsidP="007E45F7">
      <w:pPr>
        <w:tabs>
          <w:tab w:val="left" w:pos="720"/>
          <w:tab w:val="left" w:pos="1380"/>
        </w:tabs>
        <w:spacing w:after="0" w:line="360" w:lineRule="auto"/>
        <w:jc w:val="both"/>
        <w:rPr>
          <w:rFonts w:ascii="Arial" w:hAnsi="Arial" w:cs="Arial"/>
          <w:sz w:val="24"/>
          <w:szCs w:val="24"/>
        </w:rPr>
      </w:pPr>
    </w:p>
    <w:p w:rsidR="00FE25E5" w:rsidRPr="00FE25E5" w:rsidRDefault="00FE25E5" w:rsidP="007E45F7">
      <w:pPr>
        <w:tabs>
          <w:tab w:val="left" w:pos="720"/>
          <w:tab w:val="left" w:pos="1380"/>
        </w:tabs>
        <w:spacing w:after="0" w:line="360" w:lineRule="auto"/>
        <w:jc w:val="both"/>
        <w:rPr>
          <w:rFonts w:ascii="Arial" w:hAnsi="Arial" w:cs="Arial"/>
        </w:rPr>
      </w:pPr>
      <w:r>
        <w:rPr>
          <w:rFonts w:ascii="Arial" w:hAnsi="Arial" w:cs="Arial"/>
        </w:rPr>
        <w:tab/>
        <w:t>‘</w:t>
      </w:r>
      <w:r w:rsidR="0058747D">
        <w:rPr>
          <w:rFonts w:ascii="Arial" w:hAnsi="Arial" w:cs="Arial"/>
        </w:rPr>
        <w:t>O</w:t>
      </w:r>
      <w:r w:rsidRPr="00FE25E5">
        <w:rPr>
          <w:rFonts w:ascii="Arial" w:hAnsi="Arial" w:cs="Arial"/>
        </w:rPr>
        <w:t>ral and written statements by persons who are not a party to the proceedings or who are not witnesses in the proceedings, and who are not called, cannot be tendered as evidence for the truth of what those</w:t>
      </w:r>
      <w:r>
        <w:rPr>
          <w:rFonts w:ascii="Arial" w:hAnsi="Arial" w:cs="Arial"/>
        </w:rPr>
        <w:t xml:space="preserve"> oral or written statements say’.</w:t>
      </w:r>
      <w:r w:rsidR="0085021C">
        <w:rPr>
          <w:rStyle w:val="FootnoteReference"/>
          <w:rFonts w:ascii="Arial" w:hAnsi="Arial" w:cs="Arial"/>
        </w:rPr>
        <w:footnoteReference w:id="17"/>
      </w:r>
    </w:p>
    <w:p w:rsidR="00982F66" w:rsidRDefault="00982F66" w:rsidP="007E45F7">
      <w:pPr>
        <w:tabs>
          <w:tab w:val="left" w:pos="720"/>
          <w:tab w:val="left" w:pos="1380"/>
        </w:tabs>
        <w:spacing w:after="0" w:line="360" w:lineRule="auto"/>
        <w:jc w:val="both"/>
        <w:rPr>
          <w:rFonts w:ascii="Arial" w:hAnsi="Arial" w:cs="Arial"/>
          <w:sz w:val="24"/>
          <w:szCs w:val="24"/>
        </w:rPr>
      </w:pPr>
    </w:p>
    <w:p w:rsidR="00B501C9" w:rsidRDefault="00B501C9"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A973C3">
        <w:rPr>
          <w:rFonts w:ascii="Arial" w:hAnsi="Arial" w:cs="Arial"/>
          <w:sz w:val="24"/>
          <w:szCs w:val="24"/>
        </w:rPr>
        <w:t>56</w:t>
      </w:r>
      <w:r>
        <w:rPr>
          <w:rFonts w:ascii="Arial" w:hAnsi="Arial" w:cs="Arial"/>
          <w:sz w:val="24"/>
          <w:szCs w:val="24"/>
        </w:rPr>
        <w:t>]</w:t>
      </w:r>
      <w:r>
        <w:rPr>
          <w:rFonts w:ascii="Arial" w:hAnsi="Arial" w:cs="Arial"/>
          <w:sz w:val="24"/>
          <w:szCs w:val="24"/>
        </w:rPr>
        <w:tab/>
        <w:t xml:space="preserve">However in the case of </w:t>
      </w:r>
      <w:r w:rsidRPr="00B501C9">
        <w:rPr>
          <w:rFonts w:ascii="Arial" w:hAnsi="Arial" w:cs="Arial"/>
          <w:i/>
          <w:sz w:val="24"/>
          <w:szCs w:val="24"/>
          <w:lang w:val="en-US"/>
        </w:rPr>
        <w:t>Subramaniam v Public Prosecutor</w:t>
      </w:r>
      <w:r>
        <w:rPr>
          <w:rStyle w:val="FootnoteReference"/>
          <w:rFonts w:ascii="Arial" w:hAnsi="Arial" w:cs="Arial"/>
          <w:i/>
          <w:sz w:val="24"/>
          <w:szCs w:val="24"/>
          <w:lang w:val="en-US"/>
        </w:rPr>
        <w:footnoteReference w:id="18"/>
      </w:r>
      <w:r w:rsidRPr="00B501C9">
        <w:rPr>
          <w:rFonts w:ascii="Arial" w:hAnsi="Arial" w:cs="Arial"/>
          <w:sz w:val="24"/>
          <w:szCs w:val="24"/>
        </w:rPr>
        <w:t xml:space="preserve"> </w:t>
      </w:r>
      <w:r>
        <w:rPr>
          <w:rFonts w:ascii="Arial" w:hAnsi="Arial" w:cs="Arial"/>
          <w:sz w:val="24"/>
          <w:szCs w:val="24"/>
        </w:rPr>
        <w:t>the exception to the above principle was held as follows:</w:t>
      </w:r>
    </w:p>
    <w:p w:rsidR="00B501C9" w:rsidRDefault="00B501C9" w:rsidP="007E45F7">
      <w:pPr>
        <w:tabs>
          <w:tab w:val="left" w:pos="720"/>
          <w:tab w:val="left" w:pos="1380"/>
        </w:tabs>
        <w:spacing w:after="0" w:line="360" w:lineRule="auto"/>
        <w:jc w:val="both"/>
        <w:rPr>
          <w:rFonts w:ascii="Arial" w:hAnsi="Arial" w:cs="Arial"/>
          <w:sz w:val="24"/>
          <w:szCs w:val="24"/>
        </w:rPr>
      </w:pPr>
    </w:p>
    <w:p w:rsidR="00B501C9" w:rsidRDefault="00B501C9" w:rsidP="007E45F7">
      <w:pPr>
        <w:tabs>
          <w:tab w:val="left" w:pos="720"/>
          <w:tab w:val="left" w:pos="1380"/>
        </w:tabs>
        <w:spacing w:after="0" w:line="360" w:lineRule="auto"/>
        <w:jc w:val="both"/>
        <w:rPr>
          <w:rFonts w:ascii="Arial" w:hAnsi="Arial" w:cs="Arial"/>
        </w:rPr>
      </w:pPr>
      <w:r>
        <w:rPr>
          <w:rFonts w:ascii="Arial" w:hAnsi="Arial" w:cs="Arial"/>
        </w:rPr>
        <w:tab/>
      </w:r>
      <w:r w:rsidRPr="00B501C9">
        <w:rPr>
          <w:rFonts w:ascii="Arial" w:hAnsi="Arial" w:cs="Arial"/>
        </w:rPr>
        <w:t>‘Evidence of a statement made to a witness by a person who is not himself called as a witness may or may not be hearsay. It is hearsay and inadmissible when the object of the evidence is to establish the truth of what is contained in the statement. It is not hearsay and is admissible when it is proposed to establish by the evidence, not the truth of the statement, but the fact that it was made.’</w:t>
      </w:r>
    </w:p>
    <w:p w:rsidR="00B501C9" w:rsidRDefault="00B501C9" w:rsidP="007E45F7">
      <w:pPr>
        <w:tabs>
          <w:tab w:val="left" w:pos="720"/>
          <w:tab w:val="left" w:pos="1380"/>
        </w:tabs>
        <w:spacing w:after="0" w:line="360" w:lineRule="auto"/>
        <w:jc w:val="both"/>
        <w:rPr>
          <w:rFonts w:ascii="Arial" w:hAnsi="Arial" w:cs="Arial"/>
          <w:sz w:val="24"/>
          <w:szCs w:val="24"/>
        </w:rPr>
      </w:pPr>
    </w:p>
    <w:p w:rsidR="00B501C9" w:rsidRDefault="00B501C9"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lastRenderedPageBreak/>
        <w:t>[</w:t>
      </w:r>
      <w:r w:rsidR="00A973C3">
        <w:rPr>
          <w:rFonts w:ascii="Arial" w:hAnsi="Arial" w:cs="Arial"/>
          <w:sz w:val="24"/>
          <w:szCs w:val="24"/>
        </w:rPr>
        <w:t>57</w:t>
      </w:r>
      <w:r w:rsidR="00945AF1">
        <w:rPr>
          <w:rFonts w:ascii="Arial" w:hAnsi="Arial" w:cs="Arial"/>
          <w:sz w:val="24"/>
          <w:szCs w:val="24"/>
        </w:rPr>
        <w:t>]</w:t>
      </w:r>
      <w:r w:rsidR="00945AF1">
        <w:rPr>
          <w:rFonts w:ascii="Arial" w:hAnsi="Arial" w:cs="Arial"/>
          <w:sz w:val="24"/>
          <w:szCs w:val="24"/>
        </w:rPr>
        <w:tab/>
        <w:t xml:space="preserve">This position was </w:t>
      </w:r>
      <w:r>
        <w:rPr>
          <w:rFonts w:ascii="Arial" w:hAnsi="Arial" w:cs="Arial"/>
          <w:sz w:val="24"/>
          <w:szCs w:val="24"/>
        </w:rPr>
        <w:t xml:space="preserve">cemented in our jurisdiction in the case of </w:t>
      </w:r>
      <w:r w:rsidR="00D21C48">
        <w:rPr>
          <w:rFonts w:ascii="Arial" w:hAnsi="Arial" w:cs="Arial"/>
          <w:i/>
          <w:sz w:val="24"/>
          <w:szCs w:val="24"/>
        </w:rPr>
        <w:t>Rally for Democracy and Progress and Others v Electoral Commission of Namibia</w:t>
      </w:r>
      <w:r w:rsidR="00EC7C8A">
        <w:rPr>
          <w:rFonts w:ascii="Arial" w:hAnsi="Arial" w:cs="Arial"/>
          <w:i/>
          <w:sz w:val="24"/>
          <w:szCs w:val="24"/>
        </w:rPr>
        <w:t>,</w:t>
      </w:r>
      <w:bookmarkStart w:id="0" w:name="_GoBack"/>
      <w:bookmarkEnd w:id="0"/>
      <w:r w:rsidR="00D21C48">
        <w:rPr>
          <w:rStyle w:val="FootnoteReference"/>
          <w:rFonts w:ascii="Arial" w:hAnsi="Arial" w:cs="Arial"/>
          <w:i/>
          <w:sz w:val="24"/>
          <w:szCs w:val="24"/>
        </w:rPr>
        <w:footnoteReference w:id="19"/>
      </w:r>
      <w:r w:rsidR="00D21C48">
        <w:rPr>
          <w:rFonts w:ascii="Arial" w:hAnsi="Arial" w:cs="Arial"/>
          <w:i/>
          <w:sz w:val="24"/>
          <w:szCs w:val="24"/>
        </w:rPr>
        <w:t xml:space="preserve"> </w:t>
      </w:r>
      <w:r w:rsidR="00563E57">
        <w:rPr>
          <w:rFonts w:ascii="Arial" w:hAnsi="Arial" w:cs="Arial"/>
          <w:sz w:val="24"/>
          <w:szCs w:val="24"/>
        </w:rPr>
        <w:t xml:space="preserve">which referred to the case of </w:t>
      </w:r>
      <w:r w:rsidR="00563E57" w:rsidRPr="00563E57">
        <w:rPr>
          <w:rFonts w:ascii="Arial" w:hAnsi="Arial" w:cs="Arial"/>
          <w:i/>
          <w:sz w:val="24"/>
          <w:szCs w:val="24"/>
        </w:rPr>
        <w:t>R v Miller</w:t>
      </w:r>
      <w:r w:rsidR="00EC7C8A">
        <w:rPr>
          <w:rFonts w:ascii="Arial" w:hAnsi="Arial" w:cs="Arial"/>
          <w:i/>
          <w:sz w:val="24"/>
          <w:szCs w:val="24"/>
        </w:rPr>
        <w:t>,</w:t>
      </w:r>
      <w:r w:rsidR="00563E57">
        <w:rPr>
          <w:rStyle w:val="FootnoteReference"/>
          <w:rFonts w:ascii="Arial" w:hAnsi="Arial" w:cs="Arial"/>
          <w:i/>
          <w:sz w:val="24"/>
          <w:szCs w:val="24"/>
        </w:rPr>
        <w:footnoteReference w:id="20"/>
      </w:r>
      <w:r w:rsidR="00563E57">
        <w:rPr>
          <w:rFonts w:ascii="Arial" w:hAnsi="Arial" w:cs="Arial"/>
          <w:sz w:val="24"/>
          <w:szCs w:val="24"/>
        </w:rPr>
        <w:t xml:space="preserve"> </w:t>
      </w:r>
      <w:r>
        <w:rPr>
          <w:rFonts w:ascii="Arial" w:hAnsi="Arial" w:cs="Arial"/>
          <w:sz w:val="24"/>
          <w:szCs w:val="24"/>
        </w:rPr>
        <w:t xml:space="preserve">as follows: </w:t>
      </w:r>
    </w:p>
    <w:p w:rsidR="00563E57" w:rsidRDefault="00563E57" w:rsidP="007E45F7">
      <w:pPr>
        <w:tabs>
          <w:tab w:val="left" w:pos="720"/>
          <w:tab w:val="left" w:pos="1380"/>
        </w:tabs>
        <w:spacing w:after="0" w:line="360" w:lineRule="auto"/>
        <w:jc w:val="both"/>
        <w:rPr>
          <w:rFonts w:ascii="Arial" w:hAnsi="Arial" w:cs="Arial"/>
          <w:sz w:val="24"/>
          <w:szCs w:val="24"/>
        </w:rPr>
      </w:pPr>
    </w:p>
    <w:p w:rsidR="00B501C9" w:rsidRPr="001002DF" w:rsidRDefault="00563E57" w:rsidP="007E45F7">
      <w:pPr>
        <w:tabs>
          <w:tab w:val="left" w:pos="720"/>
          <w:tab w:val="left" w:pos="1380"/>
        </w:tabs>
        <w:spacing w:after="0" w:line="360" w:lineRule="auto"/>
        <w:jc w:val="both"/>
        <w:rPr>
          <w:rFonts w:ascii="Arial" w:hAnsi="Arial" w:cs="Arial"/>
        </w:rPr>
      </w:pPr>
      <w:r>
        <w:rPr>
          <w:rFonts w:ascii="Arial" w:hAnsi="Arial" w:cs="Arial"/>
        </w:rPr>
        <w:tab/>
      </w:r>
      <w:r w:rsidRPr="00563E57">
        <w:rPr>
          <w:rFonts w:ascii="Arial" w:hAnsi="Arial" w:cs="Arial"/>
          <w:lang w:val="en-US"/>
        </w:rPr>
        <w:t>‘But statements made by non-witnesses are not always hearsay. Whether or not they are hearsay depends upon the purpose for which they are tendered as evidence. If they are tendered for their testimonial value (ie, as evidence of the truth of what they assert), they are hearsay and are excluded because their truth depends upon the credit of the asserter which can only be tested by his appearance in the witness box. If, on the other hand, they are tendered for their circumstantial value to prove something other than the truth of what is asserted, then they are admissible if what they are tendered to prove is relevant to the enquiry.’</w:t>
      </w:r>
    </w:p>
    <w:p w:rsidR="00563E57" w:rsidRDefault="00563E57" w:rsidP="007E45F7">
      <w:pPr>
        <w:tabs>
          <w:tab w:val="left" w:pos="720"/>
          <w:tab w:val="left" w:pos="1380"/>
        </w:tabs>
        <w:spacing w:after="0" w:line="360" w:lineRule="auto"/>
        <w:jc w:val="both"/>
        <w:rPr>
          <w:rFonts w:ascii="Arial" w:hAnsi="Arial" w:cs="Arial"/>
          <w:sz w:val="24"/>
          <w:szCs w:val="24"/>
        </w:rPr>
      </w:pPr>
    </w:p>
    <w:p w:rsidR="00563E57" w:rsidRDefault="00563E57"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945AF1">
        <w:rPr>
          <w:rFonts w:ascii="Arial" w:hAnsi="Arial" w:cs="Arial"/>
          <w:sz w:val="24"/>
          <w:szCs w:val="24"/>
        </w:rPr>
        <w:t>58</w:t>
      </w:r>
      <w:r>
        <w:rPr>
          <w:rFonts w:ascii="Arial" w:hAnsi="Arial" w:cs="Arial"/>
          <w:sz w:val="24"/>
          <w:szCs w:val="24"/>
        </w:rPr>
        <w:t>]</w:t>
      </w:r>
      <w:r>
        <w:rPr>
          <w:rFonts w:ascii="Arial" w:hAnsi="Arial" w:cs="Arial"/>
          <w:sz w:val="24"/>
          <w:szCs w:val="24"/>
        </w:rPr>
        <w:tab/>
      </w:r>
      <w:r w:rsidR="00C4302B">
        <w:rPr>
          <w:rFonts w:ascii="Arial" w:hAnsi="Arial" w:cs="Arial"/>
          <w:sz w:val="24"/>
          <w:szCs w:val="24"/>
        </w:rPr>
        <w:t>With the above exception in mi</w:t>
      </w:r>
      <w:r w:rsidR="003F0E5C">
        <w:rPr>
          <w:rFonts w:ascii="Arial" w:hAnsi="Arial" w:cs="Arial"/>
          <w:sz w:val="24"/>
          <w:szCs w:val="24"/>
        </w:rPr>
        <w:t>nd it is quite clear from reading the first defendant’s founding affidavit that the evidence was placed before Court for the mere purpose of indicating the reason for the no</w:t>
      </w:r>
      <w:r w:rsidR="00945AF1">
        <w:rPr>
          <w:rFonts w:ascii="Arial" w:hAnsi="Arial" w:cs="Arial"/>
          <w:sz w:val="24"/>
          <w:szCs w:val="24"/>
        </w:rPr>
        <w:t>n-compliance and to indicate the first defendant’s</w:t>
      </w:r>
      <w:r w:rsidR="003F0E5C">
        <w:rPr>
          <w:rFonts w:ascii="Arial" w:hAnsi="Arial" w:cs="Arial"/>
          <w:sz w:val="24"/>
          <w:szCs w:val="24"/>
        </w:rPr>
        <w:t xml:space="preserve"> state of mind in his non-compliance with the court order of 21 February 2020. If first defendant contends that the purpose of the statements of the expert in his founding affidavit was not to show the truth that he was indeed in South Africa and/or was unable to sign the report on time, then I fully agree with his submissions.</w:t>
      </w:r>
      <w:r w:rsidR="00ED7996">
        <w:rPr>
          <w:rFonts w:ascii="Arial" w:hAnsi="Arial" w:cs="Arial"/>
          <w:sz w:val="24"/>
          <w:szCs w:val="24"/>
        </w:rPr>
        <w:t xml:space="preserve"> </w:t>
      </w:r>
      <w:r w:rsidR="00ED7996">
        <w:rPr>
          <w:rFonts w:ascii="Arial" w:hAnsi="Arial" w:cs="Arial"/>
          <w:sz w:val="24"/>
          <w:szCs w:val="24"/>
          <w:lang w:val="en-US"/>
        </w:rPr>
        <w:t>The statements are what they purport</w:t>
      </w:r>
      <w:r w:rsidR="00ED7996" w:rsidRPr="00ED7996">
        <w:rPr>
          <w:rFonts w:ascii="Arial" w:hAnsi="Arial" w:cs="Arial"/>
          <w:sz w:val="24"/>
          <w:szCs w:val="24"/>
          <w:lang w:val="en-US"/>
        </w:rPr>
        <w:t xml:space="preserve"> to be and, as such, admissible to confirm the </w:t>
      </w:r>
      <w:r w:rsidR="00ED7996">
        <w:rPr>
          <w:rFonts w:ascii="Arial" w:hAnsi="Arial" w:cs="Arial"/>
          <w:sz w:val="24"/>
          <w:szCs w:val="24"/>
          <w:lang w:val="en-US"/>
        </w:rPr>
        <w:t>non-compliance</w:t>
      </w:r>
      <w:r w:rsidR="00ED7996" w:rsidRPr="00ED7996">
        <w:rPr>
          <w:rFonts w:ascii="Arial" w:hAnsi="Arial" w:cs="Arial"/>
          <w:sz w:val="24"/>
          <w:szCs w:val="24"/>
          <w:lang w:val="en-US"/>
        </w:rPr>
        <w:t xml:space="preserve">. </w:t>
      </w:r>
      <w:r w:rsidR="003F0E5C">
        <w:rPr>
          <w:rFonts w:ascii="Arial" w:hAnsi="Arial" w:cs="Arial"/>
          <w:sz w:val="24"/>
          <w:szCs w:val="24"/>
        </w:rPr>
        <w:t xml:space="preserve">If that is the case I believe the intention of the first defendant was to merely demonstrate the facts which resulted in his non-compliance. </w:t>
      </w:r>
      <w:r w:rsidR="00ED7996">
        <w:rPr>
          <w:rFonts w:ascii="Arial" w:hAnsi="Arial" w:cs="Arial"/>
          <w:sz w:val="24"/>
          <w:szCs w:val="24"/>
        </w:rPr>
        <w:t>For establishing that the statements</w:t>
      </w:r>
      <w:r w:rsidR="00ED7996" w:rsidRPr="00ED7996">
        <w:rPr>
          <w:rFonts w:ascii="Arial" w:hAnsi="Arial" w:cs="Arial"/>
          <w:sz w:val="24"/>
          <w:szCs w:val="24"/>
        </w:rPr>
        <w:t xml:space="preserve"> were made to the </w:t>
      </w:r>
      <w:r w:rsidR="00ED7996">
        <w:rPr>
          <w:rFonts w:ascii="Arial" w:hAnsi="Arial" w:cs="Arial"/>
          <w:sz w:val="24"/>
          <w:szCs w:val="24"/>
        </w:rPr>
        <w:t xml:space="preserve">first defendant </w:t>
      </w:r>
      <w:r w:rsidR="00ED7996" w:rsidRPr="00ED7996">
        <w:rPr>
          <w:rFonts w:ascii="Arial" w:hAnsi="Arial" w:cs="Arial"/>
          <w:sz w:val="24"/>
          <w:szCs w:val="24"/>
        </w:rPr>
        <w:t xml:space="preserve">concerned, the evidence is admissible, but it is not admissible to prove the </w:t>
      </w:r>
      <w:r w:rsidR="00ED7996">
        <w:rPr>
          <w:rFonts w:ascii="Arial" w:hAnsi="Arial" w:cs="Arial"/>
          <w:sz w:val="24"/>
          <w:szCs w:val="24"/>
        </w:rPr>
        <w:t>truthfulness</w:t>
      </w:r>
      <w:r w:rsidR="00ED7996" w:rsidRPr="00ED7996">
        <w:rPr>
          <w:rFonts w:ascii="Arial" w:hAnsi="Arial" w:cs="Arial"/>
          <w:sz w:val="24"/>
          <w:szCs w:val="24"/>
        </w:rPr>
        <w:t xml:space="preserve"> of</w:t>
      </w:r>
      <w:r w:rsidR="00ED7996">
        <w:rPr>
          <w:rFonts w:ascii="Arial" w:hAnsi="Arial" w:cs="Arial"/>
          <w:sz w:val="24"/>
          <w:szCs w:val="24"/>
        </w:rPr>
        <w:t xml:space="preserve"> the statements</w:t>
      </w:r>
      <w:r w:rsidR="00ED7996" w:rsidRPr="00ED7996">
        <w:rPr>
          <w:rFonts w:ascii="Arial" w:hAnsi="Arial" w:cs="Arial"/>
          <w:sz w:val="24"/>
          <w:szCs w:val="24"/>
        </w:rPr>
        <w:t>.</w:t>
      </w:r>
      <w:r w:rsidR="00ED7996">
        <w:rPr>
          <w:rFonts w:ascii="Arial" w:hAnsi="Arial" w:cs="Arial"/>
          <w:sz w:val="24"/>
          <w:szCs w:val="24"/>
        </w:rPr>
        <w:t xml:space="preserve"> </w:t>
      </w:r>
      <w:r w:rsidR="003F0E5C">
        <w:rPr>
          <w:rFonts w:ascii="Arial" w:hAnsi="Arial" w:cs="Arial"/>
          <w:sz w:val="24"/>
          <w:szCs w:val="24"/>
        </w:rPr>
        <w:t xml:space="preserve">In light of the above, </w:t>
      </w:r>
      <w:r w:rsidR="00ED7996">
        <w:rPr>
          <w:rFonts w:ascii="Arial" w:hAnsi="Arial" w:cs="Arial"/>
          <w:sz w:val="24"/>
          <w:szCs w:val="24"/>
        </w:rPr>
        <w:t>the C</w:t>
      </w:r>
      <w:r w:rsidR="003F0E5C">
        <w:rPr>
          <w:rFonts w:ascii="Arial" w:hAnsi="Arial" w:cs="Arial"/>
          <w:sz w:val="24"/>
          <w:szCs w:val="24"/>
        </w:rPr>
        <w:t xml:space="preserve">ourt holds that first </w:t>
      </w:r>
      <w:r w:rsidR="00B52405">
        <w:rPr>
          <w:rFonts w:ascii="Arial" w:hAnsi="Arial" w:cs="Arial"/>
          <w:sz w:val="24"/>
          <w:szCs w:val="24"/>
        </w:rPr>
        <w:t>defendant’s</w:t>
      </w:r>
      <w:r w:rsidR="003F0E5C">
        <w:rPr>
          <w:rFonts w:ascii="Arial" w:hAnsi="Arial" w:cs="Arial"/>
          <w:sz w:val="24"/>
          <w:szCs w:val="24"/>
        </w:rPr>
        <w:t xml:space="preserve"> hearsay evidence is admissible and stands to be accepted. </w:t>
      </w:r>
      <w:r w:rsidR="00945AF1">
        <w:rPr>
          <w:rFonts w:ascii="Arial" w:hAnsi="Arial" w:cs="Arial"/>
          <w:sz w:val="24"/>
          <w:szCs w:val="24"/>
        </w:rPr>
        <w:t xml:space="preserve">Plaintiffs point in limine is therefore dismissed. </w:t>
      </w:r>
    </w:p>
    <w:p w:rsidR="00563E57" w:rsidRDefault="00563E57" w:rsidP="007E45F7">
      <w:pPr>
        <w:tabs>
          <w:tab w:val="left" w:pos="720"/>
          <w:tab w:val="left" w:pos="1380"/>
        </w:tabs>
        <w:spacing w:after="0" w:line="360" w:lineRule="auto"/>
        <w:jc w:val="both"/>
        <w:rPr>
          <w:rFonts w:ascii="Arial" w:hAnsi="Arial" w:cs="Arial"/>
          <w:sz w:val="24"/>
          <w:szCs w:val="24"/>
        </w:rPr>
      </w:pPr>
    </w:p>
    <w:p w:rsidR="00464AA4" w:rsidRDefault="00982F66"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rPr>
        <w:t>[</w:t>
      </w:r>
      <w:r w:rsidR="00F3025D">
        <w:rPr>
          <w:rFonts w:ascii="Arial" w:hAnsi="Arial" w:cs="Arial"/>
          <w:sz w:val="24"/>
          <w:szCs w:val="24"/>
        </w:rPr>
        <w:t>59</w:t>
      </w:r>
      <w:r>
        <w:rPr>
          <w:rFonts w:ascii="Arial" w:hAnsi="Arial" w:cs="Arial"/>
          <w:sz w:val="24"/>
          <w:szCs w:val="24"/>
        </w:rPr>
        <w:t>]</w:t>
      </w:r>
      <w:r>
        <w:rPr>
          <w:rFonts w:ascii="Arial" w:hAnsi="Arial" w:cs="Arial"/>
          <w:sz w:val="24"/>
          <w:szCs w:val="24"/>
        </w:rPr>
        <w:tab/>
      </w:r>
      <w:r w:rsidR="001002DF">
        <w:rPr>
          <w:rFonts w:ascii="Arial" w:hAnsi="Arial" w:cs="Arial"/>
          <w:sz w:val="24"/>
          <w:szCs w:val="24"/>
        </w:rPr>
        <w:t>O</w:t>
      </w:r>
      <w:r w:rsidR="00827600">
        <w:rPr>
          <w:rFonts w:ascii="Arial" w:hAnsi="Arial" w:cs="Arial"/>
          <w:sz w:val="24"/>
          <w:szCs w:val="24"/>
        </w:rPr>
        <w:t xml:space="preserve">n the issue of the </w:t>
      </w:r>
      <w:r w:rsidR="001002DF">
        <w:rPr>
          <w:rFonts w:ascii="Arial" w:hAnsi="Arial" w:cs="Arial"/>
          <w:sz w:val="24"/>
          <w:szCs w:val="24"/>
        </w:rPr>
        <w:t>non-compliance with the court order i</w:t>
      </w:r>
      <w:r>
        <w:rPr>
          <w:rFonts w:ascii="Arial" w:hAnsi="Arial" w:cs="Arial"/>
          <w:sz w:val="24"/>
          <w:szCs w:val="24"/>
        </w:rPr>
        <w:t xml:space="preserve">t is undisputed that were an applicant seeks condonation from Court, he or she must offer an acceptable, bona fide </w:t>
      </w:r>
      <w:r>
        <w:rPr>
          <w:rFonts w:ascii="Arial" w:hAnsi="Arial" w:cs="Arial"/>
          <w:sz w:val="24"/>
          <w:szCs w:val="24"/>
        </w:rPr>
        <w:lastRenderedPageBreak/>
        <w:t xml:space="preserve">and reasonable explanation for the delay and </w:t>
      </w:r>
      <w:r w:rsidRPr="00982F66">
        <w:rPr>
          <w:rFonts w:ascii="Arial" w:hAnsi="Arial" w:cs="Arial"/>
          <w:sz w:val="24"/>
          <w:szCs w:val="24"/>
          <w:lang w:val="en-US"/>
        </w:rPr>
        <w:t>non-compliance with the rules of court</w:t>
      </w:r>
      <w:r>
        <w:rPr>
          <w:rFonts w:ascii="Arial" w:hAnsi="Arial" w:cs="Arial"/>
          <w:sz w:val="24"/>
          <w:szCs w:val="24"/>
          <w:lang w:val="en-US"/>
        </w:rPr>
        <w:t xml:space="preserve"> as well as </w:t>
      </w:r>
      <w:r w:rsidRPr="00982F66">
        <w:rPr>
          <w:rFonts w:ascii="Arial" w:hAnsi="Arial" w:cs="Arial"/>
          <w:sz w:val="24"/>
          <w:szCs w:val="24"/>
          <w:lang w:val="en-US"/>
        </w:rPr>
        <w:t>satisfy the court</w:t>
      </w:r>
      <w:r>
        <w:rPr>
          <w:rFonts w:ascii="Arial" w:hAnsi="Arial" w:cs="Arial"/>
          <w:sz w:val="24"/>
          <w:szCs w:val="24"/>
          <w:lang w:val="en-US"/>
        </w:rPr>
        <w:t xml:space="preserve"> </w:t>
      </w:r>
      <w:r w:rsidRPr="00982F66">
        <w:rPr>
          <w:rFonts w:ascii="Arial" w:hAnsi="Arial" w:cs="Arial"/>
          <w:sz w:val="24"/>
          <w:szCs w:val="24"/>
          <w:lang w:val="en-US"/>
        </w:rPr>
        <w:t xml:space="preserve">that there are reasonable prospects of success </w:t>
      </w:r>
      <w:r>
        <w:rPr>
          <w:rFonts w:ascii="Arial" w:hAnsi="Arial" w:cs="Arial"/>
          <w:sz w:val="24"/>
          <w:szCs w:val="24"/>
          <w:lang w:val="en-US"/>
        </w:rPr>
        <w:t>on the merits.</w:t>
      </w:r>
    </w:p>
    <w:p w:rsidR="00DA2B1E" w:rsidRDefault="00DA2B1E" w:rsidP="007E45F7">
      <w:pPr>
        <w:tabs>
          <w:tab w:val="left" w:pos="720"/>
          <w:tab w:val="left" w:pos="1380"/>
        </w:tabs>
        <w:spacing w:after="0" w:line="360" w:lineRule="auto"/>
        <w:jc w:val="both"/>
        <w:rPr>
          <w:rFonts w:ascii="Arial" w:hAnsi="Arial" w:cs="Arial"/>
          <w:sz w:val="24"/>
          <w:szCs w:val="24"/>
          <w:lang w:val="en-US"/>
        </w:rPr>
      </w:pPr>
    </w:p>
    <w:p w:rsidR="00153148" w:rsidRDefault="00153148"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w:t>
      </w:r>
      <w:r w:rsidR="00F3025D">
        <w:rPr>
          <w:rFonts w:ascii="Arial" w:hAnsi="Arial" w:cs="Arial"/>
          <w:sz w:val="24"/>
          <w:szCs w:val="24"/>
          <w:lang w:val="en-US"/>
        </w:rPr>
        <w:t>60</w:t>
      </w:r>
      <w:r>
        <w:rPr>
          <w:rFonts w:ascii="Arial" w:hAnsi="Arial" w:cs="Arial"/>
          <w:sz w:val="24"/>
          <w:szCs w:val="24"/>
          <w:lang w:val="en-US"/>
        </w:rPr>
        <w:t>]</w:t>
      </w:r>
      <w:r>
        <w:rPr>
          <w:rFonts w:ascii="Arial" w:hAnsi="Arial" w:cs="Arial"/>
          <w:sz w:val="24"/>
          <w:szCs w:val="24"/>
          <w:lang w:val="en-US"/>
        </w:rPr>
        <w:tab/>
      </w:r>
      <w:r w:rsidR="003704FE">
        <w:rPr>
          <w:rFonts w:ascii="Arial" w:hAnsi="Arial" w:cs="Arial"/>
          <w:sz w:val="24"/>
          <w:szCs w:val="24"/>
          <w:lang w:val="en-US"/>
        </w:rPr>
        <w:t xml:space="preserve">In the case of </w:t>
      </w:r>
      <w:r w:rsidR="00B06466" w:rsidRPr="00B06466">
        <w:rPr>
          <w:rFonts w:ascii="Arial" w:hAnsi="Arial" w:cs="Arial"/>
          <w:i/>
          <w:sz w:val="24"/>
          <w:szCs w:val="24"/>
        </w:rPr>
        <w:t>Minister of Health and Social Services v Amakali Matheus</w:t>
      </w:r>
      <w:r w:rsidR="00B06466">
        <w:rPr>
          <w:rStyle w:val="FootnoteReference"/>
          <w:rFonts w:ascii="Arial" w:hAnsi="Arial" w:cs="Arial"/>
          <w:i/>
          <w:sz w:val="24"/>
          <w:szCs w:val="24"/>
        </w:rPr>
        <w:footnoteReference w:id="21"/>
      </w:r>
      <w:r w:rsidR="00B06466" w:rsidRPr="00B06466">
        <w:rPr>
          <w:rFonts w:ascii="Arial" w:hAnsi="Arial" w:cs="Arial"/>
          <w:sz w:val="24"/>
          <w:szCs w:val="24"/>
          <w:lang w:val="en-US"/>
        </w:rPr>
        <w:t xml:space="preserve"> </w:t>
      </w:r>
      <w:r w:rsidR="003704FE">
        <w:rPr>
          <w:rFonts w:ascii="Arial" w:hAnsi="Arial" w:cs="Arial"/>
          <w:sz w:val="24"/>
          <w:szCs w:val="24"/>
          <w:lang w:val="en-US"/>
        </w:rPr>
        <w:t>it was held that:</w:t>
      </w:r>
    </w:p>
    <w:p w:rsidR="003704FE" w:rsidRDefault="003704FE" w:rsidP="007E45F7">
      <w:pPr>
        <w:tabs>
          <w:tab w:val="left" w:pos="720"/>
          <w:tab w:val="left" w:pos="1380"/>
        </w:tabs>
        <w:spacing w:after="0" w:line="360" w:lineRule="auto"/>
        <w:jc w:val="both"/>
        <w:rPr>
          <w:rFonts w:ascii="Arial" w:hAnsi="Arial" w:cs="Arial"/>
          <w:sz w:val="24"/>
          <w:szCs w:val="24"/>
          <w:lang w:val="en-US"/>
        </w:rPr>
      </w:pPr>
    </w:p>
    <w:p w:rsidR="003704FE" w:rsidRPr="003704FE" w:rsidRDefault="003704FE" w:rsidP="003704FE">
      <w:pPr>
        <w:tabs>
          <w:tab w:val="left" w:pos="720"/>
          <w:tab w:val="left" w:pos="1380"/>
        </w:tabs>
        <w:spacing w:after="0" w:line="360" w:lineRule="auto"/>
        <w:jc w:val="both"/>
        <w:rPr>
          <w:rFonts w:ascii="Arial" w:hAnsi="Arial" w:cs="Arial"/>
          <w:lang w:val="en-US"/>
        </w:rPr>
      </w:pPr>
      <w:r>
        <w:rPr>
          <w:rFonts w:ascii="Arial" w:hAnsi="Arial" w:cs="Arial"/>
          <w:lang w:val="en-US"/>
        </w:rPr>
        <w:tab/>
      </w:r>
      <w:r w:rsidR="00B06466">
        <w:rPr>
          <w:rFonts w:ascii="Arial" w:hAnsi="Arial" w:cs="Arial"/>
          <w:lang w:val="en-US"/>
        </w:rPr>
        <w:t>‘</w:t>
      </w:r>
      <w:r w:rsidRPr="003704FE">
        <w:rPr>
          <w:rFonts w:ascii="Arial" w:hAnsi="Arial" w:cs="Arial"/>
          <w:lang w:val="en-US"/>
        </w:rPr>
        <w:t>[17]</w:t>
      </w:r>
      <w:r w:rsidRPr="003704FE">
        <w:rPr>
          <w:rFonts w:ascii="Arial" w:hAnsi="Arial" w:cs="Arial"/>
          <w:lang w:val="en-US"/>
        </w:rPr>
        <w:tab/>
        <w:t>An applicant seeking condonation must satisfy the following requirements.  He or she must provide a reasonable, acceptable and bona fide explanation for non-compliance with the rules. The application must be lodged without delay, and must provide a full, detailed and accurate explanation for the entire period of the delay, including the timing of the application for condonation.  Lastly, the applicant must satisfy the court that there are reasonable prospects of success on appeal.</w:t>
      </w:r>
    </w:p>
    <w:p w:rsidR="003704FE" w:rsidRPr="003704FE" w:rsidRDefault="003704FE" w:rsidP="003704FE">
      <w:pPr>
        <w:tabs>
          <w:tab w:val="left" w:pos="720"/>
          <w:tab w:val="left" w:pos="1380"/>
        </w:tabs>
        <w:spacing w:after="0" w:line="360" w:lineRule="auto"/>
        <w:jc w:val="both"/>
        <w:rPr>
          <w:rFonts w:ascii="Arial" w:hAnsi="Arial" w:cs="Arial"/>
          <w:lang w:val="en-US"/>
        </w:rPr>
      </w:pPr>
    </w:p>
    <w:p w:rsidR="003704FE" w:rsidRPr="003704FE" w:rsidRDefault="003704FE" w:rsidP="003704FE">
      <w:pPr>
        <w:tabs>
          <w:tab w:val="left" w:pos="720"/>
          <w:tab w:val="left" w:pos="1380"/>
        </w:tabs>
        <w:spacing w:after="0" w:line="360" w:lineRule="auto"/>
        <w:jc w:val="both"/>
        <w:rPr>
          <w:rFonts w:ascii="Arial" w:hAnsi="Arial" w:cs="Arial"/>
          <w:lang w:val="en-US"/>
        </w:rPr>
      </w:pPr>
      <w:r w:rsidRPr="003704FE">
        <w:rPr>
          <w:rFonts w:ascii="Arial" w:hAnsi="Arial" w:cs="Arial"/>
          <w:lang w:val="en-US"/>
        </w:rPr>
        <w:t>[18]</w:t>
      </w:r>
      <w:r w:rsidRPr="003704FE">
        <w:rPr>
          <w:rFonts w:ascii="Arial" w:hAnsi="Arial" w:cs="Arial"/>
          <w:lang w:val="en-US"/>
        </w:rPr>
        <w:tab/>
        <w:t>There are a range of factors relevant to determining whether an application for condonation for the late filing of an appeal should be granted.  These include ‘the extent of the non-compliance with the rule in question, the reasonableness of the explanation offered for the non-compliance, the bona fides of the application, the prospects of success on the merits, the importance of the case, the respondent’s (and where applicable, the public’s interest in the finality of the judgment), the prejudice suffered by the other litigants as a result of the non-compliance, the convenience of the court and the avoidance of unnecessary delay in</w:t>
      </w:r>
      <w:r w:rsidR="0058747D">
        <w:rPr>
          <w:rFonts w:ascii="Arial" w:hAnsi="Arial" w:cs="Arial"/>
          <w:lang w:val="en-US"/>
        </w:rPr>
        <w:t xml:space="preserve"> the administration of justice.</w:t>
      </w:r>
      <w:r w:rsidR="00B06466">
        <w:rPr>
          <w:rFonts w:ascii="Arial" w:hAnsi="Arial" w:cs="Arial"/>
          <w:lang w:val="en-US"/>
        </w:rPr>
        <w:t>’</w:t>
      </w:r>
    </w:p>
    <w:p w:rsidR="00153148" w:rsidRDefault="00153148" w:rsidP="007E45F7">
      <w:pPr>
        <w:tabs>
          <w:tab w:val="left" w:pos="720"/>
          <w:tab w:val="left" w:pos="1380"/>
        </w:tabs>
        <w:spacing w:after="0" w:line="360" w:lineRule="auto"/>
        <w:jc w:val="both"/>
        <w:rPr>
          <w:rFonts w:ascii="Arial" w:hAnsi="Arial" w:cs="Arial"/>
          <w:sz w:val="24"/>
          <w:szCs w:val="24"/>
        </w:rPr>
      </w:pPr>
    </w:p>
    <w:p w:rsidR="006E39A1" w:rsidRDefault="00B06466" w:rsidP="006E39A1">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F3025D">
        <w:rPr>
          <w:rFonts w:ascii="Arial" w:hAnsi="Arial" w:cs="Arial"/>
          <w:sz w:val="24"/>
          <w:szCs w:val="24"/>
        </w:rPr>
        <w:t>61</w:t>
      </w:r>
      <w:r>
        <w:rPr>
          <w:rFonts w:ascii="Arial" w:hAnsi="Arial" w:cs="Arial"/>
          <w:sz w:val="24"/>
          <w:szCs w:val="24"/>
        </w:rPr>
        <w:t>]</w:t>
      </w:r>
      <w:r>
        <w:rPr>
          <w:rFonts w:ascii="Arial" w:hAnsi="Arial" w:cs="Arial"/>
          <w:sz w:val="24"/>
          <w:szCs w:val="24"/>
        </w:rPr>
        <w:tab/>
      </w:r>
      <w:r w:rsidR="00AC52F0">
        <w:rPr>
          <w:rFonts w:ascii="Arial" w:hAnsi="Arial" w:cs="Arial"/>
          <w:sz w:val="24"/>
          <w:szCs w:val="24"/>
        </w:rPr>
        <w:t>It is clear from the founding affidavit filed by the first defendant that he relies for his non-compliance of the court order on the expert. He indicated that due to the fact that t</w:t>
      </w:r>
      <w:r w:rsidR="006E39A1">
        <w:rPr>
          <w:rFonts w:ascii="Arial" w:hAnsi="Arial" w:cs="Arial"/>
          <w:sz w:val="24"/>
          <w:szCs w:val="24"/>
        </w:rPr>
        <w:t>h</w:t>
      </w:r>
      <w:r w:rsidR="00AC52F0">
        <w:rPr>
          <w:rFonts w:ascii="Arial" w:hAnsi="Arial" w:cs="Arial"/>
          <w:sz w:val="24"/>
          <w:szCs w:val="24"/>
        </w:rPr>
        <w:t>e expert had to travel to South Africa he</w:t>
      </w:r>
      <w:r w:rsidR="006E39A1">
        <w:rPr>
          <w:rFonts w:ascii="Arial" w:hAnsi="Arial" w:cs="Arial"/>
          <w:sz w:val="24"/>
          <w:szCs w:val="24"/>
        </w:rPr>
        <w:t xml:space="preserve"> could not file his rule compliant expert report on time. If one looks at the first defendant’s affidavit the following will suffice:</w:t>
      </w:r>
    </w:p>
    <w:p w:rsidR="006E39A1" w:rsidRDefault="006E39A1" w:rsidP="006E39A1">
      <w:pPr>
        <w:tabs>
          <w:tab w:val="left" w:pos="720"/>
          <w:tab w:val="left" w:pos="1380"/>
        </w:tabs>
        <w:spacing w:after="0" w:line="360" w:lineRule="auto"/>
        <w:jc w:val="both"/>
        <w:rPr>
          <w:rFonts w:ascii="Arial" w:hAnsi="Arial" w:cs="Arial"/>
          <w:sz w:val="24"/>
          <w:szCs w:val="24"/>
        </w:rPr>
      </w:pPr>
    </w:p>
    <w:p w:rsidR="00770ED8" w:rsidRDefault="006E39A1" w:rsidP="006E39A1">
      <w:pPr>
        <w:pStyle w:val="ListParagraph"/>
        <w:numPr>
          <w:ilvl w:val="0"/>
          <w:numId w:val="23"/>
        </w:numPr>
        <w:tabs>
          <w:tab w:val="left" w:pos="720"/>
          <w:tab w:val="left" w:pos="1380"/>
        </w:tabs>
        <w:spacing w:after="0" w:line="360" w:lineRule="auto"/>
        <w:jc w:val="both"/>
        <w:rPr>
          <w:rFonts w:ascii="Arial" w:hAnsi="Arial" w:cs="Arial"/>
          <w:sz w:val="24"/>
          <w:szCs w:val="24"/>
        </w:rPr>
      </w:pPr>
      <w:r>
        <w:rPr>
          <w:rFonts w:ascii="Arial" w:hAnsi="Arial" w:cs="Arial"/>
          <w:sz w:val="24"/>
          <w:szCs w:val="24"/>
        </w:rPr>
        <w:t>Mo</w:t>
      </w:r>
      <w:r w:rsidRPr="006E39A1">
        <w:rPr>
          <w:rFonts w:ascii="Arial" w:hAnsi="Arial" w:cs="Arial"/>
          <w:sz w:val="24"/>
          <w:szCs w:val="24"/>
        </w:rPr>
        <w:t>re than a week passed from 21 February 2020 until 2 March 2020 when the first defendant placed his legal practitioner with funds</w:t>
      </w:r>
      <w:r>
        <w:rPr>
          <w:rFonts w:ascii="Arial" w:hAnsi="Arial" w:cs="Arial"/>
          <w:sz w:val="24"/>
          <w:szCs w:val="24"/>
        </w:rPr>
        <w:t>. No explanation is advanced as to</w:t>
      </w:r>
      <w:r w:rsidRPr="006E39A1">
        <w:rPr>
          <w:rFonts w:ascii="Arial" w:hAnsi="Arial" w:cs="Arial"/>
          <w:sz w:val="24"/>
          <w:szCs w:val="24"/>
        </w:rPr>
        <w:t xml:space="preserve"> </w:t>
      </w:r>
      <w:r w:rsidR="00770ED8">
        <w:rPr>
          <w:rFonts w:ascii="Arial" w:hAnsi="Arial" w:cs="Arial"/>
          <w:sz w:val="24"/>
          <w:szCs w:val="24"/>
        </w:rPr>
        <w:t xml:space="preserve">what happened between </w:t>
      </w:r>
      <w:r w:rsidR="00F3025D">
        <w:rPr>
          <w:rFonts w:ascii="Arial" w:hAnsi="Arial" w:cs="Arial"/>
          <w:sz w:val="24"/>
          <w:szCs w:val="24"/>
        </w:rPr>
        <w:t>that period</w:t>
      </w:r>
      <w:r w:rsidR="00770ED8">
        <w:rPr>
          <w:rFonts w:ascii="Arial" w:hAnsi="Arial" w:cs="Arial"/>
          <w:sz w:val="24"/>
          <w:szCs w:val="24"/>
        </w:rPr>
        <w:t>.</w:t>
      </w:r>
    </w:p>
    <w:p w:rsidR="00770ED8" w:rsidRDefault="00770ED8" w:rsidP="006E39A1">
      <w:pPr>
        <w:pStyle w:val="ListParagraph"/>
        <w:numPr>
          <w:ilvl w:val="0"/>
          <w:numId w:val="23"/>
        </w:numPr>
        <w:tabs>
          <w:tab w:val="left" w:pos="720"/>
          <w:tab w:val="left" w:pos="1380"/>
        </w:tabs>
        <w:spacing w:after="0" w:line="360" w:lineRule="auto"/>
        <w:jc w:val="both"/>
        <w:rPr>
          <w:rFonts w:ascii="Arial" w:hAnsi="Arial" w:cs="Arial"/>
          <w:sz w:val="24"/>
          <w:szCs w:val="24"/>
        </w:rPr>
      </w:pPr>
      <w:r>
        <w:rPr>
          <w:rFonts w:ascii="Arial" w:hAnsi="Arial" w:cs="Arial"/>
          <w:sz w:val="24"/>
          <w:szCs w:val="24"/>
        </w:rPr>
        <w:lastRenderedPageBreak/>
        <w:t xml:space="preserve">First defendant placed his legal practitioners with funds on 2 March 2020 but </w:t>
      </w:r>
      <w:r w:rsidR="006E39A1" w:rsidRPr="006E39A1">
        <w:rPr>
          <w:rFonts w:ascii="Arial" w:hAnsi="Arial" w:cs="Arial"/>
          <w:sz w:val="24"/>
          <w:szCs w:val="24"/>
        </w:rPr>
        <w:t xml:space="preserve">failed to attend to </w:t>
      </w:r>
      <w:r>
        <w:rPr>
          <w:rFonts w:ascii="Arial" w:hAnsi="Arial" w:cs="Arial"/>
          <w:sz w:val="24"/>
          <w:szCs w:val="24"/>
        </w:rPr>
        <w:t>their offices.</w:t>
      </w:r>
    </w:p>
    <w:p w:rsidR="00770ED8" w:rsidRDefault="00770ED8" w:rsidP="006E39A1">
      <w:pPr>
        <w:pStyle w:val="ListParagraph"/>
        <w:numPr>
          <w:ilvl w:val="0"/>
          <w:numId w:val="23"/>
        </w:numPr>
        <w:tabs>
          <w:tab w:val="left" w:pos="720"/>
          <w:tab w:val="left" w:pos="1380"/>
        </w:tabs>
        <w:spacing w:after="0" w:line="360" w:lineRule="auto"/>
        <w:jc w:val="both"/>
        <w:rPr>
          <w:rFonts w:ascii="Arial" w:hAnsi="Arial" w:cs="Arial"/>
          <w:sz w:val="24"/>
          <w:szCs w:val="24"/>
        </w:rPr>
      </w:pPr>
      <w:r>
        <w:rPr>
          <w:rFonts w:ascii="Arial" w:hAnsi="Arial" w:cs="Arial"/>
          <w:sz w:val="24"/>
          <w:szCs w:val="24"/>
        </w:rPr>
        <w:t xml:space="preserve">First defendant only approached </w:t>
      </w:r>
      <w:r w:rsidR="006E39A1" w:rsidRPr="006E39A1">
        <w:rPr>
          <w:rFonts w:ascii="Arial" w:hAnsi="Arial" w:cs="Arial"/>
          <w:sz w:val="24"/>
          <w:szCs w:val="24"/>
        </w:rPr>
        <w:t>his legal practitioner’s office on 4 March 2020 without giving any explanation as to why the consultation could not be arranged earlier.</w:t>
      </w:r>
    </w:p>
    <w:p w:rsidR="00D959A2" w:rsidRDefault="00770ED8" w:rsidP="006E39A1">
      <w:pPr>
        <w:pStyle w:val="ListParagraph"/>
        <w:numPr>
          <w:ilvl w:val="0"/>
          <w:numId w:val="23"/>
        </w:numPr>
        <w:tabs>
          <w:tab w:val="left" w:pos="720"/>
          <w:tab w:val="left" w:pos="1380"/>
        </w:tabs>
        <w:spacing w:after="0" w:line="360" w:lineRule="auto"/>
        <w:jc w:val="both"/>
        <w:rPr>
          <w:rFonts w:ascii="Arial" w:hAnsi="Arial" w:cs="Arial"/>
          <w:sz w:val="24"/>
          <w:szCs w:val="24"/>
        </w:rPr>
      </w:pPr>
      <w:r>
        <w:rPr>
          <w:rFonts w:ascii="Arial" w:hAnsi="Arial" w:cs="Arial"/>
          <w:sz w:val="24"/>
          <w:szCs w:val="24"/>
        </w:rPr>
        <w:t>Difficulty of th</w:t>
      </w:r>
      <w:r w:rsidR="00D959A2">
        <w:rPr>
          <w:rFonts w:ascii="Arial" w:hAnsi="Arial" w:cs="Arial"/>
          <w:sz w:val="24"/>
          <w:szCs w:val="24"/>
        </w:rPr>
        <w:t>e expert in signing the report before 6 March 2020 and before he could travel was not explained.</w:t>
      </w:r>
    </w:p>
    <w:p w:rsidR="00D959A2" w:rsidRDefault="00D959A2" w:rsidP="006E39A1">
      <w:pPr>
        <w:pStyle w:val="ListParagraph"/>
        <w:numPr>
          <w:ilvl w:val="0"/>
          <w:numId w:val="23"/>
        </w:numPr>
        <w:tabs>
          <w:tab w:val="left" w:pos="720"/>
          <w:tab w:val="left" w:pos="1380"/>
        </w:tabs>
        <w:spacing w:after="0" w:line="360" w:lineRule="auto"/>
        <w:jc w:val="both"/>
        <w:rPr>
          <w:rFonts w:ascii="Arial" w:hAnsi="Arial" w:cs="Arial"/>
          <w:sz w:val="24"/>
          <w:szCs w:val="24"/>
        </w:rPr>
      </w:pPr>
      <w:r>
        <w:rPr>
          <w:rFonts w:ascii="Arial" w:hAnsi="Arial" w:cs="Arial"/>
          <w:sz w:val="24"/>
          <w:szCs w:val="24"/>
        </w:rPr>
        <w:t xml:space="preserve">Failure to indicate the </w:t>
      </w:r>
      <w:r w:rsidR="006E39A1" w:rsidRPr="00770ED8">
        <w:rPr>
          <w:rFonts w:ascii="Arial" w:hAnsi="Arial" w:cs="Arial"/>
          <w:sz w:val="24"/>
          <w:szCs w:val="24"/>
        </w:rPr>
        <w:t>exact date which the expert had to travel</w:t>
      </w:r>
      <w:r>
        <w:rPr>
          <w:rFonts w:ascii="Arial" w:hAnsi="Arial" w:cs="Arial"/>
          <w:sz w:val="24"/>
          <w:szCs w:val="24"/>
        </w:rPr>
        <w:t>.</w:t>
      </w:r>
    </w:p>
    <w:p w:rsidR="00D959A2" w:rsidRDefault="00D959A2" w:rsidP="006E39A1">
      <w:pPr>
        <w:pStyle w:val="ListParagraph"/>
        <w:numPr>
          <w:ilvl w:val="0"/>
          <w:numId w:val="23"/>
        </w:numPr>
        <w:tabs>
          <w:tab w:val="left" w:pos="720"/>
          <w:tab w:val="left" w:pos="1380"/>
        </w:tabs>
        <w:spacing w:after="0" w:line="360" w:lineRule="auto"/>
        <w:jc w:val="both"/>
        <w:rPr>
          <w:rFonts w:ascii="Arial" w:hAnsi="Arial" w:cs="Arial"/>
          <w:sz w:val="24"/>
          <w:szCs w:val="24"/>
        </w:rPr>
      </w:pPr>
      <w:r>
        <w:rPr>
          <w:rFonts w:ascii="Arial" w:hAnsi="Arial" w:cs="Arial"/>
          <w:sz w:val="24"/>
          <w:szCs w:val="24"/>
        </w:rPr>
        <w:t xml:space="preserve">Failure to </w:t>
      </w:r>
      <w:r w:rsidR="006E39A1" w:rsidRPr="00770ED8">
        <w:rPr>
          <w:rFonts w:ascii="Arial" w:hAnsi="Arial" w:cs="Arial"/>
          <w:sz w:val="24"/>
          <w:szCs w:val="24"/>
        </w:rPr>
        <w:t xml:space="preserve">allege whether the expert was alerted to the deadline for filing the report before his supposed departure. </w:t>
      </w:r>
    </w:p>
    <w:p w:rsidR="00D959A2" w:rsidRDefault="00D959A2" w:rsidP="006E39A1">
      <w:pPr>
        <w:pStyle w:val="ListParagraph"/>
        <w:numPr>
          <w:ilvl w:val="0"/>
          <w:numId w:val="23"/>
        </w:numPr>
        <w:tabs>
          <w:tab w:val="left" w:pos="720"/>
          <w:tab w:val="left" w:pos="1380"/>
        </w:tabs>
        <w:spacing w:after="0" w:line="360" w:lineRule="auto"/>
        <w:jc w:val="both"/>
        <w:rPr>
          <w:rFonts w:ascii="Arial" w:hAnsi="Arial" w:cs="Arial"/>
          <w:sz w:val="24"/>
          <w:szCs w:val="24"/>
        </w:rPr>
      </w:pPr>
      <w:r>
        <w:rPr>
          <w:rFonts w:ascii="Arial" w:hAnsi="Arial" w:cs="Arial"/>
          <w:sz w:val="24"/>
          <w:szCs w:val="24"/>
        </w:rPr>
        <w:t xml:space="preserve">Failure to </w:t>
      </w:r>
      <w:r w:rsidR="006E39A1" w:rsidRPr="00770ED8">
        <w:rPr>
          <w:rFonts w:ascii="Arial" w:hAnsi="Arial" w:cs="Arial"/>
          <w:sz w:val="24"/>
          <w:szCs w:val="24"/>
        </w:rPr>
        <w:t>indicate the date of the expert’s satisfaction with the content of the report.</w:t>
      </w:r>
    </w:p>
    <w:p w:rsidR="006E39A1" w:rsidRDefault="00D959A2" w:rsidP="006E39A1">
      <w:pPr>
        <w:pStyle w:val="ListParagraph"/>
        <w:numPr>
          <w:ilvl w:val="0"/>
          <w:numId w:val="23"/>
        </w:numPr>
        <w:tabs>
          <w:tab w:val="left" w:pos="720"/>
          <w:tab w:val="left" w:pos="1380"/>
        </w:tabs>
        <w:spacing w:after="0" w:line="360" w:lineRule="auto"/>
        <w:jc w:val="both"/>
        <w:rPr>
          <w:rFonts w:ascii="Arial" w:hAnsi="Arial" w:cs="Arial"/>
          <w:sz w:val="24"/>
          <w:szCs w:val="24"/>
        </w:rPr>
      </w:pPr>
      <w:r>
        <w:rPr>
          <w:rFonts w:ascii="Arial" w:hAnsi="Arial" w:cs="Arial"/>
          <w:sz w:val="24"/>
          <w:szCs w:val="24"/>
        </w:rPr>
        <w:t>No explanation is advanced</w:t>
      </w:r>
      <w:r w:rsidR="006E39A1" w:rsidRPr="00770ED8">
        <w:rPr>
          <w:rFonts w:ascii="Arial" w:hAnsi="Arial" w:cs="Arial"/>
          <w:sz w:val="24"/>
          <w:szCs w:val="24"/>
        </w:rPr>
        <w:t xml:space="preserve"> as to why the expert could not sign the report physically or dispatch it via fax or email. </w:t>
      </w:r>
    </w:p>
    <w:p w:rsidR="00B06466" w:rsidRPr="000845D5" w:rsidRDefault="000845D5" w:rsidP="006E39A1">
      <w:pPr>
        <w:pStyle w:val="ListParagraph"/>
        <w:numPr>
          <w:ilvl w:val="0"/>
          <w:numId w:val="23"/>
        </w:numPr>
        <w:tabs>
          <w:tab w:val="left" w:pos="720"/>
          <w:tab w:val="left" w:pos="1380"/>
        </w:tabs>
        <w:spacing w:after="0" w:line="360" w:lineRule="auto"/>
        <w:jc w:val="both"/>
        <w:rPr>
          <w:rFonts w:ascii="Arial" w:hAnsi="Arial" w:cs="Arial"/>
          <w:sz w:val="24"/>
          <w:szCs w:val="24"/>
        </w:rPr>
      </w:pPr>
      <w:r>
        <w:rPr>
          <w:rFonts w:ascii="Arial" w:hAnsi="Arial" w:cs="Arial"/>
          <w:sz w:val="24"/>
          <w:szCs w:val="24"/>
        </w:rPr>
        <w:t xml:space="preserve">The nature of the content and the number of pages, five (5) in total, of the expert report </w:t>
      </w:r>
      <w:r w:rsidR="006E39A1" w:rsidRPr="000845D5">
        <w:rPr>
          <w:rFonts w:ascii="Arial" w:hAnsi="Arial" w:cs="Arial"/>
          <w:sz w:val="24"/>
          <w:szCs w:val="24"/>
        </w:rPr>
        <w:t>indicates that it wouldn’t have taken more than a few hours</w:t>
      </w:r>
      <w:r>
        <w:rPr>
          <w:rFonts w:ascii="Arial" w:hAnsi="Arial" w:cs="Arial"/>
          <w:sz w:val="24"/>
          <w:szCs w:val="24"/>
        </w:rPr>
        <w:t xml:space="preserve"> at the most to prepare. C</w:t>
      </w:r>
      <w:r w:rsidR="006E39A1" w:rsidRPr="000845D5">
        <w:rPr>
          <w:rFonts w:ascii="Arial" w:hAnsi="Arial" w:cs="Arial"/>
          <w:sz w:val="24"/>
          <w:szCs w:val="24"/>
        </w:rPr>
        <w:t xml:space="preserve">learly </w:t>
      </w:r>
      <w:r>
        <w:rPr>
          <w:rFonts w:ascii="Arial" w:hAnsi="Arial" w:cs="Arial"/>
          <w:sz w:val="24"/>
          <w:szCs w:val="24"/>
        </w:rPr>
        <w:t>showing</w:t>
      </w:r>
      <w:r w:rsidR="006E39A1" w:rsidRPr="000845D5">
        <w:rPr>
          <w:rFonts w:ascii="Arial" w:hAnsi="Arial" w:cs="Arial"/>
          <w:sz w:val="24"/>
          <w:szCs w:val="24"/>
        </w:rPr>
        <w:t xml:space="preserve"> that </w:t>
      </w:r>
      <w:r>
        <w:rPr>
          <w:rFonts w:ascii="Arial" w:hAnsi="Arial" w:cs="Arial"/>
          <w:sz w:val="24"/>
          <w:szCs w:val="24"/>
        </w:rPr>
        <w:t xml:space="preserve">if </w:t>
      </w:r>
      <w:r w:rsidR="006E39A1" w:rsidRPr="000845D5">
        <w:rPr>
          <w:rFonts w:ascii="Arial" w:hAnsi="Arial" w:cs="Arial"/>
          <w:sz w:val="24"/>
          <w:szCs w:val="24"/>
        </w:rPr>
        <w:t xml:space="preserve">first defendant </w:t>
      </w:r>
      <w:r>
        <w:rPr>
          <w:rFonts w:ascii="Arial" w:hAnsi="Arial" w:cs="Arial"/>
          <w:sz w:val="24"/>
          <w:szCs w:val="24"/>
        </w:rPr>
        <w:t xml:space="preserve">had </w:t>
      </w:r>
      <w:r w:rsidR="006E39A1" w:rsidRPr="000845D5">
        <w:rPr>
          <w:rFonts w:ascii="Arial" w:hAnsi="Arial" w:cs="Arial"/>
          <w:sz w:val="24"/>
          <w:szCs w:val="24"/>
        </w:rPr>
        <w:t>timeously attended to the preparation of the report, it would have been filed on time.</w:t>
      </w:r>
    </w:p>
    <w:p w:rsidR="006E39A1" w:rsidRDefault="006E39A1" w:rsidP="007E45F7">
      <w:pPr>
        <w:tabs>
          <w:tab w:val="left" w:pos="720"/>
          <w:tab w:val="left" w:pos="1380"/>
        </w:tabs>
        <w:spacing w:after="0" w:line="360" w:lineRule="auto"/>
        <w:jc w:val="both"/>
        <w:rPr>
          <w:rFonts w:ascii="Arial" w:hAnsi="Arial" w:cs="Arial"/>
          <w:sz w:val="24"/>
          <w:szCs w:val="24"/>
        </w:rPr>
      </w:pPr>
    </w:p>
    <w:p w:rsidR="006A65D8" w:rsidRDefault="006A65D8"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F3025D">
        <w:rPr>
          <w:rFonts w:ascii="Arial" w:hAnsi="Arial" w:cs="Arial"/>
          <w:sz w:val="24"/>
          <w:szCs w:val="24"/>
        </w:rPr>
        <w:t>62</w:t>
      </w:r>
      <w:r>
        <w:rPr>
          <w:rFonts w:ascii="Arial" w:hAnsi="Arial" w:cs="Arial"/>
          <w:sz w:val="24"/>
          <w:szCs w:val="24"/>
        </w:rPr>
        <w:t>]</w:t>
      </w:r>
      <w:r>
        <w:rPr>
          <w:rFonts w:ascii="Arial" w:hAnsi="Arial" w:cs="Arial"/>
          <w:sz w:val="24"/>
          <w:szCs w:val="24"/>
        </w:rPr>
        <w:tab/>
        <w:t>Taking into account the above facts, the Court is not satisfied that an acceptable and reasonable explanation has been advanced. Further the first defendant fails to give a full and detailed explan</w:t>
      </w:r>
      <w:r w:rsidR="00D309DB">
        <w:rPr>
          <w:rFonts w:ascii="Arial" w:hAnsi="Arial" w:cs="Arial"/>
          <w:sz w:val="24"/>
          <w:szCs w:val="24"/>
        </w:rPr>
        <w:t>a</w:t>
      </w:r>
      <w:r>
        <w:rPr>
          <w:rFonts w:ascii="Arial" w:hAnsi="Arial" w:cs="Arial"/>
          <w:sz w:val="24"/>
          <w:szCs w:val="24"/>
        </w:rPr>
        <w:t xml:space="preserve">tion for the entire period of the delay, including the filing of the condonation application. No explanation </w:t>
      </w:r>
      <w:r w:rsidR="00D309DB">
        <w:rPr>
          <w:rFonts w:ascii="Arial" w:hAnsi="Arial" w:cs="Arial"/>
          <w:sz w:val="24"/>
          <w:szCs w:val="24"/>
        </w:rPr>
        <w:t>is advanced</w:t>
      </w:r>
      <w:r>
        <w:rPr>
          <w:rFonts w:ascii="Arial" w:hAnsi="Arial" w:cs="Arial"/>
          <w:sz w:val="24"/>
          <w:szCs w:val="24"/>
        </w:rPr>
        <w:t xml:space="preserve"> as to what the pos</w:t>
      </w:r>
      <w:r w:rsidR="00D309DB">
        <w:rPr>
          <w:rFonts w:ascii="Arial" w:hAnsi="Arial" w:cs="Arial"/>
          <w:sz w:val="24"/>
          <w:szCs w:val="24"/>
        </w:rPr>
        <w:t>i</w:t>
      </w:r>
      <w:r>
        <w:rPr>
          <w:rFonts w:ascii="Arial" w:hAnsi="Arial" w:cs="Arial"/>
          <w:sz w:val="24"/>
          <w:szCs w:val="24"/>
        </w:rPr>
        <w:t xml:space="preserve">tion of the first defendant was </w:t>
      </w:r>
      <w:r w:rsidR="00D309DB">
        <w:rPr>
          <w:rFonts w:ascii="Arial" w:hAnsi="Arial" w:cs="Arial"/>
          <w:sz w:val="24"/>
          <w:szCs w:val="24"/>
        </w:rPr>
        <w:t>b</w:t>
      </w:r>
      <w:r>
        <w:rPr>
          <w:rFonts w:ascii="Arial" w:hAnsi="Arial" w:cs="Arial"/>
          <w:sz w:val="24"/>
          <w:szCs w:val="24"/>
        </w:rPr>
        <w:t>etw</w:t>
      </w:r>
      <w:r w:rsidR="00D309DB">
        <w:rPr>
          <w:rFonts w:ascii="Arial" w:hAnsi="Arial" w:cs="Arial"/>
          <w:sz w:val="24"/>
          <w:szCs w:val="24"/>
        </w:rPr>
        <w:t>een</w:t>
      </w:r>
      <w:r>
        <w:rPr>
          <w:rFonts w:ascii="Arial" w:hAnsi="Arial" w:cs="Arial"/>
          <w:sz w:val="24"/>
          <w:szCs w:val="24"/>
        </w:rPr>
        <w:t xml:space="preserve"> the period of 21 </w:t>
      </w:r>
      <w:r w:rsidR="00D309DB">
        <w:rPr>
          <w:rFonts w:ascii="Arial" w:hAnsi="Arial" w:cs="Arial"/>
          <w:sz w:val="24"/>
          <w:szCs w:val="24"/>
        </w:rPr>
        <w:t>February</w:t>
      </w:r>
      <w:r>
        <w:rPr>
          <w:rFonts w:ascii="Arial" w:hAnsi="Arial" w:cs="Arial"/>
          <w:sz w:val="24"/>
          <w:szCs w:val="24"/>
        </w:rPr>
        <w:t xml:space="preserve"> 2020 and 4 March 2020 when he eventually approached his legal prac</w:t>
      </w:r>
      <w:r w:rsidR="00D309DB">
        <w:rPr>
          <w:rFonts w:ascii="Arial" w:hAnsi="Arial" w:cs="Arial"/>
          <w:sz w:val="24"/>
          <w:szCs w:val="24"/>
        </w:rPr>
        <w:t>titioner for a consultation together</w:t>
      </w:r>
      <w:r>
        <w:rPr>
          <w:rFonts w:ascii="Arial" w:hAnsi="Arial" w:cs="Arial"/>
          <w:sz w:val="24"/>
          <w:szCs w:val="24"/>
        </w:rPr>
        <w:t xml:space="preserve"> with his expert. Although </w:t>
      </w:r>
      <w:r w:rsidR="00D309DB">
        <w:rPr>
          <w:rFonts w:ascii="Arial" w:hAnsi="Arial" w:cs="Arial"/>
          <w:sz w:val="24"/>
          <w:szCs w:val="24"/>
        </w:rPr>
        <w:t>first</w:t>
      </w:r>
      <w:r>
        <w:rPr>
          <w:rFonts w:ascii="Arial" w:hAnsi="Arial" w:cs="Arial"/>
          <w:sz w:val="24"/>
          <w:szCs w:val="24"/>
        </w:rPr>
        <w:t xml:space="preserve"> defendant alleges that </w:t>
      </w:r>
      <w:r w:rsidR="00D309DB">
        <w:rPr>
          <w:rFonts w:ascii="Arial" w:hAnsi="Arial" w:cs="Arial"/>
          <w:sz w:val="24"/>
          <w:szCs w:val="24"/>
        </w:rPr>
        <w:t xml:space="preserve">between the period 6 March 2020 and 15 March 2020 he was unable to determine the exact whereabouts of the expert or attempted to get hold of the expert and hence he couldn’t give instructions to his legal practitioners to lodge a condonation application, the Court is of the view that that explanation is not good enough. The rules are very clear that if a party foresees that he or she will not meet a deadline, he or she can apply to court for an extension (Rule 55(1)) and if a party is in </w:t>
      </w:r>
      <w:r w:rsidR="00D309DB">
        <w:rPr>
          <w:rFonts w:ascii="Arial" w:hAnsi="Arial" w:cs="Arial"/>
          <w:sz w:val="24"/>
          <w:szCs w:val="24"/>
        </w:rPr>
        <w:lastRenderedPageBreak/>
        <w:t xml:space="preserve">default he or she must bring a condonation application without any delay, which in this instance did not happen. </w:t>
      </w:r>
    </w:p>
    <w:p w:rsidR="00FD5A15" w:rsidRDefault="00FD5A15" w:rsidP="007E45F7">
      <w:pPr>
        <w:tabs>
          <w:tab w:val="left" w:pos="720"/>
          <w:tab w:val="left" w:pos="1380"/>
        </w:tabs>
        <w:spacing w:after="0" w:line="360" w:lineRule="auto"/>
        <w:jc w:val="both"/>
        <w:rPr>
          <w:rFonts w:ascii="Arial" w:hAnsi="Arial" w:cs="Arial"/>
          <w:sz w:val="24"/>
          <w:szCs w:val="24"/>
        </w:rPr>
      </w:pPr>
    </w:p>
    <w:p w:rsidR="00FD5A15" w:rsidRDefault="00FD5A15"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rPr>
        <w:t>[</w:t>
      </w:r>
      <w:r w:rsidR="00F3025D">
        <w:rPr>
          <w:rFonts w:ascii="Arial" w:hAnsi="Arial" w:cs="Arial"/>
          <w:sz w:val="24"/>
          <w:szCs w:val="24"/>
        </w:rPr>
        <w:t>63</w:t>
      </w:r>
      <w:r>
        <w:rPr>
          <w:rFonts w:ascii="Arial" w:hAnsi="Arial" w:cs="Arial"/>
          <w:sz w:val="24"/>
          <w:szCs w:val="24"/>
        </w:rPr>
        <w:t>]</w:t>
      </w:r>
      <w:r>
        <w:rPr>
          <w:rFonts w:ascii="Arial" w:hAnsi="Arial" w:cs="Arial"/>
          <w:sz w:val="24"/>
          <w:szCs w:val="24"/>
        </w:rPr>
        <w:tab/>
      </w:r>
      <w:r w:rsidRPr="00FD5A15">
        <w:rPr>
          <w:rFonts w:ascii="Arial" w:hAnsi="Arial" w:cs="Arial"/>
          <w:sz w:val="24"/>
          <w:szCs w:val="24"/>
        </w:rPr>
        <w:t xml:space="preserve">Parties should be punctilious in ensuring that applications for condonation are filed promptly and timeously without any delay </w:t>
      </w:r>
      <w:r w:rsidR="00305666">
        <w:rPr>
          <w:rFonts w:ascii="Arial" w:hAnsi="Arial" w:cs="Arial"/>
          <w:sz w:val="24"/>
          <w:szCs w:val="24"/>
        </w:rPr>
        <w:t xml:space="preserve">and </w:t>
      </w:r>
      <w:r w:rsidRPr="00FD5A15">
        <w:rPr>
          <w:rFonts w:ascii="Arial" w:hAnsi="Arial" w:cs="Arial"/>
          <w:sz w:val="24"/>
          <w:szCs w:val="24"/>
        </w:rPr>
        <w:t>in accordance with the rules. The explanations therefore advanced are scant and unpersuasive.</w:t>
      </w:r>
      <w:r w:rsidRPr="00FD5A15">
        <w:rPr>
          <w:rFonts w:ascii="Arial" w:hAnsi="Arial" w:cs="Arial"/>
          <w:sz w:val="24"/>
          <w:szCs w:val="24"/>
          <w:lang w:val="en-US"/>
        </w:rPr>
        <w:t xml:space="preserve"> </w:t>
      </w:r>
      <w:r w:rsidR="00305666">
        <w:rPr>
          <w:rFonts w:ascii="Arial" w:hAnsi="Arial" w:cs="Arial"/>
          <w:sz w:val="24"/>
          <w:szCs w:val="24"/>
          <w:lang w:val="en-US"/>
        </w:rPr>
        <w:t>T</w:t>
      </w:r>
      <w:r w:rsidRPr="00FD5A15">
        <w:rPr>
          <w:rFonts w:ascii="Arial" w:hAnsi="Arial" w:cs="Arial"/>
          <w:sz w:val="24"/>
          <w:szCs w:val="24"/>
          <w:lang w:val="en-US"/>
        </w:rPr>
        <w:t xml:space="preserve">he founding affidavit </w:t>
      </w:r>
      <w:r w:rsidR="00305666">
        <w:rPr>
          <w:rFonts w:ascii="Arial" w:hAnsi="Arial" w:cs="Arial"/>
          <w:sz w:val="24"/>
          <w:szCs w:val="24"/>
          <w:lang w:val="en-US"/>
        </w:rPr>
        <w:t xml:space="preserve">therefore did not, to the satisfaction of the Court, </w:t>
      </w:r>
      <w:r w:rsidRPr="00FD5A15">
        <w:rPr>
          <w:rFonts w:ascii="Arial" w:hAnsi="Arial" w:cs="Arial"/>
          <w:sz w:val="24"/>
          <w:szCs w:val="24"/>
          <w:lang w:val="en-US"/>
        </w:rPr>
        <w:t>deal with the requirements of rule 56</w:t>
      </w:r>
      <w:r w:rsidR="00305666">
        <w:rPr>
          <w:rFonts w:ascii="Arial" w:hAnsi="Arial" w:cs="Arial"/>
          <w:sz w:val="24"/>
          <w:szCs w:val="24"/>
          <w:lang w:val="en-US"/>
        </w:rPr>
        <w:t xml:space="preserve">. </w:t>
      </w:r>
      <w:r w:rsidRPr="00FD5A15">
        <w:rPr>
          <w:rFonts w:ascii="Arial" w:hAnsi="Arial" w:cs="Arial"/>
          <w:sz w:val="24"/>
          <w:szCs w:val="24"/>
          <w:lang w:val="en-US"/>
        </w:rPr>
        <w:t xml:space="preserve"> </w:t>
      </w:r>
    </w:p>
    <w:p w:rsidR="009F6495" w:rsidRDefault="009F6495" w:rsidP="007E45F7">
      <w:pPr>
        <w:tabs>
          <w:tab w:val="left" w:pos="720"/>
          <w:tab w:val="left" w:pos="1380"/>
        </w:tabs>
        <w:spacing w:after="0" w:line="360" w:lineRule="auto"/>
        <w:jc w:val="both"/>
        <w:rPr>
          <w:rFonts w:ascii="Arial" w:hAnsi="Arial" w:cs="Arial"/>
          <w:sz w:val="24"/>
          <w:szCs w:val="24"/>
          <w:lang w:val="en-US"/>
        </w:rPr>
      </w:pPr>
    </w:p>
    <w:p w:rsidR="009F6495" w:rsidRDefault="009F6495" w:rsidP="007E45F7">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en-US"/>
        </w:rPr>
        <w:t>[</w:t>
      </w:r>
      <w:r w:rsidR="0039003E">
        <w:rPr>
          <w:rFonts w:ascii="Arial" w:hAnsi="Arial" w:cs="Arial"/>
          <w:sz w:val="24"/>
          <w:szCs w:val="24"/>
          <w:lang w:val="en-US"/>
        </w:rPr>
        <w:t>64</w:t>
      </w:r>
      <w:r>
        <w:rPr>
          <w:rFonts w:ascii="Arial" w:hAnsi="Arial" w:cs="Arial"/>
          <w:sz w:val="24"/>
          <w:szCs w:val="24"/>
          <w:lang w:val="en-US"/>
        </w:rPr>
        <w:t>]</w:t>
      </w:r>
      <w:r>
        <w:rPr>
          <w:rFonts w:ascii="Arial" w:hAnsi="Arial" w:cs="Arial"/>
          <w:sz w:val="24"/>
          <w:szCs w:val="24"/>
          <w:lang w:val="en-US"/>
        </w:rPr>
        <w:tab/>
        <w:t xml:space="preserve">In the case of </w:t>
      </w:r>
      <w:r w:rsidRPr="009F6495">
        <w:rPr>
          <w:rFonts w:ascii="Arial" w:hAnsi="Arial" w:cs="Arial"/>
          <w:i/>
          <w:sz w:val="24"/>
          <w:szCs w:val="24"/>
          <w:lang w:val="en-US"/>
        </w:rPr>
        <w:t>Maestro Design t/a Maestro Operations CC v The Microlending Association of Namibia</w:t>
      </w:r>
      <w:r>
        <w:rPr>
          <w:rStyle w:val="FootnoteReference"/>
          <w:rFonts w:ascii="Arial" w:hAnsi="Arial" w:cs="Arial"/>
          <w:sz w:val="24"/>
          <w:szCs w:val="24"/>
          <w:lang w:val="en-US"/>
        </w:rPr>
        <w:footnoteReference w:id="22"/>
      </w:r>
      <w:r>
        <w:rPr>
          <w:rFonts w:ascii="Arial" w:hAnsi="Arial" w:cs="Arial"/>
          <w:sz w:val="24"/>
          <w:szCs w:val="24"/>
          <w:lang w:val="en-US"/>
        </w:rPr>
        <w:t xml:space="preserve"> </w:t>
      </w:r>
      <w:r w:rsidR="00F32C69">
        <w:rPr>
          <w:rFonts w:ascii="Arial" w:hAnsi="Arial" w:cs="Arial"/>
          <w:sz w:val="24"/>
          <w:szCs w:val="24"/>
          <w:lang w:val="en-US"/>
        </w:rPr>
        <w:t>that was recently handed down by my learned brother Masuku, J, he held that</w:t>
      </w:r>
      <w:r>
        <w:rPr>
          <w:rFonts w:ascii="Arial" w:hAnsi="Arial" w:cs="Arial"/>
          <w:sz w:val="24"/>
          <w:szCs w:val="24"/>
          <w:lang w:val="en-US"/>
        </w:rPr>
        <w:t xml:space="preserve">: </w:t>
      </w:r>
    </w:p>
    <w:p w:rsidR="009F6495" w:rsidRDefault="009F6495" w:rsidP="007E45F7">
      <w:pPr>
        <w:tabs>
          <w:tab w:val="left" w:pos="720"/>
          <w:tab w:val="left" w:pos="1380"/>
        </w:tabs>
        <w:spacing w:after="0" w:line="360" w:lineRule="auto"/>
        <w:jc w:val="both"/>
        <w:rPr>
          <w:rFonts w:ascii="Arial" w:hAnsi="Arial" w:cs="Arial"/>
          <w:sz w:val="24"/>
          <w:szCs w:val="24"/>
          <w:lang w:val="en-US"/>
        </w:rPr>
      </w:pPr>
    </w:p>
    <w:p w:rsidR="009F6495" w:rsidRDefault="009F6495" w:rsidP="007E45F7">
      <w:pPr>
        <w:tabs>
          <w:tab w:val="left" w:pos="720"/>
          <w:tab w:val="left" w:pos="1380"/>
        </w:tabs>
        <w:spacing w:after="0" w:line="360" w:lineRule="auto"/>
        <w:jc w:val="both"/>
        <w:rPr>
          <w:rFonts w:ascii="Arial" w:hAnsi="Arial"/>
        </w:rPr>
      </w:pPr>
      <w:r>
        <w:rPr>
          <w:rFonts w:ascii="Arial" w:hAnsi="Arial" w:cs="Arial"/>
          <w:lang w:val="en-US"/>
        </w:rPr>
        <w:tab/>
        <w:t>‘</w:t>
      </w:r>
      <w:r w:rsidR="00F32C69">
        <w:rPr>
          <w:rFonts w:ascii="Arial" w:hAnsi="Arial"/>
        </w:rPr>
        <w:t>[49]</w:t>
      </w:r>
      <w:r w:rsidR="00F32C69">
        <w:rPr>
          <w:rFonts w:ascii="Arial" w:hAnsi="Arial"/>
        </w:rPr>
        <w:tab/>
        <w:t>. . . There should come a time when a party that displays a lackadaisical approach to litigation and a sorry pattern of non-compliance with court orders, to the detriment of the overriding objectives of judicial case management, to meet its comeuppance, regardless of the pain that accompanies that spectacle in particular.’</w:t>
      </w:r>
    </w:p>
    <w:p w:rsidR="003263B6" w:rsidRDefault="003263B6" w:rsidP="007E45F7">
      <w:pPr>
        <w:tabs>
          <w:tab w:val="left" w:pos="720"/>
          <w:tab w:val="left" w:pos="1380"/>
        </w:tabs>
        <w:spacing w:after="0" w:line="360" w:lineRule="auto"/>
        <w:jc w:val="both"/>
        <w:rPr>
          <w:rFonts w:ascii="Arial" w:hAnsi="Arial"/>
          <w:sz w:val="24"/>
          <w:szCs w:val="24"/>
        </w:rPr>
      </w:pPr>
    </w:p>
    <w:p w:rsidR="003263B6" w:rsidRPr="00B82E75" w:rsidRDefault="003263B6" w:rsidP="007E45F7">
      <w:pPr>
        <w:tabs>
          <w:tab w:val="left" w:pos="720"/>
          <w:tab w:val="left" w:pos="1380"/>
        </w:tabs>
        <w:spacing w:after="0" w:line="360" w:lineRule="auto"/>
        <w:jc w:val="both"/>
        <w:rPr>
          <w:rFonts w:ascii="Arial" w:hAnsi="Arial"/>
          <w:sz w:val="24"/>
          <w:szCs w:val="24"/>
          <w:lang w:val="en-US"/>
        </w:rPr>
      </w:pPr>
      <w:r>
        <w:rPr>
          <w:rFonts w:ascii="Arial" w:hAnsi="Arial"/>
          <w:sz w:val="24"/>
          <w:szCs w:val="24"/>
        </w:rPr>
        <w:t>[</w:t>
      </w:r>
      <w:r w:rsidR="0039003E">
        <w:rPr>
          <w:rFonts w:ascii="Arial" w:hAnsi="Arial"/>
          <w:sz w:val="24"/>
          <w:szCs w:val="24"/>
        </w:rPr>
        <w:t>65</w:t>
      </w:r>
      <w:r>
        <w:rPr>
          <w:rFonts w:ascii="Arial" w:hAnsi="Arial"/>
          <w:sz w:val="24"/>
          <w:szCs w:val="24"/>
        </w:rPr>
        <w:t>]</w:t>
      </w:r>
      <w:r>
        <w:rPr>
          <w:rFonts w:ascii="Arial" w:hAnsi="Arial"/>
          <w:sz w:val="24"/>
          <w:szCs w:val="24"/>
        </w:rPr>
        <w:tab/>
        <w:t>The Court was called upon to take judicial notice of the previous non-compliances with the Rules of Court and Court orders, more so on the score that the Rules provide such a factor to be taken in</w:t>
      </w:r>
      <w:r w:rsidR="0039003E">
        <w:rPr>
          <w:rFonts w:ascii="Arial" w:hAnsi="Arial"/>
          <w:sz w:val="24"/>
          <w:szCs w:val="24"/>
        </w:rPr>
        <w:t>to</w:t>
      </w:r>
      <w:r>
        <w:rPr>
          <w:rFonts w:ascii="Arial" w:hAnsi="Arial"/>
          <w:sz w:val="24"/>
          <w:szCs w:val="24"/>
        </w:rPr>
        <w:t xml:space="preserve"> consideration when considering an application for condonation (Rule 56(1)(d)). </w:t>
      </w:r>
      <w:r w:rsidRPr="003263B6">
        <w:rPr>
          <w:rFonts w:ascii="Arial" w:hAnsi="Arial"/>
          <w:sz w:val="24"/>
          <w:szCs w:val="24"/>
          <w:lang w:val="en-US"/>
        </w:rPr>
        <w:t xml:space="preserve">Defendant’s previous non-compliances with court orders, coupled with the non-compliances that brought about this application, shows a </w:t>
      </w:r>
      <w:r w:rsidR="00421E2A">
        <w:rPr>
          <w:rFonts w:ascii="Arial" w:hAnsi="Arial"/>
          <w:sz w:val="24"/>
          <w:szCs w:val="24"/>
          <w:lang w:val="en-US"/>
        </w:rPr>
        <w:t>disregard of the C</w:t>
      </w:r>
      <w:r w:rsidRPr="003263B6">
        <w:rPr>
          <w:rFonts w:ascii="Arial" w:hAnsi="Arial"/>
          <w:sz w:val="24"/>
          <w:szCs w:val="24"/>
          <w:lang w:val="en-US"/>
        </w:rPr>
        <w:t xml:space="preserve">ourt rules and has </w:t>
      </w:r>
      <w:r>
        <w:rPr>
          <w:rFonts w:ascii="Arial" w:hAnsi="Arial"/>
          <w:sz w:val="24"/>
          <w:szCs w:val="24"/>
          <w:lang w:val="en-US"/>
        </w:rPr>
        <w:t xml:space="preserve">immensely </w:t>
      </w:r>
      <w:r w:rsidRPr="003263B6">
        <w:rPr>
          <w:rFonts w:ascii="Arial" w:hAnsi="Arial"/>
          <w:sz w:val="24"/>
          <w:szCs w:val="24"/>
          <w:lang w:val="en-US"/>
        </w:rPr>
        <w:t>delayed this matter, which would have been</w:t>
      </w:r>
      <w:r>
        <w:rPr>
          <w:rFonts w:ascii="Arial" w:hAnsi="Arial"/>
          <w:sz w:val="24"/>
          <w:szCs w:val="24"/>
          <w:lang w:val="en-US"/>
        </w:rPr>
        <w:t xml:space="preserve"> finalized by now. First defendant’s non-compliance has certainly not only frustrated the Court but more so the plaintiffs in seeing this matter come to finality. The prejudice to the plaintiffs’ can be </w:t>
      </w:r>
      <w:r w:rsidR="00421E2A">
        <w:rPr>
          <w:rFonts w:ascii="Arial" w:hAnsi="Arial"/>
          <w:sz w:val="24"/>
          <w:szCs w:val="24"/>
          <w:lang w:val="en-US"/>
        </w:rPr>
        <w:t>gathered</w:t>
      </w:r>
      <w:r>
        <w:rPr>
          <w:rFonts w:ascii="Arial" w:hAnsi="Arial"/>
          <w:sz w:val="24"/>
          <w:szCs w:val="24"/>
          <w:lang w:val="en-US"/>
        </w:rPr>
        <w:t xml:space="preserve"> from the legal costs </w:t>
      </w:r>
      <w:r w:rsidR="0039003E">
        <w:rPr>
          <w:rFonts w:ascii="Arial" w:hAnsi="Arial"/>
          <w:sz w:val="24"/>
          <w:szCs w:val="24"/>
          <w:lang w:val="en-US"/>
        </w:rPr>
        <w:t xml:space="preserve">that Court can only assume was </w:t>
      </w:r>
      <w:r>
        <w:rPr>
          <w:rFonts w:ascii="Arial" w:hAnsi="Arial"/>
          <w:sz w:val="24"/>
          <w:szCs w:val="24"/>
          <w:lang w:val="en-US"/>
        </w:rPr>
        <w:t xml:space="preserve">spent on litigating numerous interlocutory applications occasioned </w:t>
      </w:r>
      <w:r w:rsidR="00421E2A">
        <w:rPr>
          <w:rFonts w:ascii="Arial" w:hAnsi="Arial"/>
          <w:sz w:val="24"/>
          <w:szCs w:val="24"/>
          <w:lang w:val="en-US"/>
        </w:rPr>
        <w:t>solely</w:t>
      </w:r>
      <w:r>
        <w:rPr>
          <w:rFonts w:ascii="Arial" w:hAnsi="Arial"/>
          <w:sz w:val="24"/>
          <w:szCs w:val="24"/>
          <w:lang w:val="en-US"/>
        </w:rPr>
        <w:t xml:space="preserve"> by the </w:t>
      </w:r>
      <w:r w:rsidR="00421E2A">
        <w:rPr>
          <w:rFonts w:ascii="Arial" w:hAnsi="Arial"/>
          <w:sz w:val="24"/>
          <w:szCs w:val="24"/>
          <w:lang w:val="en-US"/>
        </w:rPr>
        <w:t>first</w:t>
      </w:r>
      <w:r>
        <w:rPr>
          <w:rFonts w:ascii="Arial" w:hAnsi="Arial"/>
          <w:sz w:val="24"/>
          <w:szCs w:val="24"/>
          <w:lang w:val="en-US"/>
        </w:rPr>
        <w:t xml:space="preserve"> defendant</w:t>
      </w:r>
      <w:r w:rsidR="00421E2A">
        <w:rPr>
          <w:rFonts w:ascii="Arial" w:hAnsi="Arial"/>
          <w:sz w:val="24"/>
          <w:szCs w:val="24"/>
          <w:lang w:val="en-US"/>
        </w:rPr>
        <w:t>.</w:t>
      </w:r>
      <w:r w:rsidRPr="003263B6">
        <w:rPr>
          <w:rFonts w:ascii="Arial" w:hAnsi="Arial"/>
          <w:sz w:val="24"/>
          <w:szCs w:val="24"/>
          <w:lang w:val="en-US"/>
        </w:rPr>
        <w:t xml:space="preserve"> The court has previously indulged the defendants but it has come to a point </w:t>
      </w:r>
      <w:r w:rsidR="00421E2A">
        <w:rPr>
          <w:rFonts w:ascii="Arial" w:hAnsi="Arial"/>
          <w:sz w:val="24"/>
          <w:szCs w:val="24"/>
          <w:lang w:val="en-US"/>
        </w:rPr>
        <w:t>where such indulgence will no longer</w:t>
      </w:r>
      <w:r w:rsidRPr="003263B6">
        <w:rPr>
          <w:rFonts w:ascii="Arial" w:hAnsi="Arial"/>
          <w:sz w:val="24"/>
          <w:szCs w:val="24"/>
          <w:lang w:val="en-US"/>
        </w:rPr>
        <w:t xml:space="preserve"> be granted.</w:t>
      </w:r>
      <w:r w:rsidR="00B82E75">
        <w:rPr>
          <w:rFonts w:ascii="Arial" w:hAnsi="Arial"/>
          <w:sz w:val="24"/>
          <w:szCs w:val="24"/>
          <w:lang w:val="en-US"/>
        </w:rPr>
        <w:t xml:space="preserve"> His application for condonation is meritless and therefore should be dismissed with costs. </w:t>
      </w:r>
    </w:p>
    <w:p w:rsidR="006A65D8" w:rsidRDefault="006A65D8" w:rsidP="007E45F7">
      <w:pPr>
        <w:tabs>
          <w:tab w:val="left" w:pos="720"/>
          <w:tab w:val="left" w:pos="1380"/>
        </w:tabs>
        <w:spacing w:after="0" w:line="360" w:lineRule="auto"/>
        <w:jc w:val="both"/>
        <w:rPr>
          <w:rFonts w:ascii="Arial" w:hAnsi="Arial" w:cs="Arial"/>
          <w:sz w:val="24"/>
          <w:szCs w:val="24"/>
        </w:rPr>
      </w:pPr>
    </w:p>
    <w:p w:rsidR="00816A85" w:rsidRDefault="00816A85"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39003E">
        <w:rPr>
          <w:rFonts w:ascii="Arial" w:hAnsi="Arial" w:cs="Arial"/>
          <w:sz w:val="24"/>
          <w:szCs w:val="24"/>
        </w:rPr>
        <w:t>66</w:t>
      </w:r>
      <w:r>
        <w:rPr>
          <w:rFonts w:ascii="Arial" w:hAnsi="Arial" w:cs="Arial"/>
          <w:sz w:val="24"/>
          <w:szCs w:val="24"/>
        </w:rPr>
        <w:t>]</w:t>
      </w:r>
      <w:r>
        <w:rPr>
          <w:rFonts w:ascii="Arial" w:hAnsi="Arial" w:cs="Arial"/>
          <w:sz w:val="24"/>
          <w:szCs w:val="24"/>
        </w:rPr>
        <w:tab/>
      </w:r>
      <w:r w:rsidR="00AE49E0">
        <w:rPr>
          <w:rFonts w:ascii="Arial" w:hAnsi="Arial" w:cs="Arial"/>
          <w:sz w:val="24"/>
          <w:szCs w:val="24"/>
        </w:rPr>
        <w:t xml:space="preserve">Prospects of success is generally an important but not decisive consideration. Where there is a flagrant and gross disregard of the </w:t>
      </w:r>
      <w:r w:rsidR="00DE5C35">
        <w:rPr>
          <w:rFonts w:ascii="Arial" w:hAnsi="Arial" w:cs="Arial"/>
          <w:sz w:val="24"/>
          <w:szCs w:val="24"/>
        </w:rPr>
        <w:t xml:space="preserve">Rules of </w:t>
      </w:r>
      <w:r w:rsidR="00AE49E0">
        <w:rPr>
          <w:rFonts w:ascii="Arial" w:hAnsi="Arial" w:cs="Arial"/>
          <w:sz w:val="24"/>
          <w:szCs w:val="24"/>
        </w:rPr>
        <w:t>Co</w:t>
      </w:r>
      <w:r w:rsidR="00DE5C35">
        <w:rPr>
          <w:rFonts w:ascii="Arial" w:hAnsi="Arial" w:cs="Arial"/>
          <w:sz w:val="24"/>
          <w:szCs w:val="24"/>
        </w:rPr>
        <w:t>urt</w:t>
      </w:r>
      <w:r w:rsidR="00AE49E0">
        <w:rPr>
          <w:rFonts w:ascii="Arial" w:hAnsi="Arial" w:cs="Arial"/>
          <w:sz w:val="24"/>
          <w:szCs w:val="24"/>
        </w:rPr>
        <w:t xml:space="preserve"> due</w:t>
      </w:r>
      <w:r w:rsidR="00DE5C35">
        <w:rPr>
          <w:rFonts w:ascii="Arial" w:hAnsi="Arial" w:cs="Arial"/>
          <w:sz w:val="24"/>
          <w:szCs w:val="24"/>
        </w:rPr>
        <w:t xml:space="preserve"> to</w:t>
      </w:r>
      <w:r w:rsidR="00AE49E0">
        <w:rPr>
          <w:rFonts w:ascii="Arial" w:hAnsi="Arial" w:cs="Arial"/>
          <w:sz w:val="24"/>
          <w:szCs w:val="24"/>
        </w:rPr>
        <w:t xml:space="preserve"> non-compliances the Court need not consider prospects of success. Prospects of success</w:t>
      </w:r>
      <w:r w:rsidR="00DE5C35">
        <w:rPr>
          <w:rFonts w:ascii="Arial" w:hAnsi="Arial" w:cs="Arial"/>
          <w:sz w:val="24"/>
          <w:szCs w:val="24"/>
        </w:rPr>
        <w:t xml:space="preserve"> </w:t>
      </w:r>
      <w:r w:rsidR="00AE49E0">
        <w:rPr>
          <w:rFonts w:ascii="Arial" w:hAnsi="Arial" w:cs="Arial"/>
          <w:sz w:val="24"/>
          <w:szCs w:val="24"/>
        </w:rPr>
        <w:t>can never s</w:t>
      </w:r>
      <w:r w:rsidR="00DE5C35">
        <w:rPr>
          <w:rFonts w:ascii="Arial" w:hAnsi="Arial" w:cs="Arial"/>
          <w:sz w:val="24"/>
          <w:szCs w:val="24"/>
        </w:rPr>
        <w:t>t</w:t>
      </w:r>
      <w:r w:rsidR="00AE49E0">
        <w:rPr>
          <w:rFonts w:ascii="Arial" w:hAnsi="Arial" w:cs="Arial"/>
          <w:sz w:val="24"/>
          <w:szCs w:val="24"/>
        </w:rPr>
        <w:t>and alone, other factors such as the explanation tendered for the non-compliance should be considered.</w:t>
      </w:r>
      <w:r w:rsidR="00DE5C35">
        <w:rPr>
          <w:rFonts w:ascii="Arial" w:hAnsi="Arial" w:cs="Arial"/>
          <w:sz w:val="24"/>
          <w:szCs w:val="24"/>
        </w:rPr>
        <w:t xml:space="preserve"> Due to the insufficient explanation tendered for the non-compliance and </w:t>
      </w:r>
      <w:r w:rsidR="008D01BC">
        <w:rPr>
          <w:rFonts w:ascii="Arial" w:hAnsi="Arial" w:cs="Arial"/>
          <w:sz w:val="24"/>
          <w:szCs w:val="24"/>
        </w:rPr>
        <w:t>having taken into account the various previous</w:t>
      </w:r>
      <w:r w:rsidR="00DE5C35">
        <w:rPr>
          <w:rFonts w:ascii="Arial" w:hAnsi="Arial" w:cs="Arial"/>
          <w:sz w:val="24"/>
          <w:szCs w:val="24"/>
        </w:rPr>
        <w:t xml:space="preserve"> non-compliances and disregard of the court orders, the Court is not inclined to consider this issue. </w:t>
      </w:r>
    </w:p>
    <w:p w:rsidR="00816A85" w:rsidRPr="00E45AA5" w:rsidRDefault="00816A85" w:rsidP="007E45F7">
      <w:pPr>
        <w:tabs>
          <w:tab w:val="left" w:pos="720"/>
          <w:tab w:val="left" w:pos="1380"/>
        </w:tabs>
        <w:spacing w:after="0" w:line="360" w:lineRule="auto"/>
        <w:jc w:val="both"/>
        <w:rPr>
          <w:rFonts w:ascii="Arial" w:hAnsi="Arial" w:cs="Arial"/>
          <w:sz w:val="24"/>
          <w:szCs w:val="24"/>
        </w:rPr>
      </w:pPr>
    </w:p>
    <w:p w:rsidR="00F71AEF" w:rsidRPr="003B009D" w:rsidRDefault="00E45AA5" w:rsidP="007E45F7">
      <w:pPr>
        <w:tabs>
          <w:tab w:val="left" w:pos="720"/>
          <w:tab w:val="left" w:pos="1380"/>
        </w:tabs>
        <w:spacing w:after="0" w:line="360" w:lineRule="auto"/>
        <w:jc w:val="both"/>
        <w:rPr>
          <w:rFonts w:ascii="Arial" w:hAnsi="Arial" w:cs="Arial"/>
          <w:sz w:val="24"/>
          <w:szCs w:val="24"/>
          <w:u w:val="single"/>
        </w:rPr>
      </w:pPr>
      <w:r w:rsidRPr="00C91B7E">
        <w:rPr>
          <w:rFonts w:ascii="Arial" w:hAnsi="Arial" w:cs="Arial"/>
          <w:sz w:val="24"/>
          <w:szCs w:val="24"/>
          <w:u w:val="single"/>
        </w:rPr>
        <w:t xml:space="preserve">Costs </w:t>
      </w:r>
    </w:p>
    <w:p w:rsidR="00F71AEF" w:rsidRPr="00C91B7E" w:rsidRDefault="00F71AEF" w:rsidP="007E45F7">
      <w:pPr>
        <w:tabs>
          <w:tab w:val="left" w:pos="720"/>
          <w:tab w:val="left" w:pos="1380"/>
        </w:tabs>
        <w:spacing w:after="0" w:line="360" w:lineRule="auto"/>
        <w:jc w:val="both"/>
        <w:rPr>
          <w:rFonts w:ascii="Arial" w:hAnsi="Arial" w:cs="Arial"/>
          <w:sz w:val="24"/>
          <w:szCs w:val="24"/>
        </w:rPr>
      </w:pPr>
    </w:p>
    <w:p w:rsidR="00F71AEF" w:rsidRDefault="0039003E"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[67</w:t>
      </w:r>
      <w:r w:rsidR="00F71AEF" w:rsidRPr="00C91B7E">
        <w:rPr>
          <w:rFonts w:ascii="Arial" w:hAnsi="Arial" w:cs="Arial"/>
          <w:sz w:val="24"/>
          <w:szCs w:val="24"/>
        </w:rPr>
        <w:t>]</w:t>
      </w:r>
      <w:r w:rsidR="00F71AEF" w:rsidRPr="00C91B7E">
        <w:rPr>
          <w:rFonts w:ascii="Arial" w:hAnsi="Arial" w:cs="Arial"/>
          <w:sz w:val="24"/>
          <w:szCs w:val="24"/>
        </w:rPr>
        <w:tab/>
      </w:r>
      <w:r w:rsidR="00322152">
        <w:rPr>
          <w:rFonts w:ascii="Arial" w:hAnsi="Arial" w:cs="Arial"/>
          <w:sz w:val="24"/>
          <w:szCs w:val="24"/>
        </w:rPr>
        <w:t xml:space="preserve">Cost is ultimately </w:t>
      </w:r>
      <w:r w:rsidR="00322152" w:rsidRPr="00C91B7E">
        <w:rPr>
          <w:rFonts w:ascii="Arial" w:hAnsi="Arial" w:cs="Arial"/>
          <w:sz w:val="24"/>
          <w:szCs w:val="24"/>
        </w:rPr>
        <w:t>the discretion of the court</w:t>
      </w:r>
      <w:r w:rsidR="00322152">
        <w:rPr>
          <w:rFonts w:ascii="Arial" w:hAnsi="Arial" w:cs="Arial"/>
          <w:sz w:val="24"/>
          <w:szCs w:val="24"/>
        </w:rPr>
        <w:t xml:space="preserve">. The Court’s finding on costs for the variation application is that since none of the parties were successful, none would be entitled to costs. </w:t>
      </w:r>
    </w:p>
    <w:p w:rsidR="00322152" w:rsidRDefault="00322152" w:rsidP="007E45F7">
      <w:pPr>
        <w:tabs>
          <w:tab w:val="left" w:pos="720"/>
          <w:tab w:val="left" w:pos="1380"/>
        </w:tabs>
        <w:spacing w:after="0" w:line="360" w:lineRule="auto"/>
        <w:jc w:val="both"/>
        <w:rPr>
          <w:rFonts w:ascii="Arial" w:hAnsi="Arial" w:cs="Arial"/>
          <w:sz w:val="24"/>
          <w:szCs w:val="24"/>
        </w:rPr>
      </w:pPr>
    </w:p>
    <w:p w:rsidR="00322152" w:rsidRPr="00C91B7E" w:rsidRDefault="00322152" w:rsidP="007E45F7">
      <w:pPr>
        <w:tabs>
          <w:tab w:val="left" w:pos="720"/>
          <w:tab w:val="left" w:pos="1380"/>
        </w:tabs>
        <w:spacing w:after="0" w:line="360" w:lineRule="auto"/>
        <w:jc w:val="both"/>
        <w:rPr>
          <w:rFonts w:ascii="Arial" w:hAnsi="Arial" w:cs="Arial"/>
          <w:sz w:val="24"/>
          <w:szCs w:val="24"/>
        </w:rPr>
      </w:pPr>
      <w:r>
        <w:rPr>
          <w:rFonts w:ascii="Arial" w:hAnsi="Arial" w:cs="Arial"/>
          <w:sz w:val="24"/>
          <w:szCs w:val="24"/>
        </w:rPr>
        <w:t>[</w:t>
      </w:r>
      <w:r w:rsidR="00312B4A">
        <w:rPr>
          <w:rFonts w:ascii="Arial" w:hAnsi="Arial" w:cs="Arial"/>
          <w:sz w:val="24"/>
          <w:szCs w:val="24"/>
        </w:rPr>
        <w:t>68</w:t>
      </w:r>
      <w:r>
        <w:rPr>
          <w:rFonts w:ascii="Arial" w:hAnsi="Arial" w:cs="Arial"/>
          <w:sz w:val="24"/>
          <w:szCs w:val="24"/>
        </w:rPr>
        <w:t>]</w:t>
      </w:r>
      <w:r>
        <w:rPr>
          <w:rFonts w:ascii="Arial" w:hAnsi="Arial" w:cs="Arial"/>
          <w:sz w:val="24"/>
          <w:szCs w:val="24"/>
        </w:rPr>
        <w:tab/>
      </w:r>
      <w:r w:rsidR="003B009D" w:rsidRPr="00C91B7E">
        <w:rPr>
          <w:rFonts w:ascii="Arial" w:hAnsi="Arial" w:cs="Arial"/>
          <w:sz w:val="24"/>
          <w:szCs w:val="24"/>
        </w:rPr>
        <w:t>The general rule is that cost follows the event and that the successful party sho</w:t>
      </w:r>
      <w:r w:rsidR="003B009D">
        <w:rPr>
          <w:rFonts w:ascii="Arial" w:hAnsi="Arial" w:cs="Arial"/>
          <w:sz w:val="24"/>
          <w:szCs w:val="24"/>
        </w:rPr>
        <w:t>uld be awarded his or her costs. T</w:t>
      </w:r>
      <w:r w:rsidR="003B009D" w:rsidRPr="00C91B7E">
        <w:rPr>
          <w:rFonts w:ascii="Arial" w:hAnsi="Arial" w:cs="Arial"/>
          <w:sz w:val="24"/>
          <w:szCs w:val="24"/>
        </w:rPr>
        <w:t xml:space="preserve">he rule of cost to follow the event is normally only departed from when there are good grounds for doing so. </w:t>
      </w:r>
      <w:r w:rsidR="003B009D">
        <w:rPr>
          <w:rFonts w:ascii="Arial" w:hAnsi="Arial" w:cs="Arial"/>
          <w:sz w:val="24"/>
          <w:szCs w:val="24"/>
        </w:rPr>
        <w:t xml:space="preserve">First </w:t>
      </w:r>
      <w:r w:rsidR="003B009D">
        <w:rPr>
          <w:rFonts w:ascii="Arial" w:hAnsi="Arial" w:cs="Arial"/>
          <w:sz w:val="24"/>
          <w:szCs w:val="24"/>
          <w:lang w:val="en-US"/>
        </w:rPr>
        <w:t>defendant’s approach with</w:t>
      </w:r>
      <w:r w:rsidRPr="00322152">
        <w:rPr>
          <w:rFonts w:ascii="Arial" w:hAnsi="Arial" w:cs="Arial"/>
          <w:sz w:val="24"/>
          <w:szCs w:val="24"/>
          <w:lang w:val="en-US"/>
        </w:rPr>
        <w:t xml:space="preserve"> this matter lack</w:t>
      </w:r>
      <w:r w:rsidR="003B009D">
        <w:rPr>
          <w:rFonts w:ascii="Arial" w:hAnsi="Arial" w:cs="Arial"/>
          <w:sz w:val="24"/>
          <w:szCs w:val="24"/>
          <w:lang w:val="en-US"/>
        </w:rPr>
        <w:t>s</w:t>
      </w:r>
      <w:r w:rsidRPr="00322152">
        <w:rPr>
          <w:rFonts w:ascii="Arial" w:hAnsi="Arial" w:cs="Arial"/>
          <w:sz w:val="24"/>
          <w:szCs w:val="24"/>
          <w:lang w:val="en-US"/>
        </w:rPr>
        <w:t xml:space="preserve"> seriousness, and this is evident by the various non-compliances with court orders.  </w:t>
      </w:r>
      <w:r w:rsidR="003B009D">
        <w:rPr>
          <w:rFonts w:ascii="Arial" w:hAnsi="Arial" w:cs="Arial"/>
          <w:sz w:val="24"/>
          <w:szCs w:val="24"/>
          <w:lang w:val="en-US"/>
        </w:rPr>
        <w:t>S</w:t>
      </w:r>
      <w:r w:rsidRPr="00322152">
        <w:rPr>
          <w:rFonts w:ascii="Arial" w:hAnsi="Arial" w:cs="Arial"/>
          <w:sz w:val="24"/>
          <w:szCs w:val="24"/>
          <w:lang w:val="en-US"/>
        </w:rPr>
        <w:t>uch conduct</w:t>
      </w:r>
      <w:r w:rsidR="003B009D">
        <w:rPr>
          <w:rFonts w:ascii="Arial" w:hAnsi="Arial" w:cs="Arial"/>
          <w:sz w:val="24"/>
          <w:szCs w:val="24"/>
          <w:lang w:val="en-US"/>
        </w:rPr>
        <w:t xml:space="preserve"> is</w:t>
      </w:r>
      <w:r w:rsidRPr="00322152">
        <w:rPr>
          <w:rFonts w:ascii="Arial" w:hAnsi="Arial" w:cs="Arial"/>
          <w:sz w:val="24"/>
          <w:szCs w:val="24"/>
          <w:lang w:val="en-US"/>
        </w:rPr>
        <w:t xml:space="preserve"> a blatant disregard of the rules of court</w:t>
      </w:r>
      <w:r w:rsidR="003B009D">
        <w:rPr>
          <w:rFonts w:ascii="Arial" w:hAnsi="Arial" w:cs="Arial"/>
          <w:sz w:val="24"/>
          <w:szCs w:val="24"/>
          <w:lang w:val="en-US"/>
        </w:rPr>
        <w:t xml:space="preserve"> and frustrates and curtails the adjudication of this matter to the detriment of the other party and administration of justice.</w:t>
      </w:r>
      <w:r w:rsidRPr="00322152">
        <w:rPr>
          <w:rFonts w:ascii="Arial" w:hAnsi="Arial" w:cs="Arial"/>
          <w:sz w:val="24"/>
          <w:szCs w:val="24"/>
          <w:lang w:val="en-US"/>
        </w:rPr>
        <w:t xml:space="preserve"> I therefor</w:t>
      </w:r>
      <w:r w:rsidR="003B009D">
        <w:rPr>
          <w:rFonts w:ascii="Arial" w:hAnsi="Arial" w:cs="Arial"/>
          <w:sz w:val="24"/>
          <w:szCs w:val="24"/>
          <w:lang w:val="en-US"/>
        </w:rPr>
        <w:t>e</w:t>
      </w:r>
      <w:r w:rsidRPr="00322152">
        <w:rPr>
          <w:rFonts w:ascii="Arial" w:hAnsi="Arial" w:cs="Arial"/>
          <w:sz w:val="24"/>
          <w:szCs w:val="24"/>
          <w:lang w:val="en-US"/>
        </w:rPr>
        <w:t xml:space="preserve"> see no reason why</w:t>
      </w:r>
      <w:r w:rsidR="003B009D">
        <w:rPr>
          <w:rFonts w:ascii="Arial" w:hAnsi="Arial" w:cs="Arial"/>
          <w:sz w:val="24"/>
          <w:szCs w:val="24"/>
          <w:lang w:val="en-US"/>
        </w:rPr>
        <w:t xml:space="preserve"> the court should not order </w:t>
      </w:r>
      <w:r w:rsidRPr="00322152">
        <w:rPr>
          <w:rFonts w:ascii="Arial" w:hAnsi="Arial" w:cs="Arial"/>
          <w:sz w:val="24"/>
          <w:szCs w:val="24"/>
          <w:lang w:val="en-US"/>
        </w:rPr>
        <w:t>costs</w:t>
      </w:r>
      <w:r w:rsidR="003B009D">
        <w:rPr>
          <w:rFonts w:ascii="Arial" w:hAnsi="Arial" w:cs="Arial"/>
          <w:sz w:val="24"/>
          <w:szCs w:val="24"/>
          <w:lang w:val="en-US"/>
        </w:rPr>
        <w:t xml:space="preserve"> against the first defendant limited to Rule 3 (11).</w:t>
      </w:r>
      <w:r w:rsidRPr="00322152">
        <w:rPr>
          <w:rFonts w:ascii="Arial" w:hAnsi="Arial" w:cs="Arial"/>
          <w:sz w:val="24"/>
          <w:szCs w:val="24"/>
          <w:lang w:val="en-US"/>
        </w:rPr>
        <w:t xml:space="preserve"> </w:t>
      </w:r>
    </w:p>
    <w:p w:rsidR="00E45AA5" w:rsidRPr="00C91B7E" w:rsidRDefault="00E45AA5" w:rsidP="007E45F7">
      <w:pPr>
        <w:spacing w:after="0" w:line="360" w:lineRule="auto"/>
        <w:jc w:val="both"/>
        <w:rPr>
          <w:rFonts w:ascii="Arial" w:hAnsi="Arial" w:cs="Arial"/>
          <w:sz w:val="24"/>
          <w:szCs w:val="24"/>
        </w:rPr>
      </w:pPr>
    </w:p>
    <w:p w:rsidR="005150B4" w:rsidRPr="00C91B7E" w:rsidRDefault="00E45AA5" w:rsidP="007E45F7">
      <w:pPr>
        <w:spacing w:after="0" w:line="360" w:lineRule="auto"/>
        <w:jc w:val="both"/>
        <w:rPr>
          <w:rFonts w:ascii="Arial" w:hAnsi="Arial" w:cs="Arial"/>
          <w:sz w:val="24"/>
          <w:szCs w:val="24"/>
        </w:rPr>
      </w:pPr>
      <w:r w:rsidRPr="00C91B7E">
        <w:rPr>
          <w:rFonts w:ascii="Arial" w:hAnsi="Arial" w:cs="Arial"/>
          <w:sz w:val="24"/>
          <w:szCs w:val="24"/>
        </w:rPr>
        <w:t>[</w:t>
      </w:r>
      <w:r w:rsidR="00312B4A">
        <w:rPr>
          <w:rFonts w:ascii="Arial" w:hAnsi="Arial" w:cs="Arial"/>
          <w:sz w:val="24"/>
          <w:szCs w:val="24"/>
        </w:rPr>
        <w:t>69</w:t>
      </w:r>
      <w:r w:rsidR="00352690" w:rsidRPr="00C91B7E">
        <w:rPr>
          <w:rFonts w:ascii="Arial" w:hAnsi="Arial" w:cs="Arial"/>
          <w:sz w:val="24"/>
          <w:szCs w:val="24"/>
        </w:rPr>
        <w:t>]</w:t>
      </w:r>
      <w:r w:rsidR="00352690" w:rsidRPr="00C91B7E">
        <w:rPr>
          <w:rFonts w:ascii="Arial" w:hAnsi="Arial" w:cs="Arial"/>
          <w:sz w:val="24"/>
          <w:szCs w:val="24"/>
        </w:rPr>
        <w:tab/>
      </w:r>
      <w:r w:rsidRPr="00C91B7E">
        <w:rPr>
          <w:rFonts w:ascii="Arial" w:hAnsi="Arial" w:cs="Arial"/>
          <w:sz w:val="24"/>
          <w:szCs w:val="24"/>
        </w:rPr>
        <w:t>My ord</w:t>
      </w:r>
      <w:r w:rsidR="00DA03E8" w:rsidRPr="00C91B7E">
        <w:rPr>
          <w:rFonts w:ascii="Arial" w:hAnsi="Arial" w:cs="Arial"/>
          <w:sz w:val="24"/>
          <w:szCs w:val="24"/>
        </w:rPr>
        <w:t>er is therefore as follows:</w:t>
      </w:r>
    </w:p>
    <w:p w:rsidR="00DA03E8" w:rsidRPr="00C91B7E" w:rsidRDefault="00DA03E8" w:rsidP="007E45F7">
      <w:pPr>
        <w:spacing w:after="0" w:line="360" w:lineRule="auto"/>
        <w:jc w:val="both"/>
        <w:rPr>
          <w:rFonts w:ascii="Arial" w:hAnsi="Arial" w:cs="Arial"/>
          <w:sz w:val="24"/>
          <w:szCs w:val="24"/>
        </w:rPr>
      </w:pPr>
    </w:p>
    <w:p w:rsidR="003B009D" w:rsidRDefault="003B009D" w:rsidP="003B009D">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The Court hereby declines to vary the order of 21 February 2020.</w:t>
      </w:r>
    </w:p>
    <w:p w:rsidR="003B009D" w:rsidRDefault="003B009D" w:rsidP="003B009D">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 xml:space="preserve">The First Defendant’s condonation is hereby denied and the said application is dismissed. </w:t>
      </w:r>
    </w:p>
    <w:p w:rsidR="003B009D" w:rsidRDefault="003B009D" w:rsidP="003B009D">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 xml:space="preserve">Cost: </w:t>
      </w:r>
    </w:p>
    <w:p w:rsidR="003B009D" w:rsidRDefault="003B009D" w:rsidP="003B009D">
      <w:pPr>
        <w:pStyle w:val="ListParagraph"/>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B0110F">
        <w:rPr>
          <w:rFonts w:ascii="Arial" w:eastAsia="Times New Roman" w:hAnsi="Arial" w:cs="Arial"/>
          <w:sz w:val="24"/>
          <w:szCs w:val="24"/>
          <w:lang w:val="en-GB"/>
        </w:rPr>
        <w:t xml:space="preserve">Each party to bear </w:t>
      </w:r>
      <w:r>
        <w:rPr>
          <w:rFonts w:ascii="Arial" w:eastAsia="Times New Roman" w:hAnsi="Arial" w:cs="Arial"/>
          <w:sz w:val="24"/>
          <w:szCs w:val="24"/>
          <w:lang w:val="en-GB"/>
        </w:rPr>
        <w:t>its own costs for the variation</w:t>
      </w:r>
      <w:r w:rsidRPr="00B0110F">
        <w:rPr>
          <w:rFonts w:ascii="Arial" w:eastAsia="Times New Roman" w:hAnsi="Arial" w:cs="Arial"/>
          <w:sz w:val="24"/>
          <w:szCs w:val="24"/>
          <w:lang w:val="en-GB"/>
        </w:rPr>
        <w:t xml:space="preserve"> </w:t>
      </w:r>
      <w:r>
        <w:rPr>
          <w:rFonts w:ascii="Arial" w:eastAsia="Times New Roman" w:hAnsi="Arial" w:cs="Arial"/>
          <w:sz w:val="24"/>
          <w:szCs w:val="24"/>
          <w:lang w:val="en-GB"/>
        </w:rPr>
        <w:t xml:space="preserve">application. </w:t>
      </w:r>
    </w:p>
    <w:p w:rsidR="003B009D" w:rsidRPr="00DB77C4" w:rsidRDefault="003B009D" w:rsidP="003B009D">
      <w:pPr>
        <w:pStyle w:val="ListParagraph"/>
        <w:spacing w:after="0" w:line="360" w:lineRule="auto"/>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t xml:space="preserve">First Defendant to pay the Plaintiffs’ costs occasioned in the opposition of </w:t>
      </w:r>
      <w:r w:rsidRPr="00DB77C4">
        <w:rPr>
          <w:rFonts w:ascii="Arial" w:hAnsi="Arial" w:cs="Arial"/>
          <w:sz w:val="24"/>
          <w:szCs w:val="24"/>
        </w:rPr>
        <w:tab/>
        <w:t>the condonation application which is limited to Rule 32 (11).</w:t>
      </w:r>
    </w:p>
    <w:p w:rsidR="003B009D" w:rsidRPr="00312B4A" w:rsidRDefault="003B009D" w:rsidP="003B009D">
      <w:pPr>
        <w:pStyle w:val="ListParagraph"/>
        <w:numPr>
          <w:ilvl w:val="0"/>
          <w:numId w:val="25"/>
        </w:numPr>
        <w:spacing w:after="0" w:line="360" w:lineRule="auto"/>
        <w:jc w:val="both"/>
        <w:rPr>
          <w:rFonts w:ascii="Arial" w:eastAsia="Times New Roman" w:hAnsi="Arial" w:cs="Arial"/>
          <w:sz w:val="24"/>
          <w:szCs w:val="24"/>
          <w:lang w:val="en-GB"/>
        </w:rPr>
      </w:pPr>
      <w:r w:rsidRPr="00312B4A">
        <w:rPr>
          <w:rFonts w:ascii="Arial" w:hAnsi="Arial" w:cs="Arial"/>
          <w:sz w:val="24"/>
          <w:szCs w:val="24"/>
        </w:rPr>
        <w:t xml:space="preserve">Matter is postponed to </w:t>
      </w:r>
      <w:r w:rsidRPr="00312B4A">
        <w:rPr>
          <w:rFonts w:ascii="Arial" w:hAnsi="Arial" w:cs="Arial"/>
          <w:b/>
          <w:sz w:val="24"/>
          <w:szCs w:val="24"/>
        </w:rPr>
        <w:t>2 July 2020</w:t>
      </w:r>
      <w:r w:rsidRPr="00312B4A">
        <w:rPr>
          <w:rFonts w:ascii="Arial" w:hAnsi="Arial" w:cs="Arial"/>
          <w:sz w:val="24"/>
          <w:szCs w:val="24"/>
        </w:rPr>
        <w:t xml:space="preserve"> at </w:t>
      </w:r>
      <w:r w:rsidRPr="00312B4A">
        <w:rPr>
          <w:rFonts w:ascii="Arial" w:hAnsi="Arial" w:cs="Arial"/>
          <w:b/>
          <w:sz w:val="24"/>
          <w:szCs w:val="24"/>
        </w:rPr>
        <w:t>15h00</w:t>
      </w:r>
      <w:r w:rsidRPr="00312B4A">
        <w:rPr>
          <w:rFonts w:ascii="Arial" w:hAnsi="Arial" w:cs="Arial"/>
          <w:sz w:val="24"/>
          <w:szCs w:val="24"/>
        </w:rPr>
        <w:t xml:space="preserve"> for Status hearing.</w:t>
      </w:r>
    </w:p>
    <w:p w:rsidR="003B009D" w:rsidRPr="00312B4A" w:rsidRDefault="003B009D" w:rsidP="003B009D">
      <w:pPr>
        <w:pStyle w:val="ListParagraph"/>
        <w:numPr>
          <w:ilvl w:val="0"/>
          <w:numId w:val="25"/>
        </w:numPr>
        <w:spacing w:after="0" w:line="360" w:lineRule="auto"/>
        <w:jc w:val="both"/>
        <w:rPr>
          <w:rFonts w:ascii="Arial" w:eastAsia="Times New Roman" w:hAnsi="Arial" w:cs="Arial"/>
          <w:sz w:val="24"/>
          <w:szCs w:val="24"/>
          <w:lang w:val="en-GB"/>
        </w:rPr>
      </w:pPr>
      <w:r w:rsidRPr="00312B4A">
        <w:rPr>
          <w:rFonts w:ascii="Arial" w:hAnsi="Arial" w:cs="Arial"/>
          <w:sz w:val="24"/>
          <w:szCs w:val="24"/>
        </w:rPr>
        <w:t xml:space="preserve">Joint status report on the further conduct of the matter to be filed on or both 29 May 2020. </w:t>
      </w:r>
    </w:p>
    <w:p w:rsidR="00DA03E8" w:rsidRPr="00C91B7E" w:rsidRDefault="00DA03E8" w:rsidP="007E45F7">
      <w:pPr>
        <w:spacing w:after="0" w:line="360" w:lineRule="auto"/>
        <w:jc w:val="both"/>
        <w:rPr>
          <w:rFonts w:ascii="Arial" w:hAnsi="Arial" w:cs="Arial"/>
          <w:sz w:val="24"/>
          <w:szCs w:val="24"/>
        </w:rPr>
      </w:pPr>
    </w:p>
    <w:p w:rsidR="007426F8" w:rsidRPr="00C91B7E" w:rsidRDefault="007426F8" w:rsidP="007E45F7">
      <w:pPr>
        <w:spacing w:after="0" w:line="360" w:lineRule="auto"/>
        <w:jc w:val="both"/>
        <w:rPr>
          <w:rFonts w:ascii="Arial" w:hAnsi="Arial" w:cs="Arial"/>
          <w:sz w:val="24"/>
          <w:szCs w:val="24"/>
        </w:rPr>
      </w:pPr>
    </w:p>
    <w:p w:rsidR="007426F8" w:rsidRPr="00C91B7E" w:rsidRDefault="007426F8" w:rsidP="007E45F7">
      <w:pPr>
        <w:spacing w:after="0" w:line="360" w:lineRule="auto"/>
        <w:jc w:val="both"/>
        <w:rPr>
          <w:rFonts w:ascii="Arial" w:hAnsi="Arial" w:cs="Arial"/>
          <w:sz w:val="24"/>
          <w:szCs w:val="24"/>
        </w:rPr>
      </w:pPr>
    </w:p>
    <w:p w:rsidR="00505D1F" w:rsidRPr="00C91B7E" w:rsidRDefault="00505D1F" w:rsidP="007E45F7">
      <w:pPr>
        <w:spacing w:after="0" w:line="360" w:lineRule="auto"/>
        <w:jc w:val="both"/>
        <w:rPr>
          <w:rFonts w:ascii="Arial" w:hAnsi="Arial" w:cs="Arial"/>
          <w:sz w:val="24"/>
          <w:szCs w:val="24"/>
        </w:rPr>
      </w:pPr>
    </w:p>
    <w:p w:rsidR="00505D1F" w:rsidRPr="00C91B7E" w:rsidRDefault="00AF4271" w:rsidP="007E45F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05D1F" w:rsidRPr="00C91B7E">
        <w:rPr>
          <w:rFonts w:ascii="Arial" w:hAnsi="Arial" w:cs="Arial"/>
          <w:sz w:val="24"/>
          <w:szCs w:val="24"/>
        </w:rPr>
        <w:t>_____________</w:t>
      </w:r>
      <w:r w:rsidR="00301788" w:rsidRPr="00C91B7E">
        <w:rPr>
          <w:rFonts w:ascii="Arial" w:hAnsi="Arial" w:cs="Arial"/>
          <w:sz w:val="24"/>
          <w:szCs w:val="24"/>
        </w:rPr>
        <w:t>______</w:t>
      </w:r>
    </w:p>
    <w:p w:rsidR="00505D1F" w:rsidRPr="00C91B7E" w:rsidRDefault="00AF4271" w:rsidP="007E45F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05D1F" w:rsidRPr="00C91B7E">
        <w:rPr>
          <w:rFonts w:ascii="Arial" w:hAnsi="Arial" w:cs="Arial"/>
          <w:sz w:val="24"/>
          <w:szCs w:val="24"/>
        </w:rPr>
        <w:t>JS PRINSLOO</w:t>
      </w:r>
    </w:p>
    <w:p w:rsidR="00CB596C" w:rsidRPr="00E45AA5" w:rsidRDefault="00CB596C" w:rsidP="007E45F7">
      <w:pPr>
        <w:spacing w:after="0" w:line="360" w:lineRule="auto"/>
        <w:jc w:val="both"/>
        <w:rPr>
          <w:rFonts w:ascii="Arial" w:hAnsi="Arial" w:cs="Arial"/>
          <w:sz w:val="24"/>
          <w:szCs w:val="24"/>
        </w:rPr>
      </w:pP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r>
      <w:r w:rsidRPr="00E45AA5">
        <w:rPr>
          <w:rFonts w:ascii="Arial" w:hAnsi="Arial" w:cs="Arial"/>
          <w:sz w:val="24"/>
          <w:szCs w:val="24"/>
        </w:rPr>
        <w:tab/>
        <w:t xml:space="preserve">         </w:t>
      </w:r>
      <w:r w:rsidR="00AF4271">
        <w:rPr>
          <w:rFonts w:ascii="Arial" w:hAnsi="Arial" w:cs="Arial"/>
          <w:sz w:val="24"/>
          <w:szCs w:val="24"/>
        </w:rPr>
        <w:t xml:space="preserve">             </w:t>
      </w:r>
      <w:r w:rsidRPr="00E45AA5">
        <w:rPr>
          <w:rFonts w:ascii="Arial" w:hAnsi="Arial" w:cs="Arial"/>
          <w:sz w:val="24"/>
          <w:szCs w:val="24"/>
        </w:rPr>
        <w:t>Judge</w:t>
      </w:r>
    </w:p>
    <w:p w:rsidR="00C53099" w:rsidRPr="00E45AA5" w:rsidRDefault="00CB596C" w:rsidP="007E45F7">
      <w:pPr>
        <w:spacing w:after="0" w:line="360" w:lineRule="auto"/>
        <w:jc w:val="both"/>
        <w:rPr>
          <w:rFonts w:ascii="Arial" w:hAnsi="Arial" w:cs="Arial"/>
          <w:sz w:val="24"/>
          <w:szCs w:val="24"/>
        </w:rPr>
      </w:pPr>
      <w:r w:rsidRPr="00E45AA5">
        <w:rPr>
          <w:rFonts w:ascii="Arial" w:hAnsi="Arial" w:cs="Arial"/>
          <w:sz w:val="24"/>
          <w:szCs w:val="24"/>
        </w:rPr>
        <w:tab/>
      </w:r>
    </w:p>
    <w:p w:rsidR="00F82E27" w:rsidRDefault="00F82E27" w:rsidP="007E45F7">
      <w:pPr>
        <w:spacing w:after="0" w:line="360" w:lineRule="auto"/>
        <w:jc w:val="both"/>
        <w:rPr>
          <w:rFonts w:ascii="Arial" w:hAnsi="Arial" w:cs="Arial"/>
          <w:sz w:val="24"/>
          <w:szCs w:val="24"/>
        </w:rPr>
      </w:pPr>
    </w:p>
    <w:p w:rsidR="00813E2E" w:rsidRDefault="00813E2E" w:rsidP="007E45F7">
      <w:pPr>
        <w:spacing w:after="0" w:line="360" w:lineRule="auto"/>
        <w:jc w:val="both"/>
        <w:rPr>
          <w:rFonts w:ascii="Arial" w:hAnsi="Arial" w:cs="Arial"/>
          <w:sz w:val="24"/>
          <w:szCs w:val="24"/>
        </w:rPr>
      </w:pPr>
    </w:p>
    <w:p w:rsidR="00813E2E" w:rsidRDefault="00813E2E" w:rsidP="007E45F7">
      <w:pPr>
        <w:spacing w:after="0" w:line="360" w:lineRule="auto"/>
        <w:jc w:val="both"/>
        <w:rPr>
          <w:rFonts w:ascii="Arial" w:hAnsi="Arial" w:cs="Arial"/>
          <w:sz w:val="24"/>
          <w:szCs w:val="24"/>
        </w:rPr>
      </w:pPr>
    </w:p>
    <w:p w:rsidR="00813E2E" w:rsidRDefault="00813E2E" w:rsidP="007E45F7">
      <w:pPr>
        <w:spacing w:after="0" w:line="360" w:lineRule="auto"/>
        <w:jc w:val="both"/>
        <w:rPr>
          <w:rFonts w:ascii="Arial" w:hAnsi="Arial" w:cs="Arial"/>
          <w:sz w:val="24"/>
          <w:szCs w:val="24"/>
        </w:rPr>
      </w:pPr>
    </w:p>
    <w:p w:rsidR="00813E2E" w:rsidRDefault="00813E2E" w:rsidP="007E45F7">
      <w:pPr>
        <w:spacing w:after="0" w:line="360" w:lineRule="auto"/>
        <w:jc w:val="both"/>
        <w:rPr>
          <w:rFonts w:ascii="Arial" w:hAnsi="Arial" w:cs="Arial"/>
          <w:sz w:val="24"/>
          <w:szCs w:val="24"/>
        </w:rPr>
      </w:pPr>
    </w:p>
    <w:p w:rsidR="00813E2E" w:rsidRDefault="00813E2E" w:rsidP="007E45F7">
      <w:pPr>
        <w:spacing w:after="0" w:line="360" w:lineRule="auto"/>
        <w:jc w:val="both"/>
        <w:rPr>
          <w:rFonts w:ascii="Arial" w:hAnsi="Arial" w:cs="Arial"/>
          <w:sz w:val="24"/>
          <w:szCs w:val="24"/>
        </w:rPr>
      </w:pPr>
    </w:p>
    <w:p w:rsidR="00813E2E" w:rsidRDefault="00813E2E" w:rsidP="007E45F7">
      <w:pPr>
        <w:spacing w:after="0" w:line="360" w:lineRule="auto"/>
        <w:jc w:val="both"/>
        <w:rPr>
          <w:rFonts w:ascii="Arial" w:hAnsi="Arial" w:cs="Arial"/>
          <w:sz w:val="24"/>
          <w:szCs w:val="24"/>
        </w:rPr>
      </w:pPr>
    </w:p>
    <w:p w:rsidR="00813E2E" w:rsidRDefault="00813E2E" w:rsidP="007E45F7">
      <w:pPr>
        <w:spacing w:after="0" w:line="360" w:lineRule="auto"/>
        <w:jc w:val="both"/>
        <w:rPr>
          <w:rFonts w:ascii="Arial" w:hAnsi="Arial" w:cs="Arial"/>
          <w:sz w:val="24"/>
          <w:szCs w:val="24"/>
        </w:rPr>
      </w:pPr>
    </w:p>
    <w:p w:rsidR="00813E2E" w:rsidRDefault="00813E2E" w:rsidP="007E45F7">
      <w:pPr>
        <w:spacing w:after="0" w:line="360" w:lineRule="auto"/>
        <w:jc w:val="both"/>
        <w:rPr>
          <w:rFonts w:ascii="Arial" w:hAnsi="Arial" w:cs="Arial"/>
          <w:sz w:val="24"/>
          <w:szCs w:val="24"/>
        </w:rPr>
      </w:pPr>
    </w:p>
    <w:p w:rsidR="00813E2E" w:rsidRPr="00E45AA5" w:rsidRDefault="00813E2E" w:rsidP="007E45F7">
      <w:pPr>
        <w:spacing w:after="0" w:line="360" w:lineRule="auto"/>
        <w:jc w:val="both"/>
        <w:rPr>
          <w:rFonts w:ascii="Arial" w:hAnsi="Arial" w:cs="Arial"/>
          <w:sz w:val="24"/>
          <w:szCs w:val="24"/>
        </w:rPr>
      </w:pPr>
    </w:p>
    <w:p w:rsidR="00680515" w:rsidRDefault="00680515" w:rsidP="007E45F7">
      <w:pPr>
        <w:spacing w:after="0" w:line="360" w:lineRule="auto"/>
        <w:jc w:val="both"/>
        <w:rPr>
          <w:rFonts w:ascii="Arial" w:hAnsi="Arial" w:cs="Arial"/>
          <w:sz w:val="24"/>
          <w:szCs w:val="24"/>
        </w:rPr>
      </w:pPr>
    </w:p>
    <w:p w:rsidR="00D10D53" w:rsidRDefault="00D10D53" w:rsidP="007E45F7">
      <w:pPr>
        <w:spacing w:after="0" w:line="360" w:lineRule="auto"/>
        <w:jc w:val="both"/>
        <w:rPr>
          <w:rFonts w:ascii="Arial" w:hAnsi="Arial" w:cs="Arial"/>
          <w:sz w:val="24"/>
          <w:szCs w:val="24"/>
        </w:rPr>
      </w:pPr>
    </w:p>
    <w:p w:rsidR="00D10D53" w:rsidRDefault="00D10D53" w:rsidP="007E45F7">
      <w:pPr>
        <w:spacing w:after="0" w:line="360" w:lineRule="auto"/>
        <w:jc w:val="both"/>
        <w:rPr>
          <w:rFonts w:ascii="Arial" w:hAnsi="Arial" w:cs="Arial"/>
          <w:sz w:val="24"/>
          <w:szCs w:val="24"/>
        </w:rPr>
      </w:pPr>
    </w:p>
    <w:p w:rsidR="00D10D53" w:rsidRDefault="00D10D53" w:rsidP="007E45F7">
      <w:pPr>
        <w:spacing w:after="0" w:line="360" w:lineRule="auto"/>
        <w:jc w:val="both"/>
        <w:rPr>
          <w:rFonts w:ascii="Arial" w:hAnsi="Arial" w:cs="Arial"/>
          <w:sz w:val="24"/>
          <w:szCs w:val="24"/>
        </w:rPr>
      </w:pPr>
    </w:p>
    <w:p w:rsidR="00D10D53" w:rsidRDefault="00D10D53" w:rsidP="007E45F7">
      <w:pPr>
        <w:spacing w:after="0" w:line="360" w:lineRule="auto"/>
        <w:jc w:val="both"/>
        <w:rPr>
          <w:rFonts w:ascii="Arial" w:hAnsi="Arial" w:cs="Arial"/>
          <w:sz w:val="24"/>
          <w:szCs w:val="24"/>
        </w:rPr>
      </w:pPr>
    </w:p>
    <w:p w:rsidR="00D10D53" w:rsidRDefault="00D10D53" w:rsidP="007E45F7">
      <w:pPr>
        <w:spacing w:after="0" w:line="360" w:lineRule="auto"/>
        <w:jc w:val="both"/>
        <w:rPr>
          <w:rFonts w:ascii="Arial" w:hAnsi="Arial" w:cs="Arial"/>
          <w:sz w:val="24"/>
          <w:szCs w:val="24"/>
        </w:rPr>
      </w:pPr>
    </w:p>
    <w:p w:rsidR="00D10D53" w:rsidRDefault="00D10D53" w:rsidP="007E45F7">
      <w:pPr>
        <w:spacing w:after="0" w:line="360" w:lineRule="auto"/>
        <w:jc w:val="both"/>
        <w:rPr>
          <w:rFonts w:ascii="Arial" w:hAnsi="Arial" w:cs="Arial"/>
          <w:sz w:val="24"/>
          <w:szCs w:val="24"/>
        </w:rPr>
      </w:pPr>
    </w:p>
    <w:p w:rsidR="00D10D53" w:rsidRDefault="00D10D53" w:rsidP="007E45F7">
      <w:pPr>
        <w:spacing w:after="0" w:line="360" w:lineRule="auto"/>
        <w:jc w:val="both"/>
        <w:rPr>
          <w:rFonts w:ascii="Arial" w:hAnsi="Arial" w:cs="Arial"/>
          <w:sz w:val="24"/>
          <w:szCs w:val="24"/>
        </w:rPr>
      </w:pPr>
    </w:p>
    <w:p w:rsidR="00505D1F" w:rsidRPr="00E45AA5" w:rsidRDefault="00505D1F" w:rsidP="007E45F7">
      <w:pPr>
        <w:spacing w:after="0" w:line="360" w:lineRule="auto"/>
        <w:jc w:val="both"/>
        <w:rPr>
          <w:rFonts w:ascii="Arial" w:hAnsi="Arial" w:cs="Arial"/>
          <w:sz w:val="24"/>
          <w:szCs w:val="24"/>
        </w:rPr>
      </w:pPr>
      <w:r w:rsidRPr="00E45AA5">
        <w:rPr>
          <w:rFonts w:ascii="Arial" w:hAnsi="Arial" w:cs="Arial"/>
          <w:sz w:val="24"/>
          <w:szCs w:val="24"/>
        </w:rPr>
        <w:lastRenderedPageBreak/>
        <w:t>APPEARANCES:</w:t>
      </w:r>
    </w:p>
    <w:p w:rsidR="00505D1F" w:rsidRPr="00E45AA5" w:rsidRDefault="00505D1F" w:rsidP="007E45F7">
      <w:pPr>
        <w:spacing w:after="0" w:line="360" w:lineRule="auto"/>
        <w:jc w:val="both"/>
        <w:rPr>
          <w:rFonts w:ascii="Arial" w:hAnsi="Arial" w:cs="Arial"/>
          <w:sz w:val="24"/>
          <w:szCs w:val="24"/>
        </w:rPr>
      </w:pPr>
    </w:p>
    <w:p w:rsidR="00352690" w:rsidRPr="00352690" w:rsidRDefault="00352690" w:rsidP="007E45F7">
      <w:pPr>
        <w:spacing w:after="0" w:line="360" w:lineRule="auto"/>
        <w:ind w:left="5040" w:hanging="5040"/>
        <w:jc w:val="both"/>
        <w:rPr>
          <w:rFonts w:ascii="Arial" w:hAnsi="Arial" w:cs="Arial"/>
          <w:sz w:val="24"/>
          <w:szCs w:val="24"/>
          <w:lang w:val="en-US"/>
        </w:rPr>
      </w:pPr>
      <w:r>
        <w:rPr>
          <w:rFonts w:ascii="Arial" w:hAnsi="Arial" w:cs="Arial"/>
          <w:sz w:val="24"/>
          <w:szCs w:val="24"/>
        </w:rPr>
        <w:t>APPLICANT</w:t>
      </w:r>
      <w:r w:rsidR="001C3E49">
        <w:rPr>
          <w:rFonts w:ascii="Arial" w:hAnsi="Arial" w:cs="Arial"/>
          <w:sz w:val="24"/>
          <w:szCs w:val="24"/>
        </w:rPr>
        <w:t>/RESPONDENT</w:t>
      </w:r>
      <w:r w:rsidR="00DA03E8">
        <w:rPr>
          <w:rFonts w:ascii="Arial" w:hAnsi="Arial" w:cs="Arial"/>
          <w:sz w:val="24"/>
          <w:szCs w:val="24"/>
        </w:rPr>
        <w:t>:</w:t>
      </w:r>
      <w:r w:rsidR="00DA03E8">
        <w:rPr>
          <w:rFonts w:ascii="Arial" w:hAnsi="Arial" w:cs="Arial"/>
          <w:sz w:val="24"/>
          <w:szCs w:val="24"/>
        </w:rPr>
        <w:tab/>
      </w:r>
      <w:r w:rsidR="001C3E49">
        <w:rPr>
          <w:rFonts w:ascii="Arial" w:hAnsi="Arial" w:cs="Arial"/>
          <w:sz w:val="24"/>
          <w:szCs w:val="24"/>
          <w:lang w:val="en-US"/>
        </w:rPr>
        <w:t>Mr U Rukambe</w:t>
      </w:r>
    </w:p>
    <w:p w:rsidR="007426F8" w:rsidRDefault="00352690" w:rsidP="007E45F7">
      <w:pPr>
        <w:spacing w:after="0" w:line="360" w:lineRule="auto"/>
        <w:ind w:left="5040" w:hanging="5040"/>
        <w:jc w:val="both"/>
        <w:rPr>
          <w:rFonts w:ascii="Arial" w:hAnsi="Arial" w:cs="Arial"/>
          <w:sz w:val="24"/>
          <w:szCs w:val="24"/>
          <w:lang w:val="en-US"/>
        </w:rPr>
      </w:pPr>
      <w:r>
        <w:rPr>
          <w:rFonts w:ascii="Arial" w:hAnsi="Arial" w:cs="Arial"/>
          <w:sz w:val="24"/>
          <w:szCs w:val="24"/>
          <w:lang w:val="en-US"/>
        </w:rPr>
        <w:tab/>
      </w:r>
      <w:r w:rsidRPr="00352690">
        <w:rPr>
          <w:rFonts w:ascii="Arial" w:hAnsi="Arial" w:cs="Arial"/>
          <w:sz w:val="24"/>
          <w:szCs w:val="24"/>
          <w:lang w:val="en-US"/>
        </w:rPr>
        <w:t>Of Sisa Namandje &amp; Co. Inc.</w:t>
      </w:r>
    </w:p>
    <w:p w:rsidR="0058747D" w:rsidRPr="00E45AA5" w:rsidRDefault="0058747D" w:rsidP="007E45F7">
      <w:pPr>
        <w:spacing w:after="0" w:line="360" w:lineRule="auto"/>
        <w:ind w:left="5040" w:hanging="5040"/>
        <w:jc w:val="both"/>
        <w:rPr>
          <w:rFonts w:ascii="Arial" w:hAnsi="Arial" w:cs="Arial"/>
          <w:sz w:val="24"/>
          <w:szCs w:val="24"/>
        </w:rPr>
      </w:pPr>
      <w:r>
        <w:rPr>
          <w:rFonts w:ascii="Arial" w:hAnsi="Arial" w:cs="Arial"/>
          <w:sz w:val="24"/>
          <w:szCs w:val="24"/>
          <w:lang w:val="en-US"/>
        </w:rPr>
        <w:tab/>
        <w:t>Windhoek</w:t>
      </w:r>
    </w:p>
    <w:p w:rsidR="00505D1F" w:rsidRPr="00E45AA5" w:rsidRDefault="00505D1F" w:rsidP="007E45F7">
      <w:pPr>
        <w:spacing w:after="0" w:line="360" w:lineRule="auto"/>
        <w:jc w:val="both"/>
        <w:rPr>
          <w:rFonts w:ascii="Arial" w:hAnsi="Arial" w:cs="Arial"/>
          <w:sz w:val="24"/>
          <w:szCs w:val="24"/>
        </w:rPr>
      </w:pPr>
    </w:p>
    <w:p w:rsidR="00352690" w:rsidRPr="00352690" w:rsidRDefault="00352690" w:rsidP="007E45F7">
      <w:pPr>
        <w:spacing w:after="0" w:line="360" w:lineRule="auto"/>
        <w:ind w:left="5040" w:hanging="5040"/>
        <w:jc w:val="both"/>
        <w:rPr>
          <w:rFonts w:ascii="Arial" w:hAnsi="Arial" w:cs="Arial"/>
          <w:bCs/>
          <w:color w:val="000000"/>
          <w:sz w:val="24"/>
          <w:szCs w:val="24"/>
          <w:shd w:val="clear" w:color="auto" w:fill="FFFFFF"/>
          <w:lang w:val="en-US"/>
        </w:rPr>
      </w:pPr>
      <w:r>
        <w:rPr>
          <w:rFonts w:ascii="Arial" w:hAnsi="Arial" w:cs="Arial"/>
          <w:sz w:val="24"/>
          <w:szCs w:val="24"/>
        </w:rPr>
        <w:t>RESPONDENT</w:t>
      </w:r>
      <w:r w:rsidR="001C3E49">
        <w:rPr>
          <w:rFonts w:ascii="Arial" w:hAnsi="Arial" w:cs="Arial"/>
          <w:sz w:val="24"/>
          <w:szCs w:val="24"/>
        </w:rPr>
        <w:t>/APPLICANT</w:t>
      </w:r>
      <w:r w:rsidR="00DA03E8">
        <w:rPr>
          <w:rFonts w:ascii="Arial" w:hAnsi="Arial" w:cs="Arial"/>
          <w:sz w:val="24"/>
          <w:szCs w:val="24"/>
        </w:rPr>
        <w:t>:</w:t>
      </w:r>
      <w:r w:rsidR="00DA03E8">
        <w:rPr>
          <w:rFonts w:ascii="Arial" w:hAnsi="Arial" w:cs="Arial"/>
          <w:sz w:val="24"/>
          <w:szCs w:val="24"/>
        </w:rPr>
        <w:tab/>
      </w:r>
      <w:r w:rsidR="001C3E49">
        <w:rPr>
          <w:rFonts w:ascii="Arial" w:hAnsi="Arial" w:cs="Arial"/>
          <w:bCs/>
          <w:color w:val="000000"/>
          <w:sz w:val="24"/>
          <w:szCs w:val="24"/>
          <w:shd w:val="clear" w:color="auto" w:fill="FFFFFF"/>
          <w:lang w:val="en-US"/>
        </w:rPr>
        <w:t>Ms S Nyashanu</w:t>
      </w:r>
      <w:r w:rsidRPr="00352690">
        <w:rPr>
          <w:rFonts w:ascii="Arial" w:hAnsi="Arial" w:cs="Arial"/>
          <w:bCs/>
          <w:color w:val="000000"/>
          <w:sz w:val="24"/>
          <w:szCs w:val="24"/>
          <w:shd w:val="clear" w:color="auto" w:fill="FFFFFF"/>
          <w:lang w:val="en-US"/>
        </w:rPr>
        <w:t xml:space="preserve"> </w:t>
      </w:r>
    </w:p>
    <w:p w:rsidR="00505D1F" w:rsidRDefault="00352690" w:rsidP="007E45F7">
      <w:pPr>
        <w:spacing w:after="0" w:line="360" w:lineRule="auto"/>
        <w:ind w:left="5040" w:hanging="5040"/>
        <w:jc w:val="both"/>
        <w:rPr>
          <w:rFonts w:ascii="Arial" w:hAnsi="Arial" w:cs="Arial"/>
          <w:bCs/>
          <w:color w:val="000000"/>
          <w:sz w:val="24"/>
          <w:szCs w:val="24"/>
          <w:shd w:val="clear" w:color="auto" w:fill="FFFFFF"/>
          <w:lang w:val="en-US"/>
        </w:rPr>
      </w:pPr>
      <w:r>
        <w:rPr>
          <w:rFonts w:ascii="Arial" w:hAnsi="Arial" w:cs="Arial"/>
          <w:bCs/>
          <w:color w:val="000000"/>
          <w:sz w:val="24"/>
          <w:szCs w:val="24"/>
          <w:shd w:val="clear" w:color="auto" w:fill="FFFFFF"/>
          <w:lang w:val="en-US"/>
        </w:rPr>
        <w:tab/>
      </w:r>
      <w:r w:rsidRPr="00352690">
        <w:rPr>
          <w:rFonts w:ascii="Arial" w:hAnsi="Arial" w:cs="Arial"/>
          <w:bCs/>
          <w:color w:val="000000"/>
          <w:sz w:val="24"/>
          <w:szCs w:val="24"/>
          <w:shd w:val="clear" w:color="auto" w:fill="FFFFFF"/>
          <w:lang w:val="en-US"/>
        </w:rPr>
        <w:t>Of Shikongo Law chambers</w:t>
      </w:r>
    </w:p>
    <w:p w:rsidR="0058747D" w:rsidRPr="00E45AA5" w:rsidRDefault="0058747D" w:rsidP="007E45F7">
      <w:pPr>
        <w:spacing w:after="0" w:line="360" w:lineRule="auto"/>
        <w:ind w:left="5040" w:hanging="5040"/>
        <w:jc w:val="both"/>
        <w:rPr>
          <w:rFonts w:ascii="Arial" w:hAnsi="Arial" w:cs="Arial"/>
          <w:sz w:val="24"/>
          <w:szCs w:val="24"/>
        </w:rPr>
      </w:pPr>
      <w:r>
        <w:rPr>
          <w:rFonts w:ascii="Arial" w:hAnsi="Arial" w:cs="Arial"/>
          <w:bCs/>
          <w:color w:val="000000"/>
          <w:sz w:val="24"/>
          <w:szCs w:val="24"/>
          <w:shd w:val="clear" w:color="auto" w:fill="FFFFFF"/>
          <w:lang w:val="en-US"/>
        </w:rPr>
        <w:tab/>
      </w:r>
      <w:r w:rsidRPr="0058747D">
        <w:rPr>
          <w:rFonts w:ascii="Arial" w:hAnsi="Arial" w:cs="Arial"/>
          <w:bCs/>
          <w:color w:val="000000"/>
          <w:sz w:val="24"/>
          <w:szCs w:val="24"/>
          <w:shd w:val="clear" w:color="auto" w:fill="FFFFFF"/>
          <w:lang w:val="en-US"/>
        </w:rPr>
        <w:t>Windhoek</w:t>
      </w:r>
    </w:p>
    <w:p w:rsidR="00505D1F" w:rsidRPr="00E45AA5" w:rsidRDefault="00505D1F" w:rsidP="007E45F7">
      <w:pPr>
        <w:spacing w:after="0" w:line="360" w:lineRule="auto"/>
        <w:jc w:val="both"/>
        <w:rPr>
          <w:rFonts w:ascii="Arial" w:hAnsi="Arial" w:cs="Arial"/>
          <w:sz w:val="24"/>
          <w:szCs w:val="24"/>
        </w:rPr>
      </w:pPr>
    </w:p>
    <w:p w:rsidR="00505D1F" w:rsidRPr="00E45AA5" w:rsidRDefault="00505D1F" w:rsidP="007E45F7">
      <w:pPr>
        <w:spacing w:after="0" w:line="360" w:lineRule="auto"/>
        <w:jc w:val="both"/>
        <w:rPr>
          <w:rFonts w:ascii="Arial" w:hAnsi="Arial" w:cs="Arial"/>
          <w:sz w:val="24"/>
          <w:szCs w:val="24"/>
        </w:rPr>
      </w:pPr>
      <w:r w:rsidRPr="00E45AA5">
        <w:rPr>
          <w:rFonts w:ascii="Arial" w:hAnsi="Arial" w:cs="Arial"/>
          <w:sz w:val="24"/>
          <w:szCs w:val="24"/>
        </w:rPr>
        <w:t xml:space="preserve">                                                                         </w:t>
      </w:r>
    </w:p>
    <w:p w:rsidR="00461EA4" w:rsidRPr="00E45AA5" w:rsidRDefault="00461EA4" w:rsidP="007E45F7">
      <w:pPr>
        <w:spacing w:after="0" w:line="360" w:lineRule="auto"/>
        <w:jc w:val="both"/>
        <w:rPr>
          <w:rFonts w:ascii="Arial" w:hAnsi="Arial" w:cs="Arial"/>
        </w:rPr>
      </w:pPr>
    </w:p>
    <w:sectPr w:rsidR="00461EA4" w:rsidRPr="00E45AA5" w:rsidSect="00F82E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B0" w:rsidRDefault="00135AB0" w:rsidP="00505D1F">
      <w:pPr>
        <w:spacing w:after="0" w:line="240" w:lineRule="auto"/>
      </w:pPr>
      <w:r>
        <w:separator/>
      </w:r>
    </w:p>
  </w:endnote>
  <w:endnote w:type="continuationSeparator" w:id="0">
    <w:p w:rsidR="00135AB0" w:rsidRDefault="00135AB0" w:rsidP="0050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B0" w:rsidRDefault="00135AB0" w:rsidP="00505D1F">
      <w:pPr>
        <w:spacing w:after="0" w:line="240" w:lineRule="auto"/>
      </w:pPr>
      <w:r>
        <w:separator/>
      </w:r>
    </w:p>
  </w:footnote>
  <w:footnote w:type="continuationSeparator" w:id="0">
    <w:p w:rsidR="00135AB0" w:rsidRDefault="00135AB0" w:rsidP="00505D1F">
      <w:pPr>
        <w:spacing w:after="0" w:line="240" w:lineRule="auto"/>
      </w:pPr>
      <w:r>
        <w:continuationSeparator/>
      </w:r>
    </w:p>
  </w:footnote>
  <w:footnote w:id="1">
    <w:p w:rsidR="00816A85" w:rsidRPr="00604F35" w:rsidRDefault="00816A85" w:rsidP="009E6F6E">
      <w:pPr>
        <w:pStyle w:val="FootnoteText"/>
        <w:jc w:val="both"/>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Pr="00604F35">
        <w:rPr>
          <w:rFonts w:ascii="Arial" w:hAnsi="Arial" w:cs="Arial"/>
          <w:i/>
        </w:rPr>
        <w:t>Esterhuizen v Karslruh Number One Farming Close Corporation</w:t>
      </w:r>
      <w:r w:rsidRPr="00604F35">
        <w:rPr>
          <w:rFonts w:ascii="Arial" w:hAnsi="Arial" w:cs="Arial"/>
        </w:rPr>
        <w:t xml:space="preserve"> (HC-MD-CIV-ACT-DEL-2016-02394) [2020] NAHCMD 64 (21 February 2020).</w:t>
      </w:r>
    </w:p>
  </w:footnote>
  <w:footnote w:id="2">
    <w:p w:rsidR="00816A85" w:rsidRPr="0049585E" w:rsidRDefault="00816A85" w:rsidP="009E6F6E">
      <w:pPr>
        <w:pStyle w:val="FootnoteText"/>
        <w:jc w:val="both"/>
        <w:rPr>
          <w:rFonts w:ascii="Arial" w:hAnsi="Arial" w:cs="Arial"/>
          <w:lang w:val="en-US"/>
        </w:rPr>
      </w:pPr>
      <w:r w:rsidRPr="0049585E">
        <w:rPr>
          <w:rStyle w:val="FootnoteReference"/>
          <w:rFonts w:ascii="Arial" w:hAnsi="Arial" w:cs="Arial"/>
        </w:rPr>
        <w:footnoteRef/>
      </w:r>
      <w:r w:rsidRPr="0049585E">
        <w:rPr>
          <w:rFonts w:ascii="Arial" w:hAnsi="Arial" w:cs="Arial"/>
        </w:rPr>
        <w:t xml:space="preserve"> </w:t>
      </w:r>
      <w:r w:rsidRPr="0049585E">
        <w:rPr>
          <w:rFonts w:ascii="Arial" w:hAnsi="Arial" w:cs="Arial"/>
          <w:i/>
          <w:lang w:val="en-US"/>
        </w:rPr>
        <w:t>Supra</w:t>
      </w:r>
      <w:r w:rsidRPr="0049585E">
        <w:rPr>
          <w:rFonts w:ascii="Arial" w:hAnsi="Arial" w:cs="Arial"/>
          <w:lang w:val="en-US"/>
        </w:rPr>
        <w:t xml:space="preserve">, para 34 of the judgment. </w:t>
      </w:r>
    </w:p>
  </w:footnote>
  <w:footnote w:id="3">
    <w:p w:rsidR="00816A85" w:rsidRPr="0049585E" w:rsidRDefault="00816A85" w:rsidP="009E6F6E">
      <w:pPr>
        <w:pStyle w:val="FootnoteText"/>
        <w:jc w:val="both"/>
        <w:rPr>
          <w:rFonts w:ascii="Arial" w:hAnsi="Arial" w:cs="Arial"/>
          <w:lang w:val="en-US"/>
        </w:rPr>
      </w:pPr>
      <w:r w:rsidRPr="0049585E">
        <w:rPr>
          <w:rStyle w:val="FootnoteReference"/>
          <w:rFonts w:ascii="Arial" w:hAnsi="Arial" w:cs="Arial"/>
        </w:rPr>
        <w:footnoteRef/>
      </w:r>
      <w:r w:rsidRPr="0049585E">
        <w:rPr>
          <w:rFonts w:ascii="Arial" w:hAnsi="Arial" w:cs="Arial"/>
        </w:rPr>
        <w:t xml:space="preserve"> </w:t>
      </w:r>
      <w:r w:rsidRPr="0049585E">
        <w:rPr>
          <w:rFonts w:ascii="Arial" w:hAnsi="Arial" w:cs="Arial"/>
          <w:lang w:val="en-US"/>
        </w:rPr>
        <w:t xml:space="preserve">Claim 1 related to </w:t>
      </w:r>
      <w:r w:rsidR="00711CE5" w:rsidRPr="0049585E">
        <w:rPr>
          <w:rFonts w:ascii="Arial" w:hAnsi="Arial" w:cs="Arial"/>
          <w:lang w:val="en-US"/>
        </w:rPr>
        <w:t>accrued rental in respect of Farm Vaal Gras</w:t>
      </w:r>
      <w:r w:rsidR="0058747D">
        <w:rPr>
          <w:rFonts w:ascii="Arial" w:hAnsi="Arial" w:cs="Arial"/>
          <w:lang w:val="en-US"/>
        </w:rPr>
        <w:t>.</w:t>
      </w:r>
    </w:p>
  </w:footnote>
  <w:footnote w:id="4">
    <w:p w:rsidR="00816A85" w:rsidRPr="00604F35" w:rsidRDefault="00816A85" w:rsidP="009E6F6E">
      <w:pPr>
        <w:pStyle w:val="FootnoteText"/>
        <w:jc w:val="both"/>
        <w:rPr>
          <w:rFonts w:ascii="Arial" w:hAnsi="Arial" w:cs="Arial"/>
          <w:lang w:val="en-US"/>
        </w:rPr>
      </w:pPr>
      <w:r w:rsidRPr="0049585E">
        <w:rPr>
          <w:rStyle w:val="FootnoteReference"/>
          <w:rFonts w:ascii="Arial" w:hAnsi="Arial" w:cs="Arial"/>
        </w:rPr>
        <w:footnoteRef/>
      </w:r>
      <w:r w:rsidRPr="0049585E">
        <w:rPr>
          <w:rFonts w:ascii="Arial" w:hAnsi="Arial" w:cs="Arial"/>
        </w:rPr>
        <w:t xml:space="preserve"> </w:t>
      </w:r>
      <w:r w:rsidR="00711CE5" w:rsidRPr="0049585E">
        <w:rPr>
          <w:rFonts w:ascii="Arial" w:hAnsi="Arial" w:cs="Arial"/>
          <w:lang w:val="en-US"/>
        </w:rPr>
        <w:t>Claim 2 related to damages in respect of a</w:t>
      </w:r>
      <w:r w:rsidR="001D5C14" w:rsidRPr="0049585E">
        <w:rPr>
          <w:rFonts w:ascii="Arial" w:hAnsi="Arial" w:cs="Arial"/>
          <w:lang w:val="en-US"/>
        </w:rPr>
        <w:t>n</w:t>
      </w:r>
      <w:r w:rsidR="00711CE5" w:rsidRPr="0049585E">
        <w:rPr>
          <w:rFonts w:ascii="Arial" w:hAnsi="Arial" w:cs="Arial"/>
          <w:lang w:val="en-US"/>
        </w:rPr>
        <w:t xml:space="preserve"> olive project on Farm Vaal Gras</w:t>
      </w:r>
      <w:r w:rsidR="0058747D">
        <w:rPr>
          <w:rFonts w:ascii="Arial" w:hAnsi="Arial" w:cs="Arial"/>
          <w:lang w:val="en-US"/>
        </w:rPr>
        <w:t>.</w:t>
      </w:r>
    </w:p>
  </w:footnote>
  <w:footnote w:id="5">
    <w:p w:rsidR="00816A85" w:rsidRPr="00604F35" w:rsidRDefault="00816A85" w:rsidP="009E6F6E">
      <w:pPr>
        <w:pStyle w:val="FootnoteText"/>
        <w:jc w:val="both"/>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Pr="00604F35">
        <w:rPr>
          <w:rFonts w:ascii="Arial" w:hAnsi="Arial" w:cs="Arial"/>
          <w:lang w:val="en-US"/>
        </w:rPr>
        <w:t xml:space="preserve">The Court would however like to point out that the affidavit regarding the lost items was never used in support of the default judgment granted by Court on 27 September 2016 as the Plaintiffs relied on the affidavit of John Cochran Cuff for claim 1 and the affidavit of Jacqueline Domange for claim 2.  </w:t>
      </w:r>
    </w:p>
  </w:footnote>
  <w:footnote w:id="6">
    <w:p w:rsidR="00816A85" w:rsidRPr="00604F35" w:rsidRDefault="00816A85">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Pr="00604F35">
        <w:rPr>
          <w:rFonts w:ascii="Arial" w:hAnsi="Arial" w:cs="Arial"/>
          <w:lang w:val="en-US"/>
        </w:rPr>
        <w:t>(26758/2014) [2019] ZAGPPHC 352 (3 July 2019).</w:t>
      </w:r>
    </w:p>
  </w:footnote>
  <w:footnote w:id="7">
    <w:p w:rsidR="00E84874" w:rsidRPr="00604F35" w:rsidRDefault="00E84874">
      <w:pPr>
        <w:pStyle w:val="FootnoteText"/>
        <w:rPr>
          <w:lang w:val="en-US"/>
        </w:rPr>
      </w:pPr>
      <w:r w:rsidRPr="00604F35">
        <w:rPr>
          <w:rStyle w:val="FootnoteReference"/>
        </w:rPr>
        <w:footnoteRef/>
      </w:r>
      <w:r w:rsidRPr="00604F35">
        <w:t xml:space="preserve"> </w:t>
      </w:r>
      <w:r w:rsidRPr="00604F35">
        <w:rPr>
          <w:lang w:val="en-US"/>
        </w:rPr>
        <w:t>(127/2002) [2003] ZASCA 36; [2003] 2 All SA 113 (SCA) (31 March 2003).</w:t>
      </w:r>
    </w:p>
  </w:footnote>
  <w:footnote w:id="8">
    <w:p w:rsidR="0033715B" w:rsidRPr="00DE6398" w:rsidRDefault="0033715B">
      <w:pPr>
        <w:pStyle w:val="FootnoteText"/>
        <w:rPr>
          <w:rFonts w:ascii="Arial" w:hAnsi="Arial" w:cs="Arial"/>
          <w:lang w:val="en-US"/>
        </w:rPr>
      </w:pPr>
      <w:r w:rsidRPr="00DE6398">
        <w:rPr>
          <w:rStyle w:val="FootnoteReference"/>
          <w:rFonts w:ascii="Arial" w:hAnsi="Arial" w:cs="Arial"/>
        </w:rPr>
        <w:footnoteRef/>
      </w:r>
      <w:r w:rsidRPr="00DE6398">
        <w:rPr>
          <w:rFonts w:ascii="Arial" w:hAnsi="Arial" w:cs="Arial"/>
        </w:rPr>
        <w:t xml:space="preserve"> </w:t>
      </w:r>
      <w:r w:rsidRPr="00DE6398">
        <w:rPr>
          <w:rFonts w:ascii="Arial" w:hAnsi="Arial" w:cs="Arial"/>
          <w:lang w:val="en-GB"/>
        </w:rPr>
        <w:t>1977 (4) SA 298 (A).</w:t>
      </w:r>
    </w:p>
  </w:footnote>
  <w:footnote w:id="9">
    <w:p w:rsidR="003A3B97" w:rsidRPr="00DE6398" w:rsidRDefault="003A3B97" w:rsidP="003A3B97">
      <w:pPr>
        <w:pStyle w:val="FootnoteText"/>
        <w:rPr>
          <w:rFonts w:ascii="Arial" w:hAnsi="Arial" w:cs="Arial"/>
          <w:lang w:val="en-US"/>
        </w:rPr>
      </w:pPr>
      <w:r w:rsidRPr="00DE6398">
        <w:rPr>
          <w:rStyle w:val="FootnoteReference"/>
          <w:rFonts w:ascii="Arial" w:hAnsi="Arial" w:cs="Arial"/>
        </w:rPr>
        <w:footnoteRef/>
      </w:r>
      <w:r w:rsidRPr="00DE6398">
        <w:rPr>
          <w:rFonts w:ascii="Arial" w:hAnsi="Arial" w:cs="Arial"/>
        </w:rPr>
        <w:t xml:space="preserve"> Position confirmed by the Supreme Court in </w:t>
      </w:r>
      <w:r w:rsidRPr="00DE6398">
        <w:rPr>
          <w:rFonts w:ascii="Arial" w:hAnsi="Arial" w:cs="Arial"/>
          <w:i/>
          <w:lang w:val="en-US"/>
        </w:rPr>
        <w:t>Ngede v Davey's Micro Construction CC</w:t>
      </w:r>
      <w:r w:rsidRPr="00DE6398">
        <w:rPr>
          <w:rFonts w:ascii="Arial" w:hAnsi="Arial" w:cs="Arial"/>
        </w:rPr>
        <w:t xml:space="preserve"> </w:t>
      </w:r>
      <w:r w:rsidRPr="00DE6398">
        <w:rPr>
          <w:rFonts w:ascii="Arial" w:hAnsi="Arial" w:cs="Arial"/>
          <w:lang w:val="en-US"/>
        </w:rPr>
        <w:t>(SA 51/2014) [2016] NASC 4 (27 October 2016).</w:t>
      </w:r>
    </w:p>
  </w:footnote>
  <w:footnote w:id="10">
    <w:p w:rsidR="006A57A6" w:rsidRPr="00DE6398" w:rsidRDefault="006A57A6">
      <w:pPr>
        <w:pStyle w:val="FootnoteText"/>
        <w:rPr>
          <w:rFonts w:ascii="Arial" w:hAnsi="Arial" w:cs="Arial"/>
        </w:rPr>
      </w:pPr>
      <w:r w:rsidRPr="00DE6398">
        <w:rPr>
          <w:rStyle w:val="FootnoteReference"/>
          <w:rFonts w:ascii="Arial" w:hAnsi="Arial" w:cs="Arial"/>
        </w:rPr>
        <w:footnoteRef/>
      </w:r>
      <w:r w:rsidRPr="00DE6398">
        <w:rPr>
          <w:rFonts w:ascii="Arial" w:hAnsi="Arial" w:cs="Arial"/>
        </w:rPr>
        <w:t xml:space="preserve"> </w:t>
      </w:r>
      <w:r w:rsidR="00DE6398" w:rsidRPr="00DE6398">
        <w:rPr>
          <w:rFonts w:ascii="Arial" w:hAnsi="Arial" w:cs="Arial"/>
        </w:rPr>
        <w:t>DA Weelson v Waterlinx Pool and Sp</w:t>
      </w:r>
      <w:r w:rsidR="00CD3B28">
        <w:rPr>
          <w:rFonts w:ascii="Arial" w:hAnsi="Arial" w:cs="Arial"/>
        </w:rPr>
        <w:t xml:space="preserve">a (Pty) Ltd [2013] ZAGJHC 47 </w:t>
      </w:r>
      <w:r w:rsidR="00DE6398" w:rsidRPr="00DE6398">
        <w:rPr>
          <w:rFonts w:ascii="Arial" w:hAnsi="Arial" w:cs="Arial"/>
        </w:rPr>
        <w:t>para 5.</w:t>
      </w:r>
    </w:p>
  </w:footnote>
  <w:footnote w:id="11">
    <w:p w:rsidR="006A57A6" w:rsidRPr="00604F35" w:rsidRDefault="006A57A6" w:rsidP="006A57A6">
      <w:pPr>
        <w:pStyle w:val="FootnoteText"/>
        <w:rPr>
          <w:rFonts w:ascii="Arial" w:hAnsi="Arial" w:cs="Arial"/>
          <w:lang w:val="en-US"/>
        </w:rPr>
      </w:pPr>
      <w:r w:rsidRPr="00DE6398">
        <w:rPr>
          <w:rStyle w:val="FootnoteReference"/>
          <w:rFonts w:ascii="Arial" w:hAnsi="Arial" w:cs="Arial"/>
        </w:rPr>
        <w:footnoteRef/>
      </w:r>
      <w:r w:rsidRPr="00DE6398">
        <w:rPr>
          <w:rFonts w:ascii="Arial" w:hAnsi="Arial" w:cs="Arial"/>
        </w:rPr>
        <w:t xml:space="preserve"> </w:t>
      </w:r>
      <w:r w:rsidR="00021D43">
        <w:rPr>
          <w:rFonts w:ascii="Arial" w:hAnsi="Arial" w:cs="Arial"/>
          <w:i/>
        </w:rPr>
        <w:t>Supra</w:t>
      </w:r>
      <w:r w:rsidR="00021D43">
        <w:rPr>
          <w:rFonts w:ascii="Arial" w:hAnsi="Arial" w:cs="Arial"/>
        </w:rPr>
        <w:t>, note 8</w:t>
      </w:r>
      <w:r w:rsidRPr="00DE6398">
        <w:rPr>
          <w:rFonts w:ascii="Arial" w:hAnsi="Arial" w:cs="Arial"/>
          <w:lang w:val="en-US"/>
        </w:rPr>
        <w:t>.</w:t>
      </w:r>
    </w:p>
  </w:footnote>
  <w:footnote w:id="12">
    <w:p w:rsidR="00330A80" w:rsidRDefault="00330A80" w:rsidP="00330A80">
      <w:pPr>
        <w:pStyle w:val="FootnoteText"/>
      </w:pPr>
      <w:r>
        <w:rPr>
          <w:rStyle w:val="FootnoteReference"/>
        </w:rPr>
        <w:footnoteRef/>
      </w:r>
      <w:r>
        <w:t xml:space="preserve"> </w:t>
      </w:r>
      <w:r w:rsidR="00021D43">
        <w:rPr>
          <w:rFonts w:ascii="Arial" w:hAnsi="Arial" w:cs="Arial"/>
        </w:rPr>
        <w:t>5</w:t>
      </w:r>
      <w:r w:rsidR="00021D43" w:rsidRPr="00021D43">
        <w:rPr>
          <w:rFonts w:ascii="Arial" w:hAnsi="Arial" w:cs="Arial"/>
          <w:vertAlign w:val="superscript"/>
        </w:rPr>
        <w:t>th</w:t>
      </w:r>
      <w:r w:rsidR="00021D43">
        <w:rPr>
          <w:rFonts w:ascii="Arial" w:hAnsi="Arial" w:cs="Arial"/>
        </w:rPr>
        <w:t xml:space="preserve"> ed vol 1 at </w:t>
      </w:r>
      <w:r w:rsidRPr="00FD6A9B">
        <w:rPr>
          <w:rFonts w:ascii="Arial" w:hAnsi="Arial" w:cs="Arial"/>
        </w:rPr>
        <w:t>934</w:t>
      </w:r>
    </w:p>
  </w:footnote>
  <w:footnote w:id="13">
    <w:p w:rsidR="005B26A4" w:rsidRDefault="005B26A4">
      <w:pPr>
        <w:pStyle w:val="FootnoteText"/>
      </w:pPr>
      <w:r>
        <w:rPr>
          <w:rStyle w:val="FootnoteReference"/>
        </w:rPr>
        <w:footnoteRef/>
      </w:r>
      <w:r>
        <w:t xml:space="preserve"> </w:t>
      </w:r>
      <w:r w:rsidRPr="00E715E3">
        <w:rPr>
          <w:rFonts w:ascii="Arial" w:hAnsi="Arial" w:cs="Arial"/>
          <w:i/>
        </w:rPr>
        <w:t>Administrator, Cape, v Ntshwaqela</w:t>
      </w:r>
      <w:r w:rsidRPr="005B26A4">
        <w:rPr>
          <w:rFonts w:ascii="Arial" w:hAnsi="Arial" w:cs="Arial"/>
        </w:rPr>
        <w:t xml:space="preserve"> 1990 (1) SA 705 (A) at 716B-C</w:t>
      </w:r>
      <w:r w:rsidR="0058747D">
        <w:rPr>
          <w:rFonts w:ascii="Arial" w:hAnsi="Arial" w:cs="Arial"/>
        </w:rPr>
        <w:t>.</w:t>
      </w:r>
    </w:p>
  </w:footnote>
  <w:footnote w:id="14">
    <w:p w:rsidR="00816A85" w:rsidRPr="00604F35" w:rsidRDefault="00816A85">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Pr="00604F35">
        <w:rPr>
          <w:rFonts w:ascii="Arial" w:hAnsi="Arial" w:cs="Arial"/>
          <w:lang w:val="en-US"/>
        </w:rPr>
        <w:t>(1956) 1 WLR 965 (PC).</w:t>
      </w:r>
    </w:p>
  </w:footnote>
  <w:footnote w:id="15">
    <w:p w:rsidR="00816A85" w:rsidRPr="00604F35" w:rsidRDefault="00816A85" w:rsidP="00BE7322">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Pr="00604F35">
        <w:rPr>
          <w:rFonts w:ascii="Arial" w:hAnsi="Arial" w:cs="Arial"/>
          <w:lang w:val="en-US"/>
        </w:rPr>
        <w:t>(SA 7/2016) [2017] NASC 24 (14 July 2017).</w:t>
      </w:r>
    </w:p>
  </w:footnote>
  <w:footnote w:id="16">
    <w:p w:rsidR="00816A85" w:rsidRPr="00604F35" w:rsidRDefault="00816A85">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Pr="00604F35">
        <w:rPr>
          <w:rFonts w:ascii="Arial" w:hAnsi="Arial" w:cs="Arial"/>
          <w:lang w:val="en-US"/>
        </w:rPr>
        <w:t>(CA9/05) [2005] NAHC 17 (23 June 2005).</w:t>
      </w:r>
    </w:p>
  </w:footnote>
  <w:footnote w:id="17">
    <w:p w:rsidR="00816A85" w:rsidRPr="00604F35" w:rsidRDefault="00816A85">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00A973C3" w:rsidRPr="00A973C3">
        <w:rPr>
          <w:rFonts w:ascii="Arial" w:hAnsi="Arial" w:cs="Arial"/>
        </w:rPr>
        <w:t>Ibid</w:t>
      </w:r>
      <w:r w:rsidR="00A973C3">
        <w:rPr>
          <w:rFonts w:ascii="Arial" w:hAnsi="Arial" w:cs="Arial"/>
        </w:rPr>
        <w:t xml:space="preserve"> </w:t>
      </w:r>
      <w:r w:rsidR="00A973C3">
        <w:rPr>
          <w:rFonts w:ascii="Arial" w:hAnsi="Arial" w:cs="Arial"/>
          <w:lang w:val="en-US"/>
        </w:rPr>
        <w:t>a</w:t>
      </w:r>
      <w:r w:rsidR="00A973C3" w:rsidRPr="00A973C3">
        <w:rPr>
          <w:rFonts w:ascii="Arial" w:hAnsi="Arial" w:cs="Arial"/>
          <w:lang w:val="en-US"/>
        </w:rPr>
        <w:t>t</w:t>
      </w:r>
      <w:r w:rsidRPr="00604F35">
        <w:rPr>
          <w:rFonts w:ascii="Arial" w:hAnsi="Arial" w:cs="Arial"/>
          <w:lang w:val="en-US"/>
        </w:rPr>
        <w:t xml:space="preserve"> 10.</w:t>
      </w:r>
    </w:p>
  </w:footnote>
  <w:footnote w:id="18">
    <w:p w:rsidR="00816A85" w:rsidRPr="00604F35" w:rsidRDefault="00816A85">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Pr="00604F35">
        <w:rPr>
          <w:rFonts w:ascii="Arial" w:hAnsi="Arial" w:cs="Arial"/>
          <w:i/>
          <w:lang w:val="en-US"/>
        </w:rPr>
        <w:t xml:space="preserve">Supra, </w:t>
      </w:r>
      <w:r w:rsidR="00A973C3">
        <w:rPr>
          <w:rFonts w:ascii="Arial" w:hAnsi="Arial" w:cs="Arial"/>
          <w:lang w:val="en-US"/>
        </w:rPr>
        <w:t>note 14</w:t>
      </w:r>
      <w:r w:rsidRPr="00604F35">
        <w:rPr>
          <w:rFonts w:ascii="Arial" w:hAnsi="Arial" w:cs="Arial"/>
          <w:lang w:val="en-US"/>
        </w:rPr>
        <w:t>.</w:t>
      </w:r>
    </w:p>
  </w:footnote>
  <w:footnote w:id="19">
    <w:p w:rsidR="00816A85" w:rsidRPr="00604F35" w:rsidRDefault="00816A85">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Pr="00604F35">
        <w:rPr>
          <w:rFonts w:ascii="Arial" w:hAnsi="Arial" w:cs="Arial"/>
          <w:lang w:val="en-US"/>
        </w:rPr>
        <w:t>(SA 12/2011 [2012] NASC 21 (25 October 2012) para 62.</w:t>
      </w:r>
    </w:p>
  </w:footnote>
  <w:footnote w:id="20">
    <w:p w:rsidR="00816A85" w:rsidRPr="00604F35" w:rsidRDefault="00816A85">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1939 AD 106 at 119. </w:t>
      </w:r>
    </w:p>
  </w:footnote>
  <w:footnote w:id="21">
    <w:p w:rsidR="00816A85" w:rsidRPr="00604F35" w:rsidRDefault="00816A85">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(SA 4 -2017) [2018] NASC (6 December 2018).</w:t>
      </w:r>
    </w:p>
  </w:footnote>
  <w:footnote w:id="22">
    <w:p w:rsidR="00816A85" w:rsidRPr="00604F35" w:rsidRDefault="00816A85">
      <w:pPr>
        <w:pStyle w:val="FootnoteText"/>
        <w:rPr>
          <w:rFonts w:ascii="Arial" w:hAnsi="Arial" w:cs="Arial"/>
          <w:lang w:val="en-US"/>
        </w:rPr>
      </w:pPr>
      <w:r w:rsidRPr="00604F35">
        <w:rPr>
          <w:rStyle w:val="FootnoteReference"/>
          <w:rFonts w:ascii="Arial" w:hAnsi="Arial" w:cs="Arial"/>
        </w:rPr>
        <w:footnoteRef/>
      </w:r>
      <w:r w:rsidRPr="00604F35">
        <w:rPr>
          <w:rFonts w:ascii="Arial" w:hAnsi="Arial" w:cs="Arial"/>
        </w:rPr>
        <w:t xml:space="preserve"> </w:t>
      </w:r>
      <w:r w:rsidRPr="00604F35">
        <w:rPr>
          <w:rFonts w:ascii="Arial" w:hAnsi="Arial" w:cs="Arial"/>
          <w:lang w:val="en-US"/>
        </w:rPr>
        <w:t>HC-MD-CIV-MOT-GEN-2018/00414 NAHCMD 140 (7 May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41632"/>
      <w:docPartObj>
        <w:docPartGallery w:val="Page Numbers (Top of Page)"/>
        <w:docPartUnique/>
      </w:docPartObj>
    </w:sdtPr>
    <w:sdtEndPr>
      <w:rPr>
        <w:noProof/>
      </w:rPr>
    </w:sdtEndPr>
    <w:sdtContent>
      <w:p w:rsidR="00816A85" w:rsidRDefault="00816A85">
        <w:pPr>
          <w:pStyle w:val="Header"/>
          <w:jc w:val="right"/>
        </w:pPr>
        <w:r>
          <w:fldChar w:fldCharType="begin"/>
        </w:r>
        <w:r>
          <w:instrText xml:space="preserve"> PAGE   \* MERGEFORMAT </w:instrText>
        </w:r>
        <w:r>
          <w:fldChar w:fldCharType="separate"/>
        </w:r>
        <w:r w:rsidR="00EC7C8A">
          <w:rPr>
            <w:noProof/>
          </w:rPr>
          <w:t>18</w:t>
        </w:r>
        <w:r>
          <w:rPr>
            <w:noProof/>
          </w:rPr>
          <w:fldChar w:fldCharType="end"/>
        </w:r>
      </w:p>
    </w:sdtContent>
  </w:sdt>
  <w:p w:rsidR="00816A85" w:rsidRDefault="0081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EF"/>
    <w:multiLevelType w:val="hybridMultilevel"/>
    <w:tmpl w:val="F95E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5162"/>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 w15:restartNumberingAfterBreak="0">
    <w:nsid w:val="0F7B14FC"/>
    <w:multiLevelType w:val="hybridMultilevel"/>
    <w:tmpl w:val="FC422FBA"/>
    <w:lvl w:ilvl="0" w:tplc="0D36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20A3"/>
    <w:multiLevelType w:val="hybridMultilevel"/>
    <w:tmpl w:val="D26E81BA"/>
    <w:lvl w:ilvl="0" w:tplc="04090017">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15:restartNumberingAfterBreak="0">
    <w:nsid w:val="12395118"/>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6" w15:restartNumberingAfterBreak="0">
    <w:nsid w:val="1D557364"/>
    <w:multiLevelType w:val="hybridMultilevel"/>
    <w:tmpl w:val="E1F2A194"/>
    <w:lvl w:ilvl="0" w:tplc="FF68CB90">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1DF74224"/>
    <w:multiLevelType w:val="hybridMultilevel"/>
    <w:tmpl w:val="377E350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54BFD"/>
    <w:multiLevelType w:val="hybridMultilevel"/>
    <w:tmpl w:val="323EECC6"/>
    <w:lvl w:ilvl="0" w:tplc="FB26A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FC594A"/>
    <w:multiLevelType w:val="hybridMultilevel"/>
    <w:tmpl w:val="4CD8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0A8A"/>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04B15"/>
    <w:multiLevelType w:val="hybridMultilevel"/>
    <w:tmpl w:val="E0FA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15:restartNumberingAfterBreak="0">
    <w:nsid w:val="3695272F"/>
    <w:multiLevelType w:val="hybridMultilevel"/>
    <w:tmpl w:val="F95E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029E0"/>
    <w:multiLevelType w:val="hybridMultilevel"/>
    <w:tmpl w:val="3F7CD632"/>
    <w:lvl w:ilvl="0" w:tplc="DCA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26D39"/>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4B4B3ABF"/>
    <w:multiLevelType w:val="hybridMultilevel"/>
    <w:tmpl w:val="F2925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D2DB9"/>
    <w:multiLevelType w:val="hybridMultilevel"/>
    <w:tmpl w:val="992A5492"/>
    <w:lvl w:ilvl="0" w:tplc="DCA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1581B"/>
    <w:multiLevelType w:val="hybridMultilevel"/>
    <w:tmpl w:val="3F7CD632"/>
    <w:lvl w:ilvl="0" w:tplc="DCA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50D3B"/>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905FD"/>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15:restartNumberingAfterBreak="0">
    <w:nsid w:val="6BE051AD"/>
    <w:multiLevelType w:val="hybridMultilevel"/>
    <w:tmpl w:val="1C509EAC"/>
    <w:lvl w:ilvl="0" w:tplc="D7EACA72">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9D1875"/>
    <w:multiLevelType w:val="hybridMultilevel"/>
    <w:tmpl w:val="5DE0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E7D2A"/>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54B4E"/>
    <w:multiLevelType w:val="hybridMultilevel"/>
    <w:tmpl w:val="A11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5"/>
  </w:num>
  <w:num w:numId="4">
    <w:abstractNumId w:val="6"/>
  </w:num>
  <w:num w:numId="5">
    <w:abstractNumId w:val="21"/>
  </w:num>
  <w:num w:numId="6">
    <w:abstractNumId w:val="2"/>
  </w:num>
  <w:num w:numId="7">
    <w:abstractNumId w:val="4"/>
  </w:num>
  <w:num w:numId="8">
    <w:abstractNumId w:val="1"/>
  </w:num>
  <w:num w:numId="9">
    <w:abstractNumId w:val="12"/>
  </w:num>
  <w:num w:numId="10">
    <w:abstractNumId w:val="22"/>
  </w:num>
  <w:num w:numId="11">
    <w:abstractNumId w:val="7"/>
  </w:num>
  <w:num w:numId="12">
    <w:abstractNumId w:val="18"/>
  </w:num>
  <w:num w:numId="13">
    <w:abstractNumId w:val="17"/>
  </w:num>
  <w:num w:numId="14">
    <w:abstractNumId w:val="14"/>
  </w:num>
  <w:num w:numId="15">
    <w:abstractNumId w:val="3"/>
  </w:num>
  <w:num w:numId="16">
    <w:abstractNumId w:val="8"/>
  </w:num>
  <w:num w:numId="17">
    <w:abstractNumId w:val="0"/>
  </w:num>
  <w:num w:numId="18">
    <w:abstractNumId w:val="19"/>
  </w:num>
  <w:num w:numId="19">
    <w:abstractNumId w:val="24"/>
  </w:num>
  <w:num w:numId="20">
    <w:abstractNumId w:val="9"/>
  </w:num>
  <w:num w:numId="21">
    <w:abstractNumId w:val="10"/>
  </w:num>
  <w:num w:numId="22">
    <w:abstractNumId w:val="11"/>
  </w:num>
  <w:num w:numId="23">
    <w:abstractNumId w:val="16"/>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1F"/>
    <w:rsid w:val="00011482"/>
    <w:rsid w:val="000125E4"/>
    <w:rsid w:val="000216ED"/>
    <w:rsid w:val="00021D43"/>
    <w:rsid w:val="00023B37"/>
    <w:rsid w:val="00037C04"/>
    <w:rsid w:val="000402AA"/>
    <w:rsid w:val="00045A29"/>
    <w:rsid w:val="00045A49"/>
    <w:rsid w:val="0005605A"/>
    <w:rsid w:val="00060D3C"/>
    <w:rsid w:val="000625F1"/>
    <w:rsid w:val="00062FD0"/>
    <w:rsid w:val="00071BC0"/>
    <w:rsid w:val="000845D5"/>
    <w:rsid w:val="00087CE4"/>
    <w:rsid w:val="00094D91"/>
    <w:rsid w:val="00096064"/>
    <w:rsid w:val="000A0081"/>
    <w:rsid w:val="000A2250"/>
    <w:rsid w:val="000A7948"/>
    <w:rsid w:val="000C58D5"/>
    <w:rsid w:val="000C7A7F"/>
    <w:rsid w:val="000E3E80"/>
    <w:rsid w:val="000F4D9C"/>
    <w:rsid w:val="001002DF"/>
    <w:rsid w:val="00111853"/>
    <w:rsid w:val="00114809"/>
    <w:rsid w:val="00120982"/>
    <w:rsid w:val="00124DA2"/>
    <w:rsid w:val="00126488"/>
    <w:rsid w:val="00134326"/>
    <w:rsid w:val="0013443A"/>
    <w:rsid w:val="00135AB0"/>
    <w:rsid w:val="00136F16"/>
    <w:rsid w:val="001402D9"/>
    <w:rsid w:val="00142839"/>
    <w:rsid w:val="0014297D"/>
    <w:rsid w:val="0014399D"/>
    <w:rsid w:val="001474A8"/>
    <w:rsid w:val="00153148"/>
    <w:rsid w:val="00161BF3"/>
    <w:rsid w:val="00167247"/>
    <w:rsid w:val="001677FD"/>
    <w:rsid w:val="001710DE"/>
    <w:rsid w:val="00173C1D"/>
    <w:rsid w:val="00175BC0"/>
    <w:rsid w:val="0017688B"/>
    <w:rsid w:val="00181D28"/>
    <w:rsid w:val="001866BB"/>
    <w:rsid w:val="001A4E43"/>
    <w:rsid w:val="001A4E7D"/>
    <w:rsid w:val="001A5006"/>
    <w:rsid w:val="001A6853"/>
    <w:rsid w:val="001C3E49"/>
    <w:rsid w:val="001C60A8"/>
    <w:rsid w:val="001C626C"/>
    <w:rsid w:val="001D5C14"/>
    <w:rsid w:val="001E2D69"/>
    <w:rsid w:val="001E40D6"/>
    <w:rsid w:val="001E45B6"/>
    <w:rsid w:val="001F1ED3"/>
    <w:rsid w:val="001F3F2B"/>
    <w:rsid w:val="002008CB"/>
    <w:rsid w:val="00213207"/>
    <w:rsid w:val="0021659E"/>
    <w:rsid w:val="002218DA"/>
    <w:rsid w:val="00224C06"/>
    <w:rsid w:val="0022635C"/>
    <w:rsid w:val="0024045D"/>
    <w:rsid w:val="00240FC7"/>
    <w:rsid w:val="00244BBC"/>
    <w:rsid w:val="002505F6"/>
    <w:rsid w:val="0026478D"/>
    <w:rsid w:val="00273F89"/>
    <w:rsid w:val="00274883"/>
    <w:rsid w:val="0027643B"/>
    <w:rsid w:val="002935F6"/>
    <w:rsid w:val="002A5854"/>
    <w:rsid w:val="002A6FD1"/>
    <w:rsid w:val="002B06E5"/>
    <w:rsid w:val="002B30B1"/>
    <w:rsid w:val="002B4873"/>
    <w:rsid w:val="002B7C7E"/>
    <w:rsid w:val="002B7E35"/>
    <w:rsid w:val="002D308F"/>
    <w:rsid w:val="002E2501"/>
    <w:rsid w:val="002E30AB"/>
    <w:rsid w:val="002F2878"/>
    <w:rsid w:val="002F2A48"/>
    <w:rsid w:val="00300207"/>
    <w:rsid w:val="00301788"/>
    <w:rsid w:val="00305666"/>
    <w:rsid w:val="0031053A"/>
    <w:rsid w:val="00312B4A"/>
    <w:rsid w:val="00313E0A"/>
    <w:rsid w:val="00322152"/>
    <w:rsid w:val="00325189"/>
    <w:rsid w:val="00325A55"/>
    <w:rsid w:val="003263B6"/>
    <w:rsid w:val="00330A80"/>
    <w:rsid w:val="00331C33"/>
    <w:rsid w:val="00332262"/>
    <w:rsid w:val="003360D8"/>
    <w:rsid w:val="0033715B"/>
    <w:rsid w:val="00340E74"/>
    <w:rsid w:val="00350A2B"/>
    <w:rsid w:val="00352690"/>
    <w:rsid w:val="00354701"/>
    <w:rsid w:val="00357BD1"/>
    <w:rsid w:val="00362023"/>
    <w:rsid w:val="00363E06"/>
    <w:rsid w:val="003704FE"/>
    <w:rsid w:val="00381353"/>
    <w:rsid w:val="0039003E"/>
    <w:rsid w:val="003909EE"/>
    <w:rsid w:val="00393F42"/>
    <w:rsid w:val="0039747D"/>
    <w:rsid w:val="003979AD"/>
    <w:rsid w:val="00397E9C"/>
    <w:rsid w:val="003A3B97"/>
    <w:rsid w:val="003B009D"/>
    <w:rsid w:val="003B25CA"/>
    <w:rsid w:val="003C099F"/>
    <w:rsid w:val="003C63E1"/>
    <w:rsid w:val="003D44EC"/>
    <w:rsid w:val="003D7512"/>
    <w:rsid w:val="003E5138"/>
    <w:rsid w:val="003E68A2"/>
    <w:rsid w:val="003F0E5C"/>
    <w:rsid w:val="004046A5"/>
    <w:rsid w:val="00406738"/>
    <w:rsid w:val="004150AE"/>
    <w:rsid w:val="004165F0"/>
    <w:rsid w:val="00421E2A"/>
    <w:rsid w:val="004237C9"/>
    <w:rsid w:val="00426D5C"/>
    <w:rsid w:val="00432A77"/>
    <w:rsid w:val="00443B21"/>
    <w:rsid w:val="00455B33"/>
    <w:rsid w:val="00456D28"/>
    <w:rsid w:val="00461EA4"/>
    <w:rsid w:val="004632A1"/>
    <w:rsid w:val="00464AA4"/>
    <w:rsid w:val="00476E6B"/>
    <w:rsid w:val="00477436"/>
    <w:rsid w:val="00484B4C"/>
    <w:rsid w:val="004868FD"/>
    <w:rsid w:val="00486C06"/>
    <w:rsid w:val="0048776D"/>
    <w:rsid w:val="004934D5"/>
    <w:rsid w:val="0049585E"/>
    <w:rsid w:val="004A39C8"/>
    <w:rsid w:val="004A6187"/>
    <w:rsid w:val="004A61FF"/>
    <w:rsid w:val="004B732E"/>
    <w:rsid w:val="004B7AB7"/>
    <w:rsid w:val="004C09B8"/>
    <w:rsid w:val="004C1964"/>
    <w:rsid w:val="004C2576"/>
    <w:rsid w:val="004C3632"/>
    <w:rsid w:val="004D44AE"/>
    <w:rsid w:val="004D76FB"/>
    <w:rsid w:val="004E32C5"/>
    <w:rsid w:val="004E70D1"/>
    <w:rsid w:val="004F4A2F"/>
    <w:rsid w:val="005009B9"/>
    <w:rsid w:val="00500F48"/>
    <w:rsid w:val="00501674"/>
    <w:rsid w:val="00505D1F"/>
    <w:rsid w:val="00512714"/>
    <w:rsid w:val="00512EA2"/>
    <w:rsid w:val="0051508E"/>
    <w:rsid w:val="005150B4"/>
    <w:rsid w:val="00516209"/>
    <w:rsid w:val="005214A3"/>
    <w:rsid w:val="00523D18"/>
    <w:rsid w:val="00525480"/>
    <w:rsid w:val="005330DA"/>
    <w:rsid w:val="0055288D"/>
    <w:rsid w:val="005548E3"/>
    <w:rsid w:val="00556399"/>
    <w:rsid w:val="00563E57"/>
    <w:rsid w:val="00564500"/>
    <w:rsid w:val="00564B9E"/>
    <w:rsid w:val="005666E6"/>
    <w:rsid w:val="00566E0D"/>
    <w:rsid w:val="005704D5"/>
    <w:rsid w:val="00571DD5"/>
    <w:rsid w:val="00572E4B"/>
    <w:rsid w:val="0057381D"/>
    <w:rsid w:val="00581902"/>
    <w:rsid w:val="00584342"/>
    <w:rsid w:val="0058747D"/>
    <w:rsid w:val="00592302"/>
    <w:rsid w:val="00594ABE"/>
    <w:rsid w:val="005A0913"/>
    <w:rsid w:val="005A7609"/>
    <w:rsid w:val="005B0914"/>
    <w:rsid w:val="005B26A4"/>
    <w:rsid w:val="005B45DA"/>
    <w:rsid w:val="005B5F4B"/>
    <w:rsid w:val="005C1553"/>
    <w:rsid w:val="005D1484"/>
    <w:rsid w:val="005D5652"/>
    <w:rsid w:val="005E0F8E"/>
    <w:rsid w:val="005E602F"/>
    <w:rsid w:val="0060281A"/>
    <w:rsid w:val="00604F35"/>
    <w:rsid w:val="00607603"/>
    <w:rsid w:val="00612436"/>
    <w:rsid w:val="00614E50"/>
    <w:rsid w:val="00616DD6"/>
    <w:rsid w:val="006213D2"/>
    <w:rsid w:val="0062402A"/>
    <w:rsid w:val="00626269"/>
    <w:rsid w:val="00630762"/>
    <w:rsid w:val="00634AE8"/>
    <w:rsid w:val="00636B6B"/>
    <w:rsid w:val="00642EED"/>
    <w:rsid w:val="006444ED"/>
    <w:rsid w:val="006449DD"/>
    <w:rsid w:val="00655A73"/>
    <w:rsid w:val="0065634F"/>
    <w:rsid w:val="00667EC4"/>
    <w:rsid w:val="00671BFB"/>
    <w:rsid w:val="006721F3"/>
    <w:rsid w:val="006743B7"/>
    <w:rsid w:val="00676A74"/>
    <w:rsid w:val="00680515"/>
    <w:rsid w:val="00680A6A"/>
    <w:rsid w:val="00681B72"/>
    <w:rsid w:val="006A3F5A"/>
    <w:rsid w:val="006A57A6"/>
    <w:rsid w:val="006A65D8"/>
    <w:rsid w:val="006A6C33"/>
    <w:rsid w:val="006B1ADE"/>
    <w:rsid w:val="006B2585"/>
    <w:rsid w:val="006B3B62"/>
    <w:rsid w:val="006B4A38"/>
    <w:rsid w:val="006B4B9B"/>
    <w:rsid w:val="006B62DC"/>
    <w:rsid w:val="006C46F9"/>
    <w:rsid w:val="006C5FD7"/>
    <w:rsid w:val="006C76A8"/>
    <w:rsid w:val="006D7702"/>
    <w:rsid w:val="006E1801"/>
    <w:rsid w:val="006E39A1"/>
    <w:rsid w:val="006E75BA"/>
    <w:rsid w:val="006F1260"/>
    <w:rsid w:val="006F3336"/>
    <w:rsid w:val="006F3519"/>
    <w:rsid w:val="006F4541"/>
    <w:rsid w:val="006F6FD9"/>
    <w:rsid w:val="00702B35"/>
    <w:rsid w:val="00702DF2"/>
    <w:rsid w:val="007100CF"/>
    <w:rsid w:val="00711CE5"/>
    <w:rsid w:val="00713AFE"/>
    <w:rsid w:val="00716179"/>
    <w:rsid w:val="007175CD"/>
    <w:rsid w:val="007238EC"/>
    <w:rsid w:val="007258A1"/>
    <w:rsid w:val="00735102"/>
    <w:rsid w:val="0074085C"/>
    <w:rsid w:val="007426F8"/>
    <w:rsid w:val="00744D24"/>
    <w:rsid w:val="00745948"/>
    <w:rsid w:val="0074651C"/>
    <w:rsid w:val="00753A56"/>
    <w:rsid w:val="00760FEF"/>
    <w:rsid w:val="00761188"/>
    <w:rsid w:val="00770ED8"/>
    <w:rsid w:val="00774A83"/>
    <w:rsid w:val="00776EE3"/>
    <w:rsid w:val="00776FAD"/>
    <w:rsid w:val="007863A7"/>
    <w:rsid w:val="00790718"/>
    <w:rsid w:val="007A627B"/>
    <w:rsid w:val="007B1EA5"/>
    <w:rsid w:val="007B5340"/>
    <w:rsid w:val="007B58F1"/>
    <w:rsid w:val="007C5D88"/>
    <w:rsid w:val="007D5F14"/>
    <w:rsid w:val="007E26DD"/>
    <w:rsid w:val="007E45F7"/>
    <w:rsid w:val="007F1E3B"/>
    <w:rsid w:val="007F5049"/>
    <w:rsid w:val="00806FE8"/>
    <w:rsid w:val="00810625"/>
    <w:rsid w:val="00813E2E"/>
    <w:rsid w:val="00816A85"/>
    <w:rsid w:val="0082491A"/>
    <w:rsid w:val="00827600"/>
    <w:rsid w:val="008279E3"/>
    <w:rsid w:val="008325B3"/>
    <w:rsid w:val="008346F6"/>
    <w:rsid w:val="00840381"/>
    <w:rsid w:val="00843C76"/>
    <w:rsid w:val="00845F82"/>
    <w:rsid w:val="00846608"/>
    <w:rsid w:val="0085021C"/>
    <w:rsid w:val="00851D36"/>
    <w:rsid w:val="00866CA2"/>
    <w:rsid w:val="00870048"/>
    <w:rsid w:val="00877378"/>
    <w:rsid w:val="0087757C"/>
    <w:rsid w:val="0088799F"/>
    <w:rsid w:val="008A10E2"/>
    <w:rsid w:val="008A18B9"/>
    <w:rsid w:val="008A3195"/>
    <w:rsid w:val="008A724C"/>
    <w:rsid w:val="008B14BD"/>
    <w:rsid w:val="008B1FE8"/>
    <w:rsid w:val="008B79C7"/>
    <w:rsid w:val="008C1BD8"/>
    <w:rsid w:val="008C21D2"/>
    <w:rsid w:val="008C243F"/>
    <w:rsid w:val="008C4FF6"/>
    <w:rsid w:val="008C7D9B"/>
    <w:rsid w:val="008D01BC"/>
    <w:rsid w:val="008D34B3"/>
    <w:rsid w:val="008E3E99"/>
    <w:rsid w:val="008E7C1D"/>
    <w:rsid w:val="00902B08"/>
    <w:rsid w:val="00903B34"/>
    <w:rsid w:val="00922218"/>
    <w:rsid w:val="00932893"/>
    <w:rsid w:val="00933BA4"/>
    <w:rsid w:val="009352CD"/>
    <w:rsid w:val="00945AF1"/>
    <w:rsid w:val="009557D3"/>
    <w:rsid w:val="0096048C"/>
    <w:rsid w:val="00962D40"/>
    <w:rsid w:val="00973981"/>
    <w:rsid w:val="009748A6"/>
    <w:rsid w:val="00976600"/>
    <w:rsid w:val="00982F66"/>
    <w:rsid w:val="009835FB"/>
    <w:rsid w:val="009A4A09"/>
    <w:rsid w:val="009A4A56"/>
    <w:rsid w:val="009A5BF5"/>
    <w:rsid w:val="009B049D"/>
    <w:rsid w:val="009B5169"/>
    <w:rsid w:val="009B7449"/>
    <w:rsid w:val="009C6821"/>
    <w:rsid w:val="009D6EFA"/>
    <w:rsid w:val="009E494F"/>
    <w:rsid w:val="009E4BD5"/>
    <w:rsid w:val="009E6F6E"/>
    <w:rsid w:val="009E76B0"/>
    <w:rsid w:val="009F6495"/>
    <w:rsid w:val="009F64BB"/>
    <w:rsid w:val="00A00C84"/>
    <w:rsid w:val="00A13348"/>
    <w:rsid w:val="00A1422B"/>
    <w:rsid w:val="00A15155"/>
    <w:rsid w:val="00A17DBF"/>
    <w:rsid w:val="00A22061"/>
    <w:rsid w:val="00A246C5"/>
    <w:rsid w:val="00A3436E"/>
    <w:rsid w:val="00A347E1"/>
    <w:rsid w:val="00A4063F"/>
    <w:rsid w:val="00A467EC"/>
    <w:rsid w:val="00A51377"/>
    <w:rsid w:val="00A53A28"/>
    <w:rsid w:val="00A541A9"/>
    <w:rsid w:val="00A57C76"/>
    <w:rsid w:val="00A660CC"/>
    <w:rsid w:val="00A70FB8"/>
    <w:rsid w:val="00A74BC4"/>
    <w:rsid w:val="00A776A9"/>
    <w:rsid w:val="00A958E7"/>
    <w:rsid w:val="00A95E99"/>
    <w:rsid w:val="00A96718"/>
    <w:rsid w:val="00A970A7"/>
    <w:rsid w:val="00A973C3"/>
    <w:rsid w:val="00AA1DB4"/>
    <w:rsid w:val="00AA4F34"/>
    <w:rsid w:val="00AA537C"/>
    <w:rsid w:val="00AB10F1"/>
    <w:rsid w:val="00AB44D4"/>
    <w:rsid w:val="00AB4D76"/>
    <w:rsid w:val="00AC0741"/>
    <w:rsid w:val="00AC3436"/>
    <w:rsid w:val="00AC4E7F"/>
    <w:rsid w:val="00AC52F0"/>
    <w:rsid w:val="00AC5531"/>
    <w:rsid w:val="00AC7E41"/>
    <w:rsid w:val="00AD07F2"/>
    <w:rsid w:val="00AD16B5"/>
    <w:rsid w:val="00AD45B3"/>
    <w:rsid w:val="00AD5BBB"/>
    <w:rsid w:val="00AE49E0"/>
    <w:rsid w:val="00AF4271"/>
    <w:rsid w:val="00AF462E"/>
    <w:rsid w:val="00AF4E0C"/>
    <w:rsid w:val="00AF535C"/>
    <w:rsid w:val="00B02806"/>
    <w:rsid w:val="00B04F76"/>
    <w:rsid w:val="00B0500A"/>
    <w:rsid w:val="00B05CA3"/>
    <w:rsid w:val="00B0623D"/>
    <w:rsid w:val="00B06466"/>
    <w:rsid w:val="00B14D5A"/>
    <w:rsid w:val="00B25B55"/>
    <w:rsid w:val="00B33071"/>
    <w:rsid w:val="00B35B03"/>
    <w:rsid w:val="00B37B35"/>
    <w:rsid w:val="00B41739"/>
    <w:rsid w:val="00B429DC"/>
    <w:rsid w:val="00B4535D"/>
    <w:rsid w:val="00B45A65"/>
    <w:rsid w:val="00B46438"/>
    <w:rsid w:val="00B501C9"/>
    <w:rsid w:val="00B50B8F"/>
    <w:rsid w:val="00B50F14"/>
    <w:rsid w:val="00B52145"/>
    <w:rsid w:val="00B52405"/>
    <w:rsid w:val="00B67D50"/>
    <w:rsid w:val="00B7070C"/>
    <w:rsid w:val="00B716A3"/>
    <w:rsid w:val="00B72BC7"/>
    <w:rsid w:val="00B754BD"/>
    <w:rsid w:val="00B82E75"/>
    <w:rsid w:val="00B906C1"/>
    <w:rsid w:val="00B91964"/>
    <w:rsid w:val="00B937A5"/>
    <w:rsid w:val="00BA1C12"/>
    <w:rsid w:val="00BA7318"/>
    <w:rsid w:val="00BB3DAA"/>
    <w:rsid w:val="00BB578D"/>
    <w:rsid w:val="00BB6815"/>
    <w:rsid w:val="00BC0A15"/>
    <w:rsid w:val="00BC6A20"/>
    <w:rsid w:val="00BC797D"/>
    <w:rsid w:val="00BD7338"/>
    <w:rsid w:val="00BD7AC1"/>
    <w:rsid w:val="00BE7322"/>
    <w:rsid w:val="00BF18CA"/>
    <w:rsid w:val="00BF7479"/>
    <w:rsid w:val="00C002C1"/>
    <w:rsid w:val="00C0615C"/>
    <w:rsid w:val="00C12F56"/>
    <w:rsid w:val="00C13649"/>
    <w:rsid w:val="00C15BAD"/>
    <w:rsid w:val="00C17844"/>
    <w:rsid w:val="00C216D5"/>
    <w:rsid w:val="00C22B28"/>
    <w:rsid w:val="00C22CE3"/>
    <w:rsid w:val="00C2561B"/>
    <w:rsid w:val="00C263B9"/>
    <w:rsid w:val="00C30F44"/>
    <w:rsid w:val="00C32B89"/>
    <w:rsid w:val="00C34FAD"/>
    <w:rsid w:val="00C35434"/>
    <w:rsid w:val="00C36740"/>
    <w:rsid w:val="00C41FBF"/>
    <w:rsid w:val="00C4302B"/>
    <w:rsid w:val="00C440AF"/>
    <w:rsid w:val="00C44E31"/>
    <w:rsid w:val="00C5111C"/>
    <w:rsid w:val="00C53099"/>
    <w:rsid w:val="00C6174C"/>
    <w:rsid w:val="00C6207B"/>
    <w:rsid w:val="00C63AE7"/>
    <w:rsid w:val="00C65E18"/>
    <w:rsid w:val="00C73611"/>
    <w:rsid w:val="00C77D6E"/>
    <w:rsid w:val="00C802C7"/>
    <w:rsid w:val="00C83411"/>
    <w:rsid w:val="00C87416"/>
    <w:rsid w:val="00C91B7E"/>
    <w:rsid w:val="00C93AF6"/>
    <w:rsid w:val="00C947C3"/>
    <w:rsid w:val="00CA0C78"/>
    <w:rsid w:val="00CA0E2E"/>
    <w:rsid w:val="00CA32C4"/>
    <w:rsid w:val="00CA58C2"/>
    <w:rsid w:val="00CA6F7A"/>
    <w:rsid w:val="00CB2100"/>
    <w:rsid w:val="00CB596C"/>
    <w:rsid w:val="00CC59C6"/>
    <w:rsid w:val="00CD27B0"/>
    <w:rsid w:val="00CD3107"/>
    <w:rsid w:val="00CD3B28"/>
    <w:rsid w:val="00CD4A39"/>
    <w:rsid w:val="00CD78C8"/>
    <w:rsid w:val="00CE317A"/>
    <w:rsid w:val="00CE3F75"/>
    <w:rsid w:val="00CE56EA"/>
    <w:rsid w:val="00CE600C"/>
    <w:rsid w:val="00CF01CE"/>
    <w:rsid w:val="00CF0C0B"/>
    <w:rsid w:val="00CF75C6"/>
    <w:rsid w:val="00D03CA9"/>
    <w:rsid w:val="00D10D53"/>
    <w:rsid w:val="00D16C7D"/>
    <w:rsid w:val="00D21C48"/>
    <w:rsid w:val="00D230F0"/>
    <w:rsid w:val="00D269CD"/>
    <w:rsid w:val="00D309DB"/>
    <w:rsid w:val="00D404EE"/>
    <w:rsid w:val="00D601EC"/>
    <w:rsid w:val="00D61378"/>
    <w:rsid w:val="00D64C11"/>
    <w:rsid w:val="00D6568D"/>
    <w:rsid w:val="00D66D46"/>
    <w:rsid w:val="00D70FB2"/>
    <w:rsid w:val="00D72F4B"/>
    <w:rsid w:val="00D84B88"/>
    <w:rsid w:val="00D87AAF"/>
    <w:rsid w:val="00D87C4A"/>
    <w:rsid w:val="00D959A2"/>
    <w:rsid w:val="00DA03E8"/>
    <w:rsid w:val="00DA1E12"/>
    <w:rsid w:val="00DA2B1E"/>
    <w:rsid w:val="00DA2C9E"/>
    <w:rsid w:val="00DA37F3"/>
    <w:rsid w:val="00DB77C4"/>
    <w:rsid w:val="00DC01B1"/>
    <w:rsid w:val="00DC0ED4"/>
    <w:rsid w:val="00DE2416"/>
    <w:rsid w:val="00DE26CB"/>
    <w:rsid w:val="00DE41D8"/>
    <w:rsid w:val="00DE5C35"/>
    <w:rsid w:val="00DE5FEF"/>
    <w:rsid w:val="00DE6398"/>
    <w:rsid w:val="00E04F3D"/>
    <w:rsid w:val="00E11DD1"/>
    <w:rsid w:val="00E11E4F"/>
    <w:rsid w:val="00E14F49"/>
    <w:rsid w:val="00E1772E"/>
    <w:rsid w:val="00E20317"/>
    <w:rsid w:val="00E36E6E"/>
    <w:rsid w:val="00E37BFF"/>
    <w:rsid w:val="00E37D54"/>
    <w:rsid w:val="00E42664"/>
    <w:rsid w:val="00E45AA5"/>
    <w:rsid w:val="00E45DB0"/>
    <w:rsid w:val="00E6062D"/>
    <w:rsid w:val="00E621D2"/>
    <w:rsid w:val="00E6411B"/>
    <w:rsid w:val="00E67864"/>
    <w:rsid w:val="00E715E3"/>
    <w:rsid w:val="00E81199"/>
    <w:rsid w:val="00E84874"/>
    <w:rsid w:val="00E90E1C"/>
    <w:rsid w:val="00EA1F77"/>
    <w:rsid w:val="00EA2087"/>
    <w:rsid w:val="00EA24BA"/>
    <w:rsid w:val="00EB6237"/>
    <w:rsid w:val="00EC00DD"/>
    <w:rsid w:val="00EC1BFF"/>
    <w:rsid w:val="00EC2C4A"/>
    <w:rsid w:val="00EC698D"/>
    <w:rsid w:val="00EC7C8A"/>
    <w:rsid w:val="00ED0AD2"/>
    <w:rsid w:val="00ED7996"/>
    <w:rsid w:val="00EE3570"/>
    <w:rsid w:val="00EE4342"/>
    <w:rsid w:val="00EE4E19"/>
    <w:rsid w:val="00EF128D"/>
    <w:rsid w:val="00EF18AF"/>
    <w:rsid w:val="00EF1A7D"/>
    <w:rsid w:val="00EF429A"/>
    <w:rsid w:val="00F00086"/>
    <w:rsid w:val="00F00AFE"/>
    <w:rsid w:val="00F07CF4"/>
    <w:rsid w:val="00F15816"/>
    <w:rsid w:val="00F173AD"/>
    <w:rsid w:val="00F2027D"/>
    <w:rsid w:val="00F24752"/>
    <w:rsid w:val="00F3025D"/>
    <w:rsid w:val="00F32C69"/>
    <w:rsid w:val="00F40410"/>
    <w:rsid w:val="00F42939"/>
    <w:rsid w:val="00F53EE8"/>
    <w:rsid w:val="00F55BC7"/>
    <w:rsid w:val="00F646D9"/>
    <w:rsid w:val="00F71AEF"/>
    <w:rsid w:val="00F724AD"/>
    <w:rsid w:val="00F82E27"/>
    <w:rsid w:val="00F84ACC"/>
    <w:rsid w:val="00F85339"/>
    <w:rsid w:val="00F86DC7"/>
    <w:rsid w:val="00F9121B"/>
    <w:rsid w:val="00F915A9"/>
    <w:rsid w:val="00F9176D"/>
    <w:rsid w:val="00F947D7"/>
    <w:rsid w:val="00FA3442"/>
    <w:rsid w:val="00FA7044"/>
    <w:rsid w:val="00FB616E"/>
    <w:rsid w:val="00FC1510"/>
    <w:rsid w:val="00FC21BC"/>
    <w:rsid w:val="00FC2B11"/>
    <w:rsid w:val="00FD0919"/>
    <w:rsid w:val="00FD5A15"/>
    <w:rsid w:val="00FD6A9B"/>
    <w:rsid w:val="00FE08ED"/>
    <w:rsid w:val="00FE25E5"/>
    <w:rsid w:val="00FE758C"/>
    <w:rsid w:val="00FE79B5"/>
    <w:rsid w:val="00FF0015"/>
    <w:rsid w:val="00FF0C54"/>
    <w:rsid w:val="00FF1366"/>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F2017-3FC2-44BE-8F9E-52675C6F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1F"/>
    <w:pPr>
      <w:spacing w:after="160" w:line="259" w:lineRule="auto"/>
    </w:pPr>
    <w:rPr>
      <w:lang w:val="en-ZA"/>
    </w:rPr>
  </w:style>
  <w:style w:type="paragraph" w:styleId="Heading1">
    <w:name w:val="heading 1"/>
    <w:basedOn w:val="Normal"/>
    <w:next w:val="Normal"/>
    <w:link w:val="Heading1Char"/>
    <w:uiPriority w:val="9"/>
    <w:qFormat/>
    <w:rsid w:val="005150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48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05D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05D1F"/>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505D1F"/>
    <w:pPr>
      <w:spacing w:after="200" w:line="276" w:lineRule="auto"/>
      <w:ind w:left="720"/>
      <w:contextualSpacing/>
    </w:pPr>
    <w:rPr>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HCR: - Footnote text"/>
    <w:basedOn w:val="Normal"/>
    <w:link w:val="FootnoteTextChar"/>
    <w:uiPriority w:val="99"/>
    <w:unhideWhenUsed/>
    <w:qFormat/>
    <w:rsid w:val="00505D1F"/>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505D1F"/>
    <w:rPr>
      <w:sz w:val="20"/>
      <w:szCs w:val="20"/>
      <w:lang w:val="en-ZA"/>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basedOn w:val="DefaultParagraphFont"/>
    <w:uiPriority w:val="99"/>
    <w:unhideWhenUsed/>
    <w:qFormat/>
    <w:rsid w:val="00505D1F"/>
    <w:rPr>
      <w:vertAlign w:val="superscript"/>
    </w:rPr>
  </w:style>
  <w:style w:type="paragraph" w:styleId="BalloonText">
    <w:name w:val="Balloon Text"/>
    <w:basedOn w:val="Normal"/>
    <w:link w:val="BalloonTextChar"/>
    <w:uiPriority w:val="99"/>
    <w:semiHidden/>
    <w:unhideWhenUsed/>
    <w:rsid w:val="00C4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AF"/>
    <w:rPr>
      <w:rFonts w:ascii="Segoe UI" w:hAnsi="Segoe UI" w:cs="Segoe UI"/>
      <w:sz w:val="18"/>
      <w:szCs w:val="18"/>
      <w:lang w:val="en-ZA"/>
    </w:rPr>
  </w:style>
  <w:style w:type="character" w:styleId="Strong">
    <w:name w:val="Strong"/>
    <w:basedOn w:val="DefaultParagraphFont"/>
    <w:uiPriority w:val="22"/>
    <w:qFormat/>
    <w:rsid w:val="00564500"/>
    <w:rPr>
      <w:b/>
      <w:bCs/>
    </w:rPr>
  </w:style>
  <w:style w:type="paragraph" w:styleId="Header">
    <w:name w:val="header"/>
    <w:basedOn w:val="Normal"/>
    <w:link w:val="HeaderChar"/>
    <w:uiPriority w:val="99"/>
    <w:unhideWhenUsed/>
    <w:rsid w:val="00F8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27"/>
    <w:rPr>
      <w:lang w:val="en-ZA"/>
    </w:rPr>
  </w:style>
  <w:style w:type="paragraph" w:styleId="Footer">
    <w:name w:val="footer"/>
    <w:basedOn w:val="Normal"/>
    <w:link w:val="FooterChar"/>
    <w:uiPriority w:val="99"/>
    <w:unhideWhenUsed/>
    <w:rsid w:val="00F8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27"/>
    <w:rPr>
      <w:lang w:val="en-ZA"/>
    </w:rPr>
  </w:style>
  <w:style w:type="paragraph" w:styleId="Quote">
    <w:name w:val="Quote"/>
    <w:basedOn w:val="Heading1"/>
    <w:link w:val="QuoteChar"/>
    <w:uiPriority w:val="99"/>
    <w:qFormat/>
    <w:rsid w:val="005150B4"/>
    <w:pPr>
      <w:keepLines w:val="0"/>
      <w:widowControl w:val="0"/>
      <w:autoSpaceDE w:val="0"/>
      <w:autoSpaceDN w:val="0"/>
      <w:adjustRightInd w:val="0"/>
      <w:spacing w:before="120" w:after="120" w:line="480" w:lineRule="auto"/>
      <w:ind w:left="1418" w:right="567"/>
      <w:jc w:val="both"/>
      <w:outlineLvl w:val="9"/>
    </w:pPr>
    <w:rPr>
      <w:rFonts w:ascii="Arial" w:eastAsia="Arial Unicode MS" w:hAnsi="Arial" w:cs="Times New Roman"/>
      <w:b/>
      <w:bCs/>
      <w:i/>
      <w:color w:val="auto"/>
      <w:sz w:val="22"/>
      <w:szCs w:val="22"/>
      <w:lang w:val="en-US"/>
    </w:rPr>
  </w:style>
  <w:style w:type="character" w:customStyle="1" w:styleId="QuoteChar">
    <w:name w:val="Quote Char"/>
    <w:basedOn w:val="DefaultParagraphFont"/>
    <w:link w:val="Quote"/>
    <w:uiPriority w:val="99"/>
    <w:rsid w:val="005150B4"/>
    <w:rPr>
      <w:rFonts w:ascii="Arial" w:eastAsia="Arial Unicode MS" w:hAnsi="Arial" w:cs="Times New Roman"/>
      <w:b/>
      <w:bCs/>
      <w:i/>
    </w:rPr>
  </w:style>
  <w:style w:type="character" w:customStyle="1" w:styleId="Heading1Char">
    <w:name w:val="Heading 1 Char"/>
    <w:basedOn w:val="DefaultParagraphFont"/>
    <w:link w:val="Heading1"/>
    <w:uiPriority w:val="9"/>
    <w:rsid w:val="005150B4"/>
    <w:rPr>
      <w:rFonts w:asciiTheme="majorHAnsi" w:eastAsiaTheme="majorEastAsia" w:hAnsiTheme="majorHAnsi" w:cstheme="majorBidi"/>
      <w:color w:val="365F91" w:themeColor="accent1" w:themeShade="BF"/>
      <w:sz w:val="32"/>
      <w:szCs w:val="32"/>
      <w:lang w:val="en-ZA"/>
    </w:rPr>
  </w:style>
  <w:style w:type="character" w:customStyle="1" w:styleId="Heading2Char">
    <w:name w:val="Heading 2 Char"/>
    <w:basedOn w:val="DefaultParagraphFont"/>
    <w:link w:val="Heading2"/>
    <w:uiPriority w:val="9"/>
    <w:semiHidden/>
    <w:rsid w:val="00E84874"/>
    <w:rPr>
      <w:rFonts w:asciiTheme="majorHAnsi" w:eastAsiaTheme="majorEastAsia" w:hAnsiTheme="majorHAnsi" w:cstheme="majorBidi"/>
      <w:color w:val="365F91" w:themeColor="accent1" w:themeShade="BF"/>
      <w:sz w:val="26"/>
      <w:szCs w:val="26"/>
      <w:lang w:val="en-ZA"/>
    </w:rPr>
  </w:style>
  <w:style w:type="paragraph" w:styleId="NormalWeb">
    <w:name w:val="Normal (Web)"/>
    <w:basedOn w:val="Normal"/>
    <w:uiPriority w:val="99"/>
    <w:semiHidden/>
    <w:unhideWhenUsed/>
    <w:rsid w:val="00F84AC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F84AC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09">
      <w:bodyDiv w:val="1"/>
      <w:marLeft w:val="0"/>
      <w:marRight w:val="0"/>
      <w:marTop w:val="0"/>
      <w:marBottom w:val="0"/>
      <w:divBdr>
        <w:top w:val="none" w:sz="0" w:space="0" w:color="auto"/>
        <w:left w:val="none" w:sz="0" w:space="0" w:color="auto"/>
        <w:bottom w:val="none" w:sz="0" w:space="0" w:color="auto"/>
        <w:right w:val="none" w:sz="0" w:space="0" w:color="auto"/>
      </w:divBdr>
    </w:div>
    <w:div w:id="549612252">
      <w:bodyDiv w:val="1"/>
      <w:marLeft w:val="0"/>
      <w:marRight w:val="0"/>
      <w:marTop w:val="0"/>
      <w:marBottom w:val="0"/>
      <w:divBdr>
        <w:top w:val="none" w:sz="0" w:space="0" w:color="auto"/>
        <w:left w:val="none" w:sz="0" w:space="0" w:color="auto"/>
        <w:bottom w:val="none" w:sz="0" w:space="0" w:color="auto"/>
        <w:right w:val="none" w:sz="0" w:space="0" w:color="auto"/>
      </w:divBdr>
    </w:div>
    <w:div w:id="1141920113">
      <w:bodyDiv w:val="1"/>
      <w:marLeft w:val="0"/>
      <w:marRight w:val="0"/>
      <w:marTop w:val="0"/>
      <w:marBottom w:val="0"/>
      <w:divBdr>
        <w:top w:val="none" w:sz="0" w:space="0" w:color="auto"/>
        <w:left w:val="none" w:sz="0" w:space="0" w:color="auto"/>
        <w:bottom w:val="none" w:sz="0" w:space="0" w:color="auto"/>
        <w:right w:val="none" w:sz="0" w:space="0" w:color="auto"/>
      </w:divBdr>
    </w:div>
    <w:div w:id="17942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2020-06-15T18:30:00+00:00</Judgment_x0020_Date>
    <Year xmlns="c1afb1bd-f2fb-40fd-9abb-aea55b4d7662">2020</Year>
  </documentManagement>
</p:properties>
</file>

<file path=customXml/itemProps1.xml><?xml version="1.0" encoding="utf-8"?>
<ds:datastoreItem xmlns:ds="http://schemas.openxmlformats.org/officeDocument/2006/customXml" ds:itemID="{63066BAD-EA90-4574-9BAD-CFD986053420}"/>
</file>

<file path=customXml/itemProps2.xml><?xml version="1.0" encoding="utf-8"?>
<ds:datastoreItem xmlns:ds="http://schemas.openxmlformats.org/officeDocument/2006/customXml" ds:itemID="{C985FD17-3AF1-4576-8E1C-0ADE9C21FC39}"/>
</file>

<file path=customXml/itemProps3.xml><?xml version="1.0" encoding="utf-8"?>
<ds:datastoreItem xmlns:ds="http://schemas.openxmlformats.org/officeDocument/2006/customXml" ds:itemID="{31C03B7B-8022-4753-AE39-57B3863BE949}"/>
</file>

<file path=customXml/itemProps4.xml><?xml version="1.0" encoding="utf-8"?>
<ds:datastoreItem xmlns:ds="http://schemas.openxmlformats.org/officeDocument/2006/customXml" ds:itemID="{298C2BE9-D27B-4E19-BD31-FAC77655118E}"/>
</file>

<file path=docProps/app.xml><?xml version="1.0" encoding="utf-8"?>
<Properties xmlns="http://schemas.openxmlformats.org/officeDocument/2006/extended-properties" xmlns:vt="http://schemas.openxmlformats.org/officeDocument/2006/docPropsVTypes">
  <Template>Normal</Template>
  <TotalTime>3</TotalTime>
  <Pages>25</Pages>
  <Words>6552</Words>
  <Characters>37352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Karslruh Number 1 Farming CC v Esterhuizen (HC-MD-CIV-ACT-DEL-2016-02394) [2020] NAHCMD 255 (16 June 2020)</dc:title>
  <dc:subject/>
  <dc:creator>Priscilla Nande</dc:creator>
  <cp:keywords/>
  <dc:description/>
  <cp:lastModifiedBy>Administrator</cp:lastModifiedBy>
  <cp:revision>4</cp:revision>
  <cp:lastPrinted>2020-06-25T09:16:00Z</cp:lastPrinted>
  <dcterms:created xsi:type="dcterms:W3CDTF">2020-06-26T09:49:00Z</dcterms:created>
  <dcterms:modified xsi:type="dcterms:W3CDTF">2020-06-26T09:52:00Z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