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66" w:rsidRPr="00307266" w:rsidRDefault="00307266" w:rsidP="00307266">
      <w:pPr>
        <w:jc w:val="center"/>
        <w:rPr>
          <w:rFonts w:ascii="Arial" w:hAnsi="Arial" w:cs="Arial"/>
          <w:sz w:val="24"/>
          <w:szCs w:val="24"/>
          <w:lang w:val="en-US"/>
        </w:rPr>
      </w:pPr>
      <w:r w:rsidRPr="00307266">
        <w:rPr>
          <w:lang w:val="en-US"/>
        </w:rPr>
        <w:t>“</w:t>
      </w:r>
      <w:r w:rsidRPr="00307266">
        <w:rPr>
          <w:rFonts w:ascii="Arial" w:hAnsi="Arial" w:cs="Arial"/>
          <w:sz w:val="24"/>
          <w:szCs w:val="24"/>
          <w:lang w:val="en-US"/>
        </w:rPr>
        <w:t>ANNEXURE 11”</w:t>
      </w:r>
    </w:p>
    <w:p w:rsidR="00307266" w:rsidRPr="00307266" w:rsidRDefault="00307266" w:rsidP="00307266">
      <w:pPr>
        <w:jc w:val="center"/>
        <w:rPr>
          <w:rFonts w:ascii="Arial" w:hAnsi="Arial" w:cs="Arial"/>
          <w:sz w:val="24"/>
          <w:szCs w:val="24"/>
          <w:lang w:val="en-US"/>
        </w:rPr>
      </w:pPr>
      <w:r w:rsidRPr="00307266">
        <w:rPr>
          <w:rFonts w:ascii="Arial" w:hAnsi="Arial" w:cs="Arial"/>
          <w:sz w:val="24"/>
          <w:szCs w:val="24"/>
          <w:lang w:val="en-US"/>
        </w:rPr>
        <w:t>Practice Direction 61</w:t>
      </w:r>
    </w:p>
    <w:p w:rsidR="00307266" w:rsidRPr="00307266" w:rsidRDefault="00307266" w:rsidP="00307266">
      <w:pPr>
        <w:jc w:val="center"/>
        <w:rPr>
          <w:rFonts w:ascii="Arial" w:hAnsi="Arial" w:cs="Arial"/>
          <w:b/>
          <w:sz w:val="24"/>
          <w:szCs w:val="24"/>
          <w:lang w:val="en-US"/>
        </w:rPr>
      </w:pPr>
      <w:r w:rsidRPr="00307266">
        <w:rPr>
          <w:rFonts w:ascii="Arial" w:hAnsi="Arial" w:cs="Arial"/>
          <w:b/>
          <w:sz w:val="24"/>
          <w:szCs w:val="24"/>
          <w:lang w:val="en-US"/>
        </w:rPr>
        <w:t>IN THE HIGH COURT OF NAMIBIA</w:t>
      </w:r>
    </w:p>
    <w:p w:rsidR="00307266" w:rsidRPr="00307266" w:rsidRDefault="00307266" w:rsidP="00307266">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307266" w:rsidRPr="00307266" w:rsidTr="003E4FD0">
        <w:tc>
          <w:tcPr>
            <w:tcW w:w="4950" w:type="dxa"/>
            <w:vMerge w:val="restart"/>
          </w:tcPr>
          <w:p w:rsidR="00307266" w:rsidRPr="00307266" w:rsidRDefault="00307266" w:rsidP="00307266">
            <w:pPr>
              <w:spacing w:line="360" w:lineRule="auto"/>
              <w:rPr>
                <w:rFonts w:ascii="Arial" w:hAnsi="Arial" w:cs="Arial"/>
                <w:b/>
                <w:sz w:val="24"/>
                <w:szCs w:val="24"/>
                <w:lang w:val="en-US"/>
              </w:rPr>
            </w:pPr>
            <w:r w:rsidRPr="00307266">
              <w:rPr>
                <w:rFonts w:ascii="Arial" w:hAnsi="Arial" w:cs="Arial"/>
                <w:b/>
                <w:sz w:val="24"/>
                <w:szCs w:val="24"/>
                <w:lang w:val="en-US"/>
              </w:rPr>
              <w:t>Case Title:</w:t>
            </w:r>
          </w:p>
          <w:p w:rsidR="00307266" w:rsidRPr="00307266" w:rsidRDefault="00307266" w:rsidP="00307266">
            <w:pPr>
              <w:spacing w:line="360" w:lineRule="auto"/>
              <w:rPr>
                <w:rFonts w:ascii="Arial" w:hAnsi="Arial" w:cs="Arial"/>
                <w:i/>
                <w:sz w:val="24"/>
                <w:szCs w:val="24"/>
                <w:lang w:val="en-US"/>
              </w:rPr>
            </w:pPr>
            <w:r w:rsidRPr="00307266">
              <w:rPr>
                <w:rFonts w:ascii="Arial" w:hAnsi="Arial" w:cs="Arial"/>
                <w:i/>
                <w:sz w:val="24"/>
                <w:szCs w:val="24"/>
                <w:lang w:val="en-US"/>
              </w:rPr>
              <w:t xml:space="preserve">Pretoria Clothing &amp; Caps (Pty) Ltd v Roland Donavan Jacobs t/a Streethouse Clothing Namibia </w:t>
            </w:r>
          </w:p>
        </w:tc>
        <w:tc>
          <w:tcPr>
            <w:tcW w:w="5130" w:type="dxa"/>
          </w:tcPr>
          <w:p w:rsidR="00307266" w:rsidRPr="00307266" w:rsidRDefault="00307266" w:rsidP="00307266">
            <w:pPr>
              <w:spacing w:line="360" w:lineRule="auto"/>
              <w:rPr>
                <w:rFonts w:ascii="Arial" w:hAnsi="Arial" w:cs="Arial"/>
                <w:b/>
                <w:sz w:val="24"/>
                <w:szCs w:val="24"/>
                <w:lang w:val="en-US"/>
              </w:rPr>
            </w:pPr>
            <w:r w:rsidRPr="00307266">
              <w:rPr>
                <w:rFonts w:ascii="Arial" w:hAnsi="Arial" w:cs="Arial"/>
                <w:b/>
                <w:sz w:val="24"/>
                <w:szCs w:val="24"/>
                <w:lang w:val="en-US"/>
              </w:rPr>
              <w:t>Case No.:</w:t>
            </w:r>
          </w:p>
          <w:p w:rsidR="00307266" w:rsidRPr="00307266" w:rsidRDefault="00307266" w:rsidP="00307266">
            <w:pPr>
              <w:spacing w:line="360" w:lineRule="auto"/>
              <w:rPr>
                <w:rFonts w:ascii="Arial" w:hAnsi="Arial" w:cs="Arial"/>
                <w:sz w:val="24"/>
                <w:szCs w:val="24"/>
                <w:lang w:val="en-US"/>
              </w:rPr>
            </w:pPr>
            <w:r w:rsidRPr="00307266">
              <w:rPr>
                <w:rFonts w:ascii="Arial" w:hAnsi="Arial" w:cs="Arial"/>
                <w:sz w:val="24"/>
                <w:szCs w:val="24"/>
                <w:shd w:val="clear" w:color="auto" w:fill="FFFFFF"/>
              </w:rPr>
              <w:t>HC-MD-CIV-ACT-CON-2019/02468</w:t>
            </w:r>
          </w:p>
        </w:tc>
      </w:tr>
      <w:tr w:rsidR="00307266" w:rsidRPr="00307266" w:rsidTr="003E4FD0">
        <w:tc>
          <w:tcPr>
            <w:tcW w:w="4950" w:type="dxa"/>
            <w:vMerge/>
          </w:tcPr>
          <w:p w:rsidR="00307266" w:rsidRPr="00307266" w:rsidRDefault="00307266" w:rsidP="00307266">
            <w:pPr>
              <w:spacing w:line="360" w:lineRule="auto"/>
              <w:rPr>
                <w:rFonts w:ascii="Arial" w:hAnsi="Arial" w:cs="Arial"/>
                <w:sz w:val="24"/>
                <w:szCs w:val="24"/>
                <w:lang w:val="en-US"/>
              </w:rPr>
            </w:pPr>
          </w:p>
        </w:tc>
        <w:tc>
          <w:tcPr>
            <w:tcW w:w="5130" w:type="dxa"/>
          </w:tcPr>
          <w:p w:rsidR="00307266" w:rsidRPr="00307266" w:rsidRDefault="00307266" w:rsidP="00307266">
            <w:pPr>
              <w:spacing w:line="360" w:lineRule="auto"/>
              <w:rPr>
                <w:rFonts w:ascii="Arial" w:hAnsi="Arial" w:cs="Arial"/>
                <w:sz w:val="24"/>
                <w:szCs w:val="24"/>
                <w:lang w:val="en-US"/>
              </w:rPr>
            </w:pPr>
            <w:r w:rsidRPr="00307266">
              <w:rPr>
                <w:rFonts w:ascii="Arial" w:hAnsi="Arial" w:cs="Arial"/>
                <w:b/>
                <w:sz w:val="24"/>
                <w:szCs w:val="24"/>
                <w:lang w:val="en-US"/>
              </w:rPr>
              <w:t>Division of Court</w:t>
            </w:r>
            <w:r w:rsidRPr="00307266">
              <w:rPr>
                <w:rFonts w:ascii="Arial" w:hAnsi="Arial" w:cs="Arial"/>
                <w:sz w:val="24"/>
                <w:szCs w:val="24"/>
                <w:lang w:val="en-US"/>
              </w:rPr>
              <w:t>:</w:t>
            </w:r>
          </w:p>
          <w:p w:rsidR="00307266" w:rsidRPr="00307266" w:rsidRDefault="00307266" w:rsidP="00307266">
            <w:pPr>
              <w:spacing w:line="360" w:lineRule="auto"/>
              <w:rPr>
                <w:rFonts w:ascii="Arial" w:hAnsi="Arial" w:cs="Arial"/>
                <w:sz w:val="24"/>
                <w:szCs w:val="24"/>
                <w:lang w:val="en-US"/>
              </w:rPr>
            </w:pPr>
            <w:r w:rsidRPr="00307266">
              <w:rPr>
                <w:rFonts w:ascii="Arial" w:hAnsi="Arial" w:cs="Arial"/>
                <w:sz w:val="24"/>
                <w:szCs w:val="24"/>
                <w:lang w:val="en-US"/>
              </w:rPr>
              <w:t>High Court (Main Division)</w:t>
            </w:r>
          </w:p>
        </w:tc>
      </w:tr>
      <w:tr w:rsidR="00307266" w:rsidRPr="00307266" w:rsidTr="003E4FD0">
        <w:tc>
          <w:tcPr>
            <w:tcW w:w="4950" w:type="dxa"/>
            <w:vMerge w:val="restart"/>
          </w:tcPr>
          <w:p w:rsidR="00307266" w:rsidRPr="00104377" w:rsidRDefault="00104377" w:rsidP="00307266">
            <w:pPr>
              <w:spacing w:line="360" w:lineRule="auto"/>
              <w:rPr>
                <w:rFonts w:ascii="Arial" w:hAnsi="Arial" w:cs="Arial"/>
                <w:b/>
                <w:sz w:val="24"/>
                <w:szCs w:val="24"/>
                <w:lang w:val="en-US"/>
              </w:rPr>
            </w:pPr>
            <w:r w:rsidRPr="00104377">
              <w:rPr>
                <w:rFonts w:ascii="Arial" w:hAnsi="Arial" w:cs="Arial"/>
                <w:b/>
                <w:sz w:val="24"/>
                <w:szCs w:val="24"/>
                <w:lang w:val="en-US"/>
              </w:rPr>
              <w:t>Heard/tried before:</w:t>
            </w:r>
          </w:p>
          <w:p w:rsidR="00104377" w:rsidRPr="00307266" w:rsidRDefault="00104377" w:rsidP="00307266">
            <w:pPr>
              <w:spacing w:line="360" w:lineRule="auto"/>
              <w:rPr>
                <w:rFonts w:ascii="Arial" w:hAnsi="Arial" w:cs="Arial"/>
                <w:sz w:val="24"/>
                <w:szCs w:val="24"/>
                <w:lang w:val="en-US"/>
              </w:rPr>
            </w:pPr>
            <w:r>
              <w:rPr>
                <w:rFonts w:ascii="Arial" w:hAnsi="Arial" w:cs="Arial"/>
                <w:sz w:val="24"/>
                <w:szCs w:val="24"/>
                <w:lang w:val="en-US"/>
              </w:rPr>
              <w:t>Honourable Mr Justice B Usiku J</w:t>
            </w:r>
          </w:p>
        </w:tc>
        <w:tc>
          <w:tcPr>
            <w:tcW w:w="5130" w:type="dxa"/>
          </w:tcPr>
          <w:p w:rsidR="00307266" w:rsidRPr="00307266" w:rsidRDefault="00307266" w:rsidP="00307266">
            <w:pPr>
              <w:spacing w:line="360" w:lineRule="auto"/>
              <w:rPr>
                <w:rFonts w:ascii="Arial" w:hAnsi="Arial" w:cs="Arial"/>
                <w:b/>
                <w:sz w:val="24"/>
                <w:szCs w:val="24"/>
                <w:lang w:val="en-US"/>
              </w:rPr>
            </w:pPr>
            <w:r w:rsidRPr="00307266">
              <w:rPr>
                <w:rFonts w:ascii="Arial" w:hAnsi="Arial" w:cs="Arial"/>
                <w:b/>
                <w:sz w:val="24"/>
                <w:szCs w:val="24"/>
                <w:lang w:val="en-US"/>
              </w:rPr>
              <w:t>Date of hearing:</w:t>
            </w:r>
          </w:p>
          <w:p w:rsidR="00307266" w:rsidRPr="00307266" w:rsidRDefault="00307266" w:rsidP="00307266">
            <w:pPr>
              <w:spacing w:line="360" w:lineRule="auto"/>
              <w:rPr>
                <w:rFonts w:ascii="Arial" w:hAnsi="Arial" w:cs="Arial"/>
                <w:sz w:val="24"/>
                <w:szCs w:val="24"/>
                <w:lang w:val="en-US"/>
              </w:rPr>
            </w:pPr>
            <w:r w:rsidRPr="00307266">
              <w:rPr>
                <w:rFonts w:ascii="Arial" w:hAnsi="Arial" w:cs="Arial"/>
                <w:sz w:val="24"/>
                <w:szCs w:val="24"/>
                <w:lang w:val="en-US"/>
              </w:rPr>
              <w:t>30 June 2020</w:t>
            </w:r>
          </w:p>
          <w:p w:rsidR="00307266" w:rsidRPr="00307266" w:rsidRDefault="00307266" w:rsidP="00307266">
            <w:pPr>
              <w:spacing w:line="360" w:lineRule="auto"/>
              <w:rPr>
                <w:rFonts w:ascii="Arial" w:hAnsi="Arial" w:cs="Arial"/>
                <w:sz w:val="24"/>
                <w:szCs w:val="24"/>
                <w:lang w:val="en-US"/>
              </w:rPr>
            </w:pPr>
          </w:p>
        </w:tc>
      </w:tr>
      <w:tr w:rsidR="00307266" w:rsidRPr="00307266" w:rsidTr="003E4FD0">
        <w:trPr>
          <w:trHeight w:val="1187"/>
        </w:trPr>
        <w:tc>
          <w:tcPr>
            <w:tcW w:w="4950" w:type="dxa"/>
            <w:vMerge/>
          </w:tcPr>
          <w:p w:rsidR="00307266" w:rsidRPr="00307266" w:rsidRDefault="00307266" w:rsidP="00307266">
            <w:pPr>
              <w:rPr>
                <w:rFonts w:ascii="Arial" w:hAnsi="Arial" w:cs="Arial"/>
                <w:b/>
                <w:sz w:val="24"/>
                <w:szCs w:val="24"/>
                <w:lang w:val="en-US"/>
              </w:rPr>
            </w:pPr>
          </w:p>
        </w:tc>
        <w:tc>
          <w:tcPr>
            <w:tcW w:w="5130" w:type="dxa"/>
          </w:tcPr>
          <w:p w:rsidR="00307266" w:rsidRPr="00307266" w:rsidRDefault="00307266" w:rsidP="00307266">
            <w:pPr>
              <w:spacing w:line="360" w:lineRule="auto"/>
              <w:rPr>
                <w:rFonts w:ascii="Arial" w:hAnsi="Arial" w:cs="Arial"/>
                <w:b/>
                <w:sz w:val="24"/>
                <w:szCs w:val="24"/>
                <w:lang w:val="en-US"/>
              </w:rPr>
            </w:pPr>
            <w:r w:rsidRPr="00307266">
              <w:rPr>
                <w:rFonts w:ascii="Arial" w:hAnsi="Arial" w:cs="Arial"/>
                <w:b/>
                <w:sz w:val="24"/>
                <w:szCs w:val="24"/>
                <w:lang w:val="en-US"/>
              </w:rPr>
              <w:t>Delivered on:</w:t>
            </w:r>
          </w:p>
          <w:p w:rsidR="00307266" w:rsidRPr="00307266" w:rsidRDefault="00307266" w:rsidP="00307266">
            <w:pPr>
              <w:spacing w:line="360" w:lineRule="auto"/>
              <w:rPr>
                <w:rFonts w:ascii="Arial" w:hAnsi="Arial" w:cs="Arial"/>
                <w:sz w:val="24"/>
                <w:szCs w:val="24"/>
                <w:lang w:val="en-US"/>
              </w:rPr>
            </w:pPr>
            <w:r w:rsidRPr="00307266">
              <w:rPr>
                <w:rFonts w:ascii="Arial" w:hAnsi="Arial" w:cs="Arial"/>
                <w:sz w:val="24"/>
                <w:szCs w:val="24"/>
                <w:lang w:val="en-US"/>
              </w:rPr>
              <w:t>30 June 2020</w:t>
            </w:r>
          </w:p>
          <w:p w:rsidR="00307266" w:rsidRPr="00307266" w:rsidRDefault="00307266" w:rsidP="00307266">
            <w:pPr>
              <w:spacing w:line="360" w:lineRule="auto"/>
              <w:rPr>
                <w:rFonts w:ascii="Arial" w:hAnsi="Arial" w:cs="Arial"/>
                <w:b/>
                <w:sz w:val="24"/>
                <w:szCs w:val="24"/>
                <w:lang w:val="en-US"/>
              </w:rPr>
            </w:pPr>
          </w:p>
        </w:tc>
      </w:tr>
      <w:tr w:rsidR="00307266" w:rsidRPr="00307266" w:rsidTr="003E4FD0">
        <w:trPr>
          <w:trHeight w:val="1187"/>
        </w:trPr>
        <w:tc>
          <w:tcPr>
            <w:tcW w:w="4950" w:type="dxa"/>
            <w:vMerge/>
          </w:tcPr>
          <w:p w:rsidR="00307266" w:rsidRPr="00307266" w:rsidRDefault="00307266" w:rsidP="00307266">
            <w:pPr>
              <w:rPr>
                <w:rFonts w:ascii="Arial" w:hAnsi="Arial" w:cs="Arial"/>
                <w:b/>
                <w:sz w:val="24"/>
                <w:szCs w:val="24"/>
                <w:lang w:val="en-US"/>
              </w:rPr>
            </w:pPr>
          </w:p>
        </w:tc>
        <w:tc>
          <w:tcPr>
            <w:tcW w:w="5130" w:type="dxa"/>
          </w:tcPr>
          <w:p w:rsidR="00307266" w:rsidRPr="00307266" w:rsidRDefault="00307266" w:rsidP="00307266">
            <w:pPr>
              <w:spacing w:line="360" w:lineRule="auto"/>
              <w:rPr>
                <w:rFonts w:ascii="Arial" w:hAnsi="Arial" w:cs="Arial"/>
                <w:b/>
                <w:sz w:val="24"/>
                <w:szCs w:val="24"/>
                <w:lang w:val="en-US"/>
              </w:rPr>
            </w:pPr>
            <w:r w:rsidRPr="00307266">
              <w:rPr>
                <w:rFonts w:ascii="Arial" w:hAnsi="Arial" w:cs="Arial"/>
                <w:b/>
                <w:sz w:val="24"/>
                <w:szCs w:val="24"/>
                <w:lang w:val="en-US"/>
              </w:rPr>
              <w:t>Reasons released on:</w:t>
            </w:r>
          </w:p>
          <w:p w:rsidR="00307266" w:rsidRPr="00307266" w:rsidRDefault="00307266" w:rsidP="00307266">
            <w:pPr>
              <w:spacing w:line="360" w:lineRule="auto"/>
              <w:rPr>
                <w:rFonts w:ascii="Arial" w:hAnsi="Arial" w:cs="Arial"/>
                <w:sz w:val="24"/>
                <w:szCs w:val="24"/>
                <w:lang w:val="en-US"/>
              </w:rPr>
            </w:pPr>
            <w:r w:rsidRPr="00307266">
              <w:rPr>
                <w:rFonts w:ascii="Arial" w:hAnsi="Arial" w:cs="Arial"/>
                <w:sz w:val="24"/>
                <w:szCs w:val="24"/>
                <w:lang w:val="en-US"/>
              </w:rPr>
              <w:t>03 July 2020</w:t>
            </w:r>
          </w:p>
        </w:tc>
      </w:tr>
      <w:tr w:rsidR="00307266" w:rsidRPr="00307266" w:rsidTr="003E4FD0">
        <w:tc>
          <w:tcPr>
            <w:tcW w:w="10080" w:type="dxa"/>
            <w:gridSpan w:val="2"/>
          </w:tcPr>
          <w:p w:rsidR="00307266" w:rsidRPr="00307266" w:rsidRDefault="00307266" w:rsidP="00307266">
            <w:pPr>
              <w:spacing w:line="360" w:lineRule="auto"/>
              <w:rPr>
                <w:rFonts w:ascii="Arial" w:hAnsi="Arial" w:cs="Arial"/>
                <w:sz w:val="24"/>
                <w:szCs w:val="24"/>
                <w:lang w:val="en-US"/>
              </w:rPr>
            </w:pPr>
            <w:r w:rsidRPr="00307266">
              <w:rPr>
                <w:rFonts w:ascii="Arial" w:hAnsi="Arial" w:cs="Arial"/>
                <w:b/>
                <w:sz w:val="24"/>
                <w:szCs w:val="24"/>
                <w:lang w:val="en-US"/>
              </w:rPr>
              <w:t xml:space="preserve">Neutral citation:  </w:t>
            </w:r>
            <w:r w:rsidRPr="00307266">
              <w:rPr>
                <w:rFonts w:ascii="Arial" w:hAnsi="Arial" w:cs="Arial"/>
                <w:i/>
                <w:sz w:val="24"/>
                <w:szCs w:val="24"/>
                <w:lang w:val="en-US"/>
              </w:rPr>
              <w:t>Pretoria Clothing &amp; Caps (Pty) Ltd v Roland Donavan Jacobs t/a Streethouse Clothing Namibia</w:t>
            </w:r>
            <w:r w:rsidRPr="00307266">
              <w:rPr>
                <w:rFonts w:ascii="Arial" w:hAnsi="Arial" w:cs="Arial"/>
                <w:sz w:val="24"/>
                <w:szCs w:val="24"/>
                <w:lang w:val="en-US"/>
              </w:rPr>
              <w:t xml:space="preserve"> (HC-MD-CIV-ACT</w:t>
            </w:r>
            <w:r w:rsidRPr="00307266">
              <w:rPr>
                <w:rFonts w:ascii="Arial" w:hAnsi="Arial" w:cs="Arial"/>
                <w:sz w:val="24"/>
                <w:szCs w:val="24"/>
                <w:shd w:val="clear" w:color="auto" w:fill="FFFFFF"/>
              </w:rPr>
              <w:t>- CON- 2019/02468</w:t>
            </w:r>
            <w:r w:rsidRPr="00307266">
              <w:rPr>
                <w:rFonts w:ascii="Arial" w:hAnsi="Arial" w:cs="Arial"/>
                <w:sz w:val="24"/>
                <w:szCs w:val="24"/>
                <w:lang w:val="en-US"/>
              </w:rPr>
              <w:t xml:space="preserve"> [2020] NAHCMD </w:t>
            </w:r>
            <w:r w:rsidR="00C77AB5">
              <w:rPr>
                <w:rFonts w:ascii="Arial" w:hAnsi="Arial" w:cs="Arial"/>
                <w:sz w:val="24"/>
                <w:szCs w:val="24"/>
                <w:lang w:val="en-US"/>
              </w:rPr>
              <w:t>265</w:t>
            </w:r>
            <w:r w:rsidRPr="00307266">
              <w:rPr>
                <w:rFonts w:ascii="Arial" w:hAnsi="Arial" w:cs="Arial"/>
                <w:sz w:val="24"/>
                <w:szCs w:val="24"/>
                <w:lang w:val="en-US"/>
              </w:rPr>
              <w:t xml:space="preserve"> (30 June 2020)</w:t>
            </w:r>
          </w:p>
          <w:p w:rsidR="00307266" w:rsidRPr="00307266" w:rsidRDefault="00307266" w:rsidP="00307266">
            <w:pPr>
              <w:rPr>
                <w:rFonts w:ascii="Arial" w:hAnsi="Arial" w:cs="Arial"/>
                <w:sz w:val="24"/>
                <w:szCs w:val="24"/>
                <w:lang w:val="en-US"/>
              </w:rPr>
            </w:pPr>
          </w:p>
        </w:tc>
      </w:tr>
      <w:tr w:rsidR="00307266" w:rsidRPr="00307266" w:rsidTr="003E4FD0">
        <w:tc>
          <w:tcPr>
            <w:tcW w:w="10080" w:type="dxa"/>
            <w:gridSpan w:val="2"/>
          </w:tcPr>
          <w:p w:rsidR="00307266" w:rsidRPr="00307266" w:rsidRDefault="00307266" w:rsidP="00307266">
            <w:pPr>
              <w:spacing w:line="360" w:lineRule="auto"/>
              <w:rPr>
                <w:rFonts w:ascii="Arial" w:hAnsi="Arial" w:cs="Arial"/>
                <w:b/>
                <w:sz w:val="24"/>
                <w:szCs w:val="24"/>
                <w:lang w:val="en-US"/>
              </w:rPr>
            </w:pPr>
          </w:p>
          <w:p w:rsidR="00307266" w:rsidRPr="00307266" w:rsidRDefault="00307266" w:rsidP="00307266">
            <w:pPr>
              <w:tabs>
                <w:tab w:val="left" w:pos="687"/>
              </w:tabs>
              <w:spacing w:line="360" w:lineRule="auto"/>
              <w:rPr>
                <w:rFonts w:ascii="Arial" w:hAnsi="Arial" w:cs="Arial"/>
                <w:b/>
                <w:sz w:val="24"/>
                <w:szCs w:val="24"/>
                <w:lang w:val="en-US"/>
              </w:rPr>
            </w:pPr>
            <w:r w:rsidRPr="00307266">
              <w:rPr>
                <w:rFonts w:ascii="Arial" w:hAnsi="Arial" w:cs="Arial"/>
                <w:b/>
                <w:sz w:val="24"/>
                <w:szCs w:val="24"/>
                <w:lang w:val="en-US"/>
              </w:rPr>
              <w:t>The Order:</w:t>
            </w:r>
          </w:p>
          <w:p w:rsidR="00307266" w:rsidRPr="00307266" w:rsidRDefault="00307266" w:rsidP="00307266">
            <w:pPr>
              <w:spacing w:line="360" w:lineRule="auto"/>
              <w:rPr>
                <w:rFonts w:ascii="Arial" w:hAnsi="Arial" w:cs="Arial"/>
                <w:sz w:val="24"/>
                <w:szCs w:val="24"/>
                <w:lang w:val="en-US"/>
              </w:rPr>
            </w:pPr>
            <w:r w:rsidRPr="00307266">
              <w:rPr>
                <w:rFonts w:ascii="Arial" w:hAnsi="Arial" w:cs="Arial"/>
                <w:sz w:val="24"/>
                <w:szCs w:val="24"/>
                <w:lang w:val="en-US"/>
              </w:rPr>
              <w:t>Having heard</w:t>
            </w:r>
            <w:r w:rsidR="00374378">
              <w:rPr>
                <w:rFonts w:ascii="Arial" w:hAnsi="Arial" w:cs="Arial"/>
                <w:sz w:val="24"/>
                <w:szCs w:val="24"/>
                <w:lang w:val="en-US"/>
              </w:rPr>
              <w:t xml:space="preserve"> </w:t>
            </w:r>
            <w:r w:rsidR="00374378" w:rsidRPr="00374378">
              <w:rPr>
                <w:rFonts w:ascii="Arial" w:hAnsi="Arial" w:cs="Arial"/>
                <w:b/>
                <w:sz w:val="24"/>
                <w:szCs w:val="24"/>
                <w:lang w:val="en-US"/>
              </w:rPr>
              <w:t>Advocate Nekwaya</w:t>
            </w:r>
            <w:r w:rsidR="00374378">
              <w:rPr>
                <w:rFonts w:ascii="Arial" w:hAnsi="Arial" w:cs="Arial"/>
                <w:sz w:val="24"/>
                <w:szCs w:val="24"/>
                <w:lang w:val="en-US"/>
              </w:rPr>
              <w:t xml:space="preserve">, on behalf of the Plaintiff and </w:t>
            </w:r>
            <w:r w:rsidR="00374378" w:rsidRPr="00374378">
              <w:rPr>
                <w:rFonts w:ascii="Arial" w:hAnsi="Arial" w:cs="Arial"/>
                <w:b/>
                <w:sz w:val="24"/>
                <w:szCs w:val="24"/>
                <w:lang w:val="en-US"/>
              </w:rPr>
              <w:t>Mr Naude</w:t>
            </w:r>
            <w:r w:rsidR="00374378">
              <w:rPr>
                <w:rFonts w:ascii="Arial" w:hAnsi="Arial" w:cs="Arial"/>
                <w:sz w:val="24"/>
                <w:szCs w:val="24"/>
                <w:lang w:val="en-US"/>
              </w:rPr>
              <w:t xml:space="preserve">, </w:t>
            </w:r>
            <w:r w:rsidRPr="00307266">
              <w:rPr>
                <w:rFonts w:ascii="Arial" w:hAnsi="Arial" w:cs="Arial"/>
                <w:sz w:val="24"/>
                <w:szCs w:val="24"/>
                <w:lang w:val="en-US"/>
              </w:rPr>
              <w:t>on behalf of the  Defendant and having read documents filed of record:</w:t>
            </w:r>
          </w:p>
          <w:p w:rsidR="00307266" w:rsidRPr="00307266" w:rsidRDefault="00307266" w:rsidP="00307266">
            <w:pPr>
              <w:rPr>
                <w:rFonts w:ascii="Arial" w:hAnsi="Arial" w:cs="Arial"/>
                <w:sz w:val="24"/>
                <w:szCs w:val="24"/>
                <w:lang w:val="en-US"/>
              </w:rPr>
            </w:pPr>
          </w:p>
          <w:p w:rsidR="00307266" w:rsidRPr="00307266" w:rsidRDefault="00307266" w:rsidP="00307266">
            <w:pPr>
              <w:spacing w:line="360" w:lineRule="auto"/>
              <w:rPr>
                <w:rFonts w:ascii="Arial" w:hAnsi="Arial" w:cs="Arial"/>
                <w:b/>
                <w:sz w:val="24"/>
                <w:szCs w:val="24"/>
                <w:lang w:val="en-US"/>
              </w:rPr>
            </w:pPr>
            <w:r w:rsidRPr="00307266">
              <w:rPr>
                <w:rFonts w:ascii="Arial" w:hAnsi="Arial" w:cs="Arial"/>
                <w:b/>
                <w:sz w:val="24"/>
                <w:szCs w:val="24"/>
                <w:lang w:val="en-US"/>
              </w:rPr>
              <w:t>IT IS ORDERED THAT:</w:t>
            </w:r>
          </w:p>
          <w:p w:rsidR="00307266" w:rsidRPr="00307266" w:rsidRDefault="00307266" w:rsidP="00307266">
            <w:pPr>
              <w:spacing w:line="360" w:lineRule="auto"/>
              <w:rPr>
                <w:rFonts w:ascii="Arial" w:hAnsi="Arial" w:cs="Arial"/>
                <w:b/>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1.</w:t>
            </w:r>
            <w:r w:rsidRPr="00307266">
              <w:rPr>
                <w:rFonts w:ascii="Arial" w:hAnsi="Arial" w:cs="Arial"/>
                <w:sz w:val="24"/>
                <w:szCs w:val="24"/>
                <w:lang w:val="en-US"/>
              </w:rPr>
              <w:tab/>
              <w:t>The defendant’s application for security for costs is struck from the roll for non-compliance with the provisions of rule 32(9) and (10).</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lastRenderedPageBreak/>
              <w:t>2.</w:t>
            </w:r>
            <w:r w:rsidRPr="00307266">
              <w:rPr>
                <w:rFonts w:ascii="Arial" w:hAnsi="Arial" w:cs="Arial"/>
                <w:sz w:val="24"/>
                <w:szCs w:val="24"/>
                <w:lang w:val="en-US"/>
              </w:rPr>
              <w:tab/>
              <w:t>The defendant is ordered to pay the plaintiff’s costs occasioned by plaintiff’s opposition to the application for security for costs.  Such costs include costs of one instructing and one instructed legal practitioner.</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3.</w:t>
            </w:r>
            <w:r w:rsidRPr="00307266">
              <w:rPr>
                <w:rFonts w:ascii="Arial" w:hAnsi="Arial" w:cs="Arial"/>
                <w:sz w:val="24"/>
                <w:szCs w:val="24"/>
                <w:lang w:val="en-US"/>
              </w:rPr>
              <w:tab/>
              <w:t xml:space="preserve">The defendant’s third and fifth grounds of exception are dismissed.  The defendant is ordered to pay the plaintiff’s costs occasioned </w:t>
            </w:r>
            <w:r>
              <w:rPr>
                <w:rFonts w:ascii="Arial" w:hAnsi="Arial" w:cs="Arial"/>
                <w:sz w:val="24"/>
                <w:szCs w:val="24"/>
                <w:lang w:val="en-US"/>
              </w:rPr>
              <w:t>by plaintiff’s opposition to the</w:t>
            </w:r>
            <w:r w:rsidRPr="00307266">
              <w:rPr>
                <w:rFonts w:ascii="Arial" w:hAnsi="Arial" w:cs="Arial"/>
                <w:sz w:val="24"/>
                <w:szCs w:val="24"/>
                <w:lang w:val="en-US"/>
              </w:rPr>
              <w:t xml:space="preserve"> third and fifth grounds of exception.  Such costs include costs of one instructing and one instructed legal practitioner.</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4.</w:t>
            </w:r>
            <w:r w:rsidRPr="00307266">
              <w:rPr>
                <w:rFonts w:ascii="Arial" w:hAnsi="Arial" w:cs="Arial"/>
                <w:sz w:val="24"/>
                <w:szCs w:val="24"/>
                <w:lang w:val="en-US"/>
              </w:rPr>
              <w:tab/>
              <w:t>The plaintiff is ordered to pay the defendant’s costs in respect of the</w:t>
            </w:r>
            <w:r>
              <w:rPr>
                <w:rFonts w:ascii="Arial" w:hAnsi="Arial" w:cs="Arial"/>
                <w:sz w:val="24"/>
                <w:szCs w:val="24"/>
                <w:lang w:val="en-US"/>
              </w:rPr>
              <w:t xml:space="preserve"> first, second and</w:t>
            </w:r>
            <w:r w:rsidRPr="00307266">
              <w:rPr>
                <w:rFonts w:ascii="Arial" w:hAnsi="Arial" w:cs="Arial"/>
                <w:sz w:val="24"/>
                <w:szCs w:val="24"/>
                <w:lang w:val="en-US"/>
              </w:rPr>
              <w:t xml:space="preserve"> fourth ground</w:t>
            </w:r>
            <w:r>
              <w:rPr>
                <w:rFonts w:ascii="Arial" w:hAnsi="Arial" w:cs="Arial"/>
                <w:sz w:val="24"/>
                <w:szCs w:val="24"/>
                <w:lang w:val="en-US"/>
              </w:rPr>
              <w:t>s</w:t>
            </w:r>
            <w:r w:rsidRPr="00307266">
              <w:rPr>
                <w:rFonts w:ascii="Arial" w:hAnsi="Arial" w:cs="Arial"/>
                <w:sz w:val="24"/>
                <w:szCs w:val="24"/>
                <w:lang w:val="en-US"/>
              </w:rPr>
              <w:t xml:space="preserve"> of exception.  Such costs include costs of one instructing and</w:t>
            </w:r>
            <w:r w:rsidR="0061687E">
              <w:rPr>
                <w:rFonts w:ascii="Arial" w:hAnsi="Arial" w:cs="Arial"/>
                <w:sz w:val="24"/>
                <w:szCs w:val="24"/>
                <w:lang w:val="en-US"/>
              </w:rPr>
              <w:t xml:space="preserve"> one</w:t>
            </w:r>
            <w:r w:rsidRPr="00307266">
              <w:rPr>
                <w:rFonts w:ascii="Arial" w:hAnsi="Arial" w:cs="Arial"/>
                <w:sz w:val="24"/>
                <w:szCs w:val="24"/>
                <w:lang w:val="en-US"/>
              </w:rPr>
              <w:t xml:space="preserve"> instructed legal practitioner.</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2E0F7C"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sidR="00307266" w:rsidRPr="00307266">
              <w:rPr>
                <w:rFonts w:ascii="Arial" w:hAnsi="Arial" w:cs="Arial"/>
                <w:sz w:val="24"/>
                <w:szCs w:val="24"/>
                <w:lang w:val="en-US"/>
              </w:rPr>
              <w:t>.</w:t>
            </w:r>
            <w:r w:rsidR="00307266" w:rsidRPr="00307266">
              <w:rPr>
                <w:rFonts w:ascii="Arial" w:hAnsi="Arial" w:cs="Arial"/>
                <w:sz w:val="24"/>
                <w:szCs w:val="24"/>
                <w:lang w:val="en-US"/>
              </w:rPr>
              <w:tab/>
              <w:t>The plaintiff is ordered to pay defendant’s costs, occasioned by the defendant’s opposition to the a</w:t>
            </w:r>
            <w:r>
              <w:rPr>
                <w:rFonts w:ascii="Arial" w:hAnsi="Arial" w:cs="Arial"/>
                <w:sz w:val="24"/>
                <w:szCs w:val="24"/>
                <w:lang w:val="en-US"/>
              </w:rPr>
              <w:t>pplication for summary judgment.</w:t>
            </w:r>
            <w:r w:rsidR="00307266" w:rsidRPr="00307266">
              <w:rPr>
                <w:rFonts w:ascii="Arial" w:hAnsi="Arial" w:cs="Arial"/>
                <w:sz w:val="24"/>
                <w:szCs w:val="24"/>
                <w:lang w:val="en-US"/>
              </w:rPr>
              <w:t xml:space="preserve"> Such costs include costs of one instructing and one instructed legal practitioner.  </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Default="002E0F7C" w:rsidP="002E0F7C">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plaintiff is granted leave to amend its particulars of claim, if so advised, within 15 days from 3 July 2020.</w:t>
            </w:r>
          </w:p>
          <w:p w:rsidR="002E0F7C" w:rsidRDefault="002E0F7C" w:rsidP="002E0F7C">
            <w:pPr>
              <w:tabs>
                <w:tab w:val="left" w:pos="432"/>
              </w:tabs>
              <w:spacing w:line="360" w:lineRule="auto"/>
              <w:jc w:val="both"/>
              <w:rPr>
                <w:rFonts w:ascii="Arial" w:hAnsi="Arial" w:cs="Arial"/>
                <w:sz w:val="24"/>
                <w:szCs w:val="24"/>
                <w:lang w:val="en-US"/>
              </w:rPr>
            </w:pPr>
          </w:p>
          <w:p w:rsidR="002E0F7C" w:rsidRDefault="002E0F7C" w:rsidP="002E0F7C">
            <w:pPr>
              <w:tabs>
                <w:tab w:val="left" w:pos="432"/>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matter is postponed to 19 August 2020 at 15:15 for Case Planning Conference.</w:t>
            </w:r>
          </w:p>
          <w:p w:rsidR="002E0F7C" w:rsidRPr="00307266" w:rsidRDefault="002E0F7C" w:rsidP="002E0F7C">
            <w:pPr>
              <w:tabs>
                <w:tab w:val="left" w:pos="432"/>
              </w:tabs>
              <w:spacing w:line="360" w:lineRule="auto"/>
              <w:jc w:val="both"/>
              <w:rPr>
                <w:rFonts w:ascii="Arial" w:hAnsi="Arial" w:cs="Arial"/>
                <w:sz w:val="24"/>
                <w:szCs w:val="24"/>
                <w:lang w:val="en-US"/>
              </w:rPr>
            </w:pPr>
          </w:p>
          <w:p w:rsidR="00307266" w:rsidRPr="00307266" w:rsidRDefault="002E0F7C"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8</w:t>
            </w:r>
            <w:r w:rsidR="00307266" w:rsidRPr="00307266">
              <w:rPr>
                <w:rFonts w:ascii="Arial" w:hAnsi="Arial" w:cs="Arial"/>
                <w:sz w:val="24"/>
                <w:szCs w:val="24"/>
                <w:lang w:val="en-US"/>
              </w:rPr>
              <w:t>.</w:t>
            </w:r>
            <w:r w:rsidR="00307266" w:rsidRPr="00307266">
              <w:rPr>
                <w:rFonts w:ascii="Arial" w:hAnsi="Arial" w:cs="Arial"/>
                <w:sz w:val="24"/>
                <w:szCs w:val="24"/>
                <w:lang w:val="en-US"/>
              </w:rPr>
              <w:tab/>
              <w:t xml:space="preserve">The parties must file a joint </w:t>
            </w:r>
            <w:r w:rsidR="000F34EB">
              <w:rPr>
                <w:rFonts w:ascii="Arial" w:hAnsi="Arial" w:cs="Arial"/>
                <w:sz w:val="24"/>
                <w:szCs w:val="24"/>
                <w:lang w:val="en-US"/>
              </w:rPr>
              <w:t>case plan</w:t>
            </w:r>
            <w:r w:rsidR="00307266" w:rsidRPr="00307266">
              <w:rPr>
                <w:rFonts w:ascii="Arial" w:hAnsi="Arial" w:cs="Arial"/>
                <w:sz w:val="24"/>
                <w:szCs w:val="24"/>
                <w:lang w:val="en-US"/>
              </w:rPr>
              <w:t xml:space="preserve"> on or before </w:t>
            </w:r>
            <w:r>
              <w:rPr>
                <w:rFonts w:ascii="Arial" w:hAnsi="Arial" w:cs="Arial"/>
                <w:sz w:val="24"/>
                <w:szCs w:val="24"/>
                <w:lang w:val="en-US"/>
              </w:rPr>
              <w:t>12 August</w:t>
            </w:r>
            <w:r w:rsidR="00307266" w:rsidRPr="00307266">
              <w:rPr>
                <w:rFonts w:ascii="Arial" w:hAnsi="Arial" w:cs="Arial"/>
                <w:sz w:val="24"/>
                <w:szCs w:val="24"/>
                <w:lang w:val="en-US"/>
              </w:rPr>
              <w:t xml:space="preserve"> 2020.</w:t>
            </w:r>
          </w:p>
          <w:p w:rsidR="00307266" w:rsidRDefault="00307266" w:rsidP="00307266">
            <w:pPr>
              <w:tabs>
                <w:tab w:val="left" w:pos="432"/>
              </w:tabs>
              <w:spacing w:line="360" w:lineRule="auto"/>
              <w:jc w:val="both"/>
              <w:rPr>
                <w:rFonts w:ascii="Arial" w:hAnsi="Arial" w:cs="Arial"/>
                <w:sz w:val="24"/>
                <w:szCs w:val="24"/>
                <w:lang w:val="en-US"/>
              </w:rPr>
            </w:pPr>
          </w:p>
          <w:p w:rsidR="00374378" w:rsidRPr="00307266" w:rsidRDefault="00374378" w:rsidP="00307266">
            <w:pPr>
              <w:tabs>
                <w:tab w:val="left" w:pos="432"/>
              </w:tabs>
              <w:spacing w:line="360" w:lineRule="auto"/>
              <w:jc w:val="both"/>
              <w:rPr>
                <w:rFonts w:ascii="Arial" w:hAnsi="Arial" w:cs="Arial"/>
                <w:sz w:val="24"/>
                <w:szCs w:val="24"/>
                <w:lang w:val="en-US"/>
              </w:rPr>
            </w:pPr>
          </w:p>
        </w:tc>
      </w:tr>
      <w:tr w:rsidR="00307266" w:rsidRPr="00307266" w:rsidTr="003E4FD0">
        <w:tc>
          <w:tcPr>
            <w:tcW w:w="10080" w:type="dxa"/>
            <w:gridSpan w:val="2"/>
          </w:tcPr>
          <w:p w:rsidR="00307266" w:rsidRPr="00307266" w:rsidRDefault="00307266" w:rsidP="00307266">
            <w:pPr>
              <w:jc w:val="center"/>
              <w:rPr>
                <w:rFonts w:ascii="Arial" w:hAnsi="Arial" w:cs="Arial"/>
                <w:b/>
                <w:sz w:val="24"/>
                <w:szCs w:val="24"/>
                <w:lang w:val="en-US"/>
              </w:rPr>
            </w:pPr>
            <w:r w:rsidRPr="00307266">
              <w:rPr>
                <w:rFonts w:ascii="Arial" w:hAnsi="Arial" w:cs="Arial"/>
                <w:b/>
                <w:sz w:val="24"/>
                <w:szCs w:val="24"/>
                <w:lang w:val="en-US"/>
              </w:rPr>
              <w:lastRenderedPageBreak/>
              <w:t>Reasons:  Practice Direction 61(9)</w:t>
            </w:r>
          </w:p>
          <w:p w:rsidR="00307266" w:rsidRPr="00307266" w:rsidRDefault="00307266" w:rsidP="00307266">
            <w:pPr>
              <w:rPr>
                <w:rFonts w:ascii="Arial" w:hAnsi="Arial" w:cs="Arial"/>
                <w:b/>
                <w:sz w:val="24"/>
                <w:szCs w:val="24"/>
                <w:lang w:val="en-US"/>
              </w:rPr>
            </w:pPr>
          </w:p>
        </w:tc>
      </w:tr>
      <w:tr w:rsidR="00307266" w:rsidRPr="00307266" w:rsidTr="003E4FD0">
        <w:tc>
          <w:tcPr>
            <w:tcW w:w="10080" w:type="dxa"/>
            <w:gridSpan w:val="2"/>
          </w:tcPr>
          <w:p w:rsidR="00307266" w:rsidRPr="00307266" w:rsidRDefault="00307266" w:rsidP="00307266">
            <w:pPr>
              <w:jc w:val="both"/>
              <w:rPr>
                <w:rFonts w:ascii="Arial" w:hAnsi="Arial" w:cs="Arial"/>
                <w:sz w:val="24"/>
                <w:szCs w:val="24"/>
                <w:u w:val="single"/>
                <w:lang w:val="en-US"/>
              </w:rPr>
            </w:pPr>
            <w:r w:rsidRPr="00307266">
              <w:rPr>
                <w:rFonts w:ascii="Arial" w:hAnsi="Arial" w:cs="Arial"/>
                <w:sz w:val="24"/>
                <w:szCs w:val="24"/>
                <w:u w:val="single"/>
                <w:lang w:val="en-US"/>
              </w:rPr>
              <w:t xml:space="preserve">Introduction </w:t>
            </w:r>
          </w:p>
          <w:p w:rsidR="00307266" w:rsidRPr="00307266" w:rsidRDefault="00307266" w:rsidP="00307266">
            <w:pPr>
              <w:jc w:val="both"/>
              <w:rPr>
                <w:rFonts w:ascii="Arial" w:hAnsi="Arial" w:cs="Arial"/>
                <w:sz w:val="24"/>
                <w:szCs w:val="24"/>
                <w:u w:val="single"/>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[1]</w:t>
            </w:r>
            <w:r w:rsidRPr="00307266">
              <w:rPr>
                <w:rFonts w:ascii="Arial" w:hAnsi="Arial" w:cs="Arial"/>
                <w:sz w:val="24"/>
                <w:szCs w:val="24"/>
                <w:lang w:val="en-US"/>
              </w:rPr>
              <w:tab/>
            </w:r>
            <w:r w:rsidR="00B61A33">
              <w:rPr>
                <w:rFonts w:ascii="Arial" w:hAnsi="Arial" w:cs="Arial"/>
                <w:sz w:val="24"/>
                <w:szCs w:val="24"/>
                <w:lang w:val="en-US"/>
              </w:rPr>
              <w:tab/>
            </w:r>
            <w:r w:rsidRPr="00307266">
              <w:rPr>
                <w:rFonts w:ascii="Arial" w:hAnsi="Arial" w:cs="Arial"/>
                <w:sz w:val="24"/>
                <w:szCs w:val="24"/>
                <w:lang w:val="en-US"/>
              </w:rPr>
              <w:t>The matter presently before court for adjudication concerns:</w:t>
            </w:r>
          </w:p>
          <w:p w:rsidR="00307266" w:rsidRPr="00307266" w:rsidRDefault="00B61A33"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(a)  </w:t>
            </w:r>
            <w:r w:rsidR="00307266" w:rsidRPr="00307266">
              <w:rPr>
                <w:rFonts w:ascii="Arial" w:hAnsi="Arial" w:cs="Arial"/>
                <w:sz w:val="24"/>
                <w:szCs w:val="24"/>
                <w:lang w:val="en-US"/>
              </w:rPr>
              <w:t>an application by the defendant for security for costs;</w:t>
            </w:r>
          </w:p>
          <w:p w:rsidR="00B61A33" w:rsidRDefault="00B61A33" w:rsidP="00B61A33">
            <w:pPr>
              <w:tabs>
                <w:tab w:val="left" w:pos="432"/>
              </w:tabs>
              <w:spacing w:before="240" w:line="360" w:lineRule="auto"/>
              <w:jc w:val="both"/>
              <w:rPr>
                <w:rFonts w:ascii="Arial" w:hAnsi="Arial" w:cs="Arial"/>
                <w:sz w:val="24"/>
                <w:szCs w:val="24"/>
                <w:lang w:val="en-US"/>
              </w:rPr>
            </w:pPr>
            <w:r>
              <w:rPr>
                <w:rFonts w:ascii="Arial" w:hAnsi="Arial" w:cs="Arial"/>
                <w:sz w:val="24"/>
                <w:szCs w:val="24"/>
                <w:lang w:val="en-US"/>
              </w:rPr>
              <w:lastRenderedPageBreak/>
              <w:tab/>
            </w:r>
            <w:r>
              <w:rPr>
                <w:rFonts w:ascii="Arial" w:hAnsi="Arial" w:cs="Arial"/>
                <w:sz w:val="24"/>
                <w:szCs w:val="24"/>
                <w:lang w:val="en-US"/>
              </w:rPr>
              <w:tab/>
              <w:t xml:space="preserve">(b  </w:t>
            </w:r>
            <w:r w:rsidR="00307266" w:rsidRPr="00307266">
              <w:rPr>
                <w:rFonts w:ascii="Arial" w:hAnsi="Arial" w:cs="Arial"/>
                <w:sz w:val="24"/>
                <w:szCs w:val="24"/>
                <w:lang w:val="en-US"/>
              </w:rPr>
              <w:t xml:space="preserve">an exception raised by the defendant to the plaintiff’s particulars of claim, and, </w:t>
            </w:r>
          </w:p>
          <w:p w:rsidR="00307266" w:rsidRPr="00307266" w:rsidRDefault="00B61A33"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(c)  </w:t>
            </w:r>
            <w:r w:rsidR="00307266" w:rsidRPr="00307266">
              <w:rPr>
                <w:rFonts w:ascii="Arial" w:hAnsi="Arial" w:cs="Arial"/>
                <w:sz w:val="24"/>
                <w:szCs w:val="24"/>
                <w:lang w:val="en-US"/>
              </w:rPr>
              <w:t>an application by the plaintiff for summary judgment.</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[2]</w:t>
            </w:r>
            <w:r w:rsidRPr="00307266">
              <w:rPr>
                <w:rFonts w:ascii="Arial" w:hAnsi="Arial" w:cs="Arial"/>
                <w:sz w:val="24"/>
                <w:szCs w:val="24"/>
                <w:lang w:val="en-US"/>
              </w:rPr>
              <w:tab/>
            </w:r>
            <w:r w:rsidRPr="00307266">
              <w:rPr>
                <w:rFonts w:ascii="Arial" w:hAnsi="Arial" w:cs="Arial"/>
                <w:sz w:val="24"/>
                <w:szCs w:val="24"/>
                <w:lang w:val="en-US"/>
              </w:rPr>
              <w:tab/>
              <w:t>The application for security for costs is launched on the ground that the plaintiff is a peregrinus of this court and has no attachable immovable property in Namibia.  The application is opposed by the plaintiff.</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[3]</w:t>
            </w:r>
            <w:r w:rsidRPr="00307266">
              <w:rPr>
                <w:rFonts w:ascii="Arial" w:hAnsi="Arial" w:cs="Arial"/>
                <w:sz w:val="24"/>
                <w:szCs w:val="24"/>
                <w:lang w:val="en-US"/>
              </w:rPr>
              <w:tab/>
            </w:r>
            <w:r w:rsidRPr="00307266">
              <w:rPr>
                <w:rFonts w:ascii="Arial" w:hAnsi="Arial" w:cs="Arial"/>
                <w:sz w:val="24"/>
                <w:szCs w:val="24"/>
                <w:lang w:val="en-US"/>
              </w:rPr>
              <w:tab/>
              <w:t xml:space="preserve">The exception is delivered on the ground that the particulars of claim disclose no cause of action, alternatively are vague and embarrassing and lack averments which are necessary to sustain a cause of action, and alternatively, excipiable.  In that regard, the defendant has raised five (5) grounds of exception to the particulars of claims.  </w:t>
            </w:r>
          </w:p>
          <w:p w:rsidR="001803C5" w:rsidRPr="00307266" w:rsidRDefault="001803C5" w:rsidP="00307266">
            <w:pPr>
              <w:tabs>
                <w:tab w:val="left" w:pos="432"/>
              </w:tabs>
              <w:spacing w:line="360" w:lineRule="auto"/>
              <w:jc w:val="both"/>
              <w:rPr>
                <w:rFonts w:ascii="Arial" w:hAnsi="Arial" w:cs="Arial"/>
                <w:sz w:val="24"/>
                <w:szCs w:val="24"/>
                <w:lang w:val="en-US"/>
              </w:rPr>
            </w:pPr>
          </w:p>
          <w:p w:rsid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[4]</w:t>
            </w:r>
            <w:r w:rsidRPr="00307266">
              <w:rPr>
                <w:rFonts w:ascii="Arial" w:hAnsi="Arial" w:cs="Arial"/>
                <w:sz w:val="24"/>
                <w:szCs w:val="24"/>
                <w:lang w:val="en-US"/>
              </w:rPr>
              <w:tab/>
            </w:r>
            <w:r w:rsidRPr="00307266">
              <w:rPr>
                <w:rFonts w:ascii="Arial" w:hAnsi="Arial" w:cs="Arial"/>
                <w:sz w:val="24"/>
                <w:szCs w:val="24"/>
                <w:lang w:val="en-US"/>
              </w:rPr>
              <w:tab/>
              <w:t xml:space="preserve">In regard to the application for summary judgment, the plaintiff alleges that the defendant has no </w:t>
            </w:r>
            <w:r w:rsidRPr="00307266">
              <w:rPr>
                <w:rFonts w:ascii="Arial" w:hAnsi="Arial" w:cs="Arial"/>
                <w:i/>
                <w:sz w:val="24"/>
                <w:szCs w:val="24"/>
                <w:lang w:val="en-US"/>
              </w:rPr>
              <w:t>bona fide</w:t>
            </w:r>
            <w:r w:rsidRPr="00307266">
              <w:rPr>
                <w:rFonts w:ascii="Arial" w:hAnsi="Arial" w:cs="Arial"/>
                <w:sz w:val="24"/>
                <w:szCs w:val="24"/>
                <w:lang w:val="en-US"/>
              </w:rPr>
              <w:t xml:space="preserve"> defence to the action and has delivered a notice of intention to defend solely for the purposes of delaying the action.  The defendant opposes the application for summary judgment.</w:t>
            </w:r>
          </w:p>
          <w:p w:rsidR="001803C5" w:rsidRDefault="001803C5" w:rsidP="00307266">
            <w:pPr>
              <w:tabs>
                <w:tab w:val="left" w:pos="432"/>
              </w:tabs>
              <w:spacing w:line="360" w:lineRule="auto"/>
              <w:jc w:val="both"/>
              <w:rPr>
                <w:rFonts w:ascii="Arial" w:hAnsi="Arial" w:cs="Arial"/>
                <w:sz w:val="24"/>
                <w:szCs w:val="24"/>
                <w:lang w:val="en-US"/>
              </w:rPr>
            </w:pPr>
          </w:p>
          <w:p w:rsidR="001803C5" w:rsidRDefault="001803C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Pr>
                <w:rFonts w:ascii="Arial" w:hAnsi="Arial" w:cs="Arial"/>
                <w:sz w:val="24"/>
                <w:szCs w:val="24"/>
                <w:lang w:val="en-US"/>
              </w:rPr>
              <w:tab/>
            </w:r>
            <w:r w:rsidR="0070035A">
              <w:rPr>
                <w:rFonts w:ascii="Arial" w:hAnsi="Arial" w:cs="Arial"/>
                <w:sz w:val="24"/>
                <w:szCs w:val="24"/>
                <w:lang w:val="en-US"/>
              </w:rPr>
              <w:t>On the day of the hear</w:t>
            </w:r>
            <w:r>
              <w:rPr>
                <w:rFonts w:ascii="Arial" w:hAnsi="Arial" w:cs="Arial"/>
                <w:sz w:val="24"/>
                <w:szCs w:val="24"/>
                <w:lang w:val="en-US"/>
              </w:rPr>
              <w:t xml:space="preserve">ing of the </w:t>
            </w:r>
            <w:r w:rsidR="0070035A">
              <w:rPr>
                <w:rFonts w:ascii="Arial" w:hAnsi="Arial" w:cs="Arial"/>
                <w:sz w:val="24"/>
                <w:szCs w:val="24"/>
                <w:lang w:val="en-US"/>
              </w:rPr>
              <w:t>above</w:t>
            </w:r>
            <w:r>
              <w:rPr>
                <w:rFonts w:ascii="Arial" w:hAnsi="Arial" w:cs="Arial"/>
                <w:sz w:val="24"/>
                <w:szCs w:val="24"/>
                <w:lang w:val="en-US"/>
              </w:rPr>
              <w:t>mentioned applications, at the onset of oral argument, the plaintiff’s legal practitioner, among other things, indicated that due to certain consideration</w:t>
            </w:r>
            <w:r w:rsidR="0070035A">
              <w:rPr>
                <w:rFonts w:ascii="Arial" w:hAnsi="Arial" w:cs="Arial"/>
                <w:sz w:val="24"/>
                <w:szCs w:val="24"/>
                <w:lang w:val="en-US"/>
              </w:rPr>
              <w:t>s</w:t>
            </w:r>
            <w:r>
              <w:rPr>
                <w:rFonts w:ascii="Arial" w:hAnsi="Arial" w:cs="Arial"/>
                <w:sz w:val="24"/>
                <w:szCs w:val="24"/>
                <w:lang w:val="en-US"/>
              </w:rPr>
              <w:t>:</w:t>
            </w:r>
          </w:p>
          <w:p w:rsidR="001803C5" w:rsidRDefault="00B61A33"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1803C5">
              <w:rPr>
                <w:rFonts w:ascii="Arial" w:hAnsi="Arial" w:cs="Arial"/>
                <w:sz w:val="24"/>
                <w:szCs w:val="24"/>
                <w:lang w:val="en-US"/>
              </w:rPr>
              <w:t xml:space="preserve">(a)  the plaintiff withdraws its application for summary judgment and tender the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1803C5">
              <w:rPr>
                <w:rFonts w:ascii="Arial" w:hAnsi="Arial" w:cs="Arial"/>
                <w:sz w:val="24"/>
                <w:szCs w:val="24"/>
                <w:lang w:val="en-US"/>
              </w:rPr>
              <w:t>defendant’s wasted costs, and that,</w:t>
            </w:r>
          </w:p>
          <w:p w:rsidR="001803C5" w:rsidRDefault="00B61A33"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1803C5">
              <w:rPr>
                <w:rFonts w:ascii="Arial" w:hAnsi="Arial" w:cs="Arial"/>
                <w:sz w:val="24"/>
                <w:szCs w:val="24"/>
                <w:lang w:val="en-US"/>
              </w:rPr>
              <w:t xml:space="preserve">(b)  the plaintiff no longer persists in its opposition to the first, second and fourth grounds </w:t>
            </w:r>
            <w:r>
              <w:rPr>
                <w:rFonts w:ascii="Arial" w:hAnsi="Arial" w:cs="Arial"/>
                <w:sz w:val="24"/>
                <w:szCs w:val="24"/>
                <w:lang w:val="en-US"/>
              </w:rPr>
              <w:tab/>
            </w:r>
            <w:r>
              <w:rPr>
                <w:rFonts w:ascii="Arial" w:hAnsi="Arial" w:cs="Arial"/>
                <w:sz w:val="24"/>
                <w:szCs w:val="24"/>
                <w:lang w:val="en-US"/>
              </w:rPr>
              <w:tab/>
            </w:r>
            <w:r w:rsidR="001803C5">
              <w:rPr>
                <w:rFonts w:ascii="Arial" w:hAnsi="Arial" w:cs="Arial"/>
                <w:sz w:val="24"/>
                <w:szCs w:val="24"/>
                <w:lang w:val="en-US"/>
              </w:rPr>
              <w:t>of exception and that the dispute between the parties</w:t>
            </w:r>
            <w:r w:rsidR="0070035A">
              <w:rPr>
                <w:rFonts w:ascii="Arial" w:hAnsi="Arial" w:cs="Arial"/>
                <w:sz w:val="24"/>
                <w:szCs w:val="24"/>
                <w:lang w:val="en-US"/>
              </w:rPr>
              <w:t>,</w:t>
            </w:r>
            <w:r w:rsidR="001803C5">
              <w:rPr>
                <w:rFonts w:ascii="Arial" w:hAnsi="Arial" w:cs="Arial"/>
                <w:sz w:val="24"/>
                <w:szCs w:val="24"/>
                <w:lang w:val="en-US"/>
              </w:rPr>
              <w:t xml:space="preserve"> insofar as the exception is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1803C5">
              <w:rPr>
                <w:rFonts w:ascii="Arial" w:hAnsi="Arial" w:cs="Arial"/>
                <w:sz w:val="24"/>
                <w:szCs w:val="24"/>
                <w:lang w:val="en-US"/>
              </w:rPr>
              <w:t>concerned, is in respect with the third and fifth grounds of exception.</w:t>
            </w:r>
          </w:p>
          <w:p w:rsidR="001803C5" w:rsidRDefault="001803C5" w:rsidP="00307266">
            <w:pPr>
              <w:tabs>
                <w:tab w:val="left" w:pos="432"/>
              </w:tabs>
              <w:spacing w:line="360" w:lineRule="auto"/>
              <w:jc w:val="both"/>
              <w:rPr>
                <w:rFonts w:ascii="Arial" w:hAnsi="Arial" w:cs="Arial"/>
                <w:sz w:val="24"/>
                <w:szCs w:val="24"/>
                <w:lang w:val="en-US"/>
              </w:rPr>
            </w:pPr>
          </w:p>
          <w:p w:rsidR="001803C5" w:rsidRPr="00307266" w:rsidRDefault="001803C5" w:rsidP="00307266">
            <w:pPr>
              <w:tabs>
                <w:tab w:val="left" w:pos="432"/>
              </w:tabs>
              <w:spacing w:line="360" w:lineRule="auto"/>
              <w:jc w:val="both"/>
              <w:rPr>
                <w:rFonts w:ascii="Arial" w:hAnsi="Arial" w:cs="Arial"/>
                <w:i/>
                <w:sz w:val="24"/>
                <w:szCs w:val="24"/>
                <w:lang w:val="en-US"/>
              </w:rPr>
            </w:pPr>
            <w:r>
              <w:rPr>
                <w:rFonts w:ascii="Arial" w:hAnsi="Arial" w:cs="Arial"/>
                <w:sz w:val="24"/>
                <w:szCs w:val="24"/>
                <w:lang w:val="en-US"/>
              </w:rPr>
              <w:t>[6]</w:t>
            </w:r>
            <w:r>
              <w:rPr>
                <w:rFonts w:ascii="Arial" w:hAnsi="Arial" w:cs="Arial"/>
                <w:sz w:val="24"/>
                <w:szCs w:val="24"/>
                <w:lang w:val="en-US"/>
              </w:rPr>
              <w:tab/>
            </w:r>
            <w:r>
              <w:rPr>
                <w:rFonts w:ascii="Arial" w:hAnsi="Arial" w:cs="Arial"/>
                <w:sz w:val="24"/>
                <w:szCs w:val="24"/>
                <w:lang w:val="en-US"/>
              </w:rPr>
              <w:tab/>
              <w:t xml:space="preserve">In view of the aforegoing submissions, the issues presently before court and which the parties </w:t>
            </w:r>
            <w:r w:rsidR="0070035A">
              <w:rPr>
                <w:rFonts w:ascii="Arial" w:hAnsi="Arial" w:cs="Arial"/>
                <w:sz w:val="24"/>
                <w:szCs w:val="24"/>
                <w:lang w:val="en-US"/>
              </w:rPr>
              <w:t>argued are the third and the fifth grounds of the defendant’s exception</w:t>
            </w:r>
            <w:r>
              <w:rPr>
                <w:rFonts w:ascii="Arial" w:hAnsi="Arial" w:cs="Arial"/>
                <w:sz w:val="24"/>
                <w:szCs w:val="24"/>
                <w:lang w:val="en-US"/>
              </w:rPr>
              <w:t xml:space="preserve"> and the defendant’s application for security for costs.  I shall first deal with the application for security for costs.  Later I would deal with the third and fifth grounds of the defendant’s exception.</w:t>
            </w:r>
          </w:p>
          <w:p w:rsidR="00307266" w:rsidRPr="00307266" w:rsidRDefault="00307266" w:rsidP="00307266">
            <w:pPr>
              <w:tabs>
                <w:tab w:val="left" w:pos="432"/>
              </w:tabs>
              <w:spacing w:line="360" w:lineRule="auto"/>
              <w:jc w:val="both"/>
              <w:rPr>
                <w:rFonts w:ascii="Arial" w:hAnsi="Arial" w:cs="Arial"/>
                <w:i/>
                <w:sz w:val="24"/>
                <w:szCs w:val="24"/>
                <w:u w:val="single"/>
                <w:lang w:val="en-US"/>
              </w:rPr>
            </w:pPr>
          </w:p>
          <w:p w:rsidR="00307266" w:rsidRPr="00307266" w:rsidRDefault="00307266" w:rsidP="00307266">
            <w:pPr>
              <w:tabs>
                <w:tab w:val="left" w:pos="432"/>
              </w:tabs>
              <w:spacing w:line="360" w:lineRule="auto"/>
              <w:jc w:val="both"/>
              <w:rPr>
                <w:rFonts w:ascii="Arial" w:hAnsi="Arial" w:cs="Arial"/>
                <w:sz w:val="24"/>
                <w:szCs w:val="24"/>
                <w:u w:val="single"/>
                <w:lang w:val="en-US"/>
              </w:rPr>
            </w:pPr>
            <w:r w:rsidRPr="00307266">
              <w:rPr>
                <w:rFonts w:ascii="Arial" w:hAnsi="Arial" w:cs="Arial"/>
                <w:sz w:val="24"/>
                <w:szCs w:val="24"/>
                <w:u w:val="single"/>
                <w:lang w:val="en-US"/>
              </w:rPr>
              <w:t>Defendant’s application for security for costs</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1803C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[7</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 xml:space="preserve">The plaintiff raises a </w:t>
            </w:r>
            <w:r w:rsidR="00307266" w:rsidRPr="00307266">
              <w:rPr>
                <w:rFonts w:ascii="Arial" w:hAnsi="Arial" w:cs="Arial"/>
                <w:i/>
                <w:sz w:val="24"/>
                <w:szCs w:val="24"/>
                <w:lang w:val="en-US"/>
              </w:rPr>
              <w:t>point in limine</w:t>
            </w:r>
            <w:r w:rsidR="00307266" w:rsidRPr="00307266">
              <w:rPr>
                <w:rFonts w:ascii="Arial" w:hAnsi="Arial" w:cs="Arial"/>
                <w:sz w:val="24"/>
                <w:szCs w:val="24"/>
                <w:lang w:val="en-US"/>
              </w:rPr>
              <w:t xml:space="preserve">, in regard to the application for security for costs, to the effect that the defendant has not complied with the provisions of rule 32(9) and (10) before launching his application.  In response to this </w:t>
            </w:r>
            <w:r w:rsidR="00307266" w:rsidRPr="00307266">
              <w:rPr>
                <w:rFonts w:ascii="Arial" w:hAnsi="Arial" w:cs="Arial"/>
                <w:i/>
                <w:sz w:val="24"/>
                <w:szCs w:val="24"/>
                <w:lang w:val="en-US"/>
              </w:rPr>
              <w:t>point in limine</w:t>
            </w:r>
            <w:r w:rsidR="00307266" w:rsidRPr="00307266">
              <w:rPr>
                <w:rFonts w:ascii="Arial" w:hAnsi="Arial" w:cs="Arial"/>
                <w:sz w:val="24"/>
                <w:szCs w:val="24"/>
                <w:lang w:val="en-US"/>
              </w:rPr>
              <w:t>, the defendant contends that it has complied with the provisions of rule 32(9) and (10) report on 13 November 2019 instead of the 8 November 2019 deadline.  And the defendant seeks condonation for the one court day late filing of the rule 32(10) report.</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1803C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[8</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It is common cause that by court order dated 17 October 2019, the defendant was directed to comply with rule 32(9) and (10) not later than 8 November 2019.</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1803C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[9</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It is also not in dispute that on Thursday 07 November 2019, the defendant, purportedly in an attempt to comply with the aforesaid court order, addressed a letter to the plaintiff’s attorneys, in the following terms, in part:</w:t>
            </w:r>
          </w:p>
          <w:p w:rsidR="00307266" w:rsidRPr="00307266" w:rsidRDefault="00307266" w:rsidP="00307266">
            <w:pPr>
              <w:tabs>
                <w:tab w:val="left" w:pos="432"/>
              </w:tabs>
              <w:spacing w:line="360" w:lineRule="auto"/>
              <w:jc w:val="both"/>
              <w:rPr>
                <w:rFonts w:ascii="Arial" w:hAnsi="Arial" w:cs="Arial"/>
                <w:lang w:val="en-US"/>
              </w:rPr>
            </w:pPr>
            <w:r w:rsidRPr="00307266">
              <w:rPr>
                <w:rFonts w:ascii="Arial" w:hAnsi="Arial" w:cs="Arial"/>
                <w:lang w:val="en-US"/>
              </w:rPr>
              <w:t>‘Dear Sir/Madam</w:t>
            </w:r>
          </w:p>
          <w:p w:rsidR="00307266" w:rsidRPr="00307266" w:rsidRDefault="00307266" w:rsidP="00307266">
            <w:pPr>
              <w:tabs>
                <w:tab w:val="left" w:pos="432"/>
              </w:tabs>
              <w:spacing w:line="360" w:lineRule="auto"/>
              <w:jc w:val="both"/>
              <w:rPr>
                <w:rFonts w:ascii="Arial" w:hAnsi="Arial" w:cs="Arial"/>
                <w:lang w:val="en-US"/>
              </w:rPr>
            </w:pPr>
            <w:r w:rsidRPr="00307266">
              <w:rPr>
                <w:rFonts w:ascii="Arial" w:hAnsi="Arial" w:cs="Arial"/>
                <w:lang w:val="en-US"/>
              </w:rPr>
              <w:t>RE:  PRETORIA CLOTHING &amp; CAPS (PTY) LTD T/A SOVIET // R.D JACOBS T/A STREETHOUSE CLOTHING NAMIBIA – CASE NO.HC-MD-CIV-ACT-CON-2019/02468</w:t>
            </w:r>
          </w:p>
          <w:p w:rsidR="00307266" w:rsidRPr="00307266" w:rsidRDefault="00307266" w:rsidP="00307266">
            <w:pPr>
              <w:tabs>
                <w:tab w:val="left" w:pos="432"/>
              </w:tabs>
              <w:spacing w:line="360" w:lineRule="auto"/>
              <w:jc w:val="both"/>
              <w:rPr>
                <w:rFonts w:ascii="Arial" w:hAnsi="Arial" w:cs="Arial"/>
                <w:lang w:val="en-US"/>
              </w:rPr>
            </w:pPr>
            <w:r w:rsidRPr="00307266">
              <w:rPr>
                <w:rFonts w:ascii="Arial" w:hAnsi="Arial" w:cs="Arial"/>
                <w:lang w:val="en-US"/>
              </w:rPr>
              <w:t>We refer to the above matter and to the court order dated 17 October 2019 and hereby engage you again and inform you for purposes in terms of rules 32(9) and (10), that the defendant intends to bring an application for an order that such security of N$ 150,000.00 be given on a date to be determined by the court, alternatively that the plaintiff’s claim be dismissed with costs, due to the non-compliance with the defendant’s notice for security in terms of rule 59(1) dated 29 August 2019.</w:t>
            </w:r>
          </w:p>
          <w:p w:rsidR="00307266" w:rsidRPr="00307266" w:rsidRDefault="00307266" w:rsidP="00307266">
            <w:pPr>
              <w:tabs>
                <w:tab w:val="left" w:pos="432"/>
              </w:tabs>
              <w:spacing w:line="360" w:lineRule="auto"/>
              <w:jc w:val="both"/>
              <w:rPr>
                <w:rFonts w:ascii="Arial" w:hAnsi="Arial" w:cs="Arial"/>
                <w:lang w:val="en-US"/>
              </w:rPr>
            </w:pPr>
            <w:r w:rsidRPr="00307266">
              <w:rPr>
                <w:rFonts w:ascii="Arial" w:hAnsi="Arial" w:cs="Arial"/>
                <w:lang w:val="en-US"/>
              </w:rPr>
              <w:t>We also refer you to and regard our engagement with yourselves in paragraph 3 of the joint status report dated 10 October 2019 as a proper and further demand by our client for your client to comply with the notice for security for costs dated 29 August 2019, and to which you did not respond nor did you furnish the requested security for costs of N$ 150,000.00.</w:t>
            </w:r>
          </w:p>
          <w:p w:rsidR="00307266" w:rsidRPr="00307266" w:rsidRDefault="00307266" w:rsidP="00307266">
            <w:pPr>
              <w:tabs>
                <w:tab w:val="left" w:pos="432"/>
              </w:tabs>
              <w:spacing w:line="360" w:lineRule="auto"/>
              <w:jc w:val="both"/>
              <w:rPr>
                <w:rFonts w:ascii="Arial" w:hAnsi="Arial" w:cs="Arial"/>
                <w:lang w:val="en-US"/>
              </w:rPr>
            </w:pPr>
            <w:r w:rsidRPr="00307266">
              <w:rPr>
                <w:rFonts w:ascii="Arial" w:hAnsi="Arial" w:cs="Arial"/>
                <w:lang w:val="en-US"/>
              </w:rPr>
              <w:t>Should your client not undertake irrevocably to furnish the Bond of Security in the amount of N$ 150,000.00 by tomorrow, 08 November 2019 at 16h00, we hold instructions to proceed with the aforesaid application.</w:t>
            </w:r>
          </w:p>
          <w:p w:rsidR="00307266" w:rsidRPr="00307266" w:rsidRDefault="00307266" w:rsidP="00307266">
            <w:pPr>
              <w:tabs>
                <w:tab w:val="left" w:pos="432"/>
              </w:tabs>
              <w:spacing w:line="360" w:lineRule="auto"/>
              <w:jc w:val="both"/>
              <w:rPr>
                <w:rFonts w:ascii="Arial" w:hAnsi="Arial" w:cs="Arial"/>
                <w:lang w:val="en-US"/>
              </w:rPr>
            </w:pPr>
            <w:r w:rsidRPr="00307266">
              <w:rPr>
                <w:rFonts w:ascii="Arial" w:hAnsi="Arial" w:cs="Arial"/>
                <w:lang w:val="en-US"/>
              </w:rPr>
              <w:t>Yours faithfully’</w:t>
            </w:r>
          </w:p>
          <w:p w:rsidR="00307266" w:rsidRPr="00307266" w:rsidRDefault="00307266" w:rsidP="00307266">
            <w:pPr>
              <w:tabs>
                <w:tab w:val="left" w:pos="432"/>
              </w:tabs>
              <w:spacing w:line="360" w:lineRule="auto"/>
              <w:jc w:val="both"/>
              <w:rPr>
                <w:rFonts w:ascii="Arial" w:hAnsi="Arial" w:cs="Arial"/>
                <w:lang w:val="en-US"/>
              </w:rPr>
            </w:pPr>
          </w:p>
          <w:p w:rsidR="00307266" w:rsidRPr="00307266" w:rsidRDefault="001803C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[10</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The defendant responded to the above letter the following day, remonstrating that such letter does not amount to a genuine attempt to resolve the matter amicably, as contemplated under rule 32(9).  In addition, the defendant denied liability to pay security for costs.</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1803C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[11</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It is apparent that the “search” for amicable resolution purportedly made by the defendant, before launching the application for security for costs, is through the letter which was addressed to the plaintiff’s attorneys on 7 November 2019.</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1803C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[12</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The question now is whether the steps taken by the defendant are sufficient to satisfy the requirements of rule 32(9) in the circumstances.</w:t>
            </w:r>
          </w:p>
          <w:p w:rsidR="00307266" w:rsidRDefault="00307266" w:rsidP="00307266">
            <w:pPr>
              <w:tabs>
                <w:tab w:val="left" w:pos="432"/>
              </w:tabs>
              <w:spacing w:line="360" w:lineRule="auto"/>
              <w:jc w:val="both"/>
              <w:rPr>
                <w:rFonts w:ascii="Arial" w:hAnsi="Arial" w:cs="Arial"/>
                <w:sz w:val="24"/>
                <w:szCs w:val="24"/>
                <w:lang w:val="en-US"/>
              </w:rPr>
            </w:pPr>
          </w:p>
          <w:p w:rsidR="001803C5" w:rsidRDefault="001803C5" w:rsidP="000354E5">
            <w:pPr>
              <w:tabs>
                <w:tab w:val="left" w:pos="432"/>
              </w:tabs>
              <w:spacing w:before="24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Pr>
                <w:rFonts w:ascii="Arial" w:hAnsi="Arial" w:cs="Arial"/>
                <w:sz w:val="24"/>
                <w:szCs w:val="24"/>
                <w:lang w:val="en-US"/>
              </w:rPr>
              <w:tab/>
              <w:t xml:space="preserve">The mere writing </w:t>
            </w:r>
            <w:r w:rsidR="00374378">
              <w:rPr>
                <w:rFonts w:ascii="Arial" w:hAnsi="Arial" w:cs="Arial"/>
                <w:sz w:val="24"/>
                <w:szCs w:val="24"/>
                <w:lang w:val="en-US"/>
              </w:rPr>
              <w:t xml:space="preserve">of </w:t>
            </w:r>
            <w:r>
              <w:rPr>
                <w:rFonts w:ascii="Arial" w:hAnsi="Arial" w:cs="Arial"/>
                <w:sz w:val="24"/>
                <w:szCs w:val="24"/>
                <w:lang w:val="en-US"/>
              </w:rPr>
              <w:t>a letter as a means of seeking an amicable resolution to a dispute and as an end</w:t>
            </w:r>
            <w:r w:rsidR="00C66157">
              <w:rPr>
                <w:rFonts w:ascii="Arial" w:hAnsi="Arial" w:cs="Arial"/>
                <w:sz w:val="24"/>
                <w:szCs w:val="24"/>
                <w:lang w:val="en-US"/>
              </w:rPr>
              <w:t xml:space="preserve"> in</w:t>
            </w:r>
            <w:r>
              <w:rPr>
                <w:rFonts w:ascii="Arial" w:hAnsi="Arial" w:cs="Arial"/>
                <w:sz w:val="24"/>
                <w:szCs w:val="24"/>
                <w:lang w:val="en-US"/>
              </w:rPr>
              <w:t xml:space="preserve"> itself, was deprecated in </w:t>
            </w:r>
            <w:r w:rsidRPr="001803C5">
              <w:rPr>
                <w:rFonts w:ascii="Arial" w:hAnsi="Arial" w:cs="Arial"/>
                <w:i/>
                <w:sz w:val="24"/>
                <w:szCs w:val="24"/>
                <w:lang w:val="en-US"/>
              </w:rPr>
              <w:t>Bank Windhoek Limited v Benlin Investment CC HC-MD-CIV-CON- 2016/03020 [2017] NAHCMD 78 (15 March 2017)</w:t>
            </w:r>
            <w:r>
              <w:rPr>
                <w:rFonts w:ascii="Arial" w:hAnsi="Arial" w:cs="Arial"/>
                <w:sz w:val="24"/>
                <w:szCs w:val="24"/>
                <w:lang w:val="en-US"/>
              </w:rPr>
              <w:t xml:space="preserve">.  Furthermore, in a similar matter of ADIDAS (South Africa) (Pty) Ltd v Roland Donavan Jacobs HC-MD-CIV-ACT-CON-2019/02339 (2020) NAHCMD 81 (06 March 2020) this court, agreeing with the sentiments expressed in the </w:t>
            </w:r>
            <w:r w:rsidR="00C66157">
              <w:rPr>
                <w:rFonts w:ascii="Arial" w:hAnsi="Arial" w:cs="Arial"/>
                <w:sz w:val="24"/>
                <w:szCs w:val="24"/>
                <w:lang w:val="en-US"/>
              </w:rPr>
              <w:t>Ben</w:t>
            </w:r>
            <w:r>
              <w:rPr>
                <w:rFonts w:ascii="Arial" w:hAnsi="Arial" w:cs="Arial"/>
                <w:sz w:val="24"/>
                <w:szCs w:val="24"/>
                <w:lang w:val="en-US"/>
              </w:rPr>
              <w:t>lin</w:t>
            </w:r>
            <w:r w:rsidR="000354E5">
              <w:rPr>
                <w:rFonts w:ascii="Arial" w:hAnsi="Arial" w:cs="Arial"/>
                <w:sz w:val="24"/>
                <w:szCs w:val="24"/>
                <w:lang w:val="en-US"/>
              </w:rPr>
              <w:t xml:space="preserve"> matter</w:t>
            </w:r>
            <w:r w:rsidR="00C66157">
              <w:rPr>
                <w:rFonts w:ascii="Arial" w:hAnsi="Arial" w:cs="Arial"/>
                <w:sz w:val="24"/>
                <w:szCs w:val="24"/>
                <w:lang w:val="en-US"/>
              </w:rPr>
              <w:t xml:space="preserve"> above</w:t>
            </w:r>
            <w:r w:rsidR="000354E5">
              <w:rPr>
                <w:rFonts w:ascii="Arial" w:hAnsi="Arial" w:cs="Arial"/>
                <w:sz w:val="24"/>
                <w:szCs w:val="24"/>
                <w:lang w:val="en-US"/>
              </w:rPr>
              <w:t>, held that a letter couched in similar terms and forwarded to the plaintiff on</w:t>
            </w:r>
            <w:r w:rsidR="00C66157">
              <w:rPr>
                <w:rFonts w:ascii="Arial" w:hAnsi="Arial" w:cs="Arial"/>
                <w:sz w:val="24"/>
                <w:szCs w:val="24"/>
                <w:lang w:val="en-US"/>
              </w:rPr>
              <w:t xml:space="preserve"> the</w:t>
            </w:r>
            <w:r w:rsidR="000354E5">
              <w:rPr>
                <w:rFonts w:ascii="Arial" w:hAnsi="Arial" w:cs="Arial"/>
                <w:sz w:val="24"/>
                <w:szCs w:val="24"/>
                <w:lang w:val="en-US"/>
              </w:rPr>
              <w:t xml:space="preserve"> last day </w:t>
            </w:r>
            <w:r w:rsidR="00C66157">
              <w:rPr>
                <w:rFonts w:ascii="Arial" w:hAnsi="Arial" w:cs="Arial"/>
                <w:sz w:val="24"/>
                <w:szCs w:val="24"/>
                <w:lang w:val="en-US"/>
              </w:rPr>
              <w:t>(</w:t>
            </w:r>
            <w:r w:rsidR="000354E5">
              <w:rPr>
                <w:rFonts w:ascii="Arial" w:hAnsi="Arial" w:cs="Arial"/>
                <w:sz w:val="24"/>
                <w:szCs w:val="24"/>
                <w:lang w:val="en-US"/>
              </w:rPr>
              <w:t>of about a two weeks period within which the defendant was directed to comply with the provisions of rule 32(9) and (10)</w:t>
            </w:r>
            <w:r w:rsidR="00C66157">
              <w:rPr>
                <w:rFonts w:ascii="Arial" w:hAnsi="Arial" w:cs="Arial"/>
                <w:sz w:val="24"/>
                <w:szCs w:val="24"/>
                <w:lang w:val="en-US"/>
              </w:rPr>
              <w:t>)</w:t>
            </w:r>
            <w:r w:rsidR="000354E5">
              <w:rPr>
                <w:rFonts w:ascii="Arial" w:hAnsi="Arial" w:cs="Arial"/>
                <w:sz w:val="24"/>
                <w:szCs w:val="24"/>
                <w:lang w:val="en-US"/>
              </w:rPr>
              <w:t>, did not constitute compliance with the rule 32(9).</w:t>
            </w:r>
          </w:p>
          <w:p w:rsidR="001803C5" w:rsidRPr="00307266" w:rsidRDefault="001803C5" w:rsidP="00307266">
            <w:pPr>
              <w:tabs>
                <w:tab w:val="left" w:pos="432"/>
              </w:tabs>
              <w:spacing w:line="360" w:lineRule="auto"/>
              <w:jc w:val="both"/>
              <w:rPr>
                <w:rFonts w:ascii="Arial" w:hAnsi="Arial" w:cs="Arial"/>
                <w:sz w:val="24"/>
                <w:szCs w:val="24"/>
                <w:lang w:val="en-US"/>
              </w:rPr>
            </w:pPr>
          </w:p>
          <w:p w:rsidR="00307266" w:rsidRPr="00307266" w:rsidRDefault="000354E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[14</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 xml:space="preserve">I am of the opinion that </w:t>
            </w:r>
            <w:r w:rsidR="00C66157">
              <w:rPr>
                <w:rFonts w:ascii="Arial" w:hAnsi="Arial" w:cs="Arial"/>
                <w:sz w:val="24"/>
                <w:szCs w:val="24"/>
                <w:lang w:val="en-US"/>
              </w:rPr>
              <w:t>in the present case, the</w:t>
            </w:r>
            <w:r w:rsidR="00307266" w:rsidRPr="00307266">
              <w:rPr>
                <w:rFonts w:ascii="Arial" w:hAnsi="Arial" w:cs="Arial"/>
                <w:sz w:val="24"/>
                <w:szCs w:val="24"/>
                <w:lang w:val="en-US"/>
              </w:rPr>
              <w:t xml:space="preserve"> letter requesting</w:t>
            </w:r>
            <w:r w:rsidR="00C66157">
              <w:rPr>
                <w:rFonts w:ascii="Arial" w:hAnsi="Arial" w:cs="Arial"/>
                <w:sz w:val="24"/>
                <w:szCs w:val="24"/>
                <w:lang w:val="en-US"/>
              </w:rPr>
              <w:t xml:space="preserve"> the plaintiff</w:t>
            </w:r>
            <w:r w:rsidR="00307266" w:rsidRPr="00307266">
              <w:rPr>
                <w:rFonts w:ascii="Arial" w:hAnsi="Arial" w:cs="Arial"/>
                <w:sz w:val="24"/>
                <w:szCs w:val="24"/>
                <w:lang w:val="en-US"/>
              </w:rPr>
              <w:t xml:space="preserve"> to make an undertaking to pay security for costs </w:t>
            </w:r>
            <w:r w:rsidR="00307266" w:rsidRPr="00307266">
              <w:rPr>
                <w:rFonts w:ascii="Arial" w:hAnsi="Arial" w:cs="Arial"/>
                <w:i/>
                <w:sz w:val="24"/>
                <w:szCs w:val="24"/>
                <w:lang w:val="en-US"/>
              </w:rPr>
              <w:t>“by tomorrow”</w:t>
            </w:r>
            <w:r w:rsidR="00374378">
              <w:rPr>
                <w:rFonts w:ascii="Arial" w:hAnsi="Arial" w:cs="Arial"/>
                <w:i/>
                <w:sz w:val="24"/>
                <w:szCs w:val="24"/>
                <w:lang w:val="en-US"/>
              </w:rPr>
              <w:t>,</w:t>
            </w:r>
            <w:r w:rsidR="00307266" w:rsidRPr="00307266">
              <w:rPr>
                <w:rFonts w:ascii="Arial" w:hAnsi="Arial" w:cs="Arial"/>
                <w:sz w:val="24"/>
                <w:szCs w:val="24"/>
                <w:lang w:val="en-US"/>
              </w:rPr>
              <w:t xml:space="preserve"> is not sufficient initiative by itself, for a search of an amicable resolution of a dispute, contemplated under rule 32(9).  On the basis of the facts in this matter, it apparent that the defendant has not demonstrated serious intention to engage the plaintiff in the process of attempting to resolve the dispute amicably.  I therefore find that there was no compliance with the provisions of rule 32(9) and (10) in this matter.</w:t>
            </w:r>
          </w:p>
          <w:p w:rsidR="00307266" w:rsidRDefault="00307266" w:rsidP="00307266">
            <w:pPr>
              <w:tabs>
                <w:tab w:val="left" w:pos="432"/>
              </w:tabs>
              <w:spacing w:line="360" w:lineRule="auto"/>
              <w:jc w:val="both"/>
              <w:rPr>
                <w:rFonts w:ascii="Arial" w:hAnsi="Arial" w:cs="Arial"/>
                <w:sz w:val="24"/>
                <w:szCs w:val="24"/>
                <w:lang w:val="en-US"/>
              </w:rPr>
            </w:pPr>
          </w:p>
          <w:p w:rsidR="000354E5" w:rsidRDefault="000354E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lastRenderedPageBreak/>
              <w:t>[15]</w:t>
            </w:r>
            <w:r>
              <w:rPr>
                <w:rFonts w:ascii="Arial" w:hAnsi="Arial" w:cs="Arial"/>
                <w:sz w:val="24"/>
                <w:szCs w:val="24"/>
                <w:lang w:val="en-US"/>
              </w:rPr>
              <w:tab/>
            </w:r>
            <w:r>
              <w:rPr>
                <w:rFonts w:ascii="Arial" w:hAnsi="Arial" w:cs="Arial"/>
                <w:sz w:val="24"/>
                <w:szCs w:val="24"/>
                <w:lang w:val="en-US"/>
              </w:rPr>
              <w:tab/>
              <w:t xml:space="preserve">Insofar as the request for condonation for non-compliance with rule 32(9) is concerned, I wish to underline that the defendant was given sufficient time within which to comply with rule 32(9) and (10), namely from 17 October 2019 to 08 November 2019.  The defendant opted to do nothing during </w:t>
            </w:r>
            <w:r w:rsidR="005409E7">
              <w:rPr>
                <w:rFonts w:ascii="Arial" w:hAnsi="Arial" w:cs="Arial"/>
                <w:sz w:val="24"/>
                <w:szCs w:val="24"/>
                <w:lang w:val="en-US"/>
              </w:rPr>
              <w:t xml:space="preserve">the </w:t>
            </w:r>
            <w:r>
              <w:rPr>
                <w:rFonts w:ascii="Arial" w:hAnsi="Arial" w:cs="Arial"/>
                <w:sz w:val="24"/>
                <w:szCs w:val="24"/>
                <w:lang w:val="en-US"/>
              </w:rPr>
              <w:t>most part of that period, addressing the aforesaid letter to the plaintiff’s legal practitioners only on 07 November 2019, urging them to make an undertaking “by tomorrow”.   There is no explanation for the defendant’s conduct in that respect.  Furthermore</w:t>
            </w:r>
            <w:r w:rsidR="005409E7">
              <w:rPr>
                <w:rFonts w:ascii="Arial" w:hAnsi="Arial" w:cs="Arial"/>
                <w:sz w:val="24"/>
                <w:szCs w:val="24"/>
                <w:lang w:val="en-US"/>
              </w:rPr>
              <w:t>,</w:t>
            </w:r>
            <w:r>
              <w:rPr>
                <w:rFonts w:ascii="Arial" w:hAnsi="Arial" w:cs="Arial"/>
                <w:sz w:val="24"/>
                <w:szCs w:val="24"/>
                <w:lang w:val="en-US"/>
              </w:rPr>
              <w:t xml:space="preserve"> I see no good reasons why condonation should be afforded to the defendant in such circumstances.  The requested condonation is therefore rejected.</w:t>
            </w:r>
          </w:p>
          <w:p w:rsidR="000354E5" w:rsidRPr="00307266" w:rsidRDefault="000354E5" w:rsidP="00307266">
            <w:pPr>
              <w:tabs>
                <w:tab w:val="left" w:pos="432"/>
              </w:tabs>
              <w:spacing w:line="360" w:lineRule="auto"/>
              <w:jc w:val="both"/>
              <w:rPr>
                <w:rFonts w:ascii="Arial" w:hAnsi="Arial" w:cs="Arial"/>
                <w:sz w:val="24"/>
                <w:szCs w:val="24"/>
                <w:lang w:val="en-US"/>
              </w:rPr>
            </w:pPr>
          </w:p>
          <w:p w:rsidR="00307266" w:rsidRPr="00307266" w:rsidRDefault="000354E5"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[16</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For the aforegoing reasons, the application for security for costs stands to be struck from the roll, with costs.</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u w:val="single"/>
                <w:lang w:val="en-US"/>
              </w:rPr>
            </w:pPr>
            <w:r w:rsidRPr="00307266">
              <w:rPr>
                <w:rFonts w:ascii="Arial" w:hAnsi="Arial" w:cs="Arial"/>
                <w:sz w:val="24"/>
                <w:szCs w:val="24"/>
                <w:u w:val="single"/>
                <w:lang w:val="en-US"/>
              </w:rPr>
              <w:t>Defendant’s grounds of exception</w:t>
            </w:r>
          </w:p>
          <w:p w:rsidR="00307266" w:rsidRPr="00307266" w:rsidRDefault="00307266" w:rsidP="00307266">
            <w:pPr>
              <w:tabs>
                <w:tab w:val="left" w:pos="432"/>
                <w:tab w:val="left" w:pos="1107"/>
              </w:tabs>
              <w:spacing w:line="360" w:lineRule="auto"/>
              <w:jc w:val="both"/>
              <w:rPr>
                <w:rFonts w:ascii="Arial" w:hAnsi="Arial" w:cs="Arial"/>
                <w:sz w:val="24"/>
                <w:szCs w:val="24"/>
                <w:u w:val="single"/>
                <w:lang w:val="en-US"/>
              </w:rPr>
            </w:pPr>
            <w:r w:rsidRPr="00307266">
              <w:rPr>
                <w:rFonts w:ascii="Arial" w:hAnsi="Arial" w:cs="Arial"/>
                <w:sz w:val="24"/>
                <w:szCs w:val="24"/>
                <w:u w:val="single"/>
                <w:lang w:val="en-US"/>
              </w:rPr>
              <w:t xml:space="preserve">Third ground of exception </w:t>
            </w:r>
          </w:p>
          <w:p w:rsidR="00307266" w:rsidRPr="00307266" w:rsidRDefault="00307266" w:rsidP="00307266">
            <w:pPr>
              <w:tabs>
                <w:tab w:val="left" w:pos="432"/>
                <w:tab w:val="left" w:pos="1107"/>
              </w:tabs>
              <w:spacing w:line="360" w:lineRule="auto"/>
              <w:jc w:val="both"/>
              <w:rPr>
                <w:rFonts w:ascii="Arial" w:hAnsi="Arial" w:cs="Arial"/>
                <w:sz w:val="24"/>
                <w:szCs w:val="24"/>
                <w:u w:val="single"/>
                <w:lang w:val="en-US"/>
              </w:rPr>
            </w:pPr>
          </w:p>
          <w:p w:rsidR="00307266" w:rsidRPr="00307266" w:rsidRDefault="000354E5"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[17</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In his third ground of exception the defendant argues that Annexure “C” which purports to be a deed of surety, is not stamped in terms of the Stamps Duties Act and therefore may not be used or tendered in evidence or made available in any court.</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0354E5"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[18</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 am of the view th</w:t>
            </w:r>
            <w:r w:rsidR="005409E7">
              <w:rPr>
                <w:rFonts w:ascii="Arial" w:hAnsi="Arial" w:cs="Arial"/>
                <w:sz w:val="24"/>
                <w:szCs w:val="24"/>
                <w:lang w:val="en-US"/>
              </w:rPr>
              <w:t>at the defendant’s contention on</w:t>
            </w:r>
            <w:r w:rsidR="00307266" w:rsidRPr="00307266">
              <w:rPr>
                <w:rFonts w:ascii="Arial" w:hAnsi="Arial" w:cs="Arial"/>
                <w:sz w:val="24"/>
                <w:szCs w:val="24"/>
                <w:lang w:val="en-US"/>
              </w:rPr>
              <w:t xml:space="preserve"> this aspect has no merit.  An unstamped instrument may be stamped retrospectively.  At the hearing of the matter, before judgment is given, the plaintiff would have to show cause, if any, why the court should permit it to have the instrument stamped and be made available, in terms of section 12 of the Stamp Duties Act.  At this stage, the instrument has not yet been placed in evidence and the admissibility thereof on the ground of it being unstamped cannot be adjudicated upon.</w:t>
            </w:r>
            <w:r w:rsidR="00307266" w:rsidRPr="00307266">
              <w:rPr>
                <w:rFonts w:ascii="Arial" w:hAnsi="Arial" w:cs="Arial"/>
                <w:sz w:val="24"/>
                <w:szCs w:val="24"/>
                <w:vertAlign w:val="superscript"/>
                <w:lang w:val="en-US"/>
              </w:rPr>
              <w:footnoteReference w:id="1"/>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0354E5"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[19</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On the basis of the aforesaid reasons, the defendant’s third ground of exception has no merit and stands to be dismissed.</w:t>
            </w:r>
          </w:p>
          <w:p w:rsidR="00307266" w:rsidRPr="00307266" w:rsidRDefault="00307266" w:rsidP="00307266">
            <w:pPr>
              <w:tabs>
                <w:tab w:val="left" w:pos="432"/>
                <w:tab w:val="left" w:pos="1107"/>
              </w:tabs>
              <w:spacing w:line="360" w:lineRule="auto"/>
              <w:jc w:val="both"/>
              <w:rPr>
                <w:rFonts w:ascii="Arial" w:hAnsi="Arial" w:cs="Arial"/>
                <w:sz w:val="24"/>
                <w:szCs w:val="24"/>
                <w:u w:val="single"/>
                <w:lang w:val="en-US"/>
              </w:rPr>
            </w:pPr>
          </w:p>
          <w:p w:rsidR="00307266" w:rsidRPr="00307266" w:rsidRDefault="00307266" w:rsidP="00307266">
            <w:pPr>
              <w:tabs>
                <w:tab w:val="left" w:pos="432"/>
                <w:tab w:val="left" w:pos="1107"/>
              </w:tabs>
              <w:spacing w:line="360" w:lineRule="auto"/>
              <w:jc w:val="both"/>
              <w:rPr>
                <w:rFonts w:ascii="Arial" w:hAnsi="Arial" w:cs="Arial"/>
                <w:sz w:val="24"/>
                <w:szCs w:val="24"/>
                <w:u w:val="single"/>
                <w:lang w:val="en-US"/>
              </w:rPr>
            </w:pPr>
            <w:r w:rsidRPr="00307266">
              <w:rPr>
                <w:rFonts w:ascii="Arial" w:hAnsi="Arial" w:cs="Arial"/>
                <w:sz w:val="24"/>
                <w:szCs w:val="24"/>
                <w:u w:val="single"/>
                <w:lang w:val="en-US"/>
              </w:rPr>
              <w:lastRenderedPageBreak/>
              <w:t xml:space="preserve">Fifth ground of exception </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0354E5"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[20</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In his fifth ground of exception, the defendant argues that the letter of demand, referred to in paragraph 12 of the particulars of claim, is not attached to the particulars of claim.   The defendant therefore argues that the failure to attach the letter of demand makes the particulars of claim excipiable and/or vague and embarrassing and/or lack averments necessary to sustain a cause of action.</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0354E5"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[21</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The defendant does not state how the failure to attach the letter of demand makes the particulars of claim vague and embarrassing or lack averments necessary to sustain a cause of action.  The defendant has not established that due to the failure to attach the letter of demand, the particulars of claim are rendered meaningless or capable of more than one meaning or can be read in anyone of a number of different conflicting ways.  Nor has the defendant shown that, upon every interpretation which the particulars of claim can reasonably bear, no cause of action is disclosed due to the omission to attach the letter of demand.  In any event, the defendant has not established how the failure to attach the letter of demand prejudices him.  There is no merit in the defendant’s fifth ground of exception and this ground of exception falls to be dismissed.</w:t>
            </w:r>
          </w:p>
          <w:p w:rsidR="00CC2D64" w:rsidRPr="00307266" w:rsidRDefault="00CC2D64" w:rsidP="00307266">
            <w:pPr>
              <w:tabs>
                <w:tab w:val="left" w:pos="432"/>
                <w:tab w:val="left" w:pos="1107"/>
              </w:tabs>
              <w:spacing w:line="360" w:lineRule="auto"/>
              <w:jc w:val="both"/>
              <w:rPr>
                <w:rFonts w:ascii="Arial" w:hAnsi="Arial" w:cs="Arial"/>
                <w:sz w:val="24"/>
                <w:szCs w:val="24"/>
                <w:lang w:val="en-US"/>
              </w:rPr>
            </w:pPr>
          </w:p>
          <w:p w:rsidR="00307266" w:rsidRPr="00307266" w:rsidRDefault="00307266" w:rsidP="00307266">
            <w:pPr>
              <w:tabs>
                <w:tab w:val="left" w:pos="432"/>
                <w:tab w:val="left" w:pos="1107"/>
              </w:tabs>
              <w:spacing w:line="360" w:lineRule="auto"/>
              <w:jc w:val="both"/>
              <w:rPr>
                <w:rFonts w:ascii="Arial" w:hAnsi="Arial" w:cs="Arial"/>
                <w:sz w:val="24"/>
                <w:szCs w:val="24"/>
                <w:u w:val="single"/>
                <w:lang w:val="en-US"/>
              </w:rPr>
            </w:pPr>
            <w:r w:rsidRPr="00307266">
              <w:rPr>
                <w:rFonts w:ascii="Arial" w:hAnsi="Arial" w:cs="Arial"/>
                <w:sz w:val="24"/>
                <w:szCs w:val="24"/>
                <w:u w:val="single"/>
                <w:lang w:val="en-US"/>
              </w:rPr>
              <w:t>Conclusions</w:t>
            </w:r>
          </w:p>
          <w:p w:rsidR="00307266" w:rsidRDefault="00307266" w:rsidP="00307266">
            <w:pPr>
              <w:tabs>
                <w:tab w:val="left" w:pos="432"/>
                <w:tab w:val="left" w:pos="1107"/>
              </w:tabs>
              <w:spacing w:line="360" w:lineRule="auto"/>
              <w:jc w:val="both"/>
              <w:rPr>
                <w:rFonts w:ascii="Arial" w:hAnsi="Arial" w:cs="Arial"/>
                <w:sz w:val="24"/>
                <w:szCs w:val="24"/>
                <w:lang w:val="en-US"/>
              </w:rPr>
            </w:pPr>
          </w:p>
          <w:p w:rsidR="001C69E0" w:rsidRDefault="001C69E0" w:rsidP="001C69E0">
            <w:pPr>
              <w:tabs>
                <w:tab w:val="left" w:pos="432"/>
                <w:tab w:val="left" w:pos="1107"/>
              </w:tabs>
              <w:spacing w:line="360" w:lineRule="auto"/>
              <w:jc w:val="both"/>
              <w:rPr>
                <w:rFonts w:ascii="Arial" w:hAnsi="Arial" w:cs="Arial"/>
                <w:sz w:val="24"/>
                <w:szCs w:val="24"/>
                <w:lang w:val="en-US"/>
              </w:rPr>
            </w:pPr>
            <w:r w:rsidRPr="00CC2D64">
              <w:rPr>
                <w:rFonts w:ascii="Arial" w:hAnsi="Arial" w:cs="Arial"/>
                <w:sz w:val="24"/>
                <w:szCs w:val="24"/>
                <w:lang w:val="en-US"/>
              </w:rPr>
              <w:t>[22]</w:t>
            </w:r>
            <w:r w:rsidRPr="00CC2D64">
              <w:rPr>
                <w:rFonts w:ascii="Arial" w:hAnsi="Arial" w:cs="Arial"/>
                <w:sz w:val="24"/>
                <w:szCs w:val="24"/>
                <w:lang w:val="en-US"/>
              </w:rPr>
              <w:tab/>
            </w:r>
            <w:r w:rsidRPr="00CC2D64">
              <w:rPr>
                <w:rFonts w:ascii="Arial" w:hAnsi="Arial" w:cs="Arial"/>
                <w:sz w:val="24"/>
                <w:szCs w:val="24"/>
                <w:lang w:val="en-US"/>
              </w:rPr>
              <w:tab/>
            </w:r>
            <w:r>
              <w:rPr>
                <w:rFonts w:ascii="Arial" w:hAnsi="Arial" w:cs="Arial"/>
                <w:sz w:val="24"/>
                <w:szCs w:val="24"/>
                <w:lang w:val="en-US"/>
              </w:rPr>
              <w:t>Insofar as the plaintiff indicated that it shall no longer persist</w:t>
            </w:r>
            <w:r w:rsidR="005409E7">
              <w:rPr>
                <w:rFonts w:ascii="Arial" w:hAnsi="Arial" w:cs="Arial"/>
                <w:sz w:val="24"/>
                <w:szCs w:val="24"/>
                <w:lang w:val="en-US"/>
              </w:rPr>
              <w:t>s</w:t>
            </w:r>
            <w:r>
              <w:rPr>
                <w:rFonts w:ascii="Arial" w:hAnsi="Arial" w:cs="Arial"/>
                <w:sz w:val="24"/>
                <w:szCs w:val="24"/>
                <w:lang w:val="en-US"/>
              </w:rPr>
              <w:t xml:space="preserve"> in opposing the first, second and fourth grounds of the exception and that the parties agreed that the only issues in dispute, in regard to the exception, are the third and fifth exception, I treat that as acceptance by both parties that the particulars of claim are defective in the respects pointed out by the defendant and that the plaintiff agrees to remove the cause of complaint.  I would</w:t>
            </w:r>
            <w:r w:rsidR="005409E7">
              <w:rPr>
                <w:rFonts w:ascii="Arial" w:hAnsi="Arial" w:cs="Arial"/>
                <w:sz w:val="24"/>
                <w:szCs w:val="24"/>
                <w:lang w:val="en-US"/>
              </w:rPr>
              <w:t>,</w:t>
            </w:r>
            <w:r>
              <w:rPr>
                <w:rFonts w:ascii="Arial" w:hAnsi="Arial" w:cs="Arial"/>
                <w:sz w:val="24"/>
                <w:szCs w:val="24"/>
                <w:lang w:val="en-US"/>
              </w:rPr>
              <w:t xml:space="preserve"> therefore</w:t>
            </w:r>
            <w:r w:rsidR="005409E7">
              <w:rPr>
                <w:rFonts w:ascii="Arial" w:hAnsi="Arial" w:cs="Arial"/>
                <w:sz w:val="24"/>
                <w:szCs w:val="24"/>
                <w:lang w:val="en-US"/>
              </w:rPr>
              <w:t>,</w:t>
            </w:r>
            <w:r>
              <w:rPr>
                <w:rFonts w:ascii="Arial" w:hAnsi="Arial" w:cs="Arial"/>
                <w:sz w:val="24"/>
                <w:szCs w:val="24"/>
                <w:lang w:val="en-US"/>
              </w:rPr>
              <w:t xml:space="preserve"> accept</w:t>
            </w:r>
            <w:r w:rsidR="005409E7">
              <w:rPr>
                <w:rFonts w:ascii="Arial" w:hAnsi="Arial" w:cs="Arial"/>
                <w:sz w:val="24"/>
                <w:szCs w:val="24"/>
                <w:lang w:val="en-US"/>
              </w:rPr>
              <w:t>,</w:t>
            </w:r>
            <w:r>
              <w:rPr>
                <w:rFonts w:ascii="Arial" w:hAnsi="Arial" w:cs="Arial"/>
                <w:sz w:val="24"/>
                <w:szCs w:val="24"/>
                <w:lang w:val="en-US"/>
              </w:rPr>
              <w:t xml:space="preserve"> without deciding</w:t>
            </w:r>
            <w:r w:rsidR="005409E7">
              <w:rPr>
                <w:rFonts w:ascii="Arial" w:hAnsi="Arial" w:cs="Arial"/>
                <w:sz w:val="24"/>
                <w:szCs w:val="24"/>
                <w:lang w:val="en-US"/>
              </w:rPr>
              <w:t>,</w:t>
            </w:r>
            <w:r>
              <w:rPr>
                <w:rFonts w:ascii="Arial" w:hAnsi="Arial" w:cs="Arial"/>
                <w:sz w:val="24"/>
                <w:szCs w:val="24"/>
                <w:lang w:val="en-US"/>
              </w:rPr>
              <w:t xml:space="preserve"> that the defendant was justified in raising the first, second and fourth grounds of exception and that the defendant is entitled to its costs in regard to the first, second and fourth grounds of exception.</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1C69E0"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[23</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In conclusion, my findings are that:</w:t>
            </w:r>
          </w:p>
          <w:p w:rsidR="00307266" w:rsidRPr="00307266" w:rsidRDefault="00B61A33"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lastRenderedPageBreak/>
              <w:tab/>
            </w:r>
            <w:r>
              <w:rPr>
                <w:rFonts w:ascii="Arial" w:hAnsi="Arial" w:cs="Arial"/>
                <w:sz w:val="24"/>
                <w:szCs w:val="24"/>
                <w:lang w:val="en-US"/>
              </w:rPr>
              <w:tab/>
            </w:r>
            <w:r w:rsidR="00307266" w:rsidRPr="00307266">
              <w:rPr>
                <w:rFonts w:ascii="Arial" w:hAnsi="Arial" w:cs="Arial"/>
                <w:sz w:val="24"/>
                <w:szCs w:val="24"/>
                <w:lang w:val="en-US"/>
              </w:rPr>
              <w:t>(a)</w:t>
            </w:r>
            <w:r w:rsidR="00307266" w:rsidRPr="00307266">
              <w:rPr>
                <w:rFonts w:ascii="Arial" w:hAnsi="Arial" w:cs="Arial"/>
                <w:sz w:val="24"/>
                <w:szCs w:val="24"/>
                <w:lang w:val="en-US"/>
              </w:rPr>
              <w:tab/>
              <w:t>the defendant’s application for security for costs is dismissed on account for non-</w:t>
            </w:r>
            <w:r>
              <w:rPr>
                <w:rFonts w:ascii="Arial" w:hAnsi="Arial" w:cs="Arial"/>
                <w:sz w:val="24"/>
                <w:szCs w:val="24"/>
                <w:lang w:val="en-US"/>
              </w:rPr>
              <w:tab/>
            </w:r>
            <w:r>
              <w:rPr>
                <w:rFonts w:ascii="Arial" w:hAnsi="Arial" w:cs="Arial"/>
                <w:sz w:val="24"/>
                <w:szCs w:val="24"/>
                <w:lang w:val="en-US"/>
              </w:rPr>
              <w:tab/>
            </w:r>
            <w:r w:rsidR="00307266" w:rsidRPr="00307266">
              <w:rPr>
                <w:rFonts w:ascii="Arial" w:hAnsi="Arial" w:cs="Arial"/>
                <w:sz w:val="24"/>
                <w:szCs w:val="24"/>
                <w:lang w:val="en-US"/>
              </w:rPr>
              <w:t>compliance with the provisions of rule 32(9) and (10);</w:t>
            </w:r>
            <w:r w:rsidR="001D28D7">
              <w:rPr>
                <w:rFonts w:ascii="Arial" w:hAnsi="Arial" w:cs="Arial"/>
                <w:sz w:val="24"/>
                <w:szCs w:val="24"/>
                <w:lang w:val="en-US"/>
              </w:rPr>
              <w:t xml:space="preserve"> and,</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B61A33"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307266" w:rsidRPr="00307266">
              <w:rPr>
                <w:rFonts w:ascii="Arial" w:hAnsi="Arial" w:cs="Arial"/>
                <w:sz w:val="24"/>
                <w:szCs w:val="24"/>
                <w:lang w:val="en-US"/>
              </w:rPr>
              <w:t>(b)</w:t>
            </w:r>
            <w:r w:rsidR="00307266" w:rsidRPr="00307266">
              <w:rPr>
                <w:rFonts w:ascii="Arial" w:hAnsi="Arial" w:cs="Arial"/>
                <w:sz w:val="24"/>
                <w:szCs w:val="24"/>
                <w:lang w:val="en-US"/>
              </w:rPr>
              <w:tab/>
              <w:t xml:space="preserve">the third and fifth grounds of exception are dismissed on the basis that the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307266" w:rsidRPr="00307266">
              <w:rPr>
                <w:rFonts w:ascii="Arial" w:hAnsi="Arial" w:cs="Arial"/>
                <w:sz w:val="24"/>
                <w:szCs w:val="24"/>
                <w:lang w:val="en-US"/>
              </w:rPr>
              <w:t>defendant has not established that such ground</w:t>
            </w:r>
            <w:r w:rsidR="001D28D7">
              <w:rPr>
                <w:rFonts w:ascii="Arial" w:hAnsi="Arial" w:cs="Arial"/>
                <w:sz w:val="24"/>
                <w:szCs w:val="24"/>
                <w:lang w:val="en-US"/>
              </w:rPr>
              <w:t>s</w:t>
            </w:r>
            <w:r w:rsidR="00307266" w:rsidRPr="00307266">
              <w:rPr>
                <w:rFonts w:ascii="Arial" w:hAnsi="Arial" w:cs="Arial"/>
                <w:sz w:val="24"/>
                <w:szCs w:val="24"/>
                <w:lang w:val="en-US"/>
              </w:rPr>
              <w:t xml:space="preserve"> render the particulars of claim </w:t>
            </w:r>
            <w:r>
              <w:rPr>
                <w:rFonts w:ascii="Arial" w:hAnsi="Arial" w:cs="Arial"/>
                <w:sz w:val="24"/>
                <w:szCs w:val="24"/>
                <w:lang w:val="en-US"/>
              </w:rPr>
              <w:tab/>
            </w:r>
            <w:r>
              <w:rPr>
                <w:rFonts w:ascii="Arial" w:hAnsi="Arial" w:cs="Arial"/>
                <w:sz w:val="24"/>
                <w:szCs w:val="24"/>
                <w:lang w:val="en-US"/>
              </w:rPr>
              <w:tab/>
            </w:r>
            <w:r w:rsidR="00307266" w:rsidRPr="00307266">
              <w:rPr>
                <w:rFonts w:ascii="Arial" w:hAnsi="Arial" w:cs="Arial"/>
                <w:sz w:val="24"/>
                <w:szCs w:val="24"/>
                <w:lang w:val="en-US"/>
              </w:rPr>
              <w:t>vague and embarrassing or lack necessary avermen</w:t>
            </w:r>
            <w:r w:rsidR="000945CC">
              <w:rPr>
                <w:rFonts w:ascii="Arial" w:hAnsi="Arial" w:cs="Arial"/>
                <w:sz w:val="24"/>
                <w:szCs w:val="24"/>
                <w:lang w:val="en-US"/>
              </w:rPr>
              <w:t>ts to sustain a cause of action.</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r w:rsidRPr="00307266">
              <w:rPr>
                <w:rFonts w:ascii="Arial" w:hAnsi="Arial" w:cs="Arial"/>
                <w:sz w:val="24"/>
                <w:szCs w:val="24"/>
                <w:lang w:val="en-US"/>
              </w:rPr>
              <w:t>[</w:t>
            </w:r>
            <w:r w:rsidR="001C69E0">
              <w:rPr>
                <w:rFonts w:ascii="Arial" w:hAnsi="Arial" w:cs="Arial"/>
                <w:sz w:val="24"/>
                <w:szCs w:val="24"/>
                <w:lang w:val="en-US"/>
              </w:rPr>
              <w:t>24</w:t>
            </w:r>
            <w:r w:rsidRPr="00307266">
              <w:rPr>
                <w:rFonts w:ascii="Arial" w:hAnsi="Arial" w:cs="Arial"/>
                <w:sz w:val="24"/>
                <w:szCs w:val="24"/>
                <w:lang w:val="en-US"/>
              </w:rPr>
              <w:t>]</w:t>
            </w:r>
            <w:r w:rsidRPr="00307266">
              <w:rPr>
                <w:rFonts w:ascii="Arial" w:hAnsi="Arial" w:cs="Arial"/>
                <w:sz w:val="24"/>
                <w:szCs w:val="24"/>
                <w:lang w:val="en-US"/>
              </w:rPr>
              <w:tab/>
            </w:r>
            <w:r w:rsidRPr="00307266">
              <w:rPr>
                <w:rFonts w:ascii="Arial" w:hAnsi="Arial" w:cs="Arial"/>
                <w:sz w:val="24"/>
                <w:szCs w:val="24"/>
                <w:lang w:val="en-US"/>
              </w:rPr>
              <w:tab/>
              <w:t>As regards costs, I am of the view that the general rule that costs follow the event should find application.</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1C69E0" w:rsidP="0030726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[25</w:t>
            </w:r>
            <w:r w:rsidR="00307266" w:rsidRPr="00307266">
              <w:rPr>
                <w:rFonts w:ascii="Arial" w:hAnsi="Arial" w:cs="Arial"/>
                <w:sz w:val="24"/>
                <w:szCs w:val="24"/>
                <w:lang w:val="en-US"/>
              </w:rPr>
              <w:t>]</w:t>
            </w:r>
            <w:r w:rsidR="00307266" w:rsidRPr="00307266">
              <w:rPr>
                <w:rFonts w:ascii="Arial" w:hAnsi="Arial" w:cs="Arial"/>
                <w:sz w:val="24"/>
                <w:szCs w:val="24"/>
                <w:lang w:val="en-US"/>
              </w:rPr>
              <w:tab/>
            </w:r>
            <w:r w:rsidR="00307266" w:rsidRPr="00307266">
              <w:rPr>
                <w:rFonts w:ascii="Arial" w:hAnsi="Arial" w:cs="Arial"/>
                <w:sz w:val="24"/>
                <w:szCs w:val="24"/>
                <w:lang w:val="en-US"/>
              </w:rPr>
              <w:tab/>
              <w:t>In the result, I make the following order:</w:t>
            </w:r>
          </w:p>
          <w:p w:rsidR="00307266" w:rsidRPr="00307266" w:rsidRDefault="00307266" w:rsidP="00307266">
            <w:pPr>
              <w:tabs>
                <w:tab w:val="left" w:pos="432"/>
                <w:tab w:val="left" w:pos="1107"/>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1.</w:t>
            </w:r>
            <w:r w:rsidRPr="00307266">
              <w:rPr>
                <w:rFonts w:ascii="Arial" w:hAnsi="Arial" w:cs="Arial"/>
                <w:sz w:val="24"/>
                <w:szCs w:val="24"/>
                <w:lang w:val="en-US"/>
              </w:rPr>
              <w:tab/>
              <w:t>The defendant’s application for security for costs is struck from the roll for non-compliance with the provisions of rule 32(9) and (10).</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2.</w:t>
            </w:r>
            <w:r w:rsidRPr="00307266">
              <w:rPr>
                <w:rFonts w:ascii="Arial" w:hAnsi="Arial" w:cs="Arial"/>
                <w:sz w:val="24"/>
                <w:szCs w:val="24"/>
                <w:lang w:val="en-US"/>
              </w:rPr>
              <w:tab/>
              <w:t>The defendant is ordered to pay the plaintiff’s costs occasioned by plaintiff’s opposition to the application for security for costs.  Such costs include costs of one instructing and one instructed legal practitioner.</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3.</w:t>
            </w:r>
            <w:r w:rsidRPr="00307266">
              <w:rPr>
                <w:rFonts w:ascii="Arial" w:hAnsi="Arial" w:cs="Arial"/>
                <w:sz w:val="24"/>
                <w:szCs w:val="24"/>
                <w:lang w:val="en-US"/>
              </w:rPr>
              <w:tab/>
              <w:t>The defendant’s third and fifth grounds of exception are dismissed.  The defendant is ordered to pay the plaintiff’s costs occasioned by plaintiff’s opposition to the, third and fifth grounds of exception.  Such costs include costs of one instructing and one instructed legal practitioner.</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Pr="00307266" w:rsidRDefault="00307266" w:rsidP="00307266">
            <w:pPr>
              <w:tabs>
                <w:tab w:val="left" w:pos="432"/>
              </w:tabs>
              <w:spacing w:line="360" w:lineRule="auto"/>
              <w:jc w:val="both"/>
              <w:rPr>
                <w:rFonts w:ascii="Arial" w:hAnsi="Arial" w:cs="Arial"/>
                <w:sz w:val="24"/>
                <w:szCs w:val="24"/>
                <w:lang w:val="en-US"/>
              </w:rPr>
            </w:pPr>
            <w:r w:rsidRPr="00307266">
              <w:rPr>
                <w:rFonts w:ascii="Arial" w:hAnsi="Arial" w:cs="Arial"/>
                <w:sz w:val="24"/>
                <w:szCs w:val="24"/>
                <w:lang w:val="en-US"/>
              </w:rPr>
              <w:t>4.</w:t>
            </w:r>
            <w:r w:rsidRPr="00307266">
              <w:rPr>
                <w:rFonts w:ascii="Arial" w:hAnsi="Arial" w:cs="Arial"/>
                <w:sz w:val="24"/>
                <w:szCs w:val="24"/>
                <w:lang w:val="en-US"/>
              </w:rPr>
              <w:tab/>
              <w:t xml:space="preserve">The plaintiff is ordered to pay the defendant’s costs in respect of the </w:t>
            </w:r>
            <w:r w:rsidR="001C69E0">
              <w:rPr>
                <w:rFonts w:ascii="Arial" w:hAnsi="Arial" w:cs="Arial"/>
                <w:sz w:val="24"/>
                <w:szCs w:val="24"/>
                <w:lang w:val="en-US"/>
              </w:rPr>
              <w:t xml:space="preserve">first, second and </w:t>
            </w:r>
            <w:r w:rsidRPr="00307266">
              <w:rPr>
                <w:rFonts w:ascii="Arial" w:hAnsi="Arial" w:cs="Arial"/>
                <w:sz w:val="24"/>
                <w:szCs w:val="24"/>
                <w:lang w:val="en-US"/>
              </w:rPr>
              <w:t>fourth ground</w:t>
            </w:r>
            <w:r w:rsidR="001C69E0">
              <w:rPr>
                <w:rFonts w:ascii="Arial" w:hAnsi="Arial" w:cs="Arial"/>
                <w:sz w:val="24"/>
                <w:szCs w:val="24"/>
                <w:lang w:val="en-US"/>
              </w:rPr>
              <w:t>s</w:t>
            </w:r>
            <w:r w:rsidRPr="00307266">
              <w:rPr>
                <w:rFonts w:ascii="Arial" w:hAnsi="Arial" w:cs="Arial"/>
                <w:sz w:val="24"/>
                <w:szCs w:val="24"/>
                <w:lang w:val="en-US"/>
              </w:rPr>
              <w:t xml:space="preserve"> of exception.  Such costs include costs of one instructing and</w:t>
            </w:r>
            <w:r w:rsidR="00E0060A">
              <w:rPr>
                <w:rFonts w:ascii="Arial" w:hAnsi="Arial" w:cs="Arial"/>
                <w:sz w:val="24"/>
                <w:szCs w:val="24"/>
                <w:lang w:val="en-US"/>
              </w:rPr>
              <w:t xml:space="preserve"> one</w:t>
            </w:r>
            <w:r w:rsidRPr="00307266">
              <w:rPr>
                <w:rFonts w:ascii="Arial" w:hAnsi="Arial" w:cs="Arial"/>
                <w:sz w:val="24"/>
                <w:szCs w:val="24"/>
                <w:lang w:val="en-US"/>
              </w:rPr>
              <w:t xml:space="preserve"> instructed legal practitioner.</w:t>
            </w:r>
          </w:p>
          <w:p w:rsidR="00307266" w:rsidRPr="00307266" w:rsidRDefault="00307266" w:rsidP="00307266">
            <w:pPr>
              <w:tabs>
                <w:tab w:val="left" w:pos="432"/>
              </w:tabs>
              <w:spacing w:line="360" w:lineRule="auto"/>
              <w:jc w:val="both"/>
              <w:rPr>
                <w:rFonts w:ascii="Arial" w:hAnsi="Arial" w:cs="Arial"/>
                <w:sz w:val="24"/>
                <w:szCs w:val="24"/>
                <w:lang w:val="en-US"/>
              </w:rPr>
            </w:pPr>
          </w:p>
          <w:p w:rsidR="00307266" w:rsidRDefault="001C69E0" w:rsidP="00307266">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sidR="00307266" w:rsidRPr="00307266">
              <w:rPr>
                <w:rFonts w:ascii="Arial" w:hAnsi="Arial" w:cs="Arial"/>
                <w:sz w:val="24"/>
                <w:szCs w:val="24"/>
                <w:lang w:val="en-US"/>
              </w:rPr>
              <w:tab/>
              <w:t>The plaintiff is ordered to pay defendant’s costs, occasioned by the defendant’s opposition to the applica</w:t>
            </w:r>
            <w:r>
              <w:rPr>
                <w:rFonts w:ascii="Arial" w:hAnsi="Arial" w:cs="Arial"/>
                <w:sz w:val="24"/>
                <w:szCs w:val="24"/>
                <w:lang w:val="en-US"/>
              </w:rPr>
              <w:t xml:space="preserve">tion for summary judgment.  </w:t>
            </w:r>
            <w:r w:rsidR="00307266" w:rsidRPr="00307266">
              <w:rPr>
                <w:rFonts w:ascii="Arial" w:hAnsi="Arial" w:cs="Arial"/>
                <w:sz w:val="24"/>
                <w:szCs w:val="24"/>
                <w:lang w:val="en-US"/>
              </w:rPr>
              <w:t xml:space="preserve">Such costs include costs of one instructing and one instructed legal practitioner.  </w:t>
            </w:r>
          </w:p>
          <w:p w:rsidR="001C69E0" w:rsidRDefault="001C69E0" w:rsidP="00307266">
            <w:pPr>
              <w:tabs>
                <w:tab w:val="left" w:pos="432"/>
              </w:tabs>
              <w:spacing w:line="360" w:lineRule="auto"/>
              <w:jc w:val="both"/>
              <w:rPr>
                <w:rFonts w:ascii="Arial" w:hAnsi="Arial" w:cs="Arial"/>
                <w:sz w:val="24"/>
                <w:szCs w:val="24"/>
                <w:lang w:val="en-US"/>
              </w:rPr>
            </w:pPr>
          </w:p>
          <w:p w:rsidR="009E3830" w:rsidRDefault="009E3830" w:rsidP="009E3830">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plaintiff is granted leave to amend its particulars of claim, if so advised, within 15 days from 3 July 2020.</w:t>
            </w:r>
          </w:p>
          <w:p w:rsidR="009E3830" w:rsidRDefault="009E3830" w:rsidP="009E3830">
            <w:pPr>
              <w:tabs>
                <w:tab w:val="left" w:pos="432"/>
              </w:tabs>
              <w:spacing w:line="360" w:lineRule="auto"/>
              <w:jc w:val="both"/>
              <w:rPr>
                <w:rFonts w:ascii="Arial" w:hAnsi="Arial" w:cs="Arial"/>
                <w:sz w:val="24"/>
                <w:szCs w:val="24"/>
                <w:lang w:val="en-US"/>
              </w:rPr>
            </w:pPr>
          </w:p>
          <w:p w:rsidR="009E3830" w:rsidRDefault="009E3830" w:rsidP="009E3830">
            <w:pPr>
              <w:tabs>
                <w:tab w:val="left" w:pos="432"/>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matter is postponed to 19 August 2020 at 15:15 for Case Planning Conference.</w:t>
            </w:r>
          </w:p>
          <w:p w:rsidR="009E3830" w:rsidRPr="00307266" w:rsidRDefault="009E3830" w:rsidP="009E3830">
            <w:pPr>
              <w:tabs>
                <w:tab w:val="left" w:pos="432"/>
              </w:tabs>
              <w:spacing w:line="360" w:lineRule="auto"/>
              <w:jc w:val="both"/>
              <w:rPr>
                <w:rFonts w:ascii="Arial" w:hAnsi="Arial" w:cs="Arial"/>
                <w:sz w:val="24"/>
                <w:szCs w:val="24"/>
                <w:lang w:val="en-US"/>
              </w:rPr>
            </w:pPr>
          </w:p>
          <w:p w:rsidR="009E3830" w:rsidRPr="00307266" w:rsidRDefault="009E3830" w:rsidP="009E3830">
            <w:pPr>
              <w:tabs>
                <w:tab w:val="left" w:pos="432"/>
              </w:tabs>
              <w:spacing w:line="360" w:lineRule="auto"/>
              <w:jc w:val="both"/>
              <w:rPr>
                <w:rFonts w:ascii="Arial" w:hAnsi="Arial" w:cs="Arial"/>
                <w:sz w:val="24"/>
                <w:szCs w:val="24"/>
                <w:lang w:val="en-US"/>
              </w:rPr>
            </w:pPr>
            <w:r>
              <w:rPr>
                <w:rFonts w:ascii="Arial" w:hAnsi="Arial" w:cs="Arial"/>
                <w:sz w:val="24"/>
                <w:szCs w:val="24"/>
                <w:lang w:val="en-US"/>
              </w:rPr>
              <w:t>8</w:t>
            </w:r>
            <w:r w:rsidRPr="00307266">
              <w:rPr>
                <w:rFonts w:ascii="Arial" w:hAnsi="Arial" w:cs="Arial"/>
                <w:sz w:val="24"/>
                <w:szCs w:val="24"/>
                <w:lang w:val="en-US"/>
              </w:rPr>
              <w:t>.</w:t>
            </w:r>
            <w:r w:rsidRPr="00307266">
              <w:rPr>
                <w:rFonts w:ascii="Arial" w:hAnsi="Arial" w:cs="Arial"/>
                <w:sz w:val="24"/>
                <w:szCs w:val="24"/>
                <w:lang w:val="en-US"/>
              </w:rPr>
              <w:tab/>
              <w:t xml:space="preserve">The parties must file a joint </w:t>
            </w:r>
            <w:r w:rsidR="003316A4">
              <w:rPr>
                <w:rFonts w:ascii="Arial" w:hAnsi="Arial" w:cs="Arial"/>
                <w:sz w:val="24"/>
                <w:szCs w:val="24"/>
                <w:lang w:val="en-US"/>
              </w:rPr>
              <w:t>case plan</w:t>
            </w:r>
            <w:r w:rsidRPr="00307266">
              <w:rPr>
                <w:rFonts w:ascii="Arial" w:hAnsi="Arial" w:cs="Arial"/>
                <w:sz w:val="24"/>
                <w:szCs w:val="24"/>
                <w:lang w:val="en-US"/>
              </w:rPr>
              <w:t xml:space="preserve"> on or before </w:t>
            </w:r>
            <w:r>
              <w:rPr>
                <w:rFonts w:ascii="Arial" w:hAnsi="Arial" w:cs="Arial"/>
                <w:sz w:val="24"/>
                <w:szCs w:val="24"/>
                <w:lang w:val="en-US"/>
              </w:rPr>
              <w:t>12 August</w:t>
            </w:r>
            <w:r w:rsidRPr="00307266">
              <w:rPr>
                <w:rFonts w:ascii="Arial" w:hAnsi="Arial" w:cs="Arial"/>
                <w:sz w:val="24"/>
                <w:szCs w:val="24"/>
                <w:lang w:val="en-US"/>
              </w:rPr>
              <w:t xml:space="preserve"> 2020.</w:t>
            </w:r>
          </w:p>
          <w:p w:rsidR="00307266" w:rsidRPr="00307266" w:rsidRDefault="00307266" w:rsidP="003316A4">
            <w:pPr>
              <w:tabs>
                <w:tab w:val="left" w:pos="432"/>
                <w:tab w:val="left" w:pos="1107"/>
              </w:tabs>
              <w:spacing w:line="360" w:lineRule="auto"/>
              <w:jc w:val="both"/>
              <w:rPr>
                <w:rFonts w:ascii="Arial" w:hAnsi="Arial" w:cs="Arial"/>
                <w:sz w:val="24"/>
                <w:szCs w:val="24"/>
                <w:lang w:val="en-US"/>
              </w:rPr>
            </w:pPr>
          </w:p>
        </w:tc>
      </w:tr>
      <w:tr w:rsidR="00307266" w:rsidRPr="00307266" w:rsidTr="003E4FD0">
        <w:tc>
          <w:tcPr>
            <w:tcW w:w="4950" w:type="dxa"/>
          </w:tcPr>
          <w:p w:rsidR="00307266" w:rsidRPr="00307266" w:rsidRDefault="00B61A33" w:rsidP="00307266">
            <w:pPr>
              <w:rPr>
                <w:rFonts w:ascii="Arial" w:hAnsi="Arial" w:cs="Arial"/>
                <w:b/>
                <w:sz w:val="24"/>
                <w:szCs w:val="24"/>
                <w:lang w:val="en-US"/>
              </w:rPr>
            </w:pPr>
            <w:r>
              <w:rPr>
                <w:rFonts w:ascii="Arial" w:hAnsi="Arial" w:cs="Arial"/>
                <w:b/>
                <w:sz w:val="24"/>
                <w:szCs w:val="24"/>
                <w:lang w:val="en-US"/>
              </w:rPr>
              <w:lastRenderedPageBreak/>
              <w:tab/>
            </w:r>
            <w:r w:rsidR="00E0060A">
              <w:rPr>
                <w:rFonts w:ascii="Arial" w:hAnsi="Arial" w:cs="Arial"/>
                <w:b/>
                <w:sz w:val="24"/>
                <w:szCs w:val="24"/>
                <w:lang w:val="en-US"/>
              </w:rPr>
              <w:t xml:space="preserve">Judge’s signature </w:t>
            </w:r>
          </w:p>
          <w:p w:rsidR="00307266" w:rsidRPr="00307266" w:rsidRDefault="00307266" w:rsidP="00307266">
            <w:pPr>
              <w:rPr>
                <w:rFonts w:ascii="Arial" w:hAnsi="Arial" w:cs="Arial"/>
                <w:b/>
                <w:sz w:val="24"/>
                <w:szCs w:val="24"/>
                <w:lang w:val="en-US"/>
              </w:rPr>
            </w:pPr>
          </w:p>
        </w:tc>
        <w:tc>
          <w:tcPr>
            <w:tcW w:w="5130" w:type="dxa"/>
          </w:tcPr>
          <w:p w:rsidR="00307266" w:rsidRPr="00307266" w:rsidRDefault="00307266" w:rsidP="00307266">
            <w:pPr>
              <w:rPr>
                <w:rFonts w:ascii="Arial" w:hAnsi="Arial" w:cs="Arial"/>
                <w:b/>
                <w:sz w:val="24"/>
                <w:szCs w:val="24"/>
                <w:lang w:val="en-US"/>
              </w:rPr>
            </w:pPr>
            <w:r w:rsidRPr="00307266">
              <w:rPr>
                <w:rFonts w:ascii="Arial" w:hAnsi="Arial" w:cs="Arial"/>
                <w:b/>
                <w:sz w:val="24"/>
                <w:szCs w:val="24"/>
                <w:lang w:val="en-US"/>
              </w:rPr>
              <w:t>Note to the parties:</w:t>
            </w:r>
          </w:p>
        </w:tc>
      </w:tr>
      <w:tr w:rsidR="00307266" w:rsidRPr="00307266" w:rsidTr="003E4FD0">
        <w:tc>
          <w:tcPr>
            <w:tcW w:w="4950" w:type="dxa"/>
          </w:tcPr>
          <w:p w:rsidR="00307266" w:rsidRPr="00307266" w:rsidRDefault="00307266" w:rsidP="00307266">
            <w:pPr>
              <w:rPr>
                <w:rFonts w:ascii="Arial" w:hAnsi="Arial" w:cs="Arial"/>
                <w:sz w:val="24"/>
                <w:szCs w:val="24"/>
                <w:lang w:val="en-US"/>
              </w:rPr>
            </w:pPr>
          </w:p>
          <w:p w:rsidR="00307266" w:rsidRPr="00307266" w:rsidRDefault="00307266" w:rsidP="00307266">
            <w:pPr>
              <w:rPr>
                <w:rFonts w:ascii="Arial" w:hAnsi="Arial" w:cs="Arial"/>
                <w:sz w:val="24"/>
                <w:szCs w:val="24"/>
                <w:lang w:val="en-US"/>
              </w:rPr>
            </w:pPr>
          </w:p>
          <w:p w:rsidR="00307266" w:rsidRPr="00307266" w:rsidRDefault="00307266" w:rsidP="00307266">
            <w:pPr>
              <w:rPr>
                <w:rFonts w:ascii="Arial" w:hAnsi="Arial" w:cs="Arial"/>
                <w:sz w:val="24"/>
                <w:szCs w:val="24"/>
                <w:lang w:val="en-US"/>
              </w:rPr>
            </w:pPr>
          </w:p>
          <w:p w:rsidR="00307266" w:rsidRPr="00307266" w:rsidRDefault="00307266" w:rsidP="00307266">
            <w:pPr>
              <w:rPr>
                <w:rFonts w:ascii="Arial" w:hAnsi="Arial" w:cs="Arial"/>
                <w:sz w:val="24"/>
                <w:szCs w:val="24"/>
                <w:lang w:val="en-US"/>
              </w:rPr>
            </w:pPr>
          </w:p>
        </w:tc>
        <w:tc>
          <w:tcPr>
            <w:tcW w:w="5130" w:type="dxa"/>
          </w:tcPr>
          <w:p w:rsidR="00307266" w:rsidRPr="00307266" w:rsidRDefault="00307266" w:rsidP="00307266">
            <w:pPr>
              <w:rPr>
                <w:rFonts w:ascii="Arial" w:hAnsi="Arial" w:cs="Arial"/>
                <w:sz w:val="24"/>
                <w:szCs w:val="24"/>
                <w:lang w:val="en-US"/>
              </w:rPr>
            </w:pPr>
            <w:r w:rsidRPr="00307266">
              <w:rPr>
                <w:rFonts w:ascii="Arial" w:hAnsi="Arial" w:cs="Arial"/>
                <w:sz w:val="24"/>
                <w:szCs w:val="24"/>
                <w:lang w:val="en-US"/>
              </w:rPr>
              <w:t xml:space="preserve">Not applicable </w:t>
            </w:r>
          </w:p>
        </w:tc>
      </w:tr>
      <w:tr w:rsidR="00307266" w:rsidRPr="00307266" w:rsidTr="003E4FD0">
        <w:tc>
          <w:tcPr>
            <w:tcW w:w="10080" w:type="dxa"/>
            <w:gridSpan w:val="2"/>
          </w:tcPr>
          <w:p w:rsidR="00307266" w:rsidRPr="00307266" w:rsidRDefault="00307266" w:rsidP="00307266">
            <w:pPr>
              <w:jc w:val="center"/>
              <w:rPr>
                <w:rFonts w:ascii="Arial" w:hAnsi="Arial" w:cs="Arial"/>
                <w:b/>
                <w:sz w:val="24"/>
                <w:szCs w:val="24"/>
                <w:lang w:val="en-US"/>
              </w:rPr>
            </w:pPr>
            <w:r w:rsidRPr="00307266">
              <w:rPr>
                <w:rFonts w:ascii="Arial" w:hAnsi="Arial" w:cs="Arial"/>
                <w:b/>
                <w:sz w:val="24"/>
                <w:szCs w:val="24"/>
                <w:lang w:val="en-US"/>
              </w:rPr>
              <w:t>Counsel:</w:t>
            </w:r>
          </w:p>
        </w:tc>
      </w:tr>
      <w:tr w:rsidR="00307266" w:rsidRPr="00307266" w:rsidTr="003E4FD0">
        <w:tc>
          <w:tcPr>
            <w:tcW w:w="4950" w:type="dxa"/>
          </w:tcPr>
          <w:p w:rsidR="00307266" w:rsidRPr="00307266" w:rsidRDefault="00307266" w:rsidP="00307266">
            <w:pPr>
              <w:rPr>
                <w:rFonts w:ascii="Arial" w:hAnsi="Arial" w:cs="Arial"/>
                <w:b/>
                <w:sz w:val="24"/>
                <w:szCs w:val="24"/>
                <w:lang w:val="en-US"/>
              </w:rPr>
            </w:pPr>
            <w:r w:rsidRPr="00307266">
              <w:rPr>
                <w:rFonts w:ascii="Arial" w:hAnsi="Arial" w:cs="Arial"/>
                <w:b/>
                <w:sz w:val="24"/>
                <w:szCs w:val="24"/>
                <w:lang w:val="en-US"/>
              </w:rPr>
              <w:t>Plaintiff</w:t>
            </w:r>
          </w:p>
        </w:tc>
        <w:tc>
          <w:tcPr>
            <w:tcW w:w="5130" w:type="dxa"/>
          </w:tcPr>
          <w:p w:rsidR="00307266" w:rsidRPr="00307266" w:rsidRDefault="00307266" w:rsidP="00307266">
            <w:pPr>
              <w:rPr>
                <w:rFonts w:ascii="Arial" w:hAnsi="Arial" w:cs="Arial"/>
                <w:b/>
                <w:sz w:val="24"/>
                <w:szCs w:val="24"/>
                <w:lang w:val="en-US"/>
              </w:rPr>
            </w:pPr>
            <w:r w:rsidRPr="00307266">
              <w:rPr>
                <w:rFonts w:ascii="Arial" w:hAnsi="Arial" w:cs="Arial"/>
                <w:b/>
                <w:sz w:val="24"/>
                <w:szCs w:val="24"/>
                <w:lang w:val="en-US"/>
              </w:rPr>
              <w:t>Defendant</w:t>
            </w:r>
          </w:p>
          <w:p w:rsidR="00307266" w:rsidRPr="00307266" w:rsidRDefault="00307266" w:rsidP="00307266">
            <w:pPr>
              <w:rPr>
                <w:rFonts w:ascii="Arial" w:hAnsi="Arial" w:cs="Arial"/>
                <w:sz w:val="24"/>
                <w:szCs w:val="24"/>
                <w:lang w:val="en-US"/>
              </w:rPr>
            </w:pPr>
          </w:p>
        </w:tc>
      </w:tr>
      <w:tr w:rsidR="00307266" w:rsidRPr="00307266" w:rsidTr="003E4FD0">
        <w:tc>
          <w:tcPr>
            <w:tcW w:w="4950" w:type="dxa"/>
          </w:tcPr>
          <w:p w:rsidR="00307266" w:rsidRPr="00307266" w:rsidRDefault="001E0B6E" w:rsidP="00307266">
            <w:pPr>
              <w:rPr>
                <w:rFonts w:ascii="Arial" w:hAnsi="Arial" w:cs="Arial"/>
                <w:sz w:val="24"/>
                <w:szCs w:val="24"/>
                <w:lang w:val="en-US"/>
              </w:rPr>
            </w:pPr>
            <w:r>
              <w:rPr>
                <w:rFonts w:ascii="Arial" w:hAnsi="Arial" w:cs="Arial"/>
                <w:sz w:val="24"/>
                <w:szCs w:val="24"/>
                <w:lang w:val="en-US"/>
              </w:rPr>
              <w:t>Advocate</w:t>
            </w:r>
            <w:bookmarkStart w:id="0" w:name="_GoBack"/>
            <w:bookmarkEnd w:id="0"/>
            <w:r w:rsidR="0018302C">
              <w:rPr>
                <w:rFonts w:ascii="Arial" w:hAnsi="Arial" w:cs="Arial"/>
                <w:sz w:val="24"/>
                <w:szCs w:val="24"/>
                <w:lang w:val="en-US"/>
              </w:rPr>
              <w:t xml:space="preserve"> </w:t>
            </w:r>
            <w:r w:rsidR="009067C7">
              <w:rPr>
                <w:rFonts w:ascii="Arial" w:hAnsi="Arial" w:cs="Arial"/>
                <w:sz w:val="24"/>
                <w:szCs w:val="24"/>
                <w:lang w:val="en-US"/>
              </w:rPr>
              <w:t xml:space="preserve">E </w:t>
            </w:r>
            <w:r w:rsidR="0018302C">
              <w:rPr>
                <w:rFonts w:ascii="Arial" w:hAnsi="Arial" w:cs="Arial"/>
                <w:sz w:val="24"/>
                <w:szCs w:val="24"/>
                <w:lang w:val="en-US"/>
              </w:rPr>
              <w:t xml:space="preserve">Nekwaya </w:t>
            </w:r>
          </w:p>
          <w:p w:rsidR="00307266" w:rsidRPr="00307266" w:rsidRDefault="00307266" w:rsidP="00307266">
            <w:pPr>
              <w:rPr>
                <w:rFonts w:ascii="Arial" w:hAnsi="Arial" w:cs="Arial"/>
                <w:sz w:val="24"/>
                <w:szCs w:val="24"/>
                <w:lang w:val="en-US"/>
              </w:rPr>
            </w:pPr>
            <w:r w:rsidRPr="00307266">
              <w:rPr>
                <w:rFonts w:ascii="Arial" w:hAnsi="Arial" w:cs="Arial"/>
                <w:sz w:val="24"/>
                <w:szCs w:val="24"/>
                <w:lang w:val="en-US"/>
              </w:rPr>
              <w:t>Instructed by ENSafrica Namibia</w:t>
            </w:r>
          </w:p>
          <w:p w:rsidR="00307266" w:rsidRPr="00307266" w:rsidRDefault="00307266" w:rsidP="00307266">
            <w:pPr>
              <w:rPr>
                <w:rFonts w:ascii="Arial" w:hAnsi="Arial" w:cs="Arial"/>
                <w:sz w:val="24"/>
                <w:szCs w:val="24"/>
                <w:lang w:val="en-US"/>
              </w:rPr>
            </w:pPr>
            <w:r w:rsidRPr="00307266">
              <w:rPr>
                <w:rFonts w:ascii="Arial" w:hAnsi="Arial" w:cs="Arial"/>
                <w:sz w:val="24"/>
                <w:szCs w:val="24"/>
                <w:lang w:val="en-US"/>
              </w:rPr>
              <w:t>Windhoek</w:t>
            </w:r>
          </w:p>
          <w:p w:rsidR="00307266" w:rsidRPr="00307266" w:rsidRDefault="00307266" w:rsidP="00307266">
            <w:pPr>
              <w:rPr>
                <w:rFonts w:ascii="Arial" w:hAnsi="Arial" w:cs="Arial"/>
                <w:sz w:val="24"/>
                <w:szCs w:val="24"/>
                <w:lang w:val="en-US"/>
              </w:rPr>
            </w:pPr>
          </w:p>
        </w:tc>
        <w:tc>
          <w:tcPr>
            <w:tcW w:w="5130" w:type="dxa"/>
          </w:tcPr>
          <w:p w:rsidR="00307266" w:rsidRPr="00307266" w:rsidRDefault="00307266" w:rsidP="00307266">
            <w:pPr>
              <w:rPr>
                <w:rFonts w:ascii="Arial" w:hAnsi="Arial" w:cs="Arial"/>
                <w:sz w:val="24"/>
                <w:szCs w:val="24"/>
                <w:lang w:val="en-US"/>
              </w:rPr>
            </w:pPr>
            <w:r w:rsidRPr="00307266">
              <w:rPr>
                <w:rFonts w:ascii="Arial" w:hAnsi="Arial" w:cs="Arial"/>
                <w:sz w:val="24"/>
                <w:szCs w:val="24"/>
                <w:lang w:val="en-US"/>
              </w:rPr>
              <w:t>A. Naude</w:t>
            </w:r>
          </w:p>
          <w:p w:rsidR="00307266" w:rsidRPr="00307266" w:rsidRDefault="00307266" w:rsidP="00307266">
            <w:pPr>
              <w:rPr>
                <w:rFonts w:ascii="Arial" w:hAnsi="Arial" w:cs="Arial"/>
                <w:sz w:val="24"/>
                <w:szCs w:val="24"/>
                <w:lang w:val="en-US"/>
              </w:rPr>
            </w:pPr>
            <w:r w:rsidRPr="00307266">
              <w:rPr>
                <w:rFonts w:ascii="Arial" w:hAnsi="Arial" w:cs="Arial"/>
                <w:sz w:val="24"/>
                <w:szCs w:val="24"/>
                <w:lang w:val="en-US"/>
              </w:rPr>
              <w:t>Instructed by Dr Weder, Kauta and Hoveka Inc.</w:t>
            </w:r>
          </w:p>
          <w:p w:rsidR="00307266" w:rsidRPr="00307266" w:rsidRDefault="00307266" w:rsidP="00307266">
            <w:pPr>
              <w:rPr>
                <w:rFonts w:ascii="Arial" w:hAnsi="Arial" w:cs="Arial"/>
                <w:sz w:val="24"/>
                <w:szCs w:val="24"/>
                <w:lang w:val="en-US"/>
              </w:rPr>
            </w:pPr>
            <w:r w:rsidRPr="00307266">
              <w:rPr>
                <w:rFonts w:ascii="Arial" w:hAnsi="Arial" w:cs="Arial"/>
                <w:sz w:val="24"/>
                <w:szCs w:val="24"/>
                <w:lang w:val="en-US"/>
              </w:rPr>
              <w:t>Windhoek</w:t>
            </w:r>
          </w:p>
        </w:tc>
      </w:tr>
      <w:tr w:rsidR="00DC6E82" w:rsidRPr="00307266" w:rsidTr="003E4FD0">
        <w:tc>
          <w:tcPr>
            <w:tcW w:w="4950" w:type="dxa"/>
          </w:tcPr>
          <w:p w:rsidR="00DC6E82" w:rsidRPr="00307266" w:rsidRDefault="00DC6E82" w:rsidP="00307266">
            <w:pPr>
              <w:rPr>
                <w:rFonts w:ascii="Arial" w:hAnsi="Arial" w:cs="Arial"/>
                <w:sz w:val="24"/>
                <w:szCs w:val="24"/>
                <w:lang w:val="en-US"/>
              </w:rPr>
            </w:pPr>
          </w:p>
        </w:tc>
        <w:tc>
          <w:tcPr>
            <w:tcW w:w="5130" w:type="dxa"/>
          </w:tcPr>
          <w:p w:rsidR="00DC6E82" w:rsidRPr="00307266" w:rsidRDefault="00DC6E82" w:rsidP="00307266">
            <w:pPr>
              <w:rPr>
                <w:rFonts w:ascii="Arial" w:hAnsi="Arial" w:cs="Arial"/>
                <w:sz w:val="24"/>
                <w:szCs w:val="24"/>
                <w:lang w:val="en-US"/>
              </w:rPr>
            </w:pPr>
          </w:p>
        </w:tc>
      </w:tr>
      <w:tr w:rsidR="00DC6E82" w:rsidRPr="00307266" w:rsidTr="003E4FD0">
        <w:tc>
          <w:tcPr>
            <w:tcW w:w="4950" w:type="dxa"/>
          </w:tcPr>
          <w:p w:rsidR="00DC6E82" w:rsidRPr="00307266" w:rsidRDefault="00DC6E82" w:rsidP="00307266">
            <w:pPr>
              <w:rPr>
                <w:rFonts w:ascii="Arial" w:hAnsi="Arial" w:cs="Arial"/>
                <w:sz w:val="24"/>
                <w:szCs w:val="24"/>
                <w:lang w:val="en-US"/>
              </w:rPr>
            </w:pPr>
          </w:p>
        </w:tc>
        <w:tc>
          <w:tcPr>
            <w:tcW w:w="5130" w:type="dxa"/>
          </w:tcPr>
          <w:p w:rsidR="00DC6E82" w:rsidRPr="00307266" w:rsidRDefault="00DC6E82" w:rsidP="00307266">
            <w:pPr>
              <w:rPr>
                <w:rFonts w:ascii="Arial" w:hAnsi="Arial" w:cs="Arial"/>
                <w:sz w:val="24"/>
                <w:szCs w:val="24"/>
                <w:lang w:val="en-US"/>
              </w:rPr>
            </w:pPr>
          </w:p>
        </w:tc>
      </w:tr>
    </w:tbl>
    <w:p w:rsidR="00923B3B" w:rsidRDefault="00923B3B"/>
    <w:sectPr w:rsidR="00923B3B" w:rsidSect="000B2812">
      <w:head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DF" w:rsidRDefault="009B3FDF" w:rsidP="00307266">
      <w:pPr>
        <w:spacing w:after="0" w:line="240" w:lineRule="auto"/>
      </w:pPr>
      <w:r>
        <w:separator/>
      </w:r>
    </w:p>
  </w:endnote>
  <w:endnote w:type="continuationSeparator" w:id="0">
    <w:p w:rsidR="009B3FDF" w:rsidRDefault="009B3FDF" w:rsidP="0030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DF" w:rsidRDefault="009B3FDF" w:rsidP="00307266">
      <w:pPr>
        <w:spacing w:after="0" w:line="240" w:lineRule="auto"/>
      </w:pPr>
      <w:r>
        <w:separator/>
      </w:r>
    </w:p>
  </w:footnote>
  <w:footnote w:type="continuationSeparator" w:id="0">
    <w:p w:rsidR="009B3FDF" w:rsidRDefault="009B3FDF" w:rsidP="00307266">
      <w:pPr>
        <w:spacing w:after="0" w:line="240" w:lineRule="auto"/>
      </w:pPr>
      <w:r>
        <w:continuationSeparator/>
      </w:r>
    </w:p>
  </w:footnote>
  <w:footnote w:id="1">
    <w:p w:rsidR="00307266" w:rsidRPr="00CF1A37" w:rsidRDefault="00307266" w:rsidP="00307266">
      <w:pPr>
        <w:pStyle w:val="FootnoteText"/>
        <w:rPr>
          <w:rFonts w:ascii="Arial" w:hAnsi="Arial" w:cs="Arial"/>
          <w:lang w:val="en-US"/>
        </w:rPr>
      </w:pPr>
      <w:r w:rsidRPr="00CF1A37">
        <w:rPr>
          <w:rStyle w:val="FootnoteReference"/>
          <w:rFonts w:ascii="Arial" w:hAnsi="Arial" w:cs="Arial"/>
        </w:rPr>
        <w:footnoteRef/>
      </w:r>
      <w:r w:rsidRPr="00CF1A37">
        <w:rPr>
          <w:rFonts w:ascii="Arial" w:hAnsi="Arial" w:cs="Arial"/>
        </w:rPr>
        <w:t xml:space="preserve"> </w:t>
      </w:r>
      <w:r>
        <w:rPr>
          <w:rFonts w:ascii="Arial" w:hAnsi="Arial" w:cs="Arial"/>
        </w:rPr>
        <w:t>Miller v Prosperity Africa Holdings (Pty) Ltd (I1218/2010) [2013] NAHCMD 255 (17 September 2013)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0B2812" w:rsidRDefault="00816BA0">
        <w:pPr>
          <w:pStyle w:val="Header"/>
          <w:jc w:val="center"/>
        </w:pPr>
        <w:r>
          <w:fldChar w:fldCharType="begin"/>
        </w:r>
        <w:r>
          <w:instrText xml:space="preserve"> PAGE   \* MERGEFORMAT </w:instrText>
        </w:r>
        <w:r>
          <w:fldChar w:fldCharType="separate"/>
        </w:r>
        <w:r w:rsidR="001E0B6E">
          <w:rPr>
            <w:noProof/>
          </w:rPr>
          <w:t>9</w:t>
        </w:r>
        <w:r>
          <w:rPr>
            <w:noProof/>
          </w:rPr>
          <w:fldChar w:fldCharType="end"/>
        </w:r>
      </w:p>
    </w:sdtContent>
  </w:sdt>
  <w:p w:rsidR="000B2812" w:rsidRDefault="009B3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66"/>
    <w:rsid w:val="000354E5"/>
    <w:rsid w:val="000945CC"/>
    <w:rsid w:val="000F34EB"/>
    <w:rsid w:val="00104377"/>
    <w:rsid w:val="00115C9F"/>
    <w:rsid w:val="00172F5C"/>
    <w:rsid w:val="001803C5"/>
    <w:rsid w:val="0018302C"/>
    <w:rsid w:val="001C69E0"/>
    <w:rsid w:val="001D28D7"/>
    <w:rsid w:val="001E0B6E"/>
    <w:rsid w:val="00267F0F"/>
    <w:rsid w:val="002E0F7C"/>
    <w:rsid w:val="00307266"/>
    <w:rsid w:val="003316A4"/>
    <w:rsid w:val="00374378"/>
    <w:rsid w:val="00454AA2"/>
    <w:rsid w:val="005409E7"/>
    <w:rsid w:val="00593B64"/>
    <w:rsid w:val="0061687E"/>
    <w:rsid w:val="0070035A"/>
    <w:rsid w:val="00816BA0"/>
    <w:rsid w:val="00883F9E"/>
    <w:rsid w:val="00891246"/>
    <w:rsid w:val="009067C7"/>
    <w:rsid w:val="00923B3B"/>
    <w:rsid w:val="009B3FDF"/>
    <w:rsid w:val="009E3830"/>
    <w:rsid w:val="00B61A33"/>
    <w:rsid w:val="00BA5797"/>
    <w:rsid w:val="00C66157"/>
    <w:rsid w:val="00C77AB5"/>
    <w:rsid w:val="00CC2D64"/>
    <w:rsid w:val="00DC6E82"/>
    <w:rsid w:val="00E0060A"/>
    <w:rsid w:val="00EE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21F4A-6EB4-4D2F-A841-6A2BB193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26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07266"/>
  </w:style>
  <w:style w:type="paragraph" w:styleId="FootnoteText">
    <w:name w:val="footnote text"/>
    <w:basedOn w:val="Normal"/>
    <w:link w:val="FootnoteTextChar"/>
    <w:uiPriority w:val="99"/>
    <w:semiHidden/>
    <w:unhideWhenUsed/>
    <w:rsid w:val="003072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266"/>
    <w:rPr>
      <w:sz w:val="20"/>
      <w:szCs w:val="20"/>
      <w:lang w:val="en-GB"/>
    </w:rPr>
  </w:style>
  <w:style w:type="character" w:styleId="FootnoteReference">
    <w:name w:val="footnote reference"/>
    <w:basedOn w:val="DefaultParagraphFont"/>
    <w:uiPriority w:val="99"/>
    <w:semiHidden/>
    <w:unhideWhenUsed/>
    <w:rsid w:val="00307266"/>
    <w:rPr>
      <w:vertAlign w:val="superscript"/>
    </w:rPr>
  </w:style>
  <w:style w:type="paragraph" w:styleId="BalloonText">
    <w:name w:val="Balloon Text"/>
    <w:basedOn w:val="Normal"/>
    <w:link w:val="BalloonTextChar"/>
    <w:uiPriority w:val="99"/>
    <w:semiHidden/>
    <w:unhideWhenUsed/>
    <w:rsid w:val="0089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4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2020-06-29T18:30:00+00:00</Judgment_x0020_Date>
    <Year xmlns="c1afb1bd-f2fb-40fd-9abb-aea55b4d7662">2020</Year>
  </documentManagement>
</p:properties>
</file>

<file path=customXml/itemProps1.xml><?xml version="1.0" encoding="utf-8"?>
<ds:datastoreItem xmlns:ds="http://schemas.openxmlformats.org/officeDocument/2006/customXml" ds:itemID="{23B059C3-478F-4C86-A670-463E85AF949B}"/>
</file>

<file path=customXml/itemProps2.xml><?xml version="1.0" encoding="utf-8"?>
<ds:datastoreItem xmlns:ds="http://schemas.openxmlformats.org/officeDocument/2006/customXml" ds:itemID="{EAF52B93-CEF2-4D93-8797-9D4390021CB1}"/>
</file>

<file path=customXml/itemProps3.xml><?xml version="1.0" encoding="utf-8"?>
<ds:datastoreItem xmlns:ds="http://schemas.openxmlformats.org/officeDocument/2006/customXml" ds:itemID="{CA177C1B-7A25-48DA-8BFA-0B83D37C0BBC}"/>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Pretoria Clothing and Caps (Pty) Ltd v Roland Jacobs (HC-MD-CIV -ACT-CON 2019-02468) [2020] NAHCMD 265 (30 June 2020)</dc:title>
  <dc:subject/>
  <dc:creator>Loide Shilongo</dc:creator>
  <cp:keywords/>
  <dc:description/>
  <cp:lastModifiedBy>Administrator</cp:lastModifiedBy>
  <cp:revision>2</cp:revision>
  <cp:lastPrinted>2020-07-01T08:56:00Z</cp:lastPrinted>
  <dcterms:created xsi:type="dcterms:W3CDTF">2020-07-13T11:09:00Z</dcterms:created>
  <dcterms:modified xsi:type="dcterms:W3CDTF">2020-07-13T11:09:00Z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