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53" w:rsidRDefault="009C2E53" w:rsidP="009C2E53">
      <w:pPr>
        <w:spacing w:after="0" w:line="240" w:lineRule="auto"/>
        <w:jc w:val="center"/>
        <w:rPr>
          <w:rFonts w:ascii="Arial Narrow" w:hAnsi="Arial Narrow"/>
        </w:rPr>
      </w:pPr>
      <w:r w:rsidRPr="006647C4">
        <w:rPr>
          <w:rFonts w:ascii="Arial Narrow" w:hAnsi="Arial Narrow"/>
        </w:rPr>
        <w:t>Practice Directive 61</w:t>
      </w:r>
    </w:p>
    <w:p w:rsidR="008B5F3A" w:rsidRDefault="008B5F3A" w:rsidP="009C2E53">
      <w:pPr>
        <w:spacing w:after="0" w:line="240" w:lineRule="auto"/>
        <w:jc w:val="center"/>
        <w:rPr>
          <w:rFonts w:ascii="Arial Narrow" w:hAnsi="Arial Narrow"/>
        </w:rPr>
      </w:pPr>
    </w:p>
    <w:p w:rsidR="008B5F3A" w:rsidRPr="006647C4" w:rsidRDefault="008B5F3A" w:rsidP="009C2E53">
      <w:pPr>
        <w:spacing w:after="0" w:line="240" w:lineRule="auto"/>
        <w:jc w:val="center"/>
        <w:rPr>
          <w:rFonts w:ascii="Arial Narrow" w:hAnsi="Arial Narrow"/>
        </w:rPr>
      </w:pPr>
      <w:r>
        <w:rPr>
          <w:rFonts w:ascii="Arial Narrow" w:hAnsi="Arial Narrow"/>
        </w:rPr>
        <w:t>“ANNEXURE 11”</w:t>
      </w:r>
    </w:p>
    <w:p w:rsidR="009C2E53" w:rsidRPr="006647C4" w:rsidRDefault="009C2E53" w:rsidP="009C2E53">
      <w:pPr>
        <w:spacing w:after="0" w:line="360" w:lineRule="auto"/>
        <w:jc w:val="both"/>
        <w:rPr>
          <w:rFonts w:ascii="Arial Narrow" w:hAnsi="Arial Narrow"/>
        </w:rPr>
      </w:pPr>
    </w:p>
    <w:p w:rsidR="009C2E53" w:rsidRPr="006647C4" w:rsidRDefault="009C2E53" w:rsidP="009C2E53">
      <w:pPr>
        <w:spacing w:after="0" w:line="360" w:lineRule="auto"/>
        <w:jc w:val="center"/>
        <w:rPr>
          <w:rFonts w:ascii="Arial Narrow" w:hAnsi="Arial Narrow"/>
          <w:b/>
        </w:rPr>
      </w:pPr>
      <w:r w:rsidRPr="006647C4">
        <w:rPr>
          <w:rFonts w:ascii="Arial Narrow" w:hAnsi="Arial Narrow"/>
          <w:b/>
        </w:rPr>
        <w:t>IN THE HIGH COURT OF NAMIBIA</w:t>
      </w:r>
    </w:p>
    <w:p w:rsidR="009C2E53" w:rsidRPr="006647C4" w:rsidRDefault="009C2E53" w:rsidP="009C2E53">
      <w:pPr>
        <w:spacing w:after="0" w:line="360" w:lineRule="auto"/>
        <w:jc w:val="both"/>
        <w:rPr>
          <w:rFonts w:ascii="Arial Narrow" w:hAnsi="Arial Narrow"/>
        </w:rPr>
      </w:pPr>
    </w:p>
    <w:tbl>
      <w:tblPr>
        <w:tblStyle w:val="TableGrid"/>
        <w:tblW w:w="10476" w:type="dxa"/>
        <w:tblInd w:w="-275" w:type="dxa"/>
        <w:tblLook w:val="04A0" w:firstRow="1" w:lastRow="0" w:firstColumn="1" w:lastColumn="0" w:noHBand="0" w:noVBand="1"/>
      </w:tblPr>
      <w:tblGrid>
        <w:gridCol w:w="4770"/>
        <w:gridCol w:w="627"/>
        <w:gridCol w:w="5079"/>
      </w:tblGrid>
      <w:tr w:rsidR="009C2E53" w:rsidRPr="006647C4" w:rsidTr="00004108">
        <w:trPr>
          <w:trHeight w:val="744"/>
        </w:trPr>
        <w:tc>
          <w:tcPr>
            <w:tcW w:w="5397" w:type="dxa"/>
            <w:gridSpan w:val="2"/>
            <w:vMerge w:val="restart"/>
          </w:tcPr>
          <w:p w:rsidR="009C2E53" w:rsidRPr="006647C4" w:rsidRDefault="009C2E53" w:rsidP="006F0D59">
            <w:pPr>
              <w:spacing w:line="360" w:lineRule="auto"/>
              <w:jc w:val="both"/>
              <w:rPr>
                <w:rFonts w:ascii="Arial Narrow" w:hAnsi="Arial Narrow" w:cs="Arial"/>
                <w:sz w:val="24"/>
                <w:szCs w:val="24"/>
              </w:rPr>
            </w:pPr>
            <w:r w:rsidRPr="006647C4">
              <w:rPr>
                <w:rFonts w:ascii="Arial Narrow" w:hAnsi="Arial Narrow" w:cs="Arial"/>
                <w:b/>
                <w:sz w:val="24"/>
                <w:szCs w:val="24"/>
              </w:rPr>
              <w:t>Case Title:</w:t>
            </w:r>
          </w:p>
          <w:p w:rsidR="009C2E53" w:rsidRPr="006647C4" w:rsidRDefault="009C0E21" w:rsidP="006F0D59">
            <w:pPr>
              <w:spacing w:line="360" w:lineRule="auto"/>
              <w:jc w:val="both"/>
              <w:rPr>
                <w:rFonts w:ascii="Arial Narrow" w:hAnsi="Arial Narrow" w:cs="Arial"/>
                <w:sz w:val="24"/>
                <w:szCs w:val="24"/>
              </w:rPr>
            </w:pPr>
            <w:r w:rsidRPr="006647C4">
              <w:rPr>
                <w:rFonts w:ascii="Arial Narrow" w:hAnsi="Arial Narrow" w:cs="Arial"/>
                <w:sz w:val="24"/>
                <w:szCs w:val="24"/>
                <w:lang w:val="en-GB"/>
              </w:rPr>
              <w:t>ARYSTEQ FINANCIAL SERVICES (PTY) LTD</w:t>
            </w:r>
            <w:r w:rsidR="00402207" w:rsidRPr="006647C4">
              <w:rPr>
                <w:rFonts w:ascii="Arial Narrow" w:hAnsi="Arial Narrow" w:cs="Arial"/>
                <w:b/>
                <w:sz w:val="24"/>
                <w:szCs w:val="24"/>
                <w:lang w:val="en-GB"/>
              </w:rPr>
              <w:t xml:space="preserve"> </w:t>
            </w:r>
            <w:r w:rsidR="007A47D1" w:rsidRPr="006647C4">
              <w:rPr>
                <w:rFonts w:ascii="Arial Narrow" w:hAnsi="Arial Narrow" w:cs="Arial"/>
                <w:sz w:val="24"/>
                <w:szCs w:val="24"/>
                <w:shd w:val="clear" w:color="auto" w:fill="FFFFFF"/>
              </w:rPr>
              <w:t xml:space="preserve">v </w:t>
            </w:r>
            <w:r w:rsidRPr="006647C4">
              <w:rPr>
                <w:rFonts w:ascii="Arial Narrow" w:hAnsi="Arial Narrow" w:cs="Arial"/>
                <w:sz w:val="24"/>
                <w:szCs w:val="24"/>
                <w:lang w:val="en-GB"/>
              </w:rPr>
              <w:t>QUINTO OCKHUIZEN</w:t>
            </w:r>
          </w:p>
        </w:tc>
        <w:tc>
          <w:tcPr>
            <w:tcW w:w="5079" w:type="dxa"/>
          </w:tcPr>
          <w:p w:rsidR="009C2E53" w:rsidRPr="006647C4" w:rsidRDefault="009C2E53" w:rsidP="006F0D59">
            <w:pPr>
              <w:spacing w:line="360" w:lineRule="auto"/>
              <w:jc w:val="both"/>
              <w:rPr>
                <w:rFonts w:ascii="Arial Narrow" w:hAnsi="Arial Narrow" w:cs="Arial"/>
                <w:sz w:val="24"/>
                <w:szCs w:val="24"/>
              </w:rPr>
            </w:pPr>
            <w:r w:rsidRPr="006647C4">
              <w:rPr>
                <w:rFonts w:ascii="Arial Narrow" w:hAnsi="Arial Narrow" w:cs="Arial"/>
                <w:b/>
                <w:sz w:val="24"/>
                <w:szCs w:val="24"/>
              </w:rPr>
              <w:t>Case No:</w:t>
            </w:r>
          </w:p>
          <w:p w:rsidR="009C2E53" w:rsidRPr="006647C4" w:rsidRDefault="009C0E21" w:rsidP="007A47D1">
            <w:pPr>
              <w:spacing w:line="360" w:lineRule="auto"/>
              <w:jc w:val="both"/>
              <w:rPr>
                <w:rFonts w:ascii="Arial Narrow" w:hAnsi="Arial Narrow" w:cs="Arial"/>
                <w:b/>
                <w:sz w:val="24"/>
                <w:szCs w:val="24"/>
              </w:rPr>
            </w:pPr>
            <w:r w:rsidRPr="006647C4">
              <w:rPr>
                <w:rFonts w:ascii="Arial Narrow" w:hAnsi="Arial Narrow" w:cs="Arial"/>
                <w:sz w:val="24"/>
                <w:szCs w:val="24"/>
                <w:lang w:val="en-US"/>
              </w:rPr>
              <w:t>HC-MD-CIV-ACT-CON-2019/00478</w:t>
            </w:r>
          </w:p>
        </w:tc>
      </w:tr>
      <w:tr w:rsidR="009C2E53" w:rsidRPr="006647C4" w:rsidTr="00004108">
        <w:trPr>
          <w:trHeight w:val="844"/>
        </w:trPr>
        <w:tc>
          <w:tcPr>
            <w:tcW w:w="5397" w:type="dxa"/>
            <w:gridSpan w:val="2"/>
            <w:vMerge/>
          </w:tcPr>
          <w:p w:rsidR="009C2E53" w:rsidRPr="006647C4" w:rsidRDefault="009C2E53" w:rsidP="006F0D59">
            <w:pPr>
              <w:spacing w:line="360" w:lineRule="auto"/>
              <w:jc w:val="both"/>
              <w:rPr>
                <w:rFonts w:ascii="Arial Narrow" w:hAnsi="Arial Narrow" w:cs="Arial"/>
                <w:sz w:val="24"/>
                <w:szCs w:val="24"/>
              </w:rPr>
            </w:pPr>
          </w:p>
        </w:tc>
        <w:tc>
          <w:tcPr>
            <w:tcW w:w="5079" w:type="dxa"/>
          </w:tcPr>
          <w:p w:rsidR="009C2E53" w:rsidRPr="006647C4" w:rsidRDefault="009C2E53" w:rsidP="006F0D59">
            <w:pPr>
              <w:spacing w:line="360" w:lineRule="auto"/>
              <w:jc w:val="both"/>
              <w:rPr>
                <w:rFonts w:ascii="Arial Narrow" w:hAnsi="Arial Narrow" w:cs="Arial"/>
                <w:sz w:val="24"/>
                <w:szCs w:val="24"/>
              </w:rPr>
            </w:pPr>
            <w:r w:rsidRPr="006647C4">
              <w:rPr>
                <w:rFonts w:ascii="Arial Narrow" w:hAnsi="Arial Narrow" w:cs="Arial"/>
                <w:b/>
                <w:sz w:val="24"/>
                <w:szCs w:val="24"/>
              </w:rPr>
              <w:t>Division of Court:</w:t>
            </w:r>
            <w:bookmarkStart w:id="0" w:name="_GoBack"/>
            <w:bookmarkEnd w:id="0"/>
          </w:p>
          <w:p w:rsidR="009C2E53" w:rsidRPr="006647C4" w:rsidRDefault="009C2E53" w:rsidP="006F0D59">
            <w:pPr>
              <w:spacing w:line="360" w:lineRule="auto"/>
              <w:jc w:val="both"/>
              <w:rPr>
                <w:rFonts w:ascii="Arial Narrow" w:hAnsi="Arial Narrow" w:cs="Arial"/>
                <w:sz w:val="24"/>
                <w:szCs w:val="24"/>
              </w:rPr>
            </w:pPr>
            <w:r w:rsidRPr="006647C4">
              <w:rPr>
                <w:rFonts w:ascii="Arial Narrow" w:hAnsi="Arial Narrow" w:cs="Arial"/>
                <w:sz w:val="24"/>
                <w:szCs w:val="24"/>
              </w:rPr>
              <w:t>HIGH COURT(MAIN DIVISION)</w:t>
            </w:r>
          </w:p>
        </w:tc>
      </w:tr>
      <w:tr w:rsidR="009C2E53" w:rsidRPr="006647C4" w:rsidTr="00004108">
        <w:trPr>
          <w:trHeight w:val="645"/>
        </w:trPr>
        <w:tc>
          <w:tcPr>
            <w:tcW w:w="5397" w:type="dxa"/>
            <w:gridSpan w:val="2"/>
            <w:vMerge w:val="restart"/>
          </w:tcPr>
          <w:p w:rsidR="009C2E53" w:rsidRPr="006647C4" w:rsidRDefault="009C2E53" w:rsidP="006F0D59">
            <w:pPr>
              <w:spacing w:line="360" w:lineRule="auto"/>
              <w:jc w:val="both"/>
              <w:rPr>
                <w:rFonts w:ascii="Arial Narrow" w:hAnsi="Arial Narrow" w:cs="Arial"/>
                <w:b/>
                <w:sz w:val="24"/>
                <w:szCs w:val="24"/>
              </w:rPr>
            </w:pPr>
            <w:r w:rsidRPr="006647C4">
              <w:rPr>
                <w:rFonts w:ascii="Arial Narrow" w:hAnsi="Arial Narrow" w:cs="Arial"/>
                <w:b/>
                <w:sz w:val="24"/>
                <w:szCs w:val="24"/>
              </w:rPr>
              <w:t>Heard before:</w:t>
            </w:r>
          </w:p>
          <w:p w:rsidR="009C2E53" w:rsidRPr="006647C4" w:rsidRDefault="009C2E53" w:rsidP="006F0D59">
            <w:pPr>
              <w:spacing w:line="360" w:lineRule="auto"/>
              <w:jc w:val="both"/>
              <w:rPr>
                <w:rFonts w:ascii="Arial Narrow" w:hAnsi="Arial Narrow" w:cs="Arial"/>
                <w:sz w:val="24"/>
                <w:szCs w:val="24"/>
              </w:rPr>
            </w:pPr>
            <w:r w:rsidRPr="006647C4">
              <w:rPr>
                <w:rFonts w:ascii="Arial Narrow" w:hAnsi="Arial Narrow" w:cs="Arial"/>
                <w:sz w:val="24"/>
                <w:szCs w:val="24"/>
              </w:rPr>
              <w:t>HONOURABLE LADY JUSTICE PRINSLOO, JUDGE</w:t>
            </w:r>
          </w:p>
        </w:tc>
        <w:tc>
          <w:tcPr>
            <w:tcW w:w="5079" w:type="dxa"/>
          </w:tcPr>
          <w:p w:rsidR="009C2E53" w:rsidRPr="006647C4" w:rsidRDefault="009C2E53" w:rsidP="006F0D59">
            <w:pPr>
              <w:spacing w:line="360" w:lineRule="auto"/>
              <w:jc w:val="both"/>
              <w:rPr>
                <w:rFonts w:ascii="Arial Narrow" w:hAnsi="Arial Narrow" w:cs="Arial"/>
                <w:b/>
                <w:sz w:val="24"/>
                <w:szCs w:val="24"/>
              </w:rPr>
            </w:pPr>
            <w:r w:rsidRPr="006647C4">
              <w:rPr>
                <w:rFonts w:ascii="Arial Narrow" w:hAnsi="Arial Narrow" w:cs="Arial"/>
                <w:b/>
                <w:sz w:val="24"/>
                <w:szCs w:val="24"/>
              </w:rPr>
              <w:t>Date of hearing:</w:t>
            </w:r>
          </w:p>
          <w:p w:rsidR="009C2E53" w:rsidRPr="006647C4" w:rsidRDefault="009C0E21" w:rsidP="007A47D1">
            <w:pPr>
              <w:spacing w:line="360" w:lineRule="auto"/>
              <w:rPr>
                <w:rFonts w:ascii="Arial Narrow" w:hAnsi="Arial Narrow" w:cs="Arial"/>
                <w:sz w:val="24"/>
                <w:szCs w:val="24"/>
              </w:rPr>
            </w:pPr>
            <w:r w:rsidRPr="006647C4">
              <w:rPr>
                <w:rFonts w:ascii="Arial Narrow" w:hAnsi="Arial Narrow" w:cs="Arial"/>
                <w:sz w:val="24"/>
                <w:szCs w:val="24"/>
              </w:rPr>
              <w:t>1 June</w:t>
            </w:r>
            <w:r w:rsidR="007A47D1" w:rsidRPr="006647C4">
              <w:rPr>
                <w:rFonts w:ascii="Arial Narrow" w:hAnsi="Arial Narrow" w:cs="Arial"/>
                <w:sz w:val="24"/>
                <w:szCs w:val="24"/>
              </w:rPr>
              <w:t xml:space="preserve"> </w:t>
            </w:r>
            <w:r w:rsidR="00EF5666" w:rsidRPr="006647C4">
              <w:rPr>
                <w:rFonts w:ascii="Arial Narrow" w:hAnsi="Arial Narrow" w:cs="Arial"/>
                <w:sz w:val="24"/>
                <w:szCs w:val="24"/>
              </w:rPr>
              <w:t>20</w:t>
            </w:r>
            <w:r w:rsidR="007A47D1" w:rsidRPr="006647C4">
              <w:rPr>
                <w:rFonts w:ascii="Arial Narrow" w:hAnsi="Arial Narrow" w:cs="Arial"/>
                <w:sz w:val="24"/>
                <w:szCs w:val="24"/>
              </w:rPr>
              <w:t>20</w:t>
            </w:r>
          </w:p>
        </w:tc>
      </w:tr>
      <w:tr w:rsidR="009C2E53" w:rsidRPr="006647C4" w:rsidTr="00004108">
        <w:trPr>
          <w:trHeight w:val="588"/>
        </w:trPr>
        <w:tc>
          <w:tcPr>
            <w:tcW w:w="5397" w:type="dxa"/>
            <w:gridSpan w:val="2"/>
            <w:vMerge/>
          </w:tcPr>
          <w:p w:rsidR="009C2E53" w:rsidRPr="006647C4" w:rsidRDefault="009C2E53" w:rsidP="006F0D59">
            <w:pPr>
              <w:spacing w:line="360" w:lineRule="auto"/>
              <w:jc w:val="both"/>
              <w:rPr>
                <w:rFonts w:ascii="Arial Narrow" w:hAnsi="Arial Narrow" w:cs="Arial"/>
                <w:b/>
                <w:sz w:val="24"/>
                <w:szCs w:val="24"/>
              </w:rPr>
            </w:pPr>
          </w:p>
        </w:tc>
        <w:tc>
          <w:tcPr>
            <w:tcW w:w="5079" w:type="dxa"/>
          </w:tcPr>
          <w:p w:rsidR="00EF5666" w:rsidRPr="006647C4" w:rsidRDefault="009C2E53" w:rsidP="006F0D59">
            <w:pPr>
              <w:spacing w:line="360" w:lineRule="auto"/>
              <w:jc w:val="both"/>
              <w:rPr>
                <w:rFonts w:ascii="Arial Narrow" w:hAnsi="Arial Narrow" w:cs="Arial"/>
                <w:b/>
                <w:sz w:val="24"/>
                <w:szCs w:val="24"/>
              </w:rPr>
            </w:pPr>
            <w:r w:rsidRPr="006647C4">
              <w:rPr>
                <w:rFonts w:ascii="Arial Narrow" w:hAnsi="Arial Narrow" w:cs="Arial"/>
                <w:b/>
                <w:sz w:val="24"/>
                <w:szCs w:val="24"/>
              </w:rPr>
              <w:t xml:space="preserve">Date of order: </w:t>
            </w:r>
          </w:p>
          <w:p w:rsidR="009C2E53" w:rsidRPr="006647C4" w:rsidRDefault="009C0E21" w:rsidP="006F0D59">
            <w:pPr>
              <w:spacing w:line="360" w:lineRule="auto"/>
              <w:jc w:val="both"/>
              <w:rPr>
                <w:rFonts w:ascii="Arial Narrow" w:hAnsi="Arial Narrow" w:cs="Arial"/>
                <w:b/>
                <w:sz w:val="24"/>
                <w:szCs w:val="24"/>
              </w:rPr>
            </w:pPr>
            <w:r w:rsidRPr="006647C4">
              <w:rPr>
                <w:rFonts w:ascii="Arial Narrow" w:hAnsi="Arial Narrow" w:cs="Arial"/>
                <w:sz w:val="24"/>
                <w:szCs w:val="24"/>
              </w:rPr>
              <w:t>25</w:t>
            </w:r>
            <w:r w:rsidR="007A47D1" w:rsidRPr="006647C4">
              <w:rPr>
                <w:rFonts w:ascii="Arial Narrow" w:hAnsi="Arial Narrow" w:cs="Arial"/>
                <w:sz w:val="24"/>
                <w:szCs w:val="24"/>
              </w:rPr>
              <w:t xml:space="preserve"> June 2020</w:t>
            </w:r>
          </w:p>
          <w:p w:rsidR="00EF5666" w:rsidRPr="006647C4" w:rsidRDefault="009C2E53" w:rsidP="006F0D59">
            <w:pPr>
              <w:spacing w:line="360" w:lineRule="auto"/>
              <w:jc w:val="both"/>
              <w:rPr>
                <w:rFonts w:ascii="Arial Narrow" w:hAnsi="Arial Narrow" w:cs="Arial"/>
                <w:b/>
                <w:sz w:val="24"/>
                <w:szCs w:val="24"/>
              </w:rPr>
            </w:pPr>
            <w:r w:rsidRPr="006647C4">
              <w:rPr>
                <w:rFonts w:ascii="Arial Narrow" w:hAnsi="Arial Narrow" w:cs="Arial"/>
                <w:b/>
                <w:sz w:val="24"/>
                <w:szCs w:val="24"/>
              </w:rPr>
              <w:t xml:space="preserve">Reasons delivered on: </w:t>
            </w:r>
          </w:p>
          <w:p w:rsidR="009C2E53" w:rsidRPr="006647C4" w:rsidRDefault="00402207" w:rsidP="009C0E21">
            <w:pPr>
              <w:spacing w:line="360" w:lineRule="auto"/>
              <w:jc w:val="both"/>
              <w:rPr>
                <w:rFonts w:ascii="Arial Narrow" w:hAnsi="Arial Narrow" w:cs="Arial"/>
                <w:b/>
                <w:sz w:val="24"/>
                <w:szCs w:val="24"/>
              </w:rPr>
            </w:pPr>
            <w:r w:rsidRPr="006647C4">
              <w:rPr>
                <w:rFonts w:ascii="Arial Narrow" w:hAnsi="Arial Narrow" w:cs="Arial"/>
                <w:sz w:val="24"/>
                <w:szCs w:val="24"/>
              </w:rPr>
              <w:t>2</w:t>
            </w:r>
            <w:r w:rsidR="007A47D1" w:rsidRPr="006647C4">
              <w:rPr>
                <w:rFonts w:ascii="Arial Narrow" w:hAnsi="Arial Narrow" w:cs="Arial"/>
                <w:sz w:val="24"/>
                <w:szCs w:val="24"/>
              </w:rPr>
              <w:t xml:space="preserve"> Ju</w:t>
            </w:r>
            <w:r w:rsidR="009C0E21" w:rsidRPr="006647C4">
              <w:rPr>
                <w:rFonts w:ascii="Arial Narrow" w:hAnsi="Arial Narrow" w:cs="Arial"/>
                <w:sz w:val="24"/>
                <w:szCs w:val="24"/>
              </w:rPr>
              <w:t>ly</w:t>
            </w:r>
            <w:r w:rsidR="007A47D1" w:rsidRPr="006647C4">
              <w:rPr>
                <w:rFonts w:ascii="Arial Narrow" w:hAnsi="Arial Narrow" w:cs="Arial"/>
                <w:sz w:val="24"/>
                <w:szCs w:val="24"/>
              </w:rPr>
              <w:t xml:space="preserve"> 2020</w:t>
            </w:r>
          </w:p>
        </w:tc>
      </w:tr>
      <w:tr w:rsidR="009C2E53" w:rsidRPr="006647C4" w:rsidTr="00004108">
        <w:trPr>
          <w:trHeight w:val="710"/>
        </w:trPr>
        <w:tc>
          <w:tcPr>
            <w:tcW w:w="10476" w:type="dxa"/>
            <w:gridSpan w:val="3"/>
          </w:tcPr>
          <w:p w:rsidR="009C2E53" w:rsidRPr="006647C4" w:rsidRDefault="009C2E53" w:rsidP="009C0E21">
            <w:pPr>
              <w:spacing w:line="360" w:lineRule="auto"/>
              <w:rPr>
                <w:rFonts w:ascii="Arial Narrow" w:hAnsi="Arial Narrow" w:cs="Arial"/>
                <w:color w:val="333333"/>
                <w:sz w:val="24"/>
                <w:szCs w:val="24"/>
              </w:rPr>
            </w:pPr>
            <w:r w:rsidRPr="006647C4">
              <w:rPr>
                <w:rFonts w:ascii="Arial Narrow" w:hAnsi="Arial Narrow" w:cs="Arial"/>
                <w:b/>
                <w:sz w:val="24"/>
                <w:szCs w:val="24"/>
              </w:rPr>
              <w:t>Neutral citation:</w:t>
            </w:r>
            <w:r w:rsidR="00EF5666" w:rsidRPr="006647C4">
              <w:rPr>
                <w:rFonts w:ascii="Arial Narrow" w:hAnsi="Arial Narrow" w:cs="Arial"/>
                <w:sz w:val="24"/>
                <w:szCs w:val="24"/>
              </w:rPr>
              <w:t xml:space="preserve"> </w:t>
            </w:r>
            <w:r w:rsidR="009C0E21" w:rsidRPr="006647C4">
              <w:rPr>
                <w:rFonts w:ascii="Arial Narrow" w:hAnsi="Arial Narrow" w:cs="Arial"/>
                <w:i/>
                <w:sz w:val="24"/>
                <w:szCs w:val="24"/>
                <w:lang w:val="en-GB"/>
              </w:rPr>
              <w:t xml:space="preserve">Aristeq (Pty) Ltd v Ockhuizen </w:t>
            </w:r>
            <w:r w:rsidR="009C0E21" w:rsidRPr="006647C4">
              <w:rPr>
                <w:rFonts w:ascii="Arial Narrow" w:hAnsi="Arial Narrow" w:cs="Arial"/>
                <w:i/>
                <w:sz w:val="24"/>
                <w:szCs w:val="24"/>
                <w:lang w:val="en-US"/>
              </w:rPr>
              <w:t>(</w:t>
            </w:r>
            <w:r w:rsidR="009C0E21" w:rsidRPr="006647C4">
              <w:rPr>
                <w:rFonts w:ascii="Arial Narrow" w:hAnsi="Arial Narrow" w:cs="Arial"/>
                <w:sz w:val="24"/>
                <w:szCs w:val="24"/>
                <w:lang w:val="en-US"/>
              </w:rPr>
              <w:t>HC-MD-CIV-AC</w:t>
            </w:r>
            <w:r w:rsidR="00A97F7A">
              <w:rPr>
                <w:rFonts w:ascii="Arial Narrow" w:hAnsi="Arial Narrow" w:cs="Arial"/>
                <w:sz w:val="24"/>
                <w:szCs w:val="24"/>
                <w:lang w:val="en-US"/>
              </w:rPr>
              <w:t>T-CON-2019/00478) [2020] NAHCMD 266</w:t>
            </w:r>
            <w:r w:rsidR="009C0E21" w:rsidRPr="006647C4">
              <w:rPr>
                <w:rFonts w:ascii="Arial Narrow" w:hAnsi="Arial Narrow" w:cs="Arial"/>
                <w:sz w:val="24"/>
                <w:szCs w:val="24"/>
                <w:lang w:val="en-US"/>
              </w:rPr>
              <w:t xml:space="preserve"> (25 June 2020)</w:t>
            </w:r>
          </w:p>
        </w:tc>
      </w:tr>
      <w:tr w:rsidR="009C2E53" w:rsidRPr="006647C4" w:rsidTr="00004108">
        <w:tc>
          <w:tcPr>
            <w:tcW w:w="10476" w:type="dxa"/>
            <w:gridSpan w:val="3"/>
          </w:tcPr>
          <w:p w:rsidR="009C2E53" w:rsidRPr="006647C4" w:rsidRDefault="009C2E53" w:rsidP="006F0D59">
            <w:pPr>
              <w:pStyle w:val="form-control-static"/>
              <w:shd w:val="clear" w:color="auto" w:fill="FFFFFF"/>
              <w:spacing w:before="0" w:beforeAutospacing="0" w:after="0" w:afterAutospacing="0"/>
              <w:rPr>
                <w:rFonts w:ascii="Arial Narrow" w:hAnsi="Arial Narrow" w:cs="Arial"/>
                <w:b/>
                <w:sz w:val="24"/>
                <w:szCs w:val="24"/>
              </w:rPr>
            </w:pPr>
            <w:r w:rsidRPr="006647C4">
              <w:rPr>
                <w:rFonts w:ascii="Arial Narrow" w:hAnsi="Arial Narrow" w:cs="Arial"/>
                <w:b/>
                <w:sz w:val="24"/>
                <w:szCs w:val="24"/>
              </w:rPr>
              <w:t>Results on merits:</w:t>
            </w:r>
          </w:p>
          <w:p w:rsidR="009C2E53" w:rsidRPr="006647C4" w:rsidRDefault="009C2E53" w:rsidP="006F0D59">
            <w:pPr>
              <w:pStyle w:val="form-control-static"/>
              <w:shd w:val="clear" w:color="auto" w:fill="FFFFFF"/>
              <w:spacing w:before="0" w:beforeAutospacing="0" w:after="0" w:afterAutospacing="0"/>
              <w:rPr>
                <w:rFonts w:ascii="Arial Narrow" w:hAnsi="Arial Narrow" w:cs="Arial"/>
                <w:sz w:val="24"/>
                <w:szCs w:val="24"/>
              </w:rPr>
            </w:pPr>
            <w:r w:rsidRPr="006647C4">
              <w:rPr>
                <w:rFonts w:ascii="Arial Narrow" w:hAnsi="Arial Narrow" w:cs="Arial"/>
                <w:sz w:val="24"/>
                <w:szCs w:val="24"/>
              </w:rPr>
              <w:t>Merits not considered.</w:t>
            </w:r>
          </w:p>
        </w:tc>
      </w:tr>
      <w:tr w:rsidR="009C2E53" w:rsidRPr="006647C4" w:rsidTr="00004108">
        <w:tc>
          <w:tcPr>
            <w:tcW w:w="10476" w:type="dxa"/>
            <w:gridSpan w:val="3"/>
          </w:tcPr>
          <w:p w:rsidR="009C2E53" w:rsidRPr="006647C4" w:rsidRDefault="009C2E53" w:rsidP="0083558F">
            <w:pPr>
              <w:tabs>
                <w:tab w:val="left" w:pos="2100"/>
              </w:tabs>
              <w:spacing w:line="360" w:lineRule="auto"/>
              <w:jc w:val="both"/>
              <w:rPr>
                <w:rFonts w:ascii="Arial Narrow" w:hAnsi="Arial Narrow" w:cs="Arial"/>
                <w:b/>
                <w:sz w:val="24"/>
                <w:szCs w:val="24"/>
              </w:rPr>
            </w:pPr>
            <w:r w:rsidRPr="006647C4">
              <w:rPr>
                <w:rFonts w:ascii="Arial Narrow" w:hAnsi="Arial Narrow" w:cs="Arial"/>
                <w:b/>
                <w:sz w:val="24"/>
                <w:szCs w:val="24"/>
              </w:rPr>
              <w:t>The order:</w:t>
            </w:r>
            <w:r w:rsidR="0083558F" w:rsidRPr="006647C4">
              <w:rPr>
                <w:rFonts w:ascii="Arial Narrow" w:hAnsi="Arial Narrow" w:cs="Arial"/>
                <w:b/>
                <w:sz w:val="24"/>
                <w:szCs w:val="24"/>
              </w:rPr>
              <w:tab/>
            </w:r>
          </w:p>
          <w:p w:rsidR="009C0E21" w:rsidRPr="006647C4" w:rsidRDefault="009C0E21" w:rsidP="009C0E21">
            <w:pPr>
              <w:pStyle w:val="ListParagraph"/>
              <w:numPr>
                <w:ilvl w:val="0"/>
                <w:numId w:val="12"/>
              </w:numPr>
              <w:spacing w:line="360" w:lineRule="auto"/>
              <w:jc w:val="both"/>
              <w:rPr>
                <w:rFonts w:ascii="Arial Narrow" w:hAnsi="Arial Narrow" w:cs="Arial"/>
                <w:sz w:val="24"/>
                <w:szCs w:val="24"/>
              </w:rPr>
            </w:pPr>
            <w:r w:rsidRPr="006647C4">
              <w:rPr>
                <w:rFonts w:ascii="Arial Narrow" w:hAnsi="Arial Narrow" w:cs="Arial"/>
                <w:sz w:val="24"/>
                <w:szCs w:val="24"/>
              </w:rPr>
              <w:t>The special plea raised by the Defendant is hereby dismissed with costs.</w:t>
            </w:r>
          </w:p>
          <w:p w:rsidR="009C0E21" w:rsidRPr="006647C4" w:rsidRDefault="009C0E21" w:rsidP="009C0E21">
            <w:pPr>
              <w:pStyle w:val="ListParagraph"/>
              <w:numPr>
                <w:ilvl w:val="0"/>
                <w:numId w:val="12"/>
              </w:numPr>
              <w:spacing w:line="360" w:lineRule="auto"/>
              <w:jc w:val="both"/>
              <w:rPr>
                <w:rFonts w:ascii="Arial Narrow" w:eastAsia="Times New Roman" w:hAnsi="Arial Narrow" w:cs="Arial"/>
                <w:sz w:val="24"/>
                <w:szCs w:val="24"/>
                <w:lang w:val="en-GB"/>
              </w:rPr>
            </w:pPr>
            <w:r w:rsidRPr="006647C4">
              <w:rPr>
                <w:rFonts w:ascii="Arial Narrow" w:hAnsi="Arial Narrow" w:cs="Arial"/>
                <w:sz w:val="24"/>
                <w:szCs w:val="24"/>
              </w:rPr>
              <w:t xml:space="preserve"> Matter is postponed to </w:t>
            </w:r>
            <w:r w:rsidRPr="006647C4">
              <w:rPr>
                <w:rFonts w:ascii="Arial Narrow" w:hAnsi="Arial Narrow" w:cs="Arial"/>
                <w:b/>
                <w:sz w:val="24"/>
                <w:szCs w:val="24"/>
              </w:rPr>
              <w:t>9 July 2020</w:t>
            </w:r>
            <w:r w:rsidRPr="006647C4">
              <w:rPr>
                <w:rFonts w:ascii="Arial Narrow" w:hAnsi="Arial Narrow" w:cs="Arial"/>
                <w:sz w:val="24"/>
                <w:szCs w:val="24"/>
              </w:rPr>
              <w:t xml:space="preserve"> at </w:t>
            </w:r>
            <w:r w:rsidRPr="006647C4">
              <w:rPr>
                <w:rFonts w:ascii="Arial Narrow" w:hAnsi="Arial Narrow" w:cs="Arial"/>
                <w:b/>
                <w:sz w:val="24"/>
                <w:szCs w:val="24"/>
              </w:rPr>
              <w:t>15h00</w:t>
            </w:r>
            <w:r w:rsidRPr="006647C4">
              <w:rPr>
                <w:rFonts w:ascii="Arial Narrow" w:hAnsi="Arial Narrow" w:cs="Arial"/>
                <w:sz w:val="24"/>
                <w:szCs w:val="24"/>
              </w:rPr>
              <w:t xml:space="preserve"> for Status hearing.</w:t>
            </w:r>
          </w:p>
          <w:p w:rsidR="009C0E21" w:rsidRPr="006647C4" w:rsidRDefault="009C0E21" w:rsidP="009C0E21">
            <w:pPr>
              <w:pStyle w:val="ListParagraph"/>
              <w:numPr>
                <w:ilvl w:val="0"/>
                <w:numId w:val="12"/>
              </w:numPr>
              <w:spacing w:line="360" w:lineRule="auto"/>
              <w:jc w:val="both"/>
              <w:rPr>
                <w:rFonts w:ascii="Arial Narrow" w:eastAsia="Times New Roman" w:hAnsi="Arial Narrow" w:cs="Arial"/>
                <w:sz w:val="24"/>
                <w:szCs w:val="24"/>
                <w:lang w:val="en-GB"/>
              </w:rPr>
            </w:pPr>
            <w:r w:rsidRPr="006647C4">
              <w:rPr>
                <w:rFonts w:ascii="Arial Narrow" w:hAnsi="Arial Narrow" w:cs="Arial"/>
                <w:sz w:val="24"/>
                <w:szCs w:val="24"/>
              </w:rPr>
              <w:t xml:space="preserve">Joint status report on the further conduct of the matter to be filed on or both </w:t>
            </w:r>
            <w:r w:rsidRPr="006647C4">
              <w:rPr>
                <w:rFonts w:ascii="Arial Narrow" w:hAnsi="Arial Narrow" w:cs="Arial"/>
                <w:sz w:val="24"/>
                <w:szCs w:val="24"/>
                <w:u w:val="single"/>
              </w:rPr>
              <w:t>6 July 2020</w:t>
            </w:r>
            <w:r w:rsidRPr="006647C4">
              <w:rPr>
                <w:rFonts w:ascii="Arial Narrow" w:hAnsi="Arial Narrow" w:cs="Arial"/>
                <w:sz w:val="24"/>
                <w:szCs w:val="24"/>
              </w:rPr>
              <w:t xml:space="preserve">. </w:t>
            </w:r>
          </w:p>
          <w:p w:rsidR="00732ACD" w:rsidRPr="006647C4" w:rsidRDefault="00732ACD" w:rsidP="00AD7322">
            <w:pPr>
              <w:spacing w:line="360" w:lineRule="auto"/>
              <w:ind w:left="360"/>
              <w:jc w:val="both"/>
              <w:rPr>
                <w:rFonts w:ascii="Arial Narrow" w:hAnsi="Arial Narrow" w:cs="Helvetica"/>
                <w:color w:val="333333"/>
                <w:sz w:val="24"/>
                <w:szCs w:val="24"/>
              </w:rPr>
            </w:pPr>
          </w:p>
        </w:tc>
      </w:tr>
      <w:tr w:rsidR="009C2E53" w:rsidRPr="006647C4" w:rsidTr="00004108">
        <w:tc>
          <w:tcPr>
            <w:tcW w:w="10476" w:type="dxa"/>
            <w:gridSpan w:val="3"/>
          </w:tcPr>
          <w:p w:rsidR="009C2E53" w:rsidRPr="006647C4" w:rsidRDefault="009C2E53" w:rsidP="006F0D59">
            <w:pPr>
              <w:spacing w:line="360" w:lineRule="auto"/>
              <w:jc w:val="both"/>
              <w:rPr>
                <w:rFonts w:ascii="Arial Narrow" w:hAnsi="Arial Narrow" w:cs="Arial"/>
                <w:b/>
                <w:sz w:val="24"/>
                <w:szCs w:val="24"/>
              </w:rPr>
            </w:pPr>
            <w:r w:rsidRPr="006647C4">
              <w:rPr>
                <w:rFonts w:ascii="Arial Narrow" w:hAnsi="Arial Narrow" w:cs="Arial"/>
                <w:b/>
                <w:sz w:val="24"/>
                <w:szCs w:val="24"/>
              </w:rPr>
              <w:t>Reasons for orders:</w:t>
            </w:r>
          </w:p>
        </w:tc>
      </w:tr>
      <w:tr w:rsidR="009C2E53" w:rsidRPr="006647C4" w:rsidTr="00004108">
        <w:tc>
          <w:tcPr>
            <w:tcW w:w="10476" w:type="dxa"/>
            <w:gridSpan w:val="3"/>
          </w:tcPr>
          <w:p w:rsidR="00CF2C83" w:rsidRPr="006647C4" w:rsidRDefault="00CF2C83" w:rsidP="00AD7322">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lang w:val="af-ZA"/>
              </w:rPr>
            </w:pPr>
            <w:r w:rsidRPr="006647C4">
              <w:rPr>
                <w:rFonts w:ascii="Arial Narrow" w:hAnsi="Arial Narrow" w:cs="Arial"/>
                <w:sz w:val="24"/>
                <w:szCs w:val="24"/>
                <w:lang w:val="af-ZA"/>
              </w:rPr>
              <w:t>PRINSLOO J</w:t>
            </w:r>
          </w:p>
          <w:p w:rsidR="006647C4" w:rsidRPr="006647C4" w:rsidRDefault="006647C4" w:rsidP="009C0E21">
            <w:pPr>
              <w:spacing w:line="360" w:lineRule="auto"/>
              <w:jc w:val="both"/>
              <w:rPr>
                <w:rFonts w:ascii="Arial Narrow" w:hAnsi="Arial Narrow" w:cs="Arial"/>
                <w:sz w:val="24"/>
                <w:szCs w:val="24"/>
                <w:lang w:val="af-ZA"/>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 xml:space="preserve"> [1]</w:t>
            </w:r>
            <w:r w:rsidRPr="006647C4">
              <w:rPr>
                <w:rFonts w:ascii="Arial Narrow" w:hAnsi="Arial Narrow" w:cs="Arial"/>
                <w:sz w:val="24"/>
                <w:szCs w:val="24"/>
              </w:rPr>
              <w:tab/>
              <w:t xml:space="preserve">The plaintiff, Arysteq Financial Services (Pty) Ltd, instituted action against the defendant on 8 February 2019 claiming rectification of a written loan agreement entered into between the parties on 14 June 2017. </w:t>
            </w:r>
          </w:p>
          <w:p w:rsidR="006647C4" w:rsidRPr="006647C4" w:rsidRDefault="006647C4"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shd w:val="clear" w:color="auto" w:fill="FFFFFF"/>
              </w:rPr>
            </w:pPr>
            <w:r w:rsidRPr="006647C4">
              <w:rPr>
                <w:rFonts w:ascii="Arial Narrow" w:hAnsi="Arial Narrow" w:cs="Arial"/>
                <w:sz w:val="24"/>
                <w:szCs w:val="24"/>
              </w:rPr>
              <w:lastRenderedPageBreak/>
              <w:t>[2]</w:t>
            </w:r>
            <w:r w:rsidRPr="006647C4">
              <w:rPr>
                <w:rFonts w:ascii="Arial Narrow" w:hAnsi="Arial Narrow" w:cs="Arial"/>
                <w:sz w:val="24"/>
                <w:szCs w:val="24"/>
              </w:rPr>
              <w:tab/>
              <w:t xml:space="preserve">The action was defended by the defendant on 1 March 2019 and subsequent to the </w:t>
            </w:r>
            <w:r w:rsidRPr="00A74743">
              <w:rPr>
                <w:rFonts w:ascii="Arial Narrow" w:hAnsi="Arial Narrow" w:cs="Arial"/>
                <w:sz w:val="24"/>
                <w:szCs w:val="24"/>
              </w:rPr>
              <w:t>case planning conference</w:t>
            </w:r>
            <w:r w:rsidR="00142FF4" w:rsidRPr="00A74743">
              <w:rPr>
                <w:rFonts w:ascii="Arial Narrow" w:hAnsi="Arial Narrow" w:cs="Arial"/>
                <w:sz w:val="24"/>
                <w:szCs w:val="24"/>
              </w:rPr>
              <w:t>,</w:t>
            </w:r>
            <w:r w:rsidRPr="00A74743">
              <w:rPr>
                <w:rFonts w:ascii="Arial Narrow" w:hAnsi="Arial Narrow" w:cs="Arial"/>
                <w:sz w:val="24"/>
                <w:szCs w:val="24"/>
              </w:rPr>
              <w:t xml:space="preserve"> filed his plea on 24 April 2019. </w:t>
            </w:r>
            <w:r w:rsidRPr="00A74743">
              <w:rPr>
                <w:rFonts w:ascii="Arial Narrow" w:hAnsi="Arial Narrow" w:cs="Arial"/>
                <w:sz w:val="24"/>
                <w:szCs w:val="24"/>
                <w:shd w:val="clear" w:color="auto" w:fill="FFFFFF"/>
              </w:rPr>
              <w:t>The defendant raised a special plea in respect of the plaintiff</w:t>
            </w:r>
            <w:r w:rsidR="00142FF4" w:rsidRPr="00A74743">
              <w:rPr>
                <w:rFonts w:ascii="Arial Narrow" w:hAnsi="Arial Narrow" w:cs="Arial"/>
                <w:sz w:val="24"/>
                <w:szCs w:val="24"/>
                <w:shd w:val="clear" w:color="auto" w:fill="FFFFFF"/>
              </w:rPr>
              <w:t>’</w:t>
            </w:r>
            <w:r w:rsidRPr="00A74743">
              <w:rPr>
                <w:rFonts w:ascii="Arial Narrow" w:hAnsi="Arial Narrow" w:cs="Arial"/>
                <w:sz w:val="24"/>
                <w:szCs w:val="24"/>
                <w:shd w:val="clear" w:color="auto" w:fill="FFFFFF"/>
              </w:rPr>
              <w:t xml:space="preserve">s </w:t>
            </w:r>
            <w:r w:rsidRPr="006647C4">
              <w:rPr>
                <w:rFonts w:ascii="Arial Narrow" w:hAnsi="Arial Narrow" w:cs="Arial"/>
                <w:sz w:val="24"/>
                <w:szCs w:val="24"/>
                <w:shd w:val="clear" w:color="auto" w:fill="FFFFFF"/>
              </w:rPr>
              <w:t xml:space="preserve">claim in the following terms: </w:t>
            </w:r>
          </w:p>
          <w:p w:rsidR="006647C4" w:rsidRPr="006647C4" w:rsidRDefault="006647C4" w:rsidP="009C0E21">
            <w:pPr>
              <w:spacing w:line="360" w:lineRule="auto"/>
              <w:jc w:val="both"/>
              <w:rPr>
                <w:rFonts w:ascii="Arial Narrow" w:hAnsi="Arial Narrow" w:cs="Arial"/>
                <w:sz w:val="24"/>
                <w:szCs w:val="24"/>
                <w:shd w:val="clear" w:color="auto" w:fill="FFFFFF"/>
              </w:rPr>
            </w:pPr>
          </w:p>
          <w:p w:rsidR="009C0E21" w:rsidRPr="006647C4" w:rsidRDefault="009C0E21" w:rsidP="009C0E21">
            <w:pPr>
              <w:spacing w:line="360" w:lineRule="auto"/>
              <w:jc w:val="both"/>
              <w:rPr>
                <w:rFonts w:ascii="Arial Narrow" w:hAnsi="Arial Narrow" w:cs="Arial"/>
                <w:b/>
                <w:u w:val="single"/>
                <w:shd w:val="clear" w:color="auto" w:fill="FFFFFF"/>
              </w:rPr>
            </w:pPr>
            <w:r w:rsidRPr="006647C4">
              <w:rPr>
                <w:rFonts w:ascii="Arial Narrow" w:hAnsi="Arial Narrow" w:cs="Arial"/>
                <w:sz w:val="24"/>
                <w:szCs w:val="24"/>
                <w:shd w:val="clear" w:color="auto" w:fill="FFFFFF"/>
              </w:rPr>
              <w:tab/>
            </w:r>
            <w:r w:rsidRPr="006647C4">
              <w:rPr>
                <w:rFonts w:ascii="Arial Narrow" w:hAnsi="Arial Narrow" w:cs="Arial"/>
                <w:shd w:val="clear" w:color="auto" w:fill="FFFFFF"/>
              </w:rPr>
              <w:t>‘</w:t>
            </w:r>
            <w:r w:rsidRPr="006647C4">
              <w:rPr>
                <w:rFonts w:ascii="Arial Narrow" w:hAnsi="Arial Narrow" w:cs="Arial"/>
                <w:b/>
                <w:u w:val="single"/>
                <w:shd w:val="clear" w:color="auto" w:fill="FFFFFF"/>
              </w:rPr>
              <w:t>A1. The defendant’s special plea I limine of non-locus standi and/or non-authority</w:t>
            </w:r>
          </w:p>
          <w:p w:rsidR="009C0E21" w:rsidRPr="006647C4" w:rsidRDefault="009C0E21" w:rsidP="009C0E21">
            <w:pPr>
              <w:pStyle w:val="ListParagraph"/>
              <w:numPr>
                <w:ilvl w:val="1"/>
                <w:numId w:val="8"/>
              </w:numPr>
              <w:spacing w:line="360" w:lineRule="auto"/>
              <w:jc w:val="both"/>
              <w:rPr>
                <w:rFonts w:ascii="Arial Narrow" w:hAnsi="Arial Narrow" w:cs="Arial"/>
                <w:shd w:val="clear" w:color="auto" w:fill="FFFFFF"/>
              </w:rPr>
            </w:pPr>
            <w:r w:rsidRPr="006647C4">
              <w:rPr>
                <w:rFonts w:ascii="Arial Narrow" w:hAnsi="Arial Narrow" w:cs="Arial"/>
                <w:shd w:val="clear" w:color="auto" w:fill="FFFFFF"/>
              </w:rPr>
              <w:t xml:space="preserve">The Defendant admits that the citation of the Plaintiff on the face of the Combined Summons; </w:t>
            </w:r>
          </w:p>
          <w:p w:rsidR="009C0E21" w:rsidRPr="006647C4" w:rsidRDefault="009C0E21" w:rsidP="009C0E21">
            <w:pPr>
              <w:pStyle w:val="ListParagraph"/>
              <w:numPr>
                <w:ilvl w:val="1"/>
                <w:numId w:val="8"/>
              </w:numPr>
              <w:spacing w:line="360" w:lineRule="auto"/>
              <w:jc w:val="both"/>
              <w:rPr>
                <w:rFonts w:ascii="Arial Narrow" w:hAnsi="Arial Narrow" w:cs="Arial"/>
              </w:rPr>
            </w:pPr>
            <w:r w:rsidRPr="006647C4">
              <w:rPr>
                <w:rFonts w:ascii="Arial Narrow" w:hAnsi="Arial Narrow" w:cs="Arial"/>
              </w:rPr>
              <w:t xml:space="preserve">The Defendant furthermore denies that the Plaintiff is registered as a financial institution as contemplated in the Namibian Financial Institutions Supervisory Authority Act, Act No, 3 of 2001, and more specifically  Section 1 and/or 1(d) and/or 1(n) thereof to render financial services as contemplated in Section 1 thereof; </w:t>
            </w:r>
          </w:p>
          <w:p w:rsidR="009C0E21" w:rsidRPr="006647C4" w:rsidRDefault="009C0E21" w:rsidP="009C0E21">
            <w:pPr>
              <w:pStyle w:val="ListParagraph"/>
              <w:numPr>
                <w:ilvl w:val="1"/>
                <w:numId w:val="8"/>
              </w:numPr>
              <w:spacing w:line="360" w:lineRule="auto"/>
              <w:jc w:val="both"/>
              <w:rPr>
                <w:rFonts w:ascii="Arial Narrow" w:hAnsi="Arial Narrow" w:cs="Arial"/>
              </w:rPr>
            </w:pPr>
            <w:r w:rsidRPr="006647C4">
              <w:rPr>
                <w:rFonts w:ascii="Arial Narrow" w:hAnsi="Arial Narrow" w:cs="Arial"/>
              </w:rPr>
              <w:t xml:space="preserve">The Defendant therefore pleads that the Plaintiff has no locus standi and/or authority to have entered into the Loan Agreement, Annexure “A”, and/or to have rendered the financial services as aforesaid. </w:t>
            </w:r>
          </w:p>
          <w:p w:rsidR="009C0E21" w:rsidRPr="006647C4" w:rsidRDefault="009C0E21" w:rsidP="009C0E21">
            <w:pPr>
              <w:spacing w:line="360" w:lineRule="auto"/>
              <w:ind w:left="720"/>
              <w:jc w:val="both"/>
              <w:rPr>
                <w:rFonts w:ascii="Arial Narrow" w:hAnsi="Arial Narrow" w:cs="Arial"/>
              </w:rPr>
            </w:pPr>
            <w:r w:rsidRPr="006647C4">
              <w:rPr>
                <w:rFonts w:ascii="Arial Narrow" w:hAnsi="Arial Narrow" w:cs="Arial"/>
                <w:b/>
              </w:rPr>
              <w:t>WHEREFOR</w:t>
            </w:r>
            <w:r w:rsidRPr="006647C4">
              <w:rPr>
                <w:rFonts w:ascii="Arial Narrow" w:hAnsi="Arial Narrow" w:cs="Arial"/>
              </w:rPr>
              <w:t xml:space="preserve"> the Defendant prays that the Plaintiff’s action be dismissed with costs on an attorney and own client scale, such cost to include one instructing and one instructed counsel.’</w:t>
            </w:r>
          </w:p>
          <w:p w:rsidR="006647C4" w:rsidRPr="006647C4" w:rsidRDefault="006647C4" w:rsidP="009C0E21">
            <w:pPr>
              <w:spacing w:line="360" w:lineRule="auto"/>
              <w:ind w:left="720"/>
              <w:jc w:val="both"/>
              <w:rPr>
                <w:rFonts w:ascii="Arial Narrow" w:hAnsi="Arial Narrow" w:cs="Arial"/>
                <w:sz w:val="24"/>
                <w:szCs w:val="24"/>
              </w:rPr>
            </w:pPr>
          </w:p>
          <w:p w:rsidR="009C0E21" w:rsidRPr="006412F6"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[3]</w:t>
            </w:r>
            <w:r w:rsidRPr="006647C4">
              <w:rPr>
                <w:rFonts w:ascii="Arial Narrow" w:hAnsi="Arial Narrow" w:cs="Arial"/>
                <w:sz w:val="24"/>
                <w:szCs w:val="24"/>
              </w:rPr>
              <w:tab/>
            </w:r>
            <w:r w:rsidRPr="006412F6">
              <w:rPr>
                <w:rFonts w:ascii="Arial Narrow" w:hAnsi="Arial Narrow" w:cs="Arial"/>
                <w:sz w:val="24"/>
                <w:szCs w:val="24"/>
              </w:rPr>
              <w:t>Following on the plea and special plea of the defendant</w:t>
            </w:r>
            <w:r w:rsidR="006412F6" w:rsidRPr="006412F6">
              <w:rPr>
                <w:rFonts w:ascii="Arial Narrow" w:hAnsi="Arial Narrow" w:cs="Arial"/>
                <w:sz w:val="24"/>
                <w:szCs w:val="24"/>
              </w:rPr>
              <w:t xml:space="preserve"> </w:t>
            </w:r>
            <w:r w:rsidR="00A97F7A" w:rsidRPr="006412F6">
              <w:rPr>
                <w:rFonts w:ascii="Arial Narrow" w:hAnsi="Arial Narrow" w:cs="Arial"/>
                <w:sz w:val="24"/>
                <w:szCs w:val="24"/>
              </w:rPr>
              <w:t xml:space="preserve">the plaintiff </w:t>
            </w:r>
            <w:r w:rsidRPr="006412F6">
              <w:rPr>
                <w:rFonts w:ascii="Arial Narrow" w:hAnsi="Arial Narrow" w:cs="Arial"/>
                <w:sz w:val="24"/>
                <w:szCs w:val="24"/>
              </w:rPr>
              <w:t xml:space="preserve">directed a request for trial particular </w:t>
            </w:r>
            <w:r w:rsidR="00A97F7A" w:rsidRPr="006412F6">
              <w:rPr>
                <w:rFonts w:ascii="Arial Narrow" w:hAnsi="Arial Narrow" w:cs="Arial"/>
                <w:sz w:val="24"/>
                <w:szCs w:val="24"/>
              </w:rPr>
              <w:t>to the defendant. T</w:t>
            </w:r>
            <w:r w:rsidRPr="006412F6">
              <w:rPr>
                <w:rFonts w:ascii="Arial Narrow" w:hAnsi="Arial Narrow" w:cs="Arial"/>
                <w:sz w:val="24"/>
                <w:szCs w:val="24"/>
              </w:rPr>
              <w:t xml:space="preserve">he plaintiff required </w:t>
            </w:r>
            <w:r w:rsidR="00A97F7A" w:rsidRPr="006412F6">
              <w:rPr>
                <w:rFonts w:ascii="Arial Narrow" w:hAnsi="Arial Narrow" w:cs="Arial"/>
                <w:sz w:val="24"/>
                <w:szCs w:val="24"/>
              </w:rPr>
              <w:t>d</w:t>
            </w:r>
            <w:r w:rsidRPr="006412F6">
              <w:rPr>
                <w:rFonts w:ascii="Arial Narrow" w:hAnsi="Arial Narrow" w:cs="Arial"/>
                <w:sz w:val="24"/>
                <w:szCs w:val="24"/>
              </w:rPr>
              <w:t>efendant to state in terms of which section of the Namibian Financial Institutions Supervisory Authority Act (‘the Act’) or its regulations is it stated that a financial institution as defined, must be registered as such, and if so, where and in what manner.</w:t>
            </w:r>
          </w:p>
          <w:p w:rsidR="006647C4" w:rsidRPr="006412F6" w:rsidRDefault="006647C4" w:rsidP="009C0E21">
            <w:pPr>
              <w:spacing w:line="360" w:lineRule="auto"/>
              <w:jc w:val="both"/>
              <w:rPr>
                <w:rFonts w:ascii="Arial Narrow" w:hAnsi="Arial Narrow" w:cs="Arial"/>
                <w:sz w:val="24"/>
                <w:szCs w:val="24"/>
              </w:rPr>
            </w:pPr>
          </w:p>
          <w:p w:rsidR="006412F6" w:rsidRDefault="009C0E21" w:rsidP="009C0E21">
            <w:pPr>
              <w:spacing w:line="360" w:lineRule="auto"/>
              <w:jc w:val="both"/>
              <w:rPr>
                <w:rFonts w:ascii="Arial Narrow" w:hAnsi="Arial Narrow" w:cs="Arial"/>
                <w:sz w:val="24"/>
                <w:szCs w:val="24"/>
              </w:rPr>
            </w:pPr>
            <w:r w:rsidRPr="006412F6">
              <w:rPr>
                <w:rFonts w:ascii="Arial Narrow" w:hAnsi="Arial Narrow" w:cs="Arial"/>
                <w:sz w:val="24"/>
                <w:szCs w:val="24"/>
              </w:rPr>
              <w:t>[4]</w:t>
            </w:r>
            <w:r w:rsidRPr="006412F6">
              <w:rPr>
                <w:rFonts w:ascii="Arial Narrow" w:hAnsi="Arial Narrow" w:cs="Arial"/>
                <w:sz w:val="24"/>
                <w:szCs w:val="24"/>
              </w:rPr>
              <w:tab/>
              <w:t xml:space="preserve">The </w:t>
            </w:r>
            <w:r w:rsidR="00A97F7A" w:rsidRPr="006412F6">
              <w:rPr>
                <w:rFonts w:ascii="Arial Narrow" w:hAnsi="Arial Narrow" w:cs="Arial"/>
                <w:sz w:val="24"/>
                <w:szCs w:val="24"/>
              </w:rPr>
              <w:t>d</w:t>
            </w:r>
            <w:r w:rsidRPr="006412F6">
              <w:rPr>
                <w:rFonts w:ascii="Arial Narrow" w:hAnsi="Arial Narrow" w:cs="Arial"/>
                <w:sz w:val="24"/>
                <w:szCs w:val="24"/>
              </w:rPr>
              <w:t xml:space="preserve">efendant pleaded in amplification in his response </w:t>
            </w:r>
            <w:r w:rsidR="00A97F7A" w:rsidRPr="006412F6">
              <w:rPr>
                <w:rFonts w:ascii="Arial Narrow" w:hAnsi="Arial Narrow" w:cs="Arial"/>
                <w:sz w:val="24"/>
                <w:szCs w:val="24"/>
              </w:rPr>
              <w:t xml:space="preserve">to </w:t>
            </w:r>
            <w:r w:rsidRPr="006412F6">
              <w:rPr>
                <w:rFonts w:ascii="Arial Narrow" w:hAnsi="Arial Narrow" w:cs="Arial"/>
                <w:sz w:val="24"/>
                <w:szCs w:val="24"/>
              </w:rPr>
              <w:t>the plaintiff’s request for trial particulars that the plaintiff refers to and relies on section 1(d)</w:t>
            </w:r>
            <w:r w:rsidRPr="006412F6">
              <w:rPr>
                <w:rStyle w:val="FootnoteReference"/>
                <w:rFonts w:ascii="Arial Narrow" w:hAnsi="Arial Narrow" w:cs="Arial"/>
                <w:sz w:val="24"/>
                <w:szCs w:val="24"/>
              </w:rPr>
              <w:footnoteReference w:id="1"/>
            </w:r>
            <w:r w:rsidRPr="006412F6">
              <w:rPr>
                <w:rFonts w:ascii="Arial Narrow" w:hAnsi="Arial Narrow" w:cs="Arial"/>
                <w:sz w:val="24"/>
                <w:szCs w:val="24"/>
              </w:rPr>
              <w:t xml:space="preserve"> and 1(n)</w:t>
            </w:r>
            <w:r w:rsidRPr="006412F6">
              <w:rPr>
                <w:rStyle w:val="FootnoteReference"/>
                <w:rFonts w:ascii="Arial Narrow" w:hAnsi="Arial Narrow" w:cs="Arial"/>
                <w:sz w:val="24"/>
                <w:szCs w:val="24"/>
              </w:rPr>
              <w:footnoteReference w:id="2"/>
            </w:r>
            <w:r w:rsidRPr="006412F6">
              <w:rPr>
                <w:rFonts w:ascii="Arial Narrow" w:hAnsi="Arial Narrow" w:cs="Arial"/>
                <w:sz w:val="24"/>
                <w:szCs w:val="24"/>
              </w:rPr>
              <w:t xml:space="preserve"> of the Act as well as the definitions in section 1 of the said Act with specific reference to ‘financ</w:t>
            </w:r>
            <w:r w:rsidR="00A97F7A" w:rsidRPr="006412F6">
              <w:rPr>
                <w:rFonts w:ascii="Arial Narrow" w:hAnsi="Arial Narrow" w:cs="Arial"/>
                <w:sz w:val="24"/>
                <w:szCs w:val="24"/>
              </w:rPr>
              <w:t>ial institution</w:t>
            </w:r>
            <w:r w:rsidRPr="006412F6">
              <w:rPr>
                <w:rFonts w:ascii="Arial Narrow" w:hAnsi="Arial Narrow" w:cs="Arial"/>
                <w:sz w:val="24"/>
                <w:szCs w:val="24"/>
              </w:rPr>
              <w:t xml:space="preserve"> and ‘financial services’(which included the </w:t>
            </w:r>
            <w:r w:rsidRPr="006647C4">
              <w:rPr>
                <w:rFonts w:ascii="Arial Narrow" w:hAnsi="Arial Narrow" w:cs="Arial"/>
                <w:sz w:val="24"/>
                <w:szCs w:val="24"/>
              </w:rPr>
              <w:t>reference to section 1(d) of the</w:t>
            </w:r>
          </w:p>
          <w:p w:rsidR="006412F6" w:rsidRDefault="006412F6" w:rsidP="009C0E21">
            <w:pPr>
              <w:spacing w:line="360" w:lineRule="auto"/>
              <w:jc w:val="both"/>
              <w:rPr>
                <w:rFonts w:ascii="Arial Narrow" w:hAnsi="Arial Narrow" w:cs="Arial"/>
                <w:sz w:val="24"/>
                <w:szCs w:val="24"/>
              </w:rPr>
            </w:pPr>
            <w:r w:rsidRPr="006647C4">
              <w:rPr>
                <w:rFonts w:ascii="Arial Narrow" w:hAnsi="Arial Narrow" w:cs="Arial"/>
                <w:sz w:val="24"/>
                <w:szCs w:val="24"/>
              </w:rPr>
              <w:lastRenderedPageBreak/>
              <w:t>Act to a moneylender</w:t>
            </w:r>
            <w:r w:rsidRPr="006647C4">
              <w:rPr>
                <w:rStyle w:val="FootnoteReference"/>
                <w:rFonts w:ascii="Arial Narrow" w:hAnsi="Arial Narrow" w:cs="Arial"/>
                <w:sz w:val="24"/>
                <w:szCs w:val="24"/>
              </w:rPr>
              <w:footnoteReference w:id="3"/>
            </w:r>
            <w:r w:rsidRPr="006647C4">
              <w:rPr>
                <w:rFonts w:ascii="Arial Narrow" w:hAnsi="Arial Narrow" w:cs="Arial"/>
                <w:sz w:val="24"/>
                <w:szCs w:val="24"/>
              </w:rPr>
              <w:t xml:space="preserve"> as defined in the Usury Act</w:t>
            </w:r>
            <w:r>
              <w:rPr>
                <w:rStyle w:val="FootnoteReference"/>
                <w:rFonts w:ascii="Arial Narrow" w:hAnsi="Arial Narrow" w:cs="Arial"/>
                <w:sz w:val="24"/>
                <w:szCs w:val="24"/>
              </w:rPr>
              <w:footnoteReference w:id="4"/>
            </w:r>
            <w:r>
              <w:rPr>
                <w:rFonts w:ascii="Arial Narrow" w:hAnsi="Arial Narrow" w:cs="Arial"/>
                <w:sz w:val="24"/>
                <w:szCs w:val="24"/>
              </w:rPr>
              <w:t xml:space="preserve"> </w:t>
            </w:r>
            <w:r w:rsidRPr="006647C4">
              <w:rPr>
                <w:rFonts w:ascii="Arial Narrow" w:hAnsi="Arial Narrow" w:cs="Arial"/>
                <w:sz w:val="24"/>
                <w:szCs w:val="24"/>
              </w:rPr>
              <w:t>as well as s</w:t>
            </w:r>
            <w:r w:rsidRPr="00A97F7A">
              <w:rPr>
                <w:rFonts w:ascii="Arial Narrow" w:hAnsi="Arial Narrow" w:cs="Arial"/>
                <w:sz w:val="24"/>
                <w:szCs w:val="24"/>
              </w:rPr>
              <w:t>s</w:t>
            </w:r>
            <w:r w:rsidRPr="006647C4">
              <w:rPr>
                <w:rFonts w:ascii="Arial Narrow" w:hAnsi="Arial Narrow" w:cs="Arial"/>
                <w:sz w:val="24"/>
                <w:szCs w:val="24"/>
              </w:rPr>
              <w:t xml:space="preserve"> 3</w:t>
            </w:r>
            <w:r w:rsidRPr="006647C4">
              <w:rPr>
                <w:rStyle w:val="FootnoteReference"/>
                <w:rFonts w:ascii="Arial Narrow" w:hAnsi="Arial Narrow" w:cs="Arial"/>
                <w:sz w:val="24"/>
                <w:szCs w:val="24"/>
              </w:rPr>
              <w:footnoteReference w:id="5"/>
            </w:r>
            <w:r w:rsidRPr="006647C4">
              <w:rPr>
                <w:rFonts w:ascii="Arial Narrow" w:hAnsi="Arial Narrow" w:cs="Arial"/>
                <w:sz w:val="24"/>
                <w:szCs w:val="24"/>
              </w:rPr>
              <w:t>, 10</w:t>
            </w:r>
            <w:r w:rsidRPr="006647C4">
              <w:rPr>
                <w:rStyle w:val="FootnoteReference"/>
                <w:rFonts w:ascii="Arial Narrow" w:hAnsi="Arial Narrow" w:cs="Arial"/>
                <w:sz w:val="24"/>
                <w:szCs w:val="24"/>
              </w:rPr>
              <w:footnoteReference w:id="6"/>
            </w:r>
            <w:r w:rsidRPr="006647C4">
              <w:rPr>
                <w:rFonts w:ascii="Arial Narrow" w:hAnsi="Arial Narrow" w:cs="Arial"/>
                <w:sz w:val="24"/>
                <w:szCs w:val="24"/>
              </w:rPr>
              <w:t xml:space="preserve"> and 25</w:t>
            </w:r>
            <w:r w:rsidRPr="006647C4">
              <w:rPr>
                <w:rStyle w:val="FootnoteReference"/>
                <w:rFonts w:ascii="Arial Narrow" w:hAnsi="Arial Narrow" w:cs="Arial"/>
                <w:sz w:val="24"/>
                <w:szCs w:val="24"/>
              </w:rPr>
              <w:footnoteReference w:id="7"/>
            </w:r>
            <w:r w:rsidRPr="006647C4">
              <w:rPr>
                <w:rFonts w:ascii="Arial Narrow" w:hAnsi="Arial Narrow" w:cs="Arial"/>
                <w:sz w:val="24"/>
                <w:szCs w:val="24"/>
              </w:rPr>
              <w:t xml:space="preserve"> of the Act. In addition thereto the defendant pleaded that he will rely on the Regulations promulgated in Government Gazette 6438 dated 10 October 2017 of Government Notice 265 of 2017 and more specifically s 1 and s 2, 15 and 21 of the Regulations. The defendant further indicated that he will rely on s 1 of the Financial Intelligence Act</w:t>
            </w:r>
            <w:r>
              <w:rPr>
                <w:rStyle w:val="FootnoteReference"/>
                <w:rFonts w:ascii="Arial Narrow" w:hAnsi="Arial Narrow" w:cs="Arial"/>
                <w:sz w:val="24"/>
                <w:szCs w:val="24"/>
              </w:rPr>
              <w:footnoteReference w:id="8"/>
            </w:r>
            <w:r w:rsidRPr="006647C4">
              <w:rPr>
                <w:rFonts w:ascii="Arial Narrow" w:hAnsi="Arial Narrow" w:cs="Arial"/>
                <w:sz w:val="24"/>
                <w:szCs w:val="24"/>
              </w:rPr>
              <w:t xml:space="preserve"> with specific reference to ‘accountable institutions’ and s2 thereof and section 4, 6 and 16 of Schedule 1. </w:t>
            </w:r>
          </w:p>
          <w:p w:rsidR="006647C4" w:rsidRPr="006647C4" w:rsidRDefault="006647C4" w:rsidP="009C0E21">
            <w:pPr>
              <w:spacing w:line="360" w:lineRule="auto"/>
              <w:jc w:val="both"/>
              <w:rPr>
                <w:rFonts w:ascii="Arial Narrow" w:hAnsi="Arial Narrow" w:cs="Arial"/>
                <w:sz w:val="24"/>
                <w:szCs w:val="24"/>
              </w:rPr>
            </w:pPr>
          </w:p>
          <w:p w:rsidR="009C0E21" w:rsidRPr="006647C4"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[5]</w:t>
            </w:r>
            <w:r w:rsidRPr="006647C4">
              <w:rPr>
                <w:rFonts w:ascii="Arial Narrow" w:hAnsi="Arial Narrow" w:cs="Arial"/>
                <w:sz w:val="24"/>
                <w:szCs w:val="24"/>
              </w:rPr>
              <w:tab/>
              <w:t xml:space="preserve">In its replication the plaintiff pleaded that it has not alleged that the plaintiff is a registered financial institution. In the pre-trial order the parties </w:t>
            </w:r>
            <w:r w:rsidR="00A97F7A" w:rsidRPr="006412F6">
              <w:rPr>
                <w:rFonts w:ascii="Arial Narrow" w:hAnsi="Arial Narrow" w:cs="Arial"/>
                <w:sz w:val="24"/>
                <w:szCs w:val="24"/>
              </w:rPr>
              <w:t xml:space="preserve">are at </w:t>
            </w:r>
            <w:r w:rsidRPr="006647C4">
              <w:rPr>
                <w:rFonts w:ascii="Arial Narrow" w:hAnsi="Arial Narrow" w:cs="Arial"/>
                <w:sz w:val="24"/>
                <w:szCs w:val="24"/>
              </w:rPr>
              <w:t>ad idem that the plaintiff is neither registered as a financial institution nor is the plaintiff registered as a commercial bank</w:t>
            </w:r>
          </w:p>
          <w:p w:rsidR="009C0E21" w:rsidRPr="006647C4" w:rsidRDefault="009C0E21"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u w:val="single"/>
              </w:rPr>
            </w:pPr>
            <w:r w:rsidRPr="006647C4">
              <w:rPr>
                <w:rFonts w:ascii="Arial Narrow" w:hAnsi="Arial Narrow" w:cs="Arial"/>
                <w:sz w:val="24"/>
                <w:szCs w:val="24"/>
                <w:u w:val="single"/>
              </w:rPr>
              <w:t>Argument on behalf of the defendant</w:t>
            </w:r>
          </w:p>
          <w:p w:rsidR="006647C4" w:rsidRPr="006647C4" w:rsidRDefault="006647C4" w:rsidP="009C0E21">
            <w:pPr>
              <w:spacing w:line="360" w:lineRule="auto"/>
              <w:jc w:val="both"/>
              <w:rPr>
                <w:rFonts w:ascii="Arial Narrow" w:hAnsi="Arial Narrow" w:cs="Arial"/>
                <w:sz w:val="24"/>
                <w:szCs w:val="24"/>
                <w:u w:val="single"/>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[6]</w:t>
            </w:r>
            <w:r w:rsidRPr="006647C4">
              <w:rPr>
                <w:rFonts w:ascii="Arial Narrow" w:hAnsi="Arial Narrow" w:cs="Arial"/>
                <w:sz w:val="24"/>
                <w:szCs w:val="24"/>
              </w:rPr>
              <w:tab/>
              <w:t xml:space="preserve"> Mr Naude argued that central to the plaintiff’s claim is its locus standi and/or authority to have entered into the loan agreement with the defendant. He argued the fact that the </w:t>
            </w:r>
            <w:r w:rsidRPr="006412F6">
              <w:rPr>
                <w:rFonts w:ascii="Arial Narrow" w:hAnsi="Arial Narrow" w:cs="Arial"/>
                <w:sz w:val="24"/>
                <w:szCs w:val="24"/>
              </w:rPr>
              <w:t>plaintiff</w:t>
            </w:r>
            <w:r w:rsidR="00A97F7A" w:rsidRPr="006412F6">
              <w:rPr>
                <w:rFonts w:ascii="Arial Narrow" w:hAnsi="Arial Narrow" w:cs="Arial"/>
                <w:sz w:val="24"/>
                <w:szCs w:val="24"/>
              </w:rPr>
              <w:t>’s</w:t>
            </w:r>
            <w:r w:rsidRPr="006412F6">
              <w:rPr>
                <w:rFonts w:ascii="Arial Narrow" w:hAnsi="Arial Narrow" w:cs="Arial"/>
                <w:sz w:val="24"/>
                <w:szCs w:val="24"/>
              </w:rPr>
              <w:t xml:space="preserve"> </w:t>
            </w:r>
            <w:r w:rsidR="00A97F7A" w:rsidRPr="006412F6">
              <w:rPr>
                <w:rFonts w:ascii="Arial Narrow" w:hAnsi="Arial Narrow" w:cs="Arial"/>
                <w:sz w:val="24"/>
                <w:szCs w:val="24"/>
              </w:rPr>
              <w:t xml:space="preserve">failure </w:t>
            </w:r>
            <w:r w:rsidRPr="006412F6">
              <w:rPr>
                <w:rFonts w:ascii="Arial Narrow" w:hAnsi="Arial Narrow" w:cs="Arial"/>
                <w:sz w:val="24"/>
                <w:szCs w:val="24"/>
              </w:rPr>
              <w:t>to allege</w:t>
            </w:r>
            <w:r w:rsidR="006412F6" w:rsidRPr="006412F6">
              <w:rPr>
                <w:rFonts w:ascii="Arial Narrow" w:hAnsi="Arial Narrow" w:cs="Arial"/>
                <w:sz w:val="24"/>
                <w:szCs w:val="24"/>
              </w:rPr>
              <w:t xml:space="preserve"> </w:t>
            </w:r>
            <w:r w:rsidR="00A97F7A" w:rsidRPr="006412F6">
              <w:rPr>
                <w:rFonts w:ascii="Arial Narrow" w:hAnsi="Arial Narrow" w:cs="Arial"/>
                <w:sz w:val="24"/>
                <w:szCs w:val="24"/>
              </w:rPr>
              <w:t>that</w:t>
            </w:r>
            <w:r w:rsidRPr="006412F6">
              <w:rPr>
                <w:rFonts w:ascii="Arial Narrow" w:hAnsi="Arial Narrow" w:cs="Arial"/>
                <w:sz w:val="24"/>
                <w:szCs w:val="24"/>
              </w:rPr>
              <w:t xml:space="preserve"> </w:t>
            </w:r>
            <w:r w:rsidRPr="006647C4">
              <w:rPr>
                <w:rFonts w:ascii="Arial Narrow" w:hAnsi="Arial Narrow" w:cs="Arial"/>
                <w:sz w:val="24"/>
                <w:szCs w:val="24"/>
              </w:rPr>
              <w:t xml:space="preserve">it was duly registered as a financial institution or rendering financial services is fatal to the plaintiff’s case. </w:t>
            </w:r>
          </w:p>
          <w:p w:rsidR="006647C4" w:rsidRPr="006647C4" w:rsidRDefault="006647C4" w:rsidP="009C0E21">
            <w:pPr>
              <w:spacing w:line="360" w:lineRule="auto"/>
              <w:jc w:val="both"/>
              <w:rPr>
                <w:rFonts w:ascii="Arial Narrow" w:hAnsi="Arial Narrow" w:cs="Arial"/>
                <w:sz w:val="24"/>
                <w:szCs w:val="24"/>
              </w:rPr>
            </w:pPr>
          </w:p>
          <w:p w:rsidR="009C0E21" w:rsidRPr="006647C4"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[7]</w:t>
            </w:r>
            <w:r w:rsidRPr="006647C4">
              <w:rPr>
                <w:rFonts w:ascii="Arial Narrow" w:hAnsi="Arial Narrow" w:cs="Arial"/>
                <w:sz w:val="24"/>
                <w:szCs w:val="24"/>
              </w:rPr>
              <w:tab/>
              <w:t xml:space="preserve">Mr Naude referred the court to </w:t>
            </w:r>
            <w:r w:rsidRPr="00A74743">
              <w:rPr>
                <w:rFonts w:ascii="Arial Narrow" w:hAnsi="Arial Narrow" w:cs="Arial"/>
                <w:sz w:val="24"/>
                <w:szCs w:val="24"/>
              </w:rPr>
              <w:t>s</w:t>
            </w:r>
            <w:r w:rsidR="00A74743">
              <w:rPr>
                <w:rFonts w:ascii="Arial Narrow" w:hAnsi="Arial Narrow" w:cs="Arial"/>
                <w:sz w:val="24"/>
                <w:szCs w:val="24"/>
              </w:rPr>
              <w:t xml:space="preserve"> </w:t>
            </w:r>
            <w:r w:rsidRPr="00A74743">
              <w:rPr>
                <w:rFonts w:ascii="Arial Narrow" w:hAnsi="Arial Narrow" w:cs="Arial"/>
                <w:sz w:val="24"/>
                <w:szCs w:val="24"/>
              </w:rPr>
              <w:t>1</w:t>
            </w:r>
            <w:r w:rsidRPr="006647C4">
              <w:rPr>
                <w:rFonts w:ascii="Arial Narrow" w:hAnsi="Arial Narrow" w:cs="Arial"/>
                <w:sz w:val="24"/>
                <w:szCs w:val="24"/>
              </w:rPr>
              <w:t>, 3, 10 and 25 of the Act as well as the Usury Act and the Financial Intelligence Act in support of his submissions. In this regard Mr Naude submitted that having considered the legislative provisions:</w:t>
            </w:r>
          </w:p>
          <w:p w:rsidR="009C0E21" w:rsidRPr="00A74743" w:rsidRDefault="009C0E21" w:rsidP="009C0E21">
            <w:pPr>
              <w:pStyle w:val="ListParagraph"/>
              <w:numPr>
                <w:ilvl w:val="0"/>
                <w:numId w:val="11"/>
              </w:numPr>
              <w:spacing w:line="360" w:lineRule="auto"/>
              <w:jc w:val="both"/>
              <w:rPr>
                <w:rFonts w:ascii="Arial Narrow" w:hAnsi="Arial Narrow" w:cs="Arial"/>
                <w:sz w:val="24"/>
                <w:szCs w:val="24"/>
              </w:rPr>
            </w:pPr>
            <w:r w:rsidRPr="006647C4">
              <w:rPr>
                <w:rFonts w:ascii="Arial Narrow" w:hAnsi="Arial Narrow" w:cs="Arial"/>
                <w:sz w:val="24"/>
                <w:szCs w:val="24"/>
              </w:rPr>
              <w:lastRenderedPageBreak/>
              <w:t xml:space="preserve">The plaintiff incorrectly denies and pleads that it has not alleged </w:t>
            </w:r>
            <w:r w:rsidRPr="006412F6">
              <w:rPr>
                <w:rFonts w:ascii="Arial Narrow" w:hAnsi="Arial Narrow" w:cs="Arial"/>
                <w:sz w:val="24"/>
                <w:szCs w:val="24"/>
              </w:rPr>
              <w:t xml:space="preserve">that </w:t>
            </w:r>
            <w:r w:rsidR="00A97F7A" w:rsidRPr="006412F6">
              <w:rPr>
                <w:rFonts w:ascii="Arial Narrow" w:hAnsi="Arial Narrow" w:cs="Arial"/>
                <w:sz w:val="24"/>
                <w:szCs w:val="24"/>
              </w:rPr>
              <w:t xml:space="preserve">it </w:t>
            </w:r>
            <w:r w:rsidRPr="006412F6">
              <w:rPr>
                <w:rFonts w:ascii="Arial Narrow" w:hAnsi="Arial Narrow" w:cs="Arial"/>
                <w:sz w:val="24"/>
                <w:szCs w:val="24"/>
              </w:rPr>
              <w:t xml:space="preserve">is </w:t>
            </w:r>
            <w:r w:rsidRPr="006647C4">
              <w:rPr>
                <w:rFonts w:ascii="Arial Narrow" w:hAnsi="Arial Narrow" w:cs="Arial"/>
                <w:sz w:val="24"/>
                <w:szCs w:val="24"/>
              </w:rPr>
              <w:t xml:space="preserve">registered as a financial institution to </w:t>
            </w:r>
            <w:r w:rsidRPr="00A74743">
              <w:rPr>
                <w:rFonts w:ascii="Arial Narrow" w:hAnsi="Arial Narrow" w:cs="Arial"/>
                <w:sz w:val="24"/>
                <w:szCs w:val="24"/>
              </w:rPr>
              <w:t>its detriment</w:t>
            </w:r>
            <w:r w:rsidR="00142FF4" w:rsidRPr="00A74743">
              <w:rPr>
                <w:rFonts w:ascii="Arial Narrow" w:hAnsi="Arial Narrow" w:cs="Arial"/>
                <w:sz w:val="24"/>
                <w:szCs w:val="24"/>
              </w:rPr>
              <w:t>,</w:t>
            </w:r>
            <w:r w:rsidRPr="00A74743">
              <w:rPr>
                <w:rFonts w:ascii="Arial Narrow" w:hAnsi="Arial Narrow" w:cs="Arial"/>
                <w:sz w:val="24"/>
                <w:szCs w:val="24"/>
              </w:rPr>
              <w:t xml:space="preserve"> while the plaintiff clearly falls under the definition of a financial institution which renders financial services;</w:t>
            </w:r>
          </w:p>
          <w:p w:rsidR="009C0E21" w:rsidRPr="006647C4" w:rsidRDefault="009C0E21" w:rsidP="009C0E21">
            <w:pPr>
              <w:pStyle w:val="ListParagraph"/>
              <w:numPr>
                <w:ilvl w:val="0"/>
                <w:numId w:val="11"/>
              </w:numPr>
              <w:spacing w:line="360" w:lineRule="auto"/>
              <w:jc w:val="both"/>
              <w:rPr>
                <w:rFonts w:ascii="Arial Narrow" w:hAnsi="Arial Narrow" w:cs="Arial"/>
                <w:sz w:val="24"/>
                <w:szCs w:val="24"/>
              </w:rPr>
            </w:pPr>
            <w:r w:rsidRPr="006647C4">
              <w:rPr>
                <w:rFonts w:ascii="Arial Narrow" w:hAnsi="Arial Narrow" w:cs="Arial"/>
                <w:sz w:val="24"/>
                <w:szCs w:val="24"/>
              </w:rPr>
              <w:t xml:space="preserve">It is clear </w:t>
            </w:r>
            <w:r w:rsidRPr="00A74743">
              <w:rPr>
                <w:rFonts w:ascii="Arial Narrow" w:hAnsi="Arial Narrow" w:cs="Arial"/>
                <w:sz w:val="24"/>
                <w:szCs w:val="24"/>
              </w:rPr>
              <w:t>from the name of the plaintiff</w:t>
            </w:r>
            <w:r w:rsidR="00142FF4" w:rsidRPr="00A74743">
              <w:rPr>
                <w:rFonts w:ascii="Arial Narrow" w:hAnsi="Arial Narrow" w:cs="Arial"/>
                <w:sz w:val="24"/>
                <w:szCs w:val="24"/>
              </w:rPr>
              <w:t>,</w:t>
            </w:r>
            <w:r w:rsidRPr="00A74743">
              <w:rPr>
                <w:rFonts w:ascii="Arial Narrow" w:hAnsi="Arial Narrow" w:cs="Arial"/>
                <w:sz w:val="24"/>
                <w:szCs w:val="24"/>
              </w:rPr>
              <w:t xml:space="preserve"> as well as the written loan agreement in terms of which it agreed to lend money to the defendant</w:t>
            </w:r>
            <w:r w:rsidR="00142FF4" w:rsidRPr="00A74743">
              <w:rPr>
                <w:rFonts w:ascii="Arial Narrow" w:hAnsi="Arial Narrow" w:cs="Arial"/>
                <w:sz w:val="24"/>
                <w:szCs w:val="24"/>
              </w:rPr>
              <w:t>,</w:t>
            </w:r>
            <w:r w:rsidRPr="00A74743">
              <w:rPr>
                <w:rFonts w:ascii="Arial Narrow" w:hAnsi="Arial Narrow" w:cs="Arial"/>
                <w:sz w:val="24"/>
                <w:szCs w:val="24"/>
              </w:rPr>
              <w:t xml:space="preserve"> that it is involved in the financial service business and is a ‘financial organi</w:t>
            </w:r>
            <w:r w:rsidR="00142FF4" w:rsidRPr="00A74743">
              <w:rPr>
                <w:rFonts w:ascii="Arial Narrow" w:hAnsi="Arial Narrow" w:cs="Arial"/>
                <w:sz w:val="24"/>
                <w:szCs w:val="24"/>
              </w:rPr>
              <w:t>s</w:t>
            </w:r>
            <w:r w:rsidRPr="00A74743">
              <w:rPr>
                <w:rFonts w:ascii="Arial Narrow" w:hAnsi="Arial Narrow" w:cs="Arial"/>
                <w:sz w:val="24"/>
                <w:szCs w:val="24"/>
              </w:rPr>
              <w:t>ation’ by granting loans and entering into written loan agreements and is thus a ‘money lender’ as contemplated in the Usury Act and the Namibian Financial Institutions Supervisory Authority Act. In addition thereto</w:t>
            </w:r>
            <w:r w:rsidR="00142FF4" w:rsidRPr="00A74743">
              <w:rPr>
                <w:rFonts w:ascii="Arial Narrow" w:hAnsi="Arial Narrow" w:cs="Arial"/>
                <w:sz w:val="24"/>
                <w:szCs w:val="24"/>
              </w:rPr>
              <w:t>,</w:t>
            </w:r>
            <w:r w:rsidRPr="00A74743">
              <w:rPr>
                <w:rFonts w:ascii="Arial Narrow" w:hAnsi="Arial Narrow" w:cs="Arial"/>
                <w:sz w:val="24"/>
                <w:szCs w:val="24"/>
              </w:rPr>
              <w:t xml:space="preserve"> the plaintiff is an accountable institution as contemplated and stipulated in terms of the Financial Intelligence Act</w:t>
            </w:r>
            <w:r w:rsidRPr="006647C4">
              <w:rPr>
                <w:rFonts w:ascii="Arial Narrow" w:hAnsi="Arial Narrow" w:cs="Arial"/>
                <w:sz w:val="24"/>
                <w:szCs w:val="24"/>
              </w:rPr>
              <w:t xml:space="preserve">. </w:t>
            </w:r>
          </w:p>
          <w:p w:rsidR="009C0E21" w:rsidRDefault="009C0E21" w:rsidP="009C0E21">
            <w:pPr>
              <w:pStyle w:val="ListParagraph"/>
              <w:numPr>
                <w:ilvl w:val="0"/>
                <w:numId w:val="11"/>
              </w:numPr>
              <w:spacing w:line="360" w:lineRule="auto"/>
              <w:jc w:val="both"/>
              <w:rPr>
                <w:rFonts w:ascii="Arial Narrow" w:hAnsi="Arial Narrow" w:cs="Arial"/>
                <w:sz w:val="24"/>
                <w:szCs w:val="24"/>
              </w:rPr>
            </w:pPr>
            <w:r w:rsidRPr="006647C4">
              <w:rPr>
                <w:rFonts w:ascii="Arial Narrow" w:hAnsi="Arial Narrow" w:cs="Arial"/>
                <w:sz w:val="24"/>
                <w:szCs w:val="24"/>
              </w:rPr>
              <w:t xml:space="preserve">The fact that the plaintiff did not allege that it was a duly registered financial institution in terms of the aforesaid legislation is fatal to the case of the plaintiff and consequently the plaintiff had no </w:t>
            </w:r>
            <w:r w:rsidRPr="006647C4">
              <w:rPr>
                <w:rFonts w:ascii="Arial Narrow" w:hAnsi="Arial Narrow" w:cs="Arial"/>
                <w:i/>
                <w:sz w:val="24"/>
                <w:szCs w:val="24"/>
              </w:rPr>
              <w:t>locus standi in</w:t>
            </w:r>
            <w:r w:rsidR="00EC1212">
              <w:rPr>
                <w:rFonts w:ascii="Arial Narrow" w:hAnsi="Arial Narrow" w:cs="Arial"/>
                <w:i/>
                <w:sz w:val="24"/>
                <w:szCs w:val="24"/>
              </w:rPr>
              <w:t xml:space="preserve"> </w:t>
            </w:r>
            <w:r w:rsidRPr="006647C4">
              <w:rPr>
                <w:rFonts w:ascii="Arial Narrow" w:hAnsi="Arial Narrow" w:cs="Arial"/>
                <w:i/>
                <w:sz w:val="24"/>
                <w:szCs w:val="24"/>
              </w:rPr>
              <w:t>judicio</w:t>
            </w:r>
            <w:r w:rsidRPr="006647C4">
              <w:rPr>
                <w:rFonts w:ascii="Arial Narrow" w:hAnsi="Arial Narrow" w:cs="Arial"/>
                <w:sz w:val="24"/>
                <w:szCs w:val="24"/>
              </w:rPr>
              <w:t xml:space="preserve"> or authority to have rendered the financial service or to have entered into a loan agreement with any person and has thus acted </w:t>
            </w:r>
            <w:r w:rsidRPr="006412F6">
              <w:rPr>
                <w:rFonts w:ascii="Arial Narrow" w:hAnsi="Arial Narrow" w:cs="Arial"/>
                <w:sz w:val="24"/>
                <w:szCs w:val="24"/>
              </w:rPr>
              <w:t>unlawfully</w:t>
            </w:r>
            <w:r w:rsidR="00EC1212" w:rsidRPr="006412F6">
              <w:rPr>
                <w:rFonts w:ascii="Arial Narrow" w:hAnsi="Arial Narrow" w:cs="Arial"/>
                <w:sz w:val="24"/>
                <w:szCs w:val="24"/>
              </w:rPr>
              <w:t xml:space="preserve"> and as a result has thus no locus standi to bring the action</w:t>
            </w:r>
            <w:r w:rsidRPr="006412F6">
              <w:rPr>
                <w:rFonts w:ascii="Arial Narrow" w:hAnsi="Arial Narrow" w:cs="Arial"/>
                <w:sz w:val="24"/>
                <w:szCs w:val="24"/>
              </w:rPr>
              <w:t>.</w:t>
            </w:r>
          </w:p>
          <w:p w:rsidR="006647C4" w:rsidRPr="006647C4" w:rsidRDefault="006647C4" w:rsidP="006647C4">
            <w:pPr>
              <w:pStyle w:val="ListParagraph"/>
              <w:spacing w:line="360" w:lineRule="auto"/>
              <w:ind w:left="1080"/>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u w:val="single"/>
              </w:rPr>
            </w:pPr>
            <w:r w:rsidRPr="006647C4">
              <w:rPr>
                <w:rFonts w:ascii="Arial Narrow" w:hAnsi="Arial Narrow" w:cs="Arial"/>
                <w:sz w:val="24"/>
                <w:szCs w:val="24"/>
                <w:u w:val="single"/>
              </w:rPr>
              <w:t>Argument on behalf of the plaintiff</w:t>
            </w:r>
          </w:p>
          <w:p w:rsidR="006647C4" w:rsidRPr="006647C4" w:rsidRDefault="006647C4" w:rsidP="009C0E21">
            <w:pPr>
              <w:spacing w:line="360" w:lineRule="auto"/>
              <w:jc w:val="both"/>
              <w:rPr>
                <w:rFonts w:ascii="Arial Narrow" w:hAnsi="Arial Narrow" w:cs="Arial"/>
                <w:sz w:val="24"/>
                <w:szCs w:val="24"/>
                <w:u w:val="single"/>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 xml:space="preserve">[8] </w:t>
            </w:r>
            <w:r w:rsidRPr="006647C4">
              <w:rPr>
                <w:rFonts w:ascii="Arial Narrow" w:hAnsi="Arial Narrow" w:cs="Arial"/>
                <w:sz w:val="24"/>
                <w:szCs w:val="24"/>
              </w:rPr>
              <w:tab/>
              <w:t xml:space="preserve">Mr Vaatz indicated from the onset that it is clear from the pleadings of the plaintiff that it does not allege that it is registered as a financial institution and the plaintiff does not deny that it is per definition a financial institution and the issue is thus whether it had to be registered or not. </w:t>
            </w:r>
          </w:p>
          <w:p w:rsidR="006647C4" w:rsidRPr="006647C4" w:rsidRDefault="006647C4"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 xml:space="preserve"> [9]</w:t>
            </w:r>
            <w:r w:rsidRPr="006647C4">
              <w:rPr>
                <w:rFonts w:ascii="Arial Narrow" w:hAnsi="Arial Narrow" w:cs="Arial"/>
                <w:sz w:val="24"/>
                <w:szCs w:val="24"/>
              </w:rPr>
              <w:tab/>
              <w:t xml:space="preserve">Counsel argued that the defendant relies on sections 1(d) and 1(n), 3, 10 and 25 of the Act in support of his special plea but submitted that these </w:t>
            </w:r>
            <w:r w:rsidR="00EC1212" w:rsidRPr="006412F6">
              <w:rPr>
                <w:rFonts w:ascii="Arial Narrow" w:hAnsi="Arial Narrow" w:cs="Arial"/>
                <w:sz w:val="24"/>
                <w:szCs w:val="24"/>
              </w:rPr>
              <w:t>s</w:t>
            </w:r>
            <w:r w:rsidRPr="006412F6">
              <w:rPr>
                <w:rFonts w:ascii="Arial Narrow" w:hAnsi="Arial Narrow" w:cs="Arial"/>
                <w:sz w:val="24"/>
                <w:szCs w:val="24"/>
              </w:rPr>
              <w:t>ection</w:t>
            </w:r>
            <w:r w:rsidR="006412F6" w:rsidRPr="006412F6">
              <w:rPr>
                <w:rFonts w:ascii="Arial Narrow" w:hAnsi="Arial Narrow" w:cs="Arial"/>
                <w:sz w:val="24"/>
                <w:szCs w:val="24"/>
              </w:rPr>
              <w:t>s</w:t>
            </w:r>
            <w:r w:rsidRPr="006647C4">
              <w:rPr>
                <w:rFonts w:ascii="Arial Narrow" w:hAnsi="Arial Narrow" w:cs="Arial"/>
                <w:sz w:val="24"/>
                <w:szCs w:val="24"/>
              </w:rPr>
              <w:t xml:space="preserve"> are not of assistance to the defendant in his case for the following reasons: </w:t>
            </w:r>
          </w:p>
          <w:p w:rsidR="00EC1212" w:rsidRPr="00A74743" w:rsidRDefault="00EC1212" w:rsidP="009C0E21">
            <w:pPr>
              <w:spacing w:line="360" w:lineRule="auto"/>
              <w:jc w:val="both"/>
              <w:rPr>
                <w:rFonts w:ascii="Arial Narrow" w:hAnsi="Arial Narrow" w:cs="Arial"/>
                <w:sz w:val="24"/>
                <w:szCs w:val="24"/>
              </w:rPr>
            </w:pPr>
          </w:p>
          <w:p w:rsidR="006647C4" w:rsidRPr="00A74743" w:rsidRDefault="009C0E21" w:rsidP="006647C4">
            <w:pPr>
              <w:pStyle w:val="ListParagraph"/>
              <w:numPr>
                <w:ilvl w:val="0"/>
                <w:numId w:val="13"/>
              </w:numPr>
              <w:spacing w:line="360" w:lineRule="auto"/>
              <w:jc w:val="both"/>
              <w:rPr>
                <w:rFonts w:ascii="Arial Narrow" w:hAnsi="Arial Narrow" w:cs="Arial"/>
                <w:sz w:val="24"/>
                <w:szCs w:val="24"/>
              </w:rPr>
            </w:pPr>
            <w:r w:rsidRPr="00A74743">
              <w:rPr>
                <w:rFonts w:ascii="Arial Narrow" w:hAnsi="Arial Narrow" w:cs="Arial"/>
                <w:sz w:val="24"/>
                <w:szCs w:val="24"/>
              </w:rPr>
              <w:t xml:space="preserve">Sections 1(d) and 1(n) merely defines what the term financial institution means and plaintiff accepts that it falls within that definition, however, neither </w:t>
            </w:r>
            <w:r w:rsidR="00A74743" w:rsidRPr="00A74743">
              <w:rPr>
                <w:rFonts w:ascii="Arial Narrow" w:hAnsi="Arial Narrow" w:cs="Arial"/>
                <w:sz w:val="24"/>
                <w:szCs w:val="24"/>
              </w:rPr>
              <w:t>s</w:t>
            </w:r>
            <w:r w:rsidRPr="00A74743">
              <w:rPr>
                <w:rFonts w:ascii="Arial Narrow" w:hAnsi="Arial Narrow" w:cs="Arial"/>
                <w:sz w:val="24"/>
                <w:szCs w:val="24"/>
              </w:rPr>
              <w:t xml:space="preserve">s 1(d) and 1(n) nor any of the other subsections of </w:t>
            </w:r>
            <w:r w:rsidR="00A74743" w:rsidRPr="00A74743">
              <w:rPr>
                <w:rFonts w:ascii="Arial Narrow" w:hAnsi="Arial Narrow" w:cs="Arial"/>
                <w:sz w:val="24"/>
                <w:szCs w:val="24"/>
              </w:rPr>
              <w:t>s</w:t>
            </w:r>
            <w:r w:rsidRPr="00A74743">
              <w:rPr>
                <w:rFonts w:ascii="Arial Narrow" w:hAnsi="Arial Narrow" w:cs="Arial"/>
                <w:sz w:val="24"/>
                <w:szCs w:val="24"/>
              </w:rPr>
              <w:t xml:space="preserve"> 1 indicates that a financial institution must be registered as such. </w:t>
            </w:r>
          </w:p>
          <w:p w:rsidR="006647C4" w:rsidRDefault="009C0E21" w:rsidP="006647C4">
            <w:pPr>
              <w:pStyle w:val="ListParagraph"/>
              <w:numPr>
                <w:ilvl w:val="0"/>
                <w:numId w:val="13"/>
              </w:numPr>
              <w:spacing w:line="360" w:lineRule="auto"/>
              <w:jc w:val="both"/>
              <w:rPr>
                <w:rFonts w:ascii="Arial Narrow" w:hAnsi="Arial Narrow" w:cs="Arial"/>
                <w:sz w:val="24"/>
                <w:szCs w:val="24"/>
              </w:rPr>
            </w:pPr>
            <w:r w:rsidRPr="00A74743">
              <w:rPr>
                <w:rFonts w:ascii="Arial Narrow" w:hAnsi="Arial Narrow" w:cs="Arial"/>
                <w:sz w:val="24"/>
                <w:szCs w:val="24"/>
              </w:rPr>
              <w:t>Section 3 of the Act</w:t>
            </w:r>
            <w:r w:rsidRPr="006647C4">
              <w:rPr>
                <w:rFonts w:ascii="Arial Narrow" w:hAnsi="Arial Narrow" w:cs="Arial"/>
                <w:sz w:val="24"/>
                <w:szCs w:val="24"/>
              </w:rPr>
              <w:t>, only defines the created supervisory authority in terms of the Act and sets out</w:t>
            </w:r>
            <w:r w:rsidR="00EC1212">
              <w:rPr>
                <w:rFonts w:ascii="Arial Narrow" w:hAnsi="Arial Narrow" w:cs="Arial"/>
                <w:sz w:val="24"/>
                <w:szCs w:val="24"/>
              </w:rPr>
              <w:t xml:space="preserve"> </w:t>
            </w:r>
            <w:r w:rsidR="00EC1212" w:rsidRPr="006412F6">
              <w:rPr>
                <w:rFonts w:ascii="Arial Narrow" w:hAnsi="Arial Narrow" w:cs="Arial"/>
                <w:sz w:val="24"/>
                <w:szCs w:val="24"/>
              </w:rPr>
              <w:t>that</w:t>
            </w:r>
            <w:r w:rsidRPr="006412F6">
              <w:rPr>
                <w:rFonts w:ascii="Arial Narrow" w:hAnsi="Arial Narrow" w:cs="Arial"/>
                <w:sz w:val="24"/>
                <w:szCs w:val="24"/>
              </w:rPr>
              <w:t xml:space="preserve"> </w:t>
            </w:r>
            <w:r w:rsidRPr="006647C4">
              <w:rPr>
                <w:rFonts w:ascii="Arial Narrow" w:hAnsi="Arial Narrow" w:cs="Arial"/>
                <w:sz w:val="24"/>
                <w:szCs w:val="24"/>
              </w:rPr>
              <w:t xml:space="preserve">it has to exercise supervision over the business of financial institutions and financial services and to advise the Minister.  Counsel argued that nowhere in the said section is there a reference that a financial institution has to be registered. </w:t>
            </w:r>
          </w:p>
          <w:p w:rsidR="006647C4" w:rsidRPr="00A74743" w:rsidRDefault="009C0E21" w:rsidP="006647C4">
            <w:pPr>
              <w:pStyle w:val="ListParagraph"/>
              <w:numPr>
                <w:ilvl w:val="0"/>
                <w:numId w:val="13"/>
              </w:numPr>
              <w:spacing w:line="360" w:lineRule="auto"/>
              <w:jc w:val="both"/>
              <w:rPr>
                <w:rFonts w:ascii="Arial Narrow" w:hAnsi="Arial Narrow" w:cs="Arial"/>
                <w:sz w:val="24"/>
                <w:szCs w:val="24"/>
              </w:rPr>
            </w:pPr>
            <w:r w:rsidRPr="00A74743">
              <w:rPr>
                <w:rFonts w:ascii="Arial Narrow" w:hAnsi="Arial Narrow" w:cs="Arial"/>
                <w:sz w:val="24"/>
                <w:szCs w:val="24"/>
              </w:rPr>
              <w:lastRenderedPageBreak/>
              <w:t>Section 10 states how the supervisory authority is to be structured but nothing in the section refers to the registration of financial institutions.</w:t>
            </w:r>
          </w:p>
          <w:p w:rsidR="006647C4" w:rsidRPr="00A74743" w:rsidRDefault="009C0E21" w:rsidP="006647C4">
            <w:pPr>
              <w:pStyle w:val="ListParagraph"/>
              <w:numPr>
                <w:ilvl w:val="0"/>
                <w:numId w:val="13"/>
              </w:numPr>
              <w:spacing w:line="360" w:lineRule="auto"/>
              <w:jc w:val="both"/>
              <w:rPr>
                <w:rFonts w:ascii="Arial Narrow" w:hAnsi="Arial Narrow" w:cs="Arial"/>
                <w:sz w:val="24"/>
                <w:szCs w:val="24"/>
              </w:rPr>
            </w:pPr>
            <w:r w:rsidRPr="00A74743">
              <w:rPr>
                <w:rFonts w:ascii="Arial Narrow" w:hAnsi="Arial Narrow" w:cs="Arial"/>
                <w:sz w:val="24"/>
                <w:szCs w:val="24"/>
              </w:rPr>
              <w:t xml:space="preserve">Section 25 states that the created authority and the Minister is entitled to impose levies on financial institutions, but again does not refer to the fact that the financial institution must be registered. </w:t>
            </w:r>
          </w:p>
          <w:p w:rsidR="006647C4" w:rsidRPr="00A74743" w:rsidRDefault="009C0E21" w:rsidP="006647C4">
            <w:pPr>
              <w:pStyle w:val="ListParagraph"/>
              <w:numPr>
                <w:ilvl w:val="0"/>
                <w:numId w:val="13"/>
              </w:numPr>
              <w:spacing w:line="360" w:lineRule="auto"/>
              <w:jc w:val="both"/>
              <w:rPr>
                <w:rFonts w:ascii="Arial Narrow" w:hAnsi="Arial Narrow" w:cs="Arial"/>
                <w:sz w:val="24"/>
                <w:szCs w:val="24"/>
              </w:rPr>
            </w:pPr>
            <w:r w:rsidRPr="00A74743">
              <w:rPr>
                <w:rFonts w:ascii="Arial Narrow" w:hAnsi="Arial Narrow" w:cs="Arial"/>
                <w:sz w:val="24"/>
                <w:szCs w:val="24"/>
              </w:rPr>
              <w:t>Similarly the other Acts referred to by the defendant in his trial particulars</w:t>
            </w:r>
            <w:r w:rsidR="00142FF4" w:rsidRPr="00A74743">
              <w:rPr>
                <w:rFonts w:ascii="Arial Narrow" w:hAnsi="Arial Narrow" w:cs="Arial"/>
                <w:sz w:val="24"/>
                <w:szCs w:val="24"/>
              </w:rPr>
              <w:t>,</w:t>
            </w:r>
            <w:r w:rsidRPr="00A74743">
              <w:rPr>
                <w:rFonts w:ascii="Arial Narrow" w:hAnsi="Arial Narrow" w:cs="Arial"/>
                <w:sz w:val="24"/>
                <w:szCs w:val="24"/>
              </w:rPr>
              <w:t xml:space="preserve"> such as the Usury Act</w:t>
            </w:r>
            <w:r w:rsidR="006412F6" w:rsidRPr="00A74743">
              <w:rPr>
                <w:rFonts w:ascii="Arial Narrow" w:hAnsi="Arial Narrow" w:cs="Arial"/>
                <w:sz w:val="24"/>
                <w:szCs w:val="24"/>
              </w:rPr>
              <w:t xml:space="preserve"> </w:t>
            </w:r>
            <w:r w:rsidRPr="00A74743">
              <w:rPr>
                <w:rFonts w:ascii="Arial Narrow" w:hAnsi="Arial Narrow" w:cs="Arial"/>
                <w:sz w:val="24"/>
                <w:szCs w:val="24"/>
              </w:rPr>
              <w:t xml:space="preserve">does not state anywhere that a financial institution must be registered as such. </w:t>
            </w:r>
          </w:p>
          <w:p w:rsidR="009C0E21" w:rsidRDefault="009C0E21" w:rsidP="006647C4">
            <w:pPr>
              <w:pStyle w:val="ListParagraph"/>
              <w:numPr>
                <w:ilvl w:val="0"/>
                <w:numId w:val="13"/>
              </w:numPr>
              <w:spacing w:line="360" w:lineRule="auto"/>
              <w:jc w:val="both"/>
              <w:rPr>
                <w:rFonts w:ascii="Arial Narrow" w:hAnsi="Arial Narrow" w:cs="Arial"/>
                <w:sz w:val="24"/>
                <w:szCs w:val="24"/>
              </w:rPr>
            </w:pPr>
            <w:r w:rsidRPr="00A74743">
              <w:rPr>
                <w:rFonts w:ascii="Arial Narrow" w:hAnsi="Arial Narrow" w:cs="Arial"/>
                <w:sz w:val="24"/>
                <w:szCs w:val="24"/>
              </w:rPr>
              <w:t>Sections 1, 2</w:t>
            </w:r>
            <w:r w:rsidRPr="006647C4">
              <w:rPr>
                <w:rFonts w:ascii="Arial Narrow" w:hAnsi="Arial Narrow" w:cs="Arial"/>
                <w:sz w:val="24"/>
                <w:szCs w:val="24"/>
              </w:rPr>
              <w:t xml:space="preserve">, 4, 6 and 16 of the Financial Intelligence Act on which the defendant also relies does not state that the financial institution must be registered. </w:t>
            </w:r>
          </w:p>
          <w:p w:rsidR="006647C4" w:rsidRPr="006647C4" w:rsidRDefault="006647C4" w:rsidP="006647C4">
            <w:pPr>
              <w:pStyle w:val="ListParagraph"/>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[10]</w:t>
            </w:r>
            <w:r w:rsidRPr="006647C4">
              <w:rPr>
                <w:rFonts w:ascii="Arial Narrow" w:hAnsi="Arial Narrow" w:cs="Arial"/>
                <w:sz w:val="24"/>
                <w:szCs w:val="24"/>
              </w:rPr>
              <w:tab/>
              <w:t xml:space="preserve">Mr Vaatz argued that the defendant is silent in his special plea </w:t>
            </w:r>
            <w:r w:rsidR="00EC1212" w:rsidRPr="006412F6">
              <w:rPr>
                <w:rFonts w:ascii="Arial Narrow" w:hAnsi="Arial Narrow" w:cs="Arial"/>
                <w:sz w:val="24"/>
                <w:szCs w:val="24"/>
              </w:rPr>
              <w:t>and</w:t>
            </w:r>
            <w:r w:rsidRPr="006412F6">
              <w:rPr>
                <w:rFonts w:ascii="Arial Narrow" w:hAnsi="Arial Narrow" w:cs="Arial"/>
                <w:sz w:val="24"/>
                <w:szCs w:val="24"/>
              </w:rPr>
              <w:t xml:space="preserve"> </w:t>
            </w:r>
            <w:r w:rsidRPr="006647C4">
              <w:rPr>
                <w:rFonts w:ascii="Arial Narrow" w:hAnsi="Arial Narrow" w:cs="Arial"/>
                <w:sz w:val="24"/>
                <w:szCs w:val="24"/>
              </w:rPr>
              <w:t xml:space="preserve">his heads of argument regarding the relevant statutory provisions that requires the financial institution to be registered. In addition thereto there is no indication as to how and in what manner such registration, if required, must take place. Mr Vaatz pointed out that there is also no indication of where such a financial institution has to register.  </w:t>
            </w:r>
          </w:p>
          <w:p w:rsidR="006647C4" w:rsidRPr="006647C4" w:rsidRDefault="006647C4"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[11]</w:t>
            </w:r>
            <w:r w:rsidRPr="006647C4">
              <w:rPr>
                <w:rFonts w:ascii="Arial Narrow" w:hAnsi="Arial Narrow" w:cs="Arial"/>
                <w:sz w:val="24"/>
                <w:szCs w:val="24"/>
              </w:rPr>
              <w:tab/>
              <w:t>On the argument by the defendant that the plaintiff is a money lender who conduct money lending transactions</w:t>
            </w:r>
            <w:r w:rsidR="00EC1212">
              <w:rPr>
                <w:rFonts w:ascii="Arial Narrow" w:hAnsi="Arial Narrow" w:cs="Arial"/>
                <w:sz w:val="24"/>
                <w:szCs w:val="24"/>
              </w:rPr>
              <w:t>,</w:t>
            </w:r>
            <w:r w:rsidRPr="006647C4">
              <w:rPr>
                <w:rFonts w:ascii="Arial Narrow" w:hAnsi="Arial Narrow" w:cs="Arial"/>
                <w:sz w:val="24"/>
                <w:szCs w:val="24"/>
              </w:rPr>
              <w:t xml:space="preserve"> Mr Vaatz argued that the plaintiff does not take issue </w:t>
            </w:r>
            <w:r w:rsidR="00A74743">
              <w:rPr>
                <w:rFonts w:ascii="Arial Narrow" w:hAnsi="Arial Narrow" w:cs="Arial"/>
                <w:sz w:val="24"/>
                <w:szCs w:val="24"/>
              </w:rPr>
              <w:t>with</w:t>
            </w:r>
            <w:r w:rsidRPr="006412F6">
              <w:rPr>
                <w:rFonts w:ascii="Arial Narrow" w:hAnsi="Arial Narrow" w:cs="Arial"/>
                <w:sz w:val="24"/>
                <w:szCs w:val="24"/>
              </w:rPr>
              <w:t xml:space="preserve"> </w:t>
            </w:r>
            <w:r w:rsidR="00EC1212" w:rsidRPr="006412F6">
              <w:rPr>
                <w:rFonts w:ascii="Arial Narrow" w:hAnsi="Arial Narrow" w:cs="Arial"/>
                <w:sz w:val="24"/>
                <w:szCs w:val="24"/>
              </w:rPr>
              <w:t xml:space="preserve">that </w:t>
            </w:r>
            <w:r w:rsidRPr="006647C4">
              <w:rPr>
                <w:rFonts w:ascii="Arial Narrow" w:hAnsi="Arial Narrow" w:cs="Arial"/>
                <w:sz w:val="24"/>
                <w:szCs w:val="24"/>
              </w:rPr>
              <w:t xml:space="preserve">argument but again emphasizes that the plaintiff is not required by law to be registered as there is no requirement or procedure provided for the registration of a money lender or a financial institution and on that basis Mr Vaatz argued the defendant’s special plea is without any merit. </w:t>
            </w:r>
          </w:p>
          <w:p w:rsidR="006647C4" w:rsidRPr="006647C4" w:rsidRDefault="006647C4"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[12]</w:t>
            </w:r>
            <w:r w:rsidRPr="006647C4">
              <w:rPr>
                <w:rFonts w:ascii="Arial Narrow" w:hAnsi="Arial Narrow" w:cs="Arial"/>
                <w:sz w:val="24"/>
                <w:szCs w:val="24"/>
              </w:rPr>
              <w:tab/>
              <w:t xml:space="preserve"> Mr Vaatz submitted in conclusion that if one compares the situation of money lenders and financial institutions it is clear that there are many different types of entities in the commercial world, referring to for example: </w:t>
            </w:r>
          </w:p>
          <w:p w:rsidR="006647C4" w:rsidRPr="006647C4" w:rsidRDefault="006647C4" w:rsidP="009C0E21">
            <w:pPr>
              <w:spacing w:line="360" w:lineRule="auto"/>
              <w:jc w:val="both"/>
              <w:rPr>
                <w:rFonts w:ascii="Arial Narrow" w:hAnsi="Arial Narrow" w:cs="Arial"/>
                <w:sz w:val="24"/>
                <w:szCs w:val="24"/>
              </w:rPr>
            </w:pPr>
          </w:p>
          <w:p w:rsidR="009C0E21" w:rsidRPr="006647C4" w:rsidRDefault="009C0E21" w:rsidP="009C0E21">
            <w:pPr>
              <w:pStyle w:val="ListParagraph"/>
              <w:numPr>
                <w:ilvl w:val="0"/>
                <w:numId w:val="10"/>
              </w:numPr>
              <w:spacing w:line="360" w:lineRule="auto"/>
              <w:jc w:val="both"/>
              <w:rPr>
                <w:rFonts w:ascii="Arial Narrow" w:hAnsi="Arial Narrow" w:cs="Arial"/>
                <w:sz w:val="24"/>
                <w:szCs w:val="24"/>
              </w:rPr>
            </w:pPr>
            <w:r w:rsidRPr="006647C4">
              <w:rPr>
                <w:rFonts w:ascii="Arial Narrow" w:hAnsi="Arial Narrow" w:cs="Arial"/>
                <w:sz w:val="24"/>
                <w:szCs w:val="24"/>
              </w:rPr>
              <w:t>Companies with limited liability;</w:t>
            </w:r>
          </w:p>
          <w:p w:rsidR="009C0E21" w:rsidRPr="006647C4" w:rsidRDefault="009C0E21" w:rsidP="009C0E21">
            <w:pPr>
              <w:pStyle w:val="ListParagraph"/>
              <w:numPr>
                <w:ilvl w:val="0"/>
                <w:numId w:val="10"/>
              </w:numPr>
              <w:spacing w:line="360" w:lineRule="auto"/>
              <w:jc w:val="both"/>
              <w:rPr>
                <w:rFonts w:ascii="Arial Narrow" w:hAnsi="Arial Narrow" w:cs="Arial"/>
                <w:sz w:val="24"/>
                <w:szCs w:val="24"/>
              </w:rPr>
            </w:pPr>
            <w:r w:rsidRPr="006647C4">
              <w:rPr>
                <w:rFonts w:ascii="Arial Narrow" w:hAnsi="Arial Narrow" w:cs="Arial"/>
                <w:sz w:val="24"/>
                <w:szCs w:val="24"/>
              </w:rPr>
              <w:t>Close corporations;</w:t>
            </w:r>
          </w:p>
          <w:p w:rsidR="009C0E21" w:rsidRPr="006647C4" w:rsidRDefault="009C0E21" w:rsidP="009C0E21">
            <w:pPr>
              <w:pStyle w:val="ListParagraph"/>
              <w:numPr>
                <w:ilvl w:val="0"/>
                <w:numId w:val="10"/>
              </w:numPr>
              <w:spacing w:line="360" w:lineRule="auto"/>
              <w:jc w:val="both"/>
              <w:rPr>
                <w:rFonts w:ascii="Arial Narrow" w:hAnsi="Arial Narrow" w:cs="Arial"/>
                <w:sz w:val="24"/>
                <w:szCs w:val="24"/>
              </w:rPr>
            </w:pPr>
            <w:r w:rsidRPr="006647C4">
              <w:rPr>
                <w:rFonts w:ascii="Arial Narrow" w:hAnsi="Arial Narrow" w:cs="Arial"/>
                <w:sz w:val="24"/>
                <w:szCs w:val="24"/>
              </w:rPr>
              <w:t xml:space="preserve">Partnerships; </w:t>
            </w:r>
          </w:p>
          <w:p w:rsidR="009C0E21" w:rsidRPr="006647C4" w:rsidRDefault="009C0E21" w:rsidP="009C0E21">
            <w:pPr>
              <w:pStyle w:val="ListParagraph"/>
              <w:numPr>
                <w:ilvl w:val="0"/>
                <w:numId w:val="10"/>
              </w:numPr>
              <w:spacing w:line="360" w:lineRule="auto"/>
              <w:jc w:val="both"/>
              <w:rPr>
                <w:rFonts w:ascii="Arial Narrow" w:hAnsi="Arial Narrow" w:cs="Arial"/>
                <w:sz w:val="24"/>
                <w:szCs w:val="24"/>
              </w:rPr>
            </w:pPr>
            <w:r w:rsidRPr="006647C4">
              <w:rPr>
                <w:rFonts w:ascii="Arial Narrow" w:hAnsi="Arial Narrow" w:cs="Arial"/>
                <w:sz w:val="24"/>
                <w:szCs w:val="24"/>
              </w:rPr>
              <w:t xml:space="preserve">Individuals; and </w:t>
            </w:r>
          </w:p>
          <w:p w:rsidR="009C0E21" w:rsidRDefault="009C0E21" w:rsidP="009C0E21">
            <w:pPr>
              <w:pStyle w:val="ListParagraph"/>
              <w:numPr>
                <w:ilvl w:val="0"/>
                <w:numId w:val="10"/>
              </w:numPr>
              <w:spacing w:line="360" w:lineRule="auto"/>
              <w:jc w:val="both"/>
              <w:rPr>
                <w:rFonts w:ascii="Arial Narrow" w:hAnsi="Arial Narrow" w:cs="Arial"/>
                <w:sz w:val="24"/>
                <w:szCs w:val="24"/>
              </w:rPr>
            </w:pPr>
            <w:r w:rsidRPr="006647C4">
              <w:rPr>
                <w:rFonts w:ascii="Arial Narrow" w:hAnsi="Arial Narrow" w:cs="Arial"/>
                <w:sz w:val="24"/>
                <w:szCs w:val="24"/>
              </w:rPr>
              <w:t>Voluntary associations</w:t>
            </w:r>
          </w:p>
          <w:p w:rsidR="006647C4" w:rsidRPr="006647C4" w:rsidRDefault="006647C4" w:rsidP="006647C4">
            <w:pPr>
              <w:pStyle w:val="ListParagraph"/>
              <w:spacing w:line="360" w:lineRule="auto"/>
              <w:ind w:left="1080"/>
              <w:jc w:val="both"/>
              <w:rPr>
                <w:rFonts w:ascii="Arial Narrow" w:hAnsi="Arial Narrow" w:cs="Arial"/>
                <w:sz w:val="24"/>
                <w:szCs w:val="24"/>
              </w:rPr>
            </w:pPr>
          </w:p>
          <w:p w:rsidR="009C0E21" w:rsidRDefault="006647C4" w:rsidP="009C0E21">
            <w:pPr>
              <w:spacing w:line="360" w:lineRule="auto"/>
              <w:jc w:val="both"/>
              <w:rPr>
                <w:rFonts w:ascii="Arial Narrow" w:hAnsi="Arial Narrow" w:cs="Arial"/>
                <w:sz w:val="24"/>
                <w:szCs w:val="24"/>
              </w:rPr>
            </w:pPr>
            <w:r>
              <w:rPr>
                <w:rFonts w:ascii="Arial Narrow" w:hAnsi="Arial Narrow" w:cs="Arial"/>
                <w:sz w:val="24"/>
                <w:szCs w:val="24"/>
              </w:rPr>
              <w:t xml:space="preserve">[13]       </w:t>
            </w:r>
            <w:r w:rsidR="009C0E21" w:rsidRPr="006647C4">
              <w:rPr>
                <w:rFonts w:ascii="Arial Narrow" w:hAnsi="Arial Narrow" w:cs="Arial"/>
                <w:sz w:val="24"/>
                <w:szCs w:val="24"/>
              </w:rPr>
              <w:t xml:space="preserve">And in respect of some of these entities there is a requirement for registration, for example a company with limited liability must be registered in terms of the Companies Act, but the Companies Act and Regulations clearly </w:t>
            </w:r>
            <w:r w:rsidR="009C0E21" w:rsidRPr="006647C4">
              <w:rPr>
                <w:rFonts w:ascii="Arial Narrow" w:hAnsi="Arial Narrow" w:cs="Arial"/>
                <w:sz w:val="24"/>
                <w:szCs w:val="24"/>
              </w:rPr>
              <w:lastRenderedPageBreak/>
              <w:t xml:space="preserve">prescribes what must be done and what documents must be submitted and what steps must be taken for purposes of registering the company. The same applies to close corporations and </w:t>
            </w:r>
            <w:r w:rsidR="00EC1212" w:rsidRPr="006412F6">
              <w:rPr>
                <w:rFonts w:ascii="Arial Narrow" w:hAnsi="Arial Narrow" w:cs="Arial"/>
                <w:sz w:val="24"/>
                <w:szCs w:val="24"/>
              </w:rPr>
              <w:t>the likes</w:t>
            </w:r>
            <w:r w:rsidR="009C0E21" w:rsidRPr="006412F6">
              <w:rPr>
                <w:rFonts w:ascii="Arial Narrow" w:hAnsi="Arial Narrow" w:cs="Arial"/>
                <w:sz w:val="24"/>
                <w:szCs w:val="24"/>
              </w:rPr>
              <w:t xml:space="preserve">. </w:t>
            </w:r>
          </w:p>
          <w:p w:rsidR="00EC1212" w:rsidRPr="006647C4" w:rsidRDefault="00EC1212" w:rsidP="009C0E21">
            <w:pPr>
              <w:spacing w:line="360" w:lineRule="auto"/>
              <w:jc w:val="both"/>
              <w:rPr>
                <w:rFonts w:ascii="Arial Narrow" w:hAnsi="Arial Narrow" w:cs="Arial"/>
                <w:sz w:val="24"/>
                <w:szCs w:val="24"/>
              </w:rPr>
            </w:pPr>
          </w:p>
          <w:p w:rsidR="009C0E21" w:rsidRPr="006647C4" w:rsidRDefault="006647C4" w:rsidP="009C0E21">
            <w:pPr>
              <w:spacing w:line="360" w:lineRule="auto"/>
              <w:jc w:val="both"/>
              <w:rPr>
                <w:rFonts w:ascii="Arial Narrow" w:hAnsi="Arial Narrow" w:cs="Arial"/>
                <w:sz w:val="24"/>
                <w:szCs w:val="24"/>
              </w:rPr>
            </w:pPr>
            <w:r>
              <w:rPr>
                <w:rFonts w:ascii="Arial Narrow" w:hAnsi="Arial Narrow" w:cs="Arial"/>
                <w:sz w:val="24"/>
                <w:szCs w:val="24"/>
              </w:rPr>
              <w:t>[14</w:t>
            </w:r>
            <w:r w:rsidR="009C0E21" w:rsidRPr="006647C4">
              <w:rPr>
                <w:rFonts w:ascii="Arial Narrow" w:hAnsi="Arial Narrow" w:cs="Arial"/>
                <w:sz w:val="24"/>
                <w:szCs w:val="24"/>
              </w:rPr>
              <w:t>]</w:t>
            </w:r>
            <w:r w:rsidR="009C0E21" w:rsidRPr="006647C4">
              <w:rPr>
                <w:rFonts w:ascii="Arial Narrow" w:hAnsi="Arial Narrow" w:cs="Arial"/>
                <w:sz w:val="24"/>
                <w:szCs w:val="24"/>
              </w:rPr>
              <w:tab/>
              <w:t xml:space="preserve"> Mr Vaatz submitted that financial institutions and money lenders must also comply with all the laws regulating financial matters without there being a specific </w:t>
            </w:r>
            <w:r w:rsidR="009C0E21" w:rsidRPr="006412F6">
              <w:rPr>
                <w:rFonts w:ascii="Arial Narrow" w:hAnsi="Arial Narrow" w:cs="Arial"/>
                <w:sz w:val="24"/>
                <w:szCs w:val="24"/>
              </w:rPr>
              <w:t xml:space="preserve">requirement </w:t>
            </w:r>
            <w:r w:rsidR="00EC1212" w:rsidRPr="006412F6">
              <w:rPr>
                <w:rFonts w:ascii="Arial Narrow" w:hAnsi="Arial Narrow" w:cs="Arial"/>
                <w:sz w:val="24"/>
                <w:szCs w:val="24"/>
              </w:rPr>
              <w:t xml:space="preserve">for </w:t>
            </w:r>
            <w:r w:rsidR="009C0E21" w:rsidRPr="006412F6">
              <w:rPr>
                <w:rFonts w:ascii="Arial Narrow" w:hAnsi="Arial Narrow" w:cs="Arial"/>
                <w:sz w:val="24"/>
                <w:szCs w:val="24"/>
              </w:rPr>
              <w:t xml:space="preserve">each of them </w:t>
            </w:r>
            <w:r w:rsidR="00EC1212" w:rsidRPr="006412F6">
              <w:rPr>
                <w:rFonts w:ascii="Arial Narrow" w:hAnsi="Arial Narrow" w:cs="Arial"/>
                <w:sz w:val="24"/>
                <w:szCs w:val="24"/>
              </w:rPr>
              <w:t xml:space="preserve">to be </w:t>
            </w:r>
            <w:r w:rsidR="009C0E21" w:rsidRPr="006412F6">
              <w:rPr>
                <w:rFonts w:ascii="Arial Narrow" w:hAnsi="Arial Narrow" w:cs="Arial"/>
                <w:sz w:val="24"/>
                <w:szCs w:val="24"/>
              </w:rPr>
              <w:t>registered</w:t>
            </w:r>
            <w:r w:rsidR="009C0E21" w:rsidRPr="006647C4">
              <w:rPr>
                <w:rFonts w:ascii="Arial Narrow" w:hAnsi="Arial Narrow" w:cs="Arial"/>
                <w:sz w:val="24"/>
                <w:szCs w:val="24"/>
              </w:rPr>
              <w:t xml:space="preserve">. </w:t>
            </w:r>
          </w:p>
          <w:p w:rsidR="009C0E21" w:rsidRPr="006647C4" w:rsidRDefault="009C0E21"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sz w:val="24"/>
                <w:szCs w:val="24"/>
                <w:u w:val="single"/>
              </w:rPr>
            </w:pPr>
            <w:r w:rsidRPr="006647C4">
              <w:rPr>
                <w:rFonts w:ascii="Arial Narrow" w:hAnsi="Arial Narrow" w:cs="Arial"/>
                <w:sz w:val="24"/>
                <w:szCs w:val="24"/>
                <w:u w:val="single"/>
              </w:rPr>
              <w:t>The position in law and the application thereof to the facts</w:t>
            </w:r>
          </w:p>
          <w:p w:rsidR="006647C4" w:rsidRPr="006647C4" w:rsidRDefault="006647C4" w:rsidP="009C0E21">
            <w:pPr>
              <w:spacing w:line="360" w:lineRule="auto"/>
              <w:jc w:val="both"/>
              <w:rPr>
                <w:rFonts w:ascii="Arial Narrow" w:hAnsi="Arial Narrow" w:cs="Arial"/>
                <w:sz w:val="24"/>
                <w:szCs w:val="24"/>
                <w:u w:val="single"/>
              </w:rPr>
            </w:pPr>
          </w:p>
          <w:p w:rsidR="009C0E21" w:rsidRDefault="006647C4" w:rsidP="009C0E21">
            <w:pPr>
              <w:spacing w:line="360" w:lineRule="auto"/>
              <w:jc w:val="both"/>
              <w:rPr>
                <w:rFonts w:ascii="Arial Narrow" w:hAnsi="Arial Narrow" w:cs="Arial"/>
                <w:sz w:val="24"/>
                <w:szCs w:val="24"/>
                <w:shd w:val="clear" w:color="auto" w:fill="FFFFFF"/>
              </w:rPr>
            </w:pPr>
            <w:r>
              <w:rPr>
                <w:rFonts w:ascii="Arial Narrow" w:hAnsi="Arial Narrow" w:cs="Arial"/>
                <w:sz w:val="24"/>
                <w:szCs w:val="24"/>
              </w:rPr>
              <w:t>[15</w:t>
            </w:r>
            <w:r w:rsidR="009C0E21" w:rsidRPr="006647C4">
              <w:rPr>
                <w:rFonts w:ascii="Arial Narrow" w:hAnsi="Arial Narrow" w:cs="Arial"/>
                <w:sz w:val="24"/>
                <w:szCs w:val="24"/>
              </w:rPr>
              <w:t>]</w:t>
            </w:r>
            <w:r w:rsidR="009C0E21" w:rsidRPr="006647C4">
              <w:rPr>
                <w:rFonts w:ascii="Arial Narrow" w:hAnsi="Arial Narrow" w:cs="Arial"/>
                <w:sz w:val="24"/>
                <w:szCs w:val="24"/>
              </w:rPr>
              <w:tab/>
            </w:r>
            <w:r w:rsidR="009C0E21" w:rsidRPr="006647C4">
              <w:rPr>
                <w:rFonts w:ascii="Arial Narrow" w:hAnsi="Arial Narrow" w:cs="Arial"/>
                <w:i/>
                <w:sz w:val="24"/>
                <w:szCs w:val="24"/>
                <w:shd w:val="clear" w:color="auto" w:fill="FFFFFF"/>
              </w:rPr>
              <w:t>Locus standi in</w:t>
            </w:r>
            <w:r w:rsidR="00EC1212">
              <w:rPr>
                <w:rFonts w:ascii="Arial Narrow" w:hAnsi="Arial Narrow" w:cs="Arial"/>
                <w:i/>
                <w:sz w:val="24"/>
                <w:szCs w:val="24"/>
                <w:shd w:val="clear" w:color="auto" w:fill="FFFFFF"/>
              </w:rPr>
              <w:t xml:space="preserve"> j</w:t>
            </w:r>
            <w:r w:rsidR="009C0E21" w:rsidRPr="006647C4">
              <w:rPr>
                <w:rFonts w:ascii="Arial Narrow" w:hAnsi="Arial Narrow" w:cs="Arial"/>
                <w:i/>
                <w:sz w:val="24"/>
                <w:szCs w:val="24"/>
                <w:shd w:val="clear" w:color="auto" w:fill="FFFFFF"/>
              </w:rPr>
              <w:t>udicio</w:t>
            </w:r>
            <w:r w:rsidR="00EC1212">
              <w:rPr>
                <w:rFonts w:ascii="Arial Narrow" w:hAnsi="Arial Narrow" w:cs="Arial"/>
                <w:sz w:val="24"/>
                <w:szCs w:val="24"/>
                <w:shd w:val="clear" w:color="auto" w:fill="FFFFFF"/>
              </w:rPr>
              <w:t xml:space="preserve"> concerns ‘</w:t>
            </w:r>
            <w:r w:rsidR="009C0E21" w:rsidRPr="006647C4">
              <w:rPr>
                <w:rFonts w:ascii="Arial Narrow" w:hAnsi="Arial Narrow" w:cs="Arial"/>
                <w:sz w:val="24"/>
                <w:szCs w:val="24"/>
                <w:shd w:val="clear" w:color="auto" w:fill="FFFFFF"/>
              </w:rPr>
              <w:t xml:space="preserve">the sufficiency and directness of a litigant’s interest in proceedings which warrants his or her title </w:t>
            </w:r>
            <w:r w:rsidR="00EC1212">
              <w:rPr>
                <w:rFonts w:ascii="Arial Narrow" w:hAnsi="Arial Narrow" w:cs="Arial"/>
                <w:sz w:val="24"/>
                <w:szCs w:val="24"/>
                <w:shd w:val="clear" w:color="auto" w:fill="FFFFFF"/>
              </w:rPr>
              <w:t>to prosecute the claim asserted’</w:t>
            </w:r>
            <w:r w:rsidR="009C0E21" w:rsidRPr="006647C4">
              <w:rPr>
                <w:rFonts w:ascii="Arial Narrow" w:hAnsi="Arial Narrow" w:cs="Arial"/>
                <w:sz w:val="24"/>
                <w:szCs w:val="24"/>
                <w:shd w:val="clear" w:color="auto" w:fill="FFFFFF"/>
              </w:rPr>
              <w:t>, and should be one of the first things to establish in a litigation matter.</w:t>
            </w:r>
          </w:p>
          <w:p w:rsidR="006647C4" w:rsidRPr="006647C4" w:rsidRDefault="006647C4" w:rsidP="009C0E21">
            <w:pPr>
              <w:spacing w:line="360" w:lineRule="auto"/>
              <w:jc w:val="both"/>
              <w:rPr>
                <w:rFonts w:ascii="Arial Narrow" w:hAnsi="Arial Narrow" w:cs="Arial"/>
                <w:sz w:val="24"/>
                <w:szCs w:val="24"/>
              </w:rPr>
            </w:pPr>
          </w:p>
          <w:p w:rsidR="009C0E21" w:rsidRDefault="006647C4" w:rsidP="009C0E21">
            <w:pPr>
              <w:spacing w:line="360" w:lineRule="auto"/>
              <w:jc w:val="both"/>
              <w:rPr>
                <w:rFonts w:ascii="Arial Narrow" w:hAnsi="Arial Narrow" w:cs="Arial"/>
                <w:sz w:val="24"/>
                <w:szCs w:val="24"/>
              </w:rPr>
            </w:pPr>
            <w:r>
              <w:rPr>
                <w:rFonts w:ascii="Arial Narrow" w:hAnsi="Arial Narrow" w:cs="Arial"/>
                <w:sz w:val="24"/>
                <w:szCs w:val="24"/>
              </w:rPr>
              <w:t>[16</w:t>
            </w:r>
            <w:r w:rsidR="009C0E21" w:rsidRPr="006647C4">
              <w:rPr>
                <w:rFonts w:ascii="Arial Narrow" w:hAnsi="Arial Narrow" w:cs="Arial"/>
                <w:sz w:val="24"/>
                <w:szCs w:val="24"/>
              </w:rPr>
              <w:t xml:space="preserve">] </w:t>
            </w:r>
            <w:r w:rsidR="009C0E21" w:rsidRPr="006647C4">
              <w:rPr>
                <w:rFonts w:ascii="Arial Narrow" w:hAnsi="Arial Narrow" w:cs="Arial"/>
                <w:sz w:val="24"/>
                <w:szCs w:val="24"/>
              </w:rPr>
              <w:tab/>
              <w:t>Namibia’s current law on standing is very restrictive</w:t>
            </w:r>
            <w:r w:rsidR="006412F6">
              <w:rPr>
                <w:rFonts w:ascii="Arial Narrow" w:hAnsi="Arial Narrow" w:cs="Arial"/>
                <w:sz w:val="24"/>
                <w:szCs w:val="24"/>
              </w:rPr>
              <w:t xml:space="preserve">. </w:t>
            </w:r>
            <w:r w:rsidR="00EC1212" w:rsidRPr="006412F6">
              <w:rPr>
                <w:rFonts w:ascii="Arial Narrow" w:hAnsi="Arial Narrow" w:cs="Arial"/>
                <w:sz w:val="24"/>
                <w:szCs w:val="24"/>
              </w:rPr>
              <w:t>I</w:t>
            </w:r>
            <w:r w:rsidR="009C0E21" w:rsidRPr="006412F6">
              <w:rPr>
                <w:rFonts w:ascii="Arial Narrow" w:hAnsi="Arial Narrow" w:cs="Arial"/>
                <w:sz w:val="24"/>
                <w:szCs w:val="24"/>
              </w:rPr>
              <w:t>t</w:t>
            </w:r>
            <w:r w:rsidR="009C0E21" w:rsidRPr="006647C4">
              <w:rPr>
                <w:rFonts w:ascii="Arial Narrow" w:hAnsi="Arial Narrow" w:cs="Arial"/>
                <w:sz w:val="24"/>
                <w:szCs w:val="24"/>
              </w:rPr>
              <w:t xml:space="preserve"> requires the applicant to demonstrate a direct and substantial interest in the subject matter and outcome of the application. This interest must be current and actual, as opposed to being abstract, academic, hypothetical or simply too remote</w:t>
            </w:r>
            <w:r w:rsidR="009C0E21" w:rsidRPr="006647C4">
              <w:rPr>
                <w:rStyle w:val="FootnoteReference"/>
                <w:rFonts w:ascii="Arial Narrow" w:hAnsi="Arial Narrow" w:cs="Arial"/>
                <w:sz w:val="24"/>
                <w:szCs w:val="24"/>
              </w:rPr>
              <w:footnoteReference w:id="9"/>
            </w:r>
            <w:r w:rsidR="009C0E21" w:rsidRPr="006647C4">
              <w:rPr>
                <w:rFonts w:ascii="Arial Narrow" w:hAnsi="Arial Narrow" w:cs="Arial"/>
                <w:sz w:val="24"/>
                <w:szCs w:val="24"/>
              </w:rPr>
              <w:t>.</w:t>
            </w:r>
          </w:p>
          <w:p w:rsidR="006647C4" w:rsidRPr="006647C4" w:rsidRDefault="006647C4" w:rsidP="009C0E21">
            <w:pPr>
              <w:spacing w:line="360" w:lineRule="auto"/>
              <w:jc w:val="both"/>
              <w:rPr>
                <w:rFonts w:ascii="Arial Narrow" w:hAnsi="Arial Narrow" w:cs="Arial"/>
                <w:sz w:val="24"/>
                <w:szCs w:val="24"/>
              </w:rPr>
            </w:pPr>
          </w:p>
          <w:p w:rsidR="009C0E21" w:rsidRDefault="006647C4" w:rsidP="009C0E21">
            <w:pPr>
              <w:spacing w:line="360" w:lineRule="auto"/>
              <w:jc w:val="both"/>
              <w:rPr>
                <w:rFonts w:ascii="Arial Narrow" w:hAnsi="Arial Narrow" w:cs="Arial"/>
                <w:sz w:val="24"/>
                <w:szCs w:val="24"/>
              </w:rPr>
            </w:pPr>
            <w:r>
              <w:rPr>
                <w:rFonts w:ascii="Arial Narrow" w:hAnsi="Arial Narrow" w:cs="Arial"/>
                <w:sz w:val="24"/>
                <w:szCs w:val="24"/>
              </w:rPr>
              <w:t>[17</w:t>
            </w:r>
            <w:r w:rsidR="009C0E21" w:rsidRPr="006647C4">
              <w:rPr>
                <w:rFonts w:ascii="Arial Narrow" w:hAnsi="Arial Narrow" w:cs="Arial"/>
                <w:sz w:val="24"/>
                <w:szCs w:val="24"/>
              </w:rPr>
              <w:t xml:space="preserve">] </w:t>
            </w:r>
            <w:r w:rsidR="009C0E21" w:rsidRPr="006647C4">
              <w:rPr>
                <w:rFonts w:ascii="Arial Narrow" w:hAnsi="Arial Narrow" w:cs="Arial"/>
                <w:sz w:val="24"/>
                <w:szCs w:val="24"/>
              </w:rPr>
              <w:tab/>
              <w:t>The general rule is that it is for the party</w:t>
            </w:r>
            <w:r w:rsidR="009C0E21" w:rsidRPr="006412F6">
              <w:rPr>
                <w:rFonts w:ascii="Arial Narrow" w:hAnsi="Arial Narrow" w:cs="Arial"/>
                <w:sz w:val="24"/>
                <w:szCs w:val="24"/>
              </w:rPr>
              <w:t xml:space="preserve"> </w:t>
            </w:r>
            <w:r w:rsidR="00EC1212" w:rsidRPr="006412F6">
              <w:rPr>
                <w:rFonts w:ascii="Arial Narrow" w:hAnsi="Arial Narrow" w:cs="Arial"/>
                <w:sz w:val="24"/>
                <w:szCs w:val="24"/>
              </w:rPr>
              <w:t>instituting</w:t>
            </w:r>
            <w:r w:rsidR="009C0E21" w:rsidRPr="006412F6">
              <w:rPr>
                <w:rFonts w:ascii="Arial Narrow" w:hAnsi="Arial Narrow" w:cs="Arial"/>
                <w:sz w:val="24"/>
                <w:szCs w:val="24"/>
              </w:rPr>
              <w:t xml:space="preserve"> </w:t>
            </w:r>
            <w:r w:rsidR="009C0E21" w:rsidRPr="006647C4">
              <w:rPr>
                <w:rFonts w:ascii="Arial Narrow" w:hAnsi="Arial Narrow" w:cs="Arial"/>
                <w:sz w:val="24"/>
                <w:szCs w:val="24"/>
              </w:rPr>
              <w:t>proceedings to allege and prove its locus standi and the onus of establishing</w:t>
            </w:r>
            <w:r w:rsidR="00EC1212">
              <w:rPr>
                <w:rFonts w:ascii="Arial Narrow" w:hAnsi="Arial Narrow" w:cs="Arial"/>
                <w:sz w:val="24"/>
                <w:szCs w:val="24"/>
              </w:rPr>
              <w:t xml:space="preserve"> </w:t>
            </w:r>
            <w:r w:rsidR="00EC1212" w:rsidRPr="006412F6">
              <w:rPr>
                <w:rFonts w:ascii="Arial Narrow" w:hAnsi="Arial Narrow" w:cs="Arial"/>
                <w:sz w:val="24"/>
                <w:szCs w:val="24"/>
              </w:rPr>
              <w:t>that</w:t>
            </w:r>
            <w:r w:rsidR="009C0E21" w:rsidRPr="006412F6">
              <w:rPr>
                <w:rFonts w:ascii="Arial Narrow" w:hAnsi="Arial Narrow" w:cs="Arial"/>
                <w:sz w:val="24"/>
                <w:szCs w:val="24"/>
              </w:rPr>
              <w:t xml:space="preserve"> rest</w:t>
            </w:r>
            <w:r w:rsidR="00EC1212" w:rsidRPr="006412F6">
              <w:rPr>
                <w:rFonts w:ascii="Arial Narrow" w:hAnsi="Arial Narrow" w:cs="Arial"/>
                <w:sz w:val="24"/>
                <w:szCs w:val="24"/>
              </w:rPr>
              <w:t>s</w:t>
            </w:r>
            <w:r w:rsidR="009C0E21" w:rsidRPr="006412F6">
              <w:rPr>
                <w:rFonts w:ascii="Arial Narrow" w:hAnsi="Arial Narrow" w:cs="Arial"/>
                <w:sz w:val="24"/>
                <w:szCs w:val="24"/>
              </w:rPr>
              <w:t xml:space="preserve"> </w:t>
            </w:r>
            <w:r w:rsidR="009C0E21" w:rsidRPr="006647C4">
              <w:rPr>
                <w:rFonts w:ascii="Arial Narrow" w:hAnsi="Arial Narrow" w:cs="Arial"/>
                <w:sz w:val="24"/>
                <w:szCs w:val="24"/>
              </w:rPr>
              <w:t xml:space="preserve">on that party. </w:t>
            </w:r>
          </w:p>
          <w:p w:rsidR="006647C4" w:rsidRPr="006647C4" w:rsidRDefault="006647C4" w:rsidP="009C0E21">
            <w:pPr>
              <w:spacing w:line="360" w:lineRule="auto"/>
              <w:jc w:val="both"/>
              <w:rPr>
                <w:rFonts w:ascii="Arial Narrow" w:hAnsi="Arial Narrow" w:cs="Arial"/>
                <w:sz w:val="24"/>
                <w:szCs w:val="24"/>
              </w:rPr>
            </w:pPr>
          </w:p>
          <w:p w:rsidR="009C0E21" w:rsidRDefault="009C0E21" w:rsidP="009C0E21">
            <w:pPr>
              <w:spacing w:line="360" w:lineRule="auto"/>
              <w:jc w:val="both"/>
              <w:rPr>
                <w:rFonts w:ascii="Arial Narrow" w:hAnsi="Arial Narrow" w:cs="Arial"/>
                <w:i/>
                <w:sz w:val="24"/>
                <w:szCs w:val="24"/>
              </w:rPr>
            </w:pPr>
            <w:r w:rsidRPr="006647C4">
              <w:rPr>
                <w:rFonts w:ascii="Arial Narrow" w:hAnsi="Arial Narrow" w:cs="Arial"/>
                <w:i/>
                <w:sz w:val="24"/>
                <w:szCs w:val="24"/>
              </w:rPr>
              <w:t>Does the plaintiff have locus standi</w:t>
            </w:r>
          </w:p>
          <w:p w:rsidR="006647C4" w:rsidRPr="006647C4" w:rsidRDefault="006647C4" w:rsidP="009C0E21">
            <w:pPr>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18</w:t>
            </w:r>
            <w:r w:rsidRPr="006647C4">
              <w:rPr>
                <w:rFonts w:ascii="Arial Narrow" w:hAnsi="Arial Narrow" w:cs="Arial"/>
                <w:sz w:val="24"/>
                <w:szCs w:val="24"/>
              </w:rPr>
              <w:t>]</w:t>
            </w:r>
            <w:r w:rsidRPr="006647C4">
              <w:rPr>
                <w:rFonts w:ascii="Arial Narrow" w:hAnsi="Arial Narrow" w:cs="Arial"/>
                <w:sz w:val="24"/>
                <w:szCs w:val="24"/>
              </w:rPr>
              <w:tab/>
              <w:t>In essence it is common cause that a written loan agreement was entered into between the parties and that money was paid out to the defendant. It is the case of the defendant that the plaintiff did not have authorisation to enter into the loan agreement and/or render financial services in terms of the Act, read with the various other statutory provisions referred to, and as a result thereof the plaintiff has no locus standi to institute the claim before court.</w:t>
            </w:r>
          </w:p>
          <w:p w:rsidR="00094B6B" w:rsidRPr="006647C4" w:rsidRDefault="00094B6B"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19</w:t>
            </w:r>
            <w:r w:rsidRPr="006647C4">
              <w:rPr>
                <w:rFonts w:ascii="Arial Narrow" w:hAnsi="Arial Narrow" w:cs="Arial"/>
                <w:sz w:val="24"/>
                <w:szCs w:val="24"/>
              </w:rPr>
              <w:t>]</w:t>
            </w:r>
            <w:r w:rsidRPr="006647C4">
              <w:rPr>
                <w:rFonts w:ascii="Arial Narrow" w:hAnsi="Arial Narrow" w:cs="Arial"/>
                <w:sz w:val="24"/>
                <w:szCs w:val="24"/>
              </w:rPr>
              <w:tab/>
              <w:t xml:space="preserve">The defendant maintains that because the plaintiff is not registered as a financial institution it may not render financial services </w:t>
            </w:r>
            <w:r w:rsidRPr="006412F6">
              <w:rPr>
                <w:rFonts w:ascii="Arial Narrow" w:hAnsi="Arial Narrow" w:cs="Arial"/>
                <w:sz w:val="24"/>
                <w:szCs w:val="24"/>
              </w:rPr>
              <w:t>as</w:t>
            </w:r>
            <w:r w:rsidR="00EC1212" w:rsidRPr="006412F6">
              <w:rPr>
                <w:rFonts w:ascii="Arial Narrow" w:hAnsi="Arial Narrow" w:cs="Arial"/>
                <w:sz w:val="24"/>
                <w:szCs w:val="24"/>
              </w:rPr>
              <w:t xml:space="preserve"> the</w:t>
            </w:r>
            <w:r w:rsidRPr="006412F6">
              <w:rPr>
                <w:rFonts w:ascii="Arial Narrow" w:hAnsi="Arial Narrow" w:cs="Arial"/>
                <w:sz w:val="24"/>
                <w:szCs w:val="24"/>
              </w:rPr>
              <w:t xml:space="preserve"> conduct of the plaintiff is contrary </w:t>
            </w:r>
            <w:r w:rsidR="00EC1212" w:rsidRPr="006412F6">
              <w:rPr>
                <w:rFonts w:ascii="Arial Narrow" w:hAnsi="Arial Narrow" w:cs="Arial"/>
                <w:sz w:val="24"/>
                <w:szCs w:val="24"/>
              </w:rPr>
              <w:t xml:space="preserve">to </w:t>
            </w:r>
            <w:r w:rsidRPr="006647C4">
              <w:rPr>
                <w:rFonts w:ascii="Arial Narrow" w:hAnsi="Arial Narrow" w:cs="Arial"/>
                <w:sz w:val="24"/>
                <w:szCs w:val="24"/>
              </w:rPr>
              <w:t>the provisions of the statutory frame work that is in place and thus in effect unlawful. Mr Naude argued that that if one have regard to the relevant legislation it is clear that there is a clear regulatory framework within which an</w:t>
            </w:r>
            <w:r w:rsidR="00EC1212">
              <w:rPr>
                <w:rFonts w:ascii="Arial Narrow" w:hAnsi="Arial Narrow" w:cs="Arial"/>
                <w:sz w:val="24"/>
                <w:szCs w:val="24"/>
              </w:rPr>
              <w:t>y of the bodies as defined in s</w:t>
            </w:r>
            <w:r w:rsidRPr="006647C4">
              <w:rPr>
                <w:rFonts w:ascii="Arial Narrow" w:hAnsi="Arial Narrow" w:cs="Arial"/>
                <w:sz w:val="24"/>
                <w:szCs w:val="24"/>
              </w:rPr>
              <w:t xml:space="preserve"> 1 of the Act had to operate and that </w:t>
            </w:r>
            <w:r w:rsidRPr="006412F6">
              <w:rPr>
                <w:rFonts w:ascii="Arial Narrow" w:hAnsi="Arial Narrow" w:cs="Arial"/>
                <w:sz w:val="24"/>
                <w:szCs w:val="24"/>
              </w:rPr>
              <w:lastRenderedPageBreak/>
              <w:t xml:space="preserve">plaintiff </w:t>
            </w:r>
            <w:r w:rsidR="00EC1212" w:rsidRPr="006412F6">
              <w:rPr>
                <w:rFonts w:ascii="Arial Narrow" w:hAnsi="Arial Narrow" w:cs="Arial"/>
                <w:sz w:val="24"/>
                <w:szCs w:val="24"/>
              </w:rPr>
              <w:t xml:space="preserve">has </w:t>
            </w:r>
            <w:r w:rsidRPr="006412F6">
              <w:rPr>
                <w:rFonts w:ascii="Arial Narrow" w:hAnsi="Arial Narrow" w:cs="Arial"/>
                <w:sz w:val="24"/>
                <w:szCs w:val="24"/>
              </w:rPr>
              <w:t xml:space="preserve">not </w:t>
            </w:r>
            <w:r w:rsidR="00EC1212" w:rsidRPr="006412F6">
              <w:rPr>
                <w:rFonts w:ascii="Arial Narrow" w:hAnsi="Arial Narrow" w:cs="Arial"/>
                <w:sz w:val="24"/>
                <w:szCs w:val="24"/>
              </w:rPr>
              <w:t>applied to be exempted from the operation of such Act</w:t>
            </w:r>
            <w:r w:rsidRPr="006647C4">
              <w:rPr>
                <w:rFonts w:ascii="Arial Narrow" w:hAnsi="Arial Narrow" w:cs="Arial"/>
                <w:sz w:val="24"/>
                <w:szCs w:val="24"/>
              </w:rPr>
              <w:t>. However, in the same breath Mr Naude concede that he could not find any section in the Act that provided that the plaintiff must be registered but argued that in light of the regulatory framework it is implied that the plaintiff must be registered as a financial institution in order to conduct financial transactions.</w:t>
            </w: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20</w:t>
            </w:r>
            <w:r w:rsidRPr="006647C4">
              <w:rPr>
                <w:rFonts w:ascii="Arial Narrow" w:hAnsi="Arial Narrow" w:cs="Arial"/>
                <w:sz w:val="24"/>
                <w:szCs w:val="24"/>
              </w:rPr>
              <w:t>]</w:t>
            </w:r>
            <w:r w:rsidRPr="006647C4">
              <w:rPr>
                <w:rFonts w:ascii="Arial Narrow" w:hAnsi="Arial Narrow" w:cs="Arial"/>
                <w:sz w:val="24"/>
                <w:szCs w:val="24"/>
              </w:rPr>
              <w:tab/>
              <w:t xml:space="preserve"> This cannot be a sound argument. If the court consider</w:t>
            </w:r>
            <w:r w:rsidR="00EC1212" w:rsidRPr="006412F6">
              <w:rPr>
                <w:rFonts w:ascii="Arial Narrow" w:hAnsi="Arial Narrow" w:cs="Arial"/>
                <w:sz w:val="24"/>
                <w:szCs w:val="24"/>
              </w:rPr>
              <w:t>s</w:t>
            </w:r>
            <w:r w:rsidRPr="006647C4">
              <w:rPr>
                <w:rFonts w:ascii="Arial Narrow" w:hAnsi="Arial Narrow" w:cs="Arial"/>
                <w:sz w:val="24"/>
                <w:szCs w:val="24"/>
              </w:rPr>
              <w:t xml:space="preserve"> the sections of the different Acts that the defendant referred to</w:t>
            </w:r>
            <w:r w:rsidR="00EC1212">
              <w:rPr>
                <w:rFonts w:ascii="Arial Narrow" w:hAnsi="Arial Narrow" w:cs="Arial"/>
                <w:sz w:val="24"/>
                <w:szCs w:val="24"/>
              </w:rPr>
              <w:t>,</w:t>
            </w:r>
            <w:r w:rsidRPr="006647C4">
              <w:rPr>
                <w:rFonts w:ascii="Arial Narrow" w:hAnsi="Arial Narrow" w:cs="Arial"/>
                <w:sz w:val="24"/>
                <w:szCs w:val="24"/>
              </w:rPr>
              <w:t xml:space="preserve"> the inference that Mr Naude sought to draw from it is not possible. </w:t>
            </w:r>
            <w:r w:rsidR="00094B6B" w:rsidRPr="006647C4">
              <w:rPr>
                <w:rFonts w:ascii="Arial Narrow" w:hAnsi="Arial Narrow" w:cs="Arial"/>
                <w:sz w:val="24"/>
                <w:szCs w:val="24"/>
              </w:rPr>
              <w:t xml:space="preserve">The legislature is very clear </w:t>
            </w:r>
            <w:r w:rsidR="006D56F0" w:rsidRPr="006647C4">
              <w:rPr>
                <w:rFonts w:ascii="Arial Narrow" w:hAnsi="Arial Narrow" w:cs="Arial"/>
                <w:sz w:val="24"/>
                <w:szCs w:val="24"/>
              </w:rPr>
              <w:t xml:space="preserve">to specify the different </w:t>
            </w:r>
            <w:r w:rsidR="006D56F0" w:rsidRPr="00A74743">
              <w:rPr>
                <w:rFonts w:ascii="Arial Narrow" w:hAnsi="Arial Narrow" w:cs="Arial"/>
                <w:sz w:val="24"/>
                <w:szCs w:val="24"/>
              </w:rPr>
              <w:t>type</w:t>
            </w:r>
            <w:r w:rsidR="00EC1212" w:rsidRPr="00A74743">
              <w:rPr>
                <w:rFonts w:ascii="Arial Narrow" w:hAnsi="Arial Narrow" w:cs="Arial"/>
                <w:sz w:val="24"/>
                <w:szCs w:val="24"/>
              </w:rPr>
              <w:t>s</w:t>
            </w:r>
            <w:r w:rsidR="006D56F0" w:rsidRPr="00A74743">
              <w:rPr>
                <w:rFonts w:ascii="Arial Narrow" w:hAnsi="Arial Narrow" w:cs="Arial"/>
                <w:sz w:val="24"/>
                <w:szCs w:val="24"/>
              </w:rPr>
              <w:t xml:space="preserve"> of financial </w:t>
            </w:r>
            <w:r w:rsidR="006D56F0" w:rsidRPr="006647C4">
              <w:rPr>
                <w:rFonts w:ascii="Arial Narrow" w:hAnsi="Arial Narrow" w:cs="Arial"/>
                <w:sz w:val="24"/>
                <w:szCs w:val="24"/>
              </w:rPr>
              <w:t xml:space="preserve">institutions (s 1 (a) to (l)) and in terms of the relevant legislation </w:t>
            </w:r>
            <w:r w:rsidR="00EC1212" w:rsidRPr="006647C4">
              <w:rPr>
                <w:rFonts w:ascii="Arial Narrow" w:hAnsi="Arial Narrow" w:cs="Arial"/>
                <w:sz w:val="24"/>
                <w:szCs w:val="24"/>
              </w:rPr>
              <w:t>the processes</w:t>
            </w:r>
            <w:r w:rsidR="006D56F0" w:rsidRPr="006647C4">
              <w:rPr>
                <w:rFonts w:ascii="Arial Narrow" w:hAnsi="Arial Narrow" w:cs="Arial"/>
                <w:sz w:val="24"/>
                <w:szCs w:val="24"/>
              </w:rPr>
              <w:t xml:space="preserve"> are set out to register these institutions. There is no guess work </w:t>
            </w:r>
            <w:r w:rsidR="006D56F0" w:rsidRPr="00A74743">
              <w:rPr>
                <w:rFonts w:ascii="Arial Narrow" w:hAnsi="Arial Narrow" w:cs="Arial"/>
                <w:sz w:val="24"/>
                <w:szCs w:val="24"/>
              </w:rPr>
              <w:t>involved of how to register such a financial institution. The exceptions appear to be a financial instituti</w:t>
            </w:r>
            <w:r w:rsidR="00EC1212" w:rsidRPr="00A74743">
              <w:rPr>
                <w:rFonts w:ascii="Arial Narrow" w:hAnsi="Arial Narrow" w:cs="Arial"/>
                <w:sz w:val="24"/>
                <w:szCs w:val="24"/>
              </w:rPr>
              <w:t>on in terms of the Usury Act (s</w:t>
            </w:r>
            <w:r w:rsidR="006D56F0" w:rsidRPr="00A74743">
              <w:rPr>
                <w:rFonts w:ascii="Arial Narrow" w:hAnsi="Arial Narrow" w:cs="Arial"/>
                <w:sz w:val="24"/>
                <w:szCs w:val="24"/>
              </w:rPr>
              <w:t xml:space="preserve"> 1(d)</w:t>
            </w:r>
            <w:r w:rsidR="00612016" w:rsidRPr="00A74743">
              <w:rPr>
                <w:rFonts w:ascii="Arial Narrow" w:hAnsi="Arial Narrow" w:cs="Arial"/>
                <w:sz w:val="24"/>
                <w:szCs w:val="24"/>
              </w:rPr>
              <w:t>)</w:t>
            </w:r>
            <w:r w:rsidR="006D56F0" w:rsidRPr="00A74743">
              <w:rPr>
                <w:rFonts w:ascii="Arial Narrow" w:hAnsi="Arial Narrow" w:cs="Arial"/>
                <w:sz w:val="24"/>
                <w:szCs w:val="24"/>
              </w:rPr>
              <w:t xml:space="preserve">, which </w:t>
            </w:r>
            <w:r w:rsidR="006D56F0" w:rsidRPr="006647C4">
              <w:rPr>
                <w:rFonts w:ascii="Arial Narrow" w:hAnsi="Arial Narrow" w:cs="Arial"/>
                <w:sz w:val="24"/>
                <w:szCs w:val="24"/>
              </w:rPr>
              <w:t>does not require registration</w:t>
            </w:r>
            <w:r w:rsidR="00612016">
              <w:rPr>
                <w:rFonts w:ascii="Arial Narrow" w:hAnsi="Arial Narrow" w:cs="Arial"/>
                <w:sz w:val="24"/>
                <w:szCs w:val="24"/>
              </w:rPr>
              <w:t>,</w:t>
            </w:r>
            <w:r w:rsidR="006D56F0" w:rsidRPr="006647C4">
              <w:rPr>
                <w:rFonts w:ascii="Arial Narrow" w:hAnsi="Arial Narrow" w:cs="Arial"/>
                <w:sz w:val="24"/>
                <w:szCs w:val="24"/>
              </w:rPr>
              <w:t xml:space="preserve"> and those which falls within the ambit of s 1(n), ie unregistered financial institutions. </w:t>
            </w:r>
          </w:p>
          <w:p w:rsidR="00094B6B" w:rsidRPr="006647C4" w:rsidRDefault="00094B6B"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21</w:t>
            </w:r>
            <w:r w:rsidRPr="006647C4">
              <w:rPr>
                <w:rFonts w:ascii="Arial Narrow" w:hAnsi="Arial Narrow" w:cs="Arial"/>
                <w:sz w:val="24"/>
                <w:szCs w:val="24"/>
              </w:rPr>
              <w:t>]</w:t>
            </w:r>
            <w:r w:rsidRPr="006647C4">
              <w:rPr>
                <w:rFonts w:ascii="Arial Narrow" w:hAnsi="Arial Narrow" w:cs="Arial"/>
                <w:sz w:val="24"/>
                <w:szCs w:val="24"/>
              </w:rPr>
              <w:tab/>
              <w:t xml:space="preserve"> It is common cause that the plaintiff is a financial institution as per the definition of the Act and also a moneylender as per the definition in the Usury Act. The Act makes specific provisions for those businesses that renders financial services as a regular feature of the said business but is not registered as</w:t>
            </w:r>
            <w:r w:rsidR="00EC1212">
              <w:rPr>
                <w:rFonts w:ascii="Arial Narrow" w:hAnsi="Arial Narrow" w:cs="Arial"/>
                <w:sz w:val="24"/>
                <w:szCs w:val="24"/>
              </w:rPr>
              <w:t xml:space="preserve"> </w:t>
            </w:r>
            <w:r w:rsidR="00EC1212" w:rsidRPr="006412F6">
              <w:rPr>
                <w:rFonts w:ascii="Arial Narrow" w:hAnsi="Arial Narrow" w:cs="Arial"/>
                <w:sz w:val="24"/>
                <w:szCs w:val="24"/>
              </w:rPr>
              <w:t>a</w:t>
            </w:r>
            <w:r w:rsidRPr="006647C4">
              <w:rPr>
                <w:rFonts w:ascii="Arial Narrow" w:hAnsi="Arial Narrow" w:cs="Arial"/>
                <w:sz w:val="24"/>
                <w:szCs w:val="24"/>
              </w:rPr>
              <w:t xml:space="preserve"> financial institution and which does not fall within the specific categories of </w:t>
            </w:r>
            <w:r w:rsidR="006D56F0" w:rsidRPr="006647C4">
              <w:rPr>
                <w:rFonts w:ascii="Arial Narrow" w:hAnsi="Arial Narrow" w:cs="Arial"/>
                <w:sz w:val="24"/>
                <w:szCs w:val="24"/>
              </w:rPr>
              <w:t>financial institutions</w:t>
            </w:r>
            <w:r w:rsidRPr="006647C4">
              <w:rPr>
                <w:rFonts w:ascii="Arial Narrow" w:hAnsi="Arial Narrow" w:cs="Arial"/>
                <w:sz w:val="24"/>
                <w:szCs w:val="24"/>
              </w:rPr>
              <w:t xml:space="preserve"> listed in paragraphs (a) to (l) of s</w:t>
            </w:r>
            <w:r w:rsidR="006412F6">
              <w:rPr>
                <w:rFonts w:ascii="Arial Narrow" w:hAnsi="Arial Narrow" w:cs="Arial"/>
                <w:sz w:val="24"/>
                <w:szCs w:val="24"/>
              </w:rPr>
              <w:t xml:space="preserve"> </w:t>
            </w:r>
            <w:r w:rsidRPr="006647C4">
              <w:rPr>
                <w:rFonts w:ascii="Arial Narrow" w:hAnsi="Arial Narrow" w:cs="Arial"/>
                <w:sz w:val="24"/>
                <w:szCs w:val="24"/>
              </w:rPr>
              <w:t xml:space="preserve">1 of the Act.  </w:t>
            </w: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22</w:t>
            </w:r>
            <w:r w:rsidRPr="006647C4">
              <w:rPr>
                <w:rFonts w:ascii="Arial Narrow" w:hAnsi="Arial Narrow" w:cs="Arial"/>
                <w:sz w:val="24"/>
                <w:szCs w:val="24"/>
              </w:rPr>
              <w:t>]</w:t>
            </w:r>
            <w:r w:rsidRPr="006647C4">
              <w:rPr>
                <w:rFonts w:ascii="Arial Narrow" w:hAnsi="Arial Narrow" w:cs="Arial"/>
                <w:sz w:val="24"/>
                <w:szCs w:val="24"/>
              </w:rPr>
              <w:tab/>
              <w:t xml:space="preserve"> There is no provision for registration of financial institutions</w:t>
            </w:r>
            <w:r w:rsidR="00EC1212">
              <w:rPr>
                <w:rFonts w:ascii="Arial Narrow" w:hAnsi="Arial Narrow" w:cs="Arial"/>
                <w:sz w:val="24"/>
                <w:szCs w:val="24"/>
              </w:rPr>
              <w:t xml:space="preserve"> as referred to in s</w:t>
            </w:r>
            <w:r w:rsidRPr="006647C4">
              <w:rPr>
                <w:rFonts w:ascii="Arial Narrow" w:hAnsi="Arial Narrow" w:cs="Arial"/>
                <w:sz w:val="24"/>
                <w:szCs w:val="24"/>
              </w:rPr>
              <w:t xml:space="preserve"> 1(n) of the Act, nor is there a process in place of how such a</w:t>
            </w:r>
            <w:r w:rsidR="006D56F0" w:rsidRPr="006647C4">
              <w:rPr>
                <w:rFonts w:ascii="Arial Narrow" w:hAnsi="Arial Narrow" w:cs="Arial"/>
                <w:sz w:val="24"/>
                <w:szCs w:val="24"/>
              </w:rPr>
              <w:t>n</w:t>
            </w:r>
            <w:r w:rsidRPr="006647C4">
              <w:rPr>
                <w:rFonts w:ascii="Arial Narrow" w:hAnsi="Arial Narrow" w:cs="Arial"/>
                <w:sz w:val="24"/>
                <w:szCs w:val="24"/>
              </w:rPr>
              <w:t xml:space="preserve"> unregistered financial institution would go about registering in terms of the Act. </w:t>
            </w: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23</w:t>
            </w:r>
            <w:r w:rsidRPr="006647C4">
              <w:rPr>
                <w:rFonts w:ascii="Arial Narrow" w:hAnsi="Arial Narrow" w:cs="Arial"/>
                <w:sz w:val="24"/>
                <w:szCs w:val="24"/>
              </w:rPr>
              <w:t>]</w:t>
            </w:r>
            <w:r w:rsidRPr="006647C4">
              <w:rPr>
                <w:rFonts w:ascii="Arial Narrow" w:hAnsi="Arial Narrow" w:cs="Arial"/>
                <w:sz w:val="24"/>
                <w:szCs w:val="24"/>
              </w:rPr>
              <w:tab/>
              <w:t xml:space="preserve">Even if a financial institution is </w:t>
            </w:r>
            <w:r w:rsidRPr="00A74743">
              <w:rPr>
                <w:rFonts w:ascii="Arial Narrow" w:hAnsi="Arial Narrow" w:cs="Arial"/>
                <w:sz w:val="24"/>
                <w:szCs w:val="24"/>
              </w:rPr>
              <w:t>unregistered it must comply with the relevant legislation. It will remain regulated by the Act, where applicable, and also in terms of the Us</w:t>
            </w:r>
            <w:r w:rsidR="00612016" w:rsidRPr="00A74743">
              <w:rPr>
                <w:rFonts w:ascii="Arial Narrow" w:hAnsi="Arial Narrow" w:cs="Arial"/>
                <w:sz w:val="24"/>
                <w:szCs w:val="24"/>
              </w:rPr>
              <w:t>u</w:t>
            </w:r>
            <w:r w:rsidRPr="00A74743">
              <w:rPr>
                <w:rFonts w:ascii="Arial Narrow" w:hAnsi="Arial Narrow" w:cs="Arial"/>
                <w:sz w:val="24"/>
                <w:szCs w:val="24"/>
              </w:rPr>
              <w:t xml:space="preserve">ry Act, which appears to be the current legislative frame work for money moneylenders who are allowed to operate without being registered </w:t>
            </w:r>
            <w:r w:rsidRPr="006647C4">
              <w:rPr>
                <w:rFonts w:ascii="Arial Narrow" w:hAnsi="Arial Narrow" w:cs="Arial"/>
                <w:sz w:val="24"/>
                <w:szCs w:val="24"/>
              </w:rPr>
              <w:t xml:space="preserve">with Namfisa.  </w:t>
            </w: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t>[</w:t>
            </w:r>
            <w:r w:rsidR="006647C4">
              <w:rPr>
                <w:rFonts w:ascii="Arial Narrow" w:hAnsi="Arial Narrow" w:cs="Arial"/>
                <w:sz w:val="24"/>
                <w:szCs w:val="24"/>
              </w:rPr>
              <w:t>24</w:t>
            </w:r>
            <w:r w:rsidRPr="006647C4">
              <w:rPr>
                <w:rFonts w:ascii="Arial Narrow" w:hAnsi="Arial Narrow" w:cs="Arial"/>
                <w:sz w:val="24"/>
                <w:szCs w:val="24"/>
              </w:rPr>
              <w:t>]</w:t>
            </w:r>
            <w:r w:rsidRPr="006647C4">
              <w:rPr>
                <w:rFonts w:ascii="Arial Narrow" w:hAnsi="Arial Narrow" w:cs="Arial"/>
                <w:sz w:val="24"/>
                <w:szCs w:val="24"/>
              </w:rPr>
              <w:tab/>
              <w:t xml:space="preserve"> Mr Vaatz drew a very apt </w:t>
            </w:r>
            <w:r w:rsidRPr="006412F6">
              <w:rPr>
                <w:rFonts w:ascii="Arial Narrow" w:hAnsi="Arial Narrow" w:cs="Arial"/>
                <w:sz w:val="24"/>
                <w:szCs w:val="24"/>
              </w:rPr>
              <w:t xml:space="preserve">analogy </w:t>
            </w:r>
            <w:r w:rsidR="00EC1212" w:rsidRPr="006412F6">
              <w:rPr>
                <w:rFonts w:ascii="Arial Narrow" w:hAnsi="Arial Narrow" w:cs="Arial"/>
                <w:sz w:val="24"/>
                <w:szCs w:val="24"/>
              </w:rPr>
              <w:t xml:space="preserve">of </w:t>
            </w:r>
            <w:r w:rsidRPr="006412F6">
              <w:rPr>
                <w:rFonts w:ascii="Arial Narrow" w:hAnsi="Arial Narrow" w:cs="Arial"/>
                <w:sz w:val="24"/>
                <w:szCs w:val="24"/>
              </w:rPr>
              <w:t xml:space="preserve">the </w:t>
            </w:r>
            <w:r w:rsidRPr="006647C4">
              <w:rPr>
                <w:rFonts w:ascii="Arial Narrow" w:hAnsi="Arial Narrow" w:cs="Arial"/>
                <w:sz w:val="24"/>
                <w:szCs w:val="24"/>
              </w:rPr>
              <w:t xml:space="preserve">traffic environment wherein a number of entities take part in the traffic </w:t>
            </w:r>
            <w:r w:rsidRPr="00A74743">
              <w:rPr>
                <w:rFonts w:ascii="Arial Narrow" w:hAnsi="Arial Narrow" w:cs="Arial"/>
                <w:sz w:val="24"/>
                <w:szCs w:val="24"/>
              </w:rPr>
              <w:t>and all of them must abide but the traffic laws and regulations but not all of them need to be registered in terms of the relevant legislation. For example a motor vehicle and a motorcycle must be registered but a bicycle</w:t>
            </w:r>
            <w:r w:rsidR="00EC1212" w:rsidRPr="00A74743">
              <w:rPr>
                <w:rFonts w:ascii="Arial Narrow" w:hAnsi="Arial Narrow" w:cs="Arial"/>
                <w:sz w:val="24"/>
                <w:szCs w:val="24"/>
              </w:rPr>
              <w:t xml:space="preserve"> need not be registered</w:t>
            </w:r>
            <w:r w:rsidR="00612016" w:rsidRPr="00A74743">
              <w:rPr>
                <w:rFonts w:ascii="Arial Narrow" w:hAnsi="Arial Narrow" w:cs="Arial"/>
                <w:sz w:val="24"/>
                <w:szCs w:val="24"/>
              </w:rPr>
              <w:t>,</w:t>
            </w:r>
            <w:r w:rsidR="00EC1212" w:rsidRPr="00A74743">
              <w:rPr>
                <w:rFonts w:ascii="Arial Narrow" w:hAnsi="Arial Narrow" w:cs="Arial"/>
                <w:sz w:val="24"/>
                <w:szCs w:val="24"/>
              </w:rPr>
              <w:t xml:space="preserve"> however</w:t>
            </w:r>
            <w:r w:rsidRPr="00A74743">
              <w:rPr>
                <w:rFonts w:ascii="Arial Narrow" w:hAnsi="Arial Narrow" w:cs="Arial"/>
                <w:sz w:val="24"/>
                <w:szCs w:val="24"/>
              </w:rPr>
              <w:t xml:space="preserve"> </w:t>
            </w:r>
            <w:r w:rsidRPr="006647C4">
              <w:rPr>
                <w:rFonts w:ascii="Arial Narrow" w:hAnsi="Arial Narrow" w:cs="Arial"/>
                <w:sz w:val="24"/>
                <w:szCs w:val="24"/>
              </w:rPr>
              <w:t xml:space="preserve">all of them need to adhere to the rules of the road when they wish to take part in the traffic. </w:t>
            </w:r>
          </w:p>
          <w:p w:rsidR="00094B6B" w:rsidRPr="006647C4" w:rsidRDefault="00094B6B" w:rsidP="009C0E21">
            <w:pPr>
              <w:spacing w:line="360" w:lineRule="auto"/>
              <w:jc w:val="both"/>
              <w:rPr>
                <w:rFonts w:ascii="Arial Narrow" w:hAnsi="Arial Narrow" w:cs="Arial"/>
                <w:sz w:val="24"/>
                <w:szCs w:val="24"/>
              </w:rPr>
            </w:pPr>
          </w:p>
          <w:p w:rsidR="009C0E21" w:rsidRPr="006647C4" w:rsidRDefault="009C0E21" w:rsidP="009C0E21">
            <w:pPr>
              <w:spacing w:line="360" w:lineRule="auto"/>
              <w:jc w:val="both"/>
              <w:rPr>
                <w:rFonts w:ascii="Arial Narrow" w:hAnsi="Arial Narrow" w:cs="Arial"/>
                <w:sz w:val="24"/>
                <w:szCs w:val="24"/>
              </w:rPr>
            </w:pPr>
            <w:r w:rsidRPr="006647C4">
              <w:rPr>
                <w:rFonts w:ascii="Arial Narrow" w:hAnsi="Arial Narrow" w:cs="Arial"/>
                <w:sz w:val="24"/>
                <w:szCs w:val="24"/>
              </w:rPr>
              <w:lastRenderedPageBreak/>
              <w:t>[</w:t>
            </w:r>
            <w:r w:rsidR="006647C4">
              <w:rPr>
                <w:rFonts w:ascii="Arial Narrow" w:hAnsi="Arial Narrow" w:cs="Arial"/>
                <w:sz w:val="24"/>
                <w:szCs w:val="24"/>
              </w:rPr>
              <w:t>25</w:t>
            </w:r>
            <w:r w:rsidRPr="006647C4">
              <w:rPr>
                <w:rFonts w:ascii="Arial Narrow" w:hAnsi="Arial Narrow" w:cs="Arial"/>
                <w:sz w:val="24"/>
                <w:szCs w:val="24"/>
              </w:rPr>
              <w:t>]</w:t>
            </w:r>
            <w:r w:rsidRPr="006647C4">
              <w:rPr>
                <w:rFonts w:ascii="Arial Narrow" w:hAnsi="Arial Narrow" w:cs="Arial"/>
                <w:sz w:val="24"/>
                <w:szCs w:val="24"/>
              </w:rPr>
              <w:tab/>
              <w:t xml:space="preserve"> The same applies to the plaintiff. Not all financial institutions need to register in terms of the Act but if it wishes to conduct business within the commercial environment it must abide by the law that regulate the relevant commercial activities engaged in.</w:t>
            </w: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shd w:val="clear" w:color="auto" w:fill="FFFFFF"/>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shd w:val="clear" w:color="auto" w:fill="FFFFFF"/>
              </w:rPr>
            </w:pPr>
            <w:r w:rsidRPr="006647C4">
              <w:rPr>
                <w:rFonts w:ascii="Arial Narrow" w:hAnsi="Arial Narrow" w:cs="Arial"/>
                <w:sz w:val="24"/>
                <w:szCs w:val="24"/>
                <w:shd w:val="clear" w:color="auto" w:fill="FFFFFF"/>
              </w:rPr>
              <w:t>[</w:t>
            </w:r>
            <w:r w:rsidR="006647C4">
              <w:rPr>
                <w:rFonts w:ascii="Arial Narrow" w:hAnsi="Arial Narrow" w:cs="Arial"/>
                <w:sz w:val="24"/>
                <w:szCs w:val="24"/>
                <w:shd w:val="clear" w:color="auto" w:fill="FFFFFF"/>
              </w:rPr>
              <w:t>26</w:t>
            </w:r>
            <w:r w:rsidRPr="006647C4">
              <w:rPr>
                <w:rFonts w:ascii="Arial Narrow" w:hAnsi="Arial Narrow" w:cs="Arial"/>
                <w:sz w:val="24"/>
                <w:szCs w:val="24"/>
                <w:shd w:val="clear" w:color="auto" w:fill="FFFFFF"/>
              </w:rPr>
              <w:t>]</w:t>
            </w:r>
            <w:r w:rsidRPr="006647C4">
              <w:rPr>
                <w:rFonts w:ascii="Arial Narrow" w:hAnsi="Arial Narrow" w:cs="Arial"/>
                <w:sz w:val="24"/>
                <w:szCs w:val="24"/>
                <w:shd w:val="clear" w:color="auto" w:fill="FFFFFF"/>
              </w:rPr>
              <w:tab/>
              <w:t xml:space="preserve">In my view the action between the parties will determine the defendant’s obligations to the plaintiff, if any, with reference to the written loan agreement </w:t>
            </w:r>
            <w:r w:rsidR="006647C4" w:rsidRPr="006647C4">
              <w:rPr>
                <w:rFonts w:ascii="Arial Narrow" w:hAnsi="Arial Narrow" w:cs="Arial"/>
                <w:sz w:val="24"/>
                <w:szCs w:val="24"/>
                <w:shd w:val="clear" w:color="auto" w:fill="FFFFFF"/>
              </w:rPr>
              <w:t>entered between</w:t>
            </w:r>
            <w:r w:rsidRPr="006647C4">
              <w:rPr>
                <w:rFonts w:ascii="Arial Narrow" w:hAnsi="Arial Narrow" w:cs="Arial"/>
                <w:sz w:val="24"/>
                <w:szCs w:val="24"/>
                <w:shd w:val="clear" w:color="auto" w:fill="FFFFFF"/>
              </w:rPr>
              <w:t xml:space="preserve"> the parties.  The plaintiff is entitled to exercise its rights herein and entitled to approach courts, to enforce its rights and has the standing before this court to do so. There is nothing before me to convince this court that the plaintiff did not have the authority to enter into the agreement with defendant and that as a result he would not have standing before this court. </w:t>
            </w: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rPr>
            </w:pPr>
          </w:p>
          <w:p w:rsidR="009C0E21" w:rsidRPr="006647C4" w:rsidRDefault="009C0E21" w:rsidP="009C0E21">
            <w:pPr>
              <w:widowControl w:val="0"/>
              <w:autoSpaceDE w:val="0"/>
              <w:autoSpaceDN w:val="0"/>
              <w:adjustRightInd w:val="0"/>
              <w:spacing w:line="360" w:lineRule="auto"/>
              <w:jc w:val="both"/>
              <w:rPr>
                <w:rFonts w:ascii="Arial Narrow" w:hAnsi="Arial Narrow" w:cs="Arial"/>
                <w:sz w:val="24"/>
                <w:szCs w:val="24"/>
                <w:shd w:val="clear" w:color="auto" w:fill="FFFFFF"/>
              </w:rPr>
            </w:pPr>
            <w:r w:rsidRPr="006647C4">
              <w:rPr>
                <w:rFonts w:ascii="Arial Narrow" w:hAnsi="Arial Narrow" w:cs="Arial"/>
                <w:sz w:val="24"/>
                <w:szCs w:val="24"/>
                <w:shd w:val="clear" w:color="auto" w:fill="FFFFFF"/>
              </w:rPr>
              <w:t>[</w:t>
            </w:r>
            <w:r w:rsidR="006647C4">
              <w:rPr>
                <w:rFonts w:ascii="Arial Narrow" w:hAnsi="Arial Narrow" w:cs="Arial"/>
                <w:sz w:val="24"/>
                <w:szCs w:val="24"/>
                <w:shd w:val="clear" w:color="auto" w:fill="FFFFFF"/>
              </w:rPr>
              <w:t>27</w:t>
            </w:r>
            <w:r w:rsidRPr="006647C4">
              <w:rPr>
                <w:rFonts w:ascii="Arial Narrow" w:hAnsi="Arial Narrow" w:cs="Arial"/>
                <w:sz w:val="24"/>
                <w:szCs w:val="24"/>
                <w:shd w:val="clear" w:color="auto" w:fill="FFFFFF"/>
              </w:rPr>
              <w:t>]</w:t>
            </w:r>
            <w:r w:rsidRPr="006647C4">
              <w:rPr>
                <w:rFonts w:ascii="Arial Narrow" w:hAnsi="Arial Narrow" w:cs="Arial"/>
                <w:sz w:val="24"/>
                <w:szCs w:val="24"/>
                <w:shd w:val="clear" w:color="auto" w:fill="FFFFFF"/>
              </w:rPr>
              <w:tab/>
              <w:t xml:space="preserve"> I can therefor find no merits in the special plea raised on behalf of the defendant and the special plea is dismissed with </w:t>
            </w:r>
            <w:r w:rsidR="008B5F3A">
              <w:rPr>
                <w:rFonts w:ascii="Arial Narrow" w:hAnsi="Arial Narrow" w:cs="Arial"/>
                <w:sz w:val="24"/>
                <w:szCs w:val="24"/>
                <w:shd w:val="clear" w:color="auto" w:fill="FFFFFF"/>
              </w:rPr>
              <w:t>costs.</w:t>
            </w:r>
          </w:p>
          <w:p w:rsidR="00AD7322" w:rsidRPr="006647C4" w:rsidRDefault="00AD7322" w:rsidP="00AD7322">
            <w:pPr>
              <w:pStyle w:val="PlainText"/>
              <w:spacing w:line="360" w:lineRule="auto"/>
              <w:ind w:firstLine="720"/>
              <w:jc w:val="both"/>
              <w:rPr>
                <w:rFonts w:ascii="Arial Narrow" w:hAnsi="Arial Narrow" w:cs="Arial"/>
                <w:sz w:val="24"/>
                <w:szCs w:val="24"/>
              </w:rPr>
            </w:pPr>
          </w:p>
          <w:p w:rsidR="009C2E53" w:rsidRPr="006647C4" w:rsidRDefault="009C2E53" w:rsidP="00094B6B">
            <w:pPr>
              <w:spacing w:line="360" w:lineRule="auto"/>
              <w:jc w:val="both"/>
              <w:rPr>
                <w:rFonts w:ascii="Arial Narrow" w:hAnsi="Arial Narrow" w:cs="Arial"/>
                <w:sz w:val="24"/>
                <w:szCs w:val="24"/>
              </w:rPr>
            </w:pPr>
          </w:p>
        </w:tc>
      </w:tr>
      <w:tr w:rsidR="009C2E53" w:rsidRPr="006647C4" w:rsidTr="00004108">
        <w:tc>
          <w:tcPr>
            <w:tcW w:w="4770" w:type="dxa"/>
          </w:tcPr>
          <w:p w:rsidR="009C2E53" w:rsidRPr="006647C4" w:rsidRDefault="003E7B95" w:rsidP="006F0D59">
            <w:pPr>
              <w:spacing w:line="360" w:lineRule="auto"/>
              <w:jc w:val="center"/>
              <w:rPr>
                <w:rFonts w:ascii="Arial Narrow" w:hAnsi="Arial Narrow" w:cs="Arial"/>
                <w:b/>
                <w:sz w:val="24"/>
                <w:szCs w:val="24"/>
              </w:rPr>
            </w:pPr>
            <w:r w:rsidRPr="006647C4">
              <w:rPr>
                <w:rFonts w:ascii="Arial Narrow" w:hAnsi="Arial Narrow" w:cs="Arial"/>
                <w:b/>
                <w:sz w:val="24"/>
                <w:szCs w:val="24"/>
                <w:lang w:val="en-US"/>
              </w:rPr>
              <w:lastRenderedPageBreak/>
              <w:t>Judge’s signature</w:t>
            </w:r>
          </w:p>
        </w:tc>
        <w:tc>
          <w:tcPr>
            <w:tcW w:w="5706" w:type="dxa"/>
            <w:gridSpan w:val="2"/>
          </w:tcPr>
          <w:p w:rsidR="009C2E53" w:rsidRPr="006647C4" w:rsidRDefault="009C2E53" w:rsidP="006F0D59">
            <w:pPr>
              <w:spacing w:line="360" w:lineRule="auto"/>
              <w:jc w:val="center"/>
              <w:rPr>
                <w:rFonts w:ascii="Arial Narrow" w:hAnsi="Arial Narrow" w:cs="Arial"/>
                <w:b/>
                <w:sz w:val="24"/>
                <w:szCs w:val="24"/>
              </w:rPr>
            </w:pPr>
            <w:r w:rsidRPr="006647C4">
              <w:rPr>
                <w:rFonts w:ascii="Arial Narrow" w:hAnsi="Arial Narrow" w:cs="Arial"/>
                <w:b/>
                <w:sz w:val="24"/>
                <w:szCs w:val="24"/>
              </w:rPr>
              <w:t>Note to the parties:</w:t>
            </w:r>
          </w:p>
        </w:tc>
      </w:tr>
      <w:tr w:rsidR="009C2E53" w:rsidRPr="006647C4" w:rsidTr="00004108">
        <w:trPr>
          <w:trHeight w:val="1114"/>
        </w:trPr>
        <w:tc>
          <w:tcPr>
            <w:tcW w:w="4770" w:type="dxa"/>
          </w:tcPr>
          <w:p w:rsidR="009C2E53" w:rsidRPr="006647C4" w:rsidRDefault="009C2E53" w:rsidP="006F0D59">
            <w:pPr>
              <w:spacing w:line="360" w:lineRule="auto"/>
              <w:jc w:val="both"/>
              <w:rPr>
                <w:rFonts w:ascii="Arial Narrow" w:hAnsi="Arial Narrow" w:cs="Arial"/>
                <w:sz w:val="24"/>
                <w:szCs w:val="24"/>
              </w:rPr>
            </w:pPr>
          </w:p>
          <w:p w:rsidR="009C2E53" w:rsidRPr="006647C4" w:rsidRDefault="009C2E53" w:rsidP="006F0D59">
            <w:pPr>
              <w:spacing w:line="360" w:lineRule="auto"/>
              <w:jc w:val="both"/>
              <w:rPr>
                <w:rFonts w:ascii="Arial Narrow" w:hAnsi="Arial Narrow" w:cs="Arial"/>
                <w:sz w:val="24"/>
                <w:szCs w:val="24"/>
              </w:rPr>
            </w:pPr>
          </w:p>
          <w:p w:rsidR="006541D3" w:rsidRPr="006647C4" w:rsidRDefault="006541D3" w:rsidP="006F0D59">
            <w:pPr>
              <w:spacing w:line="360" w:lineRule="auto"/>
              <w:jc w:val="both"/>
              <w:rPr>
                <w:rFonts w:ascii="Arial Narrow" w:hAnsi="Arial Narrow" w:cs="Arial"/>
                <w:sz w:val="24"/>
                <w:szCs w:val="24"/>
              </w:rPr>
            </w:pPr>
          </w:p>
          <w:p w:rsidR="009C2E53" w:rsidRPr="006647C4" w:rsidRDefault="009C2E53" w:rsidP="006F0D59">
            <w:pPr>
              <w:spacing w:line="360" w:lineRule="auto"/>
              <w:jc w:val="both"/>
              <w:rPr>
                <w:rFonts w:ascii="Arial Narrow" w:hAnsi="Arial Narrow" w:cs="Arial"/>
                <w:sz w:val="24"/>
                <w:szCs w:val="24"/>
              </w:rPr>
            </w:pPr>
          </w:p>
        </w:tc>
        <w:tc>
          <w:tcPr>
            <w:tcW w:w="5706" w:type="dxa"/>
            <w:gridSpan w:val="2"/>
          </w:tcPr>
          <w:p w:rsidR="009C2E53" w:rsidRPr="006647C4" w:rsidRDefault="009C2E53" w:rsidP="006F0D59">
            <w:pPr>
              <w:spacing w:line="360" w:lineRule="auto"/>
              <w:jc w:val="both"/>
              <w:rPr>
                <w:rFonts w:ascii="Arial Narrow" w:hAnsi="Arial Narrow" w:cs="Arial"/>
                <w:sz w:val="24"/>
                <w:szCs w:val="24"/>
              </w:rPr>
            </w:pPr>
            <w:r w:rsidRPr="006647C4">
              <w:rPr>
                <w:rFonts w:ascii="Arial Narrow" w:hAnsi="Arial Narrow" w:cs="Arial"/>
                <w:sz w:val="24"/>
                <w:szCs w:val="24"/>
              </w:rPr>
              <w:t>Not applicable.</w:t>
            </w:r>
          </w:p>
        </w:tc>
      </w:tr>
      <w:tr w:rsidR="009C2E53" w:rsidRPr="006647C4" w:rsidTr="00004108">
        <w:tc>
          <w:tcPr>
            <w:tcW w:w="10476" w:type="dxa"/>
            <w:gridSpan w:val="3"/>
          </w:tcPr>
          <w:p w:rsidR="009C2E53" w:rsidRPr="006647C4" w:rsidRDefault="009C2E53" w:rsidP="006F0D59">
            <w:pPr>
              <w:spacing w:line="360" w:lineRule="auto"/>
              <w:jc w:val="center"/>
              <w:rPr>
                <w:rFonts w:ascii="Arial Narrow" w:hAnsi="Arial Narrow" w:cs="Arial"/>
                <w:b/>
                <w:sz w:val="24"/>
                <w:szCs w:val="24"/>
              </w:rPr>
            </w:pPr>
            <w:r w:rsidRPr="006647C4">
              <w:rPr>
                <w:rFonts w:ascii="Arial Narrow" w:hAnsi="Arial Narrow" w:cs="Arial"/>
                <w:b/>
                <w:sz w:val="24"/>
                <w:szCs w:val="24"/>
              </w:rPr>
              <w:t>Counsel:</w:t>
            </w:r>
          </w:p>
        </w:tc>
      </w:tr>
      <w:tr w:rsidR="009C2E53" w:rsidRPr="006647C4" w:rsidTr="00004108">
        <w:tc>
          <w:tcPr>
            <w:tcW w:w="4770" w:type="dxa"/>
          </w:tcPr>
          <w:p w:rsidR="009C2E53" w:rsidRPr="006647C4" w:rsidRDefault="00681908" w:rsidP="009C0E21">
            <w:pPr>
              <w:spacing w:line="360" w:lineRule="auto"/>
              <w:jc w:val="center"/>
              <w:rPr>
                <w:rFonts w:ascii="Arial Narrow" w:hAnsi="Arial Narrow" w:cs="Arial"/>
                <w:b/>
                <w:sz w:val="24"/>
                <w:szCs w:val="24"/>
              </w:rPr>
            </w:pPr>
            <w:r w:rsidRPr="006647C4">
              <w:rPr>
                <w:rFonts w:ascii="Arial Narrow" w:hAnsi="Arial Narrow" w:cs="Arial"/>
                <w:b/>
                <w:sz w:val="24"/>
                <w:szCs w:val="24"/>
              </w:rPr>
              <w:t>Plaintiff</w:t>
            </w:r>
          </w:p>
        </w:tc>
        <w:tc>
          <w:tcPr>
            <w:tcW w:w="5706" w:type="dxa"/>
            <w:gridSpan w:val="2"/>
          </w:tcPr>
          <w:p w:rsidR="009C2E53" w:rsidRPr="006647C4" w:rsidRDefault="009C2E53" w:rsidP="006F0D59">
            <w:pPr>
              <w:spacing w:line="360" w:lineRule="auto"/>
              <w:jc w:val="center"/>
              <w:rPr>
                <w:rFonts w:ascii="Arial Narrow" w:hAnsi="Arial Narrow" w:cs="Arial"/>
                <w:b/>
                <w:sz w:val="24"/>
                <w:szCs w:val="24"/>
              </w:rPr>
            </w:pPr>
            <w:r w:rsidRPr="006647C4">
              <w:rPr>
                <w:rFonts w:ascii="Arial Narrow" w:hAnsi="Arial Narrow" w:cs="Arial"/>
                <w:b/>
                <w:sz w:val="24"/>
                <w:szCs w:val="24"/>
              </w:rPr>
              <w:t xml:space="preserve"> Respondent</w:t>
            </w:r>
          </w:p>
        </w:tc>
      </w:tr>
      <w:tr w:rsidR="009C2E53" w:rsidRPr="006647C4" w:rsidTr="00004108">
        <w:tc>
          <w:tcPr>
            <w:tcW w:w="4770" w:type="dxa"/>
          </w:tcPr>
          <w:p w:rsidR="00616F75" w:rsidRPr="006647C4" w:rsidRDefault="00AD7322" w:rsidP="00616F75">
            <w:pPr>
              <w:spacing w:line="360" w:lineRule="auto"/>
              <w:jc w:val="center"/>
              <w:rPr>
                <w:rFonts w:ascii="Arial Narrow" w:hAnsi="Arial Narrow" w:cs="Arial"/>
                <w:sz w:val="24"/>
                <w:szCs w:val="24"/>
              </w:rPr>
            </w:pPr>
            <w:r w:rsidRPr="006647C4">
              <w:rPr>
                <w:rFonts w:ascii="Arial Narrow" w:hAnsi="Arial Narrow" w:cs="Arial"/>
                <w:sz w:val="24"/>
                <w:szCs w:val="24"/>
              </w:rPr>
              <w:t xml:space="preserve">Mr </w:t>
            </w:r>
            <w:r w:rsidR="009C0E21" w:rsidRPr="006647C4">
              <w:rPr>
                <w:rFonts w:ascii="Arial Narrow" w:hAnsi="Arial Narrow" w:cs="Arial"/>
                <w:sz w:val="24"/>
                <w:szCs w:val="24"/>
              </w:rPr>
              <w:t>A</w:t>
            </w:r>
            <w:r w:rsidR="00681908" w:rsidRPr="006647C4">
              <w:rPr>
                <w:rFonts w:ascii="Arial Narrow" w:hAnsi="Arial Narrow" w:cs="Arial"/>
                <w:sz w:val="24"/>
                <w:szCs w:val="24"/>
              </w:rPr>
              <w:t xml:space="preserve"> </w:t>
            </w:r>
            <w:r w:rsidR="009C0E21" w:rsidRPr="006647C4">
              <w:rPr>
                <w:rFonts w:ascii="Arial Narrow" w:hAnsi="Arial Narrow" w:cs="Arial"/>
                <w:sz w:val="24"/>
                <w:szCs w:val="24"/>
              </w:rPr>
              <w:t>Vaatz</w:t>
            </w:r>
          </w:p>
          <w:p w:rsidR="00AD7322" w:rsidRPr="006647C4" w:rsidRDefault="00681908" w:rsidP="00AD7322">
            <w:pPr>
              <w:spacing w:line="360" w:lineRule="auto"/>
              <w:jc w:val="center"/>
              <w:rPr>
                <w:rFonts w:ascii="Arial Narrow" w:hAnsi="Arial Narrow" w:cs="Arial"/>
                <w:sz w:val="24"/>
                <w:szCs w:val="24"/>
              </w:rPr>
            </w:pPr>
            <w:r w:rsidRPr="006647C4">
              <w:rPr>
                <w:rFonts w:ascii="Arial Narrow" w:hAnsi="Arial Narrow" w:cs="Arial"/>
                <w:sz w:val="24"/>
                <w:szCs w:val="24"/>
              </w:rPr>
              <w:t>from</w:t>
            </w:r>
          </w:p>
          <w:p w:rsidR="009C2E53" w:rsidRPr="006647C4" w:rsidRDefault="009C0E21" w:rsidP="00616F75">
            <w:pPr>
              <w:spacing w:line="360" w:lineRule="auto"/>
              <w:jc w:val="center"/>
              <w:rPr>
                <w:rFonts w:ascii="Arial Narrow" w:hAnsi="Arial Narrow" w:cs="Arial"/>
                <w:sz w:val="24"/>
                <w:szCs w:val="24"/>
              </w:rPr>
            </w:pPr>
            <w:r w:rsidRPr="006647C4">
              <w:rPr>
                <w:rFonts w:ascii="Arial Narrow" w:hAnsi="Arial Narrow" w:cs="Arial"/>
                <w:sz w:val="24"/>
                <w:szCs w:val="24"/>
              </w:rPr>
              <w:t>Andreas Vaatz&amp; Partners</w:t>
            </w:r>
          </w:p>
        </w:tc>
        <w:tc>
          <w:tcPr>
            <w:tcW w:w="5706" w:type="dxa"/>
            <w:gridSpan w:val="2"/>
          </w:tcPr>
          <w:p w:rsidR="00616F75" w:rsidRPr="006647C4" w:rsidRDefault="00681908" w:rsidP="00616F75">
            <w:pPr>
              <w:spacing w:line="360" w:lineRule="auto"/>
              <w:jc w:val="center"/>
              <w:rPr>
                <w:rFonts w:ascii="Arial Narrow" w:hAnsi="Arial Narrow" w:cs="Arial"/>
                <w:sz w:val="24"/>
                <w:szCs w:val="24"/>
              </w:rPr>
            </w:pPr>
            <w:r w:rsidRPr="006647C4">
              <w:rPr>
                <w:rFonts w:ascii="Arial Narrow" w:hAnsi="Arial Narrow" w:cs="Arial"/>
                <w:sz w:val="24"/>
                <w:szCs w:val="24"/>
              </w:rPr>
              <w:t xml:space="preserve">Mr </w:t>
            </w:r>
            <w:r w:rsidR="009C0E21" w:rsidRPr="006647C4">
              <w:rPr>
                <w:rFonts w:ascii="Arial Narrow" w:hAnsi="Arial Narrow" w:cs="Arial"/>
                <w:sz w:val="24"/>
                <w:szCs w:val="24"/>
              </w:rPr>
              <w:t>A Naude</w:t>
            </w:r>
          </w:p>
          <w:p w:rsidR="00616F75" w:rsidRPr="006647C4" w:rsidRDefault="009C0E21" w:rsidP="00616F75">
            <w:pPr>
              <w:spacing w:line="360" w:lineRule="auto"/>
              <w:jc w:val="center"/>
              <w:rPr>
                <w:rFonts w:ascii="Arial Narrow" w:hAnsi="Arial Narrow" w:cs="Arial"/>
                <w:sz w:val="24"/>
                <w:szCs w:val="24"/>
              </w:rPr>
            </w:pPr>
            <w:r w:rsidRPr="006647C4">
              <w:rPr>
                <w:rFonts w:ascii="Arial Narrow" w:hAnsi="Arial Narrow" w:cs="Arial"/>
                <w:sz w:val="24"/>
                <w:szCs w:val="24"/>
              </w:rPr>
              <w:t xml:space="preserve">From </w:t>
            </w:r>
          </w:p>
          <w:p w:rsidR="009C2E53" w:rsidRPr="006647C4" w:rsidRDefault="009C0E21" w:rsidP="00616F75">
            <w:pPr>
              <w:spacing w:line="360" w:lineRule="auto"/>
              <w:jc w:val="center"/>
              <w:rPr>
                <w:rFonts w:ascii="Arial Narrow" w:hAnsi="Arial Narrow" w:cs="Arial"/>
                <w:sz w:val="24"/>
                <w:szCs w:val="24"/>
              </w:rPr>
            </w:pPr>
            <w:r w:rsidRPr="006647C4">
              <w:rPr>
                <w:rFonts w:ascii="Arial Narrow" w:hAnsi="Arial Narrow" w:cs="Arial"/>
                <w:sz w:val="24"/>
                <w:szCs w:val="24"/>
                <w:shd w:val="clear" w:color="auto" w:fill="FFFFFF"/>
              </w:rPr>
              <w:t>D</w:t>
            </w:r>
            <w:r w:rsidR="00EC1212">
              <w:rPr>
                <w:rFonts w:ascii="Arial Narrow" w:hAnsi="Arial Narrow" w:cs="Arial"/>
                <w:sz w:val="24"/>
                <w:szCs w:val="24"/>
                <w:shd w:val="clear" w:color="auto" w:fill="FFFFFF"/>
              </w:rPr>
              <w:t>r</w:t>
            </w:r>
            <w:r w:rsidR="008B5F3A">
              <w:rPr>
                <w:rFonts w:ascii="Arial Narrow" w:hAnsi="Arial Narrow" w:cs="Arial"/>
                <w:sz w:val="24"/>
                <w:szCs w:val="24"/>
                <w:shd w:val="clear" w:color="auto" w:fill="FFFFFF"/>
              </w:rPr>
              <w:t xml:space="preserve"> Weder, Kauta and Hoveka</w:t>
            </w:r>
          </w:p>
        </w:tc>
      </w:tr>
    </w:tbl>
    <w:p w:rsidR="009C2E53" w:rsidRPr="006647C4" w:rsidRDefault="009C2E53" w:rsidP="009C2E53">
      <w:pPr>
        <w:spacing w:after="0" w:line="360" w:lineRule="auto"/>
        <w:jc w:val="both"/>
        <w:rPr>
          <w:rFonts w:ascii="Arial Narrow" w:hAnsi="Arial Narrow"/>
        </w:rPr>
      </w:pPr>
    </w:p>
    <w:p w:rsidR="009C2E53" w:rsidRPr="006647C4" w:rsidRDefault="009C2E53" w:rsidP="009C2E53">
      <w:pPr>
        <w:rPr>
          <w:rFonts w:ascii="Arial Narrow" w:hAnsi="Arial Narrow"/>
        </w:rPr>
      </w:pPr>
    </w:p>
    <w:p w:rsidR="009C2E53" w:rsidRPr="006647C4" w:rsidRDefault="009C2E53" w:rsidP="009C2E53">
      <w:pPr>
        <w:rPr>
          <w:rFonts w:ascii="Arial Narrow" w:hAnsi="Arial Narrow"/>
        </w:rPr>
      </w:pPr>
    </w:p>
    <w:p w:rsidR="006F0D59" w:rsidRPr="006647C4" w:rsidRDefault="006F0D59">
      <w:pPr>
        <w:rPr>
          <w:rFonts w:ascii="Arial Narrow" w:hAnsi="Arial Narrow"/>
        </w:rPr>
      </w:pPr>
    </w:p>
    <w:sectPr w:rsidR="006F0D59" w:rsidRPr="006647C4" w:rsidSect="009214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8E" w:rsidRDefault="0046128E" w:rsidP="009C2E53">
      <w:pPr>
        <w:spacing w:after="0" w:line="240" w:lineRule="auto"/>
      </w:pPr>
      <w:r>
        <w:separator/>
      </w:r>
    </w:p>
  </w:endnote>
  <w:endnote w:type="continuationSeparator" w:id="0">
    <w:p w:rsidR="0046128E" w:rsidRDefault="0046128E"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8E" w:rsidRDefault="0046128E" w:rsidP="009C2E53">
      <w:pPr>
        <w:spacing w:after="0" w:line="240" w:lineRule="auto"/>
      </w:pPr>
      <w:r>
        <w:separator/>
      </w:r>
    </w:p>
  </w:footnote>
  <w:footnote w:type="continuationSeparator" w:id="0">
    <w:p w:rsidR="0046128E" w:rsidRDefault="0046128E" w:rsidP="009C2E53">
      <w:pPr>
        <w:spacing w:after="0" w:line="240" w:lineRule="auto"/>
      </w:pPr>
      <w:r>
        <w:continuationSeparator/>
      </w:r>
    </w:p>
  </w:footnote>
  <w:footnote w:id="1">
    <w:p w:rsidR="009C0E21" w:rsidRPr="00A97F7A" w:rsidRDefault="009C0E21" w:rsidP="009C0E21">
      <w:pPr>
        <w:pStyle w:val="FootnoteText"/>
        <w:jc w:val="both"/>
        <w:rPr>
          <w:rFonts w:ascii="Arial Narrow" w:hAnsi="Arial Narrow" w:cs="Arial"/>
        </w:rPr>
      </w:pPr>
      <w:r w:rsidRPr="00A97F7A">
        <w:rPr>
          <w:rStyle w:val="FootnoteReference"/>
          <w:rFonts w:ascii="Arial Narrow" w:hAnsi="Arial Narrow" w:cs="Arial"/>
        </w:rPr>
        <w:footnoteRef/>
      </w:r>
      <w:r w:rsidRPr="00A97F7A">
        <w:rPr>
          <w:rFonts w:ascii="Arial Narrow" w:hAnsi="Arial Narrow" w:cs="Arial"/>
        </w:rPr>
        <w:t xml:space="preserve"> "financial institution" means- </w:t>
      </w:r>
    </w:p>
    <w:p w:rsidR="009C0E21" w:rsidRPr="00A97F7A" w:rsidRDefault="009C0E21" w:rsidP="009C0E21">
      <w:pPr>
        <w:pStyle w:val="FootnoteText"/>
        <w:jc w:val="both"/>
        <w:rPr>
          <w:rFonts w:ascii="Arial Narrow" w:hAnsi="Arial Narrow" w:cs="Arial"/>
          <w:lang w:val="af-ZA"/>
        </w:rPr>
      </w:pPr>
      <w:r w:rsidRPr="00A97F7A">
        <w:rPr>
          <w:rFonts w:ascii="Arial Narrow" w:hAnsi="Arial Narrow" w:cs="Arial"/>
        </w:rPr>
        <w:t>(d) a moneylender as defined in section 1 of the U</w:t>
      </w:r>
      <w:r w:rsidR="008B5F3A">
        <w:rPr>
          <w:rFonts w:ascii="Arial Narrow" w:hAnsi="Arial Narrow" w:cs="Arial"/>
        </w:rPr>
        <w:t>sury Act, 1968 (Act 73 of 1968);</w:t>
      </w:r>
    </w:p>
  </w:footnote>
  <w:footnote w:id="2">
    <w:p w:rsidR="009C0E21" w:rsidRPr="00A97F7A" w:rsidRDefault="009C0E21" w:rsidP="009C0E21">
      <w:pPr>
        <w:pStyle w:val="FootnoteText"/>
        <w:jc w:val="both"/>
        <w:rPr>
          <w:rFonts w:ascii="Arial Narrow" w:hAnsi="Arial Narrow"/>
          <w:lang w:val="af-ZA"/>
        </w:rPr>
      </w:pPr>
      <w:r w:rsidRPr="00A97F7A">
        <w:rPr>
          <w:rStyle w:val="FootnoteReference"/>
          <w:rFonts w:ascii="Arial Narrow" w:hAnsi="Arial Narrow" w:cs="Arial"/>
        </w:rPr>
        <w:footnoteRef/>
      </w:r>
      <w:r w:rsidRPr="00A97F7A">
        <w:rPr>
          <w:rFonts w:ascii="Arial Narrow" w:hAnsi="Arial Narrow" w:cs="Arial"/>
        </w:rPr>
        <w:t xml:space="preserve"> (n) any other person who renders a financial service as a regular feature of the business of that person, but who is not registered as a financial institution or authorised to render a financial service under a law referred to in paragraph (a) to (l) of this definition;</w:t>
      </w:r>
    </w:p>
  </w:footnote>
  <w:footnote w:id="3">
    <w:p w:rsidR="006412F6" w:rsidRPr="00A97F7A" w:rsidRDefault="006412F6" w:rsidP="006412F6">
      <w:pPr>
        <w:pStyle w:val="FootnoteText"/>
        <w:jc w:val="both"/>
        <w:rPr>
          <w:rFonts w:ascii="Arial Narrow" w:hAnsi="Arial Narrow" w:cs="Arial"/>
          <w:lang w:val="af-ZA"/>
        </w:rPr>
      </w:pPr>
      <w:r w:rsidRPr="00A97F7A">
        <w:rPr>
          <w:rStyle w:val="FootnoteReference"/>
          <w:rFonts w:ascii="Arial Narrow" w:hAnsi="Arial Narrow" w:cs="Arial"/>
        </w:rPr>
        <w:footnoteRef/>
      </w:r>
      <w:r w:rsidRPr="00A97F7A">
        <w:rPr>
          <w:rFonts w:ascii="Arial Narrow" w:hAnsi="Arial Narrow" w:cs="Arial"/>
        </w:rPr>
        <w:t xml:space="preserve"> "</w:t>
      </w:r>
      <w:r w:rsidRPr="00A97F7A">
        <w:rPr>
          <w:rFonts w:ascii="Arial Narrow" w:hAnsi="Arial Narrow" w:cs="Arial"/>
          <w:b/>
        </w:rPr>
        <w:t>money lender</w:t>
      </w:r>
      <w:r w:rsidRPr="00A97F7A">
        <w:rPr>
          <w:rFonts w:ascii="Arial Narrow" w:hAnsi="Arial Narrow" w:cs="Arial"/>
        </w:rPr>
        <w:t>" means- (a) any person who is granting or has granted a loan of a sum of money to a prospective borrower or to a borrower in terms of a money lending transaction; (b) any person to whom, whether by delegation, cession or otherwise, the rights or the rights and obligations of a moneylender in respect of a money lending transaction have passed; (c) the holder of an instrument of debt executed in respect of a money lending transaction; (d) any manager; [Definition of "moneylender" substituted by sec 1(l) of Act 90 of 1980.]</w:t>
      </w:r>
    </w:p>
  </w:footnote>
  <w:footnote w:id="4">
    <w:p w:rsidR="006412F6" w:rsidRPr="00A97F7A" w:rsidRDefault="006412F6" w:rsidP="006412F6">
      <w:pPr>
        <w:pStyle w:val="FootnoteText"/>
        <w:rPr>
          <w:rFonts w:ascii="Arial Narrow" w:hAnsi="Arial Narrow"/>
          <w:lang w:val="en-US"/>
        </w:rPr>
      </w:pPr>
      <w:r w:rsidRPr="00A97F7A">
        <w:rPr>
          <w:rStyle w:val="FootnoteReference"/>
          <w:rFonts w:ascii="Arial Narrow" w:hAnsi="Arial Narrow"/>
        </w:rPr>
        <w:footnoteRef/>
      </w:r>
      <w:r w:rsidRPr="00A97F7A">
        <w:rPr>
          <w:rFonts w:ascii="Arial Narrow" w:hAnsi="Arial Narrow"/>
        </w:rPr>
        <w:t xml:space="preserve"> </w:t>
      </w:r>
      <w:r w:rsidRPr="00A97F7A">
        <w:rPr>
          <w:rFonts w:ascii="Arial Narrow" w:hAnsi="Arial Narrow"/>
          <w:lang w:val="en-US"/>
        </w:rPr>
        <w:t>73 of 1968.</w:t>
      </w:r>
    </w:p>
  </w:footnote>
  <w:footnote w:id="5">
    <w:p w:rsidR="006412F6" w:rsidRPr="00A97F7A" w:rsidRDefault="006412F6" w:rsidP="006412F6">
      <w:pPr>
        <w:pStyle w:val="FootnoteText"/>
        <w:jc w:val="both"/>
        <w:rPr>
          <w:rFonts w:ascii="Arial Narrow" w:hAnsi="Arial Narrow" w:cs="Arial"/>
          <w:lang w:val="af-ZA"/>
        </w:rPr>
      </w:pPr>
      <w:r w:rsidRPr="00A97F7A">
        <w:rPr>
          <w:rStyle w:val="FootnoteReference"/>
          <w:rFonts w:ascii="Arial Narrow" w:hAnsi="Arial Narrow" w:cs="Arial"/>
        </w:rPr>
        <w:footnoteRef/>
      </w:r>
      <w:r w:rsidRPr="00A97F7A">
        <w:rPr>
          <w:rFonts w:ascii="Arial Narrow" w:hAnsi="Arial Narrow" w:cs="Arial"/>
        </w:rPr>
        <w:t xml:space="preserve"> </w:t>
      </w:r>
      <w:r w:rsidRPr="00A97F7A">
        <w:rPr>
          <w:rFonts w:ascii="Arial Narrow" w:hAnsi="Arial Narrow" w:cs="Arial"/>
          <w:b/>
        </w:rPr>
        <w:t>Functions of Authority The functions of the Authority</w:t>
      </w:r>
      <w:r w:rsidRPr="00A97F7A">
        <w:rPr>
          <w:rFonts w:ascii="Arial Narrow" w:hAnsi="Arial Narrow" w:cs="Arial"/>
        </w:rPr>
        <w:t xml:space="preserve"> are- (a) to exercise supervision, in terms of this Act or any other law, over the business of financial institutions and over financial services; and (b) to advise the Minister on matters related to financial institutions and financial services, whether of its own accord or at the request of the Minister.</w:t>
      </w:r>
    </w:p>
  </w:footnote>
  <w:footnote w:id="6">
    <w:p w:rsidR="006412F6" w:rsidRPr="00A97F7A" w:rsidRDefault="006412F6" w:rsidP="006412F6">
      <w:pPr>
        <w:pStyle w:val="FootnoteText"/>
        <w:jc w:val="both"/>
        <w:rPr>
          <w:rFonts w:ascii="Arial Narrow" w:hAnsi="Arial Narrow" w:cs="Arial"/>
          <w:lang w:val="af-ZA"/>
        </w:rPr>
      </w:pPr>
      <w:r w:rsidRPr="00A97F7A">
        <w:rPr>
          <w:rStyle w:val="FootnoteReference"/>
          <w:rFonts w:ascii="Arial Narrow" w:hAnsi="Arial Narrow" w:cs="Arial"/>
        </w:rPr>
        <w:footnoteRef/>
      </w:r>
      <w:r w:rsidRPr="00A97F7A">
        <w:rPr>
          <w:rFonts w:ascii="Arial Narrow" w:hAnsi="Arial Narrow" w:cs="Arial"/>
        </w:rPr>
        <w:t xml:space="preserve"> </w:t>
      </w:r>
      <w:r w:rsidRPr="00A97F7A">
        <w:rPr>
          <w:rFonts w:ascii="Arial Narrow" w:hAnsi="Arial Narrow" w:cs="Arial"/>
          <w:b/>
        </w:rPr>
        <w:t>10 Board:-</w:t>
      </w:r>
      <w:r w:rsidRPr="00A97F7A">
        <w:rPr>
          <w:rFonts w:ascii="Arial Narrow" w:hAnsi="Arial Narrow" w:cs="Arial"/>
        </w:rPr>
        <w:t xml:space="preserve"> (1) There shall be a board of the Authority which, subject to this Act, shall manage and control the affairs of the Authority and exercise the powers conferred and perform the duties imposed on the Authority by this Act or any other law. (2) The board shall be constituted, and its members, including the chairperson and the vice-chairperson of the board, shall be appointed in accordance with, and for a period as determined under, sections 14 and 15 of the State-owned Enterprises Governance Act, 2006. [Subs-sec (2) substituted by sec 49 of Act 2 of 2006.] (3) The Minister may appoint an alternate member for each member of the board. (4) The names of the persons appointed as members and the names of the persons appointed as alternate members of the board, and their date of appointment, must be notified in the Gazette.</w:t>
      </w:r>
    </w:p>
  </w:footnote>
  <w:footnote w:id="7">
    <w:p w:rsidR="006412F6" w:rsidRPr="00A97F7A" w:rsidRDefault="006412F6" w:rsidP="006412F6">
      <w:pPr>
        <w:pStyle w:val="FootnoteText"/>
        <w:jc w:val="both"/>
        <w:rPr>
          <w:rFonts w:ascii="Arial Narrow" w:hAnsi="Arial Narrow" w:cs="Arial"/>
          <w:lang w:val="af-ZA"/>
        </w:rPr>
      </w:pPr>
      <w:r w:rsidRPr="00A97F7A">
        <w:rPr>
          <w:rStyle w:val="FootnoteReference"/>
          <w:rFonts w:ascii="Arial Narrow" w:hAnsi="Arial Narrow" w:cs="Arial"/>
        </w:rPr>
        <w:footnoteRef/>
      </w:r>
      <w:r w:rsidRPr="00A97F7A">
        <w:rPr>
          <w:rFonts w:ascii="Arial Narrow" w:hAnsi="Arial Narrow" w:cs="Arial"/>
        </w:rPr>
        <w:t xml:space="preserve"> </w:t>
      </w:r>
      <w:r w:rsidRPr="00A97F7A">
        <w:rPr>
          <w:rFonts w:ascii="Arial Narrow" w:hAnsi="Arial Narrow" w:cs="Arial"/>
          <w:b/>
        </w:rPr>
        <w:t>25 Levies</w:t>
      </w:r>
      <w:r w:rsidRPr="00A97F7A">
        <w:rPr>
          <w:rFonts w:ascii="Arial Narrow" w:hAnsi="Arial Narrow" w:cs="Arial"/>
        </w:rPr>
        <w:t>:- (1) The Minister must, on the recommendation of the board, impose by notice in the Gazette levies on financial institutions. Sub-sections 2-7 not inserted.</w:t>
      </w:r>
    </w:p>
  </w:footnote>
  <w:footnote w:id="8">
    <w:p w:rsidR="006412F6" w:rsidRPr="00A97F7A" w:rsidRDefault="006412F6" w:rsidP="006412F6">
      <w:pPr>
        <w:pStyle w:val="FootnoteText"/>
        <w:rPr>
          <w:rFonts w:ascii="Arial Narrow" w:hAnsi="Arial Narrow"/>
          <w:lang w:val="en-US"/>
        </w:rPr>
      </w:pPr>
      <w:r w:rsidRPr="00A97F7A">
        <w:rPr>
          <w:rStyle w:val="FootnoteReference"/>
          <w:rFonts w:ascii="Arial Narrow" w:hAnsi="Arial Narrow"/>
        </w:rPr>
        <w:footnoteRef/>
      </w:r>
      <w:r w:rsidRPr="00A97F7A">
        <w:rPr>
          <w:rFonts w:ascii="Arial Narrow" w:hAnsi="Arial Narrow"/>
        </w:rPr>
        <w:t xml:space="preserve"> </w:t>
      </w:r>
      <w:r w:rsidRPr="00A97F7A">
        <w:rPr>
          <w:rFonts w:ascii="Arial Narrow" w:hAnsi="Arial Narrow"/>
          <w:lang w:val="en-US"/>
        </w:rPr>
        <w:t>13 of 2010.</w:t>
      </w:r>
    </w:p>
  </w:footnote>
  <w:footnote w:id="9">
    <w:p w:rsidR="009C0E21" w:rsidRPr="00A97F7A" w:rsidRDefault="009C0E21" w:rsidP="009C0E21">
      <w:pPr>
        <w:pStyle w:val="FootnoteText"/>
        <w:rPr>
          <w:rFonts w:ascii="Arial Narrow" w:hAnsi="Arial Narrow"/>
          <w:lang w:val="af-ZA"/>
        </w:rPr>
      </w:pPr>
      <w:r w:rsidRPr="00A97F7A">
        <w:rPr>
          <w:rStyle w:val="FootnoteReference"/>
          <w:rFonts w:ascii="Arial Narrow" w:hAnsi="Arial Narrow"/>
        </w:rPr>
        <w:footnoteRef/>
      </w:r>
      <w:r w:rsidRPr="00A97F7A">
        <w:rPr>
          <w:rFonts w:ascii="Arial Narrow" w:hAnsi="Arial Narrow"/>
        </w:rPr>
        <w:t xml:space="preserve"> </w:t>
      </w:r>
      <w:r w:rsidRPr="00A97F7A">
        <w:rPr>
          <w:rFonts w:ascii="Arial Narrow" w:hAnsi="Arial Narrow"/>
          <w:i/>
        </w:rPr>
        <w:t>Uffindell v Government of Namibia</w:t>
      </w:r>
      <w:r w:rsidR="00A74743">
        <w:rPr>
          <w:rFonts w:ascii="Arial Narrow" w:hAnsi="Arial Narrow"/>
        </w:rPr>
        <w:t xml:space="preserve"> 2009 (2) NR 670 (HC) </w:t>
      </w:r>
      <w:r w:rsidRPr="00A97F7A">
        <w:rPr>
          <w:rFonts w:ascii="Arial Narrow" w:hAnsi="Arial Narrow"/>
        </w:rPr>
        <w:t>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8B5F3A">
          <w:rPr>
            <w:rFonts w:ascii="Arial Narrow" w:hAnsi="Arial Narrow"/>
            <w:noProof/>
          </w:rPr>
          <w:t>2</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73B10"/>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8"/>
  </w:num>
  <w:num w:numId="5">
    <w:abstractNumId w:val="7"/>
  </w:num>
  <w:num w:numId="6">
    <w:abstractNumId w:val="5"/>
  </w:num>
  <w:num w:numId="7">
    <w:abstractNumId w:val="3"/>
  </w:num>
  <w:num w:numId="8">
    <w:abstractNumId w:val="11"/>
  </w:num>
  <w:num w:numId="9">
    <w:abstractNumId w:val="4"/>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108"/>
    <w:rsid w:val="00004E1C"/>
    <w:rsid w:val="0001446E"/>
    <w:rsid w:val="000151DD"/>
    <w:rsid w:val="00025639"/>
    <w:rsid w:val="000424AD"/>
    <w:rsid w:val="000672C0"/>
    <w:rsid w:val="000736B6"/>
    <w:rsid w:val="00094B6B"/>
    <w:rsid w:val="000A193C"/>
    <w:rsid w:val="000B2A0C"/>
    <w:rsid w:val="000B2FEC"/>
    <w:rsid w:val="000C61B9"/>
    <w:rsid w:val="000C665C"/>
    <w:rsid w:val="000D4D37"/>
    <w:rsid w:val="000E775F"/>
    <w:rsid w:val="000F6149"/>
    <w:rsid w:val="0010178E"/>
    <w:rsid w:val="00116A1A"/>
    <w:rsid w:val="0013278F"/>
    <w:rsid w:val="00137D18"/>
    <w:rsid w:val="00142FF4"/>
    <w:rsid w:val="0014516C"/>
    <w:rsid w:val="001704E1"/>
    <w:rsid w:val="001779B3"/>
    <w:rsid w:val="001844BF"/>
    <w:rsid w:val="001A5C0F"/>
    <w:rsid w:val="001B27F4"/>
    <w:rsid w:val="001C4DB1"/>
    <w:rsid w:val="001D2A5E"/>
    <w:rsid w:val="001D51E3"/>
    <w:rsid w:val="001E704F"/>
    <w:rsid w:val="001F058C"/>
    <w:rsid w:val="00210099"/>
    <w:rsid w:val="002120B7"/>
    <w:rsid w:val="0021222B"/>
    <w:rsid w:val="002158A2"/>
    <w:rsid w:val="00222BB5"/>
    <w:rsid w:val="00225D4A"/>
    <w:rsid w:val="00236038"/>
    <w:rsid w:val="00241358"/>
    <w:rsid w:val="00287260"/>
    <w:rsid w:val="00297DDA"/>
    <w:rsid w:val="002D0858"/>
    <w:rsid w:val="002D269C"/>
    <w:rsid w:val="002D5299"/>
    <w:rsid w:val="002D6C03"/>
    <w:rsid w:val="002E66C4"/>
    <w:rsid w:val="002E779F"/>
    <w:rsid w:val="00324AA6"/>
    <w:rsid w:val="00333FE2"/>
    <w:rsid w:val="0034027A"/>
    <w:rsid w:val="00341784"/>
    <w:rsid w:val="00390CAF"/>
    <w:rsid w:val="003B0C0D"/>
    <w:rsid w:val="003D5992"/>
    <w:rsid w:val="003E72DC"/>
    <w:rsid w:val="003E7B95"/>
    <w:rsid w:val="00402207"/>
    <w:rsid w:val="00413140"/>
    <w:rsid w:val="004144C1"/>
    <w:rsid w:val="00415ECC"/>
    <w:rsid w:val="00422E74"/>
    <w:rsid w:val="00425504"/>
    <w:rsid w:val="00434726"/>
    <w:rsid w:val="00451B47"/>
    <w:rsid w:val="0046128E"/>
    <w:rsid w:val="00477431"/>
    <w:rsid w:val="00481062"/>
    <w:rsid w:val="00485708"/>
    <w:rsid w:val="004871A9"/>
    <w:rsid w:val="004907F9"/>
    <w:rsid w:val="00491EAE"/>
    <w:rsid w:val="004B2FE6"/>
    <w:rsid w:val="00505F77"/>
    <w:rsid w:val="005216C7"/>
    <w:rsid w:val="00526AE0"/>
    <w:rsid w:val="00545657"/>
    <w:rsid w:val="005508CE"/>
    <w:rsid w:val="00565BB8"/>
    <w:rsid w:val="005A6186"/>
    <w:rsid w:val="005B6AF5"/>
    <w:rsid w:val="005C7CE9"/>
    <w:rsid w:val="00610D63"/>
    <w:rsid w:val="00612016"/>
    <w:rsid w:val="00615C9E"/>
    <w:rsid w:val="00616F75"/>
    <w:rsid w:val="00623D17"/>
    <w:rsid w:val="00635F3C"/>
    <w:rsid w:val="006412F6"/>
    <w:rsid w:val="006541D3"/>
    <w:rsid w:val="006647C4"/>
    <w:rsid w:val="00681908"/>
    <w:rsid w:val="0068252C"/>
    <w:rsid w:val="00696D63"/>
    <w:rsid w:val="006A70AE"/>
    <w:rsid w:val="006B1FAF"/>
    <w:rsid w:val="006D56F0"/>
    <w:rsid w:val="006E333C"/>
    <w:rsid w:val="006F0D59"/>
    <w:rsid w:val="006F4187"/>
    <w:rsid w:val="006F46F0"/>
    <w:rsid w:val="0070040A"/>
    <w:rsid w:val="00702353"/>
    <w:rsid w:val="0071150C"/>
    <w:rsid w:val="00732ACD"/>
    <w:rsid w:val="00747D74"/>
    <w:rsid w:val="00761719"/>
    <w:rsid w:val="00762FA5"/>
    <w:rsid w:val="007769C4"/>
    <w:rsid w:val="0078556A"/>
    <w:rsid w:val="00786210"/>
    <w:rsid w:val="007869DA"/>
    <w:rsid w:val="007A1297"/>
    <w:rsid w:val="007A47D1"/>
    <w:rsid w:val="007C269A"/>
    <w:rsid w:val="007C332D"/>
    <w:rsid w:val="007C3A10"/>
    <w:rsid w:val="007D16A2"/>
    <w:rsid w:val="007E02B3"/>
    <w:rsid w:val="007E07B7"/>
    <w:rsid w:val="0080430F"/>
    <w:rsid w:val="00816185"/>
    <w:rsid w:val="008305AC"/>
    <w:rsid w:val="0083558F"/>
    <w:rsid w:val="008423D7"/>
    <w:rsid w:val="00844048"/>
    <w:rsid w:val="008606C6"/>
    <w:rsid w:val="00860CCB"/>
    <w:rsid w:val="00860DD8"/>
    <w:rsid w:val="00892829"/>
    <w:rsid w:val="008967AD"/>
    <w:rsid w:val="008A0762"/>
    <w:rsid w:val="008A08AC"/>
    <w:rsid w:val="008A538A"/>
    <w:rsid w:val="008B5105"/>
    <w:rsid w:val="008B5F3A"/>
    <w:rsid w:val="008D19DA"/>
    <w:rsid w:val="008E45D1"/>
    <w:rsid w:val="008F25A9"/>
    <w:rsid w:val="008F6970"/>
    <w:rsid w:val="00903018"/>
    <w:rsid w:val="0091528B"/>
    <w:rsid w:val="00921456"/>
    <w:rsid w:val="009263CF"/>
    <w:rsid w:val="00927307"/>
    <w:rsid w:val="00947477"/>
    <w:rsid w:val="009541BC"/>
    <w:rsid w:val="00955D5B"/>
    <w:rsid w:val="00985AEF"/>
    <w:rsid w:val="009A0698"/>
    <w:rsid w:val="009A546A"/>
    <w:rsid w:val="009B4064"/>
    <w:rsid w:val="009C0E21"/>
    <w:rsid w:val="009C2E53"/>
    <w:rsid w:val="009E2E4C"/>
    <w:rsid w:val="009E5A4E"/>
    <w:rsid w:val="009F5E08"/>
    <w:rsid w:val="00A1092D"/>
    <w:rsid w:val="00A21FEC"/>
    <w:rsid w:val="00A23D7A"/>
    <w:rsid w:val="00A323D3"/>
    <w:rsid w:val="00A4043F"/>
    <w:rsid w:val="00A425A3"/>
    <w:rsid w:val="00A6384C"/>
    <w:rsid w:val="00A64F72"/>
    <w:rsid w:val="00A71593"/>
    <w:rsid w:val="00A74743"/>
    <w:rsid w:val="00A87B0D"/>
    <w:rsid w:val="00A91A42"/>
    <w:rsid w:val="00A97F7A"/>
    <w:rsid w:val="00AA5692"/>
    <w:rsid w:val="00AB05C3"/>
    <w:rsid w:val="00AD0B95"/>
    <w:rsid w:val="00AD7322"/>
    <w:rsid w:val="00AE74DE"/>
    <w:rsid w:val="00AF5CB7"/>
    <w:rsid w:val="00B02BBA"/>
    <w:rsid w:val="00B054C7"/>
    <w:rsid w:val="00B150A5"/>
    <w:rsid w:val="00B1705C"/>
    <w:rsid w:val="00B34271"/>
    <w:rsid w:val="00B51EC6"/>
    <w:rsid w:val="00B72EF0"/>
    <w:rsid w:val="00B83D2B"/>
    <w:rsid w:val="00B86B6C"/>
    <w:rsid w:val="00B9293D"/>
    <w:rsid w:val="00B977BB"/>
    <w:rsid w:val="00BA0064"/>
    <w:rsid w:val="00BA30AF"/>
    <w:rsid w:val="00BA5110"/>
    <w:rsid w:val="00BA589D"/>
    <w:rsid w:val="00BB389F"/>
    <w:rsid w:val="00BB4C55"/>
    <w:rsid w:val="00BD1D47"/>
    <w:rsid w:val="00BE2D9E"/>
    <w:rsid w:val="00BE4D00"/>
    <w:rsid w:val="00BE51C3"/>
    <w:rsid w:val="00BF01F9"/>
    <w:rsid w:val="00C03CC7"/>
    <w:rsid w:val="00C04427"/>
    <w:rsid w:val="00C110A8"/>
    <w:rsid w:val="00C132D3"/>
    <w:rsid w:val="00C82668"/>
    <w:rsid w:val="00C9626D"/>
    <w:rsid w:val="00CA718B"/>
    <w:rsid w:val="00CB18E2"/>
    <w:rsid w:val="00CC1C2A"/>
    <w:rsid w:val="00CE7562"/>
    <w:rsid w:val="00CF2C83"/>
    <w:rsid w:val="00D20765"/>
    <w:rsid w:val="00D27B89"/>
    <w:rsid w:val="00D40C34"/>
    <w:rsid w:val="00D824EC"/>
    <w:rsid w:val="00D9033A"/>
    <w:rsid w:val="00D9575E"/>
    <w:rsid w:val="00DB74B4"/>
    <w:rsid w:val="00DD344A"/>
    <w:rsid w:val="00DF1513"/>
    <w:rsid w:val="00E148A8"/>
    <w:rsid w:val="00E42D42"/>
    <w:rsid w:val="00E51483"/>
    <w:rsid w:val="00E6536C"/>
    <w:rsid w:val="00E65ECF"/>
    <w:rsid w:val="00E81E4F"/>
    <w:rsid w:val="00EA38E7"/>
    <w:rsid w:val="00EC1212"/>
    <w:rsid w:val="00EE6EEE"/>
    <w:rsid w:val="00EF5666"/>
    <w:rsid w:val="00EF706E"/>
    <w:rsid w:val="00F275ED"/>
    <w:rsid w:val="00F359A1"/>
    <w:rsid w:val="00F5745F"/>
    <w:rsid w:val="00F70E67"/>
    <w:rsid w:val="00F7230F"/>
    <w:rsid w:val="00F771BA"/>
    <w:rsid w:val="00F82631"/>
    <w:rsid w:val="00FC026A"/>
    <w:rsid w:val="00FC28F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2020-06-24T18:30:00+00:00</Judgment_x0020_Date>
    <Year xmlns="c1afb1bd-f2fb-40fd-9abb-aea55b4d7662">2020</Year>
  </documentManagement>
</p:properties>
</file>

<file path=customXml/itemProps1.xml><?xml version="1.0" encoding="utf-8"?>
<ds:datastoreItem xmlns:ds="http://schemas.openxmlformats.org/officeDocument/2006/customXml" ds:itemID="{84F34DA2-76B9-4AE9-8EE7-1507D7CC9CDD}"/>
</file>

<file path=customXml/itemProps2.xml><?xml version="1.0" encoding="utf-8"?>
<ds:datastoreItem xmlns:ds="http://schemas.openxmlformats.org/officeDocument/2006/customXml" ds:itemID="{72768F66-5DC3-4A69-95C9-9F5409D35CE8}"/>
</file>

<file path=customXml/itemProps3.xml><?xml version="1.0" encoding="utf-8"?>
<ds:datastoreItem xmlns:ds="http://schemas.openxmlformats.org/officeDocument/2006/customXml" ds:itemID="{8AF1AB70-9AB3-4311-B25F-C753C957BE4D}"/>
</file>

<file path=customXml/itemProps4.xml><?xml version="1.0" encoding="utf-8"?>
<ds:datastoreItem xmlns:ds="http://schemas.openxmlformats.org/officeDocument/2006/customXml" ds:itemID="{81D502B4-935B-49A2-BD5B-01595287706C}"/>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Aristeq (Pty) Ltd v Ockhuizen (HC-MD-CIV-ACT-CON-2019-00478) [2020] NAHCMD 266 (25 June 2020)</dc:title>
  <dc:subject/>
  <dc:creator>Prinsloo Hannelie</dc:creator>
  <cp:keywords/>
  <dc:description/>
  <cp:lastModifiedBy>Administrator</cp:lastModifiedBy>
  <cp:revision>2</cp:revision>
  <cp:lastPrinted>2020-07-03T13:24:00Z</cp:lastPrinted>
  <dcterms:created xsi:type="dcterms:W3CDTF">2020-07-13T07:34:00Z</dcterms:created>
  <dcterms:modified xsi:type="dcterms:W3CDTF">2020-07-13T07:34:00Z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