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FB26AF" w:rsidRDefault="00D26CB5" w:rsidP="00D26CB5">
      <w:pPr>
        <w:spacing w:after="0" w:line="240" w:lineRule="auto"/>
        <w:jc w:val="center"/>
        <w:rPr>
          <w:rFonts w:ascii="Arial Narrow" w:hAnsi="Arial Narrow"/>
          <w:sz w:val="24"/>
          <w:szCs w:val="24"/>
        </w:rPr>
      </w:pPr>
      <w:r w:rsidRPr="00FB26AF">
        <w:rPr>
          <w:rFonts w:ascii="Arial Narrow" w:hAnsi="Arial Narrow"/>
          <w:sz w:val="24"/>
          <w:szCs w:val="24"/>
        </w:rPr>
        <w:t>Practice Directive 61</w:t>
      </w:r>
    </w:p>
    <w:p w:rsidR="00D26CB5" w:rsidRDefault="00D26CB5" w:rsidP="00D26CB5">
      <w:pPr>
        <w:spacing w:after="0" w:line="360" w:lineRule="auto"/>
        <w:jc w:val="both"/>
        <w:rPr>
          <w:rFonts w:ascii="Arial Narrow" w:hAnsi="Arial Narrow"/>
          <w:sz w:val="24"/>
          <w:szCs w:val="24"/>
        </w:rPr>
      </w:pPr>
    </w:p>
    <w:p w:rsidR="00A27EAD" w:rsidRPr="00FB26AF" w:rsidRDefault="00A27EAD" w:rsidP="00D26CB5">
      <w:pPr>
        <w:spacing w:after="0" w:line="36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27EAD">
        <w:rPr>
          <w:rFonts w:ascii="Arial Narrow" w:hAnsi="Arial Narrow"/>
          <w:sz w:val="24"/>
          <w:szCs w:val="24"/>
        </w:rPr>
        <w:t>“ANNEXURE 11”</w:t>
      </w:r>
    </w:p>
    <w:p w:rsidR="00D26CB5" w:rsidRPr="00FB26AF" w:rsidRDefault="00D26CB5" w:rsidP="00D26CB5">
      <w:pPr>
        <w:spacing w:after="0" w:line="360" w:lineRule="auto"/>
        <w:jc w:val="center"/>
        <w:rPr>
          <w:rFonts w:ascii="Arial Narrow" w:hAnsi="Arial Narrow"/>
          <w:b/>
          <w:sz w:val="24"/>
          <w:szCs w:val="24"/>
        </w:rPr>
      </w:pPr>
      <w:r w:rsidRPr="00FB26AF">
        <w:rPr>
          <w:rFonts w:ascii="Arial Narrow" w:hAnsi="Arial Narrow"/>
          <w:b/>
          <w:sz w:val="24"/>
          <w:szCs w:val="24"/>
        </w:rPr>
        <w:t>IN THE HIGH COURT OF NAMIBIA</w:t>
      </w:r>
    </w:p>
    <w:p w:rsidR="00D26CB5" w:rsidRPr="00FB26AF"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FB26AF" w:rsidTr="0092129C">
        <w:trPr>
          <w:trHeight w:val="744"/>
        </w:trPr>
        <w:tc>
          <w:tcPr>
            <w:tcW w:w="5397" w:type="dxa"/>
            <w:gridSpan w:val="2"/>
            <w:vMerge w:val="restart"/>
          </w:tcPr>
          <w:p w:rsidR="00D26CB5" w:rsidRPr="00FB26AF" w:rsidRDefault="00D26CB5" w:rsidP="0092129C">
            <w:pPr>
              <w:spacing w:line="360" w:lineRule="auto"/>
              <w:jc w:val="both"/>
              <w:rPr>
                <w:rFonts w:ascii="Arial Narrow" w:hAnsi="Arial Narrow" w:cs="Arial"/>
                <w:sz w:val="24"/>
                <w:szCs w:val="24"/>
              </w:rPr>
            </w:pPr>
            <w:r w:rsidRPr="00FB26AF">
              <w:rPr>
                <w:rFonts w:ascii="Arial Narrow" w:hAnsi="Arial Narrow" w:cs="Arial"/>
                <w:b/>
                <w:sz w:val="24"/>
                <w:szCs w:val="24"/>
              </w:rPr>
              <w:t>Case Title:</w:t>
            </w:r>
          </w:p>
          <w:p w:rsidR="00D26CB5" w:rsidRPr="00FB26AF" w:rsidRDefault="00C5049E" w:rsidP="0086662D">
            <w:pPr>
              <w:spacing w:line="360" w:lineRule="auto"/>
              <w:jc w:val="both"/>
              <w:rPr>
                <w:rFonts w:ascii="Arial Narrow" w:hAnsi="Arial Narrow" w:cs="Arial"/>
                <w:sz w:val="24"/>
                <w:szCs w:val="24"/>
              </w:rPr>
            </w:pPr>
            <w:r w:rsidRPr="00FB26AF">
              <w:rPr>
                <w:rFonts w:ascii="Arial Narrow" w:hAnsi="Arial Narrow" w:cs="Arial"/>
                <w:sz w:val="24"/>
                <w:szCs w:val="24"/>
              </w:rPr>
              <w:t>TRANSNAMIB HOLDINGS LIMITED v DELUX TRADING ENTERPRISES CC</w:t>
            </w:r>
          </w:p>
        </w:tc>
        <w:tc>
          <w:tcPr>
            <w:tcW w:w="4323" w:type="dxa"/>
          </w:tcPr>
          <w:p w:rsidR="00D26CB5" w:rsidRPr="00FB26AF" w:rsidRDefault="00D26CB5" w:rsidP="0092129C">
            <w:pPr>
              <w:spacing w:line="360" w:lineRule="auto"/>
              <w:jc w:val="both"/>
              <w:rPr>
                <w:rFonts w:ascii="Arial Narrow" w:hAnsi="Arial Narrow" w:cs="Arial"/>
                <w:sz w:val="24"/>
                <w:szCs w:val="24"/>
              </w:rPr>
            </w:pPr>
            <w:r w:rsidRPr="00FB26AF">
              <w:rPr>
                <w:rFonts w:ascii="Arial Narrow" w:hAnsi="Arial Narrow" w:cs="Arial"/>
                <w:b/>
                <w:sz w:val="24"/>
                <w:szCs w:val="24"/>
              </w:rPr>
              <w:t>Case No:</w:t>
            </w:r>
          </w:p>
          <w:p w:rsidR="00D26CB5" w:rsidRPr="00FB26AF" w:rsidRDefault="00BB4ACA" w:rsidP="00C5049E">
            <w:pPr>
              <w:spacing w:line="360" w:lineRule="auto"/>
              <w:jc w:val="both"/>
              <w:rPr>
                <w:rFonts w:ascii="Arial Narrow" w:hAnsi="Arial Narrow" w:cs="Arial"/>
                <w:b/>
                <w:sz w:val="24"/>
                <w:szCs w:val="24"/>
              </w:rPr>
            </w:pPr>
            <w:r w:rsidRPr="00FB26AF">
              <w:rPr>
                <w:rFonts w:ascii="Arial Narrow" w:hAnsi="Arial Narrow" w:cs="Arial"/>
                <w:sz w:val="24"/>
                <w:szCs w:val="24"/>
              </w:rPr>
              <w:t>HC-MD-CIV-ACT-</w:t>
            </w:r>
            <w:r w:rsidR="00C5049E" w:rsidRPr="00FB26AF">
              <w:rPr>
                <w:rFonts w:ascii="Arial Narrow" w:hAnsi="Arial Narrow" w:cs="Arial"/>
                <w:sz w:val="24"/>
                <w:szCs w:val="24"/>
              </w:rPr>
              <w:t>CON-2019/04250</w:t>
            </w:r>
          </w:p>
        </w:tc>
      </w:tr>
      <w:tr w:rsidR="00D26CB5" w:rsidRPr="00FB26AF" w:rsidTr="0092129C">
        <w:trPr>
          <w:trHeight w:val="844"/>
        </w:trPr>
        <w:tc>
          <w:tcPr>
            <w:tcW w:w="5397" w:type="dxa"/>
            <w:gridSpan w:val="2"/>
            <w:vMerge/>
          </w:tcPr>
          <w:p w:rsidR="00D26CB5" w:rsidRPr="00FB26AF" w:rsidRDefault="00D26CB5" w:rsidP="0092129C">
            <w:pPr>
              <w:spacing w:line="360" w:lineRule="auto"/>
              <w:jc w:val="both"/>
              <w:rPr>
                <w:rFonts w:ascii="Arial Narrow" w:hAnsi="Arial Narrow" w:cs="Arial"/>
                <w:sz w:val="24"/>
                <w:szCs w:val="24"/>
              </w:rPr>
            </w:pPr>
          </w:p>
        </w:tc>
        <w:tc>
          <w:tcPr>
            <w:tcW w:w="4323" w:type="dxa"/>
          </w:tcPr>
          <w:p w:rsidR="00D26CB5" w:rsidRPr="00FB26AF" w:rsidRDefault="00D26CB5" w:rsidP="0092129C">
            <w:pPr>
              <w:spacing w:line="360" w:lineRule="auto"/>
              <w:jc w:val="both"/>
              <w:rPr>
                <w:rFonts w:ascii="Arial Narrow" w:hAnsi="Arial Narrow" w:cs="Arial"/>
                <w:sz w:val="24"/>
                <w:szCs w:val="24"/>
              </w:rPr>
            </w:pPr>
            <w:r w:rsidRPr="00FB26AF">
              <w:rPr>
                <w:rFonts w:ascii="Arial Narrow" w:hAnsi="Arial Narrow" w:cs="Arial"/>
                <w:b/>
                <w:sz w:val="24"/>
                <w:szCs w:val="24"/>
              </w:rPr>
              <w:t>Division of Court:</w:t>
            </w:r>
          </w:p>
          <w:p w:rsidR="00D26CB5" w:rsidRPr="00FB26AF" w:rsidRDefault="00D67EBE" w:rsidP="000A684E">
            <w:pPr>
              <w:spacing w:line="360" w:lineRule="auto"/>
              <w:jc w:val="both"/>
              <w:rPr>
                <w:rFonts w:ascii="Arial Narrow" w:hAnsi="Arial Narrow" w:cs="Arial"/>
                <w:sz w:val="24"/>
                <w:szCs w:val="24"/>
              </w:rPr>
            </w:pPr>
            <w:r w:rsidRPr="00FB26AF">
              <w:rPr>
                <w:rFonts w:ascii="Arial Narrow" w:hAnsi="Arial Narrow" w:cs="Arial"/>
                <w:sz w:val="24"/>
                <w:szCs w:val="24"/>
              </w:rPr>
              <w:t>MAIN DIVISION</w:t>
            </w:r>
          </w:p>
        </w:tc>
      </w:tr>
      <w:tr w:rsidR="00D26CB5" w:rsidRPr="00FB26AF" w:rsidTr="0092129C">
        <w:trPr>
          <w:trHeight w:val="645"/>
        </w:trPr>
        <w:tc>
          <w:tcPr>
            <w:tcW w:w="5397" w:type="dxa"/>
            <w:gridSpan w:val="2"/>
            <w:vMerge w:val="restart"/>
          </w:tcPr>
          <w:p w:rsidR="00D26CB5" w:rsidRPr="00FB26AF" w:rsidRDefault="00371056" w:rsidP="0092129C">
            <w:pPr>
              <w:spacing w:line="360" w:lineRule="auto"/>
              <w:jc w:val="both"/>
              <w:rPr>
                <w:rFonts w:ascii="Arial Narrow" w:hAnsi="Arial Narrow" w:cs="Arial"/>
                <w:b/>
                <w:sz w:val="24"/>
                <w:szCs w:val="24"/>
              </w:rPr>
            </w:pPr>
            <w:r w:rsidRPr="00FB26AF">
              <w:rPr>
                <w:rFonts w:ascii="Arial Narrow" w:hAnsi="Arial Narrow" w:cs="Arial"/>
                <w:b/>
                <w:sz w:val="24"/>
                <w:szCs w:val="24"/>
              </w:rPr>
              <w:t>Heard before</w:t>
            </w:r>
          </w:p>
          <w:p w:rsidR="00371056" w:rsidRPr="00FB26AF" w:rsidRDefault="00CE700B" w:rsidP="0092129C">
            <w:pPr>
              <w:spacing w:line="360" w:lineRule="auto"/>
              <w:jc w:val="both"/>
              <w:rPr>
                <w:rFonts w:ascii="Arial Narrow" w:hAnsi="Arial Narrow" w:cs="Arial"/>
                <w:sz w:val="24"/>
                <w:szCs w:val="24"/>
              </w:rPr>
            </w:pPr>
            <w:r w:rsidRPr="00FB26AF">
              <w:rPr>
                <w:rFonts w:ascii="Arial Narrow" w:hAnsi="Arial Narrow" w:cs="Arial"/>
                <w:sz w:val="24"/>
                <w:szCs w:val="24"/>
              </w:rPr>
              <w:t>HONOURABLE LADY JUSTICE PRINSLOO, JUDGE</w:t>
            </w:r>
          </w:p>
        </w:tc>
        <w:tc>
          <w:tcPr>
            <w:tcW w:w="4323" w:type="dxa"/>
          </w:tcPr>
          <w:p w:rsidR="00D26CB5" w:rsidRPr="00FB26AF" w:rsidRDefault="00D26CB5" w:rsidP="0092129C">
            <w:pPr>
              <w:spacing w:line="360" w:lineRule="auto"/>
              <w:jc w:val="both"/>
              <w:rPr>
                <w:rFonts w:ascii="Arial Narrow" w:hAnsi="Arial Narrow" w:cs="Arial"/>
                <w:b/>
                <w:sz w:val="24"/>
                <w:szCs w:val="24"/>
              </w:rPr>
            </w:pPr>
            <w:r w:rsidRPr="00FB26AF">
              <w:rPr>
                <w:rFonts w:ascii="Arial Narrow" w:hAnsi="Arial Narrow" w:cs="Arial"/>
                <w:b/>
                <w:sz w:val="24"/>
                <w:szCs w:val="24"/>
              </w:rPr>
              <w:t>Date of hearing:</w:t>
            </w:r>
          </w:p>
          <w:p w:rsidR="00D26CB5" w:rsidRPr="00FB26AF" w:rsidRDefault="00C5049E" w:rsidP="00C5049E">
            <w:pPr>
              <w:spacing w:line="360" w:lineRule="auto"/>
              <w:rPr>
                <w:rFonts w:ascii="Arial Narrow" w:hAnsi="Arial Narrow" w:cs="Arial"/>
                <w:sz w:val="24"/>
                <w:szCs w:val="24"/>
              </w:rPr>
            </w:pPr>
            <w:r w:rsidRPr="00FB26AF">
              <w:rPr>
                <w:rFonts w:ascii="Arial Narrow" w:hAnsi="Arial Narrow" w:cs="Arial"/>
                <w:sz w:val="24"/>
                <w:szCs w:val="24"/>
              </w:rPr>
              <w:t>12 June</w:t>
            </w:r>
            <w:r w:rsidR="00D67EBE" w:rsidRPr="00FB26AF">
              <w:rPr>
                <w:rFonts w:ascii="Arial Narrow" w:hAnsi="Arial Narrow" w:cs="Arial"/>
                <w:sz w:val="24"/>
                <w:szCs w:val="24"/>
              </w:rPr>
              <w:t xml:space="preserve"> 20</w:t>
            </w:r>
            <w:r w:rsidRPr="00FB26AF">
              <w:rPr>
                <w:rFonts w:ascii="Arial Narrow" w:hAnsi="Arial Narrow" w:cs="Arial"/>
                <w:sz w:val="24"/>
                <w:szCs w:val="24"/>
              </w:rPr>
              <w:t>20</w:t>
            </w:r>
          </w:p>
        </w:tc>
      </w:tr>
      <w:tr w:rsidR="00D26CB5" w:rsidRPr="00FB26AF" w:rsidTr="00701DE4">
        <w:trPr>
          <w:trHeight w:val="1277"/>
        </w:trPr>
        <w:tc>
          <w:tcPr>
            <w:tcW w:w="5397" w:type="dxa"/>
            <w:gridSpan w:val="2"/>
            <w:vMerge/>
          </w:tcPr>
          <w:p w:rsidR="00D26CB5" w:rsidRPr="00FB26AF" w:rsidRDefault="00D26CB5" w:rsidP="0092129C">
            <w:pPr>
              <w:spacing w:line="360" w:lineRule="auto"/>
              <w:jc w:val="both"/>
              <w:rPr>
                <w:rFonts w:ascii="Arial Narrow" w:hAnsi="Arial Narrow" w:cs="Arial"/>
                <w:b/>
                <w:sz w:val="24"/>
                <w:szCs w:val="24"/>
              </w:rPr>
            </w:pPr>
          </w:p>
        </w:tc>
        <w:tc>
          <w:tcPr>
            <w:tcW w:w="4323" w:type="dxa"/>
          </w:tcPr>
          <w:p w:rsidR="00D26CB5" w:rsidRPr="00FB26AF" w:rsidRDefault="00701DE4" w:rsidP="005B5CFB">
            <w:pPr>
              <w:jc w:val="both"/>
              <w:rPr>
                <w:rFonts w:ascii="Arial Narrow" w:hAnsi="Arial Narrow" w:cs="Arial"/>
                <w:b/>
                <w:sz w:val="24"/>
                <w:szCs w:val="24"/>
              </w:rPr>
            </w:pPr>
            <w:r>
              <w:rPr>
                <w:rFonts w:ascii="Arial Narrow" w:hAnsi="Arial Narrow" w:cs="Arial"/>
                <w:b/>
                <w:sz w:val="24"/>
                <w:szCs w:val="24"/>
              </w:rPr>
              <w:t>Delivered</w:t>
            </w:r>
            <w:r w:rsidR="00D26CB5" w:rsidRPr="00FB26AF">
              <w:rPr>
                <w:rFonts w:ascii="Arial Narrow" w:hAnsi="Arial Narrow" w:cs="Arial"/>
                <w:b/>
                <w:sz w:val="24"/>
                <w:szCs w:val="24"/>
              </w:rPr>
              <w:t>:</w:t>
            </w:r>
          </w:p>
          <w:p w:rsidR="00371056" w:rsidRPr="00FB26AF" w:rsidRDefault="00C5049E" w:rsidP="005B5CFB">
            <w:pPr>
              <w:jc w:val="both"/>
              <w:rPr>
                <w:rFonts w:ascii="Arial Narrow" w:hAnsi="Arial Narrow" w:cs="Arial"/>
                <w:sz w:val="24"/>
                <w:szCs w:val="24"/>
              </w:rPr>
            </w:pPr>
            <w:r w:rsidRPr="00FB26AF">
              <w:rPr>
                <w:rFonts w:ascii="Arial Narrow" w:hAnsi="Arial Narrow" w:cs="Arial"/>
                <w:sz w:val="24"/>
                <w:szCs w:val="24"/>
              </w:rPr>
              <w:t>2 July</w:t>
            </w:r>
            <w:r w:rsidR="00371056" w:rsidRPr="00FB26AF">
              <w:rPr>
                <w:rFonts w:ascii="Arial Narrow" w:hAnsi="Arial Narrow" w:cs="Arial"/>
                <w:sz w:val="24"/>
                <w:szCs w:val="24"/>
              </w:rPr>
              <w:t xml:space="preserve"> 20</w:t>
            </w:r>
            <w:r w:rsidR="005B5CFB" w:rsidRPr="00FB26AF">
              <w:rPr>
                <w:rFonts w:ascii="Arial Narrow" w:hAnsi="Arial Narrow" w:cs="Arial"/>
                <w:sz w:val="24"/>
                <w:szCs w:val="24"/>
              </w:rPr>
              <w:t>20</w:t>
            </w:r>
          </w:p>
          <w:p w:rsidR="005B5CFB" w:rsidRPr="00FB26AF" w:rsidRDefault="00701DE4" w:rsidP="005B5CFB">
            <w:pPr>
              <w:jc w:val="both"/>
              <w:rPr>
                <w:rFonts w:ascii="Arial Narrow" w:hAnsi="Arial Narrow" w:cs="Arial"/>
                <w:b/>
                <w:sz w:val="24"/>
                <w:szCs w:val="24"/>
              </w:rPr>
            </w:pPr>
            <w:r>
              <w:rPr>
                <w:rFonts w:ascii="Arial Narrow" w:hAnsi="Arial Narrow" w:cs="Arial"/>
                <w:b/>
                <w:sz w:val="24"/>
                <w:szCs w:val="24"/>
              </w:rPr>
              <w:t>Reasons</w:t>
            </w:r>
            <w:r w:rsidR="005B5CFB" w:rsidRPr="00FB26AF">
              <w:rPr>
                <w:rFonts w:ascii="Arial Narrow" w:hAnsi="Arial Narrow" w:cs="Arial"/>
                <w:b/>
                <w:sz w:val="24"/>
                <w:szCs w:val="24"/>
              </w:rPr>
              <w:t>:</w:t>
            </w:r>
          </w:p>
          <w:p w:rsidR="005B5CFB" w:rsidRPr="00FB26AF" w:rsidRDefault="005B5CFB" w:rsidP="005B5CFB">
            <w:pPr>
              <w:jc w:val="both"/>
              <w:rPr>
                <w:rFonts w:ascii="Arial Narrow" w:hAnsi="Arial Narrow" w:cs="Arial"/>
                <w:sz w:val="24"/>
                <w:szCs w:val="24"/>
              </w:rPr>
            </w:pPr>
            <w:r w:rsidRPr="00FB26AF">
              <w:rPr>
                <w:rFonts w:ascii="Arial Narrow" w:hAnsi="Arial Narrow" w:cs="Arial"/>
                <w:sz w:val="24"/>
                <w:szCs w:val="24"/>
              </w:rPr>
              <w:t>3 July 2020</w:t>
            </w:r>
          </w:p>
        </w:tc>
      </w:tr>
      <w:tr w:rsidR="00D26CB5" w:rsidRPr="00FB26AF" w:rsidTr="0092129C">
        <w:tc>
          <w:tcPr>
            <w:tcW w:w="9720" w:type="dxa"/>
            <w:gridSpan w:val="3"/>
          </w:tcPr>
          <w:p w:rsidR="00701DE4" w:rsidRDefault="00701DE4" w:rsidP="006C2F1D">
            <w:pPr>
              <w:pStyle w:val="form-control-static"/>
              <w:shd w:val="clear" w:color="auto" w:fill="FFFFFF"/>
              <w:spacing w:before="0" w:beforeAutospacing="0" w:after="0" w:afterAutospacing="0"/>
              <w:rPr>
                <w:rFonts w:ascii="Arial Narrow" w:hAnsi="Arial Narrow" w:cs="Arial"/>
                <w:b/>
              </w:rPr>
            </w:pPr>
          </w:p>
          <w:p w:rsidR="00D26CB5" w:rsidRPr="00FB26AF" w:rsidRDefault="0093109A" w:rsidP="006C2F1D">
            <w:pPr>
              <w:pStyle w:val="form-control-static"/>
              <w:shd w:val="clear" w:color="auto" w:fill="FFFFFF"/>
              <w:spacing w:before="0" w:beforeAutospacing="0" w:after="0" w:afterAutospacing="0"/>
              <w:rPr>
                <w:rFonts w:ascii="Arial Narrow" w:hAnsi="Arial Narrow" w:cs="Arial"/>
                <w:color w:val="333333"/>
                <w:shd w:val="clear" w:color="auto" w:fill="FFFFFF"/>
              </w:rPr>
            </w:pPr>
            <w:r w:rsidRPr="00FB26AF">
              <w:rPr>
                <w:rFonts w:ascii="Arial Narrow" w:hAnsi="Arial Narrow" w:cs="Arial"/>
                <w:b/>
              </w:rPr>
              <w:t xml:space="preserve">Neutral citation: </w:t>
            </w:r>
            <w:r w:rsidR="00C5049E" w:rsidRPr="00FB26AF">
              <w:rPr>
                <w:rFonts w:ascii="Arial Narrow" w:hAnsi="Arial Narrow" w:cs="Arial"/>
                <w:i/>
              </w:rPr>
              <w:t>TransNamib Holdings Limited</w:t>
            </w:r>
            <w:r w:rsidR="00A27EAD">
              <w:rPr>
                <w:rFonts w:ascii="Arial Narrow" w:hAnsi="Arial Narrow" w:cs="Arial"/>
                <w:i/>
              </w:rPr>
              <w:t xml:space="preserve"> v Delux Trading Enterprises CC</w:t>
            </w:r>
            <w:r w:rsidR="0086662D" w:rsidRPr="00FB26AF">
              <w:rPr>
                <w:rFonts w:ascii="Arial Narrow" w:hAnsi="Arial Narrow" w:cs="Arial"/>
                <w:i/>
                <w:lang w:val="en-ZA"/>
              </w:rPr>
              <w:t xml:space="preserve"> </w:t>
            </w:r>
            <w:r w:rsidR="00701DE4">
              <w:rPr>
                <w:rFonts w:ascii="Arial Narrow" w:hAnsi="Arial Narrow" w:cs="Arial"/>
                <w:lang w:val="en-ZA"/>
              </w:rPr>
              <w:t>(</w:t>
            </w:r>
            <w:r w:rsidR="0086662D" w:rsidRPr="00FB26AF">
              <w:rPr>
                <w:rFonts w:ascii="Arial Narrow" w:hAnsi="Arial Narrow" w:cs="Arial"/>
                <w:lang w:val="en-ZA"/>
              </w:rPr>
              <w:t>HC-MD-CIV-ACT-</w:t>
            </w:r>
            <w:r w:rsidR="00C5049E" w:rsidRPr="00FB26AF">
              <w:rPr>
                <w:rFonts w:ascii="Arial Narrow" w:hAnsi="Arial Narrow" w:cs="Arial"/>
              </w:rPr>
              <w:t xml:space="preserve"> CON-2019/04250</w:t>
            </w:r>
            <w:r w:rsidR="00701DE4">
              <w:rPr>
                <w:rFonts w:ascii="Arial Narrow" w:hAnsi="Arial Narrow" w:cs="Arial"/>
              </w:rPr>
              <w:t>)</w:t>
            </w:r>
            <w:r w:rsidR="00C5049E" w:rsidRPr="00FB26AF">
              <w:rPr>
                <w:rFonts w:ascii="Arial Narrow" w:hAnsi="Arial Narrow" w:cs="Arial"/>
                <w:lang w:val="en-ZA"/>
              </w:rPr>
              <w:t xml:space="preserve"> </w:t>
            </w:r>
            <w:r w:rsidRPr="00FB26AF">
              <w:rPr>
                <w:rFonts w:ascii="Arial Narrow" w:hAnsi="Arial Narrow" w:cs="Arial"/>
                <w:lang w:val="en-ZA"/>
              </w:rPr>
              <w:t>[20</w:t>
            </w:r>
            <w:r w:rsidR="00C5049E" w:rsidRPr="00FB26AF">
              <w:rPr>
                <w:rFonts w:ascii="Arial Narrow" w:hAnsi="Arial Narrow" w:cs="Arial"/>
                <w:lang w:val="en-ZA"/>
              </w:rPr>
              <w:t>20</w:t>
            </w:r>
            <w:r w:rsidR="00701DE4">
              <w:rPr>
                <w:rFonts w:ascii="Arial Narrow" w:hAnsi="Arial Narrow" w:cs="Arial"/>
                <w:lang w:val="en-ZA"/>
              </w:rPr>
              <w:t xml:space="preserve">] NAHCMD 268 </w:t>
            </w:r>
            <w:r w:rsidR="002B3223" w:rsidRPr="00FB26AF">
              <w:rPr>
                <w:rFonts w:ascii="Arial Narrow" w:hAnsi="Arial Narrow" w:cs="Arial"/>
                <w:lang w:val="en-ZA"/>
              </w:rPr>
              <w:t>(</w:t>
            </w:r>
            <w:r w:rsidR="00C5049E" w:rsidRPr="00FB26AF">
              <w:rPr>
                <w:rFonts w:ascii="Arial Narrow" w:hAnsi="Arial Narrow" w:cs="Arial"/>
                <w:lang w:val="en-ZA"/>
              </w:rPr>
              <w:t xml:space="preserve">2 July </w:t>
            </w:r>
            <w:r w:rsidR="00C5049E" w:rsidRPr="00FB26AF">
              <w:rPr>
                <w:rFonts w:ascii="Arial Narrow" w:hAnsi="Arial Narrow" w:cs="Arial"/>
              </w:rPr>
              <w:t>2020</w:t>
            </w:r>
            <w:r w:rsidR="00294FF2" w:rsidRPr="00FB26AF">
              <w:rPr>
                <w:rFonts w:ascii="Arial Narrow" w:hAnsi="Arial Narrow" w:cs="Arial"/>
                <w:lang w:val="en-ZA"/>
              </w:rPr>
              <w:t>)</w:t>
            </w:r>
          </w:p>
          <w:p w:rsidR="00D67EBE" w:rsidRPr="00FB26AF" w:rsidRDefault="00D67EBE" w:rsidP="006C2F1D">
            <w:pPr>
              <w:pStyle w:val="form-control-static"/>
              <w:shd w:val="clear" w:color="auto" w:fill="FFFFFF"/>
              <w:spacing w:before="0" w:beforeAutospacing="0" w:after="0" w:afterAutospacing="0"/>
              <w:rPr>
                <w:rFonts w:ascii="Arial Narrow" w:hAnsi="Arial Narrow" w:cs="Arial"/>
                <w:color w:val="333333"/>
              </w:rPr>
            </w:pPr>
          </w:p>
        </w:tc>
      </w:tr>
      <w:tr w:rsidR="00D26CB5" w:rsidRPr="00FB26AF" w:rsidTr="00701DE4">
        <w:trPr>
          <w:trHeight w:val="773"/>
        </w:trPr>
        <w:tc>
          <w:tcPr>
            <w:tcW w:w="9720" w:type="dxa"/>
            <w:gridSpan w:val="3"/>
          </w:tcPr>
          <w:p w:rsidR="00D26CB5" w:rsidRPr="00FB26AF" w:rsidRDefault="00D26CB5" w:rsidP="0092129C">
            <w:pPr>
              <w:pStyle w:val="form-control-static"/>
              <w:shd w:val="clear" w:color="auto" w:fill="FFFFFF"/>
              <w:spacing w:before="0" w:beforeAutospacing="0" w:after="0" w:afterAutospacing="0"/>
              <w:rPr>
                <w:rFonts w:ascii="Arial Narrow" w:hAnsi="Arial Narrow" w:cs="Arial"/>
                <w:b/>
              </w:rPr>
            </w:pPr>
            <w:r w:rsidRPr="00FB26AF">
              <w:rPr>
                <w:rFonts w:ascii="Arial Narrow" w:hAnsi="Arial Narrow" w:cs="Arial"/>
                <w:b/>
              </w:rPr>
              <w:t>Results on merits:</w:t>
            </w:r>
          </w:p>
          <w:p w:rsidR="00D26CB5" w:rsidRPr="00FB26AF" w:rsidRDefault="00FE69D0" w:rsidP="00C5049E">
            <w:pPr>
              <w:pStyle w:val="form-control-static"/>
              <w:shd w:val="clear" w:color="auto" w:fill="FFFFFF"/>
              <w:spacing w:before="0" w:beforeAutospacing="0" w:after="0" w:afterAutospacing="0"/>
              <w:rPr>
                <w:rFonts w:ascii="Arial Narrow" w:hAnsi="Arial Narrow" w:cs="Arial"/>
              </w:rPr>
            </w:pPr>
            <w:r w:rsidRPr="00FB26AF">
              <w:rPr>
                <w:rFonts w:ascii="Arial Narrow" w:hAnsi="Arial Narrow" w:cs="Arial"/>
              </w:rPr>
              <w:t>Not on</w:t>
            </w:r>
            <w:r w:rsidR="00D26CB5" w:rsidRPr="00FB26AF">
              <w:rPr>
                <w:rFonts w:ascii="Arial Narrow" w:hAnsi="Arial Narrow" w:cs="Arial"/>
              </w:rPr>
              <w:t xml:space="preserve"> the merits.</w:t>
            </w:r>
          </w:p>
        </w:tc>
      </w:tr>
      <w:tr w:rsidR="00D26CB5" w:rsidRPr="00FB26AF" w:rsidTr="0092129C">
        <w:tc>
          <w:tcPr>
            <w:tcW w:w="9720" w:type="dxa"/>
            <w:gridSpan w:val="3"/>
          </w:tcPr>
          <w:p w:rsidR="00D26CB5" w:rsidRPr="00FB26AF" w:rsidRDefault="00D26CB5" w:rsidP="0092129C">
            <w:pPr>
              <w:spacing w:line="360" w:lineRule="auto"/>
              <w:jc w:val="both"/>
              <w:rPr>
                <w:rFonts w:ascii="Arial Narrow" w:hAnsi="Arial Narrow" w:cs="Arial"/>
                <w:b/>
                <w:sz w:val="24"/>
                <w:szCs w:val="24"/>
              </w:rPr>
            </w:pPr>
            <w:r w:rsidRPr="00FB26AF">
              <w:rPr>
                <w:rFonts w:ascii="Arial Narrow" w:hAnsi="Arial Narrow" w:cs="Arial"/>
                <w:b/>
                <w:sz w:val="24"/>
                <w:szCs w:val="24"/>
              </w:rPr>
              <w:t>The order:</w:t>
            </w:r>
          </w:p>
          <w:p w:rsidR="00294FF2" w:rsidRPr="00FB26AF" w:rsidRDefault="00294FF2" w:rsidP="0092129C">
            <w:pPr>
              <w:spacing w:line="360" w:lineRule="auto"/>
              <w:jc w:val="both"/>
              <w:rPr>
                <w:rFonts w:ascii="Arial Narrow" w:hAnsi="Arial Narrow" w:cs="Arial"/>
                <w:sz w:val="24"/>
                <w:szCs w:val="24"/>
              </w:rPr>
            </w:pPr>
            <w:r w:rsidRPr="00FB26AF">
              <w:rPr>
                <w:rFonts w:ascii="Arial Narrow" w:hAnsi="Arial Narrow" w:cs="Arial"/>
                <w:sz w:val="24"/>
                <w:szCs w:val="24"/>
              </w:rPr>
              <w:t xml:space="preserve">Having </w:t>
            </w:r>
            <w:r w:rsidR="007D2B14" w:rsidRPr="00FB26AF">
              <w:rPr>
                <w:rFonts w:ascii="Arial Narrow" w:hAnsi="Arial Narrow" w:cs="Arial"/>
                <w:sz w:val="24"/>
                <w:szCs w:val="24"/>
              </w:rPr>
              <w:t xml:space="preserve">noted </w:t>
            </w:r>
            <w:r w:rsidR="00701DE4" w:rsidRPr="0082601E">
              <w:rPr>
                <w:rFonts w:ascii="Arial Narrow" w:hAnsi="Arial Narrow" w:cs="Arial"/>
                <w:sz w:val="24"/>
                <w:szCs w:val="24"/>
              </w:rPr>
              <w:t xml:space="preserve">the </w:t>
            </w:r>
            <w:r w:rsidR="007D2B14" w:rsidRPr="00FB26AF">
              <w:rPr>
                <w:rFonts w:ascii="Arial Narrow" w:hAnsi="Arial Narrow" w:cs="Arial"/>
                <w:sz w:val="24"/>
                <w:szCs w:val="24"/>
              </w:rPr>
              <w:t>non-appearance on behalf of the Plaintiff</w:t>
            </w:r>
            <w:r w:rsidR="007D2B14" w:rsidRPr="00FB26AF">
              <w:rPr>
                <w:rFonts w:ascii="Arial Narrow" w:hAnsi="Arial Narrow" w:cs="Arial"/>
                <w:b/>
                <w:sz w:val="24"/>
                <w:szCs w:val="24"/>
              </w:rPr>
              <w:t xml:space="preserve"> </w:t>
            </w:r>
            <w:r w:rsidR="007D2B14" w:rsidRPr="00FB26AF">
              <w:rPr>
                <w:rFonts w:ascii="Arial Narrow" w:hAnsi="Arial Narrow" w:cs="Arial"/>
                <w:sz w:val="24"/>
                <w:szCs w:val="24"/>
              </w:rPr>
              <w:t>and having</w:t>
            </w:r>
            <w:r w:rsidR="007D2B14" w:rsidRPr="00FB26AF">
              <w:rPr>
                <w:rFonts w:ascii="Arial Narrow" w:hAnsi="Arial Narrow" w:cs="Arial"/>
                <w:b/>
                <w:sz w:val="24"/>
                <w:szCs w:val="24"/>
              </w:rPr>
              <w:t xml:space="preserve"> </w:t>
            </w:r>
            <w:r w:rsidR="007D2B14" w:rsidRPr="00FB26AF">
              <w:rPr>
                <w:rFonts w:ascii="Arial Narrow" w:hAnsi="Arial Narrow" w:cs="Arial"/>
                <w:sz w:val="24"/>
                <w:szCs w:val="24"/>
              </w:rPr>
              <w:t>heard</w:t>
            </w:r>
            <w:r w:rsidR="007D2B14" w:rsidRPr="00FB26AF">
              <w:rPr>
                <w:rFonts w:ascii="Arial Narrow" w:hAnsi="Arial Narrow" w:cs="Arial"/>
                <w:b/>
                <w:sz w:val="24"/>
                <w:szCs w:val="24"/>
              </w:rPr>
              <w:t xml:space="preserve"> MICHELLE SAAIMAN</w:t>
            </w:r>
            <w:r w:rsidRPr="00FB26AF">
              <w:rPr>
                <w:rFonts w:ascii="Arial Narrow" w:hAnsi="Arial Narrow" w:cs="Arial"/>
                <w:sz w:val="24"/>
                <w:szCs w:val="24"/>
              </w:rPr>
              <w:t xml:space="preserve">, </w:t>
            </w:r>
            <w:r w:rsidR="007D2B14" w:rsidRPr="00FB26AF">
              <w:rPr>
                <w:rFonts w:ascii="Arial Narrow" w:hAnsi="Arial Narrow" w:cs="Arial"/>
                <w:sz w:val="24"/>
                <w:szCs w:val="24"/>
              </w:rPr>
              <w:t xml:space="preserve">on behalf of the Defendant </w:t>
            </w:r>
            <w:r w:rsidRPr="00FB26AF">
              <w:rPr>
                <w:rFonts w:ascii="Arial Narrow" w:hAnsi="Arial Narrow" w:cs="Arial"/>
                <w:sz w:val="24"/>
                <w:szCs w:val="24"/>
              </w:rPr>
              <w:t>and having read the documents filed of record:</w:t>
            </w:r>
          </w:p>
          <w:p w:rsidR="00311F65" w:rsidRPr="00FB26AF" w:rsidRDefault="00D26CB5" w:rsidP="00311F65">
            <w:pPr>
              <w:spacing w:line="360" w:lineRule="auto"/>
              <w:jc w:val="both"/>
              <w:rPr>
                <w:rFonts w:ascii="Arial Narrow" w:hAnsi="Arial Narrow" w:cs="Arial"/>
                <w:b/>
                <w:sz w:val="24"/>
                <w:szCs w:val="24"/>
              </w:rPr>
            </w:pPr>
            <w:r w:rsidRPr="00FB26AF">
              <w:rPr>
                <w:rFonts w:ascii="Arial Narrow" w:hAnsi="Arial Narrow" w:cs="Arial"/>
                <w:b/>
                <w:sz w:val="24"/>
                <w:szCs w:val="24"/>
              </w:rPr>
              <w:t xml:space="preserve">IT IS </w:t>
            </w:r>
            <w:r w:rsidR="00701DE4" w:rsidRPr="0082601E">
              <w:rPr>
                <w:rFonts w:ascii="Arial Narrow" w:hAnsi="Arial Narrow" w:cs="Arial"/>
                <w:b/>
                <w:sz w:val="24"/>
                <w:szCs w:val="24"/>
              </w:rPr>
              <w:t xml:space="preserve">HEREBY </w:t>
            </w:r>
            <w:r w:rsidRPr="00FB26AF">
              <w:rPr>
                <w:rFonts w:ascii="Arial Narrow" w:hAnsi="Arial Narrow" w:cs="Arial"/>
                <w:b/>
                <w:sz w:val="24"/>
                <w:szCs w:val="24"/>
              </w:rPr>
              <w:t>ORDERED THAT:</w:t>
            </w:r>
          </w:p>
          <w:p w:rsidR="00311F65" w:rsidRPr="00FB26AF" w:rsidRDefault="00311F65" w:rsidP="00311F65">
            <w:pPr>
              <w:pStyle w:val="ListParagraph"/>
              <w:numPr>
                <w:ilvl w:val="0"/>
                <w:numId w:val="10"/>
              </w:numPr>
              <w:spacing w:line="360" w:lineRule="auto"/>
              <w:jc w:val="both"/>
              <w:rPr>
                <w:rFonts w:ascii="Arial Narrow" w:hAnsi="Arial Narrow" w:cs="Arial"/>
                <w:sz w:val="24"/>
                <w:szCs w:val="24"/>
              </w:rPr>
            </w:pPr>
            <w:r w:rsidRPr="00FB26AF">
              <w:rPr>
                <w:rFonts w:ascii="Arial Narrow" w:hAnsi="Arial Narrow" w:cs="Arial"/>
                <w:sz w:val="24"/>
                <w:szCs w:val="24"/>
              </w:rPr>
              <w:t>The application for condonation is struck from the roll for failure to comply with Rule 32(9) and (10).</w:t>
            </w:r>
          </w:p>
          <w:p w:rsidR="00311F65" w:rsidRPr="00FB26AF" w:rsidRDefault="00311F65" w:rsidP="00311F65">
            <w:pPr>
              <w:pStyle w:val="ListParagraph"/>
              <w:numPr>
                <w:ilvl w:val="0"/>
                <w:numId w:val="10"/>
              </w:numPr>
              <w:spacing w:before="100" w:beforeAutospacing="1" w:after="100" w:afterAutospacing="1"/>
              <w:jc w:val="both"/>
              <w:rPr>
                <w:rFonts w:ascii="Arial Narrow" w:eastAsia="Times New Roman" w:hAnsi="Arial Narrow" w:cs="Times New Roman"/>
                <w:color w:val="000000"/>
                <w:sz w:val="24"/>
                <w:szCs w:val="24"/>
                <w:lang w:eastAsia="en-ZA"/>
              </w:rPr>
            </w:pPr>
            <w:r w:rsidRPr="00FB26AF">
              <w:rPr>
                <w:rFonts w:ascii="Arial Narrow" w:hAnsi="Arial Narrow" w:cs="Arial"/>
                <w:sz w:val="24"/>
                <w:szCs w:val="24"/>
              </w:rPr>
              <w:t>The defendant is ordered to pay the costs limited in terms of the provisions of Rule 32(11).</w:t>
            </w:r>
          </w:p>
          <w:p w:rsidR="006C05AC" w:rsidRPr="00FB26AF" w:rsidRDefault="006C05AC" w:rsidP="006C05AC">
            <w:pPr>
              <w:pStyle w:val="ListParagraph"/>
              <w:spacing w:before="100" w:beforeAutospacing="1" w:after="100" w:afterAutospacing="1"/>
              <w:jc w:val="both"/>
              <w:rPr>
                <w:rFonts w:ascii="Arial Narrow" w:eastAsia="Times New Roman" w:hAnsi="Arial Narrow" w:cs="Times New Roman"/>
                <w:color w:val="000000"/>
                <w:sz w:val="24"/>
                <w:szCs w:val="24"/>
                <w:lang w:eastAsia="en-ZA"/>
              </w:rPr>
            </w:pPr>
          </w:p>
          <w:p w:rsidR="00311F65" w:rsidRPr="00FB26AF" w:rsidRDefault="00311F65" w:rsidP="00311F65">
            <w:pPr>
              <w:pStyle w:val="ListParagraph"/>
              <w:numPr>
                <w:ilvl w:val="0"/>
                <w:numId w:val="10"/>
              </w:numPr>
              <w:spacing w:before="100" w:beforeAutospacing="1" w:after="100" w:afterAutospacing="1"/>
              <w:jc w:val="both"/>
              <w:rPr>
                <w:rFonts w:ascii="Arial Narrow" w:eastAsia="Times New Roman" w:hAnsi="Arial Narrow" w:cs="Times New Roman"/>
                <w:color w:val="000000"/>
                <w:sz w:val="24"/>
                <w:szCs w:val="24"/>
                <w:lang w:eastAsia="en-ZA"/>
              </w:rPr>
            </w:pPr>
            <w:r w:rsidRPr="00FB26AF">
              <w:rPr>
                <w:rFonts w:ascii="Arial Narrow" w:eastAsia="Times New Roman" w:hAnsi="Arial Narrow" w:cs="Times New Roman"/>
                <w:color w:val="000000"/>
                <w:sz w:val="24"/>
                <w:szCs w:val="24"/>
                <w:lang w:eastAsia="en-ZA"/>
              </w:rPr>
              <w:t>The parties must comply with the following procedural steps: </w:t>
            </w:r>
          </w:p>
          <w:p w:rsidR="00311F65" w:rsidRPr="00FB26AF" w:rsidRDefault="00311F65" w:rsidP="00311F65">
            <w:pPr>
              <w:spacing w:before="100" w:beforeAutospacing="1" w:after="100" w:afterAutospacing="1"/>
              <w:ind w:left="1080"/>
              <w:jc w:val="both"/>
              <w:rPr>
                <w:rFonts w:ascii="Arial Narrow" w:eastAsia="Times New Roman" w:hAnsi="Arial Narrow" w:cs="Times New Roman"/>
                <w:color w:val="000000"/>
                <w:sz w:val="24"/>
                <w:szCs w:val="24"/>
                <w:lang w:eastAsia="en-ZA"/>
              </w:rPr>
            </w:pPr>
            <w:r w:rsidRPr="00FB26AF">
              <w:rPr>
                <w:rFonts w:ascii="Arial Narrow" w:eastAsia="Times New Roman" w:hAnsi="Arial Narrow" w:cs="Times New Roman"/>
                <w:color w:val="000000"/>
                <w:sz w:val="24"/>
                <w:szCs w:val="24"/>
                <w:lang w:eastAsia="en-ZA"/>
              </w:rPr>
              <w:t>3.1 The defendant must comply with Rule 32(9) on or before 9 July 2020;</w:t>
            </w:r>
          </w:p>
          <w:p w:rsidR="00311F65" w:rsidRPr="00FB26AF" w:rsidRDefault="00311F65" w:rsidP="00311F65">
            <w:pPr>
              <w:spacing w:before="100" w:beforeAutospacing="1" w:after="100" w:afterAutospacing="1"/>
              <w:ind w:left="1080"/>
              <w:jc w:val="both"/>
              <w:rPr>
                <w:rFonts w:ascii="Arial Narrow" w:eastAsia="Times New Roman" w:hAnsi="Arial Narrow" w:cs="Times New Roman"/>
                <w:color w:val="000000"/>
                <w:sz w:val="24"/>
                <w:szCs w:val="24"/>
                <w:lang w:eastAsia="en-ZA"/>
              </w:rPr>
            </w:pPr>
            <w:r w:rsidRPr="00FB26AF">
              <w:rPr>
                <w:rFonts w:ascii="Arial Narrow" w:eastAsia="Times New Roman" w:hAnsi="Arial Narrow" w:cs="Times New Roman"/>
                <w:color w:val="000000"/>
                <w:sz w:val="24"/>
                <w:szCs w:val="24"/>
                <w:lang w:eastAsia="en-ZA"/>
              </w:rPr>
              <w:t>3.2 The defendant must file the report in terms of Rule 32(10) on or before 13 July 2020;</w:t>
            </w:r>
          </w:p>
          <w:p w:rsidR="00311F65" w:rsidRPr="00FB26AF" w:rsidRDefault="00311F65" w:rsidP="00311F65">
            <w:pPr>
              <w:spacing w:before="100" w:beforeAutospacing="1" w:after="100" w:afterAutospacing="1"/>
              <w:ind w:left="1080"/>
              <w:jc w:val="both"/>
              <w:rPr>
                <w:rFonts w:ascii="Arial Narrow" w:eastAsia="Times New Roman" w:hAnsi="Arial Narrow" w:cs="Times New Roman"/>
                <w:color w:val="000000"/>
                <w:sz w:val="24"/>
                <w:szCs w:val="24"/>
                <w:lang w:eastAsia="en-ZA"/>
              </w:rPr>
            </w:pPr>
            <w:r w:rsidRPr="00FB26AF">
              <w:rPr>
                <w:rFonts w:ascii="Arial Narrow" w:eastAsia="Times New Roman" w:hAnsi="Arial Narrow" w:cs="Times New Roman"/>
                <w:color w:val="000000"/>
                <w:sz w:val="24"/>
                <w:szCs w:val="24"/>
                <w:lang w:eastAsia="en-ZA"/>
              </w:rPr>
              <w:t>3.3</w:t>
            </w:r>
            <w:r w:rsidR="005B5CFB" w:rsidRPr="00FB26AF">
              <w:rPr>
                <w:rFonts w:ascii="Arial Narrow" w:eastAsia="Times New Roman" w:hAnsi="Arial Narrow" w:cs="Times New Roman"/>
                <w:color w:val="000000"/>
                <w:sz w:val="24"/>
                <w:szCs w:val="24"/>
                <w:lang w:eastAsia="en-ZA"/>
              </w:rPr>
              <w:t xml:space="preserve"> </w:t>
            </w:r>
            <w:r w:rsidRPr="00FB26AF">
              <w:rPr>
                <w:rFonts w:ascii="Arial Narrow" w:eastAsia="Times New Roman" w:hAnsi="Arial Narrow" w:cs="Times New Roman"/>
                <w:color w:val="000000"/>
                <w:sz w:val="24"/>
                <w:szCs w:val="24"/>
                <w:lang w:eastAsia="en-ZA"/>
              </w:rPr>
              <w:t>The defendant must file a fresh application for condonation on or before 17 July 2020;</w:t>
            </w:r>
          </w:p>
          <w:p w:rsidR="00311F65" w:rsidRPr="00FB26AF" w:rsidRDefault="00311F65" w:rsidP="00311F65">
            <w:pPr>
              <w:pStyle w:val="ListParagraph"/>
              <w:numPr>
                <w:ilvl w:val="1"/>
                <w:numId w:val="11"/>
              </w:numPr>
              <w:spacing w:before="100" w:beforeAutospacing="1" w:after="100" w:afterAutospacing="1"/>
              <w:jc w:val="both"/>
              <w:rPr>
                <w:rFonts w:ascii="Arial Narrow" w:eastAsia="Times New Roman" w:hAnsi="Arial Narrow" w:cs="Times New Roman"/>
                <w:color w:val="000000"/>
                <w:sz w:val="24"/>
                <w:szCs w:val="24"/>
                <w:lang w:eastAsia="en-ZA"/>
              </w:rPr>
            </w:pPr>
            <w:r w:rsidRPr="00FB26AF">
              <w:rPr>
                <w:rFonts w:ascii="Arial Narrow" w:eastAsia="Times New Roman" w:hAnsi="Arial Narrow" w:cs="Times New Roman"/>
                <w:color w:val="000000"/>
                <w:sz w:val="24"/>
                <w:szCs w:val="24"/>
                <w:lang w:eastAsia="en-ZA"/>
              </w:rPr>
              <w:t>The plaintiff must file amplified answering papers on or before 23 July 2020, if any.</w:t>
            </w:r>
          </w:p>
          <w:p w:rsidR="005B5CFB" w:rsidRPr="00FB26AF" w:rsidRDefault="005B5CFB" w:rsidP="005B5CFB">
            <w:pPr>
              <w:pStyle w:val="ListParagraph"/>
              <w:spacing w:before="100" w:beforeAutospacing="1" w:after="100" w:afterAutospacing="1"/>
              <w:ind w:left="360"/>
              <w:jc w:val="both"/>
              <w:rPr>
                <w:rFonts w:ascii="Arial Narrow" w:eastAsia="Times New Roman" w:hAnsi="Arial Narrow" w:cs="Times New Roman"/>
                <w:color w:val="000000"/>
                <w:sz w:val="24"/>
                <w:szCs w:val="24"/>
                <w:lang w:eastAsia="en-ZA"/>
              </w:rPr>
            </w:pPr>
          </w:p>
          <w:p w:rsidR="00311F65" w:rsidRPr="00FB26AF" w:rsidRDefault="00311F65" w:rsidP="00311F65">
            <w:pPr>
              <w:pStyle w:val="ListParagraph"/>
              <w:numPr>
                <w:ilvl w:val="0"/>
                <w:numId w:val="10"/>
              </w:numPr>
              <w:spacing w:before="100" w:beforeAutospacing="1" w:after="100" w:afterAutospacing="1"/>
              <w:jc w:val="both"/>
              <w:rPr>
                <w:rFonts w:ascii="Arial Narrow" w:eastAsia="Times New Roman" w:hAnsi="Arial Narrow" w:cs="Times New Roman"/>
                <w:color w:val="000000"/>
                <w:sz w:val="24"/>
                <w:szCs w:val="24"/>
                <w:lang w:eastAsia="en-ZA"/>
              </w:rPr>
            </w:pPr>
            <w:r w:rsidRPr="00FB26AF">
              <w:rPr>
                <w:rFonts w:ascii="Arial Narrow" w:eastAsia="Times New Roman" w:hAnsi="Arial Narrow" w:cs="Times New Roman"/>
                <w:color w:val="000000"/>
                <w:sz w:val="24"/>
                <w:szCs w:val="24"/>
                <w:lang w:eastAsia="en-ZA"/>
              </w:rPr>
              <w:t xml:space="preserve">The case is postponed to </w:t>
            </w:r>
            <w:r w:rsidRPr="00FB26AF">
              <w:rPr>
                <w:rFonts w:ascii="Arial Narrow" w:eastAsia="Times New Roman" w:hAnsi="Arial Narrow" w:cs="Times New Roman"/>
                <w:b/>
                <w:color w:val="000000"/>
                <w:sz w:val="24"/>
                <w:szCs w:val="24"/>
                <w:lang w:eastAsia="en-ZA"/>
              </w:rPr>
              <w:t>30/07/2020</w:t>
            </w:r>
            <w:r w:rsidRPr="00FB26AF">
              <w:rPr>
                <w:rFonts w:ascii="Arial Narrow" w:eastAsia="Times New Roman" w:hAnsi="Arial Narrow" w:cs="Times New Roman"/>
                <w:color w:val="000000"/>
                <w:sz w:val="24"/>
                <w:szCs w:val="24"/>
                <w:lang w:eastAsia="en-ZA"/>
              </w:rPr>
              <w:t xml:space="preserve"> at </w:t>
            </w:r>
            <w:r w:rsidRPr="00FB26AF">
              <w:rPr>
                <w:rFonts w:ascii="Arial Narrow" w:eastAsia="Times New Roman" w:hAnsi="Arial Narrow" w:cs="Times New Roman"/>
                <w:b/>
                <w:color w:val="000000"/>
                <w:sz w:val="24"/>
                <w:szCs w:val="24"/>
                <w:lang w:eastAsia="en-ZA"/>
              </w:rPr>
              <w:t>15:00</w:t>
            </w:r>
            <w:r w:rsidRPr="00FB26AF">
              <w:rPr>
                <w:rFonts w:ascii="Arial Narrow" w:eastAsia="Times New Roman" w:hAnsi="Arial Narrow" w:cs="Times New Roman"/>
                <w:color w:val="000000"/>
                <w:sz w:val="24"/>
                <w:szCs w:val="24"/>
                <w:lang w:eastAsia="en-ZA"/>
              </w:rPr>
              <w:t xml:space="preserve"> for Status hearing (Reason: Interlocutory (To Bring)).</w:t>
            </w:r>
          </w:p>
          <w:p w:rsidR="0086662D" w:rsidRPr="00FB26AF" w:rsidRDefault="0086662D" w:rsidP="00BA33A1">
            <w:pPr>
              <w:pStyle w:val="ListParagraph"/>
              <w:spacing w:line="360" w:lineRule="auto"/>
              <w:jc w:val="both"/>
              <w:rPr>
                <w:rFonts w:ascii="Arial Narrow" w:hAnsi="Arial Narrow" w:cs="Arial"/>
                <w:sz w:val="24"/>
                <w:szCs w:val="24"/>
              </w:rPr>
            </w:pPr>
          </w:p>
        </w:tc>
      </w:tr>
      <w:tr w:rsidR="00D26CB5" w:rsidRPr="00FB26AF" w:rsidTr="0092129C">
        <w:tc>
          <w:tcPr>
            <w:tcW w:w="9720" w:type="dxa"/>
            <w:gridSpan w:val="3"/>
          </w:tcPr>
          <w:p w:rsidR="00D26CB5" w:rsidRPr="00FB26AF" w:rsidRDefault="00D26CB5" w:rsidP="0092129C">
            <w:pPr>
              <w:spacing w:line="360" w:lineRule="auto"/>
              <w:jc w:val="both"/>
              <w:rPr>
                <w:rFonts w:ascii="Arial Narrow" w:hAnsi="Arial Narrow" w:cs="Arial"/>
                <w:b/>
                <w:sz w:val="24"/>
                <w:szCs w:val="24"/>
              </w:rPr>
            </w:pPr>
            <w:r w:rsidRPr="00FB26AF">
              <w:rPr>
                <w:rFonts w:ascii="Arial Narrow" w:hAnsi="Arial Narrow" w:cs="Arial"/>
                <w:b/>
                <w:sz w:val="24"/>
                <w:szCs w:val="24"/>
              </w:rPr>
              <w:t>Reasons for orders:</w:t>
            </w:r>
          </w:p>
        </w:tc>
      </w:tr>
      <w:tr w:rsidR="00D26CB5" w:rsidRPr="00FB26AF" w:rsidTr="0092129C">
        <w:tc>
          <w:tcPr>
            <w:tcW w:w="9720" w:type="dxa"/>
            <w:gridSpan w:val="3"/>
          </w:tcPr>
          <w:p w:rsidR="00A11382" w:rsidRPr="00FB26AF" w:rsidRDefault="00CE700B" w:rsidP="00FB26AF">
            <w:pPr>
              <w:spacing w:line="360" w:lineRule="auto"/>
              <w:jc w:val="both"/>
              <w:rPr>
                <w:rFonts w:ascii="Arial Narrow" w:hAnsi="Arial Narrow" w:cs="Arial"/>
                <w:sz w:val="24"/>
                <w:szCs w:val="24"/>
              </w:rPr>
            </w:pPr>
            <w:r w:rsidRPr="00FB26AF">
              <w:rPr>
                <w:rFonts w:ascii="Arial Narrow" w:hAnsi="Arial Narrow" w:cs="Arial"/>
                <w:sz w:val="24"/>
                <w:szCs w:val="24"/>
              </w:rPr>
              <w:t>PRINSLOO J</w:t>
            </w:r>
          </w:p>
          <w:p w:rsidR="00FB26AF" w:rsidRPr="00FB26AF" w:rsidRDefault="00FB26AF" w:rsidP="00FB26AF">
            <w:pPr>
              <w:spacing w:line="360" w:lineRule="auto"/>
              <w:jc w:val="both"/>
              <w:rPr>
                <w:rFonts w:ascii="Arial Narrow" w:hAnsi="Arial Narrow" w:cs="Arial"/>
                <w:sz w:val="24"/>
                <w:szCs w:val="24"/>
              </w:rPr>
            </w:pPr>
          </w:p>
          <w:p w:rsidR="002C06EC" w:rsidRPr="00FB26AF" w:rsidRDefault="002C06EC" w:rsidP="00FB26AF">
            <w:pPr>
              <w:spacing w:line="360" w:lineRule="auto"/>
              <w:jc w:val="both"/>
              <w:rPr>
                <w:rFonts w:ascii="Arial Narrow" w:hAnsi="Arial Narrow" w:cs="Arial"/>
                <w:sz w:val="24"/>
                <w:szCs w:val="24"/>
                <w:u w:val="single"/>
              </w:rPr>
            </w:pPr>
            <w:r w:rsidRPr="00FB26AF">
              <w:rPr>
                <w:rFonts w:ascii="Arial Narrow" w:hAnsi="Arial Narrow" w:cs="Arial"/>
                <w:sz w:val="24"/>
                <w:szCs w:val="24"/>
                <w:u w:val="single"/>
              </w:rPr>
              <w:t>The parties</w:t>
            </w:r>
          </w:p>
          <w:p w:rsidR="00FB26AF" w:rsidRPr="00FB26AF" w:rsidRDefault="00FB26AF" w:rsidP="00FB26AF">
            <w:pPr>
              <w:spacing w:line="360" w:lineRule="auto"/>
              <w:jc w:val="both"/>
              <w:rPr>
                <w:rFonts w:ascii="Arial Narrow" w:hAnsi="Arial Narrow" w:cs="Arial"/>
                <w:sz w:val="24"/>
                <w:szCs w:val="24"/>
                <w:u w:val="single"/>
              </w:rPr>
            </w:pPr>
          </w:p>
          <w:p w:rsidR="007521D1" w:rsidRPr="00FB26AF" w:rsidRDefault="007521D1" w:rsidP="0082601E">
            <w:pPr>
              <w:spacing w:line="360" w:lineRule="auto"/>
              <w:jc w:val="both"/>
              <w:rPr>
                <w:rFonts w:ascii="Arial Narrow" w:hAnsi="Arial Narrow"/>
                <w:sz w:val="24"/>
                <w:szCs w:val="24"/>
              </w:rPr>
            </w:pPr>
            <w:r w:rsidRPr="00FB26AF">
              <w:rPr>
                <w:rFonts w:ascii="Arial Narrow" w:hAnsi="Arial Narrow"/>
                <w:sz w:val="24"/>
                <w:szCs w:val="24"/>
              </w:rPr>
              <w:t>[</w:t>
            </w:r>
            <w:r w:rsidR="007D2B14" w:rsidRPr="00FB26AF">
              <w:rPr>
                <w:rFonts w:ascii="Arial Narrow" w:hAnsi="Arial Narrow"/>
                <w:sz w:val="24"/>
                <w:szCs w:val="24"/>
              </w:rPr>
              <w:t>1</w:t>
            </w:r>
            <w:r w:rsidRPr="00FB26AF">
              <w:rPr>
                <w:rFonts w:ascii="Arial Narrow" w:hAnsi="Arial Narrow"/>
                <w:sz w:val="24"/>
                <w:szCs w:val="24"/>
              </w:rPr>
              <w:t>]</w:t>
            </w:r>
            <w:r w:rsidRPr="00FB26AF">
              <w:rPr>
                <w:rFonts w:ascii="Arial Narrow" w:hAnsi="Arial Narrow"/>
                <w:sz w:val="24"/>
                <w:szCs w:val="24"/>
              </w:rPr>
              <w:tab/>
              <w:t>The plaintiff</w:t>
            </w:r>
            <w:r w:rsidR="00481A5C" w:rsidRPr="00FB26AF">
              <w:rPr>
                <w:rStyle w:val="FootnoteReference"/>
                <w:rFonts w:ascii="Arial Narrow" w:hAnsi="Arial Narrow"/>
                <w:sz w:val="24"/>
                <w:szCs w:val="24"/>
              </w:rPr>
              <w:footnoteReference w:id="1"/>
            </w:r>
            <w:r w:rsidRPr="00FB26AF">
              <w:rPr>
                <w:rFonts w:ascii="Arial Narrow" w:hAnsi="Arial Narrow"/>
                <w:sz w:val="24"/>
                <w:szCs w:val="24"/>
              </w:rPr>
              <w:t xml:space="preserve"> is TransNamib Holdings Limited, who issued summons against the defendant, Delux Trading CC on 9 September 2019 for breach of a written lease agreement entered into between the parties on 27 October 2017</w:t>
            </w:r>
            <w:r w:rsidR="006C05AC" w:rsidRPr="00FB26AF">
              <w:rPr>
                <w:rFonts w:ascii="Arial Narrow" w:hAnsi="Arial Narrow"/>
                <w:sz w:val="24"/>
                <w:szCs w:val="24"/>
              </w:rPr>
              <w:t>. In terms of its particulars of claim</w:t>
            </w:r>
            <w:r w:rsidR="007D2B14" w:rsidRPr="00FB26AF">
              <w:rPr>
                <w:rFonts w:ascii="Arial Narrow" w:hAnsi="Arial Narrow"/>
                <w:sz w:val="24"/>
                <w:szCs w:val="24"/>
              </w:rPr>
              <w:t xml:space="preserve"> t</w:t>
            </w:r>
            <w:r w:rsidRPr="00FB26AF">
              <w:rPr>
                <w:rFonts w:ascii="Arial Narrow" w:hAnsi="Arial Narrow"/>
                <w:sz w:val="24"/>
                <w:szCs w:val="24"/>
              </w:rPr>
              <w:t xml:space="preserve">he plaintiff is seeking an order for cancellation of the said lease agreement and an order ejecting the defendant from the property in question.   </w:t>
            </w:r>
          </w:p>
          <w:p w:rsidR="00FB26AF" w:rsidRPr="00FB26AF" w:rsidRDefault="00FB26AF" w:rsidP="00FB26AF">
            <w:pPr>
              <w:spacing w:line="360" w:lineRule="auto"/>
              <w:rPr>
                <w:rFonts w:ascii="Arial Narrow" w:hAnsi="Arial Narrow"/>
                <w:sz w:val="24"/>
                <w:szCs w:val="24"/>
              </w:rPr>
            </w:pPr>
          </w:p>
          <w:p w:rsidR="007521D1" w:rsidRPr="00FB26AF" w:rsidRDefault="002C06EC" w:rsidP="00FB26AF">
            <w:pPr>
              <w:spacing w:line="360" w:lineRule="auto"/>
              <w:rPr>
                <w:rFonts w:ascii="Arial Narrow" w:hAnsi="Arial Narrow"/>
                <w:sz w:val="24"/>
                <w:szCs w:val="24"/>
                <w:u w:val="single"/>
              </w:rPr>
            </w:pPr>
            <w:r w:rsidRPr="00FB26AF">
              <w:rPr>
                <w:rFonts w:ascii="Arial Narrow" w:hAnsi="Arial Narrow"/>
                <w:sz w:val="24"/>
                <w:szCs w:val="24"/>
                <w:u w:val="single"/>
              </w:rPr>
              <w:t>Brief background</w:t>
            </w:r>
          </w:p>
          <w:p w:rsidR="00FB26AF" w:rsidRPr="00FB26AF" w:rsidRDefault="00FB26AF" w:rsidP="00FB26AF">
            <w:pPr>
              <w:spacing w:line="360" w:lineRule="auto"/>
              <w:rPr>
                <w:rFonts w:ascii="Arial Narrow" w:hAnsi="Arial Narrow"/>
                <w:sz w:val="24"/>
                <w:szCs w:val="24"/>
                <w:u w:val="single"/>
              </w:rPr>
            </w:pPr>
          </w:p>
          <w:p w:rsidR="007521D1" w:rsidRPr="00FB26AF" w:rsidRDefault="007521D1" w:rsidP="00FB26AF">
            <w:pPr>
              <w:spacing w:line="360" w:lineRule="auto"/>
              <w:rPr>
                <w:rFonts w:ascii="Arial Narrow" w:hAnsi="Arial Narrow"/>
                <w:sz w:val="24"/>
                <w:szCs w:val="24"/>
              </w:rPr>
            </w:pPr>
            <w:r w:rsidRPr="00FB26AF">
              <w:rPr>
                <w:rFonts w:ascii="Arial Narrow" w:hAnsi="Arial Narrow"/>
                <w:sz w:val="24"/>
                <w:szCs w:val="24"/>
              </w:rPr>
              <w:t>[</w:t>
            </w:r>
            <w:r w:rsidR="005B5CFB" w:rsidRPr="00FB26AF">
              <w:rPr>
                <w:rFonts w:ascii="Arial Narrow" w:hAnsi="Arial Narrow"/>
                <w:sz w:val="24"/>
                <w:szCs w:val="24"/>
              </w:rPr>
              <w:t>2</w:t>
            </w:r>
            <w:r w:rsidRPr="00FB26AF">
              <w:rPr>
                <w:rFonts w:ascii="Arial Narrow" w:hAnsi="Arial Narrow"/>
                <w:sz w:val="24"/>
                <w:szCs w:val="24"/>
              </w:rPr>
              <w:t>]</w:t>
            </w:r>
            <w:r w:rsidRPr="00FB26AF">
              <w:rPr>
                <w:rFonts w:ascii="Arial Narrow" w:hAnsi="Arial Narrow"/>
                <w:sz w:val="24"/>
                <w:szCs w:val="24"/>
              </w:rPr>
              <w:tab/>
              <w:t>The defendant defended the action on 18 October 2019 and the parties were issued with a notice for a case planning conference to be held on 7 November 2019.</w:t>
            </w:r>
          </w:p>
          <w:p w:rsidR="007521D1" w:rsidRPr="00FB26AF" w:rsidRDefault="007521D1" w:rsidP="00FB26AF">
            <w:pPr>
              <w:spacing w:line="360" w:lineRule="auto"/>
              <w:rPr>
                <w:rFonts w:ascii="Arial Narrow" w:hAnsi="Arial Narrow"/>
                <w:sz w:val="24"/>
                <w:szCs w:val="24"/>
              </w:rPr>
            </w:pPr>
          </w:p>
          <w:p w:rsidR="007521D1" w:rsidRPr="00FB26AF" w:rsidRDefault="007521D1" w:rsidP="00FB26AF">
            <w:pPr>
              <w:spacing w:line="360" w:lineRule="auto"/>
              <w:rPr>
                <w:rFonts w:ascii="Arial Narrow" w:hAnsi="Arial Narrow"/>
                <w:sz w:val="24"/>
                <w:szCs w:val="24"/>
              </w:rPr>
            </w:pPr>
            <w:r w:rsidRPr="00FB26AF">
              <w:rPr>
                <w:rFonts w:ascii="Arial Narrow" w:hAnsi="Arial Narrow"/>
                <w:sz w:val="24"/>
                <w:szCs w:val="24"/>
              </w:rPr>
              <w:t>[</w:t>
            </w:r>
            <w:r w:rsidR="005B5CFB" w:rsidRPr="00FB26AF">
              <w:rPr>
                <w:rFonts w:ascii="Arial Narrow" w:hAnsi="Arial Narrow"/>
                <w:sz w:val="24"/>
                <w:szCs w:val="24"/>
              </w:rPr>
              <w:t>3</w:t>
            </w:r>
            <w:r w:rsidRPr="00FB26AF">
              <w:rPr>
                <w:rFonts w:ascii="Arial Narrow" w:hAnsi="Arial Narrow"/>
                <w:sz w:val="24"/>
                <w:szCs w:val="24"/>
              </w:rPr>
              <w:t>]</w:t>
            </w:r>
            <w:r w:rsidRPr="00FB26AF">
              <w:rPr>
                <w:rFonts w:ascii="Arial Narrow" w:hAnsi="Arial Narrow"/>
                <w:sz w:val="24"/>
                <w:szCs w:val="24"/>
              </w:rPr>
              <w:tab/>
            </w:r>
            <w:r w:rsidR="007D2B14" w:rsidRPr="00FB26AF">
              <w:rPr>
                <w:rFonts w:ascii="Arial Narrow" w:hAnsi="Arial Narrow"/>
                <w:sz w:val="24"/>
                <w:szCs w:val="24"/>
              </w:rPr>
              <w:t>In its unilateral case plan the plaintiff indicated that it wishes to move for an application for summary judgment against the defendant.</w:t>
            </w:r>
            <w:r w:rsidR="006C05AC" w:rsidRPr="00FB26AF">
              <w:rPr>
                <w:rFonts w:ascii="Arial Narrow" w:hAnsi="Arial Narrow"/>
                <w:sz w:val="24"/>
                <w:szCs w:val="24"/>
              </w:rPr>
              <w:t xml:space="preserve"> </w:t>
            </w:r>
            <w:r w:rsidR="007D2B14" w:rsidRPr="00FB26AF">
              <w:rPr>
                <w:rFonts w:ascii="Arial Narrow" w:hAnsi="Arial Narrow"/>
                <w:sz w:val="24"/>
                <w:szCs w:val="24"/>
              </w:rPr>
              <w:t xml:space="preserve"> O</w:t>
            </w:r>
            <w:r w:rsidRPr="00FB26AF">
              <w:rPr>
                <w:rFonts w:ascii="Arial Narrow" w:hAnsi="Arial Narrow"/>
                <w:sz w:val="24"/>
                <w:szCs w:val="24"/>
              </w:rPr>
              <w:t xml:space="preserve">n 6 November 2020 this court issued a case planning order in terms of which the parties </w:t>
            </w:r>
            <w:r w:rsidR="006C05AC" w:rsidRPr="00FB26AF">
              <w:rPr>
                <w:rFonts w:ascii="Arial Narrow" w:hAnsi="Arial Narrow"/>
                <w:sz w:val="24"/>
                <w:szCs w:val="24"/>
              </w:rPr>
              <w:t xml:space="preserve">were ordered </w:t>
            </w:r>
            <w:r w:rsidRPr="00FB26AF">
              <w:rPr>
                <w:rFonts w:ascii="Arial Narrow" w:hAnsi="Arial Narrow"/>
                <w:sz w:val="24"/>
                <w:szCs w:val="24"/>
              </w:rPr>
              <w:t>to comply with the following procedural steps:</w:t>
            </w:r>
          </w:p>
          <w:p w:rsidR="00FB26AF" w:rsidRPr="00FB26AF" w:rsidRDefault="00FB26AF" w:rsidP="00FB26AF">
            <w:pPr>
              <w:spacing w:line="360" w:lineRule="auto"/>
              <w:rPr>
                <w:rFonts w:ascii="Arial Narrow" w:hAnsi="Arial Narrow"/>
                <w:sz w:val="24"/>
                <w:szCs w:val="24"/>
              </w:rPr>
            </w:pPr>
          </w:p>
          <w:p w:rsidR="007521D1" w:rsidRPr="00FB26AF" w:rsidRDefault="007521D1" w:rsidP="00FB26AF">
            <w:pPr>
              <w:pStyle w:val="ListParagraph"/>
              <w:numPr>
                <w:ilvl w:val="0"/>
                <w:numId w:val="9"/>
              </w:numPr>
              <w:spacing w:line="360" w:lineRule="auto"/>
              <w:rPr>
                <w:rFonts w:ascii="Arial Narrow" w:hAnsi="Arial Narrow"/>
                <w:sz w:val="24"/>
                <w:szCs w:val="24"/>
              </w:rPr>
            </w:pPr>
            <w:r w:rsidRPr="00FB26AF">
              <w:rPr>
                <w:rFonts w:ascii="Arial Narrow" w:hAnsi="Arial Narrow"/>
                <w:sz w:val="24"/>
                <w:szCs w:val="24"/>
              </w:rPr>
              <w:t>The plaintiff had to comply with rule 32(9)on or before 13 November 2019;</w:t>
            </w:r>
          </w:p>
          <w:p w:rsidR="007521D1" w:rsidRPr="00FB26AF" w:rsidRDefault="007521D1" w:rsidP="00FB26AF">
            <w:pPr>
              <w:pStyle w:val="ListParagraph"/>
              <w:numPr>
                <w:ilvl w:val="0"/>
                <w:numId w:val="9"/>
              </w:numPr>
              <w:spacing w:line="360" w:lineRule="auto"/>
              <w:rPr>
                <w:rFonts w:ascii="Arial Narrow" w:hAnsi="Arial Narrow"/>
                <w:sz w:val="24"/>
                <w:szCs w:val="24"/>
              </w:rPr>
            </w:pPr>
            <w:r w:rsidRPr="00FB26AF">
              <w:rPr>
                <w:rFonts w:ascii="Arial Narrow" w:hAnsi="Arial Narrow"/>
                <w:sz w:val="24"/>
                <w:szCs w:val="24"/>
              </w:rPr>
              <w:t>The plaintiff had to file the report in terms of rule 32(10) on or before 22 November 2019;</w:t>
            </w:r>
          </w:p>
          <w:p w:rsidR="007521D1" w:rsidRPr="00FB26AF" w:rsidRDefault="007521D1" w:rsidP="00FB26AF">
            <w:pPr>
              <w:pStyle w:val="ListParagraph"/>
              <w:numPr>
                <w:ilvl w:val="0"/>
                <w:numId w:val="9"/>
              </w:numPr>
              <w:spacing w:line="360" w:lineRule="auto"/>
              <w:rPr>
                <w:rFonts w:ascii="Arial Narrow" w:hAnsi="Arial Narrow"/>
                <w:sz w:val="24"/>
                <w:szCs w:val="24"/>
              </w:rPr>
            </w:pPr>
            <w:r w:rsidRPr="00FB26AF">
              <w:rPr>
                <w:rFonts w:ascii="Arial Narrow" w:hAnsi="Arial Narrow"/>
                <w:sz w:val="24"/>
                <w:szCs w:val="24"/>
              </w:rPr>
              <w:t xml:space="preserve">The </w:t>
            </w:r>
            <w:r w:rsidR="007D2B14" w:rsidRPr="00FB26AF">
              <w:rPr>
                <w:rFonts w:ascii="Arial Narrow" w:hAnsi="Arial Narrow"/>
                <w:sz w:val="24"/>
                <w:szCs w:val="24"/>
              </w:rPr>
              <w:t>p</w:t>
            </w:r>
            <w:r w:rsidRPr="00FB26AF">
              <w:rPr>
                <w:rFonts w:ascii="Arial Narrow" w:hAnsi="Arial Narrow"/>
                <w:sz w:val="24"/>
                <w:szCs w:val="24"/>
              </w:rPr>
              <w:t>laintiff had to file it</w:t>
            </w:r>
            <w:r w:rsidR="00701DE4" w:rsidRPr="0082601E">
              <w:rPr>
                <w:rFonts w:ascii="Arial Narrow" w:hAnsi="Arial Narrow"/>
                <w:sz w:val="24"/>
                <w:szCs w:val="24"/>
              </w:rPr>
              <w:t>s</w:t>
            </w:r>
            <w:r w:rsidRPr="00FB26AF">
              <w:rPr>
                <w:rFonts w:ascii="Arial Narrow" w:hAnsi="Arial Narrow"/>
                <w:sz w:val="24"/>
                <w:szCs w:val="24"/>
              </w:rPr>
              <w:t xml:space="preserve"> summary judgment application on or before 17 January 2020, and </w:t>
            </w:r>
          </w:p>
          <w:p w:rsidR="007521D1" w:rsidRPr="00FB26AF" w:rsidRDefault="007521D1" w:rsidP="00FB26AF">
            <w:pPr>
              <w:pStyle w:val="ListParagraph"/>
              <w:numPr>
                <w:ilvl w:val="0"/>
                <w:numId w:val="9"/>
              </w:numPr>
              <w:spacing w:line="360" w:lineRule="auto"/>
              <w:rPr>
                <w:rFonts w:ascii="Arial Narrow" w:hAnsi="Arial Narrow"/>
                <w:sz w:val="24"/>
                <w:szCs w:val="24"/>
              </w:rPr>
            </w:pPr>
            <w:r w:rsidRPr="00FB26AF">
              <w:rPr>
                <w:rFonts w:ascii="Arial Narrow" w:hAnsi="Arial Narrow"/>
                <w:sz w:val="24"/>
                <w:szCs w:val="24"/>
              </w:rPr>
              <w:t xml:space="preserve">The </w:t>
            </w:r>
            <w:r w:rsidR="007D2B14" w:rsidRPr="00FB26AF">
              <w:rPr>
                <w:rFonts w:ascii="Arial Narrow" w:hAnsi="Arial Narrow"/>
                <w:sz w:val="24"/>
                <w:szCs w:val="24"/>
              </w:rPr>
              <w:t>d</w:t>
            </w:r>
            <w:r w:rsidRPr="00FB26AF">
              <w:rPr>
                <w:rFonts w:ascii="Arial Narrow" w:hAnsi="Arial Narrow"/>
                <w:sz w:val="24"/>
                <w:szCs w:val="24"/>
              </w:rPr>
              <w:t xml:space="preserve">efendant had to file </w:t>
            </w:r>
            <w:r w:rsidR="00701DE4" w:rsidRPr="0082601E">
              <w:rPr>
                <w:rFonts w:ascii="Arial Narrow" w:hAnsi="Arial Narrow"/>
                <w:sz w:val="24"/>
                <w:szCs w:val="24"/>
              </w:rPr>
              <w:t>its</w:t>
            </w:r>
            <w:r w:rsidR="00701DE4">
              <w:rPr>
                <w:rFonts w:ascii="Arial Narrow" w:hAnsi="Arial Narrow"/>
                <w:color w:val="FF0000"/>
                <w:sz w:val="24"/>
                <w:szCs w:val="24"/>
              </w:rPr>
              <w:t xml:space="preserve"> </w:t>
            </w:r>
            <w:r w:rsidRPr="00FB26AF">
              <w:rPr>
                <w:rFonts w:ascii="Arial Narrow" w:hAnsi="Arial Narrow"/>
                <w:sz w:val="24"/>
                <w:szCs w:val="24"/>
              </w:rPr>
              <w:t>answering affidavit on or before 27 January 2020.</w:t>
            </w:r>
          </w:p>
          <w:p w:rsidR="007521D1" w:rsidRPr="00FB26AF" w:rsidRDefault="007521D1" w:rsidP="00FB26AF">
            <w:pPr>
              <w:spacing w:line="360" w:lineRule="auto"/>
              <w:rPr>
                <w:rFonts w:ascii="Arial Narrow" w:hAnsi="Arial Narrow"/>
                <w:sz w:val="24"/>
                <w:szCs w:val="24"/>
              </w:rPr>
            </w:pPr>
          </w:p>
          <w:p w:rsidR="007521D1" w:rsidRPr="00FB26AF" w:rsidRDefault="007521D1" w:rsidP="00FB26AF">
            <w:pPr>
              <w:spacing w:line="360" w:lineRule="auto"/>
              <w:jc w:val="both"/>
              <w:rPr>
                <w:rFonts w:ascii="Arial Narrow" w:hAnsi="Arial Narrow"/>
                <w:sz w:val="24"/>
                <w:szCs w:val="24"/>
              </w:rPr>
            </w:pPr>
            <w:r w:rsidRPr="00FB26AF">
              <w:rPr>
                <w:rFonts w:ascii="Arial Narrow" w:hAnsi="Arial Narrow"/>
                <w:sz w:val="24"/>
                <w:szCs w:val="24"/>
              </w:rPr>
              <w:t>[</w:t>
            </w:r>
            <w:r w:rsidR="005B5CFB" w:rsidRPr="00FB26AF">
              <w:rPr>
                <w:rFonts w:ascii="Arial Narrow" w:hAnsi="Arial Narrow"/>
                <w:sz w:val="24"/>
                <w:szCs w:val="24"/>
              </w:rPr>
              <w:t>4</w:t>
            </w:r>
            <w:r w:rsidRPr="00FB26AF">
              <w:rPr>
                <w:rFonts w:ascii="Arial Narrow" w:hAnsi="Arial Narrow"/>
                <w:sz w:val="24"/>
                <w:szCs w:val="24"/>
              </w:rPr>
              <w:t>]</w:t>
            </w:r>
            <w:r w:rsidRPr="00FB26AF">
              <w:rPr>
                <w:rFonts w:ascii="Arial Narrow" w:hAnsi="Arial Narrow"/>
                <w:sz w:val="24"/>
                <w:szCs w:val="24"/>
              </w:rPr>
              <w:tab/>
              <w:t>The plaintiff</w:t>
            </w:r>
            <w:r w:rsidR="006C05AC" w:rsidRPr="00FB26AF">
              <w:rPr>
                <w:rFonts w:ascii="Arial Narrow" w:hAnsi="Arial Narrow"/>
                <w:sz w:val="24"/>
                <w:szCs w:val="24"/>
              </w:rPr>
              <w:t>,</w:t>
            </w:r>
            <w:r w:rsidRPr="00FB26AF">
              <w:rPr>
                <w:rFonts w:ascii="Arial Narrow" w:hAnsi="Arial Narrow"/>
                <w:sz w:val="24"/>
                <w:szCs w:val="24"/>
              </w:rPr>
              <w:t xml:space="preserve"> having complied with court order</w:t>
            </w:r>
            <w:r w:rsidR="00BD236B" w:rsidRPr="00FB26AF">
              <w:rPr>
                <w:rFonts w:ascii="Arial Narrow" w:hAnsi="Arial Narrow"/>
                <w:sz w:val="24"/>
                <w:szCs w:val="24"/>
              </w:rPr>
              <w:t xml:space="preserve"> dated</w:t>
            </w:r>
            <w:r w:rsidRPr="00FB26AF">
              <w:rPr>
                <w:rFonts w:ascii="Arial Narrow" w:hAnsi="Arial Narrow"/>
                <w:sz w:val="24"/>
                <w:szCs w:val="24"/>
              </w:rPr>
              <w:t xml:space="preserve"> 6 November 2019</w:t>
            </w:r>
            <w:r w:rsidR="006C05AC" w:rsidRPr="00FB26AF">
              <w:rPr>
                <w:rFonts w:ascii="Arial Narrow" w:hAnsi="Arial Narrow"/>
                <w:sz w:val="24"/>
                <w:szCs w:val="24"/>
              </w:rPr>
              <w:t>,</w:t>
            </w:r>
            <w:r w:rsidRPr="00FB26AF">
              <w:rPr>
                <w:rFonts w:ascii="Arial Narrow" w:hAnsi="Arial Narrow"/>
                <w:sz w:val="24"/>
                <w:szCs w:val="24"/>
              </w:rPr>
              <w:t xml:space="preserve"> indicated during the court appearance on 30 January 2020 that the plaintiff wishes to move its application for summary judgment as the defendant failed to file any opposing papers and the matter was duly postponed to 5 March 2020</w:t>
            </w:r>
            <w:r w:rsidR="006C05AC" w:rsidRPr="00FB26AF">
              <w:rPr>
                <w:rFonts w:ascii="Arial Narrow" w:hAnsi="Arial Narrow"/>
                <w:sz w:val="24"/>
                <w:szCs w:val="24"/>
              </w:rPr>
              <w:t xml:space="preserve">. </w:t>
            </w:r>
          </w:p>
          <w:p w:rsidR="007521D1" w:rsidRPr="00FB26AF" w:rsidRDefault="007521D1" w:rsidP="00FB26AF">
            <w:pPr>
              <w:spacing w:line="360" w:lineRule="auto"/>
              <w:rPr>
                <w:rFonts w:ascii="Arial Narrow" w:hAnsi="Arial Narrow"/>
                <w:sz w:val="24"/>
                <w:szCs w:val="24"/>
              </w:rPr>
            </w:pPr>
          </w:p>
          <w:p w:rsidR="007521D1" w:rsidRPr="00FB26AF" w:rsidRDefault="007521D1" w:rsidP="00FB26AF">
            <w:pPr>
              <w:spacing w:line="360" w:lineRule="auto"/>
              <w:jc w:val="both"/>
              <w:rPr>
                <w:rFonts w:ascii="Arial Narrow" w:hAnsi="Arial Narrow"/>
                <w:sz w:val="24"/>
                <w:szCs w:val="24"/>
              </w:rPr>
            </w:pPr>
            <w:r w:rsidRPr="00FB26AF">
              <w:rPr>
                <w:rFonts w:ascii="Arial Narrow" w:hAnsi="Arial Narrow"/>
                <w:sz w:val="24"/>
                <w:szCs w:val="24"/>
              </w:rPr>
              <w:t>[</w:t>
            </w:r>
            <w:r w:rsidR="005B5CFB" w:rsidRPr="00FB26AF">
              <w:rPr>
                <w:rFonts w:ascii="Arial Narrow" w:hAnsi="Arial Narrow"/>
                <w:sz w:val="24"/>
                <w:szCs w:val="24"/>
              </w:rPr>
              <w:t>5</w:t>
            </w:r>
            <w:r w:rsidRPr="00FB26AF">
              <w:rPr>
                <w:rFonts w:ascii="Arial Narrow" w:hAnsi="Arial Narrow"/>
                <w:sz w:val="24"/>
                <w:szCs w:val="24"/>
              </w:rPr>
              <w:t>]</w:t>
            </w:r>
            <w:r w:rsidRPr="00FB26AF">
              <w:rPr>
                <w:rFonts w:ascii="Arial Narrow" w:hAnsi="Arial Narrow"/>
                <w:sz w:val="24"/>
                <w:szCs w:val="24"/>
              </w:rPr>
              <w:tab/>
            </w:r>
            <w:r w:rsidR="00BD236B" w:rsidRPr="00FB26AF">
              <w:rPr>
                <w:rFonts w:ascii="Arial Narrow" w:hAnsi="Arial Narrow"/>
                <w:sz w:val="24"/>
                <w:szCs w:val="24"/>
              </w:rPr>
              <w:t xml:space="preserve">Apart from the notice of its intention to defend the action </w:t>
            </w:r>
            <w:r w:rsidR="006C05AC" w:rsidRPr="00FB26AF">
              <w:rPr>
                <w:rFonts w:ascii="Arial Narrow" w:hAnsi="Arial Narrow"/>
                <w:sz w:val="24"/>
                <w:szCs w:val="24"/>
              </w:rPr>
              <w:t>the defendant failed to take part in the judicial case management procedure, however o</w:t>
            </w:r>
            <w:r w:rsidRPr="00FB26AF">
              <w:rPr>
                <w:rFonts w:ascii="Arial Narrow" w:hAnsi="Arial Narrow"/>
                <w:sz w:val="24"/>
                <w:szCs w:val="24"/>
              </w:rPr>
              <w:t>n 6 February 2020 the defendant filed a notice of intention to oppose</w:t>
            </w:r>
            <w:r w:rsidR="006C05AC" w:rsidRPr="00FB26AF">
              <w:rPr>
                <w:rFonts w:ascii="Arial Narrow" w:hAnsi="Arial Narrow"/>
                <w:sz w:val="24"/>
                <w:szCs w:val="24"/>
              </w:rPr>
              <w:t xml:space="preserve"> through his erstwhile legal practitioner</w:t>
            </w:r>
            <w:r w:rsidR="00BD236B" w:rsidRPr="00FB26AF">
              <w:rPr>
                <w:rFonts w:ascii="Arial Narrow" w:hAnsi="Arial Narrow"/>
                <w:sz w:val="24"/>
                <w:szCs w:val="24"/>
              </w:rPr>
              <w:t>. Presumably the opposition was aimed at the intended summary judgment application.</w:t>
            </w:r>
            <w:r w:rsidRPr="00FB26AF">
              <w:rPr>
                <w:rFonts w:ascii="Arial Narrow" w:hAnsi="Arial Narrow"/>
                <w:sz w:val="24"/>
                <w:szCs w:val="24"/>
              </w:rPr>
              <w:t xml:space="preserve"> </w:t>
            </w:r>
            <w:r w:rsidR="00BD236B" w:rsidRPr="00FB26AF">
              <w:rPr>
                <w:rFonts w:ascii="Arial Narrow" w:hAnsi="Arial Narrow"/>
                <w:sz w:val="24"/>
                <w:szCs w:val="24"/>
              </w:rPr>
              <w:t>O</w:t>
            </w:r>
            <w:r w:rsidRPr="00FB26AF">
              <w:rPr>
                <w:rFonts w:ascii="Arial Narrow" w:hAnsi="Arial Narrow"/>
                <w:sz w:val="24"/>
                <w:szCs w:val="24"/>
              </w:rPr>
              <w:t>n 3 March 2020 the</w:t>
            </w:r>
            <w:r w:rsidR="007D2B14" w:rsidRPr="00FB26AF">
              <w:rPr>
                <w:rFonts w:ascii="Arial Narrow" w:hAnsi="Arial Narrow"/>
                <w:sz w:val="24"/>
                <w:szCs w:val="24"/>
              </w:rPr>
              <w:t xml:space="preserve"> </w:t>
            </w:r>
            <w:r w:rsidR="006C05AC" w:rsidRPr="00FB26AF">
              <w:rPr>
                <w:rFonts w:ascii="Arial Narrow" w:hAnsi="Arial Narrow"/>
                <w:sz w:val="24"/>
                <w:szCs w:val="24"/>
              </w:rPr>
              <w:t>said</w:t>
            </w:r>
            <w:r w:rsidR="007D2B14" w:rsidRPr="00FB26AF">
              <w:rPr>
                <w:rFonts w:ascii="Arial Narrow" w:hAnsi="Arial Narrow"/>
                <w:sz w:val="24"/>
                <w:szCs w:val="24"/>
              </w:rPr>
              <w:t xml:space="preserve"> legal practitioner </w:t>
            </w:r>
            <w:r w:rsidRPr="00FB26AF">
              <w:rPr>
                <w:rFonts w:ascii="Arial Narrow" w:hAnsi="Arial Narrow"/>
                <w:sz w:val="24"/>
                <w:szCs w:val="24"/>
              </w:rPr>
              <w:t xml:space="preserve">proceeded to file a notice of motion supported by a founding affidavit deposed to by one Mr Charles M Ochurub. </w:t>
            </w:r>
          </w:p>
          <w:p w:rsidR="007521D1" w:rsidRPr="00FB26AF" w:rsidRDefault="007521D1" w:rsidP="00FB26AF">
            <w:pPr>
              <w:spacing w:line="360" w:lineRule="auto"/>
              <w:jc w:val="both"/>
              <w:rPr>
                <w:rFonts w:ascii="Arial Narrow" w:hAnsi="Arial Narrow"/>
                <w:sz w:val="24"/>
                <w:szCs w:val="24"/>
              </w:rPr>
            </w:pPr>
          </w:p>
          <w:p w:rsidR="007521D1" w:rsidRPr="00FB26AF" w:rsidRDefault="007521D1" w:rsidP="00FB26AF">
            <w:pPr>
              <w:spacing w:line="360" w:lineRule="auto"/>
              <w:jc w:val="both"/>
              <w:rPr>
                <w:rFonts w:ascii="Arial Narrow" w:hAnsi="Arial Narrow"/>
                <w:sz w:val="24"/>
                <w:szCs w:val="24"/>
              </w:rPr>
            </w:pPr>
            <w:r w:rsidRPr="00FB26AF">
              <w:rPr>
                <w:rFonts w:ascii="Arial Narrow" w:hAnsi="Arial Narrow"/>
                <w:sz w:val="24"/>
                <w:szCs w:val="24"/>
              </w:rPr>
              <w:t>[</w:t>
            </w:r>
            <w:r w:rsidR="005B5CFB" w:rsidRPr="00FB26AF">
              <w:rPr>
                <w:rFonts w:ascii="Arial Narrow" w:hAnsi="Arial Narrow"/>
                <w:sz w:val="24"/>
                <w:szCs w:val="24"/>
              </w:rPr>
              <w:t>6</w:t>
            </w:r>
            <w:r w:rsidR="007D2B14" w:rsidRPr="00FB26AF">
              <w:rPr>
                <w:rFonts w:ascii="Arial Narrow" w:hAnsi="Arial Narrow"/>
                <w:sz w:val="24"/>
                <w:szCs w:val="24"/>
              </w:rPr>
              <w:t>]</w:t>
            </w:r>
            <w:r w:rsidRPr="00FB26AF">
              <w:rPr>
                <w:rFonts w:ascii="Arial Narrow" w:hAnsi="Arial Narrow"/>
                <w:sz w:val="24"/>
                <w:szCs w:val="24"/>
              </w:rPr>
              <w:tab/>
              <w:t>In its application the defendant prayed for the following relief:</w:t>
            </w:r>
          </w:p>
          <w:p w:rsidR="007521D1" w:rsidRPr="00FB26AF" w:rsidRDefault="007521D1" w:rsidP="00FB26AF">
            <w:pPr>
              <w:spacing w:line="360" w:lineRule="auto"/>
              <w:rPr>
                <w:rFonts w:ascii="Arial Narrow" w:hAnsi="Arial Narrow"/>
                <w:sz w:val="24"/>
                <w:szCs w:val="24"/>
              </w:rPr>
            </w:pPr>
          </w:p>
          <w:p w:rsidR="007521D1" w:rsidRPr="00FB26AF" w:rsidRDefault="00481A5C" w:rsidP="00701DE4">
            <w:pPr>
              <w:spacing w:line="360" w:lineRule="auto"/>
              <w:ind w:left="1332" w:hanging="1332"/>
              <w:rPr>
                <w:rFonts w:ascii="Arial Narrow" w:hAnsi="Arial Narrow"/>
              </w:rPr>
            </w:pPr>
            <w:r w:rsidRPr="00FB26AF">
              <w:rPr>
                <w:rFonts w:ascii="Arial Narrow" w:hAnsi="Arial Narrow"/>
              </w:rPr>
              <w:t xml:space="preserve">             </w:t>
            </w:r>
            <w:r w:rsidR="007521D1" w:rsidRPr="00FB26AF">
              <w:rPr>
                <w:rFonts w:ascii="Arial Narrow" w:hAnsi="Arial Narrow"/>
              </w:rPr>
              <w:t xml:space="preserve">‘1.         Condoning the Applicant's non-compliance with the Rules of Court relating to failure to file an answering paper by the Respondent in the above matter; </w:t>
            </w:r>
          </w:p>
          <w:p w:rsidR="007521D1" w:rsidRPr="00FB26AF" w:rsidRDefault="00481A5C" w:rsidP="00701DE4">
            <w:pPr>
              <w:spacing w:line="360" w:lineRule="auto"/>
              <w:ind w:left="1332" w:hanging="1332"/>
              <w:rPr>
                <w:rFonts w:ascii="Arial Narrow" w:hAnsi="Arial Narrow"/>
              </w:rPr>
            </w:pPr>
            <w:r w:rsidRPr="00FB26AF">
              <w:rPr>
                <w:rFonts w:ascii="Arial Narrow" w:hAnsi="Arial Narrow"/>
              </w:rPr>
              <w:t xml:space="preserve">              </w:t>
            </w:r>
            <w:r w:rsidR="007521D1" w:rsidRPr="00FB26AF">
              <w:rPr>
                <w:rFonts w:ascii="Arial Narrow" w:hAnsi="Arial Narrow"/>
              </w:rPr>
              <w:t>2.         An order rescinding a Court order and/or default judgment granted by this Honourable Court on 30th</w:t>
            </w:r>
            <w:r w:rsidRPr="00FB26AF">
              <w:rPr>
                <w:rFonts w:ascii="Arial Narrow" w:hAnsi="Arial Narrow"/>
              </w:rPr>
              <w:t xml:space="preserve"> </w:t>
            </w:r>
            <w:r w:rsidR="007521D1" w:rsidRPr="00FB26AF">
              <w:rPr>
                <w:rFonts w:ascii="Arial Narrow" w:hAnsi="Arial Narrow"/>
              </w:rPr>
              <w:t xml:space="preserve">January 2020 attached to the Respondent's founding affidavit and marked as Annexure "DTE1" Under case Number HC-MD-CIV-ACT-CON-2019/04250. </w:t>
            </w:r>
          </w:p>
          <w:p w:rsidR="007521D1" w:rsidRPr="00FB26AF" w:rsidRDefault="00481A5C" w:rsidP="00FB26AF">
            <w:pPr>
              <w:spacing w:line="360" w:lineRule="auto"/>
              <w:rPr>
                <w:rFonts w:ascii="Arial Narrow" w:hAnsi="Arial Narrow"/>
              </w:rPr>
            </w:pPr>
            <w:r w:rsidRPr="00FB26AF">
              <w:rPr>
                <w:rFonts w:ascii="Arial Narrow" w:hAnsi="Arial Narrow"/>
              </w:rPr>
              <w:t xml:space="preserve">              </w:t>
            </w:r>
            <w:r w:rsidR="006C05AC" w:rsidRPr="00FB26AF">
              <w:rPr>
                <w:rFonts w:ascii="Arial Narrow" w:hAnsi="Arial Narrow"/>
              </w:rPr>
              <w:t>3</w:t>
            </w:r>
            <w:r w:rsidR="007521D1" w:rsidRPr="00FB26AF">
              <w:rPr>
                <w:rFonts w:ascii="Arial Narrow" w:hAnsi="Arial Narrow"/>
              </w:rPr>
              <w:t xml:space="preserve">.         Granting the respondent leave to file answering papers as per court order dated 06 November 2019; </w:t>
            </w:r>
          </w:p>
          <w:p w:rsidR="007521D1" w:rsidRPr="00FB26AF" w:rsidRDefault="00481A5C" w:rsidP="00FB26AF">
            <w:pPr>
              <w:spacing w:line="360" w:lineRule="auto"/>
              <w:rPr>
                <w:rFonts w:ascii="Arial Narrow" w:hAnsi="Arial Narrow"/>
              </w:rPr>
            </w:pPr>
            <w:r w:rsidRPr="00FB26AF">
              <w:rPr>
                <w:rFonts w:ascii="Arial Narrow" w:hAnsi="Arial Narrow"/>
              </w:rPr>
              <w:t xml:space="preserve">              </w:t>
            </w:r>
            <w:r w:rsidR="006C05AC" w:rsidRPr="00FB26AF">
              <w:rPr>
                <w:rFonts w:ascii="Arial Narrow" w:hAnsi="Arial Narrow"/>
              </w:rPr>
              <w:t>4</w:t>
            </w:r>
            <w:r w:rsidR="007521D1" w:rsidRPr="00FB26AF">
              <w:rPr>
                <w:rFonts w:ascii="Arial Narrow" w:hAnsi="Arial Narrow"/>
              </w:rPr>
              <w:t>.         Further and/or Alternative Relief.</w:t>
            </w:r>
          </w:p>
          <w:p w:rsidR="007521D1" w:rsidRPr="00FB26AF" w:rsidRDefault="00481A5C" w:rsidP="00FB26AF">
            <w:pPr>
              <w:spacing w:line="360" w:lineRule="auto"/>
              <w:rPr>
                <w:rFonts w:ascii="Arial Narrow" w:hAnsi="Arial Narrow"/>
              </w:rPr>
            </w:pPr>
            <w:r w:rsidRPr="00FB26AF">
              <w:rPr>
                <w:rFonts w:ascii="Arial Narrow" w:hAnsi="Arial Narrow"/>
              </w:rPr>
              <w:t xml:space="preserve">             </w:t>
            </w:r>
            <w:r w:rsidR="007521D1" w:rsidRPr="00FB26AF">
              <w:rPr>
                <w:rFonts w:ascii="Arial Narrow" w:hAnsi="Arial Narrow"/>
              </w:rPr>
              <w:t xml:space="preserve"> </w:t>
            </w:r>
            <w:r w:rsidR="006C05AC" w:rsidRPr="00FB26AF">
              <w:rPr>
                <w:rFonts w:ascii="Arial Narrow" w:hAnsi="Arial Narrow"/>
              </w:rPr>
              <w:t>5</w:t>
            </w:r>
            <w:r w:rsidR="007521D1" w:rsidRPr="00FB26AF">
              <w:rPr>
                <w:rFonts w:ascii="Arial Narrow" w:hAnsi="Arial Narrow"/>
              </w:rPr>
              <w:t>.         Costs of suit against Applicant if application is opposed.’</w:t>
            </w:r>
          </w:p>
          <w:p w:rsidR="007521D1" w:rsidRPr="00FB26AF" w:rsidRDefault="007521D1" w:rsidP="00FB26AF">
            <w:pPr>
              <w:spacing w:line="360" w:lineRule="auto"/>
              <w:rPr>
                <w:rFonts w:ascii="Arial Narrow" w:hAnsi="Arial Narrow"/>
                <w:sz w:val="24"/>
                <w:szCs w:val="24"/>
              </w:rPr>
            </w:pPr>
          </w:p>
          <w:p w:rsidR="007521D1" w:rsidRPr="00FB26AF" w:rsidRDefault="007521D1" w:rsidP="00FB26AF">
            <w:pPr>
              <w:spacing w:line="360" w:lineRule="auto"/>
              <w:jc w:val="both"/>
              <w:rPr>
                <w:rFonts w:ascii="Arial Narrow" w:hAnsi="Arial Narrow"/>
                <w:sz w:val="24"/>
                <w:szCs w:val="24"/>
              </w:rPr>
            </w:pPr>
            <w:r w:rsidRPr="00FB26AF">
              <w:rPr>
                <w:rFonts w:ascii="Arial Narrow" w:hAnsi="Arial Narrow"/>
                <w:sz w:val="24"/>
                <w:szCs w:val="24"/>
              </w:rPr>
              <w:t>[</w:t>
            </w:r>
            <w:r w:rsidR="005B5CFB" w:rsidRPr="00FB26AF">
              <w:rPr>
                <w:rFonts w:ascii="Arial Narrow" w:hAnsi="Arial Narrow"/>
                <w:sz w:val="24"/>
                <w:szCs w:val="24"/>
              </w:rPr>
              <w:t>7</w:t>
            </w:r>
            <w:r w:rsidRPr="00FB26AF">
              <w:rPr>
                <w:rFonts w:ascii="Arial Narrow" w:hAnsi="Arial Narrow"/>
                <w:sz w:val="24"/>
                <w:szCs w:val="24"/>
              </w:rPr>
              <w:t>]</w:t>
            </w:r>
            <w:r w:rsidRPr="00FB26AF">
              <w:rPr>
                <w:rFonts w:ascii="Arial Narrow" w:hAnsi="Arial Narrow"/>
                <w:sz w:val="24"/>
                <w:szCs w:val="24"/>
              </w:rPr>
              <w:tab/>
            </w:r>
            <w:r w:rsidR="0081198A" w:rsidRPr="00FB26AF">
              <w:rPr>
                <w:rFonts w:ascii="Arial Narrow" w:hAnsi="Arial Narrow"/>
                <w:sz w:val="24"/>
                <w:szCs w:val="24"/>
              </w:rPr>
              <w:t>The plaintiff in response to the defendant’s notice of motion proceeded to file a notice to oppose the defendant’s application on 5 March 2020.</w:t>
            </w:r>
          </w:p>
          <w:p w:rsidR="007521D1" w:rsidRPr="00FB26AF" w:rsidRDefault="007521D1" w:rsidP="00FB26AF">
            <w:pPr>
              <w:spacing w:line="360" w:lineRule="auto"/>
              <w:rPr>
                <w:rFonts w:ascii="Arial Narrow" w:hAnsi="Arial Narrow"/>
                <w:sz w:val="24"/>
                <w:szCs w:val="24"/>
              </w:rPr>
            </w:pPr>
          </w:p>
          <w:p w:rsidR="007521D1" w:rsidRPr="00FB26AF" w:rsidRDefault="007521D1" w:rsidP="00FB26AF">
            <w:pPr>
              <w:spacing w:line="360" w:lineRule="auto"/>
              <w:jc w:val="both"/>
              <w:rPr>
                <w:rFonts w:ascii="Arial Narrow" w:hAnsi="Arial Narrow"/>
                <w:sz w:val="24"/>
                <w:szCs w:val="24"/>
              </w:rPr>
            </w:pPr>
            <w:r w:rsidRPr="00FB26AF">
              <w:rPr>
                <w:rFonts w:ascii="Arial Narrow" w:hAnsi="Arial Narrow"/>
                <w:sz w:val="24"/>
                <w:szCs w:val="24"/>
              </w:rPr>
              <w:t>[</w:t>
            </w:r>
            <w:r w:rsidR="005B5CFB" w:rsidRPr="00FB26AF">
              <w:rPr>
                <w:rFonts w:ascii="Arial Narrow" w:hAnsi="Arial Narrow"/>
                <w:sz w:val="24"/>
                <w:szCs w:val="24"/>
              </w:rPr>
              <w:t>8</w:t>
            </w:r>
            <w:r w:rsidRPr="00FB26AF">
              <w:rPr>
                <w:rFonts w:ascii="Arial Narrow" w:hAnsi="Arial Narrow"/>
                <w:sz w:val="24"/>
                <w:szCs w:val="24"/>
              </w:rPr>
              <w:t>]</w:t>
            </w:r>
            <w:r w:rsidRPr="00FB26AF">
              <w:rPr>
                <w:rFonts w:ascii="Arial Narrow" w:hAnsi="Arial Narrow"/>
                <w:sz w:val="24"/>
                <w:szCs w:val="24"/>
              </w:rPr>
              <w:tab/>
            </w:r>
            <w:r w:rsidR="0081198A" w:rsidRPr="00FB26AF">
              <w:rPr>
                <w:rFonts w:ascii="Arial Narrow" w:hAnsi="Arial Narrow"/>
                <w:sz w:val="24"/>
                <w:szCs w:val="24"/>
              </w:rPr>
              <w:t xml:space="preserve">Unfortunately the counsel of record at the time withdrew the very next day after filing the notice of motion and the current counsel came on record </w:t>
            </w:r>
            <w:r w:rsidR="00F93D7A" w:rsidRPr="00FB26AF">
              <w:rPr>
                <w:rFonts w:ascii="Arial Narrow" w:hAnsi="Arial Narrow"/>
                <w:sz w:val="24"/>
                <w:szCs w:val="24"/>
              </w:rPr>
              <w:t xml:space="preserve">belatedly </w:t>
            </w:r>
            <w:r w:rsidR="0081198A" w:rsidRPr="00FB26AF">
              <w:rPr>
                <w:rFonts w:ascii="Arial Narrow" w:hAnsi="Arial Narrow"/>
                <w:sz w:val="24"/>
                <w:szCs w:val="24"/>
              </w:rPr>
              <w:t xml:space="preserve">and made her appearance on 5 March 2020, which was the date scheduled for the hearing of the summary judgment application. </w:t>
            </w:r>
            <w:r w:rsidR="00F93D7A" w:rsidRPr="00FB26AF">
              <w:rPr>
                <w:rFonts w:ascii="Arial Narrow" w:hAnsi="Arial Narrow"/>
                <w:sz w:val="24"/>
                <w:szCs w:val="24"/>
              </w:rPr>
              <w:t>For obvious reasons the matter was then postponed.</w:t>
            </w:r>
          </w:p>
          <w:p w:rsidR="007521D1" w:rsidRPr="00FB26AF" w:rsidRDefault="007521D1" w:rsidP="00FB26AF">
            <w:pPr>
              <w:spacing w:line="360" w:lineRule="auto"/>
              <w:jc w:val="both"/>
              <w:rPr>
                <w:rFonts w:ascii="Arial Narrow" w:hAnsi="Arial Narrow"/>
                <w:sz w:val="24"/>
                <w:szCs w:val="24"/>
              </w:rPr>
            </w:pPr>
          </w:p>
          <w:p w:rsidR="007521D1" w:rsidRDefault="007521D1" w:rsidP="00FB26AF">
            <w:pPr>
              <w:spacing w:line="360" w:lineRule="auto"/>
              <w:jc w:val="both"/>
              <w:rPr>
                <w:rFonts w:ascii="Arial Narrow" w:hAnsi="Arial Narrow"/>
                <w:sz w:val="24"/>
                <w:szCs w:val="24"/>
              </w:rPr>
            </w:pPr>
            <w:r w:rsidRPr="00FB26AF">
              <w:rPr>
                <w:rFonts w:ascii="Arial Narrow" w:hAnsi="Arial Narrow"/>
                <w:sz w:val="24"/>
                <w:szCs w:val="24"/>
              </w:rPr>
              <w:t>[</w:t>
            </w:r>
            <w:r w:rsidR="005B5CFB" w:rsidRPr="00FB26AF">
              <w:rPr>
                <w:rFonts w:ascii="Arial Narrow" w:hAnsi="Arial Narrow"/>
                <w:sz w:val="24"/>
                <w:szCs w:val="24"/>
              </w:rPr>
              <w:t>9</w:t>
            </w:r>
            <w:r w:rsidRPr="00FB26AF">
              <w:rPr>
                <w:rFonts w:ascii="Arial Narrow" w:hAnsi="Arial Narrow"/>
                <w:sz w:val="24"/>
                <w:szCs w:val="24"/>
              </w:rPr>
              <w:t>]</w:t>
            </w:r>
            <w:r w:rsidRPr="00FB26AF">
              <w:rPr>
                <w:rFonts w:ascii="Arial Narrow" w:hAnsi="Arial Narrow"/>
                <w:sz w:val="24"/>
                <w:szCs w:val="24"/>
              </w:rPr>
              <w:tab/>
              <w:t xml:space="preserve">There was a substantial delay in hearing this matter due to the National Lockdown period and once the court business </w:t>
            </w:r>
            <w:r w:rsidR="002C06EC" w:rsidRPr="00FB26AF">
              <w:rPr>
                <w:rFonts w:ascii="Arial Narrow" w:hAnsi="Arial Narrow"/>
                <w:sz w:val="24"/>
                <w:szCs w:val="24"/>
              </w:rPr>
              <w:t xml:space="preserve">resumed </w:t>
            </w:r>
            <w:r w:rsidRPr="00FB26AF">
              <w:rPr>
                <w:rFonts w:ascii="Arial Narrow" w:hAnsi="Arial Narrow"/>
                <w:sz w:val="24"/>
                <w:szCs w:val="24"/>
              </w:rPr>
              <w:t xml:space="preserve">as usual the parties agreed to file their </w:t>
            </w:r>
            <w:r w:rsidR="00F93D7A" w:rsidRPr="00FB26AF">
              <w:rPr>
                <w:rFonts w:ascii="Arial Narrow" w:hAnsi="Arial Narrow"/>
                <w:sz w:val="24"/>
                <w:szCs w:val="24"/>
              </w:rPr>
              <w:t xml:space="preserve">heads of arguments </w:t>
            </w:r>
            <w:r w:rsidRPr="00FB26AF">
              <w:rPr>
                <w:rFonts w:ascii="Arial Narrow" w:hAnsi="Arial Narrow"/>
                <w:sz w:val="24"/>
                <w:szCs w:val="24"/>
              </w:rPr>
              <w:t xml:space="preserve">and abide by </w:t>
            </w:r>
            <w:r w:rsidR="00701DE4" w:rsidRPr="0082601E">
              <w:rPr>
                <w:rFonts w:ascii="Arial Narrow" w:hAnsi="Arial Narrow"/>
                <w:sz w:val="24"/>
                <w:szCs w:val="24"/>
              </w:rPr>
              <w:t xml:space="preserve">them </w:t>
            </w:r>
            <w:r w:rsidRPr="00FB26AF">
              <w:rPr>
                <w:rFonts w:ascii="Arial Narrow" w:hAnsi="Arial Narrow"/>
                <w:sz w:val="24"/>
                <w:szCs w:val="24"/>
              </w:rPr>
              <w:t>in terms of par</w:t>
            </w:r>
            <w:r w:rsidR="00701DE4" w:rsidRPr="0082601E">
              <w:rPr>
                <w:rFonts w:ascii="Arial Narrow" w:hAnsi="Arial Narrow"/>
                <w:sz w:val="24"/>
                <w:szCs w:val="24"/>
              </w:rPr>
              <w:t>a</w:t>
            </w:r>
            <w:r w:rsidR="00481A5C" w:rsidRPr="00FB26AF">
              <w:rPr>
                <w:rFonts w:ascii="Arial Narrow" w:hAnsi="Arial Narrow"/>
                <w:sz w:val="24"/>
                <w:szCs w:val="24"/>
              </w:rPr>
              <w:t xml:space="preserve"> </w:t>
            </w:r>
            <w:r w:rsidRPr="00FB26AF">
              <w:rPr>
                <w:rFonts w:ascii="Arial Narrow" w:hAnsi="Arial Narrow"/>
                <w:sz w:val="24"/>
                <w:szCs w:val="24"/>
              </w:rPr>
              <w:t>2.7.3.3.3.3.1 of the Revised Roadmap of the High Court of Namibia, dated 4 May 2020.</w:t>
            </w:r>
          </w:p>
          <w:p w:rsidR="00FB26AF" w:rsidRPr="00FB26AF" w:rsidRDefault="00FB26AF" w:rsidP="00FB26AF">
            <w:pPr>
              <w:spacing w:line="360" w:lineRule="auto"/>
              <w:jc w:val="both"/>
              <w:rPr>
                <w:rFonts w:ascii="Arial Narrow" w:hAnsi="Arial Narrow"/>
                <w:sz w:val="24"/>
                <w:szCs w:val="24"/>
              </w:rPr>
            </w:pPr>
          </w:p>
          <w:p w:rsidR="007521D1" w:rsidRDefault="002C06EC" w:rsidP="00FB26AF">
            <w:pPr>
              <w:spacing w:line="360" w:lineRule="auto"/>
              <w:jc w:val="both"/>
              <w:rPr>
                <w:rFonts w:ascii="Arial Narrow" w:hAnsi="Arial Narrow"/>
                <w:sz w:val="24"/>
                <w:szCs w:val="24"/>
                <w:u w:val="single"/>
              </w:rPr>
            </w:pPr>
            <w:r w:rsidRPr="00FB26AF">
              <w:rPr>
                <w:rFonts w:ascii="Arial Narrow" w:hAnsi="Arial Narrow"/>
                <w:sz w:val="24"/>
                <w:szCs w:val="24"/>
                <w:u w:val="single"/>
              </w:rPr>
              <w:t>Discussion</w:t>
            </w:r>
          </w:p>
          <w:p w:rsidR="00FB26AF" w:rsidRPr="00FB26AF" w:rsidRDefault="00FB26AF" w:rsidP="00FB26AF">
            <w:pPr>
              <w:spacing w:line="360" w:lineRule="auto"/>
              <w:jc w:val="both"/>
              <w:rPr>
                <w:rFonts w:ascii="Arial Narrow" w:hAnsi="Arial Narrow"/>
                <w:sz w:val="24"/>
                <w:szCs w:val="24"/>
                <w:u w:val="single"/>
              </w:rPr>
            </w:pPr>
          </w:p>
          <w:p w:rsidR="007521D1" w:rsidRPr="00FB26AF" w:rsidRDefault="007521D1" w:rsidP="00FB26AF">
            <w:pPr>
              <w:tabs>
                <w:tab w:val="left" w:pos="4815"/>
              </w:tabs>
              <w:spacing w:line="360" w:lineRule="auto"/>
              <w:jc w:val="both"/>
              <w:rPr>
                <w:rFonts w:ascii="Arial Narrow" w:hAnsi="Arial Narrow"/>
                <w:sz w:val="24"/>
                <w:szCs w:val="24"/>
              </w:rPr>
            </w:pPr>
            <w:r w:rsidRPr="00FB26AF">
              <w:rPr>
                <w:rFonts w:ascii="Arial Narrow" w:hAnsi="Arial Narrow"/>
                <w:sz w:val="24"/>
                <w:szCs w:val="24"/>
              </w:rPr>
              <w:t>[</w:t>
            </w:r>
            <w:r w:rsidR="005B5CFB" w:rsidRPr="00FB26AF">
              <w:rPr>
                <w:rFonts w:ascii="Arial Narrow" w:hAnsi="Arial Narrow"/>
                <w:sz w:val="24"/>
                <w:szCs w:val="24"/>
              </w:rPr>
              <w:t>10</w:t>
            </w:r>
            <w:r w:rsidRPr="00FB26AF">
              <w:rPr>
                <w:rFonts w:ascii="Arial Narrow" w:hAnsi="Arial Narrow"/>
                <w:sz w:val="24"/>
                <w:szCs w:val="24"/>
              </w:rPr>
              <w:t xml:space="preserve">]        The applications before me </w:t>
            </w:r>
            <w:r w:rsidR="00701DE4" w:rsidRPr="0082601E">
              <w:rPr>
                <w:rFonts w:ascii="Arial Narrow" w:hAnsi="Arial Narrow"/>
                <w:sz w:val="24"/>
                <w:szCs w:val="24"/>
              </w:rPr>
              <w:t>are</w:t>
            </w:r>
            <w:r w:rsidR="00701DE4">
              <w:rPr>
                <w:rFonts w:ascii="Arial Narrow" w:hAnsi="Arial Narrow"/>
                <w:color w:val="FF0000"/>
                <w:sz w:val="24"/>
                <w:szCs w:val="24"/>
              </w:rPr>
              <w:t xml:space="preserve"> </w:t>
            </w:r>
            <w:r w:rsidRPr="00FB26AF">
              <w:rPr>
                <w:rFonts w:ascii="Arial Narrow" w:hAnsi="Arial Narrow"/>
                <w:sz w:val="24"/>
                <w:szCs w:val="24"/>
              </w:rPr>
              <w:t>two-fold. On the one hand it is the condonation application filed on behalf of the Defendant and on the other hand it is the summary judgment application filed on behalf of the plaintiff.</w:t>
            </w:r>
            <w:r w:rsidR="00481A5C" w:rsidRPr="00FB26AF">
              <w:rPr>
                <w:rFonts w:ascii="Arial Narrow" w:hAnsi="Arial Narrow"/>
                <w:sz w:val="24"/>
                <w:szCs w:val="24"/>
              </w:rPr>
              <w:t xml:space="preserve"> T</w:t>
            </w:r>
            <w:r w:rsidRPr="00FB26AF">
              <w:rPr>
                <w:rFonts w:ascii="Arial Narrow" w:hAnsi="Arial Narrow"/>
                <w:sz w:val="24"/>
                <w:szCs w:val="24"/>
              </w:rPr>
              <w:t xml:space="preserve">he application for condonation must however be determined first as it will dictate the further conduct of the matter. </w:t>
            </w:r>
          </w:p>
          <w:p w:rsidR="007521D1" w:rsidRPr="00FB26AF" w:rsidRDefault="007521D1" w:rsidP="00FB26AF">
            <w:pPr>
              <w:tabs>
                <w:tab w:val="left" w:pos="4815"/>
              </w:tabs>
              <w:spacing w:line="360" w:lineRule="auto"/>
              <w:jc w:val="both"/>
              <w:rPr>
                <w:rFonts w:ascii="Arial Narrow" w:hAnsi="Arial Narrow"/>
                <w:sz w:val="24"/>
                <w:szCs w:val="24"/>
              </w:rPr>
            </w:pPr>
          </w:p>
          <w:p w:rsidR="007521D1" w:rsidRPr="00FB26AF" w:rsidRDefault="007521D1" w:rsidP="00FB26AF">
            <w:pPr>
              <w:tabs>
                <w:tab w:val="left" w:pos="4815"/>
              </w:tabs>
              <w:spacing w:line="360" w:lineRule="auto"/>
              <w:jc w:val="both"/>
              <w:rPr>
                <w:rFonts w:ascii="Arial Narrow" w:hAnsi="Arial Narrow"/>
                <w:sz w:val="24"/>
                <w:szCs w:val="24"/>
              </w:rPr>
            </w:pPr>
            <w:r w:rsidRPr="00FB26AF">
              <w:rPr>
                <w:rFonts w:ascii="Arial Narrow" w:hAnsi="Arial Narrow"/>
                <w:sz w:val="24"/>
                <w:szCs w:val="24"/>
              </w:rPr>
              <w:t>[</w:t>
            </w:r>
            <w:r w:rsidR="00EA5E0C" w:rsidRPr="00FB26AF">
              <w:rPr>
                <w:rFonts w:ascii="Arial Narrow" w:hAnsi="Arial Narrow"/>
                <w:sz w:val="24"/>
                <w:szCs w:val="24"/>
              </w:rPr>
              <w:t>1</w:t>
            </w:r>
            <w:r w:rsidR="005B5CFB" w:rsidRPr="00FB26AF">
              <w:rPr>
                <w:rFonts w:ascii="Arial Narrow" w:hAnsi="Arial Narrow"/>
                <w:sz w:val="24"/>
                <w:szCs w:val="24"/>
              </w:rPr>
              <w:t>1</w:t>
            </w:r>
            <w:r w:rsidRPr="00FB26AF">
              <w:rPr>
                <w:rFonts w:ascii="Arial Narrow" w:hAnsi="Arial Narrow"/>
                <w:sz w:val="24"/>
                <w:szCs w:val="24"/>
              </w:rPr>
              <w:t xml:space="preserve">]             The plaintiff raised a number of legal points with regards to the application for condonation but the main issue raised is the non-compliance with rule 32(9) and (10) of the </w:t>
            </w:r>
            <w:r w:rsidRPr="0082601E">
              <w:rPr>
                <w:rFonts w:ascii="Arial Narrow" w:hAnsi="Arial Narrow"/>
                <w:sz w:val="24"/>
                <w:szCs w:val="24"/>
              </w:rPr>
              <w:t>Rules</w:t>
            </w:r>
            <w:r w:rsidR="00701DE4" w:rsidRPr="0082601E">
              <w:rPr>
                <w:rFonts w:ascii="Arial Narrow" w:hAnsi="Arial Narrow"/>
                <w:sz w:val="24"/>
                <w:szCs w:val="24"/>
              </w:rPr>
              <w:t xml:space="preserve"> of Court</w:t>
            </w:r>
            <w:r w:rsidRPr="0082601E">
              <w:rPr>
                <w:rFonts w:ascii="Arial Narrow" w:hAnsi="Arial Narrow"/>
                <w:sz w:val="24"/>
                <w:szCs w:val="24"/>
              </w:rPr>
              <w:t xml:space="preserve">. </w:t>
            </w:r>
            <w:r w:rsidR="00481A5C" w:rsidRPr="00FB26AF">
              <w:rPr>
                <w:rFonts w:ascii="Arial Narrow" w:hAnsi="Arial Narrow"/>
                <w:sz w:val="24"/>
                <w:szCs w:val="24"/>
              </w:rPr>
              <w:t>Mr Ochurub</w:t>
            </w:r>
            <w:r w:rsidR="00F82BD6" w:rsidRPr="00FB26AF">
              <w:rPr>
                <w:rFonts w:ascii="Arial Narrow" w:hAnsi="Arial Narrow"/>
                <w:sz w:val="24"/>
                <w:szCs w:val="24"/>
              </w:rPr>
              <w:t>,</w:t>
            </w:r>
            <w:r w:rsidR="00481A5C" w:rsidRPr="00FB26AF">
              <w:rPr>
                <w:rFonts w:ascii="Arial Narrow" w:hAnsi="Arial Narrow"/>
                <w:sz w:val="24"/>
                <w:szCs w:val="24"/>
              </w:rPr>
              <w:t xml:space="preserve"> who deposed to the founding affidavit</w:t>
            </w:r>
            <w:r w:rsidRPr="00FB26AF">
              <w:rPr>
                <w:rFonts w:ascii="Arial Narrow" w:hAnsi="Arial Narrow"/>
                <w:sz w:val="24"/>
                <w:szCs w:val="24"/>
              </w:rPr>
              <w:t xml:space="preserve"> </w:t>
            </w:r>
            <w:r w:rsidR="00481A5C" w:rsidRPr="00FB26AF">
              <w:rPr>
                <w:rFonts w:ascii="Arial Narrow" w:hAnsi="Arial Narrow"/>
                <w:sz w:val="24"/>
                <w:szCs w:val="24"/>
              </w:rPr>
              <w:t>on behalf of the defend</w:t>
            </w:r>
            <w:r w:rsidR="00F43D08" w:rsidRPr="00FB26AF">
              <w:rPr>
                <w:rFonts w:ascii="Arial Narrow" w:hAnsi="Arial Narrow"/>
                <w:sz w:val="24"/>
                <w:szCs w:val="24"/>
              </w:rPr>
              <w:t>ant</w:t>
            </w:r>
            <w:r w:rsidR="00F82BD6" w:rsidRPr="00FB26AF">
              <w:rPr>
                <w:rFonts w:ascii="Arial Narrow" w:hAnsi="Arial Narrow"/>
                <w:sz w:val="24"/>
                <w:szCs w:val="24"/>
              </w:rPr>
              <w:t>,</w:t>
            </w:r>
            <w:r w:rsidR="00F43D08" w:rsidRPr="00FB26AF">
              <w:rPr>
                <w:rFonts w:ascii="Arial Narrow" w:hAnsi="Arial Narrow"/>
                <w:sz w:val="24"/>
                <w:szCs w:val="24"/>
              </w:rPr>
              <w:t xml:space="preserve"> stated that his erstwhile legal practitioner approached the opposing counsel to engage in </w:t>
            </w:r>
            <w:r w:rsidR="002C06EC" w:rsidRPr="00FB26AF">
              <w:rPr>
                <w:rFonts w:ascii="Arial Narrow" w:hAnsi="Arial Narrow"/>
                <w:sz w:val="24"/>
                <w:szCs w:val="24"/>
              </w:rPr>
              <w:t xml:space="preserve">terms of rule 32(9) but was </w:t>
            </w:r>
            <w:r w:rsidR="00F43D08" w:rsidRPr="00FB26AF">
              <w:rPr>
                <w:rFonts w:ascii="Arial Narrow" w:hAnsi="Arial Narrow"/>
                <w:sz w:val="24"/>
                <w:szCs w:val="24"/>
              </w:rPr>
              <w:t>informed by the plaintiff’s legal practitioner that as the plaintiff does not know the defendant’s reason for</w:t>
            </w:r>
            <w:r w:rsidR="00F82BD6" w:rsidRPr="00FB26AF">
              <w:rPr>
                <w:rFonts w:ascii="Arial Narrow" w:hAnsi="Arial Narrow"/>
                <w:sz w:val="24"/>
                <w:szCs w:val="24"/>
              </w:rPr>
              <w:t xml:space="preserve"> its</w:t>
            </w:r>
            <w:r w:rsidR="00F43D08" w:rsidRPr="00FB26AF">
              <w:rPr>
                <w:rFonts w:ascii="Arial Narrow" w:hAnsi="Arial Narrow"/>
                <w:sz w:val="24"/>
                <w:szCs w:val="24"/>
              </w:rPr>
              <w:t xml:space="preserve"> non-compliance </w:t>
            </w:r>
            <w:r w:rsidR="00701DE4" w:rsidRPr="0082601E">
              <w:rPr>
                <w:rFonts w:ascii="Arial Narrow" w:hAnsi="Arial Narrow"/>
                <w:sz w:val="24"/>
                <w:szCs w:val="24"/>
              </w:rPr>
              <w:t>with the court order</w:t>
            </w:r>
            <w:r w:rsidR="00701DE4">
              <w:rPr>
                <w:rFonts w:ascii="Arial Narrow" w:hAnsi="Arial Narrow"/>
                <w:color w:val="FF0000"/>
                <w:sz w:val="24"/>
                <w:szCs w:val="24"/>
              </w:rPr>
              <w:t xml:space="preserve"> </w:t>
            </w:r>
            <w:r w:rsidR="00F43D08" w:rsidRPr="00FB26AF">
              <w:rPr>
                <w:rFonts w:ascii="Arial Narrow" w:hAnsi="Arial Narrow"/>
                <w:sz w:val="24"/>
                <w:szCs w:val="24"/>
              </w:rPr>
              <w:t xml:space="preserve">they will not engage in terms of rule 32(9). This might not be factually correct as the gist of the letter by </w:t>
            </w:r>
            <w:r w:rsidR="00F43D08" w:rsidRPr="00FB26AF">
              <w:rPr>
                <w:rFonts w:ascii="Arial Narrow" w:hAnsi="Arial Narrow"/>
                <w:sz w:val="24"/>
                <w:szCs w:val="24"/>
              </w:rPr>
              <w:lastRenderedPageBreak/>
              <w:t xml:space="preserve">the erstwhile legal practitioner filed of record was that the defendant is seeking an agreement from the plaintiff to condone the defendant’s non-compliance. </w:t>
            </w:r>
            <w:r w:rsidR="00457763" w:rsidRPr="00FB26AF">
              <w:rPr>
                <w:rFonts w:ascii="Arial Narrow" w:hAnsi="Arial Narrow"/>
                <w:sz w:val="24"/>
                <w:szCs w:val="24"/>
              </w:rPr>
              <w:t>Nothing happened following the said correspondence</w:t>
            </w:r>
            <w:r w:rsidR="00F82BD6" w:rsidRPr="00FB26AF">
              <w:rPr>
                <w:rFonts w:ascii="Arial Narrow" w:hAnsi="Arial Narrow"/>
                <w:sz w:val="24"/>
                <w:szCs w:val="24"/>
              </w:rPr>
              <w:t xml:space="preserve"> as the said counsel withdrew as counsel of record</w:t>
            </w:r>
            <w:r w:rsidR="00457763" w:rsidRPr="00FB26AF">
              <w:rPr>
                <w:rFonts w:ascii="Arial Narrow" w:hAnsi="Arial Narrow"/>
                <w:sz w:val="24"/>
                <w:szCs w:val="24"/>
              </w:rPr>
              <w:t xml:space="preserve">. There was </w:t>
            </w:r>
            <w:r w:rsidR="00F82BD6" w:rsidRPr="00FB26AF">
              <w:rPr>
                <w:rFonts w:ascii="Arial Narrow" w:hAnsi="Arial Narrow"/>
                <w:sz w:val="24"/>
                <w:szCs w:val="24"/>
              </w:rPr>
              <w:t xml:space="preserve">thus </w:t>
            </w:r>
            <w:r w:rsidR="00457763" w:rsidRPr="00FB26AF">
              <w:rPr>
                <w:rFonts w:ascii="Arial Narrow" w:hAnsi="Arial Narrow"/>
                <w:sz w:val="24"/>
                <w:szCs w:val="24"/>
              </w:rPr>
              <w:t xml:space="preserve">no engagement in terms of rule 32(9) and no report filed in compliance with rule 32(10). </w:t>
            </w:r>
          </w:p>
          <w:p w:rsidR="007521D1" w:rsidRPr="00FB26AF" w:rsidRDefault="007521D1" w:rsidP="00FB26AF">
            <w:pPr>
              <w:tabs>
                <w:tab w:val="left" w:pos="4815"/>
              </w:tabs>
              <w:spacing w:line="360" w:lineRule="auto"/>
              <w:jc w:val="both"/>
              <w:rPr>
                <w:rFonts w:ascii="Arial Narrow" w:hAnsi="Arial Narrow"/>
                <w:sz w:val="24"/>
                <w:szCs w:val="24"/>
              </w:rPr>
            </w:pPr>
          </w:p>
          <w:p w:rsidR="0081198A" w:rsidRPr="00FB26AF" w:rsidRDefault="007521D1" w:rsidP="00FB26AF">
            <w:pPr>
              <w:tabs>
                <w:tab w:val="left" w:pos="4815"/>
              </w:tabs>
              <w:spacing w:line="360" w:lineRule="auto"/>
              <w:jc w:val="both"/>
              <w:rPr>
                <w:rFonts w:ascii="Arial Narrow" w:hAnsi="Arial Narrow"/>
                <w:sz w:val="24"/>
                <w:szCs w:val="24"/>
              </w:rPr>
            </w:pPr>
            <w:r w:rsidRPr="00FB26AF">
              <w:rPr>
                <w:rFonts w:ascii="Arial Narrow" w:hAnsi="Arial Narrow"/>
                <w:sz w:val="24"/>
                <w:szCs w:val="24"/>
              </w:rPr>
              <w:t>[</w:t>
            </w:r>
            <w:r w:rsidR="00EA5E0C" w:rsidRPr="00FB26AF">
              <w:rPr>
                <w:rFonts w:ascii="Arial Narrow" w:hAnsi="Arial Narrow"/>
                <w:sz w:val="24"/>
                <w:szCs w:val="24"/>
              </w:rPr>
              <w:t>1</w:t>
            </w:r>
            <w:r w:rsidR="005B5CFB" w:rsidRPr="00FB26AF">
              <w:rPr>
                <w:rFonts w:ascii="Arial Narrow" w:hAnsi="Arial Narrow"/>
                <w:sz w:val="24"/>
                <w:szCs w:val="24"/>
              </w:rPr>
              <w:t>2</w:t>
            </w:r>
            <w:r w:rsidRPr="00FB26AF">
              <w:rPr>
                <w:rFonts w:ascii="Arial Narrow" w:hAnsi="Arial Narrow"/>
                <w:sz w:val="24"/>
                <w:szCs w:val="24"/>
              </w:rPr>
              <w:t xml:space="preserve">]        </w:t>
            </w:r>
            <w:r w:rsidR="005B5CFB" w:rsidRPr="00FB26AF">
              <w:rPr>
                <w:rFonts w:ascii="Arial Narrow" w:hAnsi="Arial Narrow"/>
                <w:sz w:val="24"/>
                <w:szCs w:val="24"/>
              </w:rPr>
              <w:t xml:space="preserve"> </w:t>
            </w:r>
            <w:r w:rsidRPr="00FB26AF">
              <w:rPr>
                <w:rFonts w:ascii="Arial Narrow" w:hAnsi="Arial Narrow"/>
                <w:sz w:val="24"/>
                <w:szCs w:val="24"/>
              </w:rPr>
              <w:t xml:space="preserve"> </w:t>
            </w:r>
            <w:r w:rsidR="00457763" w:rsidRPr="00FB26AF">
              <w:rPr>
                <w:rFonts w:ascii="Arial Narrow" w:hAnsi="Arial Narrow"/>
                <w:sz w:val="24"/>
                <w:szCs w:val="24"/>
              </w:rPr>
              <w:t xml:space="preserve">The application by the </w:t>
            </w:r>
            <w:r w:rsidR="002C06EC" w:rsidRPr="00FB26AF">
              <w:rPr>
                <w:rFonts w:ascii="Arial Narrow" w:hAnsi="Arial Narrow"/>
                <w:sz w:val="24"/>
                <w:szCs w:val="24"/>
              </w:rPr>
              <w:t>defendan</w:t>
            </w:r>
            <w:r w:rsidR="00457763" w:rsidRPr="00FB26AF">
              <w:rPr>
                <w:rFonts w:ascii="Arial Narrow" w:hAnsi="Arial Narrow"/>
                <w:sz w:val="24"/>
                <w:szCs w:val="24"/>
              </w:rPr>
              <w:t xml:space="preserve">t </w:t>
            </w:r>
            <w:r w:rsidR="002C06EC" w:rsidRPr="00FB26AF">
              <w:rPr>
                <w:rFonts w:ascii="Arial Narrow" w:hAnsi="Arial Narrow"/>
                <w:sz w:val="24"/>
                <w:szCs w:val="24"/>
              </w:rPr>
              <w:t>is unfortunately</w:t>
            </w:r>
            <w:r w:rsidR="00910923" w:rsidRPr="00FB26AF">
              <w:rPr>
                <w:rFonts w:ascii="Arial Narrow" w:hAnsi="Arial Narrow"/>
                <w:sz w:val="24"/>
                <w:szCs w:val="24"/>
              </w:rPr>
              <w:t xml:space="preserve"> by no means an example of clarity.</w:t>
            </w:r>
            <w:r w:rsidR="00457763" w:rsidRPr="00FB26AF">
              <w:rPr>
                <w:rFonts w:ascii="Arial Narrow" w:hAnsi="Arial Narrow"/>
                <w:sz w:val="24"/>
                <w:szCs w:val="24"/>
              </w:rPr>
              <w:t xml:space="preserve"> </w:t>
            </w:r>
            <w:r w:rsidR="00910923" w:rsidRPr="00FB26AF">
              <w:rPr>
                <w:rFonts w:ascii="Arial Narrow" w:hAnsi="Arial Narrow"/>
                <w:sz w:val="24"/>
                <w:szCs w:val="24"/>
              </w:rPr>
              <w:t xml:space="preserve">An </w:t>
            </w:r>
            <w:r w:rsidR="00457763" w:rsidRPr="00FB26AF">
              <w:rPr>
                <w:rFonts w:ascii="Arial Narrow" w:hAnsi="Arial Narrow"/>
                <w:sz w:val="24"/>
                <w:szCs w:val="24"/>
              </w:rPr>
              <w:t>example</w:t>
            </w:r>
            <w:r w:rsidR="00910923" w:rsidRPr="00FB26AF">
              <w:rPr>
                <w:rFonts w:ascii="Arial Narrow" w:hAnsi="Arial Narrow"/>
                <w:sz w:val="24"/>
                <w:szCs w:val="24"/>
              </w:rPr>
              <w:t xml:space="preserve"> </w:t>
            </w:r>
            <w:r w:rsidR="002C06EC" w:rsidRPr="00FB26AF">
              <w:rPr>
                <w:rFonts w:ascii="Arial Narrow" w:hAnsi="Arial Narrow"/>
                <w:sz w:val="24"/>
                <w:szCs w:val="24"/>
              </w:rPr>
              <w:t xml:space="preserve">of how muddled the application is, </w:t>
            </w:r>
            <w:r w:rsidR="00910923" w:rsidRPr="00FB26AF">
              <w:rPr>
                <w:rFonts w:ascii="Arial Narrow" w:hAnsi="Arial Narrow"/>
                <w:sz w:val="24"/>
                <w:szCs w:val="24"/>
              </w:rPr>
              <w:t>is</w:t>
            </w:r>
            <w:r w:rsidR="00457763" w:rsidRPr="00FB26AF">
              <w:rPr>
                <w:rFonts w:ascii="Arial Narrow" w:hAnsi="Arial Narrow"/>
                <w:sz w:val="24"/>
                <w:szCs w:val="24"/>
              </w:rPr>
              <w:t xml:space="preserve"> the prayer for rescission of the court order/default judgment.</w:t>
            </w:r>
            <w:r w:rsidR="00910923" w:rsidRPr="00FB26AF">
              <w:rPr>
                <w:rFonts w:ascii="Arial Narrow" w:hAnsi="Arial Narrow"/>
                <w:sz w:val="24"/>
                <w:szCs w:val="24"/>
              </w:rPr>
              <w:t xml:space="preserve"> </w:t>
            </w:r>
            <w:r w:rsidR="00457763" w:rsidRPr="00FB26AF">
              <w:rPr>
                <w:rFonts w:ascii="Arial Narrow" w:hAnsi="Arial Narrow"/>
                <w:sz w:val="24"/>
                <w:szCs w:val="24"/>
              </w:rPr>
              <w:t xml:space="preserve">There is no order or judgment to be rescinded </w:t>
            </w:r>
            <w:r w:rsidR="00CD56F8" w:rsidRPr="00FB26AF">
              <w:rPr>
                <w:rFonts w:ascii="Arial Narrow" w:hAnsi="Arial Narrow"/>
                <w:sz w:val="24"/>
                <w:szCs w:val="24"/>
              </w:rPr>
              <w:t>and such the</w:t>
            </w:r>
            <w:r w:rsidR="00457763" w:rsidRPr="00FB26AF">
              <w:rPr>
                <w:rFonts w:ascii="Arial Narrow" w:hAnsi="Arial Narrow"/>
                <w:sz w:val="24"/>
                <w:szCs w:val="24"/>
              </w:rPr>
              <w:t xml:space="preserve"> </w:t>
            </w:r>
            <w:r w:rsidR="00910923" w:rsidRPr="00FB26AF">
              <w:rPr>
                <w:rFonts w:ascii="Arial Narrow" w:hAnsi="Arial Narrow"/>
                <w:sz w:val="24"/>
                <w:szCs w:val="24"/>
              </w:rPr>
              <w:t>relief sought</w:t>
            </w:r>
            <w:r w:rsidR="00457763" w:rsidRPr="00FB26AF">
              <w:rPr>
                <w:rFonts w:ascii="Arial Narrow" w:hAnsi="Arial Narrow"/>
                <w:sz w:val="24"/>
                <w:szCs w:val="24"/>
              </w:rPr>
              <w:t xml:space="preserve"> is incompetent. </w:t>
            </w:r>
            <w:r w:rsidR="00CD56F8" w:rsidRPr="00FB26AF">
              <w:rPr>
                <w:rFonts w:ascii="Arial Narrow" w:hAnsi="Arial Narrow"/>
                <w:sz w:val="24"/>
                <w:szCs w:val="24"/>
              </w:rPr>
              <w:t>I would however not dwell on the deficiencies of the appl</w:t>
            </w:r>
            <w:r w:rsidR="0081198A" w:rsidRPr="00FB26AF">
              <w:rPr>
                <w:rFonts w:ascii="Arial Narrow" w:hAnsi="Arial Narrow"/>
                <w:sz w:val="24"/>
                <w:szCs w:val="24"/>
              </w:rPr>
              <w:t xml:space="preserve">ication as it is not necessary but wish to remark that with such glaring issues in the defendant’s application I am surprised that the current counsel did not opt to rather tender costs and withdraw the current application and file a fresh one before the matter went as far as it did. Such course of action would have been much more cost effective for the parties. </w:t>
            </w:r>
          </w:p>
          <w:p w:rsidR="005B5CFB" w:rsidRPr="00FB26AF" w:rsidRDefault="005B5CFB" w:rsidP="00FB26AF">
            <w:pPr>
              <w:tabs>
                <w:tab w:val="left" w:pos="4815"/>
              </w:tabs>
              <w:spacing w:line="360" w:lineRule="auto"/>
              <w:jc w:val="both"/>
              <w:rPr>
                <w:rFonts w:ascii="Arial Narrow" w:hAnsi="Arial Narrow"/>
                <w:sz w:val="24"/>
                <w:szCs w:val="24"/>
              </w:rPr>
            </w:pPr>
          </w:p>
          <w:p w:rsidR="00F82BD6" w:rsidRDefault="00EA5E0C" w:rsidP="00FB26AF">
            <w:pPr>
              <w:tabs>
                <w:tab w:val="left" w:pos="4815"/>
              </w:tabs>
              <w:spacing w:line="360" w:lineRule="auto"/>
              <w:jc w:val="both"/>
              <w:rPr>
                <w:rFonts w:ascii="Arial Narrow" w:hAnsi="Arial Narrow" w:cs="Arial"/>
                <w:sz w:val="24"/>
                <w:szCs w:val="24"/>
              </w:rPr>
            </w:pPr>
            <w:r w:rsidRPr="00FB26AF">
              <w:rPr>
                <w:rFonts w:ascii="Arial Narrow" w:hAnsi="Arial Narrow"/>
                <w:sz w:val="24"/>
                <w:szCs w:val="24"/>
              </w:rPr>
              <w:t>[1</w:t>
            </w:r>
            <w:r w:rsidR="005B5CFB" w:rsidRPr="00FB26AF">
              <w:rPr>
                <w:rFonts w:ascii="Arial Narrow" w:hAnsi="Arial Narrow"/>
                <w:sz w:val="24"/>
                <w:szCs w:val="24"/>
              </w:rPr>
              <w:t>3</w:t>
            </w:r>
            <w:r w:rsidRPr="00FB26AF">
              <w:rPr>
                <w:rFonts w:ascii="Arial Narrow" w:hAnsi="Arial Narrow"/>
                <w:sz w:val="24"/>
                <w:szCs w:val="24"/>
              </w:rPr>
              <w:t xml:space="preserve">]          </w:t>
            </w:r>
            <w:r w:rsidR="0081198A" w:rsidRPr="00FB26AF">
              <w:rPr>
                <w:rFonts w:ascii="Arial Narrow" w:hAnsi="Arial Narrow"/>
                <w:sz w:val="24"/>
                <w:szCs w:val="24"/>
              </w:rPr>
              <w:t xml:space="preserve">The main issue in respect of the defendant’s application in my considered view is the failure to comply the rule 32(9) and (10). </w:t>
            </w:r>
            <w:r w:rsidRPr="00FB26AF">
              <w:rPr>
                <w:rFonts w:ascii="Arial Narrow" w:hAnsi="Arial Narrow" w:cs="Arial"/>
                <w:sz w:val="24"/>
                <w:szCs w:val="24"/>
              </w:rPr>
              <w:t>There are many cases wherein this court ruled that the application for condonation is an interlocutory application and the parties thus have to comply with the mandatory provisions of Rule 32 (9) and 32 (10)</w:t>
            </w:r>
            <w:r w:rsidRPr="00FB26AF">
              <w:rPr>
                <w:rStyle w:val="FootnoteReference"/>
                <w:rFonts w:ascii="Arial Narrow" w:hAnsi="Arial Narrow" w:cs="Arial"/>
                <w:sz w:val="24"/>
                <w:szCs w:val="24"/>
              </w:rPr>
              <w:footnoteReference w:id="2"/>
            </w:r>
            <w:r w:rsidR="002C06EC" w:rsidRPr="00FB26AF">
              <w:rPr>
                <w:rFonts w:ascii="Arial Narrow" w:hAnsi="Arial Narrow" w:cs="Arial"/>
                <w:sz w:val="24"/>
                <w:szCs w:val="24"/>
              </w:rPr>
              <w:t>.</w:t>
            </w:r>
            <w:r w:rsidRPr="00FB26AF">
              <w:rPr>
                <w:rFonts w:ascii="Arial Narrow" w:hAnsi="Arial Narrow" w:cs="Arial"/>
                <w:sz w:val="24"/>
                <w:szCs w:val="24"/>
              </w:rPr>
              <w:t xml:space="preserve"> </w:t>
            </w:r>
            <w:r w:rsidR="002C06EC" w:rsidRPr="00FB26AF">
              <w:rPr>
                <w:rFonts w:ascii="Arial Narrow" w:hAnsi="Arial Narrow" w:cs="Arial"/>
                <w:sz w:val="24"/>
                <w:szCs w:val="24"/>
              </w:rPr>
              <w:t>T</w:t>
            </w:r>
            <w:r w:rsidRPr="00FB26AF">
              <w:rPr>
                <w:rFonts w:ascii="Arial Narrow" w:hAnsi="Arial Narrow" w:cs="Arial"/>
                <w:sz w:val="24"/>
                <w:szCs w:val="24"/>
              </w:rPr>
              <w:t>his remains the position until such time that the rules of court in this regard is review</w:t>
            </w:r>
            <w:r w:rsidR="002C06EC" w:rsidRPr="00FB26AF">
              <w:rPr>
                <w:rFonts w:ascii="Arial Narrow" w:hAnsi="Arial Narrow" w:cs="Arial"/>
                <w:sz w:val="24"/>
                <w:szCs w:val="24"/>
              </w:rPr>
              <w:t>ed</w:t>
            </w:r>
            <w:r w:rsidRPr="00FB26AF">
              <w:rPr>
                <w:rFonts w:ascii="Arial Narrow" w:hAnsi="Arial Narrow" w:cs="Arial"/>
                <w:sz w:val="24"/>
                <w:szCs w:val="24"/>
              </w:rPr>
              <w:t xml:space="preserve"> </w:t>
            </w:r>
            <w:r w:rsidR="002C06EC" w:rsidRPr="00FB26AF">
              <w:rPr>
                <w:rFonts w:ascii="Arial Narrow" w:hAnsi="Arial Narrow" w:cs="Arial"/>
                <w:sz w:val="24"/>
                <w:szCs w:val="24"/>
              </w:rPr>
              <w:t>or</w:t>
            </w:r>
            <w:r w:rsidRPr="00FB26AF">
              <w:rPr>
                <w:rFonts w:ascii="Arial Narrow" w:hAnsi="Arial Narrow" w:cs="Arial"/>
                <w:sz w:val="24"/>
                <w:szCs w:val="24"/>
              </w:rPr>
              <w:t xml:space="preserve"> amended.</w:t>
            </w:r>
          </w:p>
          <w:p w:rsidR="00FB26AF" w:rsidRPr="00FB26AF" w:rsidRDefault="00FB26AF" w:rsidP="00FB26AF">
            <w:pPr>
              <w:tabs>
                <w:tab w:val="left" w:pos="4815"/>
              </w:tabs>
              <w:spacing w:line="360" w:lineRule="auto"/>
              <w:jc w:val="both"/>
              <w:rPr>
                <w:rFonts w:ascii="Arial Narrow" w:hAnsi="Arial Narrow" w:cs="Arial"/>
                <w:sz w:val="24"/>
                <w:szCs w:val="24"/>
              </w:rPr>
            </w:pPr>
          </w:p>
          <w:p w:rsidR="00EA5E0C" w:rsidRDefault="00EA5E0C" w:rsidP="00FB26AF">
            <w:pPr>
              <w:pStyle w:val="BodyText"/>
              <w:tabs>
                <w:tab w:val="left" w:pos="720"/>
                <w:tab w:val="left" w:pos="2268"/>
              </w:tabs>
              <w:spacing w:line="360" w:lineRule="auto"/>
              <w:jc w:val="both"/>
              <w:rPr>
                <w:rFonts w:ascii="Arial Narrow" w:hAnsi="Arial Narrow" w:cs="Arial"/>
                <w:sz w:val="24"/>
                <w:szCs w:val="24"/>
              </w:rPr>
            </w:pPr>
            <w:r w:rsidRPr="00FB26AF">
              <w:rPr>
                <w:rFonts w:ascii="Arial Narrow" w:hAnsi="Arial Narrow" w:cs="Arial"/>
                <w:sz w:val="24"/>
                <w:szCs w:val="24"/>
              </w:rPr>
              <w:t>[1</w:t>
            </w:r>
            <w:r w:rsidR="005B5CFB" w:rsidRPr="00FB26AF">
              <w:rPr>
                <w:rFonts w:ascii="Arial Narrow" w:hAnsi="Arial Narrow" w:cs="Arial"/>
                <w:sz w:val="24"/>
                <w:szCs w:val="24"/>
              </w:rPr>
              <w:t>4</w:t>
            </w:r>
            <w:r w:rsidRPr="00FB26AF">
              <w:rPr>
                <w:rFonts w:ascii="Arial Narrow" w:hAnsi="Arial Narrow" w:cs="Arial"/>
                <w:sz w:val="24"/>
                <w:szCs w:val="24"/>
              </w:rPr>
              <w:t>]        I agree with the arguments advance</w:t>
            </w:r>
            <w:r w:rsidR="00701DE4" w:rsidRPr="0082601E">
              <w:rPr>
                <w:rFonts w:ascii="Arial Narrow" w:hAnsi="Arial Narrow" w:cs="Arial"/>
                <w:sz w:val="24"/>
                <w:szCs w:val="24"/>
              </w:rPr>
              <w:t>d</w:t>
            </w:r>
            <w:r w:rsidRPr="0082601E">
              <w:rPr>
                <w:rFonts w:ascii="Arial Narrow" w:hAnsi="Arial Narrow" w:cs="Arial"/>
                <w:sz w:val="24"/>
                <w:szCs w:val="24"/>
              </w:rPr>
              <w:t xml:space="preserve"> </w:t>
            </w:r>
            <w:r w:rsidRPr="00FB26AF">
              <w:rPr>
                <w:rFonts w:ascii="Arial Narrow" w:hAnsi="Arial Narrow" w:cs="Arial"/>
                <w:sz w:val="24"/>
                <w:szCs w:val="24"/>
              </w:rPr>
              <w:t xml:space="preserve">regarding the application of rule 32(9) and (10) and see no reason why the decisions relating to this particular subject matter should not find application in the matter in casu. </w:t>
            </w:r>
            <w:r w:rsidR="00F82BD6" w:rsidRPr="00FB26AF">
              <w:rPr>
                <w:rFonts w:ascii="Arial Narrow" w:hAnsi="Arial Narrow" w:cs="Arial"/>
                <w:sz w:val="24"/>
                <w:szCs w:val="24"/>
              </w:rPr>
              <w:t>As the main focus</w:t>
            </w:r>
            <w:r w:rsidR="00701DE4">
              <w:rPr>
                <w:rFonts w:ascii="Arial Narrow" w:hAnsi="Arial Narrow" w:cs="Arial"/>
                <w:sz w:val="24"/>
                <w:szCs w:val="24"/>
              </w:rPr>
              <w:t xml:space="preserve"> </w:t>
            </w:r>
            <w:r w:rsidR="00701DE4" w:rsidRPr="0082601E">
              <w:rPr>
                <w:rFonts w:ascii="Arial Narrow" w:hAnsi="Arial Narrow" w:cs="Arial"/>
                <w:sz w:val="24"/>
                <w:szCs w:val="24"/>
              </w:rPr>
              <w:t>of</w:t>
            </w:r>
            <w:r w:rsidR="00F82BD6" w:rsidRPr="00FB26AF">
              <w:rPr>
                <w:rFonts w:ascii="Arial Narrow" w:hAnsi="Arial Narrow" w:cs="Arial"/>
                <w:sz w:val="24"/>
                <w:szCs w:val="24"/>
              </w:rPr>
              <w:t xml:space="preserve"> this ruling is on the issue of rule 32(9) and (10) I do not deem it necessary to discuss the remainder of the legal points raised by the plaintiff. </w:t>
            </w:r>
          </w:p>
          <w:p w:rsidR="00FB26AF" w:rsidRPr="00FB26AF" w:rsidRDefault="00FB26AF" w:rsidP="00FB26AF">
            <w:pPr>
              <w:pStyle w:val="BodyText"/>
              <w:tabs>
                <w:tab w:val="left" w:pos="720"/>
                <w:tab w:val="left" w:pos="2268"/>
              </w:tabs>
              <w:spacing w:line="360" w:lineRule="auto"/>
              <w:jc w:val="both"/>
              <w:rPr>
                <w:rFonts w:ascii="Arial Narrow" w:hAnsi="Arial Narrow" w:cs="Arial"/>
                <w:sz w:val="24"/>
                <w:szCs w:val="24"/>
              </w:rPr>
            </w:pPr>
          </w:p>
          <w:p w:rsidR="00EA5E0C" w:rsidRDefault="00EA5E0C" w:rsidP="00FB26AF">
            <w:pPr>
              <w:pStyle w:val="BodyText"/>
              <w:tabs>
                <w:tab w:val="left" w:pos="720"/>
                <w:tab w:val="left" w:pos="2268"/>
              </w:tabs>
              <w:spacing w:line="360" w:lineRule="auto"/>
              <w:jc w:val="both"/>
              <w:rPr>
                <w:rFonts w:ascii="Arial Narrow" w:hAnsi="Arial Narrow" w:cs="Arial"/>
                <w:sz w:val="24"/>
                <w:szCs w:val="24"/>
              </w:rPr>
            </w:pPr>
            <w:r w:rsidRPr="00FB26AF">
              <w:rPr>
                <w:rFonts w:ascii="Arial Narrow" w:hAnsi="Arial Narrow" w:cs="Arial"/>
                <w:sz w:val="24"/>
                <w:szCs w:val="24"/>
              </w:rPr>
              <w:t>[1</w:t>
            </w:r>
            <w:r w:rsidR="005B5CFB" w:rsidRPr="00FB26AF">
              <w:rPr>
                <w:rFonts w:ascii="Arial Narrow" w:hAnsi="Arial Narrow" w:cs="Arial"/>
                <w:sz w:val="24"/>
                <w:szCs w:val="24"/>
              </w:rPr>
              <w:t>5</w:t>
            </w:r>
            <w:r w:rsidRPr="00FB26AF">
              <w:rPr>
                <w:rFonts w:ascii="Arial Narrow" w:hAnsi="Arial Narrow" w:cs="Arial"/>
                <w:sz w:val="24"/>
                <w:szCs w:val="24"/>
              </w:rPr>
              <w:t xml:space="preserve">] </w:t>
            </w:r>
            <w:r w:rsidR="005B5CFB" w:rsidRPr="00FB26AF">
              <w:rPr>
                <w:rFonts w:ascii="Arial Narrow" w:hAnsi="Arial Narrow" w:cs="Arial"/>
                <w:sz w:val="24"/>
                <w:szCs w:val="24"/>
              </w:rPr>
              <w:t xml:space="preserve">        </w:t>
            </w:r>
            <w:r w:rsidRPr="00FB26AF">
              <w:rPr>
                <w:rFonts w:ascii="Arial Narrow" w:hAnsi="Arial Narrow" w:cs="Arial"/>
                <w:sz w:val="24"/>
                <w:szCs w:val="24"/>
              </w:rPr>
              <w:t xml:space="preserve"> In view of the above, the application for condonation, without dealing with the merits of the application, must be struck for lack of compliance with </w:t>
            </w:r>
            <w:r w:rsidR="00F82BD6" w:rsidRPr="00FB26AF">
              <w:rPr>
                <w:rFonts w:ascii="Arial Narrow" w:hAnsi="Arial Narrow" w:cs="Arial"/>
                <w:sz w:val="24"/>
                <w:szCs w:val="24"/>
              </w:rPr>
              <w:t>r</w:t>
            </w:r>
            <w:r w:rsidRPr="00FB26AF">
              <w:rPr>
                <w:rFonts w:ascii="Arial Narrow" w:hAnsi="Arial Narrow" w:cs="Arial"/>
                <w:sz w:val="24"/>
                <w:szCs w:val="24"/>
              </w:rPr>
              <w:t>ule 32 (9) and (10).</w:t>
            </w:r>
            <w:r w:rsidR="00CD56F8" w:rsidRPr="00FB26AF">
              <w:rPr>
                <w:rFonts w:ascii="Arial Narrow" w:hAnsi="Arial Narrow" w:cs="Arial"/>
                <w:sz w:val="24"/>
                <w:szCs w:val="24"/>
              </w:rPr>
              <w:t xml:space="preserve"> As a result of my ruling the summary judgment application will be deferred pending the outcome of fresh condonation application and the parties are directed to comply with the directions as set out in my order above.</w:t>
            </w:r>
          </w:p>
          <w:p w:rsidR="00FB26AF" w:rsidRDefault="00FB26AF" w:rsidP="00FB26AF">
            <w:pPr>
              <w:pStyle w:val="BodyText"/>
              <w:tabs>
                <w:tab w:val="left" w:pos="720"/>
                <w:tab w:val="left" w:pos="2268"/>
              </w:tabs>
              <w:spacing w:line="360" w:lineRule="auto"/>
              <w:jc w:val="both"/>
              <w:rPr>
                <w:rFonts w:ascii="Arial Narrow" w:hAnsi="Arial Narrow" w:cs="Arial"/>
                <w:sz w:val="24"/>
                <w:szCs w:val="24"/>
              </w:rPr>
            </w:pPr>
          </w:p>
          <w:p w:rsidR="00226AF8" w:rsidRPr="00FB26AF" w:rsidRDefault="00226AF8" w:rsidP="00FB26AF">
            <w:pPr>
              <w:spacing w:line="360" w:lineRule="auto"/>
              <w:jc w:val="both"/>
              <w:rPr>
                <w:rFonts w:ascii="Arial Narrow" w:hAnsi="Arial Narrow" w:cs="Arial"/>
                <w:sz w:val="24"/>
                <w:szCs w:val="24"/>
                <w:lang w:val="en-US"/>
              </w:rPr>
            </w:pPr>
          </w:p>
        </w:tc>
      </w:tr>
      <w:tr w:rsidR="00D26CB5" w:rsidRPr="00FB26AF" w:rsidTr="0092129C">
        <w:tc>
          <w:tcPr>
            <w:tcW w:w="4770" w:type="dxa"/>
          </w:tcPr>
          <w:p w:rsidR="00D26CB5" w:rsidRPr="00FB26AF" w:rsidRDefault="003875C3" w:rsidP="003875C3">
            <w:pPr>
              <w:spacing w:line="360" w:lineRule="auto"/>
              <w:jc w:val="center"/>
              <w:rPr>
                <w:rFonts w:ascii="Arial Narrow" w:hAnsi="Arial Narrow" w:cs="Arial"/>
                <w:b/>
                <w:sz w:val="24"/>
                <w:szCs w:val="24"/>
              </w:rPr>
            </w:pPr>
            <w:r w:rsidRPr="00FB26AF">
              <w:rPr>
                <w:rFonts w:ascii="Arial Narrow" w:hAnsi="Arial Narrow" w:cs="Arial"/>
                <w:b/>
                <w:sz w:val="24"/>
                <w:szCs w:val="24"/>
              </w:rPr>
              <w:lastRenderedPageBreak/>
              <w:t>Judge’s signature:</w:t>
            </w:r>
          </w:p>
        </w:tc>
        <w:tc>
          <w:tcPr>
            <w:tcW w:w="4950" w:type="dxa"/>
            <w:gridSpan w:val="2"/>
          </w:tcPr>
          <w:p w:rsidR="00D26CB5" w:rsidRPr="00FB26AF" w:rsidRDefault="00D26CB5" w:rsidP="0092129C">
            <w:pPr>
              <w:spacing w:line="360" w:lineRule="auto"/>
              <w:jc w:val="center"/>
              <w:rPr>
                <w:rFonts w:ascii="Arial Narrow" w:hAnsi="Arial Narrow" w:cs="Arial"/>
                <w:b/>
                <w:sz w:val="24"/>
                <w:szCs w:val="24"/>
              </w:rPr>
            </w:pPr>
            <w:r w:rsidRPr="00FB26AF">
              <w:rPr>
                <w:rFonts w:ascii="Arial Narrow" w:hAnsi="Arial Narrow" w:cs="Arial"/>
                <w:b/>
                <w:sz w:val="24"/>
                <w:szCs w:val="24"/>
              </w:rPr>
              <w:t>Note to the parties:</w:t>
            </w:r>
          </w:p>
        </w:tc>
      </w:tr>
      <w:tr w:rsidR="00D26CB5" w:rsidRPr="00FB26AF" w:rsidTr="0092129C">
        <w:trPr>
          <w:trHeight w:val="1114"/>
        </w:trPr>
        <w:tc>
          <w:tcPr>
            <w:tcW w:w="4770" w:type="dxa"/>
          </w:tcPr>
          <w:p w:rsidR="00D26CB5" w:rsidRDefault="00D26CB5" w:rsidP="0092129C">
            <w:pPr>
              <w:spacing w:line="360" w:lineRule="auto"/>
              <w:jc w:val="both"/>
              <w:rPr>
                <w:rFonts w:ascii="Arial Narrow" w:hAnsi="Arial Narrow" w:cs="Arial"/>
                <w:sz w:val="24"/>
                <w:szCs w:val="24"/>
              </w:rPr>
            </w:pPr>
          </w:p>
          <w:p w:rsidR="00FB26AF" w:rsidRPr="00FB26AF" w:rsidRDefault="00FB26AF" w:rsidP="0092129C">
            <w:pPr>
              <w:spacing w:line="360" w:lineRule="auto"/>
              <w:jc w:val="both"/>
              <w:rPr>
                <w:rFonts w:ascii="Arial Narrow" w:hAnsi="Arial Narrow" w:cs="Arial"/>
                <w:sz w:val="24"/>
                <w:szCs w:val="24"/>
              </w:rPr>
            </w:pPr>
          </w:p>
          <w:p w:rsidR="00D26CB5" w:rsidRPr="00FB26AF" w:rsidRDefault="00D26CB5" w:rsidP="0092129C">
            <w:pPr>
              <w:spacing w:line="360" w:lineRule="auto"/>
              <w:jc w:val="both"/>
              <w:rPr>
                <w:rFonts w:ascii="Arial Narrow" w:hAnsi="Arial Narrow" w:cs="Arial"/>
                <w:sz w:val="24"/>
                <w:szCs w:val="24"/>
              </w:rPr>
            </w:pPr>
          </w:p>
          <w:p w:rsidR="00D26CB5" w:rsidRPr="00FB26AF" w:rsidRDefault="00D26CB5" w:rsidP="0092129C">
            <w:pPr>
              <w:spacing w:line="360" w:lineRule="auto"/>
              <w:jc w:val="both"/>
              <w:rPr>
                <w:rFonts w:ascii="Arial Narrow" w:hAnsi="Arial Narrow" w:cs="Arial"/>
                <w:sz w:val="24"/>
                <w:szCs w:val="24"/>
              </w:rPr>
            </w:pPr>
          </w:p>
        </w:tc>
        <w:tc>
          <w:tcPr>
            <w:tcW w:w="4950" w:type="dxa"/>
            <w:gridSpan w:val="2"/>
          </w:tcPr>
          <w:p w:rsidR="00D26CB5" w:rsidRPr="00FB26AF" w:rsidRDefault="00D26CB5" w:rsidP="0092129C">
            <w:pPr>
              <w:spacing w:line="360" w:lineRule="auto"/>
              <w:jc w:val="both"/>
              <w:rPr>
                <w:rFonts w:ascii="Arial Narrow" w:hAnsi="Arial Narrow" w:cs="Arial"/>
                <w:sz w:val="24"/>
                <w:szCs w:val="24"/>
              </w:rPr>
            </w:pPr>
            <w:r w:rsidRPr="00FB26AF">
              <w:rPr>
                <w:rFonts w:ascii="Arial Narrow" w:hAnsi="Arial Narrow" w:cs="Arial"/>
                <w:sz w:val="24"/>
                <w:szCs w:val="24"/>
              </w:rPr>
              <w:t>Not applicable.</w:t>
            </w:r>
          </w:p>
        </w:tc>
      </w:tr>
      <w:tr w:rsidR="00D26CB5" w:rsidRPr="00FB26AF" w:rsidTr="0092129C">
        <w:tc>
          <w:tcPr>
            <w:tcW w:w="9720" w:type="dxa"/>
            <w:gridSpan w:val="3"/>
          </w:tcPr>
          <w:p w:rsidR="00D26CB5" w:rsidRPr="00FB26AF" w:rsidRDefault="00D26CB5" w:rsidP="0092129C">
            <w:pPr>
              <w:spacing w:line="360" w:lineRule="auto"/>
              <w:jc w:val="center"/>
              <w:rPr>
                <w:rFonts w:ascii="Arial Narrow" w:hAnsi="Arial Narrow" w:cs="Arial"/>
                <w:b/>
                <w:sz w:val="24"/>
                <w:szCs w:val="24"/>
              </w:rPr>
            </w:pPr>
            <w:r w:rsidRPr="00FB26AF">
              <w:rPr>
                <w:rFonts w:ascii="Arial Narrow" w:hAnsi="Arial Narrow" w:cs="Arial"/>
                <w:b/>
                <w:sz w:val="24"/>
                <w:szCs w:val="24"/>
              </w:rPr>
              <w:t>Counsel:</w:t>
            </w:r>
          </w:p>
        </w:tc>
      </w:tr>
      <w:tr w:rsidR="00D26CB5" w:rsidRPr="00FB26AF" w:rsidTr="0092129C">
        <w:tc>
          <w:tcPr>
            <w:tcW w:w="4770" w:type="dxa"/>
          </w:tcPr>
          <w:p w:rsidR="00D26CB5" w:rsidRPr="00FB26AF" w:rsidRDefault="009F3726" w:rsidP="0092129C">
            <w:pPr>
              <w:spacing w:line="360" w:lineRule="auto"/>
              <w:jc w:val="center"/>
              <w:rPr>
                <w:rFonts w:ascii="Arial Narrow" w:hAnsi="Arial Narrow" w:cs="Arial"/>
                <w:b/>
                <w:sz w:val="24"/>
                <w:szCs w:val="24"/>
              </w:rPr>
            </w:pPr>
            <w:r w:rsidRPr="00FB26AF">
              <w:rPr>
                <w:rFonts w:ascii="Arial Narrow" w:hAnsi="Arial Narrow" w:cs="Arial"/>
                <w:b/>
                <w:sz w:val="24"/>
                <w:szCs w:val="24"/>
              </w:rPr>
              <w:t>Plaintiff</w:t>
            </w:r>
          </w:p>
        </w:tc>
        <w:tc>
          <w:tcPr>
            <w:tcW w:w="4950" w:type="dxa"/>
            <w:gridSpan w:val="2"/>
          </w:tcPr>
          <w:p w:rsidR="00D26CB5" w:rsidRPr="00FB26AF" w:rsidRDefault="00D26CB5" w:rsidP="009F3726">
            <w:pPr>
              <w:spacing w:line="360" w:lineRule="auto"/>
              <w:jc w:val="center"/>
              <w:rPr>
                <w:rFonts w:ascii="Arial Narrow" w:hAnsi="Arial Narrow" w:cs="Arial"/>
                <w:b/>
                <w:sz w:val="24"/>
                <w:szCs w:val="24"/>
              </w:rPr>
            </w:pPr>
            <w:r w:rsidRPr="00FB26AF">
              <w:rPr>
                <w:rFonts w:ascii="Arial Narrow" w:hAnsi="Arial Narrow" w:cs="Arial"/>
                <w:b/>
                <w:sz w:val="24"/>
                <w:szCs w:val="24"/>
              </w:rPr>
              <w:t xml:space="preserve"> </w:t>
            </w:r>
            <w:r w:rsidR="009F3726" w:rsidRPr="00FB26AF">
              <w:rPr>
                <w:rFonts w:ascii="Arial Narrow" w:hAnsi="Arial Narrow" w:cs="Arial"/>
                <w:b/>
                <w:sz w:val="24"/>
                <w:szCs w:val="24"/>
              </w:rPr>
              <w:t>Defendant</w:t>
            </w:r>
          </w:p>
        </w:tc>
      </w:tr>
      <w:tr w:rsidR="00D26CB5" w:rsidRPr="00FB26AF" w:rsidTr="0092129C">
        <w:tc>
          <w:tcPr>
            <w:tcW w:w="4770" w:type="dxa"/>
          </w:tcPr>
          <w:p w:rsidR="00D67EBE" w:rsidRPr="00FB26AF" w:rsidRDefault="00EA5E0C" w:rsidP="008E1E24">
            <w:pPr>
              <w:spacing w:line="360" w:lineRule="auto"/>
              <w:jc w:val="center"/>
              <w:rPr>
                <w:rFonts w:ascii="Arial Narrow" w:hAnsi="Arial Narrow" w:cs="Arial"/>
                <w:szCs w:val="24"/>
              </w:rPr>
            </w:pPr>
            <w:r w:rsidRPr="00FB26AF">
              <w:rPr>
                <w:rFonts w:ascii="Arial Narrow" w:hAnsi="Arial Narrow" w:cs="Arial"/>
                <w:szCs w:val="24"/>
              </w:rPr>
              <w:t>Ms Mombeyarara</w:t>
            </w:r>
          </w:p>
          <w:p w:rsidR="00EA5E0C" w:rsidRPr="00FB26AF" w:rsidRDefault="00EA5E0C" w:rsidP="008E1E24">
            <w:pPr>
              <w:spacing w:line="360" w:lineRule="auto"/>
              <w:jc w:val="center"/>
              <w:rPr>
                <w:rFonts w:ascii="Arial Narrow" w:hAnsi="Arial Narrow" w:cs="Arial"/>
              </w:rPr>
            </w:pPr>
            <w:r w:rsidRPr="00FB26AF">
              <w:rPr>
                <w:rFonts w:ascii="Arial Narrow" w:hAnsi="Arial Narrow" w:cs="Arial"/>
              </w:rPr>
              <w:t>From</w:t>
            </w:r>
          </w:p>
          <w:p w:rsidR="00EA5E0C" w:rsidRPr="00FB26AF" w:rsidRDefault="00EA5E0C" w:rsidP="008E1E24">
            <w:pPr>
              <w:spacing w:line="360" w:lineRule="auto"/>
              <w:jc w:val="center"/>
              <w:rPr>
                <w:rFonts w:ascii="Arial Narrow" w:hAnsi="Arial Narrow" w:cs="Arial"/>
              </w:rPr>
            </w:pPr>
            <w:r w:rsidRPr="00FB26AF">
              <w:rPr>
                <w:rFonts w:ascii="Arial Narrow" w:hAnsi="Arial Narrow" w:cs="Arial"/>
              </w:rPr>
              <w:t>Adv SS Makando Chambers</w:t>
            </w:r>
          </w:p>
          <w:p w:rsidR="00EA5E0C" w:rsidRPr="00FB26AF" w:rsidRDefault="00EA5E0C" w:rsidP="008E1E24">
            <w:pPr>
              <w:spacing w:line="360" w:lineRule="auto"/>
              <w:jc w:val="center"/>
              <w:rPr>
                <w:rFonts w:ascii="Arial Narrow" w:hAnsi="Arial Narrow" w:cs="Arial"/>
              </w:rPr>
            </w:pPr>
            <w:r w:rsidRPr="00FB26AF">
              <w:rPr>
                <w:rFonts w:ascii="Arial Narrow" w:hAnsi="Arial Narrow" w:cs="Arial"/>
              </w:rPr>
              <w:t>Windhoek</w:t>
            </w:r>
          </w:p>
          <w:p w:rsidR="006003C6" w:rsidRPr="00FB26AF" w:rsidRDefault="006003C6" w:rsidP="008E1E24">
            <w:pPr>
              <w:spacing w:line="360" w:lineRule="auto"/>
              <w:jc w:val="center"/>
              <w:rPr>
                <w:rFonts w:ascii="Arial Narrow" w:hAnsi="Arial Narrow" w:cs="Arial"/>
                <w:sz w:val="24"/>
                <w:szCs w:val="24"/>
              </w:rPr>
            </w:pPr>
            <w:r w:rsidRPr="00FB26AF">
              <w:rPr>
                <w:rFonts w:ascii="Arial Narrow" w:hAnsi="Arial Narrow" w:cs="Arial"/>
              </w:rPr>
              <w:t>.</w:t>
            </w:r>
          </w:p>
        </w:tc>
        <w:tc>
          <w:tcPr>
            <w:tcW w:w="4950" w:type="dxa"/>
            <w:gridSpan w:val="2"/>
          </w:tcPr>
          <w:p w:rsidR="00D26CB5" w:rsidRPr="00FB26AF" w:rsidRDefault="00EA5E0C" w:rsidP="0092129C">
            <w:pPr>
              <w:spacing w:line="360" w:lineRule="auto"/>
              <w:jc w:val="center"/>
              <w:rPr>
                <w:rFonts w:ascii="Arial Narrow" w:hAnsi="Arial Narrow" w:cs="Arial"/>
                <w:szCs w:val="24"/>
              </w:rPr>
            </w:pPr>
            <w:r w:rsidRPr="00FB26AF">
              <w:rPr>
                <w:rFonts w:ascii="Arial Narrow" w:hAnsi="Arial Narrow" w:cs="Arial"/>
                <w:szCs w:val="24"/>
              </w:rPr>
              <w:t>Ms Saaiman</w:t>
            </w:r>
          </w:p>
          <w:p w:rsidR="00EA5E0C" w:rsidRPr="00FB26AF" w:rsidRDefault="00EA5E0C" w:rsidP="0092129C">
            <w:pPr>
              <w:spacing w:line="360" w:lineRule="auto"/>
              <w:jc w:val="center"/>
              <w:rPr>
                <w:rFonts w:ascii="Arial Narrow" w:hAnsi="Arial Narrow" w:cs="Arial"/>
                <w:szCs w:val="24"/>
              </w:rPr>
            </w:pPr>
            <w:r w:rsidRPr="00FB26AF">
              <w:rPr>
                <w:rFonts w:ascii="Arial Narrow" w:hAnsi="Arial Narrow" w:cs="Arial"/>
                <w:szCs w:val="24"/>
              </w:rPr>
              <w:t>from</w:t>
            </w:r>
          </w:p>
          <w:p w:rsidR="00D67EBE" w:rsidRPr="00FB26AF" w:rsidRDefault="00EA5E0C" w:rsidP="008E1E24">
            <w:pPr>
              <w:spacing w:line="360" w:lineRule="auto"/>
              <w:jc w:val="center"/>
              <w:rPr>
                <w:rFonts w:ascii="Arial Narrow" w:hAnsi="Arial Narrow" w:cs="Arial"/>
              </w:rPr>
            </w:pPr>
            <w:r w:rsidRPr="00FB26AF">
              <w:rPr>
                <w:rFonts w:ascii="Arial Narrow" w:hAnsi="Arial Narrow" w:cs="Arial"/>
              </w:rPr>
              <w:t>GVS Law Namibia</w:t>
            </w:r>
          </w:p>
          <w:p w:rsidR="00EA5E0C" w:rsidRPr="00FB26AF" w:rsidRDefault="00EA5E0C" w:rsidP="008E1E24">
            <w:pPr>
              <w:spacing w:line="360" w:lineRule="auto"/>
              <w:jc w:val="center"/>
              <w:rPr>
                <w:rFonts w:ascii="Arial Narrow" w:hAnsi="Arial Narrow" w:cs="Arial"/>
                <w:sz w:val="24"/>
                <w:szCs w:val="24"/>
              </w:rPr>
            </w:pPr>
            <w:r w:rsidRPr="00FB26AF">
              <w:rPr>
                <w:rFonts w:ascii="Arial Narrow" w:hAnsi="Arial Narrow" w:cs="Arial"/>
              </w:rPr>
              <w:t>Windhoek</w:t>
            </w:r>
          </w:p>
        </w:tc>
      </w:tr>
    </w:tbl>
    <w:p w:rsidR="00D26CB5" w:rsidRPr="00FB26AF" w:rsidRDefault="00D26CB5" w:rsidP="00D26CB5">
      <w:pPr>
        <w:spacing w:after="0" w:line="360" w:lineRule="auto"/>
        <w:jc w:val="both"/>
        <w:rPr>
          <w:rFonts w:ascii="Arial Narrow" w:hAnsi="Arial Narrow"/>
          <w:sz w:val="24"/>
          <w:szCs w:val="24"/>
        </w:rPr>
      </w:pPr>
    </w:p>
    <w:p w:rsidR="00D26CB5" w:rsidRPr="00FB26AF" w:rsidRDefault="00D26CB5" w:rsidP="00D26CB5">
      <w:pPr>
        <w:rPr>
          <w:rFonts w:ascii="Arial Narrow" w:hAnsi="Arial Narrow"/>
          <w:sz w:val="24"/>
          <w:szCs w:val="24"/>
        </w:rPr>
      </w:pPr>
    </w:p>
    <w:p w:rsidR="00012995" w:rsidRPr="00FB26AF" w:rsidRDefault="00012995">
      <w:pPr>
        <w:rPr>
          <w:rFonts w:ascii="Arial Narrow" w:hAnsi="Arial Narrow"/>
          <w:sz w:val="24"/>
          <w:szCs w:val="24"/>
        </w:rPr>
      </w:pPr>
    </w:p>
    <w:sectPr w:rsidR="00012995" w:rsidRPr="00FB26AF" w:rsidSect="00446BF9">
      <w:headerReference w:type="default" r:id="rId11"/>
      <w:footerReference w:type="default" r:id="rId12"/>
      <w:pgSz w:w="11906" w:h="16838"/>
      <w:pgMar w:top="1080" w:right="1440" w:bottom="1134" w:left="1440" w:header="708" w:footer="7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3F" w:rsidRDefault="006D643F" w:rsidP="00D01890">
      <w:pPr>
        <w:spacing w:after="0" w:line="240" w:lineRule="auto"/>
      </w:pPr>
      <w:r>
        <w:separator/>
      </w:r>
    </w:p>
  </w:endnote>
  <w:endnote w:type="continuationSeparator" w:id="0">
    <w:p w:rsidR="006D643F" w:rsidRDefault="006D643F"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Footer"/>
      <w:jc w:val="right"/>
    </w:pPr>
  </w:p>
  <w:p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3F" w:rsidRDefault="006D643F" w:rsidP="00D01890">
      <w:pPr>
        <w:spacing w:after="0" w:line="240" w:lineRule="auto"/>
      </w:pPr>
      <w:r>
        <w:separator/>
      </w:r>
    </w:p>
  </w:footnote>
  <w:footnote w:type="continuationSeparator" w:id="0">
    <w:p w:rsidR="006D643F" w:rsidRDefault="006D643F" w:rsidP="00D01890">
      <w:pPr>
        <w:spacing w:after="0" w:line="240" w:lineRule="auto"/>
      </w:pPr>
      <w:r>
        <w:continuationSeparator/>
      </w:r>
    </w:p>
  </w:footnote>
  <w:footnote w:id="1">
    <w:p w:rsidR="00481A5C" w:rsidRPr="00FB26AF" w:rsidRDefault="00481A5C">
      <w:pPr>
        <w:pStyle w:val="FootnoteText"/>
        <w:rPr>
          <w:rFonts w:ascii="Arial Narrow" w:hAnsi="Arial Narrow"/>
        </w:rPr>
      </w:pPr>
      <w:r w:rsidRPr="00FB26AF">
        <w:rPr>
          <w:rStyle w:val="FootnoteReference"/>
          <w:rFonts w:ascii="Arial Narrow" w:hAnsi="Arial Narrow"/>
        </w:rPr>
        <w:footnoteRef/>
      </w:r>
      <w:r w:rsidRPr="00FB26AF">
        <w:rPr>
          <w:rFonts w:ascii="Arial Narrow" w:hAnsi="Arial Narrow"/>
        </w:rPr>
        <w:t xml:space="preserve"> The parties will be referred to as they are in the main action. </w:t>
      </w:r>
    </w:p>
  </w:footnote>
  <w:footnote w:id="2">
    <w:p w:rsidR="00EA5E0C" w:rsidRPr="00FB26AF" w:rsidRDefault="00EA5E0C" w:rsidP="00EA5E0C">
      <w:pPr>
        <w:spacing w:after="0" w:line="240" w:lineRule="auto"/>
        <w:outlineLvl w:val="0"/>
        <w:rPr>
          <w:rFonts w:ascii="Arial Narrow" w:eastAsia="Times New Roman" w:hAnsi="Arial Narrow" w:cs="Helvetica"/>
          <w:kern w:val="36"/>
          <w:sz w:val="20"/>
          <w:szCs w:val="20"/>
          <w:lang w:eastAsia="en-ZA"/>
        </w:rPr>
      </w:pPr>
      <w:r w:rsidRPr="00FB26AF">
        <w:rPr>
          <w:rStyle w:val="FootnoteReference"/>
          <w:rFonts w:ascii="Arial Narrow" w:hAnsi="Arial Narrow"/>
          <w:sz w:val="20"/>
          <w:szCs w:val="20"/>
        </w:rPr>
        <w:footnoteRef/>
      </w:r>
      <w:r w:rsidRPr="00FB26AF">
        <w:rPr>
          <w:rFonts w:ascii="Arial Narrow" w:hAnsi="Arial Narrow"/>
          <w:sz w:val="20"/>
          <w:szCs w:val="20"/>
        </w:rPr>
        <w:t xml:space="preserve"> </w:t>
      </w:r>
      <w:r w:rsidRPr="00FB26AF">
        <w:rPr>
          <w:rFonts w:ascii="Arial Narrow" w:eastAsia="Times New Roman" w:hAnsi="Arial Narrow" w:cs="Helvetica"/>
          <w:i/>
          <w:kern w:val="36"/>
          <w:sz w:val="20"/>
          <w:szCs w:val="20"/>
          <w:lang w:eastAsia="en-ZA"/>
        </w:rPr>
        <w:t>South African Airways Soc Limited v Camm and Others</w:t>
      </w:r>
      <w:r w:rsidRPr="00FB26AF">
        <w:rPr>
          <w:rFonts w:ascii="Arial Narrow" w:eastAsia="Times New Roman" w:hAnsi="Arial Narrow" w:cs="Helvetica"/>
          <w:kern w:val="36"/>
          <w:sz w:val="20"/>
          <w:szCs w:val="20"/>
          <w:lang w:eastAsia="en-ZA"/>
        </w:rPr>
        <w:t xml:space="preserve"> (HC-MD-CIV-ACT-DEL-2016/02479) [2019]</w:t>
      </w:r>
      <w:r w:rsidR="009B5D6B">
        <w:rPr>
          <w:rFonts w:ascii="Arial Narrow" w:eastAsia="Times New Roman" w:hAnsi="Arial Narrow" w:cs="Helvetica"/>
          <w:kern w:val="36"/>
          <w:sz w:val="20"/>
          <w:szCs w:val="20"/>
          <w:lang w:eastAsia="en-ZA"/>
        </w:rPr>
        <w:t xml:space="preserve"> </w:t>
      </w:r>
      <w:bookmarkStart w:id="0" w:name="_GoBack"/>
      <w:bookmarkEnd w:id="0"/>
      <w:r w:rsidRPr="00FB26AF">
        <w:rPr>
          <w:rFonts w:ascii="Arial Narrow" w:eastAsia="Times New Roman" w:hAnsi="Arial Narrow" w:cs="Helvetica"/>
          <w:kern w:val="36"/>
          <w:sz w:val="20"/>
          <w:szCs w:val="20"/>
          <w:lang w:eastAsia="en-ZA"/>
        </w:rPr>
        <w:t>NAHCMD 14 (31 January 2019)</w:t>
      </w:r>
      <w:r w:rsidR="00A27EAD">
        <w:rPr>
          <w:rFonts w:ascii="Arial Narrow" w:eastAsia="Times New Roman" w:hAnsi="Arial Narrow" w:cs="Helvetica"/>
          <w:kern w:val="36"/>
          <w:sz w:val="20"/>
          <w:szCs w:val="20"/>
          <w:lang w:eastAsia="en-ZA"/>
        </w:rPr>
        <w:t>.</w:t>
      </w:r>
    </w:p>
    <w:p w:rsidR="00EA5E0C" w:rsidRPr="00FB26AF" w:rsidRDefault="00EA5E0C">
      <w:pPr>
        <w:pStyle w:val="FootnoteText"/>
        <w:rPr>
          <w:rFonts w:ascii="Arial Narrow" w:hAnsi="Arial Narro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4"/>
        <w:szCs w:val="24"/>
      </w:rPr>
      <w:id w:val="585736183"/>
      <w:docPartObj>
        <w:docPartGallery w:val="Page Numbers (Top of Page)"/>
        <w:docPartUnique/>
      </w:docPartObj>
    </w:sdtPr>
    <w:sdtEndPr>
      <w:rPr>
        <w:noProof/>
      </w:rPr>
    </w:sdtEndPr>
    <w:sdtContent>
      <w:p w:rsidR="00446BF9" w:rsidRPr="00446BF9" w:rsidRDefault="00446BF9">
        <w:pPr>
          <w:pStyle w:val="Header"/>
          <w:jc w:val="right"/>
          <w:rPr>
            <w:rFonts w:ascii="Arial Narrow" w:hAnsi="Arial Narrow"/>
            <w:sz w:val="24"/>
            <w:szCs w:val="24"/>
          </w:rPr>
        </w:pPr>
        <w:r w:rsidRPr="00446BF9">
          <w:rPr>
            <w:rFonts w:ascii="Arial Narrow" w:hAnsi="Arial Narrow"/>
            <w:sz w:val="24"/>
            <w:szCs w:val="24"/>
          </w:rPr>
          <w:fldChar w:fldCharType="begin"/>
        </w:r>
        <w:r w:rsidRPr="00446BF9">
          <w:rPr>
            <w:rFonts w:ascii="Arial Narrow" w:hAnsi="Arial Narrow"/>
            <w:sz w:val="24"/>
            <w:szCs w:val="24"/>
          </w:rPr>
          <w:instrText xml:space="preserve"> PAGE   \* MERGEFORMAT </w:instrText>
        </w:r>
        <w:r w:rsidRPr="00446BF9">
          <w:rPr>
            <w:rFonts w:ascii="Arial Narrow" w:hAnsi="Arial Narrow"/>
            <w:sz w:val="24"/>
            <w:szCs w:val="24"/>
          </w:rPr>
          <w:fldChar w:fldCharType="separate"/>
        </w:r>
        <w:r w:rsidR="009B5D6B">
          <w:rPr>
            <w:rFonts w:ascii="Arial Narrow" w:hAnsi="Arial Narrow"/>
            <w:noProof/>
            <w:sz w:val="24"/>
            <w:szCs w:val="24"/>
          </w:rPr>
          <w:t>4</w:t>
        </w:r>
        <w:r w:rsidRPr="00446BF9">
          <w:rPr>
            <w:rFonts w:ascii="Arial Narrow" w:hAnsi="Arial Narrow"/>
            <w:noProof/>
            <w:sz w:val="24"/>
            <w:szCs w:val="24"/>
          </w:rPr>
          <w:fldChar w:fldCharType="end"/>
        </w:r>
      </w:p>
    </w:sdtContent>
  </w:sdt>
  <w:p w:rsidR="00352B3F" w:rsidRPr="00446BF9" w:rsidRDefault="00352B3F">
    <w:pPr>
      <w:pStyle w:val="Header"/>
      <w:rPr>
        <w:rFonts w:ascii="Arial Narrow" w:hAnsi="Arial Narro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95823"/>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B0574A"/>
    <w:multiLevelType w:val="multilevel"/>
    <w:tmpl w:val="FA3C886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2E7C001C"/>
    <w:multiLevelType w:val="hybridMultilevel"/>
    <w:tmpl w:val="CB203B5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53A4036"/>
    <w:multiLevelType w:val="hybridMultilevel"/>
    <w:tmpl w:val="4E2C8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A207125"/>
    <w:multiLevelType w:val="multilevel"/>
    <w:tmpl w:val="EEA48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DE75459"/>
    <w:multiLevelType w:val="hybridMultilevel"/>
    <w:tmpl w:val="0FAEE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329C6"/>
    <w:multiLevelType w:val="hybridMultilevel"/>
    <w:tmpl w:val="B082E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5"/>
  </w:num>
  <w:num w:numId="5">
    <w:abstractNumId w:val="0"/>
  </w:num>
  <w:num w:numId="6">
    <w:abstractNumId w:val="6"/>
  </w:num>
  <w:num w:numId="7">
    <w:abstractNumId w:val="4"/>
  </w:num>
  <w:num w:numId="8">
    <w:abstractNumId w:val="7"/>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155A5"/>
    <w:rsid w:val="0002555E"/>
    <w:rsid w:val="000309E0"/>
    <w:rsid w:val="00055FA9"/>
    <w:rsid w:val="00057DE9"/>
    <w:rsid w:val="00070929"/>
    <w:rsid w:val="00084E58"/>
    <w:rsid w:val="000A29F1"/>
    <w:rsid w:val="000A684E"/>
    <w:rsid w:val="000A6CDD"/>
    <w:rsid w:val="000B31F0"/>
    <w:rsid w:val="000D2DE9"/>
    <w:rsid w:val="000D3044"/>
    <w:rsid w:val="000D70A9"/>
    <w:rsid w:val="000D7380"/>
    <w:rsid w:val="000E043D"/>
    <w:rsid w:val="000E6395"/>
    <w:rsid w:val="000F3A0D"/>
    <w:rsid w:val="001007FF"/>
    <w:rsid w:val="001068B9"/>
    <w:rsid w:val="001108CF"/>
    <w:rsid w:val="00142231"/>
    <w:rsid w:val="00142BD3"/>
    <w:rsid w:val="00145ADA"/>
    <w:rsid w:val="00165A20"/>
    <w:rsid w:val="0017517E"/>
    <w:rsid w:val="001773C4"/>
    <w:rsid w:val="001B15C5"/>
    <w:rsid w:val="001B19AC"/>
    <w:rsid w:val="001B7111"/>
    <w:rsid w:val="001E4FF0"/>
    <w:rsid w:val="002044D7"/>
    <w:rsid w:val="00214E94"/>
    <w:rsid w:val="00215D03"/>
    <w:rsid w:val="00226AF8"/>
    <w:rsid w:val="00233466"/>
    <w:rsid w:val="00240526"/>
    <w:rsid w:val="00246D72"/>
    <w:rsid w:val="002510D0"/>
    <w:rsid w:val="002557A7"/>
    <w:rsid w:val="00267D07"/>
    <w:rsid w:val="0027100A"/>
    <w:rsid w:val="00273C50"/>
    <w:rsid w:val="002779F2"/>
    <w:rsid w:val="00277FD7"/>
    <w:rsid w:val="00280ADC"/>
    <w:rsid w:val="00285E54"/>
    <w:rsid w:val="00294FF2"/>
    <w:rsid w:val="002A3123"/>
    <w:rsid w:val="002B3223"/>
    <w:rsid w:val="002B7A85"/>
    <w:rsid w:val="002C06EC"/>
    <w:rsid w:val="002C3B08"/>
    <w:rsid w:val="002C4E37"/>
    <w:rsid w:val="002D78B1"/>
    <w:rsid w:val="00304CD2"/>
    <w:rsid w:val="00311F65"/>
    <w:rsid w:val="00312048"/>
    <w:rsid w:val="00313CD0"/>
    <w:rsid w:val="00321AA9"/>
    <w:rsid w:val="00344481"/>
    <w:rsid w:val="00347D01"/>
    <w:rsid w:val="00352B3F"/>
    <w:rsid w:val="00371056"/>
    <w:rsid w:val="003875C3"/>
    <w:rsid w:val="00390E41"/>
    <w:rsid w:val="003A5397"/>
    <w:rsid w:val="003C2051"/>
    <w:rsid w:val="003E0400"/>
    <w:rsid w:val="003E1468"/>
    <w:rsid w:val="003E5C60"/>
    <w:rsid w:val="003E72CC"/>
    <w:rsid w:val="003F40BD"/>
    <w:rsid w:val="003F526F"/>
    <w:rsid w:val="0040115B"/>
    <w:rsid w:val="00404EDF"/>
    <w:rsid w:val="0041481F"/>
    <w:rsid w:val="0041627F"/>
    <w:rsid w:val="00421EFE"/>
    <w:rsid w:val="00422236"/>
    <w:rsid w:val="004262E2"/>
    <w:rsid w:val="00427466"/>
    <w:rsid w:val="0043000E"/>
    <w:rsid w:val="00443598"/>
    <w:rsid w:val="00446BF9"/>
    <w:rsid w:val="00447408"/>
    <w:rsid w:val="004502D1"/>
    <w:rsid w:val="00457763"/>
    <w:rsid w:val="00463102"/>
    <w:rsid w:val="00471607"/>
    <w:rsid w:val="0047342A"/>
    <w:rsid w:val="0047532C"/>
    <w:rsid w:val="00481A5C"/>
    <w:rsid w:val="004879DF"/>
    <w:rsid w:val="0049404B"/>
    <w:rsid w:val="004C0404"/>
    <w:rsid w:val="004D7E1C"/>
    <w:rsid w:val="004E3863"/>
    <w:rsid w:val="004E7F24"/>
    <w:rsid w:val="004F2D2F"/>
    <w:rsid w:val="00543F56"/>
    <w:rsid w:val="0055737E"/>
    <w:rsid w:val="0056075D"/>
    <w:rsid w:val="00566A0E"/>
    <w:rsid w:val="005732F3"/>
    <w:rsid w:val="0057469F"/>
    <w:rsid w:val="00576699"/>
    <w:rsid w:val="0057707B"/>
    <w:rsid w:val="00590640"/>
    <w:rsid w:val="005932AF"/>
    <w:rsid w:val="005946B3"/>
    <w:rsid w:val="005A25A5"/>
    <w:rsid w:val="005B5CFB"/>
    <w:rsid w:val="005D1985"/>
    <w:rsid w:val="005D6F2A"/>
    <w:rsid w:val="005D7122"/>
    <w:rsid w:val="005E5886"/>
    <w:rsid w:val="005F365C"/>
    <w:rsid w:val="00600394"/>
    <w:rsid w:val="006003C6"/>
    <w:rsid w:val="00606780"/>
    <w:rsid w:val="006202C8"/>
    <w:rsid w:val="00641114"/>
    <w:rsid w:val="006449FD"/>
    <w:rsid w:val="0064775D"/>
    <w:rsid w:val="006508F8"/>
    <w:rsid w:val="00651FBF"/>
    <w:rsid w:val="00691B65"/>
    <w:rsid w:val="006A4EF2"/>
    <w:rsid w:val="006A782A"/>
    <w:rsid w:val="006C05AC"/>
    <w:rsid w:val="006C16F7"/>
    <w:rsid w:val="006C2F1D"/>
    <w:rsid w:val="006C6427"/>
    <w:rsid w:val="006D0903"/>
    <w:rsid w:val="006D0EF4"/>
    <w:rsid w:val="006D5B5A"/>
    <w:rsid w:val="006D643F"/>
    <w:rsid w:val="006F1344"/>
    <w:rsid w:val="006F3863"/>
    <w:rsid w:val="00701DE4"/>
    <w:rsid w:val="00706660"/>
    <w:rsid w:val="00706721"/>
    <w:rsid w:val="007145A5"/>
    <w:rsid w:val="007521D1"/>
    <w:rsid w:val="00752ACC"/>
    <w:rsid w:val="00775A21"/>
    <w:rsid w:val="007777C3"/>
    <w:rsid w:val="00790373"/>
    <w:rsid w:val="007A6F9E"/>
    <w:rsid w:val="007A7C33"/>
    <w:rsid w:val="007B551C"/>
    <w:rsid w:val="007C5F79"/>
    <w:rsid w:val="007C6151"/>
    <w:rsid w:val="007D2B14"/>
    <w:rsid w:val="007D58A0"/>
    <w:rsid w:val="0081198A"/>
    <w:rsid w:val="0082601E"/>
    <w:rsid w:val="008278F9"/>
    <w:rsid w:val="00834111"/>
    <w:rsid w:val="008414A6"/>
    <w:rsid w:val="00845463"/>
    <w:rsid w:val="0086662D"/>
    <w:rsid w:val="008714DD"/>
    <w:rsid w:val="00871FE0"/>
    <w:rsid w:val="00883A84"/>
    <w:rsid w:val="00886E3C"/>
    <w:rsid w:val="0089129E"/>
    <w:rsid w:val="0089511B"/>
    <w:rsid w:val="008A417A"/>
    <w:rsid w:val="008A4A52"/>
    <w:rsid w:val="008B478D"/>
    <w:rsid w:val="008D0F38"/>
    <w:rsid w:val="008D563B"/>
    <w:rsid w:val="008E1E24"/>
    <w:rsid w:val="008F2B2F"/>
    <w:rsid w:val="008F2B9B"/>
    <w:rsid w:val="00910923"/>
    <w:rsid w:val="009114FF"/>
    <w:rsid w:val="00911F3C"/>
    <w:rsid w:val="00913A93"/>
    <w:rsid w:val="00917569"/>
    <w:rsid w:val="0092129C"/>
    <w:rsid w:val="00924891"/>
    <w:rsid w:val="009253D3"/>
    <w:rsid w:val="0093109A"/>
    <w:rsid w:val="00944A7A"/>
    <w:rsid w:val="00944D2F"/>
    <w:rsid w:val="009615E3"/>
    <w:rsid w:val="00964066"/>
    <w:rsid w:val="00966FC8"/>
    <w:rsid w:val="009709AB"/>
    <w:rsid w:val="0098303D"/>
    <w:rsid w:val="00985685"/>
    <w:rsid w:val="00992E76"/>
    <w:rsid w:val="009B10A0"/>
    <w:rsid w:val="009B5D6B"/>
    <w:rsid w:val="009B657F"/>
    <w:rsid w:val="009C3892"/>
    <w:rsid w:val="009C7405"/>
    <w:rsid w:val="009D34D8"/>
    <w:rsid w:val="009D499A"/>
    <w:rsid w:val="009E1C5A"/>
    <w:rsid w:val="009E4890"/>
    <w:rsid w:val="009F2189"/>
    <w:rsid w:val="009F3726"/>
    <w:rsid w:val="009F78A6"/>
    <w:rsid w:val="00A00DF2"/>
    <w:rsid w:val="00A04E29"/>
    <w:rsid w:val="00A10933"/>
    <w:rsid w:val="00A11382"/>
    <w:rsid w:val="00A13765"/>
    <w:rsid w:val="00A22F11"/>
    <w:rsid w:val="00A27EAD"/>
    <w:rsid w:val="00A32333"/>
    <w:rsid w:val="00A41D49"/>
    <w:rsid w:val="00A5051A"/>
    <w:rsid w:val="00A63B44"/>
    <w:rsid w:val="00A64DBC"/>
    <w:rsid w:val="00A70BA9"/>
    <w:rsid w:val="00A71F7B"/>
    <w:rsid w:val="00A873AE"/>
    <w:rsid w:val="00A87A20"/>
    <w:rsid w:val="00A9701C"/>
    <w:rsid w:val="00AB2C0C"/>
    <w:rsid w:val="00AC3CFB"/>
    <w:rsid w:val="00AD33D9"/>
    <w:rsid w:val="00AD6118"/>
    <w:rsid w:val="00AE5621"/>
    <w:rsid w:val="00B04C63"/>
    <w:rsid w:val="00B122D7"/>
    <w:rsid w:val="00B362E7"/>
    <w:rsid w:val="00B50265"/>
    <w:rsid w:val="00B52D39"/>
    <w:rsid w:val="00B7506D"/>
    <w:rsid w:val="00B76EB9"/>
    <w:rsid w:val="00B94B61"/>
    <w:rsid w:val="00BA32A0"/>
    <w:rsid w:val="00BA33A1"/>
    <w:rsid w:val="00BA57B1"/>
    <w:rsid w:val="00BB19DE"/>
    <w:rsid w:val="00BB206A"/>
    <w:rsid w:val="00BB4ACA"/>
    <w:rsid w:val="00BC2915"/>
    <w:rsid w:val="00BD236B"/>
    <w:rsid w:val="00BD4A1A"/>
    <w:rsid w:val="00BE23FC"/>
    <w:rsid w:val="00BF3A70"/>
    <w:rsid w:val="00BF5422"/>
    <w:rsid w:val="00C0102F"/>
    <w:rsid w:val="00C0170E"/>
    <w:rsid w:val="00C03A12"/>
    <w:rsid w:val="00C14459"/>
    <w:rsid w:val="00C17CA0"/>
    <w:rsid w:val="00C23DA7"/>
    <w:rsid w:val="00C346DC"/>
    <w:rsid w:val="00C5049E"/>
    <w:rsid w:val="00C63A2E"/>
    <w:rsid w:val="00C675C2"/>
    <w:rsid w:val="00C95A42"/>
    <w:rsid w:val="00CB1E13"/>
    <w:rsid w:val="00CB3F10"/>
    <w:rsid w:val="00CD56F8"/>
    <w:rsid w:val="00CE1797"/>
    <w:rsid w:val="00CE30E4"/>
    <w:rsid w:val="00CE48FA"/>
    <w:rsid w:val="00CE700B"/>
    <w:rsid w:val="00CF4819"/>
    <w:rsid w:val="00CF6596"/>
    <w:rsid w:val="00D010A9"/>
    <w:rsid w:val="00D01890"/>
    <w:rsid w:val="00D044EC"/>
    <w:rsid w:val="00D16CE4"/>
    <w:rsid w:val="00D25575"/>
    <w:rsid w:val="00D26CB5"/>
    <w:rsid w:val="00D33AAF"/>
    <w:rsid w:val="00D506E0"/>
    <w:rsid w:val="00D61E20"/>
    <w:rsid w:val="00D67EBE"/>
    <w:rsid w:val="00D83684"/>
    <w:rsid w:val="00DA58A6"/>
    <w:rsid w:val="00DC03E6"/>
    <w:rsid w:val="00DD05DC"/>
    <w:rsid w:val="00DF5E1C"/>
    <w:rsid w:val="00E0138B"/>
    <w:rsid w:val="00E05FFE"/>
    <w:rsid w:val="00E30CB9"/>
    <w:rsid w:val="00E469C9"/>
    <w:rsid w:val="00E51B4A"/>
    <w:rsid w:val="00E60457"/>
    <w:rsid w:val="00E611DA"/>
    <w:rsid w:val="00E7485A"/>
    <w:rsid w:val="00E757E9"/>
    <w:rsid w:val="00E80D91"/>
    <w:rsid w:val="00E85252"/>
    <w:rsid w:val="00E85763"/>
    <w:rsid w:val="00E87AB8"/>
    <w:rsid w:val="00EA35A4"/>
    <w:rsid w:val="00EA5E0C"/>
    <w:rsid w:val="00EB45C7"/>
    <w:rsid w:val="00EB5767"/>
    <w:rsid w:val="00EC065F"/>
    <w:rsid w:val="00EE498C"/>
    <w:rsid w:val="00EE5019"/>
    <w:rsid w:val="00EF50AC"/>
    <w:rsid w:val="00F11D94"/>
    <w:rsid w:val="00F2059A"/>
    <w:rsid w:val="00F43D08"/>
    <w:rsid w:val="00F44023"/>
    <w:rsid w:val="00F46595"/>
    <w:rsid w:val="00F4753D"/>
    <w:rsid w:val="00F51FE0"/>
    <w:rsid w:val="00F520A5"/>
    <w:rsid w:val="00F55380"/>
    <w:rsid w:val="00F56E9F"/>
    <w:rsid w:val="00F77E7C"/>
    <w:rsid w:val="00F82BD6"/>
    <w:rsid w:val="00F93D7A"/>
    <w:rsid w:val="00F95F03"/>
    <w:rsid w:val="00FA7352"/>
    <w:rsid w:val="00FB26AF"/>
    <w:rsid w:val="00FC49E4"/>
    <w:rsid w:val="00FD29D0"/>
    <w:rsid w:val="00FD2B6D"/>
    <w:rsid w:val="00FD4687"/>
    <w:rsid w:val="00FD78FF"/>
    <w:rsid w:val="00FE1D6F"/>
    <w:rsid w:val="00FE67C8"/>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0007F-EF15-4F47-9DF4-E4688728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semiHidden/>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paragraph" w:styleId="BodyText">
    <w:name w:val="Body Text"/>
    <w:basedOn w:val="Normal"/>
    <w:link w:val="BodyTextChar"/>
    <w:uiPriority w:val="99"/>
    <w:unhideWhenUsed/>
    <w:rsid w:val="00BB4ACA"/>
    <w:pPr>
      <w:spacing w:after="120"/>
    </w:pPr>
  </w:style>
  <w:style w:type="character" w:customStyle="1" w:styleId="BodyTextChar">
    <w:name w:val="Body Text Char"/>
    <w:basedOn w:val="DefaultParagraphFont"/>
    <w:link w:val="BodyText"/>
    <w:uiPriority w:val="99"/>
    <w:rsid w:val="00BB4AC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2020-07-01T18:30:00+00:00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8232-25E0-4940-93AD-16C210353EBF}"/>
</file>

<file path=customXml/itemProps2.xml><?xml version="1.0" encoding="utf-8"?>
<ds:datastoreItem xmlns:ds="http://schemas.openxmlformats.org/officeDocument/2006/customXml" ds:itemID="{275B0A7A-86CE-4BD1-BD5A-3D2A7670531F}"/>
</file>

<file path=customXml/itemProps3.xml><?xml version="1.0" encoding="utf-8"?>
<ds:datastoreItem xmlns:ds="http://schemas.openxmlformats.org/officeDocument/2006/customXml" ds:itemID="{4FA638C5-2495-4302-A192-104163B31BA1}"/>
</file>

<file path=customXml/itemProps4.xml><?xml version="1.0" encoding="utf-8"?>
<ds:datastoreItem xmlns:ds="http://schemas.openxmlformats.org/officeDocument/2006/customXml" ds:itemID="{DE7A7F6B-1433-4197-BD74-1B8ACB38A4FD}"/>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TransNamib Holdings Ltd v Delux Trading Enterprises CC(HC-MD-CIV-ACT-CON-2019-04250) [2020] NAHCMD 268 (2 July 2020)</dc:title>
  <dc:creator>Mbeurora Karamata</dc:creator>
  <cp:lastModifiedBy>Administrator</cp:lastModifiedBy>
  <cp:revision>2</cp:revision>
  <cp:lastPrinted>2020-07-03T14:23:00Z</cp:lastPrinted>
  <dcterms:created xsi:type="dcterms:W3CDTF">2020-07-13T07:40:00Z</dcterms:created>
  <dcterms:modified xsi:type="dcterms:W3CDTF">2020-07-13T07:40:00Z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