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Default="00950676" w:rsidP="00950676">
      <w:pPr>
        <w:spacing w:after="0" w:line="240" w:lineRule="auto"/>
        <w:jc w:val="center"/>
        <w:rPr>
          <w:rFonts w:ascii="Arial Narrow" w:hAnsi="Arial Narrow"/>
          <w:sz w:val="24"/>
          <w:szCs w:val="24"/>
        </w:rPr>
      </w:pPr>
      <w:r w:rsidRPr="00DA4588">
        <w:rPr>
          <w:rFonts w:ascii="Arial Narrow" w:hAnsi="Arial Narrow"/>
          <w:sz w:val="24"/>
          <w:szCs w:val="24"/>
        </w:rPr>
        <w:t>Practice Directive 61</w:t>
      </w:r>
    </w:p>
    <w:p w:rsidR="00976DC4" w:rsidRDefault="00976DC4" w:rsidP="00950676">
      <w:pPr>
        <w:spacing w:after="0" w:line="240" w:lineRule="auto"/>
        <w:jc w:val="center"/>
        <w:rPr>
          <w:rFonts w:ascii="Arial Narrow" w:hAnsi="Arial Narrow"/>
          <w:sz w:val="24"/>
          <w:szCs w:val="24"/>
        </w:rPr>
      </w:pPr>
    </w:p>
    <w:p w:rsidR="00976DC4" w:rsidRPr="00DA4588" w:rsidRDefault="00976DC4" w:rsidP="00950676">
      <w:pPr>
        <w:spacing w:after="0" w:line="240" w:lineRule="auto"/>
        <w:jc w:val="center"/>
        <w:rPr>
          <w:rFonts w:ascii="Arial Narrow" w:hAnsi="Arial Narrow"/>
          <w:sz w:val="24"/>
          <w:szCs w:val="24"/>
        </w:rPr>
      </w:pPr>
      <w:r>
        <w:rPr>
          <w:rFonts w:ascii="Arial Narrow" w:hAnsi="Arial Narrow"/>
          <w:sz w:val="24"/>
          <w:szCs w:val="24"/>
        </w:rPr>
        <w:t>“ANNEXURE 11”</w:t>
      </w:r>
    </w:p>
    <w:p w:rsidR="00950676" w:rsidRPr="00DA4588"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4667E3">
        <w:trPr>
          <w:trHeight w:val="744"/>
        </w:trPr>
        <w:tc>
          <w:tcPr>
            <w:tcW w:w="5397" w:type="dxa"/>
            <w:gridSpan w:val="2"/>
            <w:vMerge w:val="restart"/>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E235DD" w:rsidRPr="00E235DD" w:rsidRDefault="00410E67" w:rsidP="00E235DD">
            <w:pPr>
              <w:tabs>
                <w:tab w:val="left" w:pos="6750"/>
              </w:tabs>
              <w:spacing w:after="0" w:line="360" w:lineRule="auto"/>
              <w:jc w:val="both"/>
              <w:rPr>
                <w:rFonts w:ascii="Arial Narrow" w:eastAsia="Times New Roman" w:hAnsi="Arial Narrow" w:cs="Arial"/>
                <w:sz w:val="24"/>
                <w:szCs w:val="24"/>
              </w:rPr>
            </w:pPr>
            <w:r>
              <w:rPr>
                <w:rFonts w:ascii="Arial Narrow" w:eastAsia="Times New Roman" w:hAnsi="Arial Narrow" w:cs="Arial"/>
                <w:sz w:val="24"/>
                <w:szCs w:val="24"/>
              </w:rPr>
              <w:t>David George Van Wyk</w:t>
            </w:r>
          </w:p>
          <w:p w:rsidR="00E235DD" w:rsidRPr="00E235DD" w:rsidRDefault="00E235DD" w:rsidP="00E235DD">
            <w:pPr>
              <w:tabs>
                <w:tab w:val="left" w:pos="6750"/>
              </w:tabs>
              <w:spacing w:after="0" w:line="360" w:lineRule="auto"/>
              <w:jc w:val="both"/>
              <w:rPr>
                <w:rFonts w:ascii="Arial Narrow" w:eastAsia="Times New Roman" w:hAnsi="Arial Narrow" w:cs="Arial"/>
                <w:sz w:val="24"/>
                <w:szCs w:val="24"/>
              </w:rPr>
            </w:pPr>
            <w:r w:rsidRPr="00E235DD">
              <w:rPr>
                <w:rFonts w:ascii="Arial Narrow" w:eastAsia="Times New Roman" w:hAnsi="Arial Narrow" w:cs="Arial"/>
                <w:sz w:val="24"/>
                <w:szCs w:val="24"/>
              </w:rPr>
              <w:t>and</w:t>
            </w:r>
          </w:p>
          <w:p w:rsidR="00950676" w:rsidRPr="00DA4588" w:rsidRDefault="00410E67" w:rsidP="00E235DD">
            <w:pPr>
              <w:tabs>
                <w:tab w:val="left" w:pos="6750"/>
              </w:tabs>
              <w:spacing w:after="0" w:line="360" w:lineRule="auto"/>
              <w:jc w:val="both"/>
              <w:rPr>
                <w:rFonts w:ascii="Arial Narrow" w:hAnsi="Arial Narrow" w:cs="Arial"/>
                <w:sz w:val="24"/>
                <w:szCs w:val="24"/>
              </w:rPr>
            </w:pPr>
            <w:r>
              <w:rPr>
                <w:rFonts w:ascii="Arial Narrow" w:eastAsia="Times New Roman" w:hAnsi="Arial Narrow" w:cs="Arial"/>
                <w:sz w:val="24"/>
                <w:szCs w:val="24"/>
              </w:rPr>
              <w:t>Thomas Cocklin</w:t>
            </w: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E235DD" w:rsidP="00D87305">
            <w:pPr>
              <w:spacing w:line="360" w:lineRule="auto"/>
              <w:rPr>
                <w:rFonts w:ascii="Arial Narrow" w:hAnsi="Arial Narrow" w:cs="Arial"/>
                <w:b/>
                <w:sz w:val="24"/>
                <w:szCs w:val="24"/>
              </w:rPr>
            </w:pPr>
            <w:r w:rsidRPr="00E235DD">
              <w:rPr>
                <w:rFonts w:ascii="Arial Narrow" w:hAnsi="Arial Narrow" w:cs="Arial"/>
                <w:sz w:val="24"/>
                <w:szCs w:val="24"/>
              </w:rPr>
              <w:t>HC-MD-CIV-ACT-DEL-2019/01835</w:t>
            </w:r>
          </w:p>
        </w:tc>
      </w:tr>
      <w:tr w:rsidR="00950676" w:rsidRPr="00DA4588" w:rsidTr="004667E3">
        <w:trPr>
          <w:trHeight w:val="844"/>
        </w:trPr>
        <w:tc>
          <w:tcPr>
            <w:tcW w:w="5397" w:type="dxa"/>
            <w:gridSpan w:val="2"/>
            <w:vMerge/>
          </w:tcPr>
          <w:p w:rsidR="00950676" w:rsidRPr="00DA4588" w:rsidRDefault="00950676" w:rsidP="004667E3">
            <w:pPr>
              <w:spacing w:line="360" w:lineRule="auto"/>
              <w:jc w:val="both"/>
              <w:rPr>
                <w:rFonts w:ascii="Arial Narrow" w:hAnsi="Arial Narrow" w:cs="Arial"/>
                <w:sz w:val="24"/>
                <w:szCs w:val="24"/>
              </w:rPr>
            </w:pP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950676" w:rsidP="004667E3">
            <w:pPr>
              <w:spacing w:line="360" w:lineRule="auto"/>
              <w:jc w:val="both"/>
              <w:rPr>
                <w:rFonts w:ascii="Arial Narrow" w:hAnsi="Arial Narrow" w:cs="Arial"/>
                <w:sz w:val="24"/>
                <w:szCs w:val="24"/>
              </w:rPr>
            </w:pPr>
            <w:r>
              <w:rPr>
                <w:rFonts w:ascii="Arial Narrow" w:hAnsi="Arial Narrow" w:cs="Arial"/>
                <w:sz w:val="24"/>
                <w:szCs w:val="24"/>
              </w:rPr>
              <w:t xml:space="preserve">HIGH COURT </w:t>
            </w:r>
            <w:r w:rsidRPr="00DA4588">
              <w:rPr>
                <w:rFonts w:ascii="Arial Narrow" w:hAnsi="Arial Narrow" w:cs="Arial"/>
                <w:sz w:val="24"/>
                <w:szCs w:val="24"/>
              </w:rPr>
              <w:t>(MAIN DIVISION)</w:t>
            </w:r>
          </w:p>
        </w:tc>
      </w:tr>
      <w:tr w:rsidR="00950676" w:rsidRPr="00DA4588" w:rsidTr="004667E3">
        <w:trPr>
          <w:trHeight w:val="645"/>
        </w:trPr>
        <w:tc>
          <w:tcPr>
            <w:tcW w:w="5397" w:type="dxa"/>
            <w:gridSpan w:val="2"/>
            <w:vMerge w:val="restart"/>
          </w:tcPr>
          <w:p w:rsidR="00950676" w:rsidRPr="003F2084" w:rsidRDefault="00950676" w:rsidP="004667E3">
            <w:pPr>
              <w:spacing w:line="360" w:lineRule="auto"/>
              <w:jc w:val="both"/>
              <w:rPr>
                <w:rFonts w:ascii="Arial Narrow" w:hAnsi="Arial Narrow" w:cs="Arial"/>
                <w:b/>
                <w:sz w:val="24"/>
                <w:szCs w:val="24"/>
              </w:rPr>
            </w:pPr>
            <w:r w:rsidRPr="003F2084">
              <w:rPr>
                <w:rFonts w:ascii="Arial Narrow" w:hAnsi="Arial Narrow" w:cs="Arial"/>
                <w:b/>
                <w:sz w:val="24"/>
                <w:szCs w:val="24"/>
              </w:rPr>
              <w:t>Heard before:</w:t>
            </w:r>
          </w:p>
          <w:p w:rsidR="00950676" w:rsidRPr="003F2084" w:rsidRDefault="00950676" w:rsidP="00CB2DD6">
            <w:pPr>
              <w:spacing w:after="0" w:line="360" w:lineRule="auto"/>
              <w:jc w:val="both"/>
              <w:rPr>
                <w:rFonts w:ascii="Arial Narrow" w:hAnsi="Arial Narrow" w:cs="Arial"/>
                <w:sz w:val="24"/>
                <w:szCs w:val="24"/>
              </w:rPr>
            </w:pPr>
            <w:r w:rsidRPr="003F2084">
              <w:rPr>
                <w:rFonts w:ascii="Arial Narrow" w:hAnsi="Arial Narrow" w:cs="Arial"/>
                <w:sz w:val="24"/>
                <w:szCs w:val="24"/>
              </w:rPr>
              <w:t>Honourable M</w:t>
            </w:r>
            <w:r w:rsidR="00294086" w:rsidRPr="003F2084">
              <w:rPr>
                <w:rFonts w:ascii="Arial Narrow" w:hAnsi="Arial Narrow" w:cs="Arial"/>
                <w:sz w:val="24"/>
                <w:szCs w:val="24"/>
              </w:rPr>
              <w:t>r</w:t>
            </w:r>
            <w:r w:rsidRPr="003F2084">
              <w:rPr>
                <w:rFonts w:ascii="Arial Narrow" w:hAnsi="Arial Narrow" w:cs="Arial"/>
                <w:sz w:val="24"/>
                <w:szCs w:val="24"/>
              </w:rPr>
              <w:t>s Justice Rakow</w:t>
            </w:r>
            <w:r w:rsidR="007B0F64" w:rsidRPr="003F2084">
              <w:rPr>
                <w:rFonts w:ascii="Arial Narrow" w:hAnsi="Arial Narrow" w:cs="Arial"/>
                <w:sz w:val="24"/>
                <w:szCs w:val="24"/>
              </w:rPr>
              <w:t>, AJ</w:t>
            </w:r>
          </w:p>
        </w:tc>
        <w:tc>
          <w:tcPr>
            <w:tcW w:w="4323" w:type="dxa"/>
          </w:tcPr>
          <w:p w:rsidR="00950676" w:rsidRPr="003F2084" w:rsidRDefault="00950676" w:rsidP="00CB2DD6">
            <w:pPr>
              <w:spacing w:after="0" w:line="360" w:lineRule="auto"/>
              <w:jc w:val="both"/>
              <w:rPr>
                <w:rFonts w:ascii="Arial Narrow" w:hAnsi="Arial Narrow" w:cs="Arial"/>
                <w:b/>
                <w:sz w:val="24"/>
                <w:szCs w:val="24"/>
              </w:rPr>
            </w:pPr>
            <w:r w:rsidRPr="003F2084">
              <w:rPr>
                <w:rFonts w:ascii="Arial Narrow" w:hAnsi="Arial Narrow" w:cs="Arial"/>
                <w:b/>
                <w:sz w:val="24"/>
                <w:szCs w:val="24"/>
              </w:rPr>
              <w:t>Date of hearing:</w:t>
            </w:r>
          </w:p>
          <w:p w:rsidR="00950676" w:rsidRPr="003F2084" w:rsidRDefault="00731D4F" w:rsidP="00CB2DD6">
            <w:pPr>
              <w:spacing w:after="0" w:line="360" w:lineRule="auto"/>
              <w:jc w:val="both"/>
              <w:rPr>
                <w:rFonts w:ascii="Arial Narrow" w:hAnsi="Arial Narrow" w:cs="Arial"/>
                <w:sz w:val="24"/>
                <w:szCs w:val="24"/>
              </w:rPr>
            </w:pPr>
            <w:r>
              <w:rPr>
                <w:rFonts w:ascii="Arial Narrow" w:hAnsi="Arial Narrow" w:cs="Arial"/>
                <w:sz w:val="24"/>
                <w:szCs w:val="24"/>
              </w:rPr>
              <w:t xml:space="preserve">6 </w:t>
            </w:r>
            <w:r w:rsidR="003768A7">
              <w:rPr>
                <w:rFonts w:ascii="Arial Narrow" w:hAnsi="Arial Narrow" w:cs="Arial"/>
                <w:sz w:val="24"/>
                <w:szCs w:val="24"/>
              </w:rPr>
              <w:t xml:space="preserve">– 7 </w:t>
            </w:r>
            <w:r>
              <w:rPr>
                <w:rFonts w:ascii="Arial Narrow" w:hAnsi="Arial Narrow" w:cs="Arial"/>
                <w:sz w:val="24"/>
                <w:szCs w:val="24"/>
              </w:rPr>
              <w:t>July 2020</w:t>
            </w:r>
          </w:p>
        </w:tc>
      </w:tr>
      <w:tr w:rsidR="00950676" w:rsidRPr="00DA4588" w:rsidTr="004667E3">
        <w:trPr>
          <w:trHeight w:val="588"/>
        </w:trPr>
        <w:tc>
          <w:tcPr>
            <w:tcW w:w="5397" w:type="dxa"/>
            <w:gridSpan w:val="2"/>
            <w:vMerge/>
          </w:tcPr>
          <w:p w:rsidR="00950676" w:rsidRPr="00DA4588" w:rsidRDefault="00950676" w:rsidP="004667E3">
            <w:pPr>
              <w:spacing w:line="360" w:lineRule="auto"/>
              <w:jc w:val="both"/>
              <w:rPr>
                <w:rFonts w:ascii="Arial Narrow" w:hAnsi="Arial Narrow" w:cs="Arial"/>
                <w:b/>
                <w:sz w:val="24"/>
                <w:szCs w:val="24"/>
              </w:rPr>
            </w:pPr>
          </w:p>
        </w:tc>
        <w:tc>
          <w:tcPr>
            <w:tcW w:w="4323" w:type="dxa"/>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950676" w:rsidRPr="00BA5B39" w:rsidRDefault="003768A7" w:rsidP="00CB2DD6">
            <w:pPr>
              <w:spacing w:after="0" w:line="360" w:lineRule="auto"/>
              <w:jc w:val="both"/>
              <w:rPr>
                <w:rFonts w:ascii="Arial Narrow" w:hAnsi="Arial Narrow" w:cs="Arial"/>
                <w:sz w:val="24"/>
                <w:szCs w:val="24"/>
              </w:rPr>
            </w:pPr>
            <w:r>
              <w:rPr>
                <w:rFonts w:ascii="Arial Narrow" w:hAnsi="Arial Narrow" w:cs="Arial"/>
                <w:sz w:val="24"/>
                <w:szCs w:val="24"/>
              </w:rPr>
              <w:t>7</w:t>
            </w:r>
            <w:r w:rsidR="00731D4F">
              <w:rPr>
                <w:rFonts w:ascii="Arial Narrow" w:hAnsi="Arial Narrow" w:cs="Arial"/>
                <w:sz w:val="24"/>
                <w:szCs w:val="24"/>
              </w:rPr>
              <w:t xml:space="preserve"> July 2020</w:t>
            </w:r>
          </w:p>
        </w:tc>
      </w:tr>
      <w:tr w:rsidR="00950676" w:rsidRPr="00DA4588" w:rsidTr="004667E3">
        <w:tc>
          <w:tcPr>
            <w:tcW w:w="9720" w:type="dxa"/>
            <w:gridSpan w:val="3"/>
          </w:tcPr>
          <w:p w:rsidR="00950676" w:rsidRDefault="00950676" w:rsidP="00136FA0">
            <w:pPr>
              <w:pStyle w:val="form-control-static"/>
              <w:shd w:val="clear" w:color="auto" w:fill="FFFFFF"/>
              <w:spacing w:before="0" w:beforeAutospacing="0" w:after="0" w:afterAutospacing="0"/>
              <w:jc w:val="both"/>
              <w:rPr>
                <w:rFonts w:ascii="Arial Narrow" w:hAnsi="Arial Narrow" w:cs="Arial"/>
                <w:b/>
              </w:rPr>
            </w:pPr>
            <w:r w:rsidRPr="00DA4588">
              <w:rPr>
                <w:rFonts w:ascii="Arial Narrow" w:hAnsi="Arial Narrow" w:cs="Arial"/>
                <w:b/>
              </w:rPr>
              <w:t xml:space="preserve">Neutral citation: </w:t>
            </w:r>
          </w:p>
          <w:p w:rsidR="00136FA0" w:rsidRPr="00DA4588" w:rsidRDefault="00136FA0" w:rsidP="00136FA0">
            <w:pPr>
              <w:pStyle w:val="form-control-static"/>
              <w:shd w:val="clear" w:color="auto" w:fill="FFFFFF"/>
              <w:spacing w:before="0" w:beforeAutospacing="0" w:after="0" w:afterAutospacing="0"/>
              <w:jc w:val="both"/>
              <w:rPr>
                <w:rFonts w:ascii="Arial Narrow" w:hAnsi="Arial Narrow" w:cs="Arial"/>
              </w:rPr>
            </w:pPr>
          </w:p>
          <w:p w:rsidR="00811E6D" w:rsidRPr="00811E6D" w:rsidRDefault="00201458" w:rsidP="003768A7">
            <w:pPr>
              <w:pStyle w:val="form-control-static"/>
              <w:shd w:val="clear" w:color="auto" w:fill="FFFFFF"/>
              <w:spacing w:before="0" w:beforeAutospacing="0" w:after="0"/>
              <w:jc w:val="both"/>
              <w:rPr>
                <w:rFonts w:ascii="Arial Narrow" w:hAnsi="Arial Narrow" w:cs="Arial"/>
              </w:rPr>
            </w:pPr>
            <w:r>
              <w:rPr>
                <w:rFonts w:ascii="Arial Narrow" w:hAnsi="Arial Narrow" w:cs="Arial"/>
                <w:i/>
                <w:lang w:val="en-ZA"/>
              </w:rPr>
              <w:t>Van Wyk v Cocklin</w:t>
            </w:r>
            <w:r w:rsidR="00CA7E3E">
              <w:rPr>
                <w:rFonts w:ascii="Arial Narrow" w:hAnsi="Arial Narrow" w:cs="Arial"/>
                <w:i/>
                <w:lang w:val="en-ZA"/>
              </w:rPr>
              <w:t xml:space="preserve"> </w:t>
            </w:r>
            <w:r w:rsidR="00950676" w:rsidRPr="00DA4588">
              <w:rPr>
                <w:rFonts w:ascii="Arial Narrow" w:hAnsi="Arial Narrow" w:cs="Arial"/>
              </w:rPr>
              <w:t>(</w:t>
            </w:r>
            <w:r w:rsidR="008E1BDB">
              <w:rPr>
                <w:rFonts w:ascii="Arial Narrow" w:hAnsi="Arial Narrow" w:cs="Arial"/>
                <w:lang w:val="en-ZA"/>
              </w:rPr>
              <w:t>HC-MD-CIV-ACT-</w:t>
            </w:r>
            <w:r w:rsidR="009B0213">
              <w:rPr>
                <w:rFonts w:ascii="Arial Narrow" w:hAnsi="Arial Narrow" w:cs="Arial"/>
                <w:lang w:val="en-ZA"/>
              </w:rPr>
              <w:t>DEL</w:t>
            </w:r>
            <w:r w:rsidR="008E1BDB">
              <w:rPr>
                <w:rFonts w:ascii="Arial Narrow" w:hAnsi="Arial Narrow" w:cs="Arial"/>
                <w:lang w:val="en-ZA"/>
              </w:rPr>
              <w:t>-201</w:t>
            </w:r>
            <w:r w:rsidR="00731D4F">
              <w:rPr>
                <w:rFonts w:ascii="Arial Narrow" w:hAnsi="Arial Narrow" w:cs="Arial"/>
                <w:lang w:val="en-ZA"/>
              </w:rPr>
              <w:t>9</w:t>
            </w:r>
            <w:r w:rsidR="008E1BDB">
              <w:rPr>
                <w:rFonts w:ascii="Arial Narrow" w:hAnsi="Arial Narrow" w:cs="Arial"/>
                <w:lang w:val="en-ZA"/>
              </w:rPr>
              <w:t>/</w:t>
            </w:r>
            <w:r w:rsidR="00731D4F">
              <w:rPr>
                <w:rFonts w:ascii="Arial Narrow" w:hAnsi="Arial Narrow" w:cs="Arial"/>
                <w:lang w:val="en-ZA"/>
              </w:rPr>
              <w:t>01835</w:t>
            </w:r>
            <w:r w:rsidR="009B0213">
              <w:rPr>
                <w:rFonts w:ascii="Arial Narrow" w:hAnsi="Arial Narrow" w:cs="Arial"/>
              </w:rPr>
              <w:t>) [2020</w:t>
            </w:r>
            <w:r w:rsidR="00950676">
              <w:rPr>
                <w:rFonts w:ascii="Arial Narrow" w:hAnsi="Arial Narrow" w:cs="Arial"/>
              </w:rPr>
              <w:t>] NAHC</w:t>
            </w:r>
            <w:r w:rsidR="00F72679">
              <w:rPr>
                <w:rFonts w:ascii="Arial Narrow" w:hAnsi="Arial Narrow" w:cs="Arial"/>
              </w:rPr>
              <w:t>MD 272</w:t>
            </w:r>
            <w:r w:rsidR="008E1BDB">
              <w:rPr>
                <w:rFonts w:ascii="Arial Narrow" w:hAnsi="Arial Narrow" w:cs="Arial"/>
              </w:rPr>
              <w:t xml:space="preserve"> </w:t>
            </w:r>
            <w:r w:rsidR="00950676" w:rsidRPr="00DA4588">
              <w:rPr>
                <w:rFonts w:ascii="Arial Narrow" w:hAnsi="Arial Narrow" w:cs="Arial"/>
              </w:rPr>
              <w:t>(</w:t>
            </w:r>
            <w:r w:rsidR="003768A7">
              <w:rPr>
                <w:rFonts w:ascii="Arial Narrow" w:hAnsi="Arial Narrow" w:cs="Arial"/>
              </w:rPr>
              <w:t>7</w:t>
            </w:r>
            <w:r w:rsidR="00731D4F">
              <w:rPr>
                <w:rFonts w:ascii="Arial Narrow" w:hAnsi="Arial Narrow" w:cs="Arial"/>
              </w:rPr>
              <w:t xml:space="preserve"> July</w:t>
            </w:r>
            <w:r w:rsidR="00CA7E3E">
              <w:rPr>
                <w:rFonts w:ascii="Arial Narrow" w:hAnsi="Arial Narrow" w:cs="Arial"/>
              </w:rPr>
              <w:t xml:space="preserve"> 2020)</w:t>
            </w: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Pr>
                <w:rFonts w:ascii="Arial Narrow" w:hAnsi="Arial Narrow" w:cs="Arial"/>
                <w:sz w:val="24"/>
                <w:szCs w:val="24"/>
              </w:rPr>
              <w:t>Having read the record of proceedings as well as submissions ma</w:t>
            </w:r>
            <w:r w:rsidR="007B0F64">
              <w:rPr>
                <w:rFonts w:ascii="Arial Narrow" w:hAnsi="Arial Narrow" w:cs="Arial"/>
                <w:sz w:val="24"/>
                <w:szCs w:val="24"/>
              </w:rPr>
              <w:t>de by counsels for the applicants</w:t>
            </w:r>
            <w:r>
              <w:rPr>
                <w:rFonts w:ascii="Arial Narrow" w:hAnsi="Arial Narrow" w:cs="Arial"/>
                <w:sz w:val="24"/>
                <w:szCs w:val="24"/>
              </w:rPr>
              <w:t xml:space="preserve"> and the respondent:</w:t>
            </w:r>
          </w:p>
          <w:p w:rsidR="00950676" w:rsidRPr="003F2084" w:rsidRDefault="00950676" w:rsidP="004667E3">
            <w:pPr>
              <w:spacing w:line="360" w:lineRule="auto"/>
              <w:jc w:val="both"/>
              <w:rPr>
                <w:rFonts w:ascii="Arial Narrow" w:hAnsi="Arial Narrow" w:cs="Arial"/>
                <w:b/>
                <w:sz w:val="24"/>
                <w:szCs w:val="24"/>
              </w:rPr>
            </w:pPr>
            <w:r w:rsidRPr="003F2084">
              <w:rPr>
                <w:rFonts w:ascii="Arial Narrow" w:hAnsi="Arial Narrow" w:cs="Arial"/>
                <w:b/>
                <w:sz w:val="24"/>
                <w:szCs w:val="24"/>
              </w:rPr>
              <w:t>IT IS HEREBY ORDERED THAT:</w:t>
            </w:r>
          </w:p>
          <w:p w:rsidR="001D0B49" w:rsidRDefault="00427E0C" w:rsidP="001D0B49">
            <w:pPr>
              <w:pStyle w:val="NoSpacing"/>
              <w:numPr>
                <w:ilvl w:val="0"/>
                <w:numId w:val="3"/>
              </w:numPr>
              <w:spacing w:line="360" w:lineRule="auto"/>
              <w:jc w:val="both"/>
              <w:rPr>
                <w:rFonts w:ascii="Arial Narrow" w:hAnsi="Arial Narrow"/>
                <w:color w:val="auto"/>
                <w:sz w:val="24"/>
                <w:lang w:val="af-ZA"/>
              </w:rPr>
            </w:pPr>
            <w:r w:rsidRPr="00F15F87">
              <w:rPr>
                <w:rFonts w:ascii="Arial Narrow" w:hAnsi="Arial Narrow"/>
                <w:color w:val="auto"/>
                <w:sz w:val="24"/>
                <w:lang w:val="af-ZA"/>
              </w:rPr>
              <w:t>The application for absolution f</w:t>
            </w:r>
            <w:r>
              <w:rPr>
                <w:rFonts w:ascii="Arial Narrow" w:hAnsi="Arial Narrow"/>
                <w:color w:val="auto"/>
                <w:sz w:val="24"/>
                <w:lang w:val="af-ZA"/>
              </w:rPr>
              <w:t xml:space="preserve">rom the instance is </w:t>
            </w:r>
            <w:r w:rsidR="00731D4F">
              <w:rPr>
                <w:rFonts w:ascii="Arial Narrow" w:hAnsi="Arial Narrow"/>
                <w:color w:val="auto"/>
                <w:sz w:val="24"/>
                <w:lang w:val="af-ZA"/>
              </w:rPr>
              <w:t>granted</w:t>
            </w:r>
            <w:r>
              <w:rPr>
                <w:rFonts w:ascii="Arial Narrow" w:hAnsi="Arial Narrow"/>
                <w:color w:val="auto"/>
                <w:sz w:val="24"/>
                <w:lang w:val="af-ZA"/>
              </w:rPr>
              <w:t xml:space="preserve">.  </w:t>
            </w:r>
          </w:p>
          <w:p w:rsidR="00AD1AB6" w:rsidRPr="001D0B49" w:rsidRDefault="00427E0C" w:rsidP="00AD1AB6">
            <w:pPr>
              <w:pStyle w:val="NoSpacing"/>
              <w:numPr>
                <w:ilvl w:val="0"/>
                <w:numId w:val="3"/>
              </w:numPr>
              <w:spacing w:line="360" w:lineRule="auto"/>
              <w:jc w:val="both"/>
              <w:rPr>
                <w:rFonts w:ascii="Arial Narrow" w:hAnsi="Arial Narrow"/>
                <w:color w:val="auto"/>
                <w:sz w:val="24"/>
                <w:lang w:val="af-ZA"/>
              </w:rPr>
            </w:pPr>
            <w:r w:rsidRPr="001D0B49">
              <w:rPr>
                <w:rFonts w:ascii="Arial Narrow" w:hAnsi="Arial Narrow"/>
                <w:color w:val="auto"/>
                <w:sz w:val="24"/>
                <w:lang w:val="af-ZA"/>
              </w:rPr>
              <w:t xml:space="preserve">The </w:t>
            </w:r>
            <w:r w:rsidR="00731D4F">
              <w:rPr>
                <w:rFonts w:ascii="Arial Narrow" w:hAnsi="Arial Narrow"/>
                <w:color w:val="auto"/>
                <w:sz w:val="24"/>
                <w:lang w:val="af-ZA"/>
              </w:rPr>
              <w:t>plaintiff</w:t>
            </w:r>
            <w:r w:rsidRPr="001D0B49">
              <w:rPr>
                <w:rFonts w:ascii="Arial Narrow" w:hAnsi="Arial Narrow"/>
                <w:color w:val="auto"/>
                <w:sz w:val="24"/>
                <w:lang w:val="af-ZA"/>
              </w:rPr>
              <w:t xml:space="preserve"> ordered to pay the costs </w:t>
            </w:r>
            <w:r w:rsidR="00731D4F">
              <w:rPr>
                <w:rFonts w:ascii="Arial Narrow" w:hAnsi="Arial Narrow"/>
                <w:color w:val="auto"/>
                <w:sz w:val="24"/>
                <w:lang w:val="af-ZA"/>
              </w:rPr>
              <w:t>of suit</w:t>
            </w:r>
          </w:p>
          <w:p w:rsidR="00427E0C" w:rsidRPr="00F15F87" w:rsidRDefault="00427E0C" w:rsidP="00427E0C">
            <w:pPr>
              <w:pStyle w:val="NoSpacing"/>
              <w:numPr>
                <w:ilvl w:val="0"/>
                <w:numId w:val="3"/>
              </w:numPr>
              <w:spacing w:line="360" w:lineRule="auto"/>
              <w:jc w:val="both"/>
              <w:rPr>
                <w:rFonts w:ascii="Arial Narrow" w:hAnsi="Arial Narrow"/>
                <w:color w:val="auto"/>
                <w:sz w:val="24"/>
                <w:lang w:val="af-ZA"/>
              </w:rPr>
            </w:pPr>
            <w:r w:rsidRPr="00F15F87">
              <w:rPr>
                <w:rFonts w:ascii="Arial Narrow" w:hAnsi="Arial Narrow"/>
                <w:color w:val="auto"/>
                <w:sz w:val="24"/>
                <w:lang w:val="af-ZA"/>
              </w:rPr>
              <w:t xml:space="preserve">The </w:t>
            </w:r>
            <w:r w:rsidR="00731D4F">
              <w:rPr>
                <w:rFonts w:ascii="Arial Narrow" w:hAnsi="Arial Narrow"/>
                <w:color w:val="auto"/>
                <w:sz w:val="24"/>
                <w:lang w:val="af-ZA"/>
              </w:rPr>
              <w:t>matter is regarded as finalised and removed from the roll</w:t>
            </w:r>
          </w:p>
          <w:p w:rsidR="00136FA0" w:rsidRPr="00136FA0" w:rsidRDefault="00136FA0" w:rsidP="00CA7E3E">
            <w:pPr>
              <w:pStyle w:val="NoSpacing"/>
              <w:spacing w:line="360" w:lineRule="auto"/>
              <w:jc w:val="both"/>
              <w:rPr>
                <w:rFonts w:ascii="Arial Narrow" w:hAnsi="Arial Narrow"/>
                <w:lang w:val="af-ZA"/>
              </w:rPr>
            </w:pP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Reasons for orders:</w:t>
            </w:r>
          </w:p>
        </w:tc>
      </w:tr>
      <w:tr w:rsidR="00950676" w:rsidRPr="00DA4588" w:rsidTr="004667E3">
        <w:tc>
          <w:tcPr>
            <w:tcW w:w="9720" w:type="dxa"/>
            <w:gridSpan w:val="3"/>
          </w:tcPr>
          <w:p w:rsidR="00B6047C" w:rsidRDefault="00396E53" w:rsidP="004667E3">
            <w:pPr>
              <w:spacing w:after="0" w:line="360" w:lineRule="auto"/>
              <w:jc w:val="both"/>
              <w:rPr>
                <w:rFonts w:ascii="Arial Narrow" w:hAnsi="Arial Narrow"/>
                <w:sz w:val="24"/>
                <w:szCs w:val="24"/>
                <w:u w:val="single"/>
                <w:lang w:val="af-ZA"/>
              </w:rPr>
            </w:pPr>
            <w:r>
              <w:rPr>
                <w:rFonts w:ascii="Arial Narrow" w:hAnsi="Arial Narrow"/>
                <w:sz w:val="24"/>
                <w:szCs w:val="24"/>
                <w:u w:val="single"/>
                <w:lang w:val="af-ZA"/>
              </w:rPr>
              <w:t>Background</w:t>
            </w:r>
          </w:p>
          <w:p w:rsidR="00EF0F06" w:rsidRPr="00B6047C" w:rsidRDefault="00EF0F06" w:rsidP="004667E3">
            <w:pPr>
              <w:spacing w:after="0" w:line="360" w:lineRule="auto"/>
              <w:jc w:val="both"/>
              <w:rPr>
                <w:rFonts w:ascii="Arial Narrow" w:hAnsi="Arial Narrow"/>
                <w:sz w:val="24"/>
                <w:szCs w:val="24"/>
                <w:u w:val="single"/>
                <w:lang w:val="af-ZA"/>
              </w:rPr>
            </w:pPr>
          </w:p>
          <w:p w:rsidR="00731D4F" w:rsidRDefault="00136FA0" w:rsidP="00D64A88">
            <w:pPr>
              <w:tabs>
                <w:tab w:val="left" w:pos="842"/>
              </w:tabs>
              <w:spacing w:after="0" w:line="360" w:lineRule="auto"/>
              <w:jc w:val="both"/>
              <w:rPr>
                <w:rFonts w:ascii="Arial Narrow" w:hAnsi="Arial Narrow"/>
                <w:sz w:val="24"/>
                <w:szCs w:val="24"/>
                <w:lang w:val="af-ZA"/>
              </w:rPr>
            </w:pPr>
            <w:r>
              <w:rPr>
                <w:rFonts w:ascii="Arial Narrow" w:hAnsi="Arial Narrow"/>
                <w:sz w:val="24"/>
                <w:szCs w:val="24"/>
                <w:lang w:val="af-ZA"/>
              </w:rPr>
              <w:t xml:space="preserve">[1]     </w:t>
            </w:r>
            <w:r w:rsidR="00F56FB1">
              <w:rPr>
                <w:rFonts w:ascii="Arial Narrow" w:hAnsi="Arial Narrow"/>
                <w:sz w:val="24"/>
                <w:szCs w:val="24"/>
                <w:lang w:val="af-ZA"/>
              </w:rPr>
              <w:t xml:space="preserve">    </w:t>
            </w:r>
            <w:r w:rsidR="00D64A88">
              <w:rPr>
                <w:rFonts w:ascii="Arial Narrow" w:hAnsi="Arial Narrow"/>
                <w:sz w:val="24"/>
                <w:szCs w:val="24"/>
                <w:lang w:val="af-ZA"/>
              </w:rPr>
              <w:t xml:space="preserve">  </w:t>
            </w:r>
            <w:r w:rsidR="00CA7E3E" w:rsidRPr="00D64A88">
              <w:rPr>
                <w:rFonts w:ascii="Arial Narrow" w:hAnsi="Arial Narrow"/>
                <w:sz w:val="24"/>
                <w:szCs w:val="24"/>
                <w:lang w:val="af-ZA"/>
              </w:rPr>
              <w:t xml:space="preserve">The Plaintiff </w:t>
            </w:r>
            <w:r w:rsidR="00731D4F" w:rsidRPr="00D64A88">
              <w:rPr>
                <w:rFonts w:ascii="Arial Narrow" w:hAnsi="Arial Narrow"/>
                <w:sz w:val="24"/>
                <w:szCs w:val="24"/>
                <w:lang w:val="af-ZA"/>
              </w:rPr>
              <w:t>in this m</w:t>
            </w:r>
            <w:r w:rsidR="00790354" w:rsidRPr="00D64A88">
              <w:rPr>
                <w:rFonts w:ascii="Arial Narrow" w:hAnsi="Arial Narrow"/>
                <w:sz w:val="24"/>
                <w:szCs w:val="24"/>
                <w:lang w:val="af-ZA"/>
              </w:rPr>
              <w:t>atter is Mr. Van Wyk who is su</w:t>
            </w:r>
            <w:r w:rsidR="00731D4F" w:rsidRPr="00D64A88">
              <w:rPr>
                <w:rFonts w:ascii="Arial Narrow" w:hAnsi="Arial Narrow"/>
                <w:sz w:val="24"/>
                <w:szCs w:val="24"/>
                <w:lang w:val="af-ZA"/>
              </w:rPr>
              <w:t xml:space="preserve">ing Mr. Cocklin, a farmer next to the B6 highway between Witvlei and Gobabis </w:t>
            </w:r>
            <w:r w:rsidR="00790354" w:rsidRPr="00D64A88">
              <w:rPr>
                <w:rFonts w:ascii="Arial Narrow" w:hAnsi="Arial Narrow"/>
                <w:sz w:val="24"/>
                <w:szCs w:val="24"/>
                <w:lang w:val="af-ZA"/>
              </w:rPr>
              <w:t>for damages resulting from a inc</w:t>
            </w:r>
            <w:r w:rsidR="00731D4F" w:rsidRPr="00D64A88">
              <w:rPr>
                <w:rFonts w:ascii="Arial Narrow" w:hAnsi="Arial Narrow"/>
                <w:sz w:val="24"/>
                <w:szCs w:val="24"/>
                <w:lang w:val="af-ZA"/>
              </w:rPr>
              <w:t>ident where the plaintiff was involved in a m</w:t>
            </w:r>
            <w:r w:rsidR="00790354" w:rsidRPr="00D64A88">
              <w:rPr>
                <w:rFonts w:ascii="Arial Narrow" w:hAnsi="Arial Narrow"/>
                <w:sz w:val="24"/>
                <w:szCs w:val="24"/>
                <w:lang w:val="af-ZA"/>
              </w:rPr>
              <w:t xml:space="preserve">otor vehicle accident with a </w:t>
            </w:r>
            <w:r w:rsidR="00D64A88" w:rsidRPr="00D64A88">
              <w:rPr>
                <w:rFonts w:ascii="Arial Narrow" w:hAnsi="Arial Narrow"/>
                <w:sz w:val="24"/>
                <w:szCs w:val="24"/>
                <w:lang w:val="af-ZA"/>
              </w:rPr>
              <w:t>head</w:t>
            </w:r>
            <w:r w:rsidR="00731D4F" w:rsidRPr="00D64A88">
              <w:rPr>
                <w:rFonts w:ascii="Arial Narrow" w:hAnsi="Arial Narrow"/>
                <w:sz w:val="24"/>
                <w:szCs w:val="24"/>
                <w:lang w:val="af-ZA"/>
              </w:rPr>
              <w:t xml:space="preserve"> of cattle belonging to the defendant </w:t>
            </w:r>
            <w:r w:rsidR="00731D4F">
              <w:rPr>
                <w:rFonts w:ascii="Arial Narrow" w:hAnsi="Arial Narrow"/>
                <w:sz w:val="24"/>
                <w:szCs w:val="24"/>
                <w:lang w:val="af-ZA"/>
              </w:rPr>
              <w:t>on the</w:t>
            </w:r>
            <w:r w:rsidR="00D64A88">
              <w:rPr>
                <w:rFonts w:ascii="Arial Narrow" w:hAnsi="Arial Narrow"/>
                <w:sz w:val="24"/>
                <w:szCs w:val="24"/>
                <w:lang w:val="af-ZA"/>
              </w:rPr>
              <w:t xml:space="preserve"> evening of 26 September 2017. </w:t>
            </w:r>
          </w:p>
          <w:p w:rsidR="00D64A88" w:rsidRDefault="00D64A88" w:rsidP="00F56FB1">
            <w:pPr>
              <w:tabs>
                <w:tab w:val="left" w:pos="886"/>
              </w:tabs>
              <w:spacing w:after="0" w:line="360" w:lineRule="auto"/>
              <w:jc w:val="both"/>
              <w:rPr>
                <w:rFonts w:ascii="Arial Narrow" w:hAnsi="Arial Narrow"/>
                <w:sz w:val="24"/>
                <w:szCs w:val="24"/>
                <w:lang w:val="af-ZA"/>
              </w:rPr>
            </w:pPr>
          </w:p>
          <w:p w:rsidR="00F56FB1" w:rsidRDefault="00D64A88" w:rsidP="00D64A88">
            <w:pPr>
              <w:tabs>
                <w:tab w:val="left" w:pos="842"/>
              </w:tabs>
              <w:spacing w:after="0" w:line="360" w:lineRule="auto"/>
              <w:jc w:val="both"/>
              <w:rPr>
                <w:rFonts w:ascii="Arial Narrow" w:hAnsi="Arial Narrow"/>
                <w:sz w:val="24"/>
                <w:szCs w:val="24"/>
                <w:lang w:val="af-ZA"/>
              </w:rPr>
            </w:pPr>
            <w:r>
              <w:rPr>
                <w:rFonts w:ascii="Arial Narrow" w:hAnsi="Arial Narrow"/>
                <w:sz w:val="24"/>
                <w:szCs w:val="24"/>
                <w:lang w:val="af-ZA"/>
              </w:rPr>
              <w:t xml:space="preserve">[2]      </w:t>
            </w:r>
            <w:r w:rsidR="00731D4F">
              <w:rPr>
                <w:rFonts w:ascii="Arial Narrow" w:hAnsi="Arial Narrow"/>
                <w:sz w:val="24"/>
                <w:szCs w:val="24"/>
                <w:lang w:val="af-ZA"/>
              </w:rPr>
              <w:t xml:space="preserve">The Plaintiff alleged that he suffered </w:t>
            </w:r>
            <w:r w:rsidR="00E57C1F">
              <w:rPr>
                <w:rFonts w:ascii="Arial Narrow" w:hAnsi="Arial Narrow"/>
                <w:sz w:val="24"/>
                <w:szCs w:val="24"/>
                <w:lang w:val="af-ZA"/>
              </w:rPr>
              <w:t>damages to his veh</w:t>
            </w:r>
            <w:r w:rsidR="00790354">
              <w:rPr>
                <w:rFonts w:ascii="Arial Narrow" w:hAnsi="Arial Narrow"/>
                <w:sz w:val="24"/>
                <w:szCs w:val="24"/>
                <w:lang w:val="af-ZA"/>
              </w:rPr>
              <w:t>icle to the amount of N$106 400,</w:t>
            </w:r>
            <w:r w:rsidR="00E57C1F">
              <w:rPr>
                <w:rFonts w:ascii="Arial Narrow" w:hAnsi="Arial Narrow"/>
                <w:sz w:val="24"/>
                <w:szCs w:val="24"/>
                <w:lang w:val="af-ZA"/>
              </w:rPr>
              <w:t xml:space="preserve"> tow in service fees to the amount of N$1090, storage fees for the written off vehicle for 578 days at N$65 per day amounting to N$35 070 and a loss of income at N$10 000 for 19 months, amounting to N$ 190 000.  In total he alleged he suffered N$367 360.</w:t>
            </w:r>
          </w:p>
          <w:p w:rsidR="00E57C1F" w:rsidRPr="00F56FB1" w:rsidRDefault="00E57C1F" w:rsidP="00E57C1F">
            <w:pPr>
              <w:tabs>
                <w:tab w:val="left" w:pos="886"/>
              </w:tabs>
              <w:spacing w:after="0" w:line="360" w:lineRule="auto"/>
              <w:jc w:val="both"/>
              <w:rPr>
                <w:rFonts w:ascii="Arial Narrow" w:hAnsi="Arial Narrow"/>
                <w:sz w:val="24"/>
                <w:szCs w:val="24"/>
                <w:lang w:val="af-ZA"/>
              </w:rPr>
            </w:pPr>
          </w:p>
          <w:p w:rsidR="00DF407A" w:rsidRDefault="00DF407A" w:rsidP="00CA7E3E">
            <w:pPr>
              <w:spacing w:after="0" w:line="360" w:lineRule="auto"/>
              <w:jc w:val="both"/>
              <w:rPr>
                <w:rFonts w:ascii="Arial Narrow" w:hAnsi="Arial Narrow"/>
                <w:sz w:val="24"/>
                <w:szCs w:val="24"/>
                <w:u w:val="single"/>
                <w:lang w:val="af-ZA"/>
              </w:rPr>
            </w:pPr>
            <w:r w:rsidRPr="00DF407A">
              <w:rPr>
                <w:rFonts w:ascii="Arial Narrow" w:hAnsi="Arial Narrow"/>
                <w:sz w:val="24"/>
                <w:szCs w:val="24"/>
                <w:u w:val="single"/>
                <w:lang w:val="af-ZA"/>
              </w:rPr>
              <w:lastRenderedPageBreak/>
              <w:t>The Plaintiff’s case</w:t>
            </w:r>
          </w:p>
          <w:p w:rsidR="00451550" w:rsidRPr="00DF407A" w:rsidRDefault="00451550" w:rsidP="00CA7E3E">
            <w:pPr>
              <w:spacing w:after="0" w:line="360" w:lineRule="auto"/>
              <w:jc w:val="both"/>
              <w:rPr>
                <w:rFonts w:ascii="Arial Narrow" w:hAnsi="Arial Narrow"/>
                <w:sz w:val="24"/>
                <w:szCs w:val="24"/>
                <w:u w:val="single"/>
                <w:lang w:val="af-ZA"/>
              </w:rPr>
            </w:pPr>
          </w:p>
          <w:p w:rsidR="00E57C1F" w:rsidRDefault="00DF407A" w:rsidP="00731D4F">
            <w:pPr>
              <w:spacing w:after="0" w:line="360" w:lineRule="auto"/>
              <w:jc w:val="both"/>
              <w:rPr>
                <w:rFonts w:ascii="Arial Narrow" w:hAnsi="Arial Narrow"/>
                <w:sz w:val="24"/>
                <w:szCs w:val="24"/>
                <w:lang w:val="en-US"/>
              </w:rPr>
            </w:pPr>
            <w:r>
              <w:rPr>
                <w:rFonts w:ascii="Arial Narrow" w:hAnsi="Arial Narrow"/>
                <w:sz w:val="24"/>
                <w:szCs w:val="24"/>
                <w:lang w:val="en-US"/>
              </w:rPr>
              <w:t>[3]</w:t>
            </w:r>
            <w:r w:rsidR="00E57C1F">
              <w:rPr>
                <w:rFonts w:ascii="Arial Narrow" w:hAnsi="Arial Narrow"/>
                <w:sz w:val="24"/>
                <w:szCs w:val="24"/>
                <w:lang w:val="en-US"/>
              </w:rPr>
              <w:t xml:space="preserve">          The plaintiff testified that he drove at about 21h00 the evening of 26 September 2017 with his vehicle an Opel Essentia 2011 model, with registration number N9411WB on the way to Gobabis from </w:t>
            </w:r>
            <w:r w:rsidR="00E57C1F" w:rsidRPr="00D64A88">
              <w:rPr>
                <w:rFonts w:ascii="Arial Narrow" w:hAnsi="Arial Narrow"/>
                <w:sz w:val="24"/>
                <w:szCs w:val="24"/>
                <w:lang w:val="en-US"/>
              </w:rPr>
              <w:t>Windhoek.  At some spot a truck came from the front and he dimed his vehicle’s lights.  After he passed the truck he again changed to the brigh</w:t>
            </w:r>
            <w:r w:rsidR="00790354" w:rsidRPr="00D64A88">
              <w:rPr>
                <w:rFonts w:ascii="Arial Narrow" w:hAnsi="Arial Narrow"/>
                <w:sz w:val="24"/>
                <w:szCs w:val="24"/>
                <w:lang w:val="en-US"/>
              </w:rPr>
              <w:t xml:space="preserve">t light mode, just to find a </w:t>
            </w:r>
            <w:r w:rsidR="00D64A88" w:rsidRPr="00D64A88">
              <w:rPr>
                <w:rFonts w:ascii="Arial Narrow" w:hAnsi="Arial Narrow"/>
                <w:sz w:val="24"/>
                <w:szCs w:val="24"/>
                <w:lang w:val="en-US"/>
              </w:rPr>
              <w:t>head</w:t>
            </w:r>
            <w:r w:rsidR="00E57C1F" w:rsidRPr="00D64A88">
              <w:rPr>
                <w:rFonts w:ascii="Arial Narrow" w:hAnsi="Arial Narrow"/>
                <w:sz w:val="24"/>
                <w:szCs w:val="24"/>
                <w:lang w:val="en-US"/>
              </w:rPr>
              <w:t xml:space="preserve"> of cattle right in front of his vehicle in the road.  At that stage he was on a bridge and could not </w:t>
            </w:r>
            <w:r w:rsidR="00790354" w:rsidRPr="00D64A88">
              <w:rPr>
                <w:rFonts w:ascii="Arial Narrow" w:hAnsi="Arial Narrow"/>
                <w:sz w:val="24"/>
                <w:szCs w:val="24"/>
                <w:lang w:val="en-US"/>
              </w:rPr>
              <w:t xml:space="preserve">swerve to avoid hitting the </w:t>
            </w:r>
            <w:r w:rsidR="00D64A88" w:rsidRPr="00D64A88">
              <w:rPr>
                <w:rFonts w:ascii="Arial Narrow" w:hAnsi="Arial Narrow"/>
                <w:sz w:val="24"/>
                <w:szCs w:val="24"/>
                <w:lang w:val="en-US"/>
              </w:rPr>
              <w:t>head</w:t>
            </w:r>
            <w:r w:rsidR="00790354" w:rsidRPr="00D64A88">
              <w:rPr>
                <w:rFonts w:ascii="Arial Narrow" w:hAnsi="Arial Narrow"/>
                <w:sz w:val="24"/>
                <w:szCs w:val="24"/>
                <w:lang w:val="en-US"/>
              </w:rPr>
              <w:t xml:space="preserve"> of cattle.  He hit the </w:t>
            </w:r>
            <w:r w:rsidR="00D64A88" w:rsidRPr="00D64A88">
              <w:rPr>
                <w:rFonts w:ascii="Arial Narrow" w:hAnsi="Arial Narrow"/>
                <w:sz w:val="24"/>
                <w:szCs w:val="24"/>
                <w:lang w:val="en-US"/>
              </w:rPr>
              <w:t>head</w:t>
            </w:r>
            <w:r w:rsidR="00E57C1F" w:rsidRPr="00D64A88">
              <w:rPr>
                <w:rFonts w:ascii="Arial Narrow" w:hAnsi="Arial Narrow"/>
                <w:sz w:val="24"/>
                <w:szCs w:val="24"/>
                <w:lang w:val="en-US"/>
              </w:rPr>
              <w:t xml:space="preserve"> of cattle on the rear end and with the right fro</w:t>
            </w:r>
            <w:r w:rsidR="00790354" w:rsidRPr="00D64A88">
              <w:rPr>
                <w:rFonts w:ascii="Arial Narrow" w:hAnsi="Arial Narrow"/>
                <w:sz w:val="24"/>
                <w:szCs w:val="24"/>
                <w:lang w:val="en-US"/>
              </w:rPr>
              <w:t xml:space="preserve">nt side of his vehicle.  The </w:t>
            </w:r>
            <w:r w:rsidR="00D64A88" w:rsidRPr="00D64A88">
              <w:rPr>
                <w:rFonts w:ascii="Arial Narrow" w:hAnsi="Arial Narrow"/>
                <w:sz w:val="24"/>
                <w:szCs w:val="24"/>
                <w:lang w:val="en-US"/>
              </w:rPr>
              <w:t>head</w:t>
            </w:r>
            <w:r w:rsidR="00E57C1F" w:rsidRPr="00D64A88">
              <w:rPr>
                <w:rFonts w:ascii="Arial Narrow" w:hAnsi="Arial Narrow"/>
                <w:sz w:val="24"/>
                <w:szCs w:val="24"/>
                <w:lang w:val="en-US"/>
              </w:rPr>
              <w:t xml:space="preserve"> of cattle belonged to the defendant, whose farm manager came to collect it after the police contacted him.  He instituted a claim against the defendant </w:t>
            </w:r>
            <w:r w:rsidR="00E57C1F">
              <w:rPr>
                <w:rFonts w:ascii="Arial Narrow" w:hAnsi="Arial Narrow"/>
                <w:sz w:val="24"/>
                <w:szCs w:val="24"/>
                <w:lang w:val="en-US"/>
              </w:rPr>
              <w:t>after the insurance of the defendant rejected his claim.</w:t>
            </w:r>
          </w:p>
          <w:p w:rsidR="00E57C1F" w:rsidRDefault="00E57C1F" w:rsidP="00731D4F">
            <w:pPr>
              <w:spacing w:after="0" w:line="360" w:lineRule="auto"/>
              <w:jc w:val="both"/>
              <w:rPr>
                <w:rFonts w:ascii="Arial Narrow" w:hAnsi="Arial Narrow"/>
                <w:sz w:val="24"/>
                <w:szCs w:val="24"/>
                <w:lang w:val="en-US"/>
              </w:rPr>
            </w:pPr>
          </w:p>
          <w:p w:rsidR="000E178D" w:rsidRPr="00D64A88" w:rsidRDefault="00E57C1F" w:rsidP="00731D4F">
            <w:pPr>
              <w:spacing w:after="0" w:line="360" w:lineRule="auto"/>
              <w:jc w:val="both"/>
              <w:rPr>
                <w:rFonts w:ascii="Arial Narrow" w:hAnsi="Arial Narrow"/>
                <w:sz w:val="24"/>
                <w:szCs w:val="24"/>
                <w:lang w:val="en-US"/>
              </w:rPr>
            </w:pPr>
            <w:r>
              <w:rPr>
                <w:rFonts w:ascii="Arial Narrow" w:hAnsi="Arial Narrow"/>
                <w:sz w:val="24"/>
                <w:szCs w:val="24"/>
                <w:lang w:val="en-US"/>
              </w:rPr>
              <w:t xml:space="preserve">[4]          The legal representative for the plaintiff then handed up, by agreement between herself and the representative of the defendant, three witness statements of </w:t>
            </w:r>
            <w:r w:rsidR="00EF0990">
              <w:rPr>
                <w:rFonts w:ascii="Arial Narrow" w:hAnsi="Arial Narrow"/>
                <w:sz w:val="24"/>
                <w:szCs w:val="24"/>
                <w:lang w:val="en-US"/>
              </w:rPr>
              <w:t xml:space="preserve">Agnes van Wyk, Gabriella Appolus and Johannes Bezuidenhoudt.  Mrs van Wyk was in the vehicle of the plaintiff, Mrs Appolus was an investigating </w:t>
            </w:r>
            <w:r w:rsidR="00EF0990" w:rsidRPr="00D64A88">
              <w:rPr>
                <w:rFonts w:ascii="Arial Narrow" w:hAnsi="Arial Narrow"/>
                <w:sz w:val="24"/>
                <w:szCs w:val="24"/>
                <w:lang w:val="en-US"/>
              </w:rPr>
              <w:t>officer of Nampol stationed at Witvlei who attended to the scene and assisted with the identi</w:t>
            </w:r>
            <w:r w:rsidR="00004EB9" w:rsidRPr="00D64A88">
              <w:rPr>
                <w:rFonts w:ascii="Arial Narrow" w:hAnsi="Arial Narrow"/>
                <w:sz w:val="24"/>
                <w:szCs w:val="24"/>
                <w:lang w:val="en-US"/>
              </w:rPr>
              <w:t xml:space="preserve">fication of the owner of the </w:t>
            </w:r>
            <w:r w:rsidR="00D64A88" w:rsidRPr="00D64A88">
              <w:rPr>
                <w:rFonts w:ascii="Arial Narrow" w:hAnsi="Arial Narrow"/>
                <w:sz w:val="24"/>
                <w:szCs w:val="24"/>
                <w:lang w:val="en-US"/>
              </w:rPr>
              <w:t>hea</w:t>
            </w:r>
            <w:r w:rsidR="00EF0990" w:rsidRPr="00D64A88">
              <w:rPr>
                <w:rFonts w:ascii="Arial Narrow" w:hAnsi="Arial Narrow"/>
                <w:sz w:val="24"/>
                <w:szCs w:val="24"/>
                <w:lang w:val="en-US"/>
              </w:rPr>
              <w:t xml:space="preserve">d of cattle and Mr. Bezuidenhoudt assisted the farm manager of the </w:t>
            </w:r>
            <w:r w:rsidR="00004EB9" w:rsidRPr="00D64A88">
              <w:rPr>
                <w:rFonts w:ascii="Arial Narrow" w:hAnsi="Arial Narrow"/>
                <w:sz w:val="24"/>
                <w:szCs w:val="24"/>
                <w:lang w:val="en-US"/>
              </w:rPr>
              <w:t xml:space="preserve">defendant to remove the dead </w:t>
            </w:r>
            <w:r w:rsidR="00D64A88" w:rsidRPr="00D64A88">
              <w:rPr>
                <w:rFonts w:ascii="Arial Narrow" w:hAnsi="Arial Narrow"/>
                <w:sz w:val="24"/>
                <w:szCs w:val="24"/>
                <w:lang w:val="en-US"/>
              </w:rPr>
              <w:t>hea</w:t>
            </w:r>
            <w:r w:rsidR="00EF0990" w:rsidRPr="00D64A88">
              <w:rPr>
                <w:rFonts w:ascii="Arial Narrow" w:hAnsi="Arial Narrow"/>
                <w:sz w:val="24"/>
                <w:szCs w:val="24"/>
                <w:lang w:val="en-US"/>
              </w:rPr>
              <w:t>d of cattle.  There-after she closed the case of the plaintiff without leading any further evidence.</w:t>
            </w:r>
            <w:r w:rsidR="00DF407A" w:rsidRPr="00D64A88">
              <w:rPr>
                <w:rFonts w:ascii="Arial Narrow" w:hAnsi="Arial Narrow"/>
                <w:sz w:val="24"/>
                <w:szCs w:val="24"/>
                <w:lang w:val="en-US"/>
              </w:rPr>
              <w:t xml:space="preserve">          </w:t>
            </w:r>
            <w:r w:rsidR="00F56FB1" w:rsidRPr="00D64A88">
              <w:rPr>
                <w:rFonts w:ascii="Arial Narrow" w:hAnsi="Arial Narrow"/>
                <w:sz w:val="24"/>
                <w:szCs w:val="24"/>
                <w:lang w:val="en-US"/>
              </w:rPr>
              <w:t xml:space="preserve"> </w:t>
            </w:r>
          </w:p>
          <w:p w:rsidR="000E178D" w:rsidRPr="00D64A88" w:rsidRDefault="000E178D" w:rsidP="00CA7E3E">
            <w:pPr>
              <w:spacing w:after="0" w:line="360" w:lineRule="auto"/>
              <w:jc w:val="both"/>
              <w:rPr>
                <w:rFonts w:ascii="Arial Narrow" w:hAnsi="Arial Narrow"/>
                <w:sz w:val="24"/>
                <w:szCs w:val="24"/>
                <w:lang w:val="en-US"/>
              </w:rPr>
            </w:pPr>
          </w:p>
          <w:p w:rsidR="000E178D" w:rsidRDefault="000E178D" w:rsidP="00CA7E3E">
            <w:pPr>
              <w:spacing w:after="0" w:line="360" w:lineRule="auto"/>
              <w:jc w:val="both"/>
              <w:rPr>
                <w:rFonts w:ascii="Arial Narrow" w:hAnsi="Arial Narrow"/>
                <w:sz w:val="24"/>
                <w:szCs w:val="24"/>
                <w:u w:val="single"/>
                <w:lang w:val="en-US"/>
              </w:rPr>
            </w:pPr>
            <w:r w:rsidRPr="000E178D">
              <w:rPr>
                <w:rFonts w:ascii="Arial Narrow" w:hAnsi="Arial Narrow"/>
                <w:sz w:val="24"/>
                <w:szCs w:val="24"/>
                <w:u w:val="single"/>
                <w:lang w:val="en-US"/>
              </w:rPr>
              <w:t>Application for absolution of the instance</w:t>
            </w:r>
          </w:p>
          <w:p w:rsidR="005C772E" w:rsidRPr="00F56FB1" w:rsidRDefault="005C772E" w:rsidP="00CA7E3E">
            <w:pPr>
              <w:spacing w:after="0" w:line="360" w:lineRule="auto"/>
              <w:jc w:val="both"/>
              <w:rPr>
                <w:rFonts w:ascii="Arial Narrow" w:hAnsi="Arial Narrow"/>
                <w:sz w:val="24"/>
                <w:szCs w:val="24"/>
                <w:u w:val="single"/>
                <w:lang w:val="en-US"/>
              </w:rPr>
            </w:pPr>
          </w:p>
          <w:p w:rsidR="00EF0990" w:rsidRDefault="000E178D" w:rsidP="00D64A88">
            <w:pPr>
              <w:tabs>
                <w:tab w:val="left" w:pos="860"/>
              </w:tabs>
              <w:spacing w:after="0" w:line="360" w:lineRule="auto"/>
              <w:jc w:val="both"/>
            </w:pPr>
            <w:r w:rsidRPr="00F56FB1">
              <w:rPr>
                <w:rFonts w:ascii="Arial Narrow" w:hAnsi="Arial Narrow"/>
                <w:sz w:val="24"/>
                <w:szCs w:val="24"/>
                <w:lang w:val="en-US"/>
              </w:rPr>
              <w:t>[</w:t>
            </w:r>
            <w:r w:rsidR="00EF0990">
              <w:rPr>
                <w:rFonts w:ascii="Arial Narrow" w:hAnsi="Arial Narrow"/>
                <w:sz w:val="24"/>
                <w:szCs w:val="24"/>
                <w:lang w:val="en-US"/>
              </w:rPr>
              <w:t>5</w:t>
            </w:r>
            <w:r w:rsidRPr="00D64A88">
              <w:rPr>
                <w:rFonts w:ascii="Arial Narrow" w:hAnsi="Arial Narrow"/>
                <w:sz w:val="24"/>
                <w:szCs w:val="24"/>
                <w:lang w:val="en-US"/>
              </w:rPr>
              <w:t xml:space="preserve">]      </w:t>
            </w:r>
            <w:r w:rsidR="00D64A88">
              <w:rPr>
                <w:rFonts w:ascii="Arial Narrow" w:hAnsi="Arial Narrow"/>
                <w:sz w:val="24"/>
                <w:szCs w:val="24"/>
                <w:lang w:val="en-US"/>
              </w:rPr>
              <w:t xml:space="preserve">  </w:t>
            </w:r>
            <w:r w:rsidR="00790354" w:rsidRPr="00D64A88">
              <w:rPr>
                <w:rFonts w:ascii="Arial Narrow" w:hAnsi="Arial Narrow"/>
                <w:sz w:val="24"/>
                <w:szCs w:val="24"/>
                <w:lang w:val="en-US"/>
              </w:rPr>
              <w:t>Counsel</w:t>
            </w:r>
            <w:r w:rsidR="00EF0990" w:rsidRPr="00D64A88">
              <w:rPr>
                <w:rFonts w:ascii="Arial Narrow" w:hAnsi="Arial Narrow"/>
                <w:sz w:val="24"/>
                <w:szCs w:val="24"/>
                <w:lang w:val="en-US"/>
              </w:rPr>
              <w:t xml:space="preserve"> for the defendant </w:t>
            </w:r>
            <w:r w:rsidR="00EF0990">
              <w:rPr>
                <w:rFonts w:ascii="Arial Narrow" w:hAnsi="Arial Narrow"/>
                <w:sz w:val="24"/>
                <w:szCs w:val="24"/>
                <w:lang w:val="en-US"/>
              </w:rPr>
              <w:t xml:space="preserve">proceeded and brought an application for absolution of the instance and he submitted that the onus rests on the plaintiff to show that the defendant was negligent and therefore caused the damages which is being claimed for.  He referred to the court to two cases, the first one </w:t>
            </w:r>
            <w:r w:rsidR="00EF0990" w:rsidRPr="00EF0990">
              <w:rPr>
                <w:rFonts w:ascii="Arial Narrow" w:hAnsi="Arial Narrow"/>
                <w:i/>
                <w:sz w:val="24"/>
                <w:szCs w:val="24"/>
                <w:lang w:val="en-US"/>
              </w:rPr>
              <w:t>Willemse v Whitney Farming Enterprises</w:t>
            </w:r>
            <w:r w:rsidR="00C3266B">
              <w:rPr>
                <w:rStyle w:val="FootnoteReference"/>
                <w:rFonts w:ascii="Arial Narrow" w:hAnsi="Arial Narrow"/>
                <w:i/>
                <w:sz w:val="24"/>
                <w:szCs w:val="24"/>
                <w:lang w:val="en-US"/>
              </w:rPr>
              <w:footnoteReference w:id="1"/>
            </w:r>
            <w:r w:rsidR="00EF0990">
              <w:rPr>
                <w:rFonts w:ascii="Arial Narrow" w:hAnsi="Arial Narrow"/>
                <w:sz w:val="24"/>
                <w:szCs w:val="24"/>
                <w:lang w:val="en-US"/>
              </w:rPr>
              <w:t>.  In this matter, the learned</w:t>
            </w:r>
            <w:r w:rsidR="00C3266B">
              <w:rPr>
                <w:rFonts w:ascii="Arial Narrow" w:hAnsi="Arial Narrow"/>
                <w:sz w:val="24"/>
                <w:szCs w:val="24"/>
                <w:lang w:val="en-US"/>
              </w:rPr>
              <w:t xml:space="preserve"> Jones J said the following:</w:t>
            </w:r>
            <w:r w:rsidR="00EF0990">
              <w:t xml:space="preserve"> </w:t>
            </w:r>
          </w:p>
          <w:p w:rsidR="00790354" w:rsidRDefault="00EF0990" w:rsidP="00D64A88">
            <w:pPr>
              <w:tabs>
                <w:tab w:val="left" w:pos="842"/>
              </w:tabs>
              <w:spacing w:after="0" w:line="360" w:lineRule="auto"/>
              <w:jc w:val="both"/>
              <w:rPr>
                <w:rFonts w:ascii="Arial Narrow" w:hAnsi="Arial Narrow"/>
                <w:lang w:val="en-US"/>
              </w:rPr>
            </w:pPr>
            <w:r>
              <w:t xml:space="preserve">“    </w:t>
            </w:r>
            <w:r w:rsidRPr="00EF0990">
              <w:t xml:space="preserve">     </w:t>
            </w:r>
            <w:r w:rsidR="00D64A88">
              <w:t xml:space="preserve">   </w:t>
            </w:r>
            <w:r w:rsidRPr="00EF0990">
              <w:rPr>
                <w:rFonts w:ascii="Arial Narrow" w:hAnsi="Arial Narrow"/>
                <w:lang w:val="en-US"/>
              </w:rPr>
              <w:t xml:space="preserve">The onus rests squarely on the plaintiffs to prove on a balance of probabilities that the defendant was negligent in one or other of the respects alleged. I put the position thus in an unreported judgment in the matter of </w:t>
            </w:r>
            <w:r w:rsidRPr="00D64A88">
              <w:rPr>
                <w:rFonts w:ascii="Arial Narrow" w:hAnsi="Arial Narrow"/>
                <w:i/>
                <w:lang w:val="en-US"/>
              </w:rPr>
              <w:t xml:space="preserve">Van Zyl v Conradie </w:t>
            </w:r>
            <w:r w:rsidR="00D64A88">
              <w:rPr>
                <w:rFonts w:ascii="Arial Narrow" w:hAnsi="Arial Narrow"/>
                <w:i/>
                <w:lang w:val="en-US"/>
              </w:rPr>
              <w:t xml:space="preserve"> </w:t>
            </w:r>
            <w:r w:rsidRPr="00D64A88">
              <w:rPr>
                <w:rFonts w:ascii="Arial Narrow" w:hAnsi="Arial Narrow"/>
                <w:i/>
                <w:lang w:val="en-US"/>
              </w:rPr>
              <w:t>(</w:t>
            </w:r>
            <w:r w:rsidRPr="00EF0990">
              <w:rPr>
                <w:rFonts w:ascii="Arial Narrow" w:hAnsi="Arial Narrow"/>
                <w:lang w:val="en-US"/>
              </w:rPr>
              <w:t>Case No 1536/88 ECD delivered on 14/03/1991):</w:t>
            </w:r>
          </w:p>
          <w:p w:rsidR="006F68BB" w:rsidRDefault="00D64A88" w:rsidP="00D64A88">
            <w:pPr>
              <w:tabs>
                <w:tab w:val="left" w:pos="860"/>
              </w:tabs>
              <w:spacing w:after="0" w:line="360" w:lineRule="auto"/>
              <w:jc w:val="both"/>
              <w:rPr>
                <w:rFonts w:ascii="Arial Narrow" w:hAnsi="Arial Narrow"/>
                <w:lang w:val="en-US"/>
              </w:rPr>
            </w:pPr>
            <w:r>
              <w:rPr>
                <w:rFonts w:ascii="Arial Narrow" w:hAnsi="Arial Narrow"/>
                <w:lang w:val="en-US"/>
              </w:rPr>
              <w:t xml:space="preserve">                 </w:t>
            </w:r>
            <w:r w:rsidR="00EF0990" w:rsidRPr="00EF0990">
              <w:rPr>
                <w:rFonts w:ascii="Arial Narrow" w:hAnsi="Arial Narrow"/>
                <w:lang w:val="en-US"/>
              </w:rPr>
              <w:t xml:space="preserve">The defendant is not automatically liable if it is found that his cattle got into the road at night and caused a collision. This does not give rise to a presumption of negligence. There is no room for applying the </w:t>
            </w:r>
            <w:r w:rsidR="00EF0990" w:rsidRPr="00D64A88">
              <w:rPr>
                <w:rFonts w:ascii="Arial Narrow" w:hAnsi="Arial Narrow"/>
                <w:i/>
                <w:lang w:val="en-US"/>
              </w:rPr>
              <w:t>maxim res ipsa</w:t>
            </w:r>
            <w:r w:rsidR="00EF0990" w:rsidRPr="00EF0990">
              <w:rPr>
                <w:rFonts w:ascii="Arial Narrow" w:hAnsi="Arial Narrow"/>
                <w:lang w:val="en-US"/>
              </w:rPr>
              <w:t xml:space="preserve"> </w:t>
            </w:r>
            <w:r w:rsidR="00EF0990" w:rsidRPr="00D64A88">
              <w:rPr>
                <w:rFonts w:ascii="Arial Narrow" w:hAnsi="Arial Narrow"/>
                <w:i/>
                <w:lang w:val="en-US"/>
              </w:rPr>
              <w:t>loqutiur</w:t>
            </w:r>
            <w:r w:rsidR="00EF0990" w:rsidRPr="00EF0990">
              <w:rPr>
                <w:rFonts w:ascii="Arial Narrow" w:hAnsi="Arial Narrow"/>
                <w:lang w:val="en-US"/>
              </w:rPr>
              <w:t xml:space="preserve"> [which, loosely translated, means that an inference of negligence can be drawn from the occurrence itself]. The plaintiff can only succeed by establishing by means of credible and acceptable evidence that the defendant was negligent and that his negligent conduct caused damage to the plaintiff. </w:t>
            </w:r>
            <w:r w:rsidR="00C3266B">
              <w:rPr>
                <w:rFonts w:ascii="Arial Narrow" w:hAnsi="Arial Narrow"/>
                <w:lang w:val="en-US"/>
              </w:rPr>
              <w:t xml:space="preserve">   “</w:t>
            </w:r>
          </w:p>
          <w:p w:rsidR="00C3266B" w:rsidRDefault="00C3266B" w:rsidP="00EF0990">
            <w:pPr>
              <w:spacing w:after="0" w:line="360" w:lineRule="auto"/>
              <w:jc w:val="both"/>
              <w:rPr>
                <w:rFonts w:ascii="Arial Narrow" w:hAnsi="Arial Narrow"/>
                <w:sz w:val="24"/>
                <w:szCs w:val="24"/>
                <w:lang w:val="en-US"/>
              </w:rPr>
            </w:pPr>
            <w:r>
              <w:rPr>
                <w:rFonts w:ascii="Arial Narrow" w:hAnsi="Arial Narrow"/>
                <w:sz w:val="24"/>
                <w:szCs w:val="24"/>
                <w:lang w:val="en-US"/>
              </w:rPr>
              <w:lastRenderedPageBreak/>
              <w:t>And a bit further he came to the following conclusion regarding whether a case was made out against the defendant in the first instance:</w:t>
            </w:r>
          </w:p>
          <w:p w:rsidR="00C3266B" w:rsidRDefault="00C3266B" w:rsidP="00D64A88">
            <w:pPr>
              <w:tabs>
                <w:tab w:val="left" w:pos="815"/>
              </w:tabs>
              <w:spacing w:after="0" w:line="360" w:lineRule="auto"/>
              <w:jc w:val="both"/>
              <w:rPr>
                <w:rFonts w:ascii="Arial Narrow" w:hAnsi="Arial Narrow"/>
                <w:lang w:val="en-US"/>
              </w:rPr>
            </w:pPr>
            <w:r w:rsidRPr="00C3266B">
              <w:rPr>
                <w:rFonts w:ascii="Arial Narrow" w:hAnsi="Arial Narrow"/>
                <w:lang w:val="en-US"/>
              </w:rPr>
              <w:t xml:space="preserve">“          </w:t>
            </w:r>
            <w:r w:rsidR="00D64A88">
              <w:rPr>
                <w:rFonts w:ascii="Arial Narrow" w:hAnsi="Arial Narrow"/>
                <w:lang w:val="en-US"/>
              </w:rPr>
              <w:t xml:space="preserve"> </w:t>
            </w:r>
            <w:r w:rsidRPr="00C3266B">
              <w:rPr>
                <w:rFonts w:ascii="Arial Narrow" w:hAnsi="Arial Narrow"/>
                <w:lang w:val="en-US"/>
              </w:rPr>
              <w:t xml:space="preserve">This argument is valid only if the plaintiffs are able to establish a prima facie case of negligence against the defendant in the first place. There can be no talk of a weerleggingslas if there is no </w:t>
            </w:r>
            <w:r w:rsidRPr="00D64A88">
              <w:rPr>
                <w:rFonts w:ascii="Arial Narrow" w:hAnsi="Arial Narrow"/>
                <w:i/>
                <w:lang w:val="en-US"/>
              </w:rPr>
              <w:t>prima facie</w:t>
            </w:r>
            <w:r w:rsidRPr="00C3266B">
              <w:rPr>
                <w:rFonts w:ascii="Arial Narrow" w:hAnsi="Arial Narrow"/>
                <w:lang w:val="en-US"/>
              </w:rPr>
              <w:t xml:space="preserve"> case. There can be no talk of an adverse inference that the defendant was indeed negligent because it has failed to give an innocent explanation, in the absence of a </w:t>
            </w:r>
            <w:r w:rsidRPr="00D64A88">
              <w:rPr>
                <w:rFonts w:ascii="Arial Narrow" w:hAnsi="Arial Narrow"/>
                <w:i/>
                <w:lang w:val="en-US"/>
              </w:rPr>
              <w:t>prima facie</w:t>
            </w:r>
            <w:r w:rsidRPr="00C3266B">
              <w:rPr>
                <w:rFonts w:ascii="Arial Narrow" w:hAnsi="Arial Narrow"/>
                <w:lang w:val="en-US"/>
              </w:rPr>
              <w:t xml:space="preserve"> inference of negligence being a likely explanation. To hold otherwise would be to place a real onus, and not merely a weerlegginslas or rebuttal onus, on the defendant. The authorities cited above are clear that it is not possible for me to conclude that there is a </w:t>
            </w:r>
            <w:r w:rsidRPr="00D64A88">
              <w:rPr>
                <w:rFonts w:ascii="Arial Narrow" w:hAnsi="Arial Narrow"/>
                <w:i/>
                <w:lang w:val="en-US"/>
              </w:rPr>
              <w:t>prima facie</w:t>
            </w:r>
            <w:r w:rsidRPr="00C3266B">
              <w:rPr>
                <w:rFonts w:ascii="Arial Narrow" w:hAnsi="Arial Narrow"/>
                <w:lang w:val="en-US"/>
              </w:rPr>
              <w:t xml:space="preserve"> case of negligence from the mere fact that the defendant’s heifers were on the national road at night. If I do not know how they got into the road, whether through a hole in the fence or through a gate which had been left open or in some other way from which an inference of fault might reasonably be drawn, I have to speculate about how they got on to the road and whether or not it was the defendant’s fault. Speculation can never amount to proof on a balance of probabilities.</w:t>
            </w:r>
            <w:r>
              <w:rPr>
                <w:rFonts w:ascii="Arial Narrow" w:hAnsi="Arial Narrow"/>
                <w:lang w:val="en-US"/>
              </w:rPr>
              <w:t xml:space="preserve">  “</w:t>
            </w:r>
          </w:p>
          <w:p w:rsidR="00C3266B" w:rsidRPr="00C3266B" w:rsidRDefault="00C3266B" w:rsidP="00EF0990">
            <w:pPr>
              <w:spacing w:after="0" w:line="360" w:lineRule="auto"/>
              <w:jc w:val="both"/>
              <w:rPr>
                <w:rFonts w:ascii="Arial Narrow" w:hAnsi="Arial Narrow"/>
                <w:color w:val="FF0000"/>
                <w:lang w:val="en-US"/>
              </w:rPr>
            </w:pPr>
          </w:p>
          <w:p w:rsidR="00150851" w:rsidRDefault="00C3266B" w:rsidP="00CA7E3E">
            <w:pPr>
              <w:spacing w:after="0" w:line="360" w:lineRule="auto"/>
              <w:jc w:val="both"/>
              <w:rPr>
                <w:rFonts w:ascii="Arial Narrow" w:hAnsi="Arial Narrow"/>
                <w:sz w:val="24"/>
                <w:szCs w:val="24"/>
                <w:lang w:val="en-US"/>
              </w:rPr>
            </w:pPr>
            <w:r w:rsidRPr="00C3266B">
              <w:rPr>
                <w:rFonts w:ascii="Arial Narrow" w:hAnsi="Arial Narrow"/>
                <w:sz w:val="24"/>
                <w:szCs w:val="24"/>
                <w:lang w:val="en-US"/>
              </w:rPr>
              <w:t>[6]</w:t>
            </w:r>
            <w:r>
              <w:rPr>
                <w:rFonts w:ascii="Arial Narrow" w:hAnsi="Arial Narrow"/>
                <w:sz w:val="24"/>
                <w:szCs w:val="24"/>
                <w:lang w:val="en-US"/>
              </w:rPr>
              <w:t xml:space="preserve">         The second matter the court was referred to, is the matter of </w:t>
            </w:r>
            <w:r w:rsidRPr="00C3266B">
              <w:rPr>
                <w:rFonts w:ascii="Arial Narrow" w:hAnsi="Arial Narrow"/>
                <w:i/>
                <w:sz w:val="24"/>
                <w:szCs w:val="24"/>
                <w:lang w:val="en-US"/>
              </w:rPr>
              <w:t>Kaese v Theron</w:t>
            </w:r>
            <w:r w:rsidRPr="00C3266B">
              <w:rPr>
                <w:rFonts w:ascii="Arial Narrow" w:hAnsi="Arial Narrow"/>
                <w:sz w:val="24"/>
                <w:szCs w:val="24"/>
                <w:lang w:val="en-US"/>
              </w:rPr>
              <w:t xml:space="preserve"> </w:t>
            </w:r>
            <w:r>
              <w:rPr>
                <w:rStyle w:val="FootnoteReference"/>
                <w:rFonts w:ascii="Arial Narrow" w:hAnsi="Arial Narrow"/>
                <w:sz w:val="24"/>
                <w:szCs w:val="24"/>
                <w:lang w:val="en-US"/>
              </w:rPr>
              <w:footnoteReference w:id="2"/>
            </w:r>
            <w:r>
              <w:rPr>
                <w:rFonts w:ascii="Arial Narrow" w:hAnsi="Arial Narrow"/>
                <w:sz w:val="24"/>
                <w:szCs w:val="24"/>
                <w:lang w:val="en-US"/>
              </w:rPr>
              <w:t xml:space="preserve"> where Maritz J, as he was then, discussed the duties of motorists and livestock farmers.  He identified 4 issues that must be decided upon when faced with facts similar to the current matter.  These are:</w:t>
            </w:r>
          </w:p>
          <w:p w:rsidR="00C3266B" w:rsidRPr="00E77508" w:rsidRDefault="00C3266B" w:rsidP="00CA7E3E">
            <w:pPr>
              <w:spacing w:after="0" w:line="360" w:lineRule="auto"/>
              <w:jc w:val="both"/>
              <w:rPr>
                <w:rFonts w:ascii="Arial Narrow" w:hAnsi="Arial Narrow"/>
                <w:lang w:val="en-US"/>
              </w:rPr>
            </w:pPr>
            <w:r w:rsidRPr="00E77508">
              <w:rPr>
                <w:rFonts w:ascii="Arial Narrow" w:hAnsi="Arial Narrow"/>
                <w:lang w:val="en-US"/>
              </w:rPr>
              <w:t xml:space="preserve">“            </w:t>
            </w:r>
            <w:r w:rsidR="00D64A88">
              <w:rPr>
                <w:rFonts w:ascii="Arial Narrow" w:hAnsi="Arial Narrow"/>
                <w:lang w:val="en-US"/>
              </w:rPr>
              <w:t xml:space="preserve"> </w:t>
            </w:r>
            <w:r w:rsidRPr="00E77508">
              <w:rPr>
                <w:rFonts w:ascii="Arial Narrow" w:hAnsi="Arial Narrow"/>
                <w:lang w:val="en-US"/>
              </w:rPr>
              <w:t>(a) whether the defendant had a legal duty to take measures to prevent the cow from straying onto the road; (b) if so, whether he was negligent in failing to take those measures thus causing or contributing to the collision and (c) whether the plaintiff’s negligence caused or also contributed to the collision.</w:t>
            </w:r>
            <w:r w:rsidR="00E77508" w:rsidRPr="00E77508">
              <w:rPr>
                <w:rFonts w:ascii="Arial Narrow" w:hAnsi="Arial Narrow"/>
                <w:lang w:val="en-US"/>
              </w:rPr>
              <w:t xml:space="preserve">   “  </w:t>
            </w:r>
          </w:p>
          <w:p w:rsidR="00E77508" w:rsidRDefault="00E77508" w:rsidP="00CA7E3E">
            <w:pPr>
              <w:spacing w:after="0" w:line="360" w:lineRule="auto"/>
              <w:jc w:val="both"/>
              <w:rPr>
                <w:rFonts w:ascii="Arial Narrow" w:hAnsi="Arial Narrow"/>
                <w:sz w:val="24"/>
                <w:szCs w:val="24"/>
                <w:lang w:val="en-US"/>
              </w:rPr>
            </w:pPr>
            <w:r>
              <w:rPr>
                <w:rFonts w:ascii="Arial Narrow" w:hAnsi="Arial Narrow"/>
                <w:sz w:val="24"/>
                <w:szCs w:val="24"/>
                <w:lang w:val="en-US"/>
              </w:rPr>
              <w:t>The fourth issue, which was not in dispute, similarly to this matter, is the identity of the owner of the livestock.</w:t>
            </w:r>
          </w:p>
          <w:p w:rsidR="00E77508" w:rsidRDefault="00E77508" w:rsidP="00CA7E3E">
            <w:pPr>
              <w:spacing w:after="0" w:line="360" w:lineRule="auto"/>
              <w:jc w:val="both"/>
              <w:rPr>
                <w:rFonts w:ascii="Arial Narrow" w:hAnsi="Arial Narrow"/>
                <w:sz w:val="24"/>
                <w:szCs w:val="24"/>
                <w:lang w:val="en-US"/>
              </w:rPr>
            </w:pPr>
          </w:p>
          <w:p w:rsidR="00E77508" w:rsidRDefault="00E77508" w:rsidP="00CA7E3E">
            <w:pPr>
              <w:spacing w:after="0" w:line="360" w:lineRule="auto"/>
              <w:jc w:val="both"/>
              <w:rPr>
                <w:rFonts w:ascii="Arial Narrow" w:hAnsi="Arial Narrow"/>
                <w:sz w:val="24"/>
                <w:szCs w:val="24"/>
                <w:lang w:val="en-US"/>
              </w:rPr>
            </w:pPr>
            <w:r>
              <w:rPr>
                <w:rFonts w:ascii="Arial Narrow" w:hAnsi="Arial Narrow"/>
                <w:sz w:val="24"/>
                <w:szCs w:val="24"/>
                <w:lang w:val="en-US"/>
              </w:rPr>
              <w:t xml:space="preserve">[7]          The argument for the defendant is that there is simply no allegation of a legal duty to take measures for the livestock of the defendant to stray onto the road.  The other problem, if the court </w:t>
            </w:r>
            <w:r w:rsidR="00004EB9">
              <w:rPr>
                <w:rFonts w:ascii="Arial Narrow" w:hAnsi="Arial Narrow"/>
                <w:sz w:val="24"/>
                <w:szCs w:val="24"/>
                <w:lang w:val="en-US"/>
              </w:rPr>
              <w:t xml:space="preserve">finds that this was </w:t>
            </w:r>
            <w:r w:rsidR="00004EB9" w:rsidRPr="00D64A88">
              <w:rPr>
                <w:rFonts w:ascii="Arial Narrow" w:hAnsi="Arial Narrow"/>
                <w:sz w:val="24"/>
                <w:szCs w:val="24"/>
                <w:lang w:val="en-US"/>
              </w:rPr>
              <w:t>indeed prov</w:t>
            </w:r>
            <w:r w:rsidRPr="00D64A88">
              <w:rPr>
                <w:rFonts w:ascii="Arial Narrow" w:hAnsi="Arial Narrow"/>
                <w:sz w:val="24"/>
                <w:szCs w:val="24"/>
                <w:lang w:val="en-US"/>
              </w:rPr>
              <w:t xml:space="preserve">ed, </w:t>
            </w:r>
            <w:r>
              <w:rPr>
                <w:rFonts w:ascii="Arial Narrow" w:hAnsi="Arial Narrow"/>
                <w:sz w:val="24"/>
                <w:szCs w:val="24"/>
                <w:lang w:val="en-US"/>
              </w:rPr>
              <w:t>would be that there is simply no evidence before court to proof the quantum of the damages of the plaintiff.  No expert evidence was lead regarding the damage to the vehicle of the plaintiff, we do not even know what damages were caused to the vehicle except the fact that it was caused to the right front side of the vehicle and that the vehicle was subsequently written off.  We do not have any idea as to what the value of the vehicle was at that time, or what the value of the wreck is.  There is further no proof of the storage fees that the plaintiff allegedly is paying and neither has he made any attempt to limit his damage in moving the vehicle from that premises or selling the wreck.  There is also no proof of the tow-in costs.  The claim for loss of income is also not supported by any evidence presented by the plaintiff and cannot be entertained.</w:t>
            </w:r>
          </w:p>
          <w:p w:rsidR="00E77508" w:rsidRDefault="00E77508" w:rsidP="00CA7E3E">
            <w:pPr>
              <w:spacing w:after="0" w:line="360" w:lineRule="auto"/>
              <w:jc w:val="both"/>
              <w:rPr>
                <w:rFonts w:ascii="Arial Narrow" w:hAnsi="Arial Narrow"/>
                <w:sz w:val="24"/>
                <w:szCs w:val="24"/>
                <w:lang w:val="en-US"/>
              </w:rPr>
            </w:pPr>
          </w:p>
          <w:p w:rsidR="00E77508" w:rsidRDefault="00E77508" w:rsidP="00D64A88">
            <w:pPr>
              <w:tabs>
                <w:tab w:val="left" w:pos="800"/>
              </w:tabs>
              <w:spacing w:after="0" w:line="360" w:lineRule="auto"/>
              <w:jc w:val="both"/>
              <w:rPr>
                <w:rFonts w:ascii="Arial Narrow" w:hAnsi="Arial Narrow"/>
                <w:sz w:val="24"/>
                <w:szCs w:val="24"/>
                <w:lang w:val="en-US"/>
              </w:rPr>
            </w:pPr>
            <w:r>
              <w:rPr>
                <w:rFonts w:ascii="Arial Narrow" w:hAnsi="Arial Narrow"/>
                <w:sz w:val="24"/>
                <w:szCs w:val="24"/>
                <w:lang w:val="en-US"/>
              </w:rPr>
              <w:t xml:space="preserve">[8]           </w:t>
            </w:r>
            <w:r w:rsidR="00027916">
              <w:rPr>
                <w:rFonts w:ascii="Arial Narrow" w:hAnsi="Arial Narrow"/>
                <w:sz w:val="24"/>
                <w:szCs w:val="24"/>
                <w:lang w:val="en-US"/>
              </w:rPr>
              <w:t>Counse</w:t>
            </w:r>
            <w:r w:rsidR="00D64A88">
              <w:rPr>
                <w:rFonts w:ascii="Arial Narrow" w:hAnsi="Arial Narrow"/>
                <w:sz w:val="24"/>
                <w:szCs w:val="24"/>
                <w:lang w:val="en-US"/>
              </w:rPr>
              <w:t xml:space="preserve">l for the plaintiff argued that the onus of negligence was created that needs to be rebutted by the defendant.  In terms of regulation 348 of the </w:t>
            </w:r>
            <w:r w:rsidR="00D64A88" w:rsidRPr="00D64A88">
              <w:rPr>
                <w:rFonts w:ascii="Arial Narrow" w:hAnsi="Arial Narrow"/>
                <w:sz w:val="24"/>
                <w:szCs w:val="24"/>
                <w:lang w:val="en-US"/>
              </w:rPr>
              <w:t xml:space="preserve">Road Traffic </w:t>
            </w:r>
            <w:r w:rsidR="00D64A88">
              <w:rPr>
                <w:rFonts w:ascii="Arial Narrow" w:hAnsi="Arial Narrow"/>
                <w:sz w:val="24"/>
                <w:szCs w:val="24"/>
                <w:lang w:val="en-US"/>
              </w:rPr>
              <w:t xml:space="preserve">and Transport Regulations, 2001 published in </w:t>
            </w:r>
            <w:r w:rsidR="00D64A88" w:rsidRPr="00D64A88">
              <w:rPr>
                <w:rFonts w:ascii="Arial Narrow" w:hAnsi="Arial Narrow"/>
                <w:sz w:val="24"/>
                <w:szCs w:val="24"/>
                <w:lang w:val="en-US"/>
              </w:rPr>
              <w:lastRenderedPageBreak/>
              <w:t>Government Notice 53 of 2001</w:t>
            </w:r>
            <w:r w:rsidR="00D64A88">
              <w:rPr>
                <w:rFonts w:ascii="Arial Narrow" w:hAnsi="Arial Narrow"/>
                <w:sz w:val="24"/>
                <w:szCs w:val="24"/>
                <w:lang w:val="en-US"/>
              </w:rPr>
              <w:t xml:space="preserve">, creates a presumption of negligence by the owner of </w:t>
            </w:r>
            <w:r w:rsidR="00FC00AB">
              <w:rPr>
                <w:rFonts w:ascii="Arial Narrow" w:hAnsi="Arial Narrow"/>
                <w:sz w:val="24"/>
                <w:szCs w:val="24"/>
                <w:lang w:val="en-US"/>
              </w:rPr>
              <w:t>animals</w:t>
            </w:r>
            <w:r w:rsidR="00D64A88">
              <w:rPr>
                <w:rFonts w:ascii="Arial Narrow" w:hAnsi="Arial Narrow"/>
                <w:sz w:val="24"/>
                <w:szCs w:val="24"/>
                <w:lang w:val="en-US"/>
              </w:rPr>
              <w:t xml:space="preserve"> when animals are found a road that is fenced in.  She further referred the court to the matter of </w:t>
            </w:r>
            <w:r w:rsidR="006F7689" w:rsidRPr="006F7689">
              <w:rPr>
                <w:rFonts w:ascii="Arial Narrow" w:hAnsi="Arial Narrow"/>
                <w:i/>
                <w:sz w:val="24"/>
                <w:szCs w:val="24"/>
                <w:lang w:val="en-US"/>
              </w:rPr>
              <w:t>Jamneck v Wagner</w:t>
            </w:r>
            <w:r w:rsidR="006F7689">
              <w:rPr>
                <w:rStyle w:val="FootnoteReference"/>
                <w:rFonts w:ascii="Arial Narrow" w:hAnsi="Arial Narrow"/>
                <w:sz w:val="24"/>
                <w:szCs w:val="24"/>
                <w:lang w:val="en-US"/>
              </w:rPr>
              <w:footnoteReference w:id="3"/>
            </w:r>
            <w:r w:rsidR="006F7689" w:rsidRPr="006F7689">
              <w:rPr>
                <w:rFonts w:ascii="Arial Narrow" w:hAnsi="Arial Narrow"/>
                <w:sz w:val="24"/>
                <w:szCs w:val="24"/>
                <w:lang w:val="en-US"/>
              </w:rPr>
              <w:t xml:space="preserve"> </w:t>
            </w:r>
            <w:r w:rsidR="006F7689">
              <w:rPr>
                <w:rFonts w:ascii="Arial Narrow" w:hAnsi="Arial Narrow"/>
                <w:sz w:val="24"/>
                <w:szCs w:val="24"/>
                <w:lang w:val="en-US"/>
              </w:rPr>
              <w:t xml:space="preserve">which was referred to in </w:t>
            </w:r>
            <w:r w:rsidR="006F7689" w:rsidRPr="006F7689">
              <w:rPr>
                <w:rFonts w:ascii="Arial Narrow" w:hAnsi="Arial Narrow"/>
                <w:i/>
                <w:sz w:val="24"/>
                <w:szCs w:val="24"/>
                <w:lang w:val="en-US"/>
              </w:rPr>
              <w:t>Mofokeng v Moloi</w:t>
            </w:r>
            <w:r w:rsidR="006F7689" w:rsidRPr="006F7689">
              <w:rPr>
                <w:rFonts w:ascii="Arial Narrow" w:hAnsi="Arial Narrow"/>
                <w:sz w:val="24"/>
                <w:szCs w:val="24"/>
                <w:lang w:val="en-US"/>
              </w:rPr>
              <w:t xml:space="preserve"> </w:t>
            </w:r>
            <w:r w:rsidR="006F7689">
              <w:rPr>
                <w:rStyle w:val="FootnoteReference"/>
                <w:rFonts w:ascii="Arial Narrow" w:hAnsi="Arial Narrow"/>
                <w:sz w:val="24"/>
                <w:szCs w:val="24"/>
                <w:lang w:val="en-US"/>
              </w:rPr>
              <w:footnoteReference w:id="4"/>
            </w:r>
            <w:r w:rsidR="006F7689">
              <w:rPr>
                <w:rFonts w:ascii="Arial Narrow" w:hAnsi="Arial Narrow"/>
                <w:sz w:val="24"/>
                <w:szCs w:val="24"/>
                <w:lang w:val="en-US"/>
              </w:rPr>
              <w:t xml:space="preserve"> which deals with the instance where the prima facie onus is not rebutted and then become conclusive evidence.  With regard to the </w:t>
            </w:r>
            <w:r w:rsidR="00FC00AB">
              <w:rPr>
                <w:rFonts w:ascii="Arial Narrow" w:hAnsi="Arial Narrow"/>
                <w:sz w:val="24"/>
                <w:szCs w:val="24"/>
                <w:lang w:val="en-US"/>
              </w:rPr>
              <w:t>damages which were</w:t>
            </w:r>
            <w:r w:rsidR="009F0246">
              <w:rPr>
                <w:rFonts w:ascii="Arial Narrow" w:hAnsi="Arial Narrow"/>
                <w:sz w:val="24"/>
                <w:szCs w:val="24"/>
                <w:lang w:val="en-US"/>
              </w:rPr>
              <w:t xml:space="preserve"> not prov</w:t>
            </w:r>
            <w:r w:rsidR="00313E0B">
              <w:rPr>
                <w:rFonts w:ascii="Arial Narrow" w:hAnsi="Arial Narrow"/>
                <w:sz w:val="24"/>
                <w:szCs w:val="24"/>
                <w:lang w:val="en-US"/>
              </w:rPr>
              <w:t>ed, she requested to re-open the case of the plaintiff but without putting any further arguments before court as how she intends to cure this shortcoming.</w:t>
            </w:r>
          </w:p>
          <w:p w:rsidR="006F7689" w:rsidRDefault="006F7689" w:rsidP="00D64A88">
            <w:pPr>
              <w:tabs>
                <w:tab w:val="left" w:pos="800"/>
              </w:tabs>
              <w:spacing w:after="0" w:line="360" w:lineRule="auto"/>
              <w:jc w:val="both"/>
              <w:rPr>
                <w:rFonts w:ascii="Arial Narrow" w:hAnsi="Arial Narrow"/>
                <w:sz w:val="24"/>
                <w:szCs w:val="24"/>
                <w:lang w:val="en-US"/>
              </w:rPr>
            </w:pPr>
          </w:p>
          <w:p w:rsidR="006F7689" w:rsidRPr="006F7689" w:rsidRDefault="006F7689" w:rsidP="006F7689">
            <w:pPr>
              <w:tabs>
                <w:tab w:val="left" w:pos="800"/>
              </w:tabs>
              <w:spacing w:after="0" w:line="360" w:lineRule="auto"/>
              <w:jc w:val="both"/>
              <w:rPr>
                <w:rFonts w:ascii="Arial Narrow" w:hAnsi="Arial Narrow"/>
                <w:sz w:val="24"/>
                <w:szCs w:val="24"/>
                <w:lang w:val="en-US"/>
              </w:rPr>
            </w:pPr>
            <w:r>
              <w:rPr>
                <w:rFonts w:ascii="Arial Narrow" w:hAnsi="Arial Narrow"/>
                <w:sz w:val="24"/>
                <w:szCs w:val="24"/>
                <w:lang w:val="en-US"/>
              </w:rPr>
              <w:t xml:space="preserve">[9]          </w:t>
            </w:r>
            <w:r w:rsidRPr="006F7689">
              <w:rPr>
                <w:rFonts w:ascii="Arial Narrow" w:hAnsi="Arial Narrow"/>
                <w:sz w:val="24"/>
                <w:szCs w:val="24"/>
                <w:lang w:val="en-US"/>
              </w:rPr>
              <w:t xml:space="preserve">A question of negligence was discussed in an unreported judgment in </w:t>
            </w:r>
            <w:r w:rsidRPr="00313E0B">
              <w:rPr>
                <w:rFonts w:ascii="Arial Narrow" w:hAnsi="Arial Narrow"/>
                <w:i/>
                <w:sz w:val="24"/>
                <w:szCs w:val="24"/>
                <w:lang w:val="en-US"/>
              </w:rPr>
              <w:t>Van Zyl v Conradie</w:t>
            </w:r>
            <w:r w:rsidR="00313E0B">
              <w:rPr>
                <w:rStyle w:val="FootnoteReference"/>
                <w:rFonts w:ascii="Arial Narrow" w:hAnsi="Arial Narrow"/>
                <w:i/>
                <w:sz w:val="24"/>
                <w:szCs w:val="24"/>
                <w:lang w:val="en-US"/>
              </w:rPr>
              <w:footnoteReference w:id="5"/>
            </w:r>
            <w:r w:rsidR="00313E0B">
              <w:rPr>
                <w:rFonts w:ascii="Arial Narrow" w:hAnsi="Arial Narrow"/>
                <w:i/>
                <w:sz w:val="24"/>
                <w:szCs w:val="24"/>
                <w:lang w:val="en-US"/>
              </w:rPr>
              <w:t xml:space="preserve"> </w:t>
            </w:r>
            <w:r w:rsidR="00313E0B">
              <w:rPr>
                <w:rFonts w:ascii="Arial Narrow" w:hAnsi="Arial Narrow"/>
                <w:sz w:val="24"/>
                <w:szCs w:val="24"/>
                <w:lang w:val="en-US"/>
              </w:rPr>
              <w:t>wherein it was found that :</w:t>
            </w:r>
          </w:p>
          <w:p w:rsidR="006F7689" w:rsidRPr="00313E0B" w:rsidRDefault="00313E0B" w:rsidP="006F7689">
            <w:pPr>
              <w:tabs>
                <w:tab w:val="left" w:pos="800"/>
              </w:tabs>
              <w:spacing w:after="0" w:line="360" w:lineRule="auto"/>
              <w:jc w:val="both"/>
              <w:rPr>
                <w:rFonts w:ascii="Arial Narrow" w:hAnsi="Arial Narrow"/>
                <w:lang w:val="en-US"/>
              </w:rPr>
            </w:pPr>
            <w:r w:rsidRPr="00313E0B">
              <w:rPr>
                <w:rFonts w:ascii="Arial Narrow" w:hAnsi="Arial Narrow"/>
                <w:lang w:val="en-US"/>
              </w:rPr>
              <w:t>“         (t)</w:t>
            </w:r>
            <w:r w:rsidR="006F7689" w:rsidRPr="00313E0B">
              <w:rPr>
                <w:rFonts w:ascii="Arial Narrow" w:hAnsi="Arial Narrow"/>
                <w:lang w:val="en-US"/>
              </w:rPr>
              <w:t xml:space="preserve">he defendant is not automatically liable if it is found that his cattle got into the road at night and caused a collision.  This does not give rise to a presumption of negligence.  There is no room for applying the maxim </w:t>
            </w:r>
            <w:r w:rsidR="006F7689" w:rsidRPr="00313E0B">
              <w:rPr>
                <w:rFonts w:ascii="Arial Narrow" w:hAnsi="Arial Narrow"/>
                <w:i/>
                <w:lang w:val="en-US"/>
              </w:rPr>
              <w:t>res ipsa loquitor</w:t>
            </w:r>
            <w:r w:rsidR="006F7689" w:rsidRPr="00313E0B">
              <w:rPr>
                <w:rFonts w:ascii="Arial Narrow" w:hAnsi="Arial Narrow"/>
                <w:lang w:val="en-US"/>
              </w:rPr>
              <w:t>…  The plaintiff can only succeed by establishing by means of credible and acceptable evidence that the defendant was negligent and that his negligent conduct caused damage to the plaintiff.</w:t>
            </w:r>
            <w:r>
              <w:rPr>
                <w:rFonts w:ascii="Arial Narrow" w:hAnsi="Arial Narrow"/>
                <w:lang w:val="en-US"/>
              </w:rPr>
              <w:t xml:space="preserve">    </w:t>
            </w:r>
            <w:r w:rsidR="006F7689" w:rsidRPr="00313E0B">
              <w:rPr>
                <w:rFonts w:ascii="Arial Narrow" w:hAnsi="Arial Narrow"/>
                <w:lang w:val="en-US"/>
              </w:rPr>
              <w:t xml:space="preserve">” </w:t>
            </w:r>
          </w:p>
          <w:p w:rsidR="00313E0B" w:rsidRDefault="00313E0B" w:rsidP="006F7689">
            <w:pPr>
              <w:tabs>
                <w:tab w:val="left" w:pos="800"/>
              </w:tabs>
              <w:spacing w:after="0" w:line="360" w:lineRule="auto"/>
              <w:jc w:val="both"/>
              <w:rPr>
                <w:rFonts w:ascii="Arial Narrow" w:hAnsi="Arial Narrow"/>
                <w:sz w:val="24"/>
                <w:szCs w:val="24"/>
                <w:lang w:val="en-US"/>
              </w:rPr>
            </w:pPr>
            <w:r>
              <w:rPr>
                <w:rFonts w:ascii="Arial Narrow" w:hAnsi="Arial Narrow"/>
                <w:sz w:val="24"/>
                <w:szCs w:val="24"/>
                <w:lang w:val="en-US"/>
              </w:rPr>
              <w:t>The plaintiff therefore had to establish by leading evidence that the defendant was negligent ant that the said negligent conduct of the defendant caused the damage to the vehicle of the plaintiff, as well as other related damages claimed for.</w:t>
            </w:r>
          </w:p>
          <w:p w:rsidR="00E77508" w:rsidRPr="00C3266B" w:rsidRDefault="00E77508" w:rsidP="00CA7E3E">
            <w:pPr>
              <w:spacing w:after="0" w:line="360" w:lineRule="auto"/>
              <w:jc w:val="both"/>
              <w:rPr>
                <w:rFonts w:ascii="Arial Narrow" w:hAnsi="Arial Narrow"/>
                <w:sz w:val="24"/>
                <w:szCs w:val="24"/>
                <w:lang w:val="en-US"/>
              </w:rPr>
            </w:pPr>
          </w:p>
          <w:p w:rsidR="006F68BB" w:rsidRDefault="00150851" w:rsidP="00CA7E3E">
            <w:pPr>
              <w:spacing w:after="0" w:line="360" w:lineRule="auto"/>
              <w:jc w:val="both"/>
              <w:rPr>
                <w:rFonts w:ascii="Arial Narrow" w:hAnsi="Arial Narrow"/>
                <w:sz w:val="24"/>
                <w:szCs w:val="24"/>
                <w:u w:val="single"/>
                <w:lang w:val="en-US"/>
              </w:rPr>
            </w:pPr>
            <w:r w:rsidRPr="00150851">
              <w:rPr>
                <w:rFonts w:ascii="Arial Narrow" w:hAnsi="Arial Narrow"/>
                <w:sz w:val="24"/>
                <w:szCs w:val="24"/>
                <w:u w:val="single"/>
                <w:lang w:val="en-US"/>
              </w:rPr>
              <w:t>Basis for absolution from the instance</w:t>
            </w:r>
          </w:p>
          <w:p w:rsidR="000E5FF9" w:rsidRPr="00150851" w:rsidRDefault="000E5FF9" w:rsidP="00CA7E3E">
            <w:pPr>
              <w:spacing w:after="0" w:line="360" w:lineRule="auto"/>
              <w:jc w:val="both"/>
              <w:rPr>
                <w:rFonts w:ascii="Arial Narrow" w:hAnsi="Arial Narrow"/>
                <w:sz w:val="24"/>
                <w:szCs w:val="24"/>
                <w:u w:val="single"/>
                <w:lang w:val="en-US"/>
              </w:rPr>
            </w:pPr>
          </w:p>
          <w:p w:rsidR="00150851" w:rsidRDefault="00150851" w:rsidP="00150851">
            <w:pPr>
              <w:spacing w:after="0" w:line="360" w:lineRule="auto"/>
              <w:jc w:val="both"/>
              <w:rPr>
                <w:rFonts w:ascii="Arial Narrow" w:hAnsi="Arial Narrow"/>
                <w:sz w:val="24"/>
                <w:szCs w:val="24"/>
                <w:lang w:val="en-US"/>
              </w:rPr>
            </w:pPr>
            <w:r>
              <w:rPr>
                <w:rFonts w:ascii="Arial Narrow" w:hAnsi="Arial Narrow"/>
                <w:sz w:val="24"/>
                <w:szCs w:val="24"/>
                <w:lang w:val="en-US"/>
              </w:rPr>
              <w:t>[</w:t>
            </w:r>
            <w:r w:rsidR="00313E0B">
              <w:rPr>
                <w:rFonts w:ascii="Arial Narrow" w:hAnsi="Arial Narrow"/>
                <w:sz w:val="24"/>
                <w:szCs w:val="24"/>
                <w:lang w:val="en-US"/>
              </w:rPr>
              <w:t>10</w:t>
            </w:r>
            <w:r>
              <w:rPr>
                <w:rFonts w:ascii="Arial Narrow" w:hAnsi="Arial Narrow"/>
                <w:sz w:val="24"/>
                <w:szCs w:val="24"/>
                <w:lang w:val="en-US"/>
              </w:rPr>
              <w:t xml:space="preserve">]         </w:t>
            </w:r>
            <w:r w:rsidR="00F56FB1">
              <w:rPr>
                <w:rFonts w:ascii="Arial Narrow" w:hAnsi="Arial Narrow"/>
                <w:sz w:val="24"/>
                <w:szCs w:val="24"/>
                <w:lang w:val="en-US"/>
              </w:rPr>
              <w:t xml:space="preserve">  </w:t>
            </w:r>
            <w:r w:rsidR="00D64A88">
              <w:rPr>
                <w:rFonts w:ascii="Arial Narrow" w:hAnsi="Arial Narrow"/>
                <w:sz w:val="24"/>
                <w:szCs w:val="24"/>
                <w:lang w:val="en-US"/>
              </w:rPr>
              <w:t>The proces</w:t>
            </w:r>
            <w:r>
              <w:rPr>
                <w:rFonts w:ascii="Arial Narrow" w:hAnsi="Arial Narrow"/>
                <w:sz w:val="24"/>
                <w:szCs w:val="24"/>
                <w:lang w:val="en-US"/>
              </w:rPr>
              <w:t xml:space="preserve">s for the application for absolution from the instance is set out in rule 100 of the High Court rules but it however does not set out what needs to be considered.  </w:t>
            </w:r>
            <w:r w:rsidRPr="00150851">
              <w:rPr>
                <w:rFonts w:ascii="Arial Narrow" w:hAnsi="Arial Narrow"/>
                <w:sz w:val="24"/>
                <w:szCs w:val="24"/>
                <w:lang w:val="en-US"/>
              </w:rPr>
              <w:t xml:space="preserve">The test for granting absolution from the instance at the end of a plaintiff's case is set out in </w:t>
            </w:r>
            <w:r w:rsidRPr="00427E0C">
              <w:rPr>
                <w:rFonts w:ascii="Arial Narrow" w:hAnsi="Arial Narrow"/>
                <w:i/>
                <w:sz w:val="24"/>
                <w:szCs w:val="24"/>
                <w:lang w:val="en-US"/>
              </w:rPr>
              <w:t>Claude Neon Lights (SA) Ltd</w:t>
            </w:r>
            <w:r w:rsidR="00427E0C" w:rsidRPr="00427E0C">
              <w:rPr>
                <w:rFonts w:ascii="Arial Narrow" w:hAnsi="Arial Narrow"/>
                <w:i/>
                <w:sz w:val="24"/>
                <w:szCs w:val="24"/>
                <w:lang w:val="en-US"/>
              </w:rPr>
              <w:t xml:space="preserve"> </w:t>
            </w:r>
            <w:r w:rsidRPr="00427E0C">
              <w:rPr>
                <w:rFonts w:ascii="Arial Narrow" w:hAnsi="Arial Narrow"/>
                <w:i/>
                <w:sz w:val="24"/>
                <w:szCs w:val="24"/>
                <w:lang w:val="en-US"/>
              </w:rPr>
              <w:t>v Daniel</w:t>
            </w:r>
            <w:r w:rsidR="00427E0C">
              <w:rPr>
                <w:rStyle w:val="FootnoteReference"/>
                <w:rFonts w:ascii="Arial Narrow" w:hAnsi="Arial Narrow"/>
                <w:sz w:val="24"/>
                <w:szCs w:val="24"/>
                <w:lang w:val="en-US"/>
              </w:rPr>
              <w:footnoteReference w:id="6"/>
            </w:r>
            <w:r w:rsidR="00427E0C" w:rsidRPr="00150851">
              <w:rPr>
                <w:rFonts w:ascii="Arial Narrow" w:hAnsi="Arial Narrow"/>
                <w:sz w:val="24"/>
                <w:szCs w:val="24"/>
                <w:lang w:val="en-US"/>
              </w:rPr>
              <w:t xml:space="preserve"> </w:t>
            </w:r>
            <w:r w:rsidRPr="00150851">
              <w:rPr>
                <w:rFonts w:ascii="Arial Narrow" w:hAnsi="Arial Narrow"/>
                <w:sz w:val="24"/>
                <w:szCs w:val="24"/>
                <w:lang w:val="en-US"/>
              </w:rPr>
              <w:t>where Miller AJA said:</w:t>
            </w:r>
          </w:p>
          <w:p w:rsidR="00427E0C" w:rsidRPr="00150851" w:rsidRDefault="00427E0C" w:rsidP="00150851">
            <w:pPr>
              <w:spacing w:after="0" w:line="360" w:lineRule="auto"/>
              <w:jc w:val="both"/>
              <w:rPr>
                <w:rFonts w:ascii="Arial Narrow" w:hAnsi="Arial Narrow"/>
                <w:sz w:val="24"/>
                <w:szCs w:val="24"/>
                <w:lang w:val="en-US"/>
              </w:rPr>
            </w:pPr>
          </w:p>
          <w:p w:rsidR="00150851" w:rsidRDefault="00150851" w:rsidP="00150851">
            <w:pPr>
              <w:spacing w:after="0" w:line="360" w:lineRule="auto"/>
              <w:jc w:val="both"/>
              <w:rPr>
                <w:rFonts w:ascii="Arial Narrow" w:hAnsi="Arial Narrow"/>
                <w:sz w:val="24"/>
                <w:szCs w:val="24"/>
                <w:lang w:val="en-US"/>
              </w:rPr>
            </w:pPr>
            <w:r w:rsidRPr="00150851">
              <w:rPr>
                <w:rFonts w:ascii="Arial Narrow" w:hAnsi="Arial Narrow"/>
                <w:sz w:val="24"/>
                <w:szCs w:val="24"/>
                <w:lang w:val="en-US"/>
              </w:rPr>
              <w:tab/>
            </w:r>
            <w:r w:rsidR="00F56FB1">
              <w:rPr>
                <w:rFonts w:ascii="Arial Narrow" w:hAnsi="Arial Narrow"/>
                <w:sz w:val="24"/>
                <w:szCs w:val="24"/>
                <w:lang w:val="en-US"/>
              </w:rPr>
              <w:t xml:space="preserve"> </w:t>
            </w:r>
            <w:r w:rsidRPr="00427E0C">
              <w:rPr>
                <w:rFonts w:ascii="Arial Narrow" w:hAnsi="Arial Narrow"/>
                <w:szCs w:val="24"/>
                <w:lang w:val="en-US"/>
              </w:rPr>
              <w:t>'</w:t>
            </w:r>
            <w:r w:rsidR="00F56FB1">
              <w:rPr>
                <w:rFonts w:ascii="Arial Narrow" w:hAnsi="Arial Narrow"/>
                <w:szCs w:val="24"/>
                <w:lang w:val="en-US"/>
              </w:rPr>
              <w:t xml:space="preserve">  (</w:t>
            </w:r>
            <w:r w:rsidRPr="00427E0C">
              <w:rPr>
                <w:rFonts w:ascii="Arial Narrow" w:hAnsi="Arial Narrow"/>
                <w:szCs w:val="24"/>
                <w:lang w:val="en-US"/>
              </w:rPr>
              <w:t>W)hen absolution from the instance is sought at the close of plaintiff's case, the test to be applied is not whether the evidence led by the plaintiff establishes what would finally be r</w:t>
            </w:r>
            <w:r w:rsidR="00427E0C">
              <w:rPr>
                <w:rFonts w:ascii="Arial Narrow" w:hAnsi="Arial Narrow"/>
                <w:szCs w:val="24"/>
                <w:lang w:val="en-US"/>
              </w:rPr>
              <w:t xml:space="preserve">equired to be established, </w:t>
            </w:r>
            <w:r w:rsidRPr="00427E0C">
              <w:rPr>
                <w:rFonts w:ascii="Arial Narrow" w:hAnsi="Arial Narrow"/>
                <w:szCs w:val="24"/>
                <w:lang w:val="en-US"/>
              </w:rPr>
              <w:t>but whether there is evidence upon which a Court, applying its mind reasonably to such evidence, could or might (not should or ought to) find for the plaintiff.'</w:t>
            </w:r>
          </w:p>
          <w:p w:rsidR="00150851" w:rsidRDefault="00150851" w:rsidP="00150851">
            <w:pPr>
              <w:spacing w:after="0" w:line="360" w:lineRule="auto"/>
              <w:jc w:val="both"/>
              <w:rPr>
                <w:rFonts w:ascii="Arial Narrow" w:hAnsi="Arial Narrow"/>
                <w:sz w:val="24"/>
                <w:szCs w:val="24"/>
                <w:lang w:val="en-US"/>
              </w:rPr>
            </w:pPr>
          </w:p>
          <w:p w:rsidR="00150851" w:rsidRDefault="00150851" w:rsidP="00150851">
            <w:pPr>
              <w:spacing w:after="0" w:line="360" w:lineRule="auto"/>
              <w:jc w:val="both"/>
              <w:rPr>
                <w:rFonts w:ascii="Arial Narrow" w:hAnsi="Arial Narrow"/>
                <w:sz w:val="24"/>
                <w:szCs w:val="24"/>
                <w:lang w:val="en-US"/>
              </w:rPr>
            </w:pPr>
            <w:r>
              <w:rPr>
                <w:rFonts w:ascii="Arial Narrow" w:hAnsi="Arial Narrow"/>
                <w:sz w:val="24"/>
                <w:szCs w:val="24"/>
                <w:lang w:val="en-US"/>
              </w:rPr>
              <w:t>[</w:t>
            </w:r>
            <w:r w:rsidR="00E77508">
              <w:rPr>
                <w:rFonts w:ascii="Arial Narrow" w:hAnsi="Arial Narrow"/>
                <w:sz w:val="24"/>
                <w:szCs w:val="24"/>
                <w:lang w:val="en-US"/>
              </w:rPr>
              <w:t>1</w:t>
            </w:r>
            <w:r w:rsidR="00313E0B">
              <w:rPr>
                <w:rFonts w:ascii="Arial Narrow" w:hAnsi="Arial Narrow"/>
                <w:sz w:val="24"/>
                <w:szCs w:val="24"/>
                <w:lang w:val="en-US"/>
              </w:rPr>
              <w:t>1</w:t>
            </w:r>
            <w:r>
              <w:rPr>
                <w:rFonts w:ascii="Arial Narrow" w:hAnsi="Arial Narrow"/>
                <w:sz w:val="24"/>
                <w:szCs w:val="24"/>
                <w:lang w:val="en-US"/>
              </w:rPr>
              <w:t xml:space="preserve">]          </w:t>
            </w:r>
            <w:r w:rsidR="00F56FB1">
              <w:rPr>
                <w:rFonts w:ascii="Arial Narrow" w:hAnsi="Arial Narrow"/>
                <w:sz w:val="24"/>
                <w:szCs w:val="24"/>
                <w:lang w:val="en-US"/>
              </w:rPr>
              <w:t xml:space="preserve"> </w:t>
            </w:r>
            <w:r w:rsidRPr="00150851">
              <w:rPr>
                <w:rFonts w:ascii="Arial Narrow" w:hAnsi="Arial Narrow"/>
                <w:sz w:val="24"/>
                <w:szCs w:val="24"/>
                <w:lang w:val="en-US"/>
              </w:rPr>
              <w:t xml:space="preserve">In </w:t>
            </w:r>
            <w:r w:rsidRPr="00150851">
              <w:rPr>
                <w:rFonts w:ascii="Arial Narrow" w:hAnsi="Arial Narrow"/>
                <w:i/>
                <w:sz w:val="24"/>
                <w:szCs w:val="24"/>
                <w:lang w:val="en-US"/>
              </w:rPr>
              <w:t>Ramirez v Frans and Others</w:t>
            </w:r>
            <w:r w:rsidR="00427E0C">
              <w:rPr>
                <w:rFonts w:ascii="Arial Narrow" w:hAnsi="Arial Narrow"/>
                <w:i/>
                <w:sz w:val="24"/>
                <w:szCs w:val="24"/>
                <w:lang w:val="en-US"/>
              </w:rPr>
              <w:t>,</w:t>
            </w:r>
            <w:r>
              <w:rPr>
                <w:rStyle w:val="FootnoteReference"/>
                <w:rFonts w:ascii="Arial Narrow" w:hAnsi="Arial Narrow"/>
                <w:i/>
                <w:sz w:val="24"/>
                <w:szCs w:val="24"/>
                <w:lang w:val="en-US"/>
              </w:rPr>
              <w:footnoteReference w:id="7"/>
            </w:r>
            <w:r w:rsidRPr="00150851">
              <w:rPr>
                <w:rFonts w:ascii="Arial Narrow" w:hAnsi="Arial Narrow"/>
                <w:sz w:val="24"/>
                <w:szCs w:val="24"/>
                <w:lang w:val="en-US"/>
              </w:rPr>
              <w:t xml:space="preserve">  this court dealt with the application and the principles applicable. With reference to case law, the following principles were extracted:  </w:t>
            </w:r>
          </w:p>
          <w:p w:rsidR="00427E0C" w:rsidRPr="00150851" w:rsidRDefault="00427E0C" w:rsidP="00150851">
            <w:pPr>
              <w:spacing w:after="0" w:line="360" w:lineRule="auto"/>
              <w:jc w:val="both"/>
              <w:rPr>
                <w:rFonts w:ascii="Arial Narrow" w:hAnsi="Arial Narrow"/>
                <w:sz w:val="24"/>
                <w:szCs w:val="24"/>
                <w:lang w:val="en-US"/>
              </w:rPr>
            </w:pPr>
          </w:p>
          <w:p w:rsidR="00150851" w:rsidRPr="00DA1B20" w:rsidRDefault="00427E0C" w:rsidP="00150851">
            <w:pPr>
              <w:spacing w:after="0" w:line="360" w:lineRule="auto"/>
              <w:jc w:val="both"/>
              <w:rPr>
                <w:rFonts w:ascii="Arial Narrow" w:hAnsi="Arial Narrow"/>
                <w:lang w:val="en-US"/>
              </w:rPr>
            </w:pPr>
            <w:r>
              <w:rPr>
                <w:rFonts w:ascii="Arial Narrow" w:hAnsi="Arial Narrow"/>
                <w:sz w:val="24"/>
                <w:szCs w:val="24"/>
                <w:lang w:val="en-US"/>
              </w:rPr>
              <w:t xml:space="preserve">            </w:t>
            </w:r>
            <w:r w:rsidR="00F56FB1">
              <w:rPr>
                <w:rFonts w:ascii="Arial Narrow" w:hAnsi="Arial Narrow"/>
                <w:sz w:val="24"/>
                <w:szCs w:val="24"/>
                <w:lang w:val="en-US"/>
              </w:rPr>
              <w:t xml:space="preserve">  </w:t>
            </w:r>
            <w:r>
              <w:rPr>
                <w:rFonts w:ascii="Arial Narrow" w:hAnsi="Arial Narrow"/>
                <w:sz w:val="24"/>
                <w:szCs w:val="24"/>
                <w:lang w:val="en-US"/>
              </w:rPr>
              <w:t>“</w:t>
            </w:r>
            <w:r w:rsidR="00F56FB1">
              <w:rPr>
                <w:rFonts w:ascii="Arial Narrow" w:hAnsi="Arial Narrow"/>
                <w:sz w:val="24"/>
                <w:szCs w:val="24"/>
                <w:lang w:val="en-US"/>
              </w:rPr>
              <w:t xml:space="preserve">  </w:t>
            </w:r>
            <w:r>
              <w:rPr>
                <w:rFonts w:ascii="Arial Narrow" w:hAnsi="Arial Narrow"/>
                <w:lang w:val="en-US"/>
              </w:rPr>
              <w:t xml:space="preserve">(a)   </w:t>
            </w:r>
            <w:r w:rsidR="00150851" w:rsidRPr="00DA1B20">
              <w:rPr>
                <w:rFonts w:ascii="Arial Narrow" w:hAnsi="Arial Narrow"/>
                <w:lang w:val="en-US"/>
              </w:rPr>
              <w:t xml:space="preserve">(T)his application is akin to an application for a discharge at the end of the case for the prosecution in </w:t>
            </w:r>
            <w:r>
              <w:rPr>
                <w:rFonts w:ascii="Arial Narrow" w:hAnsi="Arial Narrow"/>
                <w:lang w:val="en-US"/>
              </w:rPr>
              <w:t xml:space="preserve">                      </w:t>
            </w:r>
            <w:r w:rsidR="00150851" w:rsidRPr="00DA1B20">
              <w:rPr>
                <w:rFonts w:ascii="Arial Narrow" w:hAnsi="Arial Narrow"/>
                <w:lang w:val="en-US"/>
              </w:rPr>
              <w:t xml:space="preserve">criminal trials ie in terms of s 174 of the Criminal Procedure Act — </w:t>
            </w:r>
            <w:r w:rsidR="00150851" w:rsidRPr="00DA1B20">
              <w:rPr>
                <w:rFonts w:ascii="Arial Narrow" w:hAnsi="Arial Narrow"/>
                <w:i/>
                <w:lang w:val="en-US"/>
              </w:rPr>
              <w:t>General Francois Olenga v Spranger</w:t>
            </w:r>
            <w:r w:rsidR="00150851" w:rsidRPr="00DA1B20">
              <w:rPr>
                <w:rStyle w:val="FootnoteReference"/>
                <w:rFonts w:ascii="Arial Narrow" w:hAnsi="Arial Narrow"/>
                <w:lang w:val="en-US"/>
              </w:rPr>
              <w:footnoteReference w:id="8"/>
            </w:r>
            <w:r w:rsidR="00811E6D">
              <w:rPr>
                <w:rFonts w:ascii="Arial Narrow" w:hAnsi="Arial Narrow"/>
                <w:lang w:val="en-US"/>
              </w:rPr>
              <w:t>,</w:t>
            </w:r>
          </w:p>
          <w:p w:rsidR="00150851" w:rsidRDefault="00F56FB1" w:rsidP="00150851">
            <w:pPr>
              <w:spacing w:after="0" w:line="360" w:lineRule="auto"/>
              <w:jc w:val="both"/>
              <w:rPr>
                <w:rFonts w:ascii="Arial Narrow" w:hAnsi="Arial Narrow"/>
                <w:lang w:val="en-US"/>
              </w:rPr>
            </w:pPr>
            <w:r>
              <w:rPr>
                <w:rFonts w:ascii="Arial Narrow" w:hAnsi="Arial Narrow"/>
                <w:lang w:val="en-US"/>
              </w:rPr>
              <w:t xml:space="preserve">                     </w:t>
            </w:r>
            <w:r w:rsidR="00150851" w:rsidRPr="00DA1B20">
              <w:rPr>
                <w:rFonts w:ascii="Arial Narrow" w:hAnsi="Arial Narrow"/>
                <w:lang w:val="en-US"/>
              </w:rPr>
              <w:t>(b)</w:t>
            </w:r>
            <w:r w:rsidR="00150851" w:rsidRPr="00DA1B20">
              <w:rPr>
                <w:rFonts w:ascii="Arial Narrow" w:hAnsi="Arial Narrow"/>
                <w:lang w:val="en-US"/>
              </w:rPr>
              <w:tab/>
              <w:t xml:space="preserve">the standard to be applied, is whether the plaintiff, in the mind of the court, has tendered evidence upon which a court, properly directed and applying its mind reasonably to such evidence, could or might, not should, find for the plaintiff — </w:t>
            </w:r>
            <w:r w:rsidR="00150851" w:rsidRPr="00DA1B20">
              <w:rPr>
                <w:rFonts w:ascii="Arial Narrow" w:hAnsi="Arial Narrow"/>
                <w:i/>
                <w:lang w:val="en-US"/>
              </w:rPr>
              <w:t>Stier and Another v Henke</w:t>
            </w:r>
            <w:r w:rsidR="00150851" w:rsidRPr="00DA1B20">
              <w:rPr>
                <w:rStyle w:val="FootnoteReference"/>
                <w:rFonts w:ascii="Arial Narrow" w:hAnsi="Arial Narrow"/>
                <w:lang w:val="en-US"/>
              </w:rPr>
              <w:footnoteReference w:id="9"/>
            </w:r>
            <w:r>
              <w:rPr>
                <w:rFonts w:ascii="Arial Narrow" w:hAnsi="Arial Narrow"/>
                <w:lang w:val="en-US"/>
              </w:rPr>
              <w:t xml:space="preserve"> “</w:t>
            </w:r>
          </w:p>
          <w:p w:rsidR="00427E0C" w:rsidRPr="00DA1B20" w:rsidRDefault="00F56FB1" w:rsidP="00150851">
            <w:pPr>
              <w:spacing w:after="0" w:line="360" w:lineRule="auto"/>
              <w:jc w:val="both"/>
              <w:rPr>
                <w:rFonts w:ascii="Arial Narrow" w:hAnsi="Arial Narrow"/>
                <w:lang w:val="en-US"/>
              </w:rPr>
            </w:pPr>
            <w:r>
              <w:rPr>
                <w:rFonts w:ascii="Arial Narrow" w:hAnsi="Arial Narrow"/>
                <w:lang w:val="en-US"/>
              </w:rPr>
              <w:t xml:space="preserve">                     </w:t>
            </w:r>
            <w:r w:rsidR="00150851" w:rsidRPr="00DA1B20">
              <w:rPr>
                <w:rFonts w:ascii="Arial Narrow" w:hAnsi="Arial Narrow"/>
                <w:lang w:val="en-US"/>
              </w:rPr>
              <w:t>(c)</w:t>
            </w:r>
            <w:r w:rsidR="00150851" w:rsidRPr="00DA1B20">
              <w:rPr>
                <w:rFonts w:ascii="Arial Narrow" w:hAnsi="Arial Narrow"/>
                <w:lang w:val="en-US"/>
              </w:rPr>
              <w:tab/>
              <w:t xml:space="preserve">the evidence adduced by the plaintiff should relate to all the elements of the claim, because in the absence of such evidence, no court could find for the plaintiff — </w:t>
            </w:r>
            <w:r w:rsidR="00150851" w:rsidRPr="00DA1B20">
              <w:rPr>
                <w:rFonts w:ascii="Arial Narrow" w:hAnsi="Arial Narrow"/>
                <w:i/>
                <w:lang w:val="en-US"/>
              </w:rPr>
              <w:t>Factcrown Limited v Namibian  Broadcasting Corporation</w:t>
            </w:r>
            <w:r w:rsidR="00150851" w:rsidRPr="00DA1B20">
              <w:rPr>
                <w:rFonts w:ascii="Arial Narrow" w:hAnsi="Arial Narrow"/>
                <w:lang w:val="en-US"/>
              </w:rPr>
              <w:t>;</w:t>
            </w:r>
            <w:r w:rsidR="00DA1B20" w:rsidRPr="00DA1B20">
              <w:rPr>
                <w:rStyle w:val="FootnoteReference"/>
                <w:rFonts w:ascii="Arial Narrow" w:hAnsi="Arial Narrow"/>
                <w:lang w:val="en-US"/>
              </w:rPr>
              <w:footnoteReference w:id="10"/>
            </w:r>
            <w:r w:rsidR="00150851" w:rsidRPr="00DA1B20">
              <w:rPr>
                <w:rFonts w:ascii="Arial Narrow" w:hAnsi="Arial Narrow"/>
                <w:lang w:val="en-US"/>
              </w:rPr>
              <w:t>.</w:t>
            </w:r>
          </w:p>
          <w:p w:rsidR="00427E0C" w:rsidRPr="00F56FB1" w:rsidRDefault="00F56FB1" w:rsidP="00150851">
            <w:pPr>
              <w:spacing w:after="0" w:line="360" w:lineRule="auto"/>
              <w:jc w:val="both"/>
              <w:rPr>
                <w:rFonts w:ascii="Arial Narrow" w:hAnsi="Arial Narrow"/>
                <w:i/>
                <w:lang w:val="en-US"/>
              </w:rPr>
            </w:pPr>
            <w:r>
              <w:rPr>
                <w:rFonts w:ascii="Arial Narrow" w:hAnsi="Arial Narrow"/>
                <w:lang w:val="en-US"/>
              </w:rPr>
              <w:t xml:space="preserve">                     </w:t>
            </w:r>
            <w:r w:rsidR="00150851" w:rsidRPr="00DA1B20">
              <w:rPr>
                <w:rFonts w:ascii="Arial Narrow" w:hAnsi="Arial Narrow"/>
                <w:lang w:val="en-US"/>
              </w:rPr>
              <w:t>(d)</w:t>
            </w:r>
            <w:r w:rsidR="00150851" w:rsidRPr="00DA1B20">
              <w:rPr>
                <w:rFonts w:ascii="Arial Narrow" w:hAnsi="Arial Narrow"/>
                <w:lang w:val="en-US"/>
              </w:rPr>
              <w:tab/>
              <w:t xml:space="preserve">in dealing with such applications, the court does not normally evaluate the evidence adduced on behalf of the plaintiff by making credibility findings at this stage. The court assumes that the evidence adduced by the plaintiff is true and deals with the matter on that basis. If the evidence adduced by the plaintiff is, however,   hopelessly poor, vacillating or of so romancing a character, the court may, in those circumstances, grant the application — </w:t>
            </w:r>
            <w:r w:rsidR="00150851" w:rsidRPr="00DA1B20">
              <w:rPr>
                <w:rFonts w:ascii="Arial Narrow" w:hAnsi="Arial Narrow"/>
                <w:i/>
                <w:lang w:val="en-US"/>
              </w:rPr>
              <w:t>General Francois Olenga v Erwin Spranger</w:t>
            </w:r>
            <w:r w:rsidR="00427E0C">
              <w:rPr>
                <w:rFonts w:ascii="Arial Narrow" w:hAnsi="Arial Narrow"/>
                <w:i/>
                <w:lang w:val="en-US"/>
              </w:rPr>
              <w:t>;</w:t>
            </w:r>
            <w:r w:rsidR="00DA1B20" w:rsidRPr="00DA1B20">
              <w:rPr>
                <w:rStyle w:val="FootnoteReference"/>
                <w:rFonts w:ascii="Arial Narrow" w:hAnsi="Arial Narrow"/>
                <w:lang w:val="en-US"/>
              </w:rPr>
              <w:footnoteReference w:id="11"/>
            </w:r>
          </w:p>
          <w:p w:rsidR="00150851" w:rsidRPr="00DA1B20" w:rsidRDefault="00F56FB1" w:rsidP="00150851">
            <w:pPr>
              <w:spacing w:after="0" w:line="360" w:lineRule="auto"/>
              <w:jc w:val="both"/>
              <w:rPr>
                <w:rFonts w:ascii="Arial Narrow" w:hAnsi="Arial Narrow"/>
                <w:i/>
                <w:sz w:val="24"/>
                <w:szCs w:val="24"/>
                <w:lang w:val="en-US"/>
              </w:rPr>
            </w:pPr>
            <w:r>
              <w:rPr>
                <w:rFonts w:ascii="Arial Narrow" w:hAnsi="Arial Narrow"/>
                <w:lang w:val="en-US"/>
              </w:rPr>
              <w:t xml:space="preserve">                    </w:t>
            </w:r>
            <w:r w:rsidR="00150851" w:rsidRPr="00DA1B20">
              <w:rPr>
                <w:rFonts w:ascii="Arial Narrow" w:hAnsi="Arial Narrow"/>
                <w:lang w:val="en-US"/>
              </w:rPr>
              <w:t>(e)</w:t>
            </w:r>
            <w:r w:rsidR="00150851" w:rsidRPr="00DA1B20">
              <w:rPr>
                <w:rFonts w:ascii="Arial Narrow" w:hAnsi="Arial Narrow"/>
                <w:lang w:val="en-US"/>
              </w:rPr>
              <w:tab/>
              <w:t>the application for absolution from the instance should be granted sparingly. The court must general</w:t>
            </w:r>
            <w:r w:rsidR="00DA1B20" w:rsidRPr="00DA1B20">
              <w:rPr>
                <w:rFonts w:ascii="Arial Narrow" w:hAnsi="Arial Narrow"/>
                <w:lang w:val="en-US"/>
              </w:rPr>
              <w:t>ly speaking, be shy, frigid, or</w:t>
            </w:r>
            <w:r w:rsidR="00150851" w:rsidRPr="00DA1B20">
              <w:rPr>
                <w:rFonts w:ascii="Arial Narrow" w:hAnsi="Arial Narrow"/>
                <w:lang w:val="en-US"/>
              </w:rPr>
              <w:t xml:space="preserve"> cautious in granting this application. But when the proper occasion arises, and in the interests of justice, the court should not hesitate to grant this application — </w:t>
            </w:r>
            <w:r w:rsidR="00150851" w:rsidRPr="00DA1B20">
              <w:rPr>
                <w:rFonts w:ascii="Arial Narrow" w:hAnsi="Arial Narrow"/>
                <w:i/>
                <w:lang w:val="en-US"/>
              </w:rPr>
              <w:t>Stier and General Francois Olenga v Spranger (supra)</w:t>
            </w:r>
            <w:r w:rsidR="00DA1B20" w:rsidRPr="00DA1B20">
              <w:rPr>
                <w:rFonts w:ascii="Arial Narrow" w:hAnsi="Arial Narrow"/>
                <w:i/>
                <w:lang w:val="en-US"/>
              </w:rPr>
              <w:t>.</w:t>
            </w:r>
            <w:r w:rsidR="00427E0C">
              <w:rPr>
                <w:rFonts w:ascii="Arial Narrow" w:hAnsi="Arial Narrow"/>
                <w:i/>
                <w:sz w:val="24"/>
                <w:szCs w:val="24"/>
                <w:lang w:val="en-US"/>
              </w:rPr>
              <w:t>”</w:t>
            </w:r>
          </w:p>
          <w:p w:rsidR="00DA1B20" w:rsidRDefault="00DA1B20" w:rsidP="00CA7E3E">
            <w:pPr>
              <w:spacing w:after="0" w:line="360" w:lineRule="auto"/>
              <w:jc w:val="both"/>
              <w:rPr>
                <w:rFonts w:ascii="Arial Narrow" w:hAnsi="Arial Narrow"/>
                <w:sz w:val="24"/>
                <w:szCs w:val="24"/>
                <w:lang w:val="en-US"/>
              </w:rPr>
            </w:pPr>
            <w:r>
              <w:rPr>
                <w:rFonts w:ascii="Arial Narrow" w:hAnsi="Arial Narrow"/>
                <w:sz w:val="24"/>
                <w:szCs w:val="24"/>
                <w:lang w:val="en-US"/>
              </w:rPr>
              <w:t xml:space="preserve"> </w:t>
            </w:r>
          </w:p>
          <w:p w:rsidR="00DA1B20" w:rsidRDefault="00DA1B20" w:rsidP="00CA7E3E">
            <w:pPr>
              <w:spacing w:after="0" w:line="360" w:lineRule="auto"/>
              <w:jc w:val="both"/>
              <w:rPr>
                <w:rFonts w:ascii="Arial Narrow" w:hAnsi="Arial Narrow"/>
                <w:sz w:val="24"/>
                <w:szCs w:val="24"/>
                <w:lang w:val="en-US"/>
              </w:rPr>
            </w:pPr>
            <w:r>
              <w:rPr>
                <w:rFonts w:ascii="Arial Narrow" w:hAnsi="Arial Narrow"/>
                <w:sz w:val="24"/>
                <w:szCs w:val="24"/>
                <w:lang w:val="en-US"/>
              </w:rPr>
              <w:t>[1</w:t>
            </w:r>
            <w:r w:rsidR="00313E0B">
              <w:rPr>
                <w:rFonts w:ascii="Arial Narrow" w:hAnsi="Arial Narrow"/>
                <w:sz w:val="24"/>
                <w:szCs w:val="24"/>
                <w:lang w:val="en-US"/>
              </w:rPr>
              <w:t>2</w:t>
            </w:r>
            <w:r>
              <w:rPr>
                <w:rFonts w:ascii="Arial Narrow" w:hAnsi="Arial Narrow"/>
                <w:sz w:val="24"/>
                <w:szCs w:val="24"/>
                <w:lang w:val="en-US"/>
              </w:rPr>
              <w:t xml:space="preserve">]       </w:t>
            </w:r>
            <w:r w:rsidRPr="00F56FB1">
              <w:rPr>
                <w:rFonts w:ascii="Arial Narrow" w:hAnsi="Arial Narrow"/>
                <w:sz w:val="24"/>
                <w:szCs w:val="24"/>
                <w:lang w:val="en-US"/>
              </w:rPr>
              <w:t>Applying these principles in the above case</w:t>
            </w:r>
            <w:r w:rsidR="00427E0C" w:rsidRPr="00F56FB1">
              <w:rPr>
                <w:rFonts w:ascii="Arial Narrow" w:hAnsi="Arial Narrow"/>
                <w:sz w:val="24"/>
                <w:szCs w:val="24"/>
                <w:lang w:val="en-US"/>
              </w:rPr>
              <w:t>,</w:t>
            </w:r>
            <w:r w:rsidRPr="00F56FB1">
              <w:rPr>
                <w:rFonts w:ascii="Arial Narrow" w:hAnsi="Arial Narrow"/>
                <w:sz w:val="24"/>
                <w:szCs w:val="24"/>
                <w:lang w:val="en-US"/>
              </w:rPr>
              <w:t xml:space="preserve"> I find that the </w:t>
            </w:r>
            <w:r w:rsidR="00427E0C" w:rsidRPr="00F56FB1">
              <w:rPr>
                <w:rFonts w:ascii="Arial Narrow" w:hAnsi="Arial Narrow"/>
                <w:sz w:val="24"/>
                <w:szCs w:val="24"/>
                <w:lang w:val="en-US"/>
              </w:rPr>
              <w:t>P</w:t>
            </w:r>
            <w:r w:rsidRPr="00F56FB1">
              <w:rPr>
                <w:rFonts w:ascii="Arial Narrow" w:hAnsi="Arial Narrow"/>
                <w:sz w:val="24"/>
                <w:szCs w:val="24"/>
                <w:lang w:val="en-US"/>
              </w:rPr>
              <w:t xml:space="preserve">laintiff, in my mind, has tendered </w:t>
            </w:r>
            <w:r w:rsidR="00E77508">
              <w:rPr>
                <w:rFonts w:ascii="Arial Narrow" w:hAnsi="Arial Narrow"/>
                <w:sz w:val="24"/>
                <w:szCs w:val="24"/>
                <w:lang w:val="en-US"/>
              </w:rPr>
              <w:t xml:space="preserve">no </w:t>
            </w:r>
            <w:r w:rsidRPr="00F56FB1">
              <w:rPr>
                <w:rFonts w:ascii="Arial Narrow" w:hAnsi="Arial Narrow"/>
                <w:sz w:val="24"/>
                <w:szCs w:val="24"/>
                <w:lang w:val="en-US"/>
              </w:rPr>
              <w:t>evidence upon which this court, properly directed and applying its mind reasonably to the said evidence,</w:t>
            </w:r>
            <w:r w:rsidR="006D5819">
              <w:rPr>
                <w:rFonts w:ascii="Arial Narrow" w:hAnsi="Arial Narrow"/>
                <w:sz w:val="24"/>
                <w:szCs w:val="24"/>
                <w:lang w:val="en-US"/>
              </w:rPr>
              <w:t xml:space="preserve"> might find for the plaintiff at the end of the case</w:t>
            </w:r>
            <w:r w:rsidR="00E77508">
              <w:rPr>
                <w:rFonts w:ascii="Arial Narrow" w:hAnsi="Arial Narrow"/>
                <w:sz w:val="24"/>
                <w:szCs w:val="24"/>
                <w:lang w:val="en-US"/>
              </w:rPr>
              <w:t xml:space="preserve">.  </w:t>
            </w:r>
            <w:r w:rsidRPr="00F56FB1">
              <w:rPr>
                <w:rFonts w:ascii="Arial Narrow" w:hAnsi="Arial Narrow"/>
                <w:sz w:val="24"/>
                <w:szCs w:val="24"/>
                <w:lang w:val="en-US"/>
              </w:rPr>
              <w:t xml:space="preserve"> </w:t>
            </w:r>
          </w:p>
          <w:p w:rsidR="00197241" w:rsidRDefault="00197241" w:rsidP="008B1563">
            <w:pPr>
              <w:tabs>
                <w:tab w:val="left" w:pos="701"/>
                <w:tab w:val="left" w:pos="1126"/>
              </w:tabs>
              <w:spacing w:after="0" w:line="360" w:lineRule="auto"/>
              <w:jc w:val="both"/>
              <w:rPr>
                <w:rFonts w:ascii="Arial Narrow" w:hAnsi="Arial Narrow"/>
                <w:sz w:val="24"/>
                <w:szCs w:val="24"/>
                <w:lang w:val="en-US"/>
              </w:rPr>
            </w:pPr>
          </w:p>
          <w:p w:rsidR="008A7EF2" w:rsidRDefault="00190BB3" w:rsidP="00197241">
            <w:pPr>
              <w:tabs>
                <w:tab w:val="left" w:pos="701"/>
                <w:tab w:val="left" w:pos="1126"/>
              </w:tabs>
              <w:spacing w:after="0" w:line="360" w:lineRule="auto"/>
              <w:jc w:val="both"/>
              <w:rPr>
                <w:rFonts w:ascii="Arial Narrow" w:hAnsi="Arial Narrow"/>
                <w:sz w:val="24"/>
                <w:szCs w:val="24"/>
                <w:lang w:val="en-US"/>
              </w:rPr>
            </w:pPr>
            <w:r>
              <w:rPr>
                <w:rFonts w:ascii="Arial Narrow" w:hAnsi="Arial Narrow"/>
                <w:sz w:val="24"/>
                <w:szCs w:val="24"/>
                <w:lang w:val="en-US"/>
              </w:rPr>
              <w:t xml:space="preserve">In the result, </w:t>
            </w:r>
            <w:r w:rsidR="00BF724C">
              <w:rPr>
                <w:rFonts w:ascii="Arial Narrow" w:hAnsi="Arial Narrow"/>
                <w:sz w:val="24"/>
                <w:szCs w:val="24"/>
                <w:lang w:val="en-US"/>
              </w:rPr>
              <w:t>I make the following or</w:t>
            </w:r>
            <w:r w:rsidR="00197241">
              <w:rPr>
                <w:rFonts w:ascii="Arial Narrow" w:hAnsi="Arial Narrow"/>
                <w:sz w:val="24"/>
                <w:szCs w:val="24"/>
                <w:lang w:val="en-US"/>
              </w:rPr>
              <w:t>der</w:t>
            </w:r>
            <w:r w:rsidR="00427E0C">
              <w:rPr>
                <w:rFonts w:ascii="Arial Narrow" w:hAnsi="Arial Narrow"/>
                <w:sz w:val="24"/>
                <w:szCs w:val="24"/>
                <w:lang w:val="en-US"/>
              </w:rPr>
              <w:t>:</w:t>
            </w:r>
          </w:p>
          <w:p w:rsidR="00731D4F" w:rsidRPr="00731D4F" w:rsidRDefault="00731D4F" w:rsidP="00731D4F">
            <w:pPr>
              <w:pStyle w:val="NoSpacing"/>
              <w:spacing w:line="360" w:lineRule="auto"/>
              <w:jc w:val="both"/>
              <w:rPr>
                <w:rFonts w:ascii="Arial Narrow" w:hAnsi="Arial Narrow"/>
                <w:sz w:val="24"/>
                <w:lang w:val="af-ZA"/>
              </w:rPr>
            </w:pPr>
          </w:p>
          <w:p w:rsidR="00731D4F" w:rsidRPr="00731D4F" w:rsidRDefault="00731D4F" w:rsidP="00731D4F">
            <w:pPr>
              <w:pStyle w:val="NoSpacing"/>
              <w:spacing w:line="360" w:lineRule="auto"/>
              <w:jc w:val="both"/>
              <w:rPr>
                <w:rFonts w:ascii="Arial Narrow" w:hAnsi="Arial Narrow"/>
                <w:sz w:val="24"/>
                <w:lang w:val="af-ZA"/>
              </w:rPr>
            </w:pPr>
            <w:r w:rsidRPr="00731D4F">
              <w:rPr>
                <w:rFonts w:ascii="Arial Narrow" w:hAnsi="Arial Narrow"/>
                <w:sz w:val="24"/>
                <w:lang w:val="af-ZA"/>
              </w:rPr>
              <w:t>a)</w:t>
            </w:r>
            <w:r w:rsidRPr="00731D4F">
              <w:rPr>
                <w:rFonts w:ascii="Arial Narrow" w:hAnsi="Arial Narrow"/>
                <w:sz w:val="24"/>
                <w:lang w:val="af-ZA"/>
              </w:rPr>
              <w:tab/>
              <w:t xml:space="preserve">The application for absolution from the instance is granted.  </w:t>
            </w:r>
          </w:p>
          <w:p w:rsidR="00731D4F" w:rsidRPr="00731D4F" w:rsidRDefault="00731D4F" w:rsidP="00731D4F">
            <w:pPr>
              <w:pStyle w:val="NoSpacing"/>
              <w:spacing w:line="360" w:lineRule="auto"/>
              <w:jc w:val="both"/>
              <w:rPr>
                <w:rFonts w:ascii="Arial Narrow" w:hAnsi="Arial Narrow"/>
                <w:sz w:val="24"/>
                <w:lang w:val="af-ZA"/>
              </w:rPr>
            </w:pPr>
            <w:r w:rsidRPr="00731D4F">
              <w:rPr>
                <w:rFonts w:ascii="Arial Narrow" w:hAnsi="Arial Narrow"/>
                <w:sz w:val="24"/>
                <w:lang w:val="af-ZA"/>
              </w:rPr>
              <w:t>b)</w:t>
            </w:r>
            <w:r w:rsidRPr="00731D4F">
              <w:rPr>
                <w:rFonts w:ascii="Arial Narrow" w:hAnsi="Arial Narrow"/>
                <w:sz w:val="24"/>
                <w:lang w:val="af-ZA"/>
              </w:rPr>
              <w:tab/>
              <w:t>The plaintiff ordered to pay the costs of suit</w:t>
            </w:r>
          </w:p>
          <w:p w:rsidR="00313E0B" w:rsidRPr="00811E6D" w:rsidRDefault="00731D4F" w:rsidP="00811E6D">
            <w:pPr>
              <w:pStyle w:val="NoSpacing"/>
              <w:spacing w:line="360" w:lineRule="auto"/>
              <w:jc w:val="both"/>
              <w:rPr>
                <w:rFonts w:ascii="Arial Narrow" w:hAnsi="Arial Narrow"/>
                <w:sz w:val="24"/>
                <w:lang w:val="af-ZA"/>
              </w:rPr>
            </w:pPr>
            <w:r w:rsidRPr="00731D4F">
              <w:rPr>
                <w:rFonts w:ascii="Arial Narrow" w:hAnsi="Arial Narrow"/>
                <w:sz w:val="24"/>
                <w:lang w:val="af-ZA"/>
              </w:rPr>
              <w:t>c)</w:t>
            </w:r>
            <w:r w:rsidRPr="00731D4F">
              <w:rPr>
                <w:rFonts w:ascii="Arial Narrow" w:hAnsi="Arial Narrow"/>
                <w:sz w:val="24"/>
                <w:lang w:val="af-ZA"/>
              </w:rPr>
              <w:tab/>
              <w:t>The matter is regarded as finalised and removed from the roll</w:t>
            </w:r>
          </w:p>
          <w:p w:rsidR="00950676" w:rsidRPr="00DA4588" w:rsidRDefault="00950676" w:rsidP="004667E3">
            <w:pPr>
              <w:spacing w:line="360" w:lineRule="auto"/>
              <w:jc w:val="right"/>
              <w:rPr>
                <w:rFonts w:ascii="Arial Narrow" w:hAnsi="Arial Narrow" w:cs="Arial"/>
                <w:sz w:val="24"/>
              </w:rPr>
            </w:pPr>
            <w:r w:rsidRPr="00DA4588">
              <w:rPr>
                <w:rFonts w:ascii="Arial Narrow" w:hAnsi="Arial Narrow" w:cs="Arial"/>
                <w:sz w:val="24"/>
              </w:rPr>
              <w:t>____________</w:t>
            </w:r>
          </w:p>
          <w:p w:rsidR="00950676" w:rsidRPr="00DA4588" w:rsidRDefault="002E76C8" w:rsidP="004667E3">
            <w:pPr>
              <w:spacing w:line="360" w:lineRule="auto"/>
              <w:jc w:val="right"/>
              <w:rPr>
                <w:rFonts w:ascii="Arial Narrow" w:hAnsi="Arial Narrow" w:cs="Arial"/>
                <w:sz w:val="24"/>
              </w:rPr>
            </w:pPr>
            <w:r>
              <w:rPr>
                <w:rFonts w:ascii="Arial Narrow" w:hAnsi="Arial Narrow" w:cs="Arial"/>
                <w:sz w:val="24"/>
              </w:rPr>
              <w:t>E Rakow</w:t>
            </w:r>
          </w:p>
          <w:p w:rsidR="00950676" w:rsidRPr="000C54F5" w:rsidRDefault="00950676" w:rsidP="000C54F5">
            <w:pPr>
              <w:spacing w:line="360" w:lineRule="auto"/>
              <w:jc w:val="right"/>
              <w:rPr>
                <w:rFonts w:ascii="Arial Narrow" w:hAnsi="Arial Narrow" w:cs="Arial"/>
                <w:sz w:val="24"/>
              </w:rPr>
            </w:pPr>
            <w:r w:rsidRPr="00DA4588">
              <w:rPr>
                <w:rFonts w:ascii="Arial Narrow" w:hAnsi="Arial Narrow" w:cs="Arial"/>
                <w:sz w:val="24"/>
              </w:rPr>
              <w:t>Acting Judge</w:t>
            </w:r>
          </w:p>
        </w:tc>
      </w:tr>
      <w:tr w:rsidR="00950676" w:rsidRPr="00DA4588" w:rsidTr="004667E3">
        <w:tc>
          <w:tcPr>
            <w:tcW w:w="4770" w:type="dxa"/>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lastRenderedPageBreak/>
              <w:t>Judge’s signature</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4667E3">
        <w:trPr>
          <w:trHeight w:val="1114"/>
        </w:trPr>
        <w:tc>
          <w:tcPr>
            <w:tcW w:w="4770" w:type="dxa"/>
          </w:tcPr>
          <w:p w:rsidR="00950676" w:rsidRPr="00DA4588" w:rsidRDefault="00950676" w:rsidP="004667E3">
            <w:pPr>
              <w:spacing w:line="360" w:lineRule="auto"/>
              <w:jc w:val="both"/>
              <w:rPr>
                <w:rFonts w:ascii="Arial Narrow" w:hAnsi="Arial Narrow" w:cs="Arial"/>
                <w:sz w:val="24"/>
                <w:szCs w:val="24"/>
              </w:rPr>
            </w:pPr>
          </w:p>
        </w:tc>
        <w:tc>
          <w:tcPr>
            <w:tcW w:w="4950" w:type="dxa"/>
            <w:gridSpan w:val="2"/>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4667E3">
        <w:tc>
          <w:tcPr>
            <w:tcW w:w="9720" w:type="dxa"/>
            <w:gridSpan w:val="3"/>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950676" w:rsidRPr="00DA4588" w:rsidTr="004667E3">
        <w:tc>
          <w:tcPr>
            <w:tcW w:w="4770" w:type="dxa"/>
          </w:tcPr>
          <w:p w:rsidR="00950676"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Applicant</w:t>
            </w:r>
            <w:r w:rsidR="00190BB3">
              <w:rPr>
                <w:rFonts w:ascii="Arial Narrow" w:hAnsi="Arial Narrow" w:cs="Arial"/>
                <w:b/>
                <w:sz w:val="24"/>
                <w:szCs w:val="24"/>
              </w:rPr>
              <w:t>s</w:t>
            </w:r>
          </w:p>
          <w:p w:rsidR="00731D4F" w:rsidRPr="00731D4F" w:rsidRDefault="00811E6D" w:rsidP="004667E3">
            <w:pPr>
              <w:spacing w:line="360" w:lineRule="auto"/>
              <w:jc w:val="center"/>
              <w:rPr>
                <w:rFonts w:ascii="Arial Narrow" w:hAnsi="Arial Narrow" w:cs="Arial"/>
                <w:sz w:val="24"/>
                <w:szCs w:val="24"/>
              </w:rPr>
            </w:pPr>
            <w:r>
              <w:rPr>
                <w:rFonts w:ascii="Arial Narrow" w:hAnsi="Arial Narrow" w:cs="Arial"/>
                <w:sz w:val="24"/>
                <w:szCs w:val="24"/>
              </w:rPr>
              <w:t>Mr. Eras</w:t>
            </w:r>
            <w:r w:rsidR="00731D4F" w:rsidRPr="00731D4F">
              <w:rPr>
                <w:rFonts w:ascii="Arial Narrow" w:hAnsi="Arial Narrow" w:cs="Arial"/>
                <w:sz w:val="24"/>
                <w:szCs w:val="24"/>
              </w:rPr>
              <w:t>mus</w:t>
            </w:r>
          </w:p>
        </w:tc>
        <w:tc>
          <w:tcPr>
            <w:tcW w:w="4950" w:type="dxa"/>
            <w:gridSpan w:val="2"/>
          </w:tcPr>
          <w:p w:rsidR="00950676"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 xml:space="preserve"> Respondent</w:t>
            </w:r>
          </w:p>
          <w:p w:rsidR="00731D4F" w:rsidRPr="00731D4F" w:rsidRDefault="00731D4F" w:rsidP="004667E3">
            <w:pPr>
              <w:spacing w:line="360" w:lineRule="auto"/>
              <w:jc w:val="center"/>
              <w:rPr>
                <w:rFonts w:ascii="Arial Narrow" w:hAnsi="Arial Narrow" w:cs="Arial"/>
                <w:sz w:val="24"/>
                <w:szCs w:val="24"/>
              </w:rPr>
            </w:pPr>
            <w:r>
              <w:rPr>
                <w:rFonts w:ascii="Arial Narrow" w:hAnsi="Arial Narrow" w:cs="Arial"/>
                <w:sz w:val="24"/>
                <w:szCs w:val="24"/>
              </w:rPr>
              <w:t>Ms. Naruses</w:t>
            </w:r>
          </w:p>
        </w:tc>
      </w:tr>
      <w:tr w:rsidR="00950676" w:rsidRPr="00DA4588" w:rsidTr="004667E3">
        <w:tc>
          <w:tcPr>
            <w:tcW w:w="4770" w:type="dxa"/>
          </w:tcPr>
          <w:p w:rsidR="00950676" w:rsidRPr="000C54F5" w:rsidRDefault="000C54F5" w:rsidP="00731D4F">
            <w:pPr>
              <w:spacing w:line="360" w:lineRule="auto"/>
              <w:jc w:val="center"/>
              <w:rPr>
                <w:rFonts w:ascii="Arial Narrow" w:hAnsi="Arial Narrow" w:cs="Arial"/>
                <w:i/>
                <w:sz w:val="24"/>
                <w:szCs w:val="24"/>
              </w:rPr>
            </w:pPr>
            <w:r w:rsidRPr="000C54F5">
              <w:rPr>
                <w:rFonts w:ascii="Arial Narrow" w:hAnsi="Arial Narrow" w:cs="Arial"/>
                <w:i/>
                <w:sz w:val="24"/>
                <w:szCs w:val="24"/>
              </w:rPr>
              <w:t>Francois Erasmus &amp; Partners</w:t>
            </w:r>
          </w:p>
        </w:tc>
        <w:tc>
          <w:tcPr>
            <w:tcW w:w="4950" w:type="dxa"/>
            <w:gridSpan w:val="2"/>
          </w:tcPr>
          <w:p w:rsidR="00950676" w:rsidRPr="00D07CF4" w:rsidRDefault="000C54F5" w:rsidP="00150851">
            <w:pPr>
              <w:spacing w:line="360" w:lineRule="auto"/>
              <w:jc w:val="center"/>
              <w:rPr>
                <w:rFonts w:ascii="Arial Narrow" w:hAnsi="Arial Narrow" w:cs="Arial"/>
                <w:i/>
                <w:sz w:val="24"/>
                <w:szCs w:val="24"/>
              </w:rPr>
            </w:pPr>
            <w:r>
              <w:rPr>
                <w:rFonts w:ascii="Arial Narrow" w:hAnsi="Arial Narrow" w:cs="Arial"/>
                <w:i/>
                <w:sz w:val="24"/>
                <w:szCs w:val="24"/>
              </w:rPr>
              <w:t>KL Naruses &amp; Associates</w:t>
            </w:r>
          </w:p>
        </w:tc>
      </w:tr>
    </w:tbl>
    <w:p w:rsidR="00627FDD" w:rsidRDefault="00EC5875"/>
    <w:sectPr w:rsidR="00627FDD" w:rsidSect="003D0BA1">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75" w:rsidRDefault="00EC5875">
      <w:pPr>
        <w:spacing w:after="0" w:line="240" w:lineRule="auto"/>
      </w:pPr>
      <w:r>
        <w:separator/>
      </w:r>
    </w:p>
  </w:endnote>
  <w:endnote w:type="continuationSeparator" w:id="0">
    <w:p w:rsidR="00EC5875" w:rsidRDefault="00EC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EC5875">
    <w:pPr>
      <w:pStyle w:val="Footer"/>
      <w:jc w:val="right"/>
    </w:pPr>
  </w:p>
  <w:p w:rsidR="00536B8D" w:rsidRDefault="00EC587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75" w:rsidRDefault="00EC5875">
      <w:pPr>
        <w:spacing w:after="0" w:line="240" w:lineRule="auto"/>
      </w:pPr>
      <w:r>
        <w:separator/>
      </w:r>
    </w:p>
  </w:footnote>
  <w:footnote w:type="continuationSeparator" w:id="0">
    <w:p w:rsidR="00EC5875" w:rsidRDefault="00EC5875">
      <w:pPr>
        <w:spacing w:after="0" w:line="240" w:lineRule="auto"/>
      </w:pPr>
      <w:r>
        <w:continuationSeparator/>
      </w:r>
    </w:p>
  </w:footnote>
  <w:footnote w:id="1">
    <w:p w:rsidR="00C3266B" w:rsidRDefault="00C3266B">
      <w:pPr>
        <w:pStyle w:val="FootnoteText"/>
      </w:pPr>
      <w:r>
        <w:rPr>
          <w:rStyle w:val="FootnoteReference"/>
        </w:rPr>
        <w:footnoteRef/>
      </w:r>
      <w:r>
        <w:t xml:space="preserve"> </w:t>
      </w:r>
      <w:r w:rsidRPr="00C3266B">
        <w:t>(1898/96) [2002] ZAECHC 4 (28 February 2002)</w:t>
      </w:r>
      <w:r w:rsidR="00556173">
        <w:t>.</w:t>
      </w:r>
    </w:p>
  </w:footnote>
  <w:footnote w:id="2">
    <w:p w:rsidR="00C3266B" w:rsidRDefault="00C3266B">
      <w:pPr>
        <w:pStyle w:val="FootnoteText"/>
      </w:pPr>
      <w:r>
        <w:rPr>
          <w:rStyle w:val="FootnoteReference"/>
        </w:rPr>
        <w:footnoteRef/>
      </w:r>
      <w:r>
        <w:t xml:space="preserve"> </w:t>
      </w:r>
      <w:r w:rsidRPr="00C3266B">
        <w:t>((P) I 486/2004) ((P) I 486/2004) [2008] NAHC 147 (10 July 2008)</w:t>
      </w:r>
      <w:r w:rsidR="00556173">
        <w:t>.</w:t>
      </w:r>
    </w:p>
  </w:footnote>
  <w:footnote w:id="3">
    <w:p w:rsidR="006F7689" w:rsidRDefault="006F7689">
      <w:pPr>
        <w:pStyle w:val="FootnoteText"/>
      </w:pPr>
      <w:r>
        <w:rPr>
          <w:rStyle w:val="FootnoteReference"/>
        </w:rPr>
        <w:footnoteRef/>
      </w:r>
      <w:r>
        <w:t xml:space="preserve"> </w:t>
      </w:r>
      <w:r w:rsidR="00556173">
        <w:t>1993 (2) SA 54 (C).</w:t>
      </w:r>
    </w:p>
  </w:footnote>
  <w:footnote w:id="4">
    <w:p w:rsidR="006F7689" w:rsidRDefault="006F7689">
      <w:pPr>
        <w:pStyle w:val="FootnoteText"/>
      </w:pPr>
      <w:r>
        <w:rPr>
          <w:rStyle w:val="FootnoteReference"/>
        </w:rPr>
        <w:footnoteRef/>
      </w:r>
      <w:r>
        <w:t xml:space="preserve"> </w:t>
      </w:r>
      <w:r w:rsidRPr="006F7689">
        <w:t>(A106/2014) [2014] ZAFSHC 140 (4 September 2014)</w:t>
      </w:r>
      <w:r w:rsidR="00556173">
        <w:t>.</w:t>
      </w:r>
    </w:p>
  </w:footnote>
  <w:footnote w:id="5">
    <w:p w:rsidR="00313E0B" w:rsidRDefault="00313E0B">
      <w:pPr>
        <w:pStyle w:val="FootnoteText"/>
      </w:pPr>
      <w:r>
        <w:rPr>
          <w:rStyle w:val="FootnoteReference"/>
        </w:rPr>
        <w:footnoteRef/>
      </w:r>
      <w:r>
        <w:t xml:space="preserve"> </w:t>
      </w:r>
      <w:r w:rsidRPr="00313E0B">
        <w:t xml:space="preserve">(case no 1536/1988 ECD </w:t>
      </w:r>
      <w:r w:rsidR="00556173">
        <w:t>delivered on 14 March 1991).</w:t>
      </w:r>
    </w:p>
  </w:footnote>
  <w:footnote w:id="6">
    <w:p w:rsidR="00427E0C" w:rsidRDefault="00427E0C" w:rsidP="00427E0C">
      <w:pPr>
        <w:pStyle w:val="FootnoteText"/>
      </w:pPr>
      <w:r>
        <w:rPr>
          <w:rStyle w:val="FootnoteReference"/>
        </w:rPr>
        <w:footnoteRef/>
      </w:r>
      <w:r>
        <w:t xml:space="preserve"> </w:t>
      </w:r>
      <w:r w:rsidRPr="00150851">
        <w:t>1976 (4) SA 403 (A) at 409G – H</w:t>
      </w:r>
      <w:r w:rsidR="00556173">
        <w:t>.</w:t>
      </w:r>
    </w:p>
  </w:footnote>
  <w:footnote w:id="7">
    <w:p w:rsidR="00150851" w:rsidRDefault="00150851">
      <w:pPr>
        <w:pStyle w:val="FootnoteText"/>
      </w:pPr>
      <w:r>
        <w:rPr>
          <w:rStyle w:val="FootnoteReference"/>
        </w:rPr>
        <w:footnoteRef/>
      </w:r>
      <w:r>
        <w:t xml:space="preserve"> </w:t>
      </w:r>
      <w:r w:rsidRPr="00150851">
        <w:t xml:space="preserve">[2016] NAHCMD 376 (I 933/2013; 25 November 2016) para 28. See also </w:t>
      </w:r>
      <w:r w:rsidRPr="00811E6D">
        <w:rPr>
          <w:i/>
        </w:rPr>
        <w:t>Uvanga v Steenkamp and Others</w:t>
      </w:r>
      <w:r w:rsidRPr="00150851">
        <w:t xml:space="preserve"> [2017] NAHCMD 341 (I 1968/2014; 29 November 2017) para 41</w:t>
      </w:r>
      <w:r w:rsidR="00811E6D">
        <w:t>.</w:t>
      </w:r>
    </w:p>
  </w:footnote>
  <w:footnote w:id="8">
    <w:p w:rsidR="00150851" w:rsidRDefault="00150851">
      <w:pPr>
        <w:pStyle w:val="FootnoteText"/>
      </w:pPr>
      <w:r>
        <w:rPr>
          <w:rStyle w:val="FootnoteReference"/>
        </w:rPr>
        <w:footnoteRef/>
      </w:r>
      <w:r>
        <w:t xml:space="preserve"> </w:t>
      </w:r>
      <w:r w:rsidRPr="00150851">
        <w:t>(I 3826/2011) [2019] NAHCMD 192 (17 June 2019), infra at 13 para 35</w:t>
      </w:r>
      <w:r w:rsidR="00556173">
        <w:t>.</w:t>
      </w:r>
    </w:p>
  </w:footnote>
  <w:footnote w:id="9">
    <w:p w:rsidR="00150851" w:rsidRDefault="00150851">
      <w:pPr>
        <w:pStyle w:val="FootnoteText"/>
      </w:pPr>
      <w:r>
        <w:rPr>
          <w:rStyle w:val="FootnoteReference"/>
        </w:rPr>
        <w:footnoteRef/>
      </w:r>
      <w:r>
        <w:t xml:space="preserve"> </w:t>
      </w:r>
      <w:r w:rsidRPr="00150851">
        <w:t>2012 (1) NR 370 (SC) at 373.</w:t>
      </w:r>
    </w:p>
  </w:footnote>
  <w:footnote w:id="10">
    <w:p w:rsidR="00DA1B20" w:rsidRDefault="00DA1B20">
      <w:pPr>
        <w:pStyle w:val="FootnoteText"/>
      </w:pPr>
      <w:r>
        <w:rPr>
          <w:rStyle w:val="FootnoteReference"/>
        </w:rPr>
        <w:footnoteRef/>
      </w:r>
      <w:r>
        <w:t xml:space="preserve"> </w:t>
      </w:r>
      <w:r w:rsidRPr="00DA1B20">
        <w:t>2014 (2) NR 447 (SC</w:t>
      </w:r>
      <w:r>
        <w:t>)</w:t>
      </w:r>
      <w:r w:rsidR="00811E6D">
        <w:t>.</w:t>
      </w:r>
    </w:p>
  </w:footnote>
  <w:footnote w:id="11">
    <w:p w:rsidR="00DA1B20" w:rsidRDefault="00DA1B20">
      <w:pPr>
        <w:pStyle w:val="FootnoteText"/>
      </w:pPr>
      <w:r>
        <w:rPr>
          <w:rStyle w:val="FootnoteReference"/>
        </w:rPr>
        <w:footnoteRef/>
      </w:r>
      <w:r>
        <w:t xml:space="preserve"> </w:t>
      </w:r>
      <w:r w:rsidRPr="00DA1B20">
        <w:t>(I 3826/2011) [2019] NAHCMD 192 (17 June 2019) an</w:t>
      </w:r>
      <w:r w:rsidR="00556173">
        <w:t>d the authorities cited therein.</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556173">
          <w:rPr>
            <w:noProof/>
          </w:rPr>
          <w:t>6</w:t>
        </w:r>
        <w:r>
          <w:rPr>
            <w:noProof/>
          </w:rPr>
          <w:fldChar w:fldCharType="end"/>
        </w:r>
      </w:p>
    </w:sdtContent>
  </w:sdt>
  <w:p w:rsidR="00536B8D" w:rsidRDefault="00EC5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7D69E1"/>
    <w:multiLevelType w:val="hybridMultilevel"/>
    <w:tmpl w:val="A14C9046"/>
    <w:lvl w:ilvl="0" w:tplc="54F49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834259"/>
    <w:multiLevelType w:val="hybridMultilevel"/>
    <w:tmpl w:val="B776DF9C"/>
    <w:lvl w:ilvl="0" w:tplc="F6C0D4F0">
      <w:start w:val="1"/>
      <w:numFmt w:val="lowerLetter"/>
      <w:lvlText w:val="%1)"/>
      <w:lvlJc w:val="left"/>
      <w:pPr>
        <w:ind w:left="945" w:hanging="58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9554D8"/>
    <w:multiLevelType w:val="hybridMultilevel"/>
    <w:tmpl w:val="B776DF9C"/>
    <w:lvl w:ilvl="0" w:tplc="F6C0D4F0">
      <w:start w:val="1"/>
      <w:numFmt w:val="lowerLetter"/>
      <w:lvlText w:val="%1)"/>
      <w:lvlJc w:val="left"/>
      <w:pPr>
        <w:ind w:left="945" w:hanging="58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4EB9"/>
    <w:rsid w:val="00013CAC"/>
    <w:rsid w:val="00022CA7"/>
    <w:rsid w:val="00027916"/>
    <w:rsid w:val="00075D03"/>
    <w:rsid w:val="000B0675"/>
    <w:rsid w:val="000B4912"/>
    <w:rsid w:val="000C32BA"/>
    <w:rsid w:val="000C54F5"/>
    <w:rsid w:val="000D4AF7"/>
    <w:rsid w:val="000E178D"/>
    <w:rsid w:val="000E5FF9"/>
    <w:rsid w:val="000F2E52"/>
    <w:rsid w:val="0013534D"/>
    <w:rsid w:val="00136FA0"/>
    <w:rsid w:val="00145F7E"/>
    <w:rsid w:val="00150851"/>
    <w:rsid w:val="00154714"/>
    <w:rsid w:val="00164F37"/>
    <w:rsid w:val="00182236"/>
    <w:rsid w:val="00190BB3"/>
    <w:rsid w:val="00195714"/>
    <w:rsid w:val="00197241"/>
    <w:rsid w:val="001A2A1D"/>
    <w:rsid w:val="001D0B49"/>
    <w:rsid w:val="00201458"/>
    <w:rsid w:val="00240D15"/>
    <w:rsid w:val="00260788"/>
    <w:rsid w:val="00294086"/>
    <w:rsid w:val="002B3847"/>
    <w:rsid w:val="002C32C0"/>
    <w:rsid w:val="002D1A8C"/>
    <w:rsid w:val="002E76C8"/>
    <w:rsid w:val="002F0DC6"/>
    <w:rsid w:val="00313E0B"/>
    <w:rsid w:val="00337A76"/>
    <w:rsid w:val="00341DE7"/>
    <w:rsid w:val="00343FC9"/>
    <w:rsid w:val="00354864"/>
    <w:rsid w:val="0036298C"/>
    <w:rsid w:val="003768A7"/>
    <w:rsid w:val="00396E53"/>
    <w:rsid w:val="003D0BA1"/>
    <w:rsid w:val="003F2084"/>
    <w:rsid w:val="00410E67"/>
    <w:rsid w:val="00427E0C"/>
    <w:rsid w:val="004444DD"/>
    <w:rsid w:val="00445901"/>
    <w:rsid w:val="00451550"/>
    <w:rsid w:val="00476C95"/>
    <w:rsid w:val="004853CF"/>
    <w:rsid w:val="00490A3E"/>
    <w:rsid w:val="004B1325"/>
    <w:rsid w:val="004B35D6"/>
    <w:rsid w:val="004B59EF"/>
    <w:rsid w:val="00513678"/>
    <w:rsid w:val="005175B0"/>
    <w:rsid w:val="005330BF"/>
    <w:rsid w:val="00556173"/>
    <w:rsid w:val="00566D6F"/>
    <w:rsid w:val="00590CB3"/>
    <w:rsid w:val="005912D1"/>
    <w:rsid w:val="005B30C1"/>
    <w:rsid w:val="005B5600"/>
    <w:rsid w:val="005C772E"/>
    <w:rsid w:val="006058E1"/>
    <w:rsid w:val="00631338"/>
    <w:rsid w:val="006719E5"/>
    <w:rsid w:val="006B37C1"/>
    <w:rsid w:val="006B4B2C"/>
    <w:rsid w:val="006B7A53"/>
    <w:rsid w:val="006D5819"/>
    <w:rsid w:val="006D68AE"/>
    <w:rsid w:val="006F4541"/>
    <w:rsid w:val="006F68BB"/>
    <w:rsid w:val="006F7689"/>
    <w:rsid w:val="00714A1C"/>
    <w:rsid w:val="007311FC"/>
    <w:rsid w:val="00731D4F"/>
    <w:rsid w:val="00741741"/>
    <w:rsid w:val="00752467"/>
    <w:rsid w:val="00761D89"/>
    <w:rsid w:val="00771BBE"/>
    <w:rsid w:val="00790354"/>
    <w:rsid w:val="007B0F64"/>
    <w:rsid w:val="007E39A5"/>
    <w:rsid w:val="007E5EBF"/>
    <w:rsid w:val="00811E6D"/>
    <w:rsid w:val="0084585F"/>
    <w:rsid w:val="008834B5"/>
    <w:rsid w:val="008A611E"/>
    <w:rsid w:val="008A7EF2"/>
    <w:rsid w:val="008B023F"/>
    <w:rsid w:val="008B0F26"/>
    <w:rsid w:val="008B1563"/>
    <w:rsid w:val="008B2F23"/>
    <w:rsid w:val="008B3556"/>
    <w:rsid w:val="008E1BDB"/>
    <w:rsid w:val="00911788"/>
    <w:rsid w:val="00924050"/>
    <w:rsid w:val="00931FFE"/>
    <w:rsid w:val="00945D60"/>
    <w:rsid w:val="00950676"/>
    <w:rsid w:val="009715B9"/>
    <w:rsid w:val="00976DC4"/>
    <w:rsid w:val="0098758C"/>
    <w:rsid w:val="009B0213"/>
    <w:rsid w:val="009B675D"/>
    <w:rsid w:val="009F0246"/>
    <w:rsid w:val="009F3BC1"/>
    <w:rsid w:val="00A27159"/>
    <w:rsid w:val="00A41781"/>
    <w:rsid w:val="00A42ADF"/>
    <w:rsid w:val="00AA11C6"/>
    <w:rsid w:val="00AC5D3F"/>
    <w:rsid w:val="00AD1AB6"/>
    <w:rsid w:val="00AE69ED"/>
    <w:rsid w:val="00AE79A4"/>
    <w:rsid w:val="00B21E34"/>
    <w:rsid w:val="00B6047C"/>
    <w:rsid w:val="00B707AE"/>
    <w:rsid w:val="00BC6760"/>
    <w:rsid w:val="00BF569E"/>
    <w:rsid w:val="00BF724C"/>
    <w:rsid w:val="00C3266B"/>
    <w:rsid w:val="00C44DB7"/>
    <w:rsid w:val="00C518C2"/>
    <w:rsid w:val="00C62860"/>
    <w:rsid w:val="00C73FE1"/>
    <w:rsid w:val="00CA7E3E"/>
    <w:rsid w:val="00CB2DD6"/>
    <w:rsid w:val="00CC43C7"/>
    <w:rsid w:val="00CC59C6"/>
    <w:rsid w:val="00D175BC"/>
    <w:rsid w:val="00D5088E"/>
    <w:rsid w:val="00D64A88"/>
    <w:rsid w:val="00D71526"/>
    <w:rsid w:val="00D87305"/>
    <w:rsid w:val="00D92FF3"/>
    <w:rsid w:val="00DA1B20"/>
    <w:rsid w:val="00DA1B7C"/>
    <w:rsid w:val="00DA6EE8"/>
    <w:rsid w:val="00DC0ED4"/>
    <w:rsid w:val="00DC6EEA"/>
    <w:rsid w:val="00DD6F6B"/>
    <w:rsid w:val="00DF407A"/>
    <w:rsid w:val="00E00AB4"/>
    <w:rsid w:val="00E01384"/>
    <w:rsid w:val="00E05F5D"/>
    <w:rsid w:val="00E1463D"/>
    <w:rsid w:val="00E17A14"/>
    <w:rsid w:val="00E235DD"/>
    <w:rsid w:val="00E56270"/>
    <w:rsid w:val="00E57C1F"/>
    <w:rsid w:val="00E77508"/>
    <w:rsid w:val="00E84B79"/>
    <w:rsid w:val="00E8648C"/>
    <w:rsid w:val="00EC5875"/>
    <w:rsid w:val="00ED21B5"/>
    <w:rsid w:val="00EF0990"/>
    <w:rsid w:val="00EF0F06"/>
    <w:rsid w:val="00EF3220"/>
    <w:rsid w:val="00F15F87"/>
    <w:rsid w:val="00F56FB1"/>
    <w:rsid w:val="00F72679"/>
    <w:rsid w:val="00FB001E"/>
    <w:rsid w:val="00FB09C0"/>
    <w:rsid w:val="00FB1202"/>
    <w:rsid w:val="00FC00AB"/>
    <w:rsid w:val="00FC137A"/>
    <w:rsid w:val="00FC36A6"/>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C73B4-848B-4E62-B09F-47FB8E9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2020-07-06T18:30:00+00:00</Judgment_x0020_Date>
    <Year xmlns="c1afb1bd-f2fb-40fd-9abb-aea55b4d7662">2020</Year>
  </documentManagement>
</p:properties>
</file>

<file path=customXml/itemProps1.xml><?xml version="1.0" encoding="utf-8"?>
<ds:datastoreItem xmlns:ds="http://schemas.openxmlformats.org/officeDocument/2006/customXml" ds:itemID="{809CDE63-F84C-4709-9934-2A798178FEF2}"/>
</file>

<file path=customXml/itemProps2.xml><?xml version="1.0" encoding="utf-8"?>
<ds:datastoreItem xmlns:ds="http://schemas.openxmlformats.org/officeDocument/2006/customXml" ds:itemID="{47DB56E6-5481-4961-B73D-91C70A1068C7}"/>
</file>

<file path=customXml/itemProps3.xml><?xml version="1.0" encoding="utf-8"?>
<ds:datastoreItem xmlns:ds="http://schemas.openxmlformats.org/officeDocument/2006/customXml" ds:itemID="{8FDD28B8-4E13-42CE-8104-10988EA70D84}"/>
</file>

<file path=customXml/itemProps4.xml><?xml version="1.0" encoding="utf-8"?>
<ds:datastoreItem xmlns:ds="http://schemas.openxmlformats.org/officeDocument/2006/customXml" ds:itemID="{6828B78B-CED9-4FCC-BA16-E7059FEEC02A}"/>
</file>

<file path=docProps/app.xml><?xml version="1.0" encoding="utf-8"?>
<Properties xmlns="http://schemas.openxmlformats.org/officeDocument/2006/extended-properties" xmlns:vt="http://schemas.openxmlformats.org/officeDocument/2006/docPropsVTypes">
  <Template>Normal</Template>
  <TotalTime>4</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Cocklin (HC-MD-CIV-ACT-DEL-2019-01835) [2020] NAHCMD 272 (7 July 2020)</dc:title>
  <dc:creator>Priscilla Nande</dc:creator>
  <cp:lastModifiedBy>Administrator</cp:lastModifiedBy>
  <cp:revision>5</cp:revision>
  <cp:lastPrinted>2020-07-07T09:47:00Z</cp:lastPrinted>
  <dcterms:created xsi:type="dcterms:W3CDTF">2020-07-09T10:22:00Z</dcterms:created>
  <dcterms:modified xsi:type="dcterms:W3CDTF">2020-07-13T06:22:00Z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