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76" w:rsidRDefault="00950676" w:rsidP="00950676">
      <w:pPr>
        <w:spacing w:after="0" w:line="240" w:lineRule="auto"/>
        <w:jc w:val="center"/>
        <w:rPr>
          <w:rFonts w:ascii="Arial Narrow" w:hAnsi="Arial Narrow"/>
          <w:sz w:val="24"/>
          <w:szCs w:val="24"/>
        </w:rPr>
      </w:pPr>
      <w:r w:rsidRPr="00DA4588">
        <w:rPr>
          <w:rFonts w:ascii="Arial Narrow" w:hAnsi="Arial Narrow"/>
          <w:sz w:val="24"/>
          <w:szCs w:val="24"/>
        </w:rPr>
        <w:t>Practice Directive 61</w:t>
      </w:r>
    </w:p>
    <w:p w:rsidR="006E6756" w:rsidRPr="00DA4588" w:rsidRDefault="006E6756" w:rsidP="00950676">
      <w:pPr>
        <w:spacing w:after="0" w:line="240" w:lineRule="auto"/>
        <w:jc w:val="center"/>
        <w:rPr>
          <w:rFonts w:ascii="Arial Narrow" w:hAnsi="Arial Narrow"/>
          <w:sz w:val="24"/>
          <w:szCs w:val="24"/>
        </w:rPr>
      </w:pPr>
      <w:r>
        <w:rPr>
          <w:rFonts w:ascii="Arial Narrow" w:hAnsi="Arial Narrow"/>
          <w:sz w:val="24"/>
          <w:szCs w:val="24"/>
        </w:rPr>
        <w:t>“ANNEXURE 11”</w:t>
      </w:r>
    </w:p>
    <w:p w:rsidR="00950676" w:rsidRPr="00DA4588" w:rsidRDefault="00950676" w:rsidP="00950676">
      <w:pPr>
        <w:spacing w:after="0" w:line="360" w:lineRule="auto"/>
        <w:jc w:val="both"/>
        <w:rPr>
          <w:rFonts w:ascii="Arial Narrow" w:hAnsi="Arial Narrow"/>
          <w:sz w:val="24"/>
          <w:szCs w:val="24"/>
        </w:rPr>
      </w:pPr>
    </w:p>
    <w:p w:rsidR="00950676" w:rsidRPr="00DA4588" w:rsidRDefault="00950676" w:rsidP="00950676">
      <w:pPr>
        <w:spacing w:after="0" w:line="360" w:lineRule="auto"/>
        <w:jc w:val="center"/>
        <w:rPr>
          <w:rFonts w:ascii="Arial Narrow" w:hAnsi="Arial Narrow"/>
          <w:b/>
          <w:sz w:val="24"/>
          <w:szCs w:val="24"/>
        </w:rPr>
      </w:pPr>
      <w:r>
        <w:rPr>
          <w:rFonts w:ascii="Arial Narrow" w:hAnsi="Arial Narrow"/>
          <w:b/>
          <w:sz w:val="24"/>
          <w:szCs w:val="24"/>
        </w:rPr>
        <w:t>IN THE HIGH</w:t>
      </w:r>
      <w:r w:rsidRPr="00DA4588">
        <w:rPr>
          <w:rFonts w:ascii="Arial Narrow" w:hAnsi="Arial Narrow"/>
          <w:b/>
          <w:sz w:val="24"/>
          <w:szCs w:val="24"/>
        </w:rPr>
        <w:t xml:space="preserve"> COURT OF NAMIBIA</w:t>
      </w:r>
    </w:p>
    <w:p w:rsidR="00950676" w:rsidRPr="00DA4588"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6B40FF">
        <w:trPr>
          <w:trHeight w:val="744"/>
        </w:trPr>
        <w:tc>
          <w:tcPr>
            <w:tcW w:w="5397" w:type="dxa"/>
            <w:gridSpan w:val="2"/>
            <w:vMerge w:val="restart"/>
          </w:tcPr>
          <w:p w:rsidR="00950676" w:rsidRPr="00DA4588" w:rsidRDefault="00950676" w:rsidP="006B40FF">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950676" w:rsidRPr="00DA4588" w:rsidRDefault="009804C2" w:rsidP="00CF5FB9">
            <w:pPr>
              <w:tabs>
                <w:tab w:val="left" w:pos="6750"/>
              </w:tabs>
              <w:spacing w:after="0" w:line="360" w:lineRule="auto"/>
              <w:jc w:val="both"/>
              <w:rPr>
                <w:rFonts w:ascii="Arial Narrow" w:hAnsi="Arial Narrow" w:cs="Arial"/>
                <w:sz w:val="24"/>
                <w:szCs w:val="24"/>
              </w:rPr>
            </w:pPr>
            <w:r>
              <w:rPr>
                <w:rFonts w:ascii="Arial Narrow" w:eastAsia="Times New Roman" w:hAnsi="Arial Narrow" w:cs="Arial"/>
                <w:sz w:val="24"/>
                <w:szCs w:val="24"/>
              </w:rPr>
              <w:t>SWAKOPMUND URANIUM (PTY) LTD v</w:t>
            </w:r>
            <w:r w:rsidR="00CF5FB9">
              <w:rPr>
                <w:rFonts w:ascii="Arial Narrow" w:eastAsia="Times New Roman" w:hAnsi="Arial Narrow" w:cs="Arial"/>
                <w:sz w:val="24"/>
                <w:szCs w:val="24"/>
              </w:rPr>
              <w:t xml:space="preserve"> ETTIENNE GERHARD LUBBE</w:t>
            </w:r>
          </w:p>
        </w:tc>
        <w:tc>
          <w:tcPr>
            <w:tcW w:w="4323" w:type="dxa"/>
          </w:tcPr>
          <w:p w:rsidR="00950676" w:rsidRPr="00DA4588" w:rsidRDefault="00950676" w:rsidP="006B40FF">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950676" w:rsidP="00CF5FB9">
            <w:pPr>
              <w:spacing w:line="360" w:lineRule="auto"/>
              <w:rPr>
                <w:rFonts w:ascii="Arial Narrow" w:hAnsi="Arial Narrow" w:cs="Arial"/>
                <w:b/>
                <w:sz w:val="24"/>
                <w:szCs w:val="24"/>
              </w:rPr>
            </w:pPr>
            <w:r w:rsidRPr="00950676">
              <w:rPr>
                <w:rFonts w:ascii="Arial Narrow" w:hAnsi="Arial Narrow" w:cs="Arial"/>
                <w:sz w:val="24"/>
                <w:szCs w:val="24"/>
              </w:rPr>
              <w:t>HC-MD-CIV-</w:t>
            </w:r>
            <w:r w:rsidR="008E1BDB">
              <w:rPr>
                <w:rFonts w:ascii="Arial Narrow" w:hAnsi="Arial Narrow" w:cs="Arial"/>
                <w:sz w:val="24"/>
                <w:szCs w:val="24"/>
              </w:rPr>
              <w:t>ACT-</w:t>
            </w:r>
            <w:r w:rsidR="00CF5FB9">
              <w:rPr>
                <w:rFonts w:ascii="Arial Narrow" w:hAnsi="Arial Narrow" w:cs="Arial"/>
                <w:sz w:val="24"/>
                <w:szCs w:val="24"/>
              </w:rPr>
              <w:t>CON</w:t>
            </w:r>
            <w:r w:rsidR="009B0213">
              <w:rPr>
                <w:rFonts w:ascii="Arial Narrow" w:hAnsi="Arial Narrow" w:cs="Arial"/>
                <w:sz w:val="24"/>
                <w:szCs w:val="24"/>
              </w:rPr>
              <w:t>-2018</w:t>
            </w:r>
            <w:r w:rsidRPr="00950676">
              <w:rPr>
                <w:rFonts w:ascii="Arial Narrow" w:hAnsi="Arial Narrow" w:cs="Arial"/>
                <w:sz w:val="24"/>
                <w:szCs w:val="24"/>
              </w:rPr>
              <w:t>/</w:t>
            </w:r>
            <w:r w:rsidR="00CF5FB9">
              <w:rPr>
                <w:rFonts w:ascii="Arial Narrow" w:hAnsi="Arial Narrow" w:cs="Arial"/>
                <w:sz w:val="24"/>
                <w:szCs w:val="24"/>
              </w:rPr>
              <w:t>04815</w:t>
            </w:r>
          </w:p>
        </w:tc>
      </w:tr>
      <w:tr w:rsidR="00950676" w:rsidRPr="00DA4588" w:rsidTr="006B40FF">
        <w:trPr>
          <w:trHeight w:val="844"/>
        </w:trPr>
        <w:tc>
          <w:tcPr>
            <w:tcW w:w="5397" w:type="dxa"/>
            <w:gridSpan w:val="2"/>
            <w:vMerge/>
          </w:tcPr>
          <w:p w:rsidR="00950676" w:rsidRPr="00DA4588" w:rsidRDefault="00950676" w:rsidP="006B40FF">
            <w:pPr>
              <w:spacing w:line="360" w:lineRule="auto"/>
              <w:jc w:val="both"/>
              <w:rPr>
                <w:rFonts w:ascii="Arial Narrow" w:hAnsi="Arial Narrow" w:cs="Arial"/>
                <w:sz w:val="24"/>
                <w:szCs w:val="24"/>
              </w:rPr>
            </w:pPr>
          </w:p>
        </w:tc>
        <w:tc>
          <w:tcPr>
            <w:tcW w:w="4323" w:type="dxa"/>
          </w:tcPr>
          <w:p w:rsidR="00950676" w:rsidRPr="00DA4588" w:rsidRDefault="00950676" w:rsidP="006B40FF">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950676" w:rsidP="006B40FF">
            <w:pPr>
              <w:spacing w:line="360" w:lineRule="auto"/>
              <w:jc w:val="both"/>
              <w:rPr>
                <w:rFonts w:ascii="Arial Narrow" w:hAnsi="Arial Narrow" w:cs="Arial"/>
                <w:sz w:val="24"/>
                <w:szCs w:val="24"/>
              </w:rPr>
            </w:pPr>
            <w:r>
              <w:rPr>
                <w:rFonts w:ascii="Arial Narrow" w:hAnsi="Arial Narrow" w:cs="Arial"/>
                <w:sz w:val="24"/>
                <w:szCs w:val="24"/>
              </w:rPr>
              <w:t xml:space="preserve">HIGH COURT </w:t>
            </w:r>
            <w:r w:rsidRPr="00DA4588">
              <w:rPr>
                <w:rFonts w:ascii="Arial Narrow" w:hAnsi="Arial Narrow" w:cs="Arial"/>
                <w:sz w:val="24"/>
                <w:szCs w:val="24"/>
              </w:rPr>
              <w:t>(MAIN DIVISION)</w:t>
            </w:r>
          </w:p>
        </w:tc>
      </w:tr>
      <w:tr w:rsidR="00950676" w:rsidRPr="00DA4588" w:rsidTr="006B40FF">
        <w:trPr>
          <w:trHeight w:val="645"/>
        </w:trPr>
        <w:tc>
          <w:tcPr>
            <w:tcW w:w="5397" w:type="dxa"/>
            <w:gridSpan w:val="2"/>
            <w:vMerge w:val="restart"/>
          </w:tcPr>
          <w:p w:rsidR="00950676" w:rsidRPr="003F2084" w:rsidRDefault="00950676" w:rsidP="006B40FF">
            <w:pPr>
              <w:spacing w:line="360" w:lineRule="auto"/>
              <w:jc w:val="both"/>
              <w:rPr>
                <w:rFonts w:ascii="Arial Narrow" w:hAnsi="Arial Narrow" w:cs="Arial"/>
                <w:b/>
                <w:sz w:val="24"/>
                <w:szCs w:val="24"/>
              </w:rPr>
            </w:pPr>
            <w:r w:rsidRPr="003F2084">
              <w:rPr>
                <w:rFonts w:ascii="Arial Narrow" w:hAnsi="Arial Narrow" w:cs="Arial"/>
                <w:b/>
                <w:sz w:val="24"/>
                <w:szCs w:val="24"/>
              </w:rPr>
              <w:t>Heard before:</w:t>
            </w:r>
          </w:p>
          <w:p w:rsidR="00950676" w:rsidRPr="003F2084" w:rsidRDefault="00950676" w:rsidP="00CB2DD6">
            <w:pPr>
              <w:spacing w:after="0" w:line="360" w:lineRule="auto"/>
              <w:jc w:val="both"/>
              <w:rPr>
                <w:rFonts w:ascii="Arial Narrow" w:hAnsi="Arial Narrow" w:cs="Arial"/>
                <w:sz w:val="24"/>
                <w:szCs w:val="24"/>
              </w:rPr>
            </w:pPr>
            <w:r w:rsidRPr="003F2084">
              <w:rPr>
                <w:rFonts w:ascii="Arial Narrow" w:hAnsi="Arial Narrow" w:cs="Arial"/>
                <w:sz w:val="24"/>
                <w:szCs w:val="24"/>
              </w:rPr>
              <w:t>Honourable M</w:t>
            </w:r>
            <w:r w:rsidR="00294086" w:rsidRPr="003F2084">
              <w:rPr>
                <w:rFonts w:ascii="Arial Narrow" w:hAnsi="Arial Narrow" w:cs="Arial"/>
                <w:sz w:val="24"/>
                <w:szCs w:val="24"/>
              </w:rPr>
              <w:t>r</w:t>
            </w:r>
            <w:r w:rsidRPr="003F2084">
              <w:rPr>
                <w:rFonts w:ascii="Arial Narrow" w:hAnsi="Arial Narrow" w:cs="Arial"/>
                <w:sz w:val="24"/>
                <w:szCs w:val="24"/>
              </w:rPr>
              <w:t>s Justice Rakow</w:t>
            </w:r>
            <w:r w:rsidR="007B0F64" w:rsidRPr="003F2084">
              <w:rPr>
                <w:rFonts w:ascii="Arial Narrow" w:hAnsi="Arial Narrow" w:cs="Arial"/>
                <w:sz w:val="24"/>
                <w:szCs w:val="24"/>
              </w:rPr>
              <w:t>, AJ</w:t>
            </w:r>
          </w:p>
        </w:tc>
        <w:tc>
          <w:tcPr>
            <w:tcW w:w="4323" w:type="dxa"/>
          </w:tcPr>
          <w:p w:rsidR="00950676" w:rsidRPr="003F2084" w:rsidRDefault="00950676" w:rsidP="00CB2DD6">
            <w:pPr>
              <w:spacing w:after="0" w:line="360" w:lineRule="auto"/>
              <w:jc w:val="both"/>
              <w:rPr>
                <w:rFonts w:ascii="Arial Narrow" w:hAnsi="Arial Narrow" w:cs="Arial"/>
                <w:b/>
                <w:sz w:val="24"/>
                <w:szCs w:val="24"/>
              </w:rPr>
            </w:pPr>
            <w:r w:rsidRPr="003F2084">
              <w:rPr>
                <w:rFonts w:ascii="Arial Narrow" w:hAnsi="Arial Narrow" w:cs="Arial"/>
                <w:b/>
                <w:sz w:val="24"/>
                <w:szCs w:val="24"/>
              </w:rPr>
              <w:t>Date of hearing:</w:t>
            </w:r>
          </w:p>
          <w:p w:rsidR="00950676" w:rsidRPr="003F2084" w:rsidRDefault="00E173FF" w:rsidP="00CF5FB9">
            <w:pPr>
              <w:spacing w:after="0" w:line="360" w:lineRule="auto"/>
              <w:jc w:val="both"/>
              <w:rPr>
                <w:rFonts w:ascii="Arial Narrow" w:hAnsi="Arial Narrow" w:cs="Arial"/>
                <w:sz w:val="24"/>
                <w:szCs w:val="24"/>
              </w:rPr>
            </w:pPr>
            <w:r>
              <w:rPr>
                <w:rFonts w:ascii="Arial Narrow" w:hAnsi="Arial Narrow" w:cs="Arial"/>
                <w:sz w:val="24"/>
                <w:szCs w:val="24"/>
              </w:rPr>
              <w:t>9 July 2020</w:t>
            </w:r>
          </w:p>
        </w:tc>
      </w:tr>
      <w:tr w:rsidR="00950676" w:rsidRPr="00DA4588" w:rsidTr="006B40FF">
        <w:trPr>
          <w:trHeight w:val="588"/>
        </w:trPr>
        <w:tc>
          <w:tcPr>
            <w:tcW w:w="5397" w:type="dxa"/>
            <w:gridSpan w:val="2"/>
            <w:vMerge/>
          </w:tcPr>
          <w:p w:rsidR="00950676" w:rsidRPr="00DA4588" w:rsidRDefault="00950676" w:rsidP="006B40FF">
            <w:pPr>
              <w:spacing w:line="360" w:lineRule="auto"/>
              <w:jc w:val="both"/>
              <w:rPr>
                <w:rFonts w:ascii="Arial Narrow" w:hAnsi="Arial Narrow" w:cs="Arial"/>
                <w:b/>
                <w:sz w:val="24"/>
                <w:szCs w:val="24"/>
              </w:rPr>
            </w:pPr>
          </w:p>
        </w:tc>
        <w:tc>
          <w:tcPr>
            <w:tcW w:w="4323" w:type="dxa"/>
          </w:tcPr>
          <w:p w:rsidR="00950676" w:rsidRPr="00DA4588" w:rsidRDefault="00950676" w:rsidP="006B40FF">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950676" w:rsidRPr="00BA5B39" w:rsidRDefault="00E173FF" w:rsidP="00CF5FB9">
            <w:pPr>
              <w:spacing w:after="0" w:line="360" w:lineRule="auto"/>
              <w:jc w:val="both"/>
              <w:rPr>
                <w:rFonts w:ascii="Arial Narrow" w:hAnsi="Arial Narrow" w:cs="Arial"/>
                <w:sz w:val="24"/>
                <w:szCs w:val="24"/>
              </w:rPr>
            </w:pPr>
            <w:r>
              <w:rPr>
                <w:rFonts w:ascii="Arial Narrow" w:hAnsi="Arial Narrow" w:cs="Arial"/>
                <w:sz w:val="24"/>
                <w:szCs w:val="24"/>
              </w:rPr>
              <w:t>9 July 2020</w:t>
            </w:r>
          </w:p>
        </w:tc>
      </w:tr>
      <w:tr w:rsidR="00950676" w:rsidRPr="00DA4588" w:rsidTr="006B40FF">
        <w:tc>
          <w:tcPr>
            <w:tcW w:w="9720" w:type="dxa"/>
            <w:gridSpan w:val="3"/>
          </w:tcPr>
          <w:p w:rsidR="00950676" w:rsidRDefault="00950676" w:rsidP="00136FA0">
            <w:pPr>
              <w:pStyle w:val="form-control-static"/>
              <w:shd w:val="clear" w:color="auto" w:fill="FFFFFF"/>
              <w:spacing w:before="0" w:beforeAutospacing="0" w:after="0" w:afterAutospacing="0"/>
              <w:jc w:val="both"/>
              <w:rPr>
                <w:rFonts w:ascii="Arial Narrow" w:hAnsi="Arial Narrow" w:cs="Arial"/>
                <w:b/>
              </w:rPr>
            </w:pPr>
            <w:r w:rsidRPr="00DA4588">
              <w:rPr>
                <w:rFonts w:ascii="Arial Narrow" w:hAnsi="Arial Narrow" w:cs="Arial"/>
                <w:b/>
              </w:rPr>
              <w:t xml:space="preserve">Neutral citation: </w:t>
            </w:r>
          </w:p>
          <w:p w:rsidR="00136FA0" w:rsidRPr="00DA4588" w:rsidRDefault="00136FA0" w:rsidP="00136FA0">
            <w:pPr>
              <w:pStyle w:val="form-control-static"/>
              <w:shd w:val="clear" w:color="auto" w:fill="FFFFFF"/>
              <w:spacing w:before="0" w:beforeAutospacing="0" w:after="0" w:afterAutospacing="0"/>
              <w:jc w:val="both"/>
              <w:rPr>
                <w:rFonts w:ascii="Arial Narrow" w:hAnsi="Arial Narrow" w:cs="Arial"/>
              </w:rPr>
            </w:pPr>
          </w:p>
          <w:p w:rsidR="00950676" w:rsidRPr="0042520F" w:rsidRDefault="009E1213" w:rsidP="00E173FF">
            <w:pPr>
              <w:pStyle w:val="form-control-static"/>
              <w:shd w:val="clear" w:color="auto" w:fill="FFFFFF"/>
              <w:spacing w:before="0" w:beforeAutospacing="0" w:after="0"/>
              <w:jc w:val="both"/>
              <w:rPr>
                <w:rFonts w:ascii="Arial Narrow" w:hAnsi="Arial Narrow" w:cs="Arial"/>
                <w:i/>
                <w:lang w:val="en-GB"/>
              </w:rPr>
            </w:pPr>
            <w:r>
              <w:rPr>
                <w:rFonts w:ascii="Arial Narrow" w:hAnsi="Arial Narrow" w:cs="Arial"/>
                <w:i/>
                <w:lang w:val="en-ZA"/>
              </w:rPr>
              <w:t>Swakop</w:t>
            </w:r>
            <w:r w:rsidR="006E6756">
              <w:rPr>
                <w:rFonts w:ascii="Arial Narrow" w:hAnsi="Arial Narrow" w:cs="Arial"/>
                <w:i/>
                <w:lang w:val="en-ZA"/>
              </w:rPr>
              <w:t xml:space="preserve"> Uranium (Pty) Ltd v Lubbe</w:t>
            </w:r>
            <w:r w:rsidR="00136FA0">
              <w:rPr>
                <w:rFonts w:ascii="Arial Narrow" w:hAnsi="Arial Narrow" w:cs="Arial"/>
                <w:i/>
                <w:lang w:val="en-ZA"/>
              </w:rPr>
              <w:t xml:space="preserve"> </w:t>
            </w:r>
            <w:r w:rsidR="00950676" w:rsidRPr="00DA4588">
              <w:rPr>
                <w:rFonts w:ascii="Arial Narrow" w:hAnsi="Arial Narrow" w:cs="Arial"/>
              </w:rPr>
              <w:t>(</w:t>
            </w:r>
            <w:r w:rsidR="008E1BDB">
              <w:rPr>
                <w:rFonts w:ascii="Arial Narrow" w:hAnsi="Arial Narrow" w:cs="Arial"/>
                <w:lang w:val="en-ZA"/>
              </w:rPr>
              <w:t>HC-MD-CIV-ACT-</w:t>
            </w:r>
            <w:r w:rsidR="00CF5FB9">
              <w:rPr>
                <w:rFonts w:ascii="Arial Narrow" w:hAnsi="Arial Narrow" w:cs="Arial"/>
                <w:lang w:val="en-ZA"/>
              </w:rPr>
              <w:t>CON</w:t>
            </w:r>
            <w:r w:rsidR="008E1BDB">
              <w:rPr>
                <w:rFonts w:ascii="Arial Narrow" w:hAnsi="Arial Narrow" w:cs="Arial"/>
                <w:lang w:val="en-ZA"/>
              </w:rPr>
              <w:t>-201</w:t>
            </w:r>
            <w:r w:rsidR="009B0213">
              <w:rPr>
                <w:rFonts w:ascii="Arial Narrow" w:hAnsi="Arial Narrow" w:cs="Arial"/>
                <w:lang w:val="en-ZA"/>
              </w:rPr>
              <w:t>8</w:t>
            </w:r>
            <w:r w:rsidR="008E1BDB">
              <w:rPr>
                <w:rFonts w:ascii="Arial Narrow" w:hAnsi="Arial Narrow" w:cs="Arial"/>
                <w:lang w:val="en-ZA"/>
              </w:rPr>
              <w:t>/</w:t>
            </w:r>
            <w:r w:rsidR="00CF5FB9">
              <w:rPr>
                <w:rFonts w:ascii="Arial Narrow" w:hAnsi="Arial Narrow" w:cs="Arial"/>
                <w:lang w:val="en-ZA"/>
              </w:rPr>
              <w:t>04815</w:t>
            </w:r>
            <w:r w:rsidR="006E6756">
              <w:rPr>
                <w:rFonts w:ascii="Arial Narrow" w:hAnsi="Arial Narrow" w:cs="Arial"/>
                <w:lang w:val="en-ZA"/>
              </w:rPr>
              <w:t>)</w:t>
            </w:r>
            <w:r w:rsidR="009B0213">
              <w:rPr>
                <w:rFonts w:ascii="Arial Narrow" w:hAnsi="Arial Narrow" w:cs="Arial"/>
              </w:rPr>
              <w:t xml:space="preserve"> [2020</w:t>
            </w:r>
            <w:r w:rsidR="00950676">
              <w:rPr>
                <w:rFonts w:ascii="Arial Narrow" w:hAnsi="Arial Narrow" w:cs="Arial"/>
              </w:rPr>
              <w:t>] NAHC</w:t>
            </w:r>
            <w:r w:rsidR="007B0F64">
              <w:rPr>
                <w:rFonts w:ascii="Arial Narrow" w:hAnsi="Arial Narrow" w:cs="Arial"/>
              </w:rPr>
              <w:t xml:space="preserve">MD </w:t>
            </w:r>
            <w:r w:rsidR="006019E4">
              <w:rPr>
                <w:rFonts w:ascii="Arial Narrow" w:hAnsi="Arial Narrow" w:cs="Arial"/>
              </w:rPr>
              <w:t>281</w:t>
            </w:r>
            <w:r w:rsidR="00E173FF">
              <w:rPr>
                <w:rFonts w:ascii="Arial Narrow" w:hAnsi="Arial Narrow" w:cs="Arial"/>
              </w:rPr>
              <w:t xml:space="preserve"> </w:t>
            </w:r>
            <w:r w:rsidR="00950676" w:rsidRPr="00DA4588">
              <w:rPr>
                <w:rFonts w:ascii="Arial Narrow" w:hAnsi="Arial Narrow" w:cs="Arial"/>
              </w:rPr>
              <w:t>(</w:t>
            </w:r>
            <w:r w:rsidR="00E173FF">
              <w:rPr>
                <w:rFonts w:ascii="Arial Narrow" w:hAnsi="Arial Narrow" w:cs="Arial"/>
              </w:rPr>
              <w:t>9 July 2020</w:t>
            </w:r>
            <w:r w:rsidR="00950676">
              <w:rPr>
                <w:rFonts w:ascii="Arial Narrow" w:hAnsi="Arial Narrow" w:cs="Arial"/>
              </w:rPr>
              <w:t>)</w:t>
            </w:r>
          </w:p>
        </w:tc>
      </w:tr>
      <w:tr w:rsidR="00950676" w:rsidRPr="00DA4588" w:rsidTr="006B40FF">
        <w:tc>
          <w:tcPr>
            <w:tcW w:w="9720" w:type="dxa"/>
            <w:gridSpan w:val="3"/>
          </w:tcPr>
          <w:p w:rsidR="00950676" w:rsidRPr="00DA4588" w:rsidRDefault="00950676" w:rsidP="006B40FF">
            <w:pPr>
              <w:spacing w:line="360" w:lineRule="auto"/>
              <w:jc w:val="both"/>
              <w:rPr>
                <w:rFonts w:ascii="Arial Narrow" w:hAnsi="Arial Narrow" w:cs="Arial"/>
                <w:b/>
                <w:sz w:val="24"/>
                <w:szCs w:val="24"/>
              </w:rPr>
            </w:pPr>
            <w:r>
              <w:rPr>
                <w:rFonts w:ascii="Arial Narrow" w:hAnsi="Arial Narrow" w:cs="Arial"/>
                <w:sz w:val="24"/>
                <w:szCs w:val="24"/>
              </w:rPr>
              <w:t>Having read the record of proceedings as well as submissions ma</w:t>
            </w:r>
            <w:r w:rsidR="007B0F64">
              <w:rPr>
                <w:rFonts w:ascii="Arial Narrow" w:hAnsi="Arial Narrow" w:cs="Arial"/>
                <w:sz w:val="24"/>
                <w:szCs w:val="24"/>
              </w:rPr>
              <w:t>de by counsels for the applicants</w:t>
            </w:r>
            <w:r>
              <w:rPr>
                <w:rFonts w:ascii="Arial Narrow" w:hAnsi="Arial Narrow" w:cs="Arial"/>
                <w:sz w:val="24"/>
                <w:szCs w:val="24"/>
              </w:rPr>
              <w:t xml:space="preserve"> and the respondent:</w:t>
            </w:r>
          </w:p>
          <w:p w:rsidR="00950676" w:rsidRPr="003F2084" w:rsidRDefault="00950676" w:rsidP="006B40FF">
            <w:pPr>
              <w:spacing w:line="360" w:lineRule="auto"/>
              <w:jc w:val="both"/>
              <w:rPr>
                <w:rFonts w:ascii="Arial Narrow" w:hAnsi="Arial Narrow" w:cs="Arial"/>
                <w:b/>
                <w:sz w:val="24"/>
                <w:szCs w:val="24"/>
              </w:rPr>
            </w:pPr>
            <w:r w:rsidRPr="003F2084">
              <w:rPr>
                <w:rFonts w:ascii="Arial Narrow" w:hAnsi="Arial Narrow" w:cs="Arial"/>
                <w:b/>
                <w:sz w:val="24"/>
                <w:szCs w:val="24"/>
              </w:rPr>
              <w:t>IT IS HEREBY ORDERED THAT:</w:t>
            </w:r>
          </w:p>
          <w:p w:rsidR="00136FA0" w:rsidRPr="00251DCA" w:rsidRDefault="00251DCA" w:rsidP="00E173FF">
            <w:pPr>
              <w:pStyle w:val="NoSpacing"/>
              <w:spacing w:line="360" w:lineRule="auto"/>
              <w:jc w:val="both"/>
              <w:rPr>
                <w:rFonts w:ascii="Arial Narrow" w:hAnsi="Arial Narrow"/>
                <w:color w:val="auto"/>
                <w:sz w:val="24"/>
                <w:lang w:val="af-ZA"/>
              </w:rPr>
            </w:pPr>
            <w:r>
              <w:rPr>
                <w:rFonts w:ascii="Arial Narrow" w:hAnsi="Arial Narrow"/>
                <w:color w:val="auto"/>
                <w:sz w:val="24"/>
                <w:lang w:val="af-ZA"/>
              </w:rPr>
              <w:t xml:space="preserve">a)      </w:t>
            </w:r>
            <w:r w:rsidR="00764F26">
              <w:rPr>
                <w:rFonts w:ascii="Arial Narrow" w:hAnsi="Arial Narrow"/>
                <w:color w:val="auto"/>
                <w:sz w:val="24"/>
                <w:lang w:val="af-ZA"/>
              </w:rPr>
              <w:t xml:space="preserve">     </w:t>
            </w:r>
            <w:r w:rsidR="00E173FF">
              <w:rPr>
                <w:rFonts w:ascii="Arial Narrow" w:hAnsi="Arial Narrow"/>
                <w:color w:val="auto"/>
                <w:sz w:val="24"/>
                <w:lang w:val="af-ZA"/>
              </w:rPr>
              <w:t>Leave to appeal is herewith granted</w:t>
            </w:r>
          </w:p>
        </w:tc>
      </w:tr>
      <w:tr w:rsidR="00950676" w:rsidRPr="00DA4588" w:rsidTr="006B40FF">
        <w:tc>
          <w:tcPr>
            <w:tcW w:w="9720" w:type="dxa"/>
            <w:gridSpan w:val="3"/>
          </w:tcPr>
          <w:p w:rsidR="00950676" w:rsidRPr="00DA4588" w:rsidRDefault="00FA59C0" w:rsidP="006B40FF">
            <w:pPr>
              <w:spacing w:line="360" w:lineRule="auto"/>
              <w:jc w:val="both"/>
              <w:rPr>
                <w:rFonts w:ascii="Arial Narrow" w:hAnsi="Arial Narrow" w:cs="Arial"/>
                <w:b/>
                <w:sz w:val="24"/>
                <w:szCs w:val="24"/>
              </w:rPr>
            </w:pPr>
            <w:r>
              <w:rPr>
                <w:rFonts w:ascii="Arial Narrow" w:hAnsi="Arial Narrow" w:cs="Arial"/>
                <w:b/>
                <w:sz w:val="24"/>
                <w:szCs w:val="24"/>
              </w:rPr>
              <w:t>Reasons for order</w:t>
            </w:r>
            <w:r w:rsidR="00950676" w:rsidRPr="00DA4588">
              <w:rPr>
                <w:rFonts w:ascii="Arial Narrow" w:hAnsi="Arial Narrow" w:cs="Arial"/>
                <w:b/>
                <w:sz w:val="24"/>
                <w:szCs w:val="24"/>
              </w:rPr>
              <w:t>:</w:t>
            </w:r>
          </w:p>
        </w:tc>
      </w:tr>
      <w:tr w:rsidR="00950676" w:rsidRPr="00DA4588" w:rsidTr="006B40FF">
        <w:tc>
          <w:tcPr>
            <w:tcW w:w="9720" w:type="dxa"/>
            <w:gridSpan w:val="3"/>
          </w:tcPr>
          <w:p w:rsidR="00B6047C" w:rsidRDefault="00396E53" w:rsidP="006B40FF">
            <w:pPr>
              <w:spacing w:after="0" w:line="360" w:lineRule="auto"/>
              <w:jc w:val="both"/>
              <w:rPr>
                <w:rFonts w:ascii="Arial Narrow" w:hAnsi="Arial Narrow"/>
                <w:sz w:val="24"/>
                <w:szCs w:val="24"/>
                <w:u w:val="single"/>
                <w:lang w:val="af-ZA"/>
              </w:rPr>
            </w:pPr>
            <w:r w:rsidRPr="00F5563C">
              <w:rPr>
                <w:rFonts w:ascii="Arial Narrow" w:hAnsi="Arial Narrow"/>
                <w:sz w:val="24"/>
                <w:szCs w:val="24"/>
                <w:u w:val="single"/>
                <w:lang w:val="af-ZA"/>
              </w:rPr>
              <w:t>Background</w:t>
            </w:r>
          </w:p>
          <w:p w:rsidR="009804C2" w:rsidRPr="00F5563C" w:rsidRDefault="009804C2" w:rsidP="006B40FF">
            <w:pPr>
              <w:spacing w:after="0" w:line="360" w:lineRule="auto"/>
              <w:jc w:val="both"/>
              <w:rPr>
                <w:rFonts w:ascii="Arial Narrow" w:hAnsi="Arial Narrow"/>
                <w:sz w:val="24"/>
                <w:szCs w:val="24"/>
                <w:u w:val="single"/>
                <w:lang w:val="af-ZA"/>
              </w:rPr>
            </w:pPr>
          </w:p>
          <w:p w:rsidR="00F5563C" w:rsidRPr="00F5563C" w:rsidRDefault="00F5563C" w:rsidP="00F5563C">
            <w:pPr>
              <w:spacing w:after="0" w:line="360" w:lineRule="auto"/>
              <w:jc w:val="both"/>
              <w:rPr>
                <w:rFonts w:ascii="Arial Narrow" w:hAnsi="Arial Narrow"/>
                <w:sz w:val="24"/>
                <w:szCs w:val="24"/>
                <w:lang w:val="af-ZA"/>
              </w:rPr>
            </w:pPr>
            <w:r w:rsidRPr="00F5563C">
              <w:rPr>
                <w:rFonts w:ascii="Arial Narrow" w:hAnsi="Arial Narrow"/>
                <w:sz w:val="24"/>
                <w:szCs w:val="24"/>
                <w:lang w:val="af-ZA"/>
              </w:rPr>
              <w:t xml:space="preserve">[1]     The </w:t>
            </w:r>
            <w:r w:rsidR="00E173FF">
              <w:rPr>
                <w:rFonts w:ascii="Arial Narrow" w:hAnsi="Arial Narrow"/>
                <w:sz w:val="24"/>
                <w:szCs w:val="24"/>
                <w:lang w:val="af-ZA"/>
              </w:rPr>
              <w:t>Applicant</w:t>
            </w:r>
            <w:r w:rsidRPr="00F5563C">
              <w:rPr>
                <w:rFonts w:ascii="Arial Narrow" w:hAnsi="Arial Narrow"/>
                <w:sz w:val="24"/>
                <w:szCs w:val="24"/>
                <w:lang w:val="af-ZA"/>
              </w:rPr>
              <w:t xml:space="preserve"> in this matte</w:t>
            </w:r>
            <w:r w:rsidR="009804C2">
              <w:rPr>
                <w:rFonts w:ascii="Arial Narrow" w:hAnsi="Arial Narrow"/>
                <w:sz w:val="24"/>
                <w:szCs w:val="24"/>
                <w:lang w:val="af-ZA"/>
              </w:rPr>
              <w:t>r is Swakop Uranium (Pty) Ltd,</w:t>
            </w:r>
            <w:r w:rsidRPr="00F5563C">
              <w:rPr>
                <w:rFonts w:ascii="Arial Narrow" w:hAnsi="Arial Narrow"/>
                <w:sz w:val="24"/>
                <w:szCs w:val="24"/>
                <w:lang w:val="af-ZA"/>
              </w:rPr>
              <w:t xml:space="preserve"> a com</w:t>
            </w:r>
            <w:r w:rsidR="00830264">
              <w:rPr>
                <w:rFonts w:ascii="Arial Narrow" w:hAnsi="Arial Narrow"/>
                <w:sz w:val="24"/>
                <w:szCs w:val="24"/>
                <w:lang w:val="af-ZA"/>
              </w:rPr>
              <w:t>pany with limited liability, du</w:t>
            </w:r>
            <w:r w:rsidRPr="00F5563C">
              <w:rPr>
                <w:rFonts w:ascii="Arial Narrow" w:hAnsi="Arial Narrow"/>
                <w:sz w:val="24"/>
                <w:szCs w:val="24"/>
                <w:lang w:val="af-ZA"/>
              </w:rPr>
              <w:t>ly incorporated in terms of the laws of Namibia.  The</w:t>
            </w:r>
            <w:r w:rsidR="00830264">
              <w:rPr>
                <w:rFonts w:ascii="Arial Narrow" w:hAnsi="Arial Narrow"/>
                <w:sz w:val="24"/>
                <w:szCs w:val="24"/>
                <w:lang w:val="af-ZA"/>
              </w:rPr>
              <w:t xml:space="preserve"> applicat</w:t>
            </w:r>
            <w:r w:rsidR="00FA59C0">
              <w:rPr>
                <w:rFonts w:ascii="Arial Narrow" w:hAnsi="Arial Narrow"/>
                <w:sz w:val="24"/>
                <w:szCs w:val="24"/>
                <w:lang w:val="af-ZA"/>
              </w:rPr>
              <w:t xml:space="preserve">ion for leave to appeal relates to an order of this court upholding a </w:t>
            </w:r>
            <w:r w:rsidRPr="00F5563C">
              <w:rPr>
                <w:rFonts w:ascii="Arial Narrow" w:hAnsi="Arial Narrow"/>
                <w:sz w:val="24"/>
                <w:szCs w:val="24"/>
                <w:lang w:val="af-ZA"/>
              </w:rPr>
              <w:t xml:space="preserve">special plea </w:t>
            </w:r>
            <w:r w:rsidR="00FA59C0">
              <w:rPr>
                <w:rFonts w:ascii="Arial Narrow" w:hAnsi="Arial Narrow"/>
                <w:sz w:val="24"/>
                <w:szCs w:val="24"/>
                <w:lang w:val="af-ZA"/>
              </w:rPr>
              <w:t>which was</w:t>
            </w:r>
            <w:r w:rsidR="009804C2">
              <w:rPr>
                <w:rFonts w:ascii="Arial Narrow" w:hAnsi="Arial Narrow"/>
                <w:sz w:val="24"/>
                <w:szCs w:val="24"/>
                <w:lang w:val="af-ZA"/>
              </w:rPr>
              <w:t xml:space="preserve"> raised by the </w:t>
            </w:r>
            <w:r w:rsidR="00FA59C0">
              <w:rPr>
                <w:rFonts w:ascii="Arial Narrow" w:hAnsi="Arial Narrow"/>
                <w:sz w:val="24"/>
                <w:szCs w:val="24"/>
                <w:lang w:val="af-ZA"/>
              </w:rPr>
              <w:t>Respondent,</w:t>
            </w:r>
            <w:r w:rsidRPr="00764F26">
              <w:rPr>
                <w:rFonts w:ascii="Arial Narrow" w:hAnsi="Arial Narrow"/>
                <w:sz w:val="24"/>
                <w:szCs w:val="24"/>
                <w:lang w:val="af-ZA"/>
              </w:rPr>
              <w:t xml:space="preserve"> </w:t>
            </w:r>
            <w:r w:rsidRPr="00F5563C">
              <w:rPr>
                <w:rFonts w:ascii="Arial Narrow" w:hAnsi="Arial Narrow"/>
                <w:sz w:val="24"/>
                <w:szCs w:val="24"/>
                <w:lang w:val="af-ZA"/>
              </w:rPr>
              <w:t>who is an adult male and the sole member of Rensburg Motor Sales CC</w:t>
            </w:r>
            <w:r w:rsidR="009804C2">
              <w:rPr>
                <w:rFonts w:ascii="Arial Narrow" w:hAnsi="Arial Narrow"/>
                <w:sz w:val="24"/>
                <w:szCs w:val="24"/>
                <w:lang w:val="af-ZA"/>
              </w:rPr>
              <w:t>,</w:t>
            </w:r>
            <w:r w:rsidRPr="00F5563C">
              <w:rPr>
                <w:rFonts w:ascii="Arial Narrow" w:hAnsi="Arial Narrow"/>
                <w:sz w:val="24"/>
                <w:szCs w:val="24"/>
                <w:lang w:val="af-ZA"/>
              </w:rPr>
              <w:t xml:space="preserve"> previously known as Lubbe Motor Group CC, who is currently represented by Ian Robert Mc Laren of Bruni &amp; Mc Laren, duly appointed liquidators of Rensburg Moror Sale</w:t>
            </w:r>
            <w:r w:rsidR="009804C2">
              <w:rPr>
                <w:rFonts w:ascii="Arial Narrow" w:hAnsi="Arial Narrow"/>
                <w:sz w:val="24"/>
                <w:szCs w:val="24"/>
                <w:lang w:val="af-ZA"/>
              </w:rPr>
              <w:t xml:space="preserve">s CC, who is then also the 1st </w:t>
            </w:r>
            <w:r w:rsidR="009804C2" w:rsidRPr="00FA59C0">
              <w:rPr>
                <w:rFonts w:ascii="Arial Narrow" w:hAnsi="Arial Narrow"/>
                <w:sz w:val="24"/>
                <w:szCs w:val="24"/>
                <w:lang w:val="af-ZA"/>
              </w:rPr>
              <w:t>D</w:t>
            </w:r>
            <w:r w:rsidRPr="00FA59C0">
              <w:rPr>
                <w:rFonts w:ascii="Arial Narrow" w:hAnsi="Arial Narrow"/>
                <w:sz w:val="24"/>
                <w:szCs w:val="24"/>
                <w:lang w:val="af-ZA"/>
              </w:rPr>
              <w:t>efendant in the main action.</w:t>
            </w:r>
            <w:r w:rsidR="00FA59C0">
              <w:rPr>
                <w:rFonts w:ascii="Arial Narrow" w:hAnsi="Arial Narrow"/>
                <w:sz w:val="24"/>
                <w:szCs w:val="24"/>
                <w:lang w:val="af-ZA"/>
              </w:rPr>
              <w:t xml:space="preserve">  This application for leave to appeal is not opposed by Mr. Lubbe.</w:t>
            </w:r>
          </w:p>
          <w:p w:rsidR="00F5563C" w:rsidRPr="00F5563C" w:rsidRDefault="00F5563C" w:rsidP="00F5563C">
            <w:pPr>
              <w:spacing w:after="0" w:line="360" w:lineRule="auto"/>
              <w:jc w:val="both"/>
              <w:rPr>
                <w:rFonts w:ascii="Arial Narrow" w:hAnsi="Arial Narrow"/>
                <w:sz w:val="24"/>
                <w:szCs w:val="24"/>
                <w:lang w:val="af-ZA"/>
              </w:rPr>
            </w:pPr>
          </w:p>
          <w:p w:rsidR="00F5563C" w:rsidRPr="00F5563C" w:rsidRDefault="00764F26" w:rsidP="00F5563C">
            <w:pPr>
              <w:spacing w:after="0" w:line="360" w:lineRule="auto"/>
              <w:jc w:val="both"/>
              <w:rPr>
                <w:rFonts w:ascii="Arial Narrow" w:hAnsi="Arial Narrow"/>
                <w:sz w:val="24"/>
                <w:szCs w:val="24"/>
                <w:lang w:val="af-ZA"/>
              </w:rPr>
            </w:pPr>
            <w:r>
              <w:rPr>
                <w:rFonts w:ascii="Arial Narrow" w:hAnsi="Arial Narrow"/>
                <w:sz w:val="24"/>
                <w:szCs w:val="24"/>
                <w:lang w:val="af-ZA"/>
              </w:rPr>
              <w:t xml:space="preserve">[2]    </w:t>
            </w:r>
            <w:r w:rsidR="00F5563C" w:rsidRPr="00F5563C">
              <w:rPr>
                <w:rFonts w:ascii="Arial Narrow" w:hAnsi="Arial Narrow"/>
                <w:sz w:val="24"/>
                <w:szCs w:val="24"/>
                <w:lang w:val="af-ZA"/>
              </w:rPr>
              <w:t xml:space="preserve">The averment in the particulars of claim is that the </w:t>
            </w:r>
            <w:r w:rsidR="00FA59C0">
              <w:rPr>
                <w:rFonts w:ascii="Arial Narrow" w:hAnsi="Arial Narrow"/>
                <w:sz w:val="24"/>
                <w:szCs w:val="24"/>
                <w:lang w:val="af-ZA"/>
              </w:rPr>
              <w:t>Applicant/Defendant</w:t>
            </w:r>
            <w:r w:rsidR="00F5563C" w:rsidRPr="00F5563C">
              <w:rPr>
                <w:rFonts w:ascii="Arial Narrow" w:hAnsi="Arial Narrow"/>
                <w:sz w:val="24"/>
                <w:szCs w:val="24"/>
                <w:lang w:val="af-ZA"/>
              </w:rPr>
              <w:t>, represented by Kallie le Roux and/or Gerson Katjiangua</w:t>
            </w:r>
            <w:r w:rsidR="009804C2">
              <w:rPr>
                <w:rFonts w:ascii="Arial Narrow" w:hAnsi="Arial Narrow"/>
                <w:sz w:val="24"/>
                <w:szCs w:val="24"/>
                <w:lang w:val="af-ZA"/>
              </w:rPr>
              <w:t>,</w:t>
            </w:r>
            <w:r w:rsidR="00F5563C" w:rsidRPr="00F5563C">
              <w:rPr>
                <w:rFonts w:ascii="Arial Narrow" w:hAnsi="Arial Narrow"/>
                <w:sz w:val="24"/>
                <w:szCs w:val="24"/>
                <w:lang w:val="af-ZA"/>
              </w:rPr>
              <w:t xml:space="preserve"> purchased a forklift from </w:t>
            </w:r>
            <w:r w:rsidR="00F5563C" w:rsidRPr="00764F26">
              <w:rPr>
                <w:rFonts w:ascii="Arial Narrow" w:hAnsi="Arial Narrow"/>
                <w:sz w:val="24"/>
                <w:szCs w:val="24"/>
                <w:lang w:val="af-ZA"/>
              </w:rPr>
              <w:t>Lubbe Mo</w:t>
            </w:r>
            <w:r w:rsidR="009804C2" w:rsidRPr="00764F26">
              <w:rPr>
                <w:rFonts w:ascii="Arial Narrow" w:hAnsi="Arial Narrow"/>
                <w:sz w:val="24"/>
                <w:szCs w:val="24"/>
                <w:lang w:val="af-ZA"/>
              </w:rPr>
              <w:t>tor Group CC for the amount of N</w:t>
            </w:r>
            <w:r w:rsidR="00F5563C" w:rsidRPr="00764F26">
              <w:rPr>
                <w:rFonts w:ascii="Arial Narrow" w:hAnsi="Arial Narrow"/>
                <w:sz w:val="24"/>
                <w:szCs w:val="24"/>
                <w:lang w:val="af-ZA"/>
              </w:rPr>
              <w:t xml:space="preserve">$763 </w:t>
            </w:r>
            <w:r w:rsidR="00F5563C" w:rsidRPr="00F5563C">
              <w:rPr>
                <w:rFonts w:ascii="Arial Narrow" w:hAnsi="Arial Narrow"/>
                <w:sz w:val="24"/>
                <w:szCs w:val="24"/>
                <w:lang w:val="af-ZA"/>
              </w:rPr>
              <w:t>770.26 during December 2016 from the 1st Defendant who was represented by the 2nd Defendant</w:t>
            </w:r>
            <w:r w:rsidR="009804C2">
              <w:rPr>
                <w:rFonts w:ascii="Arial Narrow" w:hAnsi="Arial Narrow"/>
                <w:sz w:val="24"/>
                <w:szCs w:val="24"/>
                <w:lang w:val="af-ZA"/>
              </w:rPr>
              <w:t>,</w:t>
            </w:r>
            <w:r w:rsidR="00F5563C" w:rsidRPr="00F5563C">
              <w:rPr>
                <w:rFonts w:ascii="Arial Narrow" w:hAnsi="Arial Narrow"/>
                <w:sz w:val="24"/>
                <w:szCs w:val="24"/>
                <w:lang w:val="af-ZA"/>
              </w:rPr>
              <w:t xml:space="preserve"> Ettienne Gerhard </w:t>
            </w:r>
            <w:r w:rsidR="00F5563C" w:rsidRPr="00F5563C">
              <w:rPr>
                <w:rFonts w:ascii="Arial Narrow" w:hAnsi="Arial Narrow"/>
                <w:sz w:val="24"/>
                <w:szCs w:val="24"/>
                <w:lang w:val="af-ZA"/>
              </w:rPr>
              <w:lastRenderedPageBreak/>
              <w:t>Lubbe (Lubbe).  The Plaintiff then realized that the forklift was not suitable for the purpose it was purchased and on or about the 13th of October 2017</w:t>
            </w:r>
            <w:r w:rsidR="009804C2">
              <w:rPr>
                <w:rFonts w:ascii="Arial Narrow" w:hAnsi="Arial Narrow"/>
                <w:sz w:val="24"/>
                <w:szCs w:val="24"/>
                <w:lang w:val="af-ZA"/>
              </w:rPr>
              <w:t>,</w:t>
            </w:r>
            <w:r w:rsidR="00F5563C" w:rsidRPr="00F5563C">
              <w:rPr>
                <w:rFonts w:ascii="Arial Narrow" w:hAnsi="Arial Narrow"/>
                <w:sz w:val="24"/>
                <w:szCs w:val="24"/>
                <w:lang w:val="af-ZA"/>
              </w:rPr>
              <w:t xml:space="preserve"> they entered into an agreement with Lubbe Motor Group CC represented by Lubbe in that it would purchase another forklift from them, an Aisle Master forklift for the amount of N$1 245 763.93 and that the previous forklift will </w:t>
            </w:r>
            <w:r w:rsidR="00F5563C" w:rsidRPr="00764F26">
              <w:rPr>
                <w:rFonts w:ascii="Arial Narrow" w:hAnsi="Arial Narrow"/>
                <w:sz w:val="24"/>
                <w:szCs w:val="24"/>
                <w:lang w:val="af-ZA"/>
              </w:rPr>
              <w:t>be returned to Lubbe motor Group CC and the purchase amount of the previous forklift would be utilized as part payme</w:t>
            </w:r>
            <w:r w:rsidR="009804C2" w:rsidRPr="00764F26">
              <w:rPr>
                <w:rFonts w:ascii="Arial Narrow" w:hAnsi="Arial Narrow"/>
                <w:sz w:val="24"/>
                <w:szCs w:val="24"/>
                <w:lang w:val="af-ZA"/>
              </w:rPr>
              <w:t>nt for the new forklift, to wit</w:t>
            </w:r>
            <w:r w:rsidR="00F5563C" w:rsidRPr="00764F26">
              <w:rPr>
                <w:rFonts w:ascii="Arial Narrow" w:hAnsi="Arial Narrow"/>
                <w:sz w:val="24"/>
                <w:szCs w:val="24"/>
                <w:lang w:val="af-ZA"/>
              </w:rPr>
              <w:t xml:space="preserve"> N</w:t>
            </w:r>
            <w:r w:rsidR="00F5563C" w:rsidRPr="00F5563C">
              <w:rPr>
                <w:rFonts w:ascii="Arial Narrow" w:hAnsi="Arial Narrow"/>
                <w:sz w:val="24"/>
                <w:szCs w:val="24"/>
                <w:lang w:val="af-ZA"/>
              </w:rPr>
              <w:t>$763 770,26.  The new forklift was however never delivered by the Lubbe Motor Group CC and it is therefore indebted to the Plaintiff in the amount of N$763 770</w:t>
            </w:r>
            <w:r w:rsidR="00FA59C0">
              <w:rPr>
                <w:rFonts w:ascii="Arial Narrow" w:hAnsi="Arial Narrow"/>
                <w:sz w:val="24"/>
                <w:szCs w:val="24"/>
                <w:lang w:val="af-ZA"/>
              </w:rPr>
              <w:t xml:space="preserve">.26 which they </w:t>
            </w:r>
            <w:r w:rsidR="00F5563C" w:rsidRPr="00F5563C">
              <w:rPr>
                <w:rFonts w:ascii="Arial Narrow" w:hAnsi="Arial Narrow"/>
                <w:sz w:val="24"/>
                <w:szCs w:val="24"/>
                <w:lang w:val="af-ZA"/>
              </w:rPr>
              <w:t>seek to recover.</w:t>
            </w:r>
          </w:p>
          <w:p w:rsidR="00F5563C" w:rsidRPr="00F5563C" w:rsidRDefault="00F5563C" w:rsidP="00F5563C">
            <w:pPr>
              <w:spacing w:after="0" w:line="360" w:lineRule="auto"/>
              <w:jc w:val="both"/>
              <w:rPr>
                <w:rFonts w:ascii="Arial Narrow" w:hAnsi="Arial Narrow"/>
                <w:sz w:val="24"/>
                <w:szCs w:val="24"/>
                <w:lang w:val="af-ZA"/>
              </w:rPr>
            </w:pPr>
          </w:p>
          <w:p w:rsidR="00C217BB" w:rsidRDefault="00764F26" w:rsidP="00C217BB">
            <w:pPr>
              <w:spacing w:after="0" w:line="360" w:lineRule="auto"/>
              <w:jc w:val="both"/>
              <w:rPr>
                <w:rFonts w:ascii="Arial Narrow" w:hAnsi="Arial Narrow"/>
                <w:sz w:val="24"/>
                <w:szCs w:val="24"/>
                <w:lang w:val="af-ZA"/>
              </w:rPr>
            </w:pPr>
            <w:r>
              <w:rPr>
                <w:rFonts w:ascii="Arial Narrow" w:hAnsi="Arial Narrow"/>
                <w:sz w:val="24"/>
                <w:szCs w:val="24"/>
                <w:lang w:val="af-ZA"/>
              </w:rPr>
              <w:t xml:space="preserve">[3]    </w:t>
            </w:r>
            <w:r w:rsidR="00F5563C" w:rsidRPr="00F5563C">
              <w:rPr>
                <w:rFonts w:ascii="Arial Narrow" w:hAnsi="Arial Narrow"/>
                <w:sz w:val="24"/>
                <w:szCs w:val="24"/>
                <w:lang w:val="af-ZA"/>
              </w:rPr>
              <w:t>To these allegations</w:t>
            </w:r>
            <w:r w:rsidR="00F46C92">
              <w:rPr>
                <w:rFonts w:ascii="Arial Narrow" w:hAnsi="Arial Narrow"/>
                <w:sz w:val="24"/>
                <w:szCs w:val="24"/>
                <w:lang w:val="af-ZA"/>
              </w:rPr>
              <w:t>,</w:t>
            </w:r>
            <w:r w:rsidR="00F5563C" w:rsidRPr="00F5563C">
              <w:rPr>
                <w:rFonts w:ascii="Arial Narrow" w:hAnsi="Arial Narrow"/>
                <w:sz w:val="24"/>
                <w:szCs w:val="24"/>
                <w:lang w:val="af-ZA"/>
              </w:rPr>
              <w:t xml:space="preserve"> the 2nd Defendant, Lubbe</w:t>
            </w:r>
            <w:r w:rsidR="00F46C92">
              <w:rPr>
                <w:rFonts w:ascii="Arial Narrow" w:hAnsi="Arial Narrow"/>
                <w:sz w:val="24"/>
                <w:szCs w:val="24"/>
                <w:lang w:val="af-ZA"/>
              </w:rPr>
              <w:t>,</w:t>
            </w:r>
            <w:r w:rsidR="00C217BB">
              <w:rPr>
                <w:rFonts w:ascii="Arial Narrow" w:hAnsi="Arial Narrow"/>
                <w:sz w:val="24"/>
                <w:szCs w:val="24"/>
                <w:lang w:val="af-ZA"/>
              </w:rPr>
              <w:t xml:space="preserve"> </w:t>
            </w:r>
            <w:r w:rsidR="00F5563C" w:rsidRPr="00F5563C">
              <w:rPr>
                <w:rFonts w:ascii="Arial Narrow" w:hAnsi="Arial Narrow"/>
                <w:sz w:val="24"/>
                <w:szCs w:val="24"/>
                <w:lang w:val="af-ZA"/>
              </w:rPr>
              <w:t>filed a special plea indicating that he never signed surety for the debts incurred by Lubbe Motor Group CC, which is now in liquidation and therefore, unless the corporate veil is pierced, cannot be held personal</w:t>
            </w:r>
            <w:r w:rsidR="00FA59C0">
              <w:rPr>
                <w:rFonts w:ascii="Arial Narrow" w:hAnsi="Arial Narrow"/>
                <w:sz w:val="24"/>
                <w:szCs w:val="24"/>
                <w:lang w:val="af-ZA"/>
              </w:rPr>
              <w:t>ly liable for such debts</w:t>
            </w:r>
            <w:r w:rsidR="00C217BB">
              <w:rPr>
                <w:rFonts w:ascii="Arial Narrow" w:hAnsi="Arial Narrow"/>
                <w:sz w:val="24"/>
                <w:szCs w:val="24"/>
                <w:lang w:val="af-ZA"/>
              </w:rPr>
              <w:t>. A</w:t>
            </w:r>
            <w:r w:rsidR="00FA59C0">
              <w:rPr>
                <w:rFonts w:ascii="Arial Narrow" w:hAnsi="Arial Narrow"/>
                <w:sz w:val="24"/>
                <w:szCs w:val="24"/>
                <w:lang w:val="af-ZA"/>
              </w:rPr>
              <w:t>s the Plaintiff did not approach this court</w:t>
            </w:r>
            <w:r w:rsidR="00C217BB">
              <w:rPr>
                <w:rFonts w:ascii="Arial Narrow" w:hAnsi="Arial Narrow"/>
                <w:sz w:val="24"/>
                <w:szCs w:val="24"/>
                <w:lang w:val="af-ZA"/>
              </w:rPr>
              <w:t>,</w:t>
            </w:r>
            <w:r w:rsidR="00FA59C0">
              <w:rPr>
                <w:rFonts w:ascii="Arial Narrow" w:hAnsi="Arial Narrow"/>
                <w:sz w:val="24"/>
                <w:szCs w:val="24"/>
                <w:lang w:val="af-ZA"/>
              </w:rPr>
              <w:t xml:space="preserve"> upon application</w:t>
            </w:r>
            <w:r w:rsidR="00C217BB">
              <w:rPr>
                <w:rFonts w:ascii="Arial Narrow" w:hAnsi="Arial Narrow"/>
                <w:sz w:val="24"/>
                <w:szCs w:val="24"/>
                <w:lang w:val="af-ZA"/>
              </w:rPr>
              <w:t>,</w:t>
            </w:r>
            <w:r w:rsidR="00FA59C0">
              <w:rPr>
                <w:rFonts w:ascii="Arial Narrow" w:hAnsi="Arial Narrow"/>
                <w:sz w:val="24"/>
                <w:szCs w:val="24"/>
                <w:lang w:val="af-ZA"/>
              </w:rPr>
              <w:t xml:space="preserve"> seeking an order specifically </w:t>
            </w:r>
            <w:r w:rsidR="00C217BB">
              <w:rPr>
                <w:rFonts w:ascii="Arial Narrow" w:hAnsi="Arial Narrow"/>
                <w:sz w:val="24"/>
                <w:szCs w:val="24"/>
                <w:lang w:val="af-ZA"/>
              </w:rPr>
              <w:t xml:space="preserve">granting relief in terms of the provisions of Section 64 of the </w:t>
            </w:r>
            <w:r w:rsidR="00C217BB" w:rsidRPr="00700664">
              <w:rPr>
                <w:rFonts w:ascii="Arial Narrow" w:hAnsi="Arial Narrow"/>
                <w:lang w:val="af-ZA"/>
              </w:rPr>
              <w:t>Close Corporations Act</w:t>
            </w:r>
            <w:r w:rsidR="00C217BB">
              <w:rPr>
                <w:rFonts w:ascii="Arial Narrow" w:hAnsi="Arial Narrow"/>
                <w:lang w:val="af-ZA"/>
              </w:rPr>
              <w:t xml:space="preserve">, </w:t>
            </w:r>
            <w:r w:rsidR="00C217BB" w:rsidRPr="00700664">
              <w:rPr>
                <w:rFonts w:ascii="Arial Narrow" w:hAnsi="Arial Narrow"/>
                <w:lang w:val="af-ZA"/>
              </w:rPr>
              <w:t xml:space="preserve"> 26 of 1988</w:t>
            </w:r>
            <w:r w:rsidR="00C217BB">
              <w:rPr>
                <w:rFonts w:ascii="Arial Narrow" w:hAnsi="Arial Narrow"/>
                <w:lang w:val="af-ZA"/>
              </w:rPr>
              <w:t xml:space="preserve"> for piercing the corporate veil, the Plaintiff’s claim against the 2nd Defendant in his personal capacity should be dismissed.</w:t>
            </w:r>
          </w:p>
          <w:p w:rsidR="00C217BB" w:rsidRDefault="00C217BB" w:rsidP="00C217BB">
            <w:pPr>
              <w:spacing w:after="0" w:line="360" w:lineRule="auto"/>
              <w:jc w:val="both"/>
              <w:rPr>
                <w:rFonts w:ascii="Arial Narrow" w:hAnsi="Arial Narrow"/>
                <w:sz w:val="24"/>
                <w:szCs w:val="24"/>
                <w:lang w:val="af-ZA"/>
              </w:rPr>
            </w:pPr>
          </w:p>
          <w:p w:rsidR="00C217BB" w:rsidRDefault="00C217BB" w:rsidP="00C217BB">
            <w:pPr>
              <w:spacing w:after="0" w:line="360" w:lineRule="auto"/>
              <w:jc w:val="both"/>
              <w:rPr>
                <w:rFonts w:ascii="Arial Narrow" w:hAnsi="Arial Narrow"/>
                <w:sz w:val="24"/>
                <w:szCs w:val="24"/>
                <w:lang w:val="af-ZA"/>
              </w:rPr>
            </w:pPr>
            <w:r>
              <w:rPr>
                <w:rFonts w:ascii="Arial Narrow" w:hAnsi="Arial Narrow"/>
                <w:sz w:val="24"/>
                <w:szCs w:val="24"/>
                <w:lang w:val="af-ZA"/>
              </w:rPr>
              <w:t xml:space="preserve">[4]       The court followed the </w:t>
            </w:r>
            <w:r w:rsidRPr="00C217BB">
              <w:rPr>
                <w:rFonts w:ascii="Arial Narrow" w:hAnsi="Arial Narrow"/>
                <w:i/>
                <w:sz w:val="24"/>
                <w:szCs w:val="24"/>
                <w:lang w:val="af-ZA"/>
              </w:rPr>
              <w:t xml:space="preserve">Teichmann </w:t>
            </w:r>
            <w:r>
              <w:rPr>
                <w:rFonts w:ascii="Arial Narrow" w:hAnsi="Arial Narrow"/>
                <w:i/>
                <w:sz w:val="24"/>
                <w:szCs w:val="24"/>
                <w:lang w:val="af-ZA"/>
              </w:rPr>
              <w:t xml:space="preserve">Plant Hire (Pty) Ltd v Coetzee </w:t>
            </w:r>
            <w:r>
              <w:rPr>
                <w:rStyle w:val="FootnoteReference"/>
                <w:rFonts w:ascii="Arial Narrow" w:hAnsi="Arial Narrow"/>
                <w:i/>
                <w:sz w:val="24"/>
                <w:szCs w:val="24"/>
                <w:lang w:val="af-ZA"/>
              </w:rPr>
              <w:footnoteReference w:id="1"/>
            </w:r>
            <w:r w:rsidRPr="00C217BB">
              <w:rPr>
                <w:rFonts w:ascii="Arial Narrow" w:hAnsi="Arial Narrow"/>
                <w:i/>
                <w:sz w:val="24"/>
                <w:szCs w:val="24"/>
                <w:lang w:val="af-ZA"/>
              </w:rPr>
              <w:t xml:space="preserve"> </w:t>
            </w:r>
            <w:r w:rsidRPr="002B2996">
              <w:rPr>
                <w:rFonts w:ascii="Arial Narrow" w:hAnsi="Arial Narrow"/>
                <w:sz w:val="24"/>
                <w:szCs w:val="24"/>
                <w:lang w:val="af-ZA"/>
              </w:rPr>
              <w:t>judgement</w:t>
            </w:r>
            <w:r>
              <w:rPr>
                <w:rFonts w:ascii="Arial Narrow" w:hAnsi="Arial Narrow"/>
                <w:sz w:val="24"/>
                <w:szCs w:val="24"/>
                <w:lang w:val="af-ZA"/>
              </w:rPr>
              <w:t xml:space="preserve"> of Justice Masuku in which in essence the specific section was interpreter by the learned judge as follws:</w:t>
            </w:r>
          </w:p>
          <w:p w:rsidR="00C217BB" w:rsidRDefault="00C217BB" w:rsidP="00C217BB">
            <w:pPr>
              <w:spacing w:after="0" w:line="360" w:lineRule="auto"/>
              <w:jc w:val="both"/>
              <w:rPr>
                <w:rFonts w:ascii="Arial Narrow" w:hAnsi="Arial Narrow"/>
                <w:lang w:val="af-ZA"/>
              </w:rPr>
            </w:pPr>
          </w:p>
          <w:p w:rsidR="00A6230B" w:rsidRPr="00C217BB" w:rsidRDefault="006E6756" w:rsidP="00C217BB">
            <w:pPr>
              <w:spacing w:after="0" w:line="360" w:lineRule="auto"/>
              <w:ind w:hanging="9"/>
              <w:jc w:val="both"/>
              <w:rPr>
                <w:rFonts w:ascii="Arial Narrow" w:hAnsi="Arial Narrow"/>
                <w:lang w:val="af-ZA"/>
              </w:rPr>
            </w:pPr>
            <w:r>
              <w:rPr>
                <w:rFonts w:ascii="Arial Narrow" w:hAnsi="Arial Narrow"/>
                <w:lang w:val="af-ZA"/>
              </w:rPr>
              <w:t xml:space="preserve">              ‘</w:t>
            </w:r>
            <w:r w:rsidR="00C217BB" w:rsidRPr="00700664">
              <w:rPr>
                <w:rFonts w:ascii="Arial Narrow" w:hAnsi="Arial Narrow"/>
                <w:lang w:val="af-ZA"/>
              </w:rPr>
              <w:t>In the premises, I am of the considered view that a party seeking judgment based on the invocation of the provisions of s.64 must have first sought and obtained a declarator from the court that the member concerned knowingly traded in one or more of the manners set out in s. 64.</w:t>
            </w:r>
            <w:r>
              <w:rPr>
                <w:rFonts w:ascii="Arial Narrow" w:hAnsi="Arial Narrow"/>
                <w:lang w:val="af-ZA"/>
              </w:rPr>
              <w:t>’</w:t>
            </w:r>
          </w:p>
          <w:p w:rsidR="00F46C92" w:rsidRPr="00764F26" w:rsidRDefault="00F46C92" w:rsidP="00F5563C">
            <w:pPr>
              <w:spacing w:after="0" w:line="360" w:lineRule="auto"/>
              <w:jc w:val="both"/>
              <w:rPr>
                <w:rFonts w:ascii="Arial Narrow" w:hAnsi="Arial Narrow"/>
                <w:sz w:val="24"/>
                <w:szCs w:val="24"/>
                <w:lang w:val="af-ZA"/>
              </w:rPr>
            </w:pPr>
          </w:p>
          <w:p w:rsidR="00C217BB" w:rsidRDefault="00A6230B" w:rsidP="00CF5FB9">
            <w:pPr>
              <w:spacing w:after="0" w:line="360" w:lineRule="auto"/>
              <w:jc w:val="both"/>
              <w:rPr>
                <w:rFonts w:ascii="Arial Narrow" w:hAnsi="Arial Narrow"/>
                <w:sz w:val="24"/>
                <w:szCs w:val="24"/>
                <w:lang w:val="af-ZA"/>
              </w:rPr>
            </w:pPr>
            <w:r>
              <w:rPr>
                <w:rFonts w:ascii="Arial Narrow" w:hAnsi="Arial Narrow"/>
                <w:sz w:val="24"/>
                <w:szCs w:val="24"/>
                <w:lang w:val="af-ZA"/>
              </w:rPr>
              <w:t xml:space="preserve">[5]       </w:t>
            </w:r>
            <w:r w:rsidR="00FA59C0">
              <w:rPr>
                <w:rFonts w:ascii="Arial Narrow" w:hAnsi="Arial Narrow"/>
                <w:sz w:val="24"/>
                <w:szCs w:val="24"/>
                <w:lang w:val="af-ZA"/>
              </w:rPr>
              <w:t>This special plea was upheld by the court and is now the subject of the application for leave to appeal.</w:t>
            </w:r>
          </w:p>
          <w:p w:rsidR="00C217BB" w:rsidRDefault="00C217BB" w:rsidP="00CF5FB9">
            <w:pPr>
              <w:spacing w:after="0" w:line="360" w:lineRule="auto"/>
              <w:jc w:val="both"/>
              <w:rPr>
                <w:rFonts w:ascii="Arial Narrow" w:hAnsi="Arial Narrow"/>
                <w:sz w:val="24"/>
                <w:szCs w:val="24"/>
                <w:lang w:val="af-ZA"/>
              </w:rPr>
            </w:pPr>
          </w:p>
          <w:p w:rsidR="00A6230B" w:rsidRPr="00C217BB" w:rsidRDefault="00C217BB" w:rsidP="00CF5FB9">
            <w:pPr>
              <w:spacing w:after="0" w:line="360" w:lineRule="auto"/>
              <w:jc w:val="both"/>
              <w:rPr>
                <w:rFonts w:ascii="Arial Narrow" w:hAnsi="Arial Narrow"/>
                <w:sz w:val="24"/>
                <w:szCs w:val="24"/>
                <w:u w:val="single"/>
                <w:lang w:val="af-ZA"/>
              </w:rPr>
            </w:pPr>
            <w:r w:rsidRPr="00C217BB">
              <w:rPr>
                <w:rFonts w:ascii="Arial Narrow" w:hAnsi="Arial Narrow"/>
                <w:sz w:val="24"/>
                <w:szCs w:val="24"/>
                <w:u w:val="single"/>
                <w:lang w:val="af-ZA"/>
              </w:rPr>
              <w:t>Leave to appeal:</w:t>
            </w:r>
            <w:r w:rsidR="00FA59C0" w:rsidRPr="00C217BB">
              <w:rPr>
                <w:rFonts w:ascii="Arial Narrow" w:hAnsi="Arial Narrow"/>
                <w:sz w:val="24"/>
                <w:szCs w:val="24"/>
                <w:u w:val="single"/>
                <w:lang w:val="af-ZA"/>
              </w:rPr>
              <w:t xml:space="preserve">  </w:t>
            </w:r>
          </w:p>
          <w:p w:rsidR="00C217BB" w:rsidRDefault="00C217BB" w:rsidP="00C217BB">
            <w:pPr>
              <w:spacing w:after="0" w:line="360" w:lineRule="auto"/>
              <w:jc w:val="both"/>
              <w:rPr>
                <w:rFonts w:ascii="Arial Narrow" w:hAnsi="Arial Narrow"/>
                <w:lang w:val="af-ZA"/>
              </w:rPr>
            </w:pPr>
            <w:r>
              <w:rPr>
                <w:rFonts w:ascii="Arial Narrow" w:hAnsi="Arial Narrow"/>
                <w:lang w:val="af-ZA"/>
              </w:rPr>
              <w:t>[6]</w:t>
            </w:r>
            <w:r w:rsidR="004F353E">
              <w:rPr>
                <w:rFonts w:ascii="Arial Narrow" w:hAnsi="Arial Narrow"/>
                <w:lang w:val="af-ZA"/>
              </w:rPr>
              <w:t xml:space="preserve">          </w:t>
            </w:r>
            <w:r>
              <w:rPr>
                <w:rFonts w:ascii="Arial Narrow" w:hAnsi="Arial Narrow"/>
                <w:lang w:val="af-ZA"/>
              </w:rPr>
              <w:t>The court first needs to decide whether the current order is indeed an</w:t>
            </w:r>
            <w:r w:rsidR="004F353E">
              <w:rPr>
                <w:rFonts w:ascii="Arial Narrow" w:hAnsi="Arial Narrow"/>
                <w:lang w:val="af-ZA"/>
              </w:rPr>
              <w:t xml:space="preserve"> </w:t>
            </w:r>
            <w:r w:rsidRPr="00C217BB">
              <w:rPr>
                <w:rFonts w:ascii="Arial Narrow" w:hAnsi="Arial Narrow"/>
                <w:lang w:val="af-ZA"/>
              </w:rPr>
              <w:t>appealable order as contemplated in s 18(3) of the High Court Act, 16 of 1990.  This section reads as follows:</w:t>
            </w:r>
          </w:p>
          <w:p w:rsidR="006E6756" w:rsidRPr="00C217BB" w:rsidRDefault="006E6756" w:rsidP="00C217BB">
            <w:pPr>
              <w:spacing w:after="0" w:line="360" w:lineRule="auto"/>
              <w:jc w:val="both"/>
              <w:rPr>
                <w:rFonts w:ascii="Arial Narrow" w:hAnsi="Arial Narrow"/>
                <w:lang w:val="af-ZA"/>
              </w:rPr>
            </w:pPr>
          </w:p>
          <w:p w:rsidR="004F353E" w:rsidRDefault="006E6756" w:rsidP="00C217BB">
            <w:pPr>
              <w:spacing w:after="0" w:line="360" w:lineRule="auto"/>
              <w:jc w:val="both"/>
              <w:rPr>
                <w:rFonts w:ascii="Arial Narrow" w:hAnsi="Arial Narrow"/>
                <w:lang w:val="af-ZA"/>
              </w:rPr>
            </w:pPr>
            <w:r>
              <w:rPr>
                <w:rFonts w:ascii="Arial Narrow" w:hAnsi="Arial Narrow"/>
                <w:lang w:val="af-ZA"/>
              </w:rPr>
              <w:t xml:space="preserve">              ‘</w:t>
            </w:r>
            <w:r w:rsidR="00C217BB" w:rsidRPr="00C217BB">
              <w:rPr>
                <w:rFonts w:ascii="Arial Narrow" w:hAnsi="Arial Narrow"/>
                <w:lang w:val="af-ZA"/>
              </w:rPr>
              <w:t>(3) No judgment or order where the judgment</w:t>
            </w:r>
            <w:r w:rsidR="00E3743E">
              <w:rPr>
                <w:rFonts w:ascii="Arial Narrow" w:hAnsi="Arial Narrow"/>
                <w:lang w:val="af-ZA"/>
              </w:rPr>
              <w:t xml:space="preserve"> or order sought to be appealed </w:t>
            </w:r>
            <w:r w:rsidR="00C217BB" w:rsidRPr="00C217BB">
              <w:rPr>
                <w:rFonts w:ascii="Arial Narrow" w:hAnsi="Arial Narrow"/>
                <w:lang w:val="af-ZA"/>
              </w:rPr>
              <w:t>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w:t>
            </w:r>
            <w:r>
              <w:rPr>
                <w:rFonts w:ascii="Arial Narrow" w:hAnsi="Arial Narrow"/>
                <w:lang w:val="af-ZA"/>
              </w:rPr>
              <w:t xml:space="preserve"> granted by the Supreme Court.’</w:t>
            </w:r>
          </w:p>
          <w:p w:rsidR="00C217BB" w:rsidRPr="00E3743E" w:rsidRDefault="00C217BB" w:rsidP="00C217BB">
            <w:pPr>
              <w:spacing w:after="0" w:line="360" w:lineRule="auto"/>
              <w:jc w:val="both"/>
              <w:rPr>
                <w:rFonts w:ascii="Arial Narrow" w:hAnsi="Arial Narrow"/>
                <w:sz w:val="24"/>
                <w:szCs w:val="24"/>
                <w:lang w:val="af-ZA"/>
              </w:rPr>
            </w:pPr>
          </w:p>
          <w:p w:rsidR="00E3743E" w:rsidRDefault="00C217BB" w:rsidP="00E3743E">
            <w:pPr>
              <w:spacing w:after="0" w:line="360" w:lineRule="auto"/>
              <w:jc w:val="both"/>
              <w:rPr>
                <w:rFonts w:ascii="Arial Narrow" w:hAnsi="Arial Narrow"/>
                <w:sz w:val="24"/>
                <w:szCs w:val="24"/>
                <w:lang w:val="af-ZA"/>
              </w:rPr>
            </w:pPr>
            <w:r w:rsidRPr="00E3743E">
              <w:rPr>
                <w:rFonts w:ascii="Arial Narrow" w:hAnsi="Arial Narrow"/>
                <w:sz w:val="24"/>
                <w:szCs w:val="24"/>
                <w:lang w:val="af-ZA"/>
              </w:rPr>
              <w:lastRenderedPageBreak/>
              <w:t xml:space="preserve">[7]    </w:t>
            </w:r>
            <w:r w:rsidR="00E3743E" w:rsidRPr="00E3743E">
              <w:rPr>
                <w:rFonts w:ascii="Arial Narrow" w:hAnsi="Arial Narrow"/>
                <w:sz w:val="24"/>
                <w:szCs w:val="24"/>
                <w:lang w:val="af-ZA"/>
              </w:rPr>
              <w:t xml:space="preserve">In deciding whether an order or judgement is appealable, in the </w:t>
            </w:r>
            <w:r w:rsidR="00E3743E" w:rsidRPr="00E3743E">
              <w:rPr>
                <w:rFonts w:ascii="Arial Narrow" w:hAnsi="Arial Narrow"/>
                <w:i/>
                <w:sz w:val="24"/>
                <w:szCs w:val="24"/>
                <w:lang w:val="af-ZA"/>
              </w:rPr>
              <w:t>Di Savino v Nedbank Namibia Ltd</w:t>
            </w:r>
            <w:r w:rsidR="00E3743E">
              <w:rPr>
                <w:rStyle w:val="FootnoteReference"/>
                <w:rFonts w:ascii="Arial Narrow" w:hAnsi="Arial Narrow"/>
                <w:i/>
                <w:sz w:val="24"/>
                <w:szCs w:val="24"/>
                <w:lang w:val="af-ZA"/>
              </w:rPr>
              <w:footnoteReference w:id="2"/>
            </w:r>
            <w:r w:rsidR="00E3743E" w:rsidRPr="00E3743E">
              <w:rPr>
                <w:rFonts w:ascii="Arial Narrow" w:hAnsi="Arial Narrow"/>
                <w:sz w:val="24"/>
                <w:szCs w:val="24"/>
                <w:lang w:val="af-ZA"/>
              </w:rPr>
              <w:t xml:space="preserve">  matter, Shivute CJ referred to the three attributes that must be present to identify an appealable judgement </w:t>
            </w:r>
            <w:r w:rsidR="00E3743E">
              <w:rPr>
                <w:rFonts w:ascii="Arial Narrow" w:hAnsi="Arial Narrow"/>
                <w:sz w:val="24"/>
                <w:szCs w:val="24"/>
                <w:lang w:val="af-ZA"/>
              </w:rPr>
              <w:t>or order as follows:</w:t>
            </w:r>
          </w:p>
          <w:p w:rsidR="006E6756" w:rsidRPr="00E3743E" w:rsidRDefault="006E6756" w:rsidP="00E3743E">
            <w:pPr>
              <w:spacing w:after="0" w:line="360" w:lineRule="auto"/>
              <w:jc w:val="both"/>
              <w:rPr>
                <w:rFonts w:ascii="Arial Narrow" w:hAnsi="Arial Narrow"/>
                <w:sz w:val="24"/>
                <w:szCs w:val="24"/>
                <w:lang w:val="af-ZA"/>
              </w:rPr>
            </w:pPr>
          </w:p>
          <w:p w:rsidR="00C217BB" w:rsidRDefault="006E6756" w:rsidP="00E3743E">
            <w:pPr>
              <w:spacing w:after="0" w:line="360" w:lineRule="auto"/>
              <w:jc w:val="both"/>
              <w:rPr>
                <w:rFonts w:ascii="Arial Narrow" w:hAnsi="Arial Narrow"/>
                <w:lang w:val="af-ZA"/>
              </w:rPr>
            </w:pPr>
            <w:r>
              <w:rPr>
                <w:rFonts w:ascii="Arial Narrow" w:hAnsi="Arial Narrow"/>
                <w:lang w:val="af-ZA"/>
              </w:rPr>
              <w:t xml:space="preserve">              ‘</w:t>
            </w:r>
            <w:r w:rsidR="00E3743E" w:rsidRPr="00E3743E">
              <w:rPr>
                <w:rFonts w:ascii="Arial Narrow" w:hAnsi="Arial Narrow"/>
                <w:lang w:val="af-ZA"/>
              </w:rPr>
              <w:t xml:space="preserve">The three attributes counsel for the appellant referred to are those set out in the decision of the South African Appellate Division in </w:t>
            </w:r>
            <w:r w:rsidR="00E3743E" w:rsidRPr="00E3743E">
              <w:rPr>
                <w:rFonts w:ascii="Arial Narrow" w:hAnsi="Arial Narrow"/>
                <w:i/>
                <w:lang w:val="af-ZA"/>
              </w:rPr>
              <w:t>Zweni v Minister of Law and Order 1993 (1) SA 523 (AD)</w:t>
            </w:r>
            <w:r w:rsidR="00E3743E" w:rsidRPr="00E3743E">
              <w:rPr>
                <w:rFonts w:ascii="Arial Narrow" w:hAnsi="Arial Narrow"/>
                <w:lang w:val="af-ZA"/>
              </w:rPr>
              <w:t xml:space="preserve"> and as endorsed in many judgments of this court, namely that (i) the decision must be final in effect and not susceptible to alteration by the Court of first instance; (ii) it must be definitive of the rights of the parties, ie. it must grant definite and distinct relief; and (iii) it must have the effect of disposing of at least a substantial portion of the relief c</w:t>
            </w:r>
            <w:r>
              <w:rPr>
                <w:rFonts w:ascii="Arial Narrow" w:hAnsi="Arial Narrow"/>
                <w:lang w:val="af-ZA"/>
              </w:rPr>
              <w:t>laimed in the main proceedings.’</w:t>
            </w:r>
          </w:p>
          <w:p w:rsidR="006E6756" w:rsidRDefault="006E6756" w:rsidP="00E3743E">
            <w:pPr>
              <w:spacing w:after="0" w:line="360" w:lineRule="auto"/>
              <w:jc w:val="both"/>
              <w:rPr>
                <w:rFonts w:ascii="Arial Narrow" w:hAnsi="Arial Narrow"/>
                <w:lang w:val="af-ZA"/>
              </w:rPr>
            </w:pPr>
          </w:p>
          <w:p w:rsidR="00E3743E" w:rsidRDefault="00E3743E" w:rsidP="00E3743E">
            <w:pPr>
              <w:spacing w:after="0" w:line="360" w:lineRule="auto"/>
              <w:jc w:val="both"/>
              <w:rPr>
                <w:rFonts w:ascii="Arial Narrow" w:hAnsi="Arial Narrow"/>
                <w:sz w:val="24"/>
                <w:szCs w:val="24"/>
                <w:lang w:val="af-ZA"/>
              </w:rPr>
            </w:pPr>
            <w:r>
              <w:rPr>
                <w:rFonts w:ascii="Arial Narrow" w:hAnsi="Arial Narrow"/>
                <w:sz w:val="24"/>
                <w:szCs w:val="24"/>
                <w:lang w:val="af-ZA"/>
              </w:rPr>
              <w:t>Applying the above to the current matter before court, the court finds that the upholding of the special plea in this instance indeed meet the three attriutes as set out in the Zweni matter and is therefore an appealable order.</w:t>
            </w:r>
          </w:p>
          <w:p w:rsidR="00E3743E" w:rsidRDefault="00E3743E" w:rsidP="00E3743E">
            <w:pPr>
              <w:spacing w:after="0" w:line="360" w:lineRule="auto"/>
              <w:jc w:val="both"/>
              <w:rPr>
                <w:rFonts w:ascii="Arial Narrow" w:hAnsi="Arial Narrow"/>
                <w:sz w:val="24"/>
                <w:szCs w:val="24"/>
                <w:lang w:val="af-ZA"/>
              </w:rPr>
            </w:pPr>
          </w:p>
          <w:p w:rsidR="00E3743E" w:rsidRDefault="00E3743E" w:rsidP="00E3743E">
            <w:pPr>
              <w:spacing w:after="0" w:line="360" w:lineRule="auto"/>
              <w:jc w:val="both"/>
              <w:rPr>
                <w:rFonts w:ascii="Arial Narrow" w:hAnsi="Arial Narrow"/>
                <w:sz w:val="24"/>
                <w:szCs w:val="24"/>
                <w:lang w:val="af-ZA"/>
              </w:rPr>
            </w:pPr>
            <w:r>
              <w:rPr>
                <w:rFonts w:ascii="Arial Narrow" w:hAnsi="Arial Narrow"/>
                <w:sz w:val="24"/>
                <w:szCs w:val="24"/>
                <w:lang w:val="af-ZA"/>
              </w:rPr>
              <w:t xml:space="preserve">[8]   The next consideration is whether </w:t>
            </w:r>
            <w:r w:rsidR="00011D04">
              <w:rPr>
                <w:rFonts w:ascii="Arial Narrow" w:hAnsi="Arial Narrow"/>
                <w:sz w:val="24"/>
                <w:szCs w:val="24"/>
                <w:lang w:val="af-ZA"/>
              </w:rPr>
              <w:t xml:space="preserve">there is a </w:t>
            </w:r>
            <w:r w:rsidR="00011D04" w:rsidRPr="00011D04">
              <w:rPr>
                <w:rFonts w:ascii="Arial Narrow" w:hAnsi="Arial Narrow"/>
                <w:sz w:val="24"/>
                <w:szCs w:val="24"/>
                <w:lang w:val="af-ZA"/>
              </w:rPr>
              <w:t>reasonable prospect of success</w:t>
            </w:r>
            <w:r w:rsidR="00011D04">
              <w:rPr>
                <w:rFonts w:ascii="Arial Narrow" w:hAnsi="Arial Narrow"/>
                <w:sz w:val="24"/>
                <w:szCs w:val="24"/>
                <w:lang w:val="af-ZA"/>
              </w:rPr>
              <w:t xml:space="preserve"> or put differently, whether another court may come to a different conclusion</w:t>
            </w:r>
            <w:r w:rsidR="00520C6F">
              <w:rPr>
                <w:rFonts w:ascii="Arial Narrow" w:hAnsi="Arial Narrow"/>
                <w:sz w:val="24"/>
                <w:szCs w:val="24"/>
                <w:lang w:val="af-ZA"/>
              </w:rPr>
              <w:t xml:space="preserve"> than what this</w:t>
            </w:r>
            <w:r w:rsidR="00011D04">
              <w:rPr>
                <w:rFonts w:ascii="Arial Narrow" w:hAnsi="Arial Narrow"/>
                <w:sz w:val="24"/>
                <w:szCs w:val="24"/>
                <w:lang w:val="af-ZA"/>
              </w:rPr>
              <w:t xml:space="preserve"> court arrived at.  In this instance the arguments</w:t>
            </w:r>
            <w:r w:rsidR="00520C6F">
              <w:rPr>
                <w:rFonts w:ascii="Arial Narrow" w:hAnsi="Arial Narrow"/>
                <w:sz w:val="24"/>
                <w:szCs w:val="24"/>
                <w:lang w:val="af-ZA"/>
              </w:rPr>
              <w:t xml:space="preserve"> on the relevant legal principles</w:t>
            </w:r>
            <w:r w:rsidR="00011D04">
              <w:rPr>
                <w:rFonts w:ascii="Arial Narrow" w:hAnsi="Arial Narrow"/>
                <w:sz w:val="24"/>
                <w:szCs w:val="24"/>
                <w:lang w:val="af-ZA"/>
              </w:rPr>
              <w:t xml:space="preserve"> before court were of such a nature that I </w:t>
            </w:r>
            <w:r w:rsidR="00520C6F">
              <w:rPr>
                <w:rFonts w:ascii="Arial Narrow" w:hAnsi="Arial Narrow"/>
                <w:sz w:val="24"/>
                <w:szCs w:val="24"/>
                <w:lang w:val="af-ZA"/>
              </w:rPr>
              <w:t>am of the opinion that another court may come to a different conclusion.</w:t>
            </w:r>
          </w:p>
          <w:p w:rsidR="00520C6F" w:rsidRDefault="00520C6F" w:rsidP="00E3743E">
            <w:pPr>
              <w:spacing w:after="0" w:line="360" w:lineRule="auto"/>
              <w:jc w:val="both"/>
              <w:rPr>
                <w:rFonts w:ascii="Arial Narrow" w:hAnsi="Arial Narrow"/>
                <w:sz w:val="24"/>
                <w:szCs w:val="24"/>
                <w:lang w:val="af-ZA"/>
              </w:rPr>
            </w:pPr>
          </w:p>
          <w:p w:rsidR="00520C6F" w:rsidRDefault="00520C6F" w:rsidP="00E3743E">
            <w:pPr>
              <w:spacing w:after="0" w:line="360" w:lineRule="auto"/>
              <w:jc w:val="both"/>
              <w:rPr>
                <w:rFonts w:ascii="Arial Narrow" w:hAnsi="Arial Narrow"/>
                <w:sz w:val="24"/>
                <w:szCs w:val="24"/>
                <w:lang w:val="af-ZA"/>
              </w:rPr>
            </w:pPr>
            <w:r>
              <w:rPr>
                <w:rFonts w:ascii="Arial Narrow" w:hAnsi="Arial Narrow"/>
                <w:sz w:val="24"/>
                <w:szCs w:val="24"/>
                <w:lang w:val="af-ZA"/>
              </w:rPr>
              <w:t>I therefore make the following order:</w:t>
            </w:r>
          </w:p>
          <w:p w:rsidR="00520C6F" w:rsidRPr="00520C6F" w:rsidRDefault="00520C6F" w:rsidP="00520C6F">
            <w:pPr>
              <w:spacing w:after="0" w:line="360" w:lineRule="auto"/>
              <w:jc w:val="both"/>
              <w:rPr>
                <w:rFonts w:ascii="Arial Narrow" w:hAnsi="Arial Narrow"/>
                <w:sz w:val="24"/>
                <w:szCs w:val="24"/>
                <w:lang w:val="af-ZA"/>
              </w:rPr>
            </w:pPr>
            <w:r w:rsidRPr="00520C6F">
              <w:rPr>
                <w:rFonts w:ascii="Arial Narrow" w:hAnsi="Arial Narrow"/>
                <w:sz w:val="24"/>
                <w:szCs w:val="24"/>
                <w:lang w:val="af-ZA"/>
              </w:rPr>
              <w:t>(i) Leave to appeal against the whole judgmen</w:t>
            </w:r>
            <w:bookmarkStart w:id="0" w:name="_GoBack"/>
            <w:bookmarkEnd w:id="0"/>
            <w:r w:rsidRPr="00520C6F">
              <w:rPr>
                <w:rFonts w:ascii="Arial Narrow" w:hAnsi="Arial Narrow"/>
                <w:sz w:val="24"/>
                <w:szCs w:val="24"/>
                <w:lang w:val="af-ZA"/>
              </w:rPr>
              <w:t xml:space="preserve">t of </w:t>
            </w:r>
            <w:r w:rsidR="00694C63">
              <w:rPr>
                <w:rFonts w:ascii="Arial Narrow" w:hAnsi="Arial Narrow"/>
                <w:sz w:val="24"/>
                <w:szCs w:val="24"/>
                <w:lang w:val="af-ZA"/>
              </w:rPr>
              <w:t xml:space="preserve">12 May 2020 </w:t>
            </w:r>
            <w:r w:rsidRPr="00520C6F">
              <w:rPr>
                <w:rFonts w:ascii="Arial Narrow" w:hAnsi="Arial Narrow"/>
                <w:sz w:val="24"/>
                <w:szCs w:val="24"/>
                <w:lang w:val="af-ZA"/>
              </w:rPr>
              <w:t>is granted.</w:t>
            </w:r>
          </w:p>
          <w:p w:rsidR="00520C6F" w:rsidRPr="00520C6F" w:rsidRDefault="00830264" w:rsidP="00520C6F">
            <w:pPr>
              <w:spacing w:after="0" w:line="360" w:lineRule="auto"/>
              <w:jc w:val="both"/>
              <w:rPr>
                <w:rFonts w:ascii="Arial Narrow" w:hAnsi="Arial Narrow"/>
                <w:sz w:val="24"/>
                <w:szCs w:val="24"/>
                <w:lang w:val="af-ZA"/>
              </w:rPr>
            </w:pPr>
            <w:r>
              <w:rPr>
                <w:rFonts w:ascii="Arial Narrow" w:hAnsi="Arial Narrow"/>
                <w:sz w:val="24"/>
                <w:szCs w:val="24"/>
                <w:lang w:val="af-ZA"/>
              </w:rPr>
              <w:t>(ii) The c</w:t>
            </w:r>
            <w:r w:rsidR="00520C6F" w:rsidRPr="00520C6F">
              <w:rPr>
                <w:rFonts w:ascii="Arial Narrow" w:hAnsi="Arial Narrow"/>
                <w:sz w:val="24"/>
                <w:szCs w:val="24"/>
                <w:lang w:val="af-ZA"/>
              </w:rPr>
              <w:t>osts of the application for leave to appeal shall be costs</w:t>
            </w:r>
            <w:r w:rsidR="006E6756">
              <w:rPr>
                <w:rFonts w:ascii="Arial Narrow" w:hAnsi="Arial Narrow"/>
                <w:sz w:val="24"/>
                <w:szCs w:val="24"/>
                <w:lang w:val="af-ZA"/>
              </w:rPr>
              <w:t xml:space="preserve"> </w:t>
            </w:r>
            <w:r w:rsidR="006E6756" w:rsidRPr="006E6756">
              <w:rPr>
                <w:rFonts w:ascii="Arial Narrow" w:hAnsi="Arial Narrow"/>
                <w:sz w:val="24"/>
                <w:szCs w:val="24"/>
                <w:lang w:val="af-ZA"/>
              </w:rPr>
              <w:t>in the appeal.</w:t>
            </w:r>
          </w:p>
          <w:p w:rsidR="00413933" w:rsidRPr="00700664" w:rsidRDefault="00413933" w:rsidP="00700664">
            <w:pPr>
              <w:spacing w:after="0" w:line="360" w:lineRule="auto"/>
              <w:jc w:val="both"/>
              <w:rPr>
                <w:rFonts w:ascii="Arial Narrow" w:hAnsi="Arial Narrow"/>
                <w:lang w:val="af-ZA"/>
              </w:rPr>
            </w:pPr>
          </w:p>
          <w:p w:rsidR="00950676" w:rsidRPr="00DA4588" w:rsidRDefault="00950676" w:rsidP="006B40FF">
            <w:pPr>
              <w:spacing w:line="360" w:lineRule="auto"/>
              <w:jc w:val="right"/>
              <w:rPr>
                <w:rFonts w:ascii="Arial Narrow" w:hAnsi="Arial Narrow" w:cs="Arial"/>
                <w:sz w:val="24"/>
              </w:rPr>
            </w:pPr>
            <w:r w:rsidRPr="00DA4588">
              <w:rPr>
                <w:rFonts w:ascii="Arial Narrow" w:hAnsi="Arial Narrow" w:cs="Arial"/>
                <w:sz w:val="24"/>
              </w:rPr>
              <w:t>____________</w:t>
            </w:r>
          </w:p>
          <w:p w:rsidR="00950676" w:rsidRPr="00DA4588" w:rsidRDefault="002E76C8" w:rsidP="006B40FF">
            <w:pPr>
              <w:spacing w:line="360" w:lineRule="auto"/>
              <w:jc w:val="right"/>
              <w:rPr>
                <w:rFonts w:ascii="Arial Narrow" w:hAnsi="Arial Narrow" w:cs="Arial"/>
                <w:sz w:val="24"/>
              </w:rPr>
            </w:pPr>
            <w:r>
              <w:rPr>
                <w:rFonts w:ascii="Arial Narrow" w:hAnsi="Arial Narrow" w:cs="Arial"/>
                <w:sz w:val="24"/>
              </w:rPr>
              <w:t>E Rakow</w:t>
            </w:r>
          </w:p>
          <w:p w:rsidR="00950676" w:rsidRPr="00830264" w:rsidRDefault="00950676" w:rsidP="00830264">
            <w:pPr>
              <w:spacing w:line="360" w:lineRule="auto"/>
              <w:jc w:val="right"/>
              <w:rPr>
                <w:rFonts w:ascii="Arial Narrow" w:hAnsi="Arial Narrow" w:cs="Arial"/>
                <w:sz w:val="24"/>
              </w:rPr>
            </w:pPr>
            <w:r w:rsidRPr="00DA4588">
              <w:rPr>
                <w:rFonts w:ascii="Arial Narrow" w:hAnsi="Arial Narrow" w:cs="Arial"/>
                <w:sz w:val="24"/>
              </w:rPr>
              <w:t>Acting Judge</w:t>
            </w:r>
          </w:p>
        </w:tc>
      </w:tr>
      <w:tr w:rsidR="00950676" w:rsidRPr="00DA4588" w:rsidTr="006B40FF">
        <w:tc>
          <w:tcPr>
            <w:tcW w:w="4770" w:type="dxa"/>
          </w:tcPr>
          <w:p w:rsidR="00950676" w:rsidRPr="00DA4588" w:rsidRDefault="00950676" w:rsidP="006B40FF">
            <w:pPr>
              <w:spacing w:line="360" w:lineRule="auto"/>
              <w:jc w:val="center"/>
              <w:rPr>
                <w:rFonts w:ascii="Arial Narrow" w:hAnsi="Arial Narrow" w:cs="Arial"/>
                <w:b/>
                <w:sz w:val="24"/>
                <w:szCs w:val="24"/>
              </w:rPr>
            </w:pPr>
            <w:r w:rsidRPr="00DA4588">
              <w:rPr>
                <w:rFonts w:ascii="Arial Narrow" w:hAnsi="Arial Narrow" w:cs="Arial"/>
                <w:b/>
                <w:sz w:val="24"/>
                <w:szCs w:val="24"/>
              </w:rPr>
              <w:lastRenderedPageBreak/>
              <w:t>Judge’s signature</w:t>
            </w:r>
          </w:p>
        </w:tc>
        <w:tc>
          <w:tcPr>
            <w:tcW w:w="4950" w:type="dxa"/>
            <w:gridSpan w:val="2"/>
          </w:tcPr>
          <w:p w:rsidR="00950676" w:rsidRPr="00DA4588" w:rsidRDefault="00950676" w:rsidP="006B40FF">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830264">
        <w:trPr>
          <w:trHeight w:val="371"/>
        </w:trPr>
        <w:tc>
          <w:tcPr>
            <w:tcW w:w="4770" w:type="dxa"/>
          </w:tcPr>
          <w:p w:rsidR="00950676" w:rsidRPr="00DA4588" w:rsidRDefault="00950676" w:rsidP="006B40FF">
            <w:pPr>
              <w:spacing w:line="360" w:lineRule="auto"/>
              <w:jc w:val="both"/>
              <w:rPr>
                <w:rFonts w:ascii="Arial Narrow" w:hAnsi="Arial Narrow" w:cs="Arial"/>
                <w:sz w:val="24"/>
                <w:szCs w:val="24"/>
              </w:rPr>
            </w:pPr>
          </w:p>
        </w:tc>
        <w:tc>
          <w:tcPr>
            <w:tcW w:w="4950" w:type="dxa"/>
            <w:gridSpan w:val="2"/>
          </w:tcPr>
          <w:p w:rsidR="00950676" w:rsidRPr="00DA4588" w:rsidRDefault="00950676" w:rsidP="006B40FF">
            <w:pPr>
              <w:spacing w:line="360" w:lineRule="auto"/>
              <w:jc w:val="both"/>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6B40FF">
        <w:tc>
          <w:tcPr>
            <w:tcW w:w="9720" w:type="dxa"/>
            <w:gridSpan w:val="3"/>
          </w:tcPr>
          <w:p w:rsidR="00950676" w:rsidRPr="00DA4588" w:rsidRDefault="00950676" w:rsidP="006B40FF">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950676" w:rsidRPr="00DA4588" w:rsidTr="006B40FF">
        <w:tc>
          <w:tcPr>
            <w:tcW w:w="4770" w:type="dxa"/>
          </w:tcPr>
          <w:p w:rsidR="00950676" w:rsidRPr="00DA4588" w:rsidRDefault="00950676" w:rsidP="006B40FF">
            <w:pPr>
              <w:spacing w:line="360" w:lineRule="auto"/>
              <w:jc w:val="center"/>
              <w:rPr>
                <w:rFonts w:ascii="Arial Narrow" w:hAnsi="Arial Narrow" w:cs="Arial"/>
                <w:b/>
                <w:sz w:val="24"/>
                <w:szCs w:val="24"/>
              </w:rPr>
            </w:pPr>
            <w:r w:rsidRPr="00DA4588">
              <w:rPr>
                <w:rFonts w:ascii="Arial Narrow" w:hAnsi="Arial Narrow" w:cs="Arial"/>
                <w:b/>
                <w:sz w:val="24"/>
                <w:szCs w:val="24"/>
              </w:rPr>
              <w:t>Applicant</w:t>
            </w:r>
            <w:r w:rsidR="00190BB3">
              <w:rPr>
                <w:rFonts w:ascii="Arial Narrow" w:hAnsi="Arial Narrow" w:cs="Arial"/>
                <w:b/>
                <w:sz w:val="24"/>
                <w:szCs w:val="24"/>
              </w:rPr>
              <w:t>s</w:t>
            </w:r>
          </w:p>
        </w:tc>
        <w:tc>
          <w:tcPr>
            <w:tcW w:w="4950" w:type="dxa"/>
            <w:gridSpan w:val="2"/>
          </w:tcPr>
          <w:p w:rsidR="00950676" w:rsidRPr="00DA4588" w:rsidRDefault="00950676" w:rsidP="006B40FF">
            <w:pPr>
              <w:spacing w:line="360" w:lineRule="auto"/>
              <w:jc w:val="center"/>
              <w:rPr>
                <w:rFonts w:ascii="Arial Narrow" w:hAnsi="Arial Narrow" w:cs="Arial"/>
                <w:b/>
                <w:sz w:val="24"/>
                <w:szCs w:val="24"/>
              </w:rPr>
            </w:pPr>
            <w:r w:rsidRPr="00DA4588">
              <w:rPr>
                <w:rFonts w:ascii="Arial Narrow" w:hAnsi="Arial Narrow" w:cs="Arial"/>
                <w:b/>
                <w:sz w:val="24"/>
                <w:szCs w:val="24"/>
              </w:rPr>
              <w:t xml:space="preserve"> Respondent</w:t>
            </w:r>
          </w:p>
        </w:tc>
      </w:tr>
      <w:tr w:rsidR="00950676" w:rsidRPr="00DA4588" w:rsidTr="006B40FF">
        <w:tc>
          <w:tcPr>
            <w:tcW w:w="4770" w:type="dxa"/>
          </w:tcPr>
          <w:p w:rsidR="00950676" w:rsidRPr="006E6756" w:rsidRDefault="00830264" w:rsidP="006B40FF">
            <w:pPr>
              <w:spacing w:line="360" w:lineRule="auto"/>
              <w:jc w:val="center"/>
              <w:rPr>
                <w:rFonts w:ascii="Arial Narrow" w:hAnsi="Arial Narrow" w:cs="Arial"/>
                <w:sz w:val="24"/>
                <w:szCs w:val="24"/>
              </w:rPr>
            </w:pPr>
            <w:r w:rsidRPr="006E6756">
              <w:rPr>
                <w:rFonts w:ascii="Arial Narrow" w:hAnsi="Arial Narrow" w:cs="Arial"/>
                <w:sz w:val="24"/>
                <w:szCs w:val="24"/>
              </w:rPr>
              <w:lastRenderedPageBreak/>
              <w:t>Adv. Kirsten</w:t>
            </w:r>
          </w:p>
          <w:p w:rsidR="00830264" w:rsidRPr="00DA4588" w:rsidRDefault="00830264" w:rsidP="006B40FF">
            <w:pPr>
              <w:spacing w:line="360" w:lineRule="auto"/>
              <w:jc w:val="center"/>
              <w:rPr>
                <w:rFonts w:ascii="Arial Narrow" w:hAnsi="Arial Narrow" w:cs="Arial"/>
                <w:sz w:val="24"/>
                <w:szCs w:val="24"/>
              </w:rPr>
            </w:pPr>
            <w:r>
              <w:rPr>
                <w:rFonts w:ascii="Arial Narrow" w:hAnsi="Arial Narrow" w:cs="Arial"/>
                <w:i/>
                <w:sz w:val="24"/>
                <w:szCs w:val="24"/>
              </w:rPr>
              <w:t>On instruction of PF Koep &amp; Co</w:t>
            </w:r>
          </w:p>
        </w:tc>
        <w:tc>
          <w:tcPr>
            <w:tcW w:w="4950" w:type="dxa"/>
            <w:gridSpan w:val="2"/>
          </w:tcPr>
          <w:p w:rsidR="00CB2DD6" w:rsidRDefault="00830264" w:rsidP="006B40FF">
            <w:pPr>
              <w:spacing w:line="360" w:lineRule="auto"/>
              <w:jc w:val="center"/>
              <w:rPr>
                <w:rFonts w:ascii="Arial Narrow" w:hAnsi="Arial Narrow" w:cs="Arial"/>
                <w:i/>
                <w:sz w:val="24"/>
                <w:szCs w:val="24"/>
              </w:rPr>
            </w:pPr>
            <w:r>
              <w:rPr>
                <w:rFonts w:ascii="Arial Narrow" w:hAnsi="Arial Narrow" w:cs="Arial"/>
                <w:i/>
                <w:sz w:val="24"/>
                <w:szCs w:val="24"/>
              </w:rPr>
              <w:t>No appearance</w:t>
            </w:r>
          </w:p>
          <w:p w:rsidR="00950676" w:rsidRPr="00D07CF4" w:rsidRDefault="00950676" w:rsidP="006B40FF">
            <w:pPr>
              <w:spacing w:line="360" w:lineRule="auto"/>
              <w:jc w:val="center"/>
              <w:rPr>
                <w:rFonts w:ascii="Arial Narrow" w:hAnsi="Arial Narrow" w:cs="Arial"/>
                <w:i/>
                <w:sz w:val="24"/>
                <w:szCs w:val="24"/>
              </w:rPr>
            </w:pPr>
          </w:p>
        </w:tc>
      </w:tr>
    </w:tbl>
    <w:p w:rsidR="006B40FF" w:rsidRDefault="006B40FF"/>
    <w:sectPr w:rsidR="006B40FF" w:rsidSect="003D0BA1">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251" w:rsidRDefault="00624251">
      <w:pPr>
        <w:spacing w:after="0" w:line="240" w:lineRule="auto"/>
      </w:pPr>
      <w:r>
        <w:separator/>
      </w:r>
    </w:p>
  </w:endnote>
  <w:endnote w:type="continuationSeparator" w:id="0">
    <w:p w:rsidR="00624251" w:rsidRDefault="0062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FF" w:rsidRDefault="006B40FF">
    <w:pPr>
      <w:pStyle w:val="Footer"/>
      <w:jc w:val="right"/>
    </w:pPr>
  </w:p>
  <w:p w:rsidR="006B40FF" w:rsidRDefault="006B40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251" w:rsidRDefault="00624251">
      <w:pPr>
        <w:spacing w:after="0" w:line="240" w:lineRule="auto"/>
      </w:pPr>
      <w:r>
        <w:separator/>
      </w:r>
    </w:p>
  </w:footnote>
  <w:footnote w:type="continuationSeparator" w:id="0">
    <w:p w:rsidR="00624251" w:rsidRDefault="00624251">
      <w:pPr>
        <w:spacing w:after="0" w:line="240" w:lineRule="auto"/>
      </w:pPr>
      <w:r>
        <w:continuationSeparator/>
      </w:r>
    </w:p>
  </w:footnote>
  <w:footnote w:id="1">
    <w:p w:rsidR="00C217BB" w:rsidRDefault="00C217BB">
      <w:pPr>
        <w:pStyle w:val="FootnoteText"/>
      </w:pPr>
      <w:r>
        <w:rPr>
          <w:rStyle w:val="FootnoteReference"/>
        </w:rPr>
        <w:footnoteRef/>
      </w:r>
      <w:r>
        <w:t xml:space="preserve"> </w:t>
      </w:r>
      <w:r w:rsidRPr="00C217BB">
        <w:t xml:space="preserve">  (HC-MD-CIV-ACT 2016-03173) [2017] NAHCMD 61 (8 March 2017)</w:t>
      </w:r>
      <w:r w:rsidR="006E6756">
        <w:t>.</w:t>
      </w:r>
    </w:p>
  </w:footnote>
  <w:footnote w:id="2">
    <w:p w:rsidR="00E3743E" w:rsidRDefault="00E3743E">
      <w:pPr>
        <w:pStyle w:val="FootnoteText"/>
      </w:pPr>
      <w:r>
        <w:rPr>
          <w:rStyle w:val="FootnoteReference"/>
        </w:rPr>
        <w:footnoteRef/>
      </w:r>
      <w:r>
        <w:t xml:space="preserve"> </w:t>
      </w:r>
      <w:r w:rsidRPr="00E3743E">
        <w:t>2017 (3) NR 880 (SC)</w:t>
      </w:r>
      <w:r w:rsidR="006E67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6B40FF" w:rsidRDefault="007E39A5">
        <w:pPr>
          <w:pStyle w:val="Header"/>
          <w:jc w:val="right"/>
        </w:pPr>
        <w:r>
          <w:fldChar w:fldCharType="begin"/>
        </w:r>
        <w:r>
          <w:instrText xml:space="preserve"> PAGE   \* MERGEFORMAT </w:instrText>
        </w:r>
        <w:r>
          <w:fldChar w:fldCharType="separate"/>
        </w:r>
        <w:r w:rsidR="00F02BB6">
          <w:rPr>
            <w:noProof/>
          </w:rPr>
          <w:t>3</w:t>
        </w:r>
        <w:r>
          <w:rPr>
            <w:noProof/>
          </w:rPr>
          <w:fldChar w:fldCharType="end"/>
        </w:r>
      </w:p>
    </w:sdtContent>
  </w:sdt>
  <w:p w:rsidR="006B40FF" w:rsidRDefault="006B4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719"/>
    <w:multiLevelType w:val="hybridMultilevel"/>
    <w:tmpl w:val="7164A2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7D69E1"/>
    <w:multiLevelType w:val="hybridMultilevel"/>
    <w:tmpl w:val="A14C9046"/>
    <w:lvl w:ilvl="0" w:tplc="54F498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11D04"/>
    <w:rsid w:val="00015EBC"/>
    <w:rsid w:val="00022CA7"/>
    <w:rsid w:val="0006104D"/>
    <w:rsid w:val="000A5BB7"/>
    <w:rsid w:val="000C32BA"/>
    <w:rsid w:val="000D4AF7"/>
    <w:rsid w:val="000F2E52"/>
    <w:rsid w:val="000F6F44"/>
    <w:rsid w:val="0013534D"/>
    <w:rsid w:val="00136FA0"/>
    <w:rsid w:val="00145F7E"/>
    <w:rsid w:val="00164F37"/>
    <w:rsid w:val="00171E96"/>
    <w:rsid w:val="00182236"/>
    <w:rsid w:val="00190BB3"/>
    <w:rsid w:val="00195714"/>
    <w:rsid w:val="00197241"/>
    <w:rsid w:val="001A2A1D"/>
    <w:rsid w:val="00240D15"/>
    <w:rsid w:val="00251DCA"/>
    <w:rsid w:val="00260788"/>
    <w:rsid w:val="00286C6F"/>
    <w:rsid w:val="00294086"/>
    <w:rsid w:val="002B2996"/>
    <w:rsid w:val="002B3847"/>
    <w:rsid w:val="002C32C0"/>
    <w:rsid w:val="002D1A8C"/>
    <w:rsid w:val="002E76C8"/>
    <w:rsid w:val="002F0DC6"/>
    <w:rsid w:val="002F0DFF"/>
    <w:rsid w:val="00340AC2"/>
    <w:rsid w:val="00341DE7"/>
    <w:rsid w:val="00343FC9"/>
    <w:rsid w:val="00354864"/>
    <w:rsid w:val="0036298C"/>
    <w:rsid w:val="003777E4"/>
    <w:rsid w:val="00396E53"/>
    <w:rsid w:val="003D0BA1"/>
    <w:rsid w:val="003F2084"/>
    <w:rsid w:val="00413933"/>
    <w:rsid w:val="00445901"/>
    <w:rsid w:val="0047031C"/>
    <w:rsid w:val="00476C95"/>
    <w:rsid w:val="004853CF"/>
    <w:rsid w:val="00490A3E"/>
    <w:rsid w:val="004B35D6"/>
    <w:rsid w:val="004F353E"/>
    <w:rsid w:val="00520C6F"/>
    <w:rsid w:val="005264B7"/>
    <w:rsid w:val="005330BF"/>
    <w:rsid w:val="00566D6F"/>
    <w:rsid w:val="00590CB3"/>
    <w:rsid w:val="005912D1"/>
    <w:rsid w:val="00597A94"/>
    <w:rsid w:val="005B30C1"/>
    <w:rsid w:val="005B5600"/>
    <w:rsid w:val="006019E4"/>
    <w:rsid w:val="006058E1"/>
    <w:rsid w:val="00624251"/>
    <w:rsid w:val="00631338"/>
    <w:rsid w:val="00647B88"/>
    <w:rsid w:val="006719E5"/>
    <w:rsid w:val="00691C5B"/>
    <w:rsid w:val="00694C63"/>
    <w:rsid w:val="006B37C1"/>
    <w:rsid w:val="006B40FF"/>
    <w:rsid w:val="006B4B2C"/>
    <w:rsid w:val="006B7A53"/>
    <w:rsid w:val="006D68AE"/>
    <w:rsid w:val="006E6756"/>
    <w:rsid w:val="006F4541"/>
    <w:rsid w:val="00700664"/>
    <w:rsid w:val="00714A1C"/>
    <w:rsid w:val="007311FC"/>
    <w:rsid w:val="00741741"/>
    <w:rsid w:val="00752467"/>
    <w:rsid w:val="00761D89"/>
    <w:rsid w:val="00764F26"/>
    <w:rsid w:val="00771BBE"/>
    <w:rsid w:val="007B0F64"/>
    <w:rsid w:val="007E39A5"/>
    <w:rsid w:val="007E5EBF"/>
    <w:rsid w:val="00830264"/>
    <w:rsid w:val="0084585F"/>
    <w:rsid w:val="008834B5"/>
    <w:rsid w:val="008A611E"/>
    <w:rsid w:val="008A7EF2"/>
    <w:rsid w:val="008B0F26"/>
    <w:rsid w:val="008B1563"/>
    <w:rsid w:val="008B2F23"/>
    <w:rsid w:val="008B3556"/>
    <w:rsid w:val="008E1BDB"/>
    <w:rsid w:val="008E7462"/>
    <w:rsid w:val="00911788"/>
    <w:rsid w:val="00924050"/>
    <w:rsid w:val="00931FFE"/>
    <w:rsid w:val="00945D60"/>
    <w:rsid w:val="00950676"/>
    <w:rsid w:val="009804C2"/>
    <w:rsid w:val="0098758C"/>
    <w:rsid w:val="009B0213"/>
    <w:rsid w:val="009B675D"/>
    <w:rsid w:val="009E1213"/>
    <w:rsid w:val="009E4074"/>
    <w:rsid w:val="009F3BC1"/>
    <w:rsid w:val="009F4484"/>
    <w:rsid w:val="00A41781"/>
    <w:rsid w:val="00A42ADF"/>
    <w:rsid w:val="00A44B55"/>
    <w:rsid w:val="00A6230B"/>
    <w:rsid w:val="00AA11C6"/>
    <w:rsid w:val="00AD3283"/>
    <w:rsid w:val="00AE69ED"/>
    <w:rsid w:val="00AE79A4"/>
    <w:rsid w:val="00B06D42"/>
    <w:rsid w:val="00B21E34"/>
    <w:rsid w:val="00B23458"/>
    <w:rsid w:val="00B6047C"/>
    <w:rsid w:val="00B707AE"/>
    <w:rsid w:val="00BC6760"/>
    <w:rsid w:val="00BF569E"/>
    <w:rsid w:val="00BF724C"/>
    <w:rsid w:val="00C217BB"/>
    <w:rsid w:val="00C44DB7"/>
    <w:rsid w:val="00C62860"/>
    <w:rsid w:val="00C73FE1"/>
    <w:rsid w:val="00CB04BF"/>
    <w:rsid w:val="00CB2DD6"/>
    <w:rsid w:val="00CC43C7"/>
    <w:rsid w:val="00CC59C6"/>
    <w:rsid w:val="00CF5FB9"/>
    <w:rsid w:val="00D175BC"/>
    <w:rsid w:val="00D5088E"/>
    <w:rsid w:val="00D71526"/>
    <w:rsid w:val="00D92FF3"/>
    <w:rsid w:val="00DA1B7C"/>
    <w:rsid w:val="00DC0ED4"/>
    <w:rsid w:val="00DC6EEA"/>
    <w:rsid w:val="00DD6F6B"/>
    <w:rsid w:val="00E00AB4"/>
    <w:rsid w:val="00E01384"/>
    <w:rsid w:val="00E05F5D"/>
    <w:rsid w:val="00E1463D"/>
    <w:rsid w:val="00E173FF"/>
    <w:rsid w:val="00E17A14"/>
    <w:rsid w:val="00E3743E"/>
    <w:rsid w:val="00E56270"/>
    <w:rsid w:val="00E8648C"/>
    <w:rsid w:val="00EC2A84"/>
    <w:rsid w:val="00ED21B5"/>
    <w:rsid w:val="00EF0F06"/>
    <w:rsid w:val="00EF3220"/>
    <w:rsid w:val="00F02BB6"/>
    <w:rsid w:val="00F46C92"/>
    <w:rsid w:val="00F5563C"/>
    <w:rsid w:val="00F97EFA"/>
    <w:rsid w:val="00FA59C0"/>
    <w:rsid w:val="00FB001E"/>
    <w:rsid w:val="00FB09C0"/>
    <w:rsid w:val="00FB1202"/>
    <w:rsid w:val="00FB7F5E"/>
    <w:rsid w:val="00FC137A"/>
    <w:rsid w:val="00FC36A6"/>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9CBA1-100B-4D75-B781-B623857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character" w:styleId="Strong">
    <w:name w:val="Strong"/>
    <w:basedOn w:val="DefaultParagraphFont"/>
    <w:uiPriority w:val="22"/>
    <w:qFormat/>
    <w:rsid w:val="0098758C"/>
    <w:rPr>
      <w:b/>
      <w:bCs/>
    </w:rPr>
  </w:style>
  <w:style w:type="paragraph" w:styleId="NormalWeb">
    <w:name w:val="Normal (Web)"/>
    <w:basedOn w:val="Normal"/>
    <w:uiPriority w:val="99"/>
    <w:semiHidden/>
    <w:unhideWhenUsed/>
    <w:rsid w:val="00E8648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8648C"/>
    <w:rPr>
      <w:color w:val="0000FF"/>
      <w:u w:val="single"/>
    </w:rPr>
  </w:style>
  <w:style w:type="paragraph" w:styleId="FootnoteText">
    <w:name w:val="footnote text"/>
    <w:basedOn w:val="Normal"/>
    <w:link w:val="FootnoteTextChar"/>
    <w:uiPriority w:val="99"/>
    <w:semiHidden/>
    <w:unhideWhenUsed/>
    <w:rsid w:val="00E86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48C"/>
    <w:rPr>
      <w:sz w:val="20"/>
      <w:szCs w:val="20"/>
      <w:lang w:val="en-ZA"/>
    </w:rPr>
  </w:style>
  <w:style w:type="character" w:styleId="FootnoteReference">
    <w:name w:val="footnote reference"/>
    <w:basedOn w:val="DefaultParagraphFont"/>
    <w:uiPriority w:val="99"/>
    <w:semiHidden/>
    <w:unhideWhenUsed/>
    <w:rsid w:val="00E8648C"/>
    <w:rPr>
      <w:vertAlign w:val="superscript"/>
    </w:rPr>
  </w:style>
  <w:style w:type="paragraph" w:styleId="ListParagraph">
    <w:name w:val="List Paragraph"/>
    <w:basedOn w:val="Normal"/>
    <w:uiPriority w:val="34"/>
    <w:qFormat/>
    <w:rsid w:val="0034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06697">
      <w:bodyDiv w:val="1"/>
      <w:marLeft w:val="0"/>
      <w:marRight w:val="0"/>
      <w:marTop w:val="0"/>
      <w:marBottom w:val="0"/>
      <w:divBdr>
        <w:top w:val="none" w:sz="0" w:space="0" w:color="auto"/>
        <w:left w:val="none" w:sz="0" w:space="0" w:color="auto"/>
        <w:bottom w:val="none" w:sz="0" w:space="0" w:color="auto"/>
        <w:right w:val="none" w:sz="0" w:space="0" w:color="auto"/>
      </w:divBdr>
    </w:div>
    <w:div w:id="20647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2020-07-08T18:30:00+00:00</Judgment_x0020_Date>
    <Year xmlns="c1afb1bd-f2fb-40fd-9abb-aea55b4d7662">2020</Year>
  </documentManagement>
</p:properties>
</file>

<file path=customXml/itemProps1.xml><?xml version="1.0" encoding="utf-8"?>
<ds:datastoreItem xmlns:ds="http://schemas.openxmlformats.org/officeDocument/2006/customXml" ds:itemID="{B99B5016-0D0C-4BDF-89FD-2D304CBF4378}"/>
</file>

<file path=customXml/itemProps2.xml><?xml version="1.0" encoding="utf-8"?>
<ds:datastoreItem xmlns:ds="http://schemas.openxmlformats.org/officeDocument/2006/customXml" ds:itemID="{4A321CE9-5D42-43E2-8C41-7B0DB3B70C5C}"/>
</file>

<file path=customXml/itemProps3.xml><?xml version="1.0" encoding="utf-8"?>
<ds:datastoreItem xmlns:ds="http://schemas.openxmlformats.org/officeDocument/2006/customXml" ds:itemID="{44F385D3-307C-4DE6-AFFF-CCD12D99C5CC}"/>
</file>

<file path=customXml/itemProps4.xml><?xml version="1.0" encoding="utf-8"?>
<ds:datastoreItem xmlns:ds="http://schemas.openxmlformats.org/officeDocument/2006/customXml" ds:itemID="{FAAF5BF4-6566-4665-93B2-F887A14737A8}"/>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Swakop Uranium (Pty) Ltd v Lubbe (HC-MD-CIV-ACT-CON-2018-04815) [2020] NAHCMD 281 (9 July 2020)</dc:title>
  <dc:creator>Priscilla Nande</dc:creator>
  <cp:lastModifiedBy>Administrator</cp:lastModifiedBy>
  <cp:revision>3</cp:revision>
  <cp:lastPrinted>2020-07-24T13:36:00Z</cp:lastPrinted>
  <dcterms:created xsi:type="dcterms:W3CDTF">2020-07-27T06:41:00Z</dcterms:created>
  <dcterms:modified xsi:type="dcterms:W3CDTF">2020-07-27T06:46:00Z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