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B1" w:rsidRPr="0070740F" w:rsidRDefault="004A55B1" w:rsidP="004A55B1">
      <w:pPr>
        <w:spacing w:line="360" w:lineRule="auto"/>
        <w:jc w:val="center"/>
        <w:rPr>
          <w:rFonts w:ascii="Arial" w:hAnsi="Arial"/>
          <w:b/>
        </w:rPr>
      </w:pPr>
      <w:r w:rsidRPr="0070740F">
        <w:rPr>
          <w:rFonts w:ascii="Arial" w:hAnsi="Arial"/>
          <w:b/>
        </w:rPr>
        <w:t>REPUBLIC OF NAMIBIA</w:t>
      </w:r>
    </w:p>
    <w:p w:rsidR="004A55B1" w:rsidRPr="00456884" w:rsidRDefault="004A55B1" w:rsidP="004A55B1">
      <w:pPr>
        <w:spacing w:line="360" w:lineRule="auto"/>
        <w:jc w:val="center"/>
        <w:rPr>
          <w:rFonts w:ascii="Arial" w:hAnsi="Arial"/>
          <w:b/>
        </w:rPr>
      </w:pPr>
      <w:r w:rsidRPr="00456884">
        <w:rPr>
          <w:rFonts w:ascii="Arial" w:hAnsi="Arial"/>
          <w:b/>
          <w:noProof/>
          <w:lang w:val="en-US"/>
        </w:rPr>
        <w:drawing>
          <wp:inline distT="0" distB="0" distL="0" distR="0" wp14:anchorId="2A8B9DEF" wp14:editId="4936A653">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6E486A" w:rsidRDefault="00DD3246" w:rsidP="00DD3246">
      <w:pPr>
        <w:jc w:val="center"/>
        <w:rPr>
          <w:rFonts w:ascii="Arial" w:hAnsi="Arial"/>
          <w:b/>
        </w:rPr>
      </w:pPr>
      <w:r>
        <w:rPr>
          <w:rFonts w:ascii="Arial" w:hAnsi="Arial"/>
          <w:b/>
        </w:rPr>
        <w:t>HIGH COURT OF NAMIBIA, MAIN DIVISION, WINDHOEK</w:t>
      </w:r>
    </w:p>
    <w:p w:rsidR="00DD3246" w:rsidRDefault="00DD3246" w:rsidP="00DD3246">
      <w:pPr>
        <w:jc w:val="center"/>
        <w:rPr>
          <w:rFonts w:ascii="Arial" w:hAnsi="Arial"/>
          <w:b/>
        </w:rPr>
      </w:pPr>
    </w:p>
    <w:p w:rsidR="0015203B" w:rsidRPr="00C50309" w:rsidRDefault="00DD3246" w:rsidP="0015203B">
      <w:pPr>
        <w:jc w:val="center"/>
        <w:rPr>
          <w:rFonts w:ascii="Arial" w:eastAsia="MS Mincho" w:hAnsi="Arial" w:cs="Arial"/>
          <w:b/>
        </w:rPr>
      </w:pPr>
      <w:r>
        <w:rPr>
          <w:rFonts w:ascii="Arial" w:hAnsi="Arial"/>
          <w:b/>
        </w:rPr>
        <w:t>RULING</w:t>
      </w:r>
      <w:r w:rsidR="0015203B" w:rsidRPr="0015203B">
        <w:rPr>
          <w:rFonts w:ascii="Arial" w:eastAsia="MS Mincho" w:hAnsi="Arial" w:cs="Arial"/>
          <w:b/>
          <w:i/>
        </w:rPr>
        <w:t xml:space="preserve"> </w:t>
      </w:r>
      <w:r w:rsidR="0015203B" w:rsidRPr="00C50309">
        <w:rPr>
          <w:rFonts w:ascii="Arial" w:eastAsia="MS Mincho" w:hAnsi="Arial" w:cs="Arial"/>
          <w:b/>
          <w:i/>
        </w:rPr>
        <w:t>I.T.O.</w:t>
      </w:r>
      <w:r w:rsidR="0015203B" w:rsidRPr="00C50309">
        <w:rPr>
          <w:rFonts w:ascii="Arial" w:eastAsia="MS Mincho" w:hAnsi="Arial" w:cs="Arial"/>
          <w:b/>
        </w:rPr>
        <w:t xml:space="preserve"> PRACTICE DIRECTIVE 61</w:t>
      </w:r>
    </w:p>
    <w:p w:rsidR="00DD3246" w:rsidRDefault="00DD3246" w:rsidP="00DD3246">
      <w:pPr>
        <w:jc w:val="center"/>
        <w:rPr>
          <w:rFonts w:ascii="Arial" w:hAnsi="Arial"/>
          <w:b/>
        </w:rPr>
      </w:pPr>
    </w:p>
    <w:p w:rsidR="00DD3246" w:rsidRDefault="00DD3246" w:rsidP="00DD3246">
      <w:pPr>
        <w:jc w:val="center"/>
        <w:rPr>
          <w:rFonts w:ascii="Arial" w:hAnsi="Arial"/>
          <w:b/>
        </w:rPr>
      </w:pPr>
    </w:p>
    <w:p w:rsidR="00DD3246" w:rsidRDefault="00DD3246" w:rsidP="00DD3246">
      <w:pPr>
        <w:jc w:val="center"/>
        <w:rPr>
          <w:rFonts w:ascii="Arial" w:hAnsi="Arial"/>
          <w:b/>
        </w:rPr>
      </w:pPr>
    </w:p>
    <w:p w:rsidR="00DD3246" w:rsidRDefault="00DD3246" w:rsidP="00DD3246">
      <w:pPr>
        <w:jc w:val="right"/>
        <w:rPr>
          <w:rFonts w:ascii="Arial" w:hAnsi="Arial"/>
        </w:rPr>
      </w:pPr>
      <w:r>
        <w:rPr>
          <w:rFonts w:ascii="Arial" w:hAnsi="Arial"/>
        </w:rPr>
        <w:t>HC-MD</w:t>
      </w:r>
      <w:r w:rsidR="0015203B">
        <w:rPr>
          <w:rFonts w:ascii="Arial" w:hAnsi="Arial"/>
        </w:rPr>
        <w:t>-</w:t>
      </w:r>
      <w:r>
        <w:rPr>
          <w:rFonts w:ascii="Arial" w:hAnsi="Arial"/>
        </w:rPr>
        <w:t>CIV-MOT-GEN-2019/00434</w:t>
      </w:r>
    </w:p>
    <w:p w:rsidR="00DD3246" w:rsidRDefault="00DD3246" w:rsidP="00DD3246">
      <w:pPr>
        <w:jc w:val="right"/>
        <w:rPr>
          <w:rFonts w:ascii="Arial" w:hAnsi="Arial"/>
        </w:rPr>
      </w:pPr>
    </w:p>
    <w:p w:rsidR="00DD3246" w:rsidRDefault="00DD3246" w:rsidP="00DD3246">
      <w:pPr>
        <w:rPr>
          <w:rFonts w:ascii="Arial" w:hAnsi="Arial"/>
        </w:rPr>
      </w:pPr>
      <w:r>
        <w:rPr>
          <w:rFonts w:ascii="Arial" w:hAnsi="Arial"/>
        </w:rPr>
        <w:t>In the matter between:</w:t>
      </w:r>
    </w:p>
    <w:p w:rsidR="00DD3246" w:rsidRDefault="00DD3246" w:rsidP="00DD3246">
      <w:pPr>
        <w:rPr>
          <w:rFonts w:ascii="Arial" w:hAnsi="Arial"/>
        </w:rPr>
      </w:pPr>
    </w:p>
    <w:p w:rsidR="00DD3246" w:rsidRDefault="00DD3246" w:rsidP="00DD3246">
      <w:pPr>
        <w:rPr>
          <w:rFonts w:ascii="Arial" w:hAnsi="Arial"/>
          <w:b/>
        </w:rPr>
      </w:pPr>
      <w:r>
        <w:rPr>
          <w:rFonts w:ascii="Arial" w:hAnsi="Arial"/>
          <w:b/>
        </w:rPr>
        <w:t>ALEX MABUKU KAMWI KAMWI                                                 APPLICANT</w:t>
      </w:r>
    </w:p>
    <w:p w:rsidR="00DD3246" w:rsidRDefault="00DD3246" w:rsidP="00DD3246">
      <w:pPr>
        <w:rPr>
          <w:rFonts w:ascii="Arial" w:hAnsi="Arial"/>
          <w:b/>
        </w:rPr>
      </w:pPr>
    </w:p>
    <w:p w:rsidR="00DD3246" w:rsidRDefault="00DD3246" w:rsidP="00DD3246">
      <w:pPr>
        <w:rPr>
          <w:rFonts w:ascii="Arial" w:hAnsi="Arial"/>
        </w:rPr>
      </w:pPr>
      <w:r>
        <w:rPr>
          <w:rFonts w:ascii="Arial" w:hAnsi="Arial"/>
        </w:rPr>
        <w:t>and</w:t>
      </w:r>
    </w:p>
    <w:p w:rsidR="00DD3246" w:rsidRDefault="00DD3246" w:rsidP="00DD3246">
      <w:pPr>
        <w:rPr>
          <w:rFonts w:ascii="Arial" w:hAnsi="Arial"/>
        </w:rPr>
      </w:pPr>
    </w:p>
    <w:p w:rsidR="00DD3246" w:rsidRDefault="00DD3246" w:rsidP="00DD3246">
      <w:pPr>
        <w:rPr>
          <w:rFonts w:ascii="Arial" w:hAnsi="Arial"/>
          <w:b/>
        </w:rPr>
      </w:pPr>
      <w:r>
        <w:rPr>
          <w:rFonts w:ascii="Arial" w:hAnsi="Arial"/>
          <w:b/>
        </w:rPr>
        <w:t>THE PROSECUTOR-GENERAL OF NAMIBIA             FIRST RESPONDENT</w:t>
      </w:r>
    </w:p>
    <w:p w:rsidR="00DD3246" w:rsidRDefault="00DD3246" w:rsidP="00DD3246">
      <w:pPr>
        <w:rPr>
          <w:rFonts w:ascii="Arial" w:hAnsi="Arial"/>
          <w:b/>
        </w:rPr>
      </w:pPr>
    </w:p>
    <w:p w:rsidR="00DD3246" w:rsidRDefault="00DD3246" w:rsidP="00DD3246">
      <w:pPr>
        <w:rPr>
          <w:rFonts w:ascii="Arial" w:hAnsi="Arial"/>
          <w:b/>
        </w:rPr>
      </w:pPr>
      <w:r>
        <w:rPr>
          <w:rFonts w:ascii="Arial" w:hAnsi="Arial"/>
          <w:b/>
        </w:rPr>
        <w:t xml:space="preserve">THE MAGISTRATE OF KATUTURA </w:t>
      </w:r>
    </w:p>
    <w:p w:rsidR="00DD3246" w:rsidRDefault="00DD3246" w:rsidP="00DD3246">
      <w:pPr>
        <w:rPr>
          <w:rFonts w:ascii="Arial" w:hAnsi="Arial"/>
          <w:b/>
        </w:rPr>
      </w:pPr>
      <w:r>
        <w:rPr>
          <w:rFonts w:ascii="Arial" w:hAnsi="Arial"/>
          <w:b/>
        </w:rPr>
        <w:t>MAGISTRATES’ COURT                                          SECOND RESPONDENT</w:t>
      </w:r>
    </w:p>
    <w:p w:rsidR="00DD3246" w:rsidRDefault="00DD3246" w:rsidP="00DD3246">
      <w:pPr>
        <w:rPr>
          <w:rFonts w:ascii="Arial" w:hAnsi="Arial"/>
          <w:b/>
        </w:rPr>
      </w:pPr>
    </w:p>
    <w:p w:rsidR="0015203B" w:rsidRDefault="0015203B" w:rsidP="00DD3246">
      <w:pPr>
        <w:rPr>
          <w:rFonts w:ascii="Arial" w:hAnsi="Arial"/>
          <w:b/>
        </w:rPr>
      </w:pPr>
    </w:p>
    <w:p w:rsidR="0015203B" w:rsidRPr="00BE05DE" w:rsidRDefault="0015203B" w:rsidP="0015203B">
      <w:pPr>
        <w:tabs>
          <w:tab w:val="right" w:pos="9498"/>
        </w:tabs>
        <w:spacing w:line="360" w:lineRule="auto"/>
        <w:rPr>
          <w:rFonts w:ascii="Arial" w:hAnsi="Arial" w:cs="Arial"/>
          <w:b/>
        </w:rPr>
      </w:pPr>
      <w:r>
        <w:rPr>
          <w:rFonts w:ascii="Arial" w:hAnsi="Arial" w:cs="Arial"/>
          <w:b/>
        </w:rPr>
        <w:t xml:space="preserve">Neutral Citation: </w:t>
      </w:r>
      <w:r>
        <w:rPr>
          <w:rFonts w:ascii="Arial" w:hAnsi="Arial" w:cs="Arial"/>
          <w:i/>
        </w:rPr>
        <w:t xml:space="preserve">Kamwi v The </w:t>
      </w:r>
      <w:r w:rsidR="00551E77">
        <w:rPr>
          <w:rFonts w:ascii="Arial" w:hAnsi="Arial" w:cs="Arial"/>
          <w:i/>
        </w:rPr>
        <w:t xml:space="preserve">Prosecutor General of Namibia </w:t>
      </w:r>
      <w:r w:rsidR="00611FB7">
        <w:rPr>
          <w:rFonts w:ascii="Arial" w:hAnsi="Arial" w:cs="Arial"/>
          <w:i/>
        </w:rPr>
        <w:t>(</w:t>
      </w:r>
      <w:r>
        <w:rPr>
          <w:rFonts w:ascii="Arial" w:hAnsi="Arial" w:cs="Arial"/>
        </w:rPr>
        <w:t>HC-MD-CIV-MOT</w:t>
      </w:r>
      <w:r w:rsidR="00200918">
        <w:rPr>
          <w:rFonts w:ascii="Arial" w:hAnsi="Arial" w:cs="Arial"/>
        </w:rPr>
        <w:t>-GEN-2019/00434) [2020] NAHCMD 284</w:t>
      </w:r>
      <w:r>
        <w:rPr>
          <w:rFonts w:ascii="Arial" w:hAnsi="Arial" w:cs="Arial"/>
        </w:rPr>
        <w:t xml:space="preserve"> (10 July 2020)</w:t>
      </w:r>
    </w:p>
    <w:p w:rsidR="0015203B" w:rsidRDefault="0015203B" w:rsidP="0015203B">
      <w:pPr>
        <w:tabs>
          <w:tab w:val="right" w:pos="9498"/>
        </w:tabs>
        <w:spacing w:line="360" w:lineRule="auto"/>
        <w:rPr>
          <w:rFonts w:ascii="Arial" w:hAnsi="Arial" w:cs="Arial"/>
        </w:rPr>
      </w:pPr>
    </w:p>
    <w:p w:rsidR="0015203B" w:rsidRDefault="0015203B" w:rsidP="0015203B">
      <w:pPr>
        <w:tabs>
          <w:tab w:val="right" w:pos="9498"/>
        </w:tabs>
        <w:spacing w:line="360" w:lineRule="auto"/>
        <w:rPr>
          <w:rFonts w:ascii="Arial" w:hAnsi="Arial" w:cs="Arial"/>
        </w:rPr>
      </w:pPr>
      <w:r w:rsidRPr="00E61C7A">
        <w:rPr>
          <w:rFonts w:ascii="Arial" w:hAnsi="Arial" w:cs="Arial"/>
          <w:b/>
        </w:rPr>
        <w:t>Coram</w:t>
      </w:r>
      <w:r>
        <w:rPr>
          <w:rFonts w:ascii="Arial" w:hAnsi="Arial" w:cs="Arial"/>
        </w:rPr>
        <w:t>:   Masuku J</w:t>
      </w:r>
    </w:p>
    <w:p w:rsidR="0015203B" w:rsidRDefault="0015203B" w:rsidP="0015203B">
      <w:pPr>
        <w:tabs>
          <w:tab w:val="right" w:pos="9498"/>
        </w:tabs>
        <w:spacing w:line="360" w:lineRule="auto"/>
        <w:rPr>
          <w:rFonts w:ascii="Arial" w:hAnsi="Arial" w:cs="Arial"/>
        </w:rPr>
      </w:pPr>
    </w:p>
    <w:p w:rsidR="0015203B" w:rsidRDefault="0015203B" w:rsidP="0015203B">
      <w:pPr>
        <w:tabs>
          <w:tab w:val="right" w:pos="9498"/>
        </w:tabs>
        <w:spacing w:line="360" w:lineRule="auto"/>
        <w:rPr>
          <w:rFonts w:ascii="Arial" w:hAnsi="Arial" w:cs="Arial"/>
        </w:rPr>
      </w:pPr>
      <w:r w:rsidRPr="00E61C7A">
        <w:rPr>
          <w:rFonts w:ascii="Arial" w:hAnsi="Arial" w:cs="Arial"/>
          <w:b/>
        </w:rPr>
        <w:t>Heard on</w:t>
      </w:r>
      <w:r w:rsidR="00F75139">
        <w:rPr>
          <w:rFonts w:ascii="Arial" w:hAnsi="Arial" w:cs="Arial"/>
        </w:rPr>
        <w:t>: 11</w:t>
      </w:r>
      <w:r>
        <w:rPr>
          <w:rFonts w:ascii="Arial" w:hAnsi="Arial" w:cs="Arial"/>
        </w:rPr>
        <w:t xml:space="preserve"> June 2020</w:t>
      </w:r>
    </w:p>
    <w:p w:rsidR="0015203B" w:rsidRPr="00551E77" w:rsidRDefault="0015203B" w:rsidP="0015203B">
      <w:pPr>
        <w:tabs>
          <w:tab w:val="right" w:pos="9498"/>
        </w:tabs>
        <w:spacing w:line="360" w:lineRule="auto"/>
        <w:rPr>
          <w:rFonts w:ascii="Arial" w:hAnsi="Arial" w:cs="Arial"/>
          <w:b/>
        </w:rPr>
      </w:pPr>
      <w:r w:rsidRPr="00551E77">
        <w:rPr>
          <w:rFonts w:ascii="Arial" w:hAnsi="Arial" w:cs="Arial"/>
          <w:b/>
        </w:rPr>
        <w:t>Delivered</w:t>
      </w:r>
      <w:r w:rsidR="00B4699C" w:rsidRPr="00551E77">
        <w:rPr>
          <w:rFonts w:ascii="Arial" w:hAnsi="Arial" w:cs="Arial"/>
          <w:b/>
        </w:rPr>
        <w:t>: 10 July</w:t>
      </w:r>
      <w:r w:rsidRPr="00551E77">
        <w:rPr>
          <w:rFonts w:ascii="Arial" w:hAnsi="Arial" w:cs="Arial"/>
          <w:b/>
        </w:rPr>
        <w:t xml:space="preserve"> 2020</w:t>
      </w:r>
    </w:p>
    <w:p w:rsidR="0015203B" w:rsidRDefault="0015203B" w:rsidP="00DD3246">
      <w:pPr>
        <w:rPr>
          <w:rFonts w:ascii="Arial" w:hAnsi="Arial"/>
          <w:b/>
        </w:rPr>
      </w:pPr>
    </w:p>
    <w:p w:rsidR="00DD3246" w:rsidRDefault="00DD3246" w:rsidP="00DD3246">
      <w:pPr>
        <w:pBdr>
          <w:bottom w:val="single" w:sz="6" w:space="1" w:color="auto"/>
        </w:pBdr>
        <w:rPr>
          <w:rFonts w:ascii="Arial" w:hAnsi="Arial"/>
          <w:b/>
        </w:rPr>
      </w:pPr>
    </w:p>
    <w:p w:rsidR="00DD3246" w:rsidRDefault="00DD3246" w:rsidP="00DD3246">
      <w:pPr>
        <w:rPr>
          <w:rFonts w:ascii="Arial" w:hAnsi="Arial"/>
          <w:b/>
        </w:rPr>
      </w:pPr>
    </w:p>
    <w:p w:rsidR="00DD3246" w:rsidRDefault="00591341" w:rsidP="00DD3246">
      <w:pPr>
        <w:jc w:val="center"/>
        <w:rPr>
          <w:rFonts w:ascii="Arial" w:hAnsi="Arial"/>
          <w:b/>
        </w:rPr>
      </w:pPr>
      <w:r>
        <w:rPr>
          <w:rFonts w:ascii="Arial" w:hAnsi="Arial"/>
          <w:b/>
        </w:rPr>
        <w:t>ORDER</w:t>
      </w:r>
    </w:p>
    <w:p w:rsidR="00DD3246" w:rsidRDefault="00DD3246" w:rsidP="00DD3246">
      <w:pPr>
        <w:pBdr>
          <w:bottom w:val="single" w:sz="6" w:space="1" w:color="auto"/>
        </w:pBdr>
        <w:jc w:val="center"/>
        <w:rPr>
          <w:rFonts w:ascii="Arial" w:hAnsi="Arial"/>
          <w:b/>
        </w:rPr>
      </w:pPr>
    </w:p>
    <w:p w:rsidR="00DD3246" w:rsidRDefault="00DD3246" w:rsidP="00DD3246">
      <w:pPr>
        <w:rPr>
          <w:rFonts w:ascii="Arial" w:hAnsi="Arial"/>
        </w:rPr>
      </w:pPr>
    </w:p>
    <w:p w:rsidR="00591341" w:rsidRPr="007B3679" w:rsidRDefault="00591341" w:rsidP="00591341">
      <w:pPr>
        <w:pStyle w:val="ListParagraph"/>
        <w:numPr>
          <w:ilvl w:val="0"/>
          <w:numId w:val="3"/>
        </w:numPr>
        <w:spacing w:line="360" w:lineRule="auto"/>
        <w:jc w:val="both"/>
        <w:rPr>
          <w:rFonts w:ascii="Arial" w:hAnsi="Arial"/>
        </w:rPr>
      </w:pPr>
      <w:r w:rsidRPr="007B3679">
        <w:rPr>
          <w:rFonts w:ascii="Arial" w:hAnsi="Arial"/>
        </w:rPr>
        <w:t>The application for the filing of the answering affidavit is refused.</w:t>
      </w:r>
    </w:p>
    <w:p w:rsidR="00591341" w:rsidRDefault="00591341" w:rsidP="00591341">
      <w:pPr>
        <w:pStyle w:val="ListParagraph"/>
        <w:numPr>
          <w:ilvl w:val="0"/>
          <w:numId w:val="3"/>
        </w:numPr>
        <w:spacing w:line="360" w:lineRule="auto"/>
        <w:jc w:val="both"/>
        <w:rPr>
          <w:rFonts w:ascii="Arial" w:hAnsi="Arial"/>
        </w:rPr>
      </w:pPr>
      <w:r>
        <w:rPr>
          <w:rFonts w:ascii="Arial" w:hAnsi="Arial"/>
        </w:rPr>
        <w:t>The applicant is entitled to disbursements incurred in opposing this application.</w:t>
      </w:r>
    </w:p>
    <w:p w:rsidR="00591341" w:rsidRDefault="00591341" w:rsidP="00591341">
      <w:pPr>
        <w:pStyle w:val="ListParagraph"/>
        <w:numPr>
          <w:ilvl w:val="0"/>
          <w:numId w:val="3"/>
        </w:numPr>
        <w:spacing w:line="360" w:lineRule="auto"/>
        <w:jc w:val="both"/>
        <w:rPr>
          <w:rFonts w:ascii="Arial" w:hAnsi="Arial"/>
        </w:rPr>
      </w:pPr>
      <w:r>
        <w:rPr>
          <w:rFonts w:ascii="Arial" w:hAnsi="Arial"/>
        </w:rPr>
        <w:lastRenderedPageBreak/>
        <w:t>The matter is postponed to 16 July 2020 for further directions on the progression of the matter.</w:t>
      </w:r>
    </w:p>
    <w:p w:rsidR="00591341" w:rsidRDefault="00591341" w:rsidP="00591341">
      <w:pPr>
        <w:pBdr>
          <w:bottom w:val="single" w:sz="6" w:space="1" w:color="auto"/>
        </w:pBdr>
        <w:rPr>
          <w:rFonts w:ascii="Arial" w:hAnsi="Arial"/>
          <w:b/>
        </w:rPr>
      </w:pPr>
    </w:p>
    <w:p w:rsidR="00591341" w:rsidRDefault="00591341" w:rsidP="00591341">
      <w:pPr>
        <w:rPr>
          <w:rFonts w:ascii="Arial" w:hAnsi="Arial"/>
          <w:b/>
        </w:rPr>
      </w:pPr>
    </w:p>
    <w:p w:rsidR="00591341" w:rsidRDefault="00591341" w:rsidP="00591341">
      <w:pPr>
        <w:jc w:val="center"/>
        <w:rPr>
          <w:rFonts w:ascii="Arial" w:hAnsi="Arial"/>
          <w:b/>
        </w:rPr>
      </w:pPr>
      <w:r>
        <w:rPr>
          <w:rFonts w:ascii="Arial" w:hAnsi="Arial"/>
          <w:b/>
        </w:rPr>
        <w:t>REASONS FOR THE ORDER</w:t>
      </w:r>
    </w:p>
    <w:p w:rsidR="00591341" w:rsidRDefault="00591341" w:rsidP="00591341">
      <w:pPr>
        <w:jc w:val="center"/>
        <w:rPr>
          <w:rFonts w:ascii="Arial" w:hAnsi="Arial"/>
          <w:b/>
        </w:rPr>
      </w:pPr>
    </w:p>
    <w:p w:rsidR="00591341" w:rsidRDefault="00591341" w:rsidP="00591341">
      <w:pPr>
        <w:pBdr>
          <w:top w:val="single" w:sz="4" w:space="1" w:color="auto"/>
        </w:pBdr>
        <w:rPr>
          <w:rFonts w:ascii="Arial" w:hAnsi="Arial"/>
          <w:b/>
        </w:rPr>
      </w:pPr>
    </w:p>
    <w:p w:rsidR="00591341" w:rsidRDefault="00591341" w:rsidP="00591341">
      <w:pPr>
        <w:pBdr>
          <w:top w:val="single" w:sz="4" w:space="1" w:color="auto"/>
        </w:pBdr>
        <w:rPr>
          <w:rFonts w:ascii="Arial" w:hAnsi="Arial"/>
          <w:b/>
        </w:rPr>
      </w:pPr>
    </w:p>
    <w:p w:rsidR="00DD3246" w:rsidRDefault="00DD3246" w:rsidP="00591341">
      <w:pPr>
        <w:pBdr>
          <w:top w:val="single" w:sz="4" w:space="1" w:color="auto"/>
        </w:pBdr>
        <w:rPr>
          <w:rFonts w:ascii="Arial" w:hAnsi="Arial"/>
          <w:b/>
        </w:rPr>
      </w:pPr>
      <w:r w:rsidRPr="00DD3246">
        <w:rPr>
          <w:rFonts w:ascii="Arial" w:hAnsi="Arial"/>
          <w:b/>
        </w:rPr>
        <w:t>MASUKU J</w:t>
      </w:r>
      <w:r>
        <w:rPr>
          <w:rFonts w:ascii="Arial" w:hAnsi="Arial"/>
          <w:b/>
        </w:rPr>
        <w:t>:</w:t>
      </w:r>
    </w:p>
    <w:p w:rsidR="00DD3246" w:rsidRDefault="00DD3246" w:rsidP="00DD3246">
      <w:pPr>
        <w:rPr>
          <w:rFonts w:ascii="Arial" w:hAnsi="Arial"/>
          <w:b/>
        </w:rPr>
      </w:pPr>
    </w:p>
    <w:p w:rsidR="00DD3246" w:rsidRDefault="00DD3246" w:rsidP="00DD3246">
      <w:pPr>
        <w:spacing w:line="360" w:lineRule="auto"/>
        <w:jc w:val="both"/>
        <w:rPr>
          <w:rFonts w:ascii="Arial" w:hAnsi="Arial"/>
        </w:rPr>
      </w:pPr>
    </w:p>
    <w:p w:rsidR="00DD3246" w:rsidRDefault="00551E77" w:rsidP="00551E77">
      <w:pPr>
        <w:pStyle w:val="ListParagraph"/>
        <w:spacing w:line="360" w:lineRule="auto"/>
        <w:ind w:left="0"/>
        <w:jc w:val="both"/>
        <w:rPr>
          <w:rFonts w:ascii="Arial" w:hAnsi="Arial"/>
        </w:rPr>
      </w:pPr>
      <w:r>
        <w:rPr>
          <w:rFonts w:ascii="Arial" w:hAnsi="Arial"/>
        </w:rPr>
        <w:t>[1]</w:t>
      </w:r>
      <w:r>
        <w:rPr>
          <w:rFonts w:ascii="Arial" w:hAnsi="Arial"/>
        </w:rPr>
        <w:tab/>
      </w:r>
      <w:r w:rsidR="00DD3246" w:rsidRPr="00DD3246">
        <w:rPr>
          <w:rFonts w:ascii="Arial" w:hAnsi="Arial"/>
        </w:rPr>
        <w:t>Serving before court is an application for condonation by the Prosecutor-General, the first respondent, for the late filing of an answering affidavit in this matter. The application is opposed by the applicant, Mr. Alex Mabuku Kamwi Kamwi.</w:t>
      </w:r>
    </w:p>
    <w:p w:rsidR="0015203B" w:rsidRPr="00DD3246" w:rsidRDefault="0015203B" w:rsidP="0015203B">
      <w:pPr>
        <w:pStyle w:val="ListParagraph"/>
        <w:spacing w:line="360" w:lineRule="auto"/>
        <w:ind w:left="0"/>
        <w:jc w:val="both"/>
        <w:rPr>
          <w:rFonts w:ascii="Arial" w:hAnsi="Arial"/>
        </w:rPr>
      </w:pPr>
    </w:p>
    <w:p w:rsidR="00DD3246" w:rsidRDefault="00551E77" w:rsidP="00551E77">
      <w:pPr>
        <w:pStyle w:val="ListParagraph"/>
        <w:spacing w:line="360" w:lineRule="auto"/>
        <w:ind w:left="0"/>
        <w:jc w:val="both"/>
        <w:rPr>
          <w:rFonts w:ascii="Arial" w:hAnsi="Arial"/>
        </w:rPr>
      </w:pPr>
      <w:r>
        <w:rPr>
          <w:rFonts w:ascii="Arial" w:hAnsi="Arial"/>
        </w:rPr>
        <w:t>[2]</w:t>
      </w:r>
      <w:r>
        <w:rPr>
          <w:rFonts w:ascii="Arial" w:hAnsi="Arial"/>
        </w:rPr>
        <w:tab/>
      </w:r>
      <w:r w:rsidR="00DD3246">
        <w:rPr>
          <w:rFonts w:ascii="Arial" w:hAnsi="Arial"/>
        </w:rPr>
        <w:t>The brief history of the application is that the applicant</w:t>
      </w:r>
      <w:r w:rsidR="007B3679">
        <w:rPr>
          <w:rFonts w:ascii="Arial" w:hAnsi="Arial"/>
        </w:rPr>
        <w:t>, Mr. Kamwi,</w:t>
      </w:r>
      <w:r w:rsidR="00DD3246">
        <w:rPr>
          <w:rFonts w:ascii="Arial" w:hAnsi="Arial"/>
        </w:rPr>
        <w:t xml:space="preserve"> approached this court for an order permanently staying his prosecution before the Regional Court in Katutura. This application was brought in terms of Article 12(1) of the </w:t>
      </w:r>
      <w:r w:rsidR="007B3679">
        <w:rPr>
          <w:rFonts w:ascii="Arial" w:hAnsi="Arial"/>
        </w:rPr>
        <w:t>Constitution</w:t>
      </w:r>
      <w:r w:rsidR="00DD3246">
        <w:rPr>
          <w:rFonts w:ascii="Arial" w:hAnsi="Arial"/>
        </w:rPr>
        <w:t>.</w:t>
      </w:r>
    </w:p>
    <w:p w:rsidR="00551E77" w:rsidRPr="00551E77" w:rsidRDefault="00551E77" w:rsidP="00551E77">
      <w:pPr>
        <w:pStyle w:val="ListParagraph"/>
        <w:rPr>
          <w:rFonts w:ascii="Arial" w:hAnsi="Arial"/>
        </w:rPr>
      </w:pPr>
    </w:p>
    <w:p w:rsidR="00551E77" w:rsidRDefault="00551E77" w:rsidP="00551E77">
      <w:pPr>
        <w:pStyle w:val="ListParagraph"/>
        <w:spacing w:line="360" w:lineRule="auto"/>
        <w:ind w:left="0"/>
        <w:jc w:val="both"/>
        <w:rPr>
          <w:rFonts w:ascii="Arial" w:hAnsi="Arial"/>
        </w:rPr>
      </w:pPr>
    </w:p>
    <w:p w:rsidR="00DD3246" w:rsidRDefault="00551E77" w:rsidP="00551E77">
      <w:pPr>
        <w:pStyle w:val="ListParagraph"/>
        <w:spacing w:line="360" w:lineRule="auto"/>
        <w:ind w:left="0"/>
        <w:jc w:val="both"/>
        <w:rPr>
          <w:rFonts w:ascii="Arial" w:hAnsi="Arial"/>
        </w:rPr>
      </w:pPr>
      <w:r>
        <w:rPr>
          <w:rFonts w:ascii="Arial" w:hAnsi="Arial"/>
        </w:rPr>
        <w:t>[3]</w:t>
      </w:r>
      <w:r>
        <w:rPr>
          <w:rFonts w:ascii="Arial" w:hAnsi="Arial"/>
        </w:rPr>
        <w:tab/>
      </w:r>
      <w:r w:rsidR="00DD3246">
        <w:rPr>
          <w:rFonts w:ascii="Arial" w:hAnsi="Arial"/>
        </w:rPr>
        <w:t>The Prosecutor-General (PG), filed a notice to oppose the application but failed to file an answering affidavit within the period stipulated by the court, hence the present application for condonation.</w:t>
      </w:r>
    </w:p>
    <w:p w:rsidR="0015203B" w:rsidRDefault="0015203B" w:rsidP="0015203B">
      <w:pPr>
        <w:pStyle w:val="ListParagraph"/>
        <w:spacing w:line="360" w:lineRule="auto"/>
        <w:ind w:left="0"/>
        <w:jc w:val="both"/>
        <w:rPr>
          <w:rFonts w:ascii="Arial" w:hAnsi="Arial"/>
        </w:rPr>
      </w:pPr>
    </w:p>
    <w:p w:rsidR="00DD3246" w:rsidRDefault="00551E77" w:rsidP="00551E77">
      <w:pPr>
        <w:pStyle w:val="ListParagraph"/>
        <w:spacing w:line="360" w:lineRule="auto"/>
        <w:ind w:left="0"/>
        <w:jc w:val="both"/>
        <w:rPr>
          <w:rFonts w:ascii="Arial" w:hAnsi="Arial"/>
        </w:rPr>
      </w:pPr>
      <w:r>
        <w:rPr>
          <w:rFonts w:ascii="Arial" w:hAnsi="Arial"/>
        </w:rPr>
        <w:t>[4]</w:t>
      </w:r>
      <w:r>
        <w:rPr>
          <w:rFonts w:ascii="Arial" w:hAnsi="Arial"/>
        </w:rPr>
        <w:tab/>
      </w:r>
      <w:r w:rsidR="007B3679">
        <w:rPr>
          <w:rFonts w:ascii="Arial" w:hAnsi="Arial"/>
        </w:rPr>
        <w:t>The applica</w:t>
      </w:r>
      <w:r w:rsidR="00DD3246">
        <w:rPr>
          <w:rFonts w:ascii="Arial" w:hAnsi="Arial"/>
        </w:rPr>
        <w:t>t</w:t>
      </w:r>
      <w:r w:rsidR="007B3679">
        <w:rPr>
          <w:rFonts w:ascii="Arial" w:hAnsi="Arial"/>
        </w:rPr>
        <w:t>ion for condonation</w:t>
      </w:r>
      <w:r w:rsidR="00DD3246">
        <w:rPr>
          <w:rFonts w:ascii="Arial" w:hAnsi="Arial"/>
        </w:rPr>
        <w:t xml:space="preserve"> is predicated on the founding affidavit of Ms. Lovisa Naambo Ihalwa, a legal practitioner in the employ of the Office of the Gove</w:t>
      </w:r>
      <w:r w:rsidR="0015203B">
        <w:rPr>
          <w:rFonts w:ascii="Arial" w:hAnsi="Arial"/>
        </w:rPr>
        <w:t>rnment Attorney.</w:t>
      </w:r>
    </w:p>
    <w:p w:rsidR="0015203B" w:rsidRDefault="0015203B" w:rsidP="0015203B">
      <w:pPr>
        <w:pStyle w:val="ListParagraph"/>
        <w:spacing w:line="360" w:lineRule="auto"/>
        <w:ind w:left="0"/>
        <w:jc w:val="both"/>
        <w:rPr>
          <w:rFonts w:ascii="Arial" w:hAnsi="Arial"/>
        </w:rPr>
      </w:pPr>
    </w:p>
    <w:p w:rsidR="00D93BCD" w:rsidRDefault="00551E77" w:rsidP="00551E77">
      <w:pPr>
        <w:pStyle w:val="ListParagraph"/>
        <w:spacing w:line="360" w:lineRule="auto"/>
        <w:ind w:left="0"/>
        <w:jc w:val="both"/>
        <w:rPr>
          <w:rFonts w:ascii="Arial" w:hAnsi="Arial"/>
        </w:rPr>
      </w:pPr>
      <w:r>
        <w:rPr>
          <w:rFonts w:ascii="Arial" w:hAnsi="Arial"/>
        </w:rPr>
        <w:t>[5]</w:t>
      </w:r>
      <w:r>
        <w:rPr>
          <w:rFonts w:ascii="Arial" w:hAnsi="Arial"/>
        </w:rPr>
        <w:tab/>
      </w:r>
      <w:r w:rsidR="00DD3246">
        <w:rPr>
          <w:rFonts w:ascii="Arial" w:hAnsi="Arial"/>
        </w:rPr>
        <w:t xml:space="preserve">In it, she explains the reasons why there was a failure to comply timeously with the order regarding the </w:t>
      </w:r>
      <w:r w:rsidR="00D93BCD">
        <w:rPr>
          <w:rFonts w:ascii="Arial" w:hAnsi="Arial"/>
        </w:rPr>
        <w:t xml:space="preserve">filing of the </w:t>
      </w:r>
      <w:r w:rsidR="00DD3246">
        <w:rPr>
          <w:rFonts w:ascii="Arial" w:hAnsi="Arial"/>
        </w:rPr>
        <w:t xml:space="preserve">answering affidavit. She attributes the delay chiefly to the fact that she was busy handling other matters at the time, with the file having </w:t>
      </w:r>
      <w:r w:rsidR="00D93BCD">
        <w:rPr>
          <w:rFonts w:ascii="Arial" w:hAnsi="Arial"/>
        </w:rPr>
        <w:t xml:space="preserve">been </w:t>
      </w:r>
      <w:r w:rsidR="00DD3246">
        <w:rPr>
          <w:rFonts w:ascii="Arial" w:hAnsi="Arial"/>
        </w:rPr>
        <w:t xml:space="preserve">belatedly assigned to her after Mr. Mehluli Ndlovu left the chambers and returned to his native country. </w:t>
      </w:r>
    </w:p>
    <w:p w:rsidR="0015203B" w:rsidRDefault="0015203B" w:rsidP="0015203B">
      <w:pPr>
        <w:pStyle w:val="ListParagraph"/>
        <w:spacing w:line="360" w:lineRule="auto"/>
        <w:ind w:left="0"/>
        <w:jc w:val="both"/>
        <w:rPr>
          <w:rFonts w:ascii="Arial" w:hAnsi="Arial"/>
        </w:rPr>
      </w:pPr>
    </w:p>
    <w:p w:rsidR="00DD3246" w:rsidRDefault="00551E77" w:rsidP="00551E77">
      <w:pPr>
        <w:pStyle w:val="ListParagraph"/>
        <w:spacing w:line="360" w:lineRule="auto"/>
        <w:ind w:left="0"/>
        <w:jc w:val="both"/>
        <w:rPr>
          <w:rFonts w:ascii="Arial" w:hAnsi="Arial"/>
        </w:rPr>
      </w:pPr>
      <w:r>
        <w:rPr>
          <w:rFonts w:ascii="Arial" w:hAnsi="Arial"/>
        </w:rPr>
        <w:lastRenderedPageBreak/>
        <w:t>[6]</w:t>
      </w:r>
      <w:r>
        <w:rPr>
          <w:rFonts w:ascii="Arial" w:hAnsi="Arial"/>
        </w:rPr>
        <w:tab/>
      </w:r>
      <w:r w:rsidR="00DD3246">
        <w:rPr>
          <w:rFonts w:ascii="Arial" w:hAnsi="Arial"/>
        </w:rPr>
        <w:t xml:space="preserve">I will not dwell on the explanation given </w:t>
      </w:r>
      <w:r w:rsidR="00D93BCD">
        <w:rPr>
          <w:rFonts w:ascii="Arial" w:hAnsi="Arial"/>
        </w:rPr>
        <w:t xml:space="preserve">for the delay </w:t>
      </w:r>
      <w:r w:rsidR="00DD3246">
        <w:rPr>
          <w:rFonts w:ascii="Arial" w:hAnsi="Arial"/>
        </w:rPr>
        <w:t xml:space="preserve">nor on the propriety of </w:t>
      </w:r>
      <w:r w:rsidR="00D93BCD">
        <w:rPr>
          <w:rFonts w:ascii="Arial" w:hAnsi="Arial"/>
        </w:rPr>
        <w:t xml:space="preserve">Ms. Ihalwa, </w:t>
      </w:r>
      <w:r w:rsidR="00DD3246">
        <w:rPr>
          <w:rFonts w:ascii="Arial" w:hAnsi="Arial"/>
        </w:rPr>
        <w:t>the</w:t>
      </w:r>
      <w:r w:rsidR="00D93BCD">
        <w:rPr>
          <w:rFonts w:ascii="Arial" w:hAnsi="Arial"/>
        </w:rPr>
        <w:t xml:space="preserve"> PG’s</w:t>
      </w:r>
      <w:r w:rsidR="00DD3246">
        <w:rPr>
          <w:rFonts w:ascii="Arial" w:hAnsi="Arial"/>
        </w:rPr>
        <w:t xml:space="preserve"> legal practitioner</w:t>
      </w:r>
      <w:r w:rsidR="00D93BCD">
        <w:rPr>
          <w:rFonts w:ascii="Arial" w:hAnsi="Arial"/>
        </w:rPr>
        <w:t>, deposing to the founding affidavit. The latter is mentioned</w:t>
      </w:r>
      <w:r w:rsidR="00DD3246">
        <w:rPr>
          <w:rFonts w:ascii="Arial" w:hAnsi="Arial"/>
        </w:rPr>
        <w:t xml:space="preserve"> particularly when full regard is had to </w:t>
      </w:r>
      <w:r w:rsidR="00DD3246">
        <w:rPr>
          <w:rFonts w:ascii="Arial" w:hAnsi="Arial"/>
          <w:i/>
        </w:rPr>
        <w:t>Prosecutor-General v Paolo and Another.</w:t>
      </w:r>
      <w:r w:rsidR="00DD3246">
        <w:rPr>
          <w:rStyle w:val="FootnoteReference"/>
          <w:rFonts w:ascii="Arial" w:hAnsi="Arial"/>
          <w:i/>
        </w:rPr>
        <w:footnoteReference w:id="1"/>
      </w:r>
      <w:r w:rsidR="00D93BCD">
        <w:rPr>
          <w:rFonts w:ascii="Arial" w:hAnsi="Arial"/>
        </w:rPr>
        <w:t xml:space="preserve"> In this case, Angula DJP decried and called upon legal practitioners to desist from willy-nilly filing affidavits in matters in which they serve legal representatives to the parties. </w:t>
      </w:r>
    </w:p>
    <w:p w:rsidR="0015203B" w:rsidRDefault="0015203B" w:rsidP="0015203B">
      <w:pPr>
        <w:pStyle w:val="ListParagraph"/>
        <w:spacing w:line="360" w:lineRule="auto"/>
        <w:ind w:left="0"/>
        <w:jc w:val="both"/>
        <w:rPr>
          <w:rFonts w:ascii="Arial" w:hAnsi="Arial"/>
        </w:rPr>
      </w:pPr>
    </w:p>
    <w:p w:rsidR="00DD3246" w:rsidRDefault="00551E77" w:rsidP="00551E77">
      <w:pPr>
        <w:pStyle w:val="ListParagraph"/>
        <w:spacing w:line="360" w:lineRule="auto"/>
        <w:ind w:left="0"/>
        <w:jc w:val="both"/>
        <w:rPr>
          <w:rFonts w:ascii="Arial" w:hAnsi="Arial"/>
        </w:rPr>
      </w:pPr>
      <w:r>
        <w:rPr>
          <w:rFonts w:ascii="Arial" w:hAnsi="Arial"/>
        </w:rPr>
        <w:t>[7]</w:t>
      </w:r>
      <w:r>
        <w:rPr>
          <w:rFonts w:ascii="Arial" w:hAnsi="Arial"/>
        </w:rPr>
        <w:tab/>
      </w:r>
      <w:r w:rsidR="00DD3246">
        <w:rPr>
          <w:rFonts w:ascii="Arial" w:hAnsi="Arial"/>
        </w:rPr>
        <w:t xml:space="preserve">It is trite law that an applicant for condonation should satisfy the court that he or she has provided a reasonable </w:t>
      </w:r>
      <w:r w:rsidR="00D93BCD">
        <w:rPr>
          <w:rFonts w:ascii="Arial" w:hAnsi="Arial"/>
        </w:rPr>
        <w:t xml:space="preserve">and acceptable </w:t>
      </w:r>
      <w:r w:rsidR="00DD3246">
        <w:rPr>
          <w:rFonts w:ascii="Arial" w:hAnsi="Arial"/>
        </w:rPr>
        <w:t>explanation for the delay in complying with the court order or direction, as the case may be. Secondly, the applicant therefor should satisfy the court that he or she, has reasonable prospects of success on the merits</w:t>
      </w:r>
      <w:r w:rsidR="00D93BCD">
        <w:rPr>
          <w:rFonts w:ascii="Arial" w:hAnsi="Arial"/>
        </w:rPr>
        <w:t xml:space="preserve"> of the matter</w:t>
      </w:r>
      <w:r w:rsidR="00DD3246">
        <w:rPr>
          <w:rFonts w:ascii="Arial" w:hAnsi="Arial"/>
        </w:rPr>
        <w:t>.</w:t>
      </w:r>
      <w:r w:rsidR="00DD3246">
        <w:rPr>
          <w:rStyle w:val="FootnoteReference"/>
          <w:rFonts w:ascii="Arial" w:hAnsi="Arial"/>
        </w:rPr>
        <w:footnoteReference w:id="2"/>
      </w:r>
    </w:p>
    <w:p w:rsidR="0015203B" w:rsidRDefault="0015203B" w:rsidP="0015203B">
      <w:pPr>
        <w:pStyle w:val="ListParagraph"/>
        <w:spacing w:line="360" w:lineRule="auto"/>
        <w:ind w:left="0"/>
        <w:jc w:val="both"/>
        <w:rPr>
          <w:rFonts w:ascii="Arial" w:hAnsi="Arial"/>
        </w:rPr>
      </w:pPr>
    </w:p>
    <w:p w:rsidR="007B3679" w:rsidRDefault="00551E77" w:rsidP="00551E77">
      <w:pPr>
        <w:pStyle w:val="ListParagraph"/>
        <w:spacing w:line="360" w:lineRule="auto"/>
        <w:ind w:left="0"/>
        <w:jc w:val="both"/>
        <w:rPr>
          <w:rFonts w:ascii="Arial" w:hAnsi="Arial"/>
        </w:rPr>
      </w:pPr>
      <w:r>
        <w:rPr>
          <w:rFonts w:ascii="Arial" w:hAnsi="Arial"/>
        </w:rPr>
        <w:t>[8]</w:t>
      </w:r>
      <w:r>
        <w:rPr>
          <w:rFonts w:ascii="Arial" w:hAnsi="Arial"/>
        </w:rPr>
        <w:tab/>
      </w:r>
      <w:r w:rsidR="007B3679">
        <w:rPr>
          <w:rFonts w:ascii="Arial" w:hAnsi="Arial"/>
        </w:rPr>
        <w:t>In this regard, the requirements in the immediately preceding paragraph must necessarily appear in the founding affidavit filed in support of the application. They may not be brought to court in argument in an embellishing address by the applicant’s counsel.</w:t>
      </w:r>
    </w:p>
    <w:p w:rsidR="0015203B" w:rsidRDefault="0015203B" w:rsidP="0015203B">
      <w:pPr>
        <w:pStyle w:val="ListParagraph"/>
        <w:spacing w:line="360" w:lineRule="auto"/>
        <w:ind w:left="0"/>
        <w:jc w:val="both"/>
        <w:rPr>
          <w:rFonts w:ascii="Arial" w:hAnsi="Arial"/>
        </w:rPr>
      </w:pPr>
    </w:p>
    <w:p w:rsidR="007B3679" w:rsidRDefault="00551E77" w:rsidP="00551E77">
      <w:pPr>
        <w:pStyle w:val="ListParagraph"/>
        <w:spacing w:line="360" w:lineRule="auto"/>
        <w:ind w:left="0"/>
        <w:jc w:val="both"/>
        <w:rPr>
          <w:rFonts w:ascii="Arial" w:hAnsi="Arial"/>
        </w:rPr>
      </w:pPr>
      <w:r>
        <w:rPr>
          <w:rFonts w:ascii="Arial" w:hAnsi="Arial"/>
        </w:rPr>
        <w:t>[9]</w:t>
      </w:r>
      <w:r>
        <w:rPr>
          <w:rFonts w:ascii="Arial" w:hAnsi="Arial"/>
        </w:rPr>
        <w:tab/>
      </w:r>
      <w:r w:rsidR="007B3679">
        <w:rPr>
          <w:rFonts w:ascii="Arial" w:hAnsi="Arial"/>
        </w:rPr>
        <w:t>I have read the applicant’s founding affidavit a number of times, expecting possibly different results</w:t>
      </w:r>
      <w:r w:rsidR="00D93BCD">
        <w:rPr>
          <w:rFonts w:ascii="Arial" w:hAnsi="Arial"/>
        </w:rPr>
        <w:t xml:space="preserve"> latterly</w:t>
      </w:r>
      <w:r w:rsidR="007B3679">
        <w:rPr>
          <w:rFonts w:ascii="Arial" w:hAnsi="Arial"/>
        </w:rPr>
        <w:t>. Unfortunately, the result, after the numerous rounds of reading is one – there is not even a feeble attempt by the applicant for condonation to deal with the aspect relating to the prospects of success at all.</w:t>
      </w:r>
    </w:p>
    <w:p w:rsidR="00551E77" w:rsidRDefault="00551E77" w:rsidP="00551E77">
      <w:pPr>
        <w:pStyle w:val="ListParagraph"/>
        <w:spacing w:line="360" w:lineRule="auto"/>
        <w:ind w:left="0"/>
        <w:jc w:val="both"/>
        <w:rPr>
          <w:rFonts w:ascii="Arial" w:hAnsi="Arial"/>
        </w:rPr>
      </w:pPr>
    </w:p>
    <w:p w:rsidR="007B3679" w:rsidRDefault="00551E77" w:rsidP="00551E77">
      <w:pPr>
        <w:pStyle w:val="ListParagraph"/>
        <w:spacing w:line="360" w:lineRule="auto"/>
        <w:ind w:left="0"/>
        <w:jc w:val="both"/>
        <w:rPr>
          <w:rFonts w:ascii="Arial" w:hAnsi="Arial"/>
        </w:rPr>
      </w:pPr>
      <w:r>
        <w:rPr>
          <w:rFonts w:ascii="Arial" w:hAnsi="Arial"/>
        </w:rPr>
        <w:t>[10]</w:t>
      </w:r>
      <w:r>
        <w:rPr>
          <w:rFonts w:ascii="Arial" w:hAnsi="Arial"/>
        </w:rPr>
        <w:tab/>
      </w:r>
      <w:r w:rsidR="007B3679">
        <w:rPr>
          <w:rFonts w:ascii="Arial" w:hAnsi="Arial"/>
        </w:rPr>
        <w:t xml:space="preserve">In the premises, and for the aforegoing reasons, the court cannot be satisfied that this is a proper case in which to grant the application for condonation as prayed. The court is not entitled to go beyond the allegations made on oath in such applications and the respondent’s fate is in this regard sealed by its own failure to comply with mandatory requirements of the law.  </w:t>
      </w:r>
    </w:p>
    <w:p w:rsidR="0015203B" w:rsidRDefault="0015203B" w:rsidP="0015203B">
      <w:pPr>
        <w:pStyle w:val="ListParagraph"/>
        <w:spacing w:line="360" w:lineRule="auto"/>
        <w:ind w:left="0"/>
        <w:jc w:val="both"/>
        <w:rPr>
          <w:rFonts w:ascii="Arial" w:hAnsi="Arial"/>
        </w:rPr>
      </w:pPr>
    </w:p>
    <w:p w:rsidR="007B3679" w:rsidRDefault="00551E77" w:rsidP="00551E77">
      <w:pPr>
        <w:pStyle w:val="ListParagraph"/>
        <w:spacing w:line="360" w:lineRule="auto"/>
        <w:ind w:left="0"/>
        <w:jc w:val="both"/>
        <w:rPr>
          <w:rFonts w:ascii="Arial" w:hAnsi="Arial"/>
        </w:rPr>
      </w:pPr>
      <w:r>
        <w:rPr>
          <w:rFonts w:ascii="Arial" w:hAnsi="Arial"/>
        </w:rPr>
        <w:t>[11]</w:t>
      </w:r>
      <w:r>
        <w:rPr>
          <w:rFonts w:ascii="Arial" w:hAnsi="Arial"/>
        </w:rPr>
        <w:tab/>
      </w:r>
      <w:r w:rsidR="007B3679">
        <w:rPr>
          <w:rFonts w:ascii="Arial" w:hAnsi="Arial"/>
        </w:rPr>
        <w:t>In the premises, the application for condonation is refused.</w:t>
      </w:r>
    </w:p>
    <w:p w:rsidR="007B3679" w:rsidRDefault="007B3679" w:rsidP="007B3679">
      <w:pPr>
        <w:spacing w:line="360" w:lineRule="auto"/>
        <w:jc w:val="both"/>
        <w:rPr>
          <w:rFonts w:ascii="Arial" w:hAnsi="Arial"/>
        </w:rPr>
      </w:pPr>
    </w:p>
    <w:p w:rsidR="007B3679" w:rsidRDefault="007B3679" w:rsidP="007B3679">
      <w:pPr>
        <w:spacing w:line="360" w:lineRule="auto"/>
        <w:jc w:val="both"/>
        <w:rPr>
          <w:rFonts w:ascii="Arial" w:hAnsi="Arial"/>
          <w:u w:val="single"/>
        </w:rPr>
      </w:pPr>
      <w:r w:rsidRPr="007B3679">
        <w:rPr>
          <w:rFonts w:ascii="Arial" w:hAnsi="Arial"/>
          <w:u w:val="single"/>
        </w:rPr>
        <w:lastRenderedPageBreak/>
        <w:t>Order</w:t>
      </w:r>
    </w:p>
    <w:p w:rsidR="007B3679" w:rsidRPr="007B3679" w:rsidRDefault="007B3679" w:rsidP="00551E77">
      <w:pPr>
        <w:pStyle w:val="ListParagraph"/>
        <w:numPr>
          <w:ilvl w:val="0"/>
          <w:numId w:val="4"/>
        </w:numPr>
        <w:spacing w:line="360" w:lineRule="auto"/>
        <w:jc w:val="both"/>
        <w:rPr>
          <w:rFonts w:ascii="Arial" w:hAnsi="Arial"/>
        </w:rPr>
      </w:pPr>
      <w:r w:rsidRPr="007B3679">
        <w:rPr>
          <w:rFonts w:ascii="Arial" w:hAnsi="Arial"/>
        </w:rPr>
        <w:t>The application for the filing of the answering affidavit is refused.</w:t>
      </w:r>
    </w:p>
    <w:p w:rsidR="007B3679" w:rsidRDefault="007B3679" w:rsidP="00551E77">
      <w:pPr>
        <w:pStyle w:val="ListParagraph"/>
        <w:numPr>
          <w:ilvl w:val="0"/>
          <w:numId w:val="4"/>
        </w:numPr>
        <w:spacing w:line="360" w:lineRule="auto"/>
        <w:jc w:val="both"/>
        <w:rPr>
          <w:rFonts w:ascii="Arial" w:hAnsi="Arial"/>
        </w:rPr>
      </w:pPr>
      <w:r>
        <w:rPr>
          <w:rFonts w:ascii="Arial" w:hAnsi="Arial"/>
        </w:rPr>
        <w:t>The applicant is entitled to disbursements incurred in opposing this application.</w:t>
      </w:r>
    </w:p>
    <w:p w:rsidR="007B3679" w:rsidRDefault="007B3679" w:rsidP="00551E77">
      <w:pPr>
        <w:pStyle w:val="ListParagraph"/>
        <w:numPr>
          <w:ilvl w:val="0"/>
          <w:numId w:val="4"/>
        </w:numPr>
        <w:spacing w:line="360" w:lineRule="auto"/>
        <w:jc w:val="both"/>
        <w:rPr>
          <w:rFonts w:ascii="Arial" w:hAnsi="Arial"/>
        </w:rPr>
      </w:pPr>
      <w:r>
        <w:rPr>
          <w:rFonts w:ascii="Arial" w:hAnsi="Arial"/>
        </w:rPr>
        <w:t>The matter is postponed to 16 July 2020 for further directions on the progression of the matter.</w:t>
      </w:r>
    </w:p>
    <w:p w:rsidR="004A55B1" w:rsidRDefault="004A55B1" w:rsidP="004A55B1">
      <w:pPr>
        <w:pStyle w:val="ListParagraph"/>
        <w:spacing w:line="360" w:lineRule="auto"/>
        <w:jc w:val="both"/>
        <w:rPr>
          <w:rFonts w:ascii="Arial" w:hAnsi="Arial"/>
        </w:rPr>
      </w:pPr>
    </w:p>
    <w:p w:rsidR="004A55B1" w:rsidRDefault="004A55B1" w:rsidP="004A55B1">
      <w:pPr>
        <w:spacing w:line="360" w:lineRule="auto"/>
        <w:jc w:val="both"/>
        <w:rPr>
          <w:rFonts w:ascii="Arial" w:hAnsi="Arial"/>
        </w:rPr>
      </w:pPr>
    </w:p>
    <w:p w:rsidR="004A55B1" w:rsidRPr="00F5322B" w:rsidRDefault="004A55B1" w:rsidP="004A55B1">
      <w:pPr>
        <w:pStyle w:val="ListParagraph"/>
        <w:spacing w:line="360" w:lineRule="auto"/>
        <w:jc w:val="right"/>
        <w:rPr>
          <w:rFonts w:ascii="Arial" w:hAnsi="Arial" w:cs="Arial"/>
        </w:rPr>
      </w:pPr>
      <w:r>
        <w:rPr>
          <w:rFonts w:ascii="Arial" w:hAnsi="Arial" w:cs="Arial"/>
        </w:rPr>
        <w:t>____________</w:t>
      </w:r>
    </w:p>
    <w:p w:rsidR="004A55B1" w:rsidRDefault="004A55B1" w:rsidP="004A55B1">
      <w:pPr>
        <w:pStyle w:val="ListParagraph"/>
        <w:spacing w:line="360" w:lineRule="auto"/>
        <w:jc w:val="right"/>
        <w:rPr>
          <w:rFonts w:ascii="Arial" w:hAnsi="Arial" w:cs="Arial"/>
        </w:rPr>
      </w:pPr>
      <w:r>
        <w:rPr>
          <w:rFonts w:ascii="Arial" w:hAnsi="Arial" w:cs="Arial"/>
        </w:rPr>
        <w:t>T. S. Masuku</w:t>
      </w:r>
    </w:p>
    <w:p w:rsidR="004A55B1" w:rsidRDefault="004A55B1" w:rsidP="004A55B1">
      <w:pPr>
        <w:pStyle w:val="ListParagraph"/>
        <w:spacing w:line="360" w:lineRule="auto"/>
        <w:jc w:val="right"/>
        <w:rPr>
          <w:rFonts w:ascii="Arial" w:hAnsi="Arial" w:cs="Arial"/>
        </w:rPr>
      </w:pPr>
      <w:r>
        <w:rPr>
          <w:rFonts w:ascii="Arial" w:hAnsi="Arial" w:cs="Arial"/>
        </w:rPr>
        <w:t>Judge</w:t>
      </w:r>
    </w:p>
    <w:p w:rsidR="004A55B1" w:rsidRDefault="004A55B1" w:rsidP="004A55B1">
      <w:pPr>
        <w:spacing w:line="360" w:lineRule="auto"/>
        <w:jc w:val="both"/>
        <w:rPr>
          <w:rFonts w:ascii="Arial" w:hAnsi="Arial"/>
        </w:rPr>
      </w:pPr>
    </w:p>
    <w:p w:rsidR="004A55B1" w:rsidRDefault="004A55B1" w:rsidP="00611FB7">
      <w:pPr>
        <w:rPr>
          <w:rFonts w:ascii="Arial" w:hAnsi="Arial"/>
        </w:rPr>
      </w:pPr>
      <w:r>
        <w:rPr>
          <w:rFonts w:ascii="Arial" w:hAnsi="Arial"/>
        </w:rPr>
        <w:br w:type="page"/>
      </w:r>
      <w:r>
        <w:rPr>
          <w:rFonts w:ascii="Arial" w:hAnsi="Arial"/>
        </w:rPr>
        <w:lastRenderedPageBreak/>
        <w:t>APPEARANCES:</w:t>
      </w:r>
    </w:p>
    <w:p w:rsidR="004A55B1" w:rsidRDefault="004A55B1" w:rsidP="004A55B1">
      <w:pPr>
        <w:spacing w:line="360" w:lineRule="auto"/>
        <w:rPr>
          <w:rFonts w:ascii="Arial" w:hAnsi="Arial"/>
        </w:rPr>
      </w:pPr>
    </w:p>
    <w:p w:rsidR="004A55B1" w:rsidRDefault="004A55B1" w:rsidP="004A55B1">
      <w:pPr>
        <w:spacing w:line="360" w:lineRule="auto"/>
        <w:rPr>
          <w:rFonts w:ascii="Arial" w:hAnsi="Arial"/>
        </w:rPr>
      </w:pPr>
    </w:p>
    <w:p w:rsidR="005C6BF6" w:rsidRDefault="004A55B1" w:rsidP="004A55B1">
      <w:pPr>
        <w:spacing w:line="360" w:lineRule="auto"/>
        <w:rPr>
          <w:rFonts w:ascii="Arial" w:hAnsi="Arial"/>
        </w:rPr>
      </w:pPr>
      <w:r>
        <w:rPr>
          <w:rFonts w:ascii="Arial" w:hAnsi="Arial"/>
        </w:rPr>
        <w:t>APPLICANT:</w:t>
      </w:r>
      <w:r>
        <w:rPr>
          <w:rFonts w:ascii="Arial" w:hAnsi="Arial"/>
        </w:rPr>
        <w:tab/>
      </w:r>
      <w:r>
        <w:rPr>
          <w:rFonts w:ascii="Arial" w:hAnsi="Arial"/>
        </w:rPr>
        <w:tab/>
      </w:r>
      <w:r w:rsidR="005C6BF6">
        <w:rPr>
          <w:rFonts w:ascii="Arial" w:hAnsi="Arial"/>
        </w:rPr>
        <w:t xml:space="preserve">A. Kamwi, </w:t>
      </w:r>
    </w:p>
    <w:p w:rsidR="004A55B1" w:rsidRDefault="005C6BF6" w:rsidP="005C6BF6">
      <w:pPr>
        <w:spacing w:line="360" w:lineRule="auto"/>
        <w:ind w:left="1440" w:firstLine="720"/>
        <w:rPr>
          <w:rFonts w:ascii="Arial" w:hAnsi="Arial"/>
        </w:rPr>
      </w:pPr>
      <w:r>
        <w:rPr>
          <w:rFonts w:ascii="Arial" w:hAnsi="Arial"/>
        </w:rPr>
        <w:t>The applicant in person</w:t>
      </w:r>
    </w:p>
    <w:p w:rsidR="00551E77" w:rsidRDefault="00551E77" w:rsidP="005C6BF6">
      <w:pPr>
        <w:spacing w:line="360" w:lineRule="auto"/>
        <w:ind w:left="1440" w:firstLine="720"/>
        <w:rPr>
          <w:rFonts w:ascii="Arial" w:hAnsi="Arial"/>
        </w:rPr>
      </w:pPr>
      <w:r w:rsidRPr="00551E77">
        <w:rPr>
          <w:rFonts w:ascii="Arial" w:hAnsi="Arial"/>
        </w:rPr>
        <w:t>Windhoek</w:t>
      </w:r>
    </w:p>
    <w:p w:rsidR="004A55B1" w:rsidRDefault="004A55B1" w:rsidP="004A55B1">
      <w:pPr>
        <w:spacing w:line="360" w:lineRule="auto"/>
        <w:rPr>
          <w:rFonts w:ascii="Arial" w:hAnsi="Arial"/>
        </w:rPr>
      </w:pPr>
    </w:p>
    <w:p w:rsidR="005C6BF6" w:rsidRDefault="004A55B1" w:rsidP="004A55B1">
      <w:pPr>
        <w:spacing w:line="360" w:lineRule="auto"/>
        <w:rPr>
          <w:rFonts w:ascii="Arial" w:hAnsi="Arial"/>
        </w:rPr>
      </w:pPr>
      <w:r>
        <w:rPr>
          <w:rFonts w:ascii="Arial" w:hAnsi="Arial"/>
        </w:rPr>
        <w:t>RESPONDENT:</w:t>
      </w:r>
      <w:r>
        <w:rPr>
          <w:rFonts w:ascii="Arial" w:hAnsi="Arial"/>
        </w:rPr>
        <w:tab/>
      </w:r>
      <w:r w:rsidR="005C6BF6">
        <w:rPr>
          <w:rFonts w:ascii="Arial" w:hAnsi="Arial"/>
        </w:rPr>
        <w:t>J. Gawises</w:t>
      </w:r>
    </w:p>
    <w:p w:rsidR="004A55B1" w:rsidRDefault="005C6BF6" w:rsidP="004A55B1">
      <w:pPr>
        <w:spacing w:line="360" w:lineRule="auto"/>
        <w:rPr>
          <w:rFonts w:ascii="Arial" w:hAnsi="Arial"/>
        </w:rPr>
      </w:pPr>
      <w:r>
        <w:rPr>
          <w:rFonts w:ascii="Arial" w:hAnsi="Arial"/>
        </w:rPr>
        <w:tab/>
      </w:r>
      <w:r>
        <w:rPr>
          <w:rFonts w:ascii="Arial" w:hAnsi="Arial"/>
        </w:rPr>
        <w:tab/>
      </w:r>
      <w:r>
        <w:rPr>
          <w:rFonts w:ascii="Arial" w:hAnsi="Arial"/>
        </w:rPr>
        <w:tab/>
        <w:t xml:space="preserve">Of </w:t>
      </w:r>
      <w:r>
        <w:rPr>
          <w:rFonts w:ascii="Arial" w:hAnsi="Arial" w:cs="Arial"/>
          <w:lang w:val="en-US"/>
        </w:rPr>
        <w:t>the</w:t>
      </w:r>
      <w:r w:rsidRPr="005C6BF6">
        <w:rPr>
          <w:rFonts w:ascii="Arial" w:hAnsi="Arial" w:cs="Arial"/>
          <w:lang w:val="en-US"/>
        </w:rPr>
        <w:t xml:space="preserve"> Office of the Government Attorney</w:t>
      </w:r>
    </w:p>
    <w:p w:rsidR="00551E77" w:rsidRPr="009D0FD4" w:rsidRDefault="00551E77" w:rsidP="004A55B1">
      <w:pPr>
        <w:spacing w:line="360" w:lineRule="auto"/>
        <w:rPr>
          <w:rFonts w:ascii="Arial" w:hAnsi="Arial"/>
        </w:rPr>
      </w:pPr>
      <w:r>
        <w:rPr>
          <w:rFonts w:ascii="Arial" w:hAnsi="Arial"/>
        </w:rPr>
        <w:tab/>
      </w:r>
      <w:r>
        <w:rPr>
          <w:rFonts w:ascii="Arial" w:hAnsi="Arial"/>
        </w:rPr>
        <w:tab/>
      </w:r>
      <w:r>
        <w:rPr>
          <w:rFonts w:ascii="Arial" w:hAnsi="Arial"/>
        </w:rPr>
        <w:tab/>
        <w:t>Windhoek</w:t>
      </w:r>
    </w:p>
    <w:p w:rsidR="004A55B1" w:rsidRPr="004A55B1" w:rsidRDefault="004A55B1" w:rsidP="004A55B1">
      <w:pPr>
        <w:spacing w:line="360" w:lineRule="auto"/>
        <w:jc w:val="both"/>
        <w:rPr>
          <w:rFonts w:ascii="Arial" w:hAnsi="Arial"/>
        </w:rPr>
      </w:pPr>
      <w:bookmarkStart w:id="0" w:name="_GoBack"/>
      <w:bookmarkEnd w:id="0"/>
    </w:p>
    <w:p w:rsidR="00DD3246" w:rsidRPr="00DD3246" w:rsidRDefault="00DD3246" w:rsidP="00DD3246">
      <w:pPr>
        <w:spacing w:line="360" w:lineRule="auto"/>
        <w:jc w:val="both"/>
        <w:rPr>
          <w:rFonts w:ascii="Arial" w:hAnsi="Arial"/>
        </w:rPr>
      </w:pPr>
    </w:p>
    <w:p w:rsidR="00DD3246" w:rsidRPr="00DD3246" w:rsidRDefault="00DD3246" w:rsidP="00DD3246">
      <w:pPr>
        <w:rPr>
          <w:rFonts w:ascii="Arial" w:hAnsi="Arial"/>
        </w:rPr>
      </w:pPr>
    </w:p>
    <w:sectPr w:rsidR="00DD3246" w:rsidRPr="00DD3246" w:rsidSect="0015203B">
      <w:headerReference w:type="even" r:id="rId8"/>
      <w:headerReference w:type="default" r:id="rId9"/>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40" w:rsidRDefault="00DC1240" w:rsidP="00DD3246">
      <w:r>
        <w:separator/>
      </w:r>
    </w:p>
  </w:endnote>
  <w:endnote w:type="continuationSeparator" w:id="0">
    <w:p w:rsidR="00DC1240" w:rsidRDefault="00DC1240" w:rsidP="00DD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40" w:rsidRDefault="00DC1240" w:rsidP="00DD3246">
      <w:r>
        <w:separator/>
      </w:r>
    </w:p>
  </w:footnote>
  <w:footnote w:type="continuationSeparator" w:id="0">
    <w:p w:rsidR="00DC1240" w:rsidRDefault="00DC1240" w:rsidP="00DD3246">
      <w:r>
        <w:continuationSeparator/>
      </w:r>
    </w:p>
  </w:footnote>
  <w:footnote w:id="1">
    <w:p w:rsidR="007B3679" w:rsidRPr="00DD3246" w:rsidRDefault="007B3679">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2017(1) NR 178 (HC), p. 184 para 16.</w:t>
      </w:r>
    </w:p>
  </w:footnote>
  <w:footnote w:id="2">
    <w:p w:rsidR="007B3679" w:rsidRPr="00DD3246" w:rsidRDefault="007B3679">
      <w:pPr>
        <w:pStyle w:val="FootnoteText"/>
        <w:rPr>
          <w:rFonts w:ascii="Arial" w:hAnsi="Arial" w:cs="Arial"/>
          <w:sz w:val="20"/>
          <w:szCs w:val="20"/>
          <w:lang w:val="en-US"/>
        </w:rPr>
      </w:pPr>
      <w:r>
        <w:rPr>
          <w:rStyle w:val="FootnoteReference"/>
        </w:rPr>
        <w:footnoteRef/>
      </w:r>
      <w:r>
        <w:t xml:space="preserve"> </w:t>
      </w:r>
      <w:r w:rsidRPr="00551E77">
        <w:rPr>
          <w:rFonts w:ascii="Arial" w:hAnsi="Arial" w:cs="Arial"/>
          <w:i/>
          <w:sz w:val="20"/>
          <w:szCs w:val="20"/>
          <w:lang w:val="en-US"/>
        </w:rPr>
        <w:t>Petrus v Roman Catholic Archdiocese</w:t>
      </w:r>
      <w:r>
        <w:rPr>
          <w:rFonts w:ascii="Arial" w:hAnsi="Arial" w:cs="Arial"/>
          <w:sz w:val="20"/>
          <w:szCs w:val="20"/>
          <w:lang w:val="en-US"/>
        </w:rPr>
        <w:t xml:space="preserve"> 2011 (2) NR 637 (SC) p. 640,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CD" w:rsidRDefault="00D93BCD" w:rsidP="004B54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BCD" w:rsidRDefault="00D93BCD" w:rsidP="00D93B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CD" w:rsidRDefault="00D93BCD" w:rsidP="004B54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E77">
      <w:rPr>
        <w:rStyle w:val="PageNumber"/>
        <w:noProof/>
      </w:rPr>
      <w:t>5</w:t>
    </w:r>
    <w:r>
      <w:rPr>
        <w:rStyle w:val="PageNumber"/>
      </w:rPr>
      <w:fldChar w:fldCharType="end"/>
    </w:r>
  </w:p>
  <w:p w:rsidR="00D93BCD" w:rsidRDefault="00D93BCD" w:rsidP="00D93BC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0B8A"/>
    <w:multiLevelType w:val="hybridMultilevel"/>
    <w:tmpl w:val="9B1AC97A"/>
    <w:lvl w:ilvl="0" w:tplc="01264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C1E05"/>
    <w:multiLevelType w:val="hybridMultilevel"/>
    <w:tmpl w:val="77EE559C"/>
    <w:lvl w:ilvl="0" w:tplc="C9BCD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62898"/>
    <w:multiLevelType w:val="hybridMultilevel"/>
    <w:tmpl w:val="A354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E5855"/>
    <w:multiLevelType w:val="hybridMultilevel"/>
    <w:tmpl w:val="B9E2AC50"/>
    <w:lvl w:ilvl="0" w:tplc="56465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46"/>
    <w:rsid w:val="0015203B"/>
    <w:rsid w:val="00200918"/>
    <w:rsid w:val="00277728"/>
    <w:rsid w:val="00295CB4"/>
    <w:rsid w:val="002B5881"/>
    <w:rsid w:val="00320B44"/>
    <w:rsid w:val="0034755D"/>
    <w:rsid w:val="003C78EF"/>
    <w:rsid w:val="004A55B1"/>
    <w:rsid w:val="00551E77"/>
    <w:rsid w:val="00591341"/>
    <w:rsid w:val="005C6BF6"/>
    <w:rsid w:val="00601E4E"/>
    <w:rsid w:val="00611FB7"/>
    <w:rsid w:val="006E486A"/>
    <w:rsid w:val="007B3679"/>
    <w:rsid w:val="00B4699C"/>
    <w:rsid w:val="00B802B4"/>
    <w:rsid w:val="00B877CB"/>
    <w:rsid w:val="00D93BCD"/>
    <w:rsid w:val="00DC1240"/>
    <w:rsid w:val="00DD3246"/>
    <w:rsid w:val="00E6259D"/>
    <w:rsid w:val="00F75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C4E3221-EEA2-4322-871F-C7422252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46"/>
    <w:pPr>
      <w:ind w:left="720"/>
      <w:contextualSpacing/>
    </w:pPr>
  </w:style>
  <w:style w:type="paragraph" w:styleId="FootnoteText">
    <w:name w:val="footnote text"/>
    <w:basedOn w:val="Normal"/>
    <w:link w:val="FootnoteTextChar"/>
    <w:uiPriority w:val="99"/>
    <w:unhideWhenUsed/>
    <w:rsid w:val="00DD3246"/>
  </w:style>
  <w:style w:type="character" w:customStyle="1" w:styleId="FootnoteTextChar">
    <w:name w:val="Footnote Text Char"/>
    <w:basedOn w:val="DefaultParagraphFont"/>
    <w:link w:val="FootnoteText"/>
    <w:uiPriority w:val="99"/>
    <w:rsid w:val="00DD3246"/>
  </w:style>
  <w:style w:type="character" w:styleId="FootnoteReference">
    <w:name w:val="footnote reference"/>
    <w:basedOn w:val="DefaultParagraphFont"/>
    <w:uiPriority w:val="99"/>
    <w:unhideWhenUsed/>
    <w:rsid w:val="00DD3246"/>
    <w:rPr>
      <w:vertAlign w:val="superscript"/>
    </w:rPr>
  </w:style>
  <w:style w:type="paragraph" w:styleId="Header">
    <w:name w:val="header"/>
    <w:basedOn w:val="Normal"/>
    <w:link w:val="HeaderChar"/>
    <w:uiPriority w:val="99"/>
    <w:unhideWhenUsed/>
    <w:rsid w:val="00D93BCD"/>
    <w:pPr>
      <w:tabs>
        <w:tab w:val="center" w:pos="4320"/>
        <w:tab w:val="right" w:pos="8640"/>
      </w:tabs>
    </w:pPr>
  </w:style>
  <w:style w:type="character" w:customStyle="1" w:styleId="HeaderChar">
    <w:name w:val="Header Char"/>
    <w:basedOn w:val="DefaultParagraphFont"/>
    <w:link w:val="Header"/>
    <w:uiPriority w:val="99"/>
    <w:rsid w:val="00D93BCD"/>
  </w:style>
  <w:style w:type="character" w:styleId="PageNumber">
    <w:name w:val="page number"/>
    <w:basedOn w:val="DefaultParagraphFont"/>
    <w:uiPriority w:val="99"/>
    <w:semiHidden/>
    <w:unhideWhenUsed/>
    <w:rsid w:val="00D93BCD"/>
  </w:style>
  <w:style w:type="paragraph" w:styleId="Footer">
    <w:name w:val="footer"/>
    <w:basedOn w:val="Normal"/>
    <w:link w:val="FooterChar"/>
    <w:uiPriority w:val="99"/>
    <w:unhideWhenUsed/>
    <w:rsid w:val="0015203B"/>
    <w:pPr>
      <w:tabs>
        <w:tab w:val="center" w:pos="4513"/>
        <w:tab w:val="right" w:pos="9026"/>
      </w:tabs>
    </w:pPr>
  </w:style>
  <w:style w:type="character" w:customStyle="1" w:styleId="FooterChar">
    <w:name w:val="Footer Char"/>
    <w:basedOn w:val="DefaultParagraphFont"/>
    <w:link w:val="Footer"/>
    <w:uiPriority w:val="99"/>
    <w:rsid w:val="0015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2020-07-09T18:30:00+00:00</Judgment_x0020_Date>
    <Year xmlns="c1afb1bd-f2fb-40fd-9abb-aea55b4d7662">2020</Year>
  </documentManagement>
</p:properties>
</file>

<file path=customXml/itemProps1.xml><?xml version="1.0" encoding="utf-8"?>
<ds:datastoreItem xmlns:ds="http://schemas.openxmlformats.org/officeDocument/2006/customXml" ds:itemID="{EAB30196-00A8-4404-91E9-32FCC6E5227B}"/>
</file>

<file path=customXml/itemProps2.xml><?xml version="1.0" encoding="utf-8"?>
<ds:datastoreItem xmlns:ds="http://schemas.openxmlformats.org/officeDocument/2006/customXml" ds:itemID="{C02132FD-85DF-4D67-8419-A14996FAADED}"/>
</file>

<file path=customXml/itemProps3.xml><?xml version="1.0" encoding="utf-8"?>
<ds:datastoreItem xmlns:ds="http://schemas.openxmlformats.org/officeDocument/2006/customXml" ds:itemID="{0125DF06-1B38-408F-BB97-304A9A62494B}"/>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Kamwi v The PG of  Namibia (HC-MD-CIV-MOT-GEN-2019-00434) [2020] NAHCMD 284 (10 July  2020)</dc:title>
  <dc:subject/>
  <dc:creator>Thomas Masuku</dc:creator>
  <cp:keywords/>
  <dc:description/>
  <cp:lastModifiedBy>Administrator</cp:lastModifiedBy>
  <cp:revision>2</cp:revision>
  <dcterms:created xsi:type="dcterms:W3CDTF">2020-07-21T06:42:00Z</dcterms:created>
  <dcterms:modified xsi:type="dcterms:W3CDTF">2020-07-21T06:42:00Z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