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3C" w:rsidRPr="004B5E3E" w:rsidRDefault="00157E3C" w:rsidP="00F03EE1">
      <w:pPr>
        <w:spacing w:after="0" w:line="360" w:lineRule="auto"/>
        <w:jc w:val="center"/>
        <w:rPr>
          <w:rFonts w:ascii="Arial" w:hAnsi="Arial" w:cs="Arial"/>
          <w:b/>
          <w:sz w:val="24"/>
          <w:szCs w:val="24"/>
        </w:rPr>
      </w:pPr>
      <w:r w:rsidRPr="004B5E3E">
        <w:rPr>
          <w:rFonts w:ascii="Arial" w:hAnsi="Arial" w:cs="Arial"/>
          <w:b/>
          <w:sz w:val="24"/>
          <w:szCs w:val="24"/>
        </w:rPr>
        <w:t>REPUBLIC OF NAMIBIA</w:t>
      </w:r>
      <w:r w:rsidRPr="004B5E3E">
        <w:rPr>
          <w:rFonts w:ascii="Arial" w:hAnsi="Arial" w:cs="Arial"/>
          <w:b/>
          <w:noProof/>
          <w:sz w:val="24"/>
          <w:szCs w:val="24"/>
          <w:lang w:val="en-US"/>
        </w:rPr>
        <w:drawing>
          <wp:anchor distT="0" distB="0" distL="114300" distR="114300" simplePos="0" relativeHeight="251660288" behindDoc="0" locked="0" layoutInCell="1" allowOverlap="1" wp14:anchorId="4615BE6F" wp14:editId="4B3783BD">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center"/>
        <w:rPr>
          <w:rFonts w:ascii="Arial" w:hAnsi="Arial" w:cs="Arial"/>
          <w:b/>
          <w:sz w:val="24"/>
          <w:szCs w:val="24"/>
        </w:rPr>
      </w:pPr>
      <w:r w:rsidRPr="004B5E3E">
        <w:rPr>
          <w:rFonts w:ascii="Arial" w:hAnsi="Arial" w:cs="Arial"/>
          <w:b/>
          <w:sz w:val="24"/>
          <w:szCs w:val="24"/>
        </w:rPr>
        <w:t>HIGH COURT OF NAMIBIA, MAIN DIVISION, WINDHOEK</w:t>
      </w:r>
    </w:p>
    <w:p w:rsidR="00157E3C" w:rsidRPr="004B5E3E" w:rsidRDefault="00157E3C" w:rsidP="004B5E3E">
      <w:pPr>
        <w:spacing w:after="0" w:line="360" w:lineRule="auto"/>
        <w:jc w:val="center"/>
        <w:rPr>
          <w:rFonts w:ascii="Arial" w:hAnsi="Arial" w:cs="Arial"/>
          <w:b/>
          <w:sz w:val="24"/>
          <w:szCs w:val="24"/>
        </w:rPr>
      </w:pPr>
    </w:p>
    <w:p w:rsidR="00D82C7B" w:rsidRPr="004B5E3E" w:rsidRDefault="00157E3C" w:rsidP="004B5E3E">
      <w:pPr>
        <w:spacing w:after="0" w:line="360" w:lineRule="auto"/>
        <w:jc w:val="center"/>
        <w:rPr>
          <w:rFonts w:ascii="Arial" w:hAnsi="Arial" w:cs="Arial"/>
          <w:b/>
          <w:sz w:val="24"/>
          <w:szCs w:val="24"/>
        </w:rPr>
      </w:pPr>
      <w:r w:rsidRPr="004B5E3E">
        <w:rPr>
          <w:rFonts w:ascii="Arial" w:hAnsi="Arial" w:cs="Arial"/>
          <w:b/>
          <w:sz w:val="24"/>
          <w:szCs w:val="24"/>
        </w:rPr>
        <w:t xml:space="preserve">RULING </w:t>
      </w:r>
    </w:p>
    <w:p w:rsidR="000B4E1A" w:rsidRPr="004B5E3E" w:rsidRDefault="000B4E1A" w:rsidP="004B5E3E">
      <w:pPr>
        <w:spacing w:after="0" w:line="360" w:lineRule="auto"/>
        <w:jc w:val="center"/>
        <w:rPr>
          <w:rFonts w:ascii="Arial" w:hAnsi="Arial" w:cs="Arial"/>
          <w:b/>
          <w:sz w:val="24"/>
          <w:szCs w:val="24"/>
        </w:rPr>
      </w:pPr>
    </w:p>
    <w:p w:rsidR="000B4E1A" w:rsidRPr="004B5E3E" w:rsidRDefault="000B4E1A" w:rsidP="004B5E3E">
      <w:pPr>
        <w:spacing w:after="0" w:line="360" w:lineRule="auto"/>
        <w:jc w:val="right"/>
        <w:rPr>
          <w:rFonts w:ascii="Arial" w:hAnsi="Arial" w:cs="Arial"/>
          <w:sz w:val="24"/>
          <w:szCs w:val="24"/>
        </w:rPr>
      </w:pPr>
      <w:r w:rsidRPr="00D91E1E">
        <w:rPr>
          <w:rFonts w:ascii="Arial" w:hAnsi="Arial" w:cs="Arial"/>
          <w:sz w:val="24"/>
          <w:szCs w:val="24"/>
        </w:rPr>
        <w:t>Case No.: HC</w:t>
      </w:r>
      <w:r w:rsidRPr="004B5E3E">
        <w:rPr>
          <w:rFonts w:ascii="Arial" w:hAnsi="Arial" w:cs="Arial"/>
          <w:sz w:val="24"/>
          <w:szCs w:val="24"/>
        </w:rPr>
        <w:t>-MD-CIV-ACT-</w:t>
      </w:r>
      <w:r w:rsidR="009E43EA">
        <w:rPr>
          <w:rFonts w:ascii="Arial" w:hAnsi="Arial" w:cs="Arial"/>
          <w:sz w:val="24"/>
          <w:szCs w:val="24"/>
        </w:rPr>
        <w:t>CON</w:t>
      </w:r>
      <w:r w:rsidRPr="004B5E3E">
        <w:rPr>
          <w:rFonts w:ascii="Arial" w:hAnsi="Arial" w:cs="Arial"/>
          <w:sz w:val="24"/>
          <w:szCs w:val="24"/>
        </w:rPr>
        <w:t>-</w:t>
      </w:r>
      <w:r w:rsidR="009E43EA">
        <w:rPr>
          <w:rFonts w:ascii="Arial" w:hAnsi="Arial" w:cs="Arial"/>
          <w:sz w:val="24"/>
          <w:szCs w:val="24"/>
        </w:rPr>
        <w:t>2019/02613</w:t>
      </w:r>
    </w:p>
    <w:p w:rsidR="000B4E1A" w:rsidRPr="004B5E3E" w:rsidRDefault="000B4E1A" w:rsidP="004B5E3E">
      <w:pPr>
        <w:spacing w:after="0" w:line="360" w:lineRule="auto"/>
        <w:jc w:val="both"/>
        <w:rPr>
          <w:rFonts w:ascii="Arial" w:hAnsi="Arial" w:cs="Arial"/>
          <w:sz w:val="24"/>
          <w:szCs w:val="24"/>
        </w:rPr>
      </w:pPr>
    </w:p>
    <w:p w:rsidR="00157E3C" w:rsidRPr="004B5E3E" w:rsidRDefault="00157E3C" w:rsidP="004B5E3E">
      <w:pPr>
        <w:spacing w:after="0" w:line="360" w:lineRule="auto"/>
        <w:jc w:val="both"/>
        <w:rPr>
          <w:rFonts w:ascii="Arial" w:hAnsi="Arial" w:cs="Arial"/>
          <w:sz w:val="24"/>
          <w:szCs w:val="24"/>
        </w:rPr>
      </w:pPr>
      <w:r w:rsidRPr="004B5E3E">
        <w:rPr>
          <w:rFonts w:ascii="Arial" w:hAnsi="Arial" w:cs="Arial"/>
          <w:sz w:val="24"/>
          <w:szCs w:val="24"/>
        </w:rPr>
        <w:t>In the matter between:</w:t>
      </w:r>
    </w:p>
    <w:p w:rsidR="00157E3C" w:rsidRPr="00D9358D" w:rsidRDefault="00157E3C" w:rsidP="004B5E3E">
      <w:pPr>
        <w:spacing w:after="0" w:line="360" w:lineRule="auto"/>
        <w:jc w:val="both"/>
        <w:rPr>
          <w:rFonts w:ascii="Arial" w:hAnsi="Arial" w:cs="Arial"/>
          <w:sz w:val="24"/>
          <w:szCs w:val="24"/>
          <w:shd w:val="clear" w:color="auto" w:fill="FFFFFF"/>
        </w:rPr>
      </w:pPr>
    </w:p>
    <w:p w:rsidR="00F71E82" w:rsidRPr="004B5E3E" w:rsidRDefault="009E43EA" w:rsidP="004B5E3E">
      <w:pPr>
        <w:spacing w:after="0" w:line="360" w:lineRule="auto"/>
        <w:jc w:val="both"/>
        <w:rPr>
          <w:rFonts w:ascii="Arial" w:hAnsi="Arial" w:cs="Arial"/>
          <w:b/>
          <w:sz w:val="24"/>
          <w:szCs w:val="24"/>
        </w:rPr>
      </w:pPr>
      <w:r w:rsidRPr="00D9358D">
        <w:rPr>
          <w:rFonts w:ascii="Arial" w:hAnsi="Arial" w:cs="Arial"/>
          <w:b/>
          <w:sz w:val="24"/>
          <w:szCs w:val="24"/>
          <w:shd w:val="clear" w:color="auto" w:fill="FFFFFF"/>
        </w:rPr>
        <w:t>B</w:t>
      </w:r>
      <w:r w:rsidR="009579E8" w:rsidRPr="00D9358D">
        <w:rPr>
          <w:rFonts w:ascii="Arial" w:hAnsi="Arial" w:cs="Arial"/>
          <w:b/>
          <w:sz w:val="24"/>
          <w:szCs w:val="24"/>
          <w:shd w:val="clear" w:color="auto" w:fill="FFFFFF"/>
        </w:rPr>
        <w:t>A</w:t>
      </w:r>
      <w:r>
        <w:rPr>
          <w:rFonts w:ascii="Arial" w:hAnsi="Arial" w:cs="Arial"/>
          <w:b/>
          <w:sz w:val="24"/>
          <w:szCs w:val="24"/>
          <w:shd w:val="clear" w:color="auto" w:fill="FFFFFF"/>
        </w:rPr>
        <w:t>OBAB CAPITAL (PTY) LTD</w:t>
      </w:r>
      <w:r w:rsidR="00157E3C" w:rsidRPr="004B5E3E">
        <w:rPr>
          <w:rFonts w:ascii="Arial" w:hAnsi="Arial" w:cs="Arial"/>
          <w:sz w:val="24"/>
          <w:szCs w:val="24"/>
          <w:shd w:val="clear" w:color="auto" w:fill="FFFFFF"/>
        </w:rPr>
        <w:tab/>
      </w:r>
      <w:r w:rsidR="00157E3C" w:rsidRPr="004B5E3E">
        <w:rPr>
          <w:rFonts w:ascii="Arial" w:hAnsi="Arial" w:cs="Arial"/>
          <w:sz w:val="24"/>
          <w:szCs w:val="24"/>
          <w:shd w:val="clear" w:color="auto" w:fill="FFFFFF"/>
        </w:rPr>
        <w:tab/>
      </w:r>
      <w:r w:rsidR="00157E3C" w:rsidRPr="004B5E3E">
        <w:rPr>
          <w:rFonts w:ascii="Arial" w:hAnsi="Arial" w:cs="Arial"/>
          <w:sz w:val="24"/>
          <w:szCs w:val="24"/>
          <w:shd w:val="clear" w:color="auto" w:fill="FFFFFF"/>
        </w:rPr>
        <w:tab/>
      </w:r>
      <w:r w:rsidR="00157E3C" w:rsidRPr="004B5E3E">
        <w:rPr>
          <w:rFonts w:ascii="Arial" w:hAnsi="Arial" w:cs="Arial"/>
          <w:b/>
          <w:sz w:val="24"/>
          <w:szCs w:val="24"/>
        </w:rPr>
        <w:t xml:space="preserve">     </w:t>
      </w:r>
      <w:r w:rsidR="00157E3C" w:rsidRPr="004B5E3E">
        <w:rPr>
          <w:rFonts w:ascii="Arial" w:hAnsi="Arial" w:cs="Arial"/>
          <w:b/>
          <w:sz w:val="24"/>
          <w:szCs w:val="24"/>
        </w:rPr>
        <w:tab/>
      </w:r>
      <w:r w:rsidR="00157E3C" w:rsidRPr="004B5E3E">
        <w:rPr>
          <w:rFonts w:ascii="Arial" w:hAnsi="Arial" w:cs="Arial"/>
          <w:b/>
          <w:sz w:val="24"/>
          <w:szCs w:val="24"/>
        </w:rPr>
        <w:tab/>
        <w:t xml:space="preserve">     </w:t>
      </w:r>
      <w:r w:rsidR="000B4E1A" w:rsidRPr="004B5E3E">
        <w:rPr>
          <w:rFonts w:ascii="Arial" w:hAnsi="Arial" w:cs="Arial"/>
          <w:b/>
          <w:sz w:val="24"/>
          <w:szCs w:val="24"/>
        </w:rPr>
        <w:t xml:space="preserve">              </w:t>
      </w:r>
      <w:r w:rsidR="00157E3C" w:rsidRPr="004B5E3E">
        <w:rPr>
          <w:rFonts w:ascii="Arial" w:hAnsi="Arial" w:cs="Arial"/>
          <w:b/>
          <w:sz w:val="24"/>
          <w:szCs w:val="24"/>
        </w:rPr>
        <w:t xml:space="preserve">PLAINTIFF      </w:t>
      </w: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sz w:val="24"/>
          <w:szCs w:val="24"/>
        </w:rPr>
      </w:pPr>
      <w:proofErr w:type="gramStart"/>
      <w:r w:rsidRPr="004B5E3E">
        <w:rPr>
          <w:rFonts w:ascii="Arial" w:hAnsi="Arial" w:cs="Arial"/>
          <w:sz w:val="24"/>
          <w:szCs w:val="24"/>
        </w:rPr>
        <w:t>and</w:t>
      </w:r>
      <w:proofErr w:type="gramEnd"/>
    </w:p>
    <w:p w:rsidR="00157E3C" w:rsidRPr="004B5E3E" w:rsidRDefault="00157E3C" w:rsidP="004B5E3E">
      <w:pPr>
        <w:spacing w:after="0" w:line="360" w:lineRule="auto"/>
        <w:jc w:val="both"/>
        <w:rPr>
          <w:rFonts w:ascii="Arial" w:hAnsi="Arial" w:cs="Arial"/>
          <w:b/>
          <w:sz w:val="24"/>
          <w:szCs w:val="24"/>
        </w:rPr>
      </w:pPr>
    </w:p>
    <w:p w:rsidR="00157E3C" w:rsidRPr="004B5E3E" w:rsidRDefault="009E43EA" w:rsidP="004B5E3E">
      <w:pPr>
        <w:spacing w:after="0" w:line="360" w:lineRule="auto"/>
        <w:jc w:val="both"/>
        <w:rPr>
          <w:rFonts w:ascii="Arial" w:hAnsi="Arial" w:cs="Arial"/>
          <w:b/>
          <w:sz w:val="24"/>
          <w:szCs w:val="24"/>
        </w:rPr>
      </w:pPr>
      <w:r>
        <w:rPr>
          <w:rFonts w:ascii="Arial" w:hAnsi="Arial" w:cs="Arial"/>
          <w:b/>
          <w:sz w:val="24"/>
          <w:szCs w:val="24"/>
          <w:shd w:val="clear" w:color="auto" w:fill="FFFFFF"/>
        </w:rPr>
        <w:t>SHAZIZA AUTO ONE (PTY) LTD</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sidR="00157E3C" w:rsidRPr="004B5E3E">
        <w:rPr>
          <w:rFonts w:ascii="Arial" w:hAnsi="Arial" w:cs="Arial"/>
          <w:b/>
          <w:sz w:val="24"/>
          <w:szCs w:val="24"/>
        </w:rPr>
        <w:tab/>
      </w:r>
      <w:r w:rsidR="00157E3C" w:rsidRPr="004B5E3E">
        <w:rPr>
          <w:rFonts w:ascii="Arial" w:hAnsi="Arial" w:cs="Arial"/>
          <w:b/>
          <w:sz w:val="24"/>
          <w:szCs w:val="24"/>
        </w:rPr>
        <w:tab/>
      </w:r>
      <w:r w:rsidR="00157E3C" w:rsidRPr="004B5E3E">
        <w:rPr>
          <w:rFonts w:ascii="Arial" w:hAnsi="Arial" w:cs="Arial"/>
          <w:b/>
          <w:sz w:val="24"/>
          <w:szCs w:val="24"/>
        </w:rPr>
        <w:tab/>
      </w:r>
      <w:r w:rsidR="000B4E1A" w:rsidRPr="004B5E3E">
        <w:rPr>
          <w:rFonts w:ascii="Arial" w:hAnsi="Arial" w:cs="Arial"/>
          <w:b/>
          <w:sz w:val="24"/>
          <w:szCs w:val="24"/>
        </w:rPr>
        <w:t xml:space="preserve">   </w:t>
      </w:r>
      <w:r w:rsidR="00157E3C" w:rsidRPr="004B5E3E">
        <w:rPr>
          <w:rFonts w:ascii="Arial" w:hAnsi="Arial" w:cs="Arial"/>
          <w:b/>
          <w:sz w:val="24"/>
          <w:szCs w:val="24"/>
        </w:rPr>
        <w:t>DEFENDANT</w:t>
      </w: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sz w:val="24"/>
          <w:szCs w:val="24"/>
        </w:rPr>
      </w:pPr>
      <w:r w:rsidRPr="004B5E3E">
        <w:rPr>
          <w:rFonts w:ascii="Arial" w:hAnsi="Arial" w:cs="Arial"/>
          <w:b/>
          <w:sz w:val="24"/>
          <w:szCs w:val="24"/>
        </w:rPr>
        <w:t xml:space="preserve">Neutral Citation: </w:t>
      </w:r>
      <w:r w:rsidR="009E43EA">
        <w:rPr>
          <w:rFonts w:ascii="Arial" w:hAnsi="Arial" w:cs="Arial"/>
          <w:i/>
          <w:sz w:val="24"/>
          <w:szCs w:val="24"/>
          <w:shd w:val="clear" w:color="auto" w:fill="FFFFFF"/>
        </w:rPr>
        <w:t>Baobab Capital (Pty) Ltd</w:t>
      </w:r>
      <w:r w:rsidR="00F71E82" w:rsidRPr="004B5E3E">
        <w:rPr>
          <w:rFonts w:ascii="Arial" w:hAnsi="Arial" w:cs="Arial"/>
          <w:i/>
          <w:sz w:val="24"/>
          <w:szCs w:val="24"/>
        </w:rPr>
        <w:t xml:space="preserve"> </w:t>
      </w:r>
      <w:r w:rsidR="009E43EA">
        <w:rPr>
          <w:rFonts w:ascii="Arial" w:hAnsi="Arial" w:cs="Arial"/>
          <w:i/>
          <w:sz w:val="24"/>
          <w:szCs w:val="24"/>
        </w:rPr>
        <w:t>v</w:t>
      </w:r>
      <w:r w:rsidR="00F71E82" w:rsidRPr="004B5E3E">
        <w:rPr>
          <w:rFonts w:ascii="Arial" w:hAnsi="Arial" w:cs="Arial"/>
          <w:i/>
          <w:sz w:val="24"/>
          <w:szCs w:val="24"/>
        </w:rPr>
        <w:t xml:space="preserve"> </w:t>
      </w:r>
      <w:proofErr w:type="spellStart"/>
      <w:r w:rsidR="009E43EA">
        <w:rPr>
          <w:rFonts w:ascii="Arial" w:hAnsi="Arial" w:cs="Arial"/>
          <w:i/>
          <w:sz w:val="24"/>
          <w:szCs w:val="24"/>
        </w:rPr>
        <w:t>Shaziza</w:t>
      </w:r>
      <w:proofErr w:type="spellEnd"/>
      <w:r w:rsidR="009E43EA">
        <w:rPr>
          <w:rFonts w:ascii="Arial" w:hAnsi="Arial" w:cs="Arial"/>
          <w:i/>
          <w:sz w:val="24"/>
          <w:szCs w:val="24"/>
        </w:rPr>
        <w:t xml:space="preserve"> Auto One (Pty) Ltd</w:t>
      </w:r>
      <w:r w:rsidRPr="004B5E3E">
        <w:rPr>
          <w:rFonts w:ascii="Arial" w:hAnsi="Arial" w:cs="Arial"/>
          <w:i/>
          <w:sz w:val="24"/>
          <w:szCs w:val="24"/>
        </w:rPr>
        <w:t xml:space="preserve"> </w:t>
      </w:r>
      <w:r w:rsidRPr="004B5E3E">
        <w:rPr>
          <w:rFonts w:ascii="Arial" w:hAnsi="Arial" w:cs="Arial"/>
          <w:sz w:val="24"/>
          <w:szCs w:val="24"/>
        </w:rPr>
        <w:t>(</w:t>
      </w:r>
      <w:r w:rsidR="00F71E82" w:rsidRPr="004B5E3E">
        <w:rPr>
          <w:rFonts w:ascii="Arial" w:hAnsi="Arial" w:cs="Arial"/>
          <w:sz w:val="24"/>
          <w:szCs w:val="24"/>
        </w:rPr>
        <w:t>HC-MD-CIV-ACT-</w:t>
      </w:r>
      <w:r w:rsidR="009E43EA" w:rsidRPr="009E43EA">
        <w:rPr>
          <w:rFonts w:ascii="Arial" w:hAnsi="Arial" w:cs="Arial"/>
          <w:sz w:val="24"/>
          <w:szCs w:val="24"/>
        </w:rPr>
        <w:t xml:space="preserve"> </w:t>
      </w:r>
      <w:r w:rsidR="009E43EA">
        <w:rPr>
          <w:rFonts w:ascii="Arial" w:hAnsi="Arial" w:cs="Arial"/>
          <w:sz w:val="24"/>
          <w:szCs w:val="24"/>
        </w:rPr>
        <w:t>CON</w:t>
      </w:r>
      <w:r w:rsidR="009E43EA" w:rsidRPr="004B5E3E">
        <w:rPr>
          <w:rFonts w:ascii="Arial" w:hAnsi="Arial" w:cs="Arial"/>
          <w:sz w:val="24"/>
          <w:szCs w:val="24"/>
        </w:rPr>
        <w:t>-</w:t>
      </w:r>
      <w:r w:rsidR="009E43EA">
        <w:rPr>
          <w:rFonts w:ascii="Arial" w:hAnsi="Arial" w:cs="Arial"/>
          <w:sz w:val="24"/>
          <w:szCs w:val="24"/>
        </w:rPr>
        <w:t>2019/02613</w:t>
      </w:r>
      <w:r w:rsidR="00CB0AF0">
        <w:rPr>
          <w:rFonts w:ascii="Arial" w:hAnsi="Arial" w:cs="Arial"/>
          <w:sz w:val="24"/>
          <w:szCs w:val="24"/>
        </w:rPr>
        <w:t>) [2020] NAHCMD</w:t>
      </w:r>
      <w:r w:rsidR="00CB0AF0" w:rsidRPr="00CB0AF0">
        <w:rPr>
          <w:rFonts w:ascii="Arial" w:hAnsi="Arial" w:cs="Arial"/>
          <w:sz w:val="24"/>
          <w:szCs w:val="24"/>
        </w:rPr>
        <w:t xml:space="preserve"> 290</w:t>
      </w:r>
      <w:r w:rsidRPr="00CB0AF0">
        <w:rPr>
          <w:rFonts w:ascii="Arial" w:hAnsi="Arial" w:cs="Arial"/>
          <w:sz w:val="24"/>
          <w:szCs w:val="24"/>
        </w:rPr>
        <w:t xml:space="preserve"> </w:t>
      </w:r>
      <w:r w:rsidRPr="004B5E3E">
        <w:rPr>
          <w:rFonts w:ascii="Arial" w:hAnsi="Arial" w:cs="Arial"/>
          <w:sz w:val="24"/>
          <w:szCs w:val="24"/>
        </w:rPr>
        <w:t>(</w:t>
      </w:r>
      <w:r w:rsidR="009E43EA">
        <w:rPr>
          <w:rFonts w:ascii="Arial" w:hAnsi="Arial" w:cs="Arial"/>
          <w:sz w:val="24"/>
          <w:szCs w:val="24"/>
        </w:rPr>
        <w:t>10 July</w:t>
      </w:r>
      <w:r w:rsidRPr="004B5E3E">
        <w:rPr>
          <w:rFonts w:ascii="Arial" w:hAnsi="Arial" w:cs="Arial"/>
          <w:sz w:val="24"/>
          <w:szCs w:val="24"/>
        </w:rPr>
        <w:t xml:space="preserve"> 2020) </w:t>
      </w:r>
    </w:p>
    <w:p w:rsidR="00157E3C" w:rsidRPr="004B5E3E" w:rsidRDefault="00157E3C" w:rsidP="004B5E3E">
      <w:pPr>
        <w:spacing w:after="0" w:line="360" w:lineRule="auto"/>
        <w:jc w:val="both"/>
        <w:rPr>
          <w:rFonts w:ascii="Arial" w:hAnsi="Arial" w:cs="Arial"/>
          <w:b/>
          <w:sz w:val="24"/>
          <w:szCs w:val="24"/>
        </w:rPr>
      </w:pPr>
    </w:p>
    <w:p w:rsidR="00157E3C" w:rsidRPr="004B5E3E" w:rsidRDefault="00157E3C" w:rsidP="004B5E3E">
      <w:pPr>
        <w:spacing w:after="0" w:line="360" w:lineRule="auto"/>
        <w:jc w:val="both"/>
        <w:rPr>
          <w:rFonts w:ascii="Arial" w:hAnsi="Arial" w:cs="Arial"/>
          <w:b/>
          <w:sz w:val="24"/>
          <w:szCs w:val="24"/>
        </w:rPr>
      </w:pPr>
      <w:r w:rsidRPr="004B5E3E">
        <w:rPr>
          <w:rFonts w:ascii="Arial" w:hAnsi="Arial" w:cs="Arial"/>
          <w:sz w:val="24"/>
          <w:szCs w:val="24"/>
        </w:rPr>
        <w:t>C</w:t>
      </w:r>
      <w:r w:rsidR="00C7088B" w:rsidRPr="004B5E3E">
        <w:rPr>
          <w:rFonts w:ascii="Arial" w:hAnsi="Arial" w:cs="Arial"/>
          <w:sz w:val="24"/>
          <w:szCs w:val="24"/>
        </w:rPr>
        <w:t>oram</w:t>
      </w:r>
      <w:r w:rsidRPr="004B5E3E">
        <w:rPr>
          <w:rFonts w:ascii="Arial" w:hAnsi="Arial" w:cs="Arial"/>
          <w:sz w:val="24"/>
          <w:szCs w:val="24"/>
        </w:rPr>
        <w:t>:</w:t>
      </w:r>
      <w:r w:rsidRPr="004B5E3E">
        <w:rPr>
          <w:rFonts w:ascii="Arial" w:hAnsi="Arial" w:cs="Arial"/>
          <w:b/>
          <w:sz w:val="24"/>
          <w:szCs w:val="24"/>
        </w:rPr>
        <w:tab/>
        <w:t>PRINSLOO J</w:t>
      </w:r>
    </w:p>
    <w:p w:rsidR="00157E3C" w:rsidRPr="004B5E3E" w:rsidRDefault="00D7179F" w:rsidP="004B5E3E">
      <w:pPr>
        <w:spacing w:after="0" w:line="360" w:lineRule="auto"/>
        <w:ind w:left="1440" w:hanging="1440"/>
        <w:jc w:val="both"/>
        <w:rPr>
          <w:rFonts w:ascii="Arial" w:hAnsi="Arial" w:cs="Arial"/>
          <w:sz w:val="24"/>
          <w:szCs w:val="24"/>
        </w:rPr>
      </w:pPr>
      <w:r>
        <w:rPr>
          <w:rFonts w:ascii="Arial" w:hAnsi="Arial" w:cs="Arial"/>
          <w:sz w:val="24"/>
          <w:szCs w:val="24"/>
        </w:rPr>
        <w:t>Heard:</w:t>
      </w:r>
      <w:r>
        <w:rPr>
          <w:rFonts w:ascii="Arial" w:hAnsi="Arial" w:cs="Arial"/>
          <w:sz w:val="24"/>
          <w:szCs w:val="24"/>
        </w:rPr>
        <w:tab/>
      </w:r>
      <w:r w:rsidR="009E43EA">
        <w:rPr>
          <w:rFonts w:ascii="Arial" w:hAnsi="Arial" w:cs="Arial"/>
          <w:sz w:val="24"/>
          <w:szCs w:val="24"/>
        </w:rPr>
        <w:t>18 June</w:t>
      </w:r>
      <w:r w:rsidR="00157E3C" w:rsidRPr="004B5E3E">
        <w:rPr>
          <w:rFonts w:ascii="Arial" w:hAnsi="Arial" w:cs="Arial"/>
          <w:sz w:val="24"/>
          <w:szCs w:val="24"/>
        </w:rPr>
        <w:t xml:space="preserve"> 2020</w:t>
      </w:r>
    </w:p>
    <w:p w:rsidR="00157E3C" w:rsidRPr="00F03EE1" w:rsidRDefault="00C6204A" w:rsidP="004B5E3E">
      <w:pPr>
        <w:spacing w:after="0" w:line="360" w:lineRule="auto"/>
        <w:jc w:val="both"/>
        <w:rPr>
          <w:rFonts w:ascii="Arial" w:hAnsi="Arial" w:cs="Arial"/>
          <w:b/>
          <w:sz w:val="24"/>
          <w:szCs w:val="24"/>
        </w:rPr>
      </w:pPr>
      <w:r w:rsidRPr="00F03EE1">
        <w:rPr>
          <w:rFonts w:ascii="Arial" w:hAnsi="Arial" w:cs="Arial"/>
          <w:b/>
          <w:sz w:val="24"/>
          <w:szCs w:val="24"/>
        </w:rPr>
        <w:t>Delivered:</w:t>
      </w:r>
      <w:r w:rsidRPr="00F03EE1">
        <w:rPr>
          <w:rFonts w:ascii="Arial" w:hAnsi="Arial" w:cs="Arial"/>
          <w:b/>
          <w:sz w:val="24"/>
          <w:szCs w:val="24"/>
        </w:rPr>
        <w:tab/>
      </w:r>
      <w:r w:rsidR="009E43EA" w:rsidRPr="00F03EE1">
        <w:rPr>
          <w:rFonts w:ascii="Arial" w:hAnsi="Arial" w:cs="Arial"/>
          <w:b/>
          <w:sz w:val="24"/>
          <w:szCs w:val="24"/>
        </w:rPr>
        <w:t>10 July</w:t>
      </w:r>
      <w:r w:rsidR="00157E3C" w:rsidRPr="00F03EE1">
        <w:rPr>
          <w:rFonts w:ascii="Arial" w:hAnsi="Arial" w:cs="Arial"/>
          <w:b/>
          <w:sz w:val="24"/>
          <w:szCs w:val="24"/>
        </w:rPr>
        <w:t xml:space="preserve"> 2020</w:t>
      </w:r>
    </w:p>
    <w:p w:rsidR="00656892" w:rsidRPr="00965EE9" w:rsidRDefault="00AE03C3" w:rsidP="004B5E3E">
      <w:pPr>
        <w:spacing w:after="0" w:line="360" w:lineRule="auto"/>
        <w:jc w:val="both"/>
        <w:rPr>
          <w:rFonts w:ascii="Arial" w:hAnsi="Arial" w:cs="Arial"/>
          <w:b/>
          <w:sz w:val="24"/>
          <w:szCs w:val="24"/>
        </w:rPr>
      </w:pPr>
      <w:r w:rsidRPr="00F03EE1">
        <w:rPr>
          <w:rFonts w:ascii="Arial" w:hAnsi="Arial" w:cs="Arial"/>
          <w:b/>
          <w:sz w:val="24"/>
          <w:szCs w:val="24"/>
        </w:rPr>
        <w:t>Reasons:</w:t>
      </w:r>
      <w:r w:rsidRPr="00F03EE1">
        <w:rPr>
          <w:rFonts w:ascii="Arial" w:hAnsi="Arial" w:cs="Arial"/>
          <w:b/>
          <w:sz w:val="24"/>
          <w:szCs w:val="24"/>
        </w:rPr>
        <w:tab/>
      </w:r>
      <w:r w:rsidR="005F3741" w:rsidRPr="00F03EE1">
        <w:rPr>
          <w:rFonts w:ascii="Arial" w:hAnsi="Arial" w:cs="Arial"/>
          <w:b/>
          <w:sz w:val="24"/>
          <w:szCs w:val="24"/>
        </w:rPr>
        <w:t>1</w:t>
      </w:r>
      <w:r w:rsidR="00CB0AF0" w:rsidRPr="00F03EE1">
        <w:rPr>
          <w:rFonts w:ascii="Arial" w:hAnsi="Arial" w:cs="Arial"/>
          <w:b/>
          <w:sz w:val="24"/>
          <w:szCs w:val="24"/>
        </w:rPr>
        <w:t>6</w:t>
      </w:r>
      <w:r w:rsidR="005F3741" w:rsidRPr="00F03EE1">
        <w:rPr>
          <w:rFonts w:ascii="Arial" w:hAnsi="Arial" w:cs="Arial"/>
          <w:b/>
          <w:sz w:val="24"/>
          <w:szCs w:val="24"/>
        </w:rPr>
        <w:t xml:space="preserve"> July 2020</w:t>
      </w:r>
      <w:bookmarkStart w:id="0" w:name="_GoBack"/>
      <w:bookmarkEnd w:id="0"/>
    </w:p>
    <w:p w:rsidR="00157E3C" w:rsidRPr="004B5E3E" w:rsidRDefault="00617B2A" w:rsidP="004B5E3E">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157E3C" w:rsidRPr="004B5E3E" w:rsidRDefault="00157E3C" w:rsidP="004B5E3E">
      <w:pPr>
        <w:spacing w:after="0" w:line="360" w:lineRule="auto"/>
        <w:jc w:val="center"/>
        <w:rPr>
          <w:rFonts w:ascii="Arial" w:eastAsia="Calibri" w:hAnsi="Arial" w:cs="Arial"/>
          <w:b/>
          <w:bCs/>
          <w:sz w:val="24"/>
          <w:szCs w:val="24"/>
          <w:lang w:val="en-GB"/>
        </w:rPr>
      </w:pPr>
      <w:r w:rsidRPr="004B5E3E">
        <w:rPr>
          <w:rFonts w:ascii="Arial" w:eastAsia="Calibri" w:hAnsi="Arial" w:cs="Arial"/>
          <w:b/>
          <w:bCs/>
          <w:sz w:val="24"/>
          <w:szCs w:val="24"/>
          <w:lang w:val="en-GB"/>
        </w:rPr>
        <w:t>ORDER</w:t>
      </w:r>
    </w:p>
    <w:p w:rsidR="00157E3C" w:rsidRPr="004B5E3E" w:rsidRDefault="00617B2A" w:rsidP="004B5E3E">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D04DB7" w:rsidRPr="00D04DB7" w:rsidRDefault="00D04DB7" w:rsidP="00320C12">
      <w:pPr>
        <w:spacing w:before="100" w:beforeAutospacing="1" w:after="100" w:afterAutospacing="1" w:line="360" w:lineRule="auto"/>
        <w:jc w:val="both"/>
        <w:rPr>
          <w:rFonts w:ascii="Arial" w:eastAsia="Times New Roman" w:hAnsi="Arial" w:cs="Arial"/>
          <w:color w:val="000000"/>
          <w:sz w:val="24"/>
          <w:szCs w:val="24"/>
          <w:lang w:eastAsia="en-ZA"/>
        </w:rPr>
      </w:pPr>
      <w:r w:rsidRPr="00D04DB7">
        <w:rPr>
          <w:rFonts w:ascii="Arial" w:eastAsia="Times New Roman" w:hAnsi="Arial" w:cs="Arial"/>
          <w:color w:val="000000"/>
          <w:sz w:val="24"/>
          <w:szCs w:val="24"/>
          <w:lang w:eastAsia="en-ZA"/>
        </w:rPr>
        <w:t>1. All three points </w:t>
      </w:r>
      <w:r w:rsidRPr="00D04DB7">
        <w:rPr>
          <w:rFonts w:ascii="Arial" w:eastAsia="Times New Roman" w:hAnsi="Arial" w:cs="Arial"/>
          <w:i/>
          <w:iCs/>
          <w:color w:val="000000"/>
          <w:sz w:val="24"/>
          <w:szCs w:val="24"/>
          <w:lang w:eastAsia="en-ZA"/>
        </w:rPr>
        <w:t xml:space="preserve">in </w:t>
      </w:r>
      <w:proofErr w:type="spellStart"/>
      <w:r w:rsidRPr="00D04DB7">
        <w:rPr>
          <w:rFonts w:ascii="Arial" w:eastAsia="Times New Roman" w:hAnsi="Arial" w:cs="Arial"/>
          <w:i/>
          <w:iCs/>
          <w:color w:val="000000"/>
          <w:sz w:val="24"/>
          <w:szCs w:val="24"/>
          <w:lang w:eastAsia="en-ZA"/>
        </w:rPr>
        <w:t>limine</w:t>
      </w:r>
      <w:proofErr w:type="spellEnd"/>
      <w:r w:rsidRPr="00D04DB7">
        <w:rPr>
          <w:rFonts w:ascii="Arial" w:eastAsia="Times New Roman" w:hAnsi="Arial" w:cs="Arial"/>
          <w:color w:val="000000"/>
          <w:sz w:val="24"/>
          <w:szCs w:val="24"/>
          <w:lang w:eastAsia="en-ZA"/>
        </w:rPr>
        <w:t> raised by the plaintiff are upheld.</w:t>
      </w:r>
    </w:p>
    <w:p w:rsidR="00D04DB7" w:rsidRPr="00D04DB7" w:rsidRDefault="00D04DB7" w:rsidP="00320C12">
      <w:pPr>
        <w:spacing w:before="100" w:beforeAutospacing="1" w:after="100" w:afterAutospacing="1" w:line="360" w:lineRule="auto"/>
        <w:jc w:val="both"/>
        <w:rPr>
          <w:rFonts w:ascii="Arial" w:eastAsia="Times New Roman" w:hAnsi="Arial" w:cs="Arial"/>
          <w:color w:val="000000"/>
          <w:sz w:val="24"/>
          <w:szCs w:val="24"/>
          <w:lang w:eastAsia="en-ZA"/>
        </w:rPr>
      </w:pPr>
      <w:r w:rsidRPr="00D04DB7">
        <w:rPr>
          <w:rFonts w:ascii="Arial" w:eastAsia="Times New Roman" w:hAnsi="Arial" w:cs="Arial"/>
          <w:color w:val="000000"/>
          <w:sz w:val="24"/>
          <w:szCs w:val="24"/>
          <w:lang w:eastAsia="en-ZA"/>
        </w:rPr>
        <w:lastRenderedPageBreak/>
        <w:t>2. The defendant’s application is struck from the roll with costs, such cost to be taxed outside the scale as provide for in rule 32(11) and to include the costs of one instructing and one instructed counsel.</w:t>
      </w:r>
    </w:p>
    <w:p w:rsidR="00D04DB7" w:rsidRPr="00D04DB7" w:rsidRDefault="008D194E" w:rsidP="00320C12">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b/>
          <w:bCs/>
          <w:color w:val="000000"/>
          <w:sz w:val="24"/>
          <w:szCs w:val="24"/>
          <w:u w:val="single"/>
          <w:lang w:eastAsia="en-ZA"/>
        </w:rPr>
        <w:t>F</w:t>
      </w:r>
      <w:r w:rsidR="00D04DB7" w:rsidRPr="00D04DB7">
        <w:rPr>
          <w:rFonts w:ascii="Arial" w:eastAsia="Times New Roman" w:hAnsi="Arial" w:cs="Arial"/>
          <w:b/>
          <w:bCs/>
          <w:color w:val="000000"/>
          <w:sz w:val="24"/>
          <w:szCs w:val="24"/>
          <w:u w:val="single"/>
          <w:lang w:eastAsia="en-ZA"/>
        </w:rPr>
        <w:t>urther conduct of the matter</w:t>
      </w:r>
      <w:r w:rsidR="00D04DB7" w:rsidRPr="00D04DB7">
        <w:rPr>
          <w:rFonts w:ascii="Arial" w:eastAsia="Times New Roman" w:hAnsi="Arial" w:cs="Arial"/>
          <w:color w:val="000000"/>
          <w:sz w:val="24"/>
          <w:szCs w:val="24"/>
          <w:lang w:eastAsia="en-ZA"/>
        </w:rPr>
        <w:t>:</w:t>
      </w:r>
    </w:p>
    <w:p w:rsidR="00D04DB7" w:rsidRPr="00D04DB7" w:rsidRDefault="008D194E" w:rsidP="00320C12">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w:t>
      </w:r>
      <w:r w:rsidR="00D04DB7" w:rsidRPr="00D04DB7">
        <w:rPr>
          <w:rFonts w:ascii="Arial" w:eastAsia="Times New Roman" w:hAnsi="Arial" w:cs="Arial"/>
          <w:color w:val="000000"/>
          <w:sz w:val="24"/>
          <w:szCs w:val="24"/>
          <w:lang w:eastAsia="en-ZA"/>
        </w:rPr>
        <w:t>. The case is postponed to </w:t>
      </w:r>
      <w:r w:rsidR="00D04DB7" w:rsidRPr="00D04DB7">
        <w:rPr>
          <w:rFonts w:ascii="Arial" w:eastAsia="Times New Roman" w:hAnsi="Arial" w:cs="Arial"/>
          <w:b/>
          <w:bCs/>
          <w:color w:val="000000"/>
          <w:sz w:val="24"/>
          <w:szCs w:val="24"/>
          <w:lang w:eastAsia="en-ZA"/>
        </w:rPr>
        <w:t>30/07/2020</w:t>
      </w:r>
      <w:r w:rsidR="00D04DB7" w:rsidRPr="00D04DB7">
        <w:rPr>
          <w:rFonts w:ascii="Arial" w:eastAsia="Times New Roman" w:hAnsi="Arial" w:cs="Arial"/>
          <w:color w:val="000000"/>
          <w:sz w:val="24"/>
          <w:szCs w:val="24"/>
          <w:lang w:eastAsia="en-ZA"/>
        </w:rPr>
        <w:t> at </w:t>
      </w:r>
      <w:r w:rsidR="00D04DB7" w:rsidRPr="00D04DB7">
        <w:rPr>
          <w:rFonts w:ascii="Arial" w:eastAsia="Times New Roman" w:hAnsi="Arial" w:cs="Arial"/>
          <w:b/>
          <w:bCs/>
          <w:color w:val="000000"/>
          <w:sz w:val="24"/>
          <w:szCs w:val="24"/>
          <w:lang w:eastAsia="en-ZA"/>
        </w:rPr>
        <w:t>15:00</w:t>
      </w:r>
      <w:r w:rsidR="00D04DB7" w:rsidRPr="00D04DB7">
        <w:rPr>
          <w:rFonts w:ascii="Arial" w:eastAsia="Times New Roman" w:hAnsi="Arial" w:cs="Arial"/>
          <w:color w:val="000000"/>
          <w:sz w:val="24"/>
          <w:szCs w:val="24"/>
          <w:lang w:eastAsia="en-ZA"/>
        </w:rPr>
        <w:t> for Status hearing (Reason: Others).</w:t>
      </w:r>
    </w:p>
    <w:p w:rsidR="009E43EA" w:rsidRPr="00F03EE1" w:rsidRDefault="008D194E" w:rsidP="00F03EE1">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4</w:t>
      </w:r>
      <w:r w:rsidR="00D04DB7" w:rsidRPr="00D04DB7">
        <w:rPr>
          <w:rFonts w:ascii="Arial" w:eastAsia="Times New Roman" w:hAnsi="Arial" w:cs="Arial"/>
          <w:color w:val="000000"/>
          <w:sz w:val="24"/>
          <w:szCs w:val="24"/>
          <w:lang w:eastAsia="en-ZA"/>
        </w:rPr>
        <w:t>. The Parties </w:t>
      </w:r>
      <w:r w:rsidR="00D04DB7" w:rsidRPr="00D04DB7">
        <w:rPr>
          <w:rFonts w:ascii="Arial" w:eastAsia="Times New Roman" w:hAnsi="Arial" w:cs="Arial"/>
          <w:b/>
          <w:bCs/>
          <w:color w:val="000000"/>
          <w:sz w:val="24"/>
          <w:szCs w:val="24"/>
          <w:u w:val="single"/>
          <w:lang w:eastAsia="en-ZA"/>
        </w:rPr>
        <w:t>must</w:t>
      </w:r>
      <w:r w:rsidR="00D04DB7" w:rsidRPr="00D04DB7">
        <w:rPr>
          <w:rFonts w:ascii="Arial" w:eastAsia="Times New Roman" w:hAnsi="Arial" w:cs="Arial"/>
          <w:color w:val="000000"/>
          <w:sz w:val="24"/>
          <w:szCs w:val="24"/>
          <w:lang w:eastAsia="en-ZA"/>
        </w:rPr>
        <w:t> file a joint status report on or before </w:t>
      </w:r>
      <w:r w:rsidR="00D04DB7" w:rsidRPr="00D04DB7">
        <w:rPr>
          <w:rFonts w:ascii="Arial" w:eastAsia="Times New Roman" w:hAnsi="Arial" w:cs="Arial"/>
          <w:color w:val="000000"/>
          <w:sz w:val="24"/>
          <w:szCs w:val="24"/>
          <w:u w:val="single"/>
          <w:lang w:eastAsia="en-ZA"/>
        </w:rPr>
        <w:t>27 July 2020</w:t>
      </w:r>
      <w:r w:rsidR="00D04DB7" w:rsidRPr="00D04DB7">
        <w:rPr>
          <w:rFonts w:ascii="Arial" w:eastAsia="Times New Roman" w:hAnsi="Arial" w:cs="Arial"/>
          <w:color w:val="000000"/>
          <w:sz w:val="24"/>
          <w:szCs w:val="24"/>
          <w:lang w:eastAsia="en-ZA"/>
        </w:rPr>
        <w:t> setting out the further conduct of the matter. </w:t>
      </w:r>
    </w:p>
    <w:p w:rsidR="00157E3C" w:rsidRPr="004B5E3E" w:rsidRDefault="00617B2A" w:rsidP="004B5E3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57E3C" w:rsidRPr="004B5E3E" w:rsidRDefault="00157E3C" w:rsidP="004B5E3E">
      <w:pPr>
        <w:spacing w:after="0" w:line="360" w:lineRule="auto"/>
        <w:jc w:val="center"/>
        <w:rPr>
          <w:rFonts w:ascii="Arial" w:hAnsi="Arial" w:cs="Arial"/>
          <w:b/>
          <w:sz w:val="24"/>
          <w:szCs w:val="24"/>
        </w:rPr>
      </w:pPr>
      <w:r w:rsidRPr="004B5E3E">
        <w:rPr>
          <w:rFonts w:ascii="Arial" w:hAnsi="Arial" w:cs="Arial"/>
          <w:b/>
          <w:sz w:val="24"/>
          <w:szCs w:val="24"/>
        </w:rPr>
        <w:t>JUDGMENT</w:t>
      </w:r>
    </w:p>
    <w:p w:rsidR="00157E3C" w:rsidRPr="004B5E3E" w:rsidRDefault="00617B2A" w:rsidP="004B5E3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57E3C" w:rsidRPr="004B5E3E" w:rsidRDefault="00157E3C" w:rsidP="004B5E3E">
      <w:pPr>
        <w:spacing w:after="0" w:line="360" w:lineRule="auto"/>
        <w:jc w:val="both"/>
        <w:rPr>
          <w:rFonts w:ascii="Arial" w:hAnsi="Arial" w:cs="Arial"/>
          <w:sz w:val="24"/>
          <w:szCs w:val="24"/>
        </w:rPr>
      </w:pPr>
    </w:p>
    <w:p w:rsidR="00157E3C" w:rsidRPr="004B5E3E" w:rsidRDefault="00157E3C" w:rsidP="00FD61F8">
      <w:pPr>
        <w:spacing w:after="0" w:line="360" w:lineRule="auto"/>
        <w:jc w:val="both"/>
        <w:rPr>
          <w:rFonts w:ascii="Arial" w:hAnsi="Arial" w:cs="Arial"/>
          <w:sz w:val="24"/>
          <w:szCs w:val="24"/>
        </w:rPr>
      </w:pPr>
      <w:r w:rsidRPr="004B5E3E">
        <w:rPr>
          <w:rFonts w:ascii="Arial" w:hAnsi="Arial" w:cs="Arial"/>
          <w:sz w:val="24"/>
          <w:szCs w:val="24"/>
        </w:rPr>
        <w:t>PRINSLOO J</w:t>
      </w:r>
    </w:p>
    <w:p w:rsidR="00157E3C" w:rsidRPr="004B5E3E" w:rsidRDefault="00157E3C" w:rsidP="00FD61F8">
      <w:pPr>
        <w:spacing w:after="0" w:line="360" w:lineRule="auto"/>
        <w:jc w:val="both"/>
        <w:rPr>
          <w:rFonts w:ascii="Arial" w:hAnsi="Arial" w:cs="Arial"/>
          <w:sz w:val="24"/>
          <w:szCs w:val="24"/>
        </w:rPr>
      </w:pPr>
    </w:p>
    <w:p w:rsidR="00157E3C" w:rsidRPr="004B5E3E" w:rsidRDefault="00157E3C" w:rsidP="00FD61F8">
      <w:pPr>
        <w:spacing w:after="0" w:line="360" w:lineRule="auto"/>
        <w:jc w:val="both"/>
        <w:rPr>
          <w:rFonts w:ascii="Arial" w:hAnsi="Arial" w:cs="Arial"/>
          <w:sz w:val="24"/>
          <w:szCs w:val="24"/>
          <w:u w:val="single"/>
        </w:rPr>
      </w:pPr>
      <w:r w:rsidRPr="004B5E3E">
        <w:rPr>
          <w:rFonts w:ascii="Arial" w:hAnsi="Arial" w:cs="Arial"/>
          <w:sz w:val="24"/>
          <w:szCs w:val="24"/>
          <w:u w:val="single"/>
        </w:rPr>
        <w:t>Introduction</w:t>
      </w:r>
    </w:p>
    <w:p w:rsidR="00883624" w:rsidRPr="004B5E3E" w:rsidRDefault="00883624" w:rsidP="00FD61F8">
      <w:pPr>
        <w:spacing w:after="0" w:line="360" w:lineRule="auto"/>
        <w:jc w:val="both"/>
        <w:rPr>
          <w:rFonts w:ascii="Arial" w:hAnsi="Arial" w:cs="Arial"/>
          <w:sz w:val="24"/>
          <w:szCs w:val="24"/>
          <w:u w:val="single"/>
        </w:rPr>
      </w:pPr>
    </w:p>
    <w:p w:rsidR="003C1D6B" w:rsidRPr="004B5E3E" w:rsidRDefault="003C1D6B" w:rsidP="00FD61F8">
      <w:pPr>
        <w:shd w:val="clear" w:color="auto" w:fill="FFFFFF"/>
        <w:spacing w:after="0" w:line="360" w:lineRule="auto"/>
        <w:jc w:val="both"/>
        <w:outlineLvl w:val="1"/>
        <w:rPr>
          <w:rFonts w:ascii="Arial" w:eastAsia="Times New Roman" w:hAnsi="Arial" w:cs="Arial"/>
          <w:sz w:val="24"/>
          <w:szCs w:val="24"/>
          <w:lang w:eastAsia="en-ZA"/>
        </w:rPr>
      </w:pPr>
      <w:r w:rsidRPr="004B5E3E">
        <w:rPr>
          <w:rFonts w:ascii="Arial" w:eastAsia="Times New Roman" w:hAnsi="Arial" w:cs="Arial"/>
          <w:sz w:val="24"/>
          <w:szCs w:val="24"/>
          <w:lang w:eastAsia="en-ZA"/>
        </w:rPr>
        <w:t>[</w:t>
      </w:r>
      <w:r w:rsidR="0066685E" w:rsidRPr="004B5E3E">
        <w:rPr>
          <w:rFonts w:ascii="Arial" w:eastAsia="Times New Roman" w:hAnsi="Arial" w:cs="Arial"/>
          <w:sz w:val="24"/>
          <w:szCs w:val="24"/>
          <w:lang w:eastAsia="en-ZA"/>
        </w:rPr>
        <w:t>1</w:t>
      </w:r>
      <w:r w:rsidRPr="004B5E3E">
        <w:rPr>
          <w:rFonts w:ascii="Arial" w:eastAsia="Times New Roman" w:hAnsi="Arial" w:cs="Arial"/>
          <w:sz w:val="24"/>
          <w:szCs w:val="24"/>
          <w:lang w:eastAsia="en-ZA"/>
        </w:rPr>
        <w:t>]</w:t>
      </w:r>
      <w:r w:rsidRPr="004B5E3E">
        <w:rPr>
          <w:rFonts w:ascii="Arial" w:eastAsia="Times New Roman" w:hAnsi="Arial" w:cs="Arial"/>
          <w:sz w:val="24"/>
          <w:szCs w:val="24"/>
          <w:lang w:eastAsia="en-ZA"/>
        </w:rPr>
        <w:tab/>
        <w:t>The matter before me concerns</w:t>
      </w:r>
      <w:r w:rsidR="00CB0AF0">
        <w:rPr>
          <w:rFonts w:ascii="Arial" w:eastAsia="Times New Roman" w:hAnsi="Arial" w:cs="Arial"/>
          <w:sz w:val="24"/>
          <w:szCs w:val="24"/>
          <w:lang w:eastAsia="en-ZA"/>
        </w:rPr>
        <w:t xml:space="preserve"> </w:t>
      </w:r>
      <w:r w:rsidRPr="004B5E3E">
        <w:rPr>
          <w:rFonts w:ascii="Arial" w:eastAsia="Times New Roman" w:hAnsi="Arial" w:cs="Arial"/>
          <w:sz w:val="24"/>
          <w:szCs w:val="24"/>
          <w:lang w:eastAsia="en-ZA"/>
        </w:rPr>
        <w:t>an</w:t>
      </w:r>
      <w:r w:rsidR="00B13F17">
        <w:rPr>
          <w:rFonts w:ascii="Arial" w:eastAsia="Times New Roman" w:hAnsi="Arial" w:cs="Arial"/>
          <w:sz w:val="24"/>
          <w:szCs w:val="24"/>
          <w:lang w:eastAsia="en-ZA"/>
        </w:rPr>
        <w:t xml:space="preserve"> </w:t>
      </w:r>
      <w:r w:rsidR="00DF3669">
        <w:rPr>
          <w:rFonts w:ascii="Arial" w:eastAsia="Times New Roman" w:hAnsi="Arial" w:cs="Arial"/>
          <w:sz w:val="24"/>
          <w:szCs w:val="24"/>
          <w:lang w:eastAsia="en-ZA"/>
        </w:rPr>
        <w:t xml:space="preserve">application to compel discovery in terms of rule 28(8) of the Rules of Court. </w:t>
      </w:r>
      <w:r w:rsidR="00EE459E">
        <w:rPr>
          <w:rFonts w:ascii="Arial" w:eastAsia="Times New Roman" w:hAnsi="Arial" w:cs="Arial"/>
          <w:sz w:val="24"/>
          <w:szCs w:val="24"/>
          <w:lang w:eastAsia="en-ZA"/>
        </w:rPr>
        <w:t>Due to the advanced stage of the proceedings the defendant filed its notic</w:t>
      </w:r>
      <w:r w:rsidR="008D194E">
        <w:rPr>
          <w:rFonts w:ascii="Arial" w:eastAsia="Times New Roman" w:hAnsi="Arial" w:cs="Arial"/>
          <w:sz w:val="24"/>
          <w:szCs w:val="24"/>
          <w:lang w:eastAsia="en-ZA"/>
        </w:rPr>
        <w:t>e of motion in terms of rule 101</w:t>
      </w:r>
      <w:r w:rsidR="00EE459E">
        <w:rPr>
          <w:rFonts w:ascii="Arial" w:eastAsia="Times New Roman" w:hAnsi="Arial" w:cs="Arial"/>
          <w:sz w:val="24"/>
          <w:szCs w:val="24"/>
          <w:lang w:eastAsia="en-ZA"/>
        </w:rPr>
        <w:t xml:space="preserve"> read with rule 28(9) and 28(14).</w:t>
      </w:r>
    </w:p>
    <w:p w:rsidR="00883624" w:rsidRPr="004B5E3E" w:rsidRDefault="00883624" w:rsidP="00FD61F8">
      <w:pPr>
        <w:shd w:val="clear" w:color="auto" w:fill="FFFFFF"/>
        <w:spacing w:after="0" w:line="360" w:lineRule="auto"/>
        <w:jc w:val="both"/>
        <w:outlineLvl w:val="1"/>
        <w:rPr>
          <w:rFonts w:ascii="Arial" w:eastAsia="Times New Roman" w:hAnsi="Arial" w:cs="Arial"/>
          <w:sz w:val="24"/>
          <w:szCs w:val="24"/>
          <w:lang w:eastAsia="en-ZA"/>
        </w:rPr>
      </w:pPr>
    </w:p>
    <w:p w:rsidR="00656892" w:rsidRDefault="00157E3C" w:rsidP="00FD61F8">
      <w:pPr>
        <w:shd w:val="clear" w:color="auto" w:fill="FFFFFF"/>
        <w:spacing w:after="0" w:line="360" w:lineRule="auto"/>
        <w:jc w:val="both"/>
        <w:outlineLvl w:val="1"/>
        <w:rPr>
          <w:rFonts w:ascii="Arial" w:eastAsia="Times New Roman" w:hAnsi="Arial" w:cs="Arial"/>
          <w:sz w:val="24"/>
          <w:szCs w:val="24"/>
          <w:lang w:eastAsia="en-ZA"/>
        </w:rPr>
      </w:pPr>
      <w:r w:rsidRPr="004B5E3E">
        <w:rPr>
          <w:rFonts w:ascii="Arial" w:eastAsia="Times New Roman" w:hAnsi="Arial" w:cs="Arial"/>
          <w:sz w:val="24"/>
          <w:szCs w:val="24"/>
          <w:lang w:eastAsia="en-ZA"/>
        </w:rPr>
        <w:t>[</w:t>
      </w:r>
      <w:r w:rsidR="0066685E" w:rsidRPr="004B5E3E">
        <w:rPr>
          <w:rFonts w:ascii="Arial" w:eastAsia="Times New Roman" w:hAnsi="Arial" w:cs="Arial"/>
          <w:sz w:val="24"/>
          <w:szCs w:val="24"/>
          <w:lang w:eastAsia="en-ZA"/>
        </w:rPr>
        <w:t>2</w:t>
      </w:r>
      <w:r w:rsidRPr="004B5E3E">
        <w:rPr>
          <w:rFonts w:ascii="Arial" w:eastAsia="Times New Roman" w:hAnsi="Arial" w:cs="Arial"/>
          <w:sz w:val="24"/>
          <w:szCs w:val="24"/>
          <w:lang w:eastAsia="en-ZA"/>
        </w:rPr>
        <w:t>]</w:t>
      </w:r>
      <w:r w:rsidRPr="004B5E3E">
        <w:rPr>
          <w:rFonts w:ascii="Arial" w:eastAsia="Times New Roman" w:hAnsi="Arial" w:cs="Arial"/>
          <w:sz w:val="24"/>
          <w:szCs w:val="24"/>
          <w:lang w:eastAsia="en-ZA"/>
        </w:rPr>
        <w:tab/>
      </w:r>
      <w:r w:rsidR="00D7592A" w:rsidRPr="004B5E3E">
        <w:rPr>
          <w:rFonts w:ascii="Arial" w:eastAsia="Times New Roman" w:hAnsi="Arial" w:cs="Arial"/>
          <w:sz w:val="24"/>
          <w:szCs w:val="24"/>
          <w:lang w:eastAsia="en-ZA"/>
        </w:rPr>
        <w:t xml:space="preserve">The </w:t>
      </w:r>
      <w:r w:rsidR="003C1D6B" w:rsidRPr="004B5E3E">
        <w:rPr>
          <w:rFonts w:ascii="Arial" w:eastAsia="Times New Roman" w:hAnsi="Arial" w:cs="Arial"/>
          <w:sz w:val="24"/>
          <w:szCs w:val="24"/>
          <w:lang w:eastAsia="en-ZA"/>
        </w:rPr>
        <w:t>opponents</w:t>
      </w:r>
      <w:r w:rsidR="00D7592A" w:rsidRPr="004B5E3E">
        <w:rPr>
          <w:rFonts w:ascii="Arial" w:eastAsia="Times New Roman" w:hAnsi="Arial" w:cs="Arial"/>
          <w:sz w:val="24"/>
          <w:szCs w:val="24"/>
          <w:lang w:eastAsia="en-ZA"/>
        </w:rPr>
        <w:t xml:space="preserve"> </w:t>
      </w:r>
      <w:r w:rsidR="00D7592A" w:rsidRPr="00CB0AF0">
        <w:rPr>
          <w:rFonts w:ascii="Arial" w:eastAsia="Times New Roman" w:hAnsi="Arial" w:cs="Arial"/>
          <w:sz w:val="24"/>
          <w:szCs w:val="24"/>
          <w:lang w:eastAsia="en-ZA"/>
        </w:rPr>
        <w:t xml:space="preserve">in </w:t>
      </w:r>
      <w:r w:rsidR="0023313E" w:rsidRPr="00CB0AF0">
        <w:rPr>
          <w:rFonts w:ascii="Arial" w:eastAsia="Times New Roman" w:hAnsi="Arial" w:cs="Arial"/>
          <w:sz w:val="24"/>
          <w:szCs w:val="24"/>
          <w:lang w:eastAsia="en-ZA"/>
        </w:rPr>
        <w:t>this</w:t>
      </w:r>
      <w:r w:rsidR="00CB0AF0" w:rsidRPr="00CB0AF0">
        <w:rPr>
          <w:rFonts w:ascii="Arial" w:eastAsia="Times New Roman" w:hAnsi="Arial" w:cs="Arial"/>
          <w:sz w:val="24"/>
          <w:szCs w:val="24"/>
          <w:lang w:eastAsia="en-ZA"/>
        </w:rPr>
        <w:t xml:space="preserve"> </w:t>
      </w:r>
      <w:r w:rsidR="00F17E63">
        <w:rPr>
          <w:rFonts w:ascii="Arial" w:eastAsia="Times New Roman" w:hAnsi="Arial" w:cs="Arial"/>
          <w:sz w:val="24"/>
          <w:szCs w:val="24"/>
          <w:lang w:eastAsia="en-ZA"/>
        </w:rPr>
        <w:t xml:space="preserve">application </w:t>
      </w:r>
      <w:r w:rsidR="00D7592A" w:rsidRPr="00CB0AF0">
        <w:rPr>
          <w:rFonts w:ascii="Arial" w:eastAsia="Times New Roman" w:hAnsi="Arial" w:cs="Arial"/>
          <w:sz w:val="24"/>
          <w:szCs w:val="24"/>
          <w:lang w:eastAsia="en-ZA"/>
        </w:rPr>
        <w:t xml:space="preserve">is </w:t>
      </w:r>
      <w:r w:rsidR="009E43EA">
        <w:rPr>
          <w:rFonts w:ascii="Arial" w:eastAsia="Times New Roman" w:hAnsi="Arial" w:cs="Arial"/>
          <w:sz w:val="24"/>
          <w:szCs w:val="24"/>
          <w:lang w:eastAsia="en-ZA"/>
        </w:rPr>
        <w:t xml:space="preserve">Baobab Capital (Pty) Ltd and </w:t>
      </w:r>
      <w:proofErr w:type="spellStart"/>
      <w:r w:rsidR="009E43EA">
        <w:rPr>
          <w:rFonts w:ascii="Arial" w:eastAsia="Times New Roman" w:hAnsi="Arial" w:cs="Arial"/>
          <w:sz w:val="24"/>
          <w:szCs w:val="24"/>
          <w:lang w:eastAsia="en-ZA"/>
        </w:rPr>
        <w:t>Shaziza</w:t>
      </w:r>
      <w:proofErr w:type="spellEnd"/>
      <w:r w:rsidR="009E43EA">
        <w:rPr>
          <w:rFonts w:ascii="Arial" w:eastAsia="Times New Roman" w:hAnsi="Arial" w:cs="Arial"/>
          <w:sz w:val="24"/>
          <w:szCs w:val="24"/>
          <w:lang w:eastAsia="en-ZA"/>
        </w:rPr>
        <w:t xml:space="preserve"> Auto One (Pty) Ltd</w:t>
      </w:r>
      <w:r w:rsidR="00F03EE1">
        <w:rPr>
          <w:rFonts w:ascii="Arial" w:eastAsia="Times New Roman" w:hAnsi="Arial" w:cs="Arial"/>
          <w:sz w:val="24"/>
          <w:szCs w:val="24"/>
          <w:lang w:eastAsia="en-ZA"/>
        </w:rPr>
        <w:t>.</w:t>
      </w:r>
      <w:r w:rsidR="009E43EA">
        <w:rPr>
          <w:rStyle w:val="FootnoteReference"/>
          <w:rFonts w:ascii="Arial" w:eastAsia="Times New Roman" w:hAnsi="Arial" w:cs="Arial"/>
          <w:sz w:val="24"/>
          <w:szCs w:val="24"/>
          <w:lang w:eastAsia="en-ZA"/>
        </w:rPr>
        <w:footnoteReference w:id="1"/>
      </w:r>
      <w:r w:rsidR="00142501">
        <w:rPr>
          <w:rFonts w:ascii="Arial" w:eastAsia="Times New Roman" w:hAnsi="Arial" w:cs="Arial"/>
          <w:sz w:val="24"/>
          <w:szCs w:val="24"/>
          <w:lang w:eastAsia="en-ZA"/>
        </w:rPr>
        <w:t xml:space="preserve"> </w:t>
      </w:r>
      <w:r w:rsidR="00D7592A" w:rsidRPr="004B5E3E">
        <w:rPr>
          <w:rFonts w:ascii="Arial" w:eastAsia="Times New Roman" w:hAnsi="Arial" w:cs="Arial"/>
          <w:sz w:val="24"/>
          <w:szCs w:val="24"/>
          <w:lang w:eastAsia="en-ZA"/>
        </w:rPr>
        <w:t>The plaintiff instituted action against the defendant</w:t>
      </w:r>
      <w:r w:rsidR="009E43EA">
        <w:rPr>
          <w:rFonts w:ascii="Arial" w:eastAsia="Times New Roman" w:hAnsi="Arial" w:cs="Arial"/>
          <w:sz w:val="24"/>
          <w:szCs w:val="24"/>
          <w:lang w:eastAsia="en-ZA"/>
        </w:rPr>
        <w:t xml:space="preserve"> for a) an order rectifying an agreement reached between the parties on 8 September 2017and b) payment in the amount </w:t>
      </w:r>
      <w:r w:rsidR="00142501">
        <w:rPr>
          <w:rFonts w:ascii="Arial" w:eastAsia="Times New Roman" w:hAnsi="Arial" w:cs="Arial"/>
          <w:sz w:val="24"/>
          <w:szCs w:val="24"/>
          <w:lang w:eastAsia="en-ZA"/>
        </w:rPr>
        <w:t>of N$ 118 468.</w:t>
      </w:r>
      <w:r w:rsidR="00DF3669">
        <w:rPr>
          <w:rFonts w:ascii="Arial" w:eastAsia="Times New Roman" w:hAnsi="Arial" w:cs="Arial"/>
          <w:sz w:val="24"/>
          <w:szCs w:val="24"/>
          <w:lang w:eastAsia="en-ZA"/>
        </w:rPr>
        <w:t>49, interest and cost.</w:t>
      </w:r>
    </w:p>
    <w:p w:rsidR="00656892" w:rsidRPr="004B5E3E" w:rsidRDefault="00656892" w:rsidP="00FD61F8">
      <w:pPr>
        <w:shd w:val="clear" w:color="auto" w:fill="FFFFFF"/>
        <w:spacing w:after="0" w:line="360" w:lineRule="auto"/>
        <w:jc w:val="both"/>
        <w:outlineLvl w:val="1"/>
        <w:rPr>
          <w:rFonts w:ascii="Arial" w:eastAsia="Times New Roman" w:hAnsi="Arial" w:cs="Arial"/>
          <w:sz w:val="24"/>
          <w:szCs w:val="24"/>
          <w:lang w:eastAsia="en-ZA"/>
        </w:rPr>
      </w:pPr>
    </w:p>
    <w:p w:rsidR="00ED09EA" w:rsidRDefault="0030776D" w:rsidP="00FD61F8">
      <w:pPr>
        <w:pStyle w:val="western"/>
        <w:shd w:val="clear" w:color="auto" w:fill="FFFFFF"/>
        <w:spacing w:before="0" w:beforeAutospacing="0" w:after="0" w:afterAutospacing="0" w:line="360" w:lineRule="auto"/>
        <w:jc w:val="both"/>
        <w:rPr>
          <w:rFonts w:ascii="Arial" w:hAnsi="Arial" w:cs="Arial"/>
        </w:rPr>
      </w:pPr>
      <w:r w:rsidRPr="004B5E3E">
        <w:rPr>
          <w:rFonts w:ascii="Arial" w:hAnsi="Arial" w:cs="Arial"/>
          <w:u w:val="single"/>
        </w:rPr>
        <w:t>Background</w:t>
      </w:r>
      <w:r w:rsidR="00ED09EA" w:rsidRPr="004B5E3E">
        <w:rPr>
          <w:rFonts w:ascii="Arial" w:hAnsi="Arial" w:cs="Arial"/>
        </w:rPr>
        <w:t xml:space="preserve"> </w:t>
      </w:r>
    </w:p>
    <w:p w:rsidR="009600F1" w:rsidRDefault="009600F1" w:rsidP="00FD61F8">
      <w:pPr>
        <w:pStyle w:val="western"/>
        <w:shd w:val="clear" w:color="auto" w:fill="FFFFFF"/>
        <w:spacing w:before="0" w:beforeAutospacing="0" w:after="0" w:afterAutospacing="0" w:line="360" w:lineRule="auto"/>
        <w:jc w:val="both"/>
        <w:rPr>
          <w:rFonts w:ascii="Arial" w:hAnsi="Arial" w:cs="Arial"/>
        </w:rPr>
      </w:pPr>
    </w:p>
    <w:p w:rsidR="00F86B3A" w:rsidRPr="00F86B3A" w:rsidRDefault="00F86B3A" w:rsidP="00FD61F8">
      <w:pPr>
        <w:pStyle w:val="western"/>
        <w:shd w:val="clear" w:color="auto" w:fill="FFFFFF"/>
        <w:spacing w:before="0" w:beforeAutospacing="0" w:after="0" w:afterAutospacing="0" w:line="360" w:lineRule="auto"/>
        <w:jc w:val="both"/>
        <w:rPr>
          <w:rFonts w:ascii="Arial" w:hAnsi="Arial" w:cs="Arial"/>
          <w:i/>
        </w:rPr>
      </w:pPr>
      <w:r w:rsidRPr="00F86B3A">
        <w:rPr>
          <w:rFonts w:ascii="Arial" w:hAnsi="Arial" w:cs="Arial"/>
          <w:i/>
        </w:rPr>
        <w:t>Case management history</w:t>
      </w:r>
    </w:p>
    <w:p w:rsidR="004B5E3E" w:rsidRPr="004B5E3E" w:rsidRDefault="004B5E3E" w:rsidP="00FD61F8">
      <w:pPr>
        <w:pStyle w:val="western"/>
        <w:shd w:val="clear" w:color="auto" w:fill="FFFFFF"/>
        <w:spacing w:before="0" w:beforeAutospacing="0" w:after="0" w:afterAutospacing="0" w:line="360" w:lineRule="auto"/>
        <w:jc w:val="both"/>
        <w:rPr>
          <w:rFonts w:ascii="Arial" w:hAnsi="Arial" w:cs="Arial"/>
        </w:rPr>
      </w:pPr>
    </w:p>
    <w:p w:rsidR="00A95217" w:rsidRDefault="00ED09EA" w:rsidP="00FD61F8">
      <w:pPr>
        <w:pStyle w:val="western"/>
        <w:shd w:val="clear" w:color="auto" w:fill="FFFFFF"/>
        <w:spacing w:before="0" w:beforeAutospacing="0" w:after="0" w:afterAutospacing="0" w:line="360" w:lineRule="auto"/>
        <w:jc w:val="both"/>
        <w:rPr>
          <w:rFonts w:ascii="Arial" w:hAnsi="Arial" w:cs="Arial"/>
        </w:rPr>
      </w:pPr>
      <w:r w:rsidRPr="004B5E3E">
        <w:rPr>
          <w:rFonts w:ascii="Arial" w:hAnsi="Arial" w:cs="Arial"/>
        </w:rPr>
        <w:lastRenderedPageBreak/>
        <w:t>[</w:t>
      </w:r>
      <w:r w:rsidR="00C55220">
        <w:rPr>
          <w:rFonts w:ascii="Arial" w:hAnsi="Arial" w:cs="Arial"/>
        </w:rPr>
        <w:t>3</w:t>
      </w:r>
      <w:r w:rsidRPr="004B5E3E">
        <w:rPr>
          <w:rFonts w:ascii="Arial" w:hAnsi="Arial" w:cs="Arial"/>
        </w:rPr>
        <w:t>]</w:t>
      </w:r>
      <w:r w:rsidRPr="004B5E3E">
        <w:rPr>
          <w:rFonts w:ascii="Arial" w:hAnsi="Arial" w:cs="Arial"/>
        </w:rPr>
        <w:tab/>
      </w:r>
      <w:r w:rsidR="00A95217">
        <w:rPr>
          <w:rFonts w:ascii="Arial" w:hAnsi="Arial" w:cs="Arial"/>
        </w:rPr>
        <w:t>For reasons that will become clear later in my judgment it is important to briefly set out the chronology of the judicial case management process in the matter before me.</w:t>
      </w:r>
    </w:p>
    <w:p w:rsidR="00A95217" w:rsidRDefault="00A95217" w:rsidP="00FD61F8">
      <w:pPr>
        <w:pStyle w:val="western"/>
        <w:shd w:val="clear" w:color="auto" w:fill="FFFFFF"/>
        <w:spacing w:before="0" w:beforeAutospacing="0" w:after="0" w:afterAutospacing="0" w:line="360" w:lineRule="auto"/>
        <w:jc w:val="both"/>
        <w:rPr>
          <w:rFonts w:ascii="Arial" w:hAnsi="Arial" w:cs="Arial"/>
        </w:rPr>
      </w:pPr>
    </w:p>
    <w:p w:rsidR="00A95217" w:rsidRDefault="00A95217"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C55220">
        <w:rPr>
          <w:rFonts w:ascii="Arial" w:hAnsi="Arial" w:cs="Arial"/>
        </w:rPr>
        <w:t>4</w:t>
      </w:r>
      <w:r w:rsidR="007E6E43">
        <w:rPr>
          <w:rFonts w:ascii="Arial" w:hAnsi="Arial" w:cs="Arial"/>
        </w:rPr>
        <w:t>]</w:t>
      </w:r>
      <w:r>
        <w:rPr>
          <w:rFonts w:ascii="Arial" w:hAnsi="Arial" w:cs="Arial"/>
        </w:rPr>
        <w:tab/>
        <w:t xml:space="preserve">The matter was case managed by the </w:t>
      </w:r>
      <w:proofErr w:type="spellStart"/>
      <w:r>
        <w:rPr>
          <w:rFonts w:ascii="Arial" w:hAnsi="Arial" w:cs="Arial"/>
        </w:rPr>
        <w:t>Honorable</w:t>
      </w:r>
      <w:proofErr w:type="spellEnd"/>
      <w:r>
        <w:rPr>
          <w:rFonts w:ascii="Arial" w:hAnsi="Arial" w:cs="Arial"/>
        </w:rPr>
        <w:t xml:space="preserve"> </w:t>
      </w:r>
      <w:proofErr w:type="spellStart"/>
      <w:r>
        <w:rPr>
          <w:rFonts w:ascii="Arial" w:hAnsi="Arial" w:cs="Arial"/>
        </w:rPr>
        <w:t>Tomassi</w:t>
      </w:r>
      <w:proofErr w:type="spellEnd"/>
      <w:r>
        <w:rPr>
          <w:rFonts w:ascii="Arial" w:hAnsi="Arial" w:cs="Arial"/>
        </w:rPr>
        <w:t xml:space="preserve"> J, who issued a case planning order on 10 </w:t>
      </w:r>
      <w:r w:rsidRPr="00CB0AF0">
        <w:rPr>
          <w:rFonts w:ascii="Arial" w:hAnsi="Arial" w:cs="Arial"/>
        </w:rPr>
        <w:t xml:space="preserve">August 2019 directing the parties to file their discovery affidavits and exchange their bundles of discovered documents on or before </w:t>
      </w:r>
      <w:r w:rsidR="00F86B3A" w:rsidRPr="00CB0AF0">
        <w:rPr>
          <w:rFonts w:ascii="Arial" w:hAnsi="Arial" w:cs="Arial"/>
        </w:rPr>
        <w:t xml:space="preserve">14 October 2019. The matter was </w:t>
      </w:r>
      <w:r w:rsidR="00055CF6" w:rsidRPr="00CB0AF0">
        <w:rPr>
          <w:rFonts w:ascii="Arial" w:hAnsi="Arial" w:cs="Arial"/>
        </w:rPr>
        <w:t xml:space="preserve">then </w:t>
      </w:r>
      <w:r w:rsidR="00F86B3A" w:rsidRPr="00CB0AF0">
        <w:rPr>
          <w:rFonts w:ascii="Arial" w:hAnsi="Arial" w:cs="Arial"/>
        </w:rPr>
        <w:t>postponed until 16 October 2019 for</w:t>
      </w:r>
      <w:r w:rsidR="00D9358D" w:rsidRPr="00CB0AF0">
        <w:rPr>
          <w:rFonts w:ascii="Arial" w:hAnsi="Arial" w:cs="Arial"/>
        </w:rPr>
        <w:t xml:space="preserve"> a </w:t>
      </w:r>
      <w:r w:rsidR="00F86B3A" w:rsidRPr="00CB0AF0">
        <w:rPr>
          <w:rFonts w:ascii="Arial" w:hAnsi="Arial" w:cs="Arial"/>
        </w:rPr>
        <w:t xml:space="preserve">case management conference. The parties were ordered to file their </w:t>
      </w:r>
      <w:r w:rsidR="00F86B3A">
        <w:rPr>
          <w:rFonts w:ascii="Arial" w:hAnsi="Arial" w:cs="Arial"/>
        </w:rPr>
        <w:t>joint case management conference report by 11 October 2019.</w:t>
      </w:r>
    </w:p>
    <w:p w:rsidR="00F86B3A" w:rsidRDefault="00F86B3A" w:rsidP="00FD61F8">
      <w:pPr>
        <w:pStyle w:val="western"/>
        <w:shd w:val="clear" w:color="auto" w:fill="FFFFFF"/>
        <w:spacing w:before="0" w:beforeAutospacing="0" w:after="0" w:afterAutospacing="0" w:line="360" w:lineRule="auto"/>
        <w:jc w:val="both"/>
        <w:rPr>
          <w:rFonts w:ascii="Arial" w:hAnsi="Arial" w:cs="Arial"/>
        </w:rPr>
      </w:pPr>
    </w:p>
    <w:p w:rsidR="00F86B3A" w:rsidRPr="00CB0AF0" w:rsidRDefault="00F86B3A"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C55220">
        <w:rPr>
          <w:rFonts w:ascii="Arial" w:hAnsi="Arial" w:cs="Arial"/>
        </w:rPr>
        <w:t>5</w:t>
      </w:r>
      <w:r w:rsidR="007E6E43">
        <w:rPr>
          <w:rFonts w:ascii="Arial" w:hAnsi="Arial" w:cs="Arial"/>
        </w:rPr>
        <w:t>]</w:t>
      </w:r>
      <w:r>
        <w:rPr>
          <w:rFonts w:ascii="Arial" w:hAnsi="Arial" w:cs="Arial"/>
        </w:rPr>
        <w:tab/>
      </w:r>
      <w:r w:rsidR="009756DD">
        <w:rPr>
          <w:rFonts w:ascii="Arial" w:hAnsi="Arial" w:cs="Arial"/>
        </w:rPr>
        <w:t xml:space="preserve">The parties duly filed their </w:t>
      </w:r>
      <w:r w:rsidR="00836BD0">
        <w:rPr>
          <w:rFonts w:ascii="Arial" w:hAnsi="Arial" w:cs="Arial"/>
        </w:rPr>
        <w:t xml:space="preserve">joint case management conference report wherein they confirmed that they will file </w:t>
      </w:r>
      <w:r w:rsidR="00836BD0" w:rsidRPr="00CB0AF0">
        <w:rPr>
          <w:rFonts w:ascii="Arial" w:hAnsi="Arial" w:cs="Arial"/>
        </w:rPr>
        <w:t xml:space="preserve">their </w:t>
      </w:r>
      <w:r w:rsidR="009756DD" w:rsidRPr="00CB0AF0">
        <w:rPr>
          <w:rFonts w:ascii="Arial" w:hAnsi="Arial" w:cs="Arial"/>
        </w:rPr>
        <w:t>discovery affidavits</w:t>
      </w:r>
      <w:r w:rsidR="00836BD0" w:rsidRPr="00CB0AF0">
        <w:rPr>
          <w:rFonts w:ascii="Arial" w:hAnsi="Arial" w:cs="Arial"/>
        </w:rPr>
        <w:t xml:space="preserve"> </w:t>
      </w:r>
      <w:r w:rsidR="00472311" w:rsidRPr="00CB0AF0">
        <w:rPr>
          <w:rFonts w:ascii="Arial" w:hAnsi="Arial" w:cs="Arial"/>
        </w:rPr>
        <w:t xml:space="preserve">on </w:t>
      </w:r>
      <w:r w:rsidR="00836BD0" w:rsidRPr="00CB0AF0">
        <w:rPr>
          <w:rFonts w:ascii="Arial" w:hAnsi="Arial" w:cs="Arial"/>
        </w:rPr>
        <w:t xml:space="preserve">14 October </w:t>
      </w:r>
      <w:r w:rsidR="008A6818" w:rsidRPr="00CB0AF0">
        <w:rPr>
          <w:rFonts w:ascii="Arial" w:hAnsi="Arial" w:cs="Arial"/>
        </w:rPr>
        <w:t xml:space="preserve">2019 </w:t>
      </w:r>
      <w:r w:rsidR="00836BD0" w:rsidRPr="00CB0AF0">
        <w:rPr>
          <w:rFonts w:ascii="Arial" w:hAnsi="Arial" w:cs="Arial"/>
        </w:rPr>
        <w:t xml:space="preserve">as directed, which the parties </w:t>
      </w:r>
      <w:r w:rsidR="008A191C" w:rsidRPr="00CB0AF0">
        <w:rPr>
          <w:rFonts w:ascii="Arial" w:hAnsi="Arial" w:cs="Arial"/>
        </w:rPr>
        <w:t xml:space="preserve">accordingly </w:t>
      </w:r>
      <w:r w:rsidR="00D9358D" w:rsidRPr="00CB0AF0">
        <w:rPr>
          <w:rFonts w:ascii="Arial" w:hAnsi="Arial" w:cs="Arial"/>
        </w:rPr>
        <w:t>did</w:t>
      </w:r>
      <w:r w:rsidR="00836BD0" w:rsidRPr="00CB0AF0">
        <w:rPr>
          <w:rFonts w:ascii="Arial" w:hAnsi="Arial" w:cs="Arial"/>
        </w:rPr>
        <w:t>.  D</w:t>
      </w:r>
      <w:r w:rsidRPr="00CB0AF0">
        <w:rPr>
          <w:rFonts w:ascii="Arial" w:hAnsi="Arial" w:cs="Arial"/>
        </w:rPr>
        <w:t xml:space="preserve">uring the case management conference the court ordered the parties to file their witness statements by 11 November 2019 and their joint pre-trial order by 1 December 2019. </w:t>
      </w:r>
    </w:p>
    <w:p w:rsidR="00836BD0" w:rsidRDefault="00836BD0" w:rsidP="00FD61F8">
      <w:pPr>
        <w:pStyle w:val="western"/>
        <w:shd w:val="clear" w:color="auto" w:fill="FFFFFF"/>
        <w:spacing w:before="0" w:beforeAutospacing="0" w:after="0" w:afterAutospacing="0" w:line="360" w:lineRule="auto"/>
        <w:jc w:val="both"/>
        <w:rPr>
          <w:rFonts w:ascii="Arial" w:hAnsi="Arial" w:cs="Arial"/>
        </w:rPr>
      </w:pPr>
    </w:p>
    <w:p w:rsidR="00A95217" w:rsidRDefault="00836BD0"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C55220">
        <w:rPr>
          <w:rFonts w:ascii="Arial" w:hAnsi="Arial" w:cs="Arial"/>
        </w:rPr>
        <w:t>6</w:t>
      </w:r>
      <w:r>
        <w:rPr>
          <w:rFonts w:ascii="Arial" w:hAnsi="Arial" w:cs="Arial"/>
        </w:rPr>
        <w:t>]</w:t>
      </w:r>
      <w:r>
        <w:rPr>
          <w:rFonts w:ascii="Arial" w:hAnsi="Arial" w:cs="Arial"/>
        </w:rPr>
        <w:tab/>
      </w:r>
      <w:r w:rsidR="008A191C">
        <w:rPr>
          <w:rFonts w:ascii="Arial" w:hAnsi="Arial" w:cs="Arial"/>
        </w:rPr>
        <w:t xml:space="preserve">The parties again complied with the directions of the court, except the plaintiff was unable to furnish the defendant timeously with a draft of the </w:t>
      </w:r>
      <w:r w:rsidR="008A191C" w:rsidRPr="00CB0AF0">
        <w:rPr>
          <w:rFonts w:ascii="Arial" w:hAnsi="Arial" w:cs="Arial"/>
        </w:rPr>
        <w:t>proposed pre-trial order. The court was therefor</w:t>
      </w:r>
      <w:r w:rsidR="00D02A13" w:rsidRPr="00CB0AF0">
        <w:rPr>
          <w:rFonts w:ascii="Arial" w:hAnsi="Arial" w:cs="Arial"/>
        </w:rPr>
        <w:t>e</w:t>
      </w:r>
      <w:r w:rsidR="008A191C" w:rsidRPr="00CB0AF0">
        <w:rPr>
          <w:rFonts w:ascii="Arial" w:hAnsi="Arial" w:cs="Arial"/>
        </w:rPr>
        <w:t xml:space="preserve"> unabl</w:t>
      </w:r>
      <w:r w:rsidR="00CB0AF0" w:rsidRPr="00CB0AF0">
        <w:rPr>
          <w:rFonts w:ascii="Arial" w:hAnsi="Arial" w:cs="Arial"/>
        </w:rPr>
        <w:t xml:space="preserve">e to proceed with the pre-trial </w:t>
      </w:r>
      <w:r w:rsidR="00D9358D" w:rsidRPr="00CB0AF0">
        <w:rPr>
          <w:rFonts w:ascii="Arial" w:hAnsi="Arial" w:cs="Arial"/>
        </w:rPr>
        <w:t>conference</w:t>
      </w:r>
      <w:r w:rsidR="008A191C" w:rsidRPr="00CB0AF0">
        <w:rPr>
          <w:rFonts w:ascii="Arial" w:hAnsi="Arial" w:cs="Arial"/>
        </w:rPr>
        <w:t xml:space="preserve"> on 4 December 2020 as scheduled and the Managing Judge called for affidavits showing </w:t>
      </w:r>
      <w:proofErr w:type="gramStart"/>
      <w:r w:rsidR="008A191C" w:rsidRPr="00CB0AF0">
        <w:rPr>
          <w:rFonts w:ascii="Arial" w:hAnsi="Arial" w:cs="Arial"/>
        </w:rPr>
        <w:t>cause</w:t>
      </w:r>
      <w:proofErr w:type="gramEnd"/>
      <w:r w:rsidR="008A191C" w:rsidRPr="00CB0AF0">
        <w:rPr>
          <w:rFonts w:ascii="Arial" w:hAnsi="Arial" w:cs="Arial"/>
        </w:rPr>
        <w:t xml:space="preserve"> why sanctions should not be imposed</w:t>
      </w:r>
      <w:r w:rsidR="00D9358D" w:rsidRPr="00CB0AF0">
        <w:rPr>
          <w:rFonts w:ascii="Arial" w:hAnsi="Arial" w:cs="Arial"/>
        </w:rPr>
        <w:t xml:space="preserve"> against the parties</w:t>
      </w:r>
      <w:r w:rsidR="008A191C" w:rsidRPr="00CB0AF0">
        <w:rPr>
          <w:rFonts w:ascii="Arial" w:hAnsi="Arial" w:cs="Arial"/>
        </w:rPr>
        <w:t>. Afte</w:t>
      </w:r>
      <w:r w:rsidR="008A191C">
        <w:rPr>
          <w:rFonts w:ascii="Arial" w:hAnsi="Arial" w:cs="Arial"/>
        </w:rPr>
        <w:t xml:space="preserve">r dispensing </w:t>
      </w:r>
      <w:r w:rsidR="008A191C" w:rsidRPr="00D9358D">
        <w:rPr>
          <w:rFonts w:ascii="Arial" w:hAnsi="Arial" w:cs="Arial"/>
        </w:rPr>
        <w:t>with</w:t>
      </w:r>
      <w:r w:rsidR="00472311" w:rsidRPr="00D9358D">
        <w:rPr>
          <w:rFonts w:ascii="Arial" w:hAnsi="Arial" w:cs="Arial"/>
        </w:rPr>
        <w:t xml:space="preserve"> this</w:t>
      </w:r>
      <w:r w:rsidR="008A191C" w:rsidRPr="00D9358D">
        <w:rPr>
          <w:rFonts w:ascii="Arial" w:hAnsi="Arial" w:cs="Arial"/>
        </w:rPr>
        <w:t xml:space="preserve"> preliminar</w:t>
      </w:r>
      <w:r w:rsidR="00472311" w:rsidRPr="00D9358D">
        <w:rPr>
          <w:rFonts w:ascii="Arial" w:hAnsi="Arial" w:cs="Arial"/>
        </w:rPr>
        <w:t>y</w:t>
      </w:r>
      <w:r w:rsidR="008A191C" w:rsidRPr="00D9358D">
        <w:rPr>
          <w:rFonts w:ascii="Arial" w:hAnsi="Arial" w:cs="Arial"/>
        </w:rPr>
        <w:t xml:space="preserve"> </w:t>
      </w:r>
      <w:r w:rsidR="00472311" w:rsidRPr="00D9358D">
        <w:rPr>
          <w:rFonts w:ascii="Arial" w:hAnsi="Arial" w:cs="Arial"/>
        </w:rPr>
        <w:t xml:space="preserve">issue </w:t>
      </w:r>
      <w:r w:rsidR="008A191C" w:rsidRPr="00D9358D">
        <w:rPr>
          <w:rFonts w:ascii="Arial" w:hAnsi="Arial" w:cs="Arial"/>
        </w:rPr>
        <w:t xml:space="preserve">the court allocated a trial date </w:t>
      </w:r>
      <w:r w:rsidR="00472311" w:rsidRPr="00D9358D">
        <w:rPr>
          <w:rFonts w:ascii="Arial" w:hAnsi="Arial" w:cs="Arial"/>
        </w:rPr>
        <w:t xml:space="preserve">of 15 – 19 June 2020 </w:t>
      </w:r>
      <w:r w:rsidR="008A191C" w:rsidRPr="00D9358D">
        <w:rPr>
          <w:rFonts w:ascii="Arial" w:hAnsi="Arial" w:cs="Arial"/>
        </w:rPr>
        <w:t xml:space="preserve">on 12 February </w:t>
      </w:r>
      <w:r w:rsidR="008A191C">
        <w:rPr>
          <w:rFonts w:ascii="Arial" w:hAnsi="Arial" w:cs="Arial"/>
        </w:rPr>
        <w:t>2020 and also scheduled a pre-trial status hearing for 1 June 2020.</w:t>
      </w:r>
    </w:p>
    <w:p w:rsidR="00A9200D" w:rsidRDefault="00A9200D" w:rsidP="00FD61F8">
      <w:pPr>
        <w:pStyle w:val="western"/>
        <w:shd w:val="clear" w:color="auto" w:fill="FFFFFF"/>
        <w:spacing w:before="0" w:beforeAutospacing="0" w:after="0" w:afterAutospacing="0" w:line="360" w:lineRule="auto"/>
        <w:jc w:val="both"/>
        <w:rPr>
          <w:rFonts w:ascii="Arial" w:hAnsi="Arial" w:cs="Arial"/>
        </w:rPr>
      </w:pPr>
    </w:p>
    <w:p w:rsidR="008A191C" w:rsidRDefault="008A191C"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C55220">
        <w:rPr>
          <w:rFonts w:ascii="Arial" w:hAnsi="Arial" w:cs="Arial"/>
        </w:rPr>
        <w:t>7</w:t>
      </w:r>
      <w:r>
        <w:rPr>
          <w:rFonts w:ascii="Arial" w:hAnsi="Arial" w:cs="Arial"/>
        </w:rPr>
        <w:t>]</w:t>
      </w:r>
      <w:r>
        <w:rPr>
          <w:rFonts w:ascii="Arial" w:hAnsi="Arial" w:cs="Arial"/>
        </w:rPr>
        <w:tab/>
        <w:t xml:space="preserve">On 1 June 2020 the court was informed by Mr </w:t>
      </w:r>
      <w:proofErr w:type="spellStart"/>
      <w:r>
        <w:rPr>
          <w:rFonts w:ascii="Arial" w:hAnsi="Arial" w:cs="Arial"/>
        </w:rPr>
        <w:t>Naude</w:t>
      </w:r>
      <w:proofErr w:type="spellEnd"/>
      <w:r>
        <w:rPr>
          <w:rFonts w:ascii="Arial" w:hAnsi="Arial" w:cs="Arial"/>
        </w:rPr>
        <w:t>, the legal practitioner of record for the defendant</w:t>
      </w:r>
      <w:r w:rsidR="009A4F6A">
        <w:rPr>
          <w:rFonts w:ascii="Arial" w:hAnsi="Arial" w:cs="Arial"/>
        </w:rPr>
        <w:t>,</w:t>
      </w:r>
      <w:r>
        <w:rPr>
          <w:rFonts w:ascii="Arial" w:hAnsi="Arial" w:cs="Arial"/>
        </w:rPr>
        <w:t xml:space="preserve"> that the defendant seeks further and specific discovery in terms of rule 28(8) and the defendant was ordered to file its notice in terms of the said rule by close of business on the same day. The plaintiff was ordered to respond to the said notice in accordance with the Rules of Court and the parties were directed to attend roll call on 12 June 2020.</w:t>
      </w:r>
    </w:p>
    <w:p w:rsidR="00A9200D" w:rsidRDefault="00A9200D" w:rsidP="00FD61F8">
      <w:pPr>
        <w:pStyle w:val="western"/>
        <w:shd w:val="clear" w:color="auto" w:fill="FFFFFF"/>
        <w:spacing w:before="0" w:beforeAutospacing="0" w:after="0" w:afterAutospacing="0" w:line="360" w:lineRule="auto"/>
        <w:jc w:val="both"/>
        <w:rPr>
          <w:rFonts w:ascii="Arial" w:hAnsi="Arial" w:cs="Arial"/>
        </w:rPr>
      </w:pPr>
    </w:p>
    <w:p w:rsidR="008A191C" w:rsidRDefault="008A191C"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C55220">
        <w:rPr>
          <w:rFonts w:ascii="Arial" w:hAnsi="Arial" w:cs="Arial"/>
        </w:rPr>
        <w:t>8</w:t>
      </w:r>
      <w:r>
        <w:rPr>
          <w:rFonts w:ascii="Arial" w:hAnsi="Arial" w:cs="Arial"/>
        </w:rPr>
        <w:t>]</w:t>
      </w:r>
      <w:r>
        <w:rPr>
          <w:rFonts w:ascii="Arial" w:hAnsi="Arial" w:cs="Arial"/>
        </w:rPr>
        <w:tab/>
        <w:t xml:space="preserve">Mr </w:t>
      </w:r>
      <w:proofErr w:type="spellStart"/>
      <w:r>
        <w:rPr>
          <w:rFonts w:ascii="Arial" w:hAnsi="Arial" w:cs="Arial"/>
        </w:rPr>
        <w:t>Naude</w:t>
      </w:r>
      <w:proofErr w:type="spellEnd"/>
      <w:r w:rsidR="009A4F6A">
        <w:rPr>
          <w:rFonts w:ascii="Arial" w:hAnsi="Arial" w:cs="Arial"/>
        </w:rPr>
        <w:t xml:space="preserve"> accordingly filed the notice in terms of rule 28(8) requiring the plaintiff to deliver within ten days, the following document</w:t>
      </w:r>
      <w:r w:rsidR="00472311" w:rsidRPr="007C69A5">
        <w:rPr>
          <w:rFonts w:ascii="Arial" w:hAnsi="Arial" w:cs="Arial"/>
        </w:rPr>
        <w:t>s</w:t>
      </w:r>
      <w:r w:rsidR="009A4F6A" w:rsidRPr="007C69A5">
        <w:rPr>
          <w:rFonts w:ascii="Arial" w:hAnsi="Arial" w:cs="Arial"/>
        </w:rPr>
        <w:t>:</w:t>
      </w:r>
    </w:p>
    <w:p w:rsidR="00472311" w:rsidRDefault="00472311" w:rsidP="00FD61F8">
      <w:pPr>
        <w:pStyle w:val="western"/>
        <w:shd w:val="clear" w:color="auto" w:fill="FFFFFF"/>
        <w:spacing w:before="0" w:beforeAutospacing="0" w:after="0" w:afterAutospacing="0" w:line="360" w:lineRule="auto"/>
        <w:jc w:val="both"/>
        <w:rPr>
          <w:rFonts w:ascii="Arial" w:hAnsi="Arial" w:cs="Arial"/>
        </w:rPr>
      </w:pPr>
    </w:p>
    <w:p w:rsidR="009A4F6A" w:rsidRDefault="009A4F6A" w:rsidP="00FD61F8">
      <w:pPr>
        <w:pStyle w:val="western"/>
        <w:numPr>
          <w:ilvl w:val="0"/>
          <w:numId w:val="19"/>
        </w:numPr>
        <w:shd w:val="clear" w:color="auto" w:fill="FFFFFF"/>
        <w:spacing w:before="0" w:beforeAutospacing="0" w:after="0" w:afterAutospacing="0" w:line="360" w:lineRule="auto"/>
        <w:jc w:val="both"/>
        <w:rPr>
          <w:rFonts w:ascii="Arial" w:hAnsi="Arial" w:cs="Arial"/>
        </w:rPr>
      </w:pPr>
      <w:r>
        <w:rPr>
          <w:rFonts w:ascii="Arial" w:hAnsi="Arial" w:cs="Arial"/>
        </w:rPr>
        <w:t>The plaintiff’s annual financial statements for the years 2017, 2018 and 2019 respectively</w:t>
      </w:r>
      <w:r w:rsidR="007C69A5">
        <w:rPr>
          <w:rFonts w:ascii="Arial" w:hAnsi="Arial" w:cs="Arial"/>
        </w:rPr>
        <w:t>,</w:t>
      </w:r>
      <w:r w:rsidR="007C69A5" w:rsidRPr="007C69A5">
        <w:rPr>
          <w:rFonts w:ascii="Arial" w:hAnsi="Arial" w:cs="Arial"/>
          <w:color w:val="FF0000"/>
        </w:rPr>
        <w:t xml:space="preserve"> </w:t>
      </w:r>
      <w:r w:rsidR="00472311" w:rsidRPr="007C69A5">
        <w:rPr>
          <w:rFonts w:ascii="Arial" w:hAnsi="Arial" w:cs="Arial"/>
        </w:rPr>
        <w:t>and</w:t>
      </w:r>
    </w:p>
    <w:p w:rsidR="00A95217" w:rsidRPr="00472311" w:rsidRDefault="009A4F6A" w:rsidP="00FD61F8">
      <w:pPr>
        <w:pStyle w:val="western"/>
        <w:numPr>
          <w:ilvl w:val="0"/>
          <w:numId w:val="19"/>
        </w:numPr>
        <w:shd w:val="clear" w:color="auto" w:fill="FFFFFF"/>
        <w:spacing w:before="0" w:beforeAutospacing="0" w:after="0" w:afterAutospacing="0" w:line="360" w:lineRule="auto"/>
        <w:jc w:val="both"/>
        <w:rPr>
          <w:rFonts w:ascii="Arial" w:hAnsi="Arial" w:cs="Arial"/>
        </w:rPr>
      </w:pPr>
      <w:r>
        <w:rPr>
          <w:rFonts w:ascii="Arial" w:hAnsi="Arial" w:cs="Arial"/>
        </w:rPr>
        <w:t>The plaintiff’s investment portfolio</w:t>
      </w:r>
      <w:r w:rsidR="00A9200D">
        <w:rPr>
          <w:rFonts w:ascii="Arial" w:hAnsi="Arial" w:cs="Arial"/>
        </w:rPr>
        <w:t xml:space="preserve"> for the years 2017, 2018, 2019 and 2020 respectively.  </w:t>
      </w:r>
    </w:p>
    <w:p w:rsidR="00881E61" w:rsidRDefault="00881E61" w:rsidP="00FD61F8">
      <w:pPr>
        <w:pStyle w:val="western"/>
        <w:shd w:val="clear" w:color="auto" w:fill="FFFFFF"/>
        <w:spacing w:before="0" w:beforeAutospacing="0" w:after="0" w:afterAutospacing="0" w:line="360" w:lineRule="auto"/>
        <w:jc w:val="both"/>
        <w:rPr>
          <w:rFonts w:ascii="Arial" w:hAnsi="Arial" w:cs="Arial"/>
        </w:rPr>
      </w:pPr>
    </w:p>
    <w:p w:rsidR="00881E61" w:rsidRPr="007C69A5" w:rsidRDefault="00A9200D" w:rsidP="00FD61F8">
      <w:pPr>
        <w:pStyle w:val="western"/>
        <w:shd w:val="clear" w:color="auto" w:fill="FFFFFF"/>
        <w:spacing w:before="0" w:beforeAutospacing="0" w:after="0" w:afterAutospacing="0" w:line="360" w:lineRule="auto"/>
        <w:jc w:val="both"/>
        <w:rPr>
          <w:rFonts w:ascii="Arial" w:hAnsi="Arial" w:cs="Arial"/>
          <w:color w:val="0070C0"/>
        </w:rPr>
      </w:pPr>
      <w:r>
        <w:rPr>
          <w:rFonts w:ascii="Arial" w:hAnsi="Arial" w:cs="Arial"/>
        </w:rPr>
        <w:t>[</w:t>
      </w:r>
      <w:r w:rsidR="00C55220">
        <w:rPr>
          <w:rFonts w:ascii="Arial" w:hAnsi="Arial" w:cs="Arial"/>
        </w:rPr>
        <w:t>9</w:t>
      </w:r>
      <w:r>
        <w:rPr>
          <w:rFonts w:ascii="Arial" w:hAnsi="Arial" w:cs="Arial"/>
        </w:rPr>
        <w:t>]</w:t>
      </w:r>
      <w:r>
        <w:rPr>
          <w:rFonts w:ascii="Arial" w:hAnsi="Arial" w:cs="Arial"/>
        </w:rPr>
        <w:tab/>
        <w:t>O</w:t>
      </w:r>
      <w:r w:rsidR="00881E61">
        <w:rPr>
          <w:rFonts w:ascii="Arial" w:hAnsi="Arial" w:cs="Arial"/>
        </w:rPr>
        <w:t xml:space="preserve">n 11 </w:t>
      </w:r>
      <w:r w:rsidR="00881E61" w:rsidRPr="007C69A5">
        <w:rPr>
          <w:rFonts w:ascii="Arial" w:hAnsi="Arial" w:cs="Arial"/>
        </w:rPr>
        <w:t xml:space="preserve">June </w:t>
      </w:r>
      <w:r w:rsidR="00472311" w:rsidRPr="007C69A5">
        <w:rPr>
          <w:rFonts w:ascii="Arial" w:hAnsi="Arial" w:cs="Arial"/>
        </w:rPr>
        <w:t xml:space="preserve">2020 </w:t>
      </w:r>
      <w:r w:rsidR="00881E61">
        <w:rPr>
          <w:rFonts w:ascii="Arial" w:hAnsi="Arial" w:cs="Arial"/>
        </w:rPr>
        <w:t xml:space="preserve">the plaintiff caused a discovery affidavit to be filed, deposed to by </w:t>
      </w:r>
      <w:r w:rsidR="00881E61" w:rsidRPr="00CB0AF0">
        <w:rPr>
          <w:rFonts w:ascii="Arial" w:hAnsi="Arial" w:cs="Arial"/>
        </w:rPr>
        <w:t xml:space="preserve">one Mr Jerome </w:t>
      </w:r>
      <w:proofErr w:type="spellStart"/>
      <w:r w:rsidR="00881E61" w:rsidRPr="00CB0AF0">
        <w:rPr>
          <w:rFonts w:ascii="Arial" w:hAnsi="Arial" w:cs="Arial"/>
        </w:rPr>
        <w:t>Kisting</w:t>
      </w:r>
      <w:proofErr w:type="spellEnd"/>
      <w:r w:rsidR="00881E61" w:rsidRPr="00CB0AF0">
        <w:rPr>
          <w:rFonts w:ascii="Arial" w:hAnsi="Arial" w:cs="Arial"/>
        </w:rPr>
        <w:t xml:space="preserve">, which discovery </w:t>
      </w:r>
      <w:r w:rsidR="00472311" w:rsidRPr="00CB0AF0">
        <w:rPr>
          <w:rFonts w:ascii="Arial" w:hAnsi="Arial" w:cs="Arial"/>
        </w:rPr>
        <w:t xml:space="preserve">only consisted </w:t>
      </w:r>
      <w:r w:rsidR="00881E61" w:rsidRPr="00CB0AF0">
        <w:rPr>
          <w:rFonts w:ascii="Arial" w:hAnsi="Arial" w:cs="Arial"/>
        </w:rPr>
        <w:t>of what was referred to as reduced annual financial statements for 2018 and 2019.</w:t>
      </w:r>
      <w:r w:rsidR="007C69A5" w:rsidRPr="00CB0AF0">
        <w:rPr>
          <w:rFonts w:ascii="Arial" w:hAnsi="Arial" w:cs="Arial"/>
        </w:rPr>
        <w:t xml:space="preserve"> Mr </w:t>
      </w:r>
      <w:proofErr w:type="spellStart"/>
      <w:r w:rsidR="007C69A5" w:rsidRPr="00CB0AF0">
        <w:rPr>
          <w:rFonts w:ascii="Arial" w:hAnsi="Arial" w:cs="Arial"/>
        </w:rPr>
        <w:t>Kisting</w:t>
      </w:r>
      <w:proofErr w:type="spellEnd"/>
      <w:r w:rsidR="007C69A5" w:rsidRPr="00CB0AF0">
        <w:rPr>
          <w:rFonts w:ascii="Arial" w:hAnsi="Arial" w:cs="Arial"/>
        </w:rPr>
        <w:t xml:space="preserve"> stated that the plaintiff does not have, and never had in its possession or custody the portfolios for 2017 to 2020. </w:t>
      </w:r>
    </w:p>
    <w:p w:rsidR="00A9200D" w:rsidRDefault="00A9200D" w:rsidP="00FD61F8">
      <w:pPr>
        <w:pStyle w:val="western"/>
        <w:shd w:val="clear" w:color="auto" w:fill="FFFFFF"/>
        <w:spacing w:before="0" w:beforeAutospacing="0" w:after="0" w:afterAutospacing="0" w:line="360" w:lineRule="auto"/>
        <w:jc w:val="both"/>
        <w:rPr>
          <w:rFonts w:ascii="Arial" w:hAnsi="Arial" w:cs="Arial"/>
        </w:rPr>
      </w:pPr>
    </w:p>
    <w:p w:rsidR="00FA69A3" w:rsidRPr="007C69A5" w:rsidRDefault="00881E61" w:rsidP="00FD61F8">
      <w:pPr>
        <w:pStyle w:val="western"/>
        <w:shd w:val="clear" w:color="auto" w:fill="FFFFFF"/>
        <w:spacing w:before="0" w:beforeAutospacing="0" w:after="0" w:afterAutospacing="0" w:line="360" w:lineRule="auto"/>
        <w:jc w:val="both"/>
        <w:rPr>
          <w:rFonts w:ascii="Arial" w:hAnsi="Arial" w:cs="Arial"/>
          <w:color w:val="0070C0"/>
        </w:rPr>
      </w:pPr>
      <w:r>
        <w:rPr>
          <w:rFonts w:ascii="Arial" w:hAnsi="Arial" w:cs="Arial"/>
        </w:rPr>
        <w:t>[</w:t>
      </w:r>
      <w:r w:rsidR="00367F1D">
        <w:rPr>
          <w:rFonts w:ascii="Arial" w:hAnsi="Arial" w:cs="Arial"/>
        </w:rPr>
        <w:t>10</w:t>
      </w:r>
      <w:r>
        <w:rPr>
          <w:rFonts w:ascii="Arial" w:hAnsi="Arial" w:cs="Arial"/>
        </w:rPr>
        <w:t>]</w:t>
      </w:r>
      <w:r>
        <w:rPr>
          <w:rFonts w:ascii="Arial" w:hAnsi="Arial" w:cs="Arial"/>
        </w:rPr>
        <w:tab/>
        <w:t xml:space="preserve">The discovered documents did not include the financial statements of 2017 as requested by the </w:t>
      </w:r>
      <w:r w:rsidRPr="00CB0AF0">
        <w:rPr>
          <w:rFonts w:ascii="Arial" w:hAnsi="Arial" w:cs="Arial"/>
        </w:rPr>
        <w:t xml:space="preserve">defendant. The documents provided to the defendant </w:t>
      </w:r>
      <w:r w:rsidR="00472311" w:rsidRPr="00CB0AF0">
        <w:rPr>
          <w:rFonts w:ascii="Arial" w:hAnsi="Arial" w:cs="Arial"/>
        </w:rPr>
        <w:t xml:space="preserve">were </w:t>
      </w:r>
      <w:r w:rsidRPr="00CB0AF0">
        <w:rPr>
          <w:rFonts w:ascii="Arial" w:hAnsi="Arial" w:cs="Arial"/>
        </w:rPr>
        <w:t>also in a redacted format as the plaintiff blacked out information in the financial statements for 2018 and 2019</w:t>
      </w:r>
      <w:r w:rsidR="00367F1D" w:rsidRPr="00CB0AF0">
        <w:rPr>
          <w:rFonts w:ascii="Arial" w:hAnsi="Arial" w:cs="Arial"/>
        </w:rPr>
        <w:t xml:space="preserve"> which did not relate to the defendant</w:t>
      </w:r>
      <w:r w:rsidRPr="00CB0AF0">
        <w:rPr>
          <w:rFonts w:ascii="Arial" w:hAnsi="Arial" w:cs="Arial"/>
        </w:rPr>
        <w:t>.</w:t>
      </w:r>
      <w:r w:rsidR="00FA69A3" w:rsidRPr="00CB0AF0">
        <w:rPr>
          <w:rFonts w:ascii="Arial" w:hAnsi="Arial" w:cs="Arial"/>
        </w:rPr>
        <w:t xml:space="preserve"> Discovery of the financial documents, apart from those provided to the defendant</w:t>
      </w:r>
      <w:r w:rsidR="00472311" w:rsidRPr="00CB0AF0">
        <w:rPr>
          <w:rFonts w:ascii="Arial" w:hAnsi="Arial" w:cs="Arial"/>
        </w:rPr>
        <w:t>,</w:t>
      </w:r>
      <w:r w:rsidR="00FA69A3" w:rsidRPr="00CB0AF0">
        <w:rPr>
          <w:rFonts w:ascii="Arial" w:hAnsi="Arial" w:cs="Arial"/>
        </w:rPr>
        <w:t xml:space="preserve"> was refused on the basis </w:t>
      </w:r>
      <w:r w:rsidR="007C69A5" w:rsidRPr="00CB0AF0">
        <w:rPr>
          <w:rFonts w:ascii="Arial" w:hAnsi="Arial" w:cs="Arial"/>
        </w:rPr>
        <w:t xml:space="preserve">that it was neither relevant nor germane to the current proceedings. </w:t>
      </w:r>
    </w:p>
    <w:p w:rsidR="007C69A5" w:rsidRDefault="007C69A5" w:rsidP="00FD61F8">
      <w:pPr>
        <w:pStyle w:val="western"/>
        <w:shd w:val="clear" w:color="auto" w:fill="FFFFFF"/>
        <w:spacing w:before="0" w:beforeAutospacing="0" w:after="0" w:afterAutospacing="0" w:line="360" w:lineRule="auto"/>
        <w:jc w:val="both"/>
        <w:rPr>
          <w:rFonts w:ascii="Arial" w:hAnsi="Arial" w:cs="Arial"/>
        </w:rPr>
      </w:pPr>
    </w:p>
    <w:p w:rsidR="00FA69A3" w:rsidRDefault="00FA69A3"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367F1D">
        <w:rPr>
          <w:rFonts w:ascii="Arial" w:hAnsi="Arial" w:cs="Arial"/>
        </w:rPr>
        <w:t>11</w:t>
      </w:r>
      <w:r>
        <w:rPr>
          <w:rFonts w:ascii="Arial" w:hAnsi="Arial" w:cs="Arial"/>
        </w:rPr>
        <w:t>]</w:t>
      </w:r>
      <w:r>
        <w:rPr>
          <w:rFonts w:ascii="Arial" w:hAnsi="Arial" w:cs="Arial"/>
        </w:rPr>
        <w:tab/>
      </w:r>
      <w:r w:rsidR="00226964">
        <w:rPr>
          <w:rFonts w:ascii="Arial" w:hAnsi="Arial" w:cs="Arial"/>
        </w:rPr>
        <w:t>The trial was set down for hearing to commence on 15 June 2020 at 14h15. A</w:t>
      </w:r>
      <w:r>
        <w:rPr>
          <w:rFonts w:ascii="Arial" w:hAnsi="Arial" w:cs="Arial"/>
        </w:rPr>
        <w:t xml:space="preserve">t approximately </w:t>
      </w:r>
      <w:r w:rsidRPr="007C69A5">
        <w:rPr>
          <w:rFonts w:ascii="Arial" w:hAnsi="Arial" w:cs="Arial"/>
        </w:rPr>
        <w:t>14</w:t>
      </w:r>
      <w:r w:rsidR="00E31104" w:rsidRPr="007C69A5">
        <w:rPr>
          <w:rFonts w:ascii="Arial" w:hAnsi="Arial" w:cs="Arial"/>
        </w:rPr>
        <w:t>h</w:t>
      </w:r>
      <w:r w:rsidRPr="007C69A5">
        <w:rPr>
          <w:rFonts w:ascii="Arial" w:hAnsi="Arial" w:cs="Arial"/>
        </w:rPr>
        <w:t>15</w:t>
      </w:r>
      <w:r w:rsidR="00B24460">
        <w:rPr>
          <w:rFonts w:ascii="Arial" w:hAnsi="Arial" w:cs="Arial"/>
        </w:rPr>
        <w:t xml:space="preserve"> the defendant filed a Notice of Motion praying for the following relief</w:t>
      </w:r>
      <w:r w:rsidR="00226964">
        <w:rPr>
          <w:rFonts w:ascii="Arial" w:hAnsi="Arial" w:cs="Arial"/>
        </w:rPr>
        <w:t>:</w:t>
      </w:r>
    </w:p>
    <w:p w:rsidR="00E44E25" w:rsidRDefault="00E44E25" w:rsidP="00FD61F8">
      <w:pPr>
        <w:pStyle w:val="western"/>
        <w:shd w:val="clear" w:color="auto" w:fill="FFFFFF"/>
        <w:spacing w:before="0" w:beforeAutospacing="0" w:after="0" w:afterAutospacing="0" w:line="360" w:lineRule="auto"/>
        <w:jc w:val="both"/>
        <w:rPr>
          <w:rFonts w:ascii="Arial" w:hAnsi="Arial" w:cs="Arial"/>
        </w:rPr>
      </w:pPr>
    </w:p>
    <w:p w:rsidR="00226964" w:rsidRDefault="00226964" w:rsidP="00FD61F8">
      <w:pPr>
        <w:pStyle w:val="western"/>
        <w:shd w:val="clear" w:color="auto" w:fill="FFFFFF"/>
        <w:spacing w:before="0" w:beforeAutospacing="0" w:after="0" w:afterAutospacing="0" w:line="360" w:lineRule="auto"/>
        <w:jc w:val="both"/>
        <w:rPr>
          <w:rFonts w:ascii="Arial" w:hAnsi="Arial" w:cs="Arial"/>
          <w:sz w:val="22"/>
          <w:szCs w:val="22"/>
        </w:rPr>
      </w:pPr>
      <w:r>
        <w:rPr>
          <w:rFonts w:ascii="Arial" w:hAnsi="Arial" w:cs="Arial"/>
        </w:rPr>
        <w:tab/>
        <w:t>‘</w:t>
      </w:r>
      <w:r>
        <w:rPr>
          <w:rFonts w:ascii="Arial" w:hAnsi="Arial" w:cs="Arial"/>
          <w:sz w:val="22"/>
          <w:szCs w:val="22"/>
        </w:rPr>
        <w:t>Ordering and directing the plaintiff to forthwith comply with the rule 28(8) notice of the defendant dated 1 June 2020, a copy of which is attached hereto as “A”, by making available to the defendant:</w:t>
      </w:r>
    </w:p>
    <w:p w:rsidR="00226964" w:rsidRDefault="00226964" w:rsidP="00FD61F8">
      <w:pPr>
        <w:pStyle w:val="western"/>
        <w:numPr>
          <w:ilvl w:val="1"/>
          <w:numId w:val="17"/>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full and </w:t>
      </w:r>
      <w:proofErr w:type="spellStart"/>
      <w:r>
        <w:rPr>
          <w:rFonts w:ascii="Arial" w:hAnsi="Arial" w:cs="Arial"/>
          <w:sz w:val="22"/>
          <w:szCs w:val="22"/>
        </w:rPr>
        <w:t>unredacted</w:t>
      </w:r>
      <w:proofErr w:type="spellEnd"/>
      <w:r>
        <w:rPr>
          <w:rFonts w:ascii="Arial" w:hAnsi="Arial" w:cs="Arial"/>
          <w:sz w:val="22"/>
          <w:szCs w:val="22"/>
        </w:rPr>
        <w:t xml:space="preserve"> copies of the financial statements of the plaintiff for the years 2017, 2018 and 2019, which are</w:t>
      </w:r>
    </w:p>
    <w:p w:rsidR="00226964" w:rsidRDefault="00226964" w:rsidP="00FD61F8">
      <w:pPr>
        <w:pStyle w:val="western"/>
        <w:numPr>
          <w:ilvl w:val="1"/>
          <w:numId w:val="17"/>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properly legible and readable; and </w:t>
      </w:r>
    </w:p>
    <w:p w:rsidR="00226964" w:rsidRPr="00226964" w:rsidRDefault="00226964" w:rsidP="00FD61F8">
      <w:pPr>
        <w:pStyle w:val="western"/>
        <w:numPr>
          <w:ilvl w:val="1"/>
          <w:numId w:val="17"/>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copies of all documents evidencing the plaintiff’s investment portfolios for the years 2017, 2018, 2019 and 2020, that it managed on behalf of any special purpose vehicle in accordance with an investment plan and in terms of a management agreement between the plaintiff and such special purpose </w:t>
      </w:r>
      <w:r>
        <w:rPr>
          <w:rFonts w:ascii="Arial" w:hAnsi="Arial" w:cs="Arial"/>
          <w:sz w:val="22"/>
          <w:szCs w:val="22"/>
        </w:rPr>
        <w:lastRenderedPageBreak/>
        <w:t xml:space="preserve">vehicle, as contemplated </w:t>
      </w:r>
      <w:r w:rsidR="000D17D3">
        <w:rPr>
          <w:rFonts w:ascii="Arial" w:hAnsi="Arial" w:cs="Arial"/>
          <w:sz w:val="22"/>
          <w:szCs w:val="22"/>
        </w:rPr>
        <w:t>by regulation 29(41) of the regulations promulgated under the Pension Funds Act, Act 24 of 1956.’</w:t>
      </w:r>
    </w:p>
    <w:p w:rsidR="001064A4" w:rsidRDefault="001064A4" w:rsidP="00FD61F8">
      <w:pPr>
        <w:pStyle w:val="western"/>
        <w:shd w:val="clear" w:color="auto" w:fill="FFFFFF"/>
        <w:spacing w:before="0" w:beforeAutospacing="0" w:after="0" w:afterAutospacing="0" w:line="360" w:lineRule="auto"/>
        <w:jc w:val="both"/>
        <w:rPr>
          <w:rFonts w:ascii="Arial" w:hAnsi="Arial" w:cs="Arial"/>
          <w:u w:val="single"/>
        </w:rPr>
      </w:pPr>
    </w:p>
    <w:p w:rsidR="007F30DD" w:rsidRPr="00CB0AF0" w:rsidRDefault="000D17D3" w:rsidP="00FD61F8">
      <w:pPr>
        <w:pStyle w:val="western"/>
        <w:shd w:val="clear" w:color="auto" w:fill="FFFFFF"/>
        <w:spacing w:before="0" w:beforeAutospacing="0" w:after="0" w:afterAutospacing="0" w:line="360" w:lineRule="auto"/>
        <w:jc w:val="both"/>
        <w:rPr>
          <w:rFonts w:ascii="Arial" w:hAnsi="Arial" w:cs="Arial"/>
        </w:rPr>
      </w:pPr>
      <w:r w:rsidRPr="000D17D3">
        <w:rPr>
          <w:rFonts w:ascii="Arial" w:hAnsi="Arial" w:cs="Arial"/>
        </w:rPr>
        <w:t>[</w:t>
      </w:r>
      <w:r w:rsidR="00367F1D">
        <w:rPr>
          <w:rFonts w:ascii="Arial" w:hAnsi="Arial" w:cs="Arial"/>
        </w:rPr>
        <w:t>12</w:t>
      </w:r>
      <w:r w:rsidRPr="000D17D3">
        <w:rPr>
          <w:rFonts w:ascii="Arial" w:hAnsi="Arial" w:cs="Arial"/>
        </w:rPr>
        <w:t>]</w:t>
      </w:r>
      <w:r>
        <w:rPr>
          <w:rFonts w:ascii="Arial" w:hAnsi="Arial" w:cs="Arial"/>
        </w:rPr>
        <w:tab/>
      </w:r>
      <w:r w:rsidR="007F30DD">
        <w:rPr>
          <w:rFonts w:ascii="Arial" w:hAnsi="Arial" w:cs="Arial"/>
        </w:rPr>
        <w:t xml:space="preserve">In support of the application an affidavit </w:t>
      </w:r>
      <w:r w:rsidR="00E31104" w:rsidRPr="007C69A5">
        <w:rPr>
          <w:rFonts w:ascii="Arial" w:hAnsi="Arial" w:cs="Arial"/>
        </w:rPr>
        <w:t xml:space="preserve">was </w:t>
      </w:r>
      <w:r w:rsidR="007F30DD">
        <w:rPr>
          <w:rFonts w:ascii="Arial" w:hAnsi="Arial" w:cs="Arial"/>
        </w:rPr>
        <w:t xml:space="preserve">deposed to by Mr </w:t>
      </w:r>
      <w:proofErr w:type="spellStart"/>
      <w:r w:rsidR="007F30DD">
        <w:rPr>
          <w:rFonts w:ascii="Arial" w:hAnsi="Arial" w:cs="Arial"/>
        </w:rPr>
        <w:t>Naude</w:t>
      </w:r>
      <w:proofErr w:type="spellEnd"/>
      <w:r w:rsidR="007F30DD">
        <w:rPr>
          <w:rFonts w:ascii="Arial" w:hAnsi="Arial" w:cs="Arial"/>
        </w:rPr>
        <w:t xml:space="preserve">, the </w:t>
      </w:r>
      <w:r w:rsidR="007F30DD" w:rsidRPr="00CB0AF0">
        <w:rPr>
          <w:rFonts w:ascii="Arial" w:hAnsi="Arial" w:cs="Arial"/>
        </w:rPr>
        <w:t>defendant’s instructing counsel.</w:t>
      </w:r>
      <w:r w:rsidR="00192ACA" w:rsidRPr="00CB0AF0">
        <w:rPr>
          <w:rFonts w:ascii="Arial" w:hAnsi="Arial" w:cs="Arial"/>
        </w:rPr>
        <w:t xml:space="preserve"> </w:t>
      </w:r>
      <w:r w:rsidR="00E31104" w:rsidRPr="00CB0AF0">
        <w:rPr>
          <w:rFonts w:ascii="Arial" w:hAnsi="Arial" w:cs="Arial"/>
        </w:rPr>
        <w:t>T</w:t>
      </w:r>
      <w:r w:rsidR="00192ACA" w:rsidRPr="00CB0AF0">
        <w:rPr>
          <w:rFonts w:ascii="Arial" w:hAnsi="Arial" w:cs="Arial"/>
        </w:rPr>
        <w:t xml:space="preserve">o his founding affidavit Mr </w:t>
      </w:r>
      <w:proofErr w:type="spellStart"/>
      <w:r w:rsidR="00192ACA" w:rsidRPr="00CB0AF0">
        <w:rPr>
          <w:rFonts w:ascii="Arial" w:hAnsi="Arial" w:cs="Arial"/>
        </w:rPr>
        <w:t>Naude</w:t>
      </w:r>
      <w:proofErr w:type="spellEnd"/>
      <w:r w:rsidR="00192ACA" w:rsidRPr="00CB0AF0">
        <w:rPr>
          <w:rFonts w:ascii="Arial" w:hAnsi="Arial" w:cs="Arial"/>
        </w:rPr>
        <w:t xml:space="preserve"> attached the </w:t>
      </w:r>
      <w:r w:rsidR="00367F1D" w:rsidRPr="00CB0AF0">
        <w:rPr>
          <w:rFonts w:ascii="Arial" w:hAnsi="Arial" w:cs="Arial"/>
        </w:rPr>
        <w:t xml:space="preserve">discovered </w:t>
      </w:r>
      <w:r w:rsidR="00192ACA" w:rsidRPr="00CB0AF0">
        <w:rPr>
          <w:rFonts w:ascii="Arial" w:hAnsi="Arial" w:cs="Arial"/>
        </w:rPr>
        <w:t>red</w:t>
      </w:r>
      <w:r w:rsidR="00F31940" w:rsidRPr="00CB0AF0">
        <w:rPr>
          <w:rFonts w:ascii="Arial" w:hAnsi="Arial" w:cs="Arial"/>
        </w:rPr>
        <w:t>uced financial statements as well as</w:t>
      </w:r>
      <w:r w:rsidR="00CE2A4A" w:rsidRPr="00CB0AF0">
        <w:rPr>
          <w:rFonts w:ascii="Arial" w:hAnsi="Arial" w:cs="Arial"/>
        </w:rPr>
        <w:t xml:space="preserve"> </w:t>
      </w:r>
      <w:r w:rsidR="00F31940" w:rsidRPr="00CB0AF0">
        <w:rPr>
          <w:rFonts w:ascii="Arial" w:hAnsi="Arial" w:cs="Arial"/>
        </w:rPr>
        <w:t xml:space="preserve">correspondence dated 15 June 2020 </w:t>
      </w:r>
      <w:r w:rsidR="00367F1D" w:rsidRPr="00CB0AF0">
        <w:rPr>
          <w:rFonts w:ascii="Arial" w:hAnsi="Arial" w:cs="Arial"/>
        </w:rPr>
        <w:t>exchanged with</w:t>
      </w:r>
      <w:r w:rsidR="00F31940" w:rsidRPr="00CB0AF0">
        <w:rPr>
          <w:rFonts w:ascii="Arial" w:hAnsi="Arial" w:cs="Arial"/>
        </w:rPr>
        <w:t xml:space="preserve"> Ms </w:t>
      </w:r>
      <w:proofErr w:type="spellStart"/>
      <w:r w:rsidR="00F31940" w:rsidRPr="00CB0AF0">
        <w:rPr>
          <w:rFonts w:ascii="Arial" w:hAnsi="Arial" w:cs="Arial"/>
        </w:rPr>
        <w:t>Vermeulen</w:t>
      </w:r>
      <w:proofErr w:type="spellEnd"/>
      <w:r w:rsidR="00F31940" w:rsidRPr="00CB0AF0">
        <w:rPr>
          <w:rFonts w:ascii="Arial" w:hAnsi="Arial" w:cs="Arial"/>
        </w:rPr>
        <w:t>, the legal practiti</w:t>
      </w:r>
      <w:r w:rsidR="00CE2A4A" w:rsidRPr="00CB0AF0">
        <w:rPr>
          <w:rFonts w:ascii="Arial" w:hAnsi="Arial" w:cs="Arial"/>
        </w:rPr>
        <w:t xml:space="preserve">oner of record of the plaintiff. </w:t>
      </w:r>
    </w:p>
    <w:p w:rsidR="007F30DD" w:rsidRPr="00CB0AF0" w:rsidRDefault="007F30DD" w:rsidP="00FD61F8">
      <w:pPr>
        <w:pStyle w:val="western"/>
        <w:shd w:val="clear" w:color="auto" w:fill="FFFFFF"/>
        <w:spacing w:before="0" w:beforeAutospacing="0" w:after="0" w:afterAutospacing="0" w:line="360" w:lineRule="auto"/>
        <w:jc w:val="both"/>
        <w:rPr>
          <w:rFonts w:ascii="Arial" w:hAnsi="Arial" w:cs="Arial"/>
        </w:rPr>
      </w:pPr>
    </w:p>
    <w:p w:rsidR="000D17D3" w:rsidRPr="00CB0AF0" w:rsidRDefault="007F30DD" w:rsidP="00FD61F8">
      <w:pPr>
        <w:pStyle w:val="western"/>
        <w:shd w:val="clear" w:color="auto" w:fill="FFFFFF"/>
        <w:spacing w:before="0" w:beforeAutospacing="0" w:after="0" w:afterAutospacing="0" w:line="360" w:lineRule="auto"/>
        <w:jc w:val="both"/>
        <w:rPr>
          <w:rFonts w:ascii="Arial" w:hAnsi="Arial" w:cs="Arial"/>
        </w:rPr>
      </w:pPr>
      <w:r w:rsidRPr="00CB0AF0">
        <w:rPr>
          <w:rFonts w:ascii="Arial" w:hAnsi="Arial" w:cs="Arial"/>
        </w:rPr>
        <w:t>[</w:t>
      </w:r>
      <w:r w:rsidR="00AD139F">
        <w:rPr>
          <w:rFonts w:ascii="Arial" w:hAnsi="Arial" w:cs="Arial"/>
        </w:rPr>
        <w:t>13</w:t>
      </w:r>
      <w:r w:rsidRPr="00CB0AF0">
        <w:rPr>
          <w:rFonts w:ascii="Arial" w:hAnsi="Arial" w:cs="Arial"/>
        </w:rPr>
        <w:t>]</w:t>
      </w:r>
      <w:r w:rsidRPr="00CB0AF0">
        <w:rPr>
          <w:rFonts w:ascii="Arial" w:hAnsi="Arial" w:cs="Arial"/>
        </w:rPr>
        <w:tab/>
      </w:r>
      <w:r w:rsidR="00CE2A4A" w:rsidRPr="00CB0AF0">
        <w:rPr>
          <w:rFonts w:ascii="Arial" w:hAnsi="Arial" w:cs="Arial"/>
        </w:rPr>
        <w:t>During the hearing on the afternoon</w:t>
      </w:r>
      <w:r w:rsidR="007C69A5" w:rsidRPr="00CB0AF0">
        <w:rPr>
          <w:rFonts w:ascii="Arial" w:hAnsi="Arial" w:cs="Arial"/>
        </w:rPr>
        <w:t xml:space="preserve"> of 15 June 2020</w:t>
      </w:r>
      <w:r w:rsidR="00CE2A4A" w:rsidRPr="00CB0AF0">
        <w:rPr>
          <w:rFonts w:ascii="Arial" w:hAnsi="Arial" w:cs="Arial"/>
        </w:rPr>
        <w:t xml:space="preserve"> plaintiff’s counsel indicated that they did not have the opportunity to properly read and consider the ap</w:t>
      </w:r>
      <w:r w:rsidR="00CB0AF0" w:rsidRPr="00CB0AF0">
        <w:rPr>
          <w:rFonts w:ascii="Arial" w:hAnsi="Arial" w:cs="Arial"/>
        </w:rPr>
        <w:t xml:space="preserve">plication and requested time to </w:t>
      </w:r>
      <w:r w:rsidR="007C69A5" w:rsidRPr="00CB0AF0">
        <w:rPr>
          <w:rFonts w:ascii="Arial" w:hAnsi="Arial" w:cs="Arial"/>
        </w:rPr>
        <w:t>do so</w:t>
      </w:r>
      <w:r w:rsidR="000D17D3" w:rsidRPr="00CB0AF0">
        <w:rPr>
          <w:rFonts w:ascii="Arial" w:hAnsi="Arial" w:cs="Arial"/>
        </w:rPr>
        <w:t xml:space="preserve"> and </w:t>
      </w:r>
      <w:r w:rsidR="007C69A5" w:rsidRPr="00CB0AF0">
        <w:rPr>
          <w:rFonts w:ascii="Arial" w:hAnsi="Arial" w:cs="Arial"/>
        </w:rPr>
        <w:t xml:space="preserve">to </w:t>
      </w:r>
      <w:r w:rsidR="00367F1D" w:rsidRPr="00CB0AF0">
        <w:rPr>
          <w:rFonts w:ascii="Arial" w:hAnsi="Arial" w:cs="Arial"/>
        </w:rPr>
        <w:t>contemplate</w:t>
      </w:r>
      <w:r w:rsidR="00CE2A4A" w:rsidRPr="00CB0AF0">
        <w:rPr>
          <w:rFonts w:ascii="Arial" w:hAnsi="Arial" w:cs="Arial"/>
        </w:rPr>
        <w:t xml:space="preserve"> </w:t>
      </w:r>
      <w:r w:rsidR="00CB0AF0" w:rsidRPr="00CB0AF0">
        <w:rPr>
          <w:rFonts w:ascii="Arial" w:hAnsi="Arial" w:cs="Arial"/>
        </w:rPr>
        <w:t xml:space="preserve">their options </w:t>
      </w:r>
      <w:r w:rsidR="007C69A5" w:rsidRPr="00CB0AF0">
        <w:rPr>
          <w:rFonts w:ascii="Arial" w:hAnsi="Arial" w:cs="Arial"/>
        </w:rPr>
        <w:t xml:space="preserve">in dealing </w:t>
      </w:r>
      <w:r w:rsidR="00CE2A4A" w:rsidRPr="00CB0AF0">
        <w:rPr>
          <w:rFonts w:ascii="Arial" w:hAnsi="Arial" w:cs="Arial"/>
        </w:rPr>
        <w:t xml:space="preserve">with the application. As a result of the application filed by the defendant </w:t>
      </w:r>
      <w:r w:rsidR="006A2B84" w:rsidRPr="00CB0AF0">
        <w:rPr>
          <w:rFonts w:ascii="Arial" w:hAnsi="Arial" w:cs="Arial"/>
        </w:rPr>
        <w:t xml:space="preserve">the trial could not commence and had to be adjourned to enable the parties to file their </w:t>
      </w:r>
      <w:r w:rsidR="00CE2A4A" w:rsidRPr="00CB0AF0">
        <w:rPr>
          <w:rFonts w:ascii="Arial" w:hAnsi="Arial" w:cs="Arial"/>
        </w:rPr>
        <w:t>answering and replying papers</w:t>
      </w:r>
      <w:r w:rsidR="00B142F2" w:rsidRPr="00CB0AF0">
        <w:rPr>
          <w:rFonts w:ascii="Arial" w:hAnsi="Arial" w:cs="Arial"/>
        </w:rPr>
        <w:t>.</w:t>
      </w:r>
      <w:r w:rsidR="00F03EE1">
        <w:rPr>
          <w:rFonts w:ascii="Arial" w:hAnsi="Arial" w:cs="Arial"/>
        </w:rPr>
        <w:t xml:space="preserve"> </w:t>
      </w:r>
      <w:r w:rsidR="00B142F2" w:rsidRPr="00CB0AF0">
        <w:rPr>
          <w:rFonts w:ascii="Arial" w:hAnsi="Arial" w:cs="Arial"/>
        </w:rPr>
        <w:t>T</w:t>
      </w:r>
      <w:r w:rsidR="006A2B84" w:rsidRPr="00CB0AF0">
        <w:rPr>
          <w:rFonts w:ascii="Arial" w:hAnsi="Arial" w:cs="Arial"/>
        </w:rPr>
        <w:t xml:space="preserve">he application </w:t>
      </w:r>
      <w:r w:rsidR="00B142F2" w:rsidRPr="00CB0AF0">
        <w:rPr>
          <w:rFonts w:ascii="Arial" w:hAnsi="Arial" w:cs="Arial"/>
        </w:rPr>
        <w:t xml:space="preserve">was then </w:t>
      </w:r>
      <w:r w:rsidR="00CE2A4A" w:rsidRPr="00CB0AF0">
        <w:rPr>
          <w:rFonts w:ascii="Arial" w:hAnsi="Arial" w:cs="Arial"/>
        </w:rPr>
        <w:t xml:space="preserve">set to be </w:t>
      </w:r>
      <w:r w:rsidR="006A2B84" w:rsidRPr="00CB0AF0">
        <w:rPr>
          <w:rFonts w:ascii="Arial" w:hAnsi="Arial" w:cs="Arial"/>
        </w:rPr>
        <w:t>heard on 17 June 2020.</w:t>
      </w:r>
    </w:p>
    <w:p w:rsidR="006A2B84" w:rsidRDefault="006A2B84" w:rsidP="00FD61F8">
      <w:pPr>
        <w:pStyle w:val="western"/>
        <w:shd w:val="clear" w:color="auto" w:fill="FFFFFF"/>
        <w:spacing w:before="0" w:beforeAutospacing="0" w:after="0" w:afterAutospacing="0" w:line="360" w:lineRule="auto"/>
        <w:jc w:val="both"/>
        <w:rPr>
          <w:rFonts w:ascii="Arial" w:hAnsi="Arial" w:cs="Arial"/>
        </w:rPr>
      </w:pPr>
    </w:p>
    <w:p w:rsidR="00CE2A4A" w:rsidRPr="00E31104" w:rsidRDefault="00AA4998" w:rsidP="00FD61F8">
      <w:pPr>
        <w:pStyle w:val="western"/>
        <w:shd w:val="clear" w:color="auto" w:fill="FFFFFF"/>
        <w:spacing w:before="0" w:beforeAutospacing="0" w:after="0" w:afterAutospacing="0" w:line="360" w:lineRule="auto"/>
        <w:jc w:val="both"/>
        <w:rPr>
          <w:rFonts w:ascii="Arial" w:hAnsi="Arial" w:cs="Arial"/>
          <w:u w:val="single"/>
        </w:rPr>
      </w:pPr>
      <w:r w:rsidRPr="00E31104">
        <w:rPr>
          <w:rFonts w:ascii="Arial" w:hAnsi="Arial" w:cs="Arial"/>
          <w:u w:val="single"/>
        </w:rPr>
        <w:t xml:space="preserve">Points in </w:t>
      </w:r>
      <w:proofErr w:type="spellStart"/>
      <w:r w:rsidRPr="00E31104">
        <w:rPr>
          <w:rFonts w:ascii="Arial" w:hAnsi="Arial" w:cs="Arial"/>
          <w:u w:val="single"/>
        </w:rPr>
        <w:t>limine</w:t>
      </w:r>
      <w:proofErr w:type="spellEnd"/>
    </w:p>
    <w:p w:rsidR="00E31104" w:rsidRPr="00AD139F" w:rsidRDefault="00E31104" w:rsidP="00FD61F8">
      <w:pPr>
        <w:pStyle w:val="western"/>
        <w:shd w:val="clear" w:color="auto" w:fill="FFFFFF"/>
        <w:spacing w:before="0" w:beforeAutospacing="0" w:after="0" w:afterAutospacing="0" w:line="360" w:lineRule="auto"/>
        <w:jc w:val="both"/>
        <w:rPr>
          <w:rFonts w:ascii="Arial" w:hAnsi="Arial" w:cs="Arial"/>
        </w:rPr>
      </w:pPr>
    </w:p>
    <w:p w:rsidR="00E47E3C" w:rsidRDefault="0030776D" w:rsidP="00FD61F8">
      <w:pPr>
        <w:pStyle w:val="western"/>
        <w:shd w:val="clear" w:color="auto" w:fill="FFFFFF"/>
        <w:spacing w:before="0" w:beforeAutospacing="0" w:after="0" w:afterAutospacing="0" w:line="360" w:lineRule="auto"/>
        <w:jc w:val="both"/>
        <w:rPr>
          <w:rFonts w:ascii="Arial" w:hAnsi="Arial" w:cs="Arial"/>
        </w:rPr>
      </w:pPr>
      <w:r w:rsidRPr="004B5E3E">
        <w:rPr>
          <w:rFonts w:ascii="Arial" w:hAnsi="Arial" w:cs="Arial"/>
        </w:rPr>
        <w:t>[</w:t>
      </w:r>
      <w:r w:rsidR="00AD139F">
        <w:rPr>
          <w:rFonts w:ascii="Arial" w:hAnsi="Arial" w:cs="Arial"/>
        </w:rPr>
        <w:t>14</w:t>
      </w:r>
      <w:r w:rsidRPr="004B5E3E">
        <w:rPr>
          <w:rFonts w:ascii="Arial" w:hAnsi="Arial" w:cs="Arial"/>
        </w:rPr>
        <w:t>]</w:t>
      </w:r>
      <w:r w:rsidRPr="004B5E3E">
        <w:rPr>
          <w:rFonts w:ascii="Arial" w:hAnsi="Arial" w:cs="Arial"/>
        </w:rPr>
        <w:tab/>
      </w:r>
      <w:r w:rsidR="006A2B84">
        <w:rPr>
          <w:rFonts w:ascii="Arial" w:hAnsi="Arial" w:cs="Arial"/>
        </w:rPr>
        <w:t xml:space="preserve">The </w:t>
      </w:r>
      <w:r w:rsidR="00E47E3C">
        <w:rPr>
          <w:rFonts w:ascii="Arial" w:hAnsi="Arial" w:cs="Arial"/>
        </w:rPr>
        <w:t>plaintiff</w:t>
      </w:r>
      <w:r w:rsidR="006A2B84">
        <w:rPr>
          <w:rFonts w:ascii="Arial" w:hAnsi="Arial" w:cs="Arial"/>
        </w:rPr>
        <w:t xml:space="preserve"> raised </w:t>
      </w:r>
      <w:r w:rsidR="00AA4998">
        <w:rPr>
          <w:rFonts w:ascii="Arial" w:hAnsi="Arial" w:cs="Arial"/>
        </w:rPr>
        <w:t>three</w:t>
      </w:r>
      <w:r w:rsidR="00E47E3C">
        <w:rPr>
          <w:rFonts w:ascii="Arial" w:hAnsi="Arial" w:cs="Arial"/>
        </w:rPr>
        <w:t xml:space="preserve"> point</w:t>
      </w:r>
      <w:r w:rsidR="00AA4998">
        <w:rPr>
          <w:rFonts w:ascii="Arial" w:hAnsi="Arial" w:cs="Arial"/>
        </w:rPr>
        <w:t>s</w:t>
      </w:r>
      <w:r w:rsidR="00E47E3C">
        <w:rPr>
          <w:rFonts w:ascii="Arial" w:hAnsi="Arial" w:cs="Arial"/>
        </w:rPr>
        <w:t xml:space="preserve"> in </w:t>
      </w:r>
      <w:proofErr w:type="spellStart"/>
      <w:r w:rsidR="00E47E3C">
        <w:rPr>
          <w:rFonts w:ascii="Arial" w:hAnsi="Arial" w:cs="Arial"/>
        </w:rPr>
        <w:t>limine</w:t>
      </w:r>
      <w:proofErr w:type="spellEnd"/>
      <w:r w:rsidR="00E47E3C">
        <w:rPr>
          <w:rFonts w:ascii="Arial" w:hAnsi="Arial" w:cs="Arial"/>
        </w:rPr>
        <w:t xml:space="preserve"> in its answering papers, </w:t>
      </w:r>
      <w:proofErr w:type="spellStart"/>
      <w:r w:rsidR="00E47E3C">
        <w:rPr>
          <w:rFonts w:ascii="Arial" w:hAnsi="Arial" w:cs="Arial"/>
        </w:rPr>
        <w:t>ie</w:t>
      </w:r>
      <w:proofErr w:type="spellEnd"/>
      <w:r w:rsidR="00AA4998">
        <w:rPr>
          <w:rFonts w:ascii="Arial" w:hAnsi="Arial" w:cs="Arial"/>
        </w:rPr>
        <w:t xml:space="preserve"> </w:t>
      </w:r>
      <w:r w:rsidR="00847C36">
        <w:rPr>
          <w:rFonts w:ascii="Arial" w:hAnsi="Arial" w:cs="Arial"/>
        </w:rPr>
        <w:t>a)</w:t>
      </w:r>
      <w:r w:rsidR="00847C36" w:rsidRPr="002D0900">
        <w:rPr>
          <w:rFonts w:ascii="Arial" w:hAnsi="Arial" w:cs="Arial"/>
        </w:rPr>
        <w:t xml:space="preserve"> </w:t>
      </w:r>
      <w:r w:rsidR="00847C36">
        <w:rPr>
          <w:rFonts w:ascii="Arial" w:hAnsi="Arial" w:cs="Arial"/>
        </w:rPr>
        <w:t xml:space="preserve">Mr </w:t>
      </w:r>
      <w:proofErr w:type="spellStart"/>
      <w:r w:rsidR="00847C36">
        <w:rPr>
          <w:rFonts w:ascii="Arial" w:hAnsi="Arial" w:cs="Arial"/>
        </w:rPr>
        <w:t>Naude’s</w:t>
      </w:r>
      <w:proofErr w:type="spellEnd"/>
      <w:r w:rsidR="00847C36">
        <w:rPr>
          <w:rFonts w:ascii="Arial" w:hAnsi="Arial" w:cs="Arial"/>
        </w:rPr>
        <w:t xml:space="preserve"> lack of authority to launch the application and d</w:t>
      </w:r>
      <w:r w:rsidR="00E31104">
        <w:rPr>
          <w:rFonts w:ascii="Arial" w:hAnsi="Arial" w:cs="Arial"/>
        </w:rPr>
        <w:t>epose to the founding affidavit,</w:t>
      </w:r>
      <w:r w:rsidR="00847C36">
        <w:rPr>
          <w:rFonts w:ascii="Arial" w:hAnsi="Arial" w:cs="Arial"/>
        </w:rPr>
        <w:t xml:space="preserve"> b</w:t>
      </w:r>
      <w:r w:rsidR="00AA4998">
        <w:rPr>
          <w:rFonts w:ascii="Arial" w:hAnsi="Arial" w:cs="Arial"/>
        </w:rPr>
        <w:t>)</w:t>
      </w:r>
      <w:r w:rsidR="00E47E3C">
        <w:rPr>
          <w:rFonts w:ascii="Arial" w:hAnsi="Arial" w:cs="Arial"/>
        </w:rPr>
        <w:t xml:space="preserve"> </w:t>
      </w:r>
      <w:r w:rsidR="002D0900">
        <w:rPr>
          <w:rFonts w:ascii="Arial" w:hAnsi="Arial" w:cs="Arial"/>
        </w:rPr>
        <w:t>failure to fully comply with the provisions of rule 32(9) and (10)</w:t>
      </w:r>
      <w:r w:rsidR="00AA4998">
        <w:rPr>
          <w:rFonts w:ascii="Arial" w:hAnsi="Arial" w:cs="Arial"/>
        </w:rPr>
        <w:t xml:space="preserve"> </w:t>
      </w:r>
      <w:r w:rsidR="00847C36">
        <w:rPr>
          <w:rFonts w:ascii="Arial" w:hAnsi="Arial" w:cs="Arial"/>
        </w:rPr>
        <w:t>and c</w:t>
      </w:r>
      <w:r w:rsidR="00AA4998">
        <w:rPr>
          <w:rFonts w:ascii="Arial" w:hAnsi="Arial" w:cs="Arial"/>
        </w:rPr>
        <w:t xml:space="preserve">) </w:t>
      </w:r>
      <w:r w:rsidR="002D0900">
        <w:rPr>
          <w:rFonts w:ascii="Arial" w:hAnsi="Arial" w:cs="Arial"/>
        </w:rPr>
        <w:t xml:space="preserve">that the defendant failed to launch its application in accordance with the provisions of rule 28 of the Rules of Court </w:t>
      </w:r>
    </w:p>
    <w:p w:rsidR="00E31104" w:rsidRDefault="00E31104" w:rsidP="00FD61F8">
      <w:pPr>
        <w:pStyle w:val="western"/>
        <w:shd w:val="clear" w:color="auto" w:fill="FFFFFF"/>
        <w:spacing w:before="0" w:beforeAutospacing="0" w:after="0" w:afterAutospacing="0" w:line="360" w:lineRule="auto"/>
        <w:jc w:val="both"/>
        <w:rPr>
          <w:rFonts w:ascii="Arial" w:hAnsi="Arial" w:cs="Arial"/>
        </w:rPr>
      </w:pPr>
    </w:p>
    <w:p w:rsidR="005D4EEA" w:rsidRDefault="005D4EEA"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15</w:t>
      </w:r>
      <w:r>
        <w:rPr>
          <w:rFonts w:ascii="Arial" w:hAnsi="Arial" w:cs="Arial"/>
        </w:rPr>
        <w:t>]</w:t>
      </w:r>
      <w:r>
        <w:rPr>
          <w:rFonts w:ascii="Arial" w:hAnsi="Arial" w:cs="Arial"/>
        </w:rPr>
        <w:tab/>
        <w:t xml:space="preserve">It has been held in </w:t>
      </w:r>
      <w:proofErr w:type="spellStart"/>
      <w:r w:rsidRPr="00E31104">
        <w:rPr>
          <w:rFonts w:ascii="Arial" w:hAnsi="Arial" w:cs="Arial"/>
          <w:i/>
        </w:rPr>
        <w:t>Ondonga</w:t>
      </w:r>
      <w:proofErr w:type="spellEnd"/>
      <w:r w:rsidRPr="00E31104">
        <w:rPr>
          <w:rFonts w:ascii="Arial" w:hAnsi="Arial" w:cs="Arial"/>
          <w:i/>
        </w:rPr>
        <w:t xml:space="preserve"> Traditional Authority v </w:t>
      </w:r>
      <w:proofErr w:type="spellStart"/>
      <w:r w:rsidRPr="00E31104">
        <w:rPr>
          <w:rFonts w:ascii="Arial" w:hAnsi="Arial" w:cs="Arial"/>
          <w:i/>
        </w:rPr>
        <w:t>Elifas</w:t>
      </w:r>
      <w:proofErr w:type="spellEnd"/>
      <w:r>
        <w:rPr>
          <w:rStyle w:val="FootnoteReference"/>
          <w:rFonts w:ascii="Arial" w:hAnsi="Arial" w:cs="Arial"/>
        </w:rPr>
        <w:footnoteReference w:id="2"/>
      </w:r>
      <w:r>
        <w:rPr>
          <w:rFonts w:ascii="Arial" w:hAnsi="Arial" w:cs="Arial"/>
        </w:rPr>
        <w:t xml:space="preserve"> that if the authority of</w:t>
      </w:r>
      <w:r w:rsidR="00F17E63">
        <w:rPr>
          <w:rFonts w:ascii="Arial" w:hAnsi="Arial" w:cs="Arial"/>
        </w:rPr>
        <w:t xml:space="preserve"> an applicant</w:t>
      </w:r>
      <w:r>
        <w:rPr>
          <w:rFonts w:ascii="Arial" w:hAnsi="Arial" w:cs="Arial"/>
        </w:rPr>
        <w:t xml:space="preserve"> to institute the proceedings is challenged or raised at the onset of proceeding</w:t>
      </w:r>
      <w:r w:rsidR="00E31104" w:rsidRPr="00B142F2">
        <w:rPr>
          <w:rFonts w:ascii="Arial" w:hAnsi="Arial" w:cs="Arial"/>
        </w:rPr>
        <w:t>s</w:t>
      </w:r>
      <w:r>
        <w:rPr>
          <w:rFonts w:ascii="Arial" w:hAnsi="Arial" w:cs="Arial"/>
        </w:rPr>
        <w:t xml:space="preserve"> it would be incompetent for the court to determine anything else</w:t>
      </w:r>
      <w:r w:rsidR="00847C36">
        <w:rPr>
          <w:rFonts w:ascii="Arial" w:hAnsi="Arial" w:cs="Arial"/>
        </w:rPr>
        <w:t xml:space="preserve"> without first deciding the issue of the applicant’s authority</w:t>
      </w:r>
      <w:r w:rsidR="00F17E63">
        <w:rPr>
          <w:rFonts w:ascii="Arial" w:hAnsi="Arial" w:cs="Arial"/>
        </w:rPr>
        <w:t xml:space="preserve">, as </w:t>
      </w:r>
      <w:proofErr w:type="spellStart"/>
      <w:r w:rsidR="00F17E63">
        <w:rPr>
          <w:rFonts w:ascii="Arial" w:hAnsi="Arial" w:cs="Arial"/>
        </w:rPr>
        <w:t>aresult</w:t>
      </w:r>
      <w:proofErr w:type="spellEnd"/>
      <w:r w:rsidR="00847C36">
        <w:rPr>
          <w:rFonts w:ascii="Arial" w:hAnsi="Arial" w:cs="Arial"/>
        </w:rPr>
        <w:t xml:space="preserve"> the court will </w:t>
      </w:r>
      <w:r w:rsidR="00E31104" w:rsidRPr="00B142F2">
        <w:rPr>
          <w:rFonts w:ascii="Arial" w:hAnsi="Arial" w:cs="Arial"/>
        </w:rPr>
        <w:t>firstly</w:t>
      </w:r>
      <w:r w:rsidR="00E31104">
        <w:rPr>
          <w:rFonts w:ascii="Arial" w:hAnsi="Arial" w:cs="Arial"/>
          <w:color w:val="FF0000"/>
        </w:rPr>
        <w:t xml:space="preserve"> </w:t>
      </w:r>
      <w:r w:rsidR="00847C36">
        <w:rPr>
          <w:rFonts w:ascii="Arial" w:hAnsi="Arial" w:cs="Arial"/>
        </w:rPr>
        <w:t xml:space="preserve">deal with the issue of lack of authority. </w:t>
      </w:r>
    </w:p>
    <w:p w:rsidR="005D4EEA" w:rsidRDefault="005D4EEA" w:rsidP="00FD61F8">
      <w:pPr>
        <w:pStyle w:val="western"/>
        <w:shd w:val="clear" w:color="auto" w:fill="FFFFFF"/>
        <w:spacing w:before="0" w:beforeAutospacing="0" w:after="0" w:afterAutospacing="0" w:line="360" w:lineRule="auto"/>
        <w:jc w:val="both"/>
        <w:rPr>
          <w:rFonts w:ascii="Arial" w:hAnsi="Arial" w:cs="Arial"/>
        </w:rPr>
      </w:pPr>
    </w:p>
    <w:p w:rsidR="00847C36" w:rsidRPr="00CE2134" w:rsidRDefault="00847C36" w:rsidP="00FD61F8">
      <w:pPr>
        <w:spacing w:after="0" w:line="360" w:lineRule="auto"/>
        <w:jc w:val="both"/>
        <w:rPr>
          <w:rFonts w:ascii="Arial" w:hAnsi="Arial" w:cs="Arial"/>
          <w:i/>
          <w:sz w:val="24"/>
          <w:szCs w:val="24"/>
        </w:rPr>
      </w:pPr>
      <w:r w:rsidRPr="00CE2134">
        <w:rPr>
          <w:rFonts w:ascii="Arial" w:hAnsi="Arial" w:cs="Arial"/>
          <w:i/>
          <w:sz w:val="24"/>
          <w:szCs w:val="24"/>
        </w:rPr>
        <w:t>Lack of Authority</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AD139F">
        <w:rPr>
          <w:rFonts w:ascii="Arial" w:hAnsi="Arial" w:cs="Arial"/>
        </w:rPr>
        <w:t>16</w:t>
      </w:r>
      <w:r>
        <w:rPr>
          <w:rFonts w:ascii="Arial" w:hAnsi="Arial" w:cs="Arial"/>
        </w:rPr>
        <w:t>]</w:t>
      </w:r>
      <w:r>
        <w:rPr>
          <w:rFonts w:ascii="Arial" w:hAnsi="Arial" w:cs="Arial"/>
        </w:rPr>
        <w:tab/>
        <w:t xml:space="preserve">Mr </w:t>
      </w:r>
      <w:proofErr w:type="spellStart"/>
      <w:r>
        <w:rPr>
          <w:rFonts w:ascii="Arial" w:hAnsi="Arial" w:cs="Arial"/>
        </w:rPr>
        <w:t>Naude</w:t>
      </w:r>
      <w:proofErr w:type="spellEnd"/>
      <w:r>
        <w:rPr>
          <w:rFonts w:ascii="Arial" w:hAnsi="Arial" w:cs="Arial"/>
        </w:rPr>
        <w:t xml:space="preserve"> deposed to an affidavit in support of the defendant’s application. In the first two para</w:t>
      </w:r>
      <w:r w:rsidRPr="00B142F2">
        <w:rPr>
          <w:rFonts w:ascii="Arial" w:hAnsi="Arial" w:cs="Arial"/>
        </w:rPr>
        <w:t>graph</w:t>
      </w:r>
      <w:r>
        <w:rPr>
          <w:rFonts w:ascii="Arial" w:hAnsi="Arial" w:cs="Arial"/>
        </w:rPr>
        <w:t xml:space="preserve">s of the defendant’s founding affidavit Mr </w:t>
      </w:r>
      <w:proofErr w:type="spellStart"/>
      <w:r>
        <w:rPr>
          <w:rFonts w:ascii="Arial" w:hAnsi="Arial" w:cs="Arial"/>
        </w:rPr>
        <w:t>Naude</w:t>
      </w:r>
      <w:proofErr w:type="spellEnd"/>
      <w:r>
        <w:rPr>
          <w:rFonts w:ascii="Arial" w:hAnsi="Arial" w:cs="Arial"/>
        </w:rPr>
        <w:t xml:space="preserve"> stated as follows: </w:t>
      </w:r>
    </w:p>
    <w:p w:rsidR="00E31104" w:rsidRDefault="00E31104" w:rsidP="00FD61F8">
      <w:pPr>
        <w:pStyle w:val="western"/>
        <w:shd w:val="clear" w:color="auto" w:fill="FFFFFF"/>
        <w:spacing w:before="0" w:beforeAutospacing="0" w:after="0" w:afterAutospacing="0" w:line="360" w:lineRule="auto"/>
        <w:jc w:val="both"/>
        <w:rPr>
          <w:rFonts w:ascii="Arial" w:hAnsi="Arial" w:cs="Arial"/>
        </w:rPr>
      </w:pPr>
    </w:p>
    <w:p w:rsidR="00847C36" w:rsidRPr="005B05F0" w:rsidRDefault="00F03EE1" w:rsidP="00FD61F8">
      <w:pPr>
        <w:pStyle w:val="western"/>
        <w:numPr>
          <w:ilvl w:val="0"/>
          <w:numId w:val="18"/>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w:t>
      </w:r>
      <w:r w:rsidR="00847C36" w:rsidRPr="005B05F0">
        <w:rPr>
          <w:rFonts w:ascii="Arial" w:hAnsi="Arial" w:cs="Arial"/>
          <w:sz w:val="22"/>
          <w:szCs w:val="22"/>
        </w:rPr>
        <w:t>I am the legal practitioner of record of the defendant in this matter.</w:t>
      </w:r>
    </w:p>
    <w:p w:rsidR="00847C36" w:rsidRPr="005B05F0" w:rsidRDefault="00847C36" w:rsidP="00FD61F8">
      <w:pPr>
        <w:pStyle w:val="western"/>
        <w:numPr>
          <w:ilvl w:val="0"/>
          <w:numId w:val="18"/>
        </w:numPr>
        <w:shd w:val="clear" w:color="auto" w:fill="FFFFFF"/>
        <w:spacing w:before="0" w:beforeAutospacing="0" w:after="0" w:afterAutospacing="0" w:line="360" w:lineRule="auto"/>
        <w:jc w:val="both"/>
        <w:rPr>
          <w:rFonts w:ascii="Arial" w:hAnsi="Arial" w:cs="Arial"/>
          <w:sz w:val="22"/>
          <w:szCs w:val="22"/>
        </w:rPr>
      </w:pPr>
      <w:r w:rsidRPr="005B05F0">
        <w:rPr>
          <w:rFonts w:ascii="Arial" w:hAnsi="Arial" w:cs="Arial"/>
          <w:sz w:val="22"/>
          <w:szCs w:val="22"/>
        </w:rPr>
        <w:t>The facts set out in this declaration are true and correct and fall within my personal knowledge, unless it appears otherwise fr</w:t>
      </w:r>
      <w:r>
        <w:rPr>
          <w:rFonts w:ascii="Arial" w:hAnsi="Arial" w:cs="Arial"/>
          <w:sz w:val="22"/>
          <w:szCs w:val="22"/>
        </w:rPr>
        <w:t>o</w:t>
      </w:r>
      <w:r w:rsidRPr="005B05F0">
        <w:rPr>
          <w:rFonts w:ascii="Arial" w:hAnsi="Arial" w:cs="Arial"/>
          <w:sz w:val="22"/>
          <w:szCs w:val="22"/>
        </w:rPr>
        <w:t>m the context, in which case I verily believe such information to be true and correct.</w:t>
      </w:r>
      <w:r>
        <w:rPr>
          <w:rFonts w:ascii="Arial" w:hAnsi="Arial" w:cs="Arial"/>
          <w:sz w:val="22"/>
          <w:szCs w:val="22"/>
        </w:rPr>
        <w:t>’</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Pr="00CB0AF0" w:rsidRDefault="00AD139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[17]</w:t>
      </w:r>
      <w:r>
        <w:rPr>
          <w:rFonts w:ascii="Arial" w:hAnsi="Arial" w:cs="Arial"/>
        </w:rPr>
        <w:tab/>
      </w:r>
      <w:r w:rsidR="00847C36">
        <w:rPr>
          <w:rFonts w:ascii="Arial" w:hAnsi="Arial" w:cs="Arial"/>
        </w:rPr>
        <w:t xml:space="preserve">Hereafter, Mr </w:t>
      </w:r>
      <w:proofErr w:type="spellStart"/>
      <w:r w:rsidR="00847C36">
        <w:rPr>
          <w:rFonts w:ascii="Arial" w:hAnsi="Arial" w:cs="Arial"/>
        </w:rPr>
        <w:t>Naude</w:t>
      </w:r>
      <w:proofErr w:type="spellEnd"/>
      <w:r w:rsidR="00847C36">
        <w:rPr>
          <w:rFonts w:ascii="Arial" w:hAnsi="Arial" w:cs="Arial"/>
        </w:rPr>
        <w:t xml:space="preserve"> launched into his reasons for the application and it is common cause that </w:t>
      </w:r>
      <w:r w:rsidR="00847C36" w:rsidRPr="00CB0AF0">
        <w:rPr>
          <w:rFonts w:ascii="Arial" w:hAnsi="Arial" w:cs="Arial"/>
        </w:rPr>
        <w:t xml:space="preserve">nothing was further said in the </w:t>
      </w:r>
      <w:r w:rsidR="00E31104" w:rsidRPr="00CB0AF0">
        <w:rPr>
          <w:rFonts w:ascii="Arial" w:hAnsi="Arial" w:cs="Arial"/>
        </w:rPr>
        <w:t xml:space="preserve">remainder of the </w:t>
      </w:r>
      <w:r w:rsidR="00847C36" w:rsidRPr="00CB0AF0">
        <w:rPr>
          <w:rFonts w:ascii="Arial" w:hAnsi="Arial" w:cs="Arial"/>
        </w:rPr>
        <w:t>affidavit that woul</w:t>
      </w:r>
      <w:r w:rsidR="00CB0AF0" w:rsidRPr="00CB0AF0">
        <w:rPr>
          <w:rFonts w:ascii="Arial" w:hAnsi="Arial" w:cs="Arial"/>
        </w:rPr>
        <w:t xml:space="preserve">d denote authority to bring the </w:t>
      </w:r>
      <w:r w:rsidR="00D45898" w:rsidRPr="00CB0AF0">
        <w:rPr>
          <w:rFonts w:ascii="Arial" w:hAnsi="Arial" w:cs="Arial"/>
        </w:rPr>
        <w:t xml:space="preserve">application </w:t>
      </w:r>
      <w:r w:rsidR="00E31104" w:rsidRPr="00CB0AF0">
        <w:rPr>
          <w:rFonts w:ascii="Arial" w:hAnsi="Arial" w:cs="Arial"/>
        </w:rPr>
        <w:t>on behalf of the defendant</w:t>
      </w:r>
      <w:r w:rsidR="00847C36" w:rsidRPr="00CB0AF0">
        <w:rPr>
          <w:rFonts w:ascii="Arial" w:hAnsi="Arial" w:cs="Arial"/>
        </w:rPr>
        <w:t>.</w:t>
      </w:r>
    </w:p>
    <w:p w:rsidR="00847C36" w:rsidRPr="00CB0AF0"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Pr="00CB0AF0" w:rsidRDefault="00847C36" w:rsidP="00FD61F8">
      <w:pPr>
        <w:pStyle w:val="western"/>
        <w:shd w:val="clear" w:color="auto" w:fill="FFFFFF"/>
        <w:spacing w:before="0" w:beforeAutospacing="0" w:after="0" w:afterAutospacing="0" w:line="360" w:lineRule="auto"/>
        <w:jc w:val="both"/>
        <w:rPr>
          <w:rFonts w:ascii="Arial" w:hAnsi="Arial" w:cs="Arial"/>
        </w:rPr>
      </w:pPr>
      <w:r w:rsidRPr="00CB0AF0">
        <w:rPr>
          <w:rFonts w:ascii="Arial" w:hAnsi="Arial" w:cs="Arial"/>
        </w:rPr>
        <w:t>[</w:t>
      </w:r>
      <w:r w:rsidR="00AD139F">
        <w:rPr>
          <w:rFonts w:ascii="Arial" w:hAnsi="Arial" w:cs="Arial"/>
        </w:rPr>
        <w:t>18]</w:t>
      </w:r>
      <w:r w:rsidR="00AD139F">
        <w:rPr>
          <w:rFonts w:ascii="Arial" w:hAnsi="Arial" w:cs="Arial"/>
        </w:rPr>
        <w:tab/>
      </w:r>
      <w:r w:rsidRPr="00CB0AF0">
        <w:rPr>
          <w:rFonts w:ascii="Arial" w:hAnsi="Arial" w:cs="Arial"/>
        </w:rPr>
        <w:t xml:space="preserve">In the plaintiff’s answering papers the deponent to the answering affidavit, Ms Monde </w:t>
      </w:r>
      <w:proofErr w:type="spellStart"/>
      <w:r w:rsidRPr="00CB0AF0">
        <w:rPr>
          <w:rFonts w:ascii="Arial" w:hAnsi="Arial" w:cs="Arial"/>
        </w:rPr>
        <w:t>Matengu</w:t>
      </w:r>
      <w:proofErr w:type="spellEnd"/>
      <w:r w:rsidRPr="00CB0AF0">
        <w:rPr>
          <w:rFonts w:ascii="Arial" w:hAnsi="Arial" w:cs="Arial"/>
        </w:rPr>
        <w:t>,</w:t>
      </w:r>
      <w:r w:rsidR="00242A2E" w:rsidRPr="00CB0AF0">
        <w:rPr>
          <w:rFonts w:ascii="Arial" w:hAnsi="Arial" w:cs="Arial"/>
        </w:rPr>
        <w:t xml:space="preserve"> took</w:t>
      </w:r>
      <w:r w:rsidRPr="00CB0AF0">
        <w:rPr>
          <w:rFonts w:ascii="Arial" w:hAnsi="Arial" w:cs="Arial"/>
        </w:rPr>
        <w:t xml:space="preserve"> issue with the founding affidavit deposed to by Mr </w:t>
      </w:r>
      <w:proofErr w:type="spellStart"/>
      <w:r w:rsidRPr="00CB0AF0">
        <w:rPr>
          <w:rFonts w:ascii="Arial" w:hAnsi="Arial" w:cs="Arial"/>
        </w:rPr>
        <w:t>Naude</w:t>
      </w:r>
      <w:proofErr w:type="spellEnd"/>
      <w:r w:rsidRPr="00CB0AF0">
        <w:rPr>
          <w:rFonts w:ascii="Arial" w:hAnsi="Arial" w:cs="Arial"/>
        </w:rPr>
        <w:t xml:space="preserve"> wherein he failed to</w:t>
      </w:r>
      <w:r w:rsidR="00B142F2" w:rsidRPr="00CB0AF0">
        <w:rPr>
          <w:rFonts w:ascii="Arial" w:hAnsi="Arial" w:cs="Arial"/>
        </w:rPr>
        <w:t>, firstly,</w:t>
      </w:r>
      <w:r w:rsidRPr="00CB0AF0">
        <w:rPr>
          <w:rFonts w:ascii="Arial" w:hAnsi="Arial" w:cs="Arial"/>
        </w:rPr>
        <w:t xml:space="preserve"> allege that he is authorised to launch the applica</w:t>
      </w:r>
      <w:r w:rsidR="00B142F2" w:rsidRPr="00CB0AF0">
        <w:rPr>
          <w:rFonts w:ascii="Arial" w:hAnsi="Arial" w:cs="Arial"/>
        </w:rPr>
        <w:t>tion on behalf of the defendant and secondly,</w:t>
      </w:r>
      <w:r w:rsidR="00CB0AF0" w:rsidRPr="00CB0AF0">
        <w:rPr>
          <w:rFonts w:ascii="Arial" w:hAnsi="Arial" w:cs="Arial"/>
        </w:rPr>
        <w:t xml:space="preserve"> </w:t>
      </w:r>
      <w:r w:rsidRPr="00CB0AF0">
        <w:rPr>
          <w:rFonts w:ascii="Arial" w:hAnsi="Arial" w:cs="Arial"/>
        </w:rPr>
        <w:t xml:space="preserve">that he is authorised to depose to the founding affidavit in support of the application.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AD139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[19]</w:t>
      </w:r>
      <w:r>
        <w:rPr>
          <w:rFonts w:ascii="Arial" w:hAnsi="Arial" w:cs="Arial"/>
        </w:rPr>
        <w:tab/>
      </w:r>
      <w:r w:rsidR="00847C36">
        <w:rPr>
          <w:rFonts w:ascii="Arial" w:hAnsi="Arial" w:cs="Arial"/>
        </w:rPr>
        <w:t xml:space="preserve">It was conceded by Ms </w:t>
      </w:r>
      <w:proofErr w:type="spellStart"/>
      <w:r w:rsidR="00847C36">
        <w:rPr>
          <w:rFonts w:ascii="Arial" w:hAnsi="Arial" w:cs="Arial"/>
        </w:rPr>
        <w:t>Matengu</w:t>
      </w:r>
      <w:proofErr w:type="spellEnd"/>
      <w:r w:rsidR="00847C36">
        <w:rPr>
          <w:rFonts w:ascii="Arial" w:hAnsi="Arial" w:cs="Arial"/>
        </w:rPr>
        <w:t xml:space="preserve"> that Mr </w:t>
      </w:r>
      <w:proofErr w:type="spellStart"/>
      <w:r w:rsidR="00847C36">
        <w:rPr>
          <w:rFonts w:ascii="Arial" w:hAnsi="Arial" w:cs="Arial"/>
        </w:rPr>
        <w:t>Naude</w:t>
      </w:r>
      <w:proofErr w:type="spellEnd"/>
      <w:r w:rsidR="00847C36">
        <w:rPr>
          <w:rFonts w:ascii="Arial" w:hAnsi="Arial" w:cs="Arial"/>
        </w:rPr>
        <w:t xml:space="preserve"> is the defendant’s legal practitioner, but she submitted that this is of no assistance to the defendant as there is no general power of attorney and in any event no power of attorney was filed of record authorising Mr </w:t>
      </w:r>
      <w:proofErr w:type="spellStart"/>
      <w:r w:rsidR="00847C36">
        <w:rPr>
          <w:rFonts w:ascii="Arial" w:hAnsi="Arial" w:cs="Arial"/>
        </w:rPr>
        <w:t>Naude</w:t>
      </w:r>
      <w:proofErr w:type="spellEnd"/>
      <w:r w:rsidR="00847C36">
        <w:rPr>
          <w:rFonts w:ascii="Arial" w:hAnsi="Arial" w:cs="Arial"/>
        </w:rPr>
        <w:t xml:space="preserve"> to launch the application on behalf of the defendant. In addition thereto no confirmatory affidavit was deposed and filed on behalf of the defendant.</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AD139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[20]</w:t>
      </w:r>
      <w:r>
        <w:rPr>
          <w:rFonts w:ascii="Arial" w:hAnsi="Arial" w:cs="Arial"/>
        </w:rPr>
        <w:tab/>
      </w:r>
      <w:r w:rsidR="00847C36">
        <w:rPr>
          <w:rFonts w:ascii="Arial" w:hAnsi="Arial" w:cs="Arial"/>
        </w:rPr>
        <w:t xml:space="preserve">In the defendant’s replying papers Mr </w:t>
      </w:r>
      <w:proofErr w:type="spellStart"/>
      <w:r w:rsidR="00847C36">
        <w:rPr>
          <w:rFonts w:ascii="Arial" w:hAnsi="Arial" w:cs="Arial"/>
        </w:rPr>
        <w:t>Naude</w:t>
      </w:r>
      <w:proofErr w:type="spellEnd"/>
      <w:r w:rsidR="00847C36">
        <w:rPr>
          <w:rFonts w:ascii="Arial" w:hAnsi="Arial" w:cs="Arial"/>
        </w:rPr>
        <w:t xml:space="preserve"> submitted that he was fully and duly authorised on behalf of the defendant when he launched the current application and filed his found</w:t>
      </w:r>
      <w:r w:rsidR="00F17E63">
        <w:rPr>
          <w:rFonts w:ascii="Arial" w:hAnsi="Arial" w:cs="Arial"/>
        </w:rPr>
        <w:t>ing affidavit in support of the application based on such authority</w:t>
      </w:r>
      <w:r w:rsidR="00847C36">
        <w:rPr>
          <w:rFonts w:ascii="Arial" w:hAnsi="Arial" w:cs="Arial"/>
        </w:rPr>
        <w:t xml:space="preserve">.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CB0AF0"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21</w:t>
      </w:r>
      <w:r>
        <w:rPr>
          <w:rFonts w:ascii="Arial" w:hAnsi="Arial" w:cs="Arial"/>
        </w:rPr>
        <w:t>]</w:t>
      </w:r>
      <w:r w:rsidR="00AD139F">
        <w:rPr>
          <w:rFonts w:ascii="Arial" w:hAnsi="Arial" w:cs="Arial"/>
        </w:rPr>
        <w:tab/>
      </w:r>
      <w:r w:rsidRPr="00CB0AF0">
        <w:rPr>
          <w:rFonts w:ascii="Arial" w:hAnsi="Arial" w:cs="Arial"/>
        </w:rPr>
        <w:t xml:space="preserve">Mr </w:t>
      </w:r>
      <w:proofErr w:type="spellStart"/>
      <w:r w:rsidRPr="00CB0AF0">
        <w:rPr>
          <w:rFonts w:ascii="Arial" w:hAnsi="Arial" w:cs="Arial"/>
        </w:rPr>
        <w:t>Naude</w:t>
      </w:r>
      <w:proofErr w:type="spellEnd"/>
      <w:r w:rsidRPr="00CB0AF0">
        <w:rPr>
          <w:rFonts w:ascii="Arial" w:hAnsi="Arial" w:cs="Arial"/>
        </w:rPr>
        <w:t xml:space="preserve"> also </w:t>
      </w:r>
      <w:r w:rsidR="00847C36" w:rsidRPr="00CB0AF0">
        <w:rPr>
          <w:rFonts w:ascii="Arial" w:hAnsi="Arial" w:cs="Arial"/>
        </w:rPr>
        <w:t>attach</w:t>
      </w:r>
      <w:r w:rsidR="00B142F2" w:rsidRPr="00CB0AF0">
        <w:rPr>
          <w:rFonts w:ascii="Arial" w:hAnsi="Arial" w:cs="Arial"/>
        </w:rPr>
        <w:t>ed</w:t>
      </w:r>
      <w:r w:rsidR="00847C36" w:rsidRPr="00CB0AF0">
        <w:rPr>
          <w:rFonts w:ascii="Arial" w:hAnsi="Arial" w:cs="Arial"/>
        </w:rPr>
        <w:t xml:space="preserve"> to his replying affidavit a resolution</w:t>
      </w:r>
      <w:r w:rsidR="00847C36" w:rsidRPr="00CB0AF0">
        <w:rPr>
          <w:rStyle w:val="FootnoteReference"/>
          <w:rFonts w:ascii="Arial" w:hAnsi="Arial" w:cs="Arial"/>
        </w:rPr>
        <w:footnoteReference w:id="3"/>
      </w:r>
      <w:r w:rsidRPr="00CB0AF0">
        <w:rPr>
          <w:rFonts w:ascii="Arial" w:hAnsi="Arial" w:cs="Arial"/>
        </w:rPr>
        <w:t xml:space="preserve"> </w:t>
      </w:r>
      <w:r w:rsidR="00847C36" w:rsidRPr="00CB0AF0">
        <w:rPr>
          <w:rFonts w:ascii="Arial" w:hAnsi="Arial" w:cs="Arial"/>
        </w:rPr>
        <w:t xml:space="preserve">of the defendant that authorises Mr QE </w:t>
      </w:r>
      <w:proofErr w:type="spellStart"/>
      <w:r w:rsidR="00847C36" w:rsidRPr="00CB0AF0">
        <w:rPr>
          <w:rFonts w:ascii="Arial" w:hAnsi="Arial" w:cs="Arial"/>
        </w:rPr>
        <w:t>Ockhuizen</w:t>
      </w:r>
      <w:proofErr w:type="spellEnd"/>
      <w:r w:rsidR="00847C36" w:rsidRPr="00CB0AF0">
        <w:rPr>
          <w:rFonts w:ascii="Arial" w:hAnsi="Arial" w:cs="Arial"/>
        </w:rPr>
        <w:t xml:space="preserve">, in his capacity as duly authorised sole director of </w:t>
      </w:r>
      <w:r w:rsidR="00847C36" w:rsidRPr="00CB0AF0">
        <w:rPr>
          <w:rFonts w:ascii="Arial" w:hAnsi="Arial" w:cs="Arial"/>
        </w:rPr>
        <w:lastRenderedPageBreak/>
        <w:t>the company</w:t>
      </w:r>
      <w:r w:rsidR="00B142F2" w:rsidRPr="00CB0AF0">
        <w:rPr>
          <w:rFonts w:ascii="Arial" w:hAnsi="Arial" w:cs="Arial"/>
        </w:rPr>
        <w:t>,</w:t>
      </w:r>
      <w:r w:rsidR="00847C36" w:rsidRPr="00CB0AF0">
        <w:rPr>
          <w:rFonts w:ascii="Arial" w:hAnsi="Arial" w:cs="Arial"/>
        </w:rPr>
        <w:t xml:space="preserve"> to sign a powe</w:t>
      </w:r>
      <w:r w:rsidR="00103499" w:rsidRPr="00CB0AF0">
        <w:rPr>
          <w:rFonts w:ascii="Arial" w:hAnsi="Arial" w:cs="Arial"/>
        </w:rPr>
        <w:t>r of attorney and any documents</w:t>
      </w:r>
      <w:r w:rsidR="00847C36" w:rsidRPr="00CB0AF0">
        <w:rPr>
          <w:rFonts w:ascii="Arial" w:hAnsi="Arial" w:cs="Arial"/>
        </w:rPr>
        <w:t xml:space="preserve"> and </w:t>
      </w:r>
      <w:r w:rsidR="00B142F2" w:rsidRPr="00CB0AF0">
        <w:rPr>
          <w:rFonts w:ascii="Arial" w:hAnsi="Arial" w:cs="Arial"/>
        </w:rPr>
        <w:t xml:space="preserve">to </w:t>
      </w:r>
      <w:r w:rsidR="00847C36" w:rsidRPr="00CB0AF0">
        <w:rPr>
          <w:rFonts w:ascii="Arial" w:hAnsi="Arial" w:cs="Arial"/>
        </w:rPr>
        <w:t>do all necessary act</w:t>
      </w:r>
      <w:r w:rsidR="00103499" w:rsidRPr="00CB0AF0">
        <w:rPr>
          <w:rFonts w:ascii="Arial" w:hAnsi="Arial" w:cs="Arial"/>
        </w:rPr>
        <w:t>s</w:t>
      </w:r>
      <w:r w:rsidR="00847C36" w:rsidRPr="00CB0AF0">
        <w:rPr>
          <w:rFonts w:ascii="Arial" w:hAnsi="Arial" w:cs="Arial"/>
        </w:rPr>
        <w:t xml:space="preserve"> to give effect to the said resolution. In addition thereto</w:t>
      </w:r>
      <w:r w:rsidR="00B142F2" w:rsidRPr="00CB0AF0">
        <w:rPr>
          <w:rFonts w:ascii="Arial" w:hAnsi="Arial" w:cs="Arial"/>
        </w:rPr>
        <w:t>,</w:t>
      </w:r>
      <w:r w:rsidR="00847C36" w:rsidRPr="00CB0AF0">
        <w:rPr>
          <w:rFonts w:ascii="Arial" w:hAnsi="Arial" w:cs="Arial"/>
        </w:rPr>
        <w:t xml:space="preserve"> Mr </w:t>
      </w:r>
      <w:proofErr w:type="spellStart"/>
      <w:r w:rsidR="00847C36" w:rsidRPr="00CB0AF0">
        <w:rPr>
          <w:rFonts w:ascii="Arial" w:hAnsi="Arial" w:cs="Arial"/>
        </w:rPr>
        <w:t>Naude</w:t>
      </w:r>
      <w:proofErr w:type="spellEnd"/>
      <w:r w:rsidR="00847C36" w:rsidRPr="00CB0AF0">
        <w:rPr>
          <w:rFonts w:ascii="Arial" w:hAnsi="Arial" w:cs="Arial"/>
        </w:rPr>
        <w:t xml:space="preserve"> attached a special power of attorney granting him and a number of other directors from the firm authority to defend the current action on behalf of the defendant and anything incidental thereto. </w:t>
      </w:r>
      <w:r w:rsidR="00103499" w:rsidRPr="00CB0AF0">
        <w:rPr>
          <w:rFonts w:ascii="Arial" w:hAnsi="Arial" w:cs="Arial"/>
        </w:rPr>
        <w:t xml:space="preserve">Further to this the defendant filed a supporting affidavit of Mr </w:t>
      </w:r>
      <w:proofErr w:type="spellStart"/>
      <w:r w:rsidR="00103499" w:rsidRPr="00CB0AF0">
        <w:rPr>
          <w:rFonts w:ascii="Arial" w:hAnsi="Arial" w:cs="Arial"/>
        </w:rPr>
        <w:t>Ockhuizen</w:t>
      </w:r>
      <w:proofErr w:type="spellEnd"/>
      <w:r w:rsidR="00103499" w:rsidRPr="00CB0AF0">
        <w:rPr>
          <w:rFonts w:ascii="Arial" w:hAnsi="Arial" w:cs="Arial"/>
        </w:rPr>
        <w:t xml:space="preserve"> simultaneously with the replying affidavit.</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 xml:space="preserve">                                                                                                                                                                                                                                                                                                                                                                                                                                                                                                                                                                                                                                                                                                                                                                                                                                                                                                                                                                                                                                                                                                                                                                                                                                                                                                                                                                                                                                                                                                                                           </w:t>
      </w:r>
    </w:p>
    <w:p w:rsidR="00847C36" w:rsidRPr="00CB0AF0"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22</w:t>
      </w:r>
      <w:r>
        <w:rPr>
          <w:rFonts w:ascii="Arial" w:hAnsi="Arial" w:cs="Arial"/>
        </w:rPr>
        <w:t>]</w:t>
      </w:r>
      <w:r>
        <w:rPr>
          <w:rFonts w:ascii="Arial" w:hAnsi="Arial" w:cs="Arial"/>
        </w:rPr>
        <w:tab/>
        <w:t xml:space="preserve">Mr </w:t>
      </w:r>
      <w:proofErr w:type="spellStart"/>
      <w:r>
        <w:rPr>
          <w:rFonts w:ascii="Arial" w:hAnsi="Arial" w:cs="Arial"/>
        </w:rPr>
        <w:t>Naude</w:t>
      </w:r>
      <w:proofErr w:type="spellEnd"/>
      <w:r>
        <w:rPr>
          <w:rFonts w:ascii="Arial" w:hAnsi="Arial" w:cs="Arial"/>
        </w:rPr>
        <w:t xml:space="preserve"> further maintains in his replying affidavit that Mr </w:t>
      </w:r>
      <w:proofErr w:type="spellStart"/>
      <w:r>
        <w:rPr>
          <w:rFonts w:ascii="Arial" w:hAnsi="Arial" w:cs="Arial"/>
        </w:rPr>
        <w:t>Ockhuizen</w:t>
      </w:r>
      <w:proofErr w:type="spellEnd"/>
      <w:r w:rsidR="00CB0AF0">
        <w:rPr>
          <w:rFonts w:ascii="Arial" w:hAnsi="Arial" w:cs="Arial"/>
          <w:color w:val="00B0F0"/>
        </w:rPr>
        <w:t xml:space="preserve"> </w:t>
      </w:r>
      <w:r>
        <w:rPr>
          <w:rFonts w:ascii="Arial" w:hAnsi="Arial" w:cs="Arial"/>
        </w:rPr>
        <w:t xml:space="preserve">was personally in court on 15 June 2020 when the instructed counsel discussed the various issues surrounding </w:t>
      </w:r>
      <w:r w:rsidRPr="00CB0AF0">
        <w:rPr>
          <w:rFonts w:ascii="Arial" w:hAnsi="Arial" w:cs="Arial"/>
        </w:rPr>
        <w:t xml:space="preserve">the launching and the hearing of the application with the presiding judge and submits that it must </w:t>
      </w:r>
      <w:proofErr w:type="spellStart"/>
      <w:r w:rsidRPr="00CB0AF0">
        <w:rPr>
          <w:rFonts w:ascii="Arial" w:hAnsi="Arial" w:cs="Arial"/>
        </w:rPr>
        <w:t>therefor</w:t>
      </w:r>
      <w:proofErr w:type="spellEnd"/>
      <w:r w:rsidRPr="00CB0AF0">
        <w:rPr>
          <w:rFonts w:ascii="Arial" w:hAnsi="Arial" w:cs="Arial"/>
        </w:rPr>
        <w:t xml:space="preserve"> be clear that the application was launched on behalf of the defendant with the</w:t>
      </w:r>
      <w:r w:rsidR="002C0580" w:rsidRPr="00CB0AF0">
        <w:rPr>
          <w:rFonts w:ascii="Arial" w:hAnsi="Arial" w:cs="Arial"/>
        </w:rPr>
        <w:t xml:space="preserve"> necessary</w:t>
      </w:r>
      <w:r w:rsidRPr="00CB0AF0">
        <w:rPr>
          <w:rFonts w:ascii="Arial" w:hAnsi="Arial" w:cs="Arial"/>
        </w:rPr>
        <w:t xml:space="preserve"> consent and </w:t>
      </w:r>
      <w:r w:rsidR="00CB0AF0" w:rsidRPr="00CB0AF0">
        <w:rPr>
          <w:rFonts w:ascii="Arial" w:hAnsi="Arial" w:cs="Arial"/>
        </w:rPr>
        <w:t>authority</w:t>
      </w:r>
      <w:r w:rsidRPr="00CB0AF0">
        <w:rPr>
          <w:rFonts w:ascii="Arial" w:hAnsi="Arial" w:cs="Arial"/>
        </w:rPr>
        <w:t xml:space="preserve">. </w:t>
      </w:r>
    </w:p>
    <w:p w:rsidR="00847C36" w:rsidRPr="00CB0AF0"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Pr="00CB0AF0" w:rsidRDefault="00AD139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[23]</w:t>
      </w:r>
      <w:r>
        <w:rPr>
          <w:rFonts w:ascii="Arial" w:hAnsi="Arial" w:cs="Arial"/>
        </w:rPr>
        <w:tab/>
      </w:r>
      <w:r w:rsidR="00847C36" w:rsidRPr="00CB0AF0">
        <w:rPr>
          <w:rFonts w:ascii="Arial" w:hAnsi="Arial" w:cs="Arial"/>
        </w:rPr>
        <w:t xml:space="preserve">Mr </w:t>
      </w:r>
      <w:proofErr w:type="spellStart"/>
      <w:r w:rsidR="00847C36" w:rsidRPr="00CB0AF0">
        <w:rPr>
          <w:rFonts w:ascii="Arial" w:hAnsi="Arial" w:cs="Arial"/>
        </w:rPr>
        <w:t>Naude</w:t>
      </w:r>
      <w:proofErr w:type="spellEnd"/>
      <w:r w:rsidR="00847C36" w:rsidRPr="00CB0AF0">
        <w:rPr>
          <w:rFonts w:ascii="Arial" w:hAnsi="Arial" w:cs="Arial"/>
        </w:rPr>
        <w:t xml:space="preserve"> further submitted that the objection to his lack of authority to have launched the application is insincere and contrived and technical in nature and should thus be dismissed.</w:t>
      </w:r>
    </w:p>
    <w:p w:rsidR="00847C36" w:rsidRPr="00AD139F"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Pr="00CB0AF0" w:rsidRDefault="00847C36" w:rsidP="00FD61F8">
      <w:pPr>
        <w:pStyle w:val="western"/>
        <w:shd w:val="clear" w:color="auto" w:fill="FFFFFF"/>
        <w:spacing w:before="0" w:beforeAutospacing="0" w:after="0" w:afterAutospacing="0" w:line="360" w:lineRule="auto"/>
        <w:jc w:val="both"/>
        <w:rPr>
          <w:rFonts w:ascii="Arial" w:hAnsi="Arial" w:cs="Arial"/>
          <w:i/>
          <w:u w:val="single"/>
        </w:rPr>
      </w:pPr>
      <w:r w:rsidRPr="00CB0AF0">
        <w:rPr>
          <w:rFonts w:ascii="Arial" w:hAnsi="Arial" w:cs="Arial"/>
          <w:i/>
          <w:u w:val="single"/>
        </w:rPr>
        <w:t>Summary of the arguments advanced by the respective counsel</w:t>
      </w:r>
    </w:p>
    <w:p w:rsidR="00FD61F8" w:rsidRPr="00CB0AF0" w:rsidRDefault="00FD61F8" w:rsidP="00FD61F8">
      <w:pPr>
        <w:pStyle w:val="western"/>
        <w:shd w:val="clear" w:color="auto" w:fill="FFFFFF"/>
        <w:spacing w:before="0" w:beforeAutospacing="0" w:after="0" w:afterAutospacing="0" w:line="360" w:lineRule="auto"/>
        <w:jc w:val="both"/>
        <w:rPr>
          <w:rFonts w:ascii="Arial" w:hAnsi="Arial" w:cs="Arial"/>
        </w:rPr>
      </w:pPr>
    </w:p>
    <w:p w:rsidR="00847C36" w:rsidRDefault="00AD139F" w:rsidP="00FD61F8">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[24]</w:t>
      </w:r>
      <w:r>
        <w:rPr>
          <w:rFonts w:ascii="Arial" w:hAnsi="Arial" w:cs="Arial"/>
        </w:rPr>
        <w:tab/>
      </w:r>
      <w:r w:rsidR="00847C36" w:rsidRPr="00CB0AF0">
        <w:rPr>
          <w:rFonts w:ascii="Arial" w:hAnsi="Arial" w:cs="Arial"/>
        </w:rPr>
        <w:t>Mr Barnard</w:t>
      </w:r>
      <w:r w:rsidR="00103499" w:rsidRPr="00CB0AF0">
        <w:rPr>
          <w:rFonts w:ascii="Arial" w:hAnsi="Arial" w:cs="Arial"/>
        </w:rPr>
        <w:t>, instructed counsel for the defendant,</w:t>
      </w:r>
      <w:r w:rsidR="00847C36" w:rsidRPr="00CB0AF0">
        <w:rPr>
          <w:rFonts w:ascii="Arial" w:hAnsi="Arial" w:cs="Arial"/>
        </w:rPr>
        <w:t xml:space="preserve"> argued that the failure </w:t>
      </w:r>
      <w:r w:rsidR="002C0580" w:rsidRPr="00CB0AF0">
        <w:rPr>
          <w:rFonts w:ascii="Arial" w:hAnsi="Arial" w:cs="Arial"/>
        </w:rPr>
        <w:t xml:space="preserve">to establish the authority to launch the application </w:t>
      </w:r>
      <w:r w:rsidR="00847C36" w:rsidRPr="00CB0AF0">
        <w:rPr>
          <w:rFonts w:ascii="Arial" w:hAnsi="Arial" w:cs="Arial"/>
        </w:rPr>
        <w:t xml:space="preserve">at the commencement of </w:t>
      </w:r>
      <w:r w:rsidR="00F17E63">
        <w:rPr>
          <w:rFonts w:ascii="Arial" w:hAnsi="Arial" w:cs="Arial"/>
        </w:rPr>
        <w:t xml:space="preserve">the </w:t>
      </w:r>
      <w:r w:rsidR="002C0580" w:rsidRPr="00CB0AF0">
        <w:rPr>
          <w:rFonts w:ascii="Arial" w:hAnsi="Arial" w:cs="Arial"/>
        </w:rPr>
        <w:t>said</w:t>
      </w:r>
      <w:r w:rsidR="00847C36" w:rsidRPr="00CB0AF0">
        <w:rPr>
          <w:rFonts w:ascii="Arial" w:hAnsi="Arial" w:cs="Arial"/>
        </w:rPr>
        <w:t xml:space="preserve"> </w:t>
      </w:r>
      <w:r w:rsidR="00847C36">
        <w:rPr>
          <w:rFonts w:ascii="Arial" w:hAnsi="Arial" w:cs="Arial"/>
        </w:rPr>
        <w:t xml:space="preserve">application, is not a defect fatal to the institution </w:t>
      </w:r>
      <w:r w:rsidR="00103499" w:rsidRPr="002C0580">
        <w:rPr>
          <w:rFonts w:ascii="Arial" w:hAnsi="Arial" w:cs="Arial"/>
        </w:rPr>
        <w:t xml:space="preserve">of </w:t>
      </w:r>
      <w:r w:rsidR="00847C36">
        <w:rPr>
          <w:rFonts w:ascii="Arial" w:hAnsi="Arial" w:cs="Arial"/>
        </w:rPr>
        <w:t xml:space="preserve">such proceedings. It can be condoned, upon the subsequent compliance with the particular rule requiring the filing thereof at a later stage. </w:t>
      </w:r>
    </w:p>
    <w:p w:rsidR="00847C36" w:rsidRDefault="00847C36" w:rsidP="00FD61F8">
      <w:pPr>
        <w:pStyle w:val="rteindent1"/>
        <w:shd w:val="clear" w:color="auto" w:fill="FFFFFF"/>
        <w:spacing w:before="0" w:beforeAutospacing="0" w:after="0" w:afterAutospacing="0" w:line="360" w:lineRule="auto"/>
        <w:jc w:val="both"/>
        <w:rPr>
          <w:rFonts w:ascii="Arial" w:hAnsi="Arial" w:cs="Arial"/>
        </w:rPr>
      </w:pPr>
    </w:p>
    <w:p w:rsidR="008C68BC" w:rsidRPr="00672E92" w:rsidRDefault="00AD139F" w:rsidP="00FD61F8">
      <w:pPr>
        <w:pStyle w:val="rteindent1"/>
        <w:shd w:val="clear" w:color="auto" w:fill="FFFFFF"/>
        <w:spacing w:before="0" w:beforeAutospacing="0" w:after="0" w:afterAutospacing="0" w:line="360" w:lineRule="auto"/>
        <w:jc w:val="both"/>
        <w:rPr>
          <w:rFonts w:ascii="Arial" w:hAnsi="Arial" w:cs="Arial"/>
          <w:strike/>
          <w:color w:val="00B0F0"/>
        </w:rPr>
      </w:pPr>
      <w:r>
        <w:rPr>
          <w:rFonts w:ascii="Arial" w:hAnsi="Arial" w:cs="Arial"/>
        </w:rPr>
        <w:t>[25]</w:t>
      </w:r>
      <w:r>
        <w:rPr>
          <w:rFonts w:ascii="Arial" w:hAnsi="Arial" w:cs="Arial"/>
        </w:rPr>
        <w:tab/>
      </w:r>
      <w:r w:rsidR="00847C36">
        <w:rPr>
          <w:rFonts w:ascii="Arial" w:hAnsi="Arial" w:cs="Arial"/>
        </w:rPr>
        <w:t xml:space="preserve">Counsel referred the court to </w:t>
      </w:r>
      <w:r w:rsidR="00847C36" w:rsidRPr="00766691">
        <w:rPr>
          <w:rFonts w:ascii="Arial" w:hAnsi="Arial" w:cs="Arial"/>
          <w:i/>
        </w:rPr>
        <w:t xml:space="preserve">Pinkster </w:t>
      </w:r>
      <w:proofErr w:type="spellStart"/>
      <w:r w:rsidR="00847C36" w:rsidRPr="00766691">
        <w:rPr>
          <w:rFonts w:ascii="Arial" w:hAnsi="Arial" w:cs="Arial"/>
          <w:i/>
        </w:rPr>
        <w:t>Gemeente</w:t>
      </w:r>
      <w:proofErr w:type="spellEnd"/>
      <w:r w:rsidR="00847C36" w:rsidRPr="00766691">
        <w:rPr>
          <w:rFonts w:ascii="Arial" w:hAnsi="Arial" w:cs="Arial"/>
          <w:i/>
        </w:rPr>
        <w:t xml:space="preserve"> van Namibia (previously SWA) v </w:t>
      </w:r>
      <w:proofErr w:type="spellStart"/>
      <w:r w:rsidR="00847C36" w:rsidRPr="00766691">
        <w:rPr>
          <w:rFonts w:ascii="Arial" w:hAnsi="Arial" w:cs="Arial"/>
          <w:i/>
        </w:rPr>
        <w:t>Navolgers</w:t>
      </w:r>
      <w:proofErr w:type="spellEnd"/>
      <w:r w:rsidR="00847C36" w:rsidRPr="00766691">
        <w:rPr>
          <w:rFonts w:ascii="Arial" w:hAnsi="Arial" w:cs="Arial"/>
          <w:i/>
        </w:rPr>
        <w:t xml:space="preserve"> van </w:t>
      </w:r>
      <w:proofErr w:type="spellStart"/>
      <w:r w:rsidR="00847C36" w:rsidRPr="00766691">
        <w:rPr>
          <w:rFonts w:ascii="Arial" w:hAnsi="Arial" w:cs="Arial"/>
          <w:i/>
        </w:rPr>
        <w:t>Christus</w:t>
      </w:r>
      <w:proofErr w:type="spellEnd"/>
      <w:r w:rsidR="00847C36" w:rsidRPr="00766691">
        <w:rPr>
          <w:rFonts w:ascii="Arial" w:hAnsi="Arial" w:cs="Arial"/>
          <w:i/>
        </w:rPr>
        <w:t xml:space="preserve"> </w:t>
      </w:r>
      <w:proofErr w:type="spellStart"/>
      <w:r w:rsidR="00847C36" w:rsidRPr="00766691">
        <w:rPr>
          <w:rFonts w:ascii="Arial" w:hAnsi="Arial" w:cs="Arial"/>
          <w:i/>
        </w:rPr>
        <w:t>Kerk</w:t>
      </w:r>
      <w:proofErr w:type="spellEnd"/>
      <w:r w:rsidR="00847C36" w:rsidRPr="00766691">
        <w:rPr>
          <w:rFonts w:ascii="Arial" w:hAnsi="Arial" w:cs="Arial"/>
          <w:i/>
        </w:rPr>
        <w:t xml:space="preserve"> van SA and Another</w:t>
      </w:r>
      <w:r w:rsidR="00F03EE1">
        <w:rPr>
          <w:rFonts w:ascii="Arial" w:hAnsi="Arial" w:cs="Arial"/>
          <w:i/>
        </w:rPr>
        <w:t>.</w:t>
      </w:r>
      <w:r w:rsidR="00847C36">
        <w:rPr>
          <w:rStyle w:val="FootnoteReference"/>
          <w:rFonts w:ascii="Arial" w:hAnsi="Arial" w:cs="Arial"/>
        </w:rPr>
        <w:footnoteReference w:id="4"/>
      </w:r>
    </w:p>
    <w:p w:rsidR="008C68BC" w:rsidRDefault="008C68BC" w:rsidP="00FD61F8">
      <w:pPr>
        <w:pStyle w:val="rteindent1"/>
        <w:shd w:val="clear" w:color="auto" w:fill="FFFFFF"/>
        <w:spacing w:before="0" w:beforeAutospacing="0" w:after="0" w:afterAutospacing="0" w:line="360" w:lineRule="auto"/>
        <w:rPr>
          <w:rFonts w:ascii="Arial" w:hAnsi="Arial" w:cs="Arial"/>
        </w:rPr>
      </w:pPr>
    </w:p>
    <w:p w:rsidR="00103499" w:rsidRPr="00672E92" w:rsidRDefault="008C68BC" w:rsidP="00FD61F8">
      <w:pPr>
        <w:pStyle w:val="rteindent1"/>
        <w:shd w:val="clear" w:color="auto" w:fill="FFFFFF"/>
        <w:spacing w:before="0" w:beforeAutospacing="0" w:after="0" w:afterAutospacing="0" w:line="360" w:lineRule="auto"/>
        <w:jc w:val="both"/>
        <w:rPr>
          <w:rFonts w:ascii="Arial" w:hAnsi="Arial" w:cs="Arial"/>
        </w:rPr>
      </w:pPr>
      <w:r w:rsidRPr="00672E92">
        <w:rPr>
          <w:rFonts w:ascii="Arial" w:hAnsi="Arial" w:cs="Arial"/>
        </w:rPr>
        <w:t>[</w:t>
      </w:r>
      <w:r w:rsidR="00AD139F">
        <w:rPr>
          <w:rFonts w:ascii="Arial" w:hAnsi="Arial" w:cs="Arial"/>
        </w:rPr>
        <w:t>26</w:t>
      </w:r>
      <w:r w:rsidRPr="00672E92">
        <w:rPr>
          <w:rFonts w:ascii="Arial" w:hAnsi="Arial" w:cs="Arial"/>
        </w:rPr>
        <w:t>]</w:t>
      </w:r>
      <w:r w:rsidRPr="00672E92">
        <w:rPr>
          <w:rFonts w:ascii="Arial" w:hAnsi="Arial" w:cs="Arial"/>
        </w:rPr>
        <w:tab/>
        <w:t xml:space="preserve">In the </w:t>
      </w:r>
      <w:r w:rsidRPr="00672E92">
        <w:rPr>
          <w:rFonts w:ascii="Arial" w:hAnsi="Arial" w:cs="Arial"/>
          <w:i/>
        </w:rPr>
        <w:t xml:space="preserve">Pinkster </w:t>
      </w:r>
      <w:proofErr w:type="spellStart"/>
      <w:r w:rsidRPr="00672E92">
        <w:rPr>
          <w:rFonts w:ascii="Arial" w:hAnsi="Arial" w:cs="Arial"/>
          <w:i/>
        </w:rPr>
        <w:t>Gemeente</w:t>
      </w:r>
      <w:proofErr w:type="spellEnd"/>
      <w:r w:rsidRPr="00672E92">
        <w:rPr>
          <w:rFonts w:ascii="Arial" w:hAnsi="Arial" w:cs="Arial"/>
        </w:rPr>
        <w:t xml:space="preserve"> matter </w:t>
      </w:r>
      <w:r w:rsidR="00847C36" w:rsidRPr="00672E92">
        <w:rPr>
          <w:rFonts w:ascii="Arial" w:hAnsi="Arial" w:cs="Arial"/>
        </w:rPr>
        <w:t>Hannah J</w:t>
      </w:r>
      <w:r w:rsidR="00103499" w:rsidRPr="00672E92">
        <w:rPr>
          <w:rFonts w:ascii="Arial" w:hAnsi="Arial" w:cs="Arial"/>
        </w:rPr>
        <w:t>,</w:t>
      </w:r>
      <w:r w:rsidR="00847C36" w:rsidRPr="00672E92">
        <w:rPr>
          <w:rFonts w:ascii="Arial" w:hAnsi="Arial" w:cs="Arial"/>
        </w:rPr>
        <w:t xml:space="preserve"> writing for the full bench</w:t>
      </w:r>
      <w:r w:rsidR="00103499" w:rsidRPr="00672E92">
        <w:rPr>
          <w:rFonts w:ascii="Arial" w:hAnsi="Arial" w:cs="Arial"/>
        </w:rPr>
        <w:t>,</w:t>
      </w:r>
      <w:r w:rsidR="00847C36" w:rsidRPr="00672E92">
        <w:rPr>
          <w:rFonts w:ascii="Arial" w:hAnsi="Arial" w:cs="Arial"/>
        </w:rPr>
        <w:t xml:space="preserve"> followed </w:t>
      </w:r>
      <w:r w:rsidR="00103499" w:rsidRPr="00672E92">
        <w:rPr>
          <w:rFonts w:ascii="Arial" w:hAnsi="Arial" w:cs="Arial"/>
        </w:rPr>
        <w:t xml:space="preserve">what was held </w:t>
      </w:r>
      <w:r w:rsidR="00847C36" w:rsidRPr="00672E92">
        <w:rPr>
          <w:rFonts w:ascii="Arial" w:hAnsi="Arial" w:cs="Arial"/>
        </w:rPr>
        <w:t xml:space="preserve">in </w:t>
      </w:r>
      <w:proofErr w:type="spellStart"/>
      <w:r w:rsidR="00847C36" w:rsidRPr="00672E92">
        <w:rPr>
          <w:rFonts w:ascii="Arial" w:hAnsi="Arial" w:cs="Arial"/>
          <w:i/>
        </w:rPr>
        <w:t>Baeck</w:t>
      </w:r>
      <w:proofErr w:type="spellEnd"/>
      <w:r w:rsidR="00847C36" w:rsidRPr="00672E92">
        <w:rPr>
          <w:rFonts w:ascii="Arial" w:hAnsi="Arial" w:cs="Arial"/>
          <w:i/>
        </w:rPr>
        <w:t xml:space="preserve"> &amp; Co. S.A (Pty) Ltd v Van </w:t>
      </w:r>
      <w:proofErr w:type="spellStart"/>
      <w:r w:rsidR="00847C36" w:rsidRPr="00672E92">
        <w:rPr>
          <w:rFonts w:ascii="Arial" w:hAnsi="Arial" w:cs="Arial"/>
          <w:i/>
        </w:rPr>
        <w:t>Zummeren</w:t>
      </w:r>
      <w:proofErr w:type="spellEnd"/>
      <w:r w:rsidR="00847C36" w:rsidRPr="00672E92">
        <w:rPr>
          <w:rFonts w:ascii="Arial" w:hAnsi="Arial" w:cs="Arial"/>
          <w:i/>
        </w:rPr>
        <w:t xml:space="preserve"> and Another</w:t>
      </w:r>
      <w:r w:rsidR="00847C36" w:rsidRPr="00672E92">
        <w:rPr>
          <w:rStyle w:val="FootnoteReference"/>
          <w:rFonts w:ascii="Arial" w:hAnsi="Arial" w:cs="Arial"/>
        </w:rPr>
        <w:footnoteReference w:id="5"/>
      </w:r>
      <w:r w:rsidR="00847C36" w:rsidRPr="00672E92">
        <w:rPr>
          <w:rFonts w:ascii="Arial" w:hAnsi="Arial" w:cs="Arial"/>
        </w:rPr>
        <w:t xml:space="preserve"> instead of S.A. Milling Co. (Pty) Ltd v Reddy</w:t>
      </w:r>
      <w:r w:rsidR="00F03EE1">
        <w:rPr>
          <w:rFonts w:ascii="Arial" w:hAnsi="Arial" w:cs="Arial"/>
        </w:rPr>
        <w:t>.</w:t>
      </w:r>
      <w:r w:rsidR="00847C36" w:rsidRPr="00672E92">
        <w:rPr>
          <w:rStyle w:val="FootnoteReference"/>
          <w:rFonts w:ascii="Arial" w:hAnsi="Arial" w:cs="Arial"/>
        </w:rPr>
        <w:footnoteReference w:id="6"/>
      </w:r>
    </w:p>
    <w:p w:rsidR="00103499" w:rsidRPr="00672E92" w:rsidRDefault="00103499" w:rsidP="00FD61F8">
      <w:pPr>
        <w:pStyle w:val="rteindent1"/>
        <w:shd w:val="clear" w:color="auto" w:fill="FFFFFF"/>
        <w:spacing w:before="0" w:beforeAutospacing="0" w:after="0" w:afterAutospacing="0" w:line="360" w:lineRule="auto"/>
        <w:jc w:val="both"/>
        <w:rPr>
          <w:rFonts w:ascii="Arial" w:hAnsi="Arial" w:cs="Arial"/>
        </w:rPr>
      </w:pPr>
    </w:p>
    <w:p w:rsidR="00847C36" w:rsidRPr="00672E92" w:rsidRDefault="00103499" w:rsidP="00FD61F8">
      <w:pPr>
        <w:pStyle w:val="rteindent1"/>
        <w:shd w:val="clear" w:color="auto" w:fill="FFFFFF"/>
        <w:spacing w:before="0" w:beforeAutospacing="0" w:after="0" w:afterAutospacing="0" w:line="360" w:lineRule="auto"/>
        <w:jc w:val="both"/>
        <w:rPr>
          <w:rFonts w:ascii="Arial" w:hAnsi="Arial" w:cs="Arial"/>
        </w:rPr>
      </w:pPr>
      <w:r w:rsidRPr="00672E92">
        <w:rPr>
          <w:rFonts w:ascii="Arial" w:hAnsi="Arial" w:cs="Arial"/>
        </w:rPr>
        <w:t>[</w:t>
      </w:r>
      <w:r w:rsidR="00AD139F">
        <w:rPr>
          <w:rFonts w:ascii="Arial" w:hAnsi="Arial" w:cs="Arial"/>
        </w:rPr>
        <w:t>27</w:t>
      </w:r>
      <w:r w:rsidRPr="00672E92">
        <w:rPr>
          <w:rFonts w:ascii="Arial" w:hAnsi="Arial" w:cs="Arial"/>
        </w:rPr>
        <w:t>]</w:t>
      </w:r>
      <w:r w:rsidRPr="00672E92">
        <w:rPr>
          <w:rFonts w:ascii="Arial" w:hAnsi="Arial" w:cs="Arial"/>
        </w:rPr>
        <w:tab/>
      </w:r>
      <w:r w:rsidR="00847C36" w:rsidRPr="00672E92">
        <w:rPr>
          <w:rFonts w:ascii="Arial" w:hAnsi="Arial" w:cs="Arial"/>
        </w:rPr>
        <w:t xml:space="preserve">In the </w:t>
      </w:r>
      <w:r w:rsidR="00847C36" w:rsidRPr="00672E92">
        <w:rPr>
          <w:rFonts w:ascii="Arial" w:hAnsi="Arial" w:cs="Arial"/>
          <w:i/>
        </w:rPr>
        <w:t>S.A Milling</w:t>
      </w:r>
      <w:r w:rsidR="00847C36" w:rsidRPr="00672E92">
        <w:rPr>
          <w:rFonts w:ascii="Arial" w:hAnsi="Arial" w:cs="Arial"/>
        </w:rPr>
        <w:t xml:space="preserve"> matter the court held that an objection by the opposing litigant precludes ratification of the unauthorised institution of proceedings by the purported agent because the opposing party, by objection, acquires a right to move for the dismissal of the application on the ground of locus standi. </w:t>
      </w:r>
    </w:p>
    <w:p w:rsidR="00847C36" w:rsidRPr="00672E92" w:rsidRDefault="00847C36" w:rsidP="00FD61F8">
      <w:pPr>
        <w:pStyle w:val="rteindent1"/>
        <w:shd w:val="clear" w:color="auto" w:fill="FFFFFF"/>
        <w:spacing w:before="0" w:beforeAutospacing="0" w:after="0" w:afterAutospacing="0" w:line="360" w:lineRule="auto"/>
        <w:rPr>
          <w:rFonts w:ascii="Arial" w:hAnsi="Arial" w:cs="Arial"/>
        </w:rPr>
      </w:pPr>
    </w:p>
    <w:p w:rsidR="00AE0CC9" w:rsidRDefault="00103499" w:rsidP="00AE0CC9">
      <w:pPr>
        <w:pStyle w:val="rteindent1"/>
        <w:shd w:val="clear" w:color="auto" w:fill="FFFFFF"/>
        <w:spacing w:before="0" w:beforeAutospacing="0" w:after="0" w:afterAutospacing="0" w:line="360" w:lineRule="auto"/>
        <w:jc w:val="both"/>
        <w:rPr>
          <w:rFonts w:ascii="Arial" w:hAnsi="Arial" w:cs="Arial"/>
        </w:rPr>
      </w:pPr>
      <w:r w:rsidRPr="00672E92">
        <w:rPr>
          <w:rFonts w:ascii="Arial" w:hAnsi="Arial" w:cs="Arial"/>
        </w:rPr>
        <w:t>[</w:t>
      </w:r>
      <w:r w:rsidR="00AD139F">
        <w:rPr>
          <w:rFonts w:ascii="Arial" w:hAnsi="Arial" w:cs="Arial"/>
        </w:rPr>
        <w:t>28</w:t>
      </w:r>
      <w:r w:rsidRPr="00672E92">
        <w:rPr>
          <w:rFonts w:ascii="Arial" w:hAnsi="Arial" w:cs="Arial"/>
        </w:rPr>
        <w:t>]</w:t>
      </w:r>
      <w:r w:rsidRPr="00672E92">
        <w:rPr>
          <w:rFonts w:ascii="Arial" w:hAnsi="Arial" w:cs="Arial"/>
        </w:rPr>
        <w:tab/>
        <w:t>However</w:t>
      </w:r>
      <w:r w:rsidRPr="00672E92">
        <w:rPr>
          <w:rFonts w:ascii="Arial" w:hAnsi="Arial" w:cs="Arial"/>
          <w:color w:val="FF0000"/>
        </w:rPr>
        <w:t xml:space="preserve"> </w:t>
      </w:r>
      <w:r w:rsidRPr="00672E92">
        <w:rPr>
          <w:rFonts w:ascii="Arial" w:hAnsi="Arial" w:cs="Arial"/>
        </w:rPr>
        <w:t>i</w:t>
      </w:r>
      <w:r w:rsidR="00847C36" w:rsidRPr="00672E92">
        <w:rPr>
          <w:rFonts w:ascii="Arial" w:hAnsi="Arial" w:cs="Arial"/>
        </w:rPr>
        <w:t xml:space="preserve">n the </w:t>
      </w:r>
      <w:proofErr w:type="spellStart"/>
      <w:r w:rsidR="00847C36" w:rsidRPr="00672E92">
        <w:rPr>
          <w:rFonts w:ascii="Arial" w:hAnsi="Arial" w:cs="Arial"/>
          <w:i/>
        </w:rPr>
        <w:t>Baeck</w:t>
      </w:r>
      <w:proofErr w:type="spellEnd"/>
      <w:r w:rsidR="00847C36" w:rsidRPr="00672E92">
        <w:rPr>
          <w:rFonts w:ascii="Arial" w:hAnsi="Arial" w:cs="Arial"/>
        </w:rPr>
        <w:t xml:space="preserve"> matter </w:t>
      </w:r>
      <w:r w:rsidR="008C68BC" w:rsidRPr="00672E92">
        <w:rPr>
          <w:rFonts w:ascii="Arial" w:hAnsi="Arial" w:cs="Arial"/>
        </w:rPr>
        <w:t xml:space="preserve">the court </w:t>
      </w:r>
      <w:r w:rsidR="00AE0CC9">
        <w:rPr>
          <w:rFonts w:ascii="Arial" w:hAnsi="Arial" w:cs="Arial"/>
        </w:rPr>
        <w:t>follows</w:t>
      </w:r>
      <w:r w:rsidR="00AE0CC9" w:rsidRPr="00AE0CC9">
        <w:rPr>
          <w:rFonts w:ascii="Arial" w:hAnsi="Arial" w:cs="Arial"/>
        </w:rPr>
        <w:t xml:space="preserve"> </w:t>
      </w:r>
      <w:r w:rsidR="00AE0CC9" w:rsidRPr="00F03EE1">
        <w:rPr>
          <w:rFonts w:ascii="Arial" w:hAnsi="Arial" w:cs="Arial"/>
          <w:i/>
        </w:rPr>
        <w:t xml:space="preserve">Garment Workers' Union of the Cape and Another v Garment Workers' Union and </w:t>
      </w:r>
      <w:r w:rsidR="00AE0CC9" w:rsidRPr="00AE0CC9">
        <w:rPr>
          <w:rFonts w:ascii="Arial" w:hAnsi="Arial" w:cs="Arial"/>
          <w:i/>
        </w:rPr>
        <w:t>Another</w:t>
      </w:r>
      <w:r w:rsidR="00AE0CC9" w:rsidRPr="00AE0CC9">
        <w:rPr>
          <w:rFonts w:ascii="Arial" w:hAnsi="Arial" w:cs="Arial"/>
        </w:rPr>
        <w:t xml:space="preserve"> 1946 AD 370</w:t>
      </w:r>
      <w:r w:rsidR="00AE0CC9">
        <w:rPr>
          <w:rFonts w:ascii="Arial" w:hAnsi="Arial" w:cs="Arial"/>
        </w:rPr>
        <w:t xml:space="preserve"> wherein the court </w:t>
      </w:r>
      <w:r w:rsidR="00AE0CC9" w:rsidRPr="00AE0CC9">
        <w:rPr>
          <w:rFonts w:ascii="Arial" w:hAnsi="Arial" w:cs="Arial"/>
        </w:rPr>
        <w:t>concluded that ratification of the unauthoris</w:t>
      </w:r>
      <w:r w:rsidR="00AE0CC9">
        <w:rPr>
          <w:rFonts w:ascii="Arial" w:hAnsi="Arial" w:cs="Arial"/>
        </w:rPr>
        <w:t xml:space="preserve">ed act of bringing application </w:t>
      </w:r>
      <w:r w:rsidR="00AE0CC9" w:rsidRPr="00AE0CC9">
        <w:rPr>
          <w:rFonts w:ascii="Arial" w:hAnsi="Arial" w:cs="Arial"/>
        </w:rPr>
        <w:t xml:space="preserve">  proceedings does retrospectively operate to cure the original lack of authority.</w:t>
      </w:r>
    </w:p>
    <w:p w:rsidR="00AE0CC9" w:rsidRDefault="00AE0CC9" w:rsidP="00FD61F8">
      <w:pPr>
        <w:pStyle w:val="rteindent1"/>
        <w:shd w:val="clear" w:color="auto" w:fill="FFFFFF"/>
        <w:spacing w:before="0" w:beforeAutospacing="0" w:after="0" w:afterAutospacing="0" w:line="360" w:lineRule="auto"/>
        <w:rPr>
          <w:rFonts w:ascii="Arial" w:hAnsi="Arial" w:cs="Arial"/>
        </w:rPr>
      </w:pPr>
    </w:p>
    <w:p w:rsidR="000C202D" w:rsidRDefault="00AD139F" w:rsidP="00FD61F8">
      <w:pPr>
        <w:pStyle w:val="rteindent1"/>
        <w:shd w:val="clear" w:color="auto" w:fill="FFFFFF"/>
        <w:spacing w:before="0" w:beforeAutospacing="0" w:after="0" w:afterAutospacing="0" w:line="360" w:lineRule="auto"/>
        <w:rPr>
          <w:rFonts w:ascii="Arial" w:hAnsi="Arial" w:cs="Arial"/>
        </w:rPr>
      </w:pPr>
      <w:r>
        <w:rPr>
          <w:rFonts w:ascii="Arial" w:hAnsi="Arial" w:cs="Arial"/>
        </w:rPr>
        <w:t>[29]</w:t>
      </w:r>
      <w:r>
        <w:rPr>
          <w:rFonts w:ascii="Arial" w:hAnsi="Arial" w:cs="Arial"/>
        </w:rPr>
        <w:tab/>
      </w:r>
      <w:r w:rsidR="00847C36">
        <w:rPr>
          <w:rFonts w:ascii="Arial" w:hAnsi="Arial" w:cs="Arial"/>
        </w:rPr>
        <w:t xml:space="preserve">Mr Barnard </w:t>
      </w:r>
      <w:r w:rsidR="002C53EB">
        <w:rPr>
          <w:rFonts w:ascii="Arial" w:hAnsi="Arial" w:cs="Arial"/>
        </w:rPr>
        <w:t xml:space="preserve">further referred to the </w:t>
      </w:r>
      <w:proofErr w:type="spellStart"/>
      <w:r w:rsidR="002C53EB" w:rsidRPr="00307A86">
        <w:rPr>
          <w:rFonts w:ascii="Arial" w:hAnsi="Arial" w:cs="Arial"/>
          <w:i/>
        </w:rPr>
        <w:t>Baeck</w:t>
      </w:r>
      <w:proofErr w:type="spellEnd"/>
      <w:r w:rsidR="002C53EB">
        <w:rPr>
          <w:rFonts w:ascii="Arial" w:hAnsi="Arial" w:cs="Arial"/>
        </w:rPr>
        <w:t xml:space="preserve"> judgment</w:t>
      </w:r>
      <w:r w:rsidR="00EE459E">
        <w:rPr>
          <w:rFonts w:ascii="Arial" w:hAnsi="Arial" w:cs="Arial"/>
        </w:rPr>
        <w:t>,</w:t>
      </w:r>
      <w:r w:rsidR="002C53EB">
        <w:rPr>
          <w:rFonts w:ascii="Arial" w:hAnsi="Arial" w:cs="Arial"/>
        </w:rPr>
        <w:t xml:space="preserve"> followed by Hannah AJA</w:t>
      </w:r>
      <w:r w:rsidR="00EE459E">
        <w:rPr>
          <w:rFonts w:ascii="Arial" w:hAnsi="Arial" w:cs="Arial"/>
        </w:rPr>
        <w:t>,</w:t>
      </w:r>
      <w:r w:rsidR="002C53EB">
        <w:rPr>
          <w:rFonts w:ascii="Arial" w:hAnsi="Arial" w:cs="Arial"/>
        </w:rPr>
        <w:t xml:space="preserve"> where the following was stated:</w:t>
      </w:r>
    </w:p>
    <w:p w:rsidR="00103499" w:rsidRDefault="00103499" w:rsidP="00FD61F8">
      <w:pPr>
        <w:pStyle w:val="rteindent1"/>
        <w:shd w:val="clear" w:color="auto" w:fill="FFFFFF"/>
        <w:spacing w:before="0" w:beforeAutospacing="0" w:after="0" w:afterAutospacing="0" w:line="360" w:lineRule="auto"/>
        <w:rPr>
          <w:rFonts w:ascii="Arial" w:hAnsi="Arial" w:cs="Arial"/>
        </w:rPr>
      </w:pPr>
    </w:p>
    <w:p w:rsidR="002C53EB" w:rsidRPr="002C53EB" w:rsidRDefault="002C53EB" w:rsidP="00FD61F8">
      <w:pPr>
        <w:pStyle w:val="rteindent1"/>
        <w:shd w:val="clear" w:color="auto" w:fill="FFFFFF"/>
        <w:spacing w:before="0" w:beforeAutospacing="0" w:after="0" w:afterAutospacing="0" w:line="360" w:lineRule="auto"/>
        <w:jc w:val="both"/>
        <w:rPr>
          <w:rFonts w:ascii="Arial" w:hAnsi="Arial" w:cs="Arial"/>
          <w:sz w:val="22"/>
          <w:szCs w:val="22"/>
        </w:rPr>
      </w:pPr>
      <w:r>
        <w:rPr>
          <w:rFonts w:ascii="Arial" w:hAnsi="Arial" w:cs="Arial"/>
        </w:rPr>
        <w:tab/>
      </w:r>
      <w:r w:rsidRPr="002C53EB">
        <w:rPr>
          <w:rFonts w:ascii="Arial" w:hAnsi="Arial" w:cs="Arial"/>
          <w:sz w:val="22"/>
          <w:szCs w:val="22"/>
        </w:rPr>
        <w:t xml:space="preserve">‘If in law the deficiency in his authority can be cured by ratification having retrospective operation, I am of the opinion that he should be allowed to establish such ratification in his replying affidavit in the absence of prejudice to the first respondent. It is clear that in this case, subject to the question of ratification and retrospectivity, the first respondent would not </w:t>
      </w:r>
      <w:r w:rsidR="00CB0AF0" w:rsidRPr="002C53EB">
        <w:rPr>
          <w:rFonts w:ascii="Arial" w:hAnsi="Arial" w:cs="Arial"/>
          <w:sz w:val="22"/>
          <w:szCs w:val="22"/>
        </w:rPr>
        <w:t xml:space="preserve">be </w:t>
      </w:r>
      <w:r w:rsidR="00CB0AF0">
        <w:rPr>
          <w:rFonts w:ascii="Arial" w:hAnsi="Arial" w:cs="Arial"/>
          <w:sz w:val="22"/>
          <w:szCs w:val="22"/>
        </w:rPr>
        <w:t>prejudiced</w:t>
      </w:r>
      <w:r w:rsidRPr="002C53EB">
        <w:rPr>
          <w:rFonts w:ascii="Arial" w:hAnsi="Arial" w:cs="Arial"/>
          <w:sz w:val="22"/>
          <w:szCs w:val="22"/>
        </w:rPr>
        <w:t xml:space="preserve"> by such an approach. Indeed, it is not disputed that </w:t>
      </w:r>
      <w:r w:rsidRPr="00CB0AF0">
        <w:rPr>
          <w:rFonts w:ascii="Arial" w:hAnsi="Arial" w:cs="Arial"/>
          <w:sz w:val="22"/>
          <w:szCs w:val="22"/>
        </w:rPr>
        <w:t>the applicant could start again on the same basis, supplemented as needs be, to establish the authority of Keller.</w:t>
      </w:r>
      <w:r w:rsidR="00011B14" w:rsidRPr="00CB0AF0">
        <w:rPr>
          <w:rFonts w:ascii="Arial" w:hAnsi="Arial" w:cs="Arial"/>
          <w:sz w:val="22"/>
          <w:szCs w:val="22"/>
        </w:rPr>
        <w:t>’</w:t>
      </w:r>
    </w:p>
    <w:p w:rsidR="000C202D" w:rsidRDefault="000C202D" w:rsidP="00FD61F8">
      <w:pPr>
        <w:pStyle w:val="rteindent1"/>
        <w:shd w:val="clear" w:color="auto" w:fill="FFFFFF"/>
        <w:spacing w:before="0" w:beforeAutospacing="0" w:after="0" w:afterAutospacing="0" w:line="360" w:lineRule="auto"/>
        <w:rPr>
          <w:rFonts w:ascii="Arial" w:hAnsi="Arial" w:cs="Arial"/>
        </w:rPr>
      </w:pPr>
    </w:p>
    <w:p w:rsidR="00847C36" w:rsidRDefault="002C53EB" w:rsidP="00FD61F8">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30</w:t>
      </w:r>
      <w:r>
        <w:rPr>
          <w:rFonts w:ascii="Arial" w:hAnsi="Arial" w:cs="Arial"/>
        </w:rPr>
        <w:t>]</w:t>
      </w:r>
      <w:r>
        <w:rPr>
          <w:rFonts w:ascii="Arial" w:hAnsi="Arial" w:cs="Arial"/>
        </w:rPr>
        <w:tab/>
        <w:t xml:space="preserve">Mr Barnard </w:t>
      </w:r>
      <w:r w:rsidR="00847C36">
        <w:rPr>
          <w:rFonts w:ascii="Arial" w:hAnsi="Arial" w:cs="Arial"/>
        </w:rPr>
        <w:t xml:space="preserve">submitted that due to the fact that the </w:t>
      </w:r>
      <w:r w:rsidR="00847C36" w:rsidRPr="0070772E">
        <w:rPr>
          <w:rFonts w:ascii="Arial" w:hAnsi="Arial" w:cs="Arial"/>
          <w:i/>
        </w:rPr>
        <w:t xml:space="preserve">Pinkster </w:t>
      </w:r>
      <w:proofErr w:type="spellStart"/>
      <w:r w:rsidR="00847C36" w:rsidRPr="0070772E">
        <w:rPr>
          <w:rFonts w:ascii="Arial" w:hAnsi="Arial" w:cs="Arial"/>
          <w:i/>
        </w:rPr>
        <w:t>Gemeente</w:t>
      </w:r>
      <w:proofErr w:type="spellEnd"/>
      <w:r w:rsidR="00847C36">
        <w:rPr>
          <w:rFonts w:ascii="Arial" w:hAnsi="Arial" w:cs="Arial"/>
        </w:rPr>
        <w:t xml:space="preserve"> matter is a full bench decision this court is bound by the said decision</w:t>
      </w:r>
      <w:r w:rsidR="008C68BC">
        <w:rPr>
          <w:rFonts w:ascii="Arial" w:hAnsi="Arial" w:cs="Arial"/>
        </w:rPr>
        <w:t xml:space="preserve"> and that </w:t>
      </w:r>
      <w:r>
        <w:rPr>
          <w:rFonts w:ascii="Arial" w:hAnsi="Arial" w:cs="Arial"/>
        </w:rPr>
        <w:t xml:space="preserve">in terms of this decision the deficiency of Mr </w:t>
      </w:r>
      <w:proofErr w:type="spellStart"/>
      <w:r>
        <w:rPr>
          <w:rFonts w:ascii="Arial" w:hAnsi="Arial" w:cs="Arial"/>
        </w:rPr>
        <w:t>Naude’s</w:t>
      </w:r>
      <w:proofErr w:type="spellEnd"/>
      <w:r>
        <w:rPr>
          <w:rFonts w:ascii="Arial" w:hAnsi="Arial" w:cs="Arial"/>
        </w:rPr>
        <w:t xml:space="preserve"> authority can be cured by ratification having retrospective operation. Counsel further submitted that Mr </w:t>
      </w:r>
      <w:proofErr w:type="spellStart"/>
      <w:r>
        <w:rPr>
          <w:rFonts w:ascii="Arial" w:hAnsi="Arial" w:cs="Arial"/>
        </w:rPr>
        <w:t>Ockhuizen</w:t>
      </w:r>
      <w:proofErr w:type="spellEnd"/>
      <w:r>
        <w:rPr>
          <w:rFonts w:ascii="Arial" w:hAnsi="Arial" w:cs="Arial"/>
        </w:rPr>
        <w:t xml:space="preserve">, sole director of the defendant, was in court on the first day of trial </w:t>
      </w:r>
      <w:r w:rsidR="00307A86">
        <w:rPr>
          <w:rFonts w:ascii="Arial" w:hAnsi="Arial" w:cs="Arial"/>
        </w:rPr>
        <w:t>when</w:t>
      </w:r>
      <w:r>
        <w:rPr>
          <w:rFonts w:ascii="Arial" w:hAnsi="Arial" w:cs="Arial"/>
        </w:rPr>
        <w:t xml:space="preserve"> the manner in which to conduct the application was discussed by counsel and </w:t>
      </w:r>
      <w:r w:rsidR="00307A86">
        <w:rPr>
          <w:rFonts w:ascii="Arial" w:hAnsi="Arial" w:cs="Arial"/>
        </w:rPr>
        <w:t>t</w:t>
      </w:r>
      <w:r>
        <w:rPr>
          <w:rFonts w:ascii="Arial" w:hAnsi="Arial" w:cs="Arial"/>
        </w:rPr>
        <w:t xml:space="preserve">he </w:t>
      </w:r>
      <w:r w:rsidR="00353CF3" w:rsidRPr="00011B14">
        <w:rPr>
          <w:rFonts w:ascii="Arial" w:hAnsi="Arial" w:cs="Arial"/>
        </w:rPr>
        <w:t xml:space="preserve">trial judge </w:t>
      </w:r>
      <w:r w:rsidR="00307A86">
        <w:rPr>
          <w:rFonts w:ascii="Arial" w:hAnsi="Arial" w:cs="Arial"/>
        </w:rPr>
        <w:t xml:space="preserve">and would have raised objection if </w:t>
      </w:r>
      <w:r w:rsidR="00EE459E">
        <w:rPr>
          <w:rFonts w:ascii="Arial" w:hAnsi="Arial" w:cs="Arial"/>
        </w:rPr>
        <w:t>the legal practitioner of record had</w:t>
      </w:r>
      <w:r w:rsidR="00307A86">
        <w:rPr>
          <w:rFonts w:ascii="Arial" w:hAnsi="Arial" w:cs="Arial"/>
        </w:rPr>
        <w:t xml:space="preserve"> no authority to launch the application.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 xml:space="preserve">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31</w:t>
      </w:r>
      <w:r>
        <w:rPr>
          <w:rFonts w:ascii="Arial" w:hAnsi="Arial" w:cs="Arial"/>
        </w:rPr>
        <w:t>]</w:t>
      </w:r>
      <w:r>
        <w:rPr>
          <w:rFonts w:ascii="Arial" w:hAnsi="Arial" w:cs="Arial"/>
        </w:rPr>
        <w:tab/>
        <w:t xml:space="preserve">Mr </w:t>
      </w:r>
      <w:r w:rsidRPr="00CB0AF0">
        <w:rPr>
          <w:rFonts w:ascii="Arial" w:hAnsi="Arial" w:cs="Arial"/>
        </w:rPr>
        <w:t>Jones</w:t>
      </w:r>
      <w:r w:rsidR="00353CF3" w:rsidRPr="00CB0AF0">
        <w:rPr>
          <w:rFonts w:ascii="Arial" w:hAnsi="Arial" w:cs="Arial"/>
        </w:rPr>
        <w:t xml:space="preserve">, instructed counsel for the plaintiff, </w:t>
      </w:r>
      <w:r w:rsidR="00EE459E" w:rsidRPr="00CB0AF0">
        <w:rPr>
          <w:rFonts w:ascii="Arial" w:hAnsi="Arial" w:cs="Arial"/>
        </w:rPr>
        <w:t xml:space="preserve">argued </w:t>
      </w:r>
      <w:r w:rsidRPr="00CB0AF0">
        <w:rPr>
          <w:rFonts w:ascii="Arial" w:hAnsi="Arial" w:cs="Arial"/>
        </w:rPr>
        <w:t xml:space="preserve">to the contrary that the defendant did not make </w:t>
      </w:r>
      <w:r>
        <w:rPr>
          <w:rFonts w:ascii="Arial" w:hAnsi="Arial" w:cs="Arial"/>
        </w:rPr>
        <w:t>out a case for the relief sought  in the application before this court as the</w:t>
      </w:r>
      <w:r w:rsidRPr="007F44C7">
        <w:rPr>
          <w:rFonts w:ascii="Arial" w:hAnsi="Arial" w:cs="Arial"/>
        </w:rPr>
        <w:t xml:space="preserve"> </w:t>
      </w:r>
      <w:r>
        <w:rPr>
          <w:rFonts w:ascii="Arial" w:hAnsi="Arial" w:cs="Arial"/>
        </w:rPr>
        <w:t>deponent to the founding affidavit failed to positively allege that he has the requisite author</w:t>
      </w:r>
      <w:r w:rsidR="007E6E43">
        <w:rPr>
          <w:rFonts w:ascii="Arial" w:hAnsi="Arial" w:cs="Arial"/>
        </w:rPr>
        <w:t xml:space="preserve">ity to launch the application. </w:t>
      </w:r>
    </w:p>
    <w:p w:rsidR="00847C36" w:rsidRPr="004B5E3E"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sidRPr="004B5E3E">
        <w:rPr>
          <w:rFonts w:ascii="Arial" w:hAnsi="Arial" w:cs="Arial"/>
        </w:rPr>
        <w:lastRenderedPageBreak/>
        <w:t>[</w:t>
      </w:r>
      <w:r w:rsidR="00AD139F">
        <w:rPr>
          <w:rFonts w:ascii="Arial" w:hAnsi="Arial" w:cs="Arial"/>
        </w:rPr>
        <w:t>32</w:t>
      </w:r>
      <w:r w:rsidRPr="004B5E3E">
        <w:rPr>
          <w:rFonts w:ascii="Arial" w:hAnsi="Arial" w:cs="Arial"/>
        </w:rPr>
        <w:t>]</w:t>
      </w:r>
      <w:r w:rsidRPr="004B5E3E">
        <w:rPr>
          <w:rFonts w:ascii="Arial" w:hAnsi="Arial" w:cs="Arial"/>
        </w:rPr>
        <w:tab/>
      </w:r>
      <w:r>
        <w:rPr>
          <w:rFonts w:ascii="Arial" w:hAnsi="Arial" w:cs="Arial"/>
        </w:rPr>
        <w:t>Mr Jones argued that in motion proceedin</w:t>
      </w:r>
      <w:r w:rsidRPr="00011B14">
        <w:rPr>
          <w:rFonts w:ascii="Arial" w:hAnsi="Arial" w:cs="Arial"/>
        </w:rPr>
        <w:t>g</w:t>
      </w:r>
      <w:r w:rsidR="00353CF3" w:rsidRPr="00011B14">
        <w:rPr>
          <w:rFonts w:ascii="Arial" w:hAnsi="Arial" w:cs="Arial"/>
        </w:rPr>
        <w:t>s</w:t>
      </w:r>
      <w:r>
        <w:rPr>
          <w:rFonts w:ascii="Arial" w:hAnsi="Arial" w:cs="Arial"/>
        </w:rPr>
        <w:t xml:space="preserve"> the applicant must disclose its cause of action in the founding papers</w:t>
      </w:r>
      <w:r w:rsidR="00307A86">
        <w:rPr>
          <w:rFonts w:ascii="Arial" w:hAnsi="Arial" w:cs="Arial"/>
        </w:rPr>
        <w:t xml:space="preserve">, which include </w:t>
      </w:r>
      <w:r>
        <w:rPr>
          <w:rFonts w:ascii="Arial" w:hAnsi="Arial" w:cs="Arial"/>
        </w:rPr>
        <w:t>the requirement that the deponent to the founding affidavit must positively allege that he or she has the requisite author</w:t>
      </w:r>
      <w:r w:rsidR="00F03EE1">
        <w:rPr>
          <w:rFonts w:ascii="Arial" w:hAnsi="Arial" w:cs="Arial"/>
        </w:rPr>
        <w:t xml:space="preserve">ity to launch the application. </w:t>
      </w:r>
      <w:r>
        <w:rPr>
          <w:rFonts w:ascii="Arial" w:hAnsi="Arial" w:cs="Arial"/>
        </w:rPr>
        <w:t xml:space="preserve">In addition thereto the defendant in </w:t>
      </w:r>
      <w:proofErr w:type="spellStart"/>
      <w:r w:rsidRPr="00F03EE1">
        <w:rPr>
          <w:rFonts w:ascii="Arial" w:hAnsi="Arial" w:cs="Arial"/>
          <w:i/>
        </w:rPr>
        <w:t>casu</w:t>
      </w:r>
      <w:proofErr w:type="spellEnd"/>
      <w:r>
        <w:rPr>
          <w:rFonts w:ascii="Arial" w:hAnsi="Arial" w:cs="Arial"/>
        </w:rPr>
        <w:t xml:space="preserve"> is a private company and as such an artificial person and an artificial person can only take decisions by the passing of resolutions</w:t>
      </w:r>
      <w:r w:rsidR="007E6E43">
        <w:rPr>
          <w:rFonts w:ascii="Arial" w:hAnsi="Arial" w:cs="Arial"/>
        </w:rPr>
        <w:t>.</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33</w:t>
      </w:r>
      <w:r>
        <w:rPr>
          <w:rFonts w:ascii="Arial" w:hAnsi="Arial" w:cs="Arial"/>
        </w:rPr>
        <w:t>]</w:t>
      </w:r>
      <w:r>
        <w:rPr>
          <w:rFonts w:ascii="Arial" w:hAnsi="Arial" w:cs="Arial"/>
        </w:rPr>
        <w:tab/>
      </w:r>
      <w:r w:rsidR="00353CF3" w:rsidRPr="00011B14">
        <w:rPr>
          <w:rFonts w:ascii="Arial" w:hAnsi="Arial" w:cs="Arial"/>
        </w:rPr>
        <w:t>He</w:t>
      </w:r>
      <w:r w:rsidR="00353CF3">
        <w:rPr>
          <w:rFonts w:ascii="Arial" w:hAnsi="Arial" w:cs="Arial"/>
          <w:color w:val="FF0000"/>
        </w:rPr>
        <w:t xml:space="preserve"> </w:t>
      </w:r>
      <w:r>
        <w:rPr>
          <w:rFonts w:ascii="Arial" w:hAnsi="Arial" w:cs="Arial"/>
        </w:rPr>
        <w:t xml:space="preserve">referred the court to the </w:t>
      </w:r>
      <w:r w:rsidRPr="00B50E0D">
        <w:rPr>
          <w:rFonts w:ascii="Arial" w:hAnsi="Arial" w:cs="Arial"/>
          <w:i/>
        </w:rPr>
        <w:t xml:space="preserve">Standard Bank Namibia Limited v </w:t>
      </w:r>
      <w:proofErr w:type="spellStart"/>
      <w:r w:rsidRPr="00B50E0D">
        <w:rPr>
          <w:rFonts w:ascii="Arial" w:hAnsi="Arial" w:cs="Arial"/>
          <w:i/>
        </w:rPr>
        <w:t>Nekwaya</w:t>
      </w:r>
      <w:proofErr w:type="spellEnd"/>
      <w:r>
        <w:rPr>
          <w:rStyle w:val="FootnoteReference"/>
          <w:rFonts w:ascii="Arial" w:hAnsi="Arial" w:cs="Arial"/>
          <w:i/>
        </w:rPr>
        <w:footnoteReference w:id="7"/>
      </w:r>
      <w:r>
        <w:rPr>
          <w:rFonts w:ascii="Arial" w:hAnsi="Arial" w:cs="Arial"/>
          <w:i/>
        </w:rPr>
        <w:t xml:space="preserve"> </w:t>
      </w:r>
      <w:r w:rsidR="00353CF3" w:rsidRPr="00011B14">
        <w:rPr>
          <w:rFonts w:ascii="Arial" w:hAnsi="Arial" w:cs="Arial"/>
        </w:rPr>
        <w:t xml:space="preserve">matter </w:t>
      </w:r>
      <w:r>
        <w:rPr>
          <w:rFonts w:ascii="Arial" w:hAnsi="Arial" w:cs="Arial"/>
        </w:rPr>
        <w:t xml:space="preserve">wherein the court found that an applicant </w:t>
      </w:r>
      <w:r w:rsidR="00353CF3" w:rsidRPr="00011B14">
        <w:rPr>
          <w:rFonts w:ascii="Arial" w:hAnsi="Arial" w:cs="Arial"/>
        </w:rPr>
        <w:t xml:space="preserve">who </w:t>
      </w:r>
      <w:r>
        <w:rPr>
          <w:rFonts w:ascii="Arial" w:hAnsi="Arial" w:cs="Arial"/>
        </w:rPr>
        <w:t>brings proceedings on behalf of a juristic person must state in the founding affidavit that he or she is authorised to bring such an application on that legal persona’s behalf, failing which the court will conclude that the proceedings are not authorised and the deponent is acting on his or her own frolic.</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34</w:t>
      </w:r>
      <w:r>
        <w:rPr>
          <w:rFonts w:ascii="Arial" w:hAnsi="Arial" w:cs="Arial"/>
        </w:rPr>
        <w:t>]</w:t>
      </w:r>
      <w:r>
        <w:rPr>
          <w:rFonts w:ascii="Arial" w:hAnsi="Arial" w:cs="Arial"/>
        </w:rPr>
        <w:tab/>
        <w:t>Mr Jones further took issue with the fact that the a</w:t>
      </w:r>
      <w:r w:rsidR="00F17E63">
        <w:rPr>
          <w:rFonts w:ascii="Arial" w:hAnsi="Arial" w:cs="Arial"/>
        </w:rPr>
        <w:t>verments regarding authority were</w:t>
      </w:r>
      <w:r>
        <w:rPr>
          <w:rFonts w:ascii="Arial" w:hAnsi="Arial" w:cs="Arial"/>
        </w:rPr>
        <w:t xml:space="preserve"> only made in the replying affidavit and only at this stage did the defendant file a resolution and power of attorney as well as </w:t>
      </w:r>
      <w:r w:rsidR="00F17E63">
        <w:rPr>
          <w:rFonts w:ascii="Arial" w:hAnsi="Arial" w:cs="Arial"/>
        </w:rPr>
        <w:t xml:space="preserve">a </w:t>
      </w:r>
      <w:r>
        <w:rPr>
          <w:rFonts w:ascii="Arial" w:hAnsi="Arial" w:cs="Arial"/>
        </w:rPr>
        <w:t xml:space="preserve">confirmatory affidavit setting out the purported authority to launch the application.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847C36" w:rsidRDefault="00AD139F" w:rsidP="00FD61F8">
      <w:pPr>
        <w:pStyle w:val="western"/>
        <w:shd w:val="clear" w:color="auto" w:fill="FFFFFF"/>
        <w:spacing w:before="0" w:beforeAutospacing="0" w:after="0" w:afterAutospacing="0" w:line="360" w:lineRule="auto"/>
        <w:jc w:val="both"/>
        <w:rPr>
          <w:rFonts w:ascii="Arial" w:hAnsi="Arial" w:cs="Arial"/>
          <w:i/>
          <w:iCs/>
          <w:color w:val="000000"/>
          <w:shd w:val="clear" w:color="auto" w:fill="FFFFFF"/>
        </w:rPr>
      </w:pPr>
      <w:r>
        <w:rPr>
          <w:rFonts w:ascii="Arial" w:hAnsi="Arial" w:cs="Arial"/>
        </w:rPr>
        <w:t>[35]</w:t>
      </w:r>
      <w:r w:rsidR="00847C36">
        <w:rPr>
          <w:rFonts w:ascii="Arial" w:hAnsi="Arial" w:cs="Arial"/>
        </w:rPr>
        <w:tab/>
        <w:t>Mr Jones argued that launching of the application can be ratified provided that the averments regarding authority were made in the founding affidavit. In the instance where an objection to the authority to bring the application is raised then such authority can be provided in the replying affidavit</w:t>
      </w:r>
      <w:r w:rsidR="00FD61F8">
        <w:rPr>
          <w:rFonts w:ascii="Arial" w:hAnsi="Arial" w:cs="Arial"/>
        </w:rPr>
        <w:t xml:space="preserve"> on condition</w:t>
      </w:r>
      <w:r w:rsidR="00847C36">
        <w:rPr>
          <w:rFonts w:ascii="Arial" w:hAnsi="Arial" w:cs="Arial"/>
        </w:rPr>
        <w:t>.</w:t>
      </w:r>
      <w:r w:rsidR="00307A86">
        <w:rPr>
          <w:rFonts w:ascii="Arial" w:hAnsi="Arial" w:cs="Arial"/>
        </w:rPr>
        <w:t xml:space="preserve"> In this regard the court was referred to </w:t>
      </w:r>
      <w:r w:rsidR="00307A86" w:rsidRPr="006129AC">
        <w:rPr>
          <w:rFonts w:ascii="Arial" w:hAnsi="Arial" w:cs="Arial"/>
          <w:bCs/>
          <w:i/>
        </w:rPr>
        <w:t>Shoprite Namibia (Pty) Ltd v Paulo and Another</w:t>
      </w:r>
      <w:r w:rsidR="00307A86">
        <w:rPr>
          <w:rStyle w:val="FootnoteReference"/>
          <w:rFonts w:ascii="Arial" w:hAnsi="Arial" w:cs="Arial"/>
          <w:bCs/>
        </w:rPr>
        <w:footnoteReference w:id="8"/>
      </w:r>
      <w:r w:rsidR="00307A86">
        <w:rPr>
          <w:rFonts w:ascii="Arial" w:hAnsi="Arial" w:cs="Arial"/>
          <w:bCs/>
        </w:rPr>
        <w:t xml:space="preserve"> where the court considered the position as set out </w:t>
      </w:r>
      <w:r w:rsidR="00307A86" w:rsidRPr="006129AC">
        <w:rPr>
          <w:rFonts w:ascii="Arial" w:hAnsi="Arial" w:cs="Arial"/>
          <w:bCs/>
          <w:i/>
        </w:rPr>
        <w:t xml:space="preserve">in </w:t>
      </w:r>
      <w:proofErr w:type="spellStart"/>
      <w:r w:rsidR="00307A86" w:rsidRPr="006129AC">
        <w:rPr>
          <w:rFonts w:ascii="Arial" w:hAnsi="Arial" w:cs="Arial"/>
          <w:bCs/>
          <w:i/>
        </w:rPr>
        <w:t>O</w:t>
      </w:r>
      <w:r w:rsidR="00307A86" w:rsidRPr="006129AC">
        <w:rPr>
          <w:rFonts w:ascii="Arial" w:hAnsi="Arial" w:cs="Arial"/>
          <w:i/>
          <w:iCs/>
          <w:color w:val="000000"/>
          <w:shd w:val="clear" w:color="auto" w:fill="FFFFFF"/>
        </w:rPr>
        <w:t>tjozondjupa</w:t>
      </w:r>
      <w:proofErr w:type="spellEnd"/>
      <w:r w:rsidR="00307A86" w:rsidRPr="006129AC">
        <w:rPr>
          <w:rFonts w:ascii="Arial" w:hAnsi="Arial" w:cs="Arial"/>
          <w:i/>
          <w:iCs/>
          <w:color w:val="000000"/>
          <w:shd w:val="clear" w:color="auto" w:fill="FFFFFF"/>
        </w:rPr>
        <w:t xml:space="preserve"> Regional Council v Dr </w:t>
      </w:r>
      <w:proofErr w:type="spellStart"/>
      <w:r w:rsidR="00307A86" w:rsidRPr="006129AC">
        <w:rPr>
          <w:rFonts w:ascii="Arial" w:hAnsi="Arial" w:cs="Arial"/>
          <w:i/>
          <w:iCs/>
          <w:color w:val="000000"/>
          <w:shd w:val="clear" w:color="auto" w:fill="FFFFFF"/>
        </w:rPr>
        <w:t>Ndahafa</w:t>
      </w:r>
      <w:proofErr w:type="spellEnd"/>
      <w:r w:rsidR="00307A86" w:rsidRPr="006129AC">
        <w:rPr>
          <w:rFonts w:ascii="Arial" w:hAnsi="Arial" w:cs="Arial"/>
          <w:i/>
          <w:iCs/>
          <w:color w:val="000000"/>
          <w:shd w:val="clear" w:color="auto" w:fill="FFFFFF"/>
        </w:rPr>
        <w:t xml:space="preserve"> Aino-Cecilia </w:t>
      </w:r>
      <w:proofErr w:type="spellStart"/>
      <w:r w:rsidR="00307A86" w:rsidRPr="006129AC">
        <w:rPr>
          <w:rFonts w:ascii="Arial" w:hAnsi="Arial" w:cs="Arial"/>
          <w:i/>
          <w:iCs/>
          <w:color w:val="000000"/>
          <w:shd w:val="clear" w:color="auto" w:fill="FFFFFF"/>
        </w:rPr>
        <w:t>Nghifindaka</w:t>
      </w:r>
      <w:proofErr w:type="spellEnd"/>
      <w:r w:rsidR="00307A86" w:rsidRPr="006129AC">
        <w:rPr>
          <w:rFonts w:ascii="Arial" w:hAnsi="Arial" w:cs="Arial"/>
          <w:i/>
          <w:iCs/>
          <w:color w:val="000000"/>
          <w:shd w:val="clear" w:color="auto" w:fill="FFFFFF"/>
        </w:rPr>
        <w:t xml:space="preserve"> &amp; Two Others</w:t>
      </w:r>
      <w:r w:rsidR="00F03EE1">
        <w:rPr>
          <w:rFonts w:ascii="Arial" w:hAnsi="Arial" w:cs="Arial"/>
          <w:i/>
          <w:iCs/>
          <w:color w:val="000000"/>
          <w:shd w:val="clear" w:color="auto" w:fill="FFFFFF"/>
        </w:rPr>
        <w:t>,</w:t>
      </w:r>
      <w:r w:rsidR="00847C36">
        <w:rPr>
          <w:rStyle w:val="FootnoteReference"/>
          <w:rFonts w:ascii="Arial" w:hAnsi="Arial" w:cs="Arial"/>
          <w:i/>
          <w:iCs/>
          <w:color w:val="000000"/>
          <w:shd w:val="clear" w:color="auto" w:fill="FFFFFF"/>
        </w:rPr>
        <w:footnoteReference w:id="9"/>
      </w:r>
      <w:r w:rsidR="0062586D" w:rsidRPr="0062586D">
        <w:rPr>
          <w:rFonts w:ascii="Arial" w:hAnsi="Arial" w:cs="Arial"/>
          <w:iCs/>
          <w:color w:val="000000"/>
          <w:shd w:val="clear" w:color="auto" w:fill="FFFFFF"/>
        </w:rPr>
        <w:t xml:space="preserve"> which will be discussed here under. </w:t>
      </w:r>
    </w:p>
    <w:p w:rsidR="00353CF3" w:rsidRPr="0070772E" w:rsidRDefault="00353CF3" w:rsidP="00FD61F8">
      <w:pPr>
        <w:pStyle w:val="rteindent1"/>
        <w:shd w:val="clear" w:color="auto" w:fill="FFFFFF"/>
        <w:spacing w:before="0" w:beforeAutospacing="0" w:after="0" w:afterAutospacing="0" w:line="360" w:lineRule="auto"/>
        <w:rPr>
          <w:rFonts w:ascii="Arial" w:hAnsi="Arial" w:cs="Arial"/>
          <w:u w:val="single"/>
        </w:rPr>
      </w:pPr>
    </w:p>
    <w:p w:rsidR="00B104F0" w:rsidRPr="00FD61F8" w:rsidRDefault="00B104F0" w:rsidP="00B104F0">
      <w:pPr>
        <w:pStyle w:val="rteindent1"/>
        <w:shd w:val="clear" w:color="auto" w:fill="FFFFFF"/>
        <w:spacing w:before="0" w:beforeAutospacing="0" w:after="0" w:afterAutospacing="0" w:line="360" w:lineRule="auto"/>
        <w:rPr>
          <w:rFonts w:ascii="Arial" w:hAnsi="Arial" w:cs="Arial"/>
          <w:i/>
          <w:u w:val="single"/>
        </w:rPr>
      </w:pPr>
      <w:r w:rsidRPr="00FD61F8">
        <w:rPr>
          <w:rFonts w:ascii="Arial" w:hAnsi="Arial" w:cs="Arial"/>
          <w:i/>
          <w:u w:val="single"/>
        </w:rPr>
        <w:t>Discussion</w:t>
      </w:r>
    </w:p>
    <w:p w:rsidR="00B104F0" w:rsidRPr="0070772E" w:rsidRDefault="00B104F0" w:rsidP="00B104F0">
      <w:pPr>
        <w:pStyle w:val="rteindent1"/>
        <w:shd w:val="clear" w:color="auto" w:fill="FFFFFF"/>
        <w:spacing w:before="0" w:beforeAutospacing="0" w:after="0" w:afterAutospacing="0" w:line="360" w:lineRule="auto"/>
        <w:rPr>
          <w:rFonts w:ascii="Arial" w:hAnsi="Arial" w:cs="Arial"/>
          <w:u w:val="single"/>
        </w:rPr>
      </w:pP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36</w:t>
      </w:r>
      <w:r>
        <w:rPr>
          <w:rFonts w:ascii="Arial" w:hAnsi="Arial" w:cs="Arial"/>
        </w:rPr>
        <w:t>]</w:t>
      </w:r>
      <w:r>
        <w:rPr>
          <w:rFonts w:ascii="Arial" w:hAnsi="Arial" w:cs="Arial"/>
        </w:rPr>
        <w:tab/>
        <w:t xml:space="preserve">The plaintiff is challenging Mr </w:t>
      </w:r>
      <w:proofErr w:type="spellStart"/>
      <w:r>
        <w:rPr>
          <w:rFonts w:ascii="Arial" w:hAnsi="Arial" w:cs="Arial"/>
        </w:rPr>
        <w:t>Naude’s</w:t>
      </w:r>
      <w:proofErr w:type="spellEnd"/>
      <w:r>
        <w:rPr>
          <w:rFonts w:ascii="Arial" w:hAnsi="Arial" w:cs="Arial"/>
        </w:rPr>
        <w:t xml:space="preserve"> authority to launch the application and/or the capacity to depose to the founding affidavit. </w:t>
      </w: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AD139F">
        <w:rPr>
          <w:rFonts w:ascii="Arial" w:hAnsi="Arial" w:cs="Arial"/>
        </w:rPr>
        <w:t>37</w:t>
      </w:r>
      <w:r>
        <w:rPr>
          <w:rFonts w:ascii="Arial" w:hAnsi="Arial" w:cs="Arial"/>
        </w:rPr>
        <w:t>]</w:t>
      </w:r>
      <w:r>
        <w:rPr>
          <w:rFonts w:ascii="Arial" w:hAnsi="Arial" w:cs="Arial"/>
        </w:rPr>
        <w:tab/>
        <w:t xml:space="preserve">It is trite that an applicant must make </w:t>
      </w:r>
      <w:r w:rsidRPr="00130955">
        <w:rPr>
          <w:rFonts w:ascii="Arial" w:hAnsi="Arial" w:cs="Arial"/>
        </w:rPr>
        <w:t xml:space="preserve">out </w:t>
      </w:r>
      <w:r>
        <w:rPr>
          <w:rFonts w:ascii="Arial" w:hAnsi="Arial" w:cs="Arial"/>
        </w:rPr>
        <w:t xml:space="preserve">his case in the founding affidavit and explicitly state the source of his authority to bring an application on behalf of another person, be it an artificial or a natural person. The deponent must state that he or she had been authorised to bring the application in that representative capacity and if possible produce his source or proof of such authority. Alternatively the principal must file </w:t>
      </w:r>
      <w:r w:rsidRPr="00130955">
        <w:rPr>
          <w:rFonts w:ascii="Arial" w:hAnsi="Arial" w:cs="Arial"/>
        </w:rPr>
        <w:t>a</w:t>
      </w:r>
      <w:r>
        <w:rPr>
          <w:rFonts w:ascii="Arial" w:hAnsi="Arial" w:cs="Arial"/>
          <w:color w:val="FF0000"/>
        </w:rPr>
        <w:t xml:space="preserve"> </w:t>
      </w:r>
      <w:r>
        <w:rPr>
          <w:rFonts w:ascii="Arial" w:hAnsi="Arial" w:cs="Arial"/>
        </w:rPr>
        <w:t>confirmatory affidavit confirming such authorisation</w:t>
      </w:r>
      <w:r w:rsidR="00F03EE1">
        <w:rPr>
          <w:rFonts w:ascii="Arial" w:hAnsi="Arial" w:cs="Arial"/>
        </w:rPr>
        <w:t>.</w:t>
      </w:r>
      <w:r>
        <w:rPr>
          <w:rStyle w:val="FootnoteReference"/>
          <w:rFonts w:ascii="Arial" w:hAnsi="Arial" w:cs="Arial"/>
        </w:rPr>
        <w:footnoteReference w:id="10"/>
      </w: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p>
    <w:p w:rsidR="00B104F0" w:rsidRDefault="00B104F0" w:rsidP="00B104F0">
      <w:pPr>
        <w:spacing w:after="0" w:line="360" w:lineRule="auto"/>
        <w:jc w:val="both"/>
        <w:rPr>
          <w:rFonts w:ascii="Arial" w:hAnsi="Arial" w:cs="Arial"/>
          <w:sz w:val="24"/>
          <w:szCs w:val="24"/>
        </w:rPr>
      </w:pPr>
      <w:r>
        <w:rPr>
          <w:rFonts w:ascii="Arial" w:hAnsi="Arial" w:cs="Arial"/>
        </w:rPr>
        <w:t>[</w:t>
      </w:r>
      <w:r w:rsidR="00AD139F">
        <w:rPr>
          <w:rFonts w:ascii="Arial" w:hAnsi="Arial" w:cs="Arial"/>
        </w:rPr>
        <w:t>38</w:t>
      </w:r>
      <w:r>
        <w:rPr>
          <w:rFonts w:ascii="Arial" w:hAnsi="Arial" w:cs="Arial"/>
        </w:rPr>
        <w:t>]</w:t>
      </w:r>
      <w:r>
        <w:rPr>
          <w:rFonts w:ascii="Arial" w:hAnsi="Arial" w:cs="Arial"/>
        </w:rPr>
        <w:tab/>
      </w:r>
      <w:r w:rsidRPr="005109F1">
        <w:rPr>
          <w:rFonts w:ascii="Arial" w:hAnsi="Arial" w:cs="Arial"/>
          <w:sz w:val="24"/>
          <w:szCs w:val="24"/>
        </w:rPr>
        <w:t xml:space="preserve">In </w:t>
      </w:r>
      <w:r w:rsidRPr="005109F1">
        <w:rPr>
          <w:rFonts w:ascii="Arial" w:hAnsi="Arial" w:cs="Arial"/>
          <w:i/>
          <w:sz w:val="24"/>
          <w:szCs w:val="24"/>
        </w:rPr>
        <w:t xml:space="preserve">Mall (Cape) (Pty) Ltd v Merino </w:t>
      </w:r>
      <w:proofErr w:type="spellStart"/>
      <w:r w:rsidRPr="005109F1">
        <w:rPr>
          <w:rFonts w:ascii="Arial" w:hAnsi="Arial" w:cs="Arial"/>
          <w:i/>
          <w:sz w:val="24"/>
          <w:szCs w:val="24"/>
        </w:rPr>
        <w:t>Ko-Operasie</w:t>
      </w:r>
      <w:proofErr w:type="spellEnd"/>
      <w:r w:rsidRPr="005109F1">
        <w:rPr>
          <w:rFonts w:ascii="Arial" w:hAnsi="Arial" w:cs="Arial"/>
          <w:i/>
          <w:sz w:val="24"/>
          <w:szCs w:val="24"/>
        </w:rPr>
        <w:t xml:space="preserve"> </w:t>
      </w:r>
      <w:proofErr w:type="spellStart"/>
      <w:r w:rsidRPr="005109F1">
        <w:rPr>
          <w:rFonts w:ascii="Arial" w:hAnsi="Arial" w:cs="Arial"/>
          <w:i/>
          <w:sz w:val="24"/>
          <w:szCs w:val="24"/>
        </w:rPr>
        <w:t>Bpk</w:t>
      </w:r>
      <w:proofErr w:type="spellEnd"/>
      <w:r w:rsidRPr="005109F1">
        <w:rPr>
          <w:rStyle w:val="FootnoteReference"/>
          <w:rFonts w:ascii="Arial" w:hAnsi="Arial" w:cs="Arial"/>
          <w:sz w:val="24"/>
          <w:szCs w:val="24"/>
        </w:rPr>
        <w:footnoteReference w:id="11"/>
      </w:r>
      <w:r w:rsidRPr="005109F1">
        <w:rPr>
          <w:rFonts w:ascii="Arial" w:hAnsi="Arial" w:cs="Arial"/>
          <w:sz w:val="24"/>
          <w:szCs w:val="24"/>
        </w:rPr>
        <w:t xml:space="preserve"> the court made a distinction between a case where the litigant is a natural person who institute proceedings and where he is doing so on behalf of a juristic person.</w:t>
      </w:r>
      <w:r>
        <w:rPr>
          <w:rFonts w:ascii="Arial" w:hAnsi="Arial" w:cs="Arial"/>
        </w:rPr>
        <w:t xml:space="preserve"> </w:t>
      </w:r>
      <w:r w:rsidRPr="0042664D">
        <w:rPr>
          <w:rFonts w:ascii="Arial" w:hAnsi="Arial" w:cs="Arial"/>
          <w:sz w:val="24"/>
          <w:szCs w:val="24"/>
        </w:rPr>
        <w:t xml:space="preserve">The Court held that in the case of a natural person, where a notice of motion is complete and regular on the face of it and purports to be signed by an attorney, the court may presume, in the absence of anything that shows that the applicant has not in fact authorised the attorney to issue the notice of motion on his behalf, that the attorney has been authorised. The </w:t>
      </w:r>
      <w:r>
        <w:rPr>
          <w:rFonts w:ascii="Arial" w:hAnsi="Arial" w:cs="Arial"/>
          <w:sz w:val="24"/>
          <w:szCs w:val="24"/>
        </w:rPr>
        <w:t>c</w:t>
      </w:r>
      <w:r w:rsidRPr="0042664D">
        <w:rPr>
          <w:rFonts w:ascii="Arial" w:hAnsi="Arial" w:cs="Arial"/>
          <w:sz w:val="24"/>
          <w:szCs w:val="24"/>
        </w:rPr>
        <w:t>ourt however stated that in the case of an artificial person evidence should be placed before the Court to show that the applicant has duly resolved to institute the proceedings and that the proceedings are instituted at its instance</w:t>
      </w:r>
      <w:r w:rsidR="00F03EE1">
        <w:rPr>
          <w:rFonts w:ascii="Arial" w:hAnsi="Arial" w:cs="Arial"/>
          <w:sz w:val="24"/>
          <w:szCs w:val="24"/>
        </w:rPr>
        <w:t>.</w:t>
      </w:r>
      <w:r>
        <w:rPr>
          <w:rStyle w:val="FootnoteReference"/>
          <w:rFonts w:ascii="Arial" w:hAnsi="Arial" w:cs="Arial"/>
          <w:sz w:val="24"/>
          <w:szCs w:val="24"/>
        </w:rPr>
        <w:footnoteReference w:id="12"/>
      </w:r>
    </w:p>
    <w:p w:rsidR="00B104F0" w:rsidRPr="0042664D" w:rsidRDefault="00B104F0" w:rsidP="00B104F0">
      <w:pPr>
        <w:spacing w:after="0" w:line="360" w:lineRule="auto"/>
        <w:jc w:val="both"/>
        <w:rPr>
          <w:rFonts w:ascii="Arial" w:hAnsi="Arial" w:cs="Arial"/>
          <w:sz w:val="24"/>
          <w:szCs w:val="24"/>
        </w:rPr>
      </w:pPr>
    </w:p>
    <w:p w:rsidR="00AD139F" w:rsidRDefault="00AD139F" w:rsidP="00B104F0">
      <w:pPr>
        <w:spacing w:after="0" w:line="360" w:lineRule="auto"/>
        <w:jc w:val="both"/>
        <w:rPr>
          <w:rFonts w:ascii="Arial" w:hAnsi="Arial" w:cs="Arial"/>
          <w:sz w:val="24"/>
          <w:szCs w:val="24"/>
        </w:rPr>
      </w:pPr>
      <w:r>
        <w:rPr>
          <w:rFonts w:ascii="Arial" w:hAnsi="Arial" w:cs="Arial"/>
          <w:sz w:val="24"/>
          <w:szCs w:val="24"/>
        </w:rPr>
        <w:t>[39]</w:t>
      </w:r>
      <w:r w:rsidR="00B104F0">
        <w:rPr>
          <w:rFonts w:ascii="Arial" w:hAnsi="Arial" w:cs="Arial"/>
          <w:sz w:val="24"/>
          <w:szCs w:val="24"/>
        </w:rPr>
        <w:tab/>
      </w:r>
      <w:r w:rsidR="00B104F0" w:rsidRPr="0042664D">
        <w:rPr>
          <w:rFonts w:ascii="Arial" w:hAnsi="Arial" w:cs="Arial"/>
          <w:sz w:val="24"/>
          <w:szCs w:val="24"/>
        </w:rPr>
        <w:t xml:space="preserve">The </w:t>
      </w:r>
      <w:r w:rsidR="00B104F0">
        <w:rPr>
          <w:rFonts w:ascii="Arial" w:hAnsi="Arial" w:cs="Arial"/>
          <w:sz w:val="24"/>
          <w:szCs w:val="24"/>
        </w:rPr>
        <w:t>c</w:t>
      </w:r>
      <w:r w:rsidR="00B104F0" w:rsidRPr="0042664D">
        <w:rPr>
          <w:rFonts w:ascii="Arial" w:hAnsi="Arial" w:cs="Arial"/>
          <w:sz w:val="24"/>
          <w:szCs w:val="24"/>
        </w:rPr>
        <w:t xml:space="preserve">ourt in </w:t>
      </w:r>
      <w:r w:rsidR="00B104F0" w:rsidRPr="002E589E">
        <w:rPr>
          <w:rFonts w:ascii="Arial" w:hAnsi="Arial" w:cs="Arial"/>
          <w:i/>
          <w:sz w:val="24"/>
          <w:szCs w:val="24"/>
        </w:rPr>
        <w:t>Mall (Cape)</w:t>
      </w:r>
      <w:r w:rsidR="00B104F0">
        <w:rPr>
          <w:rFonts w:ascii="Arial" w:hAnsi="Arial" w:cs="Arial"/>
          <w:sz w:val="24"/>
          <w:szCs w:val="24"/>
        </w:rPr>
        <w:t xml:space="preserve"> matter </w:t>
      </w:r>
      <w:r w:rsidR="00B104F0" w:rsidRPr="0042664D">
        <w:rPr>
          <w:rFonts w:ascii="Arial" w:hAnsi="Arial" w:cs="Arial"/>
          <w:sz w:val="24"/>
          <w:szCs w:val="24"/>
        </w:rPr>
        <w:t>stressed the need to treat each case according to its own merits in deciding whether sufficient evidence has been placed before it</w:t>
      </w:r>
      <w:r w:rsidR="00B104F0">
        <w:rPr>
          <w:rStyle w:val="FootnoteReference"/>
          <w:rFonts w:ascii="Arial" w:hAnsi="Arial" w:cs="Arial"/>
          <w:sz w:val="24"/>
          <w:szCs w:val="24"/>
        </w:rPr>
        <w:footnoteReference w:id="13"/>
      </w:r>
      <w:r w:rsidR="00B104F0" w:rsidRPr="0042664D">
        <w:rPr>
          <w:rFonts w:ascii="Arial" w:hAnsi="Arial" w:cs="Arial"/>
          <w:sz w:val="24"/>
          <w:szCs w:val="24"/>
        </w:rPr>
        <w:t xml:space="preserve">. </w:t>
      </w:r>
    </w:p>
    <w:p w:rsidR="00F03EE1" w:rsidRDefault="00F03EE1" w:rsidP="00B104F0">
      <w:pPr>
        <w:spacing w:after="0" w:line="360" w:lineRule="auto"/>
        <w:jc w:val="both"/>
        <w:rPr>
          <w:rFonts w:ascii="Arial" w:hAnsi="Arial" w:cs="Arial"/>
          <w:sz w:val="24"/>
          <w:szCs w:val="24"/>
        </w:rPr>
      </w:pPr>
    </w:p>
    <w:p w:rsidR="00B104F0" w:rsidRDefault="00AD139F" w:rsidP="00B104F0">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17E63">
        <w:rPr>
          <w:rFonts w:ascii="Arial" w:hAnsi="Arial" w:cs="Arial"/>
          <w:sz w:val="24"/>
          <w:szCs w:val="24"/>
        </w:rPr>
        <w:t>The Court found that the words ‘</w:t>
      </w:r>
      <w:r w:rsidR="00B104F0" w:rsidRPr="0042664D">
        <w:rPr>
          <w:rFonts w:ascii="Arial" w:hAnsi="Arial" w:cs="Arial"/>
          <w:i/>
          <w:sz w:val="24"/>
          <w:szCs w:val="24"/>
        </w:rPr>
        <w:t>duly authorised to make this affidavit</w:t>
      </w:r>
      <w:r w:rsidR="00F17E63">
        <w:rPr>
          <w:rFonts w:ascii="Arial" w:hAnsi="Arial" w:cs="Arial"/>
          <w:sz w:val="24"/>
          <w:szCs w:val="24"/>
        </w:rPr>
        <w:t>’</w:t>
      </w:r>
      <w:r w:rsidR="00B104F0" w:rsidRPr="0042664D">
        <w:rPr>
          <w:rFonts w:ascii="Arial" w:hAnsi="Arial" w:cs="Arial"/>
          <w:sz w:val="24"/>
          <w:szCs w:val="24"/>
        </w:rPr>
        <w:t xml:space="preserve"> constituted sufficient evidence that the company authorised the institution of the proceedings</w:t>
      </w:r>
      <w:r w:rsidR="00F03EE1">
        <w:rPr>
          <w:rFonts w:ascii="Arial" w:hAnsi="Arial" w:cs="Arial"/>
          <w:sz w:val="24"/>
          <w:szCs w:val="24"/>
        </w:rPr>
        <w:t>.</w:t>
      </w:r>
      <w:r w:rsidR="00B104F0">
        <w:rPr>
          <w:rStyle w:val="FootnoteReference"/>
          <w:rFonts w:ascii="Arial" w:hAnsi="Arial" w:cs="Arial"/>
          <w:sz w:val="24"/>
          <w:szCs w:val="24"/>
        </w:rPr>
        <w:footnoteReference w:id="14"/>
      </w:r>
      <w:r w:rsidR="00B104F0" w:rsidRPr="0042664D">
        <w:rPr>
          <w:rFonts w:ascii="Arial" w:hAnsi="Arial" w:cs="Arial"/>
          <w:sz w:val="24"/>
          <w:szCs w:val="24"/>
        </w:rPr>
        <w:t xml:space="preserve"> </w:t>
      </w:r>
    </w:p>
    <w:p w:rsidR="00B104F0" w:rsidRDefault="00B104F0" w:rsidP="00B104F0">
      <w:pPr>
        <w:spacing w:after="0" w:line="360" w:lineRule="auto"/>
        <w:jc w:val="both"/>
        <w:rPr>
          <w:rFonts w:ascii="Arial" w:hAnsi="Arial" w:cs="Arial"/>
          <w:sz w:val="24"/>
          <w:szCs w:val="24"/>
        </w:rPr>
      </w:pPr>
    </w:p>
    <w:p w:rsidR="00B104F0" w:rsidRDefault="00B104F0" w:rsidP="00B104F0">
      <w:pPr>
        <w:spacing w:after="0" w:line="360" w:lineRule="auto"/>
        <w:jc w:val="both"/>
        <w:rPr>
          <w:rFonts w:ascii="Arial" w:hAnsi="Arial" w:cs="Arial"/>
          <w:sz w:val="24"/>
          <w:szCs w:val="24"/>
        </w:rPr>
      </w:pPr>
      <w:r>
        <w:rPr>
          <w:rFonts w:ascii="Arial" w:hAnsi="Arial" w:cs="Arial"/>
          <w:sz w:val="24"/>
          <w:szCs w:val="24"/>
        </w:rPr>
        <w:lastRenderedPageBreak/>
        <w:t>[</w:t>
      </w:r>
      <w:r w:rsidR="00AD139F">
        <w:rPr>
          <w:rFonts w:ascii="Arial" w:hAnsi="Arial" w:cs="Arial"/>
          <w:sz w:val="24"/>
          <w:szCs w:val="24"/>
        </w:rPr>
        <w:t>41</w:t>
      </w:r>
      <w:r>
        <w:rPr>
          <w:rFonts w:ascii="Arial" w:hAnsi="Arial" w:cs="Arial"/>
          <w:sz w:val="24"/>
          <w:szCs w:val="24"/>
        </w:rPr>
        <w:t>]</w:t>
      </w:r>
      <w:r>
        <w:rPr>
          <w:rFonts w:ascii="Arial" w:hAnsi="Arial" w:cs="Arial"/>
          <w:sz w:val="24"/>
          <w:szCs w:val="24"/>
        </w:rPr>
        <w:tab/>
      </w:r>
      <w:r w:rsidRPr="0042664D">
        <w:rPr>
          <w:rFonts w:ascii="Arial" w:hAnsi="Arial" w:cs="Arial"/>
          <w:sz w:val="24"/>
          <w:szCs w:val="24"/>
        </w:rPr>
        <w:t xml:space="preserve">In the matter </w:t>
      </w:r>
      <w:r>
        <w:rPr>
          <w:rFonts w:ascii="Arial" w:hAnsi="Arial" w:cs="Arial"/>
          <w:sz w:val="24"/>
          <w:szCs w:val="24"/>
        </w:rPr>
        <w:t xml:space="preserve">in </w:t>
      </w:r>
      <w:proofErr w:type="spellStart"/>
      <w:r>
        <w:rPr>
          <w:rFonts w:ascii="Arial" w:hAnsi="Arial" w:cs="Arial"/>
          <w:sz w:val="24"/>
          <w:szCs w:val="24"/>
        </w:rPr>
        <w:t>casu</w:t>
      </w:r>
      <w:proofErr w:type="spellEnd"/>
      <w:r w:rsidRPr="0042664D">
        <w:rPr>
          <w:rFonts w:ascii="Arial" w:hAnsi="Arial" w:cs="Arial"/>
          <w:sz w:val="24"/>
          <w:szCs w:val="24"/>
        </w:rPr>
        <w:t xml:space="preserve"> there is no</w:t>
      </w:r>
      <w:r w:rsidRPr="00142229">
        <w:rPr>
          <w:rFonts w:ascii="Arial" w:hAnsi="Arial" w:cs="Arial"/>
          <w:sz w:val="28"/>
          <w:szCs w:val="28"/>
        </w:rPr>
        <w:t xml:space="preserve"> </w:t>
      </w:r>
      <w:r w:rsidRPr="0042664D">
        <w:rPr>
          <w:rFonts w:ascii="Arial" w:hAnsi="Arial" w:cs="Arial"/>
          <w:sz w:val="24"/>
          <w:szCs w:val="24"/>
        </w:rPr>
        <w:t xml:space="preserve">minimal evidence to show that the </w:t>
      </w:r>
      <w:r>
        <w:rPr>
          <w:rFonts w:ascii="Arial" w:hAnsi="Arial" w:cs="Arial"/>
          <w:sz w:val="24"/>
          <w:szCs w:val="24"/>
        </w:rPr>
        <w:t xml:space="preserve">defendant </w:t>
      </w:r>
      <w:r w:rsidRPr="0042664D">
        <w:rPr>
          <w:rFonts w:ascii="Arial" w:hAnsi="Arial" w:cs="Arial"/>
          <w:sz w:val="24"/>
          <w:szCs w:val="24"/>
        </w:rPr>
        <w:t xml:space="preserve">authorised the application. </w:t>
      </w:r>
      <w:r>
        <w:rPr>
          <w:rFonts w:ascii="Arial" w:hAnsi="Arial" w:cs="Arial"/>
          <w:sz w:val="24"/>
          <w:szCs w:val="24"/>
        </w:rPr>
        <w:t xml:space="preserve">Mr </w:t>
      </w:r>
      <w:proofErr w:type="spellStart"/>
      <w:r>
        <w:rPr>
          <w:rFonts w:ascii="Arial" w:hAnsi="Arial" w:cs="Arial"/>
          <w:sz w:val="24"/>
          <w:szCs w:val="24"/>
        </w:rPr>
        <w:t>Naude</w:t>
      </w:r>
      <w:proofErr w:type="spellEnd"/>
      <w:r>
        <w:rPr>
          <w:rFonts w:ascii="Arial" w:hAnsi="Arial" w:cs="Arial"/>
          <w:sz w:val="24"/>
          <w:szCs w:val="24"/>
        </w:rPr>
        <w:t xml:space="preserve"> </w:t>
      </w:r>
      <w:r w:rsidRPr="0042664D">
        <w:rPr>
          <w:rFonts w:ascii="Arial" w:hAnsi="Arial" w:cs="Arial"/>
          <w:sz w:val="24"/>
          <w:szCs w:val="24"/>
        </w:rPr>
        <w:t xml:space="preserve">simply states that he is the </w:t>
      </w:r>
      <w:r>
        <w:rPr>
          <w:rFonts w:ascii="Arial" w:hAnsi="Arial" w:cs="Arial"/>
          <w:sz w:val="24"/>
          <w:szCs w:val="24"/>
        </w:rPr>
        <w:t xml:space="preserve">legal practitioner of record for the defendant and the facts deposed to falls within his personal knowledge. </w:t>
      </w:r>
      <w:r w:rsidRPr="0042664D">
        <w:rPr>
          <w:rFonts w:ascii="Arial" w:hAnsi="Arial" w:cs="Arial"/>
          <w:sz w:val="24"/>
          <w:szCs w:val="24"/>
        </w:rPr>
        <w:t xml:space="preserve">There is nothing from </w:t>
      </w:r>
      <w:r>
        <w:rPr>
          <w:rFonts w:ascii="Arial" w:hAnsi="Arial" w:cs="Arial"/>
          <w:sz w:val="24"/>
          <w:szCs w:val="24"/>
        </w:rPr>
        <w:t xml:space="preserve">the founding papers before me on </w:t>
      </w:r>
      <w:r w:rsidRPr="0042664D">
        <w:rPr>
          <w:rFonts w:ascii="Arial" w:hAnsi="Arial" w:cs="Arial"/>
          <w:sz w:val="24"/>
          <w:szCs w:val="24"/>
        </w:rPr>
        <w:t xml:space="preserve">which this Court may find that the </w:t>
      </w:r>
      <w:r>
        <w:rPr>
          <w:rFonts w:ascii="Arial" w:hAnsi="Arial" w:cs="Arial"/>
          <w:sz w:val="24"/>
          <w:szCs w:val="24"/>
        </w:rPr>
        <w:t>defendant</w:t>
      </w:r>
      <w:r w:rsidRPr="0042664D">
        <w:rPr>
          <w:rFonts w:ascii="Arial" w:hAnsi="Arial" w:cs="Arial"/>
          <w:sz w:val="24"/>
          <w:szCs w:val="24"/>
        </w:rPr>
        <w:t>, an artificial person, knows about this application.</w:t>
      </w:r>
      <w:r>
        <w:rPr>
          <w:rFonts w:ascii="Arial" w:hAnsi="Arial" w:cs="Arial"/>
          <w:sz w:val="24"/>
          <w:szCs w:val="24"/>
        </w:rPr>
        <w:t xml:space="preserve"> </w:t>
      </w:r>
    </w:p>
    <w:p w:rsidR="00B104F0" w:rsidRDefault="00B104F0" w:rsidP="00B104F0">
      <w:pPr>
        <w:spacing w:after="0" w:line="360" w:lineRule="auto"/>
        <w:jc w:val="both"/>
        <w:rPr>
          <w:rFonts w:ascii="Arial" w:hAnsi="Arial" w:cs="Arial"/>
          <w:sz w:val="24"/>
          <w:szCs w:val="24"/>
        </w:rPr>
      </w:pPr>
    </w:p>
    <w:p w:rsidR="00B104F0" w:rsidRDefault="00AD139F" w:rsidP="00B104F0">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104F0">
        <w:rPr>
          <w:rFonts w:ascii="Arial" w:hAnsi="Arial" w:cs="Arial"/>
          <w:sz w:val="24"/>
          <w:szCs w:val="24"/>
        </w:rPr>
        <w:t xml:space="preserve">The argument by Mr Barnard that Mr </w:t>
      </w:r>
      <w:proofErr w:type="spellStart"/>
      <w:r w:rsidR="00B104F0">
        <w:rPr>
          <w:rFonts w:ascii="Arial" w:hAnsi="Arial" w:cs="Arial"/>
          <w:sz w:val="24"/>
          <w:szCs w:val="24"/>
        </w:rPr>
        <w:t>Ockhuizen</w:t>
      </w:r>
      <w:proofErr w:type="spellEnd"/>
      <w:r w:rsidR="00B104F0">
        <w:rPr>
          <w:rFonts w:ascii="Arial" w:hAnsi="Arial" w:cs="Arial"/>
          <w:sz w:val="24"/>
          <w:szCs w:val="24"/>
        </w:rPr>
        <w:t xml:space="preserve"> was sitting in court during the proceedings and could sound his objection should he </w:t>
      </w:r>
      <w:r w:rsidR="00B104F0" w:rsidRPr="00130955">
        <w:rPr>
          <w:rFonts w:ascii="Arial" w:hAnsi="Arial" w:cs="Arial"/>
          <w:sz w:val="24"/>
          <w:szCs w:val="24"/>
        </w:rPr>
        <w:t>have</w:t>
      </w:r>
      <w:r w:rsidR="00B104F0">
        <w:rPr>
          <w:rFonts w:ascii="Arial" w:hAnsi="Arial" w:cs="Arial"/>
          <w:sz w:val="24"/>
          <w:szCs w:val="24"/>
        </w:rPr>
        <w:t xml:space="preserve"> one, does not hold water. It is improbable that a client, who is duly represented by a senior counsel would jump up in court and object to an application that</w:t>
      </w:r>
      <w:r w:rsidR="00B104F0" w:rsidRPr="00130955">
        <w:rPr>
          <w:rFonts w:ascii="Arial" w:hAnsi="Arial" w:cs="Arial"/>
          <w:sz w:val="24"/>
          <w:szCs w:val="24"/>
        </w:rPr>
        <w:t xml:space="preserve"> is </w:t>
      </w:r>
      <w:r w:rsidR="00B104F0">
        <w:rPr>
          <w:rFonts w:ascii="Arial" w:hAnsi="Arial" w:cs="Arial"/>
          <w:sz w:val="24"/>
          <w:szCs w:val="24"/>
        </w:rPr>
        <w:t>under discussion between counsel and</w:t>
      </w:r>
      <w:r w:rsidR="00B104F0" w:rsidRPr="008D194E">
        <w:rPr>
          <w:rFonts w:ascii="Arial" w:hAnsi="Arial" w:cs="Arial"/>
          <w:sz w:val="24"/>
          <w:szCs w:val="24"/>
        </w:rPr>
        <w:t xml:space="preserve"> </w:t>
      </w:r>
      <w:r w:rsidR="00B104F0">
        <w:rPr>
          <w:rFonts w:ascii="Arial" w:hAnsi="Arial" w:cs="Arial"/>
          <w:sz w:val="24"/>
          <w:szCs w:val="24"/>
        </w:rPr>
        <w:t>the</w:t>
      </w:r>
      <w:r w:rsidR="00B104F0" w:rsidRPr="008D194E">
        <w:rPr>
          <w:rFonts w:ascii="Arial" w:hAnsi="Arial" w:cs="Arial"/>
          <w:sz w:val="24"/>
          <w:szCs w:val="24"/>
        </w:rPr>
        <w:t xml:space="preserve"> </w:t>
      </w:r>
      <w:r w:rsidR="00B104F0">
        <w:rPr>
          <w:rFonts w:ascii="Arial" w:hAnsi="Arial" w:cs="Arial"/>
          <w:sz w:val="24"/>
          <w:szCs w:val="24"/>
        </w:rPr>
        <w:t xml:space="preserve">court. </w:t>
      </w:r>
    </w:p>
    <w:p w:rsidR="00B104F0" w:rsidRPr="0042664D" w:rsidRDefault="00B104F0" w:rsidP="00B104F0">
      <w:pPr>
        <w:spacing w:after="0" w:line="360" w:lineRule="auto"/>
        <w:jc w:val="both"/>
        <w:rPr>
          <w:rFonts w:ascii="Arial" w:hAnsi="Arial" w:cs="Arial"/>
          <w:sz w:val="24"/>
          <w:szCs w:val="24"/>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43</w:t>
      </w:r>
      <w:r>
        <w:rPr>
          <w:rFonts w:ascii="Arial" w:hAnsi="Arial" w:cs="Arial"/>
        </w:rPr>
        <w:t>]</w:t>
      </w:r>
      <w:r>
        <w:rPr>
          <w:rFonts w:ascii="Arial" w:hAnsi="Arial" w:cs="Arial"/>
        </w:rPr>
        <w:tab/>
        <w:t xml:space="preserve">Mr </w:t>
      </w:r>
      <w:proofErr w:type="spellStart"/>
      <w:r>
        <w:rPr>
          <w:rFonts w:ascii="Arial" w:hAnsi="Arial" w:cs="Arial"/>
        </w:rPr>
        <w:t>Naude</w:t>
      </w:r>
      <w:proofErr w:type="spellEnd"/>
      <w:r>
        <w:rPr>
          <w:rFonts w:ascii="Arial" w:hAnsi="Arial" w:cs="Arial"/>
        </w:rPr>
        <w:t xml:space="preserve"> is an extremely experience</w:t>
      </w:r>
      <w:r w:rsidRPr="00130955">
        <w:rPr>
          <w:rFonts w:ascii="Arial" w:hAnsi="Arial" w:cs="Arial"/>
        </w:rPr>
        <w:t>d</w:t>
      </w:r>
      <w:r>
        <w:rPr>
          <w:rFonts w:ascii="Arial" w:hAnsi="Arial" w:cs="Arial"/>
        </w:rPr>
        <w:t xml:space="preserve"> legal practitioner and to date proffered no explanation for his failure to set out in the </w:t>
      </w:r>
      <w:r w:rsidRPr="00CB0AF0">
        <w:rPr>
          <w:rFonts w:ascii="Arial" w:hAnsi="Arial" w:cs="Arial"/>
        </w:rPr>
        <w:t xml:space="preserve">founding papers his authority to launch the application and to depose to the founding affidavit. At this stage I must pause and state that authorisation to depose </w:t>
      </w:r>
      <w:r w:rsidRPr="00CB0AF0">
        <w:rPr>
          <w:rFonts w:ascii="Arial" w:hAnsi="Arial" w:cs="Arial"/>
          <w:bCs/>
        </w:rPr>
        <w:t xml:space="preserve">to the founding affidavit is </w:t>
      </w:r>
      <w:r w:rsidR="00130955" w:rsidRPr="00CB0AF0">
        <w:rPr>
          <w:rFonts w:ascii="Arial" w:hAnsi="Arial" w:cs="Arial"/>
          <w:bCs/>
        </w:rPr>
        <w:t xml:space="preserve">important but </w:t>
      </w:r>
      <w:r w:rsidRPr="00CB0AF0">
        <w:rPr>
          <w:rFonts w:ascii="Arial" w:hAnsi="Arial" w:cs="Arial"/>
          <w:bCs/>
        </w:rPr>
        <w:t xml:space="preserve">not the main issue. The main issue is the launching of the application and the prosecution </w:t>
      </w:r>
      <w:r w:rsidRPr="00B3610B">
        <w:rPr>
          <w:rFonts w:ascii="Arial" w:hAnsi="Arial" w:cs="Arial"/>
          <w:bCs/>
        </w:rPr>
        <w:t>thereof which must be authorised</w:t>
      </w:r>
      <w:r>
        <w:rPr>
          <w:rStyle w:val="FootnoteReference"/>
          <w:rFonts w:ascii="Arial" w:hAnsi="Arial" w:cs="Arial"/>
          <w:bCs/>
        </w:rPr>
        <w:footnoteReference w:id="15"/>
      </w:r>
      <w:r>
        <w:rPr>
          <w:rFonts w:ascii="Arial" w:hAnsi="Arial" w:cs="Arial"/>
          <w:bCs/>
        </w:rPr>
        <w:t>. The f</w:t>
      </w:r>
      <w:r>
        <w:rPr>
          <w:rFonts w:ascii="Arial" w:hAnsi="Arial" w:cs="Arial"/>
        </w:rPr>
        <w:t xml:space="preserve">ailure to depose to the issue of authority is an elementary mistake that might have far reaching implications in an application of this nature.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44</w:t>
      </w:r>
      <w:r>
        <w:rPr>
          <w:rFonts w:ascii="Arial" w:hAnsi="Arial" w:cs="Arial"/>
        </w:rPr>
        <w:t>]</w:t>
      </w:r>
      <w:r>
        <w:rPr>
          <w:rFonts w:ascii="Arial" w:hAnsi="Arial" w:cs="Arial"/>
        </w:rPr>
        <w:tab/>
        <w:t xml:space="preserve">In addition to Mr </w:t>
      </w:r>
      <w:proofErr w:type="spellStart"/>
      <w:r>
        <w:rPr>
          <w:rFonts w:ascii="Arial" w:hAnsi="Arial" w:cs="Arial"/>
        </w:rPr>
        <w:t>Naud</w:t>
      </w:r>
      <w:r w:rsidRPr="00130955">
        <w:rPr>
          <w:rFonts w:ascii="Arial" w:hAnsi="Arial" w:cs="Arial"/>
        </w:rPr>
        <w:t>e’s</w:t>
      </w:r>
      <w:proofErr w:type="spellEnd"/>
      <w:r w:rsidRPr="00130955">
        <w:rPr>
          <w:rFonts w:ascii="Arial" w:hAnsi="Arial" w:cs="Arial"/>
        </w:rPr>
        <w:t xml:space="preserve"> </w:t>
      </w:r>
      <w:r>
        <w:rPr>
          <w:rFonts w:ascii="Arial" w:hAnsi="Arial" w:cs="Arial"/>
        </w:rPr>
        <w:t xml:space="preserve">failure to make any averments regarding his authority to launch the application, the defendant further fails to file </w:t>
      </w:r>
      <w:r w:rsidRPr="00130955">
        <w:rPr>
          <w:rFonts w:ascii="Arial" w:hAnsi="Arial" w:cs="Arial"/>
        </w:rPr>
        <w:t>a</w:t>
      </w:r>
      <w:r>
        <w:rPr>
          <w:rFonts w:ascii="Arial" w:hAnsi="Arial" w:cs="Arial"/>
        </w:rPr>
        <w:t xml:space="preserve"> confirmatory affidavit of the sole director Mr </w:t>
      </w:r>
      <w:proofErr w:type="spellStart"/>
      <w:r>
        <w:rPr>
          <w:rFonts w:ascii="Arial" w:hAnsi="Arial" w:cs="Arial"/>
        </w:rPr>
        <w:t>Ockhuizen</w:t>
      </w:r>
      <w:proofErr w:type="spellEnd"/>
      <w:r>
        <w:rPr>
          <w:rFonts w:ascii="Arial" w:hAnsi="Arial" w:cs="Arial"/>
        </w:rPr>
        <w:t xml:space="preserve">, in spite of </w:t>
      </w:r>
      <w:r w:rsidRPr="00130955">
        <w:rPr>
          <w:rFonts w:ascii="Arial" w:hAnsi="Arial" w:cs="Arial"/>
        </w:rPr>
        <w:t>his apparent presence in court and his availability to do so. He also failed to file the d</w:t>
      </w:r>
      <w:r>
        <w:rPr>
          <w:rFonts w:ascii="Arial" w:hAnsi="Arial" w:cs="Arial"/>
        </w:rPr>
        <w:t xml:space="preserve">efendant’s resolution. One must ask the question that, if Mr </w:t>
      </w:r>
      <w:proofErr w:type="spellStart"/>
      <w:r>
        <w:rPr>
          <w:rFonts w:ascii="Arial" w:hAnsi="Arial" w:cs="Arial"/>
        </w:rPr>
        <w:t>Ockhuizen</w:t>
      </w:r>
      <w:proofErr w:type="spellEnd"/>
      <w:r>
        <w:rPr>
          <w:rFonts w:ascii="Arial" w:hAnsi="Arial" w:cs="Arial"/>
        </w:rPr>
        <w:t xml:space="preserve"> was present all along, why did </w:t>
      </w:r>
      <w:proofErr w:type="gramStart"/>
      <w:r>
        <w:rPr>
          <w:rFonts w:ascii="Arial" w:hAnsi="Arial" w:cs="Arial"/>
        </w:rPr>
        <w:t>he</w:t>
      </w:r>
      <w:proofErr w:type="gramEnd"/>
      <w:r w:rsidR="00F17E63">
        <w:rPr>
          <w:rFonts w:ascii="Arial" w:hAnsi="Arial" w:cs="Arial"/>
        </w:rPr>
        <w:t xml:space="preserve"> then</w:t>
      </w:r>
      <w:r>
        <w:rPr>
          <w:rFonts w:ascii="Arial" w:hAnsi="Arial" w:cs="Arial"/>
        </w:rPr>
        <w:t xml:space="preserve"> not depose</w:t>
      </w:r>
      <w:r w:rsidR="00130955">
        <w:rPr>
          <w:rFonts w:ascii="Arial" w:hAnsi="Arial" w:cs="Arial"/>
        </w:rPr>
        <w:t xml:space="preserve"> </w:t>
      </w:r>
      <w:r>
        <w:rPr>
          <w:rFonts w:ascii="Arial" w:hAnsi="Arial" w:cs="Arial"/>
        </w:rPr>
        <w:t xml:space="preserve">to the affidavit instead of Mr </w:t>
      </w:r>
      <w:proofErr w:type="spellStart"/>
      <w:r>
        <w:rPr>
          <w:rFonts w:ascii="Arial" w:hAnsi="Arial" w:cs="Arial"/>
        </w:rPr>
        <w:t>Naude</w:t>
      </w:r>
      <w:proofErr w:type="spellEnd"/>
      <w:r>
        <w:rPr>
          <w:rFonts w:ascii="Arial" w:hAnsi="Arial" w:cs="Arial"/>
        </w:rPr>
        <w:t>?</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45</w:t>
      </w:r>
      <w:r>
        <w:rPr>
          <w:rFonts w:ascii="Arial" w:hAnsi="Arial" w:cs="Arial"/>
        </w:rPr>
        <w:t>]</w:t>
      </w:r>
      <w:r>
        <w:rPr>
          <w:rFonts w:ascii="Arial" w:hAnsi="Arial" w:cs="Arial"/>
        </w:rPr>
        <w:tab/>
        <w:t xml:space="preserve">After the defendant was alerted to the deficiencies in its application through the objections raised in the answering papers, defendant’s counsel sprang to action and filed every possible document that </w:t>
      </w:r>
      <w:r w:rsidRPr="00061B1E">
        <w:rPr>
          <w:rFonts w:ascii="Arial" w:hAnsi="Arial" w:cs="Arial"/>
        </w:rPr>
        <w:t xml:space="preserve">was </w:t>
      </w:r>
      <w:r>
        <w:rPr>
          <w:rFonts w:ascii="Arial" w:hAnsi="Arial" w:cs="Arial"/>
        </w:rPr>
        <w:t>supposed to be filed when the application was launched. This included a supplementary affidavit</w:t>
      </w:r>
      <w:r w:rsidRPr="008D194E">
        <w:rPr>
          <w:rFonts w:ascii="Arial" w:hAnsi="Arial" w:cs="Arial"/>
        </w:rPr>
        <w:t xml:space="preserve"> </w:t>
      </w:r>
      <w:r>
        <w:rPr>
          <w:rFonts w:ascii="Arial" w:hAnsi="Arial" w:cs="Arial"/>
        </w:rPr>
        <w:t xml:space="preserve">deposed by Mr </w:t>
      </w:r>
      <w:proofErr w:type="spellStart"/>
      <w:r>
        <w:rPr>
          <w:rFonts w:ascii="Arial" w:hAnsi="Arial" w:cs="Arial"/>
        </w:rPr>
        <w:t>Ockhuizen</w:t>
      </w:r>
      <w:proofErr w:type="spellEnd"/>
      <w:r>
        <w:rPr>
          <w:rFonts w:ascii="Arial" w:hAnsi="Arial" w:cs="Arial"/>
        </w:rPr>
        <w:t xml:space="preserve">, </w:t>
      </w:r>
      <w:r>
        <w:rPr>
          <w:rFonts w:ascii="Arial" w:hAnsi="Arial" w:cs="Arial"/>
        </w:rPr>
        <w:lastRenderedPageBreak/>
        <w:t xml:space="preserve">impermissibly so I might add, together with the replying affidavit in an attempt to fortify the position of Mr </w:t>
      </w:r>
      <w:proofErr w:type="spellStart"/>
      <w:r>
        <w:rPr>
          <w:rFonts w:ascii="Arial" w:hAnsi="Arial" w:cs="Arial"/>
        </w:rPr>
        <w:t>Naude</w:t>
      </w:r>
      <w:proofErr w:type="spellEnd"/>
      <w:r>
        <w:rPr>
          <w:rFonts w:ascii="Arial" w:hAnsi="Arial" w:cs="Arial"/>
        </w:rPr>
        <w:t xml:space="preserve">. The supplementary affidavit was however filed without leave of court and accordingly this court will not have regard to it. </w:t>
      </w: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46</w:t>
      </w:r>
      <w:r>
        <w:rPr>
          <w:rFonts w:ascii="Arial" w:hAnsi="Arial" w:cs="Arial"/>
        </w:rPr>
        <w:t>]</w:t>
      </w:r>
      <w:r>
        <w:rPr>
          <w:rFonts w:ascii="Arial" w:hAnsi="Arial" w:cs="Arial"/>
        </w:rPr>
        <w:tab/>
        <w:t>Mr Barnard</w:t>
      </w:r>
      <w:r w:rsidRPr="00483E96">
        <w:rPr>
          <w:rFonts w:ascii="Arial" w:hAnsi="Arial" w:cs="Arial"/>
        </w:rPr>
        <w:t xml:space="preserve"> submitted that where authority is challenged in the answering affidavit</w:t>
      </w:r>
      <w:r>
        <w:rPr>
          <w:rFonts w:ascii="Arial" w:hAnsi="Arial" w:cs="Arial"/>
        </w:rPr>
        <w:t xml:space="preserve"> the defendant may file</w:t>
      </w:r>
      <w:r w:rsidRPr="00483E96">
        <w:rPr>
          <w:rFonts w:ascii="Arial" w:hAnsi="Arial" w:cs="Arial"/>
        </w:rPr>
        <w:t xml:space="preserve"> </w:t>
      </w:r>
      <w:r>
        <w:rPr>
          <w:rFonts w:ascii="Arial" w:hAnsi="Arial"/>
          <w:color w:val="000000"/>
        </w:rPr>
        <w:t xml:space="preserve">the resolution and/or power of attorney in reply which would ratify the launching of the application. Mr Barnard </w:t>
      </w:r>
      <w:r>
        <w:rPr>
          <w:rFonts w:ascii="Arial" w:hAnsi="Arial" w:cs="Arial"/>
        </w:rPr>
        <w:t xml:space="preserve">relies in this regard on the </w:t>
      </w:r>
      <w:r w:rsidRPr="00D235FF">
        <w:rPr>
          <w:rFonts w:ascii="Arial" w:hAnsi="Arial" w:cs="Arial"/>
          <w:i/>
        </w:rPr>
        <w:t xml:space="preserve">Pinkster </w:t>
      </w:r>
      <w:proofErr w:type="spellStart"/>
      <w:r w:rsidRPr="00D235FF">
        <w:rPr>
          <w:rFonts w:ascii="Arial" w:hAnsi="Arial" w:cs="Arial"/>
          <w:i/>
        </w:rPr>
        <w:t>Gemeente</w:t>
      </w:r>
      <w:proofErr w:type="spellEnd"/>
      <w:r>
        <w:rPr>
          <w:rFonts w:ascii="Arial" w:hAnsi="Arial" w:cs="Arial"/>
        </w:rPr>
        <w:t xml:space="preserve"> matter</w:t>
      </w:r>
      <w:r w:rsidRPr="00483E96">
        <w:rPr>
          <w:rFonts w:ascii="Arial" w:hAnsi="Arial" w:cs="Arial"/>
        </w:rPr>
        <w:t xml:space="preserve">. </w:t>
      </w:r>
      <w:r>
        <w:rPr>
          <w:rFonts w:ascii="Arial" w:hAnsi="Arial" w:cs="Arial"/>
        </w:rPr>
        <w:t>It was argued that it is crystal clear from the reading of the additional documents file</w:t>
      </w:r>
      <w:r w:rsidRPr="00B463FD">
        <w:rPr>
          <w:rFonts w:ascii="Arial" w:hAnsi="Arial" w:cs="Arial"/>
        </w:rPr>
        <w:t>d</w:t>
      </w:r>
      <w:r>
        <w:rPr>
          <w:rFonts w:ascii="Arial" w:hAnsi="Arial" w:cs="Arial"/>
        </w:rPr>
        <w:t xml:space="preserve"> together with Mr </w:t>
      </w:r>
      <w:proofErr w:type="spellStart"/>
      <w:r>
        <w:rPr>
          <w:rFonts w:ascii="Arial" w:hAnsi="Arial" w:cs="Arial"/>
        </w:rPr>
        <w:t>Naude’s</w:t>
      </w:r>
      <w:proofErr w:type="spellEnd"/>
      <w:r>
        <w:rPr>
          <w:rFonts w:ascii="Arial" w:hAnsi="Arial" w:cs="Arial"/>
        </w:rPr>
        <w:t xml:space="preserve"> replying affidavit that he is </w:t>
      </w:r>
      <w:r w:rsidRPr="00483E96">
        <w:rPr>
          <w:rFonts w:ascii="Arial" w:hAnsi="Arial" w:cs="Arial"/>
        </w:rPr>
        <w:t xml:space="preserve">duly authorised to </w:t>
      </w:r>
      <w:r>
        <w:rPr>
          <w:rFonts w:ascii="Arial" w:hAnsi="Arial" w:cs="Arial"/>
        </w:rPr>
        <w:t>launch</w:t>
      </w:r>
      <w:r w:rsidRPr="00483E96">
        <w:rPr>
          <w:rFonts w:ascii="Arial" w:hAnsi="Arial" w:cs="Arial"/>
        </w:rPr>
        <w:t xml:space="preserve"> the </w:t>
      </w:r>
      <w:r>
        <w:rPr>
          <w:rFonts w:ascii="Arial" w:hAnsi="Arial" w:cs="Arial"/>
        </w:rPr>
        <w:t xml:space="preserve">application and that the objection of the plaintiff in this regard is fanciful and without merits. </w:t>
      </w:r>
    </w:p>
    <w:p w:rsidR="00B104F0" w:rsidRDefault="00B104F0" w:rsidP="00B104F0">
      <w:pPr>
        <w:pStyle w:val="rteindent1"/>
        <w:shd w:val="clear" w:color="auto" w:fill="FFFFFF"/>
        <w:spacing w:before="0" w:beforeAutospacing="0" w:after="0" w:afterAutospacing="0" w:line="360" w:lineRule="auto"/>
        <w:jc w:val="both"/>
        <w:rPr>
          <w:rFonts w:ascii="Arial" w:hAnsi="Arial" w:cs="Arial"/>
        </w:rPr>
      </w:pPr>
    </w:p>
    <w:p w:rsidR="00B104F0" w:rsidRPr="00B463FD" w:rsidRDefault="00AD139F" w:rsidP="00B104F0">
      <w:pPr>
        <w:pStyle w:val="rteindent1"/>
        <w:shd w:val="clear" w:color="auto" w:fill="FFFFFF"/>
        <w:spacing w:before="0" w:beforeAutospacing="0" w:after="0" w:afterAutospacing="0" w:line="360" w:lineRule="auto"/>
        <w:jc w:val="both"/>
        <w:rPr>
          <w:rFonts w:ascii="Arial" w:hAnsi="Arial" w:cs="Arial"/>
        </w:rPr>
      </w:pPr>
      <w:r>
        <w:rPr>
          <w:rFonts w:ascii="Arial" w:hAnsi="Arial" w:cs="Arial"/>
        </w:rPr>
        <w:t>[47]</w:t>
      </w:r>
      <w:r>
        <w:rPr>
          <w:rFonts w:ascii="Arial" w:hAnsi="Arial" w:cs="Arial"/>
        </w:rPr>
        <w:tab/>
      </w:r>
      <w:r w:rsidR="00B104F0">
        <w:rPr>
          <w:rFonts w:ascii="Arial" w:hAnsi="Arial" w:cs="Arial"/>
        </w:rPr>
        <w:t xml:space="preserve">Mr </w:t>
      </w:r>
      <w:proofErr w:type="spellStart"/>
      <w:r w:rsidR="00B104F0">
        <w:rPr>
          <w:rFonts w:ascii="Arial" w:hAnsi="Arial" w:cs="Arial"/>
        </w:rPr>
        <w:t>Naude</w:t>
      </w:r>
      <w:proofErr w:type="spellEnd"/>
      <w:r w:rsidR="00B104F0">
        <w:rPr>
          <w:rFonts w:ascii="Arial" w:hAnsi="Arial" w:cs="Arial"/>
        </w:rPr>
        <w:t xml:space="preserve"> indeed stated in the replying affidavit that he was duly authorised to launch the application (and filed a resolution) and </w:t>
      </w:r>
      <w:r w:rsidR="00B104F0" w:rsidRPr="00483E96">
        <w:rPr>
          <w:rFonts w:ascii="Arial" w:hAnsi="Arial" w:cs="Arial"/>
        </w:rPr>
        <w:t xml:space="preserve">according to </w:t>
      </w:r>
      <w:r w:rsidR="00B104F0">
        <w:rPr>
          <w:rFonts w:ascii="Arial" w:hAnsi="Arial" w:cs="Arial"/>
        </w:rPr>
        <w:t xml:space="preserve">the </w:t>
      </w:r>
      <w:r w:rsidR="00B104F0" w:rsidRPr="007820C6">
        <w:rPr>
          <w:rFonts w:ascii="Arial" w:hAnsi="Arial" w:cs="Arial"/>
          <w:i/>
        </w:rPr>
        <w:t>Mall (Cape)</w:t>
      </w:r>
      <w:r w:rsidR="00B104F0">
        <w:rPr>
          <w:rFonts w:ascii="Arial" w:hAnsi="Arial" w:cs="Arial"/>
        </w:rPr>
        <w:t xml:space="preserve"> matter and the </w:t>
      </w:r>
      <w:proofErr w:type="spellStart"/>
      <w:r w:rsidR="00B104F0" w:rsidRPr="00D235FF">
        <w:rPr>
          <w:rFonts w:ascii="Arial" w:hAnsi="Arial" w:cs="Arial"/>
          <w:i/>
        </w:rPr>
        <w:t>Otjozondu</w:t>
      </w:r>
      <w:proofErr w:type="spellEnd"/>
      <w:r w:rsidR="00B104F0" w:rsidRPr="00D235FF">
        <w:rPr>
          <w:rFonts w:ascii="Arial" w:hAnsi="Arial" w:cs="Arial"/>
          <w:i/>
        </w:rPr>
        <w:t xml:space="preserve"> Mining</w:t>
      </w:r>
      <w:r w:rsidR="00B104F0">
        <w:rPr>
          <w:rFonts w:ascii="Arial" w:hAnsi="Arial" w:cs="Arial"/>
          <w:i/>
        </w:rPr>
        <w:t xml:space="preserve"> </w:t>
      </w:r>
      <w:r w:rsidR="00B104F0" w:rsidRPr="00D235FF">
        <w:rPr>
          <w:rFonts w:ascii="Arial" w:hAnsi="Arial" w:cs="Arial"/>
        </w:rPr>
        <w:t>and the</w:t>
      </w:r>
      <w:r w:rsidR="00B104F0">
        <w:rPr>
          <w:rFonts w:ascii="Arial" w:hAnsi="Arial" w:cs="Arial"/>
          <w:i/>
        </w:rPr>
        <w:t xml:space="preserve"> </w:t>
      </w:r>
      <w:proofErr w:type="spellStart"/>
      <w:r w:rsidR="00B104F0" w:rsidRPr="00D235FF">
        <w:rPr>
          <w:rFonts w:ascii="Arial" w:hAnsi="Arial" w:cs="Arial"/>
          <w:i/>
        </w:rPr>
        <w:t>Wlotzkasbaken</w:t>
      </w:r>
      <w:proofErr w:type="spellEnd"/>
      <w:r w:rsidR="00B104F0">
        <w:rPr>
          <w:rFonts w:ascii="Arial" w:hAnsi="Arial" w:cs="Arial"/>
          <w:i/>
        </w:rPr>
        <w:t xml:space="preserve"> Home Owners </w:t>
      </w:r>
      <w:proofErr w:type="spellStart"/>
      <w:r w:rsidR="00B104F0">
        <w:rPr>
          <w:rFonts w:ascii="Arial" w:hAnsi="Arial" w:cs="Arial"/>
          <w:i/>
        </w:rPr>
        <w:t>Assoc</w:t>
      </w:r>
      <w:proofErr w:type="spellEnd"/>
      <w:r w:rsidR="00B104F0">
        <w:rPr>
          <w:rFonts w:ascii="Arial" w:hAnsi="Arial" w:cs="Arial"/>
          <w:i/>
        </w:rPr>
        <w:t xml:space="preserve"> </w:t>
      </w:r>
      <w:r w:rsidR="00B104F0" w:rsidRPr="00D235FF">
        <w:rPr>
          <w:rFonts w:ascii="Arial" w:hAnsi="Arial" w:cs="Arial"/>
        </w:rPr>
        <w:t>matter,</w:t>
      </w:r>
      <w:r w:rsidR="00B104F0" w:rsidRPr="00483E96">
        <w:rPr>
          <w:rFonts w:ascii="Arial" w:hAnsi="Arial" w:cs="Arial"/>
        </w:rPr>
        <w:t xml:space="preserve"> had </w:t>
      </w:r>
      <w:r w:rsidR="00B104F0">
        <w:rPr>
          <w:rFonts w:ascii="Arial" w:hAnsi="Arial" w:cs="Arial"/>
        </w:rPr>
        <w:t xml:space="preserve">Mr </w:t>
      </w:r>
      <w:proofErr w:type="spellStart"/>
      <w:r w:rsidR="00B104F0">
        <w:rPr>
          <w:rFonts w:ascii="Arial" w:hAnsi="Arial" w:cs="Arial"/>
        </w:rPr>
        <w:t>Naude</w:t>
      </w:r>
      <w:proofErr w:type="spellEnd"/>
      <w:r w:rsidR="00B104F0">
        <w:rPr>
          <w:rFonts w:ascii="Arial" w:hAnsi="Arial" w:cs="Arial"/>
        </w:rPr>
        <w:t xml:space="preserve"> made the averment</w:t>
      </w:r>
      <w:r w:rsidR="00B104F0" w:rsidRPr="00483E96">
        <w:rPr>
          <w:rFonts w:ascii="Arial" w:hAnsi="Arial" w:cs="Arial"/>
        </w:rPr>
        <w:t xml:space="preserve"> in the founding </w:t>
      </w:r>
      <w:r w:rsidRPr="00483E96">
        <w:rPr>
          <w:rFonts w:ascii="Arial" w:hAnsi="Arial" w:cs="Arial"/>
        </w:rPr>
        <w:t>affidavit</w:t>
      </w:r>
      <w:r w:rsidRPr="00B463FD">
        <w:rPr>
          <w:rFonts w:ascii="Arial" w:hAnsi="Arial" w:cs="Arial"/>
        </w:rPr>
        <w:t xml:space="preserve"> that</w:t>
      </w:r>
      <w:r w:rsidR="00B104F0" w:rsidRPr="00B463FD">
        <w:rPr>
          <w:rFonts w:ascii="Arial" w:hAnsi="Arial" w:cs="Arial"/>
        </w:rPr>
        <w:t xml:space="preserve"> would have been sufficient and permissible.</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AC41E9" w:rsidRPr="00CB0AF0" w:rsidRDefault="00B104F0" w:rsidP="00B104F0">
      <w:pPr>
        <w:pStyle w:val="rteindent1"/>
        <w:shd w:val="clear" w:color="auto" w:fill="FFFFFF"/>
        <w:spacing w:before="0" w:beforeAutospacing="0" w:after="0" w:afterAutospacing="0" w:line="360" w:lineRule="auto"/>
        <w:jc w:val="both"/>
        <w:rPr>
          <w:rFonts w:ascii="Arial" w:hAnsi="Arial" w:cs="Arial"/>
          <w:lang w:val="af-ZA"/>
        </w:rPr>
      </w:pPr>
      <w:r>
        <w:rPr>
          <w:rFonts w:ascii="Arial" w:hAnsi="Arial" w:cs="Arial"/>
        </w:rPr>
        <w:t>[</w:t>
      </w:r>
      <w:r w:rsidR="00AD139F">
        <w:rPr>
          <w:rFonts w:ascii="Arial" w:hAnsi="Arial" w:cs="Arial"/>
        </w:rPr>
        <w:t>48</w:t>
      </w:r>
      <w:r>
        <w:rPr>
          <w:rFonts w:ascii="Arial" w:hAnsi="Arial" w:cs="Arial"/>
        </w:rPr>
        <w:t>]</w:t>
      </w:r>
      <w:r>
        <w:rPr>
          <w:rFonts w:ascii="Arial" w:hAnsi="Arial" w:cs="Arial"/>
        </w:rPr>
        <w:tab/>
        <w:t xml:space="preserve">Mr Barnard strongly relies on the </w:t>
      </w:r>
      <w:r w:rsidRPr="002F5AD1">
        <w:rPr>
          <w:rFonts w:ascii="Arial" w:hAnsi="Arial" w:cs="Arial"/>
          <w:i/>
        </w:rPr>
        <w:t xml:space="preserve">Pinkster </w:t>
      </w:r>
      <w:proofErr w:type="spellStart"/>
      <w:r w:rsidRPr="002F5AD1">
        <w:rPr>
          <w:rFonts w:ascii="Arial" w:hAnsi="Arial" w:cs="Arial"/>
          <w:i/>
        </w:rPr>
        <w:t>Gemeente</w:t>
      </w:r>
      <w:proofErr w:type="spellEnd"/>
      <w:r>
        <w:rPr>
          <w:rFonts w:ascii="Arial" w:hAnsi="Arial" w:cs="Arial"/>
        </w:rPr>
        <w:t xml:space="preserve"> matter to support the defendant’s argument that lack of authority can be ratified even if the averment was not made in the founding </w:t>
      </w:r>
      <w:r w:rsidRPr="00CB0AF0">
        <w:rPr>
          <w:rFonts w:ascii="Arial" w:hAnsi="Arial" w:cs="Arial"/>
        </w:rPr>
        <w:t xml:space="preserve">affidavit. </w:t>
      </w:r>
      <w:r w:rsidR="00AA5A32" w:rsidRPr="00CB0AF0">
        <w:rPr>
          <w:rFonts w:ascii="Arial" w:hAnsi="Arial" w:cs="Arial"/>
        </w:rPr>
        <w:t xml:space="preserve">The court in that matter found that </w:t>
      </w:r>
      <w:r w:rsidR="00AA5A32" w:rsidRPr="00CB0AF0">
        <w:rPr>
          <w:rFonts w:ascii="Arial" w:hAnsi="Arial" w:cs="Arial"/>
          <w:lang w:val="af-ZA"/>
        </w:rPr>
        <w:t xml:space="preserve">the applicant may be allowed to attach a resolution showing authority if doing so will lead to a straight forward resolution of the disputed locus. </w:t>
      </w:r>
      <w:r w:rsidR="0000327E" w:rsidRPr="00CB0AF0">
        <w:rPr>
          <w:rFonts w:ascii="Arial" w:hAnsi="Arial" w:cs="Arial"/>
          <w:lang w:val="af-ZA"/>
        </w:rPr>
        <w:t xml:space="preserve">It would appear that the court </w:t>
      </w:r>
      <w:r w:rsidR="00B65334" w:rsidRPr="00CB0AF0">
        <w:rPr>
          <w:rFonts w:ascii="Arial" w:hAnsi="Arial" w:cs="Arial"/>
          <w:lang w:val="af-ZA"/>
        </w:rPr>
        <w:t>justify this view</w:t>
      </w:r>
      <w:r w:rsidR="00672E92" w:rsidRPr="00CB0AF0">
        <w:rPr>
          <w:rFonts w:ascii="Arial" w:hAnsi="Arial" w:cs="Arial"/>
          <w:lang w:val="af-ZA"/>
        </w:rPr>
        <w:t xml:space="preserve"> </w:t>
      </w:r>
      <w:r w:rsidR="00B65334" w:rsidRPr="00CB0AF0">
        <w:rPr>
          <w:rFonts w:ascii="Arial" w:hAnsi="Arial" w:cs="Arial"/>
          <w:lang w:val="af-ZA"/>
        </w:rPr>
        <w:t xml:space="preserve">on </w:t>
      </w:r>
      <w:r w:rsidR="00672E92" w:rsidRPr="00CB0AF0">
        <w:rPr>
          <w:rFonts w:ascii="Arial" w:hAnsi="Arial" w:cs="Arial"/>
          <w:lang w:val="af-ZA"/>
        </w:rPr>
        <w:t>the basis that the question of authority to bring an application ultimately</w:t>
      </w:r>
      <w:r w:rsidR="00AC41E9" w:rsidRPr="00CB0AF0">
        <w:rPr>
          <w:rFonts w:ascii="Arial" w:hAnsi="Arial" w:cs="Arial"/>
          <w:lang w:val="af-ZA"/>
        </w:rPr>
        <w:t xml:space="preserve"> concerns the question of costs, and that </w:t>
      </w:r>
      <w:r w:rsidR="00672E92" w:rsidRPr="00CB0AF0">
        <w:rPr>
          <w:rFonts w:ascii="Arial" w:hAnsi="Arial" w:cs="Arial"/>
          <w:lang w:val="af-ZA"/>
        </w:rPr>
        <w:t>once it is shown that the person who brings an application on behalf of another has authority that other person will be liable for an adverse cost award</w:t>
      </w:r>
      <w:r w:rsidR="00F03EE1">
        <w:rPr>
          <w:rFonts w:ascii="Arial" w:hAnsi="Arial" w:cs="Arial"/>
          <w:lang w:val="af-ZA"/>
        </w:rPr>
        <w:t>.</w:t>
      </w:r>
      <w:r w:rsidR="00B65334" w:rsidRPr="00CB0AF0">
        <w:rPr>
          <w:rStyle w:val="FootnoteReference"/>
          <w:rFonts w:ascii="Arial" w:hAnsi="Arial" w:cs="Arial"/>
          <w:lang w:val="af-ZA"/>
        </w:rPr>
        <w:footnoteReference w:id="16"/>
      </w:r>
    </w:p>
    <w:p w:rsidR="00AC41E9" w:rsidRPr="00CB0AF0" w:rsidRDefault="00AC41E9" w:rsidP="00B104F0">
      <w:pPr>
        <w:pStyle w:val="rteindent1"/>
        <w:shd w:val="clear" w:color="auto" w:fill="FFFFFF"/>
        <w:spacing w:before="0" w:beforeAutospacing="0" w:after="0" w:afterAutospacing="0" w:line="360" w:lineRule="auto"/>
        <w:jc w:val="both"/>
        <w:rPr>
          <w:rFonts w:ascii="Arial" w:hAnsi="Arial" w:cs="Arial"/>
          <w:lang w:val="af-ZA"/>
        </w:rPr>
      </w:pPr>
    </w:p>
    <w:p w:rsidR="00B104F0" w:rsidRDefault="00AC41E9" w:rsidP="00B104F0">
      <w:pPr>
        <w:pStyle w:val="rteindent1"/>
        <w:shd w:val="clear" w:color="auto" w:fill="FFFFFF"/>
        <w:spacing w:before="0" w:beforeAutospacing="0" w:after="0" w:afterAutospacing="0" w:line="360" w:lineRule="auto"/>
        <w:jc w:val="both"/>
        <w:rPr>
          <w:rFonts w:ascii="Arial" w:hAnsi="Arial" w:cs="Arial"/>
        </w:rPr>
      </w:pPr>
      <w:r w:rsidRPr="00CB0AF0">
        <w:rPr>
          <w:rFonts w:ascii="Arial" w:hAnsi="Arial" w:cs="Arial"/>
          <w:lang w:val="af-ZA"/>
        </w:rPr>
        <w:t>[</w:t>
      </w:r>
      <w:r w:rsidR="00AD139F">
        <w:rPr>
          <w:rFonts w:ascii="Arial" w:hAnsi="Arial" w:cs="Arial"/>
          <w:lang w:val="af-ZA"/>
        </w:rPr>
        <w:t>49</w:t>
      </w:r>
      <w:r w:rsidRPr="00CB0AF0">
        <w:rPr>
          <w:rFonts w:ascii="Arial" w:hAnsi="Arial" w:cs="Arial"/>
          <w:lang w:val="af-ZA"/>
        </w:rPr>
        <w:t>]</w:t>
      </w:r>
      <w:r w:rsidRPr="00CB0AF0">
        <w:rPr>
          <w:rFonts w:ascii="Arial" w:hAnsi="Arial" w:cs="Arial"/>
          <w:lang w:val="af-ZA"/>
        </w:rPr>
        <w:tab/>
      </w:r>
      <w:r w:rsidR="00B104F0" w:rsidRPr="00CB0AF0">
        <w:rPr>
          <w:rFonts w:ascii="Arial" w:hAnsi="Arial" w:cs="Arial"/>
        </w:rPr>
        <w:t xml:space="preserve">The court </w:t>
      </w:r>
      <w:r w:rsidR="00F17E63">
        <w:rPr>
          <w:rFonts w:ascii="Arial" w:hAnsi="Arial" w:cs="Arial"/>
        </w:rPr>
        <w:t xml:space="preserve">in </w:t>
      </w:r>
      <w:r w:rsidRPr="00CB0AF0">
        <w:rPr>
          <w:rFonts w:ascii="Arial" w:hAnsi="Arial" w:cs="Arial"/>
        </w:rPr>
        <w:t xml:space="preserve">the </w:t>
      </w:r>
      <w:r w:rsidRPr="00CB0AF0">
        <w:rPr>
          <w:rFonts w:ascii="Arial" w:hAnsi="Arial" w:cs="Arial"/>
          <w:i/>
        </w:rPr>
        <w:t xml:space="preserve">Pinkster </w:t>
      </w:r>
      <w:proofErr w:type="spellStart"/>
      <w:r w:rsidRPr="00CB0AF0">
        <w:rPr>
          <w:rFonts w:ascii="Arial" w:hAnsi="Arial" w:cs="Arial"/>
          <w:i/>
        </w:rPr>
        <w:t>Gemeente</w:t>
      </w:r>
      <w:proofErr w:type="spellEnd"/>
      <w:r w:rsidR="00B463FD" w:rsidRPr="00CB0AF0">
        <w:rPr>
          <w:rFonts w:ascii="Arial" w:hAnsi="Arial" w:cs="Arial"/>
        </w:rPr>
        <w:t xml:space="preserve"> matter </w:t>
      </w:r>
      <w:r w:rsidR="00B104F0" w:rsidRPr="00CB0AF0">
        <w:rPr>
          <w:rFonts w:ascii="Arial" w:hAnsi="Arial" w:cs="Arial"/>
        </w:rPr>
        <w:t xml:space="preserve">was however very clear on the fact that </w:t>
      </w:r>
      <w:r w:rsidR="00B104F0" w:rsidRPr="00CB0AF0">
        <w:rPr>
          <w:rFonts w:ascii="Arial" w:hAnsi="Arial" w:cs="Arial"/>
          <w:lang w:val="af-ZA"/>
        </w:rPr>
        <w:t xml:space="preserve">this should not be seen as a relaxation of the general rule that an applicant must make out his case in the founding affidavit. It was only in very limited circumstances that the introduction of a new matter would be permitted in a replying affidavit when it </w:t>
      </w:r>
      <w:r w:rsidR="00B104F0" w:rsidRPr="00CB0AF0">
        <w:rPr>
          <w:rFonts w:ascii="Arial" w:hAnsi="Arial" w:cs="Arial"/>
          <w:lang w:val="af-ZA"/>
        </w:rPr>
        <w:lastRenderedPageBreak/>
        <w:t>should have been included in the founding affidavit</w:t>
      </w:r>
      <w:r w:rsidR="00B104F0">
        <w:rPr>
          <w:rFonts w:ascii="Arial" w:hAnsi="Arial" w:cs="Arial"/>
          <w:lang w:val="af-ZA"/>
        </w:rPr>
        <w:t>. It therefore do</w:t>
      </w:r>
      <w:r w:rsidR="00B104F0" w:rsidRPr="00B463FD">
        <w:rPr>
          <w:rFonts w:ascii="Arial" w:hAnsi="Arial" w:cs="Arial"/>
          <w:lang w:val="af-ZA"/>
        </w:rPr>
        <w:t>es</w:t>
      </w:r>
      <w:r w:rsidR="00B104F0" w:rsidRPr="005510C6">
        <w:rPr>
          <w:rFonts w:ascii="Arial" w:hAnsi="Arial" w:cs="Arial"/>
          <w:lang w:val="af-ZA"/>
        </w:rPr>
        <w:t xml:space="preserve"> not absolve </w:t>
      </w:r>
      <w:r w:rsidR="00B104F0" w:rsidRPr="00B463FD">
        <w:rPr>
          <w:rFonts w:ascii="Arial" w:hAnsi="Arial" w:cs="Arial"/>
          <w:lang w:val="af-ZA"/>
        </w:rPr>
        <w:t>the</w:t>
      </w:r>
      <w:r w:rsidR="00B104F0">
        <w:rPr>
          <w:rFonts w:ascii="Arial" w:hAnsi="Arial" w:cs="Arial"/>
          <w:color w:val="FF0000"/>
          <w:lang w:val="af-ZA"/>
        </w:rPr>
        <w:t xml:space="preserve"> </w:t>
      </w:r>
      <w:r w:rsidR="00B104F0" w:rsidRPr="005510C6">
        <w:rPr>
          <w:rFonts w:ascii="Arial" w:hAnsi="Arial" w:cs="Arial"/>
          <w:lang w:val="af-ZA"/>
        </w:rPr>
        <w:t>applicant from making sure to raise the authority to depose to affidavits in founding papers.</w:t>
      </w:r>
      <w:r w:rsidR="00672E92">
        <w:rPr>
          <w:rFonts w:ascii="Arial" w:hAnsi="Arial" w:cs="Arial"/>
          <w:lang w:val="af-ZA"/>
        </w:rPr>
        <w:t xml:space="preserve"> </w:t>
      </w:r>
    </w:p>
    <w:p w:rsidR="00B104F0" w:rsidRPr="004B5E3E" w:rsidRDefault="00B104F0" w:rsidP="00B104F0">
      <w:pPr>
        <w:pStyle w:val="rteindent1"/>
        <w:shd w:val="clear" w:color="auto" w:fill="FFFFFF"/>
        <w:tabs>
          <w:tab w:val="left" w:pos="8055"/>
        </w:tabs>
        <w:spacing w:before="0" w:beforeAutospacing="0" w:after="0" w:afterAutospacing="0" w:line="360" w:lineRule="auto"/>
        <w:jc w:val="both"/>
        <w:rPr>
          <w:rFonts w:ascii="Arial" w:hAnsi="Arial" w:cs="Arial"/>
          <w:sz w:val="22"/>
          <w:szCs w:val="22"/>
        </w:rPr>
      </w:pPr>
    </w:p>
    <w:p w:rsidR="00B104F0" w:rsidRPr="00676923"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50</w:t>
      </w:r>
      <w:r>
        <w:rPr>
          <w:rFonts w:ascii="Arial" w:hAnsi="Arial" w:cs="Arial"/>
        </w:rPr>
        <w:t>]</w:t>
      </w:r>
      <w:r>
        <w:rPr>
          <w:rFonts w:ascii="Arial" w:hAnsi="Arial" w:cs="Arial"/>
        </w:rPr>
        <w:tab/>
        <w:t xml:space="preserve">The </w:t>
      </w:r>
      <w:r w:rsidRPr="00676923">
        <w:rPr>
          <w:rFonts w:ascii="Arial" w:hAnsi="Arial" w:cs="Arial"/>
          <w:i/>
        </w:rPr>
        <w:t>Standard Bank</w:t>
      </w:r>
      <w:r>
        <w:rPr>
          <w:rFonts w:ascii="Arial" w:hAnsi="Arial" w:cs="Arial"/>
        </w:rPr>
        <w:t xml:space="preserve"> matter to which Mr Jones referred the court to stands in contrast with the </w:t>
      </w:r>
      <w:r w:rsidRPr="00913608">
        <w:rPr>
          <w:rFonts w:ascii="Arial" w:hAnsi="Arial" w:cs="Arial"/>
          <w:i/>
        </w:rPr>
        <w:t xml:space="preserve">Pinkster </w:t>
      </w:r>
      <w:proofErr w:type="spellStart"/>
      <w:r w:rsidRPr="00913608">
        <w:rPr>
          <w:rFonts w:ascii="Arial" w:hAnsi="Arial" w:cs="Arial"/>
          <w:i/>
        </w:rPr>
        <w:t>Gemeente</w:t>
      </w:r>
      <w:proofErr w:type="spellEnd"/>
      <w:r>
        <w:rPr>
          <w:rFonts w:ascii="Arial" w:hAnsi="Arial" w:cs="Arial"/>
        </w:rPr>
        <w:t xml:space="preserve"> matter and appears to be the preferable position </w:t>
      </w:r>
      <w:r w:rsidRPr="00D3332A">
        <w:rPr>
          <w:rFonts w:ascii="Arial" w:hAnsi="Arial" w:cs="Arial"/>
        </w:rPr>
        <w:t>and</w:t>
      </w:r>
      <w:r>
        <w:rPr>
          <w:rFonts w:ascii="Arial" w:hAnsi="Arial" w:cs="Arial"/>
        </w:rPr>
        <w:t xml:space="preserve"> on all fours with the matter before me.  In that matter the applicant also failed to make the necessary averment in the founding affidavit and admitted to not making that very important allegation and then proceeded to </w:t>
      </w:r>
      <w:r w:rsidRPr="00676923">
        <w:rPr>
          <w:rFonts w:ascii="Arial" w:hAnsi="Arial" w:cs="Arial"/>
          <w:shd w:val="clear" w:color="auto" w:fill="FFFFFF"/>
        </w:rPr>
        <w:t>file a supplementary affidavit in direct response to the attack launched by the 1</w:t>
      </w:r>
      <w:r w:rsidRPr="00676923">
        <w:rPr>
          <w:rFonts w:ascii="Arial" w:hAnsi="Arial" w:cs="Arial"/>
          <w:shd w:val="clear" w:color="auto" w:fill="FFFFFF"/>
          <w:vertAlign w:val="superscript"/>
        </w:rPr>
        <w:t>st</w:t>
      </w:r>
      <w:r w:rsidRPr="00676923">
        <w:rPr>
          <w:rFonts w:ascii="Arial" w:hAnsi="Arial" w:cs="Arial"/>
          <w:shd w:val="clear" w:color="auto" w:fill="FFFFFF"/>
        </w:rPr>
        <w:t> respondent on the issue of authority. The applicant also admi</w:t>
      </w:r>
      <w:r>
        <w:rPr>
          <w:rFonts w:ascii="Arial" w:hAnsi="Arial" w:cs="Arial"/>
          <w:shd w:val="clear" w:color="auto" w:fill="FFFFFF"/>
        </w:rPr>
        <w:t>t</w:t>
      </w:r>
      <w:r w:rsidRPr="00676923">
        <w:rPr>
          <w:rFonts w:ascii="Arial" w:hAnsi="Arial" w:cs="Arial"/>
          <w:shd w:val="clear" w:color="auto" w:fill="FFFFFF"/>
        </w:rPr>
        <w:t>ted that it did not make the important allegation in its founding affidavit, hence the need to file the supplementary affidavit.</w:t>
      </w:r>
      <w:r>
        <w:rPr>
          <w:rFonts w:ascii="Arial" w:hAnsi="Arial" w:cs="Arial"/>
          <w:shd w:val="clear" w:color="auto" w:fill="FFFFFF"/>
        </w:rPr>
        <w:t xml:space="preserve"> The applicant filed the supplementary affidavit without leave of court.</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iCs/>
          <w:color w:val="000000"/>
          <w:shd w:val="clear" w:color="auto" w:fill="FFFFFF"/>
        </w:rPr>
      </w:pPr>
      <w:r>
        <w:rPr>
          <w:rFonts w:ascii="Arial" w:hAnsi="Arial" w:cs="Arial"/>
        </w:rPr>
        <w:t>[</w:t>
      </w:r>
      <w:r w:rsidR="00AD139F">
        <w:rPr>
          <w:rFonts w:ascii="Arial" w:hAnsi="Arial" w:cs="Arial"/>
        </w:rPr>
        <w:t>51</w:t>
      </w:r>
      <w:r>
        <w:rPr>
          <w:rFonts w:ascii="Arial" w:hAnsi="Arial" w:cs="Arial"/>
        </w:rPr>
        <w:t>]</w:t>
      </w:r>
      <w:r>
        <w:rPr>
          <w:rFonts w:ascii="Arial" w:hAnsi="Arial" w:cs="Arial"/>
        </w:rPr>
        <w:tab/>
        <w:t>A distinction must be drawn between matters where authority to launch the application is averred in the founding affidavit and objected to by the opposing party and those matters where absolutely no averments are made regard</w:t>
      </w:r>
      <w:r w:rsidRPr="00D3332A">
        <w:rPr>
          <w:rFonts w:ascii="Arial" w:hAnsi="Arial" w:cs="Arial"/>
        </w:rPr>
        <w:t>ing</w:t>
      </w:r>
      <w:r>
        <w:rPr>
          <w:rFonts w:ascii="Arial" w:hAnsi="Arial" w:cs="Arial"/>
        </w:rPr>
        <w:t xml:space="preserve"> authority. In the former instance the principles as set out in </w:t>
      </w:r>
      <w:proofErr w:type="spellStart"/>
      <w:r w:rsidRPr="006129AC">
        <w:rPr>
          <w:rFonts w:ascii="Arial" w:hAnsi="Arial" w:cs="Arial"/>
          <w:bCs/>
          <w:i/>
        </w:rPr>
        <w:t>O</w:t>
      </w:r>
      <w:r w:rsidRPr="006129AC">
        <w:rPr>
          <w:rFonts w:ascii="Arial" w:hAnsi="Arial" w:cs="Arial"/>
          <w:i/>
          <w:iCs/>
          <w:color w:val="000000"/>
          <w:shd w:val="clear" w:color="auto" w:fill="FFFFFF"/>
        </w:rPr>
        <w:t>tjozondjupa</w:t>
      </w:r>
      <w:proofErr w:type="spellEnd"/>
      <w:r w:rsidRPr="006129AC">
        <w:rPr>
          <w:rFonts w:ascii="Arial" w:hAnsi="Arial" w:cs="Arial"/>
          <w:i/>
          <w:iCs/>
          <w:color w:val="000000"/>
          <w:shd w:val="clear" w:color="auto" w:fill="FFFFFF"/>
        </w:rPr>
        <w:t xml:space="preserve"> Regional Council v Dr </w:t>
      </w:r>
      <w:proofErr w:type="spellStart"/>
      <w:r w:rsidRPr="006129AC">
        <w:rPr>
          <w:rFonts w:ascii="Arial" w:hAnsi="Arial" w:cs="Arial"/>
          <w:i/>
          <w:iCs/>
          <w:color w:val="000000"/>
          <w:shd w:val="clear" w:color="auto" w:fill="FFFFFF"/>
        </w:rPr>
        <w:t>Ndahafa</w:t>
      </w:r>
      <w:proofErr w:type="spellEnd"/>
      <w:r w:rsidRPr="006129AC">
        <w:rPr>
          <w:rFonts w:ascii="Arial" w:hAnsi="Arial" w:cs="Arial"/>
          <w:i/>
          <w:iCs/>
          <w:color w:val="000000"/>
          <w:shd w:val="clear" w:color="auto" w:fill="FFFFFF"/>
        </w:rPr>
        <w:t xml:space="preserve"> Aino-Cecilia </w:t>
      </w:r>
      <w:proofErr w:type="spellStart"/>
      <w:r w:rsidRPr="006129AC">
        <w:rPr>
          <w:rFonts w:ascii="Arial" w:hAnsi="Arial" w:cs="Arial"/>
          <w:i/>
          <w:iCs/>
          <w:color w:val="000000"/>
          <w:shd w:val="clear" w:color="auto" w:fill="FFFFFF"/>
        </w:rPr>
        <w:t>Nghifindaka</w:t>
      </w:r>
      <w:proofErr w:type="spellEnd"/>
      <w:r w:rsidRPr="006129AC">
        <w:rPr>
          <w:rFonts w:ascii="Arial" w:hAnsi="Arial" w:cs="Arial"/>
          <w:i/>
          <w:iCs/>
          <w:color w:val="000000"/>
          <w:shd w:val="clear" w:color="auto" w:fill="FFFFFF"/>
        </w:rPr>
        <w:t xml:space="preserve"> &amp; Two Others</w:t>
      </w:r>
      <w:r>
        <w:rPr>
          <w:rStyle w:val="FootnoteReference"/>
          <w:rFonts w:ascii="Arial" w:hAnsi="Arial" w:cs="Arial"/>
          <w:bCs/>
        </w:rPr>
        <w:footnoteReference w:id="17"/>
      </w:r>
      <w:r>
        <w:rPr>
          <w:rFonts w:ascii="Arial" w:hAnsi="Arial" w:cs="Arial"/>
          <w:i/>
          <w:iCs/>
          <w:color w:val="000000"/>
          <w:shd w:val="clear" w:color="auto" w:fill="FFFFFF"/>
        </w:rPr>
        <w:t xml:space="preserve"> </w:t>
      </w:r>
      <w:r w:rsidRPr="00F83BD7">
        <w:rPr>
          <w:rFonts w:ascii="Arial" w:hAnsi="Arial" w:cs="Arial"/>
          <w:iCs/>
          <w:color w:val="000000"/>
          <w:shd w:val="clear" w:color="auto" w:fill="FFFFFF"/>
        </w:rPr>
        <w:t>applies</w:t>
      </w:r>
      <w:r>
        <w:rPr>
          <w:rFonts w:ascii="Arial" w:hAnsi="Arial" w:cs="Arial"/>
          <w:i/>
          <w:iCs/>
          <w:color w:val="000000"/>
          <w:shd w:val="clear" w:color="auto" w:fill="FFFFFF"/>
        </w:rPr>
        <w:t xml:space="preserve">. </w:t>
      </w:r>
      <w:r>
        <w:rPr>
          <w:rFonts w:ascii="Arial" w:hAnsi="Arial" w:cs="Arial"/>
          <w:iCs/>
          <w:color w:val="000000"/>
          <w:shd w:val="clear" w:color="auto" w:fill="FFFFFF"/>
        </w:rPr>
        <w:t xml:space="preserve">In the </w:t>
      </w:r>
      <w:proofErr w:type="spellStart"/>
      <w:r w:rsidRPr="00F83BD7">
        <w:rPr>
          <w:rFonts w:ascii="Arial" w:hAnsi="Arial" w:cs="Arial"/>
          <w:i/>
          <w:iCs/>
          <w:color w:val="000000"/>
          <w:shd w:val="clear" w:color="auto" w:fill="FFFFFF"/>
        </w:rPr>
        <w:t>Otjozondjupa</w:t>
      </w:r>
      <w:proofErr w:type="spellEnd"/>
      <w:r w:rsidRPr="00F83BD7">
        <w:rPr>
          <w:rFonts w:ascii="Arial" w:hAnsi="Arial" w:cs="Arial"/>
          <w:i/>
          <w:iCs/>
          <w:color w:val="000000"/>
          <w:shd w:val="clear" w:color="auto" w:fill="FFFFFF"/>
        </w:rPr>
        <w:t xml:space="preserve"> Regional Council</w:t>
      </w:r>
      <w:r>
        <w:rPr>
          <w:rFonts w:ascii="Arial" w:hAnsi="Arial" w:cs="Arial"/>
          <w:iCs/>
          <w:color w:val="000000"/>
          <w:shd w:val="clear" w:color="auto" w:fill="FFFFFF"/>
        </w:rPr>
        <w:t xml:space="preserve"> matter Muller J (as he then was) sets out the principles as follows: </w:t>
      </w:r>
    </w:p>
    <w:p w:rsidR="00B104F0" w:rsidRPr="00F83BD7"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shd w:val="clear" w:color="auto" w:fill="FFFFFF"/>
        <w:spacing w:after="0" w:line="360" w:lineRule="auto"/>
        <w:ind w:firstLine="720"/>
        <w:jc w:val="both"/>
        <w:rPr>
          <w:rFonts w:ascii="Arial" w:eastAsia="Times New Roman" w:hAnsi="Arial" w:cs="Arial"/>
          <w:iCs/>
          <w:color w:val="000000"/>
          <w:lang w:eastAsia="en-ZA"/>
        </w:rPr>
      </w:pPr>
      <w:r>
        <w:rPr>
          <w:rFonts w:ascii="Arial" w:eastAsia="Times New Roman" w:hAnsi="Arial" w:cs="Arial"/>
          <w:iCs/>
          <w:color w:val="000000"/>
          <w:lang w:eastAsia="en-ZA"/>
        </w:rPr>
        <w:t>‘</w:t>
      </w:r>
      <w:r w:rsidRPr="00CE65EE">
        <w:rPr>
          <w:rFonts w:ascii="Arial" w:eastAsia="Times New Roman" w:hAnsi="Arial" w:cs="Arial"/>
          <w:iCs/>
          <w:color w:val="000000"/>
          <w:lang w:eastAsia="en-ZA"/>
        </w:rPr>
        <w:t>(a) The deponent of an affidavit on behalf of an artificial person has to state that he or she was duly authorised to bring the application and this will constitute that some</w:t>
      </w:r>
      <w:r>
        <w:rPr>
          <w:rFonts w:ascii="Arial" w:eastAsia="Times New Roman" w:hAnsi="Arial" w:cs="Arial"/>
          <w:iCs/>
          <w:color w:val="000000"/>
          <w:lang w:eastAsia="en-ZA"/>
        </w:rPr>
        <w:t xml:space="preserve"> </w:t>
      </w:r>
      <w:r w:rsidRPr="00CE65EE">
        <w:rPr>
          <w:rFonts w:ascii="Arial" w:eastAsia="Times New Roman" w:hAnsi="Arial" w:cs="Arial"/>
          <w:iCs/>
          <w:color w:val="000000"/>
          <w:lang w:eastAsia="en-ZA"/>
        </w:rPr>
        <w:t>evidence in respect of the authorization has been placed before Court;</w:t>
      </w:r>
    </w:p>
    <w:p w:rsidR="00B104F0" w:rsidRDefault="00B104F0" w:rsidP="00B104F0">
      <w:pPr>
        <w:shd w:val="clear" w:color="auto" w:fill="FFFFFF"/>
        <w:spacing w:after="0" w:line="360" w:lineRule="auto"/>
        <w:jc w:val="both"/>
        <w:rPr>
          <w:rFonts w:ascii="Arial" w:eastAsia="Times New Roman" w:hAnsi="Arial" w:cs="Arial"/>
          <w:iCs/>
          <w:color w:val="000000"/>
          <w:lang w:eastAsia="en-ZA"/>
        </w:rPr>
      </w:pPr>
      <w:r>
        <w:rPr>
          <w:rFonts w:ascii="Arial" w:eastAsia="Times New Roman" w:hAnsi="Arial" w:cs="Arial"/>
          <w:iCs/>
          <w:color w:val="000000"/>
          <w:lang w:eastAsia="en-ZA"/>
        </w:rPr>
        <w:t>(</w:t>
      </w:r>
      <w:r w:rsidRPr="00CE65EE">
        <w:rPr>
          <w:rFonts w:ascii="Arial" w:eastAsia="Times New Roman" w:hAnsi="Arial" w:cs="Arial"/>
          <w:iCs/>
          <w:color w:val="000000"/>
          <w:lang w:eastAsia="en-ZA"/>
        </w:rPr>
        <w:t>b) If there is any objection to the authority to bring the application, such authorisation</w:t>
      </w:r>
      <w:r>
        <w:rPr>
          <w:rFonts w:ascii="Arial" w:eastAsia="Times New Roman" w:hAnsi="Arial" w:cs="Arial"/>
          <w:iCs/>
          <w:color w:val="000000"/>
          <w:lang w:eastAsia="en-ZA"/>
        </w:rPr>
        <w:t xml:space="preserve"> </w:t>
      </w:r>
      <w:r w:rsidRPr="0056465D">
        <w:rPr>
          <w:rFonts w:ascii="Arial" w:hAnsi="Arial" w:cs="Arial"/>
        </w:rPr>
        <w:t>can be provided in the replying affidavit</w:t>
      </w:r>
      <w:r>
        <w:rPr>
          <w:rFonts w:ascii="Arial" w:hAnsi="Arial" w:cs="Arial"/>
        </w:rPr>
        <w:t>;</w:t>
      </w:r>
    </w:p>
    <w:p w:rsidR="00B104F0" w:rsidRDefault="00B104F0" w:rsidP="00B104F0">
      <w:pPr>
        <w:shd w:val="clear" w:color="auto" w:fill="FFFFFF"/>
        <w:spacing w:after="0" w:line="360" w:lineRule="auto"/>
        <w:jc w:val="both"/>
        <w:rPr>
          <w:rFonts w:ascii="Arial" w:eastAsia="Times New Roman" w:hAnsi="Arial" w:cs="Arial"/>
          <w:iCs/>
          <w:color w:val="000000"/>
          <w:lang w:eastAsia="en-ZA"/>
        </w:rPr>
      </w:pPr>
      <w:r w:rsidRPr="0056465D">
        <w:rPr>
          <w:rFonts w:ascii="Arial" w:eastAsia="Times New Roman" w:hAnsi="Arial" w:cs="Arial"/>
          <w:iCs/>
          <w:color w:val="000000"/>
          <w:lang w:eastAsia="en-ZA"/>
        </w:rPr>
        <w:t xml:space="preserve">(c) </w:t>
      </w:r>
      <w:r w:rsidRPr="0056465D">
        <w:rPr>
          <w:rFonts w:ascii="Arial" w:hAnsi="Arial" w:cs="Arial"/>
        </w:rPr>
        <w:t>Even if there was no proper resolution in respect of authority, it can be taken and provided at a later stage and operates retrospectively</w:t>
      </w:r>
      <w:r w:rsidRPr="0056465D">
        <w:rPr>
          <w:rFonts w:ascii="Arial" w:eastAsia="Times New Roman" w:hAnsi="Arial" w:cs="Arial"/>
          <w:iCs/>
          <w:color w:val="000000"/>
          <w:lang w:eastAsia="en-ZA"/>
        </w:rPr>
        <w:t>;</w:t>
      </w:r>
    </w:p>
    <w:p w:rsidR="00B104F0" w:rsidRDefault="00B104F0" w:rsidP="00B104F0">
      <w:pPr>
        <w:shd w:val="clear" w:color="auto" w:fill="FFFFFF"/>
        <w:spacing w:after="0" w:line="360" w:lineRule="auto"/>
        <w:jc w:val="both"/>
        <w:rPr>
          <w:rFonts w:ascii="Arial" w:eastAsia="Times New Roman" w:hAnsi="Arial" w:cs="Arial"/>
          <w:iCs/>
          <w:color w:val="000000"/>
          <w:lang w:eastAsia="en-ZA"/>
        </w:rPr>
      </w:pPr>
      <w:r w:rsidRPr="00CE65EE">
        <w:rPr>
          <w:rFonts w:ascii="Arial" w:eastAsia="Times New Roman" w:hAnsi="Arial" w:cs="Arial"/>
          <w:iCs/>
          <w:color w:val="000000"/>
          <w:lang w:eastAsia="en-ZA"/>
        </w:rPr>
        <w:t>(d) Each case will in any event be considered in respect of its own circumstances;</w:t>
      </w:r>
      <w:r>
        <w:rPr>
          <w:rFonts w:ascii="Arial" w:eastAsia="Times New Roman" w:hAnsi="Arial" w:cs="Arial"/>
          <w:iCs/>
          <w:color w:val="000000"/>
          <w:lang w:eastAsia="en-ZA"/>
        </w:rPr>
        <w:t xml:space="preserve"> a</w:t>
      </w:r>
      <w:r w:rsidRPr="00CE65EE">
        <w:rPr>
          <w:rFonts w:ascii="Arial" w:eastAsia="Times New Roman" w:hAnsi="Arial" w:cs="Arial"/>
          <w:iCs/>
          <w:color w:val="000000"/>
          <w:lang w:eastAsia="en-ZA"/>
        </w:rPr>
        <w:t>nd</w:t>
      </w:r>
    </w:p>
    <w:p w:rsidR="00B104F0" w:rsidRPr="00C43862" w:rsidRDefault="00B104F0" w:rsidP="00B104F0">
      <w:pPr>
        <w:shd w:val="clear" w:color="auto" w:fill="FFFFFF"/>
        <w:spacing w:after="0" w:line="360" w:lineRule="auto"/>
        <w:jc w:val="both"/>
        <w:rPr>
          <w:rFonts w:ascii="Arial" w:eastAsia="Times New Roman" w:hAnsi="Arial" w:cs="Arial"/>
          <w:iCs/>
          <w:color w:val="000000"/>
          <w:lang w:eastAsia="en-ZA"/>
        </w:rPr>
      </w:pPr>
      <w:r w:rsidRPr="00CE65EE">
        <w:rPr>
          <w:rFonts w:ascii="Arial" w:eastAsia="Times New Roman" w:hAnsi="Arial" w:cs="Arial"/>
          <w:iCs/>
          <w:color w:val="000000"/>
          <w:lang w:eastAsia="en-ZA"/>
        </w:rPr>
        <w:t>(e) It is in the discretion of the Court to decide whether enough has been placed</w:t>
      </w:r>
      <w:r>
        <w:rPr>
          <w:rFonts w:ascii="Arial" w:eastAsia="Times New Roman" w:hAnsi="Arial" w:cs="Arial"/>
          <w:iCs/>
          <w:color w:val="000000"/>
          <w:lang w:eastAsia="en-ZA"/>
        </w:rPr>
        <w:t xml:space="preserve"> </w:t>
      </w:r>
      <w:r w:rsidRPr="00CE65EE">
        <w:rPr>
          <w:rFonts w:ascii="Arial" w:eastAsia="Times New Roman" w:hAnsi="Arial" w:cs="Arial"/>
          <w:iCs/>
          <w:color w:val="000000"/>
          <w:lang w:eastAsia="en-ZA"/>
        </w:rPr>
        <w:t>before it to conclude that it is the applicant who is litigating and not some una</w:t>
      </w:r>
      <w:r>
        <w:rPr>
          <w:rFonts w:ascii="Arial" w:eastAsia="Times New Roman" w:hAnsi="Arial" w:cs="Arial"/>
          <w:iCs/>
          <w:color w:val="000000"/>
          <w:lang w:eastAsia="en-ZA"/>
        </w:rPr>
        <w:t>uthorised person on its behalf.’</w:t>
      </w:r>
      <w:r w:rsidRPr="00651C9C">
        <w:t xml:space="preserve"> </w:t>
      </w:r>
    </w:p>
    <w:p w:rsidR="00B104F0" w:rsidRPr="006129AC" w:rsidRDefault="00B104F0" w:rsidP="00B104F0">
      <w:pPr>
        <w:pStyle w:val="western"/>
        <w:shd w:val="clear" w:color="auto" w:fill="FFFFFF"/>
        <w:spacing w:before="0" w:beforeAutospacing="0" w:after="0" w:afterAutospacing="0" w:line="360" w:lineRule="auto"/>
        <w:jc w:val="both"/>
        <w:rPr>
          <w:rFonts w:ascii="Arial" w:hAnsi="Arial" w:cs="Arial"/>
          <w:sz w:val="20"/>
          <w:szCs w:val="20"/>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w:t>
      </w:r>
      <w:r w:rsidR="00AD139F">
        <w:rPr>
          <w:rFonts w:ascii="Arial" w:hAnsi="Arial" w:cs="Arial"/>
        </w:rPr>
        <w:t>52</w:t>
      </w:r>
      <w:r>
        <w:rPr>
          <w:rFonts w:ascii="Arial" w:hAnsi="Arial" w:cs="Arial"/>
        </w:rPr>
        <w:t>]</w:t>
      </w:r>
      <w:r>
        <w:rPr>
          <w:rFonts w:ascii="Arial" w:hAnsi="Arial" w:cs="Arial"/>
        </w:rPr>
        <w:tab/>
      </w:r>
      <w:proofErr w:type="spellStart"/>
      <w:r>
        <w:rPr>
          <w:rFonts w:ascii="Arial" w:hAnsi="Arial" w:cs="Arial"/>
        </w:rPr>
        <w:t>Masuku</w:t>
      </w:r>
      <w:proofErr w:type="spellEnd"/>
      <w:r>
        <w:rPr>
          <w:rFonts w:ascii="Arial" w:hAnsi="Arial" w:cs="Arial"/>
        </w:rPr>
        <w:t xml:space="preserve"> J stated as follows in the </w:t>
      </w:r>
      <w:r w:rsidRPr="0009425F">
        <w:rPr>
          <w:rFonts w:ascii="Arial" w:hAnsi="Arial" w:cs="Arial"/>
          <w:i/>
        </w:rPr>
        <w:t>Standard Bank</w:t>
      </w:r>
      <w:r>
        <w:rPr>
          <w:rFonts w:ascii="Arial" w:hAnsi="Arial" w:cs="Arial"/>
        </w:rPr>
        <w:t xml:space="preserve"> matter: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Pr="002241CF" w:rsidRDefault="00B104F0" w:rsidP="00B104F0">
      <w:pPr>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lang w:eastAsia="en-ZA"/>
        </w:rPr>
        <w:t>‘</w:t>
      </w:r>
      <w:r w:rsidR="00036B27">
        <w:rPr>
          <w:rFonts w:ascii="Arial" w:eastAsia="Times New Roman" w:hAnsi="Arial" w:cs="Arial"/>
          <w:lang w:eastAsia="en-ZA"/>
        </w:rPr>
        <w:t>[11]</w:t>
      </w:r>
      <w:r w:rsidRPr="002241CF">
        <w:rPr>
          <w:rFonts w:ascii="Arial" w:eastAsia="Times New Roman" w:hAnsi="Arial" w:cs="Arial"/>
          <w:lang w:eastAsia="en-ZA"/>
        </w:rPr>
        <w:t xml:space="preserve"> It is a matter of note that the applicant did not address this issue at all in its founding affidavit and </w:t>
      </w:r>
      <w:r w:rsidRPr="00BF1B09">
        <w:rPr>
          <w:rFonts w:ascii="Arial" w:eastAsia="Times New Roman" w:hAnsi="Arial" w:cs="Arial"/>
          <w:lang w:eastAsia="en-ZA"/>
        </w:rPr>
        <w:t xml:space="preserve">thus </w:t>
      </w:r>
      <w:r w:rsidRPr="00BF1B09">
        <w:rPr>
          <w:rFonts w:ascii="Arial" w:eastAsia="Times New Roman" w:hAnsi="Arial" w:cs="Arial"/>
          <w:u w:val="single"/>
          <w:lang w:eastAsia="en-ZA"/>
        </w:rPr>
        <w:t>could not, in reply, place proof of the authority as no authority whatsoever, was alleged</w:t>
      </w:r>
      <w:r w:rsidRPr="00BF1B09">
        <w:rPr>
          <w:rFonts w:ascii="Arial" w:eastAsia="Times New Roman" w:hAnsi="Arial" w:cs="Arial"/>
          <w:lang w:eastAsia="en-ZA"/>
        </w:rPr>
        <w:t xml:space="preserve">.  It is a trite principle of law that a party stands or falls on its founding affidavit. In the instant case, the applicant did not make out a case for the authority in the founding papers, nor did or could it do </w:t>
      </w:r>
      <w:proofErr w:type="gramStart"/>
      <w:r w:rsidRPr="00BF1B09">
        <w:rPr>
          <w:rFonts w:ascii="Arial" w:eastAsia="Times New Roman" w:hAnsi="Arial" w:cs="Arial"/>
          <w:lang w:eastAsia="en-ZA"/>
        </w:rPr>
        <w:t>so</w:t>
      </w:r>
      <w:proofErr w:type="gramEnd"/>
      <w:r w:rsidRPr="00BF1B09">
        <w:rPr>
          <w:rFonts w:ascii="Arial" w:eastAsia="Times New Roman" w:hAnsi="Arial" w:cs="Arial"/>
          <w:lang w:eastAsia="en-ZA"/>
        </w:rPr>
        <w:t xml:space="preserve"> in reply as that opportunity never came.</w:t>
      </w:r>
      <w:r w:rsidR="00F03EE1">
        <w:rPr>
          <w:rFonts w:ascii="Arial" w:eastAsia="Times New Roman" w:hAnsi="Arial" w:cs="Arial"/>
          <w:lang w:eastAsia="en-ZA"/>
        </w:rPr>
        <w:t>’</w:t>
      </w:r>
      <w:r>
        <w:rPr>
          <w:rFonts w:ascii="Arial" w:eastAsia="Times New Roman" w:hAnsi="Arial" w:cs="Arial"/>
          <w:lang w:eastAsia="en-ZA"/>
        </w:rPr>
        <w:t xml:space="preserve"> (My underlining)</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53</w:t>
      </w:r>
      <w:r>
        <w:rPr>
          <w:rFonts w:ascii="Arial" w:hAnsi="Arial" w:cs="Arial"/>
        </w:rPr>
        <w:t>]</w:t>
      </w:r>
      <w:r>
        <w:rPr>
          <w:rFonts w:ascii="Arial" w:hAnsi="Arial" w:cs="Arial"/>
        </w:rPr>
        <w:tab/>
        <w:t xml:space="preserve">And further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spacing w:after="0" w:line="360" w:lineRule="auto"/>
        <w:ind w:firstLine="720"/>
        <w:jc w:val="both"/>
        <w:rPr>
          <w:rFonts w:ascii="Arial" w:hAnsi="Arial"/>
        </w:rPr>
      </w:pPr>
      <w:r>
        <w:rPr>
          <w:rFonts w:ascii="Arial" w:hAnsi="Arial"/>
        </w:rPr>
        <w:t>[18]</w:t>
      </w:r>
      <w:r>
        <w:rPr>
          <w:rFonts w:ascii="Arial" w:hAnsi="Arial"/>
        </w:rPr>
        <w:tab/>
        <w:t xml:space="preserve">Authorisation of proceedings is a serious matter, and is not just an idle incantation required for fastidious reasons. The court must know, before it lends its processes, that the proceedings before it are properly authorised. This is done by a statement on oath, where applicable, with evidence </w:t>
      </w:r>
      <w:r w:rsidR="00CB0AF0">
        <w:rPr>
          <w:rFonts w:ascii="Arial" w:hAnsi="Arial"/>
        </w:rPr>
        <w:t>thereof that</w:t>
      </w:r>
      <w:r>
        <w:rPr>
          <w:rFonts w:ascii="Arial" w:hAnsi="Arial"/>
        </w:rPr>
        <w:t xml:space="preserve"> the person who institutes or defends the proceedings is properly authorised and is not on a reckless, self-serving frolic of his or her own. </w:t>
      </w:r>
    </w:p>
    <w:p w:rsidR="00B104F0" w:rsidRDefault="00B104F0" w:rsidP="00B104F0">
      <w:pPr>
        <w:spacing w:after="0" w:line="360" w:lineRule="auto"/>
        <w:ind w:firstLine="720"/>
        <w:jc w:val="both"/>
        <w:rPr>
          <w:rFonts w:ascii="Arial" w:hAnsi="Arial"/>
        </w:rPr>
      </w:pPr>
      <w:r w:rsidRPr="00BF1B09">
        <w:rPr>
          <w:rFonts w:ascii="Arial" w:hAnsi="Arial"/>
        </w:rPr>
        <w:t>[19]</w:t>
      </w:r>
      <w:r w:rsidRPr="00BF1B09">
        <w:rPr>
          <w:rFonts w:ascii="Arial" w:hAnsi="Arial"/>
        </w:rPr>
        <w:tab/>
        <w:t>Once this is not stated in the founding affidavit, the only conclusion that may be reached is that the proceedings are not properly authorised and that inevitably, is the applicant’s fate in these proceedings.</w:t>
      </w:r>
      <w:r>
        <w:rPr>
          <w:rFonts w:ascii="Arial" w:hAnsi="Arial"/>
        </w:rPr>
        <w:t xml:space="preserve"> It is accordingly unnecessary to consider the other issues raised by the 1</w:t>
      </w:r>
      <w:r w:rsidRPr="00DE08FD">
        <w:rPr>
          <w:rFonts w:ascii="Arial" w:hAnsi="Arial"/>
          <w:vertAlign w:val="superscript"/>
        </w:rPr>
        <w:t>st</w:t>
      </w:r>
      <w:r>
        <w:rPr>
          <w:rFonts w:ascii="Arial" w:hAnsi="Arial"/>
        </w:rPr>
        <w:t xml:space="preserve"> respondent in his notice.</w:t>
      </w:r>
    </w:p>
    <w:p w:rsidR="00B104F0" w:rsidRDefault="00B104F0" w:rsidP="00B104F0">
      <w:pPr>
        <w:spacing w:after="0" w:line="360" w:lineRule="auto"/>
        <w:jc w:val="both"/>
        <w:rPr>
          <w:rFonts w:ascii="Arial" w:hAnsi="Arial"/>
        </w:rPr>
      </w:pPr>
    </w:p>
    <w:p w:rsidR="00B104F0" w:rsidRDefault="00B104F0" w:rsidP="00B104F0">
      <w:pPr>
        <w:spacing w:after="0" w:line="360" w:lineRule="auto"/>
        <w:ind w:firstLine="720"/>
        <w:jc w:val="both"/>
        <w:rPr>
          <w:rFonts w:ascii="Arial" w:hAnsi="Arial"/>
        </w:rPr>
      </w:pPr>
      <w:r>
        <w:rPr>
          <w:rFonts w:ascii="Arial" w:hAnsi="Arial"/>
        </w:rPr>
        <w:t>[20]</w:t>
      </w:r>
      <w:r>
        <w:rPr>
          <w:rFonts w:ascii="Arial" w:hAnsi="Arial"/>
        </w:rPr>
        <w:tab/>
        <w:t xml:space="preserve">The learned authors </w:t>
      </w:r>
      <w:proofErr w:type="spellStart"/>
      <w:r>
        <w:rPr>
          <w:rFonts w:ascii="Arial" w:hAnsi="Arial"/>
        </w:rPr>
        <w:t>Herbstein</w:t>
      </w:r>
      <w:proofErr w:type="spellEnd"/>
      <w:r>
        <w:rPr>
          <w:rFonts w:ascii="Arial" w:hAnsi="Arial"/>
        </w:rPr>
        <w:t xml:space="preserve"> &amp; Van </w:t>
      </w:r>
      <w:proofErr w:type="spellStart"/>
      <w:r>
        <w:rPr>
          <w:rFonts w:ascii="Arial" w:hAnsi="Arial"/>
        </w:rPr>
        <w:t>Winsen</w:t>
      </w:r>
      <w:proofErr w:type="spellEnd"/>
      <w:r>
        <w:rPr>
          <w:rStyle w:val="FootnoteReference"/>
          <w:rFonts w:ascii="Arial" w:hAnsi="Arial"/>
        </w:rPr>
        <w:footnoteReference w:id="18"/>
      </w:r>
      <w:r>
        <w:rPr>
          <w:rFonts w:ascii="Arial" w:hAnsi="Arial"/>
        </w:rPr>
        <w:t xml:space="preserve"> say, ‘The necessary allegations must appear in the supporting affidavits, for the court will not, save in exceptional circumstances, allow the applicant to make or supplement a case in a replying affidavit and will order any matter appearing in it that should have been in the supporting affidavits to be struck out.’ This is the law even in this Republic as propounded in what has become known as the </w:t>
      </w:r>
      <w:proofErr w:type="spellStart"/>
      <w:r>
        <w:rPr>
          <w:rFonts w:ascii="Arial" w:hAnsi="Arial"/>
          <w:i/>
        </w:rPr>
        <w:t>Stipp</w:t>
      </w:r>
      <w:proofErr w:type="spellEnd"/>
      <w:r>
        <w:rPr>
          <w:rFonts w:ascii="Arial" w:hAnsi="Arial"/>
          <w:i/>
        </w:rPr>
        <w:t xml:space="preserve"> </w:t>
      </w:r>
      <w:r>
        <w:rPr>
          <w:rFonts w:ascii="Arial" w:hAnsi="Arial"/>
        </w:rPr>
        <w:t>principle.</w:t>
      </w:r>
      <w:r>
        <w:rPr>
          <w:rStyle w:val="FootnoteReference"/>
          <w:rFonts w:ascii="Arial" w:hAnsi="Arial"/>
        </w:rPr>
        <w:footnoteReference w:id="19"/>
      </w:r>
      <w:r>
        <w:rPr>
          <w:rFonts w:ascii="Arial" w:hAnsi="Arial"/>
        </w:rPr>
        <w:t>’</w:t>
      </w:r>
    </w:p>
    <w:p w:rsidR="00B104F0" w:rsidRDefault="00B104F0" w:rsidP="00B104F0">
      <w:pPr>
        <w:pStyle w:val="western"/>
        <w:shd w:val="clear" w:color="auto" w:fill="FFFFFF"/>
        <w:spacing w:before="0" w:beforeAutospacing="0" w:after="0" w:afterAutospacing="0" w:line="360" w:lineRule="auto"/>
        <w:ind w:firstLine="720"/>
        <w:jc w:val="both"/>
        <w:rPr>
          <w:rFonts w:ascii="Arial" w:hAnsi="Arial"/>
        </w:rPr>
      </w:pPr>
      <w:r>
        <w:rPr>
          <w:rFonts w:ascii="Arial" w:hAnsi="Arial"/>
        </w:rPr>
        <w:t xml:space="preserve">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54</w:t>
      </w:r>
      <w:r>
        <w:rPr>
          <w:rFonts w:ascii="Arial" w:hAnsi="Arial" w:cs="Arial"/>
        </w:rPr>
        <w:t>]</w:t>
      </w:r>
      <w:r>
        <w:rPr>
          <w:rFonts w:ascii="Arial" w:hAnsi="Arial" w:cs="Arial"/>
        </w:rPr>
        <w:tab/>
        <w:t xml:space="preserve">I fully associate </w:t>
      </w:r>
      <w:r w:rsidRPr="00D3332A">
        <w:rPr>
          <w:rFonts w:ascii="Arial" w:hAnsi="Arial" w:cs="Arial"/>
        </w:rPr>
        <w:t xml:space="preserve">myself </w:t>
      </w:r>
      <w:r>
        <w:rPr>
          <w:rFonts w:ascii="Arial" w:hAnsi="Arial" w:cs="Arial"/>
        </w:rPr>
        <w:t xml:space="preserve">with this court’s judgment in the </w:t>
      </w:r>
      <w:r w:rsidRPr="00453AF2">
        <w:rPr>
          <w:rFonts w:ascii="Arial" w:hAnsi="Arial" w:cs="Arial"/>
          <w:i/>
        </w:rPr>
        <w:t xml:space="preserve">Standard Bank </w:t>
      </w:r>
      <w:r>
        <w:rPr>
          <w:rFonts w:ascii="Arial" w:hAnsi="Arial" w:cs="Arial"/>
        </w:rPr>
        <w:t xml:space="preserve">matter and must reach the same conclusions as my Brother and whereas there are no allegation that the </w:t>
      </w:r>
      <w:r w:rsidR="00D3332A">
        <w:rPr>
          <w:rFonts w:ascii="Arial" w:hAnsi="Arial" w:cs="Arial"/>
        </w:rPr>
        <w:t xml:space="preserve">current </w:t>
      </w:r>
      <w:r>
        <w:rPr>
          <w:rFonts w:ascii="Arial" w:hAnsi="Arial" w:cs="Arial"/>
        </w:rPr>
        <w:t>proceedings are authorised</w:t>
      </w:r>
      <w:r w:rsidR="00D3332A">
        <w:rPr>
          <w:rFonts w:ascii="Arial" w:hAnsi="Arial" w:cs="Arial"/>
        </w:rPr>
        <w:t>,</w:t>
      </w:r>
      <w:r>
        <w:rPr>
          <w:rFonts w:ascii="Arial" w:hAnsi="Arial" w:cs="Arial"/>
        </w:rPr>
        <w:t xml:space="preserve"> the proceedings cannot be allowed to continue. </w:t>
      </w:r>
    </w:p>
    <w:p w:rsidR="00B104F0" w:rsidRDefault="00AD139F"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[55]</w:t>
      </w:r>
      <w:r w:rsidR="00B104F0">
        <w:rPr>
          <w:rFonts w:ascii="Arial" w:hAnsi="Arial" w:cs="Arial"/>
        </w:rPr>
        <w:tab/>
        <w:t xml:space="preserve">Under normal circumstances I would not have considered the remainder of the legal points raised by the defendant, however due to the unique circumstances of this case I feel duty bound </w:t>
      </w:r>
      <w:r w:rsidR="00B104F0" w:rsidRPr="00D3332A">
        <w:rPr>
          <w:rFonts w:ascii="Arial" w:hAnsi="Arial" w:cs="Arial"/>
        </w:rPr>
        <w:t xml:space="preserve">to </w:t>
      </w:r>
      <w:r w:rsidR="00B104F0">
        <w:rPr>
          <w:rFonts w:ascii="Arial" w:hAnsi="Arial" w:cs="Arial"/>
        </w:rPr>
        <w:t xml:space="preserve">discuss </w:t>
      </w:r>
      <w:r w:rsidR="00B104F0" w:rsidRPr="00D3332A">
        <w:rPr>
          <w:rFonts w:ascii="Arial" w:hAnsi="Arial" w:cs="Arial"/>
        </w:rPr>
        <w:t xml:space="preserve">the rest of the </w:t>
      </w:r>
      <w:r w:rsidR="00F03EE1">
        <w:rPr>
          <w:rFonts w:ascii="Arial" w:hAnsi="Arial" w:cs="Arial"/>
        </w:rPr>
        <w:t xml:space="preserve">points in </w:t>
      </w:r>
      <w:proofErr w:type="spellStart"/>
      <w:r w:rsidR="00F03EE1">
        <w:rPr>
          <w:rFonts w:ascii="Arial" w:hAnsi="Arial" w:cs="Arial"/>
        </w:rPr>
        <w:t>limine</w:t>
      </w:r>
      <w:proofErr w:type="spellEnd"/>
      <w:r w:rsidR="00F03EE1">
        <w:rPr>
          <w:rFonts w:ascii="Arial" w:hAnsi="Arial" w:cs="Arial"/>
        </w:rPr>
        <w:t xml:space="preserve">. </w:t>
      </w:r>
      <w:r w:rsidR="00B104F0">
        <w:rPr>
          <w:rFonts w:ascii="Arial" w:hAnsi="Arial" w:cs="Arial"/>
        </w:rPr>
        <w:t xml:space="preserve">However before I do I would like to touch on one more issue that Mr Jones alluded to in his heads of argument and that is the issue of legal practitioners deposing to affidavits.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56</w:t>
      </w:r>
      <w:r>
        <w:rPr>
          <w:rFonts w:ascii="Arial" w:hAnsi="Arial" w:cs="Arial"/>
        </w:rPr>
        <w:t>]</w:t>
      </w:r>
      <w:r>
        <w:rPr>
          <w:rFonts w:ascii="Arial" w:hAnsi="Arial" w:cs="Arial"/>
        </w:rPr>
        <w:tab/>
        <w:t xml:space="preserve">In </w:t>
      </w:r>
      <w:r w:rsidRPr="00D3332A">
        <w:rPr>
          <w:rFonts w:ascii="Arial" w:hAnsi="Arial" w:cs="Arial"/>
        </w:rPr>
        <w:t xml:space="preserve">a fresh and recent judgment of </w:t>
      </w:r>
      <w:r w:rsidRPr="00F93ACB">
        <w:rPr>
          <w:rFonts w:ascii="Arial" w:hAnsi="Arial" w:cs="Arial"/>
          <w:i/>
        </w:rPr>
        <w:t>Minister of Urban and Rural Development v Witbooi</w:t>
      </w:r>
      <w:r>
        <w:rPr>
          <w:rStyle w:val="FootnoteReference"/>
          <w:rFonts w:ascii="Arial" w:hAnsi="Arial" w:cs="Arial"/>
        </w:rPr>
        <w:footnoteReference w:id="20"/>
      </w:r>
      <w:r>
        <w:rPr>
          <w:rFonts w:ascii="Arial" w:hAnsi="Arial" w:cs="Arial"/>
        </w:rPr>
        <w:t xml:space="preserve"> </w:t>
      </w:r>
      <w:proofErr w:type="spellStart"/>
      <w:r>
        <w:rPr>
          <w:rFonts w:ascii="Arial" w:hAnsi="Arial" w:cs="Arial"/>
        </w:rPr>
        <w:t>Masuku</w:t>
      </w:r>
      <w:proofErr w:type="spellEnd"/>
      <w:r>
        <w:rPr>
          <w:rFonts w:ascii="Arial" w:hAnsi="Arial" w:cs="Arial"/>
        </w:rPr>
        <w:t xml:space="preserve"> J remarked as follows in this regard: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Pr="00A60972" w:rsidRDefault="00B104F0" w:rsidP="00B104F0">
      <w:pPr>
        <w:pStyle w:val="western"/>
        <w:shd w:val="clear" w:color="auto" w:fill="FFFFFF"/>
        <w:spacing w:before="0" w:beforeAutospacing="0" w:after="0" w:afterAutospacing="0" w:line="360" w:lineRule="auto"/>
        <w:jc w:val="both"/>
        <w:rPr>
          <w:rFonts w:ascii="Arial" w:hAnsi="Arial" w:cs="Arial"/>
          <w:sz w:val="22"/>
          <w:szCs w:val="22"/>
        </w:rPr>
      </w:pPr>
      <w:r>
        <w:rPr>
          <w:rFonts w:ascii="Arial" w:hAnsi="Arial" w:cs="Arial"/>
        </w:rPr>
        <w:tab/>
      </w:r>
      <w:r w:rsidRPr="00A60972">
        <w:rPr>
          <w:rFonts w:ascii="Arial" w:hAnsi="Arial" w:cs="Arial"/>
          <w:sz w:val="22"/>
          <w:szCs w:val="22"/>
        </w:rPr>
        <w:t xml:space="preserve">‘[38] </w:t>
      </w:r>
      <w:r w:rsidRPr="00A60972">
        <w:rPr>
          <w:rFonts w:ascii="Arial" w:hAnsi="Arial" w:cs="Arial"/>
          <w:sz w:val="22"/>
          <w:szCs w:val="22"/>
        </w:rPr>
        <w:tab/>
        <w:t xml:space="preserve">[One] cannot help but wonder whether all legal practitioner has locus standi to move such an application with the evident involvement of the concerned client. </w:t>
      </w:r>
    </w:p>
    <w:p w:rsidR="00F17E63" w:rsidRDefault="00F17E63" w:rsidP="00B104F0">
      <w:pPr>
        <w:pStyle w:val="western"/>
        <w:shd w:val="clear" w:color="auto" w:fill="FFFFFF"/>
        <w:spacing w:before="0" w:beforeAutospacing="0" w:after="0" w:afterAutospacing="0" w:line="360" w:lineRule="auto"/>
        <w:jc w:val="both"/>
        <w:rPr>
          <w:rFonts w:ascii="Arial" w:hAnsi="Arial" w:cs="Arial"/>
          <w:sz w:val="22"/>
          <w:szCs w:val="22"/>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sz w:val="22"/>
          <w:szCs w:val="22"/>
        </w:rPr>
      </w:pPr>
      <w:r w:rsidRPr="00A60972">
        <w:rPr>
          <w:rFonts w:ascii="Arial" w:hAnsi="Arial" w:cs="Arial"/>
          <w:sz w:val="22"/>
          <w:szCs w:val="22"/>
        </w:rPr>
        <w:t>[39]</w:t>
      </w:r>
      <w:r w:rsidRPr="00A60972">
        <w:rPr>
          <w:rFonts w:ascii="Arial" w:hAnsi="Arial" w:cs="Arial"/>
          <w:sz w:val="22"/>
          <w:szCs w:val="22"/>
        </w:rPr>
        <w:tab/>
      </w:r>
      <w:proofErr w:type="gramStart"/>
      <w:r w:rsidRPr="00A60972">
        <w:rPr>
          <w:rFonts w:ascii="Arial" w:hAnsi="Arial" w:cs="Arial"/>
          <w:sz w:val="22"/>
          <w:szCs w:val="22"/>
        </w:rPr>
        <w:t>That</w:t>
      </w:r>
      <w:proofErr w:type="gramEnd"/>
      <w:r w:rsidRPr="00A60972">
        <w:rPr>
          <w:rFonts w:ascii="Arial" w:hAnsi="Arial" w:cs="Arial"/>
          <w:sz w:val="22"/>
          <w:szCs w:val="22"/>
        </w:rPr>
        <w:t xml:space="preserve"> is a practice that needs to be nipped in the bud in this jurisdiction as some practitioners are hell bent on willy-nilly deposing to affidavits that their clients ought to have deposed to. In some cases, especially in those relating to condonation, where this is practice is rife, the question arises in some instances whether the client even know about the application at all. Some of these application initiated and deposed to by legal practitioners may be necessitated by the natural instinct of self-preservation and survival.</w:t>
      </w:r>
    </w:p>
    <w:p w:rsidR="00F17E63" w:rsidRDefault="00F17E63" w:rsidP="00B104F0">
      <w:pPr>
        <w:pStyle w:val="western"/>
        <w:shd w:val="clear" w:color="auto" w:fill="FFFFFF"/>
        <w:spacing w:before="0" w:beforeAutospacing="0" w:after="0" w:afterAutospacing="0" w:line="360" w:lineRule="auto"/>
        <w:jc w:val="both"/>
        <w:rPr>
          <w:rFonts w:ascii="Arial" w:hAnsi="Arial" w:cs="Arial"/>
          <w:sz w:val="22"/>
          <w:szCs w:val="22"/>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[40]</w:t>
      </w:r>
      <w:r>
        <w:rPr>
          <w:rFonts w:ascii="Arial" w:hAnsi="Arial" w:cs="Arial"/>
          <w:sz w:val="22"/>
          <w:szCs w:val="22"/>
        </w:rPr>
        <w:tab/>
        <w:t xml:space="preserve">Our courts have spoken times without number regarding the impermissibility of legal practitioners deposing to affidavits in matters where they appear on behalf of their clients.’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r w:rsidRPr="004B085E">
        <w:rPr>
          <w:rFonts w:ascii="Arial" w:hAnsi="Arial" w:cs="Arial"/>
        </w:rPr>
        <w:t>[</w:t>
      </w:r>
      <w:r w:rsidR="00AD139F">
        <w:rPr>
          <w:rFonts w:ascii="Arial" w:hAnsi="Arial" w:cs="Arial"/>
        </w:rPr>
        <w:t>57</w:t>
      </w:r>
      <w:r w:rsidRPr="004B085E">
        <w:rPr>
          <w:rFonts w:ascii="Arial" w:hAnsi="Arial" w:cs="Arial"/>
        </w:rPr>
        <w:t>]</w:t>
      </w:r>
      <w:r w:rsidRPr="004B085E">
        <w:rPr>
          <w:rFonts w:ascii="Arial" w:hAnsi="Arial" w:cs="Arial"/>
        </w:rPr>
        <w:tab/>
        <w:t xml:space="preserve">The </w:t>
      </w:r>
      <w:r w:rsidRPr="00D3332A">
        <w:rPr>
          <w:rFonts w:ascii="Arial" w:hAnsi="Arial" w:cs="Arial"/>
        </w:rPr>
        <w:t xml:space="preserve">court in the above matter </w:t>
      </w:r>
      <w:r w:rsidRPr="004B085E">
        <w:rPr>
          <w:rFonts w:ascii="Arial" w:hAnsi="Arial" w:cs="Arial"/>
        </w:rPr>
        <w:t xml:space="preserve">also referred to </w:t>
      </w:r>
      <w:r w:rsidRPr="004B085E">
        <w:rPr>
          <w:rFonts w:ascii="Arial" w:hAnsi="Arial" w:cs="Arial"/>
          <w:i/>
        </w:rPr>
        <w:t>Prosecutor-General v Paulo and Another</w:t>
      </w:r>
      <w:r>
        <w:rPr>
          <w:rStyle w:val="FootnoteReference"/>
          <w:rFonts w:ascii="Arial" w:hAnsi="Arial" w:cs="Arial"/>
        </w:rPr>
        <w:footnoteReference w:id="21"/>
      </w:r>
      <w:r>
        <w:rPr>
          <w:rFonts w:ascii="Arial" w:hAnsi="Arial" w:cs="Arial"/>
        </w:rPr>
        <w:t xml:space="preserve"> wherein </w:t>
      </w:r>
      <w:proofErr w:type="spellStart"/>
      <w:r>
        <w:rPr>
          <w:rFonts w:ascii="Arial" w:hAnsi="Arial" w:cs="Arial"/>
        </w:rPr>
        <w:t>Angula</w:t>
      </w:r>
      <w:proofErr w:type="spellEnd"/>
      <w:r>
        <w:rPr>
          <w:rFonts w:ascii="Arial" w:hAnsi="Arial" w:cs="Arial"/>
        </w:rPr>
        <w:t xml:space="preserve"> DJP expressed strong views against legal practitioners </w:t>
      </w:r>
      <w:r w:rsidRPr="00D3332A">
        <w:rPr>
          <w:rFonts w:ascii="Arial" w:hAnsi="Arial" w:cs="Arial"/>
        </w:rPr>
        <w:t>who depose to affidavits in their names and discouraged the filing of affidavits on behalf of a client and stated that this practi</w:t>
      </w:r>
      <w:r>
        <w:rPr>
          <w:rFonts w:ascii="Arial" w:hAnsi="Arial" w:cs="Arial"/>
        </w:rPr>
        <w:t xml:space="preserve">ce should only be resorted to in exceptional circumstance where the party to the proceedings is, for compelling reasons, unable to depose to an affidavit. The learned DJP further </w:t>
      </w:r>
      <w:r w:rsidRPr="00D3332A">
        <w:rPr>
          <w:rFonts w:ascii="Arial" w:hAnsi="Arial" w:cs="Arial"/>
        </w:rPr>
        <w:t xml:space="preserve">expressed the view that </w:t>
      </w:r>
      <w:r>
        <w:rPr>
          <w:rFonts w:ascii="Arial" w:hAnsi="Arial" w:cs="Arial"/>
        </w:rPr>
        <w:t>such reasons must be disclosed in the affidavit deposed to by the legal practitioner.</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Default="00AD139F"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[58]</w:t>
      </w:r>
      <w:r>
        <w:rPr>
          <w:rFonts w:ascii="Arial" w:hAnsi="Arial" w:cs="Arial"/>
        </w:rPr>
        <w:tab/>
      </w:r>
      <w:r w:rsidR="00B104F0">
        <w:rPr>
          <w:rFonts w:ascii="Arial" w:hAnsi="Arial" w:cs="Arial"/>
        </w:rPr>
        <w:t xml:space="preserve">In the matter before me as indicated earlier no explanation was proffered for Mr </w:t>
      </w:r>
      <w:proofErr w:type="spellStart"/>
      <w:r w:rsidR="00B104F0">
        <w:rPr>
          <w:rFonts w:ascii="Arial" w:hAnsi="Arial" w:cs="Arial"/>
        </w:rPr>
        <w:t>Naude</w:t>
      </w:r>
      <w:proofErr w:type="spellEnd"/>
      <w:r w:rsidR="00B104F0">
        <w:rPr>
          <w:rFonts w:ascii="Arial" w:hAnsi="Arial" w:cs="Arial"/>
        </w:rPr>
        <w:t xml:space="preserve"> filing the affidavit instead of Mr </w:t>
      </w:r>
      <w:proofErr w:type="spellStart"/>
      <w:r w:rsidR="00B104F0">
        <w:rPr>
          <w:rFonts w:ascii="Arial" w:hAnsi="Arial" w:cs="Arial"/>
        </w:rPr>
        <w:t>Ockhuizen</w:t>
      </w:r>
      <w:proofErr w:type="spellEnd"/>
      <w:r w:rsidR="00B104F0">
        <w:rPr>
          <w:rFonts w:ascii="Arial" w:hAnsi="Arial" w:cs="Arial"/>
        </w:rPr>
        <w:t xml:space="preserve"> on behalf of the defendant and from </w:t>
      </w:r>
      <w:r w:rsidR="00B104F0">
        <w:rPr>
          <w:rFonts w:ascii="Arial" w:hAnsi="Arial" w:cs="Arial"/>
        </w:rPr>
        <w:lastRenderedPageBreak/>
        <w:t xml:space="preserve">my reading of the papers there was also no exceptional reason why Mr </w:t>
      </w:r>
      <w:proofErr w:type="spellStart"/>
      <w:r w:rsidR="00B104F0">
        <w:rPr>
          <w:rFonts w:ascii="Arial" w:hAnsi="Arial" w:cs="Arial"/>
        </w:rPr>
        <w:t>Ockhuizen</w:t>
      </w:r>
      <w:proofErr w:type="spellEnd"/>
      <w:r w:rsidR="00B104F0">
        <w:rPr>
          <w:rFonts w:ascii="Arial" w:hAnsi="Arial" w:cs="Arial"/>
        </w:rPr>
        <w:t xml:space="preserve"> did not depose to the founding affidavit.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Pr="006D78AF" w:rsidRDefault="00AD139F"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[59]</w:t>
      </w:r>
      <w:r>
        <w:rPr>
          <w:rFonts w:ascii="Arial" w:hAnsi="Arial" w:cs="Arial"/>
        </w:rPr>
        <w:tab/>
      </w:r>
      <w:r w:rsidR="00B104F0" w:rsidRPr="006D78AF">
        <w:rPr>
          <w:rFonts w:ascii="Arial" w:hAnsi="Arial" w:cs="Arial"/>
        </w:rPr>
        <w:t xml:space="preserve">Mr </w:t>
      </w:r>
      <w:proofErr w:type="spellStart"/>
      <w:r w:rsidR="00B104F0" w:rsidRPr="006D78AF">
        <w:rPr>
          <w:rFonts w:ascii="Arial" w:hAnsi="Arial" w:cs="Arial"/>
        </w:rPr>
        <w:t>Naude</w:t>
      </w:r>
      <w:proofErr w:type="spellEnd"/>
      <w:r w:rsidR="00B104F0" w:rsidRPr="006D78AF">
        <w:rPr>
          <w:rFonts w:ascii="Arial" w:hAnsi="Arial" w:cs="Arial"/>
        </w:rPr>
        <w:t xml:space="preserve"> did exactly what the DJP warned against</w:t>
      </w:r>
      <w:r w:rsidR="00D3332A" w:rsidRPr="006D78AF">
        <w:rPr>
          <w:rFonts w:ascii="Arial" w:hAnsi="Arial" w:cs="Arial"/>
        </w:rPr>
        <w:t>,</w:t>
      </w:r>
      <w:r w:rsidR="00B104F0" w:rsidRPr="006D78AF">
        <w:rPr>
          <w:rFonts w:ascii="Arial" w:hAnsi="Arial" w:cs="Arial"/>
        </w:rPr>
        <w:t xml:space="preserve"> namely attempting to astride two horses at the same </w:t>
      </w:r>
      <w:proofErr w:type="gramStart"/>
      <w:r w:rsidR="00B104F0" w:rsidRPr="006D78AF">
        <w:rPr>
          <w:rFonts w:ascii="Arial" w:hAnsi="Arial" w:cs="Arial"/>
        </w:rPr>
        <w:t>time, that</w:t>
      </w:r>
      <w:proofErr w:type="gramEnd"/>
      <w:r w:rsidR="00B104F0" w:rsidRPr="006D78AF">
        <w:rPr>
          <w:rFonts w:ascii="Arial" w:hAnsi="Arial" w:cs="Arial"/>
        </w:rPr>
        <w:t xml:space="preserve"> i</w:t>
      </w:r>
      <w:r w:rsidR="00F17E63">
        <w:rPr>
          <w:rFonts w:ascii="Arial" w:hAnsi="Arial" w:cs="Arial"/>
        </w:rPr>
        <w:t>s being</w:t>
      </w:r>
      <w:r w:rsidR="00B104F0" w:rsidRPr="006D78AF">
        <w:rPr>
          <w:rFonts w:ascii="Arial" w:hAnsi="Arial" w:cs="Arial"/>
        </w:rPr>
        <w:t xml:space="preserve"> a witness and also a legal practitioner at the same time. If Mr </w:t>
      </w:r>
      <w:proofErr w:type="spellStart"/>
      <w:r w:rsidR="00B104F0" w:rsidRPr="006D78AF">
        <w:rPr>
          <w:rFonts w:ascii="Arial" w:hAnsi="Arial" w:cs="Arial"/>
        </w:rPr>
        <w:t>Naude</w:t>
      </w:r>
      <w:proofErr w:type="spellEnd"/>
      <w:r w:rsidR="00B104F0" w:rsidRPr="006D78AF">
        <w:rPr>
          <w:rFonts w:ascii="Arial" w:hAnsi="Arial" w:cs="Arial"/>
        </w:rPr>
        <w:t xml:space="preserve"> allowed his client to depose to the founding affidavit and then as the legal practitioner of record filed a confirmatory affidavit he would not have found himself </w:t>
      </w:r>
      <w:r w:rsidR="006D78AF" w:rsidRPr="006D78AF">
        <w:rPr>
          <w:rFonts w:ascii="Arial" w:hAnsi="Arial" w:cs="Arial"/>
        </w:rPr>
        <w:t>i</w:t>
      </w:r>
      <w:r w:rsidR="00B104F0" w:rsidRPr="006D78AF">
        <w:rPr>
          <w:rFonts w:ascii="Arial" w:hAnsi="Arial" w:cs="Arial"/>
        </w:rPr>
        <w:t xml:space="preserve">n the position he now does where the plaintiff raises an objection to the issue of authority. </w:t>
      </w:r>
    </w:p>
    <w:p w:rsidR="00B104F0" w:rsidRDefault="00B104F0" w:rsidP="00B104F0">
      <w:pPr>
        <w:pStyle w:val="western"/>
        <w:shd w:val="clear" w:color="auto" w:fill="FFFFFF"/>
        <w:spacing w:before="0" w:beforeAutospacing="0" w:after="0" w:afterAutospacing="0" w:line="360" w:lineRule="auto"/>
        <w:jc w:val="both"/>
        <w:rPr>
          <w:rFonts w:ascii="Arial" w:hAnsi="Arial" w:cs="Arial"/>
        </w:rPr>
      </w:pPr>
    </w:p>
    <w:p w:rsidR="00B104F0" w:rsidRPr="004B085E" w:rsidRDefault="00AD139F" w:rsidP="00B104F0">
      <w:pPr>
        <w:pStyle w:val="western"/>
        <w:shd w:val="clear" w:color="auto" w:fill="FFFFFF"/>
        <w:spacing w:before="0" w:beforeAutospacing="0" w:after="0" w:afterAutospacing="0" w:line="360" w:lineRule="auto"/>
        <w:jc w:val="both"/>
        <w:rPr>
          <w:rFonts w:ascii="Arial" w:hAnsi="Arial" w:cs="Arial"/>
        </w:rPr>
      </w:pPr>
      <w:r>
        <w:rPr>
          <w:rFonts w:ascii="Arial" w:hAnsi="Arial" w:cs="Arial"/>
        </w:rPr>
        <w:t>[60]</w:t>
      </w:r>
      <w:r>
        <w:rPr>
          <w:rFonts w:ascii="Arial" w:hAnsi="Arial" w:cs="Arial"/>
        </w:rPr>
        <w:tab/>
      </w:r>
      <w:r w:rsidR="00B104F0">
        <w:rPr>
          <w:rFonts w:ascii="Arial" w:hAnsi="Arial" w:cs="Arial"/>
        </w:rPr>
        <w:t xml:space="preserve">It would not have resolved the remainder of the issues raised but at least there would have been one less issue to argue and determine. Ultimately legal practitioners in this jurisdiction should heed </w:t>
      </w:r>
      <w:r w:rsidR="00B104F0" w:rsidRPr="006D78AF">
        <w:rPr>
          <w:rFonts w:ascii="Arial" w:hAnsi="Arial" w:cs="Arial"/>
        </w:rPr>
        <w:t>to</w:t>
      </w:r>
      <w:r w:rsidR="00B104F0">
        <w:rPr>
          <w:rFonts w:ascii="Arial" w:hAnsi="Arial" w:cs="Arial"/>
          <w:color w:val="FF0000"/>
        </w:rPr>
        <w:t xml:space="preserve"> </w:t>
      </w:r>
      <w:r w:rsidR="00B104F0">
        <w:rPr>
          <w:rFonts w:ascii="Arial" w:hAnsi="Arial" w:cs="Arial"/>
        </w:rPr>
        <w:t xml:space="preserve">the direction </w:t>
      </w:r>
      <w:r w:rsidR="00B104F0" w:rsidRPr="006D78AF">
        <w:rPr>
          <w:rFonts w:ascii="Arial" w:hAnsi="Arial" w:cs="Arial"/>
        </w:rPr>
        <w:t>given</w:t>
      </w:r>
      <w:r w:rsidR="00B104F0">
        <w:rPr>
          <w:rFonts w:ascii="Arial" w:hAnsi="Arial" w:cs="Arial"/>
          <w:color w:val="FF0000"/>
        </w:rPr>
        <w:t xml:space="preserve"> </w:t>
      </w:r>
      <w:r w:rsidR="00B104F0">
        <w:rPr>
          <w:rFonts w:ascii="Arial" w:hAnsi="Arial" w:cs="Arial"/>
        </w:rPr>
        <w:t xml:space="preserve">by our courts or face the consequences </w:t>
      </w:r>
      <w:r w:rsidR="00B104F0" w:rsidRPr="006D78AF">
        <w:rPr>
          <w:rFonts w:ascii="Arial" w:hAnsi="Arial" w:cs="Arial"/>
        </w:rPr>
        <w:t xml:space="preserve">thereof. </w:t>
      </w:r>
    </w:p>
    <w:p w:rsidR="00847C36" w:rsidRDefault="00847C36" w:rsidP="00FD61F8">
      <w:pPr>
        <w:pStyle w:val="western"/>
        <w:shd w:val="clear" w:color="auto" w:fill="FFFFFF"/>
        <w:spacing w:before="0" w:beforeAutospacing="0" w:after="0" w:afterAutospacing="0" w:line="360" w:lineRule="auto"/>
        <w:jc w:val="both"/>
        <w:rPr>
          <w:rFonts w:ascii="Arial" w:hAnsi="Arial" w:cs="Arial"/>
        </w:rPr>
      </w:pPr>
    </w:p>
    <w:p w:rsidR="002E76E8" w:rsidRDefault="002E76E8" w:rsidP="00FD61F8">
      <w:pPr>
        <w:pStyle w:val="western"/>
        <w:shd w:val="clear" w:color="auto" w:fill="FFFFFF"/>
        <w:spacing w:before="0" w:beforeAutospacing="0" w:after="0" w:afterAutospacing="0" w:line="360" w:lineRule="auto"/>
        <w:jc w:val="both"/>
        <w:rPr>
          <w:rFonts w:ascii="Arial" w:hAnsi="Arial" w:cs="Arial"/>
          <w:i/>
        </w:rPr>
      </w:pPr>
      <w:r w:rsidRPr="002E76E8">
        <w:rPr>
          <w:rFonts w:ascii="Arial" w:hAnsi="Arial" w:cs="Arial"/>
          <w:i/>
        </w:rPr>
        <w:t>Failure to fully comply with rule 32(9) and (10)</w:t>
      </w:r>
      <w:r w:rsidR="00F147EF">
        <w:rPr>
          <w:rStyle w:val="FootnoteReference"/>
          <w:rFonts w:ascii="Arial" w:hAnsi="Arial" w:cs="Arial"/>
          <w:i/>
        </w:rPr>
        <w:footnoteReference w:id="22"/>
      </w:r>
    </w:p>
    <w:p w:rsidR="00FD61F8" w:rsidRPr="00FD61F8" w:rsidRDefault="00FD61F8" w:rsidP="00FD61F8">
      <w:pPr>
        <w:pStyle w:val="western"/>
        <w:shd w:val="clear" w:color="auto" w:fill="FFFFFF"/>
        <w:spacing w:before="0" w:beforeAutospacing="0" w:after="0" w:afterAutospacing="0" w:line="360" w:lineRule="auto"/>
        <w:jc w:val="both"/>
        <w:rPr>
          <w:rFonts w:ascii="Arial" w:hAnsi="Arial" w:cs="Arial"/>
        </w:rPr>
      </w:pPr>
    </w:p>
    <w:p w:rsidR="00653F12" w:rsidRDefault="002E76E8"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61</w:t>
      </w:r>
      <w:r>
        <w:rPr>
          <w:rFonts w:ascii="Arial" w:hAnsi="Arial" w:cs="Arial"/>
        </w:rPr>
        <w:t>]</w:t>
      </w:r>
      <w:r w:rsidR="00CE2134">
        <w:rPr>
          <w:rFonts w:ascii="Arial" w:hAnsi="Arial" w:cs="Arial"/>
        </w:rPr>
        <w:tab/>
        <w:t xml:space="preserve">The issue regarding compliance with rule 32(9) and (10) was </w:t>
      </w:r>
      <w:r w:rsidR="003E3BA0">
        <w:rPr>
          <w:rFonts w:ascii="Arial" w:hAnsi="Arial" w:cs="Arial"/>
        </w:rPr>
        <w:t xml:space="preserve">touched on </w:t>
      </w:r>
      <w:r w:rsidR="00CE2134">
        <w:rPr>
          <w:rFonts w:ascii="Arial" w:hAnsi="Arial" w:cs="Arial"/>
        </w:rPr>
        <w:t xml:space="preserve">in the founding affidavit of Mr </w:t>
      </w:r>
      <w:proofErr w:type="spellStart"/>
      <w:r w:rsidR="00CE2134">
        <w:rPr>
          <w:rFonts w:ascii="Arial" w:hAnsi="Arial" w:cs="Arial"/>
        </w:rPr>
        <w:t>Naude</w:t>
      </w:r>
      <w:proofErr w:type="spellEnd"/>
      <w:r w:rsidR="00CE2134">
        <w:rPr>
          <w:rFonts w:ascii="Arial" w:hAnsi="Arial" w:cs="Arial"/>
        </w:rPr>
        <w:t xml:space="preserve">. </w:t>
      </w:r>
    </w:p>
    <w:p w:rsidR="00F17956" w:rsidRDefault="00F17956" w:rsidP="00FD61F8">
      <w:pPr>
        <w:pStyle w:val="western"/>
        <w:shd w:val="clear" w:color="auto" w:fill="FFFFFF"/>
        <w:spacing w:before="0" w:beforeAutospacing="0" w:after="0" w:afterAutospacing="0" w:line="360" w:lineRule="auto"/>
        <w:jc w:val="both"/>
        <w:rPr>
          <w:rFonts w:ascii="Arial" w:hAnsi="Arial" w:cs="Arial"/>
        </w:rPr>
      </w:pPr>
    </w:p>
    <w:p w:rsidR="00CE2134" w:rsidRDefault="00CE2134"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62</w:t>
      </w:r>
      <w:r>
        <w:rPr>
          <w:rFonts w:ascii="Arial" w:hAnsi="Arial" w:cs="Arial"/>
        </w:rPr>
        <w:t>]</w:t>
      </w:r>
      <w:r>
        <w:rPr>
          <w:rFonts w:ascii="Arial" w:hAnsi="Arial" w:cs="Arial"/>
        </w:rPr>
        <w:tab/>
        <w:t xml:space="preserve">Mr </w:t>
      </w:r>
      <w:proofErr w:type="spellStart"/>
      <w:r>
        <w:rPr>
          <w:rFonts w:ascii="Arial" w:hAnsi="Arial" w:cs="Arial"/>
        </w:rPr>
        <w:t>Naude</w:t>
      </w:r>
      <w:proofErr w:type="spellEnd"/>
      <w:r>
        <w:rPr>
          <w:rFonts w:ascii="Arial" w:hAnsi="Arial" w:cs="Arial"/>
        </w:rPr>
        <w:t xml:space="preserve"> stated that he attempted to engage the plaintiff for purposes of amicably resolving the bringing</w:t>
      </w:r>
      <w:r w:rsidR="00DA1B5D">
        <w:rPr>
          <w:rFonts w:ascii="Arial" w:hAnsi="Arial" w:cs="Arial"/>
        </w:rPr>
        <w:t xml:space="preserve"> </w:t>
      </w:r>
      <w:r w:rsidR="00DA1B5D" w:rsidRPr="00011B14">
        <w:rPr>
          <w:rFonts w:ascii="Arial" w:hAnsi="Arial" w:cs="Arial"/>
        </w:rPr>
        <w:t>of</w:t>
      </w:r>
      <w:r w:rsidRPr="00011B14">
        <w:rPr>
          <w:rFonts w:ascii="Arial" w:hAnsi="Arial" w:cs="Arial"/>
        </w:rPr>
        <w:t xml:space="preserve"> the </w:t>
      </w:r>
      <w:r>
        <w:rPr>
          <w:rFonts w:ascii="Arial" w:hAnsi="Arial" w:cs="Arial"/>
        </w:rPr>
        <w:t xml:space="preserve">application through a letter in terms of rule 32(9). Mr </w:t>
      </w:r>
      <w:proofErr w:type="spellStart"/>
      <w:r>
        <w:rPr>
          <w:rFonts w:ascii="Arial" w:hAnsi="Arial" w:cs="Arial"/>
        </w:rPr>
        <w:t>Naude</w:t>
      </w:r>
      <w:proofErr w:type="spellEnd"/>
      <w:r>
        <w:rPr>
          <w:rFonts w:ascii="Arial" w:hAnsi="Arial" w:cs="Arial"/>
        </w:rPr>
        <w:t xml:space="preserve"> stated that he </w:t>
      </w:r>
      <w:r w:rsidR="00356E2B">
        <w:rPr>
          <w:rFonts w:ascii="Arial" w:hAnsi="Arial" w:cs="Arial"/>
        </w:rPr>
        <w:t>dispatched a letter to the plaintiff’s legal practitioners on the morning of 15 June</w:t>
      </w:r>
      <w:r w:rsidR="0008791F">
        <w:rPr>
          <w:rFonts w:ascii="Arial" w:hAnsi="Arial" w:cs="Arial"/>
        </w:rPr>
        <w:t xml:space="preserve"> 2020</w:t>
      </w:r>
      <w:r w:rsidR="00356E2B">
        <w:rPr>
          <w:rFonts w:ascii="Arial" w:hAnsi="Arial" w:cs="Arial"/>
        </w:rPr>
        <w:t xml:space="preserve"> and that the plaintiff’s legal practitioner </w:t>
      </w:r>
      <w:r w:rsidR="0008791F">
        <w:rPr>
          <w:rFonts w:ascii="Arial" w:hAnsi="Arial" w:cs="Arial"/>
        </w:rPr>
        <w:t>responded to the correspondence during the course of the morning of the 15</w:t>
      </w:r>
      <w:r w:rsidR="0008791F" w:rsidRPr="0008791F">
        <w:rPr>
          <w:rFonts w:ascii="Arial" w:hAnsi="Arial" w:cs="Arial"/>
          <w:vertAlign w:val="superscript"/>
        </w:rPr>
        <w:t>th</w:t>
      </w:r>
      <w:r w:rsidR="004238CC">
        <w:rPr>
          <w:rFonts w:ascii="Arial" w:hAnsi="Arial" w:cs="Arial"/>
        </w:rPr>
        <w:t>.</w:t>
      </w:r>
      <w:r w:rsidR="0008791F">
        <w:rPr>
          <w:rFonts w:ascii="Arial" w:hAnsi="Arial" w:cs="Arial"/>
        </w:rPr>
        <w:t xml:space="preserve"> </w:t>
      </w:r>
    </w:p>
    <w:p w:rsidR="00F17956" w:rsidRDefault="00F17956" w:rsidP="00FD61F8">
      <w:pPr>
        <w:pStyle w:val="western"/>
        <w:shd w:val="clear" w:color="auto" w:fill="FFFFFF"/>
        <w:spacing w:before="0" w:beforeAutospacing="0" w:after="0" w:afterAutospacing="0" w:line="360" w:lineRule="auto"/>
        <w:jc w:val="both"/>
        <w:rPr>
          <w:rFonts w:ascii="Arial" w:hAnsi="Arial" w:cs="Arial"/>
        </w:rPr>
      </w:pPr>
    </w:p>
    <w:p w:rsidR="003E3BA0" w:rsidRDefault="003E3BA0"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63</w:t>
      </w:r>
      <w:r>
        <w:rPr>
          <w:rFonts w:ascii="Arial" w:hAnsi="Arial" w:cs="Arial"/>
        </w:rPr>
        <w:t>]</w:t>
      </w:r>
      <w:r>
        <w:rPr>
          <w:rFonts w:ascii="Arial" w:hAnsi="Arial" w:cs="Arial"/>
        </w:rPr>
        <w:tab/>
        <w:t xml:space="preserve">Mr </w:t>
      </w:r>
      <w:proofErr w:type="spellStart"/>
      <w:r>
        <w:rPr>
          <w:rFonts w:ascii="Arial" w:hAnsi="Arial" w:cs="Arial"/>
        </w:rPr>
        <w:t>Naude</w:t>
      </w:r>
      <w:proofErr w:type="spellEnd"/>
      <w:r>
        <w:rPr>
          <w:rFonts w:ascii="Arial" w:hAnsi="Arial" w:cs="Arial"/>
        </w:rPr>
        <w:t xml:space="preserve"> submitted that the defendant complied with rule 32(9) but conceded in his replying affidavit that he did not cause a separate certificate in terms of rule </w:t>
      </w:r>
      <w:r>
        <w:rPr>
          <w:rFonts w:ascii="Arial" w:hAnsi="Arial" w:cs="Arial"/>
        </w:rPr>
        <w:lastRenderedPageBreak/>
        <w:t xml:space="preserve">32(10) to be filed with the Registrar due to the extreme urgency with which the </w:t>
      </w:r>
      <w:r w:rsidR="00DA1B5D" w:rsidRPr="00011B14">
        <w:rPr>
          <w:rFonts w:ascii="Arial" w:hAnsi="Arial" w:cs="Arial"/>
        </w:rPr>
        <w:t>application</w:t>
      </w:r>
      <w:r w:rsidR="00DA1B5D">
        <w:rPr>
          <w:rFonts w:ascii="Arial" w:hAnsi="Arial" w:cs="Arial"/>
          <w:color w:val="FF0000"/>
        </w:rPr>
        <w:t xml:space="preserve"> </w:t>
      </w:r>
      <w:r>
        <w:rPr>
          <w:rFonts w:ascii="Arial" w:hAnsi="Arial" w:cs="Arial"/>
        </w:rPr>
        <w:t xml:space="preserve">had to be presented to the court and the counsel of the plaintiff. Mr </w:t>
      </w:r>
      <w:proofErr w:type="spellStart"/>
      <w:r>
        <w:rPr>
          <w:rFonts w:ascii="Arial" w:hAnsi="Arial" w:cs="Arial"/>
        </w:rPr>
        <w:t>Naude</w:t>
      </w:r>
      <w:proofErr w:type="spellEnd"/>
      <w:r>
        <w:rPr>
          <w:rFonts w:ascii="Arial" w:hAnsi="Arial" w:cs="Arial"/>
        </w:rPr>
        <w:t xml:space="preserve"> goes on to submit that </w:t>
      </w:r>
      <w:r w:rsidR="00F147EF">
        <w:rPr>
          <w:rFonts w:ascii="Arial" w:hAnsi="Arial" w:cs="Arial"/>
        </w:rPr>
        <w:t>although the certificate in terms of rule 32(10) was not filed at the time of launching the application he made the averment</w:t>
      </w:r>
      <w:r w:rsidR="00DA1B5D">
        <w:rPr>
          <w:rFonts w:ascii="Arial" w:hAnsi="Arial" w:cs="Arial"/>
        </w:rPr>
        <w:t xml:space="preserve"> </w:t>
      </w:r>
      <w:r w:rsidR="00DA1B5D" w:rsidRPr="00011B14">
        <w:rPr>
          <w:rFonts w:ascii="Arial" w:hAnsi="Arial" w:cs="Arial"/>
        </w:rPr>
        <w:t>in the founding affidavit</w:t>
      </w:r>
      <w:r w:rsidR="00F147EF" w:rsidRPr="00011B14">
        <w:rPr>
          <w:rFonts w:ascii="Arial" w:hAnsi="Arial" w:cs="Arial"/>
        </w:rPr>
        <w:t xml:space="preserve"> </w:t>
      </w:r>
      <w:r w:rsidR="00F147EF">
        <w:rPr>
          <w:rFonts w:ascii="Arial" w:hAnsi="Arial" w:cs="Arial"/>
        </w:rPr>
        <w:t>that ‘it is clear from the response that the plaintiff showed no interest to amicably resolve the issues arising from this application</w:t>
      </w:r>
      <w:r w:rsidR="004238CC">
        <w:rPr>
          <w:rFonts w:ascii="Arial" w:hAnsi="Arial" w:cs="Arial"/>
        </w:rPr>
        <w:t>.</w:t>
      </w:r>
      <w:r w:rsidR="00F147EF">
        <w:rPr>
          <w:rStyle w:val="FootnoteReference"/>
          <w:rFonts w:ascii="Arial" w:hAnsi="Arial" w:cs="Arial"/>
        </w:rPr>
        <w:footnoteReference w:id="23"/>
      </w:r>
      <w:r w:rsidR="004238CC">
        <w:rPr>
          <w:rFonts w:ascii="Arial" w:hAnsi="Arial" w:cs="Arial"/>
        </w:rPr>
        <w:t>’</w:t>
      </w:r>
    </w:p>
    <w:p w:rsidR="0030407C" w:rsidRDefault="0030407C" w:rsidP="00FD61F8">
      <w:pPr>
        <w:pStyle w:val="western"/>
        <w:shd w:val="clear" w:color="auto" w:fill="FFFFFF"/>
        <w:spacing w:before="0" w:beforeAutospacing="0" w:after="0" w:afterAutospacing="0" w:line="360" w:lineRule="auto"/>
        <w:jc w:val="both"/>
        <w:rPr>
          <w:rFonts w:ascii="Arial" w:hAnsi="Arial" w:cs="Arial"/>
        </w:rPr>
      </w:pPr>
    </w:p>
    <w:p w:rsidR="00EF1088" w:rsidRDefault="00EF1088"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64</w:t>
      </w:r>
      <w:r>
        <w:rPr>
          <w:rFonts w:ascii="Arial" w:hAnsi="Arial" w:cs="Arial"/>
        </w:rPr>
        <w:t>]</w:t>
      </w:r>
      <w:r>
        <w:rPr>
          <w:rFonts w:ascii="Arial" w:hAnsi="Arial" w:cs="Arial"/>
        </w:rPr>
        <w:tab/>
        <w:t xml:space="preserve">A certificate in terms of rule 32(10) dated 17 June </w:t>
      </w:r>
      <w:r w:rsidR="002D5BB7">
        <w:rPr>
          <w:rFonts w:ascii="Arial" w:hAnsi="Arial" w:cs="Arial"/>
        </w:rPr>
        <w:t>2020 was</w:t>
      </w:r>
      <w:r w:rsidR="00D9674D">
        <w:rPr>
          <w:rFonts w:ascii="Arial" w:hAnsi="Arial" w:cs="Arial"/>
        </w:rPr>
        <w:t xml:space="preserve"> filed together with the replying affidavit.</w:t>
      </w:r>
    </w:p>
    <w:p w:rsidR="0030407C" w:rsidRDefault="0030407C" w:rsidP="00FD61F8">
      <w:pPr>
        <w:pStyle w:val="western"/>
        <w:shd w:val="clear" w:color="auto" w:fill="FFFFFF"/>
        <w:spacing w:before="0" w:beforeAutospacing="0" w:after="0" w:afterAutospacing="0" w:line="360" w:lineRule="auto"/>
        <w:jc w:val="both"/>
        <w:rPr>
          <w:rFonts w:ascii="Arial" w:hAnsi="Arial" w:cs="Arial"/>
        </w:rPr>
      </w:pPr>
    </w:p>
    <w:p w:rsidR="00EF1088" w:rsidRPr="004B5E3E" w:rsidRDefault="00EF1088"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65</w:t>
      </w:r>
      <w:r>
        <w:rPr>
          <w:rFonts w:ascii="Arial" w:hAnsi="Arial" w:cs="Arial"/>
        </w:rPr>
        <w:t>]</w:t>
      </w:r>
      <w:r>
        <w:rPr>
          <w:rFonts w:ascii="Arial" w:hAnsi="Arial" w:cs="Arial"/>
        </w:rPr>
        <w:tab/>
        <w:t>In her answer</w:t>
      </w:r>
      <w:r w:rsidR="00DA1B5D">
        <w:rPr>
          <w:rFonts w:ascii="Arial" w:hAnsi="Arial" w:cs="Arial"/>
        </w:rPr>
        <w:t xml:space="preserve">ing affidavit, Ms </w:t>
      </w:r>
      <w:r w:rsidR="00DA1B5D" w:rsidRPr="00CB0AF0">
        <w:rPr>
          <w:rFonts w:ascii="Arial" w:hAnsi="Arial" w:cs="Arial"/>
        </w:rPr>
        <w:t xml:space="preserve">Monde </w:t>
      </w:r>
      <w:proofErr w:type="spellStart"/>
      <w:r w:rsidR="00DA1B5D" w:rsidRPr="00CB0AF0">
        <w:rPr>
          <w:rFonts w:ascii="Arial" w:hAnsi="Arial" w:cs="Arial"/>
        </w:rPr>
        <w:t>Matengu</w:t>
      </w:r>
      <w:proofErr w:type="spellEnd"/>
      <w:r w:rsidRPr="00CB0AF0">
        <w:rPr>
          <w:rFonts w:ascii="Arial" w:hAnsi="Arial" w:cs="Arial"/>
        </w:rPr>
        <w:t xml:space="preserve"> t</w:t>
      </w:r>
      <w:r w:rsidR="00D9674D" w:rsidRPr="00CB0AF0">
        <w:rPr>
          <w:rFonts w:ascii="Arial" w:hAnsi="Arial" w:cs="Arial"/>
        </w:rPr>
        <w:t>ook</w:t>
      </w:r>
      <w:r w:rsidRPr="00CB0AF0">
        <w:rPr>
          <w:rFonts w:ascii="Arial" w:hAnsi="Arial" w:cs="Arial"/>
        </w:rPr>
        <w:t xml:space="preserve"> issue </w:t>
      </w:r>
      <w:r w:rsidR="00D9674D" w:rsidRPr="00CB0AF0">
        <w:rPr>
          <w:rFonts w:ascii="Arial" w:hAnsi="Arial" w:cs="Arial"/>
        </w:rPr>
        <w:t xml:space="preserve">with </w:t>
      </w:r>
      <w:r w:rsidRPr="00CB0AF0">
        <w:rPr>
          <w:rFonts w:ascii="Arial" w:hAnsi="Arial" w:cs="Arial"/>
        </w:rPr>
        <w:t xml:space="preserve">Mr </w:t>
      </w:r>
      <w:proofErr w:type="spellStart"/>
      <w:r w:rsidRPr="00CB0AF0">
        <w:rPr>
          <w:rFonts w:ascii="Arial" w:hAnsi="Arial" w:cs="Arial"/>
        </w:rPr>
        <w:t>Naude’s</w:t>
      </w:r>
      <w:proofErr w:type="spellEnd"/>
      <w:r w:rsidRPr="00CB0AF0">
        <w:rPr>
          <w:rFonts w:ascii="Arial" w:hAnsi="Arial" w:cs="Arial"/>
        </w:rPr>
        <w:t xml:space="preserve"> averment that he duly complied with the provisions of rule 32(9) and (10). The deponent submitted that the defendant was not entitled to launch its application in terms of rule 28 without </w:t>
      </w:r>
      <w:r w:rsidR="0056138D" w:rsidRPr="00CB0AF0">
        <w:rPr>
          <w:rFonts w:ascii="Arial" w:hAnsi="Arial" w:cs="Arial"/>
        </w:rPr>
        <w:t xml:space="preserve">compliance with rule 32(9) and </w:t>
      </w:r>
      <w:r w:rsidR="0056138D">
        <w:rPr>
          <w:rFonts w:ascii="Arial" w:hAnsi="Arial" w:cs="Arial"/>
        </w:rPr>
        <w:t xml:space="preserve">noted that importantly Mr </w:t>
      </w:r>
      <w:proofErr w:type="spellStart"/>
      <w:r w:rsidR="0056138D">
        <w:rPr>
          <w:rFonts w:ascii="Arial" w:hAnsi="Arial" w:cs="Arial"/>
        </w:rPr>
        <w:t>Naude</w:t>
      </w:r>
      <w:proofErr w:type="spellEnd"/>
      <w:r w:rsidR="0056138D">
        <w:rPr>
          <w:rFonts w:ascii="Arial" w:hAnsi="Arial" w:cs="Arial"/>
        </w:rPr>
        <w:t xml:space="preserve"> failed to file the report in terms of rule 32(10) and submitted that under the circumsta</w:t>
      </w:r>
      <w:r w:rsidR="0056138D" w:rsidRPr="00011B14">
        <w:rPr>
          <w:rFonts w:ascii="Arial" w:hAnsi="Arial" w:cs="Arial"/>
        </w:rPr>
        <w:t>nce</w:t>
      </w:r>
      <w:r w:rsidR="00DA1B5D" w:rsidRPr="00011B14">
        <w:rPr>
          <w:rFonts w:ascii="Arial" w:hAnsi="Arial" w:cs="Arial"/>
        </w:rPr>
        <w:t>s</w:t>
      </w:r>
      <w:r w:rsidR="0056138D">
        <w:rPr>
          <w:rFonts w:ascii="Arial" w:hAnsi="Arial" w:cs="Arial"/>
        </w:rPr>
        <w:t xml:space="preserve"> </w:t>
      </w:r>
      <w:r w:rsidR="00656009">
        <w:rPr>
          <w:rFonts w:ascii="Arial" w:hAnsi="Arial" w:cs="Arial"/>
        </w:rPr>
        <w:t>defendant was precluded from launching the application</w:t>
      </w:r>
      <w:r w:rsidR="00F17956">
        <w:rPr>
          <w:rFonts w:ascii="Arial" w:hAnsi="Arial" w:cs="Arial"/>
        </w:rPr>
        <w:t>.</w:t>
      </w:r>
    </w:p>
    <w:p w:rsidR="00C66ABF" w:rsidRPr="00DA1B5D" w:rsidRDefault="00F17956" w:rsidP="00FD61F8">
      <w:pPr>
        <w:spacing w:after="0" w:line="360" w:lineRule="auto"/>
        <w:jc w:val="both"/>
        <w:rPr>
          <w:rFonts w:ascii="Arial" w:hAnsi="Arial" w:cs="Arial"/>
          <w:i/>
          <w:sz w:val="24"/>
          <w:szCs w:val="24"/>
          <w:u w:val="single"/>
        </w:rPr>
      </w:pPr>
      <w:r>
        <w:rPr>
          <w:rFonts w:ascii="Arial" w:hAnsi="Arial" w:cs="Arial"/>
        </w:rPr>
        <w:br/>
      </w:r>
      <w:r w:rsidRPr="00DA1B5D">
        <w:rPr>
          <w:rFonts w:ascii="Arial" w:hAnsi="Arial" w:cs="Arial"/>
          <w:i/>
          <w:sz w:val="24"/>
          <w:szCs w:val="24"/>
          <w:u w:val="single"/>
        </w:rPr>
        <w:t>Discussion</w:t>
      </w:r>
    </w:p>
    <w:p w:rsidR="004E4072" w:rsidRPr="00CB0AF0" w:rsidRDefault="004E4072" w:rsidP="00FD61F8">
      <w:pPr>
        <w:spacing w:after="0" w:line="360" w:lineRule="auto"/>
        <w:jc w:val="both"/>
        <w:rPr>
          <w:rFonts w:ascii="Arial" w:hAnsi="Arial" w:cs="Arial"/>
          <w:sz w:val="24"/>
          <w:szCs w:val="24"/>
        </w:rPr>
      </w:pPr>
    </w:p>
    <w:p w:rsidR="004E4072" w:rsidRPr="00CB0AF0" w:rsidRDefault="004E4072" w:rsidP="00FD61F8">
      <w:pPr>
        <w:spacing w:after="0" w:line="360" w:lineRule="auto"/>
        <w:jc w:val="both"/>
        <w:rPr>
          <w:rFonts w:ascii="Arial" w:hAnsi="Arial" w:cs="Arial"/>
          <w:sz w:val="24"/>
          <w:szCs w:val="24"/>
        </w:rPr>
      </w:pPr>
      <w:r w:rsidRPr="00CB0AF0">
        <w:rPr>
          <w:rFonts w:ascii="Arial" w:hAnsi="Arial" w:cs="Arial"/>
          <w:sz w:val="24"/>
          <w:szCs w:val="24"/>
        </w:rPr>
        <w:t>[</w:t>
      </w:r>
      <w:r w:rsidR="00AD139F">
        <w:rPr>
          <w:rFonts w:ascii="Arial" w:hAnsi="Arial" w:cs="Arial"/>
          <w:sz w:val="24"/>
          <w:szCs w:val="24"/>
        </w:rPr>
        <w:t>66</w:t>
      </w:r>
      <w:r w:rsidR="00F17E63">
        <w:rPr>
          <w:rFonts w:ascii="Arial" w:hAnsi="Arial" w:cs="Arial"/>
          <w:sz w:val="24"/>
          <w:szCs w:val="24"/>
        </w:rPr>
        <w:t>]</w:t>
      </w:r>
      <w:r w:rsidR="00F17E63">
        <w:rPr>
          <w:rFonts w:ascii="Arial" w:hAnsi="Arial" w:cs="Arial"/>
          <w:sz w:val="24"/>
          <w:szCs w:val="24"/>
        </w:rPr>
        <w:tab/>
        <w:t xml:space="preserve">I </w:t>
      </w:r>
      <w:r w:rsidRPr="00CB0AF0">
        <w:rPr>
          <w:rFonts w:ascii="Arial" w:hAnsi="Arial" w:cs="Arial"/>
          <w:sz w:val="24"/>
          <w:szCs w:val="24"/>
        </w:rPr>
        <w:t xml:space="preserve">have difficulty in understanding why </w:t>
      </w:r>
      <w:r w:rsidR="00011B14" w:rsidRPr="00CB0AF0">
        <w:rPr>
          <w:rFonts w:ascii="Arial" w:hAnsi="Arial" w:cs="Arial"/>
          <w:sz w:val="24"/>
          <w:szCs w:val="24"/>
        </w:rPr>
        <w:t xml:space="preserve">legal practitioners </w:t>
      </w:r>
      <w:r w:rsidRPr="00CB0AF0">
        <w:rPr>
          <w:rFonts w:ascii="Arial" w:hAnsi="Arial" w:cs="Arial"/>
          <w:sz w:val="24"/>
          <w:szCs w:val="24"/>
        </w:rPr>
        <w:t xml:space="preserve">appear to have such </w:t>
      </w:r>
      <w:r w:rsidR="007543E2" w:rsidRPr="00CB0AF0">
        <w:rPr>
          <w:rFonts w:ascii="Arial" w:hAnsi="Arial" w:cs="Arial"/>
          <w:sz w:val="24"/>
          <w:szCs w:val="24"/>
        </w:rPr>
        <w:t xml:space="preserve">difficulty in complying </w:t>
      </w:r>
      <w:r w:rsidRPr="00CB0AF0">
        <w:rPr>
          <w:rFonts w:ascii="Arial" w:hAnsi="Arial" w:cs="Arial"/>
          <w:sz w:val="24"/>
          <w:szCs w:val="24"/>
        </w:rPr>
        <w:t xml:space="preserve">with rule 32(9) and (10) six years after the inception of the new Rules. </w:t>
      </w:r>
      <w:r w:rsidR="00CB0AF0" w:rsidRPr="00CB0AF0">
        <w:rPr>
          <w:rFonts w:ascii="Arial" w:hAnsi="Arial" w:cs="Arial"/>
          <w:sz w:val="24"/>
          <w:szCs w:val="24"/>
        </w:rPr>
        <w:t xml:space="preserve">Yet time and again </w:t>
      </w:r>
      <w:r w:rsidR="00011B14" w:rsidRPr="00CB0AF0">
        <w:rPr>
          <w:rFonts w:ascii="Arial" w:hAnsi="Arial" w:cs="Arial"/>
          <w:sz w:val="24"/>
          <w:szCs w:val="24"/>
        </w:rPr>
        <w:t xml:space="preserve">legal practitioners </w:t>
      </w:r>
      <w:r w:rsidR="00F17956" w:rsidRPr="00CB0AF0">
        <w:rPr>
          <w:rFonts w:ascii="Arial" w:hAnsi="Arial" w:cs="Arial"/>
          <w:sz w:val="24"/>
          <w:szCs w:val="24"/>
        </w:rPr>
        <w:t xml:space="preserve">fail to comply with </w:t>
      </w:r>
      <w:r w:rsidR="009F689F" w:rsidRPr="00CB0AF0">
        <w:rPr>
          <w:rFonts w:ascii="Arial" w:hAnsi="Arial" w:cs="Arial"/>
          <w:sz w:val="24"/>
          <w:szCs w:val="24"/>
        </w:rPr>
        <w:t xml:space="preserve">this </w:t>
      </w:r>
      <w:r w:rsidR="00F17956" w:rsidRPr="00CB0AF0">
        <w:rPr>
          <w:rFonts w:ascii="Arial" w:hAnsi="Arial" w:cs="Arial"/>
          <w:sz w:val="24"/>
          <w:szCs w:val="24"/>
        </w:rPr>
        <w:t>rule and a multitude of excuses would be proffered for the non-compliance.</w:t>
      </w:r>
    </w:p>
    <w:p w:rsidR="00F17956" w:rsidRPr="00F17956" w:rsidRDefault="00F17956" w:rsidP="00FD61F8">
      <w:pPr>
        <w:spacing w:after="0" w:line="360" w:lineRule="auto"/>
        <w:jc w:val="both"/>
        <w:rPr>
          <w:rFonts w:ascii="Arial" w:hAnsi="Arial" w:cs="Arial"/>
          <w:sz w:val="24"/>
          <w:szCs w:val="24"/>
        </w:rPr>
      </w:pPr>
    </w:p>
    <w:p w:rsidR="00F17E63" w:rsidRDefault="004E4072" w:rsidP="00FD61F8">
      <w:pPr>
        <w:spacing w:after="0" w:line="360" w:lineRule="auto"/>
        <w:jc w:val="both"/>
        <w:rPr>
          <w:rFonts w:ascii="Arial" w:hAnsi="Arial" w:cs="Arial"/>
          <w:sz w:val="24"/>
          <w:szCs w:val="24"/>
        </w:rPr>
      </w:pPr>
      <w:r w:rsidRPr="00F17956">
        <w:rPr>
          <w:rFonts w:ascii="Arial" w:hAnsi="Arial" w:cs="Arial"/>
          <w:sz w:val="24"/>
          <w:szCs w:val="24"/>
        </w:rPr>
        <w:t>[</w:t>
      </w:r>
      <w:r w:rsidR="00AD139F">
        <w:rPr>
          <w:rFonts w:ascii="Arial" w:hAnsi="Arial" w:cs="Arial"/>
          <w:sz w:val="24"/>
          <w:szCs w:val="24"/>
        </w:rPr>
        <w:t>67</w:t>
      </w:r>
      <w:r w:rsidRPr="00F17956">
        <w:rPr>
          <w:rFonts w:ascii="Arial" w:hAnsi="Arial" w:cs="Arial"/>
          <w:sz w:val="24"/>
          <w:szCs w:val="24"/>
        </w:rPr>
        <w:t>]</w:t>
      </w:r>
      <w:r w:rsidRPr="00F17956">
        <w:rPr>
          <w:rFonts w:ascii="Arial" w:hAnsi="Arial" w:cs="Arial"/>
          <w:sz w:val="24"/>
          <w:szCs w:val="24"/>
        </w:rPr>
        <w:tab/>
        <w:t>There is a plethora of cases which clearly crystallized the importance and the need for compliance with rule 32(9) and (10) and I do not intend to list these case</w:t>
      </w:r>
      <w:r w:rsidR="009F689F" w:rsidRPr="00011B14">
        <w:rPr>
          <w:rFonts w:ascii="Arial" w:hAnsi="Arial" w:cs="Arial"/>
          <w:sz w:val="24"/>
          <w:szCs w:val="24"/>
        </w:rPr>
        <w:t>s</w:t>
      </w:r>
      <w:r w:rsidRPr="00011B14">
        <w:rPr>
          <w:rFonts w:ascii="Arial" w:hAnsi="Arial" w:cs="Arial"/>
          <w:sz w:val="24"/>
          <w:szCs w:val="24"/>
        </w:rPr>
        <w:t xml:space="preserve">. </w:t>
      </w:r>
    </w:p>
    <w:p w:rsidR="00F17E63" w:rsidRDefault="00F17E63" w:rsidP="00FD61F8">
      <w:pPr>
        <w:spacing w:after="0" w:line="360" w:lineRule="auto"/>
        <w:jc w:val="both"/>
        <w:rPr>
          <w:rFonts w:ascii="Arial" w:hAnsi="Arial" w:cs="Arial"/>
          <w:sz w:val="24"/>
          <w:szCs w:val="24"/>
        </w:rPr>
      </w:pPr>
    </w:p>
    <w:p w:rsidR="004E4072" w:rsidRPr="00F17956" w:rsidRDefault="00F17E63" w:rsidP="00FD61F8">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4E4072" w:rsidRPr="00F17956">
        <w:rPr>
          <w:rFonts w:ascii="Arial" w:hAnsi="Arial" w:cs="Arial"/>
          <w:sz w:val="24"/>
          <w:szCs w:val="24"/>
        </w:rPr>
        <w:t>This court has previously indicated in no uncertain terms that this specific rule was not included in the Rules of Court to create a pitfall for the parties</w:t>
      </w:r>
      <w:r w:rsidR="004238CC">
        <w:rPr>
          <w:rFonts w:ascii="Arial" w:hAnsi="Arial" w:cs="Arial"/>
          <w:sz w:val="24"/>
          <w:szCs w:val="24"/>
        </w:rPr>
        <w:t>.</w:t>
      </w:r>
      <w:r w:rsidR="004E4072" w:rsidRPr="00F17956">
        <w:rPr>
          <w:rStyle w:val="FootnoteReference"/>
          <w:rFonts w:ascii="Arial" w:hAnsi="Arial" w:cs="Arial"/>
          <w:sz w:val="24"/>
          <w:szCs w:val="24"/>
        </w:rPr>
        <w:footnoteReference w:id="24"/>
      </w:r>
      <w:r w:rsidR="004E4072" w:rsidRPr="00F17956">
        <w:rPr>
          <w:rFonts w:ascii="Arial" w:hAnsi="Arial" w:cs="Arial"/>
          <w:sz w:val="24"/>
          <w:szCs w:val="24"/>
        </w:rPr>
        <w:t xml:space="preserve"> It was included in the rules to avoid the ever increasing number of interlocutory applications that are </w:t>
      </w:r>
      <w:r w:rsidR="004E4072" w:rsidRPr="00F17956">
        <w:rPr>
          <w:rFonts w:ascii="Arial" w:hAnsi="Arial" w:cs="Arial"/>
          <w:sz w:val="24"/>
          <w:szCs w:val="24"/>
        </w:rPr>
        <w:lastRenderedPageBreak/>
        <w:t>serving before our courts. This rule is absolutely in line with the overriding objectives of the rules of court in order to encourage parties to resolve issues amicably.</w:t>
      </w:r>
    </w:p>
    <w:p w:rsidR="004E4072" w:rsidRDefault="004E4072" w:rsidP="00FD61F8">
      <w:pPr>
        <w:spacing w:after="0" w:line="360" w:lineRule="auto"/>
        <w:jc w:val="both"/>
        <w:rPr>
          <w:rFonts w:ascii="Arial" w:hAnsi="Arial" w:cs="Arial"/>
        </w:rPr>
      </w:pPr>
    </w:p>
    <w:p w:rsidR="00F17956" w:rsidRPr="00F17956" w:rsidRDefault="00F17956" w:rsidP="00FD61F8">
      <w:pPr>
        <w:spacing w:after="0" w:line="360" w:lineRule="auto"/>
        <w:jc w:val="both"/>
        <w:rPr>
          <w:rFonts w:ascii="Arial" w:hAnsi="Arial" w:cs="Arial"/>
          <w:sz w:val="24"/>
          <w:szCs w:val="24"/>
        </w:rPr>
      </w:pPr>
      <w:r w:rsidRPr="00F17956">
        <w:rPr>
          <w:rFonts w:ascii="Arial" w:hAnsi="Arial" w:cs="Arial"/>
          <w:sz w:val="24"/>
          <w:szCs w:val="24"/>
        </w:rPr>
        <w:t>[</w:t>
      </w:r>
      <w:r w:rsidR="00F17E63">
        <w:rPr>
          <w:rFonts w:ascii="Arial" w:hAnsi="Arial" w:cs="Arial"/>
          <w:sz w:val="24"/>
          <w:szCs w:val="24"/>
        </w:rPr>
        <w:t>69</w:t>
      </w:r>
      <w:r w:rsidRPr="00F17956">
        <w:rPr>
          <w:rFonts w:ascii="Arial" w:hAnsi="Arial" w:cs="Arial"/>
          <w:sz w:val="24"/>
          <w:szCs w:val="24"/>
        </w:rPr>
        <w:t>]</w:t>
      </w:r>
      <w:r w:rsidRPr="00F17956">
        <w:rPr>
          <w:rFonts w:ascii="Arial" w:hAnsi="Arial" w:cs="Arial"/>
          <w:sz w:val="24"/>
          <w:szCs w:val="24"/>
        </w:rPr>
        <w:tab/>
        <w:t xml:space="preserve">The defendant takes the position that there was due compliance with rule 32(9) as the plaintiff was engaged via correspondence prior to launching the application. </w:t>
      </w:r>
    </w:p>
    <w:p w:rsidR="00F17956" w:rsidRPr="00F17956" w:rsidRDefault="00F17956" w:rsidP="00FD61F8">
      <w:pPr>
        <w:spacing w:after="0" w:line="360" w:lineRule="auto"/>
        <w:jc w:val="both"/>
        <w:rPr>
          <w:rFonts w:ascii="Arial" w:hAnsi="Arial" w:cs="Arial"/>
          <w:sz w:val="24"/>
          <w:szCs w:val="24"/>
        </w:rPr>
      </w:pPr>
    </w:p>
    <w:p w:rsidR="005D196E" w:rsidRPr="00011B14" w:rsidRDefault="00F17956" w:rsidP="00FD61F8">
      <w:pPr>
        <w:spacing w:after="0" w:line="360" w:lineRule="auto"/>
        <w:jc w:val="both"/>
        <w:rPr>
          <w:rFonts w:ascii="Arial" w:hAnsi="Arial" w:cs="Arial"/>
          <w:sz w:val="24"/>
          <w:szCs w:val="24"/>
        </w:rPr>
      </w:pPr>
      <w:r w:rsidRPr="00F17956">
        <w:rPr>
          <w:rFonts w:ascii="Arial" w:hAnsi="Arial" w:cs="Arial"/>
          <w:sz w:val="24"/>
          <w:szCs w:val="24"/>
        </w:rPr>
        <w:t>[</w:t>
      </w:r>
      <w:r w:rsidR="00F17E63">
        <w:rPr>
          <w:rFonts w:ascii="Arial" w:hAnsi="Arial" w:cs="Arial"/>
          <w:sz w:val="24"/>
          <w:szCs w:val="24"/>
        </w:rPr>
        <w:t>70</w:t>
      </w:r>
      <w:r w:rsidRPr="00F17956">
        <w:rPr>
          <w:rFonts w:ascii="Arial" w:hAnsi="Arial" w:cs="Arial"/>
          <w:sz w:val="24"/>
          <w:szCs w:val="24"/>
        </w:rPr>
        <w:t>]</w:t>
      </w:r>
      <w:r w:rsidRPr="00F17956">
        <w:rPr>
          <w:rFonts w:ascii="Arial" w:hAnsi="Arial" w:cs="Arial"/>
          <w:sz w:val="24"/>
          <w:szCs w:val="24"/>
        </w:rPr>
        <w:tab/>
      </w:r>
      <w:r w:rsidR="00F7628B">
        <w:rPr>
          <w:rFonts w:ascii="Arial" w:hAnsi="Arial" w:cs="Arial"/>
          <w:sz w:val="24"/>
          <w:szCs w:val="24"/>
        </w:rPr>
        <w:t>T</w:t>
      </w:r>
      <w:r w:rsidRPr="00F17956">
        <w:rPr>
          <w:rFonts w:ascii="Arial" w:hAnsi="Arial" w:cs="Arial"/>
          <w:sz w:val="24"/>
          <w:szCs w:val="24"/>
        </w:rPr>
        <w:t>his correspondence need</w:t>
      </w:r>
      <w:r w:rsidR="00217728" w:rsidRPr="00011B14">
        <w:rPr>
          <w:rFonts w:ascii="Arial" w:hAnsi="Arial" w:cs="Arial"/>
          <w:sz w:val="24"/>
          <w:szCs w:val="24"/>
        </w:rPr>
        <w:t>s</w:t>
      </w:r>
      <w:r w:rsidRPr="00F17956">
        <w:rPr>
          <w:rFonts w:ascii="Arial" w:hAnsi="Arial" w:cs="Arial"/>
          <w:sz w:val="24"/>
          <w:szCs w:val="24"/>
        </w:rPr>
        <w:t xml:space="preserve"> to be </w:t>
      </w:r>
      <w:r w:rsidRPr="00011B14">
        <w:rPr>
          <w:rFonts w:ascii="Arial" w:hAnsi="Arial" w:cs="Arial"/>
          <w:sz w:val="24"/>
          <w:szCs w:val="24"/>
        </w:rPr>
        <w:t xml:space="preserve">unpacked </w:t>
      </w:r>
      <w:r w:rsidR="005D196E" w:rsidRPr="00011B14">
        <w:rPr>
          <w:rFonts w:ascii="Arial" w:hAnsi="Arial" w:cs="Arial"/>
          <w:sz w:val="24"/>
          <w:szCs w:val="24"/>
        </w:rPr>
        <w:t>in order to determine whether the defendant did indeed comply with rule 32 (9)</w:t>
      </w:r>
      <w:r w:rsidR="00011B14" w:rsidRPr="00011B14">
        <w:rPr>
          <w:rFonts w:ascii="Arial" w:hAnsi="Arial" w:cs="Arial"/>
          <w:sz w:val="24"/>
          <w:szCs w:val="24"/>
        </w:rPr>
        <w:t>.</w:t>
      </w:r>
      <w:r w:rsidRPr="00011B14">
        <w:rPr>
          <w:rFonts w:ascii="Arial" w:hAnsi="Arial" w:cs="Arial"/>
          <w:sz w:val="24"/>
          <w:szCs w:val="24"/>
        </w:rPr>
        <w:t xml:space="preserve"> </w:t>
      </w:r>
    </w:p>
    <w:p w:rsidR="005D196E" w:rsidRDefault="005D196E" w:rsidP="00FD61F8">
      <w:pPr>
        <w:spacing w:after="0" w:line="360" w:lineRule="auto"/>
        <w:jc w:val="both"/>
        <w:rPr>
          <w:rFonts w:ascii="Arial" w:hAnsi="Arial" w:cs="Arial"/>
          <w:sz w:val="24"/>
          <w:szCs w:val="24"/>
        </w:rPr>
      </w:pPr>
    </w:p>
    <w:p w:rsidR="00F17956" w:rsidRPr="00CB0AF0" w:rsidRDefault="005D196E"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71</w:t>
      </w:r>
      <w:r>
        <w:rPr>
          <w:rFonts w:ascii="Arial" w:hAnsi="Arial" w:cs="Arial"/>
          <w:sz w:val="24"/>
          <w:szCs w:val="24"/>
        </w:rPr>
        <w:t>]</w:t>
      </w:r>
      <w:r>
        <w:rPr>
          <w:rFonts w:ascii="Arial" w:hAnsi="Arial" w:cs="Arial"/>
          <w:sz w:val="24"/>
          <w:szCs w:val="24"/>
        </w:rPr>
        <w:tab/>
      </w:r>
      <w:r w:rsidR="00F17956" w:rsidRPr="00F17956">
        <w:rPr>
          <w:rFonts w:ascii="Arial" w:hAnsi="Arial" w:cs="Arial"/>
          <w:sz w:val="24"/>
          <w:szCs w:val="24"/>
        </w:rPr>
        <w:t>On t</w:t>
      </w:r>
      <w:r w:rsidR="00CB0AF0">
        <w:rPr>
          <w:rFonts w:ascii="Arial" w:hAnsi="Arial" w:cs="Arial"/>
          <w:sz w:val="24"/>
          <w:szCs w:val="24"/>
        </w:rPr>
        <w:t>he morning of 15 June 2020 (</w:t>
      </w:r>
      <w:r w:rsidR="00CB0AF0" w:rsidRPr="00CB0AF0">
        <w:rPr>
          <w:rFonts w:ascii="Arial" w:hAnsi="Arial" w:cs="Arial"/>
          <w:sz w:val="24"/>
          <w:szCs w:val="24"/>
        </w:rPr>
        <w:t xml:space="preserve">the </w:t>
      </w:r>
      <w:r w:rsidR="00011B14" w:rsidRPr="00CB0AF0">
        <w:rPr>
          <w:rFonts w:ascii="Arial" w:hAnsi="Arial" w:cs="Arial"/>
          <w:sz w:val="24"/>
          <w:szCs w:val="24"/>
        </w:rPr>
        <w:t xml:space="preserve">intended </w:t>
      </w:r>
      <w:r w:rsidR="00F17956" w:rsidRPr="00CB0AF0">
        <w:rPr>
          <w:rFonts w:ascii="Arial" w:hAnsi="Arial" w:cs="Arial"/>
          <w:sz w:val="24"/>
          <w:szCs w:val="24"/>
        </w:rPr>
        <w:t>first day of trial) a letter was drafted on behalf of the defendant</w:t>
      </w:r>
      <w:r w:rsidR="000F31CC" w:rsidRPr="00CB0AF0">
        <w:rPr>
          <w:rFonts w:ascii="Arial" w:hAnsi="Arial" w:cs="Arial"/>
          <w:sz w:val="24"/>
          <w:szCs w:val="24"/>
        </w:rPr>
        <w:t xml:space="preserve"> addressed to the plaintiff. For</w:t>
      </w:r>
      <w:r w:rsidR="00F17956" w:rsidRPr="00CB0AF0">
        <w:rPr>
          <w:rFonts w:ascii="Arial" w:hAnsi="Arial" w:cs="Arial"/>
          <w:sz w:val="24"/>
          <w:szCs w:val="24"/>
        </w:rPr>
        <w:t xml:space="preserve"> </w:t>
      </w:r>
      <w:r w:rsidR="00067666" w:rsidRPr="00CB0AF0">
        <w:rPr>
          <w:rFonts w:ascii="Arial" w:hAnsi="Arial" w:cs="Arial"/>
          <w:sz w:val="24"/>
          <w:szCs w:val="24"/>
        </w:rPr>
        <w:t>purposes of this ruling I will only refer to the second to last paragraph of the letter, which states as follows:</w:t>
      </w:r>
    </w:p>
    <w:p w:rsidR="00714265" w:rsidRPr="00CB0AF0" w:rsidRDefault="00714265" w:rsidP="00FD61F8">
      <w:pPr>
        <w:spacing w:after="0" w:line="360" w:lineRule="auto"/>
        <w:jc w:val="both"/>
        <w:rPr>
          <w:rFonts w:ascii="Arial" w:hAnsi="Arial" w:cs="Arial"/>
          <w:sz w:val="24"/>
          <w:szCs w:val="24"/>
        </w:rPr>
      </w:pPr>
    </w:p>
    <w:p w:rsidR="00067666" w:rsidRPr="00CB0AF0" w:rsidRDefault="00067666" w:rsidP="00FD61F8">
      <w:pPr>
        <w:spacing w:after="0" w:line="360" w:lineRule="auto"/>
        <w:jc w:val="both"/>
        <w:rPr>
          <w:rFonts w:ascii="Arial" w:hAnsi="Arial" w:cs="Arial"/>
        </w:rPr>
      </w:pPr>
      <w:r w:rsidRPr="00CB0AF0">
        <w:rPr>
          <w:rFonts w:ascii="Arial" w:hAnsi="Arial" w:cs="Arial"/>
          <w:sz w:val="24"/>
          <w:szCs w:val="24"/>
        </w:rPr>
        <w:tab/>
      </w:r>
      <w:r w:rsidRPr="00CB0AF0">
        <w:rPr>
          <w:rFonts w:ascii="Arial" w:hAnsi="Arial" w:cs="Arial"/>
        </w:rPr>
        <w:t xml:space="preserve">‘The hearing of this matter is currently standing down until 14h15 this afternoon. We address this letter to you in terms of rule 32(9) so that you can have an opportunity before this juncture to consider ways in which we can amicably resolve the intended application. We point out that the defendant is entitle to the discovery and that it demands and that the easiest manner in which to avoid the application, would be to simply provide us with the documents </w:t>
      </w:r>
      <w:r w:rsidR="00F7628B" w:rsidRPr="00CB0AF0">
        <w:rPr>
          <w:rFonts w:ascii="Arial" w:hAnsi="Arial" w:cs="Arial"/>
        </w:rPr>
        <w:t xml:space="preserve">or </w:t>
      </w:r>
      <w:r w:rsidRPr="00CB0AF0">
        <w:rPr>
          <w:rFonts w:ascii="Arial" w:hAnsi="Arial" w:cs="Arial"/>
        </w:rPr>
        <w:t>in the format as we request.’</w:t>
      </w:r>
    </w:p>
    <w:p w:rsidR="002E76E8" w:rsidRPr="00CB0AF0" w:rsidRDefault="002E76E8" w:rsidP="00FD61F8">
      <w:pPr>
        <w:spacing w:after="0" w:line="360" w:lineRule="auto"/>
        <w:jc w:val="both"/>
        <w:rPr>
          <w:rFonts w:ascii="Arial" w:hAnsi="Arial" w:cs="Arial"/>
          <w:sz w:val="24"/>
          <w:szCs w:val="24"/>
        </w:rPr>
      </w:pPr>
    </w:p>
    <w:p w:rsidR="000F47FC" w:rsidRPr="00CB0AF0" w:rsidRDefault="00067666" w:rsidP="00FD61F8">
      <w:pPr>
        <w:spacing w:after="0" w:line="360" w:lineRule="auto"/>
        <w:jc w:val="both"/>
        <w:rPr>
          <w:rFonts w:ascii="Arial" w:hAnsi="Arial" w:cs="Arial"/>
          <w:sz w:val="24"/>
          <w:szCs w:val="24"/>
        </w:rPr>
      </w:pPr>
      <w:r w:rsidRPr="00CB0AF0">
        <w:rPr>
          <w:rFonts w:ascii="Arial" w:hAnsi="Arial" w:cs="Arial"/>
          <w:sz w:val="24"/>
          <w:szCs w:val="24"/>
        </w:rPr>
        <w:t>[</w:t>
      </w:r>
      <w:r w:rsidR="00F17E63">
        <w:rPr>
          <w:rFonts w:ascii="Arial" w:hAnsi="Arial" w:cs="Arial"/>
          <w:sz w:val="24"/>
          <w:szCs w:val="24"/>
        </w:rPr>
        <w:t>72</w:t>
      </w:r>
      <w:r w:rsidRPr="00CB0AF0">
        <w:rPr>
          <w:rFonts w:ascii="Arial" w:hAnsi="Arial" w:cs="Arial"/>
          <w:sz w:val="24"/>
          <w:szCs w:val="24"/>
        </w:rPr>
        <w:t>]</w:t>
      </w:r>
      <w:r w:rsidRPr="00CB0AF0">
        <w:rPr>
          <w:rFonts w:ascii="Arial" w:hAnsi="Arial" w:cs="Arial"/>
          <w:sz w:val="24"/>
          <w:szCs w:val="24"/>
        </w:rPr>
        <w:tab/>
        <w:t xml:space="preserve">If one </w:t>
      </w:r>
      <w:r w:rsidR="00F7628B" w:rsidRPr="00CB0AF0">
        <w:rPr>
          <w:rFonts w:ascii="Arial" w:hAnsi="Arial" w:cs="Arial"/>
          <w:sz w:val="24"/>
          <w:szCs w:val="24"/>
        </w:rPr>
        <w:t xml:space="preserve">have regard to the wording of the letter it is clearly framed as an ultimatum and </w:t>
      </w:r>
      <w:r w:rsidR="0023313E" w:rsidRPr="00CB0AF0">
        <w:rPr>
          <w:rFonts w:ascii="Arial" w:hAnsi="Arial" w:cs="Arial"/>
          <w:sz w:val="24"/>
          <w:szCs w:val="24"/>
        </w:rPr>
        <w:t xml:space="preserve">when reading </w:t>
      </w:r>
      <w:r w:rsidR="00F7628B" w:rsidRPr="00CB0AF0">
        <w:rPr>
          <w:rFonts w:ascii="Arial" w:hAnsi="Arial" w:cs="Arial"/>
          <w:sz w:val="24"/>
          <w:szCs w:val="24"/>
        </w:rPr>
        <w:t>between the lines it is clear that the defendant demand</w:t>
      </w:r>
      <w:r w:rsidR="00AE3A45" w:rsidRPr="00CB0AF0">
        <w:rPr>
          <w:rFonts w:ascii="Arial" w:hAnsi="Arial" w:cs="Arial"/>
          <w:sz w:val="24"/>
          <w:szCs w:val="24"/>
        </w:rPr>
        <w:t>s</w:t>
      </w:r>
      <w:r w:rsidR="00F7628B" w:rsidRPr="00CB0AF0">
        <w:rPr>
          <w:rFonts w:ascii="Arial" w:hAnsi="Arial" w:cs="Arial"/>
          <w:sz w:val="24"/>
          <w:szCs w:val="24"/>
        </w:rPr>
        <w:t xml:space="preserve"> the discovery and if the plaintiff does not comply (immediately) then </w:t>
      </w:r>
      <w:r w:rsidR="000F47FC" w:rsidRPr="00CB0AF0">
        <w:rPr>
          <w:rFonts w:ascii="Arial" w:hAnsi="Arial" w:cs="Arial"/>
          <w:sz w:val="24"/>
          <w:szCs w:val="24"/>
        </w:rPr>
        <w:t>it</w:t>
      </w:r>
      <w:r w:rsidR="00F7628B" w:rsidRPr="00CB0AF0">
        <w:rPr>
          <w:rFonts w:ascii="Arial" w:hAnsi="Arial" w:cs="Arial"/>
          <w:sz w:val="24"/>
          <w:szCs w:val="24"/>
        </w:rPr>
        <w:t xml:space="preserve"> will bring this application</w:t>
      </w:r>
      <w:r w:rsidR="000F47FC" w:rsidRPr="00CB0AF0">
        <w:rPr>
          <w:rFonts w:ascii="Arial" w:hAnsi="Arial" w:cs="Arial"/>
          <w:sz w:val="24"/>
          <w:szCs w:val="24"/>
        </w:rPr>
        <w:t xml:space="preserve">, </w:t>
      </w:r>
      <w:r w:rsidR="00F7628B" w:rsidRPr="00CB0AF0">
        <w:rPr>
          <w:rFonts w:ascii="Arial" w:hAnsi="Arial" w:cs="Arial"/>
          <w:sz w:val="24"/>
          <w:szCs w:val="24"/>
        </w:rPr>
        <w:t>which by implication w</w:t>
      </w:r>
      <w:r w:rsidR="000F47FC" w:rsidRPr="00CB0AF0">
        <w:rPr>
          <w:rFonts w:ascii="Arial" w:hAnsi="Arial" w:cs="Arial"/>
          <w:sz w:val="24"/>
          <w:szCs w:val="24"/>
        </w:rPr>
        <w:t xml:space="preserve">ould </w:t>
      </w:r>
      <w:r w:rsidR="00F7628B" w:rsidRPr="00CB0AF0">
        <w:rPr>
          <w:rFonts w:ascii="Arial" w:hAnsi="Arial" w:cs="Arial"/>
          <w:sz w:val="24"/>
          <w:szCs w:val="24"/>
        </w:rPr>
        <w:t xml:space="preserve">derail the trial </w:t>
      </w:r>
      <w:r w:rsidR="000F47FC" w:rsidRPr="00CB0AF0">
        <w:rPr>
          <w:rFonts w:ascii="Arial" w:hAnsi="Arial" w:cs="Arial"/>
          <w:sz w:val="24"/>
          <w:szCs w:val="24"/>
        </w:rPr>
        <w:t xml:space="preserve">that was due to start at 14h15 that same day. </w:t>
      </w:r>
    </w:p>
    <w:p w:rsidR="002E2FF6" w:rsidRPr="00CB0AF0" w:rsidRDefault="002E2FF6" w:rsidP="00FD61F8">
      <w:pPr>
        <w:autoSpaceDE w:val="0"/>
        <w:autoSpaceDN w:val="0"/>
        <w:adjustRightInd w:val="0"/>
        <w:spacing w:after="0" w:line="360" w:lineRule="auto"/>
        <w:jc w:val="both"/>
        <w:rPr>
          <w:rFonts w:ascii="Arial" w:hAnsi="Arial" w:cs="Arial"/>
          <w:sz w:val="24"/>
          <w:szCs w:val="24"/>
        </w:rPr>
      </w:pPr>
    </w:p>
    <w:p w:rsidR="00D60596" w:rsidRDefault="002E2FF6"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73</w:t>
      </w:r>
      <w:r>
        <w:rPr>
          <w:rFonts w:ascii="Arial" w:hAnsi="Arial" w:cs="Arial"/>
          <w:sz w:val="24"/>
          <w:szCs w:val="24"/>
        </w:rPr>
        <w:t>]</w:t>
      </w:r>
      <w:r>
        <w:rPr>
          <w:rFonts w:ascii="Arial" w:hAnsi="Arial" w:cs="Arial"/>
          <w:sz w:val="24"/>
          <w:szCs w:val="24"/>
        </w:rPr>
        <w:tab/>
        <w:t xml:space="preserve">This court made its position </w:t>
      </w:r>
      <w:r w:rsidR="00F17E63">
        <w:rPr>
          <w:rFonts w:ascii="Arial" w:hAnsi="Arial" w:cs="Arial"/>
          <w:sz w:val="24"/>
          <w:szCs w:val="24"/>
        </w:rPr>
        <w:t>very</w:t>
      </w:r>
      <w:r w:rsidR="00AD139F">
        <w:rPr>
          <w:rFonts w:ascii="Arial" w:hAnsi="Arial" w:cs="Arial"/>
          <w:sz w:val="24"/>
          <w:szCs w:val="24"/>
        </w:rPr>
        <w:t xml:space="preserve"> when</w:t>
      </w:r>
      <w:r>
        <w:rPr>
          <w:rFonts w:ascii="Arial" w:hAnsi="Arial" w:cs="Arial"/>
          <w:sz w:val="24"/>
          <w:szCs w:val="24"/>
        </w:rPr>
        <w:t xml:space="preserve"> </w:t>
      </w:r>
      <w:proofErr w:type="spellStart"/>
      <w:r>
        <w:rPr>
          <w:rFonts w:ascii="Arial" w:hAnsi="Arial" w:cs="Arial"/>
          <w:sz w:val="24"/>
          <w:szCs w:val="24"/>
        </w:rPr>
        <w:t>Masuku</w:t>
      </w:r>
      <w:proofErr w:type="spellEnd"/>
      <w:r>
        <w:rPr>
          <w:rFonts w:ascii="Arial" w:hAnsi="Arial" w:cs="Arial"/>
          <w:sz w:val="24"/>
          <w:szCs w:val="24"/>
        </w:rPr>
        <w:t xml:space="preserve"> J in </w:t>
      </w:r>
      <w:r w:rsidRPr="002A5A36">
        <w:rPr>
          <w:rFonts w:ascii="Arial" w:hAnsi="Arial" w:cs="Arial"/>
          <w:i/>
          <w:sz w:val="24"/>
          <w:szCs w:val="24"/>
        </w:rPr>
        <w:t xml:space="preserve">Bank Windhoek Limited v </w:t>
      </w:r>
      <w:proofErr w:type="spellStart"/>
      <w:r w:rsidRPr="002A5A36">
        <w:rPr>
          <w:rFonts w:ascii="Arial" w:hAnsi="Arial" w:cs="Arial"/>
          <w:i/>
          <w:sz w:val="24"/>
          <w:szCs w:val="24"/>
        </w:rPr>
        <w:t>Benlin</w:t>
      </w:r>
      <w:proofErr w:type="spellEnd"/>
      <w:r w:rsidRPr="002A5A36">
        <w:rPr>
          <w:rFonts w:ascii="Arial" w:hAnsi="Arial" w:cs="Arial"/>
          <w:i/>
          <w:sz w:val="24"/>
          <w:szCs w:val="24"/>
        </w:rPr>
        <w:t xml:space="preserve"> Investment CC</w:t>
      </w:r>
      <w:r>
        <w:rPr>
          <w:rStyle w:val="FootnoteReference"/>
          <w:rFonts w:ascii="Arial" w:hAnsi="Arial" w:cs="Arial"/>
          <w:sz w:val="24"/>
          <w:szCs w:val="24"/>
        </w:rPr>
        <w:footnoteReference w:id="25"/>
      </w:r>
      <w:r w:rsidR="004238CC">
        <w:rPr>
          <w:rFonts w:ascii="Arial" w:hAnsi="Arial" w:cs="Arial"/>
          <w:sz w:val="24"/>
          <w:szCs w:val="24"/>
        </w:rPr>
        <w:t xml:space="preserve"> </w:t>
      </w:r>
      <w:r>
        <w:rPr>
          <w:rFonts w:ascii="Arial" w:hAnsi="Arial" w:cs="Arial"/>
          <w:sz w:val="24"/>
          <w:szCs w:val="24"/>
        </w:rPr>
        <w:t xml:space="preserve">stated the following with regards to the exchange of letters </w:t>
      </w:r>
      <w:r w:rsidR="005F3741">
        <w:rPr>
          <w:rFonts w:ascii="Arial" w:hAnsi="Arial" w:cs="Arial"/>
          <w:sz w:val="24"/>
          <w:szCs w:val="24"/>
        </w:rPr>
        <w:t>in superficial compliance with rule 32(9):</w:t>
      </w:r>
    </w:p>
    <w:p w:rsidR="002E2FF6" w:rsidRPr="007C70EB" w:rsidRDefault="002E2FF6" w:rsidP="00FD61F8">
      <w:pPr>
        <w:autoSpaceDE w:val="0"/>
        <w:autoSpaceDN w:val="0"/>
        <w:adjustRightInd w:val="0"/>
        <w:spacing w:after="0" w:line="360" w:lineRule="auto"/>
        <w:ind w:firstLine="720"/>
        <w:jc w:val="both"/>
        <w:rPr>
          <w:rFonts w:ascii="Arial" w:hAnsi="Arial" w:cs="Arial"/>
          <w:i/>
        </w:rPr>
      </w:pPr>
    </w:p>
    <w:p w:rsidR="002E2FF6" w:rsidRDefault="002E2FF6" w:rsidP="00FD61F8">
      <w:pPr>
        <w:autoSpaceDE w:val="0"/>
        <w:autoSpaceDN w:val="0"/>
        <w:adjustRightInd w:val="0"/>
        <w:spacing w:after="0" w:line="360" w:lineRule="auto"/>
        <w:ind w:firstLine="720"/>
        <w:jc w:val="both"/>
        <w:rPr>
          <w:rFonts w:ascii="Arial" w:hAnsi="Arial" w:cs="Arial"/>
          <w:i/>
        </w:rPr>
      </w:pPr>
      <w:r w:rsidRPr="002A5A36">
        <w:rPr>
          <w:rFonts w:ascii="Arial" w:hAnsi="Arial" w:cs="Arial"/>
          <w:i/>
        </w:rPr>
        <w:t>[16</w:t>
      </w:r>
      <w:r>
        <w:rPr>
          <w:rFonts w:ascii="Arial" w:hAnsi="Arial" w:cs="Arial"/>
          <w:i/>
        </w:rPr>
        <w:t>]</w:t>
      </w:r>
      <w:r>
        <w:rPr>
          <w:rFonts w:ascii="Arial" w:hAnsi="Arial" w:cs="Arial"/>
          <w:i/>
        </w:rPr>
        <w:tab/>
        <w:t>The</w:t>
      </w:r>
      <w:r w:rsidRPr="002A5A36">
        <w:rPr>
          <w:rFonts w:ascii="Arial" w:hAnsi="Arial" w:cs="Arial"/>
          <w:i/>
        </w:rPr>
        <w:t xml:space="preserve"> writing of letters provides a very easy way of being shallow in consideration of issues, dismissive in approach and polarized in engagement. This becomes so even if there are matters that may be canvassed, even it not eventually settled in full or at all. The face to </w:t>
      </w:r>
      <w:r w:rsidRPr="002A5A36">
        <w:rPr>
          <w:rFonts w:ascii="Arial" w:hAnsi="Arial" w:cs="Arial"/>
          <w:i/>
        </w:rPr>
        <w:lastRenderedPageBreak/>
        <w:t>face</w:t>
      </w:r>
      <w:r>
        <w:rPr>
          <w:rFonts w:ascii="Arial" w:hAnsi="Arial" w:cs="Arial"/>
          <w:i/>
        </w:rPr>
        <w:t xml:space="preserve"> </w:t>
      </w:r>
      <w:r w:rsidRPr="002A5A36">
        <w:rPr>
          <w:rFonts w:ascii="Arial" w:hAnsi="Arial" w:cs="Arial"/>
          <w:i/>
        </w:rPr>
        <w:t>engagement on such issues brings such cursory and perfunctory approach to a screeching halt. After the meeting, you understand your case better as that of your opponent, which assists the resolution or approach to the live issues going forward. This benefit must not be lost behind the veil of avoiding active engagement by the mere superficial exchange of letters.’</w:t>
      </w:r>
    </w:p>
    <w:p w:rsidR="005F3741" w:rsidRPr="007C70EB" w:rsidRDefault="005F3741" w:rsidP="00FD61F8">
      <w:pPr>
        <w:autoSpaceDE w:val="0"/>
        <w:autoSpaceDN w:val="0"/>
        <w:adjustRightInd w:val="0"/>
        <w:spacing w:after="0" w:line="360" w:lineRule="auto"/>
        <w:ind w:firstLine="720"/>
        <w:jc w:val="both"/>
        <w:rPr>
          <w:rFonts w:ascii="Arial" w:hAnsi="Arial" w:cs="Arial"/>
          <w:i/>
        </w:rPr>
      </w:pPr>
    </w:p>
    <w:p w:rsidR="002E2FF6" w:rsidRDefault="002E2FF6"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74</w:t>
      </w:r>
      <w:r>
        <w:rPr>
          <w:rFonts w:ascii="Arial" w:hAnsi="Arial" w:cs="Arial"/>
          <w:sz w:val="24"/>
          <w:szCs w:val="24"/>
        </w:rPr>
        <w:t>]</w:t>
      </w:r>
      <w:r>
        <w:rPr>
          <w:rFonts w:ascii="Arial" w:hAnsi="Arial" w:cs="Arial"/>
          <w:sz w:val="24"/>
          <w:szCs w:val="24"/>
        </w:rPr>
        <w:tab/>
        <w:t xml:space="preserve">The defendant was paying mere lip service to rule 32 (9) </w:t>
      </w:r>
      <w:r w:rsidR="005F3741">
        <w:rPr>
          <w:rFonts w:ascii="Arial" w:hAnsi="Arial" w:cs="Arial"/>
          <w:sz w:val="24"/>
          <w:szCs w:val="24"/>
        </w:rPr>
        <w:t>and</w:t>
      </w:r>
      <w:r>
        <w:rPr>
          <w:rFonts w:ascii="Arial" w:hAnsi="Arial" w:cs="Arial"/>
          <w:sz w:val="24"/>
          <w:szCs w:val="24"/>
        </w:rPr>
        <w:t xml:space="preserve"> one can surely not say that </w:t>
      </w:r>
      <w:r w:rsidR="000E1908" w:rsidRPr="006D78AF">
        <w:rPr>
          <w:rFonts w:ascii="Arial" w:hAnsi="Arial" w:cs="Arial"/>
          <w:sz w:val="24"/>
          <w:szCs w:val="24"/>
        </w:rPr>
        <w:t xml:space="preserve">the defendant </w:t>
      </w:r>
      <w:r>
        <w:rPr>
          <w:rFonts w:ascii="Arial" w:hAnsi="Arial" w:cs="Arial"/>
          <w:sz w:val="24"/>
          <w:szCs w:val="24"/>
        </w:rPr>
        <w:t xml:space="preserve">sought an amicable solution by writing a letter in the tone that it did and within the time frame set for the plaintiff. </w:t>
      </w:r>
    </w:p>
    <w:p w:rsidR="00D60596" w:rsidRDefault="00D60596" w:rsidP="00FD61F8">
      <w:pPr>
        <w:autoSpaceDE w:val="0"/>
        <w:autoSpaceDN w:val="0"/>
        <w:adjustRightInd w:val="0"/>
        <w:spacing w:after="0" w:line="360" w:lineRule="auto"/>
        <w:jc w:val="both"/>
        <w:rPr>
          <w:rFonts w:ascii="Arial" w:hAnsi="Arial" w:cs="Arial"/>
          <w:sz w:val="24"/>
          <w:szCs w:val="24"/>
        </w:rPr>
      </w:pPr>
    </w:p>
    <w:p w:rsidR="00F17E63" w:rsidRDefault="00D60596" w:rsidP="00F17E63">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75</w:t>
      </w:r>
      <w:r>
        <w:rPr>
          <w:rFonts w:ascii="Arial" w:hAnsi="Arial" w:cs="Arial"/>
          <w:sz w:val="24"/>
          <w:szCs w:val="24"/>
        </w:rPr>
        <w:t>]</w:t>
      </w:r>
      <w:r>
        <w:rPr>
          <w:rFonts w:ascii="Arial" w:hAnsi="Arial" w:cs="Arial"/>
          <w:sz w:val="24"/>
          <w:szCs w:val="24"/>
        </w:rPr>
        <w:tab/>
        <w:t>To add insult to injury the defendant then failed to file its 32(10) report</w:t>
      </w:r>
      <w:r w:rsidR="002C4EE7">
        <w:rPr>
          <w:rFonts w:ascii="Arial" w:hAnsi="Arial" w:cs="Arial"/>
          <w:sz w:val="24"/>
          <w:szCs w:val="24"/>
        </w:rPr>
        <w:t xml:space="preserve"> before launching the application</w:t>
      </w:r>
      <w:r>
        <w:rPr>
          <w:rFonts w:ascii="Arial" w:hAnsi="Arial" w:cs="Arial"/>
          <w:sz w:val="24"/>
          <w:szCs w:val="24"/>
        </w:rPr>
        <w:t xml:space="preserve"> and the explanation advanced </w:t>
      </w:r>
      <w:r w:rsidR="002C4EE7">
        <w:rPr>
          <w:rFonts w:ascii="Arial" w:hAnsi="Arial" w:cs="Arial"/>
          <w:sz w:val="24"/>
          <w:szCs w:val="24"/>
        </w:rPr>
        <w:t xml:space="preserve">for its failure </w:t>
      </w:r>
      <w:r>
        <w:rPr>
          <w:rFonts w:ascii="Arial" w:hAnsi="Arial" w:cs="Arial"/>
          <w:sz w:val="24"/>
          <w:szCs w:val="24"/>
        </w:rPr>
        <w:t xml:space="preserve">is </w:t>
      </w:r>
      <w:r w:rsidRPr="002E2FF6">
        <w:rPr>
          <w:rFonts w:ascii="Arial" w:hAnsi="Arial" w:cs="Arial"/>
          <w:i/>
          <w:sz w:val="24"/>
          <w:szCs w:val="24"/>
        </w:rPr>
        <w:t xml:space="preserve">‘due to extreme urgency with which the application had to be presented to the </w:t>
      </w:r>
      <w:proofErr w:type="spellStart"/>
      <w:r w:rsidRPr="002E2FF6">
        <w:rPr>
          <w:rFonts w:ascii="Arial" w:hAnsi="Arial" w:cs="Arial"/>
          <w:i/>
          <w:sz w:val="24"/>
          <w:szCs w:val="24"/>
        </w:rPr>
        <w:t>Honorable</w:t>
      </w:r>
      <w:proofErr w:type="spellEnd"/>
      <w:r w:rsidRPr="002E2FF6">
        <w:rPr>
          <w:rFonts w:ascii="Arial" w:hAnsi="Arial" w:cs="Arial"/>
          <w:i/>
          <w:sz w:val="24"/>
          <w:szCs w:val="24"/>
        </w:rPr>
        <w:t xml:space="preserve"> Judge and the plaintiff’s legal practitioner</w:t>
      </w:r>
      <w:r w:rsidR="002C4EE7">
        <w:rPr>
          <w:rFonts w:ascii="Arial" w:hAnsi="Arial" w:cs="Arial"/>
          <w:sz w:val="24"/>
          <w:szCs w:val="24"/>
        </w:rPr>
        <w:t>’.</w:t>
      </w:r>
      <w:r w:rsidR="00F17E63">
        <w:rPr>
          <w:rFonts w:ascii="Arial" w:hAnsi="Arial" w:cs="Arial"/>
          <w:sz w:val="24"/>
          <w:szCs w:val="24"/>
        </w:rPr>
        <w:t xml:space="preserve"> Under these circumstance there can be no urgency pleaded as it is self-created and the defendant is merely being opportunistic. </w:t>
      </w:r>
    </w:p>
    <w:p w:rsidR="002C4EE7" w:rsidRDefault="002C4EE7" w:rsidP="00FD61F8">
      <w:pPr>
        <w:autoSpaceDE w:val="0"/>
        <w:autoSpaceDN w:val="0"/>
        <w:adjustRightInd w:val="0"/>
        <w:spacing w:after="0" w:line="360" w:lineRule="auto"/>
        <w:jc w:val="both"/>
        <w:rPr>
          <w:rFonts w:ascii="Arial" w:hAnsi="Arial" w:cs="Arial"/>
          <w:sz w:val="24"/>
          <w:szCs w:val="24"/>
        </w:rPr>
      </w:pPr>
    </w:p>
    <w:p w:rsidR="00AB08D3" w:rsidRDefault="002C4EE7"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76</w:t>
      </w:r>
      <w:r>
        <w:rPr>
          <w:rFonts w:ascii="Arial" w:hAnsi="Arial" w:cs="Arial"/>
          <w:sz w:val="24"/>
          <w:szCs w:val="24"/>
        </w:rPr>
        <w:t>]</w:t>
      </w:r>
      <w:r>
        <w:rPr>
          <w:rFonts w:ascii="Arial" w:hAnsi="Arial" w:cs="Arial"/>
          <w:sz w:val="24"/>
          <w:szCs w:val="24"/>
        </w:rPr>
        <w:tab/>
      </w:r>
      <w:r w:rsidR="000E3B43">
        <w:rPr>
          <w:rFonts w:ascii="Arial" w:hAnsi="Arial" w:cs="Arial"/>
          <w:sz w:val="24"/>
          <w:szCs w:val="24"/>
        </w:rPr>
        <w:t xml:space="preserve">Interestingly enough the defendant’s legal practitioner was able to upload the application at 14h15 that same afternoon but was only able to upload the report in terms of rule 32(10) two days later, for reasons that </w:t>
      </w:r>
      <w:r w:rsidR="00F7081F" w:rsidRPr="006D78AF">
        <w:rPr>
          <w:rFonts w:ascii="Arial" w:hAnsi="Arial" w:cs="Arial"/>
          <w:sz w:val="24"/>
          <w:szCs w:val="24"/>
        </w:rPr>
        <w:t xml:space="preserve">are </w:t>
      </w:r>
      <w:r w:rsidR="000E3B43" w:rsidRPr="006D78AF">
        <w:rPr>
          <w:rFonts w:ascii="Arial" w:hAnsi="Arial" w:cs="Arial"/>
          <w:sz w:val="24"/>
          <w:szCs w:val="24"/>
        </w:rPr>
        <w:t>not clear</w:t>
      </w:r>
      <w:r w:rsidR="00F7081F" w:rsidRPr="006D78AF">
        <w:rPr>
          <w:rFonts w:ascii="Arial" w:hAnsi="Arial" w:cs="Arial"/>
          <w:sz w:val="24"/>
          <w:szCs w:val="24"/>
        </w:rPr>
        <w:t xml:space="preserve"> and unknown</w:t>
      </w:r>
      <w:r w:rsidR="000E3B43" w:rsidRPr="006D78AF">
        <w:rPr>
          <w:rFonts w:ascii="Arial" w:hAnsi="Arial" w:cs="Arial"/>
          <w:sz w:val="24"/>
          <w:szCs w:val="24"/>
        </w:rPr>
        <w:t xml:space="preserve"> </w:t>
      </w:r>
      <w:r w:rsidR="000E3B43">
        <w:rPr>
          <w:rFonts w:ascii="Arial" w:hAnsi="Arial" w:cs="Arial"/>
          <w:sz w:val="24"/>
          <w:szCs w:val="24"/>
        </w:rPr>
        <w:t xml:space="preserve">to this court. </w:t>
      </w:r>
    </w:p>
    <w:p w:rsidR="002C6CAE" w:rsidRDefault="002C6CAE" w:rsidP="00FD61F8">
      <w:pPr>
        <w:autoSpaceDE w:val="0"/>
        <w:autoSpaceDN w:val="0"/>
        <w:adjustRightInd w:val="0"/>
        <w:spacing w:after="0" w:line="360" w:lineRule="auto"/>
        <w:jc w:val="both"/>
        <w:rPr>
          <w:rFonts w:ascii="Arial" w:hAnsi="Arial" w:cs="Arial"/>
          <w:sz w:val="24"/>
          <w:szCs w:val="24"/>
        </w:rPr>
      </w:pPr>
    </w:p>
    <w:p w:rsidR="00AB08D3" w:rsidRPr="000700E4" w:rsidRDefault="00AB08D3"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77</w:t>
      </w:r>
      <w:r>
        <w:rPr>
          <w:rFonts w:ascii="Arial" w:hAnsi="Arial" w:cs="Arial"/>
          <w:sz w:val="24"/>
          <w:szCs w:val="24"/>
        </w:rPr>
        <w:t>]</w:t>
      </w:r>
      <w:r>
        <w:rPr>
          <w:rFonts w:ascii="Arial" w:hAnsi="Arial" w:cs="Arial"/>
          <w:sz w:val="24"/>
          <w:szCs w:val="24"/>
        </w:rPr>
        <w:tab/>
        <w:t>Rule 32(10)</w:t>
      </w:r>
      <w:r w:rsidR="00FD1892">
        <w:rPr>
          <w:rFonts w:ascii="Arial" w:hAnsi="Arial" w:cs="Arial"/>
          <w:sz w:val="24"/>
          <w:szCs w:val="24"/>
        </w:rPr>
        <w:t xml:space="preserve"> does not allow an applicant in an interlocutory application the discretion </w:t>
      </w:r>
      <w:r w:rsidR="000700E4">
        <w:rPr>
          <w:rFonts w:ascii="Arial" w:hAnsi="Arial" w:cs="Arial"/>
          <w:sz w:val="24"/>
          <w:szCs w:val="24"/>
        </w:rPr>
        <w:t xml:space="preserve">to file its report </w:t>
      </w:r>
      <w:r w:rsidR="009C7F05">
        <w:rPr>
          <w:rFonts w:ascii="Arial" w:hAnsi="Arial" w:cs="Arial"/>
          <w:sz w:val="24"/>
          <w:szCs w:val="24"/>
        </w:rPr>
        <w:t xml:space="preserve">detailing its efforts to settle the matter </w:t>
      </w:r>
      <w:r w:rsidR="000700E4">
        <w:rPr>
          <w:rFonts w:ascii="Arial" w:hAnsi="Arial" w:cs="Arial"/>
          <w:sz w:val="24"/>
          <w:szCs w:val="24"/>
        </w:rPr>
        <w:t>after the launch of the application. The rule is set out in peremptory terms directing that the</w:t>
      </w:r>
      <w:r w:rsidR="000A1B06">
        <w:rPr>
          <w:rFonts w:ascii="Arial" w:hAnsi="Arial" w:cs="Arial"/>
          <w:sz w:val="24"/>
          <w:szCs w:val="24"/>
        </w:rPr>
        <w:t xml:space="preserve"> </w:t>
      </w:r>
      <w:r w:rsidR="000A1B06" w:rsidRPr="007C28E5">
        <w:rPr>
          <w:rFonts w:ascii="Arial" w:hAnsi="Arial" w:cs="Arial"/>
          <w:sz w:val="24"/>
          <w:szCs w:val="24"/>
        </w:rPr>
        <w:t>details of the steps taken to have the matter amicably resolved</w:t>
      </w:r>
      <w:r w:rsidR="000700E4">
        <w:rPr>
          <w:rFonts w:ascii="Arial" w:hAnsi="Arial" w:cs="Arial"/>
          <w:sz w:val="24"/>
          <w:szCs w:val="24"/>
        </w:rPr>
        <w:t xml:space="preserve"> </w:t>
      </w:r>
      <w:r w:rsidR="000700E4" w:rsidRPr="000700E4">
        <w:rPr>
          <w:rFonts w:ascii="Arial" w:hAnsi="Arial" w:cs="Arial"/>
          <w:sz w:val="24"/>
          <w:szCs w:val="24"/>
          <w:u w:val="single"/>
        </w:rPr>
        <w:t>must</w:t>
      </w:r>
      <w:r w:rsidR="000700E4">
        <w:rPr>
          <w:rFonts w:ascii="Arial" w:hAnsi="Arial" w:cs="Arial"/>
          <w:sz w:val="24"/>
          <w:szCs w:val="24"/>
        </w:rPr>
        <w:t xml:space="preserve"> be filed with the Registrar </w:t>
      </w:r>
      <w:r w:rsidR="000700E4">
        <w:rPr>
          <w:rFonts w:ascii="Arial" w:hAnsi="Arial" w:cs="Arial"/>
          <w:sz w:val="24"/>
          <w:szCs w:val="24"/>
          <w:u w:val="single"/>
        </w:rPr>
        <w:t xml:space="preserve">before </w:t>
      </w:r>
      <w:r w:rsidR="000700E4" w:rsidRPr="000700E4">
        <w:rPr>
          <w:rFonts w:ascii="Arial" w:hAnsi="Arial" w:cs="Arial"/>
          <w:sz w:val="24"/>
          <w:szCs w:val="24"/>
          <w:u w:val="single"/>
        </w:rPr>
        <w:t>instituting the proceedings</w:t>
      </w:r>
      <w:r w:rsidR="000700E4">
        <w:rPr>
          <w:rFonts w:ascii="Arial" w:hAnsi="Arial" w:cs="Arial"/>
          <w:sz w:val="24"/>
          <w:szCs w:val="24"/>
        </w:rPr>
        <w:t xml:space="preserve">. </w:t>
      </w:r>
    </w:p>
    <w:p w:rsidR="000F47FC" w:rsidRDefault="000F47FC" w:rsidP="00FD61F8">
      <w:pPr>
        <w:autoSpaceDE w:val="0"/>
        <w:autoSpaceDN w:val="0"/>
        <w:adjustRightInd w:val="0"/>
        <w:spacing w:after="0" w:line="360" w:lineRule="auto"/>
        <w:jc w:val="both"/>
        <w:rPr>
          <w:rFonts w:ascii="Arial" w:hAnsi="Arial" w:cs="Arial"/>
          <w:sz w:val="24"/>
          <w:szCs w:val="24"/>
        </w:rPr>
      </w:pPr>
    </w:p>
    <w:p w:rsidR="00F45C1C" w:rsidRDefault="000700E4"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78</w:t>
      </w:r>
      <w:r>
        <w:rPr>
          <w:rFonts w:ascii="Arial" w:hAnsi="Arial" w:cs="Arial"/>
          <w:sz w:val="24"/>
          <w:szCs w:val="24"/>
        </w:rPr>
        <w:t>]</w:t>
      </w:r>
      <w:r>
        <w:rPr>
          <w:rFonts w:ascii="Arial" w:hAnsi="Arial" w:cs="Arial"/>
          <w:sz w:val="24"/>
          <w:szCs w:val="24"/>
        </w:rPr>
        <w:tab/>
      </w:r>
      <w:r w:rsidR="00F134B2">
        <w:rPr>
          <w:rFonts w:ascii="Arial" w:hAnsi="Arial" w:cs="Arial"/>
          <w:sz w:val="24"/>
          <w:szCs w:val="24"/>
        </w:rPr>
        <w:t xml:space="preserve">The defendant’s legal </w:t>
      </w:r>
      <w:r w:rsidR="00F134B2" w:rsidRPr="006D78AF">
        <w:rPr>
          <w:rFonts w:ascii="Arial" w:hAnsi="Arial" w:cs="Arial"/>
          <w:sz w:val="24"/>
          <w:szCs w:val="24"/>
        </w:rPr>
        <w:t xml:space="preserve">practitioner </w:t>
      </w:r>
      <w:r w:rsidR="00F97860" w:rsidRPr="006D78AF">
        <w:rPr>
          <w:rFonts w:ascii="Arial" w:hAnsi="Arial" w:cs="Arial"/>
          <w:sz w:val="24"/>
          <w:szCs w:val="24"/>
        </w:rPr>
        <w:t xml:space="preserve">stated </w:t>
      </w:r>
      <w:r w:rsidR="00F45C1C">
        <w:rPr>
          <w:rFonts w:ascii="Arial" w:hAnsi="Arial" w:cs="Arial"/>
          <w:sz w:val="24"/>
          <w:szCs w:val="24"/>
        </w:rPr>
        <w:t xml:space="preserve">in his replying affidavit </w:t>
      </w:r>
      <w:r w:rsidR="00F134B2">
        <w:rPr>
          <w:rFonts w:ascii="Arial" w:hAnsi="Arial" w:cs="Arial"/>
          <w:sz w:val="24"/>
          <w:szCs w:val="24"/>
        </w:rPr>
        <w:t>as follows:</w:t>
      </w:r>
    </w:p>
    <w:p w:rsidR="00F97860" w:rsidRDefault="00F97860" w:rsidP="00FD61F8">
      <w:pPr>
        <w:autoSpaceDE w:val="0"/>
        <w:autoSpaceDN w:val="0"/>
        <w:adjustRightInd w:val="0"/>
        <w:spacing w:after="0" w:line="360" w:lineRule="auto"/>
        <w:jc w:val="both"/>
        <w:rPr>
          <w:rFonts w:ascii="Arial" w:hAnsi="Arial" w:cs="Arial"/>
          <w:sz w:val="24"/>
          <w:szCs w:val="24"/>
        </w:rPr>
      </w:pPr>
    </w:p>
    <w:p w:rsidR="002C6CAE" w:rsidRPr="002F19E1" w:rsidRDefault="00F45C1C" w:rsidP="00FD61F8">
      <w:pPr>
        <w:autoSpaceDE w:val="0"/>
        <w:autoSpaceDN w:val="0"/>
        <w:adjustRightInd w:val="0"/>
        <w:spacing w:after="0" w:line="360" w:lineRule="auto"/>
        <w:jc w:val="both"/>
        <w:rPr>
          <w:rFonts w:ascii="Arial" w:hAnsi="Arial" w:cs="Arial"/>
        </w:rPr>
      </w:pPr>
      <w:r>
        <w:rPr>
          <w:rFonts w:ascii="Arial" w:hAnsi="Arial" w:cs="Arial"/>
          <w:sz w:val="24"/>
          <w:szCs w:val="24"/>
        </w:rPr>
        <w:tab/>
      </w:r>
      <w:r w:rsidRPr="002F19E1">
        <w:rPr>
          <w:rFonts w:ascii="Arial" w:hAnsi="Arial" w:cs="Arial"/>
        </w:rPr>
        <w:t>‘</w:t>
      </w:r>
      <w:r w:rsidRPr="002F19E1">
        <w:rPr>
          <w:rFonts w:ascii="Arial" w:hAnsi="Arial" w:cs="Arial"/>
          <w:i/>
        </w:rPr>
        <w:t xml:space="preserve">Ex </w:t>
      </w:r>
      <w:proofErr w:type="spellStart"/>
      <w:r w:rsidRPr="002F19E1">
        <w:rPr>
          <w:rFonts w:ascii="Arial" w:hAnsi="Arial" w:cs="Arial"/>
          <w:i/>
        </w:rPr>
        <w:t>abudante</w:t>
      </w:r>
      <w:proofErr w:type="spellEnd"/>
      <w:r w:rsidRPr="002F19E1">
        <w:rPr>
          <w:rFonts w:ascii="Arial" w:hAnsi="Arial" w:cs="Arial"/>
        </w:rPr>
        <w:t>, I attach</w:t>
      </w:r>
      <w:r w:rsidR="002F19E1" w:rsidRPr="002F19E1">
        <w:rPr>
          <w:rFonts w:ascii="Arial" w:hAnsi="Arial" w:cs="Arial"/>
        </w:rPr>
        <w:t xml:space="preserve"> hereto a separate “certificate” in terms of the provisions of rule 32(10), certifying the outcome of my attempts to resolve the issues in this matter amicably. In the event it is not accepted that what I recorded in paragraph 18 of my founding declaration amounted to substantial compliance with the provisions of rule 32(10), I respectfully pray that this Honourable Court accepts my current certificate as sufficient compliance with such </w:t>
      </w:r>
      <w:proofErr w:type="spellStart"/>
      <w:r w:rsidR="002F19E1" w:rsidRPr="002F19E1">
        <w:rPr>
          <w:rFonts w:ascii="Arial" w:hAnsi="Arial" w:cs="Arial"/>
        </w:rPr>
        <w:t>subrule</w:t>
      </w:r>
      <w:proofErr w:type="spellEnd"/>
      <w:r w:rsidR="002F19E1" w:rsidRPr="002F19E1">
        <w:rPr>
          <w:rFonts w:ascii="Arial" w:hAnsi="Arial" w:cs="Arial"/>
        </w:rPr>
        <w:t>.’</w:t>
      </w:r>
    </w:p>
    <w:p w:rsidR="007C28E5" w:rsidRDefault="007C28E5" w:rsidP="00FD61F8">
      <w:pPr>
        <w:autoSpaceDE w:val="0"/>
        <w:autoSpaceDN w:val="0"/>
        <w:adjustRightInd w:val="0"/>
        <w:spacing w:after="0" w:line="360" w:lineRule="auto"/>
        <w:jc w:val="both"/>
        <w:rPr>
          <w:rFonts w:ascii="Arial" w:hAnsi="Arial" w:cs="Arial"/>
          <w:sz w:val="24"/>
          <w:szCs w:val="24"/>
        </w:rPr>
      </w:pPr>
    </w:p>
    <w:p w:rsidR="00F134B2" w:rsidRPr="006D78AF" w:rsidRDefault="002C6CAE"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79</w:t>
      </w:r>
      <w:r>
        <w:rPr>
          <w:rFonts w:ascii="Arial" w:hAnsi="Arial" w:cs="Arial"/>
          <w:sz w:val="24"/>
          <w:szCs w:val="24"/>
        </w:rPr>
        <w:t>]</w:t>
      </w:r>
      <w:r>
        <w:rPr>
          <w:rFonts w:ascii="Arial" w:hAnsi="Arial" w:cs="Arial"/>
          <w:sz w:val="24"/>
          <w:szCs w:val="24"/>
        </w:rPr>
        <w:tab/>
      </w:r>
      <w:r w:rsidR="000A1B06">
        <w:rPr>
          <w:rFonts w:ascii="Arial" w:hAnsi="Arial" w:cs="Arial"/>
          <w:sz w:val="24"/>
          <w:szCs w:val="24"/>
        </w:rPr>
        <w:t xml:space="preserve">The statement in the founding affidavit that </w:t>
      </w:r>
      <w:r w:rsidR="00F134B2">
        <w:rPr>
          <w:rFonts w:ascii="Arial" w:hAnsi="Arial" w:cs="Arial"/>
          <w:sz w:val="24"/>
          <w:szCs w:val="24"/>
        </w:rPr>
        <w:t xml:space="preserve">a letter was directed to the plaintiff’s legal practitioner and a response thereto </w:t>
      </w:r>
      <w:r w:rsidR="000A1B06">
        <w:rPr>
          <w:rFonts w:ascii="Arial" w:hAnsi="Arial" w:cs="Arial"/>
          <w:sz w:val="24"/>
          <w:szCs w:val="24"/>
        </w:rPr>
        <w:t>was received, which was attached to the founding affidavit</w:t>
      </w:r>
      <w:r w:rsidR="007A1360" w:rsidRPr="006D78AF">
        <w:rPr>
          <w:rFonts w:ascii="Arial" w:hAnsi="Arial" w:cs="Arial"/>
          <w:sz w:val="24"/>
          <w:szCs w:val="24"/>
        </w:rPr>
        <w:t>,</w:t>
      </w:r>
      <w:r w:rsidR="000A1B06" w:rsidRPr="006D78AF">
        <w:rPr>
          <w:rFonts w:ascii="Arial" w:hAnsi="Arial" w:cs="Arial"/>
          <w:sz w:val="24"/>
          <w:szCs w:val="24"/>
        </w:rPr>
        <w:t xml:space="preserve"> </w:t>
      </w:r>
      <w:r w:rsidR="00615DC9" w:rsidRPr="006D78AF">
        <w:rPr>
          <w:rFonts w:ascii="Arial" w:hAnsi="Arial" w:cs="Arial"/>
          <w:sz w:val="24"/>
          <w:szCs w:val="24"/>
        </w:rPr>
        <w:t xml:space="preserve">in my view </w:t>
      </w:r>
      <w:r w:rsidR="000A1B06" w:rsidRPr="006D78AF">
        <w:rPr>
          <w:rFonts w:ascii="Arial" w:hAnsi="Arial" w:cs="Arial"/>
          <w:sz w:val="24"/>
          <w:szCs w:val="24"/>
        </w:rPr>
        <w:t xml:space="preserve">does not constitute </w:t>
      </w:r>
      <w:r w:rsidR="00615DC9" w:rsidRPr="006D78AF">
        <w:rPr>
          <w:rFonts w:ascii="Arial" w:hAnsi="Arial" w:cs="Arial"/>
          <w:sz w:val="24"/>
          <w:szCs w:val="24"/>
        </w:rPr>
        <w:t xml:space="preserve">substantial </w:t>
      </w:r>
      <w:r w:rsidR="000A1B06" w:rsidRPr="006D78AF">
        <w:rPr>
          <w:rFonts w:ascii="Arial" w:hAnsi="Arial" w:cs="Arial"/>
          <w:sz w:val="24"/>
          <w:szCs w:val="24"/>
        </w:rPr>
        <w:t>compliance with rule 32(10)</w:t>
      </w:r>
      <w:r w:rsidR="00615DC9" w:rsidRPr="006D78AF">
        <w:rPr>
          <w:rFonts w:ascii="Arial" w:hAnsi="Arial" w:cs="Arial"/>
          <w:sz w:val="24"/>
          <w:szCs w:val="24"/>
        </w:rPr>
        <w:t xml:space="preserve">, taking into account the </w:t>
      </w:r>
      <w:r w:rsidR="00615DC9" w:rsidRPr="006D78AF">
        <w:rPr>
          <w:rFonts w:ascii="Arial" w:hAnsi="Arial" w:cs="Arial"/>
          <w:i/>
          <w:sz w:val="24"/>
          <w:szCs w:val="24"/>
        </w:rPr>
        <w:t>Bank Windhoek</w:t>
      </w:r>
      <w:r w:rsidR="00615DC9" w:rsidRPr="006D78AF">
        <w:rPr>
          <w:rFonts w:ascii="Arial" w:hAnsi="Arial" w:cs="Arial"/>
          <w:sz w:val="24"/>
          <w:szCs w:val="24"/>
        </w:rPr>
        <w:t xml:space="preserve"> matter referred to above. </w:t>
      </w:r>
    </w:p>
    <w:p w:rsidR="00F134B2" w:rsidRDefault="00F134B2" w:rsidP="00FD61F8">
      <w:pPr>
        <w:autoSpaceDE w:val="0"/>
        <w:autoSpaceDN w:val="0"/>
        <w:adjustRightInd w:val="0"/>
        <w:spacing w:after="0" w:line="360" w:lineRule="auto"/>
        <w:jc w:val="both"/>
        <w:rPr>
          <w:rFonts w:ascii="Arial" w:hAnsi="Arial" w:cs="Arial"/>
          <w:sz w:val="24"/>
          <w:szCs w:val="24"/>
        </w:rPr>
      </w:pPr>
    </w:p>
    <w:p w:rsidR="000700E4" w:rsidRDefault="005F3741" w:rsidP="00FD61F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80</w:t>
      </w:r>
      <w:r>
        <w:rPr>
          <w:rFonts w:ascii="Arial" w:hAnsi="Arial" w:cs="Arial"/>
          <w:sz w:val="24"/>
          <w:szCs w:val="24"/>
        </w:rPr>
        <w:t>]</w:t>
      </w:r>
      <w:r>
        <w:rPr>
          <w:rFonts w:ascii="Arial" w:hAnsi="Arial" w:cs="Arial"/>
          <w:sz w:val="24"/>
          <w:szCs w:val="24"/>
        </w:rPr>
        <w:tab/>
      </w:r>
      <w:r w:rsidR="002C6CAE" w:rsidRPr="006D78AF">
        <w:rPr>
          <w:rFonts w:ascii="Arial" w:hAnsi="Arial" w:cs="Arial"/>
          <w:sz w:val="24"/>
          <w:szCs w:val="24"/>
        </w:rPr>
        <w:t xml:space="preserve">I am </w:t>
      </w:r>
      <w:r w:rsidR="007A1360" w:rsidRPr="006D78AF">
        <w:rPr>
          <w:rFonts w:ascii="Arial" w:hAnsi="Arial" w:cs="Arial"/>
          <w:sz w:val="24"/>
          <w:szCs w:val="24"/>
        </w:rPr>
        <w:t xml:space="preserve">therefor </w:t>
      </w:r>
      <w:r w:rsidR="002C6CAE" w:rsidRPr="006D78AF">
        <w:rPr>
          <w:rFonts w:ascii="Arial" w:hAnsi="Arial" w:cs="Arial"/>
          <w:sz w:val="24"/>
          <w:szCs w:val="24"/>
        </w:rPr>
        <w:t xml:space="preserve">of the </w:t>
      </w:r>
      <w:r w:rsidR="007A1360" w:rsidRPr="006D78AF">
        <w:rPr>
          <w:rFonts w:ascii="Arial" w:hAnsi="Arial" w:cs="Arial"/>
          <w:sz w:val="24"/>
          <w:szCs w:val="24"/>
        </w:rPr>
        <w:t xml:space="preserve">considered </w:t>
      </w:r>
      <w:r w:rsidR="002C6CAE" w:rsidRPr="006D78AF">
        <w:rPr>
          <w:rFonts w:ascii="Arial" w:hAnsi="Arial" w:cs="Arial"/>
          <w:sz w:val="24"/>
          <w:szCs w:val="24"/>
        </w:rPr>
        <w:t>view that the defendant did not fully comply with rule 32(9) and (10)</w:t>
      </w:r>
      <w:r w:rsidR="007A1360" w:rsidRPr="006D78AF">
        <w:rPr>
          <w:rFonts w:ascii="Arial" w:hAnsi="Arial" w:cs="Arial"/>
          <w:sz w:val="24"/>
          <w:szCs w:val="24"/>
        </w:rPr>
        <w:t xml:space="preserve"> as required by the Rules of Court and the point in </w:t>
      </w:r>
      <w:proofErr w:type="spellStart"/>
      <w:r w:rsidR="007A1360" w:rsidRPr="004238CC">
        <w:rPr>
          <w:rFonts w:ascii="Arial" w:hAnsi="Arial" w:cs="Arial"/>
          <w:i/>
          <w:sz w:val="24"/>
          <w:szCs w:val="24"/>
        </w:rPr>
        <w:t>limine</w:t>
      </w:r>
      <w:proofErr w:type="spellEnd"/>
      <w:r w:rsidR="007A1360" w:rsidRPr="006D78AF">
        <w:rPr>
          <w:rFonts w:ascii="Arial" w:hAnsi="Arial" w:cs="Arial"/>
          <w:sz w:val="24"/>
          <w:szCs w:val="24"/>
        </w:rPr>
        <w:t xml:space="preserve"> raised with regard to this point should succeed</w:t>
      </w:r>
      <w:r w:rsidR="002C6CAE">
        <w:rPr>
          <w:rFonts w:ascii="Arial" w:hAnsi="Arial" w:cs="Arial"/>
          <w:sz w:val="24"/>
          <w:szCs w:val="24"/>
        </w:rPr>
        <w:t xml:space="preserve">. </w:t>
      </w:r>
    </w:p>
    <w:p w:rsidR="000F47FC" w:rsidRDefault="000F47FC" w:rsidP="00FD61F8">
      <w:pPr>
        <w:autoSpaceDE w:val="0"/>
        <w:autoSpaceDN w:val="0"/>
        <w:adjustRightInd w:val="0"/>
        <w:spacing w:after="0" w:line="360" w:lineRule="auto"/>
        <w:jc w:val="both"/>
        <w:rPr>
          <w:rFonts w:ascii="Arial" w:hAnsi="Arial" w:cs="Arial"/>
          <w:sz w:val="24"/>
          <w:szCs w:val="24"/>
        </w:rPr>
      </w:pPr>
    </w:p>
    <w:p w:rsidR="00B65ED6" w:rsidRPr="00D81256" w:rsidRDefault="00B65ED6" w:rsidP="00FD61F8">
      <w:pPr>
        <w:autoSpaceDE w:val="0"/>
        <w:autoSpaceDN w:val="0"/>
        <w:adjustRightInd w:val="0"/>
        <w:spacing w:after="0" w:line="360" w:lineRule="auto"/>
        <w:jc w:val="both"/>
        <w:rPr>
          <w:rFonts w:ascii="Arial" w:hAnsi="Arial" w:cs="Arial"/>
          <w:i/>
          <w:sz w:val="24"/>
          <w:szCs w:val="24"/>
          <w:u w:val="single"/>
        </w:rPr>
      </w:pPr>
      <w:r w:rsidRPr="00D81256">
        <w:rPr>
          <w:rFonts w:ascii="Arial" w:hAnsi="Arial" w:cs="Arial"/>
          <w:i/>
          <w:sz w:val="24"/>
          <w:szCs w:val="24"/>
          <w:u w:val="single"/>
        </w:rPr>
        <w:t>The defendant failed to launch its application in accordance with the provisions of rule 28 of the Rules of Court</w:t>
      </w:r>
    </w:p>
    <w:p w:rsidR="005F3741" w:rsidRDefault="005F3741" w:rsidP="00FD61F8">
      <w:pPr>
        <w:autoSpaceDE w:val="0"/>
        <w:autoSpaceDN w:val="0"/>
        <w:adjustRightInd w:val="0"/>
        <w:spacing w:after="0" w:line="360" w:lineRule="auto"/>
        <w:jc w:val="both"/>
        <w:rPr>
          <w:rFonts w:ascii="Arial" w:hAnsi="Arial" w:cs="Arial"/>
          <w:sz w:val="24"/>
          <w:szCs w:val="24"/>
        </w:rPr>
      </w:pPr>
    </w:p>
    <w:p w:rsidR="000F47FC" w:rsidRDefault="005F3741"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81</w:t>
      </w:r>
      <w:r>
        <w:rPr>
          <w:rFonts w:ascii="Arial" w:hAnsi="Arial" w:cs="Arial"/>
          <w:sz w:val="24"/>
          <w:szCs w:val="24"/>
        </w:rPr>
        <w:t>]</w:t>
      </w:r>
      <w:r>
        <w:rPr>
          <w:rFonts w:ascii="Arial" w:hAnsi="Arial" w:cs="Arial"/>
          <w:sz w:val="24"/>
          <w:szCs w:val="24"/>
        </w:rPr>
        <w:tab/>
      </w:r>
      <w:r w:rsidR="00B65ED6">
        <w:rPr>
          <w:rFonts w:ascii="Arial" w:hAnsi="Arial" w:cs="Arial"/>
          <w:sz w:val="24"/>
          <w:szCs w:val="24"/>
        </w:rPr>
        <w:t>The defendant’s application was also brought in terms of the provisions of rule 101(1). On behalf of the defendant it was argued that it was not necessary as a pre-requisite to the validity of this application that the defendant had to proceed through the various proceedings contemplated by the separate sub-para</w:t>
      </w:r>
      <w:r w:rsidR="00B65ED6" w:rsidRPr="006D78AF">
        <w:rPr>
          <w:rFonts w:ascii="Arial" w:hAnsi="Arial" w:cs="Arial"/>
          <w:sz w:val="24"/>
          <w:szCs w:val="24"/>
        </w:rPr>
        <w:t>graphs</w:t>
      </w:r>
      <w:r w:rsidR="00B65ED6">
        <w:rPr>
          <w:rFonts w:ascii="Arial" w:hAnsi="Arial" w:cs="Arial"/>
          <w:sz w:val="24"/>
          <w:szCs w:val="24"/>
        </w:rPr>
        <w:t xml:space="preserve"> of rule 28. </w:t>
      </w:r>
    </w:p>
    <w:p w:rsidR="00B65ED6" w:rsidRDefault="00B65ED6" w:rsidP="00FD61F8">
      <w:pPr>
        <w:spacing w:after="0" w:line="360" w:lineRule="auto"/>
        <w:jc w:val="both"/>
        <w:rPr>
          <w:rFonts w:ascii="Arial" w:hAnsi="Arial" w:cs="Arial"/>
          <w:sz w:val="24"/>
          <w:szCs w:val="24"/>
        </w:rPr>
      </w:pPr>
    </w:p>
    <w:p w:rsidR="00B65ED6" w:rsidRDefault="00F17E63" w:rsidP="00FD61F8">
      <w:pPr>
        <w:spacing w:after="0" w:line="360" w:lineRule="auto"/>
        <w:jc w:val="both"/>
        <w:rPr>
          <w:rFonts w:ascii="Arial" w:hAnsi="Arial" w:cs="Arial"/>
          <w:sz w:val="24"/>
          <w:szCs w:val="24"/>
        </w:rPr>
      </w:pPr>
      <w:r>
        <w:rPr>
          <w:rFonts w:ascii="Arial" w:hAnsi="Arial" w:cs="Arial"/>
          <w:sz w:val="24"/>
          <w:szCs w:val="24"/>
        </w:rPr>
        <w:t>[82</w:t>
      </w:r>
      <w:r w:rsidR="00AD139F">
        <w:rPr>
          <w:rFonts w:ascii="Arial" w:hAnsi="Arial" w:cs="Arial"/>
          <w:sz w:val="24"/>
          <w:szCs w:val="24"/>
        </w:rPr>
        <w:t>]</w:t>
      </w:r>
      <w:r w:rsidR="00AD139F">
        <w:rPr>
          <w:rFonts w:ascii="Arial" w:hAnsi="Arial" w:cs="Arial"/>
          <w:sz w:val="24"/>
          <w:szCs w:val="24"/>
        </w:rPr>
        <w:tab/>
      </w:r>
      <w:r w:rsidR="00B65ED6">
        <w:rPr>
          <w:rFonts w:ascii="Arial" w:hAnsi="Arial" w:cs="Arial"/>
          <w:sz w:val="24"/>
          <w:szCs w:val="24"/>
        </w:rPr>
        <w:t xml:space="preserve">Rule 101(1) provides as follows: </w:t>
      </w:r>
    </w:p>
    <w:p w:rsidR="00ED1379" w:rsidRDefault="00ED1379" w:rsidP="00FD61F8">
      <w:pPr>
        <w:spacing w:after="0" w:line="360" w:lineRule="auto"/>
        <w:jc w:val="both"/>
        <w:rPr>
          <w:rFonts w:ascii="Arial" w:hAnsi="Arial" w:cs="Arial"/>
          <w:sz w:val="24"/>
          <w:szCs w:val="24"/>
        </w:rPr>
      </w:pPr>
    </w:p>
    <w:p w:rsidR="00B65ED6" w:rsidRDefault="00B65ED6" w:rsidP="00FD61F8">
      <w:pPr>
        <w:spacing w:after="0" w:line="360" w:lineRule="auto"/>
        <w:jc w:val="both"/>
        <w:rPr>
          <w:rFonts w:ascii="Arial" w:hAnsi="Arial" w:cs="Arial"/>
        </w:rPr>
      </w:pPr>
      <w:r>
        <w:rPr>
          <w:rFonts w:ascii="Arial" w:hAnsi="Arial" w:cs="Arial"/>
          <w:sz w:val="24"/>
          <w:szCs w:val="24"/>
        </w:rPr>
        <w:tab/>
        <w:t>‘</w:t>
      </w:r>
      <w:r>
        <w:t>(</w:t>
      </w:r>
      <w:r w:rsidRPr="00B65ED6">
        <w:rPr>
          <w:rFonts w:ascii="Arial" w:hAnsi="Arial" w:cs="Arial"/>
        </w:rPr>
        <w:t xml:space="preserve">1) Where it appears convenient so to do the presiding judge may at </w:t>
      </w:r>
      <w:r w:rsidRPr="00B65ED6">
        <w:rPr>
          <w:rFonts w:ascii="Arial" w:hAnsi="Arial" w:cs="Arial"/>
          <w:u w:val="single"/>
        </w:rPr>
        <w:t>any time make</w:t>
      </w:r>
      <w:r w:rsidRPr="00B65ED6">
        <w:rPr>
          <w:rFonts w:ascii="Arial" w:hAnsi="Arial" w:cs="Arial"/>
        </w:rPr>
        <w:t xml:space="preserve"> an order </w:t>
      </w:r>
      <w:r w:rsidRPr="00B65ED6">
        <w:rPr>
          <w:rFonts w:ascii="Arial" w:hAnsi="Arial" w:cs="Arial"/>
          <w:u w:val="single"/>
        </w:rPr>
        <w:t>with regard to the conduct of the trial</w:t>
      </w:r>
      <w:r w:rsidRPr="00B65ED6">
        <w:rPr>
          <w:rFonts w:ascii="Arial" w:hAnsi="Arial" w:cs="Arial"/>
        </w:rPr>
        <w:t xml:space="preserve"> as to him or her seems just and</w:t>
      </w:r>
      <w:r w:rsidR="00ED7EE4">
        <w:rPr>
          <w:rFonts w:ascii="Arial" w:hAnsi="Arial" w:cs="Arial"/>
        </w:rPr>
        <w:t xml:space="preserve"> </w:t>
      </w:r>
      <w:r w:rsidRPr="00B65ED6">
        <w:rPr>
          <w:rFonts w:ascii="Arial" w:hAnsi="Arial" w:cs="Arial"/>
        </w:rPr>
        <w:t xml:space="preserve"> may </w:t>
      </w:r>
      <w:r w:rsidRPr="00B65ED6">
        <w:rPr>
          <w:rFonts w:ascii="Arial" w:hAnsi="Arial" w:cs="Arial"/>
          <w:u w:val="single"/>
        </w:rPr>
        <w:t>thereby vary any procedure laid down by these rules</w:t>
      </w:r>
      <w:r w:rsidRPr="00B65ED6">
        <w:rPr>
          <w:rFonts w:ascii="Arial" w:hAnsi="Arial" w:cs="Arial"/>
        </w:rPr>
        <w:t>.</w:t>
      </w:r>
      <w:r>
        <w:rPr>
          <w:rFonts w:ascii="Arial" w:hAnsi="Arial" w:cs="Arial"/>
        </w:rPr>
        <w:t>’ (My underlining for emphasises)</w:t>
      </w:r>
    </w:p>
    <w:p w:rsidR="00B65ED6" w:rsidRDefault="00B65ED6" w:rsidP="00FD61F8">
      <w:pPr>
        <w:spacing w:after="0" w:line="360" w:lineRule="auto"/>
        <w:jc w:val="both"/>
        <w:rPr>
          <w:rFonts w:ascii="Arial" w:hAnsi="Arial" w:cs="Arial"/>
        </w:rPr>
      </w:pPr>
    </w:p>
    <w:p w:rsidR="00B65ED6" w:rsidRDefault="00B65ED6" w:rsidP="00FD61F8">
      <w:pPr>
        <w:spacing w:after="0" w:line="360" w:lineRule="auto"/>
        <w:jc w:val="both"/>
        <w:rPr>
          <w:rFonts w:ascii="Arial" w:hAnsi="Arial" w:cs="Arial"/>
          <w:sz w:val="24"/>
          <w:szCs w:val="24"/>
        </w:rPr>
      </w:pPr>
      <w:r w:rsidRPr="002C227B">
        <w:rPr>
          <w:rFonts w:ascii="Arial" w:hAnsi="Arial" w:cs="Arial"/>
          <w:sz w:val="24"/>
          <w:szCs w:val="24"/>
        </w:rPr>
        <w:t>[</w:t>
      </w:r>
      <w:r w:rsidR="00F17E63">
        <w:rPr>
          <w:rFonts w:ascii="Arial" w:hAnsi="Arial" w:cs="Arial"/>
          <w:sz w:val="24"/>
          <w:szCs w:val="24"/>
        </w:rPr>
        <w:t>83</w:t>
      </w:r>
      <w:r w:rsidRPr="002C227B">
        <w:rPr>
          <w:rFonts w:ascii="Arial" w:hAnsi="Arial" w:cs="Arial"/>
          <w:sz w:val="24"/>
          <w:szCs w:val="24"/>
        </w:rPr>
        <w:t>]</w:t>
      </w:r>
      <w:r w:rsidR="002C227B">
        <w:rPr>
          <w:rFonts w:ascii="Arial" w:hAnsi="Arial" w:cs="Arial"/>
          <w:sz w:val="24"/>
          <w:szCs w:val="24"/>
        </w:rPr>
        <w:tab/>
      </w:r>
      <w:r w:rsidR="00996C57">
        <w:rPr>
          <w:rFonts w:ascii="Arial" w:hAnsi="Arial" w:cs="Arial"/>
          <w:sz w:val="24"/>
          <w:szCs w:val="24"/>
        </w:rPr>
        <w:t>Mr Barnard argued that rule 101 is categorized under Part 10 of the Rules of Court, which part s</w:t>
      </w:r>
      <w:r w:rsidR="00F17E63">
        <w:rPr>
          <w:rFonts w:ascii="Arial" w:hAnsi="Arial" w:cs="Arial"/>
          <w:sz w:val="24"/>
          <w:szCs w:val="24"/>
        </w:rPr>
        <w:t>pecifically bears the heading  ‘TRIAL’</w:t>
      </w:r>
      <w:r w:rsidR="00996C57">
        <w:rPr>
          <w:rFonts w:ascii="Arial" w:hAnsi="Arial" w:cs="Arial"/>
          <w:sz w:val="24"/>
          <w:szCs w:val="24"/>
        </w:rPr>
        <w:t xml:space="preserve">. </w:t>
      </w:r>
      <w:r w:rsidR="00275B28" w:rsidRPr="006D78AF">
        <w:rPr>
          <w:rFonts w:ascii="Arial" w:hAnsi="Arial" w:cs="Arial"/>
          <w:sz w:val="24"/>
          <w:szCs w:val="24"/>
        </w:rPr>
        <w:t>He argued that t</w:t>
      </w:r>
      <w:r w:rsidR="00996C57" w:rsidRPr="006D78AF">
        <w:rPr>
          <w:rFonts w:ascii="Arial" w:hAnsi="Arial" w:cs="Arial"/>
          <w:sz w:val="24"/>
          <w:szCs w:val="24"/>
        </w:rPr>
        <w:t xml:space="preserve">he </w:t>
      </w:r>
      <w:r w:rsidR="00275B28" w:rsidRPr="006D78AF">
        <w:rPr>
          <w:rFonts w:ascii="Arial" w:hAnsi="Arial" w:cs="Arial"/>
          <w:sz w:val="24"/>
          <w:szCs w:val="24"/>
        </w:rPr>
        <w:t xml:space="preserve">phrase </w:t>
      </w:r>
      <w:r w:rsidR="00F17E63">
        <w:rPr>
          <w:rFonts w:ascii="Arial" w:hAnsi="Arial" w:cs="Arial"/>
          <w:sz w:val="24"/>
          <w:szCs w:val="24"/>
        </w:rPr>
        <w:t>‘at any time’</w:t>
      </w:r>
      <w:r w:rsidR="00996C57" w:rsidRPr="006D78AF">
        <w:rPr>
          <w:rFonts w:ascii="Arial" w:hAnsi="Arial" w:cs="Arial"/>
          <w:sz w:val="24"/>
          <w:szCs w:val="24"/>
        </w:rPr>
        <w:t xml:space="preserve"> therein encompasses interlocut</w:t>
      </w:r>
      <w:r w:rsidR="00F17E63">
        <w:rPr>
          <w:rFonts w:ascii="Arial" w:hAnsi="Arial" w:cs="Arial"/>
          <w:sz w:val="24"/>
          <w:szCs w:val="24"/>
        </w:rPr>
        <w:t>ory proceedings prior to or</w:t>
      </w:r>
      <w:r w:rsidR="00996C57" w:rsidRPr="006D78AF">
        <w:rPr>
          <w:rFonts w:ascii="Arial" w:hAnsi="Arial" w:cs="Arial"/>
          <w:sz w:val="24"/>
          <w:szCs w:val="24"/>
        </w:rPr>
        <w:t xml:space="preserve"> during the first day of trial. Counsel argued that the </w:t>
      </w:r>
      <w:r w:rsidR="006A28A8" w:rsidRPr="006D78AF">
        <w:rPr>
          <w:rFonts w:ascii="Arial" w:hAnsi="Arial" w:cs="Arial"/>
          <w:sz w:val="24"/>
          <w:szCs w:val="24"/>
        </w:rPr>
        <w:t xml:space="preserve">phrase </w:t>
      </w:r>
      <w:r w:rsidR="00F17E63">
        <w:rPr>
          <w:rFonts w:ascii="Arial" w:hAnsi="Arial" w:cs="Arial"/>
          <w:sz w:val="24"/>
          <w:szCs w:val="24"/>
        </w:rPr>
        <w:t>‘</w:t>
      </w:r>
      <w:r w:rsidR="00996C57" w:rsidRPr="006D78AF">
        <w:rPr>
          <w:rFonts w:ascii="Arial" w:hAnsi="Arial" w:cs="Arial"/>
          <w:sz w:val="24"/>
          <w:szCs w:val="24"/>
        </w:rPr>
        <w:t>any pro</w:t>
      </w:r>
      <w:r w:rsidR="00F17E63">
        <w:rPr>
          <w:rFonts w:ascii="Arial" w:hAnsi="Arial" w:cs="Arial"/>
          <w:sz w:val="24"/>
          <w:szCs w:val="24"/>
        </w:rPr>
        <w:t xml:space="preserve">cedure laid down by these rules’ </w:t>
      </w:r>
      <w:r w:rsidR="006A28A8" w:rsidRPr="006D78AF">
        <w:rPr>
          <w:rFonts w:ascii="Arial" w:hAnsi="Arial" w:cs="Arial"/>
          <w:sz w:val="24"/>
          <w:szCs w:val="24"/>
        </w:rPr>
        <w:t>includes the seeking of</w:t>
      </w:r>
      <w:r w:rsidR="006D78AF" w:rsidRPr="006D78AF">
        <w:rPr>
          <w:rFonts w:ascii="Arial" w:hAnsi="Arial" w:cs="Arial"/>
          <w:sz w:val="24"/>
          <w:szCs w:val="24"/>
        </w:rPr>
        <w:t xml:space="preserve"> </w:t>
      </w:r>
      <w:r w:rsidR="00FD4472">
        <w:rPr>
          <w:rFonts w:ascii="Arial" w:hAnsi="Arial" w:cs="Arial"/>
          <w:sz w:val="24"/>
          <w:szCs w:val="24"/>
        </w:rPr>
        <w:t>discovery</w:t>
      </w:r>
      <w:r w:rsidR="00996C57" w:rsidRPr="00F43137">
        <w:rPr>
          <w:rFonts w:ascii="Arial" w:hAnsi="Arial" w:cs="Arial"/>
          <w:sz w:val="24"/>
          <w:szCs w:val="24"/>
        </w:rPr>
        <w:t xml:space="preserve"> </w:t>
      </w:r>
      <w:r w:rsidR="00996C57">
        <w:rPr>
          <w:rFonts w:ascii="Arial" w:hAnsi="Arial" w:cs="Arial"/>
          <w:sz w:val="24"/>
          <w:szCs w:val="24"/>
        </w:rPr>
        <w:t>immediately prior to or during the time for which the matter has been set down for hearing. Counsel</w:t>
      </w:r>
      <w:r w:rsidR="00996C57" w:rsidRPr="006D78AF">
        <w:rPr>
          <w:rFonts w:ascii="Arial" w:hAnsi="Arial" w:cs="Arial"/>
          <w:sz w:val="24"/>
          <w:szCs w:val="24"/>
        </w:rPr>
        <w:t xml:space="preserve"> </w:t>
      </w:r>
      <w:r w:rsidR="00F43137" w:rsidRPr="006D78AF">
        <w:rPr>
          <w:rFonts w:ascii="Arial" w:hAnsi="Arial" w:cs="Arial"/>
          <w:sz w:val="24"/>
          <w:szCs w:val="24"/>
        </w:rPr>
        <w:t xml:space="preserve">therefor </w:t>
      </w:r>
      <w:r w:rsidR="00996C57">
        <w:rPr>
          <w:rFonts w:ascii="Arial" w:hAnsi="Arial" w:cs="Arial"/>
          <w:sz w:val="24"/>
          <w:szCs w:val="24"/>
        </w:rPr>
        <w:t xml:space="preserve">invited the court to conclude that the purported non-compliance with rule 28, which the plaintiff’s counsel argued led to the invalidity of the current application, was incorrect. </w:t>
      </w:r>
    </w:p>
    <w:p w:rsidR="009A05F5" w:rsidRDefault="009A05F5" w:rsidP="00FD61F8">
      <w:pPr>
        <w:spacing w:after="0" w:line="360" w:lineRule="auto"/>
        <w:jc w:val="both"/>
        <w:rPr>
          <w:rFonts w:ascii="Arial" w:hAnsi="Arial" w:cs="Arial"/>
          <w:sz w:val="24"/>
          <w:szCs w:val="24"/>
        </w:rPr>
      </w:pPr>
    </w:p>
    <w:p w:rsidR="009A05F5" w:rsidRDefault="00F17E63" w:rsidP="00FD61F8">
      <w:pPr>
        <w:spacing w:after="0" w:line="360" w:lineRule="auto"/>
        <w:jc w:val="both"/>
        <w:rPr>
          <w:rFonts w:ascii="Arial" w:hAnsi="Arial" w:cs="Arial"/>
          <w:sz w:val="24"/>
          <w:szCs w:val="24"/>
        </w:rPr>
      </w:pPr>
      <w:r>
        <w:rPr>
          <w:rFonts w:ascii="Arial" w:hAnsi="Arial" w:cs="Arial"/>
          <w:sz w:val="24"/>
          <w:szCs w:val="24"/>
        </w:rPr>
        <w:lastRenderedPageBreak/>
        <w:t>[84</w:t>
      </w:r>
      <w:r w:rsidR="00AD139F">
        <w:rPr>
          <w:rFonts w:ascii="Arial" w:hAnsi="Arial" w:cs="Arial"/>
          <w:sz w:val="24"/>
          <w:szCs w:val="24"/>
        </w:rPr>
        <w:t>]</w:t>
      </w:r>
      <w:r w:rsidR="00AD139F">
        <w:rPr>
          <w:rFonts w:ascii="Arial" w:hAnsi="Arial" w:cs="Arial"/>
          <w:sz w:val="24"/>
          <w:szCs w:val="24"/>
        </w:rPr>
        <w:tab/>
      </w:r>
      <w:r w:rsidR="009A05F5">
        <w:rPr>
          <w:rFonts w:ascii="Arial" w:hAnsi="Arial" w:cs="Arial"/>
          <w:sz w:val="24"/>
          <w:szCs w:val="24"/>
        </w:rPr>
        <w:t>Mr Jones argued on behalf of the plaintiff that the defendant cannot leap from rule 28 procedure on the day of trial to rely on rule 101</w:t>
      </w:r>
      <w:r w:rsidR="009A05F5" w:rsidRPr="006D78AF">
        <w:rPr>
          <w:rFonts w:ascii="Arial" w:hAnsi="Arial" w:cs="Arial"/>
          <w:sz w:val="24"/>
          <w:szCs w:val="24"/>
        </w:rPr>
        <w:t xml:space="preserve">. </w:t>
      </w:r>
      <w:r w:rsidR="0085367A" w:rsidRPr="006D78AF">
        <w:rPr>
          <w:rFonts w:ascii="Arial" w:hAnsi="Arial" w:cs="Arial"/>
          <w:sz w:val="24"/>
          <w:szCs w:val="24"/>
        </w:rPr>
        <w:t xml:space="preserve">He </w:t>
      </w:r>
      <w:r w:rsidR="009A05F5">
        <w:rPr>
          <w:rFonts w:ascii="Arial" w:hAnsi="Arial" w:cs="Arial"/>
          <w:sz w:val="24"/>
          <w:szCs w:val="24"/>
        </w:rPr>
        <w:t xml:space="preserve">challenged the defendant </w:t>
      </w:r>
      <w:r w:rsidR="003445A1" w:rsidRPr="00901C5F">
        <w:rPr>
          <w:rFonts w:ascii="Arial" w:hAnsi="Arial" w:cs="Arial"/>
          <w:sz w:val="24"/>
          <w:szCs w:val="24"/>
        </w:rPr>
        <w:t xml:space="preserve">to </w:t>
      </w:r>
      <w:r w:rsidR="009A05F5">
        <w:rPr>
          <w:rFonts w:ascii="Arial" w:hAnsi="Arial" w:cs="Arial"/>
          <w:sz w:val="24"/>
          <w:szCs w:val="24"/>
        </w:rPr>
        <w:t xml:space="preserve">show where it filed Form 12 (Notice to inspect documents in terms of rule </w:t>
      </w:r>
      <w:r w:rsidR="00E71B05">
        <w:rPr>
          <w:rFonts w:ascii="Arial" w:hAnsi="Arial" w:cs="Arial"/>
          <w:sz w:val="24"/>
          <w:szCs w:val="24"/>
        </w:rPr>
        <w:t xml:space="preserve">28(11)). </w:t>
      </w:r>
    </w:p>
    <w:p w:rsidR="00E71B05" w:rsidRDefault="00E71B05" w:rsidP="00FD61F8">
      <w:pPr>
        <w:spacing w:after="0" w:line="360" w:lineRule="auto"/>
        <w:jc w:val="both"/>
        <w:rPr>
          <w:rFonts w:ascii="Arial" w:hAnsi="Arial" w:cs="Arial"/>
          <w:sz w:val="24"/>
          <w:szCs w:val="24"/>
        </w:rPr>
      </w:pPr>
    </w:p>
    <w:p w:rsidR="00E71B05" w:rsidRDefault="00F17E63" w:rsidP="00FD61F8">
      <w:pPr>
        <w:spacing w:after="0" w:line="360" w:lineRule="auto"/>
        <w:jc w:val="both"/>
        <w:rPr>
          <w:rFonts w:ascii="Arial" w:hAnsi="Arial" w:cs="Arial"/>
          <w:sz w:val="24"/>
          <w:szCs w:val="24"/>
        </w:rPr>
      </w:pPr>
      <w:r>
        <w:rPr>
          <w:rFonts w:ascii="Arial" w:hAnsi="Arial" w:cs="Arial"/>
          <w:sz w:val="24"/>
          <w:szCs w:val="24"/>
        </w:rPr>
        <w:t>[85</w:t>
      </w:r>
      <w:r w:rsidR="00AD139F">
        <w:rPr>
          <w:rFonts w:ascii="Arial" w:hAnsi="Arial" w:cs="Arial"/>
          <w:sz w:val="24"/>
          <w:szCs w:val="24"/>
        </w:rPr>
        <w:t>]</w:t>
      </w:r>
      <w:r w:rsidR="00AD139F">
        <w:rPr>
          <w:rFonts w:ascii="Arial" w:hAnsi="Arial" w:cs="Arial"/>
          <w:sz w:val="24"/>
          <w:szCs w:val="24"/>
        </w:rPr>
        <w:tab/>
      </w:r>
      <w:r w:rsidR="00E71B05">
        <w:rPr>
          <w:rFonts w:ascii="Arial" w:hAnsi="Arial" w:cs="Arial"/>
          <w:sz w:val="24"/>
          <w:szCs w:val="24"/>
        </w:rPr>
        <w:t xml:space="preserve">Mr Jones urged the court not to disregard the process as set out in rule 28(1) to (11) and argued that the defendant is not entitled to launch the application before court </w:t>
      </w:r>
      <w:r w:rsidR="00101AA7">
        <w:rPr>
          <w:rFonts w:ascii="Arial" w:hAnsi="Arial" w:cs="Arial"/>
          <w:sz w:val="24"/>
          <w:szCs w:val="24"/>
        </w:rPr>
        <w:t xml:space="preserve">if the provisions and the steps set out in rule 28 has not been complied with. Counsel argued that the position regarding discovery remained unchanged since the pre-trial conference and the subsequent allocation of trial date five and a half months ago. Counsel further argued that if there </w:t>
      </w:r>
      <w:r w:rsidR="003445A1" w:rsidRPr="00901C5F">
        <w:rPr>
          <w:rFonts w:ascii="Arial" w:hAnsi="Arial" w:cs="Arial"/>
          <w:sz w:val="24"/>
          <w:szCs w:val="24"/>
        </w:rPr>
        <w:t>had</w:t>
      </w:r>
      <w:r w:rsidR="003445A1">
        <w:rPr>
          <w:rFonts w:ascii="Arial" w:hAnsi="Arial" w:cs="Arial"/>
          <w:color w:val="FF0000"/>
          <w:sz w:val="24"/>
          <w:szCs w:val="24"/>
        </w:rPr>
        <w:t xml:space="preserve"> </w:t>
      </w:r>
      <w:r w:rsidR="00101AA7">
        <w:rPr>
          <w:rFonts w:ascii="Arial" w:hAnsi="Arial" w:cs="Arial"/>
          <w:sz w:val="24"/>
          <w:szCs w:val="24"/>
        </w:rPr>
        <w:t>been compliance with rule 28(9)</w:t>
      </w:r>
      <w:r w:rsidR="00101AA7">
        <w:rPr>
          <w:rStyle w:val="FootnoteReference"/>
          <w:rFonts w:ascii="Arial" w:hAnsi="Arial" w:cs="Arial"/>
          <w:sz w:val="24"/>
          <w:szCs w:val="24"/>
        </w:rPr>
        <w:footnoteReference w:id="26"/>
      </w:r>
      <w:r w:rsidR="00101AA7">
        <w:rPr>
          <w:rFonts w:ascii="Arial" w:hAnsi="Arial" w:cs="Arial"/>
          <w:sz w:val="24"/>
          <w:szCs w:val="24"/>
        </w:rPr>
        <w:t xml:space="preserve"> and (10)</w:t>
      </w:r>
      <w:r w:rsidR="00101AA7">
        <w:rPr>
          <w:rStyle w:val="FootnoteReference"/>
          <w:rFonts w:ascii="Arial" w:hAnsi="Arial" w:cs="Arial"/>
          <w:sz w:val="24"/>
          <w:szCs w:val="24"/>
        </w:rPr>
        <w:footnoteReference w:id="27"/>
      </w:r>
      <w:r w:rsidR="00101AA7">
        <w:rPr>
          <w:rFonts w:ascii="Arial" w:hAnsi="Arial" w:cs="Arial"/>
          <w:sz w:val="24"/>
          <w:szCs w:val="24"/>
        </w:rPr>
        <w:t xml:space="preserve"> the financial statements demanded by the defendant would have been handed to the managing judge as contemplated in </w:t>
      </w:r>
      <w:r w:rsidR="003445A1">
        <w:rPr>
          <w:rFonts w:ascii="Arial" w:hAnsi="Arial" w:cs="Arial"/>
          <w:sz w:val="24"/>
          <w:szCs w:val="24"/>
        </w:rPr>
        <w:t>sub rule</w:t>
      </w:r>
      <w:r w:rsidR="00101AA7">
        <w:rPr>
          <w:rFonts w:ascii="Arial" w:hAnsi="Arial" w:cs="Arial"/>
          <w:sz w:val="24"/>
          <w:szCs w:val="24"/>
        </w:rPr>
        <w:t xml:space="preserve"> (10)</w:t>
      </w:r>
      <w:r w:rsidR="009243A5">
        <w:rPr>
          <w:rFonts w:ascii="Arial" w:hAnsi="Arial" w:cs="Arial"/>
          <w:sz w:val="24"/>
          <w:szCs w:val="24"/>
        </w:rPr>
        <w:t>.</w:t>
      </w:r>
    </w:p>
    <w:p w:rsidR="00D02A13" w:rsidRDefault="00D02A13" w:rsidP="00FD61F8">
      <w:pPr>
        <w:spacing w:after="0" w:line="360" w:lineRule="auto"/>
        <w:jc w:val="both"/>
        <w:rPr>
          <w:rFonts w:ascii="Arial" w:hAnsi="Arial" w:cs="Arial"/>
          <w:sz w:val="24"/>
          <w:szCs w:val="24"/>
        </w:rPr>
      </w:pPr>
    </w:p>
    <w:p w:rsidR="009243A5" w:rsidRDefault="00D02A13" w:rsidP="00FD61F8">
      <w:pPr>
        <w:spacing w:after="0" w:line="360" w:lineRule="auto"/>
        <w:jc w:val="both"/>
        <w:rPr>
          <w:rFonts w:ascii="Arial" w:hAnsi="Arial" w:cs="Arial"/>
          <w:sz w:val="24"/>
          <w:szCs w:val="24"/>
          <w:u w:val="single"/>
        </w:rPr>
      </w:pPr>
      <w:r w:rsidRPr="00D02A13">
        <w:rPr>
          <w:rFonts w:ascii="Arial" w:hAnsi="Arial" w:cs="Arial"/>
          <w:sz w:val="24"/>
          <w:szCs w:val="24"/>
          <w:u w:val="single"/>
        </w:rPr>
        <w:t>Discussion</w:t>
      </w:r>
    </w:p>
    <w:p w:rsidR="00D02A13" w:rsidRPr="00D02A13" w:rsidRDefault="00D02A13" w:rsidP="00FD61F8">
      <w:pPr>
        <w:spacing w:after="0" w:line="360" w:lineRule="auto"/>
        <w:jc w:val="both"/>
        <w:rPr>
          <w:rFonts w:ascii="Arial" w:hAnsi="Arial" w:cs="Arial"/>
          <w:sz w:val="24"/>
          <w:szCs w:val="24"/>
          <w:u w:val="single"/>
        </w:rPr>
      </w:pPr>
    </w:p>
    <w:p w:rsidR="00A3516A" w:rsidRDefault="009243A5"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86</w:t>
      </w:r>
      <w:r>
        <w:rPr>
          <w:rFonts w:ascii="Arial" w:hAnsi="Arial" w:cs="Arial"/>
          <w:sz w:val="24"/>
          <w:szCs w:val="24"/>
        </w:rPr>
        <w:t>]</w:t>
      </w:r>
      <w:r>
        <w:rPr>
          <w:rFonts w:ascii="Arial" w:hAnsi="Arial" w:cs="Arial"/>
          <w:sz w:val="24"/>
          <w:szCs w:val="24"/>
        </w:rPr>
        <w:tab/>
        <w:t xml:space="preserve">The question that </w:t>
      </w:r>
      <w:r w:rsidR="00A3516A">
        <w:rPr>
          <w:rFonts w:ascii="Arial" w:hAnsi="Arial" w:cs="Arial"/>
          <w:sz w:val="24"/>
          <w:szCs w:val="24"/>
        </w:rPr>
        <w:t>begs an answer</w:t>
      </w:r>
      <w:r>
        <w:rPr>
          <w:rFonts w:ascii="Arial" w:hAnsi="Arial" w:cs="Arial"/>
          <w:sz w:val="24"/>
          <w:szCs w:val="24"/>
        </w:rPr>
        <w:t xml:space="preserve"> in respect of this point in </w:t>
      </w:r>
      <w:proofErr w:type="spellStart"/>
      <w:r>
        <w:rPr>
          <w:rFonts w:ascii="Arial" w:hAnsi="Arial" w:cs="Arial"/>
          <w:sz w:val="24"/>
          <w:szCs w:val="24"/>
        </w:rPr>
        <w:t>l</w:t>
      </w:r>
      <w:r w:rsidRPr="004238CC">
        <w:rPr>
          <w:rFonts w:ascii="Arial" w:hAnsi="Arial" w:cs="Arial"/>
          <w:sz w:val="24"/>
          <w:szCs w:val="24"/>
        </w:rPr>
        <w:t>imin</w:t>
      </w:r>
      <w:r>
        <w:rPr>
          <w:rFonts w:ascii="Arial" w:hAnsi="Arial" w:cs="Arial"/>
          <w:sz w:val="24"/>
          <w:szCs w:val="24"/>
        </w:rPr>
        <w:t>e</w:t>
      </w:r>
      <w:proofErr w:type="spellEnd"/>
      <w:r>
        <w:rPr>
          <w:rFonts w:ascii="Arial" w:hAnsi="Arial" w:cs="Arial"/>
          <w:sz w:val="24"/>
          <w:szCs w:val="24"/>
        </w:rPr>
        <w:t xml:space="preserve"> is whether the defendant can rely </w:t>
      </w:r>
      <w:r w:rsidR="00A3516A">
        <w:rPr>
          <w:rFonts w:ascii="Arial" w:hAnsi="Arial" w:cs="Arial"/>
          <w:sz w:val="24"/>
          <w:szCs w:val="24"/>
        </w:rPr>
        <w:t>at this stage of the proceedin</w:t>
      </w:r>
      <w:r w:rsidR="00A3516A" w:rsidRPr="00901C5F">
        <w:rPr>
          <w:rFonts w:ascii="Arial" w:hAnsi="Arial" w:cs="Arial"/>
          <w:sz w:val="24"/>
          <w:szCs w:val="24"/>
        </w:rPr>
        <w:t>g</w:t>
      </w:r>
      <w:r w:rsidR="002939D6" w:rsidRPr="00901C5F">
        <w:rPr>
          <w:rFonts w:ascii="Arial" w:hAnsi="Arial" w:cs="Arial"/>
          <w:sz w:val="24"/>
          <w:szCs w:val="24"/>
        </w:rPr>
        <w:t>s</w:t>
      </w:r>
      <w:r w:rsidR="00726ECC">
        <w:rPr>
          <w:rFonts w:ascii="Arial" w:hAnsi="Arial" w:cs="Arial"/>
          <w:color w:val="FF0000"/>
          <w:sz w:val="24"/>
          <w:szCs w:val="24"/>
        </w:rPr>
        <w:t xml:space="preserve"> </w:t>
      </w:r>
      <w:r>
        <w:rPr>
          <w:rFonts w:ascii="Arial" w:hAnsi="Arial" w:cs="Arial"/>
          <w:sz w:val="24"/>
          <w:szCs w:val="24"/>
        </w:rPr>
        <w:t xml:space="preserve">on </w:t>
      </w:r>
      <w:r w:rsidR="00A3516A">
        <w:rPr>
          <w:rFonts w:ascii="Arial" w:hAnsi="Arial" w:cs="Arial"/>
          <w:sz w:val="24"/>
          <w:szCs w:val="24"/>
        </w:rPr>
        <w:t>rule 101(1) if the defendant failed to comply with the provisions of rule 28 during the judicial case management.</w:t>
      </w:r>
    </w:p>
    <w:p w:rsidR="00A3516A" w:rsidRDefault="00A3516A" w:rsidP="00FD61F8">
      <w:pPr>
        <w:spacing w:after="0" w:line="360" w:lineRule="auto"/>
        <w:jc w:val="both"/>
        <w:rPr>
          <w:rFonts w:ascii="Arial" w:hAnsi="Arial" w:cs="Arial"/>
          <w:sz w:val="24"/>
          <w:szCs w:val="24"/>
        </w:rPr>
      </w:pPr>
    </w:p>
    <w:p w:rsidR="0055465D" w:rsidRDefault="00A3516A"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87</w:t>
      </w:r>
      <w:r>
        <w:rPr>
          <w:rFonts w:ascii="Arial" w:hAnsi="Arial" w:cs="Arial"/>
          <w:sz w:val="24"/>
          <w:szCs w:val="24"/>
        </w:rPr>
        <w:t>]</w:t>
      </w:r>
      <w:r>
        <w:rPr>
          <w:rFonts w:ascii="Arial" w:hAnsi="Arial" w:cs="Arial"/>
          <w:sz w:val="24"/>
          <w:szCs w:val="24"/>
        </w:rPr>
        <w:tab/>
      </w:r>
      <w:r w:rsidR="003966E8">
        <w:rPr>
          <w:rFonts w:ascii="Arial" w:hAnsi="Arial" w:cs="Arial"/>
          <w:sz w:val="24"/>
          <w:szCs w:val="24"/>
        </w:rPr>
        <w:t xml:space="preserve">Before I proceed to answer this question I wish to refer to the new publication by the </w:t>
      </w:r>
      <w:proofErr w:type="spellStart"/>
      <w:r w:rsidR="003966E8">
        <w:rPr>
          <w:rFonts w:ascii="Arial" w:hAnsi="Arial" w:cs="Arial"/>
          <w:sz w:val="24"/>
          <w:szCs w:val="24"/>
        </w:rPr>
        <w:t>Honorable</w:t>
      </w:r>
      <w:proofErr w:type="spellEnd"/>
      <w:r w:rsidR="003966E8">
        <w:rPr>
          <w:rFonts w:ascii="Arial" w:hAnsi="Arial" w:cs="Arial"/>
          <w:sz w:val="24"/>
          <w:szCs w:val="24"/>
        </w:rPr>
        <w:t xml:space="preserve"> Judge President PT </w:t>
      </w:r>
      <w:proofErr w:type="spellStart"/>
      <w:r w:rsidR="003966E8">
        <w:rPr>
          <w:rFonts w:ascii="Arial" w:hAnsi="Arial" w:cs="Arial"/>
          <w:sz w:val="24"/>
          <w:szCs w:val="24"/>
        </w:rPr>
        <w:t>Damaseb</w:t>
      </w:r>
      <w:proofErr w:type="spellEnd"/>
      <w:r w:rsidR="003966E8">
        <w:rPr>
          <w:rFonts w:ascii="Arial" w:hAnsi="Arial" w:cs="Arial"/>
          <w:sz w:val="24"/>
          <w:szCs w:val="24"/>
        </w:rPr>
        <w:t xml:space="preserve"> </w:t>
      </w:r>
      <w:r w:rsidR="00AF13B7" w:rsidRPr="0055465D">
        <w:rPr>
          <w:rFonts w:ascii="Arial" w:hAnsi="Arial" w:cs="Arial"/>
          <w:i/>
          <w:sz w:val="24"/>
          <w:szCs w:val="24"/>
        </w:rPr>
        <w:t>Court-Managed Civil Procedure of the High Court of Namibia</w:t>
      </w:r>
      <w:r w:rsidR="00F17E63">
        <w:rPr>
          <w:rFonts w:ascii="Arial" w:hAnsi="Arial" w:cs="Arial"/>
          <w:i/>
          <w:sz w:val="24"/>
          <w:szCs w:val="24"/>
        </w:rPr>
        <w:t>, Law, Procedure and Practice</w:t>
      </w:r>
      <w:r w:rsidR="00554EDF">
        <w:rPr>
          <w:rStyle w:val="FootnoteReference"/>
          <w:rFonts w:ascii="Arial" w:hAnsi="Arial" w:cs="Arial"/>
          <w:i/>
          <w:sz w:val="24"/>
          <w:szCs w:val="24"/>
        </w:rPr>
        <w:footnoteReference w:id="28"/>
      </w:r>
      <w:r w:rsidR="00AF13B7" w:rsidRPr="0055465D">
        <w:rPr>
          <w:rFonts w:ascii="Arial" w:hAnsi="Arial" w:cs="Arial"/>
          <w:i/>
          <w:sz w:val="24"/>
          <w:szCs w:val="24"/>
        </w:rPr>
        <w:t xml:space="preserve"> </w:t>
      </w:r>
      <w:r w:rsidR="0055465D">
        <w:rPr>
          <w:rFonts w:ascii="Arial" w:hAnsi="Arial" w:cs="Arial"/>
          <w:i/>
          <w:sz w:val="24"/>
          <w:szCs w:val="24"/>
        </w:rPr>
        <w:t>w</w:t>
      </w:r>
      <w:r w:rsidR="003966E8">
        <w:rPr>
          <w:rFonts w:ascii="Arial" w:hAnsi="Arial" w:cs="Arial"/>
          <w:sz w:val="24"/>
          <w:szCs w:val="24"/>
        </w:rPr>
        <w:t xml:space="preserve">herein the learned Judge President divided the judicial case management process into four different phases. </w:t>
      </w:r>
    </w:p>
    <w:p w:rsidR="00901C5F" w:rsidRDefault="00901C5F" w:rsidP="00FD61F8">
      <w:pPr>
        <w:spacing w:after="0" w:line="360" w:lineRule="auto"/>
        <w:jc w:val="both"/>
        <w:rPr>
          <w:rFonts w:ascii="Arial" w:hAnsi="Arial" w:cs="Arial"/>
          <w:sz w:val="24"/>
          <w:szCs w:val="24"/>
        </w:rPr>
      </w:pPr>
    </w:p>
    <w:p w:rsidR="002165A3" w:rsidRDefault="00B76163"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88</w:t>
      </w:r>
      <w:r>
        <w:rPr>
          <w:rFonts w:ascii="Arial" w:hAnsi="Arial" w:cs="Arial"/>
          <w:sz w:val="24"/>
          <w:szCs w:val="24"/>
        </w:rPr>
        <w:t>]</w:t>
      </w:r>
      <w:r>
        <w:rPr>
          <w:rFonts w:ascii="Arial" w:hAnsi="Arial" w:cs="Arial"/>
          <w:sz w:val="24"/>
          <w:szCs w:val="24"/>
        </w:rPr>
        <w:tab/>
      </w:r>
      <w:r w:rsidR="003966E8">
        <w:rPr>
          <w:rFonts w:ascii="Arial" w:hAnsi="Arial" w:cs="Arial"/>
          <w:sz w:val="24"/>
          <w:szCs w:val="24"/>
        </w:rPr>
        <w:t>Phase 1 of the judicial case management process relates to the case planning conference and the roadmap set out by the court in its case plan and the exchange of pleadings. Phase 1 end</w:t>
      </w:r>
      <w:r w:rsidR="002165A3" w:rsidRPr="00901C5F">
        <w:rPr>
          <w:rFonts w:ascii="Arial" w:hAnsi="Arial" w:cs="Arial"/>
          <w:sz w:val="24"/>
          <w:szCs w:val="24"/>
        </w:rPr>
        <w:t>s</w:t>
      </w:r>
      <w:r w:rsidR="003966E8">
        <w:rPr>
          <w:rFonts w:ascii="Arial" w:hAnsi="Arial" w:cs="Arial"/>
          <w:sz w:val="24"/>
          <w:szCs w:val="24"/>
        </w:rPr>
        <w:t xml:space="preserve"> with the close of pleadings as directed by the case plan order and culminate in the parties making discovery</w:t>
      </w:r>
      <w:r w:rsidR="004238CC">
        <w:rPr>
          <w:rFonts w:ascii="Arial" w:hAnsi="Arial" w:cs="Arial"/>
          <w:sz w:val="24"/>
          <w:szCs w:val="24"/>
        </w:rPr>
        <w:t>.</w:t>
      </w:r>
      <w:r w:rsidR="00466A21">
        <w:rPr>
          <w:rStyle w:val="FootnoteReference"/>
          <w:rFonts w:ascii="Arial" w:hAnsi="Arial" w:cs="Arial"/>
          <w:sz w:val="24"/>
          <w:szCs w:val="24"/>
        </w:rPr>
        <w:footnoteReference w:id="29"/>
      </w:r>
      <w:r w:rsidR="00466A21">
        <w:rPr>
          <w:rFonts w:ascii="Arial" w:hAnsi="Arial" w:cs="Arial"/>
          <w:sz w:val="24"/>
          <w:szCs w:val="24"/>
        </w:rPr>
        <w:t xml:space="preserve"> </w:t>
      </w:r>
    </w:p>
    <w:p w:rsidR="002165A3" w:rsidRDefault="002165A3" w:rsidP="00FD61F8">
      <w:pPr>
        <w:spacing w:after="0" w:line="360" w:lineRule="auto"/>
        <w:jc w:val="both"/>
        <w:rPr>
          <w:rFonts w:ascii="Arial" w:hAnsi="Arial" w:cs="Arial"/>
          <w:sz w:val="24"/>
          <w:szCs w:val="24"/>
        </w:rPr>
      </w:pPr>
    </w:p>
    <w:p w:rsidR="00466A21" w:rsidRDefault="002165A3"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89</w:t>
      </w:r>
      <w:r>
        <w:rPr>
          <w:rFonts w:ascii="Arial" w:hAnsi="Arial" w:cs="Arial"/>
          <w:sz w:val="24"/>
          <w:szCs w:val="24"/>
        </w:rPr>
        <w:t>]</w:t>
      </w:r>
      <w:r>
        <w:rPr>
          <w:rFonts w:ascii="Arial" w:hAnsi="Arial" w:cs="Arial"/>
          <w:sz w:val="24"/>
          <w:szCs w:val="24"/>
        </w:rPr>
        <w:tab/>
      </w:r>
      <w:r w:rsidR="00466A21">
        <w:rPr>
          <w:rFonts w:ascii="Arial" w:hAnsi="Arial" w:cs="Arial"/>
          <w:sz w:val="24"/>
          <w:szCs w:val="24"/>
        </w:rPr>
        <w:t>Phases 2 commences with the case management conference and the objective of phase 2 is</w:t>
      </w:r>
      <w:r w:rsidR="00013C99">
        <w:rPr>
          <w:rFonts w:ascii="Arial" w:hAnsi="Arial" w:cs="Arial"/>
          <w:sz w:val="24"/>
          <w:szCs w:val="24"/>
        </w:rPr>
        <w:t>:</w:t>
      </w:r>
      <w:r w:rsidR="00466A21">
        <w:rPr>
          <w:rFonts w:ascii="Arial" w:hAnsi="Arial" w:cs="Arial"/>
          <w:sz w:val="24"/>
          <w:szCs w:val="24"/>
        </w:rPr>
        <w:t xml:space="preserve"> </w:t>
      </w:r>
    </w:p>
    <w:p w:rsidR="00554EDF" w:rsidRDefault="00554EDF" w:rsidP="00FD61F8">
      <w:pPr>
        <w:spacing w:after="0" w:line="360" w:lineRule="auto"/>
        <w:jc w:val="both"/>
        <w:rPr>
          <w:rFonts w:ascii="Arial" w:hAnsi="Arial" w:cs="Arial"/>
          <w:sz w:val="24"/>
          <w:szCs w:val="24"/>
        </w:rPr>
      </w:pPr>
    </w:p>
    <w:p w:rsidR="00466A21" w:rsidRDefault="00466A21" w:rsidP="00FD61F8">
      <w:pPr>
        <w:spacing w:after="0" w:line="360" w:lineRule="auto"/>
        <w:ind w:firstLine="720"/>
        <w:jc w:val="both"/>
        <w:rPr>
          <w:rFonts w:ascii="Arial" w:hAnsi="Arial" w:cs="Arial"/>
        </w:rPr>
      </w:pPr>
      <w:r w:rsidRPr="00466A21">
        <w:rPr>
          <w:rFonts w:ascii="Arial" w:hAnsi="Arial" w:cs="Arial"/>
        </w:rPr>
        <w:t>‘</w:t>
      </w:r>
      <w:r w:rsidR="00013C99">
        <w:rPr>
          <w:rFonts w:ascii="Arial" w:hAnsi="Arial" w:cs="Arial"/>
        </w:rPr>
        <w:t>[</w:t>
      </w:r>
      <w:r w:rsidRPr="00466A21">
        <w:rPr>
          <w:rFonts w:ascii="Arial" w:hAnsi="Arial" w:cs="Arial"/>
        </w:rPr>
        <w:t>to</w:t>
      </w:r>
      <w:r w:rsidR="00013C99">
        <w:rPr>
          <w:rFonts w:ascii="Arial" w:hAnsi="Arial" w:cs="Arial"/>
        </w:rPr>
        <w:t>]</w:t>
      </w:r>
      <w:r w:rsidRPr="00466A21">
        <w:rPr>
          <w:rFonts w:ascii="Arial" w:hAnsi="Arial" w:cs="Arial"/>
        </w:rPr>
        <w:t xml:space="preserve"> resolve all the outstanding disputes; complete discover</w:t>
      </w:r>
      <w:r w:rsidR="002165A3" w:rsidRPr="00901C5F">
        <w:rPr>
          <w:rFonts w:ascii="Arial" w:hAnsi="Arial" w:cs="Arial"/>
        </w:rPr>
        <w:t>y</w:t>
      </w:r>
      <w:r w:rsidRPr="00466A21">
        <w:rPr>
          <w:rFonts w:ascii="Arial" w:hAnsi="Arial" w:cs="Arial"/>
        </w:rPr>
        <w:t>; to define the ambit of the dispute and to require the parties to start gathering in earnest the evidence they need to be fully informed of the case of the opponent.</w:t>
      </w:r>
    </w:p>
    <w:p w:rsidR="00A93CEB" w:rsidRPr="00466A21" w:rsidRDefault="00A93CEB" w:rsidP="00FD61F8">
      <w:pPr>
        <w:spacing w:after="0" w:line="360" w:lineRule="auto"/>
        <w:ind w:firstLine="720"/>
        <w:jc w:val="both"/>
        <w:rPr>
          <w:rFonts w:ascii="Arial" w:hAnsi="Arial" w:cs="Arial"/>
        </w:rPr>
      </w:pPr>
    </w:p>
    <w:p w:rsidR="00466A21" w:rsidRPr="00466A21" w:rsidRDefault="00466A21" w:rsidP="00FD61F8">
      <w:pPr>
        <w:spacing w:after="0" w:line="360" w:lineRule="auto"/>
        <w:ind w:firstLine="720"/>
        <w:jc w:val="both"/>
        <w:rPr>
          <w:rFonts w:ascii="Arial" w:hAnsi="Arial" w:cs="Arial"/>
        </w:rPr>
      </w:pPr>
      <w:r w:rsidRPr="00013C99">
        <w:rPr>
          <w:rFonts w:ascii="Arial" w:hAnsi="Arial" w:cs="Arial"/>
          <w:b/>
        </w:rPr>
        <w:t>Expected outcome</w:t>
      </w:r>
      <w:r w:rsidRPr="00466A21">
        <w:rPr>
          <w:rFonts w:ascii="Arial" w:hAnsi="Arial" w:cs="Arial"/>
        </w:rPr>
        <w:t xml:space="preserve">: During phase 2 the parties must exchange witness statements and all discovered documents. Phase 2 must ideally end with the parties submitting to the managing judge a report which identifies the issues not in dispute; the issues that remains in dispute; any objections to </w:t>
      </w:r>
      <w:r w:rsidRPr="00901C5F">
        <w:rPr>
          <w:rFonts w:ascii="Arial" w:hAnsi="Arial" w:cs="Arial"/>
        </w:rPr>
        <w:t>pleadings</w:t>
      </w:r>
      <w:r w:rsidR="002165A3" w:rsidRPr="00901C5F">
        <w:rPr>
          <w:rFonts w:ascii="Arial" w:hAnsi="Arial" w:cs="Arial"/>
        </w:rPr>
        <w:t>,</w:t>
      </w:r>
      <w:r w:rsidRPr="00901C5F">
        <w:rPr>
          <w:rFonts w:ascii="Arial" w:hAnsi="Arial" w:cs="Arial"/>
        </w:rPr>
        <w:t xml:space="preserve"> </w:t>
      </w:r>
      <w:r w:rsidRPr="00466A21">
        <w:rPr>
          <w:rFonts w:ascii="Arial" w:hAnsi="Arial" w:cs="Arial"/>
        </w:rPr>
        <w:t>anticipated amendments and additional discovery required.</w:t>
      </w:r>
      <w:r>
        <w:rPr>
          <w:rStyle w:val="FootnoteReference"/>
          <w:rFonts w:ascii="Arial" w:hAnsi="Arial" w:cs="Arial"/>
        </w:rPr>
        <w:footnoteReference w:id="30"/>
      </w:r>
      <w:r>
        <w:rPr>
          <w:rFonts w:ascii="Arial" w:hAnsi="Arial" w:cs="Arial"/>
        </w:rPr>
        <w:t>’</w:t>
      </w:r>
      <w:r w:rsidRPr="00466A21">
        <w:rPr>
          <w:rFonts w:ascii="Arial" w:hAnsi="Arial" w:cs="Arial"/>
        </w:rPr>
        <w:t xml:space="preserve"> </w:t>
      </w:r>
    </w:p>
    <w:p w:rsidR="00554EDF" w:rsidRDefault="00554EDF" w:rsidP="00FD61F8">
      <w:pPr>
        <w:spacing w:after="0" w:line="360" w:lineRule="auto"/>
        <w:jc w:val="both"/>
        <w:rPr>
          <w:rFonts w:ascii="Arial" w:hAnsi="Arial" w:cs="Arial"/>
          <w:sz w:val="24"/>
          <w:szCs w:val="24"/>
        </w:rPr>
      </w:pPr>
    </w:p>
    <w:p w:rsidR="00B76163" w:rsidRDefault="00B76163"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90</w:t>
      </w:r>
      <w:r>
        <w:rPr>
          <w:rFonts w:ascii="Arial" w:hAnsi="Arial" w:cs="Arial"/>
          <w:sz w:val="24"/>
          <w:szCs w:val="24"/>
        </w:rPr>
        <w:t>]</w:t>
      </w:r>
      <w:r>
        <w:rPr>
          <w:rFonts w:ascii="Arial" w:hAnsi="Arial" w:cs="Arial"/>
          <w:sz w:val="24"/>
          <w:szCs w:val="24"/>
        </w:rPr>
        <w:tab/>
        <w:t>Fu</w:t>
      </w:r>
      <w:r w:rsidR="004C5B0C">
        <w:rPr>
          <w:rFonts w:ascii="Arial" w:hAnsi="Arial" w:cs="Arial"/>
          <w:sz w:val="24"/>
          <w:szCs w:val="24"/>
        </w:rPr>
        <w:t xml:space="preserve">rther </w:t>
      </w:r>
      <w:r w:rsidR="004C5B0C" w:rsidRPr="004C5B0C">
        <w:rPr>
          <w:rFonts w:ascii="Arial" w:hAnsi="Arial" w:cs="Arial"/>
          <w:sz w:val="24"/>
          <w:szCs w:val="24"/>
        </w:rPr>
        <w:t xml:space="preserve">at para 8-022 the learned </w:t>
      </w:r>
      <w:r w:rsidR="00901C5F" w:rsidRPr="004C5B0C">
        <w:rPr>
          <w:rFonts w:ascii="Arial" w:hAnsi="Arial" w:cs="Arial"/>
          <w:sz w:val="24"/>
          <w:szCs w:val="24"/>
        </w:rPr>
        <w:t>J</w:t>
      </w:r>
      <w:r w:rsidR="00CA212B" w:rsidRPr="004C5B0C">
        <w:rPr>
          <w:rFonts w:ascii="Arial" w:hAnsi="Arial" w:cs="Arial"/>
          <w:sz w:val="24"/>
          <w:szCs w:val="24"/>
        </w:rPr>
        <w:t>udge President</w:t>
      </w:r>
      <w:r w:rsidRPr="004C5B0C">
        <w:rPr>
          <w:rFonts w:ascii="Arial" w:hAnsi="Arial" w:cs="Arial"/>
          <w:sz w:val="24"/>
          <w:szCs w:val="24"/>
        </w:rPr>
        <w:t xml:space="preserve"> states as fo</w:t>
      </w:r>
      <w:r>
        <w:rPr>
          <w:rFonts w:ascii="Arial" w:hAnsi="Arial" w:cs="Arial"/>
          <w:sz w:val="24"/>
          <w:szCs w:val="24"/>
        </w:rPr>
        <w:t>llows:</w:t>
      </w:r>
    </w:p>
    <w:p w:rsidR="00554EDF" w:rsidRDefault="00554EDF" w:rsidP="00FD61F8">
      <w:pPr>
        <w:spacing w:after="0" w:line="360" w:lineRule="auto"/>
        <w:jc w:val="both"/>
        <w:rPr>
          <w:rFonts w:ascii="Arial" w:hAnsi="Arial" w:cs="Arial"/>
          <w:sz w:val="24"/>
          <w:szCs w:val="24"/>
        </w:rPr>
      </w:pPr>
    </w:p>
    <w:p w:rsidR="00B76163" w:rsidRDefault="00B76163" w:rsidP="00FD61F8">
      <w:pPr>
        <w:spacing w:after="0" w:line="360" w:lineRule="auto"/>
        <w:jc w:val="both"/>
        <w:rPr>
          <w:rFonts w:ascii="Arial" w:hAnsi="Arial" w:cs="Arial"/>
          <w:sz w:val="24"/>
          <w:szCs w:val="24"/>
        </w:rPr>
      </w:pPr>
      <w:r>
        <w:rPr>
          <w:rFonts w:ascii="Arial" w:hAnsi="Arial" w:cs="Arial"/>
          <w:sz w:val="24"/>
          <w:szCs w:val="24"/>
        </w:rPr>
        <w:tab/>
        <w:t>‘</w:t>
      </w:r>
      <w:r w:rsidRPr="00B76163">
        <w:rPr>
          <w:rFonts w:ascii="Arial" w:hAnsi="Arial" w:cs="Arial"/>
        </w:rPr>
        <w:t>The most crucial consideration during phase 2 is to ensure that the parties comp</w:t>
      </w:r>
      <w:r w:rsidR="002165A3" w:rsidRPr="002165A3">
        <w:rPr>
          <w:rFonts w:ascii="Arial" w:hAnsi="Arial" w:cs="Arial"/>
          <w:color w:val="FF0000"/>
        </w:rPr>
        <w:t>l</w:t>
      </w:r>
      <w:r w:rsidRPr="00B76163">
        <w:rPr>
          <w:rFonts w:ascii="Arial" w:hAnsi="Arial" w:cs="Arial"/>
        </w:rPr>
        <w:t>ete discovery and commence trial preparation in earnest. If a party feels that the documents that ought to have been discovered have not been, it is during this phase that the necessary procedural right must be exercised to obtain discovery. It is also during this phase that the parties must seek inspection and examination and actively explore settlement discussions. It is also the most opportune phase for the amendment of pleadings in light of the discovery that has taken place.</w:t>
      </w:r>
      <w:r>
        <w:rPr>
          <w:rFonts w:ascii="Arial" w:hAnsi="Arial" w:cs="Arial"/>
          <w:sz w:val="24"/>
          <w:szCs w:val="24"/>
        </w:rPr>
        <w:t>’</w:t>
      </w:r>
    </w:p>
    <w:p w:rsidR="00B76163" w:rsidRDefault="00B76163" w:rsidP="00FD61F8">
      <w:pPr>
        <w:spacing w:after="0" w:line="360" w:lineRule="auto"/>
        <w:jc w:val="both"/>
        <w:rPr>
          <w:rFonts w:ascii="Arial" w:hAnsi="Arial" w:cs="Arial"/>
          <w:sz w:val="24"/>
          <w:szCs w:val="24"/>
        </w:rPr>
      </w:pPr>
    </w:p>
    <w:p w:rsidR="003966E8" w:rsidRDefault="00013C99" w:rsidP="00FD61F8">
      <w:pPr>
        <w:tabs>
          <w:tab w:val="left" w:pos="720"/>
          <w:tab w:val="left" w:pos="1440"/>
          <w:tab w:val="left" w:pos="2160"/>
          <w:tab w:val="center" w:pos="4513"/>
        </w:tabs>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91</w:t>
      </w:r>
      <w:r>
        <w:rPr>
          <w:rFonts w:ascii="Arial" w:hAnsi="Arial" w:cs="Arial"/>
          <w:sz w:val="24"/>
          <w:szCs w:val="24"/>
        </w:rPr>
        <w:t>]</w:t>
      </w:r>
      <w:r>
        <w:rPr>
          <w:rFonts w:ascii="Arial" w:hAnsi="Arial" w:cs="Arial"/>
          <w:sz w:val="24"/>
          <w:szCs w:val="24"/>
        </w:rPr>
        <w:tab/>
        <w:t>It is an interesting exercise to fit the facts of the matter before me into the phase</w:t>
      </w:r>
      <w:r w:rsidR="00F17E63">
        <w:rPr>
          <w:rFonts w:ascii="Arial" w:hAnsi="Arial" w:cs="Arial"/>
          <w:sz w:val="24"/>
          <w:szCs w:val="24"/>
        </w:rPr>
        <w:t>s</w:t>
      </w:r>
      <w:r>
        <w:rPr>
          <w:rFonts w:ascii="Arial" w:hAnsi="Arial" w:cs="Arial"/>
          <w:sz w:val="24"/>
          <w:szCs w:val="24"/>
        </w:rPr>
        <w:t xml:space="preserve"> as proposed </w:t>
      </w:r>
      <w:r w:rsidR="00AD139F">
        <w:rPr>
          <w:rFonts w:ascii="Arial" w:hAnsi="Arial" w:cs="Arial"/>
          <w:sz w:val="24"/>
          <w:szCs w:val="24"/>
        </w:rPr>
        <w:t>by the</w:t>
      </w:r>
      <w:r>
        <w:rPr>
          <w:rFonts w:ascii="Arial" w:hAnsi="Arial" w:cs="Arial"/>
          <w:sz w:val="24"/>
          <w:szCs w:val="24"/>
        </w:rPr>
        <w:t xml:space="preserve"> </w:t>
      </w:r>
      <w:proofErr w:type="spellStart"/>
      <w:r>
        <w:rPr>
          <w:rFonts w:ascii="Arial" w:hAnsi="Arial" w:cs="Arial"/>
          <w:sz w:val="24"/>
          <w:szCs w:val="24"/>
        </w:rPr>
        <w:t>Honorable</w:t>
      </w:r>
      <w:proofErr w:type="spellEnd"/>
      <w:r>
        <w:rPr>
          <w:rFonts w:ascii="Arial" w:hAnsi="Arial" w:cs="Arial"/>
          <w:sz w:val="24"/>
          <w:szCs w:val="24"/>
        </w:rPr>
        <w:t xml:space="preserve"> Judge President and to see what the result would be. In order to do so it is necessary to take cognisance of the following facts: </w:t>
      </w:r>
    </w:p>
    <w:p w:rsidR="00477CBB" w:rsidRDefault="00477CBB" w:rsidP="00FD61F8">
      <w:pPr>
        <w:tabs>
          <w:tab w:val="left" w:pos="720"/>
          <w:tab w:val="left" w:pos="1440"/>
          <w:tab w:val="left" w:pos="2160"/>
          <w:tab w:val="center" w:pos="4513"/>
        </w:tabs>
        <w:spacing w:after="0" w:line="360" w:lineRule="auto"/>
        <w:jc w:val="both"/>
        <w:rPr>
          <w:rFonts w:ascii="Arial" w:hAnsi="Arial" w:cs="Arial"/>
          <w:sz w:val="24"/>
          <w:szCs w:val="24"/>
        </w:rPr>
      </w:pPr>
    </w:p>
    <w:p w:rsidR="00DD1ED5" w:rsidRPr="00477CBB" w:rsidRDefault="00DD1ED5" w:rsidP="00477CBB">
      <w:pPr>
        <w:pStyle w:val="ListParagraph"/>
        <w:numPr>
          <w:ilvl w:val="0"/>
          <w:numId w:val="21"/>
        </w:numPr>
        <w:spacing w:after="0" w:line="360" w:lineRule="auto"/>
        <w:jc w:val="both"/>
        <w:rPr>
          <w:rFonts w:ascii="Arial" w:hAnsi="Arial" w:cs="Arial"/>
          <w:sz w:val="24"/>
          <w:szCs w:val="24"/>
        </w:rPr>
      </w:pPr>
      <w:r w:rsidRPr="00477CBB">
        <w:rPr>
          <w:rFonts w:ascii="Arial" w:hAnsi="Arial" w:cs="Arial"/>
          <w:sz w:val="24"/>
          <w:szCs w:val="24"/>
        </w:rPr>
        <w:t>In terms of</w:t>
      </w:r>
      <w:r w:rsidR="005751CA" w:rsidRPr="00477CBB">
        <w:rPr>
          <w:rFonts w:ascii="Arial" w:hAnsi="Arial" w:cs="Arial"/>
          <w:sz w:val="24"/>
          <w:szCs w:val="24"/>
        </w:rPr>
        <w:t xml:space="preserve"> the chronology of the judicial case management process </w:t>
      </w:r>
      <w:r w:rsidR="00737583" w:rsidRPr="00477CBB">
        <w:rPr>
          <w:rFonts w:ascii="Arial" w:hAnsi="Arial" w:cs="Arial"/>
          <w:sz w:val="24"/>
          <w:szCs w:val="24"/>
        </w:rPr>
        <w:t xml:space="preserve">the parties filed their discovery affidavits as far back as </w:t>
      </w:r>
      <w:r w:rsidR="00D02A13" w:rsidRPr="00477CBB">
        <w:rPr>
          <w:rFonts w:ascii="Arial" w:hAnsi="Arial" w:cs="Arial"/>
          <w:sz w:val="24"/>
          <w:szCs w:val="24"/>
        </w:rPr>
        <w:t>14 October 2019</w:t>
      </w:r>
      <w:r w:rsidR="009058AD">
        <w:rPr>
          <w:rFonts w:ascii="Arial" w:hAnsi="Arial" w:cs="Arial"/>
          <w:sz w:val="24"/>
          <w:szCs w:val="24"/>
        </w:rPr>
        <w:t>.</w:t>
      </w:r>
      <w:r>
        <w:rPr>
          <w:rStyle w:val="FootnoteReference"/>
          <w:rFonts w:ascii="Arial" w:hAnsi="Arial" w:cs="Arial"/>
          <w:sz w:val="24"/>
          <w:szCs w:val="24"/>
        </w:rPr>
        <w:footnoteReference w:id="31"/>
      </w:r>
    </w:p>
    <w:p w:rsidR="002750F6" w:rsidRPr="00477CBB" w:rsidRDefault="00DD1ED5" w:rsidP="00477CBB">
      <w:pPr>
        <w:pStyle w:val="ListParagraph"/>
        <w:numPr>
          <w:ilvl w:val="0"/>
          <w:numId w:val="21"/>
        </w:numPr>
        <w:spacing w:after="0" w:line="360" w:lineRule="auto"/>
        <w:jc w:val="both"/>
        <w:rPr>
          <w:rFonts w:ascii="Arial" w:hAnsi="Arial" w:cs="Arial"/>
          <w:sz w:val="24"/>
          <w:szCs w:val="24"/>
        </w:rPr>
      </w:pPr>
      <w:r w:rsidRPr="00477CBB">
        <w:rPr>
          <w:rFonts w:ascii="Arial" w:hAnsi="Arial" w:cs="Arial"/>
          <w:sz w:val="24"/>
          <w:szCs w:val="24"/>
        </w:rPr>
        <w:t>I</w:t>
      </w:r>
      <w:r w:rsidR="00CE13C0" w:rsidRPr="00477CBB">
        <w:rPr>
          <w:rFonts w:ascii="Arial" w:hAnsi="Arial" w:cs="Arial"/>
          <w:sz w:val="24"/>
          <w:szCs w:val="24"/>
        </w:rPr>
        <w:t xml:space="preserve">n </w:t>
      </w:r>
      <w:r w:rsidRPr="00477CBB">
        <w:rPr>
          <w:rFonts w:ascii="Arial" w:hAnsi="Arial" w:cs="Arial"/>
          <w:sz w:val="24"/>
          <w:szCs w:val="24"/>
        </w:rPr>
        <w:t xml:space="preserve">terms of the plaintiff’s </w:t>
      </w:r>
      <w:r w:rsidR="002750F6" w:rsidRPr="00477CBB">
        <w:rPr>
          <w:rFonts w:ascii="Arial" w:hAnsi="Arial" w:cs="Arial"/>
          <w:sz w:val="24"/>
          <w:szCs w:val="24"/>
        </w:rPr>
        <w:t>First S</w:t>
      </w:r>
      <w:r w:rsidR="00CE13C0" w:rsidRPr="00477CBB">
        <w:rPr>
          <w:rFonts w:ascii="Arial" w:hAnsi="Arial" w:cs="Arial"/>
          <w:sz w:val="24"/>
          <w:szCs w:val="24"/>
        </w:rPr>
        <w:t xml:space="preserve">chedule </w:t>
      </w:r>
      <w:r w:rsidR="002750F6" w:rsidRPr="00477CBB">
        <w:rPr>
          <w:rFonts w:ascii="Arial" w:hAnsi="Arial" w:cs="Arial"/>
          <w:sz w:val="24"/>
          <w:szCs w:val="24"/>
        </w:rPr>
        <w:t>Part A</w:t>
      </w:r>
      <w:r w:rsidR="00CE13C0" w:rsidRPr="00477CBB">
        <w:rPr>
          <w:rFonts w:ascii="Arial" w:hAnsi="Arial" w:cs="Arial"/>
          <w:sz w:val="24"/>
          <w:szCs w:val="24"/>
        </w:rPr>
        <w:t xml:space="preserve"> </w:t>
      </w:r>
      <w:r w:rsidRPr="00477CBB">
        <w:rPr>
          <w:rFonts w:ascii="Arial" w:hAnsi="Arial" w:cs="Arial"/>
          <w:sz w:val="24"/>
          <w:szCs w:val="24"/>
        </w:rPr>
        <w:t xml:space="preserve">of its </w:t>
      </w:r>
      <w:r w:rsidR="00CE13C0" w:rsidRPr="00477CBB">
        <w:rPr>
          <w:rFonts w:ascii="Arial" w:hAnsi="Arial" w:cs="Arial"/>
          <w:sz w:val="24"/>
          <w:szCs w:val="24"/>
        </w:rPr>
        <w:t>discovery affidavit</w:t>
      </w:r>
      <w:r w:rsidR="00477CBB">
        <w:rPr>
          <w:rFonts w:ascii="Arial" w:hAnsi="Arial" w:cs="Arial"/>
          <w:sz w:val="24"/>
          <w:szCs w:val="24"/>
        </w:rPr>
        <w:t xml:space="preserve"> </w:t>
      </w:r>
      <w:r w:rsidR="00477CBB" w:rsidRPr="00901C5F">
        <w:rPr>
          <w:rFonts w:ascii="Arial" w:hAnsi="Arial" w:cs="Arial"/>
          <w:sz w:val="24"/>
          <w:szCs w:val="24"/>
        </w:rPr>
        <w:t>it</w:t>
      </w:r>
      <w:r w:rsidR="00CE13C0" w:rsidRPr="00901C5F">
        <w:rPr>
          <w:rFonts w:ascii="Arial" w:hAnsi="Arial" w:cs="Arial"/>
          <w:sz w:val="24"/>
          <w:szCs w:val="24"/>
        </w:rPr>
        <w:t xml:space="preserve"> </w:t>
      </w:r>
      <w:r w:rsidR="00CE13C0" w:rsidRPr="00477CBB">
        <w:rPr>
          <w:rFonts w:ascii="Arial" w:hAnsi="Arial" w:cs="Arial"/>
          <w:sz w:val="24"/>
          <w:szCs w:val="24"/>
        </w:rPr>
        <w:t xml:space="preserve">listed two documents </w:t>
      </w:r>
      <w:r w:rsidR="002750F6" w:rsidRPr="00477CBB">
        <w:rPr>
          <w:rFonts w:ascii="Arial" w:hAnsi="Arial" w:cs="Arial"/>
          <w:sz w:val="24"/>
          <w:szCs w:val="24"/>
        </w:rPr>
        <w:t>under numbers 14 and 15 as ‘</w:t>
      </w:r>
      <w:proofErr w:type="spellStart"/>
      <w:r w:rsidR="002750F6" w:rsidRPr="00477CBB">
        <w:rPr>
          <w:rFonts w:ascii="Arial" w:hAnsi="Arial" w:cs="Arial"/>
          <w:i/>
          <w:sz w:val="24"/>
          <w:szCs w:val="24"/>
        </w:rPr>
        <w:t>Namfisa</w:t>
      </w:r>
      <w:proofErr w:type="spellEnd"/>
      <w:r w:rsidR="002750F6" w:rsidRPr="00477CBB">
        <w:rPr>
          <w:rFonts w:ascii="Arial" w:hAnsi="Arial" w:cs="Arial"/>
          <w:i/>
          <w:sz w:val="24"/>
          <w:szCs w:val="24"/>
        </w:rPr>
        <w:t xml:space="preserve"> Certificate dated 30 September 2015 to Plaintiff</w:t>
      </w:r>
      <w:r w:rsidR="002750F6" w:rsidRPr="00477CBB">
        <w:rPr>
          <w:rFonts w:ascii="Arial" w:hAnsi="Arial" w:cs="Arial"/>
          <w:sz w:val="24"/>
          <w:szCs w:val="24"/>
        </w:rPr>
        <w:t>’ and ‘</w:t>
      </w:r>
      <w:proofErr w:type="spellStart"/>
      <w:r w:rsidR="002750F6" w:rsidRPr="00477CBB">
        <w:rPr>
          <w:rFonts w:ascii="Arial" w:hAnsi="Arial" w:cs="Arial"/>
          <w:i/>
          <w:sz w:val="24"/>
          <w:szCs w:val="24"/>
        </w:rPr>
        <w:t>Namfisa</w:t>
      </w:r>
      <w:proofErr w:type="spellEnd"/>
      <w:r w:rsidR="002750F6" w:rsidRPr="00477CBB">
        <w:rPr>
          <w:rFonts w:ascii="Arial" w:hAnsi="Arial" w:cs="Arial"/>
          <w:i/>
          <w:sz w:val="24"/>
          <w:szCs w:val="24"/>
        </w:rPr>
        <w:t xml:space="preserve"> Certificate dated 30 </w:t>
      </w:r>
      <w:r w:rsidR="002750F6" w:rsidRPr="00477CBB">
        <w:rPr>
          <w:rFonts w:ascii="Arial" w:hAnsi="Arial" w:cs="Arial"/>
          <w:i/>
          <w:sz w:val="24"/>
          <w:szCs w:val="24"/>
        </w:rPr>
        <w:lastRenderedPageBreak/>
        <w:t xml:space="preserve">September 2015 to </w:t>
      </w:r>
      <w:proofErr w:type="spellStart"/>
      <w:r w:rsidR="002750F6" w:rsidRPr="00477CBB">
        <w:rPr>
          <w:rFonts w:ascii="Arial" w:hAnsi="Arial" w:cs="Arial"/>
          <w:i/>
          <w:sz w:val="24"/>
          <w:szCs w:val="24"/>
        </w:rPr>
        <w:t>Boabab</w:t>
      </w:r>
      <w:proofErr w:type="spellEnd"/>
      <w:r w:rsidR="002750F6" w:rsidRPr="00477CBB">
        <w:rPr>
          <w:rFonts w:ascii="Arial" w:hAnsi="Arial" w:cs="Arial"/>
          <w:i/>
          <w:sz w:val="24"/>
          <w:szCs w:val="24"/>
        </w:rPr>
        <w:t xml:space="preserve"> Capital (Pty) Ltd</w:t>
      </w:r>
      <w:r w:rsidR="002750F6" w:rsidRPr="00477CBB">
        <w:rPr>
          <w:rFonts w:ascii="Arial" w:hAnsi="Arial" w:cs="Arial"/>
          <w:sz w:val="24"/>
          <w:szCs w:val="24"/>
        </w:rPr>
        <w:t>’ respectively. These certificates were issue</w:t>
      </w:r>
      <w:r w:rsidR="00477CBB" w:rsidRPr="00901C5F">
        <w:rPr>
          <w:rFonts w:ascii="Arial" w:hAnsi="Arial" w:cs="Arial"/>
          <w:sz w:val="24"/>
          <w:szCs w:val="24"/>
        </w:rPr>
        <w:t>d</w:t>
      </w:r>
      <w:r w:rsidR="002750F6" w:rsidRPr="00477CBB">
        <w:rPr>
          <w:rFonts w:ascii="Arial" w:hAnsi="Arial" w:cs="Arial"/>
          <w:sz w:val="24"/>
          <w:szCs w:val="24"/>
        </w:rPr>
        <w:t xml:space="preserve"> in terms of regulation 29 of the Pension Fund Act</w:t>
      </w:r>
      <w:r w:rsidR="009058AD">
        <w:rPr>
          <w:rFonts w:ascii="Arial" w:hAnsi="Arial" w:cs="Arial"/>
          <w:sz w:val="24"/>
          <w:szCs w:val="24"/>
        </w:rPr>
        <w:t>.</w:t>
      </w:r>
      <w:r w:rsidR="00477CBB">
        <w:rPr>
          <w:rStyle w:val="FootnoteReference"/>
          <w:rFonts w:ascii="Arial" w:hAnsi="Arial" w:cs="Arial"/>
          <w:sz w:val="24"/>
          <w:szCs w:val="24"/>
        </w:rPr>
        <w:footnoteReference w:id="32"/>
      </w:r>
    </w:p>
    <w:p w:rsidR="00451D68" w:rsidRPr="00477CBB" w:rsidRDefault="002750F6" w:rsidP="00477CBB">
      <w:pPr>
        <w:pStyle w:val="ListParagraph"/>
        <w:numPr>
          <w:ilvl w:val="0"/>
          <w:numId w:val="21"/>
        </w:numPr>
        <w:spacing w:after="0" w:line="360" w:lineRule="auto"/>
        <w:jc w:val="both"/>
        <w:rPr>
          <w:rFonts w:ascii="Arial" w:hAnsi="Arial" w:cs="Arial"/>
          <w:sz w:val="24"/>
          <w:szCs w:val="24"/>
        </w:rPr>
      </w:pPr>
      <w:r w:rsidRPr="00477CBB">
        <w:rPr>
          <w:rFonts w:ascii="Arial" w:hAnsi="Arial" w:cs="Arial"/>
          <w:sz w:val="24"/>
          <w:szCs w:val="24"/>
        </w:rPr>
        <w:t>A special plea was file</w:t>
      </w:r>
      <w:r w:rsidR="00477CBB" w:rsidRPr="00901C5F">
        <w:rPr>
          <w:rFonts w:ascii="Arial" w:hAnsi="Arial" w:cs="Arial"/>
          <w:sz w:val="24"/>
          <w:szCs w:val="24"/>
        </w:rPr>
        <w:t>d</w:t>
      </w:r>
      <w:r w:rsidRPr="00477CBB">
        <w:rPr>
          <w:rFonts w:ascii="Arial" w:hAnsi="Arial" w:cs="Arial"/>
          <w:sz w:val="24"/>
          <w:szCs w:val="24"/>
        </w:rPr>
        <w:t xml:space="preserve"> on 13 September 2019</w:t>
      </w:r>
      <w:r w:rsidR="00E162A6" w:rsidRPr="00477CBB">
        <w:rPr>
          <w:rFonts w:ascii="Arial" w:hAnsi="Arial" w:cs="Arial"/>
          <w:sz w:val="24"/>
          <w:szCs w:val="24"/>
        </w:rPr>
        <w:t xml:space="preserve"> wherein the defendant pleaded that the plaintiff lacked authority to enter into a loan agreement with membe</w:t>
      </w:r>
      <w:r w:rsidR="00E162A6" w:rsidRPr="00901C5F">
        <w:rPr>
          <w:rFonts w:ascii="Arial" w:hAnsi="Arial" w:cs="Arial"/>
          <w:sz w:val="24"/>
          <w:szCs w:val="24"/>
        </w:rPr>
        <w:t>r</w:t>
      </w:r>
      <w:r w:rsidR="00477CBB" w:rsidRPr="00901C5F">
        <w:rPr>
          <w:rFonts w:ascii="Arial" w:hAnsi="Arial" w:cs="Arial"/>
          <w:sz w:val="24"/>
          <w:szCs w:val="24"/>
        </w:rPr>
        <w:t>s</w:t>
      </w:r>
      <w:r w:rsidR="00E162A6" w:rsidRPr="00901C5F">
        <w:rPr>
          <w:rFonts w:ascii="Arial" w:hAnsi="Arial" w:cs="Arial"/>
          <w:sz w:val="24"/>
          <w:szCs w:val="24"/>
        </w:rPr>
        <w:t xml:space="preserve"> </w:t>
      </w:r>
      <w:r w:rsidR="00E162A6" w:rsidRPr="00477CBB">
        <w:rPr>
          <w:rFonts w:ascii="Arial" w:hAnsi="Arial" w:cs="Arial"/>
          <w:sz w:val="24"/>
          <w:szCs w:val="24"/>
        </w:rPr>
        <w:t>of the public as part of its business</w:t>
      </w:r>
      <w:r w:rsidR="00B4788D" w:rsidRPr="00477CBB">
        <w:rPr>
          <w:rFonts w:ascii="Arial" w:hAnsi="Arial" w:cs="Arial"/>
          <w:sz w:val="24"/>
          <w:szCs w:val="24"/>
        </w:rPr>
        <w:t>. It was pertinently pleaded against the background of the legislative landscape of provisions of sections 1 and/or 1(d) and/or 1(n) of the Namibia Financial Institutions Supervisory Authority Act</w:t>
      </w:r>
      <w:r w:rsidR="009058AD">
        <w:rPr>
          <w:rFonts w:ascii="Arial" w:hAnsi="Arial" w:cs="Arial"/>
          <w:sz w:val="24"/>
          <w:szCs w:val="24"/>
        </w:rPr>
        <w:t>.</w:t>
      </w:r>
      <w:r w:rsidR="00477CBB">
        <w:rPr>
          <w:rStyle w:val="FootnoteReference"/>
          <w:rFonts w:ascii="Arial" w:hAnsi="Arial" w:cs="Arial"/>
          <w:sz w:val="24"/>
          <w:szCs w:val="24"/>
        </w:rPr>
        <w:footnoteReference w:id="33"/>
      </w:r>
    </w:p>
    <w:p w:rsidR="00DD1ED5" w:rsidRDefault="00DD1ED5" w:rsidP="00FD61F8">
      <w:pPr>
        <w:spacing w:after="0" w:line="360" w:lineRule="auto"/>
        <w:jc w:val="both"/>
        <w:rPr>
          <w:rFonts w:ascii="Arial" w:hAnsi="Arial" w:cs="Arial"/>
          <w:sz w:val="24"/>
          <w:szCs w:val="24"/>
        </w:rPr>
      </w:pPr>
    </w:p>
    <w:p w:rsidR="00DD1ED5" w:rsidRDefault="00013C99"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92</w:t>
      </w:r>
      <w:r>
        <w:rPr>
          <w:rFonts w:ascii="Arial" w:hAnsi="Arial" w:cs="Arial"/>
          <w:sz w:val="24"/>
          <w:szCs w:val="24"/>
        </w:rPr>
        <w:t>]</w:t>
      </w:r>
      <w:r w:rsidR="00477CBB">
        <w:rPr>
          <w:rFonts w:ascii="Arial" w:hAnsi="Arial" w:cs="Arial"/>
          <w:sz w:val="24"/>
          <w:szCs w:val="24"/>
        </w:rPr>
        <w:tab/>
      </w:r>
      <w:r w:rsidR="00DD1ED5">
        <w:rPr>
          <w:rFonts w:ascii="Arial" w:hAnsi="Arial" w:cs="Arial"/>
          <w:sz w:val="24"/>
          <w:szCs w:val="24"/>
        </w:rPr>
        <w:t xml:space="preserve">Keeping the dates as set out above in my mental spectacle I consider </w:t>
      </w:r>
      <w:r w:rsidR="00B4788D">
        <w:rPr>
          <w:rFonts w:ascii="Arial" w:hAnsi="Arial" w:cs="Arial"/>
          <w:sz w:val="24"/>
          <w:szCs w:val="24"/>
        </w:rPr>
        <w:t xml:space="preserve">Mr Barnard </w:t>
      </w:r>
      <w:r w:rsidR="00DD1ED5">
        <w:rPr>
          <w:rFonts w:ascii="Arial" w:hAnsi="Arial" w:cs="Arial"/>
          <w:sz w:val="24"/>
          <w:szCs w:val="24"/>
        </w:rPr>
        <w:t>argument that:</w:t>
      </w:r>
    </w:p>
    <w:p w:rsidR="00477CBB" w:rsidRDefault="00477CBB" w:rsidP="00FD61F8">
      <w:pPr>
        <w:spacing w:after="0" w:line="360" w:lineRule="auto"/>
        <w:jc w:val="both"/>
        <w:rPr>
          <w:rFonts w:ascii="Arial" w:hAnsi="Arial" w:cs="Arial"/>
          <w:sz w:val="24"/>
          <w:szCs w:val="24"/>
        </w:rPr>
      </w:pPr>
    </w:p>
    <w:p w:rsidR="00B4788D" w:rsidRPr="00DD1ED5" w:rsidRDefault="00477CBB" w:rsidP="00FD61F8">
      <w:pPr>
        <w:pStyle w:val="ListParagraph"/>
        <w:numPr>
          <w:ilvl w:val="0"/>
          <w:numId w:val="20"/>
        </w:numPr>
        <w:spacing w:after="0" w:line="360" w:lineRule="auto"/>
        <w:jc w:val="both"/>
        <w:rPr>
          <w:rFonts w:ascii="Arial" w:hAnsi="Arial" w:cs="Arial"/>
          <w:sz w:val="24"/>
          <w:szCs w:val="24"/>
        </w:rPr>
      </w:pPr>
      <w:r w:rsidRPr="00DD1ED5">
        <w:rPr>
          <w:rFonts w:ascii="Arial" w:hAnsi="Arial" w:cs="Arial"/>
          <w:sz w:val="24"/>
          <w:szCs w:val="24"/>
        </w:rPr>
        <w:t>The</w:t>
      </w:r>
      <w:r w:rsidR="00B4788D" w:rsidRPr="00DD1ED5">
        <w:rPr>
          <w:rFonts w:ascii="Arial" w:hAnsi="Arial" w:cs="Arial"/>
          <w:sz w:val="24"/>
          <w:szCs w:val="24"/>
        </w:rPr>
        <w:t xml:space="preserve"> plaintiff did not replicate to the special plea</w:t>
      </w:r>
      <w:r w:rsidR="00F96D94">
        <w:rPr>
          <w:rFonts w:ascii="Arial" w:hAnsi="Arial" w:cs="Arial"/>
          <w:sz w:val="24"/>
          <w:szCs w:val="24"/>
        </w:rPr>
        <w:t xml:space="preserve"> and</w:t>
      </w:r>
      <w:r w:rsidR="00B4788D" w:rsidRPr="00DD1ED5">
        <w:rPr>
          <w:rFonts w:ascii="Arial" w:hAnsi="Arial" w:cs="Arial"/>
          <w:sz w:val="24"/>
          <w:szCs w:val="24"/>
        </w:rPr>
        <w:t xml:space="preserve"> that the absence of the replication meant </w:t>
      </w:r>
      <w:r w:rsidR="00F96D94">
        <w:rPr>
          <w:rFonts w:ascii="Arial" w:hAnsi="Arial" w:cs="Arial"/>
          <w:sz w:val="24"/>
          <w:szCs w:val="24"/>
        </w:rPr>
        <w:t xml:space="preserve">that </w:t>
      </w:r>
      <w:r w:rsidR="00B4788D" w:rsidRPr="00DD1ED5">
        <w:rPr>
          <w:rFonts w:ascii="Arial" w:hAnsi="Arial" w:cs="Arial"/>
          <w:sz w:val="24"/>
          <w:szCs w:val="24"/>
        </w:rPr>
        <w:t xml:space="preserve">every component of the special plea was denied through </w:t>
      </w:r>
      <w:r w:rsidR="00591100" w:rsidRPr="00DD1ED5">
        <w:rPr>
          <w:rFonts w:ascii="Arial" w:hAnsi="Arial" w:cs="Arial"/>
          <w:sz w:val="24"/>
          <w:szCs w:val="24"/>
        </w:rPr>
        <w:t xml:space="preserve">a bare denial, without specifying the particulars of the basis upon which it was denied. Therefore, by not having filed a replication, the plaintiff left the door open to itself to raise any defences </w:t>
      </w:r>
      <w:r w:rsidR="00EC1B60" w:rsidRPr="00DD1ED5">
        <w:rPr>
          <w:rFonts w:ascii="Arial" w:hAnsi="Arial" w:cs="Arial"/>
          <w:sz w:val="24"/>
          <w:szCs w:val="24"/>
        </w:rPr>
        <w:t xml:space="preserve">to the provisions of the special plea during the trial in the matter.  </w:t>
      </w:r>
    </w:p>
    <w:p w:rsidR="00EC1B60" w:rsidRDefault="00EC1B60" w:rsidP="00FD61F8">
      <w:pPr>
        <w:spacing w:after="0" w:line="360" w:lineRule="auto"/>
        <w:jc w:val="both"/>
        <w:rPr>
          <w:rFonts w:ascii="Arial" w:hAnsi="Arial" w:cs="Arial"/>
          <w:sz w:val="24"/>
          <w:szCs w:val="24"/>
        </w:rPr>
      </w:pPr>
    </w:p>
    <w:p w:rsidR="009B1B71" w:rsidRDefault="00477CBB" w:rsidP="00FD61F8">
      <w:pPr>
        <w:pStyle w:val="ListParagraph"/>
        <w:numPr>
          <w:ilvl w:val="0"/>
          <w:numId w:val="20"/>
        </w:numPr>
        <w:spacing w:after="0" w:line="360" w:lineRule="auto"/>
        <w:jc w:val="both"/>
        <w:rPr>
          <w:rFonts w:ascii="Arial" w:hAnsi="Arial" w:cs="Arial"/>
          <w:sz w:val="24"/>
          <w:szCs w:val="24"/>
        </w:rPr>
      </w:pPr>
      <w:r>
        <w:rPr>
          <w:rFonts w:ascii="Arial" w:hAnsi="Arial" w:cs="Arial"/>
          <w:sz w:val="24"/>
          <w:szCs w:val="24"/>
        </w:rPr>
        <w:t>The</w:t>
      </w:r>
      <w:r w:rsidR="009B1B71">
        <w:rPr>
          <w:rFonts w:ascii="Arial" w:hAnsi="Arial" w:cs="Arial"/>
          <w:sz w:val="24"/>
          <w:szCs w:val="24"/>
        </w:rPr>
        <w:t xml:space="preserve"> plaintiff discovered its registration certificates in terms of the Pension Funds Act and it is apparent that the plaintiff will rely on the Pension Fund Act and the Regulations promulgated in terms of such Act in support of it</w:t>
      </w:r>
      <w:r w:rsidR="00F17E63">
        <w:rPr>
          <w:rFonts w:ascii="Arial" w:hAnsi="Arial" w:cs="Arial"/>
          <w:sz w:val="24"/>
          <w:szCs w:val="24"/>
        </w:rPr>
        <w:t>s</w:t>
      </w:r>
      <w:r w:rsidR="009B1B71">
        <w:rPr>
          <w:rFonts w:ascii="Arial" w:hAnsi="Arial" w:cs="Arial"/>
          <w:sz w:val="24"/>
          <w:szCs w:val="24"/>
        </w:rPr>
        <w:t xml:space="preserve"> unspecified defence to the special plea. </w:t>
      </w:r>
    </w:p>
    <w:p w:rsidR="009B1B71" w:rsidRPr="009B1B71" w:rsidRDefault="009B1B71" w:rsidP="00FD61F8">
      <w:pPr>
        <w:pStyle w:val="ListParagraph"/>
        <w:spacing w:after="0" w:line="360" w:lineRule="auto"/>
        <w:rPr>
          <w:rFonts w:ascii="Arial" w:hAnsi="Arial" w:cs="Arial"/>
          <w:sz w:val="24"/>
          <w:szCs w:val="24"/>
        </w:rPr>
      </w:pPr>
    </w:p>
    <w:p w:rsidR="009B1B71" w:rsidRDefault="00477CBB" w:rsidP="00FD61F8">
      <w:pPr>
        <w:pStyle w:val="ListParagraph"/>
        <w:numPr>
          <w:ilvl w:val="0"/>
          <w:numId w:val="20"/>
        </w:numPr>
        <w:spacing w:after="0" w:line="360" w:lineRule="auto"/>
        <w:jc w:val="both"/>
        <w:rPr>
          <w:rFonts w:ascii="Arial" w:hAnsi="Arial" w:cs="Arial"/>
          <w:sz w:val="24"/>
          <w:szCs w:val="24"/>
        </w:rPr>
      </w:pPr>
      <w:r>
        <w:rPr>
          <w:rFonts w:ascii="Arial" w:hAnsi="Arial" w:cs="Arial"/>
          <w:sz w:val="24"/>
          <w:szCs w:val="24"/>
        </w:rPr>
        <w:t>With</w:t>
      </w:r>
      <w:r w:rsidR="00A547AB">
        <w:rPr>
          <w:rFonts w:ascii="Arial" w:hAnsi="Arial" w:cs="Arial"/>
          <w:sz w:val="24"/>
          <w:szCs w:val="24"/>
        </w:rPr>
        <w:t xml:space="preserve"> reference to a case which is not relevant to the current proceedings there was replication </w:t>
      </w:r>
      <w:r w:rsidR="000D629D">
        <w:rPr>
          <w:rFonts w:ascii="Arial" w:hAnsi="Arial" w:cs="Arial"/>
          <w:sz w:val="24"/>
          <w:szCs w:val="24"/>
        </w:rPr>
        <w:t>wherein the plaintiff contended that the loan made to the defendant was an ad hoc loan not capable of being defined as part of its financial services.</w:t>
      </w:r>
    </w:p>
    <w:p w:rsidR="000D629D" w:rsidRDefault="000D629D" w:rsidP="00FD61F8">
      <w:pPr>
        <w:spacing w:after="0" w:line="360" w:lineRule="auto"/>
        <w:jc w:val="both"/>
        <w:rPr>
          <w:rFonts w:ascii="Arial" w:hAnsi="Arial" w:cs="Arial"/>
          <w:sz w:val="24"/>
          <w:szCs w:val="24"/>
        </w:rPr>
      </w:pPr>
    </w:p>
    <w:p w:rsidR="00A00D49" w:rsidRDefault="00662C13" w:rsidP="00FD61F8">
      <w:pPr>
        <w:spacing w:after="0" w:line="360" w:lineRule="auto"/>
        <w:jc w:val="both"/>
        <w:rPr>
          <w:rFonts w:ascii="Arial" w:hAnsi="Arial" w:cs="Arial"/>
          <w:sz w:val="24"/>
          <w:szCs w:val="24"/>
        </w:rPr>
      </w:pPr>
      <w:r>
        <w:rPr>
          <w:rFonts w:ascii="Arial" w:hAnsi="Arial" w:cs="Arial"/>
          <w:sz w:val="24"/>
          <w:szCs w:val="24"/>
        </w:rPr>
        <w:lastRenderedPageBreak/>
        <w:t>[</w:t>
      </w:r>
      <w:r w:rsidR="00F17E63">
        <w:rPr>
          <w:rFonts w:ascii="Arial" w:hAnsi="Arial" w:cs="Arial"/>
          <w:sz w:val="24"/>
          <w:szCs w:val="24"/>
        </w:rPr>
        <w:t>93</w:t>
      </w:r>
      <w:r>
        <w:rPr>
          <w:rFonts w:ascii="Arial" w:hAnsi="Arial" w:cs="Arial"/>
          <w:sz w:val="24"/>
          <w:szCs w:val="24"/>
        </w:rPr>
        <w:t>]</w:t>
      </w:r>
      <w:r>
        <w:rPr>
          <w:rFonts w:ascii="Arial" w:hAnsi="Arial" w:cs="Arial"/>
          <w:sz w:val="24"/>
          <w:szCs w:val="24"/>
        </w:rPr>
        <w:tab/>
      </w:r>
      <w:r w:rsidR="008A6818">
        <w:rPr>
          <w:rFonts w:ascii="Arial" w:hAnsi="Arial" w:cs="Arial"/>
          <w:sz w:val="24"/>
          <w:szCs w:val="24"/>
        </w:rPr>
        <w:t xml:space="preserve">Phase 2 was completed when the case management conference was held on 16 October 2019. </w:t>
      </w:r>
      <w:r w:rsidR="008F0B98">
        <w:rPr>
          <w:rFonts w:ascii="Arial" w:hAnsi="Arial" w:cs="Arial"/>
          <w:sz w:val="24"/>
          <w:szCs w:val="24"/>
        </w:rPr>
        <w:t>The fact that the p</w:t>
      </w:r>
      <w:r>
        <w:rPr>
          <w:rFonts w:ascii="Arial" w:hAnsi="Arial" w:cs="Arial"/>
          <w:sz w:val="24"/>
          <w:szCs w:val="24"/>
        </w:rPr>
        <w:t xml:space="preserve">laintiff did not replicate to the special plea was clear </w:t>
      </w:r>
      <w:r w:rsidR="001653A3" w:rsidRPr="00CA212B">
        <w:rPr>
          <w:rFonts w:ascii="Arial" w:hAnsi="Arial" w:cs="Arial"/>
          <w:sz w:val="24"/>
          <w:szCs w:val="24"/>
        </w:rPr>
        <w:t>in</w:t>
      </w:r>
      <w:r w:rsidR="001653A3">
        <w:rPr>
          <w:rFonts w:ascii="Arial" w:hAnsi="Arial" w:cs="Arial"/>
          <w:color w:val="FF0000"/>
          <w:sz w:val="24"/>
          <w:szCs w:val="24"/>
        </w:rPr>
        <w:t xml:space="preserve"> </w:t>
      </w:r>
      <w:r>
        <w:rPr>
          <w:rFonts w:ascii="Arial" w:hAnsi="Arial" w:cs="Arial"/>
          <w:sz w:val="24"/>
          <w:szCs w:val="24"/>
        </w:rPr>
        <w:t>September 2019</w:t>
      </w:r>
      <w:r w:rsidR="008F0B98">
        <w:rPr>
          <w:rFonts w:ascii="Arial" w:hAnsi="Arial" w:cs="Arial"/>
          <w:sz w:val="24"/>
          <w:szCs w:val="24"/>
        </w:rPr>
        <w:t xml:space="preserve"> and hereafter the discovery process was concluded during</w:t>
      </w:r>
      <w:r w:rsidR="008A6818">
        <w:rPr>
          <w:rFonts w:ascii="Arial" w:hAnsi="Arial" w:cs="Arial"/>
          <w:sz w:val="24"/>
          <w:szCs w:val="24"/>
        </w:rPr>
        <w:t xml:space="preserve"> October 2019 alternatively</w:t>
      </w:r>
      <w:r w:rsidR="008F0B98">
        <w:rPr>
          <w:rFonts w:ascii="Arial" w:hAnsi="Arial" w:cs="Arial"/>
          <w:sz w:val="24"/>
          <w:szCs w:val="24"/>
        </w:rPr>
        <w:t xml:space="preserve"> November 2019</w:t>
      </w:r>
      <w:r w:rsidR="008A6818">
        <w:rPr>
          <w:rFonts w:ascii="Arial" w:hAnsi="Arial" w:cs="Arial"/>
          <w:sz w:val="24"/>
          <w:szCs w:val="24"/>
        </w:rPr>
        <w:t>, as the plaintiff filed a further discovery affidavit on 12 November 2019</w:t>
      </w:r>
      <w:r w:rsidR="00365B53">
        <w:rPr>
          <w:rFonts w:ascii="Arial" w:hAnsi="Arial" w:cs="Arial"/>
          <w:sz w:val="24"/>
          <w:szCs w:val="24"/>
        </w:rPr>
        <w:t>. In the parties joint case management conference report dated 9 October</w:t>
      </w:r>
      <w:r w:rsidR="00365B53" w:rsidRPr="00CA212B">
        <w:rPr>
          <w:rFonts w:ascii="Arial" w:hAnsi="Arial" w:cs="Arial"/>
          <w:sz w:val="24"/>
          <w:szCs w:val="24"/>
        </w:rPr>
        <w:t xml:space="preserve"> </w:t>
      </w:r>
      <w:r w:rsidR="001653A3" w:rsidRPr="00CA212B">
        <w:rPr>
          <w:rFonts w:ascii="Arial" w:hAnsi="Arial" w:cs="Arial"/>
          <w:sz w:val="24"/>
          <w:szCs w:val="24"/>
        </w:rPr>
        <w:t xml:space="preserve">2019 </w:t>
      </w:r>
      <w:r w:rsidR="00365B53">
        <w:rPr>
          <w:rFonts w:ascii="Arial" w:hAnsi="Arial" w:cs="Arial"/>
          <w:sz w:val="24"/>
          <w:szCs w:val="24"/>
        </w:rPr>
        <w:t>wherein the parties had the opportunity to deal with the</w:t>
      </w:r>
      <w:r w:rsidR="00365B53">
        <w:t xml:space="preserve"> </w:t>
      </w:r>
      <w:r w:rsidR="00365B53" w:rsidRPr="00365B53">
        <w:rPr>
          <w:rFonts w:ascii="Arial" w:hAnsi="Arial" w:cs="Arial"/>
          <w:sz w:val="24"/>
          <w:szCs w:val="24"/>
        </w:rPr>
        <w:t>control and scheduling of further discovery, including the inspection and production of documents</w:t>
      </w:r>
      <w:r w:rsidR="009058AD">
        <w:rPr>
          <w:rFonts w:ascii="Arial" w:hAnsi="Arial" w:cs="Arial"/>
          <w:sz w:val="24"/>
          <w:szCs w:val="24"/>
        </w:rPr>
        <w:t>,</w:t>
      </w:r>
      <w:r w:rsidR="00365B53">
        <w:rPr>
          <w:rStyle w:val="FootnoteReference"/>
          <w:rFonts w:ascii="Arial" w:hAnsi="Arial" w:cs="Arial"/>
          <w:sz w:val="24"/>
          <w:szCs w:val="24"/>
        </w:rPr>
        <w:footnoteReference w:id="34"/>
      </w:r>
      <w:r w:rsidR="003B2D1A">
        <w:rPr>
          <w:rFonts w:ascii="Arial" w:hAnsi="Arial" w:cs="Arial"/>
          <w:sz w:val="24"/>
          <w:szCs w:val="24"/>
        </w:rPr>
        <w:t xml:space="preserve"> no mention was made of further discovery required by the defendant</w:t>
      </w:r>
      <w:r w:rsidR="008F0B98" w:rsidRPr="00365B53">
        <w:rPr>
          <w:rFonts w:ascii="Arial" w:hAnsi="Arial" w:cs="Arial"/>
          <w:sz w:val="24"/>
          <w:szCs w:val="24"/>
        </w:rPr>
        <w:t>.</w:t>
      </w:r>
      <w:r w:rsidR="008F0B98">
        <w:rPr>
          <w:rFonts w:ascii="Arial" w:hAnsi="Arial" w:cs="Arial"/>
          <w:sz w:val="24"/>
          <w:szCs w:val="24"/>
        </w:rPr>
        <w:t xml:space="preserve">    </w:t>
      </w:r>
    </w:p>
    <w:p w:rsidR="009058AD" w:rsidRDefault="009058AD" w:rsidP="00FD61F8">
      <w:pPr>
        <w:spacing w:after="0" w:line="360" w:lineRule="auto"/>
        <w:jc w:val="both"/>
        <w:rPr>
          <w:rFonts w:ascii="Arial" w:hAnsi="Arial" w:cs="Arial"/>
          <w:sz w:val="24"/>
          <w:szCs w:val="24"/>
        </w:rPr>
      </w:pPr>
    </w:p>
    <w:p w:rsidR="00A00D49" w:rsidRDefault="00A00D49"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94</w:t>
      </w:r>
      <w:r>
        <w:rPr>
          <w:rFonts w:ascii="Arial" w:hAnsi="Arial" w:cs="Arial"/>
          <w:sz w:val="24"/>
          <w:szCs w:val="24"/>
        </w:rPr>
        <w:t>]</w:t>
      </w:r>
      <w:r>
        <w:rPr>
          <w:rFonts w:ascii="Arial" w:hAnsi="Arial" w:cs="Arial"/>
          <w:sz w:val="24"/>
          <w:szCs w:val="24"/>
        </w:rPr>
        <w:tab/>
        <w:t>In October 2019 the defendant</w:t>
      </w:r>
      <w:r w:rsidRPr="00CA212B">
        <w:rPr>
          <w:rFonts w:ascii="Arial" w:hAnsi="Arial" w:cs="Arial"/>
          <w:sz w:val="24"/>
          <w:szCs w:val="24"/>
        </w:rPr>
        <w:t xml:space="preserve"> </w:t>
      </w:r>
      <w:r w:rsidR="00855671" w:rsidRPr="00CA212B">
        <w:rPr>
          <w:rFonts w:ascii="Arial" w:hAnsi="Arial" w:cs="Arial"/>
          <w:sz w:val="24"/>
          <w:szCs w:val="24"/>
        </w:rPr>
        <w:t xml:space="preserve">already </w:t>
      </w:r>
      <w:r>
        <w:rPr>
          <w:rFonts w:ascii="Arial" w:hAnsi="Arial" w:cs="Arial"/>
          <w:sz w:val="24"/>
          <w:szCs w:val="24"/>
        </w:rPr>
        <w:t>knew there was no replication and that the plaintiff was registered in terms of the Pension Fund Act and if it is indeed as apparent as the defendant want</w:t>
      </w:r>
      <w:r w:rsidR="00855671" w:rsidRPr="00CA212B">
        <w:rPr>
          <w:rFonts w:ascii="Arial" w:hAnsi="Arial" w:cs="Arial"/>
          <w:sz w:val="24"/>
          <w:szCs w:val="24"/>
        </w:rPr>
        <w:t>s</w:t>
      </w:r>
      <w:r>
        <w:rPr>
          <w:rFonts w:ascii="Arial" w:hAnsi="Arial" w:cs="Arial"/>
          <w:sz w:val="24"/>
          <w:szCs w:val="24"/>
        </w:rPr>
        <w:t xml:space="preserve"> to make out that the plaintiff will rely on the Pension Funds Act, then why not follow the procedure as set out in rule 28 be</w:t>
      </w:r>
      <w:r w:rsidR="009058AD">
        <w:rPr>
          <w:rFonts w:ascii="Arial" w:hAnsi="Arial" w:cs="Arial"/>
          <w:sz w:val="24"/>
          <w:szCs w:val="24"/>
        </w:rPr>
        <w:t xml:space="preserve">fore the pre-trial conference? </w:t>
      </w:r>
    </w:p>
    <w:p w:rsidR="000D629D" w:rsidRDefault="000D629D" w:rsidP="00FD61F8">
      <w:pPr>
        <w:spacing w:after="0" w:line="360" w:lineRule="auto"/>
        <w:jc w:val="both"/>
        <w:rPr>
          <w:rFonts w:ascii="Arial" w:hAnsi="Arial" w:cs="Arial"/>
          <w:sz w:val="24"/>
          <w:szCs w:val="24"/>
        </w:rPr>
      </w:pPr>
    </w:p>
    <w:p w:rsidR="0048458A" w:rsidRDefault="003B2D1A"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95</w:t>
      </w:r>
      <w:r>
        <w:rPr>
          <w:rFonts w:ascii="Arial" w:hAnsi="Arial" w:cs="Arial"/>
          <w:sz w:val="24"/>
          <w:szCs w:val="24"/>
        </w:rPr>
        <w:t>]</w:t>
      </w:r>
      <w:r>
        <w:rPr>
          <w:rFonts w:ascii="Arial" w:hAnsi="Arial" w:cs="Arial"/>
          <w:sz w:val="24"/>
          <w:szCs w:val="24"/>
        </w:rPr>
        <w:tab/>
      </w:r>
      <w:r w:rsidR="005A71CF">
        <w:rPr>
          <w:rFonts w:ascii="Arial" w:hAnsi="Arial" w:cs="Arial"/>
          <w:sz w:val="24"/>
          <w:szCs w:val="24"/>
        </w:rPr>
        <w:t>No explanation is advance</w:t>
      </w:r>
      <w:r w:rsidR="00EC6F2C" w:rsidRPr="00CA212B">
        <w:rPr>
          <w:rFonts w:ascii="Arial" w:hAnsi="Arial" w:cs="Arial"/>
          <w:sz w:val="24"/>
          <w:szCs w:val="24"/>
        </w:rPr>
        <w:t>d</w:t>
      </w:r>
      <w:r w:rsidR="005A71CF">
        <w:rPr>
          <w:rFonts w:ascii="Arial" w:hAnsi="Arial" w:cs="Arial"/>
          <w:sz w:val="24"/>
          <w:szCs w:val="24"/>
        </w:rPr>
        <w:t xml:space="preserve"> </w:t>
      </w:r>
      <w:r w:rsidR="00E602A9">
        <w:rPr>
          <w:rFonts w:ascii="Arial" w:hAnsi="Arial" w:cs="Arial"/>
          <w:sz w:val="24"/>
          <w:szCs w:val="24"/>
        </w:rPr>
        <w:t xml:space="preserve">by the defendant </w:t>
      </w:r>
      <w:r w:rsidR="005A71CF">
        <w:rPr>
          <w:rFonts w:ascii="Arial" w:hAnsi="Arial" w:cs="Arial"/>
          <w:sz w:val="24"/>
          <w:szCs w:val="24"/>
        </w:rPr>
        <w:t xml:space="preserve">as to why the application for further and specific discovery was only raised for the first time </w:t>
      </w:r>
      <w:r w:rsidR="00EC6F2C" w:rsidRPr="00CA212B">
        <w:rPr>
          <w:rFonts w:ascii="Arial" w:hAnsi="Arial" w:cs="Arial"/>
          <w:sz w:val="24"/>
          <w:szCs w:val="24"/>
        </w:rPr>
        <w:t>on</w:t>
      </w:r>
      <w:r w:rsidR="00EC6F2C">
        <w:rPr>
          <w:rFonts w:ascii="Arial" w:hAnsi="Arial" w:cs="Arial"/>
          <w:color w:val="FF0000"/>
          <w:sz w:val="24"/>
          <w:szCs w:val="24"/>
        </w:rPr>
        <w:t xml:space="preserve"> </w:t>
      </w:r>
      <w:r w:rsidR="005A71CF">
        <w:rPr>
          <w:rFonts w:ascii="Arial" w:hAnsi="Arial" w:cs="Arial"/>
          <w:sz w:val="24"/>
          <w:szCs w:val="24"/>
        </w:rPr>
        <w:t xml:space="preserve">1 June 2020, </w:t>
      </w:r>
      <w:r w:rsidR="0048458A">
        <w:rPr>
          <w:rFonts w:ascii="Arial" w:hAnsi="Arial" w:cs="Arial"/>
          <w:sz w:val="24"/>
          <w:szCs w:val="24"/>
        </w:rPr>
        <w:t xml:space="preserve">in spite of the fact that the discovery process had to be concluded at the end of phase 2 (case management conference). </w:t>
      </w:r>
    </w:p>
    <w:p w:rsidR="0048458A" w:rsidRDefault="0048458A" w:rsidP="00FD61F8">
      <w:pPr>
        <w:spacing w:after="0" w:line="360" w:lineRule="auto"/>
        <w:jc w:val="both"/>
        <w:rPr>
          <w:rFonts w:ascii="Arial" w:hAnsi="Arial" w:cs="Arial"/>
          <w:sz w:val="24"/>
          <w:szCs w:val="24"/>
        </w:rPr>
      </w:pPr>
    </w:p>
    <w:p w:rsidR="0048458A" w:rsidRDefault="0048458A"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96</w:t>
      </w:r>
      <w:r>
        <w:rPr>
          <w:rFonts w:ascii="Arial" w:hAnsi="Arial" w:cs="Arial"/>
          <w:sz w:val="24"/>
          <w:szCs w:val="24"/>
        </w:rPr>
        <w:t>]</w:t>
      </w:r>
      <w:r>
        <w:rPr>
          <w:rFonts w:ascii="Arial" w:hAnsi="Arial" w:cs="Arial"/>
          <w:sz w:val="24"/>
          <w:szCs w:val="24"/>
        </w:rPr>
        <w:tab/>
        <w:t>The Hono</w:t>
      </w:r>
      <w:r w:rsidR="0055465D">
        <w:rPr>
          <w:rFonts w:ascii="Arial" w:hAnsi="Arial" w:cs="Arial"/>
          <w:sz w:val="24"/>
          <w:szCs w:val="24"/>
        </w:rPr>
        <w:t>u</w:t>
      </w:r>
      <w:r>
        <w:rPr>
          <w:rFonts w:ascii="Arial" w:hAnsi="Arial" w:cs="Arial"/>
          <w:sz w:val="24"/>
          <w:szCs w:val="24"/>
        </w:rPr>
        <w:t>rable Judge President referred to the period between the case management conference and the pre-trial conference as phase 3 which should be devoted to ridding the case of all unresolved issues before the pre-trial conference takes place. He refers to it as the ‘trouble-shooting phase</w:t>
      </w:r>
      <w:r w:rsidR="0040656B">
        <w:rPr>
          <w:rFonts w:ascii="Arial" w:hAnsi="Arial" w:cs="Arial"/>
          <w:sz w:val="24"/>
          <w:szCs w:val="24"/>
        </w:rPr>
        <w:t>’</w:t>
      </w:r>
      <w:r>
        <w:rPr>
          <w:rFonts w:ascii="Arial" w:hAnsi="Arial" w:cs="Arial"/>
          <w:sz w:val="24"/>
          <w:szCs w:val="24"/>
        </w:rPr>
        <w:t xml:space="preserve">. </w:t>
      </w:r>
    </w:p>
    <w:p w:rsidR="0040656B" w:rsidRDefault="0040656B" w:rsidP="00FD61F8">
      <w:pPr>
        <w:spacing w:after="0" w:line="360" w:lineRule="auto"/>
        <w:jc w:val="both"/>
        <w:rPr>
          <w:rFonts w:ascii="Arial" w:hAnsi="Arial" w:cs="Arial"/>
          <w:sz w:val="24"/>
          <w:szCs w:val="24"/>
        </w:rPr>
      </w:pPr>
    </w:p>
    <w:p w:rsidR="0040656B" w:rsidRDefault="0040656B"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97</w:t>
      </w:r>
      <w:r>
        <w:rPr>
          <w:rFonts w:ascii="Arial" w:hAnsi="Arial" w:cs="Arial"/>
          <w:sz w:val="24"/>
          <w:szCs w:val="24"/>
        </w:rPr>
        <w:t>]</w:t>
      </w:r>
      <w:r>
        <w:rPr>
          <w:rFonts w:ascii="Arial" w:hAnsi="Arial" w:cs="Arial"/>
          <w:sz w:val="24"/>
          <w:szCs w:val="24"/>
        </w:rPr>
        <w:tab/>
        <w:t>In para 8-031 the learned Judge President describes phase 3 as follows:</w:t>
      </w:r>
    </w:p>
    <w:p w:rsidR="00EC6F2C" w:rsidRDefault="00EC6F2C" w:rsidP="00FD61F8">
      <w:pPr>
        <w:spacing w:after="0" w:line="360" w:lineRule="auto"/>
        <w:jc w:val="both"/>
        <w:rPr>
          <w:rFonts w:ascii="Arial" w:hAnsi="Arial" w:cs="Arial"/>
          <w:sz w:val="24"/>
          <w:szCs w:val="24"/>
        </w:rPr>
      </w:pPr>
    </w:p>
    <w:p w:rsidR="0040656B" w:rsidRPr="0040656B" w:rsidRDefault="0040656B" w:rsidP="00FD61F8">
      <w:pPr>
        <w:spacing w:after="0" w:line="360" w:lineRule="auto"/>
        <w:jc w:val="both"/>
        <w:rPr>
          <w:rFonts w:ascii="Arial" w:hAnsi="Arial" w:cs="Arial"/>
        </w:rPr>
      </w:pPr>
      <w:r>
        <w:rPr>
          <w:rFonts w:ascii="Arial" w:hAnsi="Arial" w:cs="Arial"/>
          <w:sz w:val="24"/>
          <w:szCs w:val="24"/>
        </w:rPr>
        <w:tab/>
      </w:r>
      <w:r w:rsidRPr="0040656B">
        <w:rPr>
          <w:rFonts w:ascii="Arial" w:hAnsi="Arial" w:cs="Arial"/>
        </w:rPr>
        <w:t>‘</w:t>
      </w:r>
      <w:r w:rsidRPr="0040656B">
        <w:rPr>
          <w:rFonts w:ascii="Arial" w:hAnsi="Arial" w:cs="Arial"/>
          <w:b/>
        </w:rPr>
        <w:t>Objective</w:t>
      </w:r>
      <w:r w:rsidRPr="0040656B">
        <w:rPr>
          <w:rFonts w:ascii="Arial" w:hAnsi="Arial" w:cs="Arial"/>
        </w:rPr>
        <w:t>: The objective of phase 3 is to ensure that all outstanding matters which may compromise the trial dates when granted are resolved and to clearly define what is genuinely in dispute between the parties.</w:t>
      </w:r>
    </w:p>
    <w:p w:rsidR="0040656B" w:rsidRPr="00104C44" w:rsidRDefault="0040656B" w:rsidP="00FD61F8">
      <w:pPr>
        <w:spacing w:after="0" w:line="360" w:lineRule="auto"/>
        <w:jc w:val="both"/>
        <w:rPr>
          <w:rFonts w:ascii="Arial" w:hAnsi="Arial" w:cs="Arial"/>
        </w:rPr>
      </w:pPr>
      <w:r w:rsidRPr="0040656B">
        <w:rPr>
          <w:rFonts w:ascii="Arial" w:hAnsi="Arial" w:cs="Arial"/>
        </w:rPr>
        <w:tab/>
      </w:r>
      <w:r w:rsidRPr="0040656B">
        <w:rPr>
          <w:rFonts w:ascii="Arial" w:hAnsi="Arial" w:cs="Arial"/>
          <w:b/>
        </w:rPr>
        <w:t>Expected outcome</w:t>
      </w:r>
      <w:r w:rsidRPr="0040656B">
        <w:rPr>
          <w:rFonts w:ascii="Arial" w:hAnsi="Arial" w:cs="Arial"/>
        </w:rPr>
        <w:t xml:space="preserve">: Phase 3 must culminate in clearing all outstanding and unresolved issues and presenting the managing judge with a list of factual and legal issues </w:t>
      </w:r>
      <w:r w:rsidRPr="00104C44">
        <w:rPr>
          <w:rFonts w:ascii="Arial" w:hAnsi="Arial" w:cs="Arial"/>
        </w:rPr>
        <w:lastRenderedPageBreak/>
        <w:t xml:space="preserve">which are genuinely in dispute and a list of those material facts which are not disputed and do not </w:t>
      </w:r>
      <w:r w:rsidR="00CA212B" w:rsidRPr="00104C44">
        <w:rPr>
          <w:rFonts w:ascii="Arial" w:hAnsi="Arial" w:cs="Arial"/>
        </w:rPr>
        <w:t>require</w:t>
      </w:r>
      <w:r w:rsidR="00A860B0" w:rsidRPr="00104C44">
        <w:rPr>
          <w:rFonts w:ascii="Arial" w:hAnsi="Arial" w:cs="Arial"/>
        </w:rPr>
        <w:t xml:space="preserve"> </w:t>
      </w:r>
      <w:r w:rsidRPr="00104C44">
        <w:rPr>
          <w:rFonts w:ascii="Arial" w:hAnsi="Arial" w:cs="Arial"/>
        </w:rPr>
        <w:t xml:space="preserve">specific proof at trial.’ </w:t>
      </w:r>
    </w:p>
    <w:p w:rsidR="0040656B" w:rsidRPr="00104C44" w:rsidRDefault="0040656B" w:rsidP="00FD61F8">
      <w:pPr>
        <w:spacing w:after="0" w:line="360" w:lineRule="auto"/>
        <w:jc w:val="both"/>
        <w:rPr>
          <w:rFonts w:ascii="Arial" w:hAnsi="Arial" w:cs="Arial"/>
          <w:sz w:val="24"/>
          <w:szCs w:val="24"/>
        </w:rPr>
      </w:pPr>
    </w:p>
    <w:p w:rsidR="00A00D49" w:rsidRDefault="00F17E63" w:rsidP="00FD61F8">
      <w:pPr>
        <w:spacing w:after="0" w:line="360" w:lineRule="auto"/>
        <w:jc w:val="both"/>
        <w:rPr>
          <w:rFonts w:ascii="Arial" w:hAnsi="Arial" w:cs="Arial"/>
          <w:sz w:val="24"/>
          <w:szCs w:val="24"/>
        </w:rPr>
      </w:pPr>
      <w:r>
        <w:rPr>
          <w:rFonts w:ascii="Arial" w:hAnsi="Arial" w:cs="Arial"/>
          <w:sz w:val="24"/>
          <w:szCs w:val="24"/>
        </w:rPr>
        <w:t>[98</w:t>
      </w:r>
      <w:r w:rsidR="00AD139F">
        <w:rPr>
          <w:rFonts w:ascii="Arial" w:hAnsi="Arial" w:cs="Arial"/>
          <w:sz w:val="24"/>
          <w:szCs w:val="24"/>
        </w:rPr>
        <w:t>]</w:t>
      </w:r>
      <w:r w:rsidR="00AD139F">
        <w:rPr>
          <w:rFonts w:ascii="Arial" w:hAnsi="Arial" w:cs="Arial"/>
          <w:sz w:val="24"/>
          <w:szCs w:val="24"/>
        </w:rPr>
        <w:tab/>
      </w:r>
      <w:r w:rsidR="00E71DF4">
        <w:rPr>
          <w:rFonts w:ascii="Arial" w:hAnsi="Arial" w:cs="Arial"/>
          <w:sz w:val="24"/>
          <w:szCs w:val="24"/>
        </w:rPr>
        <w:t xml:space="preserve">The defendant had </w:t>
      </w:r>
      <w:r w:rsidR="00001FD8" w:rsidRPr="00CA212B">
        <w:rPr>
          <w:rFonts w:ascii="Arial" w:hAnsi="Arial" w:cs="Arial"/>
          <w:sz w:val="24"/>
          <w:szCs w:val="24"/>
        </w:rPr>
        <w:t xml:space="preserve">an opportunity for </w:t>
      </w:r>
      <w:r w:rsidR="00E71DF4">
        <w:rPr>
          <w:rFonts w:ascii="Arial" w:hAnsi="Arial" w:cs="Arial"/>
          <w:sz w:val="24"/>
          <w:szCs w:val="24"/>
        </w:rPr>
        <w:t>a second bite to the cherry in phase 3, the period between the case management conference and the pre-trial conference</w:t>
      </w:r>
      <w:r w:rsidR="00D50B95">
        <w:rPr>
          <w:rFonts w:ascii="Arial" w:hAnsi="Arial" w:cs="Arial"/>
          <w:sz w:val="24"/>
          <w:szCs w:val="24"/>
        </w:rPr>
        <w:t>,</w:t>
      </w:r>
      <w:r w:rsidR="00E71DF4">
        <w:rPr>
          <w:rFonts w:ascii="Arial" w:hAnsi="Arial" w:cs="Arial"/>
          <w:sz w:val="24"/>
          <w:szCs w:val="24"/>
        </w:rPr>
        <w:t xml:space="preserve"> to resolve the issue of further discovery but failed to do so. </w:t>
      </w:r>
      <w:r w:rsidR="00D50B95">
        <w:rPr>
          <w:rFonts w:ascii="Arial" w:hAnsi="Arial" w:cs="Arial"/>
          <w:sz w:val="24"/>
          <w:szCs w:val="24"/>
        </w:rPr>
        <w:t xml:space="preserve">The joint pre-trial order also failed to make provision for </w:t>
      </w:r>
      <w:r w:rsidR="00A00D49">
        <w:rPr>
          <w:rFonts w:ascii="Arial" w:hAnsi="Arial" w:cs="Arial"/>
          <w:sz w:val="24"/>
          <w:szCs w:val="24"/>
        </w:rPr>
        <w:t>trial particulars in terms of rule 26(6</w:t>
      </w:r>
      <w:r w:rsidR="00A860B0">
        <w:rPr>
          <w:rFonts w:ascii="Arial" w:hAnsi="Arial" w:cs="Arial"/>
          <w:sz w:val="24"/>
          <w:szCs w:val="24"/>
        </w:rPr>
        <w:t>) (</w:t>
      </w:r>
      <w:r w:rsidR="00A00D49">
        <w:rPr>
          <w:rFonts w:ascii="Arial" w:hAnsi="Arial" w:cs="Arial"/>
          <w:sz w:val="24"/>
          <w:szCs w:val="24"/>
        </w:rPr>
        <w:t>l)</w:t>
      </w:r>
      <w:r w:rsidR="009058AD">
        <w:rPr>
          <w:rFonts w:ascii="Arial" w:hAnsi="Arial" w:cs="Arial"/>
          <w:sz w:val="24"/>
          <w:szCs w:val="24"/>
        </w:rPr>
        <w:t>.</w:t>
      </w:r>
      <w:r w:rsidR="00A00D49">
        <w:rPr>
          <w:rStyle w:val="FootnoteReference"/>
          <w:rFonts w:ascii="Arial" w:hAnsi="Arial" w:cs="Arial"/>
          <w:sz w:val="24"/>
          <w:szCs w:val="24"/>
        </w:rPr>
        <w:footnoteReference w:id="35"/>
      </w:r>
      <w:r w:rsidR="00D50B95">
        <w:rPr>
          <w:rFonts w:ascii="Arial" w:hAnsi="Arial" w:cs="Arial"/>
          <w:sz w:val="24"/>
          <w:szCs w:val="24"/>
        </w:rPr>
        <w:t xml:space="preserve"> </w:t>
      </w:r>
    </w:p>
    <w:p w:rsidR="00D50B95" w:rsidRDefault="00D50B95" w:rsidP="00FD61F8">
      <w:pPr>
        <w:spacing w:after="0" w:line="360" w:lineRule="auto"/>
        <w:jc w:val="both"/>
        <w:rPr>
          <w:rFonts w:ascii="Arial" w:hAnsi="Arial" w:cs="Arial"/>
          <w:sz w:val="24"/>
          <w:szCs w:val="24"/>
        </w:rPr>
      </w:pPr>
    </w:p>
    <w:p w:rsidR="0048458A" w:rsidRDefault="00D34BF2"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99</w:t>
      </w:r>
      <w:r>
        <w:rPr>
          <w:rFonts w:ascii="Arial" w:hAnsi="Arial" w:cs="Arial"/>
          <w:sz w:val="24"/>
          <w:szCs w:val="24"/>
        </w:rPr>
        <w:t>]</w:t>
      </w:r>
      <w:r>
        <w:rPr>
          <w:rFonts w:ascii="Arial" w:hAnsi="Arial" w:cs="Arial"/>
          <w:sz w:val="24"/>
          <w:szCs w:val="24"/>
        </w:rPr>
        <w:tab/>
      </w:r>
      <w:r w:rsidR="00F17E63">
        <w:rPr>
          <w:rFonts w:ascii="Arial" w:hAnsi="Arial" w:cs="Arial"/>
          <w:sz w:val="24"/>
          <w:szCs w:val="24"/>
        </w:rPr>
        <w:t>There was</w:t>
      </w:r>
      <w:r w:rsidR="00E71DF4">
        <w:rPr>
          <w:rFonts w:ascii="Arial" w:hAnsi="Arial" w:cs="Arial"/>
          <w:sz w:val="24"/>
          <w:szCs w:val="24"/>
        </w:rPr>
        <w:t xml:space="preserve"> no change in the position of the case from 12 February 2020 when the matter was allocated a hearing date until 1 June 2020 when the pre-trial status hearing was held</w:t>
      </w:r>
      <w:r w:rsidR="006E5E57">
        <w:rPr>
          <w:rFonts w:ascii="Arial" w:hAnsi="Arial" w:cs="Arial"/>
          <w:sz w:val="24"/>
          <w:szCs w:val="24"/>
        </w:rPr>
        <w:t xml:space="preserve"> and where the issue of further and specific </w:t>
      </w:r>
      <w:r w:rsidR="00446ED4" w:rsidRPr="00CA212B">
        <w:rPr>
          <w:rFonts w:ascii="Arial" w:hAnsi="Arial" w:cs="Arial"/>
          <w:sz w:val="24"/>
          <w:szCs w:val="24"/>
        </w:rPr>
        <w:t>discovery</w:t>
      </w:r>
      <w:r w:rsidR="00446ED4">
        <w:rPr>
          <w:rFonts w:ascii="Arial" w:hAnsi="Arial" w:cs="Arial"/>
          <w:color w:val="FF0000"/>
          <w:sz w:val="24"/>
          <w:szCs w:val="24"/>
        </w:rPr>
        <w:t xml:space="preserve"> </w:t>
      </w:r>
      <w:r w:rsidR="006E5E57">
        <w:rPr>
          <w:rFonts w:ascii="Arial" w:hAnsi="Arial" w:cs="Arial"/>
          <w:sz w:val="24"/>
          <w:szCs w:val="24"/>
        </w:rPr>
        <w:t xml:space="preserve">was raised </w:t>
      </w:r>
      <w:r w:rsidR="008D4CE5">
        <w:rPr>
          <w:rFonts w:ascii="Arial" w:hAnsi="Arial" w:cs="Arial"/>
          <w:sz w:val="24"/>
          <w:szCs w:val="24"/>
        </w:rPr>
        <w:t>for the first time</w:t>
      </w:r>
      <w:r w:rsidR="006E5E57">
        <w:rPr>
          <w:rFonts w:ascii="Arial" w:hAnsi="Arial" w:cs="Arial"/>
          <w:sz w:val="24"/>
          <w:szCs w:val="24"/>
        </w:rPr>
        <w:t xml:space="preserve">. The defendant had months to prepare for the trial in this matter and I find it hard to </w:t>
      </w:r>
      <w:r w:rsidR="00446ED4" w:rsidRPr="00CA212B">
        <w:rPr>
          <w:rFonts w:ascii="Arial" w:hAnsi="Arial" w:cs="Arial"/>
          <w:sz w:val="24"/>
          <w:szCs w:val="24"/>
        </w:rPr>
        <w:t>believe</w:t>
      </w:r>
      <w:r w:rsidR="00446ED4">
        <w:rPr>
          <w:rFonts w:ascii="Arial" w:hAnsi="Arial" w:cs="Arial"/>
          <w:color w:val="FF0000"/>
          <w:sz w:val="24"/>
          <w:szCs w:val="24"/>
        </w:rPr>
        <w:t xml:space="preserve"> </w:t>
      </w:r>
      <w:r w:rsidR="006E5E57">
        <w:rPr>
          <w:rFonts w:ascii="Arial" w:hAnsi="Arial" w:cs="Arial"/>
          <w:sz w:val="24"/>
          <w:szCs w:val="24"/>
        </w:rPr>
        <w:t xml:space="preserve">that the issue of further discovery </w:t>
      </w:r>
      <w:r w:rsidR="006E5E57" w:rsidRPr="00CA212B">
        <w:rPr>
          <w:rFonts w:ascii="Arial" w:hAnsi="Arial" w:cs="Arial"/>
          <w:sz w:val="24"/>
          <w:szCs w:val="24"/>
        </w:rPr>
        <w:t xml:space="preserve">only </w:t>
      </w:r>
      <w:r w:rsidR="00446ED4" w:rsidRPr="00CA212B">
        <w:rPr>
          <w:rFonts w:ascii="Arial" w:hAnsi="Arial" w:cs="Arial"/>
          <w:sz w:val="24"/>
          <w:szCs w:val="24"/>
        </w:rPr>
        <w:t>rose</w:t>
      </w:r>
      <w:r w:rsidR="006E5E57" w:rsidRPr="00CA212B">
        <w:rPr>
          <w:rFonts w:ascii="Arial" w:hAnsi="Arial" w:cs="Arial"/>
          <w:sz w:val="24"/>
          <w:szCs w:val="24"/>
        </w:rPr>
        <w:t xml:space="preserve"> two </w:t>
      </w:r>
      <w:r w:rsidR="006E5E57">
        <w:rPr>
          <w:rFonts w:ascii="Arial" w:hAnsi="Arial" w:cs="Arial"/>
          <w:sz w:val="24"/>
          <w:szCs w:val="24"/>
        </w:rPr>
        <w:t>weeks before the trial date</w:t>
      </w:r>
      <w:r w:rsidR="00E71DF4">
        <w:rPr>
          <w:rFonts w:ascii="Arial" w:hAnsi="Arial" w:cs="Arial"/>
          <w:sz w:val="24"/>
          <w:szCs w:val="24"/>
        </w:rPr>
        <w:t xml:space="preserve">. </w:t>
      </w:r>
    </w:p>
    <w:p w:rsidR="00E71DF4" w:rsidRDefault="00E71DF4" w:rsidP="00FD61F8">
      <w:pPr>
        <w:spacing w:after="0" w:line="360" w:lineRule="auto"/>
        <w:jc w:val="both"/>
        <w:rPr>
          <w:rFonts w:ascii="Arial" w:hAnsi="Arial" w:cs="Arial"/>
          <w:sz w:val="24"/>
          <w:szCs w:val="24"/>
        </w:rPr>
      </w:pPr>
    </w:p>
    <w:p w:rsidR="00D435CC" w:rsidRDefault="006E5E57" w:rsidP="00FD61F8">
      <w:pPr>
        <w:spacing w:after="0" w:line="360" w:lineRule="auto"/>
        <w:jc w:val="both"/>
        <w:rPr>
          <w:rFonts w:ascii="Arial" w:hAnsi="Arial" w:cs="Arial"/>
          <w:sz w:val="24"/>
          <w:szCs w:val="24"/>
        </w:rPr>
      </w:pPr>
      <w:r>
        <w:rPr>
          <w:rFonts w:ascii="Arial" w:hAnsi="Arial" w:cs="Arial"/>
          <w:sz w:val="24"/>
          <w:szCs w:val="24"/>
        </w:rPr>
        <w:t>[</w:t>
      </w:r>
      <w:r w:rsidR="00F17E63">
        <w:rPr>
          <w:rFonts w:ascii="Arial" w:hAnsi="Arial" w:cs="Arial"/>
          <w:sz w:val="24"/>
          <w:szCs w:val="24"/>
        </w:rPr>
        <w:t>100</w:t>
      </w:r>
      <w:r>
        <w:rPr>
          <w:rFonts w:ascii="Arial" w:hAnsi="Arial" w:cs="Arial"/>
          <w:sz w:val="24"/>
          <w:szCs w:val="24"/>
        </w:rPr>
        <w:t>]</w:t>
      </w:r>
      <w:r>
        <w:rPr>
          <w:rFonts w:ascii="Arial" w:hAnsi="Arial" w:cs="Arial"/>
          <w:sz w:val="24"/>
          <w:szCs w:val="24"/>
        </w:rPr>
        <w:tab/>
      </w:r>
      <w:r w:rsidR="00697AA2">
        <w:rPr>
          <w:rFonts w:ascii="Arial" w:hAnsi="Arial" w:cs="Arial"/>
          <w:sz w:val="24"/>
          <w:szCs w:val="24"/>
        </w:rPr>
        <w:t xml:space="preserve">What is utterly disturbing is the defendant’s attitude that it can </w:t>
      </w:r>
      <w:r w:rsidR="008D4CE5">
        <w:rPr>
          <w:rFonts w:ascii="Arial" w:hAnsi="Arial" w:cs="Arial"/>
          <w:sz w:val="24"/>
          <w:szCs w:val="24"/>
        </w:rPr>
        <w:t>flout</w:t>
      </w:r>
      <w:r w:rsidR="00697AA2">
        <w:rPr>
          <w:rFonts w:ascii="Arial" w:hAnsi="Arial" w:cs="Arial"/>
          <w:sz w:val="24"/>
          <w:szCs w:val="24"/>
        </w:rPr>
        <w:t xml:space="preserve"> the judicial case management process specifically with regards to rule 28 and opportunistically want the court, on the first day of trial </w:t>
      </w:r>
      <w:r w:rsidR="00ED7EE4">
        <w:rPr>
          <w:rFonts w:ascii="Arial" w:hAnsi="Arial" w:cs="Arial"/>
          <w:sz w:val="24"/>
          <w:szCs w:val="24"/>
        </w:rPr>
        <w:t>vary procedures in term</w:t>
      </w:r>
      <w:r w:rsidR="00F17E63">
        <w:rPr>
          <w:rFonts w:ascii="Arial" w:hAnsi="Arial" w:cs="Arial"/>
          <w:sz w:val="24"/>
          <w:szCs w:val="24"/>
        </w:rPr>
        <w:t>s of rule 101(1) to encompass</w:t>
      </w:r>
      <w:r w:rsidR="00ED7EE4">
        <w:rPr>
          <w:rFonts w:ascii="Arial" w:hAnsi="Arial" w:cs="Arial"/>
          <w:sz w:val="24"/>
          <w:szCs w:val="24"/>
        </w:rPr>
        <w:t xml:space="preserve"> an interlocutory proceeding that should have been dealt with already at the latest by the third phase of the judicial case management process. </w:t>
      </w:r>
    </w:p>
    <w:p w:rsidR="0056465D" w:rsidRDefault="0056465D" w:rsidP="00FD61F8">
      <w:pPr>
        <w:pStyle w:val="western"/>
        <w:shd w:val="clear" w:color="auto" w:fill="FFFFFF"/>
        <w:spacing w:before="0" w:beforeAutospacing="0" w:after="0" w:afterAutospacing="0" w:line="360" w:lineRule="auto"/>
        <w:jc w:val="both"/>
        <w:rPr>
          <w:rFonts w:ascii="Arial" w:hAnsi="Arial" w:cs="Arial"/>
        </w:rPr>
      </w:pPr>
    </w:p>
    <w:p w:rsidR="00446ED4" w:rsidRPr="00446ED4" w:rsidRDefault="0056465D" w:rsidP="00FD61F8">
      <w:pPr>
        <w:pStyle w:val="western"/>
        <w:shd w:val="clear" w:color="auto" w:fill="FFFFFF"/>
        <w:spacing w:before="0" w:beforeAutospacing="0" w:after="0" w:afterAutospacing="0" w:line="360" w:lineRule="auto"/>
        <w:jc w:val="both"/>
        <w:rPr>
          <w:rFonts w:ascii="Arial" w:hAnsi="Arial" w:cs="Arial"/>
          <w:u w:val="single"/>
        </w:rPr>
      </w:pPr>
      <w:r w:rsidRPr="00446ED4">
        <w:rPr>
          <w:rFonts w:ascii="Arial" w:hAnsi="Arial" w:cs="Arial"/>
          <w:u w:val="single"/>
        </w:rPr>
        <w:t>Costs</w:t>
      </w:r>
    </w:p>
    <w:p w:rsidR="00446ED4" w:rsidRDefault="00446ED4" w:rsidP="00FD61F8">
      <w:pPr>
        <w:pStyle w:val="western"/>
        <w:shd w:val="clear" w:color="auto" w:fill="FFFFFF"/>
        <w:spacing w:before="0" w:beforeAutospacing="0" w:after="0" w:afterAutospacing="0" w:line="360" w:lineRule="auto"/>
        <w:jc w:val="both"/>
        <w:rPr>
          <w:rFonts w:ascii="Arial" w:hAnsi="Arial" w:cs="Arial"/>
        </w:rPr>
      </w:pPr>
    </w:p>
    <w:p w:rsidR="005617D2" w:rsidRDefault="00D56527"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F17E63">
        <w:rPr>
          <w:rFonts w:ascii="Arial" w:hAnsi="Arial" w:cs="Arial"/>
        </w:rPr>
        <w:t>101</w:t>
      </w:r>
      <w:r>
        <w:rPr>
          <w:rFonts w:ascii="Arial" w:hAnsi="Arial" w:cs="Arial"/>
        </w:rPr>
        <w:t>]</w:t>
      </w:r>
      <w:r>
        <w:rPr>
          <w:rFonts w:ascii="Arial" w:hAnsi="Arial" w:cs="Arial"/>
        </w:rPr>
        <w:tab/>
      </w:r>
      <w:proofErr w:type="gramStart"/>
      <w:r w:rsidR="00FC336F">
        <w:rPr>
          <w:rFonts w:ascii="Arial" w:hAnsi="Arial" w:cs="Arial"/>
        </w:rPr>
        <w:t>The</w:t>
      </w:r>
      <w:proofErr w:type="gramEnd"/>
      <w:r w:rsidR="00FC336F">
        <w:rPr>
          <w:rFonts w:ascii="Arial" w:hAnsi="Arial" w:cs="Arial"/>
        </w:rPr>
        <w:t xml:space="preserve"> last issue that I need to touch on is the issue of costs. </w:t>
      </w:r>
    </w:p>
    <w:p w:rsidR="00FC336F" w:rsidRDefault="00FC336F" w:rsidP="00FD61F8">
      <w:pPr>
        <w:pStyle w:val="western"/>
        <w:shd w:val="clear" w:color="auto" w:fill="FFFFFF"/>
        <w:spacing w:before="0" w:beforeAutospacing="0" w:after="0" w:afterAutospacing="0" w:line="360" w:lineRule="auto"/>
        <w:jc w:val="both"/>
        <w:rPr>
          <w:rFonts w:ascii="Arial" w:hAnsi="Arial" w:cs="Arial"/>
        </w:rPr>
      </w:pPr>
    </w:p>
    <w:p w:rsidR="00FC336F" w:rsidRDefault="00FC336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102</w:t>
      </w:r>
      <w:r>
        <w:rPr>
          <w:rFonts w:ascii="Arial" w:hAnsi="Arial" w:cs="Arial"/>
        </w:rPr>
        <w:t>]</w:t>
      </w:r>
      <w:r>
        <w:rPr>
          <w:rFonts w:ascii="Arial" w:hAnsi="Arial" w:cs="Arial"/>
        </w:rPr>
        <w:tab/>
      </w:r>
      <w:proofErr w:type="gramStart"/>
      <w:r>
        <w:rPr>
          <w:rFonts w:ascii="Arial" w:hAnsi="Arial" w:cs="Arial"/>
        </w:rPr>
        <w:t>It</w:t>
      </w:r>
      <w:proofErr w:type="gramEnd"/>
      <w:r>
        <w:rPr>
          <w:rFonts w:ascii="Arial" w:hAnsi="Arial" w:cs="Arial"/>
        </w:rPr>
        <w:t xml:space="preserve"> would be clear from my extensive discussion of the facts of this matter that the case was set down for trial </w:t>
      </w:r>
      <w:r w:rsidR="005E6455" w:rsidRPr="000D1B53">
        <w:rPr>
          <w:rFonts w:ascii="Arial" w:hAnsi="Arial" w:cs="Arial"/>
        </w:rPr>
        <w:t xml:space="preserve">which was </w:t>
      </w:r>
      <w:r>
        <w:rPr>
          <w:rFonts w:ascii="Arial" w:hAnsi="Arial" w:cs="Arial"/>
        </w:rPr>
        <w:t xml:space="preserve">scheduled to commence on 15 June 2020 and on the morning of the trial this application was launched. </w:t>
      </w:r>
    </w:p>
    <w:p w:rsidR="005F70CE" w:rsidRDefault="005F70CE" w:rsidP="00FD61F8">
      <w:pPr>
        <w:pStyle w:val="western"/>
        <w:shd w:val="clear" w:color="auto" w:fill="FFFFFF"/>
        <w:spacing w:before="0" w:beforeAutospacing="0" w:after="0" w:afterAutospacing="0" w:line="360" w:lineRule="auto"/>
        <w:jc w:val="both"/>
        <w:rPr>
          <w:rFonts w:ascii="Arial" w:hAnsi="Arial" w:cs="Arial"/>
        </w:rPr>
      </w:pPr>
    </w:p>
    <w:p w:rsidR="00FB3645" w:rsidRDefault="00FC336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103</w:t>
      </w:r>
      <w:r>
        <w:rPr>
          <w:rFonts w:ascii="Arial" w:hAnsi="Arial" w:cs="Arial"/>
        </w:rPr>
        <w:t>]</w:t>
      </w:r>
      <w:r>
        <w:rPr>
          <w:rFonts w:ascii="Arial" w:hAnsi="Arial" w:cs="Arial"/>
        </w:rPr>
        <w:tab/>
        <w:t xml:space="preserve">I have noted that there is a disturbing trend of legal practitioners launching interlocutory applications on the morning of the trial. This inevitably result in the </w:t>
      </w:r>
      <w:r>
        <w:rPr>
          <w:rFonts w:ascii="Arial" w:hAnsi="Arial" w:cs="Arial"/>
        </w:rPr>
        <w:lastRenderedPageBreak/>
        <w:t>exchange of papers and hearing of the interlocutory application</w:t>
      </w:r>
      <w:r w:rsidR="00DA3DA0">
        <w:rPr>
          <w:rFonts w:ascii="Arial" w:hAnsi="Arial" w:cs="Arial"/>
        </w:rPr>
        <w:t>,</w:t>
      </w:r>
      <w:r>
        <w:rPr>
          <w:rFonts w:ascii="Arial" w:hAnsi="Arial" w:cs="Arial"/>
        </w:rPr>
        <w:t xml:space="preserve"> </w:t>
      </w:r>
      <w:r w:rsidR="00FB3645">
        <w:rPr>
          <w:rFonts w:ascii="Arial" w:hAnsi="Arial" w:cs="Arial"/>
        </w:rPr>
        <w:t xml:space="preserve">and depending on the nature of the application the week will be over by the time the application is heard. </w:t>
      </w:r>
    </w:p>
    <w:p w:rsidR="005F70CE" w:rsidRDefault="005F70CE" w:rsidP="00FD61F8">
      <w:pPr>
        <w:pStyle w:val="western"/>
        <w:shd w:val="clear" w:color="auto" w:fill="FFFFFF"/>
        <w:spacing w:before="0" w:beforeAutospacing="0" w:after="0" w:afterAutospacing="0" w:line="360" w:lineRule="auto"/>
        <w:jc w:val="both"/>
        <w:rPr>
          <w:rFonts w:ascii="Arial" w:hAnsi="Arial" w:cs="Arial"/>
        </w:rPr>
      </w:pPr>
    </w:p>
    <w:p w:rsidR="00FB3645" w:rsidRDefault="00D56527"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104</w:t>
      </w:r>
      <w:r>
        <w:rPr>
          <w:rFonts w:ascii="Arial" w:hAnsi="Arial" w:cs="Arial"/>
        </w:rPr>
        <w:t>]</w:t>
      </w:r>
      <w:r>
        <w:rPr>
          <w:rFonts w:ascii="Arial" w:hAnsi="Arial" w:cs="Arial"/>
        </w:rPr>
        <w:tab/>
      </w:r>
      <w:proofErr w:type="gramStart"/>
      <w:r w:rsidR="005F70CE">
        <w:rPr>
          <w:rFonts w:ascii="Arial" w:hAnsi="Arial" w:cs="Arial"/>
        </w:rPr>
        <w:t>This</w:t>
      </w:r>
      <w:proofErr w:type="gramEnd"/>
      <w:r w:rsidR="005F70CE">
        <w:rPr>
          <w:rFonts w:ascii="Arial" w:hAnsi="Arial" w:cs="Arial"/>
        </w:rPr>
        <w:t xml:space="preserve"> would result in </w:t>
      </w:r>
      <w:r w:rsidR="00FB3645">
        <w:rPr>
          <w:rFonts w:ascii="Arial" w:hAnsi="Arial" w:cs="Arial"/>
        </w:rPr>
        <w:t xml:space="preserve">the loss of a whole week reserved for trial for the specific matter, </w:t>
      </w:r>
      <w:r w:rsidR="005F70CE">
        <w:rPr>
          <w:rFonts w:ascii="Arial" w:hAnsi="Arial" w:cs="Arial"/>
        </w:rPr>
        <w:t>and as a consequent</w:t>
      </w:r>
      <w:r w:rsidR="00FB3645">
        <w:rPr>
          <w:rFonts w:ascii="Arial" w:hAnsi="Arial" w:cs="Arial"/>
        </w:rPr>
        <w:t xml:space="preserve"> the matter</w:t>
      </w:r>
      <w:r w:rsidR="005D55EB" w:rsidRPr="000D1B53">
        <w:rPr>
          <w:rFonts w:ascii="Arial" w:hAnsi="Arial" w:cs="Arial"/>
        </w:rPr>
        <w:t xml:space="preserve"> would</w:t>
      </w:r>
      <w:r w:rsidR="00FB3645" w:rsidRPr="000D1B53">
        <w:rPr>
          <w:rFonts w:ascii="Arial" w:hAnsi="Arial" w:cs="Arial"/>
        </w:rPr>
        <w:t xml:space="preserve"> </w:t>
      </w:r>
      <w:r w:rsidR="00FB3645">
        <w:rPr>
          <w:rFonts w:ascii="Arial" w:hAnsi="Arial" w:cs="Arial"/>
        </w:rPr>
        <w:t xml:space="preserve">need to be allocated a new trial date. A </w:t>
      </w:r>
      <w:r w:rsidR="00BF418F">
        <w:rPr>
          <w:rFonts w:ascii="Arial" w:hAnsi="Arial" w:cs="Arial"/>
        </w:rPr>
        <w:t xml:space="preserve">new </w:t>
      </w:r>
      <w:r w:rsidR="00FB3645">
        <w:rPr>
          <w:rFonts w:ascii="Arial" w:hAnsi="Arial" w:cs="Arial"/>
        </w:rPr>
        <w:t xml:space="preserve">trial date which is in short </w:t>
      </w:r>
      <w:r w:rsidR="00BF418F">
        <w:rPr>
          <w:rFonts w:ascii="Arial" w:hAnsi="Arial" w:cs="Arial"/>
        </w:rPr>
        <w:t>supply</w:t>
      </w:r>
      <w:r w:rsidR="00FB3645">
        <w:rPr>
          <w:rFonts w:ascii="Arial" w:hAnsi="Arial" w:cs="Arial"/>
        </w:rPr>
        <w:t xml:space="preserve"> I must add. </w:t>
      </w:r>
      <w:r w:rsidR="00BD287C">
        <w:rPr>
          <w:rFonts w:ascii="Arial" w:hAnsi="Arial" w:cs="Arial"/>
        </w:rPr>
        <w:t>Further</w:t>
      </w:r>
      <w:r w:rsidR="002A2A50">
        <w:rPr>
          <w:rFonts w:ascii="Arial" w:hAnsi="Arial" w:cs="Arial"/>
        </w:rPr>
        <w:t>,</w:t>
      </w:r>
      <w:r w:rsidR="00BD287C">
        <w:rPr>
          <w:rFonts w:ascii="Arial" w:hAnsi="Arial" w:cs="Arial"/>
        </w:rPr>
        <w:t xml:space="preserve"> </w:t>
      </w:r>
      <w:r w:rsidR="002279BE" w:rsidRPr="000D1B53">
        <w:rPr>
          <w:rFonts w:ascii="Arial" w:hAnsi="Arial" w:cs="Arial"/>
        </w:rPr>
        <w:t xml:space="preserve">one should </w:t>
      </w:r>
      <w:r w:rsidR="00BD287C">
        <w:rPr>
          <w:rFonts w:ascii="Arial" w:hAnsi="Arial" w:cs="Arial"/>
        </w:rPr>
        <w:t xml:space="preserve">bear in mind </w:t>
      </w:r>
      <w:r w:rsidR="002279BE" w:rsidRPr="000D1B53">
        <w:rPr>
          <w:rFonts w:ascii="Arial" w:hAnsi="Arial" w:cs="Arial"/>
        </w:rPr>
        <w:t>that</w:t>
      </w:r>
      <w:r w:rsidR="002279BE">
        <w:rPr>
          <w:rFonts w:ascii="Arial" w:hAnsi="Arial" w:cs="Arial"/>
          <w:color w:val="FF0000"/>
        </w:rPr>
        <w:t xml:space="preserve"> </w:t>
      </w:r>
      <w:r w:rsidR="00BD287C">
        <w:rPr>
          <w:rFonts w:ascii="Arial" w:hAnsi="Arial" w:cs="Arial"/>
        </w:rPr>
        <w:t>the trial date that was lost because of the interlocutory hearing w</w:t>
      </w:r>
      <w:r w:rsidR="005F70CE">
        <w:rPr>
          <w:rFonts w:ascii="Arial" w:hAnsi="Arial" w:cs="Arial"/>
        </w:rPr>
        <w:t>ould have been</w:t>
      </w:r>
      <w:r w:rsidR="00BD287C">
        <w:rPr>
          <w:rFonts w:ascii="Arial" w:hAnsi="Arial" w:cs="Arial"/>
        </w:rPr>
        <w:t xml:space="preserve"> allocated </w:t>
      </w:r>
      <w:r w:rsidR="00BD287C" w:rsidRPr="00BD287C">
        <w:rPr>
          <w:rFonts w:ascii="Arial" w:hAnsi="Arial" w:cs="Arial"/>
          <w:b/>
        </w:rPr>
        <w:t>months</w:t>
      </w:r>
      <w:r w:rsidR="00BD287C">
        <w:rPr>
          <w:rFonts w:ascii="Arial" w:hAnsi="Arial" w:cs="Arial"/>
        </w:rPr>
        <w:t xml:space="preserve"> </w:t>
      </w:r>
      <w:r w:rsidR="002279BE" w:rsidRPr="000D1B53">
        <w:rPr>
          <w:rFonts w:ascii="Arial" w:hAnsi="Arial" w:cs="Arial"/>
        </w:rPr>
        <w:t xml:space="preserve">before the trial </w:t>
      </w:r>
      <w:r w:rsidR="00BD287C">
        <w:rPr>
          <w:rFonts w:ascii="Arial" w:hAnsi="Arial" w:cs="Arial"/>
        </w:rPr>
        <w:t xml:space="preserve">and after </w:t>
      </w:r>
      <w:r w:rsidR="00BD287C" w:rsidRPr="000D1B53">
        <w:rPr>
          <w:rFonts w:ascii="Arial" w:hAnsi="Arial" w:cs="Arial"/>
        </w:rPr>
        <w:t xml:space="preserve">having </w:t>
      </w:r>
      <w:r w:rsidR="00BD287C">
        <w:rPr>
          <w:rFonts w:ascii="Arial" w:hAnsi="Arial" w:cs="Arial"/>
        </w:rPr>
        <w:t>receiv</w:t>
      </w:r>
      <w:r w:rsidR="00BD287C" w:rsidRPr="000D1B53">
        <w:rPr>
          <w:rFonts w:ascii="Arial" w:hAnsi="Arial" w:cs="Arial"/>
        </w:rPr>
        <w:t>ed</w:t>
      </w:r>
      <w:r w:rsidR="00BD287C">
        <w:rPr>
          <w:rFonts w:ascii="Arial" w:hAnsi="Arial" w:cs="Arial"/>
        </w:rPr>
        <w:t xml:space="preserve"> a new trial date the parties must yet again wait a few months for the matter to be heard.</w:t>
      </w:r>
    </w:p>
    <w:p w:rsidR="00BF418F" w:rsidRDefault="00BF418F" w:rsidP="00FD61F8">
      <w:pPr>
        <w:pStyle w:val="western"/>
        <w:shd w:val="clear" w:color="auto" w:fill="FFFFFF"/>
        <w:spacing w:before="0" w:beforeAutospacing="0" w:after="0" w:afterAutospacing="0" w:line="360" w:lineRule="auto"/>
        <w:jc w:val="both"/>
        <w:rPr>
          <w:rFonts w:ascii="Arial" w:hAnsi="Arial" w:cs="Arial"/>
        </w:rPr>
      </w:pPr>
    </w:p>
    <w:p w:rsidR="00FB3645" w:rsidRDefault="00BF418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w:t>
      </w:r>
      <w:r w:rsidR="00AD139F">
        <w:rPr>
          <w:rFonts w:ascii="Arial" w:hAnsi="Arial" w:cs="Arial"/>
        </w:rPr>
        <w:t>105</w:t>
      </w:r>
      <w:r>
        <w:rPr>
          <w:rFonts w:ascii="Arial" w:hAnsi="Arial" w:cs="Arial"/>
        </w:rPr>
        <w:t>]</w:t>
      </w:r>
      <w:r>
        <w:rPr>
          <w:rFonts w:ascii="Arial" w:hAnsi="Arial" w:cs="Arial"/>
        </w:rPr>
        <w:tab/>
      </w:r>
      <w:r w:rsidR="006D2E62" w:rsidRPr="000D1B53">
        <w:rPr>
          <w:rFonts w:ascii="Arial" w:hAnsi="Arial" w:cs="Arial"/>
        </w:rPr>
        <w:t>I</w:t>
      </w:r>
      <w:r w:rsidR="00BD287C" w:rsidRPr="000D1B53">
        <w:rPr>
          <w:rFonts w:ascii="Arial" w:hAnsi="Arial" w:cs="Arial"/>
        </w:rPr>
        <w:t>ns</w:t>
      </w:r>
      <w:r w:rsidR="00BD287C">
        <w:rPr>
          <w:rFonts w:ascii="Arial" w:hAnsi="Arial" w:cs="Arial"/>
        </w:rPr>
        <w:t>tead of finalising a matter once the long awaited trial date arrives</w:t>
      </w:r>
      <w:r w:rsidR="005411B0">
        <w:rPr>
          <w:rFonts w:ascii="Arial" w:hAnsi="Arial" w:cs="Arial"/>
        </w:rPr>
        <w:t>,</w:t>
      </w:r>
      <w:r w:rsidR="00BD287C">
        <w:rPr>
          <w:rFonts w:ascii="Arial" w:hAnsi="Arial" w:cs="Arial"/>
        </w:rPr>
        <w:t xml:space="preserve"> an interlocutory issue raised at the eleventh hour </w:t>
      </w:r>
      <w:r w:rsidR="005411B0" w:rsidRPr="000D1B53">
        <w:rPr>
          <w:rFonts w:ascii="Arial" w:hAnsi="Arial" w:cs="Arial"/>
        </w:rPr>
        <w:t>will</w:t>
      </w:r>
      <w:r w:rsidR="005411B0">
        <w:rPr>
          <w:rFonts w:ascii="Arial" w:hAnsi="Arial" w:cs="Arial"/>
          <w:color w:val="FF0000"/>
        </w:rPr>
        <w:t xml:space="preserve"> </w:t>
      </w:r>
      <w:r w:rsidR="00BD287C">
        <w:rPr>
          <w:rFonts w:ascii="Arial" w:hAnsi="Arial" w:cs="Arial"/>
        </w:rPr>
        <w:t xml:space="preserve">halt the trial in its proverbial tracks.  </w:t>
      </w:r>
      <w:r w:rsidR="005F70CE">
        <w:rPr>
          <w:rFonts w:ascii="Arial" w:hAnsi="Arial" w:cs="Arial"/>
        </w:rPr>
        <w:t>It is therefore clear that a</w:t>
      </w:r>
      <w:r w:rsidR="00985068">
        <w:rPr>
          <w:rFonts w:ascii="Arial" w:hAnsi="Arial" w:cs="Arial"/>
        </w:rPr>
        <w:t>dherence to the applicable court rules and in this instance the rules regulating judicial case management</w:t>
      </w:r>
      <w:r w:rsidR="00E521EE">
        <w:rPr>
          <w:rFonts w:ascii="Arial" w:hAnsi="Arial" w:cs="Arial"/>
        </w:rPr>
        <w:t>,</w:t>
      </w:r>
      <w:r w:rsidR="00985068">
        <w:rPr>
          <w:rFonts w:ascii="Arial" w:hAnsi="Arial" w:cs="Arial"/>
        </w:rPr>
        <w:t xml:space="preserve"> cannot be overemphasised because strict compliance would prevent last minute </w:t>
      </w:r>
      <w:r w:rsidR="00C33C59">
        <w:rPr>
          <w:rFonts w:ascii="Arial" w:hAnsi="Arial" w:cs="Arial"/>
        </w:rPr>
        <w:t xml:space="preserve">interlocutory </w:t>
      </w:r>
      <w:r w:rsidR="00985068">
        <w:rPr>
          <w:rFonts w:ascii="Arial" w:hAnsi="Arial" w:cs="Arial"/>
        </w:rPr>
        <w:t xml:space="preserve">applications like the one before me. </w:t>
      </w:r>
    </w:p>
    <w:p w:rsidR="003624A0" w:rsidRDefault="003624A0" w:rsidP="00FD61F8">
      <w:pPr>
        <w:pStyle w:val="western"/>
        <w:shd w:val="clear" w:color="auto" w:fill="FFFFFF"/>
        <w:spacing w:before="0" w:beforeAutospacing="0" w:after="0" w:afterAutospacing="0" w:line="360" w:lineRule="auto"/>
        <w:jc w:val="both"/>
        <w:rPr>
          <w:rFonts w:ascii="Arial" w:hAnsi="Arial" w:cs="Arial"/>
        </w:rPr>
      </w:pPr>
    </w:p>
    <w:p w:rsidR="00E521EE" w:rsidRDefault="00AD139F" w:rsidP="00FD61F8">
      <w:pPr>
        <w:pStyle w:val="western"/>
        <w:shd w:val="clear" w:color="auto" w:fill="FFFFFF"/>
        <w:spacing w:before="0" w:beforeAutospacing="0" w:after="0" w:afterAutospacing="0" w:line="360" w:lineRule="auto"/>
        <w:jc w:val="both"/>
        <w:rPr>
          <w:rFonts w:ascii="Arial" w:hAnsi="Arial" w:cs="Arial"/>
        </w:rPr>
      </w:pPr>
      <w:r>
        <w:rPr>
          <w:rFonts w:ascii="Arial" w:hAnsi="Arial" w:cs="Arial"/>
        </w:rPr>
        <w:t>[106]</w:t>
      </w:r>
      <w:r>
        <w:rPr>
          <w:rFonts w:ascii="Arial" w:hAnsi="Arial" w:cs="Arial"/>
        </w:rPr>
        <w:tab/>
      </w:r>
      <w:r w:rsidR="003624A0">
        <w:rPr>
          <w:rFonts w:ascii="Arial" w:hAnsi="Arial" w:cs="Arial"/>
        </w:rPr>
        <w:t>Rule 1(3) set</w:t>
      </w:r>
      <w:r w:rsidR="003E1645" w:rsidRPr="000D1B53">
        <w:rPr>
          <w:rFonts w:ascii="Arial" w:hAnsi="Arial" w:cs="Arial"/>
        </w:rPr>
        <w:t>s</w:t>
      </w:r>
      <w:r w:rsidR="003624A0">
        <w:rPr>
          <w:rFonts w:ascii="Arial" w:hAnsi="Arial" w:cs="Arial"/>
        </w:rPr>
        <w:t xml:space="preserve"> out the overriding objectives of the Rules </w:t>
      </w:r>
      <w:r w:rsidR="00B47747" w:rsidRPr="000D1B53">
        <w:rPr>
          <w:rFonts w:ascii="Arial" w:hAnsi="Arial" w:cs="Arial"/>
        </w:rPr>
        <w:t xml:space="preserve">which objectives have </w:t>
      </w:r>
      <w:r w:rsidR="003624A0">
        <w:rPr>
          <w:rFonts w:ascii="Arial" w:hAnsi="Arial" w:cs="Arial"/>
        </w:rPr>
        <w:t xml:space="preserve">been referred to in many cases but it appears that it </w:t>
      </w:r>
      <w:r w:rsidR="00B47747" w:rsidRPr="000D1B53">
        <w:rPr>
          <w:rFonts w:ascii="Arial" w:hAnsi="Arial" w:cs="Arial"/>
        </w:rPr>
        <w:t>is</w:t>
      </w:r>
      <w:r w:rsidR="00B47747">
        <w:rPr>
          <w:rFonts w:ascii="Arial" w:hAnsi="Arial" w:cs="Arial"/>
          <w:color w:val="FF0000"/>
        </w:rPr>
        <w:t xml:space="preserve"> </w:t>
      </w:r>
      <w:r w:rsidR="003624A0">
        <w:rPr>
          <w:rFonts w:ascii="Arial" w:hAnsi="Arial" w:cs="Arial"/>
        </w:rPr>
        <w:t xml:space="preserve">necessary to refer to </w:t>
      </w:r>
      <w:r w:rsidR="00B47747" w:rsidRPr="000D1B53">
        <w:rPr>
          <w:rFonts w:ascii="Arial" w:hAnsi="Arial" w:cs="Arial"/>
        </w:rPr>
        <w:t>the objectives</w:t>
      </w:r>
      <w:r w:rsidR="00B47747">
        <w:rPr>
          <w:rFonts w:ascii="Arial" w:hAnsi="Arial" w:cs="Arial"/>
          <w:color w:val="FF0000"/>
        </w:rPr>
        <w:t xml:space="preserve"> </w:t>
      </w:r>
      <w:r w:rsidR="003624A0">
        <w:rPr>
          <w:rFonts w:ascii="Arial" w:hAnsi="Arial" w:cs="Arial"/>
        </w:rPr>
        <w:t xml:space="preserve">yet again </w:t>
      </w:r>
      <w:r w:rsidR="003624A0" w:rsidRPr="000D1B53">
        <w:rPr>
          <w:rFonts w:ascii="Arial" w:hAnsi="Arial" w:cs="Arial"/>
        </w:rPr>
        <w:t xml:space="preserve">as </w:t>
      </w:r>
      <w:r w:rsidR="00B47747" w:rsidRPr="000D1B53">
        <w:rPr>
          <w:rFonts w:ascii="Arial" w:hAnsi="Arial" w:cs="Arial"/>
        </w:rPr>
        <w:t xml:space="preserve">legal practitioners and </w:t>
      </w:r>
      <w:r w:rsidR="003624A0">
        <w:rPr>
          <w:rFonts w:ascii="Arial" w:hAnsi="Arial" w:cs="Arial"/>
        </w:rPr>
        <w:t>parties appear to have become complacent and seems to be of the view that these objectives do</w:t>
      </w:r>
      <w:r w:rsidR="000D1B53">
        <w:rPr>
          <w:rFonts w:ascii="Arial" w:hAnsi="Arial" w:cs="Arial"/>
        </w:rPr>
        <w:t xml:space="preserve"> </w:t>
      </w:r>
      <w:r w:rsidR="003624A0">
        <w:rPr>
          <w:rFonts w:ascii="Arial" w:hAnsi="Arial" w:cs="Arial"/>
        </w:rPr>
        <w:t xml:space="preserve">not apply to them. </w:t>
      </w:r>
      <w:r w:rsidR="00E521EE">
        <w:rPr>
          <w:rFonts w:ascii="Arial" w:hAnsi="Arial" w:cs="Arial"/>
        </w:rPr>
        <w:t>I can do no better than to reiterate the relevant rule as follows:</w:t>
      </w:r>
    </w:p>
    <w:p w:rsidR="00931983" w:rsidRDefault="00931983" w:rsidP="00FD61F8">
      <w:pPr>
        <w:pStyle w:val="western"/>
        <w:shd w:val="clear" w:color="auto" w:fill="FFFFFF"/>
        <w:spacing w:before="0" w:beforeAutospacing="0" w:after="0" w:afterAutospacing="0" w:line="360" w:lineRule="auto"/>
        <w:jc w:val="both"/>
        <w:rPr>
          <w:rFonts w:ascii="Arial" w:hAnsi="Arial" w:cs="Arial"/>
        </w:rPr>
      </w:pP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Pr>
          <w:rFonts w:ascii="Arial" w:hAnsi="Arial" w:cs="Arial"/>
        </w:rPr>
        <w:tab/>
      </w:r>
      <w:r w:rsidRPr="003624A0">
        <w:rPr>
          <w:rFonts w:ascii="Arial" w:hAnsi="Arial" w:cs="Arial"/>
          <w:sz w:val="22"/>
          <w:szCs w:val="22"/>
        </w:rPr>
        <w:t xml:space="preserve">‘(3) The overriding objective of these rules is to facilitate the resolution of the real issues in dispute </w:t>
      </w:r>
      <w:r w:rsidRPr="00CB0F18">
        <w:rPr>
          <w:rFonts w:ascii="Arial" w:hAnsi="Arial" w:cs="Arial"/>
          <w:sz w:val="22"/>
          <w:szCs w:val="22"/>
          <w:u w:val="single"/>
        </w:rPr>
        <w:t>justly and speedily, efficiently and cost effectively</w:t>
      </w:r>
      <w:r w:rsidRPr="003624A0">
        <w:rPr>
          <w:rFonts w:ascii="Arial" w:hAnsi="Arial" w:cs="Arial"/>
          <w:sz w:val="22"/>
          <w:szCs w:val="22"/>
        </w:rPr>
        <w:t xml:space="preserve"> as far as practicable by – </w:t>
      </w: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 xml:space="preserve">(a) </w:t>
      </w:r>
      <w:proofErr w:type="gramStart"/>
      <w:r w:rsidRPr="003624A0">
        <w:rPr>
          <w:rFonts w:ascii="Arial" w:hAnsi="Arial" w:cs="Arial"/>
          <w:sz w:val="22"/>
          <w:szCs w:val="22"/>
        </w:rPr>
        <w:t>ensuring</w:t>
      </w:r>
      <w:proofErr w:type="gramEnd"/>
      <w:r w:rsidRPr="003624A0">
        <w:rPr>
          <w:rFonts w:ascii="Arial" w:hAnsi="Arial" w:cs="Arial"/>
          <w:sz w:val="22"/>
          <w:szCs w:val="22"/>
        </w:rPr>
        <w:t xml:space="preserve"> that the parties are on an equal footing; </w:t>
      </w:r>
    </w:p>
    <w:p w:rsid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 xml:space="preserve">(b) </w:t>
      </w:r>
      <w:proofErr w:type="gramStart"/>
      <w:r w:rsidRPr="003624A0">
        <w:rPr>
          <w:rFonts w:ascii="Arial" w:hAnsi="Arial" w:cs="Arial"/>
          <w:sz w:val="22"/>
          <w:szCs w:val="22"/>
          <w:u w:val="single"/>
        </w:rPr>
        <w:t>saving</w:t>
      </w:r>
      <w:proofErr w:type="gramEnd"/>
      <w:r w:rsidRPr="003624A0">
        <w:rPr>
          <w:rFonts w:ascii="Arial" w:hAnsi="Arial" w:cs="Arial"/>
          <w:sz w:val="22"/>
          <w:szCs w:val="22"/>
          <w:u w:val="single"/>
        </w:rPr>
        <w:t xml:space="preserve"> costs by, among others, limiting interlocutory proceedings to what is strictly necessary in order to achieve a fair and timely disposal of a cause or matter</w:t>
      </w:r>
      <w:r w:rsidRPr="003624A0">
        <w:rPr>
          <w:rFonts w:ascii="Arial" w:hAnsi="Arial" w:cs="Arial"/>
          <w:sz w:val="22"/>
          <w:szCs w:val="22"/>
        </w:rPr>
        <w:t>;</w:t>
      </w: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(c) ….</w:t>
      </w: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 xml:space="preserve">(d) </w:t>
      </w:r>
      <w:proofErr w:type="gramStart"/>
      <w:r w:rsidRPr="003624A0">
        <w:rPr>
          <w:rFonts w:ascii="Arial" w:hAnsi="Arial" w:cs="Arial"/>
          <w:sz w:val="22"/>
          <w:szCs w:val="22"/>
        </w:rPr>
        <w:t>ensuring</w:t>
      </w:r>
      <w:proofErr w:type="gramEnd"/>
      <w:r w:rsidRPr="003624A0">
        <w:rPr>
          <w:rFonts w:ascii="Arial" w:hAnsi="Arial" w:cs="Arial"/>
          <w:sz w:val="22"/>
          <w:szCs w:val="22"/>
        </w:rPr>
        <w:t xml:space="preserve"> that cases are dealt with </w:t>
      </w:r>
      <w:r w:rsidRPr="003624A0">
        <w:rPr>
          <w:rFonts w:ascii="Arial" w:hAnsi="Arial" w:cs="Arial"/>
          <w:sz w:val="22"/>
          <w:szCs w:val="22"/>
          <w:u w:val="single"/>
        </w:rPr>
        <w:t>expeditiously</w:t>
      </w:r>
      <w:r w:rsidRPr="003624A0">
        <w:rPr>
          <w:rFonts w:ascii="Arial" w:hAnsi="Arial" w:cs="Arial"/>
          <w:sz w:val="22"/>
          <w:szCs w:val="22"/>
        </w:rPr>
        <w:t xml:space="preserve"> and fairly;</w:t>
      </w: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 xml:space="preserve">(e) </w:t>
      </w:r>
      <w:r w:rsidRPr="00985068">
        <w:rPr>
          <w:rFonts w:ascii="Arial" w:hAnsi="Arial" w:cs="Arial"/>
          <w:sz w:val="22"/>
          <w:szCs w:val="22"/>
          <w:u w:val="single"/>
        </w:rPr>
        <w:t>recognising that judicial time and resources are limited</w:t>
      </w:r>
      <w:r w:rsidRPr="003624A0">
        <w:rPr>
          <w:rFonts w:ascii="Arial" w:hAnsi="Arial" w:cs="Arial"/>
          <w:sz w:val="22"/>
          <w:szCs w:val="22"/>
        </w:rPr>
        <w:t xml:space="preserve"> and therefore allotting to each cause an appropriate share of the court’s time and resources, while at the same time taking into account the need to allot resources to other causes; and </w:t>
      </w:r>
    </w:p>
    <w:p w:rsidR="003624A0" w:rsidRPr="003624A0" w:rsidRDefault="003624A0" w:rsidP="00FD61F8">
      <w:pPr>
        <w:pStyle w:val="western"/>
        <w:shd w:val="clear" w:color="auto" w:fill="FFFFFF"/>
        <w:spacing w:before="0" w:beforeAutospacing="0" w:after="0" w:afterAutospacing="0" w:line="360" w:lineRule="auto"/>
        <w:jc w:val="both"/>
        <w:rPr>
          <w:rFonts w:ascii="Arial" w:hAnsi="Arial" w:cs="Arial"/>
          <w:sz w:val="22"/>
          <w:szCs w:val="22"/>
        </w:rPr>
      </w:pPr>
      <w:r w:rsidRPr="003624A0">
        <w:rPr>
          <w:rFonts w:ascii="Arial" w:hAnsi="Arial" w:cs="Arial"/>
          <w:sz w:val="22"/>
          <w:szCs w:val="22"/>
        </w:rPr>
        <w:t xml:space="preserve">(f) </w:t>
      </w:r>
      <w:proofErr w:type="gramStart"/>
      <w:r w:rsidRPr="003624A0">
        <w:rPr>
          <w:rFonts w:ascii="Arial" w:hAnsi="Arial" w:cs="Arial"/>
          <w:sz w:val="22"/>
          <w:szCs w:val="22"/>
        </w:rPr>
        <w:t>considering</w:t>
      </w:r>
      <w:proofErr w:type="gramEnd"/>
      <w:r w:rsidRPr="003624A0">
        <w:rPr>
          <w:rFonts w:ascii="Arial" w:hAnsi="Arial" w:cs="Arial"/>
          <w:sz w:val="22"/>
          <w:szCs w:val="22"/>
        </w:rPr>
        <w:t xml:space="preserve"> the public interest in limiting issues in dispute and in the early settlement of disputes by agreement between the parties in dispute.</w:t>
      </w:r>
      <w:r>
        <w:rPr>
          <w:rFonts w:ascii="Arial" w:hAnsi="Arial" w:cs="Arial"/>
          <w:sz w:val="22"/>
          <w:szCs w:val="22"/>
        </w:rPr>
        <w:t>’ (My underlining)</w:t>
      </w:r>
    </w:p>
    <w:p w:rsidR="00BD287C" w:rsidRDefault="00BD287C" w:rsidP="00FD61F8">
      <w:pPr>
        <w:pStyle w:val="western"/>
        <w:shd w:val="clear" w:color="auto" w:fill="FFFFFF"/>
        <w:spacing w:before="0" w:beforeAutospacing="0" w:after="0" w:afterAutospacing="0" w:line="360" w:lineRule="auto"/>
        <w:jc w:val="both"/>
        <w:rPr>
          <w:rFonts w:ascii="Arial" w:hAnsi="Arial" w:cs="Arial"/>
          <w:sz w:val="22"/>
          <w:szCs w:val="22"/>
        </w:rPr>
      </w:pPr>
    </w:p>
    <w:p w:rsidR="00C33C59" w:rsidRDefault="003624A0" w:rsidP="00FD61F8">
      <w:pPr>
        <w:pStyle w:val="western"/>
        <w:shd w:val="clear" w:color="auto" w:fill="FFFFFF"/>
        <w:spacing w:before="0" w:beforeAutospacing="0" w:after="0" w:afterAutospacing="0" w:line="360" w:lineRule="auto"/>
        <w:jc w:val="both"/>
        <w:rPr>
          <w:rFonts w:ascii="Arial" w:hAnsi="Arial" w:cs="Arial"/>
        </w:rPr>
      </w:pPr>
      <w:r w:rsidRPr="00985068">
        <w:rPr>
          <w:rFonts w:ascii="Arial" w:hAnsi="Arial" w:cs="Arial"/>
        </w:rPr>
        <w:t>[</w:t>
      </w:r>
      <w:r w:rsidR="00AD139F">
        <w:rPr>
          <w:rFonts w:ascii="Arial" w:hAnsi="Arial" w:cs="Arial"/>
        </w:rPr>
        <w:t>107</w:t>
      </w:r>
      <w:r w:rsidRPr="00985068">
        <w:rPr>
          <w:rFonts w:ascii="Arial" w:hAnsi="Arial" w:cs="Arial"/>
        </w:rPr>
        <w:t>]</w:t>
      </w:r>
      <w:r w:rsidRPr="00985068">
        <w:rPr>
          <w:rFonts w:ascii="Arial" w:hAnsi="Arial" w:cs="Arial"/>
        </w:rPr>
        <w:tab/>
      </w:r>
      <w:r w:rsidR="00E521EE">
        <w:rPr>
          <w:rFonts w:ascii="Arial" w:hAnsi="Arial" w:cs="Arial"/>
        </w:rPr>
        <w:t xml:space="preserve">I am </w:t>
      </w:r>
      <w:r w:rsidR="002A2A50">
        <w:rPr>
          <w:rFonts w:ascii="Arial" w:hAnsi="Arial" w:cs="Arial"/>
        </w:rPr>
        <w:t xml:space="preserve">therefor </w:t>
      </w:r>
      <w:r w:rsidR="00E521EE">
        <w:rPr>
          <w:rFonts w:ascii="Arial" w:hAnsi="Arial" w:cs="Arial"/>
        </w:rPr>
        <w:t>of the considered view that the defendant completely disregarded the overriding objective</w:t>
      </w:r>
      <w:r w:rsidR="00555D8C" w:rsidRPr="000D1B53">
        <w:rPr>
          <w:rFonts w:ascii="Arial" w:hAnsi="Arial" w:cs="Arial"/>
        </w:rPr>
        <w:t>s</w:t>
      </w:r>
      <w:r w:rsidR="00E521EE">
        <w:rPr>
          <w:rFonts w:ascii="Arial" w:hAnsi="Arial" w:cs="Arial"/>
        </w:rPr>
        <w:t xml:space="preserve"> of the rules and I need to emphasise that l</w:t>
      </w:r>
      <w:r w:rsidR="00C33C59">
        <w:rPr>
          <w:rFonts w:ascii="Arial" w:hAnsi="Arial" w:cs="Arial"/>
        </w:rPr>
        <w:t xml:space="preserve">egal practitioners </w:t>
      </w:r>
      <w:r w:rsidR="00985068">
        <w:rPr>
          <w:rFonts w:ascii="Arial" w:hAnsi="Arial" w:cs="Arial"/>
        </w:rPr>
        <w:t>must understand that last minute interlocutory</w:t>
      </w:r>
      <w:r w:rsidR="00C33C59">
        <w:rPr>
          <w:rFonts w:ascii="Arial" w:hAnsi="Arial" w:cs="Arial"/>
        </w:rPr>
        <w:t xml:space="preserve"> applications which could have and should have been dealt with during the </w:t>
      </w:r>
      <w:r w:rsidR="002A2A50">
        <w:rPr>
          <w:rFonts w:ascii="Arial" w:hAnsi="Arial" w:cs="Arial"/>
        </w:rPr>
        <w:t xml:space="preserve">judicial case management </w:t>
      </w:r>
      <w:r w:rsidR="00C33C59">
        <w:rPr>
          <w:rFonts w:ascii="Arial" w:hAnsi="Arial" w:cs="Arial"/>
        </w:rPr>
        <w:t>process</w:t>
      </w:r>
      <w:r w:rsidR="00985068">
        <w:rPr>
          <w:rFonts w:ascii="Arial" w:hAnsi="Arial" w:cs="Arial"/>
        </w:rPr>
        <w:t xml:space="preserve"> will</w:t>
      </w:r>
      <w:r w:rsidR="00C33C59">
        <w:rPr>
          <w:rFonts w:ascii="Arial" w:hAnsi="Arial" w:cs="Arial"/>
        </w:rPr>
        <w:t xml:space="preserve"> not be tolerated</w:t>
      </w:r>
      <w:r w:rsidR="00555D8C">
        <w:rPr>
          <w:rFonts w:ascii="Arial" w:hAnsi="Arial" w:cs="Arial"/>
        </w:rPr>
        <w:t>,</w:t>
      </w:r>
      <w:r w:rsidR="00C33C59">
        <w:rPr>
          <w:rFonts w:ascii="Arial" w:hAnsi="Arial" w:cs="Arial"/>
        </w:rPr>
        <w:t xml:space="preserve"> and if so launched it will not result in the form of a cheap postponement.</w:t>
      </w:r>
    </w:p>
    <w:p w:rsidR="00C33C59" w:rsidRPr="00104C44" w:rsidRDefault="00C33C59" w:rsidP="00FD61F8">
      <w:pPr>
        <w:pStyle w:val="western"/>
        <w:shd w:val="clear" w:color="auto" w:fill="FFFFFF"/>
        <w:spacing w:before="0" w:beforeAutospacing="0" w:after="0" w:afterAutospacing="0" w:line="360" w:lineRule="auto"/>
        <w:jc w:val="both"/>
        <w:rPr>
          <w:rFonts w:ascii="Arial" w:hAnsi="Arial" w:cs="Arial"/>
        </w:rPr>
      </w:pPr>
    </w:p>
    <w:p w:rsidR="003624A0" w:rsidRPr="00104C44" w:rsidRDefault="00C33C59" w:rsidP="00FD61F8">
      <w:pPr>
        <w:pStyle w:val="western"/>
        <w:shd w:val="clear" w:color="auto" w:fill="FFFFFF"/>
        <w:spacing w:before="0" w:beforeAutospacing="0" w:after="0" w:afterAutospacing="0" w:line="360" w:lineRule="auto"/>
        <w:jc w:val="both"/>
        <w:rPr>
          <w:rFonts w:ascii="Arial" w:hAnsi="Arial" w:cs="Arial"/>
        </w:rPr>
      </w:pPr>
      <w:r w:rsidRPr="00104C44">
        <w:rPr>
          <w:rFonts w:ascii="Arial" w:hAnsi="Arial" w:cs="Arial"/>
        </w:rPr>
        <w:t>[</w:t>
      </w:r>
      <w:r w:rsidR="00AD139F">
        <w:rPr>
          <w:rFonts w:ascii="Arial" w:hAnsi="Arial" w:cs="Arial"/>
        </w:rPr>
        <w:t>108</w:t>
      </w:r>
      <w:r w:rsidRPr="00104C44">
        <w:rPr>
          <w:rFonts w:ascii="Arial" w:hAnsi="Arial" w:cs="Arial"/>
        </w:rPr>
        <w:t>]</w:t>
      </w:r>
      <w:r w:rsidRPr="00104C44">
        <w:rPr>
          <w:rFonts w:ascii="Arial" w:hAnsi="Arial" w:cs="Arial"/>
        </w:rPr>
        <w:tab/>
        <w:t xml:space="preserve">Bringing such an application in this manner instead of an application for postponement as provided for in the rules will </w:t>
      </w:r>
      <w:r w:rsidR="00E521EE" w:rsidRPr="00104C44">
        <w:rPr>
          <w:rFonts w:ascii="Arial" w:hAnsi="Arial" w:cs="Arial"/>
        </w:rPr>
        <w:t>call for</w:t>
      </w:r>
      <w:r w:rsidRPr="00104C44">
        <w:rPr>
          <w:rFonts w:ascii="Arial" w:hAnsi="Arial" w:cs="Arial"/>
        </w:rPr>
        <w:t xml:space="preserve"> a punitive cost order bar</w:t>
      </w:r>
      <w:r w:rsidR="007E4C87" w:rsidRPr="00104C44">
        <w:rPr>
          <w:rFonts w:ascii="Arial" w:hAnsi="Arial" w:cs="Arial"/>
        </w:rPr>
        <w:t>ring</w:t>
      </w:r>
      <w:r w:rsidRPr="00104C44">
        <w:rPr>
          <w:rFonts w:ascii="Arial" w:hAnsi="Arial" w:cs="Arial"/>
        </w:rPr>
        <w:t xml:space="preserve"> exceptional circumstances. </w:t>
      </w:r>
    </w:p>
    <w:p w:rsidR="00BD287C" w:rsidRDefault="00BD287C" w:rsidP="00FD61F8">
      <w:pPr>
        <w:pStyle w:val="western"/>
        <w:shd w:val="clear" w:color="auto" w:fill="FFFFFF"/>
        <w:spacing w:before="0" w:beforeAutospacing="0" w:after="0" w:afterAutospacing="0" w:line="360" w:lineRule="auto"/>
        <w:jc w:val="both"/>
        <w:rPr>
          <w:rFonts w:ascii="Arial" w:hAnsi="Arial" w:cs="Arial"/>
        </w:rPr>
      </w:pPr>
    </w:p>
    <w:p w:rsidR="00E521EE" w:rsidRPr="00E521EE" w:rsidRDefault="00E521EE" w:rsidP="00FD61F8">
      <w:pPr>
        <w:pStyle w:val="western"/>
        <w:shd w:val="clear" w:color="auto" w:fill="FFFFFF"/>
        <w:spacing w:before="0" w:beforeAutospacing="0" w:after="0" w:afterAutospacing="0" w:line="360" w:lineRule="auto"/>
        <w:jc w:val="both"/>
        <w:rPr>
          <w:rFonts w:ascii="Arial" w:hAnsi="Arial" w:cs="Arial"/>
          <w:u w:val="single"/>
        </w:rPr>
      </w:pPr>
      <w:r w:rsidRPr="00E521EE">
        <w:rPr>
          <w:rFonts w:ascii="Arial" w:hAnsi="Arial" w:cs="Arial"/>
          <w:u w:val="single"/>
        </w:rPr>
        <w:t>Order</w:t>
      </w:r>
    </w:p>
    <w:p w:rsidR="005617D2" w:rsidRDefault="005617D2" w:rsidP="00FD61F8">
      <w:pPr>
        <w:pStyle w:val="western"/>
        <w:shd w:val="clear" w:color="auto" w:fill="FFFFFF"/>
        <w:spacing w:before="0" w:beforeAutospacing="0" w:after="0" w:afterAutospacing="0" w:line="360" w:lineRule="auto"/>
        <w:jc w:val="both"/>
        <w:rPr>
          <w:rFonts w:ascii="Arial" w:hAnsi="Arial" w:cs="Arial"/>
        </w:rPr>
      </w:pPr>
    </w:p>
    <w:p w:rsidR="00007FA0" w:rsidRDefault="00007FA0" w:rsidP="00FD61F8">
      <w:pPr>
        <w:pStyle w:val="western"/>
        <w:shd w:val="clear" w:color="auto" w:fill="FFFFFF"/>
        <w:spacing w:before="0" w:beforeAutospacing="0" w:after="0" w:afterAutospacing="0" w:line="360" w:lineRule="auto"/>
        <w:jc w:val="both"/>
        <w:rPr>
          <w:rFonts w:ascii="Arial" w:hAnsi="Arial" w:cs="Arial"/>
        </w:rPr>
      </w:pPr>
      <w:r w:rsidRPr="004B5E3E">
        <w:rPr>
          <w:rFonts w:ascii="Arial" w:hAnsi="Arial" w:cs="Arial"/>
        </w:rPr>
        <w:t>[</w:t>
      </w:r>
      <w:r w:rsidR="00AD139F">
        <w:rPr>
          <w:rFonts w:ascii="Arial" w:hAnsi="Arial" w:cs="Arial"/>
        </w:rPr>
        <w:t>109</w:t>
      </w:r>
      <w:r w:rsidRPr="004B5E3E">
        <w:rPr>
          <w:rFonts w:ascii="Arial" w:hAnsi="Arial" w:cs="Arial"/>
        </w:rPr>
        <w:t>]</w:t>
      </w:r>
      <w:r w:rsidRPr="004B5E3E">
        <w:rPr>
          <w:rFonts w:ascii="Arial" w:hAnsi="Arial" w:cs="Arial"/>
        </w:rPr>
        <w:tab/>
      </w:r>
      <w:r w:rsidR="00E521EE">
        <w:rPr>
          <w:rFonts w:ascii="Arial" w:hAnsi="Arial" w:cs="Arial"/>
        </w:rPr>
        <w:t>In light of the discus</w:t>
      </w:r>
      <w:r w:rsidR="00E521EE" w:rsidRPr="007E4C87">
        <w:rPr>
          <w:rFonts w:ascii="Arial" w:hAnsi="Arial" w:cs="Arial"/>
        </w:rPr>
        <w:t>s</w:t>
      </w:r>
      <w:r w:rsidR="005A63FC" w:rsidRPr="007E4C87">
        <w:rPr>
          <w:rFonts w:ascii="Arial" w:hAnsi="Arial" w:cs="Arial"/>
        </w:rPr>
        <w:t>ion</w:t>
      </w:r>
      <w:r w:rsidR="00E521EE">
        <w:rPr>
          <w:rFonts w:ascii="Arial" w:hAnsi="Arial" w:cs="Arial"/>
        </w:rPr>
        <w:t xml:space="preserve"> above my order is as follows: </w:t>
      </w:r>
    </w:p>
    <w:p w:rsidR="00931983" w:rsidRDefault="00931983" w:rsidP="00FD61F8">
      <w:pPr>
        <w:pStyle w:val="western"/>
        <w:shd w:val="clear" w:color="auto" w:fill="FFFFFF"/>
        <w:spacing w:before="0" w:beforeAutospacing="0" w:after="0" w:afterAutospacing="0" w:line="360" w:lineRule="auto"/>
        <w:jc w:val="both"/>
        <w:rPr>
          <w:rFonts w:ascii="Arial" w:hAnsi="Arial" w:cs="Arial"/>
        </w:rPr>
      </w:pPr>
    </w:p>
    <w:p w:rsidR="00E521EE" w:rsidRPr="004877B8" w:rsidRDefault="00E521EE" w:rsidP="004877B8">
      <w:pPr>
        <w:pStyle w:val="ListParagraph"/>
        <w:numPr>
          <w:ilvl w:val="0"/>
          <w:numId w:val="22"/>
        </w:numPr>
        <w:spacing w:after="0" w:line="360" w:lineRule="auto"/>
        <w:jc w:val="both"/>
        <w:rPr>
          <w:rFonts w:ascii="Arial" w:eastAsia="Times New Roman" w:hAnsi="Arial" w:cs="Arial"/>
          <w:color w:val="000000"/>
          <w:sz w:val="24"/>
          <w:szCs w:val="24"/>
          <w:lang w:eastAsia="en-ZA"/>
        </w:rPr>
      </w:pPr>
      <w:r w:rsidRPr="004877B8">
        <w:rPr>
          <w:rFonts w:ascii="Arial" w:eastAsia="Times New Roman" w:hAnsi="Arial" w:cs="Arial"/>
          <w:color w:val="000000"/>
          <w:sz w:val="24"/>
          <w:szCs w:val="24"/>
          <w:lang w:eastAsia="en-ZA"/>
        </w:rPr>
        <w:t>All three points </w:t>
      </w:r>
      <w:r w:rsidRPr="004877B8">
        <w:rPr>
          <w:rFonts w:ascii="Arial" w:eastAsia="Times New Roman" w:hAnsi="Arial" w:cs="Arial"/>
          <w:i/>
          <w:iCs/>
          <w:color w:val="000000"/>
          <w:sz w:val="24"/>
          <w:szCs w:val="24"/>
          <w:lang w:eastAsia="en-ZA"/>
        </w:rPr>
        <w:t xml:space="preserve">in </w:t>
      </w:r>
      <w:proofErr w:type="spellStart"/>
      <w:r w:rsidRPr="004877B8">
        <w:rPr>
          <w:rFonts w:ascii="Arial" w:eastAsia="Times New Roman" w:hAnsi="Arial" w:cs="Arial"/>
          <w:i/>
          <w:iCs/>
          <w:color w:val="000000"/>
          <w:sz w:val="24"/>
          <w:szCs w:val="24"/>
          <w:lang w:eastAsia="en-ZA"/>
        </w:rPr>
        <w:t>limine</w:t>
      </w:r>
      <w:proofErr w:type="spellEnd"/>
      <w:r w:rsidRPr="004877B8">
        <w:rPr>
          <w:rFonts w:ascii="Arial" w:eastAsia="Times New Roman" w:hAnsi="Arial" w:cs="Arial"/>
          <w:color w:val="000000"/>
          <w:sz w:val="24"/>
          <w:szCs w:val="24"/>
          <w:lang w:eastAsia="en-ZA"/>
        </w:rPr>
        <w:t> raised by the plaintiff are upheld.</w:t>
      </w:r>
    </w:p>
    <w:p w:rsidR="00E521EE" w:rsidRDefault="00E521EE" w:rsidP="00931983">
      <w:pPr>
        <w:pStyle w:val="ListParagraph"/>
        <w:numPr>
          <w:ilvl w:val="0"/>
          <w:numId w:val="22"/>
        </w:numPr>
        <w:spacing w:after="0" w:line="360" w:lineRule="auto"/>
        <w:jc w:val="both"/>
        <w:rPr>
          <w:rFonts w:ascii="Arial" w:eastAsia="Times New Roman" w:hAnsi="Arial" w:cs="Arial"/>
          <w:color w:val="000000"/>
          <w:sz w:val="24"/>
          <w:szCs w:val="24"/>
          <w:lang w:eastAsia="en-ZA"/>
        </w:rPr>
      </w:pPr>
      <w:r w:rsidRPr="004877B8">
        <w:rPr>
          <w:rFonts w:ascii="Arial" w:eastAsia="Times New Roman" w:hAnsi="Arial" w:cs="Arial"/>
          <w:color w:val="000000"/>
          <w:sz w:val="24"/>
          <w:szCs w:val="24"/>
          <w:lang w:eastAsia="en-ZA"/>
        </w:rPr>
        <w:t>The defendant’s application is struck from the roll with costs, such cost to be taxed outside the scale as provide for in rule 32(11) and to include the costs of one instructing and one instructed counsel.</w:t>
      </w:r>
    </w:p>
    <w:p w:rsidR="004877B8" w:rsidRPr="004877B8" w:rsidRDefault="004877B8" w:rsidP="004877B8">
      <w:pPr>
        <w:pStyle w:val="ListParagraph"/>
        <w:spacing w:after="0" w:line="360" w:lineRule="auto"/>
        <w:jc w:val="both"/>
        <w:rPr>
          <w:rFonts w:ascii="Arial" w:eastAsia="Times New Roman" w:hAnsi="Arial" w:cs="Arial"/>
          <w:color w:val="000000"/>
          <w:sz w:val="24"/>
          <w:szCs w:val="24"/>
          <w:lang w:eastAsia="en-ZA"/>
        </w:rPr>
      </w:pPr>
    </w:p>
    <w:p w:rsidR="00E521EE" w:rsidRDefault="00E521EE" w:rsidP="00931983">
      <w:pPr>
        <w:spacing w:after="0" w:line="360" w:lineRule="auto"/>
        <w:jc w:val="both"/>
        <w:rPr>
          <w:rFonts w:ascii="Arial" w:eastAsia="Times New Roman" w:hAnsi="Arial" w:cs="Arial"/>
          <w:color w:val="000000"/>
          <w:sz w:val="24"/>
          <w:szCs w:val="24"/>
          <w:lang w:eastAsia="en-ZA"/>
        </w:rPr>
      </w:pPr>
      <w:r>
        <w:rPr>
          <w:rFonts w:ascii="Arial" w:eastAsia="Times New Roman" w:hAnsi="Arial" w:cs="Arial"/>
          <w:b/>
          <w:bCs/>
          <w:color w:val="000000"/>
          <w:sz w:val="24"/>
          <w:szCs w:val="24"/>
          <w:u w:val="single"/>
          <w:lang w:eastAsia="en-ZA"/>
        </w:rPr>
        <w:t>F</w:t>
      </w:r>
      <w:r w:rsidRPr="00D04DB7">
        <w:rPr>
          <w:rFonts w:ascii="Arial" w:eastAsia="Times New Roman" w:hAnsi="Arial" w:cs="Arial"/>
          <w:b/>
          <w:bCs/>
          <w:color w:val="000000"/>
          <w:sz w:val="24"/>
          <w:szCs w:val="24"/>
          <w:u w:val="single"/>
          <w:lang w:eastAsia="en-ZA"/>
        </w:rPr>
        <w:t>urther conduct of the matter</w:t>
      </w:r>
      <w:r w:rsidRPr="00D04DB7">
        <w:rPr>
          <w:rFonts w:ascii="Arial" w:eastAsia="Times New Roman" w:hAnsi="Arial" w:cs="Arial"/>
          <w:color w:val="000000"/>
          <w:sz w:val="24"/>
          <w:szCs w:val="24"/>
          <w:lang w:eastAsia="en-ZA"/>
        </w:rPr>
        <w:t>:</w:t>
      </w:r>
    </w:p>
    <w:p w:rsidR="004877B8" w:rsidRPr="00D04DB7" w:rsidRDefault="004877B8" w:rsidP="00931983">
      <w:pPr>
        <w:spacing w:after="0" w:line="360" w:lineRule="auto"/>
        <w:jc w:val="both"/>
        <w:rPr>
          <w:rFonts w:ascii="Arial" w:eastAsia="Times New Roman" w:hAnsi="Arial" w:cs="Arial"/>
          <w:color w:val="000000"/>
          <w:sz w:val="24"/>
          <w:szCs w:val="24"/>
          <w:lang w:eastAsia="en-ZA"/>
        </w:rPr>
      </w:pPr>
    </w:p>
    <w:p w:rsidR="004877B8" w:rsidRDefault="00E521EE" w:rsidP="00931983">
      <w:pPr>
        <w:pStyle w:val="ListParagraph"/>
        <w:numPr>
          <w:ilvl w:val="0"/>
          <w:numId w:val="22"/>
        </w:numPr>
        <w:spacing w:after="0" w:line="360" w:lineRule="auto"/>
        <w:jc w:val="both"/>
        <w:rPr>
          <w:rFonts w:ascii="Arial" w:eastAsia="Times New Roman" w:hAnsi="Arial" w:cs="Arial"/>
          <w:color w:val="000000"/>
          <w:sz w:val="24"/>
          <w:szCs w:val="24"/>
          <w:lang w:eastAsia="en-ZA"/>
        </w:rPr>
      </w:pPr>
      <w:r w:rsidRPr="004877B8">
        <w:rPr>
          <w:rFonts w:ascii="Arial" w:eastAsia="Times New Roman" w:hAnsi="Arial" w:cs="Arial"/>
          <w:color w:val="000000"/>
          <w:sz w:val="24"/>
          <w:szCs w:val="24"/>
          <w:lang w:eastAsia="en-ZA"/>
        </w:rPr>
        <w:t>The case is postponed to </w:t>
      </w:r>
      <w:r w:rsidRPr="004877B8">
        <w:rPr>
          <w:rFonts w:ascii="Arial" w:eastAsia="Times New Roman" w:hAnsi="Arial" w:cs="Arial"/>
          <w:b/>
          <w:bCs/>
          <w:color w:val="000000"/>
          <w:sz w:val="24"/>
          <w:szCs w:val="24"/>
          <w:lang w:eastAsia="en-ZA"/>
        </w:rPr>
        <w:t>30/07/2020</w:t>
      </w:r>
      <w:r w:rsidRPr="004877B8">
        <w:rPr>
          <w:rFonts w:ascii="Arial" w:eastAsia="Times New Roman" w:hAnsi="Arial" w:cs="Arial"/>
          <w:color w:val="000000"/>
          <w:sz w:val="24"/>
          <w:szCs w:val="24"/>
          <w:lang w:eastAsia="en-ZA"/>
        </w:rPr>
        <w:t> at </w:t>
      </w:r>
      <w:r w:rsidRPr="004877B8">
        <w:rPr>
          <w:rFonts w:ascii="Arial" w:eastAsia="Times New Roman" w:hAnsi="Arial" w:cs="Arial"/>
          <w:b/>
          <w:bCs/>
          <w:color w:val="000000"/>
          <w:sz w:val="24"/>
          <w:szCs w:val="24"/>
          <w:lang w:eastAsia="en-ZA"/>
        </w:rPr>
        <w:t>15:00</w:t>
      </w:r>
      <w:r w:rsidRPr="004877B8">
        <w:rPr>
          <w:rFonts w:ascii="Arial" w:eastAsia="Times New Roman" w:hAnsi="Arial" w:cs="Arial"/>
          <w:color w:val="000000"/>
          <w:sz w:val="24"/>
          <w:szCs w:val="24"/>
          <w:lang w:eastAsia="en-ZA"/>
        </w:rPr>
        <w:t> for Status hearing (Reason: Others).</w:t>
      </w:r>
    </w:p>
    <w:p w:rsidR="00E521EE" w:rsidRPr="004877B8" w:rsidRDefault="00E521EE" w:rsidP="00931983">
      <w:pPr>
        <w:pStyle w:val="ListParagraph"/>
        <w:numPr>
          <w:ilvl w:val="0"/>
          <w:numId w:val="22"/>
        </w:numPr>
        <w:spacing w:after="0" w:line="360" w:lineRule="auto"/>
        <w:jc w:val="both"/>
        <w:rPr>
          <w:rFonts w:ascii="Arial" w:eastAsia="Times New Roman" w:hAnsi="Arial" w:cs="Arial"/>
          <w:color w:val="000000"/>
          <w:sz w:val="24"/>
          <w:szCs w:val="24"/>
          <w:lang w:eastAsia="en-ZA"/>
        </w:rPr>
      </w:pPr>
      <w:r w:rsidRPr="004877B8">
        <w:rPr>
          <w:rFonts w:ascii="Arial" w:eastAsia="Times New Roman" w:hAnsi="Arial" w:cs="Arial"/>
          <w:color w:val="000000"/>
          <w:sz w:val="24"/>
          <w:szCs w:val="24"/>
          <w:lang w:eastAsia="en-ZA"/>
        </w:rPr>
        <w:t>The Parties </w:t>
      </w:r>
      <w:r w:rsidRPr="004877B8">
        <w:rPr>
          <w:rFonts w:ascii="Arial" w:eastAsia="Times New Roman" w:hAnsi="Arial" w:cs="Arial"/>
          <w:b/>
          <w:bCs/>
          <w:color w:val="000000"/>
          <w:sz w:val="24"/>
          <w:szCs w:val="24"/>
          <w:u w:val="single"/>
          <w:lang w:eastAsia="en-ZA"/>
        </w:rPr>
        <w:t>must</w:t>
      </w:r>
      <w:r w:rsidRPr="004877B8">
        <w:rPr>
          <w:rFonts w:ascii="Arial" w:eastAsia="Times New Roman" w:hAnsi="Arial" w:cs="Arial"/>
          <w:color w:val="000000"/>
          <w:sz w:val="24"/>
          <w:szCs w:val="24"/>
          <w:lang w:eastAsia="en-ZA"/>
        </w:rPr>
        <w:t> file a joint status report on or before </w:t>
      </w:r>
      <w:r w:rsidRPr="004877B8">
        <w:rPr>
          <w:rFonts w:ascii="Arial" w:eastAsia="Times New Roman" w:hAnsi="Arial" w:cs="Arial"/>
          <w:color w:val="000000"/>
          <w:sz w:val="24"/>
          <w:szCs w:val="24"/>
          <w:u w:val="single"/>
          <w:lang w:eastAsia="en-ZA"/>
        </w:rPr>
        <w:t>27 July 2020</w:t>
      </w:r>
      <w:r w:rsidRPr="004877B8">
        <w:rPr>
          <w:rFonts w:ascii="Arial" w:eastAsia="Times New Roman" w:hAnsi="Arial" w:cs="Arial"/>
          <w:color w:val="000000"/>
          <w:sz w:val="24"/>
          <w:szCs w:val="24"/>
          <w:lang w:eastAsia="en-ZA"/>
        </w:rPr>
        <w:t> setting out the further conduct of the matter. </w:t>
      </w:r>
    </w:p>
    <w:p w:rsidR="00007FA0" w:rsidRPr="004B5E3E" w:rsidRDefault="00007FA0" w:rsidP="00FD61F8">
      <w:pPr>
        <w:spacing w:after="0" w:line="360" w:lineRule="auto"/>
        <w:jc w:val="both"/>
        <w:rPr>
          <w:rFonts w:ascii="Arial" w:hAnsi="Arial" w:cs="Arial"/>
        </w:rPr>
      </w:pPr>
    </w:p>
    <w:p w:rsidR="00007FA0" w:rsidRDefault="00007FA0" w:rsidP="00FD61F8">
      <w:pPr>
        <w:spacing w:after="0" w:line="360" w:lineRule="auto"/>
        <w:jc w:val="both"/>
        <w:rPr>
          <w:rFonts w:ascii="Arial" w:hAnsi="Arial" w:cs="Arial"/>
        </w:rPr>
      </w:pPr>
    </w:p>
    <w:p w:rsidR="00AD139F" w:rsidRDefault="00AD139F" w:rsidP="00FD61F8">
      <w:pPr>
        <w:spacing w:after="0" w:line="360" w:lineRule="auto"/>
        <w:jc w:val="both"/>
        <w:rPr>
          <w:rFonts w:ascii="Arial" w:hAnsi="Arial" w:cs="Arial"/>
        </w:rPr>
      </w:pPr>
    </w:p>
    <w:p w:rsidR="00AD139F" w:rsidRPr="004B5E3E" w:rsidRDefault="00AD139F" w:rsidP="00FD61F8">
      <w:pPr>
        <w:spacing w:after="0" w:line="360" w:lineRule="auto"/>
        <w:jc w:val="both"/>
        <w:rPr>
          <w:rFonts w:ascii="Arial" w:hAnsi="Arial" w:cs="Arial"/>
        </w:rPr>
      </w:pPr>
    </w:p>
    <w:p w:rsidR="00007FA0" w:rsidRPr="004B5E3E" w:rsidRDefault="00007FA0" w:rsidP="00FD61F8">
      <w:pPr>
        <w:spacing w:after="0" w:line="360" w:lineRule="auto"/>
        <w:jc w:val="both"/>
        <w:rPr>
          <w:rFonts w:ascii="Arial" w:hAnsi="Arial" w:cs="Arial"/>
        </w:rPr>
      </w:pPr>
    </w:p>
    <w:p w:rsidR="00007FA0" w:rsidRPr="004B5E3E" w:rsidRDefault="00007FA0" w:rsidP="00FD61F8">
      <w:pPr>
        <w:spacing w:after="0" w:line="360" w:lineRule="auto"/>
        <w:ind w:left="6480"/>
        <w:jc w:val="both"/>
        <w:rPr>
          <w:rFonts w:ascii="Arial" w:hAnsi="Arial" w:cs="Arial"/>
        </w:rPr>
      </w:pPr>
      <w:r w:rsidRPr="004B5E3E">
        <w:rPr>
          <w:rFonts w:ascii="Arial" w:hAnsi="Arial" w:cs="Arial"/>
        </w:rPr>
        <w:t>____________________</w:t>
      </w:r>
    </w:p>
    <w:p w:rsidR="00007FA0" w:rsidRPr="004B5E3E" w:rsidRDefault="00007FA0" w:rsidP="00FD61F8">
      <w:pPr>
        <w:spacing w:after="0" w:line="360" w:lineRule="auto"/>
        <w:ind w:left="6480"/>
        <w:jc w:val="both"/>
        <w:rPr>
          <w:rFonts w:ascii="Arial" w:hAnsi="Arial" w:cs="Arial"/>
          <w:sz w:val="24"/>
          <w:szCs w:val="24"/>
        </w:rPr>
      </w:pPr>
      <w:r w:rsidRPr="004B5E3E">
        <w:rPr>
          <w:rFonts w:ascii="Arial" w:hAnsi="Arial" w:cs="Arial"/>
          <w:sz w:val="24"/>
          <w:szCs w:val="24"/>
        </w:rPr>
        <w:t>J S Prinsloo</w:t>
      </w:r>
    </w:p>
    <w:p w:rsidR="009058AD" w:rsidRDefault="00007FA0" w:rsidP="00036B27">
      <w:pPr>
        <w:spacing w:after="0" w:line="360" w:lineRule="auto"/>
        <w:ind w:left="6480"/>
        <w:jc w:val="both"/>
        <w:rPr>
          <w:rFonts w:ascii="Arial" w:hAnsi="Arial" w:cs="Arial"/>
          <w:sz w:val="24"/>
          <w:szCs w:val="24"/>
        </w:rPr>
      </w:pPr>
      <w:r w:rsidRPr="004B5E3E">
        <w:rPr>
          <w:rFonts w:ascii="Arial" w:hAnsi="Arial" w:cs="Arial"/>
          <w:sz w:val="24"/>
          <w:szCs w:val="24"/>
        </w:rPr>
        <w:t>Judge</w:t>
      </w:r>
    </w:p>
    <w:p w:rsidR="009058AD" w:rsidRDefault="009058AD" w:rsidP="00FD61F8">
      <w:pPr>
        <w:spacing w:after="0" w:line="360" w:lineRule="auto"/>
        <w:jc w:val="both"/>
        <w:rPr>
          <w:rFonts w:ascii="Arial" w:hAnsi="Arial" w:cs="Arial"/>
          <w:sz w:val="24"/>
          <w:szCs w:val="24"/>
        </w:rPr>
      </w:pPr>
    </w:p>
    <w:p w:rsidR="00507BFA" w:rsidRPr="004B5E3E" w:rsidRDefault="00507BFA" w:rsidP="00FD61F8">
      <w:pPr>
        <w:spacing w:after="0" w:line="360" w:lineRule="auto"/>
        <w:jc w:val="both"/>
        <w:rPr>
          <w:rFonts w:ascii="Arial" w:hAnsi="Arial" w:cs="Arial"/>
          <w:sz w:val="24"/>
          <w:szCs w:val="24"/>
        </w:rPr>
      </w:pPr>
      <w:r w:rsidRPr="004B5E3E">
        <w:rPr>
          <w:rFonts w:ascii="Arial" w:hAnsi="Arial" w:cs="Arial"/>
          <w:sz w:val="24"/>
          <w:szCs w:val="24"/>
        </w:rPr>
        <w:t>APPEARANCES</w:t>
      </w:r>
    </w:p>
    <w:p w:rsidR="00507BFA" w:rsidRPr="004B5E3E" w:rsidRDefault="00507BFA" w:rsidP="00FD61F8">
      <w:pPr>
        <w:spacing w:after="0" w:line="360" w:lineRule="auto"/>
        <w:contextualSpacing/>
        <w:rPr>
          <w:rFonts w:ascii="Arial" w:eastAsia="Calibri" w:hAnsi="Arial" w:cs="Arial"/>
          <w:sz w:val="24"/>
          <w:szCs w:val="24"/>
        </w:rPr>
      </w:pPr>
    </w:p>
    <w:p w:rsidR="00507BFA" w:rsidRPr="004B5E3E" w:rsidRDefault="00507BFA" w:rsidP="00FD61F8">
      <w:pPr>
        <w:spacing w:after="0" w:line="360" w:lineRule="auto"/>
        <w:contextualSpacing/>
        <w:rPr>
          <w:rFonts w:ascii="Arial" w:eastAsia="Calibri" w:hAnsi="Arial" w:cs="Arial"/>
          <w:sz w:val="24"/>
          <w:szCs w:val="24"/>
        </w:rPr>
      </w:pPr>
      <w:r w:rsidRPr="004B5E3E">
        <w:rPr>
          <w:rFonts w:ascii="Arial" w:eastAsia="Calibri" w:hAnsi="Arial" w:cs="Arial"/>
          <w:sz w:val="24"/>
          <w:szCs w:val="24"/>
        </w:rPr>
        <w:t>P</w:t>
      </w:r>
      <w:r w:rsidR="005A63FC">
        <w:rPr>
          <w:rFonts w:ascii="Arial" w:eastAsia="Calibri" w:hAnsi="Arial" w:cs="Arial"/>
          <w:sz w:val="24"/>
          <w:szCs w:val="24"/>
        </w:rPr>
        <w:t xml:space="preserve">LAINTIFF: </w:t>
      </w:r>
      <w:r w:rsidR="005A63FC">
        <w:rPr>
          <w:rFonts w:ascii="Arial" w:eastAsia="Calibri" w:hAnsi="Arial" w:cs="Arial"/>
          <w:sz w:val="24"/>
          <w:szCs w:val="24"/>
        </w:rPr>
        <w:tab/>
      </w:r>
      <w:r w:rsidR="005A63FC">
        <w:rPr>
          <w:rFonts w:ascii="Arial" w:eastAsia="Calibri" w:hAnsi="Arial" w:cs="Arial"/>
          <w:sz w:val="24"/>
          <w:szCs w:val="24"/>
        </w:rPr>
        <w:tab/>
      </w:r>
      <w:r w:rsidR="005A63FC">
        <w:rPr>
          <w:rFonts w:ascii="Arial" w:eastAsia="Calibri" w:hAnsi="Arial" w:cs="Arial"/>
          <w:sz w:val="24"/>
          <w:szCs w:val="24"/>
        </w:rPr>
        <w:tab/>
      </w:r>
      <w:r w:rsidR="005A63FC">
        <w:rPr>
          <w:rFonts w:ascii="Arial" w:eastAsia="Calibri" w:hAnsi="Arial" w:cs="Arial"/>
          <w:sz w:val="24"/>
          <w:szCs w:val="24"/>
        </w:rPr>
        <w:tab/>
      </w:r>
      <w:r w:rsidR="005A63FC">
        <w:rPr>
          <w:rFonts w:ascii="Arial" w:eastAsia="Calibri" w:hAnsi="Arial" w:cs="Arial"/>
          <w:sz w:val="24"/>
          <w:szCs w:val="24"/>
        </w:rPr>
        <w:tab/>
      </w:r>
      <w:r w:rsidR="00E521EE">
        <w:rPr>
          <w:rFonts w:ascii="Arial" w:eastAsia="Calibri" w:hAnsi="Arial" w:cs="Arial"/>
          <w:sz w:val="24"/>
          <w:szCs w:val="24"/>
        </w:rPr>
        <w:t>JP Jones</w:t>
      </w:r>
      <w:r w:rsidRPr="004B5E3E">
        <w:rPr>
          <w:rFonts w:ascii="Arial" w:eastAsia="Calibri" w:hAnsi="Arial" w:cs="Arial"/>
          <w:sz w:val="24"/>
          <w:szCs w:val="24"/>
        </w:rPr>
        <w:t xml:space="preserve"> assisted by</w:t>
      </w:r>
      <w:r w:rsidRPr="004B5E3E">
        <w:rPr>
          <w:rFonts w:ascii="Arial" w:eastAsia="Calibri" w:hAnsi="Arial" w:cs="Arial"/>
          <w:sz w:val="24"/>
          <w:szCs w:val="24"/>
        </w:rPr>
        <w:tab/>
      </w:r>
      <w:r w:rsidRPr="004B5E3E">
        <w:rPr>
          <w:rFonts w:ascii="Arial" w:eastAsia="Calibri" w:hAnsi="Arial" w:cs="Arial"/>
          <w:sz w:val="24"/>
          <w:szCs w:val="24"/>
        </w:rPr>
        <w:tab/>
      </w:r>
      <w:r w:rsidRPr="004B5E3E">
        <w:rPr>
          <w:rFonts w:ascii="Arial" w:eastAsia="Calibri" w:hAnsi="Arial" w:cs="Arial"/>
          <w:sz w:val="24"/>
          <w:szCs w:val="24"/>
        </w:rPr>
        <w:tab/>
      </w:r>
      <w:r w:rsidRPr="004B5E3E">
        <w:rPr>
          <w:rFonts w:ascii="Arial" w:eastAsia="Calibri" w:hAnsi="Arial" w:cs="Arial"/>
          <w:sz w:val="24"/>
          <w:szCs w:val="24"/>
        </w:rPr>
        <w:tab/>
        <w:t xml:space="preserve"> </w:t>
      </w:r>
      <w:r w:rsidR="005A63FC">
        <w:rPr>
          <w:rFonts w:ascii="Arial" w:eastAsia="Calibri" w:hAnsi="Arial" w:cs="Arial"/>
          <w:sz w:val="24"/>
          <w:szCs w:val="24"/>
        </w:rPr>
        <w:t xml:space="preserve">             </w:t>
      </w:r>
      <w:r w:rsidR="005A63FC">
        <w:rPr>
          <w:rFonts w:ascii="Arial" w:eastAsia="Calibri" w:hAnsi="Arial" w:cs="Arial"/>
          <w:sz w:val="24"/>
          <w:szCs w:val="24"/>
        </w:rPr>
        <w:tab/>
      </w:r>
      <w:r w:rsidR="005A63FC">
        <w:rPr>
          <w:rFonts w:ascii="Arial" w:eastAsia="Calibri" w:hAnsi="Arial" w:cs="Arial"/>
          <w:sz w:val="24"/>
          <w:szCs w:val="24"/>
        </w:rPr>
        <w:tab/>
      </w:r>
      <w:r w:rsidR="005A63FC">
        <w:rPr>
          <w:rFonts w:ascii="Arial" w:eastAsia="Calibri" w:hAnsi="Arial" w:cs="Arial"/>
          <w:sz w:val="24"/>
          <w:szCs w:val="24"/>
        </w:rPr>
        <w:tab/>
      </w:r>
      <w:r w:rsidR="005A63FC">
        <w:rPr>
          <w:rFonts w:ascii="Arial" w:eastAsia="Calibri" w:hAnsi="Arial" w:cs="Arial"/>
          <w:sz w:val="24"/>
          <w:szCs w:val="24"/>
        </w:rPr>
        <w:tab/>
      </w:r>
      <w:r w:rsidRPr="004B5E3E">
        <w:rPr>
          <w:rFonts w:ascii="Arial" w:eastAsia="Calibri" w:hAnsi="Arial" w:cs="Arial"/>
          <w:sz w:val="24"/>
          <w:szCs w:val="24"/>
        </w:rPr>
        <w:t xml:space="preserve">Instructed by </w:t>
      </w:r>
      <w:r w:rsidR="00E521EE" w:rsidRPr="004B5E3E">
        <w:rPr>
          <w:rFonts w:ascii="Arial" w:hAnsi="Arial" w:cs="Arial"/>
          <w:sz w:val="24"/>
          <w:szCs w:val="24"/>
        </w:rPr>
        <w:t xml:space="preserve">Ellis </w:t>
      </w:r>
      <w:proofErr w:type="spellStart"/>
      <w:r w:rsidR="00E521EE" w:rsidRPr="004B5E3E">
        <w:rPr>
          <w:rFonts w:ascii="Arial" w:hAnsi="Arial" w:cs="Arial"/>
          <w:sz w:val="24"/>
          <w:szCs w:val="24"/>
        </w:rPr>
        <w:t>Shilengudwa</w:t>
      </w:r>
      <w:proofErr w:type="spellEnd"/>
      <w:r w:rsidR="00E521EE" w:rsidRPr="004B5E3E">
        <w:rPr>
          <w:rFonts w:ascii="Arial" w:hAnsi="Arial" w:cs="Arial"/>
          <w:sz w:val="24"/>
          <w:szCs w:val="24"/>
        </w:rPr>
        <w:t xml:space="preserve"> </w:t>
      </w:r>
      <w:proofErr w:type="spellStart"/>
      <w:r w:rsidR="00E521EE" w:rsidRPr="004B5E3E">
        <w:rPr>
          <w:rFonts w:ascii="Arial" w:hAnsi="Arial" w:cs="Arial"/>
          <w:sz w:val="24"/>
          <w:szCs w:val="24"/>
        </w:rPr>
        <w:t>Inc</w:t>
      </w:r>
      <w:proofErr w:type="spellEnd"/>
    </w:p>
    <w:p w:rsidR="00507BFA" w:rsidRPr="004B5E3E" w:rsidRDefault="005A63FC" w:rsidP="00FD61F8">
      <w:pPr>
        <w:spacing w:after="0"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507BFA" w:rsidRPr="004B5E3E">
        <w:rPr>
          <w:rFonts w:ascii="Arial" w:eastAsia="Calibri" w:hAnsi="Arial" w:cs="Arial"/>
          <w:sz w:val="24"/>
          <w:szCs w:val="24"/>
        </w:rPr>
        <w:t>Windhoek</w:t>
      </w:r>
    </w:p>
    <w:p w:rsidR="00507BFA" w:rsidRPr="004B5E3E" w:rsidRDefault="00507BFA" w:rsidP="00FD61F8">
      <w:pPr>
        <w:spacing w:after="0" w:line="360" w:lineRule="auto"/>
        <w:contextualSpacing/>
        <w:rPr>
          <w:rFonts w:ascii="Arial" w:eastAsia="Calibri" w:hAnsi="Arial" w:cs="Arial"/>
          <w:sz w:val="24"/>
          <w:szCs w:val="24"/>
        </w:rPr>
      </w:pPr>
    </w:p>
    <w:p w:rsidR="00507BFA" w:rsidRPr="004B5E3E" w:rsidRDefault="005A63FC" w:rsidP="00FD61F8">
      <w:pPr>
        <w:spacing w:after="0" w:line="360" w:lineRule="auto"/>
        <w:contextualSpacing/>
        <w:rPr>
          <w:rFonts w:ascii="Arial" w:eastAsia="Calibri" w:hAnsi="Arial" w:cs="Arial"/>
          <w:sz w:val="24"/>
          <w:szCs w:val="24"/>
        </w:rPr>
      </w:pPr>
      <w:r>
        <w:rPr>
          <w:rFonts w:ascii="Arial" w:eastAsia="Calibri" w:hAnsi="Arial" w:cs="Arial"/>
          <w:sz w:val="24"/>
          <w:szCs w:val="24"/>
        </w:rPr>
        <w:t>DEFENDANT: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521EE">
        <w:rPr>
          <w:rFonts w:ascii="Arial" w:eastAsia="Calibri" w:hAnsi="Arial" w:cs="Arial"/>
          <w:sz w:val="24"/>
          <w:szCs w:val="24"/>
        </w:rPr>
        <w:t>T Barnard</w:t>
      </w:r>
      <w:r w:rsidR="00507BFA" w:rsidRPr="004B5E3E">
        <w:rPr>
          <w:rFonts w:ascii="Arial" w:eastAsia="Calibri" w:hAnsi="Arial" w:cs="Arial"/>
          <w:sz w:val="24"/>
          <w:szCs w:val="24"/>
        </w:rPr>
        <w:t xml:space="preserve">                                                  </w:t>
      </w:r>
    </w:p>
    <w:p w:rsidR="00507BFA" w:rsidRPr="004B5E3E" w:rsidRDefault="005A63FC" w:rsidP="00FD61F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7BFA" w:rsidRPr="004B5E3E">
        <w:rPr>
          <w:rFonts w:ascii="Arial" w:hAnsi="Arial" w:cs="Arial"/>
          <w:sz w:val="24"/>
          <w:szCs w:val="24"/>
        </w:rPr>
        <w:t xml:space="preserve">Instructed by </w:t>
      </w:r>
      <w:r w:rsidR="00E521EE">
        <w:rPr>
          <w:rFonts w:ascii="Arial" w:hAnsi="Arial" w:cs="Arial"/>
          <w:sz w:val="24"/>
          <w:szCs w:val="24"/>
        </w:rPr>
        <w:t xml:space="preserve">Dr </w:t>
      </w:r>
      <w:proofErr w:type="spellStart"/>
      <w:r w:rsidR="00E521EE">
        <w:rPr>
          <w:rFonts w:ascii="Arial" w:hAnsi="Arial" w:cs="Arial"/>
          <w:sz w:val="24"/>
          <w:szCs w:val="24"/>
        </w:rPr>
        <w:t>Weder</w:t>
      </w:r>
      <w:proofErr w:type="spellEnd"/>
      <w:r w:rsidR="00E521EE">
        <w:rPr>
          <w:rFonts w:ascii="Arial" w:hAnsi="Arial" w:cs="Arial"/>
          <w:sz w:val="24"/>
          <w:szCs w:val="24"/>
        </w:rPr>
        <w:t xml:space="preserve"> </w:t>
      </w:r>
      <w:proofErr w:type="spellStart"/>
      <w:r w:rsidR="00E521EE">
        <w:rPr>
          <w:rFonts w:ascii="Arial" w:hAnsi="Arial" w:cs="Arial"/>
          <w:sz w:val="24"/>
          <w:szCs w:val="24"/>
        </w:rPr>
        <w:t>Kauta</w:t>
      </w:r>
      <w:proofErr w:type="spellEnd"/>
      <w:r w:rsidR="00E521EE">
        <w:rPr>
          <w:rFonts w:ascii="Arial" w:hAnsi="Arial" w:cs="Arial"/>
          <w:sz w:val="24"/>
          <w:szCs w:val="24"/>
        </w:rPr>
        <w:t xml:space="preserve"> </w:t>
      </w:r>
      <w:proofErr w:type="spellStart"/>
      <w:r w:rsidR="00E521EE">
        <w:rPr>
          <w:rFonts w:ascii="Arial" w:hAnsi="Arial" w:cs="Arial"/>
          <w:sz w:val="24"/>
          <w:szCs w:val="24"/>
        </w:rPr>
        <w:t>Hoveka</w:t>
      </w:r>
      <w:proofErr w:type="spellEnd"/>
      <w:r w:rsidR="00507BFA" w:rsidRPr="004B5E3E">
        <w:rPr>
          <w:rFonts w:ascii="Arial" w:hAnsi="Arial" w:cs="Arial"/>
          <w:sz w:val="24"/>
          <w:szCs w:val="24"/>
        </w:rPr>
        <w:t>.</w:t>
      </w:r>
    </w:p>
    <w:p w:rsidR="00507BFA" w:rsidRPr="004B5E3E" w:rsidRDefault="005A63FC" w:rsidP="00FD61F8">
      <w:pPr>
        <w:spacing w:after="0" w:line="36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7BFA" w:rsidRPr="004B5E3E">
        <w:rPr>
          <w:rFonts w:ascii="Arial" w:hAnsi="Arial" w:cs="Arial"/>
          <w:sz w:val="24"/>
          <w:szCs w:val="24"/>
        </w:rPr>
        <w:t>Windhoek</w:t>
      </w:r>
    </w:p>
    <w:p w:rsidR="00507BFA" w:rsidRPr="004B5E3E" w:rsidRDefault="00507BFA" w:rsidP="00FD61F8">
      <w:pPr>
        <w:pStyle w:val="western"/>
        <w:shd w:val="clear" w:color="auto" w:fill="FFFFFF"/>
        <w:spacing w:before="0" w:beforeAutospacing="0" w:after="0" w:afterAutospacing="0" w:line="360" w:lineRule="auto"/>
        <w:ind w:left="1080"/>
        <w:jc w:val="both"/>
        <w:rPr>
          <w:rFonts w:ascii="Arial" w:hAnsi="Arial" w:cs="Arial"/>
        </w:rPr>
      </w:pPr>
    </w:p>
    <w:sectPr w:rsidR="00507BFA" w:rsidRPr="004B5E3E" w:rsidSect="007B5AA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2A" w:rsidRDefault="00617B2A" w:rsidP="00ED09EA">
      <w:pPr>
        <w:spacing w:after="0" w:line="240" w:lineRule="auto"/>
      </w:pPr>
      <w:r>
        <w:separator/>
      </w:r>
    </w:p>
  </w:endnote>
  <w:endnote w:type="continuationSeparator" w:id="0">
    <w:p w:rsidR="00617B2A" w:rsidRDefault="00617B2A" w:rsidP="00ED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2A" w:rsidRDefault="00617B2A" w:rsidP="00ED09EA">
      <w:pPr>
        <w:spacing w:after="0" w:line="240" w:lineRule="auto"/>
      </w:pPr>
      <w:r>
        <w:separator/>
      </w:r>
    </w:p>
  </w:footnote>
  <w:footnote w:type="continuationSeparator" w:id="0">
    <w:p w:rsidR="00617B2A" w:rsidRDefault="00617B2A" w:rsidP="00ED09EA">
      <w:pPr>
        <w:spacing w:after="0" w:line="240" w:lineRule="auto"/>
      </w:pPr>
      <w:r>
        <w:continuationSeparator/>
      </w:r>
    </w:p>
  </w:footnote>
  <w:footnote w:id="1">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The parties will be referred to as they are in the main action.</w:t>
      </w:r>
    </w:p>
  </w:footnote>
  <w:footnote w:id="2">
    <w:p w:rsidR="00AD139F" w:rsidRPr="00104C44" w:rsidRDefault="00AD139F" w:rsidP="005D4EEA">
      <w:pPr>
        <w:pStyle w:val="western"/>
        <w:shd w:val="clear" w:color="auto" w:fill="FFFFFF"/>
        <w:spacing w:before="0" w:beforeAutospacing="0" w:after="0" w:afterAutospacing="0" w:line="360" w:lineRule="auto"/>
        <w:jc w:val="both"/>
        <w:rPr>
          <w:rFonts w:ascii="Arial" w:hAnsi="Arial" w:cs="Arial"/>
          <w:sz w:val="20"/>
          <w:szCs w:val="20"/>
          <w:lang w:val="af-ZA"/>
        </w:rPr>
      </w:pPr>
      <w:r w:rsidRPr="00104C44">
        <w:rPr>
          <w:rStyle w:val="FootnoteReference"/>
          <w:rFonts w:ascii="Arial" w:hAnsi="Arial" w:cs="Arial"/>
          <w:sz w:val="20"/>
          <w:szCs w:val="20"/>
        </w:rPr>
        <w:footnoteRef/>
      </w:r>
      <w:r w:rsidRPr="00104C44">
        <w:rPr>
          <w:rFonts w:ascii="Arial" w:hAnsi="Arial" w:cs="Arial"/>
          <w:sz w:val="20"/>
          <w:szCs w:val="20"/>
        </w:rPr>
        <w:t xml:space="preserve"> (HC-MD-CIV-MOT-EXP- 2017/001340 [2017] NAHCMD 142 (15 May 2017).</w:t>
      </w:r>
    </w:p>
  </w:footnote>
  <w:footnote w:id="3">
    <w:p w:rsidR="00AD139F" w:rsidRPr="00104C44" w:rsidRDefault="00AD139F" w:rsidP="00847C36">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Filed as “AN1” to the replying affidavit.</w:t>
      </w:r>
    </w:p>
  </w:footnote>
  <w:footnote w:id="4">
    <w:p w:rsidR="00AD139F" w:rsidRPr="00104C44" w:rsidRDefault="00AD139F" w:rsidP="00847C36">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1998 NR 50 (HC) at 54B</w:t>
      </w:r>
      <w:r>
        <w:rPr>
          <w:rFonts w:ascii="Arial" w:hAnsi="Arial" w:cs="Arial"/>
          <w:lang w:val="af-ZA"/>
        </w:rPr>
        <w:t>.</w:t>
      </w:r>
    </w:p>
  </w:footnote>
  <w:footnote w:id="5">
    <w:p w:rsidR="00AD139F" w:rsidRPr="00104C44" w:rsidRDefault="00AD139F" w:rsidP="00847C36">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1982 (2) S.A. 112 (W)</w:t>
      </w:r>
      <w:r>
        <w:rPr>
          <w:rFonts w:ascii="Arial" w:hAnsi="Arial" w:cs="Arial"/>
          <w:lang w:val="af-ZA"/>
        </w:rPr>
        <w:t>.</w:t>
      </w:r>
    </w:p>
  </w:footnote>
  <w:footnote w:id="6">
    <w:p w:rsidR="00AD139F" w:rsidRPr="00104C44" w:rsidRDefault="00AD139F" w:rsidP="00847C36">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1989 (3) S.A 431 (E)</w:t>
      </w:r>
      <w:r>
        <w:rPr>
          <w:rFonts w:ascii="Arial" w:hAnsi="Arial" w:cs="Arial"/>
          <w:lang w:val="af-ZA"/>
        </w:rPr>
        <w:t>.</w:t>
      </w:r>
    </w:p>
  </w:footnote>
  <w:footnote w:id="7">
    <w:p w:rsidR="00AD139F" w:rsidRPr="00104C44" w:rsidRDefault="00AD139F" w:rsidP="00847C36">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(HC-MD-MOT-GEN-2020/00089) [2020] NAHCMD 122 (26 March 2020).</w:t>
      </w:r>
    </w:p>
  </w:footnote>
  <w:footnote w:id="8">
    <w:p w:rsidR="00AD139F" w:rsidRPr="00104C44" w:rsidRDefault="00AD139F" w:rsidP="00307A86">
      <w:pPr>
        <w:pStyle w:val="Heading1"/>
        <w:spacing w:before="0"/>
        <w:rPr>
          <w:rFonts w:ascii="Arial" w:hAnsi="Arial" w:cs="Arial"/>
          <w:sz w:val="20"/>
          <w:szCs w:val="20"/>
        </w:rPr>
      </w:pPr>
      <w:r w:rsidRPr="00104C44">
        <w:rPr>
          <w:rStyle w:val="FootnoteReference"/>
          <w:rFonts w:ascii="Arial" w:hAnsi="Arial" w:cs="Arial"/>
          <w:color w:val="auto"/>
          <w:sz w:val="20"/>
          <w:szCs w:val="20"/>
        </w:rPr>
        <w:footnoteRef/>
      </w:r>
      <w:r w:rsidRPr="00104C44">
        <w:rPr>
          <w:rFonts w:ascii="Arial" w:hAnsi="Arial" w:cs="Arial"/>
          <w:color w:val="auto"/>
          <w:sz w:val="20"/>
          <w:szCs w:val="20"/>
        </w:rPr>
        <w:t xml:space="preserve"> </w:t>
      </w:r>
      <w:r w:rsidRPr="00104C44">
        <w:rPr>
          <w:rFonts w:ascii="Arial" w:hAnsi="Arial" w:cs="Arial"/>
          <w:bCs/>
          <w:color w:val="auto"/>
          <w:sz w:val="20"/>
          <w:szCs w:val="20"/>
        </w:rPr>
        <w:t>(LC 7/2010) [2010] NAHC 29 (26 March 2010)</w:t>
      </w:r>
      <w:r>
        <w:rPr>
          <w:rFonts w:ascii="Arial" w:hAnsi="Arial" w:cs="Arial"/>
          <w:bCs/>
          <w:color w:val="auto"/>
          <w:sz w:val="20"/>
          <w:szCs w:val="20"/>
        </w:rPr>
        <w:t>.</w:t>
      </w:r>
    </w:p>
  </w:footnote>
  <w:footnote w:id="9">
    <w:p w:rsidR="00AD139F" w:rsidRPr="00104C44" w:rsidRDefault="00AD139F" w:rsidP="00847C36">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iCs/>
          <w:color w:val="000000"/>
          <w:shd w:val="clear" w:color="auto" w:fill="FFFFFF"/>
        </w:rPr>
        <w:t>Unreported judgment of this Court, Case LC 1/2009 delivered on 22 July 2009).</w:t>
      </w:r>
    </w:p>
  </w:footnote>
  <w:footnote w:id="10">
    <w:p w:rsidR="00AD139F" w:rsidRPr="00104C44" w:rsidRDefault="00AD139F" w:rsidP="00B104F0">
      <w:pPr>
        <w:pStyle w:val="FootnoteText"/>
        <w:jc w:val="both"/>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860672">
        <w:rPr>
          <w:rFonts w:ascii="Arial" w:hAnsi="Arial" w:cs="Arial"/>
          <w:i/>
        </w:rPr>
        <w:t xml:space="preserve">Minister of Safety and Security v </w:t>
      </w:r>
      <w:proofErr w:type="spellStart"/>
      <w:r w:rsidRPr="00860672">
        <w:rPr>
          <w:rFonts w:ascii="Arial" w:hAnsi="Arial" w:cs="Arial"/>
          <w:i/>
        </w:rPr>
        <w:t>Inyemba</w:t>
      </w:r>
      <w:proofErr w:type="spellEnd"/>
      <w:r w:rsidRPr="00104C44">
        <w:rPr>
          <w:rFonts w:ascii="Arial" w:hAnsi="Arial" w:cs="Arial"/>
        </w:rPr>
        <w:t xml:space="preserve"> (HC-MD-CIV-MOT-GEN-2019/00247) [2020] NAHCMD 170 (13 May 2020) referring to </w:t>
      </w:r>
      <w:proofErr w:type="spellStart"/>
      <w:r w:rsidRPr="00104C44">
        <w:rPr>
          <w:rFonts w:ascii="Arial" w:hAnsi="Arial" w:cs="Arial"/>
          <w:i/>
          <w:lang w:val="en-GB"/>
        </w:rPr>
        <w:t>Naholo</w:t>
      </w:r>
      <w:proofErr w:type="spellEnd"/>
      <w:r w:rsidRPr="00104C44">
        <w:rPr>
          <w:rFonts w:ascii="Arial" w:hAnsi="Arial" w:cs="Arial"/>
          <w:i/>
          <w:lang w:val="en-GB"/>
        </w:rPr>
        <w:t xml:space="preserve"> v National Union of Namibia Workers</w:t>
      </w:r>
      <w:r w:rsidRPr="00104C44">
        <w:rPr>
          <w:rFonts w:ascii="Arial" w:hAnsi="Arial" w:cs="Arial"/>
          <w:lang w:val="en-GB"/>
        </w:rPr>
        <w:t xml:space="preserve"> 2006 (2) NR (659) (HC); </w:t>
      </w:r>
      <w:r w:rsidRPr="00104C44">
        <w:rPr>
          <w:rFonts w:ascii="Arial" w:hAnsi="Arial" w:cs="Arial"/>
          <w:i/>
          <w:lang w:val="en-GB"/>
        </w:rPr>
        <w:t xml:space="preserve">South West Africa National Union v </w:t>
      </w:r>
      <w:proofErr w:type="spellStart"/>
      <w:r w:rsidRPr="00104C44">
        <w:rPr>
          <w:rFonts w:ascii="Arial" w:hAnsi="Arial" w:cs="Arial"/>
          <w:i/>
          <w:lang w:val="en-GB"/>
        </w:rPr>
        <w:t>Tjozongoro</w:t>
      </w:r>
      <w:proofErr w:type="spellEnd"/>
      <w:r w:rsidRPr="00104C44">
        <w:rPr>
          <w:rFonts w:ascii="Arial" w:hAnsi="Arial" w:cs="Arial"/>
          <w:i/>
          <w:lang w:val="en-GB"/>
        </w:rPr>
        <w:t xml:space="preserve"> and Other</w:t>
      </w:r>
      <w:r w:rsidRPr="00104C44">
        <w:rPr>
          <w:rFonts w:ascii="Arial" w:hAnsi="Arial" w:cs="Arial"/>
          <w:lang w:val="en-GB"/>
        </w:rPr>
        <w:t xml:space="preserve"> 1985 (1) SA 376 (SWA); </w:t>
      </w:r>
      <w:proofErr w:type="spellStart"/>
      <w:r w:rsidRPr="00104C44">
        <w:rPr>
          <w:rFonts w:ascii="Arial" w:hAnsi="Arial" w:cs="Arial"/>
          <w:i/>
          <w:lang w:val="en-GB"/>
        </w:rPr>
        <w:t>Wlotzkasbaken</w:t>
      </w:r>
      <w:proofErr w:type="spellEnd"/>
      <w:r w:rsidRPr="00104C44">
        <w:rPr>
          <w:rFonts w:ascii="Arial" w:hAnsi="Arial" w:cs="Arial"/>
          <w:i/>
          <w:lang w:val="en-GB"/>
        </w:rPr>
        <w:t xml:space="preserve"> Home Owners Association v </w:t>
      </w:r>
      <w:proofErr w:type="spellStart"/>
      <w:r w:rsidRPr="00104C44">
        <w:rPr>
          <w:rFonts w:ascii="Arial" w:hAnsi="Arial" w:cs="Arial"/>
          <w:i/>
          <w:lang w:val="en-GB"/>
        </w:rPr>
        <w:t>Erongo</w:t>
      </w:r>
      <w:proofErr w:type="spellEnd"/>
      <w:r w:rsidRPr="00104C44">
        <w:rPr>
          <w:rFonts w:ascii="Arial" w:hAnsi="Arial" w:cs="Arial"/>
          <w:i/>
          <w:lang w:val="en-GB"/>
        </w:rPr>
        <w:t xml:space="preserve"> Regional Council</w:t>
      </w:r>
      <w:r w:rsidRPr="00104C44">
        <w:rPr>
          <w:rFonts w:ascii="Arial" w:hAnsi="Arial" w:cs="Arial"/>
          <w:lang w:val="en-GB"/>
        </w:rPr>
        <w:t xml:space="preserve"> 2007 (2) NR 799; </w:t>
      </w:r>
      <w:r w:rsidRPr="00104C44">
        <w:rPr>
          <w:rFonts w:ascii="Arial" w:hAnsi="Arial" w:cs="Arial"/>
          <w:i/>
          <w:lang w:val="en-GB"/>
        </w:rPr>
        <w:t>JB Cooling and Refrigeration CC v Dean Jacques Willems t/a Armature Winding and Other</w:t>
      </w:r>
      <w:r w:rsidRPr="00104C44">
        <w:rPr>
          <w:rFonts w:ascii="Arial" w:hAnsi="Arial" w:cs="Arial"/>
          <w:lang w:val="en-GB"/>
        </w:rPr>
        <w:t xml:space="preserve"> (A 76/2015 [2016] HAHCMD 8 (20 January 2016); and </w:t>
      </w:r>
      <w:r w:rsidRPr="00104C44">
        <w:rPr>
          <w:rFonts w:ascii="Arial" w:hAnsi="Arial" w:cs="Arial"/>
          <w:i/>
          <w:lang w:val="en-GB"/>
        </w:rPr>
        <w:t xml:space="preserve">Standard Bank Namibia Ltd v </w:t>
      </w:r>
      <w:proofErr w:type="spellStart"/>
      <w:r w:rsidRPr="00104C44">
        <w:rPr>
          <w:rFonts w:ascii="Arial" w:hAnsi="Arial" w:cs="Arial"/>
          <w:i/>
          <w:lang w:val="en-GB"/>
        </w:rPr>
        <w:t>Nekwaya</w:t>
      </w:r>
      <w:proofErr w:type="spellEnd"/>
      <w:r w:rsidRPr="00104C44">
        <w:rPr>
          <w:rFonts w:ascii="Arial" w:hAnsi="Arial" w:cs="Arial"/>
          <w:lang w:val="en-GB"/>
        </w:rPr>
        <w:t xml:space="preserve"> (HC-MD-CIV-MOT-GEN-2020/00089 [2020] NAHCMD 122 (26 March 2020).</w:t>
      </w:r>
    </w:p>
  </w:footnote>
  <w:footnote w:id="11">
    <w:p w:rsidR="00AD139F" w:rsidRPr="00104C44" w:rsidRDefault="00AD139F" w:rsidP="00B104F0">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1957 (2) SA 347 (C)</w:t>
      </w:r>
      <w:r>
        <w:rPr>
          <w:rFonts w:ascii="Arial" w:hAnsi="Arial" w:cs="Arial"/>
        </w:rPr>
        <w:t>.</w:t>
      </w:r>
    </w:p>
  </w:footnote>
  <w:footnote w:id="12">
    <w:p w:rsidR="00AD139F" w:rsidRPr="00104C44" w:rsidRDefault="00AD139F" w:rsidP="00B104F0">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At 351 D-H</w:t>
      </w:r>
      <w:r>
        <w:rPr>
          <w:rFonts w:ascii="Arial" w:hAnsi="Arial" w:cs="Arial"/>
        </w:rPr>
        <w:t>.</w:t>
      </w:r>
    </w:p>
  </w:footnote>
  <w:footnote w:id="13">
    <w:p w:rsidR="00AD139F" w:rsidRPr="00104C44" w:rsidRDefault="00AD139F" w:rsidP="00B104F0">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At 352 A-B</w:t>
      </w:r>
      <w:r>
        <w:rPr>
          <w:rFonts w:ascii="Arial" w:hAnsi="Arial" w:cs="Arial"/>
        </w:rPr>
        <w:t>.</w:t>
      </w:r>
    </w:p>
  </w:footnote>
  <w:footnote w:id="14">
    <w:p w:rsidR="00AD139F" w:rsidRPr="00104C44" w:rsidRDefault="00AD139F" w:rsidP="00B104F0">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Also see </w:t>
      </w:r>
      <w:proofErr w:type="spellStart"/>
      <w:r w:rsidRPr="00104C44">
        <w:rPr>
          <w:rFonts w:ascii="Arial" w:hAnsi="Arial" w:cs="Arial"/>
          <w:i/>
        </w:rPr>
        <w:t>Otjozondu</w:t>
      </w:r>
      <w:proofErr w:type="spellEnd"/>
      <w:r w:rsidRPr="00104C44">
        <w:rPr>
          <w:rFonts w:ascii="Arial" w:hAnsi="Arial" w:cs="Arial"/>
          <w:i/>
        </w:rPr>
        <w:t xml:space="preserve"> Mining v Purity Manganese </w:t>
      </w:r>
      <w:r w:rsidRPr="00104C44">
        <w:rPr>
          <w:rFonts w:ascii="Arial" w:hAnsi="Arial" w:cs="Arial"/>
        </w:rPr>
        <w:t xml:space="preserve">2011 (1) NR 298; </w:t>
      </w:r>
      <w:proofErr w:type="spellStart"/>
      <w:r w:rsidRPr="00104C44">
        <w:rPr>
          <w:rFonts w:ascii="Arial" w:hAnsi="Arial" w:cs="Arial"/>
          <w:i/>
        </w:rPr>
        <w:t>Wlotzkasbaken</w:t>
      </w:r>
      <w:proofErr w:type="spellEnd"/>
      <w:r w:rsidRPr="00104C44">
        <w:rPr>
          <w:rFonts w:ascii="Arial" w:hAnsi="Arial" w:cs="Arial"/>
          <w:i/>
        </w:rPr>
        <w:t xml:space="preserve"> Home Owners </w:t>
      </w:r>
      <w:proofErr w:type="spellStart"/>
      <w:r w:rsidRPr="00104C44">
        <w:rPr>
          <w:rFonts w:ascii="Arial" w:hAnsi="Arial" w:cs="Arial"/>
          <w:i/>
        </w:rPr>
        <w:t>Assoc</w:t>
      </w:r>
      <w:proofErr w:type="spellEnd"/>
      <w:r w:rsidRPr="00104C44">
        <w:rPr>
          <w:rFonts w:ascii="Arial" w:hAnsi="Arial" w:cs="Arial"/>
          <w:i/>
        </w:rPr>
        <w:t xml:space="preserve"> v </w:t>
      </w:r>
      <w:proofErr w:type="spellStart"/>
      <w:r w:rsidRPr="00104C44">
        <w:rPr>
          <w:rFonts w:ascii="Arial" w:hAnsi="Arial" w:cs="Arial"/>
          <w:i/>
        </w:rPr>
        <w:t>Erongo</w:t>
      </w:r>
      <w:proofErr w:type="spellEnd"/>
      <w:r w:rsidRPr="00104C44">
        <w:rPr>
          <w:rFonts w:ascii="Arial" w:hAnsi="Arial" w:cs="Arial"/>
          <w:i/>
        </w:rPr>
        <w:t xml:space="preserve"> Regional Council</w:t>
      </w:r>
      <w:r w:rsidRPr="00104C44">
        <w:rPr>
          <w:rFonts w:ascii="Arial" w:hAnsi="Arial" w:cs="Arial"/>
        </w:rPr>
        <w:t xml:space="preserve"> 2007 (2) NR 799, (HC), para 13; </w:t>
      </w:r>
      <w:proofErr w:type="spellStart"/>
      <w:r w:rsidRPr="00104C44">
        <w:rPr>
          <w:rFonts w:ascii="Arial" w:hAnsi="Arial" w:cs="Arial"/>
          <w:i/>
        </w:rPr>
        <w:t>Serengetti</w:t>
      </w:r>
      <w:proofErr w:type="spellEnd"/>
      <w:r w:rsidRPr="00104C44">
        <w:rPr>
          <w:rFonts w:ascii="Arial" w:hAnsi="Arial" w:cs="Arial"/>
          <w:i/>
        </w:rPr>
        <w:t xml:space="preserve"> Tourism (Pty) Ltd t/</w:t>
      </w:r>
      <w:proofErr w:type="gramStart"/>
      <w:r w:rsidRPr="00104C44">
        <w:rPr>
          <w:rFonts w:ascii="Arial" w:hAnsi="Arial" w:cs="Arial"/>
          <w:i/>
        </w:rPr>
        <w:t>a</w:t>
      </w:r>
      <w:proofErr w:type="gramEnd"/>
      <w:r w:rsidRPr="00104C44">
        <w:rPr>
          <w:rFonts w:ascii="Arial" w:hAnsi="Arial" w:cs="Arial"/>
          <w:i/>
        </w:rPr>
        <w:t xml:space="preserve"> </w:t>
      </w:r>
      <w:proofErr w:type="spellStart"/>
      <w:r w:rsidRPr="00104C44">
        <w:rPr>
          <w:rFonts w:ascii="Arial" w:hAnsi="Arial" w:cs="Arial"/>
          <w:i/>
        </w:rPr>
        <w:t>Etosha</w:t>
      </w:r>
      <w:proofErr w:type="spellEnd"/>
      <w:r w:rsidRPr="00104C44">
        <w:rPr>
          <w:rFonts w:ascii="Arial" w:hAnsi="Arial" w:cs="Arial"/>
          <w:i/>
        </w:rPr>
        <w:t xml:space="preserve"> Mountain Lodge v Baard </w:t>
      </w:r>
      <w:r w:rsidRPr="00104C44">
        <w:rPr>
          <w:rFonts w:ascii="Arial" w:hAnsi="Arial" w:cs="Arial"/>
        </w:rPr>
        <w:t>(A 276/2014) [2016] NAHCMD 117 (21 April 2016)</w:t>
      </w:r>
      <w:r>
        <w:rPr>
          <w:rFonts w:ascii="Arial" w:hAnsi="Arial" w:cs="Arial"/>
        </w:rPr>
        <w:t>.</w:t>
      </w:r>
    </w:p>
  </w:footnote>
  <w:footnote w:id="15">
    <w:p w:rsidR="00AD139F" w:rsidRPr="00104C44" w:rsidRDefault="00AD139F" w:rsidP="00B104F0">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proofErr w:type="spellStart"/>
      <w:r w:rsidRPr="00104C44">
        <w:rPr>
          <w:rFonts w:ascii="Arial" w:hAnsi="Arial" w:cs="Arial"/>
          <w:bCs/>
          <w:i/>
        </w:rPr>
        <w:t>Ganes</w:t>
      </w:r>
      <w:proofErr w:type="spellEnd"/>
      <w:r w:rsidRPr="00104C44">
        <w:rPr>
          <w:rFonts w:ascii="Arial" w:hAnsi="Arial" w:cs="Arial"/>
          <w:bCs/>
          <w:i/>
        </w:rPr>
        <w:t xml:space="preserve"> v Telecom Namibia Ltd </w:t>
      </w:r>
      <w:r w:rsidRPr="00104C44">
        <w:rPr>
          <w:rFonts w:ascii="Arial" w:hAnsi="Arial" w:cs="Arial"/>
          <w:bCs/>
        </w:rPr>
        <w:t>2004 (3) SA 615 (SCA) at 624G – H para [19].</w:t>
      </w:r>
    </w:p>
  </w:footnote>
  <w:footnote w:id="16">
    <w:p w:rsidR="00AD139F" w:rsidRPr="00104C44" w:rsidRDefault="00AD139F">
      <w:pPr>
        <w:pStyle w:val="FootnoteText"/>
        <w:rPr>
          <w:rFonts w:ascii="Arial" w:hAnsi="Arial" w:cs="Arial"/>
          <w:color w:val="00B0F0"/>
          <w:lang w:val="af-ZA"/>
        </w:rPr>
      </w:pPr>
      <w:r w:rsidRPr="00104C44">
        <w:rPr>
          <w:rStyle w:val="FootnoteReference"/>
          <w:rFonts w:ascii="Arial" w:hAnsi="Arial" w:cs="Arial"/>
        </w:rPr>
        <w:footnoteRef/>
      </w:r>
      <w:r w:rsidRPr="00104C44">
        <w:rPr>
          <w:rFonts w:ascii="Arial" w:hAnsi="Arial" w:cs="Arial"/>
        </w:rPr>
        <w:t xml:space="preserve"> </w:t>
      </w:r>
      <w:r w:rsidRPr="00860672">
        <w:rPr>
          <w:rFonts w:ascii="Arial" w:hAnsi="Arial" w:cs="Arial"/>
          <w:i/>
          <w:lang w:val="af-ZA"/>
        </w:rPr>
        <w:t>Supra</w:t>
      </w:r>
      <w:r w:rsidRPr="00860672">
        <w:rPr>
          <w:rFonts w:ascii="Arial" w:hAnsi="Arial" w:cs="Arial"/>
          <w:lang w:val="af-ZA"/>
        </w:rPr>
        <w:t xml:space="preserve"> at 55 H-I.</w:t>
      </w:r>
    </w:p>
  </w:footnote>
  <w:footnote w:id="17">
    <w:p w:rsidR="00AD139F" w:rsidRPr="00104C44" w:rsidRDefault="00AD139F" w:rsidP="00B104F0">
      <w:pPr>
        <w:pStyle w:val="Heading1"/>
        <w:spacing w:before="0"/>
        <w:rPr>
          <w:rFonts w:ascii="Arial" w:hAnsi="Arial" w:cs="Arial"/>
          <w:sz w:val="20"/>
          <w:szCs w:val="20"/>
        </w:rPr>
      </w:pPr>
      <w:r w:rsidRPr="00104C44">
        <w:rPr>
          <w:rStyle w:val="FootnoteReference"/>
          <w:rFonts w:ascii="Arial" w:hAnsi="Arial" w:cs="Arial"/>
          <w:color w:val="auto"/>
          <w:sz w:val="20"/>
          <w:szCs w:val="20"/>
        </w:rPr>
        <w:footnoteRef/>
      </w:r>
      <w:r w:rsidRPr="00104C44">
        <w:rPr>
          <w:rFonts w:ascii="Arial" w:hAnsi="Arial" w:cs="Arial"/>
          <w:color w:val="auto"/>
          <w:sz w:val="20"/>
          <w:szCs w:val="20"/>
        </w:rPr>
        <w:t xml:space="preserve"> </w:t>
      </w:r>
      <w:r w:rsidRPr="00104C44">
        <w:rPr>
          <w:rFonts w:ascii="Arial" w:hAnsi="Arial" w:cs="Arial"/>
          <w:bCs/>
          <w:color w:val="auto"/>
          <w:sz w:val="20"/>
          <w:szCs w:val="20"/>
        </w:rPr>
        <w:t>(LC 7/2010) [2010] NAHC 29 (26 March 2010).</w:t>
      </w:r>
    </w:p>
  </w:footnote>
  <w:footnote w:id="18">
    <w:p w:rsidR="00AD139F" w:rsidRPr="00104C44" w:rsidRDefault="00AD139F" w:rsidP="00B104F0">
      <w:pPr>
        <w:pStyle w:val="FootnoteText"/>
        <w:rPr>
          <w:rFonts w:ascii="Arial" w:hAnsi="Arial" w:cs="Arial"/>
          <w:lang w:val="en-US"/>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i/>
          <w:lang w:val="en-US"/>
        </w:rPr>
        <w:t xml:space="preserve">Ibid </w:t>
      </w:r>
      <w:r w:rsidRPr="00104C44">
        <w:rPr>
          <w:rFonts w:ascii="Arial" w:hAnsi="Arial" w:cs="Arial"/>
          <w:lang w:val="en-US"/>
        </w:rPr>
        <w:t>at 439-440.</w:t>
      </w:r>
    </w:p>
  </w:footnote>
  <w:footnote w:id="19">
    <w:p w:rsidR="00AD139F" w:rsidRPr="00104C44" w:rsidRDefault="00AD139F" w:rsidP="00B104F0">
      <w:pPr>
        <w:pStyle w:val="FootnoteText"/>
        <w:rPr>
          <w:rFonts w:ascii="Arial" w:hAnsi="Arial" w:cs="Arial"/>
          <w:lang w:val="en-US"/>
        </w:rPr>
      </w:pPr>
      <w:r w:rsidRPr="00104C44">
        <w:rPr>
          <w:rStyle w:val="FootnoteReference"/>
          <w:rFonts w:ascii="Arial" w:hAnsi="Arial" w:cs="Arial"/>
        </w:rPr>
        <w:footnoteRef/>
      </w:r>
      <w:r w:rsidRPr="00104C44">
        <w:rPr>
          <w:rFonts w:ascii="Arial" w:hAnsi="Arial" w:cs="Arial"/>
        </w:rPr>
        <w:t xml:space="preserve"> </w:t>
      </w:r>
      <w:proofErr w:type="spellStart"/>
      <w:r w:rsidRPr="00860672">
        <w:rPr>
          <w:rFonts w:ascii="Arial" w:hAnsi="Arial" w:cs="Arial"/>
          <w:i/>
          <w:lang w:val="en-US"/>
        </w:rPr>
        <w:t>Stipp</w:t>
      </w:r>
      <w:proofErr w:type="spellEnd"/>
      <w:r w:rsidRPr="00860672">
        <w:rPr>
          <w:rFonts w:ascii="Arial" w:hAnsi="Arial" w:cs="Arial"/>
          <w:i/>
          <w:lang w:val="en-US"/>
        </w:rPr>
        <w:t xml:space="preserve"> and Another v Shade and Others</w:t>
      </w:r>
      <w:r w:rsidRPr="00104C44">
        <w:rPr>
          <w:rFonts w:ascii="Arial" w:hAnsi="Arial" w:cs="Arial"/>
          <w:lang w:val="en-US"/>
        </w:rPr>
        <w:t xml:space="preserve"> Ca</w:t>
      </w:r>
      <w:r>
        <w:rPr>
          <w:rFonts w:ascii="Arial" w:hAnsi="Arial" w:cs="Arial"/>
          <w:lang w:val="en-US"/>
        </w:rPr>
        <w:t xml:space="preserve">se 2007 (2) NR 627 (SC) at 634 </w:t>
      </w:r>
      <w:r w:rsidRPr="00104C44">
        <w:rPr>
          <w:rFonts w:ascii="Arial" w:hAnsi="Arial" w:cs="Arial"/>
          <w:lang w:val="en-US"/>
        </w:rPr>
        <w:t xml:space="preserve">para 29 - 31.  </w:t>
      </w:r>
    </w:p>
  </w:footnote>
  <w:footnote w:id="20">
    <w:p w:rsidR="00AD139F" w:rsidRPr="00104C44" w:rsidRDefault="00AD139F" w:rsidP="00B104F0">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(HC-CIV-MOT-GEN-2019/00225 [220] NAHCMD (9 July 2020)</w:t>
      </w:r>
      <w:r>
        <w:rPr>
          <w:rFonts w:ascii="Arial" w:hAnsi="Arial" w:cs="Arial"/>
          <w:lang w:val="af-ZA"/>
        </w:rPr>
        <w:t>.</w:t>
      </w:r>
    </w:p>
  </w:footnote>
  <w:footnote w:id="21">
    <w:p w:rsidR="00AD139F" w:rsidRPr="00104C44" w:rsidRDefault="00AD139F" w:rsidP="00B104F0">
      <w:pPr>
        <w:pStyle w:val="FootnoteText"/>
        <w:rPr>
          <w:rFonts w:ascii="Arial" w:hAnsi="Arial" w:cs="Arial"/>
          <w:lang w:val="af-ZA"/>
        </w:rPr>
      </w:pPr>
      <w:r w:rsidRPr="00104C44">
        <w:rPr>
          <w:rStyle w:val="FootnoteReference"/>
          <w:rFonts w:ascii="Arial" w:hAnsi="Arial" w:cs="Arial"/>
        </w:rPr>
        <w:footnoteRef/>
      </w:r>
      <w:r>
        <w:rPr>
          <w:rFonts w:ascii="Arial" w:hAnsi="Arial" w:cs="Arial"/>
        </w:rPr>
        <w:t xml:space="preserve"> 2017 (1) NR 178 (HC) at </w:t>
      </w:r>
      <w:r w:rsidRPr="00104C44">
        <w:rPr>
          <w:rFonts w:ascii="Arial" w:hAnsi="Arial" w:cs="Arial"/>
        </w:rPr>
        <w:t>184 para 16</w:t>
      </w:r>
      <w:r>
        <w:rPr>
          <w:rFonts w:ascii="Arial" w:hAnsi="Arial" w:cs="Arial"/>
        </w:rPr>
        <w:t>.</w:t>
      </w:r>
    </w:p>
  </w:footnote>
  <w:footnote w:id="22">
    <w:p w:rsidR="00AD139F" w:rsidRPr="00104C44" w:rsidRDefault="00AD139F" w:rsidP="00955AEC">
      <w:pPr>
        <w:spacing w:after="0" w:line="240" w:lineRule="auto"/>
        <w:jc w:val="both"/>
        <w:rPr>
          <w:rFonts w:ascii="Arial" w:hAnsi="Arial" w:cs="Arial"/>
          <w:sz w:val="20"/>
          <w:szCs w:val="20"/>
        </w:rPr>
      </w:pPr>
      <w:r w:rsidRPr="00104C44">
        <w:rPr>
          <w:rStyle w:val="FootnoteReference"/>
          <w:rFonts w:ascii="Arial" w:hAnsi="Arial" w:cs="Arial"/>
          <w:sz w:val="20"/>
          <w:szCs w:val="20"/>
        </w:rPr>
        <w:footnoteRef/>
      </w:r>
      <w:r w:rsidRPr="00104C44">
        <w:rPr>
          <w:rFonts w:ascii="Arial" w:hAnsi="Arial" w:cs="Arial"/>
          <w:sz w:val="20"/>
          <w:szCs w:val="20"/>
        </w:rPr>
        <w:t xml:space="preserve"> Rule 32 regulates interlocutory matters and applications for directions read as follows:</w:t>
      </w:r>
    </w:p>
    <w:p w:rsidR="00AD139F" w:rsidRPr="00104C44" w:rsidRDefault="00AD139F" w:rsidP="00A60972">
      <w:pPr>
        <w:spacing w:after="0" w:line="240" w:lineRule="auto"/>
        <w:jc w:val="both"/>
        <w:rPr>
          <w:rFonts w:ascii="Arial" w:hAnsi="Arial" w:cs="Arial"/>
          <w:sz w:val="20"/>
          <w:szCs w:val="20"/>
        </w:rPr>
      </w:pPr>
      <w:r w:rsidRPr="00104C44">
        <w:rPr>
          <w:rFonts w:ascii="Arial" w:hAnsi="Arial" w:cs="Arial"/>
          <w:sz w:val="20"/>
          <w:szCs w:val="20"/>
        </w:rPr>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AD139F" w:rsidRPr="00860672" w:rsidRDefault="00AD139F" w:rsidP="00860672">
      <w:pPr>
        <w:spacing w:after="0" w:line="240" w:lineRule="auto"/>
        <w:jc w:val="both"/>
        <w:rPr>
          <w:rFonts w:ascii="Arial" w:hAnsi="Arial" w:cs="Arial"/>
          <w:sz w:val="20"/>
          <w:szCs w:val="20"/>
        </w:rPr>
      </w:pPr>
      <w:r w:rsidRPr="00104C44">
        <w:rPr>
          <w:rFonts w:ascii="Arial" w:hAnsi="Arial" w:cs="Arial"/>
          <w:sz w:val="20"/>
          <w:szCs w:val="20"/>
        </w:rPr>
        <w:t>(10) The party bringing any proceeding contemplated in this rule must before, instituting the proceeding, file with the registrar details of the steps taken to have the  matter amicably resolved as contemplated in sub rule (9) without disclosing privileged information.’</w:t>
      </w:r>
    </w:p>
  </w:footnote>
  <w:footnote w:id="23">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Pr>
          <w:rFonts w:ascii="Arial" w:hAnsi="Arial" w:cs="Arial"/>
          <w:lang w:val="af-ZA"/>
        </w:rPr>
        <w:t>Para</w:t>
      </w:r>
      <w:r w:rsidRPr="00104C44">
        <w:rPr>
          <w:rFonts w:ascii="Arial" w:hAnsi="Arial" w:cs="Arial"/>
          <w:lang w:val="af-ZA"/>
        </w:rPr>
        <w:t xml:space="preserve"> 18 of the Founding affidavit.</w:t>
      </w:r>
    </w:p>
  </w:footnote>
  <w:footnote w:id="24">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i/>
          <w:shd w:val="clear" w:color="auto" w:fill="FFFFFF"/>
        </w:rPr>
        <w:t>Namibia Airports Company vs IBB Military Equipment and Accessory Supplies Close Corporation</w:t>
      </w:r>
      <w:r w:rsidRPr="00104C44">
        <w:rPr>
          <w:rFonts w:ascii="Arial" w:hAnsi="Arial" w:cs="Arial"/>
        </w:rPr>
        <w:t xml:space="preserve"> (</w:t>
      </w:r>
      <w:r w:rsidRPr="00104C44">
        <w:rPr>
          <w:rFonts w:ascii="Arial" w:hAnsi="Arial" w:cs="Arial"/>
          <w:shd w:val="clear" w:color="auto" w:fill="FFFFFF"/>
        </w:rPr>
        <w:t>HC-MD-CIV-ACT-OTH-2017/01488</w:t>
      </w:r>
      <w:r w:rsidRPr="00104C44">
        <w:rPr>
          <w:rFonts w:ascii="Arial" w:hAnsi="Arial" w:cs="Arial"/>
        </w:rPr>
        <w:t>) [2019] NAHCMD 496 (30 October 2019).</w:t>
      </w:r>
    </w:p>
  </w:footnote>
  <w:footnote w:id="25">
    <w:p w:rsidR="00AD139F" w:rsidRPr="00104C44" w:rsidRDefault="00AD139F" w:rsidP="002E2FF6">
      <w:pPr>
        <w:pStyle w:val="FootnoteText"/>
        <w:rPr>
          <w:rFonts w:ascii="Arial" w:hAnsi="Arial" w:cs="Arial"/>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shd w:val="clear" w:color="auto" w:fill="FFFFFF"/>
        </w:rPr>
        <w:t>(HC-MD-CIV-CON-2016-03020)</w:t>
      </w:r>
      <w:r w:rsidRPr="00104C44">
        <w:rPr>
          <w:rFonts w:ascii="Arial" w:hAnsi="Arial" w:cs="Arial"/>
        </w:rPr>
        <w:t xml:space="preserve"> [2017] NAHMD 78 (15 March 2017) para 16.</w:t>
      </w:r>
    </w:p>
  </w:footnote>
  <w:footnote w:id="26">
    <w:p w:rsidR="00AD139F" w:rsidRPr="00104C44" w:rsidRDefault="00AD139F" w:rsidP="00101AA7">
      <w:pPr>
        <w:pStyle w:val="FootnoteText"/>
        <w:jc w:val="both"/>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(9) If a party believes that the reason given by the other party as to why any document, analogue or digital recording is protected from discovery is not sufficient, that party may apply in terms of rule 32(4) to the managing judge for an order that such a document must be discovered.</w:t>
      </w:r>
    </w:p>
  </w:footnote>
  <w:footnote w:id="27">
    <w:p w:rsidR="00AD139F" w:rsidRPr="00104C44" w:rsidRDefault="00AD139F" w:rsidP="00101AA7">
      <w:pPr>
        <w:pStyle w:val="FootnoteText"/>
        <w:jc w:val="both"/>
        <w:rPr>
          <w:rFonts w:ascii="Arial" w:hAnsi="Arial" w:cs="Arial"/>
          <w:lang w:val="af-ZA"/>
        </w:rPr>
      </w:pPr>
      <w:r w:rsidRPr="00104C44">
        <w:rPr>
          <w:rStyle w:val="FootnoteReference"/>
          <w:rFonts w:ascii="Arial" w:hAnsi="Arial" w:cs="Arial"/>
        </w:rPr>
        <w:footnoteRef/>
      </w:r>
      <w:r w:rsidRPr="00104C44">
        <w:rPr>
          <w:rFonts w:ascii="Arial" w:hAnsi="Arial" w:cs="Arial"/>
        </w:rPr>
        <w:t>(10) The managing judge may inspect the document, analogue or digital recording referred in sub rule (9) to determine whether the party claiming the document to be protected from discovery has a valid objection</w:t>
      </w:r>
      <w:r>
        <w:rPr>
          <w:rFonts w:ascii="Arial" w:hAnsi="Arial" w:cs="Arial"/>
        </w:rPr>
        <w:t>.</w:t>
      </w:r>
    </w:p>
  </w:footnote>
  <w:footnote w:id="28">
    <w:p w:rsidR="00AD139F" w:rsidRPr="00F17E63" w:rsidRDefault="00AD139F">
      <w:pPr>
        <w:pStyle w:val="FootnoteText"/>
        <w:rPr>
          <w:rFonts w:ascii="Arial" w:hAnsi="Arial" w:cs="Arial"/>
          <w:lang w:val="en-US"/>
        </w:rPr>
      </w:pPr>
      <w:r w:rsidRPr="00104C44">
        <w:rPr>
          <w:rStyle w:val="FootnoteReference"/>
          <w:rFonts w:ascii="Arial" w:hAnsi="Arial" w:cs="Arial"/>
        </w:rPr>
        <w:footnoteRef/>
      </w:r>
      <w:r w:rsidRPr="00104C44">
        <w:rPr>
          <w:rFonts w:ascii="Arial" w:hAnsi="Arial" w:cs="Arial"/>
        </w:rPr>
        <w:t xml:space="preserve"> </w:t>
      </w:r>
      <w:r w:rsidR="00F17E63">
        <w:rPr>
          <w:rFonts w:ascii="Arial" w:hAnsi="Arial" w:cs="Arial"/>
          <w:lang w:val="en-US"/>
        </w:rPr>
        <w:t>1</w:t>
      </w:r>
      <w:r w:rsidR="00F17E63" w:rsidRPr="00F17E63">
        <w:rPr>
          <w:rFonts w:ascii="Arial" w:hAnsi="Arial" w:cs="Arial"/>
          <w:vertAlign w:val="superscript"/>
          <w:lang w:val="en-US"/>
        </w:rPr>
        <w:t>st</w:t>
      </w:r>
      <w:r w:rsidR="00F17E63">
        <w:rPr>
          <w:rFonts w:ascii="Arial" w:hAnsi="Arial" w:cs="Arial"/>
          <w:lang w:val="en-US"/>
        </w:rPr>
        <w:t xml:space="preserve"> </w:t>
      </w:r>
      <w:proofErr w:type="spellStart"/>
      <w:proofErr w:type="gramStart"/>
      <w:r w:rsidR="00F17E63">
        <w:rPr>
          <w:rFonts w:ascii="Arial" w:hAnsi="Arial" w:cs="Arial"/>
          <w:lang w:val="en-US"/>
        </w:rPr>
        <w:t>ed</w:t>
      </w:r>
      <w:proofErr w:type="spellEnd"/>
      <w:proofErr w:type="gramEnd"/>
      <w:r w:rsidR="00F17E63">
        <w:rPr>
          <w:rFonts w:ascii="Arial" w:hAnsi="Arial" w:cs="Arial"/>
          <w:lang w:val="en-US"/>
        </w:rPr>
        <w:t xml:space="preserve"> 2020.</w:t>
      </w:r>
    </w:p>
  </w:footnote>
  <w:footnote w:id="29">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00F17E63">
        <w:rPr>
          <w:rFonts w:ascii="Arial" w:hAnsi="Arial" w:cs="Arial"/>
          <w:lang w:val="af-ZA"/>
        </w:rPr>
        <w:t>Para 8-016 at 200</w:t>
      </w:r>
      <w:r w:rsidRPr="00104C44">
        <w:rPr>
          <w:rFonts w:ascii="Arial" w:hAnsi="Arial" w:cs="Arial"/>
          <w:lang w:val="af-ZA"/>
        </w:rPr>
        <w:t xml:space="preserve">. </w:t>
      </w:r>
    </w:p>
  </w:footnote>
  <w:footnote w:id="30">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00F17E63">
        <w:rPr>
          <w:rFonts w:ascii="Arial" w:hAnsi="Arial" w:cs="Arial"/>
          <w:lang w:val="af-ZA"/>
        </w:rPr>
        <w:t>Para 8-019 at 200</w:t>
      </w:r>
      <w:r w:rsidRPr="00104C44">
        <w:rPr>
          <w:rFonts w:ascii="Arial" w:hAnsi="Arial" w:cs="Arial"/>
          <w:lang w:val="af-ZA"/>
        </w:rPr>
        <w:t>.</w:t>
      </w:r>
    </w:p>
  </w:footnote>
  <w:footnote w:id="31">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A further discovery was filed on behalf of the plaintiff on 12 November 2019.</w:t>
      </w:r>
    </w:p>
  </w:footnote>
  <w:footnote w:id="32">
    <w:p w:rsidR="00AD139F" w:rsidRPr="00104C44" w:rsidRDefault="00AD139F">
      <w:pPr>
        <w:pStyle w:val="FootnoteText"/>
        <w:rPr>
          <w:rFonts w:ascii="Arial" w:hAnsi="Arial" w:cs="Arial"/>
          <w:lang w:val="en-US"/>
        </w:rPr>
      </w:pPr>
      <w:r w:rsidRPr="00104C44">
        <w:rPr>
          <w:rStyle w:val="FootnoteReference"/>
          <w:rFonts w:ascii="Arial" w:hAnsi="Arial" w:cs="Arial"/>
        </w:rPr>
        <w:footnoteRef/>
      </w:r>
      <w:r w:rsidRPr="00104C44">
        <w:rPr>
          <w:rFonts w:ascii="Arial" w:hAnsi="Arial" w:cs="Arial"/>
        </w:rPr>
        <w:t xml:space="preserve"> 24 of 1956</w:t>
      </w:r>
      <w:r>
        <w:rPr>
          <w:rFonts w:ascii="Arial" w:hAnsi="Arial" w:cs="Arial"/>
        </w:rPr>
        <w:t>.</w:t>
      </w:r>
    </w:p>
  </w:footnote>
  <w:footnote w:id="33">
    <w:p w:rsidR="00AD139F" w:rsidRPr="00104C44" w:rsidRDefault="00AD139F">
      <w:pPr>
        <w:pStyle w:val="FootnoteText"/>
        <w:rPr>
          <w:rFonts w:ascii="Arial" w:hAnsi="Arial" w:cs="Arial"/>
          <w:lang w:val="en-US"/>
        </w:rPr>
      </w:pPr>
      <w:r w:rsidRPr="00104C44">
        <w:rPr>
          <w:rStyle w:val="FootnoteReference"/>
          <w:rFonts w:ascii="Arial" w:hAnsi="Arial" w:cs="Arial"/>
        </w:rPr>
        <w:footnoteRef/>
      </w:r>
      <w:r w:rsidRPr="00104C44">
        <w:rPr>
          <w:rFonts w:ascii="Arial" w:hAnsi="Arial" w:cs="Arial"/>
        </w:rPr>
        <w:t xml:space="preserve"> 3 of 2001</w:t>
      </w:r>
      <w:r>
        <w:rPr>
          <w:rFonts w:ascii="Arial" w:hAnsi="Arial" w:cs="Arial"/>
        </w:rPr>
        <w:t>.</w:t>
      </w:r>
    </w:p>
  </w:footnote>
  <w:footnote w:id="34">
    <w:p w:rsidR="00AD139F" w:rsidRPr="00104C44" w:rsidRDefault="00AD139F">
      <w:pPr>
        <w:pStyle w:val="FootnoteText"/>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w:t>
      </w:r>
      <w:r w:rsidRPr="00104C44">
        <w:rPr>
          <w:rFonts w:ascii="Arial" w:hAnsi="Arial" w:cs="Arial"/>
          <w:lang w:val="af-ZA"/>
        </w:rPr>
        <w:t>Rule 25(2)(g)</w:t>
      </w:r>
      <w:r>
        <w:rPr>
          <w:rFonts w:ascii="Arial" w:hAnsi="Arial" w:cs="Arial"/>
          <w:lang w:val="af-ZA"/>
        </w:rPr>
        <w:t>.</w:t>
      </w:r>
    </w:p>
  </w:footnote>
  <w:footnote w:id="35">
    <w:p w:rsidR="00AD139F" w:rsidRPr="00104C44" w:rsidRDefault="00AD139F" w:rsidP="00A00D49">
      <w:pPr>
        <w:pStyle w:val="FootnoteText"/>
        <w:jc w:val="both"/>
        <w:rPr>
          <w:rFonts w:ascii="Arial" w:hAnsi="Arial" w:cs="Arial"/>
          <w:lang w:val="af-ZA"/>
        </w:rPr>
      </w:pPr>
      <w:r w:rsidRPr="00104C44">
        <w:rPr>
          <w:rStyle w:val="FootnoteReference"/>
          <w:rFonts w:ascii="Arial" w:hAnsi="Arial" w:cs="Arial"/>
        </w:rPr>
        <w:footnoteRef/>
      </w:r>
      <w:r w:rsidRPr="00104C44">
        <w:rPr>
          <w:rFonts w:ascii="Arial" w:hAnsi="Arial" w:cs="Arial"/>
        </w:rPr>
        <w:t xml:space="preserve"> 26(6) (l) particulars required and necessary for trial and the party giving trial particulars must identify by name, job title, address and telephone number of all factual witnesses who assisted in the preparation of the particulars and further identify and describe all documents that the receiving party has relied on to assist him or h</w:t>
      </w:r>
      <w:r w:rsidR="009058AD">
        <w:rPr>
          <w:rFonts w:ascii="Arial" w:hAnsi="Arial" w:cs="Arial"/>
        </w:rPr>
        <w:t>er in preparing the particulars.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28685"/>
      <w:docPartObj>
        <w:docPartGallery w:val="Page Numbers (Top of Page)"/>
        <w:docPartUnique/>
      </w:docPartObj>
    </w:sdtPr>
    <w:sdtEndPr>
      <w:rPr>
        <w:rFonts w:ascii="Arial" w:hAnsi="Arial" w:cs="Arial"/>
        <w:noProof/>
        <w:sz w:val="24"/>
        <w:szCs w:val="24"/>
      </w:rPr>
    </w:sdtEndPr>
    <w:sdtContent>
      <w:p w:rsidR="00AD139F" w:rsidRPr="007B5AAF" w:rsidRDefault="00AD139F">
        <w:pPr>
          <w:pStyle w:val="Header"/>
          <w:jc w:val="right"/>
          <w:rPr>
            <w:rFonts w:ascii="Arial" w:hAnsi="Arial" w:cs="Arial"/>
            <w:sz w:val="24"/>
            <w:szCs w:val="24"/>
          </w:rPr>
        </w:pPr>
        <w:r w:rsidRPr="007B5AAF">
          <w:rPr>
            <w:rFonts w:ascii="Arial" w:hAnsi="Arial" w:cs="Arial"/>
            <w:sz w:val="24"/>
            <w:szCs w:val="24"/>
          </w:rPr>
          <w:fldChar w:fldCharType="begin"/>
        </w:r>
        <w:r w:rsidRPr="007B5AAF">
          <w:rPr>
            <w:rFonts w:ascii="Arial" w:hAnsi="Arial" w:cs="Arial"/>
            <w:sz w:val="24"/>
            <w:szCs w:val="24"/>
          </w:rPr>
          <w:instrText xml:space="preserve"> PAGE   \* MERGEFORMAT </w:instrText>
        </w:r>
        <w:r w:rsidRPr="007B5AAF">
          <w:rPr>
            <w:rFonts w:ascii="Arial" w:hAnsi="Arial" w:cs="Arial"/>
            <w:sz w:val="24"/>
            <w:szCs w:val="24"/>
          </w:rPr>
          <w:fldChar w:fldCharType="separate"/>
        </w:r>
        <w:r w:rsidR="00965EE9">
          <w:rPr>
            <w:rFonts w:ascii="Arial" w:hAnsi="Arial" w:cs="Arial"/>
            <w:noProof/>
            <w:sz w:val="24"/>
            <w:szCs w:val="24"/>
          </w:rPr>
          <w:t>2</w:t>
        </w:r>
        <w:r w:rsidRPr="007B5AAF">
          <w:rPr>
            <w:rFonts w:ascii="Arial" w:hAnsi="Arial" w:cs="Arial"/>
            <w:noProof/>
            <w:sz w:val="24"/>
            <w:szCs w:val="24"/>
          </w:rPr>
          <w:fldChar w:fldCharType="end"/>
        </w:r>
      </w:p>
    </w:sdtContent>
  </w:sdt>
  <w:p w:rsidR="00AD139F" w:rsidRDefault="00AD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F18"/>
    <w:multiLevelType w:val="multilevel"/>
    <w:tmpl w:val="095E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34ADF"/>
    <w:multiLevelType w:val="hybridMultilevel"/>
    <w:tmpl w:val="1F7E8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590C"/>
    <w:multiLevelType w:val="hybridMultilevel"/>
    <w:tmpl w:val="60DC4BDA"/>
    <w:lvl w:ilvl="0" w:tplc="09F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25F7"/>
    <w:multiLevelType w:val="multilevel"/>
    <w:tmpl w:val="71D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21636"/>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348AE"/>
    <w:multiLevelType w:val="hybridMultilevel"/>
    <w:tmpl w:val="F796BB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8B68DE"/>
    <w:multiLevelType w:val="hybridMultilevel"/>
    <w:tmpl w:val="E0FA95BC"/>
    <w:lvl w:ilvl="0" w:tplc="4468D47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AC84B1D"/>
    <w:multiLevelType w:val="hybridMultilevel"/>
    <w:tmpl w:val="964C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A311C"/>
    <w:multiLevelType w:val="multilevel"/>
    <w:tmpl w:val="9DA0B2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C110CED"/>
    <w:multiLevelType w:val="hybridMultilevel"/>
    <w:tmpl w:val="0A5810BE"/>
    <w:lvl w:ilvl="0" w:tplc="F95852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C3633E2"/>
    <w:multiLevelType w:val="hybridMultilevel"/>
    <w:tmpl w:val="69F09F2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CD1459"/>
    <w:multiLevelType w:val="hybridMultilevel"/>
    <w:tmpl w:val="2C3C5CE6"/>
    <w:lvl w:ilvl="0" w:tplc="04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76408E7"/>
    <w:multiLevelType w:val="hybridMultilevel"/>
    <w:tmpl w:val="57D4B710"/>
    <w:lvl w:ilvl="0" w:tplc="5FDE59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C5C184C"/>
    <w:multiLevelType w:val="hybridMultilevel"/>
    <w:tmpl w:val="86B8A1BA"/>
    <w:lvl w:ilvl="0" w:tplc="C0C268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200003A"/>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7A83"/>
    <w:multiLevelType w:val="hybridMultilevel"/>
    <w:tmpl w:val="3F342C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6D3C6A"/>
    <w:multiLevelType w:val="hybridMultilevel"/>
    <w:tmpl w:val="2C52BC4E"/>
    <w:lvl w:ilvl="0" w:tplc="F6AA5E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BAE4FA8"/>
    <w:multiLevelType w:val="hybridMultilevel"/>
    <w:tmpl w:val="4D4271C2"/>
    <w:lvl w:ilvl="0" w:tplc="D03ABD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CC063BC"/>
    <w:multiLevelType w:val="hybridMultilevel"/>
    <w:tmpl w:val="40905320"/>
    <w:lvl w:ilvl="0" w:tplc="B576FE80">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FC653CA"/>
    <w:multiLevelType w:val="multilevel"/>
    <w:tmpl w:val="98C67A62"/>
    <w:lvl w:ilvl="0">
      <w:start w:val="1"/>
      <w:numFmt w:val="decimal"/>
      <w:lvlText w:val="%1."/>
      <w:lvlJc w:val="left"/>
      <w:pPr>
        <w:tabs>
          <w:tab w:val="num" w:pos="900"/>
        </w:tabs>
        <w:ind w:left="900" w:hanging="360"/>
      </w:pPr>
      <w:rPr>
        <w:rFonts w:ascii="Arial" w:eastAsiaTheme="minorHAnsi" w:hAnsi="Arial" w:cs="Arial"/>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0" w15:restartNumberingAfterBreak="0">
    <w:nsid w:val="782335E2"/>
    <w:multiLevelType w:val="hybridMultilevel"/>
    <w:tmpl w:val="6494E7E4"/>
    <w:lvl w:ilvl="0" w:tplc="3E56E9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C580A2E"/>
    <w:multiLevelType w:val="multilevel"/>
    <w:tmpl w:val="5F4666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0"/>
  </w:num>
  <w:num w:numId="6">
    <w:abstractNumId w:val="19"/>
  </w:num>
  <w:num w:numId="7">
    <w:abstractNumId w:val="10"/>
  </w:num>
  <w:num w:numId="8">
    <w:abstractNumId w:val="18"/>
  </w:num>
  <w:num w:numId="9">
    <w:abstractNumId w:val="0"/>
  </w:num>
  <w:num w:numId="10">
    <w:abstractNumId w:val="8"/>
  </w:num>
  <w:num w:numId="11">
    <w:abstractNumId w:val="16"/>
  </w:num>
  <w:num w:numId="12">
    <w:abstractNumId w:val="14"/>
  </w:num>
  <w:num w:numId="13">
    <w:abstractNumId w:val="6"/>
  </w:num>
  <w:num w:numId="14">
    <w:abstractNumId w:val="4"/>
  </w:num>
  <w:num w:numId="15">
    <w:abstractNumId w:val="5"/>
  </w:num>
  <w:num w:numId="16">
    <w:abstractNumId w:val="1"/>
  </w:num>
  <w:num w:numId="17">
    <w:abstractNumId w:val="21"/>
  </w:num>
  <w:num w:numId="18">
    <w:abstractNumId w:val="17"/>
  </w:num>
  <w:num w:numId="19">
    <w:abstractNumId w:val="13"/>
  </w:num>
  <w:num w:numId="20">
    <w:abstractNumId w:val="11"/>
  </w:num>
  <w:num w:numId="21">
    <w:abstractNumId w:val="15"/>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zMTE0NTY2NzRV0lEKTi0uzszPAykwqwUAQthfmywAAAA="/>
  </w:docVars>
  <w:rsids>
    <w:rsidRoot w:val="00D82C7B"/>
    <w:rsid w:val="00001FD8"/>
    <w:rsid w:val="0000327E"/>
    <w:rsid w:val="00005CFB"/>
    <w:rsid w:val="00005FFD"/>
    <w:rsid w:val="00007FA0"/>
    <w:rsid w:val="0001113F"/>
    <w:rsid w:val="00011B14"/>
    <w:rsid w:val="00013C99"/>
    <w:rsid w:val="00022727"/>
    <w:rsid w:val="0002404E"/>
    <w:rsid w:val="00024A40"/>
    <w:rsid w:val="00025A7E"/>
    <w:rsid w:val="00026670"/>
    <w:rsid w:val="00031DDB"/>
    <w:rsid w:val="00031F92"/>
    <w:rsid w:val="00035419"/>
    <w:rsid w:val="000358A5"/>
    <w:rsid w:val="00036B27"/>
    <w:rsid w:val="00041521"/>
    <w:rsid w:val="00041E62"/>
    <w:rsid w:val="00045C28"/>
    <w:rsid w:val="0004759E"/>
    <w:rsid w:val="0005362F"/>
    <w:rsid w:val="00055CF6"/>
    <w:rsid w:val="00061B1E"/>
    <w:rsid w:val="00062403"/>
    <w:rsid w:val="000630D1"/>
    <w:rsid w:val="00066E66"/>
    <w:rsid w:val="00067129"/>
    <w:rsid w:val="00067666"/>
    <w:rsid w:val="000700E4"/>
    <w:rsid w:val="0007267B"/>
    <w:rsid w:val="000840E2"/>
    <w:rsid w:val="0008791F"/>
    <w:rsid w:val="00091402"/>
    <w:rsid w:val="000926CB"/>
    <w:rsid w:val="000A1704"/>
    <w:rsid w:val="000A1B06"/>
    <w:rsid w:val="000A35D2"/>
    <w:rsid w:val="000A6007"/>
    <w:rsid w:val="000B4E1A"/>
    <w:rsid w:val="000B4EC4"/>
    <w:rsid w:val="000B503D"/>
    <w:rsid w:val="000B54C5"/>
    <w:rsid w:val="000C202D"/>
    <w:rsid w:val="000C4FF4"/>
    <w:rsid w:val="000C504B"/>
    <w:rsid w:val="000C6632"/>
    <w:rsid w:val="000C79AD"/>
    <w:rsid w:val="000D17D3"/>
    <w:rsid w:val="000D1B53"/>
    <w:rsid w:val="000D5959"/>
    <w:rsid w:val="000D629D"/>
    <w:rsid w:val="000D6370"/>
    <w:rsid w:val="000E1908"/>
    <w:rsid w:val="000E30E5"/>
    <w:rsid w:val="000E3B43"/>
    <w:rsid w:val="000E4734"/>
    <w:rsid w:val="000E5EA2"/>
    <w:rsid w:val="000F31CC"/>
    <w:rsid w:val="000F47FC"/>
    <w:rsid w:val="000F6883"/>
    <w:rsid w:val="00101AA7"/>
    <w:rsid w:val="00103499"/>
    <w:rsid w:val="00103FA0"/>
    <w:rsid w:val="00104C44"/>
    <w:rsid w:val="001064A4"/>
    <w:rsid w:val="00106C03"/>
    <w:rsid w:val="00110D17"/>
    <w:rsid w:val="00114CC3"/>
    <w:rsid w:val="00122442"/>
    <w:rsid w:val="00122912"/>
    <w:rsid w:val="0012356C"/>
    <w:rsid w:val="00123914"/>
    <w:rsid w:val="00125D09"/>
    <w:rsid w:val="00127778"/>
    <w:rsid w:val="00130955"/>
    <w:rsid w:val="00140734"/>
    <w:rsid w:val="00142501"/>
    <w:rsid w:val="00143D01"/>
    <w:rsid w:val="001476FD"/>
    <w:rsid w:val="001513B0"/>
    <w:rsid w:val="00154A20"/>
    <w:rsid w:val="0015502A"/>
    <w:rsid w:val="0015630A"/>
    <w:rsid w:val="00157176"/>
    <w:rsid w:val="00157E3C"/>
    <w:rsid w:val="00162E62"/>
    <w:rsid w:val="001653A3"/>
    <w:rsid w:val="00171C0F"/>
    <w:rsid w:val="00172CB7"/>
    <w:rsid w:val="00175412"/>
    <w:rsid w:val="00185C5A"/>
    <w:rsid w:val="00191561"/>
    <w:rsid w:val="00192ACA"/>
    <w:rsid w:val="00197090"/>
    <w:rsid w:val="001A0340"/>
    <w:rsid w:val="001B1741"/>
    <w:rsid w:val="001C273B"/>
    <w:rsid w:val="001C2B86"/>
    <w:rsid w:val="001C3B27"/>
    <w:rsid w:val="001C4839"/>
    <w:rsid w:val="001D15D6"/>
    <w:rsid w:val="001D2AA6"/>
    <w:rsid w:val="001D3D96"/>
    <w:rsid w:val="001D68CA"/>
    <w:rsid w:val="001D6E8B"/>
    <w:rsid w:val="001E2556"/>
    <w:rsid w:val="001E3BCC"/>
    <w:rsid w:val="001F0B1E"/>
    <w:rsid w:val="001F1390"/>
    <w:rsid w:val="001F5CF8"/>
    <w:rsid w:val="002100D8"/>
    <w:rsid w:val="00210C2F"/>
    <w:rsid w:val="0021103B"/>
    <w:rsid w:val="0021183A"/>
    <w:rsid w:val="00215989"/>
    <w:rsid w:val="002165A3"/>
    <w:rsid w:val="00217728"/>
    <w:rsid w:val="002225D2"/>
    <w:rsid w:val="002241CF"/>
    <w:rsid w:val="00226964"/>
    <w:rsid w:val="002279BE"/>
    <w:rsid w:val="0023313E"/>
    <w:rsid w:val="00237C5F"/>
    <w:rsid w:val="002409B3"/>
    <w:rsid w:val="00242A2E"/>
    <w:rsid w:val="00247D28"/>
    <w:rsid w:val="00250C9D"/>
    <w:rsid w:val="00253270"/>
    <w:rsid w:val="00253925"/>
    <w:rsid w:val="00254667"/>
    <w:rsid w:val="00257718"/>
    <w:rsid w:val="002625BE"/>
    <w:rsid w:val="00264A03"/>
    <w:rsid w:val="00266C67"/>
    <w:rsid w:val="00267BED"/>
    <w:rsid w:val="00273EF0"/>
    <w:rsid w:val="002750F6"/>
    <w:rsid w:val="00275992"/>
    <w:rsid w:val="00275B28"/>
    <w:rsid w:val="0028129A"/>
    <w:rsid w:val="002827A1"/>
    <w:rsid w:val="0029160D"/>
    <w:rsid w:val="002939D6"/>
    <w:rsid w:val="002961A3"/>
    <w:rsid w:val="00297796"/>
    <w:rsid w:val="002A2A50"/>
    <w:rsid w:val="002A7842"/>
    <w:rsid w:val="002B6301"/>
    <w:rsid w:val="002C0580"/>
    <w:rsid w:val="002C227B"/>
    <w:rsid w:val="002C4EE7"/>
    <w:rsid w:val="002C53EB"/>
    <w:rsid w:val="002C6012"/>
    <w:rsid w:val="002C6CAE"/>
    <w:rsid w:val="002D0900"/>
    <w:rsid w:val="002D30DE"/>
    <w:rsid w:val="002D5BB7"/>
    <w:rsid w:val="002E2FF6"/>
    <w:rsid w:val="002E3182"/>
    <w:rsid w:val="002E589E"/>
    <w:rsid w:val="002E76E8"/>
    <w:rsid w:val="002F19E1"/>
    <w:rsid w:val="002F5AD1"/>
    <w:rsid w:val="002F6AEE"/>
    <w:rsid w:val="003001FA"/>
    <w:rsid w:val="00300C79"/>
    <w:rsid w:val="0030407C"/>
    <w:rsid w:val="00304E37"/>
    <w:rsid w:val="0030639C"/>
    <w:rsid w:val="003068CD"/>
    <w:rsid w:val="0030776D"/>
    <w:rsid w:val="00307A86"/>
    <w:rsid w:val="003105A6"/>
    <w:rsid w:val="00312071"/>
    <w:rsid w:val="00313FBF"/>
    <w:rsid w:val="00315870"/>
    <w:rsid w:val="003179E0"/>
    <w:rsid w:val="00320C12"/>
    <w:rsid w:val="00326902"/>
    <w:rsid w:val="00333E46"/>
    <w:rsid w:val="003417D2"/>
    <w:rsid w:val="003445A1"/>
    <w:rsid w:val="00345CCE"/>
    <w:rsid w:val="00353CF3"/>
    <w:rsid w:val="00356E2B"/>
    <w:rsid w:val="0036126C"/>
    <w:rsid w:val="003615FF"/>
    <w:rsid w:val="003624A0"/>
    <w:rsid w:val="003629AA"/>
    <w:rsid w:val="00364F05"/>
    <w:rsid w:val="00365B53"/>
    <w:rsid w:val="00366EAC"/>
    <w:rsid w:val="003670E8"/>
    <w:rsid w:val="00367F1D"/>
    <w:rsid w:val="003727FE"/>
    <w:rsid w:val="00376BBB"/>
    <w:rsid w:val="00382310"/>
    <w:rsid w:val="0038413D"/>
    <w:rsid w:val="0039211A"/>
    <w:rsid w:val="00392BAA"/>
    <w:rsid w:val="00392E65"/>
    <w:rsid w:val="003966E8"/>
    <w:rsid w:val="003A354D"/>
    <w:rsid w:val="003A4F9E"/>
    <w:rsid w:val="003A6606"/>
    <w:rsid w:val="003A6EF7"/>
    <w:rsid w:val="003B2D1A"/>
    <w:rsid w:val="003B5AE9"/>
    <w:rsid w:val="003B5F90"/>
    <w:rsid w:val="003C0957"/>
    <w:rsid w:val="003C1AFB"/>
    <w:rsid w:val="003C1D6B"/>
    <w:rsid w:val="003C7D45"/>
    <w:rsid w:val="003D02DA"/>
    <w:rsid w:val="003D0F4D"/>
    <w:rsid w:val="003D45B7"/>
    <w:rsid w:val="003E1645"/>
    <w:rsid w:val="003E25B1"/>
    <w:rsid w:val="003E3BA0"/>
    <w:rsid w:val="003E6ACD"/>
    <w:rsid w:val="003F69A8"/>
    <w:rsid w:val="0040162E"/>
    <w:rsid w:val="0040656B"/>
    <w:rsid w:val="0041009B"/>
    <w:rsid w:val="004105E6"/>
    <w:rsid w:val="00412757"/>
    <w:rsid w:val="00413E9A"/>
    <w:rsid w:val="004140C4"/>
    <w:rsid w:val="0042198A"/>
    <w:rsid w:val="004238CC"/>
    <w:rsid w:val="00425910"/>
    <w:rsid w:val="00442F45"/>
    <w:rsid w:val="00445CBC"/>
    <w:rsid w:val="00446ED4"/>
    <w:rsid w:val="0044723D"/>
    <w:rsid w:val="00450BB2"/>
    <w:rsid w:val="004510EB"/>
    <w:rsid w:val="00451D68"/>
    <w:rsid w:val="00453AF2"/>
    <w:rsid w:val="00461F5F"/>
    <w:rsid w:val="004622B1"/>
    <w:rsid w:val="00462EE7"/>
    <w:rsid w:val="00466A21"/>
    <w:rsid w:val="004709A3"/>
    <w:rsid w:val="00472311"/>
    <w:rsid w:val="0047269C"/>
    <w:rsid w:val="00475499"/>
    <w:rsid w:val="004762B1"/>
    <w:rsid w:val="00477CBB"/>
    <w:rsid w:val="00480190"/>
    <w:rsid w:val="004814CE"/>
    <w:rsid w:val="00481786"/>
    <w:rsid w:val="00482841"/>
    <w:rsid w:val="004833C7"/>
    <w:rsid w:val="0048458A"/>
    <w:rsid w:val="00487717"/>
    <w:rsid w:val="004877B8"/>
    <w:rsid w:val="00493E2E"/>
    <w:rsid w:val="004A2C4F"/>
    <w:rsid w:val="004A3303"/>
    <w:rsid w:val="004A4B75"/>
    <w:rsid w:val="004A6F14"/>
    <w:rsid w:val="004B085E"/>
    <w:rsid w:val="004B490A"/>
    <w:rsid w:val="004B5E3E"/>
    <w:rsid w:val="004B752D"/>
    <w:rsid w:val="004B7B1D"/>
    <w:rsid w:val="004C1F81"/>
    <w:rsid w:val="004C5B0C"/>
    <w:rsid w:val="004D570C"/>
    <w:rsid w:val="004E16FA"/>
    <w:rsid w:val="004E1A6C"/>
    <w:rsid w:val="004E1B31"/>
    <w:rsid w:val="004E3CD1"/>
    <w:rsid w:val="004E4072"/>
    <w:rsid w:val="004E510A"/>
    <w:rsid w:val="004E7FA6"/>
    <w:rsid w:val="004F32F7"/>
    <w:rsid w:val="0050439A"/>
    <w:rsid w:val="00507BFA"/>
    <w:rsid w:val="005109F1"/>
    <w:rsid w:val="00511919"/>
    <w:rsid w:val="00512943"/>
    <w:rsid w:val="0053293B"/>
    <w:rsid w:val="0053596F"/>
    <w:rsid w:val="00537999"/>
    <w:rsid w:val="005411B0"/>
    <w:rsid w:val="005429C6"/>
    <w:rsid w:val="005434AB"/>
    <w:rsid w:val="005445D2"/>
    <w:rsid w:val="0055025F"/>
    <w:rsid w:val="005510C6"/>
    <w:rsid w:val="00552AC3"/>
    <w:rsid w:val="0055330B"/>
    <w:rsid w:val="00553F7C"/>
    <w:rsid w:val="0055465D"/>
    <w:rsid w:val="00554EDF"/>
    <w:rsid w:val="00555955"/>
    <w:rsid w:val="00555C0E"/>
    <w:rsid w:val="00555D8C"/>
    <w:rsid w:val="0056138D"/>
    <w:rsid w:val="005617D2"/>
    <w:rsid w:val="0056191D"/>
    <w:rsid w:val="0056465D"/>
    <w:rsid w:val="00565B3B"/>
    <w:rsid w:val="00570F1B"/>
    <w:rsid w:val="005712F7"/>
    <w:rsid w:val="005751CA"/>
    <w:rsid w:val="00577557"/>
    <w:rsid w:val="00580188"/>
    <w:rsid w:val="005810B4"/>
    <w:rsid w:val="005815AE"/>
    <w:rsid w:val="0058671B"/>
    <w:rsid w:val="005902FA"/>
    <w:rsid w:val="005908BC"/>
    <w:rsid w:val="00591100"/>
    <w:rsid w:val="005966FD"/>
    <w:rsid w:val="005A0A95"/>
    <w:rsid w:val="005A3F3F"/>
    <w:rsid w:val="005A5710"/>
    <w:rsid w:val="005A63FC"/>
    <w:rsid w:val="005A67AC"/>
    <w:rsid w:val="005A71CF"/>
    <w:rsid w:val="005B05F0"/>
    <w:rsid w:val="005B09F5"/>
    <w:rsid w:val="005B20BA"/>
    <w:rsid w:val="005C352C"/>
    <w:rsid w:val="005D196E"/>
    <w:rsid w:val="005D4EEA"/>
    <w:rsid w:val="005D55EB"/>
    <w:rsid w:val="005D70D6"/>
    <w:rsid w:val="005D78DF"/>
    <w:rsid w:val="005E1DF6"/>
    <w:rsid w:val="005E6015"/>
    <w:rsid w:val="005E6455"/>
    <w:rsid w:val="005E64FD"/>
    <w:rsid w:val="005F3741"/>
    <w:rsid w:val="005F70CE"/>
    <w:rsid w:val="00605FDA"/>
    <w:rsid w:val="006119F6"/>
    <w:rsid w:val="006129AC"/>
    <w:rsid w:val="00613FFE"/>
    <w:rsid w:val="00615DC9"/>
    <w:rsid w:val="00617B2A"/>
    <w:rsid w:val="00620619"/>
    <w:rsid w:val="00622588"/>
    <w:rsid w:val="00622B17"/>
    <w:rsid w:val="00622D43"/>
    <w:rsid w:val="00623FAE"/>
    <w:rsid w:val="00624450"/>
    <w:rsid w:val="00624C39"/>
    <w:rsid w:val="0062586D"/>
    <w:rsid w:val="0062685E"/>
    <w:rsid w:val="0063090D"/>
    <w:rsid w:val="0063470B"/>
    <w:rsid w:val="00640FA7"/>
    <w:rsid w:val="00643764"/>
    <w:rsid w:val="0064489E"/>
    <w:rsid w:val="00651C9C"/>
    <w:rsid w:val="00653A17"/>
    <w:rsid w:val="00653F12"/>
    <w:rsid w:val="00654763"/>
    <w:rsid w:val="00656009"/>
    <w:rsid w:val="00656892"/>
    <w:rsid w:val="00656DEA"/>
    <w:rsid w:val="00662C13"/>
    <w:rsid w:val="0066685E"/>
    <w:rsid w:val="006674B4"/>
    <w:rsid w:val="00667878"/>
    <w:rsid w:val="00667FBD"/>
    <w:rsid w:val="006701C7"/>
    <w:rsid w:val="00671076"/>
    <w:rsid w:val="006717E7"/>
    <w:rsid w:val="00672E92"/>
    <w:rsid w:val="00676923"/>
    <w:rsid w:val="00676B69"/>
    <w:rsid w:val="006779FA"/>
    <w:rsid w:val="00680B1A"/>
    <w:rsid w:val="00682935"/>
    <w:rsid w:val="00682A26"/>
    <w:rsid w:val="00686ED4"/>
    <w:rsid w:val="00692228"/>
    <w:rsid w:val="00693A9B"/>
    <w:rsid w:val="006955D4"/>
    <w:rsid w:val="00695895"/>
    <w:rsid w:val="00697AA2"/>
    <w:rsid w:val="006A0A8D"/>
    <w:rsid w:val="006A28A8"/>
    <w:rsid w:val="006A2B84"/>
    <w:rsid w:val="006B2673"/>
    <w:rsid w:val="006B305B"/>
    <w:rsid w:val="006B7B0C"/>
    <w:rsid w:val="006C2705"/>
    <w:rsid w:val="006D2E62"/>
    <w:rsid w:val="006D70DD"/>
    <w:rsid w:val="006D78AF"/>
    <w:rsid w:val="006D7B59"/>
    <w:rsid w:val="006D7B61"/>
    <w:rsid w:val="006D7DC4"/>
    <w:rsid w:val="006E123F"/>
    <w:rsid w:val="006E1B5C"/>
    <w:rsid w:val="006E5E57"/>
    <w:rsid w:val="006E6A4C"/>
    <w:rsid w:val="006F3A96"/>
    <w:rsid w:val="006F689B"/>
    <w:rsid w:val="00702295"/>
    <w:rsid w:val="00703372"/>
    <w:rsid w:val="0070368F"/>
    <w:rsid w:val="0070772E"/>
    <w:rsid w:val="00707D4A"/>
    <w:rsid w:val="00712493"/>
    <w:rsid w:val="00714265"/>
    <w:rsid w:val="00715797"/>
    <w:rsid w:val="00715D88"/>
    <w:rsid w:val="007172E3"/>
    <w:rsid w:val="00717CDB"/>
    <w:rsid w:val="00720998"/>
    <w:rsid w:val="00721D7E"/>
    <w:rsid w:val="007223A6"/>
    <w:rsid w:val="00726ECC"/>
    <w:rsid w:val="007328A0"/>
    <w:rsid w:val="0073299B"/>
    <w:rsid w:val="00734558"/>
    <w:rsid w:val="00737583"/>
    <w:rsid w:val="0074052A"/>
    <w:rsid w:val="00745A27"/>
    <w:rsid w:val="0074671B"/>
    <w:rsid w:val="007533ED"/>
    <w:rsid w:val="00753A55"/>
    <w:rsid w:val="007543E2"/>
    <w:rsid w:val="007557A2"/>
    <w:rsid w:val="00757BD0"/>
    <w:rsid w:val="00761532"/>
    <w:rsid w:val="00765B85"/>
    <w:rsid w:val="00766691"/>
    <w:rsid w:val="00767679"/>
    <w:rsid w:val="00773C08"/>
    <w:rsid w:val="007753F3"/>
    <w:rsid w:val="00785DC6"/>
    <w:rsid w:val="007A1360"/>
    <w:rsid w:val="007A5491"/>
    <w:rsid w:val="007A7A94"/>
    <w:rsid w:val="007B57A9"/>
    <w:rsid w:val="007B5AAF"/>
    <w:rsid w:val="007B6FC9"/>
    <w:rsid w:val="007C1D5A"/>
    <w:rsid w:val="007C216A"/>
    <w:rsid w:val="007C28E5"/>
    <w:rsid w:val="007C69A5"/>
    <w:rsid w:val="007D184F"/>
    <w:rsid w:val="007D26A2"/>
    <w:rsid w:val="007D339E"/>
    <w:rsid w:val="007D5EE3"/>
    <w:rsid w:val="007E33D5"/>
    <w:rsid w:val="007E4C87"/>
    <w:rsid w:val="007E51EA"/>
    <w:rsid w:val="007E6E43"/>
    <w:rsid w:val="007F30DD"/>
    <w:rsid w:val="007F44C7"/>
    <w:rsid w:val="0080379F"/>
    <w:rsid w:val="00803FE9"/>
    <w:rsid w:val="008104DC"/>
    <w:rsid w:val="00812950"/>
    <w:rsid w:val="008139AE"/>
    <w:rsid w:val="00814214"/>
    <w:rsid w:val="00814962"/>
    <w:rsid w:val="00824727"/>
    <w:rsid w:val="00825E9F"/>
    <w:rsid w:val="00835E06"/>
    <w:rsid w:val="00836BD0"/>
    <w:rsid w:val="008478D6"/>
    <w:rsid w:val="00847C36"/>
    <w:rsid w:val="0085194D"/>
    <w:rsid w:val="00852D96"/>
    <w:rsid w:val="0085367A"/>
    <w:rsid w:val="00855671"/>
    <w:rsid w:val="0085792C"/>
    <w:rsid w:val="00860672"/>
    <w:rsid w:val="00872890"/>
    <w:rsid w:val="0087370A"/>
    <w:rsid w:val="0087618D"/>
    <w:rsid w:val="00881E61"/>
    <w:rsid w:val="008825EF"/>
    <w:rsid w:val="00883624"/>
    <w:rsid w:val="008858F4"/>
    <w:rsid w:val="00886AD7"/>
    <w:rsid w:val="0088720A"/>
    <w:rsid w:val="0089267B"/>
    <w:rsid w:val="0089286D"/>
    <w:rsid w:val="00895881"/>
    <w:rsid w:val="00896D39"/>
    <w:rsid w:val="008A191C"/>
    <w:rsid w:val="008A1D09"/>
    <w:rsid w:val="008A6560"/>
    <w:rsid w:val="008A6818"/>
    <w:rsid w:val="008B1065"/>
    <w:rsid w:val="008B118A"/>
    <w:rsid w:val="008B1F87"/>
    <w:rsid w:val="008B61AA"/>
    <w:rsid w:val="008C05B3"/>
    <w:rsid w:val="008C0681"/>
    <w:rsid w:val="008C68BC"/>
    <w:rsid w:val="008C6D39"/>
    <w:rsid w:val="008D194E"/>
    <w:rsid w:val="008D4CE5"/>
    <w:rsid w:val="008E2BA1"/>
    <w:rsid w:val="008E47AF"/>
    <w:rsid w:val="008F0B98"/>
    <w:rsid w:val="008F15FC"/>
    <w:rsid w:val="008F1AAB"/>
    <w:rsid w:val="008F636D"/>
    <w:rsid w:val="009005D3"/>
    <w:rsid w:val="00901C5F"/>
    <w:rsid w:val="00904AC6"/>
    <w:rsid w:val="009058AD"/>
    <w:rsid w:val="009100C1"/>
    <w:rsid w:val="00913608"/>
    <w:rsid w:val="00917AA4"/>
    <w:rsid w:val="00923C4A"/>
    <w:rsid w:val="009243A5"/>
    <w:rsid w:val="00926659"/>
    <w:rsid w:val="00926E9F"/>
    <w:rsid w:val="0092799D"/>
    <w:rsid w:val="009303BC"/>
    <w:rsid w:val="00930A13"/>
    <w:rsid w:val="00931983"/>
    <w:rsid w:val="00931CF0"/>
    <w:rsid w:val="00934E1D"/>
    <w:rsid w:val="0094094C"/>
    <w:rsid w:val="00940AC8"/>
    <w:rsid w:val="0094213E"/>
    <w:rsid w:val="00944C74"/>
    <w:rsid w:val="00945D4E"/>
    <w:rsid w:val="00950FD2"/>
    <w:rsid w:val="00955AEC"/>
    <w:rsid w:val="00957746"/>
    <w:rsid w:val="009579E8"/>
    <w:rsid w:val="009600F1"/>
    <w:rsid w:val="009602C8"/>
    <w:rsid w:val="00960B3E"/>
    <w:rsid w:val="00961727"/>
    <w:rsid w:val="00965EE9"/>
    <w:rsid w:val="0096780E"/>
    <w:rsid w:val="00972D64"/>
    <w:rsid w:val="00974588"/>
    <w:rsid w:val="009756DD"/>
    <w:rsid w:val="00976568"/>
    <w:rsid w:val="009833E8"/>
    <w:rsid w:val="00985068"/>
    <w:rsid w:val="0099456D"/>
    <w:rsid w:val="00996C57"/>
    <w:rsid w:val="009A05F5"/>
    <w:rsid w:val="009A1743"/>
    <w:rsid w:val="009A4F6A"/>
    <w:rsid w:val="009A516C"/>
    <w:rsid w:val="009A58E1"/>
    <w:rsid w:val="009A5DD9"/>
    <w:rsid w:val="009A5F22"/>
    <w:rsid w:val="009A68B6"/>
    <w:rsid w:val="009A7BAF"/>
    <w:rsid w:val="009B154E"/>
    <w:rsid w:val="009B1B71"/>
    <w:rsid w:val="009B1D0B"/>
    <w:rsid w:val="009B258D"/>
    <w:rsid w:val="009B5323"/>
    <w:rsid w:val="009C2921"/>
    <w:rsid w:val="009C3A6A"/>
    <w:rsid w:val="009C449A"/>
    <w:rsid w:val="009C7F05"/>
    <w:rsid w:val="009D0730"/>
    <w:rsid w:val="009D7E2C"/>
    <w:rsid w:val="009E43EA"/>
    <w:rsid w:val="009F01C1"/>
    <w:rsid w:val="009F3873"/>
    <w:rsid w:val="009F4EE5"/>
    <w:rsid w:val="009F689F"/>
    <w:rsid w:val="00A00D49"/>
    <w:rsid w:val="00A03508"/>
    <w:rsid w:val="00A07CB2"/>
    <w:rsid w:val="00A13952"/>
    <w:rsid w:val="00A16EF3"/>
    <w:rsid w:val="00A3516A"/>
    <w:rsid w:val="00A40358"/>
    <w:rsid w:val="00A4690F"/>
    <w:rsid w:val="00A502BD"/>
    <w:rsid w:val="00A547AB"/>
    <w:rsid w:val="00A55562"/>
    <w:rsid w:val="00A55EE6"/>
    <w:rsid w:val="00A563CE"/>
    <w:rsid w:val="00A57D8F"/>
    <w:rsid w:val="00A60972"/>
    <w:rsid w:val="00A61604"/>
    <w:rsid w:val="00A75F8A"/>
    <w:rsid w:val="00A77350"/>
    <w:rsid w:val="00A806BE"/>
    <w:rsid w:val="00A82D78"/>
    <w:rsid w:val="00A831AE"/>
    <w:rsid w:val="00A84E3A"/>
    <w:rsid w:val="00A860B0"/>
    <w:rsid w:val="00A86C32"/>
    <w:rsid w:val="00A87C62"/>
    <w:rsid w:val="00A901F5"/>
    <w:rsid w:val="00A9200D"/>
    <w:rsid w:val="00A93CEB"/>
    <w:rsid w:val="00A9406E"/>
    <w:rsid w:val="00A9485C"/>
    <w:rsid w:val="00A95217"/>
    <w:rsid w:val="00A952D9"/>
    <w:rsid w:val="00A97945"/>
    <w:rsid w:val="00AA2027"/>
    <w:rsid w:val="00AA469B"/>
    <w:rsid w:val="00AA4998"/>
    <w:rsid w:val="00AA5A32"/>
    <w:rsid w:val="00AB08D3"/>
    <w:rsid w:val="00AB1FE0"/>
    <w:rsid w:val="00AB4570"/>
    <w:rsid w:val="00AC41E9"/>
    <w:rsid w:val="00AC5849"/>
    <w:rsid w:val="00AC7D28"/>
    <w:rsid w:val="00AC7FF1"/>
    <w:rsid w:val="00AD139F"/>
    <w:rsid w:val="00AD7AB1"/>
    <w:rsid w:val="00AE03C3"/>
    <w:rsid w:val="00AE0CC9"/>
    <w:rsid w:val="00AE3A45"/>
    <w:rsid w:val="00AE7BB6"/>
    <w:rsid w:val="00AF13B7"/>
    <w:rsid w:val="00AF1E53"/>
    <w:rsid w:val="00B0216D"/>
    <w:rsid w:val="00B04D19"/>
    <w:rsid w:val="00B04EA9"/>
    <w:rsid w:val="00B07B80"/>
    <w:rsid w:val="00B104F0"/>
    <w:rsid w:val="00B1135E"/>
    <w:rsid w:val="00B13F17"/>
    <w:rsid w:val="00B142F2"/>
    <w:rsid w:val="00B15EB8"/>
    <w:rsid w:val="00B16400"/>
    <w:rsid w:val="00B23DC3"/>
    <w:rsid w:val="00B24460"/>
    <w:rsid w:val="00B3016C"/>
    <w:rsid w:val="00B3172B"/>
    <w:rsid w:val="00B3356E"/>
    <w:rsid w:val="00B345A0"/>
    <w:rsid w:val="00B35D3B"/>
    <w:rsid w:val="00B35FA7"/>
    <w:rsid w:val="00B36602"/>
    <w:rsid w:val="00B41192"/>
    <w:rsid w:val="00B463FD"/>
    <w:rsid w:val="00B46B55"/>
    <w:rsid w:val="00B47747"/>
    <w:rsid w:val="00B4788D"/>
    <w:rsid w:val="00B50E0D"/>
    <w:rsid w:val="00B57FBF"/>
    <w:rsid w:val="00B62EDE"/>
    <w:rsid w:val="00B63EAE"/>
    <w:rsid w:val="00B65334"/>
    <w:rsid w:val="00B65ED6"/>
    <w:rsid w:val="00B6730D"/>
    <w:rsid w:val="00B6732B"/>
    <w:rsid w:val="00B72102"/>
    <w:rsid w:val="00B7464F"/>
    <w:rsid w:val="00B7486A"/>
    <w:rsid w:val="00B76163"/>
    <w:rsid w:val="00B77371"/>
    <w:rsid w:val="00B803D1"/>
    <w:rsid w:val="00B823AE"/>
    <w:rsid w:val="00B841B8"/>
    <w:rsid w:val="00B96289"/>
    <w:rsid w:val="00B965DE"/>
    <w:rsid w:val="00BB01A1"/>
    <w:rsid w:val="00BB37CD"/>
    <w:rsid w:val="00BB5788"/>
    <w:rsid w:val="00BB67DA"/>
    <w:rsid w:val="00BB75FF"/>
    <w:rsid w:val="00BB7C17"/>
    <w:rsid w:val="00BC1539"/>
    <w:rsid w:val="00BC227E"/>
    <w:rsid w:val="00BC4620"/>
    <w:rsid w:val="00BC4B2D"/>
    <w:rsid w:val="00BD287C"/>
    <w:rsid w:val="00BD5A28"/>
    <w:rsid w:val="00BD6380"/>
    <w:rsid w:val="00BE28F1"/>
    <w:rsid w:val="00BE7E3F"/>
    <w:rsid w:val="00BF1B09"/>
    <w:rsid w:val="00BF3F3C"/>
    <w:rsid w:val="00BF418F"/>
    <w:rsid w:val="00BF4F13"/>
    <w:rsid w:val="00C001BB"/>
    <w:rsid w:val="00C0414B"/>
    <w:rsid w:val="00C0609E"/>
    <w:rsid w:val="00C06399"/>
    <w:rsid w:val="00C06A7A"/>
    <w:rsid w:val="00C07482"/>
    <w:rsid w:val="00C14312"/>
    <w:rsid w:val="00C151BB"/>
    <w:rsid w:val="00C2036E"/>
    <w:rsid w:val="00C2097D"/>
    <w:rsid w:val="00C2144B"/>
    <w:rsid w:val="00C23167"/>
    <w:rsid w:val="00C23DBE"/>
    <w:rsid w:val="00C26961"/>
    <w:rsid w:val="00C3033C"/>
    <w:rsid w:val="00C30C2B"/>
    <w:rsid w:val="00C33C59"/>
    <w:rsid w:val="00C36410"/>
    <w:rsid w:val="00C36A7A"/>
    <w:rsid w:val="00C41BAF"/>
    <w:rsid w:val="00C464AA"/>
    <w:rsid w:val="00C46CC7"/>
    <w:rsid w:val="00C51208"/>
    <w:rsid w:val="00C51A75"/>
    <w:rsid w:val="00C53485"/>
    <w:rsid w:val="00C55220"/>
    <w:rsid w:val="00C55E29"/>
    <w:rsid w:val="00C6204A"/>
    <w:rsid w:val="00C66ABF"/>
    <w:rsid w:val="00C7088B"/>
    <w:rsid w:val="00C71777"/>
    <w:rsid w:val="00C727CF"/>
    <w:rsid w:val="00C75465"/>
    <w:rsid w:val="00C769AF"/>
    <w:rsid w:val="00C76B2A"/>
    <w:rsid w:val="00C864B5"/>
    <w:rsid w:val="00CA212B"/>
    <w:rsid w:val="00CA7021"/>
    <w:rsid w:val="00CA70B5"/>
    <w:rsid w:val="00CA767D"/>
    <w:rsid w:val="00CB0AF0"/>
    <w:rsid w:val="00CB0F18"/>
    <w:rsid w:val="00CB4FBF"/>
    <w:rsid w:val="00CB5C42"/>
    <w:rsid w:val="00CB7EBF"/>
    <w:rsid w:val="00CC5ABE"/>
    <w:rsid w:val="00CD0DA4"/>
    <w:rsid w:val="00CD1030"/>
    <w:rsid w:val="00CD5F6A"/>
    <w:rsid w:val="00CE13C0"/>
    <w:rsid w:val="00CE2134"/>
    <w:rsid w:val="00CE2A4A"/>
    <w:rsid w:val="00CE65EE"/>
    <w:rsid w:val="00CF27FC"/>
    <w:rsid w:val="00D008D0"/>
    <w:rsid w:val="00D02A13"/>
    <w:rsid w:val="00D04DB7"/>
    <w:rsid w:val="00D07F24"/>
    <w:rsid w:val="00D10076"/>
    <w:rsid w:val="00D1782E"/>
    <w:rsid w:val="00D20A84"/>
    <w:rsid w:val="00D227D7"/>
    <w:rsid w:val="00D235FF"/>
    <w:rsid w:val="00D3332A"/>
    <w:rsid w:val="00D3434E"/>
    <w:rsid w:val="00D34BF2"/>
    <w:rsid w:val="00D358BA"/>
    <w:rsid w:val="00D40B50"/>
    <w:rsid w:val="00D42358"/>
    <w:rsid w:val="00D435CC"/>
    <w:rsid w:val="00D45898"/>
    <w:rsid w:val="00D50B95"/>
    <w:rsid w:val="00D54408"/>
    <w:rsid w:val="00D555E0"/>
    <w:rsid w:val="00D56527"/>
    <w:rsid w:val="00D60056"/>
    <w:rsid w:val="00D60596"/>
    <w:rsid w:val="00D6675D"/>
    <w:rsid w:val="00D70A19"/>
    <w:rsid w:val="00D7179F"/>
    <w:rsid w:val="00D71B15"/>
    <w:rsid w:val="00D72FAB"/>
    <w:rsid w:val="00D7592A"/>
    <w:rsid w:val="00D81256"/>
    <w:rsid w:val="00D82C7B"/>
    <w:rsid w:val="00D83ED8"/>
    <w:rsid w:val="00D846CB"/>
    <w:rsid w:val="00D91E1E"/>
    <w:rsid w:val="00D93105"/>
    <w:rsid w:val="00D9358D"/>
    <w:rsid w:val="00D9618C"/>
    <w:rsid w:val="00D9674D"/>
    <w:rsid w:val="00D97135"/>
    <w:rsid w:val="00DA0299"/>
    <w:rsid w:val="00DA1B5D"/>
    <w:rsid w:val="00DA32DF"/>
    <w:rsid w:val="00DA3DA0"/>
    <w:rsid w:val="00DA466C"/>
    <w:rsid w:val="00DA4E9A"/>
    <w:rsid w:val="00DB0D88"/>
    <w:rsid w:val="00DB3A35"/>
    <w:rsid w:val="00DC6EA6"/>
    <w:rsid w:val="00DD1ED5"/>
    <w:rsid w:val="00DD48D2"/>
    <w:rsid w:val="00DE05F9"/>
    <w:rsid w:val="00DE1426"/>
    <w:rsid w:val="00DE4C36"/>
    <w:rsid w:val="00DF0276"/>
    <w:rsid w:val="00DF02C9"/>
    <w:rsid w:val="00DF161E"/>
    <w:rsid w:val="00DF3669"/>
    <w:rsid w:val="00DF5A7F"/>
    <w:rsid w:val="00DF5E95"/>
    <w:rsid w:val="00E007D5"/>
    <w:rsid w:val="00E044A5"/>
    <w:rsid w:val="00E063F4"/>
    <w:rsid w:val="00E12F3E"/>
    <w:rsid w:val="00E136A4"/>
    <w:rsid w:val="00E14051"/>
    <w:rsid w:val="00E162A6"/>
    <w:rsid w:val="00E20C05"/>
    <w:rsid w:val="00E25DAF"/>
    <w:rsid w:val="00E31104"/>
    <w:rsid w:val="00E31DF0"/>
    <w:rsid w:val="00E35987"/>
    <w:rsid w:val="00E41A38"/>
    <w:rsid w:val="00E436F8"/>
    <w:rsid w:val="00E44E25"/>
    <w:rsid w:val="00E4602B"/>
    <w:rsid w:val="00E47E3C"/>
    <w:rsid w:val="00E505F8"/>
    <w:rsid w:val="00E521EE"/>
    <w:rsid w:val="00E5280C"/>
    <w:rsid w:val="00E53C21"/>
    <w:rsid w:val="00E5778F"/>
    <w:rsid w:val="00E57CCF"/>
    <w:rsid w:val="00E602A9"/>
    <w:rsid w:val="00E60F6B"/>
    <w:rsid w:val="00E63037"/>
    <w:rsid w:val="00E646B3"/>
    <w:rsid w:val="00E71B05"/>
    <w:rsid w:val="00E71DF4"/>
    <w:rsid w:val="00E72312"/>
    <w:rsid w:val="00E811F1"/>
    <w:rsid w:val="00E8323B"/>
    <w:rsid w:val="00E90CA9"/>
    <w:rsid w:val="00E949AA"/>
    <w:rsid w:val="00E96A15"/>
    <w:rsid w:val="00E972E7"/>
    <w:rsid w:val="00E972F4"/>
    <w:rsid w:val="00EA1707"/>
    <w:rsid w:val="00EA7DD0"/>
    <w:rsid w:val="00EB2B46"/>
    <w:rsid w:val="00EC1B60"/>
    <w:rsid w:val="00EC4471"/>
    <w:rsid w:val="00EC6F2C"/>
    <w:rsid w:val="00ED09EA"/>
    <w:rsid w:val="00ED1379"/>
    <w:rsid w:val="00ED7EE4"/>
    <w:rsid w:val="00EE1183"/>
    <w:rsid w:val="00EE27CD"/>
    <w:rsid w:val="00EE459E"/>
    <w:rsid w:val="00EE71ED"/>
    <w:rsid w:val="00EF0366"/>
    <w:rsid w:val="00EF1088"/>
    <w:rsid w:val="00EF5042"/>
    <w:rsid w:val="00F02CC3"/>
    <w:rsid w:val="00F03EE1"/>
    <w:rsid w:val="00F134B2"/>
    <w:rsid w:val="00F138FD"/>
    <w:rsid w:val="00F147EF"/>
    <w:rsid w:val="00F14807"/>
    <w:rsid w:val="00F17956"/>
    <w:rsid w:val="00F17E63"/>
    <w:rsid w:val="00F20BB5"/>
    <w:rsid w:val="00F2269D"/>
    <w:rsid w:val="00F24DB8"/>
    <w:rsid w:val="00F26708"/>
    <w:rsid w:val="00F27D6D"/>
    <w:rsid w:val="00F27E85"/>
    <w:rsid w:val="00F31940"/>
    <w:rsid w:val="00F43137"/>
    <w:rsid w:val="00F45A23"/>
    <w:rsid w:val="00F45C1C"/>
    <w:rsid w:val="00F463A4"/>
    <w:rsid w:val="00F50CBA"/>
    <w:rsid w:val="00F567E2"/>
    <w:rsid w:val="00F57499"/>
    <w:rsid w:val="00F61649"/>
    <w:rsid w:val="00F62B68"/>
    <w:rsid w:val="00F62D24"/>
    <w:rsid w:val="00F7081F"/>
    <w:rsid w:val="00F71E82"/>
    <w:rsid w:val="00F7628B"/>
    <w:rsid w:val="00F804A5"/>
    <w:rsid w:val="00F83BD7"/>
    <w:rsid w:val="00F866B3"/>
    <w:rsid w:val="00F86B3A"/>
    <w:rsid w:val="00F90EA9"/>
    <w:rsid w:val="00F916EE"/>
    <w:rsid w:val="00F923B6"/>
    <w:rsid w:val="00F95117"/>
    <w:rsid w:val="00F96D94"/>
    <w:rsid w:val="00F97860"/>
    <w:rsid w:val="00FA69A3"/>
    <w:rsid w:val="00FB0CE6"/>
    <w:rsid w:val="00FB164E"/>
    <w:rsid w:val="00FB3645"/>
    <w:rsid w:val="00FB4C17"/>
    <w:rsid w:val="00FB788A"/>
    <w:rsid w:val="00FC1A92"/>
    <w:rsid w:val="00FC2523"/>
    <w:rsid w:val="00FC313F"/>
    <w:rsid w:val="00FC336F"/>
    <w:rsid w:val="00FC4B65"/>
    <w:rsid w:val="00FC75FA"/>
    <w:rsid w:val="00FD1892"/>
    <w:rsid w:val="00FD4472"/>
    <w:rsid w:val="00FD61F8"/>
    <w:rsid w:val="00FE1CE8"/>
    <w:rsid w:val="00FE2913"/>
    <w:rsid w:val="00FE51F1"/>
    <w:rsid w:val="00FE596B"/>
    <w:rsid w:val="00FE5ADE"/>
    <w:rsid w:val="00FF07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5324-63A0-4256-9675-81FC4E8A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57E3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82C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157E3C"/>
    <w:pPr>
      <w:ind w:left="720"/>
      <w:contextualSpacing/>
    </w:pPr>
  </w:style>
  <w:style w:type="character" w:customStyle="1" w:styleId="Heading2Char">
    <w:name w:val="Heading 2 Char"/>
    <w:basedOn w:val="DefaultParagraphFont"/>
    <w:link w:val="Heading2"/>
    <w:uiPriority w:val="9"/>
    <w:rsid w:val="00157E3C"/>
    <w:rPr>
      <w:rFonts w:ascii="Times New Roman" w:eastAsia="Times New Roman" w:hAnsi="Times New Roman" w:cs="Times New Roman"/>
      <w:b/>
      <w:bCs/>
      <w:sz w:val="36"/>
      <w:szCs w:val="36"/>
      <w:lang w:eastAsia="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ED09EA"/>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ED09EA"/>
    <w:rPr>
      <w:sz w:val="20"/>
      <w:szCs w:val="20"/>
    </w:rPr>
  </w:style>
  <w:style w:type="character" w:styleId="FootnoteReference">
    <w:name w:val="footnote reference"/>
    <w:basedOn w:val="DefaultParagraphFont"/>
    <w:uiPriority w:val="99"/>
    <w:unhideWhenUsed/>
    <w:rsid w:val="00ED09EA"/>
    <w:rPr>
      <w:vertAlign w:val="superscript"/>
    </w:rPr>
  </w:style>
  <w:style w:type="character" w:customStyle="1" w:styleId="Heading1Char">
    <w:name w:val="Heading 1 Char"/>
    <w:basedOn w:val="DefaultParagraphFont"/>
    <w:link w:val="Heading1"/>
    <w:uiPriority w:val="9"/>
    <w:rsid w:val="0039211A"/>
    <w:rPr>
      <w:rFonts w:asciiTheme="majorHAnsi" w:eastAsiaTheme="majorEastAsia" w:hAnsiTheme="majorHAnsi" w:cstheme="majorBidi"/>
      <w:color w:val="2E74B5" w:themeColor="accent1" w:themeShade="BF"/>
      <w:sz w:val="32"/>
      <w:szCs w:val="32"/>
    </w:rPr>
  </w:style>
  <w:style w:type="paragraph" w:customStyle="1" w:styleId="rteindent1">
    <w:name w:val="rteindent1"/>
    <w:basedOn w:val="Normal"/>
    <w:rsid w:val="0039211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02CC3"/>
    <w:rPr>
      <w:sz w:val="16"/>
      <w:szCs w:val="16"/>
    </w:rPr>
  </w:style>
  <w:style w:type="paragraph" w:styleId="CommentText">
    <w:name w:val="annotation text"/>
    <w:basedOn w:val="Normal"/>
    <w:link w:val="CommentTextChar"/>
    <w:uiPriority w:val="99"/>
    <w:semiHidden/>
    <w:unhideWhenUsed/>
    <w:rsid w:val="00F02CC3"/>
    <w:pPr>
      <w:spacing w:line="240" w:lineRule="auto"/>
    </w:pPr>
    <w:rPr>
      <w:sz w:val="20"/>
      <w:szCs w:val="20"/>
    </w:rPr>
  </w:style>
  <w:style w:type="character" w:customStyle="1" w:styleId="CommentTextChar">
    <w:name w:val="Comment Text Char"/>
    <w:basedOn w:val="DefaultParagraphFont"/>
    <w:link w:val="CommentText"/>
    <w:uiPriority w:val="99"/>
    <w:semiHidden/>
    <w:rsid w:val="00F02CC3"/>
    <w:rPr>
      <w:sz w:val="20"/>
      <w:szCs w:val="20"/>
    </w:rPr>
  </w:style>
  <w:style w:type="paragraph" w:styleId="CommentSubject">
    <w:name w:val="annotation subject"/>
    <w:basedOn w:val="CommentText"/>
    <w:next w:val="CommentText"/>
    <w:link w:val="CommentSubjectChar"/>
    <w:uiPriority w:val="99"/>
    <w:semiHidden/>
    <w:unhideWhenUsed/>
    <w:rsid w:val="00F02CC3"/>
    <w:rPr>
      <w:b/>
      <w:bCs/>
    </w:rPr>
  </w:style>
  <w:style w:type="character" w:customStyle="1" w:styleId="CommentSubjectChar">
    <w:name w:val="Comment Subject Char"/>
    <w:basedOn w:val="CommentTextChar"/>
    <w:link w:val="CommentSubject"/>
    <w:uiPriority w:val="99"/>
    <w:semiHidden/>
    <w:rsid w:val="00F02CC3"/>
    <w:rPr>
      <w:b/>
      <w:bCs/>
      <w:sz w:val="20"/>
      <w:szCs w:val="20"/>
    </w:rPr>
  </w:style>
  <w:style w:type="paragraph" w:styleId="BalloonText">
    <w:name w:val="Balloon Text"/>
    <w:basedOn w:val="Normal"/>
    <w:link w:val="BalloonTextChar"/>
    <w:uiPriority w:val="99"/>
    <w:semiHidden/>
    <w:unhideWhenUsed/>
    <w:rsid w:val="00F0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C3"/>
    <w:rPr>
      <w:rFonts w:ascii="Segoe UI" w:hAnsi="Segoe UI" w:cs="Segoe UI"/>
      <w:sz w:val="18"/>
      <w:szCs w:val="18"/>
    </w:rPr>
  </w:style>
  <w:style w:type="character" w:styleId="Strong">
    <w:name w:val="Strong"/>
    <w:basedOn w:val="DefaultParagraphFont"/>
    <w:uiPriority w:val="22"/>
    <w:qFormat/>
    <w:rsid w:val="00E90CA9"/>
    <w:rPr>
      <w:b/>
      <w:bCs/>
    </w:rPr>
  </w:style>
  <w:style w:type="character" w:styleId="Emphasis">
    <w:name w:val="Emphasis"/>
    <w:basedOn w:val="DefaultParagraphFont"/>
    <w:uiPriority w:val="20"/>
    <w:qFormat/>
    <w:rsid w:val="003D02DA"/>
    <w:rPr>
      <w:i/>
      <w:iCs/>
    </w:rPr>
  </w:style>
  <w:style w:type="paragraph" w:styleId="NormalWeb">
    <w:name w:val="Normal (Web)"/>
    <w:basedOn w:val="Normal"/>
    <w:uiPriority w:val="99"/>
    <w:unhideWhenUsed/>
    <w:rsid w:val="00765B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A35D2"/>
    <w:rPr>
      <w:color w:val="0000FF"/>
      <w:u w:val="single"/>
    </w:rPr>
  </w:style>
  <w:style w:type="paragraph" w:styleId="Header">
    <w:name w:val="header"/>
    <w:basedOn w:val="Normal"/>
    <w:link w:val="HeaderChar"/>
    <w:uiPriority w:val="99"/>
    <w:unhideWhenUsed/>
    <w:rsid w:val="007B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AF"/>
  </w:style>
  <w:style w:type="paragraph" w:styleId="Footer">
    <w:name w:val="footer"/>
    <w:basedOn w:val="Normal"/>
    <w:link w:val="FooterChar"/>
    <w:uiPriority w:val="99"/>
    <w:unhideWhenUsed/>
    <w:rsid w:val="007B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AF"/>
  </w:style>
  <w:style w:type="paragraph" w:customStyle="1" w:styleId="bold">
    <w:name w:val="bold"/>
    <w:basedOn w:val="Normal"/>
    <w:rsid w:val="00D04DB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84">
      <w:bodyDiv w:val="1"/>
      <w:marLeft w:val="0"/>
      <w:marRight w:val="0"/>
      <w:marTop w:val="0"/>
      <w:marBottom w:val="0"/>
      <w:divBdr>
        <w:top w:val="none" w:sz="0" w:space="0" w:color="auto"/>
        <w:left w:val="none" w:sz="0" w:space="0" w:color="auto"/>
        <w:bottom w:val="none" w:sz="0" w:space="0" w:color="auto"/>
        <w:right w:val="none" w:sz="0" w:space="0" w:color="auto"/>
      </w:divBdr>
    </w:div>
    <w:div w:id="50226933">
      <w:bodyDiv w:val="1"/>
      <w:marLeft w:val="0"/>
      <w:marRight w:val="0"/>
      <w:marTop w:val="0"/>
      <w:marBottom w:val="0"/>
      <w:divBdr>
        <w:top w:val="none" w:sz="0" w:space="0" w:color="auto"/>
        <w:left w:val="none" w:sz="0" w:space="0" w:color="auto"/>
        <w:bottom w:val="none" w:sz="0" w:space="0" w:color="auto"/>
        <w:right w:val="none" w:sz="0" w:space="0" w:color="auto"/>
      </w:divBdr>
    </w:div>
    <w:div w:id="284384125">
      <w:bodyDiv w:val="1"/>
      <w:marLeft w:val="0"/>
      <w:marRight w:val="0"/>
      <w:marTop w:val="0"/>
      <w:marBottom w:val="0"/>
      <w:divBdr>
        <w:top w:val="none" w:sz="0" w:space="0" w:color="auto"/>
        <w:left w:val="none" w:sz="0" w:space="0" w:color="auto"/>
        <w:bottom w:val="none" w:sz="0" w:space="0" w:color="auto"/>
        <w:right w:val="none" w:sz="0" w:space="0" w:color="auto"/>
      </w:divBdr>
    </w:div>
    <w:div w:id="612977683">
      <w:bodyDiv w:val="1"/>
      <w:marLeft w:val="0"/>
      <w:marRight w:val="0"/>
      <w:marTop w:val="0"/>
      <w:marBottom w:val="0"/>
      <w:divBdr>
        <w:top w:val="none" w:sz="0" w:space="0" w:color="auto"/>
        <w:left w:val="none" w:sz="0" w:space="0" w:color="auto"/>
        <w:bottom w:val="none" w:sz="0" w:space="0" w:color="auto"/>
        <w:right w:val="none" w:sz="0" w:space="0" w:color="auto"/>
      </w:divBdr>
    </w:div>
    <w:div w:id="691153408">
      <w:bodyDiv w:val="1"/>
      <w:marLeft w:val="0"/>
      <w:marRight w:val="0"/>
      <w:marTop w:val="0"/>
      <w:marBottom w:val="0"/>
      <w:divBdr>
        <w:top w:val="none" w:sz="0" w:space="0" w:color="auto"/>
        <w:left w:val="none" w:sz="0" w:space="0" w:color="auto"/>
        <w:bottom w:val="none" w:sz="0" w:space="0" w:color="auto"/>
        <w:right w:val="none" w:sz="0" w:space="0" w:color="auto"/>
      </w:divBdr>
    </w:div>
    <w:div w:id="995380986">
      <w:bodyDiv w:val="1"/>
      <w:marLeft w:val="0"/>
      <w:marRight w:val="0"/>
      <w:marTop w:val="0"/>
      <w:marBottom w:val="0"/>
      <w:divBdr>
        <w:top w:val="none" w:sz="0" w:space="0" w:color="auto"/>
        <w:left w:val="none" w:sz="0" w:space="0" w:color="auto"/>
        <w:bottom w:val="none" w:sz="0" w:space="0" w:color="auto"/>
        <w:right w:val="none" w:sz="0" w:space="0" w:color="auto"/>
      </w:divBdr>
    </w:div>
    <w:div w:id="1081440600">
      <w:bodyDiv w:val="1"/>
      <w:marLeft w:val="0"/>
      <w:marRight w:val="0"/>
      <w:marTop w:val="0"/>
      <w:marBottom w:val="0"/>
      <w:divBdr>
        <w:top w:val="none" w:sz="0" w:space="0" w:color="auto"/>
        <w:left w:val="none" w:sz="0" w:space="0" w:color="auto"/>
        <w:bottom w:val="none" w:sz="0" w:space="0" w:color="auto"/>
        <w:right w:val="none" w:sz="0" w:space="0" w:color="auto"/>
      </w:divBdr>
    </w:div>
    <w:div w:id="1165557808">
      <w:bodyDiv w:val="1"/>
      <w:marLeft w:val="0"/>
      <w:marRight w:val="0"/>
      <w:marTop w:val="0"/>
      <w:marBottom w:val="0"/>
      <w:divBdr>
        <w:top w:val="none" w:sz="0" w:space="0" w:color="auto"/>
        <w:left w:val="none" w:sz="0" w:space="0" w:color="auto"/>
        <w:bottom w:val="none" w:sz="0" w:space="0" w:color="auto"/>
        <w:right w:val="none" w:sz="0" w:space="0" w:color="auto"/>
      </w:divBdr>
    </w:div>
    <w:div w:id="1315911486">
      <w:bodyDiv w:val="1"/>
      <w:marLeft w:val="0"/>
      <w:marRight w:val="0"/>
      <w:marTop w:val="0"/>
      <w:marBottom w:val="0"/>
      <w:divBdr>
        <w:top w:val="none" w:sz="0" w:space="0" w:color="auto"/>
        <w:left w:val="none" w:sz="0" w:space="0" w:color="auto"/>
        <w:bottom w:val="none" w:sz="0" w:space="0" w:color="auto"/>
        <w:right w:val="none" w:sz="0" w:space="0" w:color="auto"/>
      </w:divBdr>
    </w:div>
    <w:div w:id="1398169062">
      <w:bodyDiv w:val="1"/>
      <w:marLeft w:val="0"/>
      <w:marRight w:val="0"/>
      <w:marTop w:val="0"/>
      <w:marBottom w:val="0"/>
      <w:divBdr>
        <w:top w:val="none" w:sz="0" w:space="0" w:color="auto"/>
        <w:left w:val="none" w:sz="0" w:space="0" w:color="auto"/>
        <w:bottom w:val="none" w:sz="0" w:space="0" w:color="auto"/>
        <w:right w:val="none" w:sz="0" w:space="0" w:color="auto"/>
      </w:divBdr>
    </w:div>
    <w:div w:id="1851986914">
      <w:bodyDiv w:val="1"/>
      <w:marLeft w:val="0"/>
      <w:marRight w:val="0"/>
      <w:marTop w:val="0"/>
      <w:marBottom w:val="0"/>
      <w:divBdr>
        <w:top w:val="none" w:sz="0" w:space="0" w:color="auto"/>
        <w:left w:val="none" w:sz="0" w:space="0" w:color="auto"/>
        <w:bottom w:val="none" w:sz="0" w:space="0" w:color="auto"/>
        <w:right w:val="none" w:sz="0" w:space="0" w:color="auto"/>
      </w:divBdr>
    </w:div>
    <w:div w:id="2013334909">
      <w:bodyDiv w:val="1"/>
      <w:marLeft w:val="0"/>
      <w:marRight w:val="0"/>
      <w:marTop w:val="0"/>
      <w:marBottom w:val="0"/>
      <w:divBdr>
        <w:top w:val="none" w:sz="0" w:space="0" w:color="auto"/>
        <w:left w:val="none" w:sz="0" w:space="0" w:color="auto"/>
        <w:bottom w:val="none" w:sz="0" w:space="0" w:color="auto"/>
        <w:right w:val="none" w:sz="0" w:space="0" w:color="auto"/>
      </w:divBdr>
    </w:div>
    <w:div w:id="2015835989">
      <w:bodyDiv w:val="1"/>
      <w:marLeft w:val="0"/>
      <w:marRight w:val="0"/>
      <w:marTop w:val="0"/>
      <w:marBottom w:val="0"/>
      <w:divBdr>
        <w:top w:val="none" w:sz="0" w:space="0" w:color="auto"/>
        <w:left w:val="none" w:sz="0" w:space="0" w:color="auto"/>
        <w:bottom w:val="none" w:sz="0" w:space="0" w:color="auto"/>
        <w:right w:val="none" w:sz="0" w:space="0" w:color="auto"/>
      </w:divBdr>
    </w:div>
    <w:div w:id="21197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2020-07-09T18:30:00+00:00</Judgment_x0020_Date>
    <Year xmlns="c1afb1bd-f2fb-40fd-9abb-aea55b4d7662">2020</Year>
  </documentManagement>
</p:properties>
</file>

<file path=customXml/itemProps1.xml><?xml version="1.0" encoding="utf-8"?>
<ds:datastoreItem xmlns:ds="http://schemas.openxmlformats.org/officeDocument/2006/customXml" ds:itemID="{8BB0AC11-3367-435B-9409-4F61DA3D2F5D}"/>
</file>

<file path=customXml/itemProps2.xml><?xml version="1.0" encoding="utf-8"?>
<ds:datastoreItem xmlns:ds="http://schemas.openxmlformats.org/officeDocument/2006/customXml" ds:itemID="{DBEF9281-F0AD-4725-9A89-85DCF73A7DE8}"/>
</file>

<file path=customXml/itemProps3.xml><?xml version="1.0" encoding="utf-8"?>
<ds:datastoreItem xmlns:ds="http://schemas.openxmlformats.org/officeDocument/2006/customXml" ds:itemID="{5BBA21F6-DC73-46BE-9D61-61E8461B74EB}"/>
</file>

<file path=customXml/itemProps4.xml><?xml version="1.0" encoding="utf-8"?>
<ds:datastoreItem xmlns:ds="http://schemas.openxmlformats.org/officeDocument/2006/customXml" ds:itemID="{0E37C6DA-3808-48FE-97CF-05B6F0B3D692}"/>
</file>

<file path=docProps/app.xml><?xml version="1.0" encoding="utf-8"?>
<Properties xmlns="http://schemas.openxmlformats.org/officeDocument/2006/extended-properties" xmlns:vt="http://schemas.openxmlformats.org/officeDocument/2006/docPropsVTypes">
  <Template>Normal</Template>
  <TotalTime>2</TotalTime>
  <Pages>28</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Baobab Capital (Pty) Ltd v Shaziza Auto 1 (Pty) Ltd (HC-MD-CIV-ACT-CON-2019-02613) [2020] NAHCMD 290 (10 July 2020)</dc:title>
  <dc:subject/>
  <dc:creator>Marinus Nederlof</dc:creator>
  <cp:keywords/>
  <dc:description/>
  <cp:lastModifiedBy>Administrator</cp:lastModifiedBy>
  <cp:revision>3</cp:revision>
  <cp:lastPrinted>2020-07-16T12:52:00Z</cp:lastPrinted>
  <dcterms:created xsi:type="dcterms:W3CDTF">2020-07-17T07:22:00Z</dcterms:created>
  <dcterms:modified xsi:type="dcterms:W3CDTF">2020-07-17T07:22:00Z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