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6DF" w:rsidRPr="005306DF" w:rsidRDefault="005306DF" w:rsidP="00F066C7">
      <w:pPr>
        <w:spacing w:after="0" w:line="360" w:lineRule="auto"/>
        <w:jc w:val="center"/>
        <w:rPr>
          <w:rFonts w:ascii="Arial" w:hAnsi="Arial" w:cs="Arial"/>
          <w:sz w:val="24"/>
          <w:szCs w:val="24"/>
        </w:rPr>
      </w:pPr>
    </w:p>
    <w:p w:rsidR="00F066C7" w:rsidRDefault="00F066C7" w:rsidP="00F066C7">
      <w:pPr>
        <w:spacing w:after="0" w:line="360" w:lineRule="auto"/>
        <w:jc w:val="center"/>
        <w:rPr>
          <w:rFonts w:ascii="Arial" w:hAnsi="Arial" w:cs="Arial"/>
          <w:b/>
          <w:sz w:val="24"/>
          <w:szCs w:val="24"/>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655BF8" w:rsidRDefault="00655BF8" w:rsidP="00F066C7">
                            <w:pPr>
                              <w:jc w:val="center"/>
                            </w:pPr>
                            <w: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655BF8" w:rsidRDefault="00655BF8" w:rsidP="00F066C7">
                      <w:pPr>
                        <w:jc w:val="center"/>
                      </w:pPr>
                      <w:r>
                        <w:t>REPORTABLE</w:t>
                      </w:r>
                    </w:p>
                  </w:txbxContent>
                </v:textbox>
              </v:shape>
            </w:pict>
          </mc:Fallback>
        </mc:AlternateContent>
      </w:r>
      <w:r>
        <w:rPr>
          <w:rFonts w:ascii="Arial" w:hAnsi="Arial" w:cs="Arial"/>
          <w:b/>
          <w:sz w:val="24"/>
          <w:szCs w:val="24"/>
        </w:rPr>
        <w:t>REPUBLIC OF NAMIBIA</w:t>
      </w:r>
    </w:p>
    <w:p w:rsidR="00F066C7" w:rsidRDefault="00F066C7" w:rsidP="00F066C7">
      <w:pPr>
        <w:spacing w:after="0" w:line="360" w:lineRule="auto"/>
        <w:jc w:val="center"/>
        <w:rPr>
          <w:b/>
          <w:sz w:val="32"/>
          <w:szCs w:val="32"/>
        </w:rPr>
      </w:pPr>
      <w:r>
        <w:rPr>
          <w:b/>
          <w:noProof/>
          <w:sz w:val="32"/>
          <w:szCs w:val="32"/>
          <w:lang w:val="en-US"/>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F066C7" w:rsidRDefault="00F066C7" w:rsidP="00F066C7">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F066C7" w:rsidRDefault="00F066C7" w:rsidP="00F066C7">
      <w:pPr>
        <w:spacing w:after="0" w:line="360" w:lineRule="auto"/>
        <w:jc w:val="center"/>
        <w:rPr>
          <w:rFonts w:ascii="Arial" w:hAnsi="Arial" w:cs="Arial"/>
          <w:b/>
          <w:sz w:val="10"/>
          <w:szCs w:val="10"/>
        </w:rPr>
      </w:pPr>
    </w:p>
    <w:p w:rsidR="00F066C7" w:rsidRDefault="00F066C7" w:rsidP="00F066C7">
      <w:pPr>
        <w:spacing w:after="0" w:line="360" w:lineRule="auto"/>
        <w:jc w:val="center"/>
        <w:rPr>
          <w:rFonts w:ascii="Arial" w:hAnsi="Arial" w:cs="Arial"/>
          <w:b/>
          <w:sz w:val="24"/>
          <w:szCs w:val="24"/>
        </w:rPr>
      </w:pPr>
      <w:r>
        <w:rPr>
          <w:rFonts w:ascii="Arial" w:hAnsi="Arial" w:cs="Arial"/>
          <w:b/>
          <w:sz w:val="24"/>
          <w:szCs w:val="24"/>
        </w:rPr>
        <w:t>JUDGMENT</w:t>
      </w:r>
    </w:p>
    <w:p w:rsidR="00F066C7" w:rsidRDefault="00F066C7" w:rsidP="00F066C7">
      <w:pPr>
        <w:spacing w:after="0" w:line="360" w:lineRule="auto"/>
        <w:jc w:val="both"/>
        <w:rPr>
          <w:rFonts w:ascii="Arial" w:hAnsi="Arial" w:cs="Arial"/>
          <w:b/>
          <w:sz w:val="24"/>
          <w:szCs w:val="24"/>
        </w:rPr>
      </w:pPr>
    </w:p>
    <w:p w:rsidR="00F066C7" w:rsidRDefault="00F066C7" w:rsidP="00F066C7">
      <w:pPr>
        <w:tabs>
          <w:tab w:val="right" w:pos="9000"/>
        </w:tabs>
        <w:spacing w:after="0" w:line="360" w:lineRule="auto"/>
        <w:jc w:val="center"/>
        <w:rPr>
          <w:rFonts w:ascii="Arial" w:hAnsi="Arial" w:cs="Arial"/>
          <w:sz w:val="24"/>
          <w:szCs w:val="24"/>
        </w:rPr>
      </w:pPr>
      <w:r>
        <w:rPr>
          <w:rFonts w:ascii="Arial" w:hAnsi="Arial" w:cs="Arial"/>
          <w:b/>
          <w:sz w:val="24"/>
          <w:szCs w:val="24"/>
        </w:rPr>
        <w:tab/>
      </w:r>
      <w:r w:rsidR="00A1406B">
        <w:rPr>
          <w:rFonts w:ascii="Arial" w:hAnsi="Arial" w:cs="Arial"/>
          <w:sz w:val="24"/>
          <w:szCs w:val="24"/>
        </w:rPr>
        <w:t xml:space="preserve">Case no: </w:t>
      </w:r>
      <w:r w:rsidR="009A7E0A">
        <w:rPr>
          <w:rFonts w:ascii="Arial" w:hAnsi="Arial" w:cs="Arial"/>
          <w:sz w:val="24"/>
          <w:szCs w:val="24"/>
        </w:rPr>
        <w:t>HC-MD</w:t>
      </w:r>
      <w:r w:rsidR="00AE5C89">
        <w:rPr>
          <w:rFonts w:ascii="Arial" w:hAnsi="Arial" w:cs="Arial"/>
          <w:sz w:val="24"/>
          <w:szCs w:val="24"/>
        </w:rPr>
        <w:t>-CIV-ACT-OTH-2019/00768</w:t>
      </w:r>
    </w:p>
    <w:p w:rsidR="00F066C7" w:rsidRDefault="00F066C7" w:rsidP="00F066C7">
      <w:pPr>
        <w:spacing w:after="0" w:line="360" w:lineRule="auto"/>
        <w:jc w:val="both"/>
        <w:rPr>
          <w:rFonts w:ascii="Arial" w:hAnsi="Arial" w:cs="Arial"/>
          <w:sz w:val="24"/>
          <w:szCs w:val="24"/>
        </w:rPr>
      </w:pPr>
    </w:p>
    <w:p w:rsidR="00F066C7" w:rsidRDefault="00F066C7" w:rsidP="00F066C7">
      <w:pPr>
        <w:spacing w:after="0" w:line="360" w:lineRule="auto"/>
        <w:jc w:val="both"/>
        <w:rPr>
          <w:rFonts w:ascii="Arial" w:hAnsi="Arial" w:cs="Arial"/>
          <w:sz w:val="24"/>
          <w:szCs w:val="24"/>
        </w:rPr>
      </w:pPr>
      <w:r>
        <w:rPr>
          <w:rFonts w:ascii="Arial" w:hAnsi="Arial" w:cs="Arial"/>
          <w:sz w:val="24"/>
          <w:szCs w:val="24"/>
        </w:rPr>
        <w:t>In the matter between:</w:t>
      </w:r>
    </w:p>
    <w:p w:rsidR="00F066C7" w:rsidRDefault="00F066C7" w:rsidP="00F066C7">
      <w:pPr>
        <w:spacing w:after="0" w:line="360" w:lineRule="auto"/>
        <w:jc w:val="both"/>
        <w:rPr>
          <w:rFonts w:ascii="Arial" w:hAnsi="Arial" w:cs="Arial"/>
          <w:sz w:val="24"/>
          <w:szCs w:val="24"/>
        </w:rPr>
      </w:pPr>
    </w:p>
    <w:p w:rsidR="00F066C7" w:rsidRDefault="00AE5C89" w:rsidP="00B71064">
      <w:pPr>
        <w:spacing w:after="0" w:line="360" w:lineRule="auto"/>
        <w:rPr>
          <w:rFonts w:ascii="Arial" w:hAnsi="Arial" w:cs="Arial"/>
          <w:b/>
          <w:sz w:val="24"/>
          <w:szCs w:val="24"/>
        </w:rPr>
      </w:pPr>
      <w:r>
        <w:rPr>
          <w:rFonts w:ascii="Arial" w:hAnsi="Arial" w:cs="Arial"/>
          <w:b/>
          <w:sz w:val="24"/>
          <w:szCs w:val="24"/>
        </w:rPr>
        <w:t>GODFRIED MUVANGUA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6D62BF">
        <w:rPr>
          <w:rFonts w:ascii="Arial" w:hAnsi="Arial" w:cs="Arial"/>
          <w:b/>
          <w:sz w:val="24"/>
          <w:szCs w:val="24"/>
        </w:rPr>
        <w:tab/>
      </w:r>
      <w:r>
        <w:rPr>
          <w:rFonts w:ascii="Arial" w:hAnsi="Arial" w:cs="Arial"/>
          <w:b/>
          <w:sz w:val="24"/>
          <w:szCs w:val="24"/>
        </w:rPr>
        <w:t>PLAINTIFF</w:t>
      </w:r>
    </w:p>
    <w:p w:rsidR="00F066C7" w:rsidRPr="000A6908" w:rsidRDefault="00F066C7" w:rsidP="00F066C7">
      <w:pPr>
        <w:spacing w:after="0" w:line="360" w:lineRule="auto"/>
        <w:jc w:val="both"/>
        <w:rPr>
          <w:rFonts w:ascii="Arial" w:hAnsi="Arial" w:cs="Arial"/>
          <w:b/>
          <w:sz w:val="24"/>
          <w:szCs w:val="24"/>
        </w:rPr>
      </w:pPr>
    </w:p>
    <w:p w:rsidR="00F066C7" w:rsidRDefault="00143230" w:rsidP="00F066C7">
      <w:pPr>
        <w:spacing w:after="0" w:line="360" w:lineRule="auto"/>
        <w:jc w:val="both"/>
        <w:rPr>
          <w:rFonts w:ascii="Arial" w:hAnsi="Arial" w:cs="Arial"/>
          <w:sz w:val="24"/>
          <w:szCs w:val="24"/>
        </w:rPr>
      </w:pPr>
      <w:proofErr w:type="gramStart"/>
      <w:r>
        <w:rPr>
          <w:rFonts w:ascii="Arial" w:hAnsi="Arial" w:cs="Arial"/>
          <w:sz w:val="24"/>
          <w:szCs w:val="24"/>
        </w:rPr>
        <w:t>and</w:t>
      </w:r>
      <w:proofErr w:type="gramEnd"/>
    </w:p>
    <w:p w:rsidR="00F066C7" w:rsidRDefault="00F066C7" w:rsidP="00F066C7">
      <w:pPr>
        <w:spacing w:after="0" w:line="360" w:lineRule="auto"/>
        <w:jc w:val="both"/>
        <w:rPr>
          <w:rFonts w:ascii="Arial" w:hAnsi="Arial" w:cs="Arial"/>
          <w:sz w:val="20"/>
          <w:szCs w:val="20"/>
        </w:rPr>
      </w:pPr>
    </w:p>
    <w:p w:rsidR="00F066C7" w:rsidRDefault="00A015FD" w:rsidP="009A7E0A">
      <w:pPr>
        <w:spacing w:after="0" w:line="360" w:lineRule="auto"/>
        <w:rPr>
          <w:rFonts w:ascii="Arial" w:hAnsi="Arial" w:cs="Arial"/>
          <w:b/>
          <w:sz w:val="24"/>
          <w:szCs w:val="24"/>
        </w:rPr>
      </w:pPr>
      <w:r>
        <w:rPr>
          <w:rFonts w:ascii="Arial" w:hAnsi="Arial" w:cs="Arial"/>
          <w:b/>
          <w:sz w:val="24"/>
          <w:szCs w:val="24"/>
        </w:rPr>
        <w:t>FREDRIKA HIANGO</w:t>
      </w:r>
      <w:r w:rsidR="00AE5C89">
        <w:rPr>
          <w:rFonts w:ascii="Arial" w:hAnsi="Arial" w:cs="Arial"/>
          <w:b/>
          <w:sz w:val="24"/>
          <w:szCs w:val="24"/>
        </w:rPr>
        <w:t>RO</w:t>
      </w:r>
      <w:r w:rsidR="00AE5C89">
        <w:rPr>
          <w:rFonts w:ascii="Arial" w:hAnsi="Arial" w:cs="Arial"/>
          <w:b/>
          <w:sz w:val="24"/>
          <w:szCs w:val="24"/>
        </w:rPr>
        <w:tab/>
      </w:r>
      <w:r w:rsidR="00AE5C89">
        <w:rPr>
          <w:rFonts w:ascii="Arial" w:hAnsi="Arial" w:cs="Arial"/>
          <w:b/>
          <w:sz w:val="24"/>
          <w:szCs w:val="24"/>
        </w:rPr>
        <w:tab/>
      </w:r>
      <w:r w:rsidR="00AE5C89">
        <w:rPr>
          <w:rFonts w:ascii="Arial" w:hAnsi="Arial" w:cs="Arial"/>
          <w:b/>
          <w:sz w:val="24"/>
          <w:szCs w:val="24"/>
        </w:rPr>
        <w:tab/>
      </w:r>
      <w:r w:rsidR="00AE5C89">
        <w:rPr>
          <w:rFonts w:ascii="Arial" w:hAnsi="Arial" w:cs="Arial"/>
          <w:b/>
          <w:sz w:val="24"/>
          <w:szCs w:val="24"/>
        </w:rPr>
        <w:tab/>
      </w:r>
      <w:r w:rsidR="00AE5C89">
        <w:rPr>
          <w:rFonts w:ascii="Arial" w:hAnsi="Arial" w:cs="Arial"/>
          <w:b/>
          <w:sz w:val="24"/>
          <w:szCs w:val="24"/>
        </w:rPr>
        <w:tab/>
      </w:r>
      <w:r w:rsidR="00AE5C89">
        <w:rPr>
          <w:rFonts w:ascii="Arial" w:hAnsi="Arial" w:cs="Arial"/>
          <w:b/>
          <w:sz w:val="24"/>
          <w:szCs w:val="24"/>
        </w:rPr>
        <w:tab/>
      </w:r>
      <w:r w:rsidR="00AE5C89">
        <w:rPr>
          <w:rFonts w:ascii="Arial" w:hAnsi="Arial" w:cs="Arial"/>
          <w:b/>
          <w:sz w:val="24"/>
          <w:szCs w:val="24"/>
        </w:rPr>
        <w:tab/>
        <w:t>DEFENDANT</w:t>
      </w:r>
    </w:p>
    <w:p w:rsidR="000A6908" w:rsidRDefault="000A6908" w:rsidP="00F066C7">
      <w:pPr>
        <w:spacing w:after="0" w:line="360" w:lineRule="auto"/>
        <w:ind w:left="2160" w:hanging="2160"/>
        <w:jc w:val="both"/>
        <w:rPr>
          <w:rFonts w:ascii="Arial" w:hAnsi="Arial" w:cs="Arial"/>
          <w:b/>
          <w:sz w:val="24"/>
          <w:szCs w:val="24"/>
        </w:rPr>
      </w:pPr>
    </w:p>
    <w:p w:rsidR="00F066C7" w:rsidRDefault="00F066C7" w:rsidP="00B63849">
      <w:pPr>
        <w:spacing w:after="0" w:line="360" w:lineRule="auto"/>
        <w:ind w:left="2160" w:hanging="2160"/>
        <w:rPr>
          <w:rFonts w:ascii="Arial" w:hAnsi="Arial" w:cs="Arial"/>
          <w:sz w:val="24"/>
          <w:szCs w:val="24"/>
        </w:rPr>
      </w:pPr>
      <w:r>
        <w:rPr>
          <w:rFonts w:ascii="Arial" w:hAnsi="Arial" w:cs="Arial"/>
          <w:b/>
          <w:sz w:val="24"/>
          <w:szCs w:val="24"/>
        </w:rPr>
        <w:t>Neutral citation:</w:t>
      </w:r>
      <w:r>
        <w:rPr>
          <w:rFonts w:ascii="Arial" w:hAnsi="Arial" w:cs="Arial"/>
          <w:b/>
          <w:sz w:val="24"/>
          <w:szCs w:val="24"/>
        </w:rPr>
        <w:tab/>
      </w:r>
      <w:proofErr w:type="spellStart"/>
      <w:r w:rsidR="00AE5C89">
        <w:rPr>
          <w:rFonts w:ascii="Arial" w:hAnsi="Arial" w:cs="Arial"/>
          <w:i/>
          <w:sz w:val="24"/>
          <w:szCs w:val="24"/>
        </w:rPr>
        <w:t>Muvangua</w:t>
      </w:r>
      <w:proofErr w:type="spellEnd"/>
      <w:r w:rsidR="00F257C2">
        <w:rPr>
          <w:rFonts w:ascii="Arial" w:hAnsi="Arial" w:cs="Arial"/>
          <w:i/>
          <w:sz w:val="24"/>
          <w:szCs w:val="24"/>
        </w:rPr>
        <w:t xml:space="preserve"> v </w:t>
      </w:r>
      <w:proofErr w:type="spellStart"/>
      <w:r w:rsidR="00A015FD">
        <w:rPr>
          <w:rFonts w:ascii="Arial" w:hAnsi="Arial" w:cs="Arial"/>
          <w:i/>
          <w:sz w:val="24"/>
          <w:szCs w:val="24"/>
        </w:rPr>
        <w:t>Hiango</w:t>
      </w:r>
      <w:r w:rsidR="00AE5C89">
        <w:rPr>
          <w:rFonts w:ascii="Arial" w:hAnsi="Arial" w:cs="Arial"/>
          <w:i/>
          <w:sz w:val="24"/>
          <w:szCs w:val="24"/>
        </w:rPr>
        <w:t>ro</w:t>
      </w:r>
      <w:proofErr w:type="spellEnd"/>
      <w:r w:rsidR="00AE5C89" w:rsidRPr="00E14224">
        <w:rPr>
          <w:rFonts w:ascii="Arial" w:hAnsi="Arial" w:cs="Arial"/>
          <w:sz w:val="24"/>
          <w:szCs w:val="24"/>
        </w:rPr>
        <w:t xml:space="preserve"> </w:t>
      </w:r>
      <w:r w:rsidR="00077D57" w:rsidRPr="00E14224">
        <w:rPr>
          <w:rFonts w:ascii="Arial" w:hAnsi="Arial" w:cs="Arial"/>
          <w:sz w:val="24"/>
          <w:szCs w:val="24"/>
        </w:rPr>
        <w:t>(</w:t>
      </w:r>
      <w:r w:rsidR="00AE5C89">
        <w:rPr>
          <w:rFonts w:ascii="Arial" w:hAnsi="Arial" w:cs="Arial"/>
          <w:sz w:val="24"/>
          <w:szCs w:val="24"/>
        </w:rPr>
        <w:t>HC-MD-CIV-ACT-OTH-2019/00768</w:t>
      </w:r>
      <w:r w:rsidR="00CA6385" w:rsidRPr="00E14224">
        <w:rPr>
          <w:rFonts w:ascii="Arial" w:hAnsi="Arial" w:cs="Arial"/>
          <w:sz w:val="24"/>
          <w:szCs w:val="24"/>
        </w:rPr>
        <w:t>)</w:t>
      </w:r>
      <w:r w:rsidR="00D33B6F">
        <w:rPr>
          <w:rFonts w:ascii="Arial" w:hAnsi="Arial" w:cs="Arial"/>
          <w:sz w:val="24"/>
          <w:szCs w:val="24"/>
        </w:rPr>
        <w:t xml:space="preserve"> </w:t>
      </w:r>
      <w:r w:rsidR="00A368C5">
        <w:rPr>
          <w:rFonts w:ascii="Arial" w:hAnsi="Arial" w:cs="Arial"/>
          <w:sz w:val="24"/>
          <w:szCs w:val="24"/>
        </w:rPr>
        <w:t>[2020] NAHCMD 292</w:t>
      </w:r>
      <w:r w:rsidR="00FE3BB4">
        <w:rPr>
          <w:rFonts w:ascii="Arial" w:hAnsi="Arial" w:cs="Arial"/>
          <w:sz w:val="24"/>
          <w:szCs w:val="24"/>
        </w:rPr>
        <w:t xml:space="preserve"> (16 </w:t>
      </w:r>
      <w:r w:rsidR="00D33B6F">
        <w:rPr>
          <w:rFonts w:ascii="Arial" w:hAnsi="Arial" w:cs="Arial"/>
          <w:sz w:val="24"/>
          <w:szCs w:val="24"/>
        </w:rPr>
        <w:t xml:space="preserve">July </w:t>
      </w:r>
      <w:r w:rsidR="00AE5C89">
        <w:rPr>
          <w:rFonts w:ascii="Arial" w:hAnsi="Arial" w:cs="Arial"/>
          <w:sz w:val="24"/>
          <w:szCs w:val="24"/>
        </w:rPr>
        <w:t>2020</w:t>
      </w:r>
      <w:r w:rsidR="00D33B6F">
        <w:rPr>
          <w:rFonts w:ascii="Arial" w:hAnsi="Arial" w:cs="Arial"/>
          <w:sz w:val="24"/>
          <w:szCs w:val="24"/>
        </w:rPr>
        <w:t>)</w:t>
      </w:r>
      <w:r w:rsidR="0072248E">
        <w:rPr>
          <w:rFonts w:ascii="Arial" w:hAnsi="Arial" w:cs="Arial"/>
          <w:sz w:val="24"/>
          <w:szCs w:val="24"/>
        </w:rPr>
        <w:br/>
      </w:r>
    </w:p>
    <w:p w:rsidR="00F066C7" w:rsidRDefault="00F066C7" w:rsidP="00F066C7">
      <w:pPr>
        <w:spacing w:after="0" w:line="360" w:lineRule="auto"/>
        <w:ind w:left="2160" w:hanging="2160"/>
        <w:jc w:val="both"/>
        <w:rPr>
          <w:rFonts w:ascii="Arial" w:hAnsi="Arial" w:cs="Arial"/>
          <w:sz w:val="4"/>
          <w:szCs w:val="4"/>
        </w:rPr>
      </w:pPr>
    </w:p>
    <w:p w:rsidR="00F066C7" w:rsidRPr="00CA075B" w:rsidRDefault="00F066C7" w:rsidP="00F066C7">
      <w:pPr>
        <w:spacing w:after="0" w:line="360" w:lineRule="auto"/>
        <w:ind w:left="1440" w:hanging="1440"/>
        <w:jc w:val="both"/>
        <w:rPr>
          <w:rFonts w:ascii="Arial" w:hAnsi="Arial" w:cs="Arial"/>
          <w:b/>
          <w:i/>
          <w:sz w:val="24"/>
          <w:szCs w:val="24"/>
        </w:rPr>
      </w:pPr>
      <w:r>
        <w:rPr>
          <w:rFonts w:ascii="Arial" w:hAnsi="Arial" w:cs="Arial"/>
          <w:b/>
          <w:sz w:val="24"/>
          <w:szCs w:val="24"/>
        </w:rPr>
        <w:t>Coram:</w:t>
      </w:r>
      <w:r w:rsidR="00CA075B">
        <w:rPr>
          <w:rFonts w:ascii="Arial" w:hAnsi="Arial" w:cs="Arial"/>
          <w:sz w:val="24"/>
          <w:szCs w:val="24"/>
        </w:rPr>
        <w:tab/>
      </w:r>
      <w:r w:rsidR="00CA075B">
        <w:rPr>
          <w:rFonts w:ascii="Arial" w:hAnsi="Arial" w:cs="Arial"/>
          <w:sz w:val="24"/>
          <w:szCs w:val="24"/>
        </w:rPr>
        <w:tab/>
      </w:r>
      <w:r w:rsidR="00996CC1" w:rsidRPr="00996CC1">
        <w:rPr>
          <w:rFonts w:ascii="Arial" w:hAnsi="Arial" w:cs="Arial"/>
          <w:sz w:val="24"/>
          <w:szCs w:val="24"/>
        </w:rPr>
        <w:t>PARKER AJ</w:t>
      </w:r>
      <w:r w:rsidR="000168E8">
        <w:rPr>
          <w:rFonts w:ascii="Arial" w:hAnsi="Arial" w:cs="Arial"/>
          <w:sz w:val="24"/>
          <w:szCs w:val="24"/>
        </w:rPr>
        <w:t xml:space="preserve"> </w:t>
      </w:r>
    </w:p>
    <w:p w:rsidR="00F066C7" w:rsidRPr="00CA075B" w:rsidRDefault="00F066C7" w:rsidP="00F066C7">
      <w:pPr>
        <w:spacing w:after="0" w:line="360" w:lineRule="auto"/>
        <w:ind w:left="1440" w:hanging="1440"/>
        <w:rPr>
          <w:rFonts w:ascii="Arial" w:hAnsi="Arial" w:cs="Arial"/>
          <w:b/>
          <w:sz w:val="24"/>
          <w:szCs w:val="24"/>
        </w:rPr>
      </w:pPr>
      <w:r w:rsidRPr="00CA075B">
        <w:rPr>
          <w:rFonts w:ascii="Arial" w:hAnsi="Arial" w:cs="Arial"/>
          <w:b/>
          <w:bCs/>
          <w:sz w:val="24"/>
          <w:szCs w:val="24"/>
        </w:rPr>
        <w:t>Heard</w:t>
      </w:r>
      <w:r w:rsidRPr="00CA075B">
        <w:rPr>
          <w:rFonts w:ascii="Arial" w:hAnsi="Arial" w:cs="Arial"/>
          <w:b/>
          <w:sz w:val="24"/>
          <w:szCs w:val="24"/>
        </w:rPr>
        <w:t>:</w:t>
      </w:r>
      <w:r w:rsidRPr="00CA075B">
        <w:rPr>
          <w:rFonts w:ascii="Arial" w:hAnsi="Arial" w:cs="Arial"/>
          <w:b/>
          <w:sz w:val="24"/>
          <w:szCs w:val="24"/>
        </w:rPr>
        <w:tab/>
      </w:r>
      <w:r w:rsidR="00CA075B">
        <w:rPr>
          <w:rFonts w:ascii="Arial" w:hAnsi="Arial" w:cs="Arial"/>
          <w:b/>
          <w:sz w:val="24"/>
          <w:szCs w:val="24"/>
        </w:rPr>
        <w:tab/>
      </w:r>
      <w:r w:rsidR="00D132CF">
        <w:rPr>
          <w:rFonts w:ascii="Arial" w:hAnsi="Arial" w:cs="Arial"/>
          <w:b/>
          <w:sz w:val="24"/>
          <w:szCs w:val="24"/>
        </w:rPr>
        <w:t>1-2 &amp;</w:t>
      </w:r>
      <w:r w:rsidR="00FE3BB4">
        <w:rPr>
          <w:rFonts w:ascii="Arial" w:hAnsi="Arial" w:cs="Arial"/>
          <w:b/>
          <w:sz w:val="24"/>
          <w:szCs w:val="24"/>
        </w:rPr>
        <w:t xml:space="preserve"> 10 June 2020</w:t>
      </w:r>
    </w:p>
    <w:p w:rsidR="00F066C7" w:rsidRDefault="00F066C7" w:rsidP="00F066C7">
      <w:pPr>
        <w:spacing w:after="0" w:line="360" w:lineRule="auto"/>
        <w:jc w:val="both"/>
        <w:rPr>
          <w:rFonts w:ascii="Arial" w:hAnsi="Arial" w:cs="Arial"/>
          <w:b/>
          <w:sz w:val="24"/>
          <w:szCs w:val="24"/>
        </w:rPr>
      </w:pPr>
      <w:r w:rsidRPr="00CA075B">
        <w:rPr>
          <w:rFonts w:ascii="Arial" w:hAnsi="Arial" w:cs="Arial"/>
          <w:b/>
          <w:bCs/>
          <w:sz w:val="24"/>
          <w:szCs w:val="24"/>
        </w:rPr>
        <w:t>Delivered</w:t>
      </w:r>
      <w:r w:rsidR="00CA075B" w:rsidRPr="00CA075B">
        <w:rPr>
          <w:rFonts w:ascii="Arial" w:hAnsi="Arial" w:cs="Arial"/>
          <w:b/>
          <w:sz w:val="24"/>
          <w:szCs w:val="24"/>
        </w:rPr>
        <w:t>:</w:t>
      </w:r>
      <w:r w:rsidR="00CA075B" w:rsidRPr="00CA075B">
        <w:rPr>
          <w:rFonts w:ascii="Arial" w:hAnsi="Arial" w:cs="Arial"/>
          <w:b/>
          <w:sz w:val="24"/>
          <w:szCs w:val="24"/>
        </w:rPr>
        <w:tab/>
      </w:r>
      <w:r w:rsidR="00CA075B">
        <w:rPr>
          <w:rFonts w:ascii="Arial" w:hAnsi="Arial" w:cs="Arial"/>
          <w:b/>
          <w:sz w:val="24"/>
          <w:szCs w:val="24"/>
        </w:rPr>
        <w:tab/>
      </w:r>
      <w:r w:rsidR="00FE3BB4">
        <w:rPr>
          <w:rFonts w:ascii="Arial" w:hAnsi="Arial" w:cs="Arial"/>
          <w:b/>
          <w:sz w:val="24"/>
          <w:szCs w:val="24"/>
        </w:rPr>
        <w:t>16 July 2020</w:t>
      </w:r>
    </w:p>
    <w:p w:rsidR="00F066C7" w:rsidRDefault="00F066C7" w:rsidP="00F066C7">
      <w:pPr>
        <w:spacing w:after="0" w:line="360" w:lineRule="auto"/>
        <w:jc w:val="both"/>
        <w:rPr>
          <w:rFonts w:ascii="Arial" w:hAnsi="Arial" w:cs="Arial"/>
          <w:sz w:val="24"/>
          <w:szCs w:val="24"/>
        </w:rPr>
      </w:pPr>
    </w:p>
    <w:p w:rsidR="00F066C7" w:rsidRDefault="008C3341" w:rsidP="00B7086B">
      <w:pPr>
        <w:spacing w:after="160" w:line="259" w:lineRule="auto"/>
        <w:rPr>
          <w:rFonts w:ascii="Arial" w:hAnsi="Arial" w:cs="Arial"/>
          <w:sz w:val="24"/>
          <w:szCs w:val="24"/>
        </w:rPr>
      </w:pPr>
      <w:r>
        <w:rPr>
          <w:rFonts w:ascii="Arial" w:hAnsi="Arial" w:cs="Arial"/>
          <w:sz w:val="24"/>
          <w:szCs w:val="24"/>
        </w:rPr>
        <w:br w:type="page"/>
      </w:r>
    </w:p>
    <w:p w:rsidR="00F066C7" w:rsidRDefault="00CA075B" w:rsidP="00F066C7">
      <w:pPr>
        <w:spacing w:after="0" w:line="360" w:lineRule="auto"/>
        <w:jc w:val="both"/>
        <w:rPr>
          <w:rFonts w:ascii="Arial" w:hAnsi="Arial" w:cs="Arial"/>
          <w:sz w:val="24"/>
          <w:szCs w:val="24"/>
        </w:rPr>
      </w:pPr>
      <w:proofErr w:type="spellStart"/>
      <w:r w:rsidRPr="00285954">
        <w:rPr>
          <w:rFonts w:ascii="Arial" w:hAnsi="Arial" w:cs="Arial"/>
          <w:b/>
          <w:sz w:val="24"/>
          <w:szCs w:val="24"/>
        </w:rPr>
        <w:lastRenderedPageBreak/>
        <w:t>Flynote</w:t>
      </w:r>
      <w:proofErr w:type="spellEnd"/>
      <w:r w:rsidR="00714D93">
        <w:rPr>
          <w:rFonts w:ascii="Arial" w:hAnsi="Arial" w:cs="Arial"/>
          <w:sz w:val="24"/>
          <w:szCs w:val="24"/>
        </w:rPr>
        <w:t>:</w:t>
      </w:r>
      <w:r w:rsidR="00AD0841">
        <w:rPr>
          <w:rFonts w:ascii="Arial" w:hAnsi="Arial" w:cs="Arial"/>
          <w:sz w:val="24"/>
          <w:szCs w:val="24"/>
        </w:rPr>
        <w:tab/>
      </w:r>
      <w:r w:rsidR="00714D93">
        <w:rPr>
          <w:rFonts w:ascii="Arial" w:hAnsi="Arial" w:cs="Arial"/>
          <w:sz w:val="24"/>
          <w:szCs w:val="24"/>
        </w:rPr>
        <w:t xml:space="preserve"> </w:t>
      </w:r>
      <w:r w:rsidR="006D3605">
        <w:rPr>
          <w:rFonts w:ascii="Arial" w:hAnsi="Arial" w:cs="Arial"/>
          <w:sz w:val="24"/>
          <w:szCs w:val="24"/>
        </w:rPr>
        <w:t>Contract – Proof of – Court held, onus of proving existence of contract is dischar</w:t>
      </w:r>
      <w:r w:rsidR="00C319F2">
        <w:rPr>
          <w:rFonts w:ascii="Arial" w:hAnsi="Arial" w:cs="Arial"/>
          <w:sz w:val="24"/>
          <w:szCs w:val="24"/>
        </w:rPr>
        <w:t>ged by adducing evidence to prov</w:t>
      </w:r>
      <w:r w:rsidR="006D3605">
        <w:rPr>
          <w:rFonts w:ascii="Arial" w:hAnsi="Arial" w:cs="Arial"/>
          <w:sz w:val="24"/>
          <w:szCs w:val="24"/>
        </w:rPr>
        <w:t xml:space="preserve">e either consensus or reasonable reliance on the appearance of consensus – </w:t>
      </w:r>
      <w:r w:rsidR="001E7158">
        <w:rPr>
          <w:rFonts w:ascii="Arial" w:hAnsi="Arial" w:cs="Arial"/>
          <w:sz w:val="24"/>
          <w:szCs w:val="24"/>
        </w:rPr>
        <w:t xml:space="preserve">The </w:t>
      </w:r>
      <w:r w:rsidR="006D3605">
        <w:rPr>
          <w:rFonts w:ascii="Arial" w:hAnsi="Arial" w:cs="Arial"/>
          <w:sz w:val="24"/>
          <w:szCs w:val="24"/>
        </w:rPr>
        <w:t>onus rests on the person alleging existence of the contract</w:t>
      </w:r>
      <w:r w:rsidR="001E7158">
        <w:rPr>
          <w:rFonts w:ascii="Arial" w:hAnsi="Arial" w:cs="Arial"/>
          <w:sz w:val="24"/>
          <w:szCs w:val="24"/>
        </w:rPr>
        <w:t xml:space="preserve"> – Document signed by parties placed before the court</w:t>
      </w:r>
      <w:r w:rsidR="001E7158" w:rsidRPr="001E7158">
        <w:rPr>
          <w:rFonts w:ascii="Arial" w:hAnsi="Arial" w:cs="Arial"/>
          <w:sz w:val="24"/>
          <w:szCs w:val="24"/>
        </w:rPr>
        <w:t xml:space="preserve"> </w:t>
      </w:r>
      <w:r w:rsidR="001E7158">
        <w:rPr>
          <w:rFonts w:ascii="Arial" w:hAnsi="Arial" w:cs="Arial"/>
          <w:sz w:val="24"/>
          <w:szCs w:val="24"/>
        </w:rPr>
        <w:t>by the bearer of onus is objective evidence of the parties’ agreement – If one party denies existence of the contract despite his or her signature on the document, the evidentiary burden shifts to that party to show that despite the objective appearance of agreement, no consensus was reached – In instant case plaintiff bears such evidentiary burden – Court having considered the circumstances surrounding the making of the agreement, came to the conclusion that plaintiff discharged the onus cast on him – Court finding that the agreement between plaintiff and</w:t>
      </w:r>
      <w:r w:rsidR="00C319F2">
        <w:rPr>
          <w:rFonts w:ascii="Arial" w:hAnsi="Arial" w:cs="Arial"/>
          <w:sz w:val="24"/>
          <w:szCs w:val="24"/>
        </w:rPr>
        <w:t xml:space="preserve"> first</w:t>
      </w:r>
      <w:r w:rsidR="001E7158">
        <w:rPr>
          <w:rFonts w:ascii="Arial" w:hAnsi="Arial" w:cs="Arial"/>
          <w:sz w:val="24"/>
          <w:szCs w:val="24"/>
        </w:rPr>
        <w:t xml:space="preserve"> defendant was a deed of donation despite the objective appearance of being a deed of sale relied on by first defendant – Consequently, court set aside the deed of sale and declared plaintiff to be the owner of the property.</w:t>
      </w:r>
    </w:p>
    <w:p w:rsidR="00C81FC0" w:rsidRDefault="00C81FC0" w:rsidP="00F066C7">
      <w:pPr>
        <w:spacing w:after="0" w:line="360" w:lineRule="auto"/>
        <w:jc w:val="both"/>
        <w:rPr>
          <w:rFonts w:ascii="Arial" w:hAnsi="Arial" w:cs="Arial"/>
          <w:sz w:val="24"/>
          <w:szCs w:val="24"/>
        </w:rPr>
      </w:pPr>
    </w:p>
    <w:p w:rsidR="00F03C1F" w:rsidRDefault="00CA075B" w:rsidP="00F066C7">
      <w:pPr>
        <w:spacing w:after="0" w:line="360" w:lineRule="auto"/>
        <w:jc w:val="both"/>
        <w:rPr>
          <w:rFonts w:ascii="Arial" w:hAnsi="Arial" w:cs="Arial"/>
          <w:sz w:val="24"/>
          <w:szCs w:val="24"/>
        </w:rPr>
      </w:pPr>
      <w:r w:rsidRPr="00285954">
        <w:rPr>
          <w:rFonts w:ascii="Arial" w:hAnsi="Arial" w:cs="Arial"/>
          <w:b/>
          <w:sz w:val="24"/>
          <w:szCs w:val="24"/>
        </w:rPr>
        <w:t>Summary</w:t>
      </w:r>
      <w:r w:rsidR="00537796">
        <w:rPr>
          <w:rFonts w:ascii="Arial" w:hAnsi="Arial" w:cs="Arial"/>
          <w:sz w:val="24"/>
          <w:szCs w:val="24"/>
        </w:rPr>
        <w:t>:</w:t>
      </w:r>
      <w:r w:rsidR="00537796">
        <w:rPr>
          <w:rFonts w:ascii="Arial" w:hAnsi="Arial" w:cs="Arial"/>
          <w:sz w:val="24"/>
          <w:szCs w:val="24"/>
        </w:rPr>
        <w:tab/>
      </w:r>
      <w:r w:rsidR="001E7158">
        <w:rPr>
          <w:rFonts w:ascii="Arial" w:hAnsi="Arial" w:cs="Arial"/>
          <w:sz w:val="24"/>
          <w:szCs w:val="24"/>
        </w:rPr>
        <w:t>Contract – Proof of –Onus of proving existence of contract is dischar</w:t>
      </w:r>
      <w:r w:rsidR="00C319F2">
        <w:rPr>
          <w:rFonts w:ascii="Arial" w:hAnsi="Arial" w:cs="Arial"/>
          <w:sz w:val="24"/>
          <w:szCs w:val="24"/>
        </w:rPr>
        <w:t>ged by adducing evidence to prov</w:t>
      </w:r>
      <w:r w:rsidR="001E7158">
        <w:rPr>
          <w:rFonts w:ascii="Arial" w:hAnsi="Arial" w:cs="Arial"/>
          <w:sz w:val="24"/>
          <w:szCs w:val="24"/>
        </w:rPr>
        <w:t>e either consensus or reasonable reliance on the appearance of consensus</w:t>
      </w:r>
      <w:r w:rsidR="001D661B">
        <w:rPr>
          <w:rFonts w:ascii="Arial" w:hAnsi="Arial" w:cs="Arial"/>
          <w:sz w:val="24"/>
          <w:szCs w:val="24"/>
        </w:rPr>
        <w:t xml:space="preserve"> – Onus rests on the person alleging existence of the contract – Document signed by both parties is objective evidence of the parties’ agreement – If a signatory denies existence of</w:t>
      </w:r>
      <w:r w:rsidR="00C319F2">
        <w:rPr>
          <w:rFonts w:ascii="Arial" w:hAnsi="Arial" w:cs="Arial"/>
          <w:sz w:val="24"/>
          <w:szCs w:val="24"/>
        </w:rPr>
        <w:t xml:space="preserve"> the contract the onus shifts to</w:t>
      </w:r>
      <w:r w:rsidR="001D661B">
        <w:rPr>
          <w:rFonts w:ascii="Arial" w:hAnsi="Arial" w:cs="Arial"/>
          <w:sz w:val="24"/>
          <w:szCs w:val="24"/>
        </w:rPr>
        <w:t xml:space="preserve"> him or her to show that despite the objective appearance of agreement no consensus was reached – Plaintiff was to show that despite the objective appearance of a deed of sale no consensus was reached between him and first defendant and that the agreement reached by consensus is a deed of donation – Having considered the surrounding circumstances of the making of the agreement court came to the conclusion that plaintiff had discharged the onus placed on him – Accordingly, court finding that the agreement reached was a deed of donation as contended by plaintiff - Consequently, court set aside the deed</w:t>
      </w:r>
      <w:r w:rsidR="00C319F2">
        <w:rPr>
          <w:rFonts w:ascii="Arial" w:hAnsi="Arial" w:cs="Arial"/>
          <w:sz w:val="24"/>
          <w:szCs w:val="24"/>
        </w:rPr>
        <w:t xml:space="preserve"> of sale</w:t>
      </w:r>
      <w:r w:rsidR="001D661B">
        <w:rPr>
          <w:rFonts w:ascii="Arial" w:hAnsi="Arial" w:cs="Arial"/>
          <w:sz w:val="24"/>
          <w:szCs w:val="24"/>
        </w:rPr>
        <w:t xml:space="preserve"> – Court declared plaint</w:t>
      </w:r>
      <w:r w:rsidR="009A7899">
        <w:rPr>
          <w:rFonts w:ascii="Arial" w:hAnsi="Arial" w:cs="Arial"/>
          <w:sz w:val="24"/>
          <w:szCs w:val="24"/>
        </w:rPr>
        <w:t>iff to be owner of the property.</w:t>
      </w:r>
    </w:p>
    <w:p w:rsidR="007A5903" w:rsidRDefault="007A5903" w:rsidP="00F066C7">
      <w:pPr>
        <w:spacing w:after="0" w:line="360" w:lineRule="auto"/>
        <w:jc w:val="both"/>
        <w:rPr>
          <w:rFonts w:ascii="Arial" w:hAnsi="Arial" w:cs="Arial"/>
          <w:sz w:val="24"/>
          <w:szCs w:val="24"/>
        </w:rPr>
      </w:pPr>
      <w:r>
        <w:rPr>
          <w:rFonts w:ascii="Arial" w:hAnsi="Arial" w:cs="Arial"/>
          <w:sz w:val="24"/>
          <w:szCs w:val="24"/>
        </w:rPr>
        <w:t>___________________________________________________________________</w:t>
      </w:r>
    </w:p>
    <w:p w:rsidR="007A5903" w:rsidRPr="007A5903" w:rsidRDefault="007A5903" w:rsidP="007A5903">
      <w:pPr>
        <w:spacing w:after="0"/>
        <w:jc w:val="center"/>
        <w:rPr>
          <w:rFonts w:ascii="Arial" w:hAnsi="Arial" w:cs="Arial"/>
          <w:b/>
          <w:sz w:val="24"/>
          <w:szCs w:val="24"/>
        </w:rPr>
      </w:pPr>
      <w:r w:rsidRPr="007A5903">
        <w:rPr>
          <w:rFonts w:ascii="Arial" w:hAnsi="Arial" w:cs="Arial"/>
          <w:b/>
          <w:sz w:val="24"/>
          <w:szCs w:val="24"/>
        </w:rPr>
        <w:t>ORDER</w:t>
      </w:r>
    </w:p>
    <w:p w:rsidR="0068204E" w:rsidRPr="00EE0F08" w:rsidRDefault="007A5903" w:rsidP="00EE0F08">
      <w:pPr>
        <w:spacing w:after="0"/>
        <w:jc w:val="both"/>
        <w:rPr>
          <w:rFonts w:ascii="Arial" w:hAnsi="Arial" w:cs="Arial"/>
          <w:sz w:val="24"/>
          <w:szCs w:val="24"/>
        </w:rPr>
      </w:pPr>
      <w:r>
        <w:rPr>
          <w:rFonts w:ascii="Arial" w:hAnsi="Arial" w:cs="Arial"/>
          <w:sz w:val="24"/>
          <w:szCs w:val="24"/>
        </w:rPr>
        <w:t>___________________________________________________________________</w:t>
      </w:r>
    </w:p>
    <w:p w:rsidR="0068204E" w:rsidRDefault="0068204E" w:rsidP="00C319F2">
      <w:pPr>
        <w:pStyle w:val="ListParagraph"/>
        <w:numPr>
          <w:ilvl w:val="0"/>
          <w:numId w:val="7"/>
        </w:numPr>
        <w:spacing w:after="0" w:line="360" w:lineRule="auto"/>
        <w:jc w:val="both"/>
        <w:rPr>
          <w:rFonts w:ascii="Arial" w:eastAsia="Times New Roman" w:hAnsi="Arial" w:cs="Arial"/>
          <w:sz w:val="24"/>
          <w:szCs w:val="24"/>
        </w:rPr>
      </w:pPr>
      <w:r>
        <w:rPr>
          <w:rFonts w:ascii="Arial" w:eastAsia="Times New Roman" w:hAnsi="Arial" w:cs="Arial"/>
          <w:sz w:val="24"/>
          <w:szCs w:val="24"/>
        </w:rPr>
        <w:t>Judgment is for the plaintiff.</w:t>
      </w:r>
    </w:p>
    <w:p w:rsidR="0068204E" w:rsidRDefault="0068204E" w:rsidP="0068204E">
      <w:pPr>
        <w:pStyle w:val="ListParagraph"/>
        <w:spacing w:after="0" w:line="360" w:lineRule="auto"/>
        <w:ind w:left="0"/>
        <w:jc w:val="both"/>
        <w:rPr>
          <w:rFonts w:ascii="Arial" w:eastAsia="Times New Roman" w:hAnsi="Arial" w:cs="Arial"/>
          <w:sz w:val="24"/>
          <w:szCs w:val="24"/>
        </w:rPr>
      </w:pPr>
    </w:p>
    <w:p w:rsidR="0068204E" w:rsidRPr="00C319F2" w:rsidRDefault="0068204E" w:rsidP="009A7899">
      <w:pPr>
        <w:pStyle w:val="ListParagraph"/>
        <w:numPr>
          <w:ilvl w:val="0"/>
          <w:numId w:val="7"/>
        </w:numPr>
        <w:spacing w:after="0" w:line="360" w:lineRule="auto"/>
        <w:ind w:left="0" w:firstLine="0"/>
        <w:jc w:val="both"/>
        <w:rPr>
          <w:rFonts w:ascii="Arial" w:eastAsia="Times New Roman" w:hAnsi="Arial" w:cs="Arial"/>
          <w:sz w:val="24"/>
          <w:szCs w:val="24"/>
        </w:rPr>
      </w:pPr>
      <w:r w:rsidRPr="00C319F2">
        <w:rPr>
          <w:rFonts w:ascii="Arial" w:eastAsia="Times New Roman" w:hAnsi="Arial" w:cs="Arial"/>
          <w:sz w:val="24"/>
          <w:szCs w:val="24"/>
        </w:rPr>
        <w:lastRenderedPageBreak/>
        <w:t>The Deed of Sale done on 21 November 2008 a copy of which is annexed to the particulars of claim is d</w:t>
      </w:r>
      <w:r w:rsidR="00FE3BB4" w:rsidRPr="00C319F2">
        <w:rPr>
          <w:rFonts w:ascii="Arial" w:eastAsia="Times New Roman" w:hAnsi="Arial" w:cs="Arial"/>
          <w:sz w:val="24"/>
          <w:szCs w:val="24"/>
        </w:rPr>
        <w:t>eclared null and void ab initio</w:t>
      </w:r>
      <w:r w:rsidRPr="00C319F2">
        <w:rPr>
          <w:rFonts w:ascii="Arial" w:eastAsia="Times New Roman" w:hAnsi="Arial" w:cs="Arial"/>
          <w:sz w:val="24"/>
          <w:szCs w:val="24"/>
        </w:rPr>
        <w:t>, and is set aside.</w:t>
      </w:r>
    </w:p>
    <w:p w:rsidR="0068204E" w:rsidRDefault="0068204E" w:rsidP="0068204E">
      <w:pPr>
        <w:pStyle w:val="ListParagraph"/>
        <w:spacing w:after="0" w:line="360" w:lineRule="auto"/>
        <w:ind w:left="0"/>
        <w:jc w:val="both"/>
        <w:rPr>
          <w:rFonts w:ascii="Arial" w:eastAsia="Times New Roman" w:hAnsi="Arial" w:cs="Arial"/>
          <w:sz w:val="24"/>
          <w:szCs w:val="24"/>
        </w:rPr>
      </w:pPr>
    </w:p>
    <w:p w:rsidR="0068204E" w:rsidRDefault="0068204E" w:rsidP="00C319F2">
      <w:pPr>
        <w:pStyle w:val="ListParagraph"/>
        <w:numPr>
          <w:ilvl w:val="0"/>
          <w:numId w:val="7"/>
        </w:numPr>
        <w:spacing w:after="0" w:line="360" w:lineRule="auto"/>
        <w:ind w:left="0" w:firstLine="0"/>
        <w:jc w:val="both"/>
        <w:rPr>
          <w:rFonts w:ascii="Arial" w:eastAsia="Times New Roman" w:hAnsi="Arial" w:cs="Arial"/>
          <w:sz w:val="24"/>
          <w:szCs w:val="24"/>
        </w:rPr>
      </w:pPr>
      <w:r>
        <w:rPr>
          <w:rFonts w:ascii="Arial" w:eastAsia="Times New Roman" w:hAnsi="Arial" w:cs="Arial"/>
          <w:sz w:val="24"/>
          <w:szCs w:val="24"/>
        </w:rPr>
        <w:t>The Deed of Transfer No.T 7002/2008 is hereby cancelled.</w:t>
      </w:r>
    </w:p>
    <w:p w:rsidR="0068204E" w:rsidRDefault="0068204E" w:rsidP="0068204E">
      <w:pPr>
        <w:pStyle w:val="ListParagraph"/>
        <w:spacing w:after="0" w:line="360" w:lineRule="auto"/>
        <w:ind w:left="0"/>
        <w:jc w:val="both"/>
        <w:rPr>
          <w:rFonts w:ascii="Arial" w:eastAsia="Times New Roman" w:hAnsi="Arial" w:cs="Arial"/>
          <w:sz w:val="24"/>
          <w:szCs w:val="24"/>
        </w:rPr>
      </w:pPr>
    </w:p>
    <w:p w:rsidR="0068204E" w:rsidRDefault="0068204E" w:rsidP="00C319F2">
      <w:pPr>
        <w:pStyle w:val="ListParagraph"/>
        <w:numPr>
          <w:ilvl w:val="0"/>
          <w:numId w:val="7"/>
        </w:numPr>
        <w:spacing w:after="0" w:line="360" w:lineRule="auto"/>
        <w:ind w:left="0" w:firstLine="0"/>
        <w:jc w:val="both"/>
        <w:rPr>
          <w:rFonts w:ascii="Arial" w:eastAsia="Times New Roman" w:hAnsi="Arial" w:cs="Arial"/>
          <w:sz w:val="24"/>
          <w:szCs w:val="24"/>
        </w:rPr>
      </w:pPr>
      <w:r>
        <w:rPr>
          <w:rFonts w:ascii="Arial" w:eastAsia="Times New Roman" w:hAnsi="Arial" w:cs="Arial"/>
          <w:sz w:val="24"/>
          <w:szCs w:val="24"/>
        </w:rPr>
        <w:t xml:space="preserve">It is declared that plaintiff is the registered owner of the property, viz. Erf No.3427 Katutura (Extension No. 4), situated in the Municipality of Windhoek, Registration Division “K”, </w:t>
      </w:r>
      <w:proofErr w:type="spellStart"/>
      <w:r>
        <w:rPr>
          <w:rFonts w:ascii="Arial" w:eastAsia="Times New Roman" w:hAnsi="Arial" w:cs="Arial"/>
          <w:sz w:val="24"/>
          <w:szCs w:val="24"/>
        </w:rPr>
        <w:t>Khomas</w:t>
      </w:r>
      <w:proofErr w:type="spellEnd"/>
      <w:r>
        <w:rPr>
          <w:rFonts w:ascii="Arial" w:eastAsia="Times New Roman" w:hAnsi="Arial" w:cs="Arial"/>
          <w:sz w:val="24"/>
          <w:szCs w:val="24"/>
        </w:rPr>
        <w:t xml:space="preserve"> Region, in extent 494 (</w:t>
      </w:r>
      <w:r w:rsidR="00FE3BB4">
        <w:rPr>
          <w:rFonts w:ascii="Arial" w:eastAsia="Times New Roman" w:hAnsi="Arial" w:cs="Arial"/>
          <w:sz w:val="24"/>
          <w:szCs w:val="24"/>
        </w:rPr>
        <w:t>Four Nine Four</w:t>
      </w:r>
      <w:r>
        <w:rPr>
          <w:rFonts w:ascii="Arial" w:eastAsia="Times New Roman" w:hAnsi="Arial" w:cs="Arial"/>
          <w:sz w:val="24"/>
          <w:szCs w:val="24"/>
        </w:rPr>
        <w:t>) square meters, held by Certificate of Consolidated Title No. T1986/1996</w:t>
      </w:r>
      <w:r w:rsidR="00FE3BB4">
        <w:rPr>
          <w:rFonts w:ascii="Arial" w:eastAsia="Times New Roman" w:hAnsi="Arial" w:cs="Arial"/>
          <w:sz w:val="24"/>
          <w:szCs w:val="24"/>
        </w:rPr>
        <w:t>.</w:t>
      </w:r>
      <w:r>
        <w:rPr>
          <w:rFonts w:ascii="Arial" w:eastAsia="Times New Roman" w:hAnsi="Arial" w:cs="Arial"/>
          <w:sz w:val="24"/>
          <w:szCs w:val="24"/>
        </w:rPr>
        <w:t xml:space="preserve"> </w:t>
      </w:r>
    </w:p>
    <w:p w:rsidR="0068204E" w:rsidRDefault="0068204E" w:rsidP="0068204E">
      <w:pPr>
        <w:pStyle w:val="ListParagraph"/>
        <w:spacing w:after="0" w:line="360" w:lineRule="auto"/>
        <w:ind w:left="0"/>
        <w:jc w:val="both"/>
        <w:rPr>
          <w:rFonts w:ascii="Arial" w:eastAsia="Times New Roman" w:hAnsi="Arial" w:cs="Arial"/>
          <w:sz w:val="24"/>
          <w:szCs w:val="24"/>
        </w:rPr>
      </w:pPr>
    </w:p>
    <w:p w:rsidR="0068204E" w:rsidRDefault="0068204E" w:rsidP="00C319F2">
      <w:pPr>
        <w:pStyle w:val="ListParagraph"/>
        <w:numPr>
          <w:ilvl w:val="0"/>
          <w:numId w:val="7"/>
        </w:numPr>
        <w:spacing w:after="0" w:line="360" w:lineRule="auto"/>
        <w:ind w:left="0" w:firstLine="0"/>
        <w:jc w:val="both"/>
        <w:rPr>
          <w:rFonts w:ascii="Arial" w:eastAsia="Times New Roman" w:hAnsi="Arial" w:cs="Arial"/>
          <w:sz w:val="24"/>
          <w:szCs w:val="24"/>
        </w:rPr>
      </w:pPr>
      <w:r>
        <w:rPr>
          <w:rFonts w:ascii="Arial" w:eastAsia="Times New Roman" w:hAnsi="Arial" w:cs="Arial"/>
          <w:sz w:val="24"/>
          <w:szCs w:val="24"/>
        </w:rPr>
        <w:t>T</w:t>
      </w:r>
      <w:r w:rsidR="00045A8F">
        <w:rPr>
          <w:rFonts w:ascii="Arial" w:eastAsia="Times New Roman" w:hAnsi="Arial" w:cs="Arial"/>
          <w:sz w:val="24"/>
          <w:szCs w:val="24"/>
        </w:rPr>
        <w:t>he plaintiff and defendant must</w:t>
      </w:r>
      <w:r>
        <w:rPr>
          <w:rFonts w:ascii="Arial" w:eastAsia="Times New Roman" w:hAnsi="Arial" w:cs="Arial"/>
          <w:sz w:val="24"/>
          <w:szCs w:val="24"/>
        </w:rPr>
        <w:t xml:space="preserve"> at their joint cost appoint a property </w:t>
      </w:r>
      <w:proofErr w:type="spellStart"/>
      <w:r>
        <w:rPr>
          <w:rFonts w:ascii="Arial" w:eastAsia="Times New Roman" w:hAnsi="Arial" w:cs="Arial"/>
          <w:sz w:val="24"/>
          <w:szCs w:val="24"/>
        </w:rPr>
        <w:t>valuer</w:t>
      </w:r>
      <w:proofErr w:type="spellEnd"/>
      <w:r>
        <w:rPr>
          <w:rFonts w:ascii="Arial" w:eastAsia="Times New Roman" w:hAnsi="Arial" w:cs="Arial"/>
          <w:sz w:val="24"/>
          <w:szCs w:val="24"/>
        </w:rPr>
        <w:t xml:space="preserve"> registered as such in terms of any applicable law to estimate the value of the</w:t>
      </w:r>
      <w:r w:rsidR="00FE3BB4">
        <w:rPr>
          <w:rFonts w:ascii="Arial" w:eastAsia="Times New Roman" w:hAnsi="Arial" w:cs="Arial"/>
          <w:sz w:val="24"/>
          <w:szCs w:val="24"/>
        </w:rPr>
        <w:t xml:space="preserve"> improvements done by defendant,</w:t>
      </w:r>
      <w:r>
        <w:rPr>
          <w:rFonts w:ascii="Arial" w:eastAsia="Times New Roman" w:hAnsi="Arial" w:cs="Arial"/>
          <w:sz w:val="24"/>
          <w:szCs w:val="24"/>
        </w:rPr>
        <w:t xml:space="preserve"> and plaintiff shall</w:t>
      </w:r>
      <w:r w:rsidR="00C319F2">
        <w:rPr>
          <w:rFonts w:ascii="Arial" w:eastAsia="Times New Roman" w:hAnsi="Arial" w:cs="Arial"/>
          <w:sz w:val="24"/>
          <w:szCs w:val="24"/>
        </w:rPr>
        <w:t>,</w:t>
      </w:r>
      <w:r>
        <w:rPr>
          <w:rFonts w:ascii="Arial" w:eastAsia="Times New Roman" w:hAnsi="Arial" w:cs="Arial"/>
          <w:sz w:val="24"/>
          <w:szCs w:val="24"/>
        </w:rPr>
        <w:t xml:space="preserve"> not later than 30 days </w:t>
      </w:r>
      <w:r w:rsidR="00C830B8">
        <w:rPr>
          <w:rFonts w:ascii="Arial" w:eastAsia="Times New Roman" w:hAnsi="Arial" w:cs="Arial"/>
          <w:sz w:val="24"/>
          <w:szCs w:val="24"/>
        </w:rPr>
        <w:t>after the est</w:t>
      </w:r>
      <w:r w:rsidR="00FE3BB4">
        <w:rPr>
          <w:rFonts w:ascii="Arial" w:eastAsia="Times New Roman" w:hAnsi="Arial" w:cs="Arial"/>
          <w:sz w:val="24"/>
          <w:szCs w:val="24"/>
        </w:rPr>
        <w:t>imated value is communicated to him</w:t>
      </w:r>
      <w:r w:rsidR="009A7899">
        <w:rPr>
          <w:rFonts w:ascii="Arial" w:eastAsia="Times New Roman" w:hAnsi="Arial" w:cs="Arial"/>
          <w:sz w:val="24"/>
          <w:szCs w:val="24"/>
        </w:rPr>
        <w:t>,</w:t>
      </w:r>
      <w:r w:rsidR="00C319F2">
        <w:rPr>
          <w:rFonts w:ascii="Arial" w:eastAsia="Times New Roman" w:hAnsi="Arial" w:cs="Arial"/>
          <w:sz w:val="24"/>
          <w:szCs w:val="24"/>
        </w:rPr>
        <w:t xml:space="preserve"> pay</w:t>
      </w:r>
      <w:r w:rsidRPr="00221B03">
        <w:rPr>
          <w:rFonts w:ascii="Arial" w:eastAsia="Times New Roman" w:hAnsi="Arial" w:cs="Arial"/>
          <w:sz w:val="24"/>
          <w:szCs w:val="24"/>
        </w:rPr>
        <w:t xml:space="preserve"> </w:t>
      </w:r>
      <w:r>
        <w:rPr>
          <w:rFonts w:ascii="Arial" w:eastAsia="Times New Roman" w:hAnsi="Arial" w:cs="Arial"/>
          <w:sz w:val="24"/>
          <w:szCs w:val="24"/>
        </w:rPr>
        <w:t>to defendant</w:t>
      </w:r>
      <w:r w:rsidR="00C319F2">
        <w:rPr>
          <w:rFonts w:ascii="Arial" w:eastAsia="Times New Roman" w:hAnsi="Arial" w:cs="Arial"/>
          <w:sz w:val="24"/>
          <w:szCs w:val="24"/>
        </w:rPr>
        <w:t>,</w:t>
      </w:r>
      <w:r>
        <w:rPr>
          <w:rFonts w:ascii="Arial" w:eastAsia="Times New Roman" w:hAnsi="Arial" w:cs="Arial"/>
          <w:sz w:val="24"/>
          <w:szCs w:val="24"/>
        </w:rPr>
        <w:t xml:space="preserve"> </w:t>
      </w:r>
      <w:r w:rsidR="00C319F2">
        <w:rPr>
          <w:rFonts w:ascii="Arial" w:eastAsia="Times New Roman" w:hAnsi="Arial" w:cs="Arial"/>
          <w:sz w:val="24"/>
          <w:szCs w:val="24"/>
        </w:rPr>
        <w:t>through he</w:t>
      </w:r>
      <w:r w:rsidR="009A7899">
        <w:rPr>
          <w:rFonts w:ascii="Arial" w:eastAsia="Times New Roman" w:hAnsi="Arial" w:cs="Arial"/>
          <w:sz w:val="24"/>
          <w:szCs w:val="24"/>
        </w:rPr>
        <w:t>r legal practitioners of record</w:t>
      </w:r>
      <w:r w:rsidR="00C319F2">
        <w:rPr>
          <w:rFonts w:ascii="Arial" w:eastAsia="Times New Roman" w:hAnsi="Arial" w:cs="Arial"/>
          <w:sz w:val="24"/>
          <w:szCs w:val="24"/>
        </w:rPr>
        <w:t>,</w:t>
      </w:r>
      <w:r w:rsidR="009A7899">
        <w:rPr>
          <w:rFonts w:ascii="Arial" w:eastAsia="Times New Roman" w:hAnsi="Arial" w:cs="Arial"/>
          <w:sz w:val="24"/>
          <w:szCs w:val="24"/>
        </w:rPr>
        <w:t xml:space="preserve"> </w:t>
      </w:r>
      <w:r>
        <w:rPr>
          <w:rFonts w:ascii="Arial" w:eastAsia="Times New Roman" w:hAnsi="Arial" w:cs="Arial"/>
          <w:sz w:val="24"/>
          <w:szCs w:val="24"/>
        </w:rPr>
        <w:t xml:space="preserve">the amount arrived at by the </w:t>
      </w:r>
      <w:proofErr w:type="spellStart"/>
      <w:r>
        <w:rPr>
          <w:rFonts w:ascii="Arial" w:eastAsia="Times New Roman" w:hAnsi="Arial" w:cs="Arial"/>
          <w:sz w:val="24"/>
          <w:szCs w:val="24"/>
        </w:rPr>
        <w:t>valuer</w:t>
      </w:r>
      <w:proofErr w:type="spellEnd"/>
      <w:r w:rsidR="00C319F2">
        <w:rPr>
          <w:rFonts w:ascii="Arial" w:eastAsia="Times New Roman" w:hAnsi="Arial" w:cs="Arial"/>
          <w:sz w:val="24"/>
          <w:szCs w:val="24"/>
        </w:rPr>
        <w:t>.</w:t>
      </w:r>
      <w:r>
        <w:rPr>
          <w:rFonts w:ascii="Arial" w:eastAsia="Times New Roman" w:hAnsi="Arial" w:cs="Arial"/>
          <w:sz w:val="24"/>
          <w:szCs w:val="24"/>
        </w:rPr>
        <w:t xml:space="preserve"> </w:t>
      </w:r>
    </w:p>
    <w:p w:rsidR="0068204E" w:rsidRPr="00B90BBE" w:rsidRDefault="0068204E" w:rsidP="0068204E">
      <w:pPr>
        <w:pStyle w:val="ListParagraph"/>
        <w:spacing w:after="0" w:line="360" w:lineRule="auto"/>
        <w:ind w:left="0"/>
        <w:jc w:val="both"/>
        <w:rPr>
          <w:rFonts w:ascii="Arial" w:eastAsia="Times New Roman" w:hAnsi="Arial" w:cs="Arial"/>
          <w:sz w:val="24"/>
          <w:szCs w:val="24"/>
        </w:rPr>
      </w:pPr>
    </w:p>
    <w:p w:rsidR="0068204E" w:rsidRDefault="0068204E" w:rsidP="00C319F2">
      <w:pPr>
        <w:pStyle w:val="ListParagraph"/>
        <w:numPr>
          <w:ilvl w:val="0"/>
          <w:numId w:val="7"/>
        </w:numPr>
        <w:spacing w:after="0" w:line="360" w:lineRule="auto"/>
        <w:ind w:left="0" w:firstLine="0"/>
        <w:jc w:val="both"/>
        <w:rPr>
          <w:rFonts w:ascii="Arial" w:eastAsia="Times New Roman" w:hAnsi="Arial" w:cs="Arial"/>
          <w:sz w:val="24"/>
          <w:szCs w:val="24"/>
        </w:rPr>
      </w:pPr>
      <w:r>
        <w:rPr>
          <w:rFonts w:ascii="Arial" w:eastAsia="Times New Roman" w:hAnsi="Arial" w:cs="Arial"/>
          <w:sz w:val="24"/>
          <w:szCs w:val="24"/>
        </w:rPr>
        <w:t>Defendant shall pay plaintiff’s costs of suit</w:t>
      </w:r>
      <w:r w:rsidR="00C319F2">
        <w:rPr>
          <w:rFonts w:ascii="Arial" w:eastAsia="Times New Roman" w:hAnsi="Arial" w:cs="Arial"/>
          <w:sz w:val="24"/>
          <w:szCs w:val="24"/>
        </w:rPr>
        <w:t>,</w:t>
      </w:r>
      <w:r>
        <w:rPr>
          <w:rFonts w:ascii="Arial" w:eastAsia="Times New Roman" w:hAnsi="Arial" w:cs="Arial"/>
          <w:sz w:val="24"/>
          <w:szCs w:val="24"/>
        </w:rPr>
        <w:t xml:space="preserve"> and such costs include costs of one instructing counsel and one instructed counsel.</w:t>
      </w:r>
    </w:p>
    <w:p w:rsidR="00C319F2" w:rsidRPr="00C319F2" w:rsidRDefault="00C319F2" w:rsidP="00C319F2">
      <w:pPr>
        <w:pStyle w:val="ListParagraph"/>
        <w:rPr>
          <w:rFonts w:ascii="Arial" w:eastAsia="Times New Roman" w:hAnsi="Arial" w:cs="Arial"/>
          <w:sz w:val="24"/>
          <w:szCs w:val="24"/>
        </w:rPr>
      </w:pPr>
    </w:p>
    <w:p w:rsidR="00791321" w:rsidRPr="00143230" w:rsidRDefault="00C319F2" w:rsidP="00143230">
      <w:pPr>
        <w:pStyle w:val="ListParagraph"/>
        <w:numPr>
          <w:ilvl w:val="0"/>
          <w:numId w:val="7"/>
        </w:numPr>
        <w:spacing w:after="0" w:line="360" w:lineRule="auto"/>
        <w:ind w:left="0" w:firstLine="0"/>
        <w:jc w:val="both"/>
        <w:rPr>
          <w:rFonts w:ascii="Arial" w:eastAsia="Times New Roman" w:hAnsi="Arial" w:cs="Arial"/>
          <w:sz w:val="24"/>
          <w:szCs w:val="24"/>
        </w:rPr>
      </w:pPr>
      <w:r>
        <w:rPr>
          <w:rFonts w:ascii="Arial" w:eastAsia="Times New Roman" w:hAnsi="Arial" w:cs="Arial"/>
          <w:sz w:val="24"/>
          <w:szCs w:val="24"/>
        </w:rPr>
        <w:t>The matter is considered finalized and is removed from the roll.</w:t>
      </w:r>
    </w:p>
    <w:p w:rsidR="00CA075B" w:rsidRPr="00143230" w:rsidRDefault="007A5903">
      <w:pPr>
        <w:spacing w:after="160" w:line="259" w:lineRule="auto"/>
        <w:rPr>
          <w:rFonts w:ascii="Arial" w:hAnsi="Arial" w:cs="Arial"/>
          <w:b/>
          <w:sz w:val="24"/>
          <w:szCs w:val="24"/>
        </w:rPr>
      </w:pPr>
      <w:r w:rsidRPr="00143230">
        <w:rPr>
          <w:rFonts w:ascii="Arial" w:hAnsi="Arial" w:cs="Arial"/>
          <w:b/>
          <w:sz w:val="24"/>
          <w:szCs w:val="24"/>
        </w:rPr>
        <w:t>___________________________________________________________________</w:t>
      </w:r>
    </w:p>
    <w:p w:rsidR="007A5903" w:rsidRPr="007A5903" w:rsidRDefault="007A5903" w:rsidP="007A5903">
      <w:pPr>
        <w:pBdr>
          <w:bottom w:val="single" w:sz="12" w:space="1" w:color="auto"/>
        </w:pBdr>
        <w:spacing w:after="160" w:line="240" w:lineRule="auto"/>
        <w:jc w:val="center"/>
        <w:rPr>
          <w:rFonts w:ascii="Arial" w:hAnsi="Arial" w:cs="Arial"/>
          <w:b/>
          <w:sz w:val="24"/>
          <w:szCs w:val="24"/>
        </w:rPr>
      </w:pPr>
      <w:r w:rsidRPr="007A5903">
        <w:rPr>
          <w:rFonts w:ascii="Arial" w:hAnsi="Arial" w:cs="Arial"/>
          <w:b/>
          <w:sz w:val="24"/>
          <w:szCs w:val="24"/>
        </w:rPr>
        <w:t>JUDGMENT</w:t>
      </w:r>
    </w:p>
    <w:p w:rsidR="00FE3BB4" w:rsidRDefault="00FE3BB4" w:rsidP="00FE3BB4">
      <w:pPr>
        <w:spacing w:after="160" w:line="240" w:lineRule="auto"/>
        <w:rPr>
          <w:rFonts w:ascii="Arial" w:hAnsi="Arial" w:cs="Arial"/>
          <w:sz w:val="24"/>
          <w:szCs w:val="24"/>
        </w:rPr>
      </w:pPr>
    </w:p>
    <w:p w:rsidR="00B63849" w:rsidRPr="0008269B" w:rsidRDefault="006830A5" w:rsidP="006C079E">
      <w:pPr>
        <w:spacing w:after="0" w:line="360" w:lineRule="auto"/>
        <w:jc w:val="both"/>
        <w:rPr>
          <w:rFonts w:ascii="Arial" w:hAnsi="Arial" w:cs="Arial"/>
        </w:rPr>
      </w:pPr>
      <w:r>
        <w:rPr>
          <w:rFonts w:ascii="Arial" w:hAnsi="Arial" w:cs="Arial"/>
          <w:sz w:val="24"/>
          <w:szCs w:val="24"/>
        </w:rPr>
        <w:t>[1]</w:t>
      </w:r>
      <w:r w:rsidR="00D9789E">
        <w:rPr>
          <w:rFonts w:ascii="Arial" w:hAnsi="Arial" w:cs="Arial"/>
          <w:sz w:val="24"/>
          <w:szCs w:val="24"/>
        </w:rPr>
        <w:tab/>
      </w:r>
      <w:r w:rsidR="00791321">
        <w:rPr>
          <w:rFonts w:ascii="Arial" w:hAnsi="Arial" w:cs="Arial"/>
          <w:sz w:val="24"/>
          <w:szCs w:val="24"/>
        </w:rPr>
        <w:t xml:space="preserve">In this matter, the citation on the page of the summons indicated </w:t>
      </w:r>
      <w:proofErr w:type="spellStart"/>
      <w:r w:rsidR="00791321">
        <w:rPr>
          <w:rFonts w:ascii="Arial" w:hAnsi="Arial" w:cs="Arial"/>
          <w:sz w:val="24"/>
          <w:szCs w:val="24"/>
        </w:rPr>
        <w:t>Godfried</w:t>
      </w:r>
      <w:proofErr w:type="spellEnd"/>
      <w:r w:rsidR="00791321">
        <w:rPr>
          <w:rFonts w:ascii="Arial" w:hAnsi="Arial" w:cs="Arial"/>
          <w:sz w:val="24"/>
          <w:szCs w:val="24"/>
        </w:rPr>
        <w:t xml:space="preserve"> </w:t>
      </w:r>
      <w:proofErr w:type="spellStart"/>
      <w:r w:rsidR="00791321">
        <w:rPr>
          <w:rFonts w:ascii="Arial" w:hAnsi="Arial" w:cs="Arial"/>
          <w:sz w:val="24"/>
          <w:szCs w:val="24"/>
        </w:rPr>
        <w:t>Muvangua</w:t>
      </w:r>
      <w:proofErr w:type="spellEnd"/>
      <w:r w:rsidR="00791321">
        <w:rPr>
          <w:rFonts w:ascii="Arial" w:hAnsi="Arial" w:cs="Arial"/>
          <w:sz w:val="24"/>
          <w:szCs w:val="24"/>
        </w:rPr>
        <w:t xml:space="preserve"> as plaintiff and </w:t>
      </w:r>
      <w:proofErr w:type="spellStart"/>
      <w:r w:rsidR="00791321">
        <w:rPr>
          <w:rFonts w:ascii="Arial" w:hAnsi="Arial" w:cs="Arial"/>
          <w:sz w:val="24"/>
          <w:szCs w:val="24"/>
        </w:rPr>
        <w:t>Fredrika</w:t>
      </w:r>
      <w:proofErr w:type="spellEnd"/>
      <w:r w:rsidR="00791321">
        <w:rPr>
          <w:rFonts w:ascii="Arial" w:hAnsi="Arial" w:cs="Arial"/>
          <w:sz w:val="24"/>
          <w:szCs w:val="24"/>
        </w:rPr>
        <w:t xml:space="preserve"> </w:t>
      </w:r>
      <w:proofErr w:type="spellStart"/>
      <w:r w:rsidR="00791321">
        <w:rPr>
          <w:rFonts w:ascii="Arial" w:hAnsi="Arial" w:cs="Arial"/>
          <w:sz w:val="24"/>
          <w:szCs w:val="24"/>
        </w:rPr>
        <w:t>Hiangoro</w:t>
      </w:r>
      <w:proofErr w:type="spellEnd"/>
      <w:r w:rsidR="00791321">
        <w:rPr>
          <w:rFonts w:ascii="Arial" w:hAnsi="Arial" w:cs="Arial"/>
          <w:sz w:val="24"/>
          <w:szCs w:val="24"/>
        </w:rPr>
        <w:t xml:space="preserve"> as defendant. However, the particulars of claim refers to plaintiff, fi</w:t>
      </w:r>
      <w:r w:rsidR="00E909F3">
        <w:rPr>
          <w:rFonts w:ascii="Arial" w:hAnsi="Arial" w:cs="Arial"/>
          <w:sz w:val="24"/>
          <w:szCs w:val="24"/>
        </w:rPr>
        <w:t>rst defendant (</w:t>
      </w:r>
      <w:proofErr w:type="spellStart"/>
      <w:r w:rsidR="00E909F3">
        <w:rPr>
          <w:rFonts w:ascii="Arial" w:hAnsi="Arial" w:cs="Arial"/>
          <w:sz w:val="24"/>
          <w:szCs w:val="24"/>
        </w:rPr>
        <w:t>Fredrika</w:t>
      </w:r>
      <w:proofErr w:type="spellEnd"/>
      <w:r w:rsidR="00E909F3">
        <w:rPr>
          <w:rFonts w:ascii="Arial" w:hAnsi="Arial" w:cs="Arial"/>
          <w:sz w:val="24"/>
          <w:szCs w:val="24"/>
        </w:rPr>
        <w:t xml:space="preserve"> </w:t>
      </w:r>
      <w:proofErr w:type="spellStart"/>
      <w:r w:rsidR="00E909F3">
        <w:rPr>
          <w:rFonts w:ascii="Arial" w:hAnsi="Arial" w:cs="Arial"/>
          <w:sz w:val="24"/>
          <w:szCs w:val="24"/>
        </w:rPr>
        <w:t>Hiangoro</w:t>
      </w:r>
      <w:proofErr w:type="spellEnd"/>
      <w:r w:rsidR="00791321">
        <w:rPr>
          <w:rFonts w:ascii="Arial" w:hAnsi="Arial" w:cs="Arial"/>
          <w:sz w:val="24"/>
          <w:szCs w:val="24"/>
        </w:rPr>
        <w:t>) and second defendant (Registrar of Deeds)</w:t>
      </w:r>
      <w:r w:rsidR="00A96AE0">
        <w:rPr>
          <w:rFonts w:ascii="Arial" w:hAnsi="Arial" w:cs="Arial"/>
          <w:sz w:val="24"/>
          <w:szCs w:val="24"/>
        </w:rPr>
        <w:t>,</w:t>
      </w:r>
      <w:r w:rsidR="00791321">
        <w:rPr>
          <w:rFonts w:ascii="Arial" w:hAnsi="Arial" w:cs="Arial"/>
          <w:sz w:val="24"/>
          <w:szCs w:val="24"/>
        </w:rPr>
        <w:t xml:space="preserve"> and describes them. Indeed, the summons indicated that the process was addressed to </w:t>
      </w:r>
      <w:proofErr w:type="spellStart"/>
      <w:r w:rsidR="00791321">
        <w:rPr>
          <w:rFonts w:ascii="Arial" w:hAnsi="Arial" w:cs="Arial"/>
          <w:sz w:val="24"/>
          <w:szCs w:val="24"/>
        </w:rPr>
        <w:t>Fredrika</w:t>
      </w:r>
      <w:proofErr w:type="spellEnd"/>
      <w:r w:rsidR="00791321">
        <w:rPr>
          <w:rFonts w:ascii="Arial" w:hAnsi="Arial" w:cs="Arial"/>
          <w:sz w:val="24"/>
          <w:szCs w:val="24"/>
        </w:rPr>
        <w:t xml:space="preserve"> </w:t>
      </w:r>
      <w:proofErr w:type="spellStart"/>
      <w:r w:rsidR="00791321">
        <w:rPr>
          <w:rFonts w:ascii="Arial" w:hAnsi="Arial" w:cs="Arial"/>
          <w:sz w:val="24"/>
          <w:szCs w:val="24"/>
        </w:rPr>
        <w:t>Hiangoro</w:t>
      </w:r>
      <w:proofErr w:type="spellEnd"/>
      <w:r w:rsidR="00791321">
        <w:rPr>
          <w:rFonts w:ascii="Arial" w:hAnsi="Arial" w:cs="Arial"/>
          <w:sz w:val="24"/>
          <w:szCs w:val="24"/>
        </w:rPr>
        <w:t xml:space="preserve"> (first defendant)</w:t>
      </w:r>
      <w:r w:rsidR="00E909F3">
        <w:rPr>
          <w:rFonts w:ascii="Arial" w:hAnsi="Arial" w:cs="Arial"/>
          <w:sz w:val="24"/>
          <w:szCs w:val="24"/>
        </w:rPr>
        <w:t>, to the Registrar of Deeds (secon</w:t>
      </w:r>
      <w:r w:rsidR="00791321">
        <w:rPr>
          <w:rFonts w:ascii="Arial" w:hAnsi="Arial" w:cs="Arial"/>
          <w:sz w:val="24"/>
          <w:szCs w:val="24"/>
        </w:rPr>
        <w:t>d defendant) and to the Registrar of the High Court. I do not find a return of service establishing that process was indeed served on the Registrar of Deeds. I also do not find that such an item was in issue between the plaintiff and first defendant who a</w:t>
      </w:r>
      <w:r w:rsidR="00A96AE0">
        <w:rPr>
          <w:rFonts w:ascii="Arial" w:hAnsi="Arial" w:cs="Arial"/>
          <w:sz w:val="24"/>
          <w:szCs w:val="24"/>
        </w:rPr>
        <w:t>re legally represen</w:t>
      </w:r>
      <w:r w:rsidR="00791321">
        <w:rPr>
          <w:rFonts w:ascii="Arial" w:hAnsi="Arial" w:cs="Arial"/>
          <w:sz w:val="24"/>
          <w:szCs w:val="24"/>
        </w:rPr>
        <w:t xml:space="preserve">ted. I take it that the Registrar of Deeds is a party to these proceedings, and he has not participated in the proceedings. Accordingly, I shall for </w:t>
      </w:r>
      <w:r w:rsidR="00791321">
        <w:rPr>
          <w:rFonts w:ascii="Arial" w:hAnsi="Arial" w:cs="Arial"/>
          <w:sz w:val="24"/>
          <w:szCs w:val="24"/>
        </w:rPr>
        <w:lastRenderedPageBreak/>
        <w:t>the sake of conve</w:t>
      </w:r>
      <w:r w:rsidR="00E909F3">
        <w:rPr>
          <w:rFonts w:ascii="Arial" w:hAnsi="Arial" w:cs="Arial"/>
          <w:sz w:val="24"/>
          <w:szCs w:val="24"/>
        </w:rPr>
        <w:t xml:space="preserve">nience, refer to </w:t>
      </w:r>
      <w:proofErr w:type="spellStart"/>
      <w:r w:rsidR="00E909F3">
        <w:rPr>
          <w:rFonts w:ascii="Arial" w:hAnsi="Arial" w:cs="Arial"/>
          <w:sz w:val="24"/>
          <w:szCs w:val="24"/>
        </w:rPr>
        <w:t>Fredrika</w:t>
      </w:r>
      <w:proofErr w:type="spellEnd"/>
      <w:r w:rsidR="00E909F3">
        <w:rPr>
          <w:rFonts w:ascii="Arial" w:hAnsi="Arial" w:cs="Arial"/>
          <w:sz w:val="24"/>
          <w:szCs w:val="24"/>
        </w:rPr>
        <w:t xml:space="preserve"> </w:t>
      </w:r>
      <w:proofErr w:type="spellStart"/>
      <w:r w:rsidR="00E909F3">
        <w:rPr>
          <w:rFonts w:ascii="Arial" w:hAnsi="Arial" w:cs="Arial"/>
          <w:sz w:val="24"/>
          <w:szCs w:val="24"/>
        </w:rPr>
        <w:t>Hiango</w:t>
      </w:r>
      <w:r w:rsidR="00791321">
        <w:rPr>
          <w:rFonts w:ascii="Arial" w:hAnsi="Arial" w:cs="Arial"/>
          <w:sz w:val="24"/>
          <w:szCs w:val="24"/>
        </w:rPr>
        <w:t>ro</w:t>
      </w:r>
      <w:proofErr w:type="spellEnd"/>
      <w:r w:rsidR="00791321">
        <w:rPr>
          <w:rFonts w:ascii="Arial" w:hAnsi="Arial" w:cs="Arial"/>
          <w:sz w:val="24"/>
          <w:szCs w:val="24"/>
        </w:rPr>
        <w:t xml:space="preserve"> simply as the defendant, as suggested by Mr </w:t>
      </w:r>
      <w:proofErr w:type="spellStart"/>
      <w:r w:rsidR="00791321">
        <w:rPr>
          <w:rFonts w:ascii="Arial" w:hAnsi="Arial" w:cs="Arial"/>
          <w:sz w:val="24"/>
          <w:szCs w:val="24"/>
        </w:rPr>
        <w:t>Narib</w:t>
      </w:r>
      <w:proofErr w:type="spellEnd"/>
      <w:r w:rsidR="00791321">
        <w:rPr>
          <w:rFonts w:ascii="Arial" w:hAnsi="Arial" w:cs="Arial"/>
          <w:sz w:val="24"/>
          <w:szCs w:val="24"/>
        </w:rPr>
        <w:t>, counsel for plaintiff.</w:t>
      </w:r>
    </w:p>
    <w:p w:rsidR="00B63849" w:rsidRDefault="00B63849" w:rsidP="00D9789E">
      <w:pPr>
        <w:spacing w:after="0" w:line="360" w:lineRule="auto"/>
        <w:jc w:val="both"/>
        <w:rPr>
          <w:rFonts w:ascii="Arial" w:hAnsi="Arial" w:cs="Arial"/>
          <w:sz w:val="24"/>
          <w:szCs w:val="24"/>
        </w:rPr>
      </w:pPr>
    </w:p>
    <w:p w:rsidR="00B0697F" w:rsidRDefault="006830A5" w:rsidP="00D9789E">
      <w:pPr>
        <w:spacing w:after="0" w:line="360" w:lineRule="auto"/>
        <w:jc w:val="both"/>
        <w:rPr>
          <w:rFonts w:ascii="Arial" w:hAnsi="Arial" w:cs="Arial"/>
          <w:sz w:val="24"/>
          <w:szCs w:val="24"/>
        </w:rPr>
      </w:pPr>
      <w:r>
        <w:rPr>
          <w:rFonts w:ascii="Arial" w:hAnsi="Arial" w:cs="Arial"/>
          <w:sz w:val="24"/>
          <w:szCs w:val="24"/>
        </w:rPr>
        <w:t>[2]</w:t>
      </w:r>
      <w:r w:rsidR="00162141">
        <w:rPr>
          <w:rFonts w:ascii="Arial" w:hAnsi="Arial" w:cs="Arial"/>
          <w:sz w:val="24"/>
          <w:szCs w:val="24"/>
        </w:rPr>
        <w:tab/>
      </w:r>
      <w:r w:rsidR="00791321">
        <w:rPr>
          <w:rFonts w:ascii="Arial" w:hAnsi="Arial" w:cs="Arial"/>
          <w:sz w:val="24"/>
          <w:szCs w:val="24"/>
        </w:rPr>
        <w:t xml:space="preserve">In order to throw light on the burden of the court in this matter, it is important to set out at the outset </w:t>
      </w:r>
      <w:r w:rsidR="00791321" w:rsidRPr="00791321">
        <w:rPr>
          <w:rFonts w:ascii="Arial" w:hAnsi="Arial" w:cs="Arial"/>
          <w:i/>
          <w:sz w:val="24"/>
          <w:szCs w:val="24"/>
        </w:rPr>
        <w:t xml:space="preserve">verbatim </w:t>
      </w:r>
      <w:proofErr w:type="gramStart"/>
      <w:r w:rsidR="00791321" w:rsidRPr="00791321">
        <w:rPr>
          <w:rFonts w:ascii="Arial" w:hAnsi="Arial" w:cs="Arial"/>
          <w:i/>
          <w:sz w:val="24"/>
          <w:szCs w:val="24"/>
        </w:rPr>
        <w:t>et</w:t>
      </w:r>
      <w:proofErr w:type="gramEnd"/>
      <w:r w:rsidR="00791321" w:rsidRPr="00791321">
        <w:rPr>
          <w:rFonts w:ascii="Arial" w:hAnsi="Arial" w:cs="Arial"/>
          <w:i/>
          <w:sz w:val="24"/>
          <w:szCs w:val="24"/>
        </w:rPr>
        <w:t xml:space="preserve"> </w:t>
      </w:r>
      <w:proofErr w:type="spellStart"/>
      <w:r w:rsidR="00A96AE0">
        <w:rPr>
          <w:rFonts w:ascii="Arial" w:hAnsi="Arial" w:cs="Arial"/>
          <w:i/>
          <w:sz w:val="24"/>
          <w:szCs w:val="24"/>
        </w:rPr>
        <w:t>l</w:t>
      </w:r>
      <w:r w:rsidR="00791321" w:rsidRPr="00791321">
        <w:rPr>
          <w:rFonts w:ascii="Arial" w:hAnsi="Arial" w:cs="Arial"/>
          <w:i/>
          <w:sz w:val="24"/>
          <w:szCs w:val="24"/>
        </w:rPr>
        <w:t>iteratim</w:t>
      </w:r>
      <w:proofErr w:type="spellEnd"/>
      <w:r w:rsidR="00791321">
        <w:rPr>
          <w:rFonts w:ascii="Arial" w:hAnsi="Arial" w:cs="Arial"/>
          <w:sz w:val="24"/>
          <w:szCs w:val="24"/>
        </w:rPr>
        <w:t xml:space="preserve"> the</w:t>
      </w:r>
      <w:r w:rsidR="00E909F3">
        <w:rPr>
          <w:rFonts w:ascii="Arial" w:hAnsi="Arial" w:cs="Arial"/>
          <w:sz w:val="24"/>
          <w:szCs w:val="24"/>
        </w:rPr>
        <w:t xml:space="preserve"> relief plain</w:t>
      </w:r>
      <w:r w:rsidR="00757099">
        <w:rPr>
          <w:rFonts w:ascii="Arial" w:hAnsi="Arial" w:cs="Arial"/>
          <w:sz w:val="24"/>
          <w:szCs w:val="24"/>
        </w:rPr>
        <w:t>tiff seeks. The relief is this:</w:t>
      </w:r>
    </w:p>
    <w:p w:rsidR="00757099" w:rsidRDefault="00757099" w:rsidP="00D9789E">
      <w:pPr>
        <w:spacing w:after="0"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t>An order that the Deed of Sale, a copy of which is attached to the plaintiff’s particulars of claim, marked “</w:t>
      </w:r>
      <w:r w:rsidRPr="00757099">
        <w:rPr>
          <w:rFonts w:ascii="Arial" w:hAnsi="Arial" w:cs="Arial"/>
          <w:b/>
          <w:sz w:val="24"/>
          <w:szCs w:val="24"/>
        </w:rPr>
        <w:t>A</w:t>
      </w:r>
      <w:r>
        <w:rPr>
          <w:rFonts w:ascii="Arial" w:hAnsi="Arial" w:cs="Arial"/>
          <w:sz w:val="24"/>
          <w:szCs w:val="24"/>
        </w:rPr>
        <w:t>”, be declared null and void ab initio and (is) set aside.</w:t>
      </w:r>
    </w:p>
    <w:p w:rsidR="009A7899" w:rsidRDefault="009A7899" w:rsidP="00D9789E">
      <w:pPr>
        <w:spacing w:after="0" w:line="360" w:lineRule="auto"/>
        <w:jc w:val="both"/>
        <w:rPr>
          <w:rFonts w:ascii="Arial" w:hAnsi="Arial" w:cs="Arial"/>
          <w:sz w:val="24"/>
          <w:szCs w:val="24"/>
        </w:rPr>
      </w:pPr>
    </w:p>
    <w:p w:rsidR="00757099" w:rsidRDefault="00757099" w:rsidP="00D9789E">
      <w:pPr>
        <w:spacing w:after="0"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t>That the Deed of Transfer No. T 7002/2008 be cancelled.</w:t>
      </w:r>
    </w:p>
    <w:p w:rsidR="009A7899" w:rsidRDefault="009A7899" w:rsidP="00D9789E">
      <w:pPr>
        <w:spacing w:after="0" w:line="360" w:lineRule="auto"/>
        <w:jc w:val="both"/>
        <w:rPr>
          <w:rFonts w:ascii="Arial" w:hAnsi="Arial" w:cs="Arial"/>
          <w:sz w:val="24"/>
          <w:szCs w:val="24"/>
        </w:rPr>
      </w:pPr>
    </w:p>
    <w:p w:rsidR="00757099" w:rsidRDefault="00757099" w:rsidP="00D9789E">
      <w:pPr>
        <w:spacing w:after="0" w:line="360" w:lineRule="auto"/>
        <w:jc w:val="both"/>
        <w:rPr>
          <w:rFonts w:ascii="Arial" w:hAnsi="Arial" w:cs="Arial"/>
          <w:sz w:val="24"/>
          <w:szCs w:val="24"/>
        </w:rPr>
      </w:pPr>
      <w:r>
        <w:rPr>
          <w:rFonts w:ascii="Arial" w:hAnsi="Arial" w:cs="Arial"/>
          <w:sz w:val="24"/>
          <w:szCs w:val="24"/>
        </w:rPr>
        <w:t>(c)</w:t>
      </w:r>
      <w:r>
        <w:rPr>
          <w:rFonts w:ascii="Arial" w:hAnsi="Arial" w:cs="Arial"/>
          <w:sz w:val="24"/>
          <w:szCs w:val="24"/>
        </w:rPr>
        <w:tab/>
        <w:t xml:space="preserve">It is declared that plaintiff is the registered owner of the property, certain Erf No. 3427, Katutura (extension 4) situated in the Municipality of Windhoek, </w:t>
      </w:r>
      <w:r w:rsidR="00A96AE0">
        <w:rPr>
          <w:rFonts w:ascii="Arial" w:hAnsi="Arial" w:cs="Arial"/>
          <w:sz w:val="24"/>
          <w:szCs w:val="24"/>
        </w:rPr>
        <w:t xml:space="preserve">Registration Division </w:t>
      </w:r>
      <w:r>
        <w:rPr>
          <w:rFonts w:ascii="Arial" w:hAnsi="Arial" w:cs="Arial"/>
          <w:sz w:val="24"/>
          <w:szCs w:val="24"/>
        </w:rPr>
        <w:t xml:space="preserve">“K”, </w:t>
      </w:r>
      <w:proofErr w:type="spellStart"/>
      <w:r w:rsidR="00E909F3">
        <w:rPr>
          <w:rFonts w:ascii="Arial" w:hAnsi="Arial" w:cs="Arial"/>
          <w:sz w:val="24"/>
          <w:szCs w:val="24"/>
        </w:rPr>
        <w:t>Khomas</w:t>
      </w:r>
      <w:proofErr w:type="spellEnd"/>
      <w:r w:rsidR="00E909F3">
        <w:rPr>
          <w:rFonts w:ascii="Arial" w:hAnsi="Arial" w:cs="Arial"/>
          <w:sz w:val="24"/>
          <w:szCs w:val="24"/>
        </w:rPr>
        <w:t xml:space="preserve"> Region</w:t>
      </w:r>
      <w:r>
        <w:rPr>
          <w:rFonts w:ascii="Arial" w:hAnsi="Arial" w:cs="Arial"/>
          <w:sz w:val="24"/>
          <w:szCs w:val="24"/>
        </w:rPr>
        <w:t>, measuring 494 m</w:t>
      </w:r>
      <w:r>
        <w:rPr>
          <w:rFonts w:ascii="Arial" w:hAnsi="Arial" w:cs="Arial"/>
          <w:sz w:val="24"/>
          <w:szCs w:val="24"/>
          <w:vertAlign w:val="superscript"/>
        </w:rPr>
        <w:t>2</w:t>
      </w:r>
      <w:r>
        <w:rPr>
          <w:rFonts w:ascii="Arial" w:hAnsi="Arial" w:cs="Arial"/>
          <w:sz w:val="24"/>
          <w:szCs w:val="24"/>
        </w:rPr>
        <w:t xml:space="preserve"> (</w:t>
      </w:r>
      <w:r w:rsidR="00A96AE0">
        <w:rPr>
          <w:rFonts w:ascii="Arial" w:hAnsi="Arial" w:cs="Arial"/>
          <w:sz w:val="24"/>
          <w:szCs w:val="24"/>
        </w:rPr>
        <w:t xml:space="preserve">Four </w:t>
      </w:r>
      <w:r w:rsidR="00FE3BB4">
        <w:rPr>
          <w:rFonts w:ascii="Arial" w:hAnsi="Arial" w:cs="Arial"/>
          <w:sz w:val="24"/>
          <w:szCs w:val="24"/>
        </w:rPr>
        <w:t xml:space="preserve">Nine Four </w:t>
      </w:r>
      <w:r>
        <w:rPr>
          <w:rFonts w:ascii="Arial" w:hAnsi="Arial" w:cs="Arial"/>
          <w:sz w:val="24"/>
          <w:szCs w:val="24"/>
        </w:rPr>
        <w:t xml:space="preserve">square meters), and held by </w:t>
      </w:r>
      <w:r w:rsidR="00A96AE0">
        <w:rPr>
          <w:rFonts w:ascii="Arial" w:hAnsi="Arial" w:cs="Arial"/>
          <w:sz w:val="24"/>
          <w:szCs w:val="24"/>
        </w:rPr>
        <w:t xml:space="preserve">Certificate </w:t>
      </w:r>
      <w:r>
        <w:rPr>
          <w:rFonts w:ascii="Arial" w:hAnsi="Arial" w:cs="Arial"/>
          <w:sz w:val="24"/>
          <w:szCs w:val="24"/>
        </w:rPr>
        <w:t xml:space="preserve">of </w:t>
      </w:r>
      <w:r w:rsidR="00A96AE0">
        <w:rPr>
          <w:rFonts w:ascii="Arial" w:hAnsi="Arial" w:cs="Arial"/>
          <w:sz w:val="24"/>
          <w:szCs w:val="24"/>
        </w:rPr>
        <w:t xml:space="preserve">Consolidated Title </w:t>
      </w:r>
      <w:r>
        <w:rPr>
          <w:rFonts w:ascii="Arial" w:hAnsi="Arial" w:cs="Arial"/>
          <w:sz w:val="24"/>
          <w:szCs w:val="24"/>
        </w:rPr>
        <w:t>No. T 1986/1996 (‘the property’)</w:t>
      </w:r>
      <w:r w:rsidR="00A06A66">
        <w:rPr>
          <w:rFonts w:ascii="Arial" w:hAnsi="Arial" w:cs="Arial"/>
          <w:sz w:val="24"/>
          <w:szCs w:val="24"/>
        </w:rPr>
        <w:t>.</w:t>
      </w:r>
    </w:p>
    <w:p w:rsidR="00A06A66" w:rsidRDefault="00A06A66" w:rsidP="00D9789E">
      <w:pPr>
        <w:spacing w:after="0" w:line="360" w:lineRule="auto"/>
        <w:jc w:val="both"/>
        <w:rPr>
          <w:rFonts w:ascii="Arial" w:hAnsi="Arial" w:cs="Arial"/>
          <w:sz w:val="24"/>
          <w:szCs w:val="24"/>
        </w:rPr>
      </w:pPr>
    </w:p>
    <w:p w:rsidR="00757099" w:rsidRDefault="00757099" w:rsidP="00D9789E">
      <w:pPr>
        <w:spacing w:after="0" w:line="360" w:lineRule="auto"/>
        <w:jc w:val="both"/>
        <w:rPr>
          <w:rFonts w:ascii="Arial" w:hAnsi="Arial" w:cs="Arial"/>
          <w:sz w:val="24"/>
          <w:szCs w:val="24"/>
        </w:rPr>
      </w:pPr>
      <w:r>
        <w:rPr>
          <w:rFonts w:ascii="Arial" w:hAnsi="Arial" w:cs="Arial"/>
          <w:sz w:val="24"/>
          <w:szCs w:val="24"/>
        </w:rPr>
        <w:t>(d)</w:t>
      </w:r>
      <w:r>
        <w:rPr>
          <w:rFonts w:ascii="Arial" w:hAnsi="Arial" w:cs="Arial"/>
          <w:sz w:val="24"/>
          <w:szCs w:val="24"/>
        </w:rPr>
        <w:tab/>
        <w:t>That</w:t>
      </w:r>
      <w:r w:rsidR="00A06A66">
        <w:rPr>
          <w:rFonts w:ascii="Arial" w:hAnsi="Arial" w:cs="Arial"/>
          <w:sz w:val="24"/>
          <w:szCs w:val="24"/>
        </w:rPr>
        <w:t xml:space="preserve"> plain</w:t>
      </w:r>
      <w:r>
        <w:rPr>
          <w:rFonts w:ascii="Arial" w:hAnsi="Arial" w:cs="Arial"/>
          <w:sz w:val="24"/>
          <w:szCs w:val="24"/>
        </w:rPr>
        <w:t xml:space="preserve">tiff pay to the defendant an amount which is equal to the cost of improvements which the first defendant effected on the property, alternatively an amount of </w:t>
      </w:r>
      <w:r w:rsidR="00A06A66">
        <w:rPr>
          <w:rFonts w:ascii="Arial" w:hAnsi="Arial" w:cs="Arial"/>
          <w:sz w:val="24"/>
          <w:szCs w:val="24"/>
        </w:rPr>
        <w:t>N</w:t>
      </w:r>
      <w:r w:rsidR="00B912A3">
        <w:rPr>
          <w:rFonts w:ascii="Arial" w:hAnsi="Arial" w:cs="Arial"/>
          <w:sz w:val="24"/>
          <w:szCs w:val="24"/>
        </w:rPr>
        <w:t>$</w:t>
      </w:r>
      <w:r w:rsidR="00432CC4">
        <w:rPr>
          <w:rFonts w:ascii="Arial" w:hAnsi="Arial" w:cs="Arial"/>
          <w:sz w:val="24"/>
          <w:szCs w:val="24"/>
        </w:rPr>
        <w:t xml:space="preserve">81 000 </w:t>
      </w:r>
      <w:r>
        <w:rPr>
          <w:rFonts w:ascii="Arial" w:hAnsi="Arial" w:cs="Arial"/>
          <w:sz w:val="24"/>
          <w:szCs w:val="24"/>
        </w:rPr>
        <w:t>(</w:t>
      </w:r>
      <w:r w:rsidR="00C319F2">
        <w:rPr>
          <w:rFonts w:ascii="Arial" w:hAnsi="Arial" w:cs="Arial"/>
          <w:sz w:val="24"/>
          <w:szCs w:val="24"/>
        </w:rPr>
        <w:t>Eighty O</w:t>
      </w:r>
      <w:r>
        <w:rPr>
          <w:rFonts w:ascii="Arial" w:hAnsi="Arial" w:cs="Arial"/>
          <w:sz w:val="24"/>
          <w:szCs w:val="24"/>
        </w:rPr>
        <w:t xml:space="preserve">ne </w:t>
      </w:r>
      <w:r w:rsidR="00C319F2">
        <w:rPr>
          <w:rFonts w:ascii="Arial" w:hAnsi="Arial" w:cs="Arial"/>
          <w:sz w:val="24"/>
          <w:szCs w:val="24"/>
        </w:rPr>
        <w:t xml:space="preserve">Thousand </w:t>
      </w:r>
      <w:r w:rsidR="00A06A66">
        <w:rPr>
          <w:rFonts w:ascii="Arial" w:hAnsi="Arial" w:cs="Arial"/>
          <w:sz w:val="24"/>
          <w:szCs w:val="24"/>
        </w:rPr>
        <w:t>Namibian</w:t>
      </w:r>
      <w:r>
        <w:rPr>
          <w:rFonts w:ascii="Arial" w:hAnsi="Arial" w:cs="Arial"/>
          <w:sz w:val="24"/>
          <w:szCs w:val="24"/>
        </w:rPr>
        <w:t xml:space="preserve"> </w:t>
      </w:r>
      <w:r w:rsidR="00C319F2">
        <w:rPr>
          <w:rFonts w:ascii="Arial" w:hAnsi="Arial" w:cs="Arial"/>
          <w:sz w:val="24"/>
          <w:szCs w:val="24"/>
        </w:rPr>
        <w:t>Dollars</w:t>
      </w:r>
      <w:r>
        <w:rPr>
          <w:rFonts w:ascii="Arial" w:hAnsi="Arial" w:cs="Arial"/>
          <w:sz w:val="24"/>
          <w:szCs w:val="24"/>
        </w:rPr>
        <w:t>).</w:t>
      </w:r>
    </w:p>
    <w:p w:rsidR="00A06A66" w:rsidRDefault="00A06A66" w:rsidP="00D9789E">
      <w:pPr>
        <w:spacing w:after="0" w:line="360" w:lineRule="auto"/>
        <w:jc w:val="both"/>
        <w:rPr>
          <w:rFonts w:ascii="Arial" w:hAnsi="Arial" w:cs="Arial"/>
          <w:sz w:val="24"/>
          <w:szCs w:val="24"/>
        </w:rPr>
      </w:pPr>
    </w:p>
    <w:p w:rsidR="00A06A66" w:rsidRDefault="00A06A66" w:rsidP="00D9789E">
      <w:pPr>
        <w:spacing w:after="0" w:line="360" w:lineRule="auto"/>
        <w:jc w:val="both"/>
        <w:rPr>
          <w:rFonts w:ascii="Arial" w:hAnsi="Arial" w:cs="Arial"/>
          <w:sz w:val="24"/>
          <w:szCs w:val="24"/>
        </w:rPr>
      </w:pPr>
      <w:r>
        <w:rPr>
          <w:rFonts w:ascii="Arial" w:hAnsi="Arial" w:cs="Arial"/>
          <w:sz w:val="24"/>
          <w:szCs w:val="24"/>
        </w:rPr>
        <w:t>(e)</w:t>
      </w:r>
      <w:r>
        <w:rPr>
          <w:rFonts w:ascii="Arial" w:hAnsi="Arial" w:cs="Arial"/>
          <w:sz w:val="24"/>
          <w:szCs w:val="24"/>
        </w:rPr>
        <w:tab/>
        <w:t>The first defendant pays the plaintiff the cost</w:t>
      </w:r>
      <w:r w:rsidR="00C319F2">
        <w:rPr>
          <w:rFonts w:ascii="Arial" w:hAnsi="Arial" w:cs="Arial"/>
          <w:sz w:val="24"/>
          <w:szCs w:val="24"/>
        </w:rPr>
        <w:t>s</w:t>
      </w:r>
      <w:r>
        <w:rPr>
          <w:rFonts w:ascii="Arial" w:hAnsi="Arial" w:cs="Arial"/>
          <w:sz w:val="24"/>
          <w:szCs w:val="24"/>
        </w:rPr>
        <w:t xml:space="preserve"> of suit in the</w:t>
      </w:r>
      <w:r w:rsidR="00FE3BB4">
        <w:rPr>
          <w:rFonts w:ascii="Arial" w:hAnsi="Arial" w:cs="Arial"/>
          <w:sz w:val="24"/>
          <w:szCs w:val="24"/>
        </w:rPr>
        <w:t xml:space="preserve"> event of defending this action</w:t>
      </w:r>
      <w:r>
        <w:rPr>
          <w:rFonts w:ascii="Arial" w:hAnsi="Arial" w:cs="Arial"/>
          <w:sz w:val="24"/>
          <w:szCs w:val="24"/>
        </w:rPr>
        <w:t>.</w:t>
      </w:r>
    </w:p>
    <w:p w:rsidR="009A7899" w:rsidRDefault="009A7899" w:rsidP="00D9789E">
      <w:pPr>
        <w:spacing w:after="0" w:line="360" w:lineRule="auto"/>
        <w:jc w:val="both"/>
        <w:rPr>
          <w:rFonts w:ascii="Arial" w:hAnsi="Arial" w:cs="Arial"/>
          <w:sz w:val="24"/>
          <w:szCs w:val="24"/>
        </w:rPr>
      </w:pPr>
    </w:p>
    <w:p w:rsidR="00A96AE0" w:rsidRPr="00757099" w:rsidRDefault="00A96AE0" w:rsidP="00D9789E">
      <w:pPr>
        <w:spacing w:after="0" w:line="360" w:lineRule="auto"/>
        <w:jc w:val="both"/>
        <w:rPr>
          <w:rFonts w:ascii="Arial" w:hAnsi="Arial" w:cs="Arial"/>
          <w:sz w:val="24"/>
          <w:szCs w:val="24"/>
        </w:rPr>
      </w:pPr>
      <w:r>
        <w:rPr>
          <w:rFonts w:ascii="Arial" w:hAnsi="Arial" w:cs="Arial"/>
          <w:sz w:val="24"/>
          <w:szCs w:val="24"/>
        </w:rPr>
        <w:t>(f)</w:t>
      </w:r>
      <w:r>
        <w:rPr>
          <w:rFonts w:ascii="Arial" w:hAnsi="Arial" w:cs="Arial"/>
          <w:sz w:val="24"/>
          <w:szCs w:val="24"/>
        </w:rPr>
        <w:tab/>
        <w:t>Further and/or alternative relief.</w:t>
      </w:r>
    </w:p>
    <w:p w:rsidR="00110802" w:rsidRDefault="00110802" w:rsidP="00D9789E">
      <w:pPr>
        <w:spacing w:after="0" w:line="360" w:lineRule="auto"/>
        <w:jc w:val="both"/>
        <w:rPr>
          <w:rFonts w:ascii="Arial" w:hAnsi="Arial" w:cs="Arial"/>
          <w:sz w:val="24"/>
          <w:szCs w:val="24"/>
        </w:rPr>
      </w:pPr>
    </w:p>
    <w:p w:rsidR="00340FEA" w:rsidRDefault="00340FEA" w:rsidP="00D9789E">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primary plea of first defendant is this. There was a valid Deed of </w:t>
      </w:r>
      <w:r w:rsidR="00B912A3">
        <w:rPr>
          <w:rFonts w:ascii="Arial" w:hAnsi="Arial" w:cs="Arial"/>
          <w:sz w:val="24"/>
          <w:szCs w:val="24"/>
        </w:rPr>
        <w:t xml:space="preserve">Sale </w:t>
      </w:r>
      <w:r w:rsidR="00A96AE0">
        <w:rPr>
          <w:rFonts w:ascii="Arial" w:hAnsi="Arial" w:cs="Arial"/>
          <w:sz w:val="24"/>
          <w:szCs w:val="24"/>
        </w:rPr>
        <w:t>entered in</w:t>
      </w:r>
      <w:r>
        <w:rPr>
          <w:rFonts w:ascii="Arial" w:hAnsi="Arial" w:cs="Arial"/>
          <w:sz w:val="24"/>
          <w:szCs w:val="24"/>
        </w:rPr>
        <w:t>to between the parties (</w:t>
      </w:r>
      <w:proofErr w:type="spellStart"/>
      <w:r>
        <w:rPr>
          <w:rFonts w:ascii="Arial" w:hAnsi="Arial" w:cs="Arial"/>
          <w:sz w:val="24"/>
          <w:szCs w:val="24"/>
        </w:rPr>
        <w:t>ie</w:t>
      </w:r>
      <w:proofErr w:type="spellEnd"/>
      <w:r>
        <w:rPr>
          <w:rFonts w:ascii="Arial" w:hAnsi="Arial" w:cs="Arial"/>
          <w:sz w:val="24"/>
          <w:szCs w:val="24"/>
        </w:rPr>
        <w:t xml:space="preserve"> plaintiff and defendant) on 12 December 2008, and the Deed meets all the requirements of a valid Deed of </w:t>
      </w:r>
      <w:r w:rsidR="00B912A3">
        <w:rPr>
          <w:rFonts w:ascii="Arial" w:hAnsi="Arial" w:cs="Arial"/>
          <w:sz w:val="24"/>
          <w:szCs w:val="24"/>
        </w:rPr>
        <w:t>Sale</w:t>
      </w:r>
      <w:r>
        <w:rPr>
          <w:rFonts w:ascii="Arial" w:hAnsi="Arial" w:cs="Arial"/>
          <w:sz w:val="24"/>
          <w:szCs w:val="24"/>
        </w:rPr>
        <w:t>, making the Deed valid</w:t>
      </w:r>
      <w:r w:rsidR="00A96AE0">
        <w:rPr>
          <w:rFonts w:ascii="Arial" w:hAnsi="Arial" w:cs="Arial"/>
          <w:sz w:val="24"/>
          <w:szCs w:val="24"/>
        </w:rPr>
        <w:t>;</w:t>
      </w:r>
      <w:r>
        <w:rPr>
          <w:rFonts w:ascii="Arial" w:hAnsi="Arial" w:cs="Arial"/>
          <w:sz w:val="24"/>
          <w:szCs w:val="24"/>
        </w:rPr>
        <w:t xml:space="preserve"> and further</w:t>
      </w:r>
      <w:r w:rsidR="00A96AE0">
        <w:rPr>
          <w:rFonts w:ascii="Arial" w:hAnsi="Arial" w:cs="Arial"/>
          <w:sz w:val="24"/>
          <w:szCs w:val="24"/>
        </w:rPr>
        <w:t xml:space="preserve">, that plaintiff </w:t>
      </w:r>
      <w:r>
        <w:rPr>
          <w:rFonts w:ascii="Arial" w:hAnsi="Arial" w:cs="Arial"/>
          <w:sz w:val="24"/>
          <w:szCs w:val="24"/>
        </w:rPr>
        <w:t xml:space="preserve">refused to accept the purchase price of the property, being the consideration. </w:t>
      </w:r>
    </w:p>
    <w:p w:rsidR="00340FEA" w:rsidRDefault="00340FEA" w:rsidP="00D9789E">
      <w:pPr>
        <w:spacing w:after="0" w:line="360" w:lineRule="auto"/>
        <w:jc w:val="both"/>
        <w:rPr>
          <w:rFonts w:ascii="Arial" w:hAnsi="Arial" w:cs="Arial"/>
          <w:sz w:val="24"/>
          <w:szCs w:val="24"/>
        </w:rPr>
      </w:pPr>
    </w:p>
    <w:p w:rsidR="00110802" w:rsidRDefault="00326520" w:rsidP="00D9789E">
      <w:pPr>
        <w:spacing w:after="0" w:line="360" w:lineRule="auto"/>
        <w:jc w:val="both"/>
        <w:rPr>
          <w:rFonts w:ascii="Arial" w:hAnsi="Arial" w:cs="Arial"/>
          <w:sz w:val="24"/>
          <w:szCs w:val="24"/>
        </w:rPr>
      </w:pPr>
      <w:r>
        <w:rPr>
          <w:rFonts w:ascii="Arial" w:hAnsi="Arial" w:cs="Arial"/>
          <w:sz w:val="24"/>
          <w:szCs w:val="24"/>
        </w:rPr>
        <w:t>[4</w:t>
      </w:r>
      <w:r w:rsidR="00110802">
        <w:rPr>
          <w:rFonts w:ascii="Arial" w:hAnsi="Arial" w:cs="Arial"/>
          <w:sz w:val="24"/>
          <w:szCs w:val="24"/>
        </w:rPr>
        <w:t>]</w:t>
      </w:r>
      <w:r w:rsidR="00110802">
        <w:rPr>
          <w:rFonts w:ascii="Arial" w:hAnsi="Arial" w:cs="Arial"/>
          <w:sz w:val="24"/>
          <w:szCs w:val="24"/>
        </w:rPr>
        <w:tab/>
      </w:r>
      <w:r w:rsidR="00340FEA">
        <w:rPr>
          <w:rFonts w:ascii="Arial" w:hAnsi="Arial" w:cs="Arial"/>
          <w:sz w:val="24"/>
          <w:szCs w:val="24"/>
        </w:rPr>
        <w:t xml:space="preserve">It seems to me clear that the dispute turns on what is the </w:t>
      </w:r>
      <w:r w:rsidR="004932E3">
        <w:rPr>
          <w:rFonts w:ascii="Arial" w:hAnsi="Arial" w:cs="Arial"/>
          <w:sz w:val="24"/>
          <w:szCs w:val="24"/>
        </w:rPr>
        <w:t>true</w:t>
      </w:r>
      <w:r w:rsidR="00370844">
        <w:rPr>
          <w:rFonts w:ascii="Arial" w:hAnsi="Arial" w:cs="Arial"/>
          <w:sz w:val="24"/>
          <w:szCs w:val="24"/>
        </w:rPr>
        <w:t xml:space="preserve"> nature of </w:t>
      </w:r>
      <w:r w:rsidR="00A96AE0">
        <w:rPr>
          <w:rFonts w:ascii="Arial" w:hAnsi="Arial" w:cs="Arial"/>
          <w:sz w:val="24"/>
          <w:szCs w:val="24"/>
        </w:rPr>
        <w:t xml:space="preserve">the </w:t>
      </w:r>
      <w:r w:rsidR="00370844">
        <w:rPr>
          <w:rFonts w:ascii="Arial" w:hAnsi="Arial" w:cs="Arial"/>
          <w:sz w:val="24"/>
          <w:szCs w:val="24"/>
        </w:rPr>
        <w:t>transaction between plaintiff and his sister, the defendant. The f</w:t>
      </w:r>
      <w:r w:rsidR="00A96AE0">
        <w:rPr>
          <w:rFonts w:ascii="Arial" w:hAnsi="Arial" w:cs="Arial"/>
          <w:sz w:val="24"/>
          <w:szCs w:val="24"/>
        </w:rPr>
        <w:t>amilial relationship of brother</w:t>
      </w:r>
      <w:r w:rsidR="00FE3BB4">
        <w:rPr>
          <w:rFonts w:ascii="Arial" w:hAnsi="Arial" w:cs="Arial"/>
          <w:sz w:val="24"/>
          <w:szCs w:val="24"/>
        </w:rPr>
        <w:t>-and-</w:t>
      </w:r>
      <w:r w:rsidR="00370844">
        <w:rPr>
          <w:rFonts w:ascii="Arial" w:hAnsi="Arial" w:cs="Arial"/>
          <w:sz w:val="24"/>
          <w:szCs w:val="24"/>
        </w:rPr>
        <w:t xml:space="preserve">sister is relevant when considering the circumstances of the transaction between them. I shall, therefore, revert to it in due course. It is to the </w:t>
      </w:r>
      <w:r w:rsidR="004932E3">
        <w:rPr>
          <w:rFonts w:ascii="Arial" w:hAnsi="Arial" w:cs="Arial"/>
          <w:sz w:val="24"/>
          <w:szCs w:val="24"/>
        </w:rPr>
        <w:t>true na</w:t>
      </w:r>
      <w:r w:rsidR="00370844">
        <w:rPr>
          <w:rFonts w:ascii="Arial" w:hAnsi="Arial" w:cs="Arial"/>
          <w:sz w:val="24"/>
          <w:szCs w:val="24"/>
        </w:rPr>
        <w:t xml:space="preserve">ture of the </w:t>
      </w:r>
      <w:r w:rsidR="00370844">
        <w:rPr>
          <w:rFonts w:ascii="Arial" w:hAnsi="Arial" w:cs="Arial"/>
          <w:sz w:val="24"/>
          <w:szCs w:val="24"/>
        </w:rPr>
        <w:lastRenderedPageBreak/>
        <w:t>transaction between plaintiff and defendant that I no</w:t>
      </w:r>
      <w:r w:rsidR="00A96AE0">
        <w:rPr>
          <w:rFonts w:ascii="Arial" w:hAnsi="Arial" w:cs="Arial"/>
          <w:sz w:val="24"/>
          <w:szCs w:val="24"/>
        </w:rPr>
        <w:t>w</w:t>
      </w:r>
      <w:r w:rsidR="00370844">
        <w:rPr>
          <w:rFonts w:ascii="Arial" w:hAnsi="Arial" w:cs="Arial"/>
          <w:sz w:val="24"/>
          <w:szCs w:val="24"/>
        </w:rPr>
        <w:t xml:space="preserve"> direct the enquiry. For the first part of the enquiry, we must</w:t>
      </w:r>
      <w:r w:rsidR="00A96AE0">
        <w:rPr>
          <w:rFonts w:ascii="Arial" w:hAnsi="Arial" w:cs="Arial"/>
          <w:sz w:val="24"/>
          <w:szCs w:val="24"/>
        </w:rPr>
        <w:t xml:space="preserve"> go</w:t>
      </w:r>
      <w:r w:rsidR="00FE3BB4">
        <w:rPr>
          <w:rFonts w:ascii="Arial" w:hAnsi="Arial" w:cs="Arial"/>
          <w:sz w:val="24"/>
          <w:szCs w:val="24"/>
        </w:rPr>
        <w:t xml:space="preserve"> to the basics: b</w:t>
      </w:r>
      <w:r w:rsidR="00370844">
        <w:rPr>
          <w:rFonts w:ascii="Arial" w:hAnsi="Arial" w:cs="Arial"/>
          <w:sz w:val="24"/>
          <w:szCs w:val="24"/>
        </w:rPr>
        <w:t>asi</w:t>
      </w:r>
      <w:r w:rsidR="00A96AE0">
        <w:rPr>
          <w:rFonts w:ascii="Arial" w:hAnsi="Arial" w:cs="Arial"/>
          <w:sz w:val="24"/>
          <w:szCs w:val="24"/>
        </w:rPr>
        <w:t>c</w:t>
      </w:r>
      <w:r w:rsidR="00370844">
        <w:rPr>
          <w:rFonts w:ascii="Arial" w:hAnsi="Arial" w:cs="Arial"/>
          <w:sz w:val="24"/>
          <w:szCs w:val="24"/>
        </w:rPr>
        <w:t>s of contract in our law and proof of its existence.</w:t>
      </w:r>
    </w:p>
    <w:p w:rsidR="004536E3" w:rsidRDefault="004536E3" w:rsidP="00D9789E">
      <w:pPr>
        <w:spacing w:after="0" w:line="360" w:lineRule="auto"/>
        <w:jc w:val="both"/>
        <w:rPr>
          <w:rFonts w:ascii="Arial" w:hAnsi="Arial" w:cs="Arial"/>
          <w:sz w:val="24"/>
          <w:szCs w:val="24"/>
        </w:rPr>
      </w:pPr>
    </w:p>
    <w:p w:rsidR="0041440A" w:rsidRDefault="00326520" w:rsidP="00D9789E">
      <w:pPr>
        <w:spacing w:after="0" w:line="360" w:lineRule="auto"/>
        <w:jc w:val="both"/>
        <w:rPr>
          <w:rFonts w:ascii="Arial" w:hAnsi="Arial" w:cs="Arial"/>
          <w:sz w:val="24"/>
          <w:szCs w:val="24"/>
        </w:rPr>
      </w:pPr>
      <w:r>
        <w:rPr>
          <w:rFonts w:ascii="Arial" w:hAnsi="Arial" w:cs="Arial"/>
          <w:sz w:val="24"/>
          <w:szCs w:val="24"/>
        </w:rPr>
        <w:t>[5</w:t>
      </w:r>
      <w:r w:rsidR="004536E3">
        <w:rPr>
          <w:rFonts w:ascii="Arial" w:hAnsi="Arial" w:cs="Arial"/>
          <w:sz w:val="24"/>
          <w:szCs w:val="24"/>
        </w:rPr>
        <w:t>]</w:t>
      </w:r>
      <w:r w:rsidR="004536E3">
        <w:rPr>
          <w:rFonts w:ascii="Arial" w:hAnsi="Arial" w:cs="Arial"/>
          <w:sz w:val="24"/>
          <w:szCs w:val="24"/>
        </w:rPr>
        <w:tab/>
      </w:r>
      <w:r w:rsidR="00370844">
        <w:rPr>
          <w:rFonts w:ascii="Arial" w:hAnsi="Arial" w:cs="Arial"/>
          <w:sz w:val="24"/>
          <w:szCs w:val="24"/>
        </w:rPr>
        <w:t xml:space="preserve">In South Africa, in </w:t>
      </w:r>
      <w:proofErr w:type="spellStart"/>
      <w:r w:rsidR="00FE3BB4">
        <w:rPr>
          <w:rFonts w:ascii="Arial" w:hAnsi="Arial" w:cs="Arial"/>
          <w:i/>
          <w:sz w:val="24"/>
          <w:szCs w:val="24"/>
        </w:rPr>
        <w:t>Saambou</w:t>
      </w:r>
      <w:proofErr w:type="spellEnd"/>
      <w:r w:rsidR="00FE3BB4">
        <w:rPr>
          <w:rFonts w:ascii="Arial" w:hAnsi="Arial" w:cs="Arial"/>
          <w:i/>
          <w:sz w:val="24"/>
          <w:szCs w:val="24"/>
        </w:rPr>
        <w:t>–</w:t>
      </w:r>
      <w:proofErr w:type="spellStart"/>
      <w:r w:rsidR="00370844" w:rsidRPr="00370844">
        <w:rPr>
          <w:rFonts w:ascii="Arial" w:hAnsi="Arial" w:cs="Arial"/>
          <w:i/>
          <w:sz w:val="24"/>
          <w:szCs w:val="24"/>
        </w:rPr>
        <w:t>Nasionale</w:t>
      </w:r>
      <w:proofErr w:type="spellEnd"/>
      <w:r w:rsidR="00370844" w:rsidRPr="00370844">
        <w:rPr>
          <w:rFonts w:ascii="Arial" w:hAnsi="Arial" w:cs="Arial"/>
          <w:i/>
          <w:sz w:val="24"/>
          <w:szCs w:val="24"/>
        </w:rPr>
        <w:t xml:space="preserve"> </w:t>
      </w:r>
      <w:proofErr w:type="spellStart"/>
      <w:r w:rsidR="00370844" w:rsidRPr="00370844">
        <w:rPr>
          <w:rFonts w:ascii="Arial" w:hAnsi="Arial" w:cs="Arial"/>
          <w:i/>
          <w:sz w:val="24"/>
          <w:szCs w:val="24"/>
        </w:rPr>
        <w:t>Bouvereniging</w:t>
      </w:r>
      <w:proofErr w:type="spellEnd"/>
      <w:r w:rsidR="00370844">
        <w:rPr>
          <w:rFonts w:ascii="Arial" w:hAnsi="Arial" w:cs="Arial"/>
          <w:sz w:val="24"/>
          <w:szCs w:val="24"/>
        </w:rPr>
        <w:t xml:space="preserve"> </w:t>
      </w:r>
      <w:r w:rsidR="00370844" w:rsidRPr="0041440A">
        <w:rPr>
          <w:rFonts w:ascii="Arial" w:hAnsi="Arial" w:cs="Arial"/>
          <w:i/>
          <w:sz w:val="24"/>
          <w:szCs w:val="24"/>
        </w:rPr>
        <w:t>v Friedman</w:t>
      </w:r>
      <w:r w:rsidR="00370844">
        <w:rPr>
          <w:rFonts w:ascii="Arial" w:hAnsi="Arial" w:cs="Arial"/>
          <w:sz w:val="24"/>
          <w:szCs w:val="24"/>
        </w:rPr>
        <w:t xml:space="preserve"> 1979 (3) SA 978 (A) the Appellate </w:t>
      </w:r>
      <w:r w:rsidR="00A96AE0">
        <w:rPr>
          <w:rFonts w:ascii="Arial" w:hAnsi="Arial" w:cs="Arial"/>
          <w:sz w:val="24"/>
          <w:szCs w:val="24"/>
        </w:rPr>
        <w:t xml:space="preserve">Division </w:t>
      </w:r>
      <w:r w:rsidR="00370844">
        <w:rPr>
          <w:rFonts w:ascii="Arial" w:hAnsi="Arial" w:cs="Arial"/>
          <w:sz w:val="24"/>
          <w:szCs w:val="24"/>
        </w:rPr>
        <w:t xml:space="preserve">stated that ‘the true basis of contractual liability in our law ….is not the objective approach of English law, but is – save in cases where the reliance theory is applied – the real consensus of the parties. This accepted approach was affirmed in </w:t>
      </w:r>
      <w:r w:rsidR="00370844" w:rsidRPr="0041440A">
        <w:rPr>
          <w:rFonts w:ascii="Arial" w:hAnsi="Arial" w:cs="Arial"/>
          <w:i/>
          <w:sz w:val="24"/>
          <w:szCs w:val="24"/>
        </w:rPr>
        <w:t xml:space="preserve">Steyn v LSA </w:t>
      </w:r>
      <w:r w:rsidR="00B912A3" w:rsidRPr="0041440A">
        <w:rPr>
          <w:rFonts w:ascii="Arial" w:hAnsi="Arial" w:cs="Arial"/>
          <w:i/>
          <w:sz w:val="24"/>
          <w:szCs w:val="24"/>
        </w:rPr>
        <w:t xml:space="preserve">Motor </w:t>
      </w:r>
      <w:r w:rsidR="00370844" w:rsidRPr="0041440A">
        <w:rPr>
          <w:rFonts w:ascii="Arial" w:hAnsi="Arial" w:cs="Arial"/>
          <w:i/>
          <w:sz w:val="24"/>
          <w:szCs w:val="24"/>
        </w:rPr>
        <w:t xml:space="preserve">Ltd </w:t>
      </w:r>
      <w:r w:rsidR="00370844">
        <w:rPr>
          <w:rFonts w:ascii="Arial" w:hAnsi="Arial" w:cs="Arial"/>
          <w:sz w:val="24"/>
          <w:szCs w:val="24"/>
        </w:rPr>
        <w:t>1994</w:t>
      </w:r>
      <w:r w:rsidR="00A96AE0">
        <w:rPr>
          <w:rFonts w:ascii="Arial" w:hAnsi="Arial" w:cs="Arial"/>
          <w:sz w:val="24"/>
          <w:szCs w:val="24"/>
        </w:rPr>
        <w:t xml:space="preserve"> (I</w:t>
      </w:r>
      <w:r w:rsidR="0041440A">
        <w:rPr>
          <w:rFonts w:ascii="Arial" w:hAnsi="Arial" w:cs="Arial"/>
          <w:sz w:val="24"/>
          <w:szCs w:val="24"/>
        </w:rPr>
        <w:t>) SA 49(A).</w:t>
      </w:r>
      <w:r w:rsidR="00A96AE0">
        <w:rPr>
          <w:rFonts w:ascii="Arial" w:hAnsi="Arial" w:cs="Arial"/>
          <w:sz w:val="24"/>
          <w:szCs w:val="24"/>
        </w:rPr>
        <w:t xml:space="preserve"> </w:t>
      </w:r>
      <w:r w:rsidR="0041440A">
        <w:rPr>
          <w:rFonts w:ascii="Arial" w:hAnsi="Arial" w:cs="Arial"/>
          <w:sz w:val="24"/>
          <w:szCs w:val="24"/>
        </w:rPr>
        <w:t xml:space="preserve">There, </w:t>
      </w:r>
      <w:r w:rsidR="00A96AE0">
        <w:rPr>
          <w:rFonts w:ascii="Arial" w:hAnsi="Arial" w:cs="Arial"/>
          <w:sz w:val="24"/>
          <w:szCs w:val="24"/>
        </w:rPr>
        <w:t>an amateur golfer, participated in a golf tournament that was open to both amateurs and professionals. Next to the 17</w:t>
      </w:r>
      <w:r w:rsidR="00A96AE0" w:rsidRPr="00A96AE0">
        <w:rPr>
          <w:rFonts w:ascii="Arial" w:hAnsi="Arial" w:cs="Arial"/>
          <w:sz w:val="24"/>
          <w:szCs w:val="24"/>
          <w:vertAlign w:val="superscript"/>
        </w:rPr>
        <w:t>th</w:t>
      </w:r>
      <w:r w:rsidR="00A96AE0">
        <w:rPr>
          <w:rFonts w:ascii="Arial" w:hAnsi="Arial" w:cs="Arial"/>
          <w:sz w:val="24"/>
          <w:szCs w:val="24"/>
        </w:rPr>
        <w:t xml:space="preserve"> hole, there was on display a new car and alongside it a board proclaiming: ‘Hole-in-one prize sponsored by LSA Motors’. Steyn duly scored a hole-in-one, but the sponsor refused to give him the car on the grounds that the prize had only been intended for professional golfers. In the litigation that followed, it became plain that </w:t>
      </w:r>
      <w:proofErr w:type="spellStart"/>
      <w:r w:rsidR="00A96AE0">
        <w:rPr>
          <w:rFonts w:ascii="Arial" w:hAnsi="Arial" w:cs="Arial"/>
          <w:sz w:val="24"/>
          <w:szCs w:val="24"/>
        </w:rPr>
        <w:t>Smal</w:t>
      </w:r>
      <w:proofErr w:type="spellEnd"/>
      <w:r w:rsidR="00A96AE0">
        <w:rPr>
          <w:rFonts w:ascii="Arial" w:hAnsi="Arial" w:cs="Arial"/>
          <w:sz w:val="24"/>
          <w:szCs w:val="24"/>
        </w:rPr>
        <w:t>, the representative of the defendant, had never intended to make any offer to an amateur such as Steyn, and that there was accordingly no consensus between the parties.</w:t>
      </w:r>
    </w:p>
    <w:p w:rsidR="00A96AE0" w:rsidRDefault="00A96AE0" w:rsidP="00D9789E">
      <w:pPr>
        <w:spacing w:after="0" w:line="360" w:lineRule="auto"/>
        <w:jc w:val="both"/>
        <w:rPr>
          <w:rFonts w:ascii="Arial" w:hAnsi="Arial" w:cs="Arial"/>
          <w:sz w:val="24"/>
          <w:szCs w:val="24"/>
        </w:rPr>
      </w:pPr>
    </w:p>
    <w:p w:rsidR="00537423" w:rsidRDefault="00326520" w:rsidP="00D9789E">
      <w:pPr>
        <w:spacing w:after="0" w:line="360" w:lineRule="auto"/>
        <w:jc w:val="both"/>
        <w:rPr>
          <w:rFonts w:ascii="Arial" w:hAnsi="Arial" w:cs="Arial"/>
          <w:sz w:val="24"/>
          <w:szCs w:val="24"/>
        </w:rPr>
      </w:pPr>
      <w:r>
        <w:rPr>
          <w:rFonts w:ascii="Arial" w:hAnsi="Arial" w:cs="Arial"/>
          <w:sz w:val="24"/>
          <w:szCs w:val="24"/>
        </w:rPr>
        <w:t>[6</w:t>
      </w:r>
      <w:r w:rsidR="006830A5">
        <w:rPr>
          <w:rFonts w:ascii="Arial" w:hAnsi="Arial" w:cs="Arial"/>
          <w:sz w:val="24"/>
          <w:szCs w:val="24"/>
        </w:rPr>
        <w:t>]</w:t>
      </w:r>
      <w:r w:rsidR="00162141">
        <w:rPr>
          <w:rFonts w:ascii="Arial" w:hAnsi="Arial" w:cs="Arial"/>
          <w:sz w:val="24"/>
          <w:szCs w:val="24"/>
        </w:rPr>
        <w:tab/>
      </w:r>
      <w:r w:rsidR="0041440A">
        <w:rPr>
          <w:rFonts w:ascii="Arial" w:hAnsi="Arial" w:cs="Arial"/>
          <w:sz w:val="24"/>
          <w:szCs w:val="24"/>
        </w:rPr>
        <w:t>Steyn’s attempt to urge the court to disregard the fact put forth by the d</w:t>
      </w:r>
      <w:r w:rsidR="00FE3BB4">
        <w:rPr>
          <w:rFonts w:ascii="Arial" w:hAnsi="Arial" w:cs="Arial"/>
          <w:sz w:val="24"/>
          <w:szCs w:val="24"/>
        </w:rPr>
        <w:t>efendant’s representative (</w:t>
      </w:r>
      <w:proofErr w:type="spellStart"/>
      <w:r w:rsidR="00FE3BB4">
        <w:rPr>
          <w:rFonts w:ascii="Arial" w:hAnsi="Arial" w:cs="Arial"/>
          <w:sz w:val="24"/>
          <w:szCs w:val="24"/>
        </w:rPr>
        <w:t>Smal</w:t>
      </w:r>
      <w:proofErr w:type="spellEnd"/>
      <w:r w:rsidR="00FE3BB4">
        <w:rPr>
          <w:rFonts w:ascii="Arial" w:hAnsi="Arial" w:cs="Arial"/>
          <w:sz w:val="24"/>
          <w:szCs w:val="24"/>
        </w:rPr>
        <w:t xml:space="preserve">) </w:t>
      </w:r>
      <w:r w:rsidR="0041440A">
        <w:rPr>
          <w:rFonts w:ascii="Arial" w:hAnsi="Arial" w:cs="Arial"/>
          <w:sz w:val="24"/>
          <w:szCs w:val="24"/>
        </w:rPr>
        <w:t>was rejected by the court f</w:t>
      </w:r>
      <w:r w:rsidR="00FE3BB4">
        <w:rPr>
          <w:rFonts w:ascii="Arial" w:hAnsi="Arial" w:cs="Arial"/>
          <w:sz w:val="24"/>
          <w:szCs w:val="24"/>
        </w:rPr>
        <w:t>or the following reasons (at 61C</w:t>
      </w:r>
      <w:r w:rsidR="0041440A">
        <w:rPr>
          <w:rFonts w:ascii="Arial" w:hAnsi="Arial" w:cs="Arial"/>
          <w:sz w:val="24"/>
          <w:szCs w:val="24"/>
        </w:rPr>
        <w:t>-E):</w:t>
      </w:r>
    </w:p>
    <w:p w:rsidR="00976AEB" w:rsidRDefault="00976AEB" w:rsidP="00D9789E">
      <w:pPr>
        <w:spacing w:after="0" w:line="360" w:lineRule="auto"/>
        <w:jc w:val="both"/>
        <w:rPr>
          <w:rFonts w:ascii="Arial" w:hAnsi="Arial" w:cs="Arial"/>
          <w:sz w:val="24"/>
          <w:szCs w:val="24"/>
        </w:rPr>
      </w:pPr>
    </w:p>
    <w:p w:rsidR="0041440A" w:rsidRPr="009A7899" w:rsidRDefault="00C319F2" w:rsidP="00143230">
      <w:pPr>
        <w:spacing w:after="0" w:line="360" w:lineRule="auto"/>
        <w:ind w:firstLine="720"/>
        <w:jc w:val="both"/>
        <w:rPr>
          <w:rFonts w:ascii="Arial" w:hAnsi="Arial" w:cs="Arial"/>
        </w:rPr>
      </w:pPr>
      <w:r w:rsidRPr="009A7899">
        <w:rPr>
          <w:rFonts w:ascii="Arial" w:hAnsi="Arial" w:cs="Arial"/>
        </w:rPr>
        <w:t>‘</w:t>
      </w:r>
      <w:r w:rsidR="00976AEB" w:rsidRPr="009A7899">
        <w:rPr>
          <w:rFonts w:ascii="Arial" w:hAnsi="Arial" w:cs="Arial"/>
        </w:rPr>
        <w:t>The argument is fundamentally fallacious inasmuch</w:t>
      </w:r>
      <w:r w:rsidR="005B3E15" w:rsidRPr="009A7899">
        <w:rPr>
          <w:rFonts w:ascii="Arial" w:hAnsi="Arial" w:cs="Arial"/>
        </w:rPr>
        <w:t xml:space="preserve"> </w:t>
      </w:r>
      <w:r w:rsidR="00976AEB" w:rsidRPr="009A7899">
        <w:rPr>
          <w:rFonts w:ascii="Arial" w:hAnsi="Arial" w:cs="Arial"/>
        </w:rPr>
        <w:t xml:space="preserve">as it treats </w:t>
      </w:r>
      <w:proofErr w:type="spellStart"/>
      <w:r w:rsidR="00976AEB" w:rsidRPr="009A7899">
        <w:rPr>
          <w:rFonts w:ascii="Arial" w:hAnsi="Arial" w:cs="Arial"/>
        </w:rPr>
        <w:t>Smal’s</w:t>
      </w:r>
      <w:proofErr w:type="spellEnd"/>
      <w:r w:rsidR="00976AEB" w:rsidRPr="009A7899">
        <w:rPr>
          <w:rFonts w:ascii="Arial" w:hAnsi="Arial" w:cs="Arial"/>
        </w:rPr>
        <w:t xml:space="preserve"> subjective intention as irrelevant and postulates the outward manifestation of his intention as the sole and conclusive touchstone of the respondent’s contractual liability. That is contrary to legal principle. </w:t>
      </w:r>
      <w:r w:rsidR="005B3E15" w:rsidRPr="009A7899">
        <w:rPr>
          <w:rFonts w:ascii="Arial" w:hAnsi="Arial" w:cs="Arial"/>
        </w:rPr>
        <w:t xml:space="preserve">Where it is shown that the offeror’s true intention  differed from his expressed intention, the outward appearance of agreement flowing from the offeree’s acceptance of the offer as it stands does not in itself or necessarily result in contractual liability. Nor is it in itself decisive that the offeree accepted the offer in reliance upon the offeror’s implicit representation that the offer correctly reflected his intention. Remaining for consideration is the further and crucial question whether a reasonable man in the position of the offeree would have accepted the offer in the belief that it represented the true intention of the offeror, in accordance with objective criterion formulated long ago in the classic dictum of Blackburn J in </w:t>
      </w:r>
      <w:r w:rsidR="005B3E15" w:rsidRPr="009A7899">
        <w:rPr>
          <w:rFonts w:ascii="Arial" w:hAnsi="Arial" w:cs="Arial"/>
          <w:i/>
        </w:rPr>
        <w:t>Smith v Hughe</w:t>
      </w:r>
      <w:r w:rsidR="005B3E15" w:rsidRPr="009A7899">
        <w:rPr>
          <w:rFonts w:ascii="Arial" w:hAnsi="Arial" w:cs="Arial"/>
        </w:rPr>
        <w:t>s… only if this test is satisfied can the offeror be held contractually liable.</w:t>
      </w:r>
      <w:r w:rsidRPr="009A7899">
        <w:rPr>
          <w:rFonts w:ascii="Arial" w:hAnsi="Arial" w:cs="Arial"/>
        </w:rPr>
        <w:t>’</w:t>
      </w:r>
    </w:p>
    <w:p w:rsidR="0005596D" w:rsidRDefault="0005596D" w:rsidP="00D9789E">
      <w:pPr>
        <w:spacing w:after="0" w:line="360" w:lineRule="auto"/>
        <w:jc w:val="both"/>
        <w:rPr>
          <w:rFonts w:ascii="Arial" w:hAnsi="Arial" w:cs="Arial"/>
          <w:sz w:val="24"/>
          <w:szCs w:val="24"/>
        </w:rPr>
      </w:pPr>
    </w:p>
    <w:p w:rsidR="00E03E8E" w:rsidRDefault="00326520" w:rsidP="0041440A">
      <w:pPr>
        <w:spacing w:after="0" w:line="360" w:lineRule="auto"/>
        <w:jc w:val="both"/>
        <w:rPr>
          <w:rFonts w:ascii="Arial" w:hAnsi="Arial" w:cs="Arial"/>
          <w:sz w:val="24"/>
          <w:szCs w:val="24"/>
        </w:rPr>
      </w:pPr>
      <w:r>
        <w:rPr>
          <w:rFonts w:ascii="Arial" w:hAnsi="Arial" w:cs="Arial"/>
          <w:sz w:val="24"/>
          <w:szCs w:val="24"/>
        </w:rPr>
        <w:lastRenderedPageBreak/>
        <w:t>[7</w:t>
      </w:r>
      <w:r w:rsidR="006830A5">
        <w:rPr>
          <w:rFonts w:ascii="Arial" w:hAnsi="Arial" w:cs="Arial"/>
          <w:sz w:val="24"/>
          <w:szCs w:val="24"/>
        </w:rPr>
        <w:t>]</w:t>
      </w:r>
      <w:r w:rsidR="00162141">
        <w:rPr>
          <w:rFonts w:ascii="Arial" w:hAnsi="Arial" w:cs="Arial"/>
          <w:sz w:val="24"/>
          <w:szCs w:val="24"/>
        </w:rPr>
        <w:tab/>
      </w:r>
      <w:r w:rsidR="0041440A">
        <w:rPr>
          <w:rFonts w:ascii="Arial" w:hAnsi="Arial" w:cs="Arial"/>
          <w:sz w:val="24"/>
          <w:szCs w:val="24"/>
        </w:rPr>
        <w:t>It follows that there are two grounds on which one may establish contract in South Africa, namely consensus and reaso</w:t>
      </w:r>
      <w:r w:rsidR="00B912A3">
        <w:rPr>
          <w:rFonts w:ascii="Arial" w:hAnsi="Arial" w:cs="Arial"/>
          <w:sz w:val="24"/>
          <w:szCs w:val="24"/>
        </w:rPr>
        <w:t>nable reliance on consensus. (D</w:t>
      </w:r>
      <w:r w:rsidR="00FE3BB4">
        <w:rPr>
          <w:rFonts w:ascii="Arial" w:hAnsi="Arial" w:cs="Arial"/>
          <w:sz w:val="24"/>
          <w:szCs w:val="24"/>
        </w:rPr>
        <w:t xml:space="preserve">ale Hutchison (Ed) </w:t>
      </w:r>
      <w:proofErr w:type="gramStart"/>
      <w:r w:rsidR="00FE3BB4">
        <w:rPr>
          <w:rFonts w:ascii="Arial" w:hAnsi="Arial" w:cs="Arial"/>
          <w:sz w:val="24"/>
          <w:szCs w:val="24"/>
        </w:rPr>
        <w:t>et</w:t>
      </w:r>
      <w:proofErr w:type="gramEnd"/>
      <w:r w:rsidR="00FE3BB4">
        <w:rPr>
          <w:rFonts w:ascii="Arial" w:hAnsi="Arial" w:cs="Arial"/>
          <w:sz w:val="24"/>
          <w:szCs w:val="24"/>
        </w:rPr>
        <w:t xml:space="preserve"> Chris-</w:t>
      </w:r>
      <w:r w:rsidR="0041440A">
        <w:rPr>
          <w:rFonts w:ascii="Arial" w:hAnsi="Arial" w:cs="Arial"/>
          <w:sz w:val="24"/>
          <w:szCs w:val="24"/>
        </w:rPr>
        <w:t xml:space="preserve">James Pretorius, </w:t>
      </w:r>
      <w:r w:rsidR="00B912A3">
        <w:rPr>
          <w:rFonts w:ascii="Arial" w:hAnsi="Arial" w:cs="Arial"/>
          <w:i/>
          <w:sz w:val="24"/>
          <w:szCs w:val="24"/>
        </w:rPr>
        <w:t>The Law o</w:t>
      </w:r>
      <w:r w:rsidR="0041440A" w:rsidRPr="0041440A">
        <w:rPr>
          <w:rFonts w:ascii="Arial" w:hAnsi="Arial" w:cs="Arial"/>
          <w:i/>
          <w:sz w:val="24"/>
          <w:szCs w:val="24"/>
        </w:rPr>
        <w:t>f Contract in South Africa</w:t>
      </w:r>
      <w:r w:rsidR="0041440A">
        <w:rPr>
          <w:rFonts w:ascii="Arial" w:hAnsi="Arial" w:cs="Arial"/>
          <w:sz w:val="24"/>
          <w:szCs w:val="24"/>
        </w:rPr>
        <w:t>, 2</w:t>
      </w:r>
      <w:r w:rsidR="0041440A" w:rsidRPr="0041440A">
        <w:rPr>
          <w:rFonts w:ascii="Arial" w:hAnsi="Arial" w:cs="Arial"/>
          <w:sz w:val="24"/>
          <w:szCs w:val="24"/>
          <w:vertAlign w:val="superscript"/>
        </w:rPr>
        <w:t>nd</w:t>
      </w:r>
      <w:r w:rsidR="0041440A">
        <w:rPr>
          <w:rFonts w:ascii="Arial" w:hAnsi="Arial" w:cs="Arial"/>
          <w:sz w:val="24"/>
          <w:szCs w:val="24"/>
        </w:rPr>
        <w:t xml:space="preserve"> </w:t>
      </w:r>
      <w:proofErr w:type="spellStart"/>
      <w:r w:rsidR="0041440A">
        <w:rPr>
          <w:rFonts w:ascii="Arial" w:hAnsi="Arial" w:cs="Arial"/>
          <w:sz w:val="24"/>
          <w:szCs w:val="24"/>
        </w:rPr>
        <w:t>ed</w:t>
      </w:r>
      <w:proofErr w:type="spellEnd"/>
      <w:r w:rsidR="0041440A">
        <w:rPr>
          <w:rFonts w:ascii="Arial" w:hAnsi="Arial" w:cs="Arial"/>
          <w:sz w:val="24"/>
          <w:szCs w:val="24"/>
        </w:rPr>
        <w:t xml:space="preserve"> (2012) at 19). That, in my opinion, should be the </w:t>
      </w:r>
      <w:r w:rsidR="00FE3BB4">
        <w:rPr>
          <w:rFonts w:ascii="Arial" w:hAnsi="Arial" w:cs="Arial"/>
          <w:sz w:val="24"/>
          <w:szCs w:val="24"/>
        </w:rPr>
        <w:t>law</w:t>
      </w:r>
      <w:r w:rsidR="0041440A">
        <w:rPr>
          <w:rFonts w:ascii="Arial" w:hAnsi="Arial" w:cs="Arial"/>
          <w:sz w:val="24"/>
          <w:szCs w:val="24"/>
        </w:rPr>
        <w:t xml:space="preserve"> in Namibia, too. Of course, the primary basis is consensus. Therefore, when determining whether a contract has been formed, one must ascertain first whether the minds of the parties have actually met; and the approach in the determination is essentially subjective. If consensus is </w:t>
      </w:r>
      <w:r w:rsidR="00964A88">
        <w:rPr>
          <w:rFonts w:ascii="Arial" w:hAnsi="Arial" w:cs="Arial"/>
          <w:sz w:val="24"/>
          <w:szCs w:val="24"/>
        </w:rPr>
        <w:t>found to exist, that</w:t>
      </w:r>
      <w:r w:rsidR="00A82DA6">
        <w:rPr>
          <w:rFonts w:ascii="Arial" w:hAnsi="Arial" w:cs="Arial"/>
          <w:sz w:val="24"/>
          <w:szCs w:val="24"/>
        </w:rPr>
        <w:t xml:space="preserve"> is the end o</w:t>
      </w:r>
      <w:r w:rsidR="00B912A3">
        <w:rPr>
          <w:rFonts w:ascii="Arial" w:hAnsi="Arial" w:cs="Arial"/>
          <w:sz w:val="24"/>
          <w:szCs w:val="24"/>
        </w:rPr>
        <w:t>f the enquiry. (Dal</w:t>
      </w:r>
      <w:r w:rsidR="00FE3BB4">
        <w:rPr>
          <w:rFonts w:ascii="Arial" w:hAnsi="Arial" w:cs="Arial"/>
          <w:sz w:val="24"/>
          <w:szCs w:val="24"/>
        </w:rPr>
        <w:t xml:space="preserve">e Hutchison (Ed) </w:t>
      </w:r>
      <w:proofErr w:type="gramStart"/>
      <w:r w:rsidR="00FE3BB4">
        <w:rPr>
          <w:rFonts w:ascii="Arial" w:hAnsi="Arial" w:cs="Arial"/>
          <w:sz w:val="24"/>
          <w:szCs w:val="24"/>
        </w:rPr>
        <w:t>et</w:t>
      </w:r>
      <w:proofErr w:type="gramEnd"/>
      <w:r w:rsidR="00FE3BB4">
        <w:rPr>
          <w:rFonts w:ascii="Arial" w:hAnsi="Arial" w:cs="Arial"/>
          <w:sz w:val="24"/>
          <w:szCs w:val="24"/>
        </w:rPr>
        <w:t xml:space="preserve"> Chris-</w:t>
      </w:r>
      <w:r w:rsidR="00964A88">
        <w:rPr>
          <w:rFonts w:ascii="Arial" w:hAnsi="Arial" w:cs="Arial"/>
          <w:sz w:val="24"/>
          <w:szCs w:val="24"/>
        </w:rPr>
        <w:t xml:space="preserve">James Pretorius (Ed) </w:t>
      </w:r>
      <w:r w:rsidR="00964A88" w:rsidRPr="00964A88">
        <w:rPr>
          <w:rFonts w:ascii="Arial" w:hAnsi="Arial" w:cs="Arial"/>
          <w:i/>
          <w:sz w:val="24"/>
          <w:szCs w:val="24"/>
        </w:rPr>
        <w:t xml:space="preserve">The </w:t>
      </w:r>
      <w:r w:rsidR="00B912A3" w:rsidRPr="00964A88">
        <w:rPr>
          <w:rFonts w:ascii="Arial" w:hAnsi="Arial" w:cs="Arial"/>
          <w:i/>
          <w:sz w:val="24"/>
          <w:szCs w:val="24"/>
        </w:rPr>
        <w:t xml:space="preserve">Law </w:t>
      </w:r>
      <w:r w:rsidR="00964A88" w:rsidRPr="00964A88">
        <w:rPr>
          <w:rFonts w:ascii="Arial" w:hAnsi="Arial" w:cs="Arial"/>
          <w:i/>
          <w:sz w:val="24"/>
          <w:szCs w:val="24"/>
        </w:rPr>
        <w:t xml:space="preserve">of </w:t>
      </w:r>
      <w:r w:rsidR="00B912A3" w:rsidRPr="00964A88">
        <w:rPr>
          <w:rFonts w:ascii="Arial" w:hAnsi="Arial" w:cs="Arial"/>
          <w:i/>
          <w:sz w:val="24"/>
          <w:szCs w:val="24"/>
        </w:rPr>
        <w:t xml:space="preserve">Contract </w:t>
      </w:r>
      <w:r w:rsidR="00964A88" w:rsidRPr="00964A88">
        <w:rPr>
          <w:rFonts w:ascii="Arial" w:hAnsi="Arial" w:cs="Arial"/>
          <w:i/>
          <w:sz w:val="24"/>
          <w:szCs w:val="24"/>
        </w:rPr>
        <w:t>in South Africa</w:t>
      </w:r>
      <w:r w:rsidR="00964A88">
        <w:rPr>
          <w:rFonts w:ascii="Arial" w:hAnsi="Arial" w:cs="Arial"/>
          <w:sz w:val="24"/>
          <w:szCs w:val="24"/>
        </w:rPr>
        <w:t xml:space="preserve">, </w:t>
      </w:r>
      <w:proofErr w:type="spellStart"/>
      <w:r w:rsidR="00964A88">
        <w:rPr>
          <w:rFonts w:ascii="Arial" w:hAnsi="Arial" w:cs="Arial"/>
          <w:sz w:val="24"/>
          <w:szCs w:val="24"/>
        </w:rPr>
        <w:t>loc</w:t>
      </w:r>
      <w:proofErr w:type="spellEnd"/>
      <w:r w:rsidR="00964A88">
        <w:rPr>
          <w:rFonts w:ascii="Arial" w:hAnsi="Arial" w:cs="Arial"/>
          <w:sz w:val="24"/>
          <w:szCs w:val="24"/>
        </w:rPr>
        <w:t xml:space="preserve"> </w:t>
      </w:r>
      <w:proofErr w:type="spellStart"/>
      <w:r w:rsidR="00964A88">
        <w:rPr>
          <w:rFonts w:ascii="Arial" w:hAnsi="Arial" w:cs="Arial"/>
          <w:sz w:val="24"/>
          <w:szCs w:val="24"/>
        </w:rPr>
        <w:t>cit</w:t>
      </w:r>
      <w:proofErr w:type="spellEnd"/>
      <w:r w:rsidR="00964A88">
        <w:rPr>
          <w:rFonts w:ascii="Arial" w:hAnsi="Arial" w:cs="Arial"/>
          <w:sz w:val="24"/>
          <w:szCs w:val="24"/>
        </w:rPr>
        <w:t>)</w:t>
      </w:r>
    </w:p>
    <w:p w:rsidR="00E03E8E" w:rsidRDefault="00E03E8E" w:rsidP="00CD7B63">
      <w:pPr>
        <w:spacing w:after="0" w:line="360" w:lineRule="auto"/>
        <w:jc w:val="both"/>
        <w:rPr>
          <w:rFonts w:ascii="Arial" w:hAnsi="Arial" w:cs="Arial"/>
          <w:sz w:val="24"/>
          <w:szCs w:val="24"/>
        </w:rPr>
      </w:pPr>
    </w:p>
    <w:p w:rsidR="00E03E8E" w:rsidRDefault="00326520" w:rsidP="00CD7B63">
      <w:pPr>
        <w:spacing w:after="0" w:line="360" w:lineRule="auto"/>
        <w:jc w:val="both"/>
        <w:rPr>
          <w:rFonts w:ascii="Arial" w:hAnsi="Arial" w:cs="Arial"/>
          <w:sz w:val="24"/>
          <w:szCs w:val="24"/>
        </w:rPr>
      </w:pPr>
      <w:r>
        <w:rPr>
          <w:rFonts w:ascii="Arial" w:hAnsi="Arial" w:cs="Arial"/>
          <w:sz w:val="24"/>
          <w:szCs w:val="24"/>
        </w:rPr>
        <w:t>[8</w:t>
      </w:r>
      <w:r w:rsidR="0005596D">
        <w:rPr>
          <w:rFonts w:ascii="Arial" w:hAnsi="Arial" w:cs="Arial"/>
          <w:sz w:val="24"/>
          <w:szCs w:val="24"/>
        </w:rPr>
        <w:t>]</w:t>
      </w:r>
      <w:r w:rsidR="0005596D">
        <w:rPr>
          <w:rFonts w:ascii="Arial" w:hAnsi="Arial" w:cs="Arial"/>
          <w:sz w:val="24"/>
          <w:szCs w:val="24"/>
        </w:rPr>
        <w:tab/>
      </w:r>
      <w:r w:rsidR="00964A88">
        <w:rPr>
          <w:rFonts w:ascii="Arial" w:hAnsi="Arial" w:cs="Arial"/>
          <w:sz w:val="24"/>
          <w:szCs w:val="24"/>
        </w:rPr>
        <w:t xml:space="preserve">Doubtless, it is trite that the onus of proving the existence of a contract rests on the person who alleges that the contract exists. In that regard, as Mr </w:t>
      </w:r>
      <w:proofErr w:type="spellStart"/>
      <w:r w:rsidR="00964A88">
        <w:rPr>
          <w:rFonts w:ascii="Arial" w:hAnsi="Arial" w:cs="Arial"/>
          <w:sz w:val="24"/>
          <w:szCs w:val="24"/>
        </w:rPr>
        <w:t>Narib</w:t>
      </w:r>
      <w:proofErr w:type="spellEnd"/>
      <w:r w:rsidR="00964A88">
        <w:rPr>
          <w:rFonts w:ascii="Arial" w:hAnsi="Arial" w:cs="Arial"/>
          <w:sz w:val="24"/>
          <w:szCs w:val="24"/>
        </w:rPr>
        <w:t xml:space="preserve"> submitted – correctly – a dispute about the existence of a contract, as is in the instant matter, should not be confused with a dispute about terms of a contract where the </w:t>
      </w:r>
      <w:proofErr w:type="spellStart"/>
      <w:r w:rsidR="00964A88">
        <w:rPr>
          <w:rFonts w:ascii="Arial" w:hAnsi="Arial" w:cs="Arial"/>
          <w:sz w:val="24"/>
          <w:szCs w:val="24"/>
        </w:rPr>
        <w:t>parol</w:t>
      </w:r>
      <w:proofErr w:type="spellEnd"/>
      <w:r w:rsidR="00964A88">
        <w:rPr>
          <w:rFonts w:ascii="Arial" w:hAnsi="Arial" w:cs="Arial"/>
          <w:sz w:val="24"/>
          <w:szCs w:val="24"/>
        </w:rPr>
        <w:t xml:space="preserve"> evidence rule is applicable. Consequently, I find that the submission by Mr Coetzee, counsel for defendant, that plaintiff has not sought rectification of the Deed of </w:t>
      </w:r>
      <w:r w:rsidR="00B912A3">
        <w:rPr>
          <w:rFonts w:ascii="Arial" w:hAnsi="Arial" w:cs="Arial"/>
          <w:sz w:val="24"/>
          <w:szCs w:val="24"/>
        </w:rPr>
        <w:t xml:space="preserve">Sale </w:t>
      </w:r>
      <w:r w:rsidR="00964A88">
        <w:rPr>
          <w:rFonts w:ascii="Arial" w:hAnsi="Arial" w:cs="Arial"/>
          <w:sz w:val="24"/>
          <w:szCs w:val="24"/>
        </w:rPr>
        <w:t>carries no weight. The purpose of rectification is to reform a written document in a specific fashion and the applicant prays the court that some proposed words be inserted at a suitable place in the writing. (</w:t>
      </w:r>
      <w:r w:rsidR="00964A88" w:rsidRPr="00B912A3">
        <w:rPr>
          <w:rFonts w:ascii="Arial" w:hAnsi="Arial" w:cs="Arial"/>
          <w:i/>
          <w:sz w:val="24"/>
          <w:szCs w:val="24"/>
        </w:rPr>
        <w:t xml:space="preserve">Levin v </w:t>
      </w:r>
      <w:proofErr w:type="spellStart"/>
      <w:r w:rsidR="00964A88" w:rsidRPr="00B912A3">
        <w:rPr>
          <w:rFonts w:ascii="Arial" w:hAnsi="Arial" w:cs="Arial"/>
          <w:i/>
          <w:sz w:val="24"/>
          <w:szCs w:val="24"/>
        </w:rPr>
        <w:t>Zoutendijk</w:t>
      </w:r>
      <w:proofErr w:type="spellEnd"/>
      <w:r w:rsidR="00964A88">
        <w:rPr>
          <w:rFonts w:ascii="Arial" w:hAnsi="Arial" w:cs="Arial"/>
          <w:sz w:val="24"/>
          <w:szCs w:val="24"/>
        </w:rPr>
        <w:t xml:space="preserve"> 1979 (3) SA 1145 (W)</w:t>
      </w:r>
      <w:r w:rsidR="00BC1A09">
        <w:rPr>
          <w:rFonts w:ascii="Arial" w:hAnsi="Arial" w:cs="Arial"/>
          <w:sz w:val="24"/>
          <w:szCs w:val="24"/>
        </w:rPr>
        <w:t xml:space="preserve"> at 11478) </w:t>
      </w:r>
      <w:r w:rsidR="00A82DA6">
        <w:rPr>
          <w:rFonts w:ascii="Arial" w:hAnsi="Arial" w:cs="Arial"/>
          <w:sz w:val="24"/>
          <w:szCs w:val="24"/>
        </w:rPr>
        <w:t xml:space="preserve">That </w:t>
      </w:r>
      <w:r w:rsidR="00BC1A09">
        <w:rPr>
          <w:rFonts w:ascii="Arial" w:hAnsi="Arial" w:cs="Arial"/>
          <w:sz w:val="24"/>
          <w:szCs w:val="24"/>
        </w:rPr>
        <w:t>is not what plaintiff pleads in this matter.</w:t>
      </w:r>
    </w:p>
    <w:p w:rsidR="00884CFC" w:rsidRDefault="00884CFC" w:rsidP="00CD7B63">
      <w:pPr>
        <w:spacing w:after="0" w:line="360" w:lineRule="auto"/>
        <w:jc w:val="both"/>
        <w:rPr>
          <w:rFonts w:ascii="Arial" w:hAnsi="Arial" w:cs="Arial"/>
          <w:sz w:val="24"/>
          <w:szCs w:val="24"/>
        </w:rPr>
      </w:pPr>
    </w:p>
    <w:p w:rsidR="00884CFC" w:rsidRDefault="00326520" w:rsidP="00CD7B63">
      <w:pPr>
        <w:spacing w:after="0" w:line="360" w:lineRule="auto"/>
        <w:jc w:val="both"/>
        <w:rPr>
          <w:rFonts w:ascii="Arial" w:hAnsi="Arial" w:cs="Arial"/>
          <w:sz w:val="24"/>
          <w:szCs w:val="24"/>
        </w:rPr>
      </w:pPr>
      <w:r>
        <w:rPr>
          <w:rFonts w:ascii="Arial" w:hAnsi="Arial" w:cs="Arial"/>
          <w:sz w:val="24"/>
          <w:szCs w:val="24"/>
        </w:rPr>
        <w:t>[9</w:t>
      </w:r>
      <w:r w:rsidR="00884CFC">
        <w:rPr>
          <w:rFonts w:ascii="Arial" w:hAnsi="Arial" w:cs="Arial"/>
          <w:sz w:val="24"/>
          <w:szCs w:val="24"/>
        </w:rPr>
        <w:t>]</w:t>
      </w:r>
      <w:r w:rsidR="00884CFC">
        <w:rPr>
          <w:rFonts w:ascii="Arial" w:hAnsi="Arial" w:cs="Arial"/>
          <w:sz w:val="24"/>
          <w:szCs w:val="24"/>
        </w:rPr>
        <w:tab/>
      </w:r>
      <w:r w:rsidR="00CB3E60">
        <w:rPr>
          <w:rFonts w:ascii="Arial" w:hAnsi="Arial" w:cs="Arial"/>
          <w:sz w:val="24"/>
          <w:szCs w:val="24"/>
        </w:rPr>
        <w:t>The onus of proving the existence of a contract is discharged by adducing evidence to prove either consensus or reasonable reliance on the appearance of consensus. Where the dispute, as is in the instant proceeding, is that one pa</w:t>
      </w:r>
      <w:r w:rsidR="005F2CDA">
        <w:rPr>
          <w:rFonts w:ascii="Arial" w:hAnsi="Arial" w:cs="Arial"/>
          <w:sz w:val="24"/>
          <w:szCs w:val="24"/>
        </w:rPr>
        <w:t>rty (X</w:t>
      </w:r>
      <w:r w:rsidR="00CB3E60">
        <w:rPr>
          <w:rFonts w:ascii="Arial" w:hAnsi="Arial" w:cs="Arial"/>
          <w:sz w:val="24"/>
          <w:szCs w:val="24"/>
        </w:rPr>
        <w:t>) re</w:t>
      </w:r>
      <w:r w:rsidR="00B912A3">
        <w:rPr>
          <w:rFonts w:ascii="Arial" w:hAnsi="Arial" w:cs="Arial"/>
          <w:sz w:val="24"/>
          <w:szCs w:val="24"/>
        </w:rPr>
        <w:t>lies on the existence of the con</w:t>
      </w:r>
      <w:r w:rsidR="00CB3E60">
        <w:rPr>
          <w:rFonts w:ascii="Arial" w:hAnsi="Arial" w:cs="Arial"/>
          <w:sz w:val="24"/>
          <w:szCs w:val="24"/>
        </w:rPr>
        <w:t>tract and the other party</w:t>
      </w:r>
      <w:r w:rsidR="005F2CDA">
        <w:rPr>
          <w:rFonts w:ascii="Arial" w:hAnsi="Arial" w:cs="Arial"/>
          <w:sz w:val="24"/>
          <w:szCs w:val="24"/>
        </w:rPr>
        <w:t xml:space="preserve"> (Y</w:t>
      </w:r>
      <w:r w:rsidR="00CB3E60">
        <w:rPr>
          <w:rFonts w:ascii="Arial" w:hAnsi="Arial" w:cs="Arial"/>
          <w:sz w:val="24"/>
          <w:szCs w:val="24"/>
        </w:rPr>
        <w:t xml:space="preserve">) denies the existence of the contract, X should adduce objective evidence of the agreement, in the form of, usually, statements made by Y. </w:t>
      </w:r>
      <w:r w:rsidR="00A82DA6">
        <w:rPr>
          <w:rFonts w:ascii="Arial" w:hAnsi="Arial" w:cs="Arial"/>
          <w:sz w:val="24"/>
          <w:szCs w:val="24"/>
        </w:rPr>
        <w:t xml:space="preserve">Most </w:t>
      </w:r>
      <w:r w:rsidR="00CB3E60">
        <w:rPr>
          <w:rFonts w:ascii="Arial" w:hAnsi="Arial" w:cs="Arial"/>
          <w:sz w:val="24"/>
          <w:szCs w:val="24"/>
        </w:rPr>
        <w:t>invariably, X places before the cour</w:t>
      </w:r>
      <w:r w:rsidR="005F2CDA">
        <w:rPr>
          <w:rFonts w:ascii="Arial" w:hAnsi="Arial" w:cs="Arial"/>
          <w:sz w:val="24"/>
          <w:szCs w:val="24"/>
        </w:rPr>
        <w:t>t</w:t>
      </w:r>
      <w:r w:rsidR="00CB3E60">
        <w:rPr>
          <w:rFonts w:ascii="Arial" w:hAnsi="Arial" w:cs="Arial"/>
          <w:sz w:val="24"/>
          <w:szCs w:val="24"/>
        </w:rPr>
        <w:t xml:space="preserve"> as evidence a document signed by both parties.</w:t>
      </w:r>
    </w:p>
    <w:p w:rsidR="00DF4665" w:rsidRDefault="00DF4665" w:rsidP="00CD7B63">
      <w:pPr>
        <w:spacing w:after="0" w:line="360" w:lineRule="auto"/>
        <w:jc w:val="both"/>
        <w:rPr>
          <w:rFonts w:ascii="Arial" w:hAnsi="Arial" w:cs="Arial"/>
          <w:sz w:val="24"/>
          <w:szCs w:val="24"/>
        </w:rPr>
      </w:pPr>
    </w:p>
    <w:p w:rsidR="00DF4665" w:rsidRDefault="00326520" w:rsidP="00CD7B63">
      <w:pPr>
        <w:spacing w:after="0" w:line="360" w:lineRule="auto"/>
        <w:jc w:val="both"/>
        <w:rPr>
          <w:rFonts w:ascii="Arial" w:hAnsi="Arial" w:cs="Arial"/>
          <w:sz w:val="24"/>
          <w:szCs w:val="24"/>
        </w:rPr>
      </w:pPr>
      <w:r>
        <w:rPr>
          <w:rFonts w:ascii="Arial" w:hAnsi="Arial" w:cs="Arial"/>
          <w:sz w:val="24"/>
          <w:szCs w:val="24"/>
        </w:rPr>
        <w:t>[10</w:t>
      </w:r>
      <w:r w:rsidR="00DF4665">
        <w:rPr>
          <w:rFonts w:ascii="Arial" w:hAnsi="Arial" w:cs="Arial"/>
          <w:sz w:val="24"/>
          <w:szCs w:val="24"/>
        </w:rPr>
        <w:t>]</w:t>
      </w:r>
      <w:r w:rsidR="00DF4665">
        <w:rPr>
          <w:rFonts w:ascii="Arial" w:hAnsi="Arial" w:cs="Arial"/>
          <w:sz w:val="24"/>
          <w:szCs w:val="24"/>
        </w:rPr>
        <w:tab/>
      </w:r>
      <w:r w:rsidR="005F2CDA">
        <w:rPr>
          <w:rFonts w:ascii="Arial" w:hAnsi="Arial" w:cs="Arial"/>
          <w:sz w:val="24"/>
          <w:szCs w:val="24"/>
        </w:rPr>
        <w:t>Indeed, in our rule of practice, if the contract relied on is a written contract, X must, in terms of r 46(7</w:t>
      </w:r>
      <w:r w:rsidR="00A82DA6">
        <w:rPr>
          <w:rFonts w:ascii="Arial" w:hAnsi="Arial" w:cs="Arial"/>
          <w:sz w:val="24"/>
          <w:szCs w:val="24"/>
        </w:rPr>
        <w:t>) of the rules of court, annex</w:t>
      </w:r>
      <w:r w:rsidR="005F2CDA">
        <w:rPr>
          <w:rFonts w:ascii="Arial" w:hAnsi="Arial" w:cs="Arial"/>
          <w:sz w:val="24"/>
          <w:szCs w:val="24"/>
        </w:rPr>
        <w:t xml:space="preserve"> the written contract to the pleadings. In that regard, Y’s signature operates as prima facie proof of the existence</w:t>
      </w:r>
      <w:r w:rsidR="00A82DA6">
        <w:rPr>
          <w:rFonts w:ascii="Arial" w:hAnsi="Arial" w:cs="Arial"/>
          <w:sz w:val="24"/>
          <w:szCs w:val="24"/>
        </w:rPr>
        <w:t xml:space="preserve"> of the contract.</w:t>
      </w:r>
      <w:r w:rsidR="005F2CDA">
        <w:rPr>
          <w:rFonts w:ascii="Arial" w:hAnsi="Arial" w:cs="Arial"/>
          <w:sz w:val="24"/>
          <w:szCs w:val="24"/>
        </w:rPr>
        <w:t xml:space="preserve"> </w:t>
      </w:r>
      <w:r w:rsidR="00A82DA6">
        <w:rPr>
          <w:rFonts w:ascii="Arial" w:hAnsi="Arial" w:cs="Arial"/>
          <w:sz w:val="24"/>
          <w:szCs w:val="24"/>
        </w:rPr>
        <w:t xml:space="preserve">The </w:t>
      </w:r>
      <w:r w:rsidR="005F2CDA">
        <w:rPr>
          <w:rFonts w:ascii="Arial" w:hAnsi="Arial" w:cs="Arial"/>
          <w:sz w:val="24"/>
          <w:szCs w:val="24"/>
        </w:rPr>
        <w:t>evidentiary burden shifts to Y, for Y to show that, despite the objective appearance of agreement, no consensus was reached. (S</w:t>
      </w:r>
      <w:r w:rsidR="00A82DA6">
        <w:rPr>
          <w:rFonts w:ascii="Arial" w:hAnsi="Arial" w:cs="Arial"/>
          <w:sz w:val="24"/>
          <w:szCs w:val="24"/>
        </w:rPr>
        <w:t xml:space="preserve">ee Dale Hutchison </w:t>
      </w:r>
      <w:r w:rsidR="00A82DA6">
        <w:rPr>
          <w:rFonts w:ascii="Arial" w:hAnsi="Arial" w:cs="Arial"/>
          <w:sz w:val="24"/>
          <w:szCs w:val="24"/>
        </w:rPr>
        <w:lastRenderedPageBreak/>
        <w:t>(Ed) et Chris</w:t>
      </w:r>
      <w:r w:rsidR="00FE3BB4">
        <w:rPr>
          <w:rFonts w:ascii="Arial" w:hAnsi="Arial" w:cs="Arial"/>
          <w:sz w:val="24"/>
          <w:szCs w:val="24"/>
        </w:rPr>
        <w:t>-</w:t>
      </w:r>
      <w:r w:rsidR="005F2CDA">
        <w:rPr>
          <w:rFonts w:ascii="Arial" w:hAnsi="Arial" w:cs="Arial"/>
          <w:sz w:val="24"/>
          <w:szCs w:val="24"/>
        </w:rPr>
        <w:t xml:space="preserve">James Pretorius (Ed) </w:t>
      </w:r>
      <w:r w:rsidR="005F2CDA" w:rsidRPr="005F2CDA">
        <w:rPr>
          <w:rFonts w:ascii="Arial" w:hAnsi="Arial" w:cs="Arial"/>
          <w:i/>
          <w:sz w:val="24"/>
          <w:szCs w:val="24"/>
        </w:rPr>
        <w:t>Law of Contract in South Africa</w:t>
      </w:r>
      <w:r w:rsidR="005F2CDA">
        <w:rPr>
          <w:rFonts w:ascii="Arial" w:hAnsi="Arial" w:cs="Arial"/>
          <w:sz w:val="24"/>
          <w:szCs w:val="24"/>
        </w:rPr>
        <w:t xml:space="preserve">, ibid at 20; and RH Christie, </w:t>
      </w:r>
      <w:r w:rsidR="005F2CDA" w:rsidRPr="005F2CDA">
        <w:rPr>
          <w:rFonts w:ascii="Arial" w:hAnsi="Arial" w:cs="Arial"/>
          <w:i/>
          <w:sz w:val="24"/>
          <w:szCs w:val="24"/>
        </w:rPr>
        <w:t>The Law of Contract in South Africa</w:t>
      </w:r>
      <w:r w:rsidR="005F2CDA">
        <w:rPr>
          <w:rFonts w:ascii="Arial" w:hAnsi="Arial" w:cs="Arial"/>
          <w:sz w:val="24"/>
          <w:szCs w:val="24"/>
        </w:rPr>
        <w:t>, 3</w:t>
      </w:r>
      <w:r w:rsidR="005F2CDA" w:rsidRPr="005F2CDA">
        <w:rPr>
          <w:rFonts w:ascii="Arial" w:hAnsi="Arial" w:cs="Arial"/>
          <w:sz w:val="24"/>
          <w:szCs w:val="24"/>
          <w:vertAlign w:val="superscript"/>
        </w:rPr>
        <w:t>rd</w:t>
      </w:r>
      <w:r w:rsidR="005F2CDA">
        <w:rPr>
          <w:rFonts w:ascii="Arial" w:hAnsi="Arial" w:cs="Arial"/>
          <w:sz w:val="24"/>
          <w:szCs w:val="24"/>
        </w:rPr>
        <w:t xml:space="preserve"> </w:t>
      </w:r>
      <w:proofErr w:type="spellStart"/>
      <w:r w:rsidR="005F2CDA">
        <w:rPr>
          <w:rFonts w:ascii="Arial" w:hAnsi="Arial" w:cs="Arial"/>
          <w:sz w:val="24"/>
          <w:szCs w:val="24"/>
        </w:rPr>
        <w:t>ed</w:t>
      </w:r>
      <w:proofErr w:type="spellEnd"/>
      <w:r w:rsidR="005F2CDA">
        <w:rPr>
          <w:rFonts w:ascii="Arial" w:hAnsi="Arial" w:cs="Arial"/>
          <w:sz w:val="24"/>
          <w:szCs w:val="24"/>
        </w:rPr>
        <w:t xml:space="preserve"> (1996) at</w:t>
      </w:r>
      <w:r w:rsidR="00A74580">
        <w:rPr>
          <w:rFonts w:ascii="Arial" w:hAnsi="Arial" w:cs="Arial"/>
          <w:sz w:val="24"/>
          <w:szCs w:val="24"/>
        </w:rPr>
        <w:t xml:space="preserve"> 383, and the cases there cited.</w:t>
      </w:r>
      <w:r w:rsidR="005F2CDA">
        <w:rPr>
          <w:rFonts w:ascii="Arial" w:hAnsi="Arial" w:cs="Arial"/>
          <w:sz w:val="24"/>
          <w:szCs w:val="24"/>
        </w:rPr>
        <w:t>)</w:t>
      </w:r>
      <w:r w:rsidR="00D32E58">
        <w:rPr>
          <w:rFonts w:ascii="Arial" w:hAnsi="Arial" w:cs="Arial"/>
          <w:i/>
          <w:sz w:val="24"/>
          <w:szCs w:val="24"/>
        </w:rPr>
        <w:t xml:space="preserve"> </w:t>
      </w:r>
    </w:p>
    <w:p w:rsidR="003B4107" w:rsidRDefault="003B4107" w:rsidP="00CD7B63">
      <w:pPr>
        <w:spacing w:after="0" w:line="360" w:lineRule="auto"/>
        <w:jc w:val="both"/>
        <w:rPr>
          <w:rFonts w:ascii="Arial" w:hAnsi="Arial" w:cs="Arial"/>
          <w:sz w:val="24"/>
          <w:szCs w:val="24"/>
        </w:rPr>
      </w:pPr>
    </w:p>
    <w:p w:rsidR="003B4107" w:rsidRDefault="00326520" w:rsidP="00CD7B63">
      <w:pPr>
        <w:spacing w:after="0" w:line="360" w:lineRule="auto"/>
        <w:jc w:val="both"/>
        <w:rPr>
          <w:rFonts w:ascii="Arial" w:hAnsi="Arial" w:cs="Arial"/>
          <w:sz w:val="24"/>
          <w:szCs w:val="24"/>
        </w:rPr>
      </w:pPr>
      <w:r>
        <w:rPr>
          <w:rFonts w:ascii="Arial" w:hAnsi="Arial" w:cs="Arial"/>
          <w:sz w:val="24"/>
          <w:szCs w:val="24"/>
        </w:rPr>
        <w:t>[11</w:t>
      </w:r>
      <w:r w:rsidR="003B4107">
        <w:rPr>
          <w:rFonts w:ascii="Arial" w:hAnsi="Arial" w:cs="Arial"/>
          <w:sz w:val="24"/>
          <w:szCs w:val="24"/>
        </w:rPr>
        <w:t>]</w:t>
      </w:r>
      <w:r w:rsidR="003B4107">
        <w:rPr>
          <w:rFonts w:ascii="Arial" w:hAnsi="Arial" w:cs="Arial"/>
          <w:sz w:val="24"/>
          <w:szCs w:val="24"/>
        </w:rPr>
        <w:tab/>
      </w:r>
      <w:r w:rsidR="00A74580">
        <w:rPr>
          <w:rFonts w:ascii="Arial" w:hAnsi="Arial" w:cs="Arial"/>
          <w:sz w:val="24"/>
          <w:szCs w:val="24"/>
        </w:rPr>
        <w:t>It is important to note that these basic principles of contract on the onus of proving the existence of a contract and the manner of discharging the on</w:t>
      </w:r>
      <w:r w:rsidR="00A82DA6">
        <w:rPr>
          <w:rFonts w:ascii="Arial" w:hAnsi="Arial" w:cs="Arial"/>
          <w:sz w:val="24"/>
          <w:szCs w:val="24"/>
        </w:rPr>
        <w:t>u</w:t>
      </w:r>
      <w:r w:rsidR="00A74580">
        <w:rPr>
          <w:rFonts w:ascii="Arial" w:hAnsi="Arial" w:cs="Arial"/>
          <w:sz w:val="24"/>
          <w:szCs w:val="24"/>
        </w:rPr>
        <w:t>s apply to all contracts. It is immaterial that the subject of a contract is an immovable property, a</w:t>
      </w:r>
      <w:r w:rsidR="00A82DA6">
        <w:rPr>
          <w:rFonts w:ascii="Arial" w:hAnsi="Arial" w:cs="Arial"/>
          <w:sz w:val="24"/>
          <w:szCs w:val="24"/>
        </w:rPr>
        <w:t xml:space="preserve">s is in the present proceedings, as Mr </w:t>
      </w:r>
      <w:proofErr w:type="spellStart"/>
      <w:r w:rsidR="00A82DA6">
        <w:rPr>
          <w:rFonts w:ascii="Arial" w:hAnsi="Arial" w:cs="Arial"/>
          <w:sz w:val="24"/>
          <w:szCs w:val="24"/>
        </w:rPr>
        <w:t>Narib</w:t>
      </w:r>
      <w:proofErr w:type="spellEnd"/>
      <w:r w:rsidR="00A82DA6">
        <w:rPr>
          <w:rFonts w:ascii="Arial" w:hAnsi="Arial" w:cs="Arial"/>
          <w:sz w:val="24"/>
          <w:szCs w:val="24"/>
        </w:rPr>
        <w:t xml:space="preserve"> submitted</w:t>
      </w:r>
      <w:r w:rsidR="00FE3BB4">
        <w:rPr>
          <w:rFonts w:ascii="Arial" w:hAnsi="Arial" w:cs="Arial"/>
          <w:sz w:val="24"/>
          <w:szCs w:val="24"/>
        </w:rPr>
        <w:t>. They apply to the ‘so-called “</w:t>
      </w:r>
      <w:r w:rsidR="00A82DA6">
        <w:rPr>
          <w:rFonts w:ascii="Arial" w:hAnsi="Arial" w:cs="Arial"/>
          <w:sz w:val="24"/>
          <w:szCs w:val="24"/>
        </w:rPr>
        <w:t xml:space="preserve">real agreements” which involve the transfer of immovable property’ (see </w:t>
      </w:r>
      <w:proofErr w:type="spellStart"/>
      <w:r w:rsidR="00A82DA6" w:rsidRPr="00A82DA6">
        <w:rPr>
          <w:rFonts w:ascii="Arial" w:hAnsi="Arial" w:cs="Arial"/>
          <w:i/>
          <w:sz w:val="24"/>
          <w:szCs w:val="24"/>
        </w:rPr>
        <w:t>Lema</w:t>
      </w:r>
      <w:proofErr w:type="spellEnd"/>
      <w:r w:rsidR="00A82DA6" w:rsidRPr="00A82DA6">
        <w:rPr>
          <w:rFonts w:ascii="Arial" w:hAnsi="Arial" w:cs="Arial"/>
          <w:i/>
          <w:sz w:val="24"/>
          <w:szCs w:val="24"/>
        </w:rPr>
        <w:t xml:space="preserve"> Enterprises CC v </w:t>
      </w:r>
      <w:proofErr w:type="spellStart"/>
      <w:r w:rsidR="00A82DA6" w:rsidRPr="00A82DA6">
        <w:rPr>
          <w:rFonts w:ascii="Arial" w:hAnsi="Arial" w:cs="Arial"/>
          <w:i/>
          <w:sz w:val="24"/>
          <w:szCs w:val="24"/>
        </w:rPr>
        <w:t>Orban</w:t>
      </w:r>
      <w:proofErr w:type="spellEnd"/>
      <w:r w:rsidR="00A82DA6" w:rsidRPr="00A82DA6">
        <w:rPr>
          <w:rFonts w:ascii="Arial" w:hAnsi="Arial" w:cs="Arial"/>
          <w:i/>
          <w:sz w:val="24"/>
          <w:szCs w:val="24"/>
        </w:rPr>
        <w:t xml:space="preserve"> Investments Three Seven Five (Pty</w:t>
      </w:r>
      <w:proofErr w:type="gramStart"/>
      <w:r w:rsidR="00A82DA6" w:rsidRPr="00A82DA6">
        <w:rPr>
          <w:rFonts w:ascii="Arial" w:hAnsi="Arial" w:cs="Arial"/>
          <w:i/>
          <w:sz w:val="24"/>
          <w:szCs w:val="24"/>
        </w:rPr>
        <w:t>)Ltd</w:t>
      </w:r>
      <w:proofErr w:type="gramEnd"/>
      <w:r w:rsidR="00A82DA6">
        <w:rPr>
          <w:rFonts w:ascii="Arial" w:hAnsi="Arial" w:cs="Arial"/>
          <w:sz w:val="24"/>
          <w:szCs w:val="24"/>
        </w:rPr>
        <w:t xml:space="preserve"> (I 1085/2012) [2014] NAHCMD </w:t>
      </w:r>
      <w:r w:rsidR="00FE3BB4">
        <w:rPr>
          <w:rFonts w:ascii="Arial" w:hAnsi="Arial" w:cs="Arial"/>
          <w:sz w:val="24"/>
          <w:szCs w:val="24"/>
        </w:rPr>
        <w:t>324 (19 September 2014) para 31</w:t>
      </w:r>
      <w:r w:rsidR="00A82DA6">
        <w:rPr>
          <w:rFonts w:ascii="Arial" w:hAnsi="Arial" w:cs="Arial"/>
          <w:sz w:val="24"/>
          <w:szCs w:val="24"/>
        </w:rPr>
        <w:t>)</w:t>
      </w:r>
      <w:r w:rsidR="00FE3BB4">
        <w:rPr>
          <w:rFonts w:ascii="Arial" w:hAnsi="Arial" w:cs="Arial"/>
          <w:sz w:val="24"/>
          <w:szCs w:val="24"/>
        </w:rPr>
        <w:t>.</w:t>
      </w:r>
      <w:r w:rsidR="00A82DA6">
        <w:rPr>
          <w:rFonts w:ascii="Arial" w:hAnsi="Arial" w:cs="Arial"/>
          <w:sz w:val="24"/>
          <w:szCs w:val="24"/>
        </w:rPr>
        <w:t xml:space="preserve"> </w:t>
      </w:r>
    </w:p>
    <w:p w:rsidR="003B4107" w:rsidRDefault="003B4107" w:rsidP="00CD7B63">
      <w:pPr>
        <w:spacing w:after="0" w:line="360" w:lineRule="auto"/>
        <w:jc w:val="both"/>
        <w:rPr>
          <w:rFonts w:ascii="Arial" w:hAnsi="Arial" w:cs="Arial"/>
          <w:sz w:val="24"/>
          <w:szCs w:val="24"/>
        </w:rPr>
      </w:pPr>
    </w:p>
    <w:p w:rsidR="003B4107" w:rsidRDefault="00326520" w:rsidP="00CD7B63">
      <w:pPr>
        <w:spacing w:after="0" w:line="360" w:lineRule="auto"/>
        <w:jc w:val="both"/>
        <w:rPr>
          <w:rFonts w:ascii="Arial" w:hAnsi="Arial" w:cs="Arial"/>
          <w:sz w:val="24"/>
          <w:szCs w:val="24"/>
        </w:rPr>
      </w:pPr>
      <w:r>
        <w:rPr>
          <w:rFonts w:ascii="Arial" w:hAnsi="Arial" w:cs="Arial"/>
          <w:sz w:val="24"/>
          <w:szCs w:val="24"/>
        </w:rPr>
        <w:t>[12</w:t>
      </w:r>
      <w:r w:rsidR="003B4107">
        <w:rPr>
          <w:rFonts w:ascii="Arial" w:hAnsi="Arial" w:cs="Arial"/>
          <w:sz w:val="24"/>
          <w:szCs w:val="24"/>
        </w:rPr>
        <w:t>]</w:t>
      </w:r>
      <w:r w:rsidR="003B4107">
        <w:rPr>
          <w:rFonts w:ascii="Arial" w:hAnsi="Arial" w:cs="Arial"/>
          <w:sz w:val="24"/>
          <w:szCs w:val="24"/>
        </w:rPr>
        <w:tab/>
      </w:r>
      <w:r w:rsidR="00A74580">
        <w:rPr>
          <w:rFonts w:ascii="Arial" w:hAnsi="Arial" w:cs="Arial"/>
          <w:sz w:val="24"/>
          <w:szCs w:val="24"/>
        </w:rPr>
        <w:t>In the instant proceedings, it should be understood that plaintiff is Y and defendant is X in our symbolic representa</w:t>
      </w:r>
      <w:r w:rsidR="0096605B">
        <w:rPr>
          <w:rFonts w:ascii="Arial" w:hAnsi="Arial" w:cs="Arial"/>
          <w:sz w:val="24"/>
          <w:szCs w:val="24"/>
        </w:rPr>
        <w:t>tion in paras 9 and 10 above.</w:t>
      </w:r>
    </w:p>
    <w:p w:rsidR="003B4107" w:rsidRDefault="003B4107" w:rsidP="00CD7B63">
      <w:pPr>
        <w:spacing w:after="0" w:line="360" w:lineRule="auto"/>
        <w:jc w:val="both"/>
        <w:rPr>
          <w:rFonts w:ascii="Arial" w:hAnsi="Arial" w:cs="Arial"/>
          <w:sz w:val="24"/>
          <w:szCs w:val="24"/>
        </w:rPr>
      </w:pPr>
    </w:p>
    <w:p w:rsidR="003B4107" w:rsidRDefault="00326520" w:rsidP="00CD7B63">
      <w:pPr>
        <w:spacing w:after="0" w:line="360" w:lineRule="auto"/>
        <w:jc w:val="both"/>
        <w:rPr>
          <w:rFonts w:ascii="Arial" w:hAnsi="Arial" w:cs="Arial"/>
          <w:sz w:val="24"/>
          <w:szCs w:val="24"/>
        </w:rPr>
      </w:pPr>
      <w:r>
        <w:rPr>
          <w:rFonts w:ascii="Arial" w:hAnsi="Arial" w:cs="Arial"/>
          <w:sz w:val="24"/>
          <w:szCs w:val="24"/>
        </w:rPr>
        <w:t>[13</w:t>
      </w:r>
      <w:r w:rsidR="00E5439D">
        <w:rPr>
          <w:rFonts w:ascii="Arial" w:hAnsi="Arial" w:cs="Arial"/>
          <w:sz w:val="24"/>
          <w:szCs w:val="24"/>
        </w:rPr>
        <w:t>]</w:t>
      </w:r>
      <w:r w:rsidR="00E5439D">
        <w:rPr>
          <w:rFonts w:ascii="Arial" w:hAnsi="Arial" w:cs="Arial"/>
          <w:sz w:val="24"/>
          <w:szCs w:val="24"/>
        </w:rPr>
        <w:tab/>
      </w:r>
      <w:r w:rsidR="006E64EA">
        <w:rPr>
          <w:rFonts w:ascii="Arial" w:hAnsi="Arial" w:cs="Arial"/>
          <w:sz w:val="24"/>
          <w:szCs w:val="24"/>
        </w:rPr>
        <w:t xml:space="preserve">I now </w:t>
      </w:r>
      <w:r w:rsidR="0096605B">
        <w:rPr>
          <w:rFonts w:ascii="Arial" w:hAnsi="Arial" w:cs="Arial"/>
          <w:sz w:val="24"/>
          <w:szCs w:val="24"/>
        </w:rPr>
        <w:t>apply the</w:t>
      </w:r>
      <w:r w:rsidR="00FE3BB4">
        <w:rPr>
          <w:rFonts w:ascii="Arial" w:hAnsi="Arial" w:cs="Arial"/>
          <w:sz w:val="24"/>
          <w:szCs w:val="24"/>
        </w:rPr>
        <w:t xml:space="preserve"> enquiry in paras 5-</w:t>
      </w:r>
      <w:r w:rsidR="006E64EA">
        <w:rPr>
          <w:rFonts w:ascii="Arial" w:hAnsi="Arial" w:cs="Arial"/>
          <w:sz w:val="24"/>
          <w:szCs w:val="24"/>
        </w:rPr>
        <w:t>10 to the symbolic representation in order to apportion the burden of each one, that is, plaintiff (Y) and defendant (X</w:t>
      </w:r>
      <w:r w:rsidR="00FE3BB4">
        <w:rPr>
          <w:rFonts w:ascii="Arial" w:hAnsi="Arial" w:cs="Arial"/>
          <w:sz w:val="24"/>
          <w:szCs w:val="24"/>
        </w:rPr>
        <w:t>).  What follows is</w:t>
      </w:r>
      <w:r w:rsidR="006E64EA">
        <w:rPr>
          <w:rFonts w:ascii="Arial" w:hAnsi="Arial" w:cs="Arial"/>
          <w:sz w:val="24"/>
          <w:szCs w:val="24"/>
        </w:rPr>
        <w:t xml:space="preserve">, accordingly, this. Defendant </w:t>
      </w:r>
      <w:r w:rsidR="00A82DA6">
        <w:rPr>
          <w:rFonts w:ascii="Arial" w:hAnsi="Arial" w:cs="Arial"/>
          <w:sz w:val="24"/>
          <w:szCs w:val="24"/>
        </w:rPr>
        <w:t xml:space="preserve">(X) </w:t>
      </w:r>
      <w:r w:rsidR="006E64EA">
        <w:rPr>
          <w:rFonts w:ascii="Arial" w:hAnsi="Arial" w:cs="Arial"/>
          <w:sz w:val="24"/>
          <w:szCs w:val="24"/>
        </w:rPr>
        <w:t>relies on the existence of the Deed of Sale, and defendant has placed before the court the Deed of Sale which has been signed by the parties as objective evidence of the agreement. The signature of plaintiff operates as prima facie proof of the existence of the contract. Accordingly, the evidentiary burden shifts to plaintiff (Y) to show that, despite the objective appearance of agreement, no consensus was reached. Thus, the next level of the enquiry should, therefore, be a consideration of whether pla</w:t>
      </w:r>
      <w:r w:rsidR="0027219D">
        <w:rPr>
          <w:rFonts w:ascii="Arial" w:hAnsi="Arial" w:cs="Arial"/>
          <w:sz w:val="24"/>
          <w:szCs w:val="24"/>
        </w:rPr>
        <w:t>in</w:t>
      </w:r>
      <w:r w:rsidR="006E64EA">
        <w:rPr>
          <w:rFonts w:ascii="Arial" w:hAnsi="Arial" w:cs="Arial"/>
          <w:sz w:val="24"/>
          <w:szCs w:val="24"/>
        </w:rPr>
        <w:t>tiff has discharge</w:t>
      </w:r>
      <w:r w:rsidR="00906462">
        <w:rPr>
          <w:rFonts w:ascii="Arial" w:hAnsi="Arial" w:cs="Arial"/>
          <w:sz w:val="24"/>
          <w:szCs w:val="24"/>
        </w:rPr>
        <w:t>d</w:t>
      </w:r>
      <w:r w:rsidR="006E64EA">
        <w:rPr>
          <w:rFonts w:ascii="Arial" w:hAnsi="Arial" w:cs="Arial"/>
          <w:sz w:val="24"/>
          <w:szCs w:val="24"/>
        </w:rPr>
        <w:t xml:space="preserve"> the onus cast on him. (See para</w:t>
      </w:r>
      <w:r w:rsidR="00A51299">
        <w:rPr>
          <w:rFonts w:ascii="Arial" w:hAnsi="Arial" w:cs="Arial"/>
          <w:sz w:val="24"/>
          <w:szCs w:val="24"/>
        </w:rPr>
        <w:t>s 7-</w:t>
      </w:r>
      <w:r w:rsidR="006E64EA">
        <w:rPr>
          <w:rFonts w:ascii="Arial" w:hAnsi="Arial" w:cs="Arial"/>
          <w:sz w:val="24"/>
          <w:szCs w:val="24"/>
        </w:rPr>
        <w:t>10 above; and the auth</w:t>
      </w:r>
      <w:r w:rsidR="0027219D">
        <w:rPr>
          <w:rFonts w:ascii="Arial" w:hAnsi="Arial" w:cs="Arial"/>
          <w:sz w:val="24"/>
          <w:szCs w:val="24"/>
        </w:rPr>
        <w:t>orities there cited). Has plain</w:t>
      </w:r>
      <w:r w:rsidR="006E64EA">
        <w:rPr>
          <w:rFonts w:ascii="Arial" w:hAnsi="Arial" w:cs="Arial"/>
          <w:sz w:val="24"/>
          <w:szCs w:val="24"/>
        </w:rPr>
        <w:t>tiff discharged the onus of establishing that no consensus was reached</w:t>
      </w:r>
      <w:r w:rsidR="00FE3BB4">
        <w:rPr>
          <w:rFonts w:ascii="Arial" w:hAnsi="Arial" w:cs="Arial"/>
          <w:sz w:val="24"/>
          <w:szCs w:val="24"/>
        </w:rPr>
        <w:t xml:space="preserve"> as regards a sale of the property</w:t>
      </w:r>
      <w:r w:rsidR="001C019B">
        <w:rPr>
          <w:rFonts w:ascii="Arial" w:hAnsi="Arial" w:cs="Arial"/>
          <w:sz w:val="24"/>
          <w:szCs w:val="24"/>
        </w:rPr>
        <w:t>?</w:t>
      </w:r>
    </w:p>
    <w:p w:rsidR="00431E0B" w:rsidRDefault="00431E0B" w:rsidP="00CD7B63">
      <w:pPr>
        <w:spacing w:after="0" w:line="360" w:lineRule="auto"/>
        <w:jc w:val="both"/>
        <w:rPr>
          <w:rFonts w:ascii="Arial" w:hAnsi="Arial" w:cs="Arial"/>
          <w:sz w:val="24"/>
          <w:szCs w:val="24"/>
        </w:rPr>
      </w:pPr>
    </w:p>
    <w:p w:rsidR="00E5439D" w:rsidRDefault="00326520" w:rsidP="00CD7B63">
      <w:pPr>
        <w:spacing w:after="0" w:line="360" w:lineRule="auto"/>
        <w:jc w:val="both"/>
        <w:rPr>
          <w:rFonts w:ascii="Arial" w:hAnsi="Arial" w:cs="Arial"/>
          <w:sz w:val="24"/>
          <w:szCs w:val="24"/>
        </w:rPr>
      </w:pPr>
      <w:r>
        <w:rPr>
          <w:rFonts w:ascii="Arial" w:hAnsi="Arial" w:cs="Arial"/>
          <w:sz w:val="24"/>
          <w:szCs w:val="24"/>
        </w:rPr>
        <w:t>[1</w:t>
      </w:r>
      <w:r w:rsidR="00341B82">
        <w:rPr>
          <w:rFonts w:ascii="Arial" w:hAnsi="Arial" w:cs="Arial"/>
          <w:sz w:val="24"/>
          <w:szCs w:val="24"/>
        </w:rPr>
        <w:t>4</w:t>
      </w:r>
      <w:r w:rsidR="00E5439D">
        <w:rPr>
          <w:rFonts w:ascii="Arial" w:hAnsi="Arial" w:cs="Arial"/>
          <w:sz w:val="24"/>
          <w:szCs w:val="24"/>
        </w:rPr>
        <w:t>]</w:t>
      </w:r>
      <w:r w:rsidR="00E5439D">
        <w:rPr>
          <w:rFonts w:ascii="Arial" w:hAnsi="Arial" w:cs="Arial"/>
          <w:sz w:val="24"/>
          <w:szCs w:val="24"/>
        </w:rPr>
        <w:tab/>
      </w:r>
      <w:r w:rsidR="001C019B">
        <w:rPr>
          <w:rFonts w:ascii="Arial" w:hAnsi="Arial" w:cs="Arial"/>
          <w:sz w:val="24"/>
          <w:szCs w:val="24"/>
        </w:rPr>
        <w:t xml:space="preserve">As a general rule, the parties to a contract express themselves in terms to embody the agreement at which they have arrived. The parties intend the contract to be exactly what it purports; and the shape which the contract assumes, </w:t>
      </w:r>
      <w:proofErr w:type="spellStart"/>
      <w:r w:rsidR="001C019B">
        <w:rPr>
          <w:rFonts w:ascii="Arial" w:hAnsi="Arial" w:cs="Arial"/>
          <w:sz w:val="24"/>
          <w:szCs w:val="24"/>
        </w:rPr>
        <w:t>ie</w:t>
      </w:r>
      <w:proofErr w:type="spellEnd"/>
      <w:r w:rsidR="001C019B">
        <w:rPr>
          <w:rFonts w:ascii="Arial" w:hAnsi="Arial" w:cs="Arial"/>
          <w:sz w:val="24"/>
          <w:szCs w:val="24"/>
        </w:rPr>
        <w:t xml:space="preserve"> the tenor of the contract, is what they meant the contract to have. But the tenor of the contract simpliciter may not always be the end of the matter. In that regard, Innes J stated in </w:t>
      </w:r>
      <w:proofErr w:type="spellStart"/>
      <w:r w:rsidR="001C019B" w:rsidRPr="001C019B">
        <w:rPr>
          <w:rFonts w:ascii="Arial" w:hAnsi="Arial" w:cs="Arial"/>
          <w:i/>
          <w:sz w:val="24"/>
          <w:szCs w:val="24"/>
        </w:rPr>
        <w:t>Zandberg</w:t>
      </w:r>
      <w:proofErr w:type="spellEnd"/>
      <w:r w:rsidR="001C019B" w:rsidRPr="001C019B">
        <w:rPr>
          <w:rFonts w:ascii="Arial" w:hAnsi="Arial" w:cs="Arial"/>
          <w:i/>
          <w:sz w:val="24"/>
          <w:szCs w:val="24"/>
        </w:rPr>
        <w:t xml:space="preserve"> v Van </w:t>
      </w:r>
      <w:proofErr w:type="spellStart"/>
      <w:r w:rsidR="001C019B" w:rsidRPr="001C019B">
        <w:rPr>
          <w:rFonts w:ascii="Arial" w:hAnsi="Arial" w:cs="Arial"/>
          <w:i/>
          <w:sz w:val="24"/>
          <w:szCs w:val="24"/>
        </w:rPr>
        <w:t>Zyl</w:t>
      </w:r>
      <w:proofErr w:type="spellEnd"/>
      <w:r w:rsidR="001C019B">
        <w:rPr>
          <w:rFonts w:ascii="Arial" w:hAnsi="Arial" w:cs="Arial"/>
          <w:sz w:val="24"/>
          <w:szCs w:val="24"/>
        </w:rPr>
        <w:t xml:space="preserve"> 1910 AD 302 at 309:</w:t>
      </w:r>
    </w:p>
    <w:p w:rsidR="001C019B" w:rsidRDefault="001C019B" w:rsidP="00CD7B63">
      <w:pPr>
        <w:spacing w:after="0" w:line="360" w:lineRule="auto"/>
        <w:jc w:val="both"/>
        <w:rPr>
          <w:rFonts w:ascii="Arial" w:hAnsi="Arial" w:cs="Arial"/>
          <w:sz w:val="24"/>
          <w:szCs w:val="24"/>
        </w:rPr>
      </w:pPr>
    </w:p>
    <w:p w:rsidR="001C019B" w:rsidRPr="001C019B" w:rsidRDefault="001C019B" w:rsidP="00CD7B63">
      <w:pPr>
        <w:spacing w:after="0" w:line="360" w:lineRule="auto"/>
        <w:jc w:val="both"/>
        <w:rPr>
          <w:rFonts w:ascii="Arial" w:hAnsi="Arial" w:cs="Arial"/>
        </w:rPr>
      </w:pPr>
      <w:r>
        <w:rPr>
          <w:rFonts w:ascii="Arial" w:hAnsi="Arial" w:cs="Arial"/>
          <w:sz w:val="24"/>
          <w:szCs w:val="24"/>
        </w:rPr>
        <w:lastRenderedPageBreak/>
        <w:tab/>
        <w:t>‘</w:t>
      </w:r>
      <w:r>
        <w:rPr>
          <w:rFonts w:ascii="Arial" w:hAnsi="Arial" w:cs="Arial"/>
        </w:rPr>
        <w:t xml:space="preserve">Not frequently, however (either to secure some advantage which otherwise the law would not give, or to escape some disability which otherwise the law would impose), the parties to a transaction endeavour to conceal its real character. They call it by a name, or give it a shape, intended not to express but to disguise its true nature. And </w:t>
      </w:r>
      <w:r w:rsidR="004932E3">
        <w:rPr>
          <w:rFonts w:ascii="Arial" w:hAnsi="Arial" w:cs="Arial"/>
        </w:rPr>
        <w:t>when a Court is asked to decide any rights u</w:t>
      </w:r>
      <w:r>
        <w:rPr>
          <w:rFonts w:ascii="Arial" w:hAnsi="Arial" w:cs="Arial"/>
        </w:rPr>
        <w:t>nder such an agreement, it can only do so by giving effect to what the transactio</w:t>
      </w:r>
      <w:r w:rsidR="004932E3">
        <w:rPr>
          <w:rFonts w:ascii="Arial" w:hAnsi="Arial" w:cs="Arial"/>
        </w:rPr>
        <w:t>n</w:t>
      </w:r>
      <w:r>
        <w:rPr>
          <w:rFonts w:ascii="Arial" w:hAnsi="Arial" w:cs="Arial"/>
        </w:rPr>
        <w:t xml:space="preserve"> really is; not what in form it pu</w:t>
      </w:r>
      <w:r w:rsidR="004932E3">
        <w:rPr>
          <w:rFonts w:ascii="Arial" w:hAnsi="Arial" w:cs="Arial"/>
        </w:rPr>
        <w:t>rports to be. The maxim then</w:t>
      </w:r>
      <w:r>
        <w:rPr>
          <w:rFonts w:ascii="Arial" w:hAnsi="Arial" w:cs="Arial"/>
        </w:rPr>
        <w:t xml:space="preserve"> applies </w:t>
      </w:r>
      <w:r w:rsidRPr="004932E3">
        <w:rPr>
          <w:rFonts w:ascii="Arial" w:hAnsi="Arial" w:cs="Arial"/>
          <w:i/>
        </w:rPr>
        <w:t>p</w:t>
      </w:r>
      <w:r w:rsidR="004932E3" w:rsidRPr="004932E3">
        <w:rPr>
          <w:rFonts w:ascii="Arial" w:hAnsi="Arial" w:cs="Arial"/>
          <w:i/>
        </w:rPr>
        <w:t>l</w:t>
      </w:r>
      <w:r w:rsidRPr="004932E3">
        <w:rPr>
          <w:rFonts w:ascii="Arial" w:hAnsi="Arial" w:cs="Arial"/>
          <w:i/>
        </w:rPr>
        <w:t xml:space="preserve">us </w:t>
      </w:r>
      <w:proofErr w:type="spellStart"/>
      <w:r w:rsidRPr="004932E3">
        <w:rPr>
          <w:rFonts w:ascii="Arial" w:hAnsi="Arial" w:cs="Arial"/>
          <w:i/>
        </w:rPr>
        <w:t>vale</w:t>
      </w:r>
      <w:r w:rsidR="00F13B7D">
        <w:rPr>
          <w:rFonts w:ascii="Arial" w:hAnsi="Arial" w:cs="Arial"/>
          <w:i/>
        </w:rPr>
        <w:t>a</w:t>
      </w:r>
      <w:r w:rsidRPr="004932E3">
        <w:rPr>
          <w:rFonts w:ascii="Arial" w:hAnsi="Arial" w:cs="Arial"/>
          <w:i/>
        </w:rPr>
        <w:t>t</w:t>
      </w:r>
      <w:proofErr w:type="spellEnd"/>
      <w:r w:rsidRPr="004932E3">
        <w:rPr>
          <w:rFonts w:ascii="Arial" w:hAnsi="Arial" w:cs="Arial"/>
          <w:i/>
        </w:rPr>
        <w:t xml:space="preserve"> quod </w:t>
      </w:r>
      <w:proofErr w:type="spellStart"/>
      <w:r w:rsidRPr="004932E3">
        <w:rPr>
          <w:rFonts w:ascii="Arial" w:hAnsi="Arial" w:cs="Arial"/>
          <w:i/>
        </w:rPr>
        <w:t>agitur</w:t>
      </w:r>
      <w:proofErr w:type="spellEnd"/>
      <w:r w:rsidRPr="004932E3">
        <w:rPr>
          <w:rFonts w:ascii="Arial" w:hAnsi="Arial" w:cs="Arial"/>
          <w:i/>
        </w:rPr>
        <w:t xml:space="preserve"> quam quod </w:t>
      </w:r>
      <w:r w:rsidR="004932E3">
        <w:rPr>
          <w:rFonts w:ascii="Arial" w:hAnsi="Arial" w:cs="Arial"/>
          <w:i/>
        </w:rPr>
        <w:t>s</w:t>
      </w:r>
      <w:r w:rsidRPr="004932E3">
        <w:rPr>
          <w:rFonts w:ascii="Arial" w:hAnsi="Arial" w:cs="Arial"/>
          <w:i/>
        </w:rPr>
        <w:t xml:space="preserve">imulate </w:t>
      </w:r>
      <w:proofErr w:type="spellStart"/>
      <w:r w:rsidRPr="004932E3">
        <w:rPr>
          <w:rFonts w:ascii="Arial" w:hAnsi="Arial" w:cs="Arial"/>
          <w:i/>
        </w:rPr>
        <w:t>con</w:t>
      </w:r>
      <w:r w:rsidR="00906462">
        <w:rPr>
          <w:rFonts w:ascii="Arial" w:hAnsi="Arial" w:cs="Arial"/>
          <w:i/>
        </w:rPr>
        <w:t>c</w:t>
      </w:r>
      <w:r w:rsidRPr="004932E3">
        <w:rPr>
          <w:rFonts w:ascii="Arial" w:hAnsi="Arial" w:cs="Arial"/>
          <w:i/>
        </w:rPr>
        <w:t>ipitur</w:t>
      </w:r>
      <w:proofErr w:type="spellEnd"/>
      <w:r>
        <w:rPr>
          <w:rFonts w:ascii="Arial" w:hAnsi="Arial" w:cs="Arial"/>
        </w:rPr>
        <w:t>.</w:t>
      </w:r>
      <w:r w:rsidR="004932E3">
        <w:rPr>
          <w:rFonts w:ascii="Arial" w:hAnsi="Arial" w:cs="Arial"/>
        </w:rPr>
        <w:t xml:space="preserve"> But the words of the rule indicate its limitations. The Court must be satisfied that there is a real intention, definitely ascertainable, which differs from the simulated intention’</w:t>
      </w:r>
      <w:r w:rsidR="0027219D">
        <w:rPr>
          <w:rFonts w:ascii="Arial" w:hAnsi="Arial" w:cs="Arial"/>
        </w:rPr>
        <w:t>.</w:t>
      </w:r>
    </w:p>
    <w:p w:rsidR="00E5439D" w:rsidRDefault="00E5439D" w:rsidP="00CD7B63">
      <w:pPr>
        <w:spacing w:after="0" w:line="360" w:lineRule="auto"/>
        <w:jc w:val="both"/>
        <w:rPr>
          <w:rFonts w:ascii="Arial" w:hAnsi="Arial" w:cs="Arial"/>
          <w:sz w:val="24"/>
          <w:szCs w:val="24"/>
        </w:rPr>
      </w:pPr>
    </w:p>
    <w:p w:rsidR="00E5439D" w:rsidRDefault="00E5439D" w:rsidP="004932E3">
      <w:pPr>
        <w:spacing w:after="0" w:line="360" w:lineRule="auto"/>
        <w:jc w:val="both"/>
        <w:rPr>
          <w:rFonts w:ascii="Arial" w:hAnsi="Arial" w:cs="Arial"/>
          <w:sz w:val="24"/>
          <w:szCs w:val="24"/>
        </w:rPr>
      </w:pPr>
      <w:r>
        <w:rPr>
          <w:rFonts w:ascii="Arial" w:hAnsi="Arial" w:cs="Arial"/>
          <w:sz w:val="24"/>
          <w:szCs w:val="24"/>
        </w:rPr>
        <w:t>[1</w:t>
      </w:r>
      <w:r w:rsidR="00341B82">
        <w:rPr>
          <w:rFonts w:ascii="Arial" w:hAnsi="Arial" w:cs="Arial"/>
          <w:sz w:val="24"/>
          <w:szCs w:val="24"/>
        </w:rPr>
        <w:t>5</w:t>
      </w:r>
      <w:r w:rsidR="00326520">
        <w:rPr>
          <w:rFonts w:ascii="Arial" w:hAnsi="Arial" w:cs="Arial"/>
          <w:sz w:val="24"/>
          <w:szCs w:val="24"/>
        </w:rPr>
        <w:t>]</w:t>
      </w:r>
      <w:r w:rsidR="00326520">
        <w:rPr>
          <w:rFonts w:ascii="Arial" w:hAnsi="Arial" w:cs="Arial"/>
          <w:sz w:val="24"/>
          <w:szCs w:val="24"/>
        </w:rPr>
        <w:tab/>
      </w:r>
      <w:r w:rsidR="004932E3">
        <w:rPr>
          <w:rFonts w:ascii="Arial" w:hAnsi="Arial" w:cs="Arial"/>
          <w:sz w:val="24"/>
          <w:szCs w:val="24"/>
        </w:rPr>
        <w:t xml:space="preserve">In </w:t>
      </w:r>
      <w:proofErr w:type="spellStart"/>
      <w:r w:rsidR="00906462">
        <w:rPr>
          <w:rFonts w:ascii="Arial" w:hAnsi="Arial" w:cs="Arial"/>
          <w:i/>
          <w:sz w:val="24"/>
          <w:szCs w:val="24"/>
        </w:rPr>
        <w:t>Zand</w:t>
      </w:r>
      <w:r w:rsidR="004932E3" w:rsidRPr="004932E3">
        <w:rPr>
          <w:rFonts w:ascii="Arial" w:hAnsi="Arial" w:cs="Arial"/>
          <w:i/>
          <w:sz w:val="24"/>
          <w:szCs w:val="24"/>
        </w:rPr>
        <w:t>berg</w:t>
      </w:r>
      <w:proofErr w:type="spellEnd"/>
      <w:r w:rsidR="004932E3" w:rsidRPr="004932E3">
        <w:rPr>
          <w:rFonts w:ascii="Arial" w:hAnsi="Arial" w:cs="Arial"/>
          <w:i/>
          <w:sz w:val="24"/>
          <w:szCs w:val="24"/>
        </w:rPr>
        <w:t xml:space="preserve"> v Van </w:t>
      </w:r>
      <w:proofErr w:type="spellStart"/>
      <w:r w:rsidR="004932E3" w:rsidRPr="004932E3">
        <w:rPr>
          <w:rFonts w:ascii="Arial" w:hAnsi="Arial" w:cs="Arial"/>
          <w:i/>
          <w:sz w:val="24"/>
          <w:szCs w:val="24"/>
        </w:rPr>
        <w:t>Zyl</w:t>
      </w:r>
      <w:proofErr w:type="spellEnd"/>
      <w:r w:rsidR="004932E3">
        <w:rPr>
          <w:rFonts w:ascii="Arial" w:hAnsi="Arial" w:cs="Arial"/>
          <w:sz w:val="24"/>
          <w:szCs w:val="24"/>
        </w:rPr>
        <w:t xml:space="preserve"> evidence was admitted to establish the true nature of the contract. There, although the contract was drawn up as a sale, it was in reality a pledge. Such evidence is always admissible.  The reason is as was articulated succin</w:t>
      </w:r>
      <w:r w:rsidR="00F13B7D">
        <w:rPr>
          <w:rFonts w:ascii="Arial" w:hAnsi="Arial" w:cs="Arial"/>
          <w:sz w:val="24"/>
          <w:szCs w:val="24"/>
        </w:rPr>
        <w:t xml:space="preserve">ctly by </w:t>
      </w:r>
      <w:proofErr w:type="spellStart"/>
      <w:r w:rsidR="00F13B7D" w:rsidRPr="0027219D">
        <w:rPr>
          <w:rFonts w:ascii="Arial" w:hAnsi="Arial" w:cs="Arial"/>
          <w:sz w:val="24"/>
          <w:szCs w:val="24"/>
        </w:rPr>
        <w:t>Wessels</w:t>
      </w:r>
      <w:proofErr w:type="spellEnd"/>
      <w:r w:rsidR="00F13B7D" w:rsidRPr="0027219D">
        <w:rPr>
          <w:rFonts w:ascii="Arial" w:hAnsi="Arial" w:cs="Arial"/>
          <w:sz w:val="24"/>
          <w:szCs w:val="24"/>
        </w:rPr>
        <w:t xml:space="preserve"> ACJ in</w:t>
      </w:r>
      <w:r w:rsidR="00F13B7D" w:rsidRPr="0027219D">
        <w:rPr>
          <w:rFonts w:ascii="Arial" w:hAnsi="Arial" w:cs="Arial"/>
          <w:i/>
          <w:sz w:val="24"/>
          <w:szCs w:val="24"/>
        </w:rPr>
        <w:t xml:space="preserve"> Kilbur</w:t>
      </w:r>
      <w:r w:rsidR="00906462">
        <w:rPr>
          <w:rFonts w:ascii="Arial" w:hAnsi="Arial" w:cs="Arial"/>
          <w:i/>
          <w:sz w:val="24"/>
          <w:szCs w:val="24"/>
        </w:rPr>
        <w:t>n</w:t>
      </w:r>
      <w:r w:rsidR="00F13B7D" w:rsidRPr="0027219D">
        <w:rPr>
          <w:rFonts w:ascii="Arial" w:hAnsi="Arial" w:cs="Arial"/>
          <w:i/>
          <w:sz w:val="24"/>
          <w:szCs w:val="24"/>
        </w:rPr>
        <w:t xml:space="preserve"> v Estate Kilburn</w:t>
      </w:r>
      <w:r w:rsidR="00F13B7D">
        <w:rPr>
          <w:rFonts w:ascii="Arial" w:hAnsi="Arial" w:cs="Arial"/>
          <w:sz w:val="24"/>
          <w:szCs w:val="24"/>
        </w:rPr>
        <w:t xml:space="preserve"> 1931 AD 501 at 507:</w:t>
      </w:r>
    </w:p>
    <w:p w:rsidR="00F13B7D" w:rsidRDefault="00F13B7D" w:rsidP="004932E3">
      <w:pPr>
        <w:spacing w:after="0" w:line="360" w:lineRule="auto"/>
        <w:jc w:val="both"/>
        <w:rPr>
          <w:rFonts w:ascii="Arial" w:hAnsi="Arial" w:cs="Arial"/>
          <w:sz w:val="24"/>
          <w:szCs w:val="24"/>
        </w:rPr>
      </w:pPr>
    </w:p>
    <w:p w:rsidR="00F13B7D" w:rsidRDefault="00F13B7D" w:rsidP="004932E3">
      <w:pPr>
        <w:spacing w:after="0" w:line="360" w:lineRule="auto"/>
        <w:jc w:val="both"/>
        <w:rPr>
          <w:rFonts w:ascii="Arial" w:hAnsi="Arial" w:cs="Arial"/>
        </w:rPr>
      </w:pPr>
      <w:r>
        <w:rPr>
          <w:rFonts w:ascii="Arial" w:hAnsi="Arial" w:cs="Arial"/>
          <w:sz w:val="24"/>
          <w:szCs w:val="24"/>
        </w:rPr>
        <w:tab/>
      </w:r>
      <w:r w:rsidR="0027219D">
        <w:rPr>
          <w:rFonts w:ascii="Arial" w:hAnsi="Arial" w:cs="Arial"/>
        </w:rPr>
        <w:t xml:space="preserve">‘It is a </w:t>
      </w:r>
      <w:proofErr w:type="spellStart"/>
      <w:r w:rsidR="0027219D">
        <w:rPr>
          <w:rFonts w:ascii="Arial" w:hAnsi="Arial" w:cs="Arial"/>
        </w:rPr>
        <w:t>well kn</w:t>
      </w:r>
      <w:r w:rsidRPr="00F13B7D">
        <w:rPr>
          <w:rFonts w:ascii="Arial" w:hAnsi="Arial" w:cs="Arial"/>
        </w:rPr>
        <w:t>own</w:t>
      </w:r>
      <w:proofErr w:type="spellEnd"/>
      <w:r w:rsidRPr="00F13B7D">
        <w:rPr>
          <w:rFonts w:ascii="Arial" w:hAnsi="Arial" w:cs="Arial"/>
        </w:rPr>
        <w:t xml:space="preserve"> principle of our law that Courts of law will not be deceived by the form of a transaction. They will rend aside the veil in which the transaction is wrapped and examine its true nature and substance. </w:t>
      </w:r>
      <w:r w:rsidRPr="00F13B7D">
        <w:rPr>
          <w:rFonts w:ascii="Arial" w:hAnsi="Arial" w:cs="Arial"/>
          <w:i/>
        </w:rPr>
        <w:t xml:space="preserve">Plus </w:t>
      </w:r>
      <w:proofErr w:type="spellStart"/>
      <w:r w:rsidRPr="00F13B7D">
        <w:rPr>
          <w:rFonts w:ascii="Arial" w:hAnsi="Arial" w:cs="Arial"/>
          <w:i/>
        </w:rPr>
        <w:t>valeat</w:t>
      </w:r>
      <w:proofErr w:type="spellEnd"/>
      <w:r w:rsidRPr="00F13B7D">
        <w:rPr>
          <w:rFonts w:ascii="Arial" w:hAnsi="Arial" w:cs="Arial"/>
          <w:i/>
        </w:rPr>
        <w:t xml:space="preserve"> quod </w:t>
      </w:r>
      <w:proofErr w:type="spellStart"/>
      <w:r w:rsidRPr="00F13B7D">
        <w:rPr>
          <w:rFonts w:ascii="Arial" w:hAnsi="Arial" w:cs="Arial"/>
          <w:i/>
        </w:rPr>
        <w:t>agitur</w:t>
      </w:r>
      <w:proofErr w:type="spellEnd"/>
      <w:r w:rsidRPr="00F13B7D">
        <w:rPr>
          <w:rFonts w:ascii="Arial" w:hAnsi="Arial" w:cs="Arial"/>
          <w:i/>
        </w:rPr>
        <w:t xml:space="preserve"> quam quod simulate </w:t>
      </w:r>
      <w:proofErr w:type="spellStart"/>
      <w:r w:rsidRPr="00F13B7D">
        <w:rPr>
          <w:rFonts w:ascii="Arial" w:hAnsi="Arial" w:cs="Arial"/>
          <w:i/>
        </w:rPr>
        <w:t>con</w:t>
      </w:r>
      <w:r w:rsidR="00906462">
        <w:rPr>
          <w:rFonts w:ascii="Arial" w:hAnsi="Arial" w:cs="Arial"/>
          <w:i/>
        </w:rPr>
        <w:t>c</w:t>
      </w:r>
      <w:r w:rsidRPr="00F13B7D">
        <w:rPr>
          <w:rFonts w:ascii="Arial" w:hAnsi="Arial" w:cs="Arial"/>
          <w:i/>
        </w:rPr>
        <w:t>ipitur</w:t>
      </w:r>
      <w:proofErr w:type="spellEnd"/>
      <w:r w:rsidRPr="00F13B7D">
        <w:rPr>
          <w:rFonts w:ascii="Arial" w:hAnsi="Arial" w:cs="Arial"/>
        </w:rPr>
        <w:t>.</w:t>
      </w:r>
    </w:p>
    <w:p w:rsidR="00F13B7D" w:rsidRDefault="00F13B7D" w:rsidP="004932E3">
      <w:pPr>
        <w:spacing w:after="0" w:line="360" w:lineRule="auto"/>
        <w:jc w:val="both"/>
        <w:rPr>
          <w:rFonts w:ascii="Arial" w:hAnsi="Arial" w:cs="Arial"/>
        </w:rPr>
      </w:pPr>
    </w:p>
    <w:p w:rsidR="00F13B7D" w:rsidRDefault="00F13B7D" w:rsidP="004932E3">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 xml:space="preserve">As Innes J remarked about the </w:t>
      </w:r>
      <w:r w:rsidRPr="00F13B7D">
        <w:rPr>
          <w:rFonts w:ascii="Arial" w:hAnsi="Arial" w:cs="Arial"/>
          <w:i/>
          <w:sz w:val="24"/>
          <w:szCs w:val="24"/>
        </w:rPr>
        <w:t xml:space="preserve">Plus </w:t>
      </w:r>
      <w:proofErr w:type="spellStart"/>
      <w:r w:rsidRPr="00F13B7D">
        <w:rPr>
          <w:rFonts w:ascii="Arial" w:hAnsi="Arial" w:cs="Arial"/>
          <w:i/>
          <w:sz w:val="24"/>
          <w:szCs w:val="24"/>
        </w:rPr>
        <w:t>valeat</w:t>
      </w:r>
      <w:proofErr w:type="spellEnd"/>
      <w:r w:rsidRPr="00F13B7D">
        <w:rPr>
          <w:rFonts w:ascii="Arial" w:hAnsi="Arial" w:cs="Arial"/>
          <w:i/>
          <w:sz w:val="24"/>
          <w:szCs w:val="24"/>
        </w:rPr>
        <w:t xml:space="preserve"> quo</w:t>
      </w:r>
      <w:r w:rsidR="00906462">
        <w:rPr>
          <w:rFonts w:ascii="Arial" w:hAnsi="Arial" w:cs="Arial"/>
          <w:i/>
          <w:sz w:val="24"/>
          <w:szCs w:val="24"/>
        </w:rPr>
        <w:t xml:space="preserve">d </w:t>
      </w:r>
      <w:proofErr w:type="spellStart"/>
      <w:r w:rsidR="00906462">
        <w:rPr>
          <w:rFonts w:ascii="Arial" w:hAnsi="Arial" w:cs="Arial"/>
          <w:i/>
          <w:sz w:val="24"/>
          <w:szCs w:val="24"/>
        </w:rPr>
        <w:t>agitur</w:t>
      </w:r>
      <w:proofErr w:type="spellEnd"/>
      <w:r w:rsidR="00906462">
        <w:rPr>
          <w:rFonts w:ascii="Arial" w:hAnsi="Arial" w:cs="Arial"/>
          <w:i/>
          <w:sz w:val="24"/>
          <w:szCs w:val="24"/>
        </w:rPr>
        <w:t xml:space="preserve"> quam quod simulate </w:t>
      </w:r>
      <w:proofErr w:type="spellStart"/>
      <w:r w:rsidR="00906462">
        <w:rPr>
          <w:rFonts w:ascii="Arial" w:hAnsi="Arial" w:cs="Arial"/>
          <w:i/>
          <w:sz w:val="24"/>
          <w:szCs w:val="24"/>
        </w:rPr>
        <w:t>conc</w:t>
      </w:r>
      <w:r w:rsidRPr="00F13B7D">
        <w:rPr>
          <w:rFonts w:ascii="Arial" w:hAnsi="Arial" w:cs="Arial"/>
          <w:i/>
          <w:sz w:val="24"/>
          <w:szCs w:val="24"/>
        </w:rPr>
        <w:t>ipitur</w:t>
      </w:r>
      <w:proofErr w:type="spellEnd"/>
      <w:r>
        <w:rPr>
          <w:rFonts w:ascii="Arial" w:hAnsi="Arial" w:cs="Arial"/>
          <w:sz w:val="24"/>
          <w:szCs w:val="24"/>
        </w:rPr>
        <w:t xml:space="preserve"> principle, in applying the principle, </w:t>
      </w:r>
      <w:r w:rsidR="00906462">
        <w:rPr>
          <w:rFonts w:ascii="Arial" w:hAnsi="Arial" w:cs="Arial"/>
          <w:sz w:val="24"/>
          <w:szCs w:val="24"/>
        </w:rPr>
        <w:t>‘</w:t>
      </w:r>
      <w:r>
        <w:rPr>
          <w:rFonts w:ascii="Arial" w:hAnsi="Arial" w:cs="Arial"/>
          <w:sz w:val="24"/>
          <w:szCs w:val="24"/>
        </w:rPr>
        <w:t>the court must be satisfied that there is a real intention, definitely ascertainable, which differs from the simulated intention’. (</w:t>
      </w:r>
      <w:proofErr w:type="spellStart"/>
      <w:r w:rsidRPr="00F13B7D">
        <w:rPr>
          <w:rFonts w:ascii="Arial" w:hAnsi="Arial" w:cs="Arial"/>
          <w:i/>
          <w:sz w:val="24"/>
          <w:szCs w:val="24"/>
        </w:rPr>
        <w:t>Zandberg</w:t>
      </w:r>
      <w:proofErr w:type="spellEnd"/>
      <w:r w:rsidRPr="00F13B7D">
        <w:rPr>
          <w:rFonts w:ascii="Arial" w:hAnsi="Arial" w:cs="Arial"/>
          <w:i/>
          <w:sz w:val="24"/>
          <w:szCs w:val="24"/>
        </w:rPr>
        <w:t xml:space="preserve"> v Van </w:t>
      </w:r>
      <w:proofErr w:type="spellStart"/>
      <w:r w:rsidRPr="00F13B7D">
        <w:rPr>
          <w:rFonts w:ascii="Arial" w:hAnsi="Arial" w:cs="Arial"/>
          <w:i/>
          <w:sz w:val="24"/>
          <w:szCs w:val="24"/>
        </w:rPr>
        <w:t>Zyl</w:t>
      </w:r>
      <w:proofErr w:type="spellEnd"/>
      <w:r w:rsidRPr="00F13B7D">
        <w:rPr>
          <w:rFonts w:ascii="Arial" w:hAnsi="Arial" w:cs="Arial"/>
          <w:i/>
          <w:sz w:val="24"/>
          <w:szCs w:val="24"/>
        </w:rPr>
        <w:t xml:space="preserve"> </w:t>
      </w:r>
      <w:r w:rsidR="00906462">
        <w:rPr>
          <w:rFonts w:ascii="Arial" w:hAnsi="Arial" w:cs="Arial"/>
          <w:sz w:val="24"/>
          <w:szCs w:val="24"/>
        </w:rPr>
        <w:t>at 309)</w:t>
      </w:r>
      <w:r>
        <w:rPr>
          <w:rFonts w:ascii="Arial" w:hAnsi="Arial" w:cs="Arial"/>
          <w:sz w:val="24"/>
          <w:szCs w:val="24"/>
        </w:rPr>
        <w:t xml:space="preserve"> What this entails in practice is that prima</w:t>
      </w:r>
      <w:r w:rsidR="00906462">
        <w:rPr>
          <w:rFonts w:ascii="Arial" w:hAnsi="Arial" w:cs="Arial"/>
          <w:sz w:val="24"/>
          <w:szCs w:val="24"/>
        </w:rPr>
        <w:t xml:space="preserve"> </w:t>
      </w:r>
      <w:r>
        <w:rPr>
          <w:rFonts w:ascii="Arial" w:hAnsi="Arial" w:cs="Arial"/>
          <w:sz w:val="24"/>
          <w:szCs w:val="24"/>
        </w:rPr>
        <w:t>facie, the nature of the transaction is what it purports to be, and the party who asserts that it is something different be</w:t>
      </w:r>
      <w:r w:rsidR="00906462">
        <w:rPr>
          <w:rFonts w:ascii="Arial" w:hAnsi="Arial" w:cs="Arial"/>
          <w:sz w:val="24"/>
          <w:szCs w:val="24"/>
        </w:rPr>
        <w:t>ars the onus to prove that fact</w:t>
      </w:r>
      <w:r>
        <w:rPr>
          <w:rFonts w:ascii="Arial" w:hAnsi="Arial" w:cs="Arial"/>
          <w:sz w:val="24"/>
          <w:szCs w:val="24"/>
        </w:rPr>
        <w:t xml:space="preserve"> (</w:t>
      </w:r>
      <w:r w:rsidRPr="00F6788D">
        <w:rPr>
          <w:rFonts w:ascii="Arial" w:hAnsi="Arial" w:cs="Arial"/>
          <w:i/>
          <w:sz w:val="24"/>
          <w:szCs w:val="24"/>
        </w:rPr>
        <w:t xml:space="preserve">S v Coin Operated Systems (Pty) Ltd </w:t>
      </w:r>
      <w:r>
        <w:rPr>
          <w:rFonts w:ascii="Arial" w:hAnsi="Arial" w:cs="Arial"/>
          <w:sz w:val="24"/>
          <w:szCs w:val="24"/>
        </w:rPr>
        <w:t>1980 (|1) SA 448 (T) at 454D), as mentioned in para 10 above.</w:t>
      </w:r>
    </w:p>
    <w:p w:rsidR="00007DEA" w:rsidRDefault="00007DEA" w:rsidP="004932E3">
      <w:pPr>
        <w:spacing w:after="0" w:line="360" w:lineRule="auto"/>
        <w:jc w:val="both"/>
        <w:rPr>
          <w:rFonts w:ascii="Arial" w:hAnsi="Arial" w:cs="Arial"/>
          <w:sz w:val="24"/>
          <w:szCs w:val="24"/>
        </w:rPr>
      </w:pPr>
    </w:p>
    <w:p w:rsidR="00007DEA" w:rsidRDefault="00007DEA" w:rsidP="004932E3">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The autho</w:t>
      </w:r>
      <w:r w:rsidR="00906462">
        <w:rPr>
          <w:rFonts w:ascii="Arial" w:hAnsi="Arial" w:cs="Arial"/>
          <w:sz w:val="24"/>
          <w:szCs w:val="24"/>
        </w:rPr>
        <w:t>rities show these approaches</w:t>
      </w:r>
      <w:r>
        <w:rPr>
          <w:rFonts w:ascii="Arial" w:hAnsi="Arial" w:cs="Arial"/>
          <w:sz w:val="24"/>
          <w:szCs w:val="24"/>
        </w:rPr>
        <w:t xml:space="preserve"> about simulated transactions. The authorities show that simulations may be detected by considering the facts leading up to the contract (see </w:t>
      </w:r>
      <w:proofErr w:type="spellStart"/>
      <w:r w:rsidR="00906462">
        <w:rPr>
          <w:rFonts w:ascii="Arial" w:hAnsi="Arial" w:cs="Arial"/>
          <w:i/>
          <w:sz w:val="24"/>
          <w:szCs w:val="24"/>
        </w:rPr>
        <w:t>Zandel</w:t>
      </w:r>
      <w:r w:rsidRPr="00007DEA">
        <w:rPr>
          <w:rFonts w:ascii="Arial" w:hAnsi="Arial" w:cs="Arial"/>
          <w:i/>
          <w:sz w:val="24"/>
          <w:szCs w:val="24"/>
        </w:rPr>
        <w:t>berg</w:t>
      </w:r>
      <w:proofErr w:type="spellEnd"/>
      <w:r w:rsidRPr="00007DEA">
        <w:rPr>
          <w:rFonts w:ascii="Arial" w:hAnsi="Arial" w:cs="Arial"/>
          <w:i/>
          <w:sz w:val="24"/>
          <w:szCs w:val="24"/>
        </w:rPr>
        <w:t xml:space="preserve"> v Van </w:t>
      </w:r>
      <w:proofErr w:type="spellStart"/>
      <w:r w:rsidRPr="00007DEA">
        <w:rPr>
          <w:rFonts w:ascii="Arial" w:hAnsi="Arial" w:cs="Arial"/>
          <w:i/>
          <w:sz w:val="24"/>
          <w:szCs w:val="24"/>
        </w:rPr>
        <w:t>Zyl</w:t>
      </w:r>
      <w:proofErr w:type="spellEnd"/>
      <w:r>
        <w:rPr>
          <w:rFonts w:ascii="Arial" w:hAnsi="Arial" w:cs="Arial"/>
          <w:sz w:val="24"/>
          <w:szCs w:val="24"/>
        </w:rPr>
        <w:t xml:space="preserve">, relying on </w:t>
      </w:r>
      <w:proofErr w:type="spellStart"/>
      <w:r w:rsidRPr="00007DEA">
        <w:rPr>
          <w:rFonts w:ascii="Arial" w:hAnsi="Arial" w:cs="Arial"/>
          <w:i/>
          <w:sz w:val="24"/>
          <w:szCs w:val="24"/>
        </w:rPr>
        <w:t>Perezius</w:t>
      </w:r>
      <w:proofErr w:type="spellEnd"/>
      <w:r>
        <w:rPr>
          <w:rFonts w:ascii="Arial" w:hAnsi="Arial" w:cs="Arial"/>
          <w:sz w:val="24"/>
          <w:szCs w:val="24"/>
        </w:rPr>
        <w:t xml:space="preserve"> (Ad. </w:t>
      </w:r>
      <w:proofErr w:type="gramStart"/>
      <w:r>
        <w:rPr>
          <w:rFonts w:ascii="Arial" w:hAnsi="Arial" w:cs="Arial"/>
          <w:sz w:val="24"/>
          <w:szCs w:val="24"/>
        </w:rPr>
        <w:t>Cod.,</w:t>
      </w:r>
      <w:proofErr w:type="gramEnd"/>
      <w:r>
        <w:rPr>
          <w:rFonts w:ascii="Arial" w:hAnsi="Arial" w:cs="Arial"/>
          <w:sz w:val="24"/>
          <w:szCs w:val="24"/>
        </w:rPr>
        <w:t xml:space="preserve"> 4.22.2), that is, by the court considering the surrounding circumstances (see </w:t>
      </w:r>
      <w:proofErr w:type="spellStart"/>
      <w:r w:rsidR="00906462">
        <w:rPr>
          <w:rFonts w:ascii="Arial" w:hAnsi="Arial" w:cs="Arial"/>
          <w:i/>
          <w:sz w:val="24"/>
          <w:szCs w:val="24"/>
        </w:rPr>
        <w:t>Zandel</w:t>
      </w:r>
      <w:r w:rsidRPr="00007DEA">
        <w:rPr>
          <w:rFonts w:ascii="Arial" w:hAnsi="Arial" w:cs="Arial"/>
          <w:i/>
          <w:sz w:val="24"/>
          <w:szCs w:val="24"/>
        </w:rPr>
        <w:t>berg</w:t>
      </w:r>
      <w:proofErr w:type="spellEnd"/>
      <w:r w:rsidRPr="00007DEA">
        <w:rPr>
          <w:rFonts w:ascii="Arial" w:hAnsi="Arial" w:cs="Arial"/>
          <w:i/>
          <w:sz w:val="24"/>
          <w:szCs w:val="24"/>
        </w:rPr>
        <w:t xml:space="preserve"> v Van </w:t>
      </w:r>
      <w:proofErr w:type="spellStart"/>
      <w:r w:rsidRPr="00007DEA">
        <w:rPr>
          <w:rFonts w:ascii="Arial" w:hAnsi="Arial" w:cs="Arial"/>
          <w:i/>
          <w:sz w:val="24"/>
          <w:szCs w:val="24"/>
        </w:rPr>
        <w:t>Zyl</w:t>
      </w:r>
      <w:proofErr w:type="spellEnd"/>
      <w:r>
        <w:rPr>
          <w:rFonts w:ascii="Arial" w:hAnsi="Arial" w:cs="Arial"/>
          <w:sz w:val="24"/>
          <w:szCs w:val="24"/>
        </w:rPr>
        <w:t xml:space="preserve">, relying on </w:t>
      </w:r>
      <w:proofErr w:type="spellStart"/>
      <w:r w:rsidRPr="00007DEA">
        <w:rPr>
          <w:rFonts w:ascii="Arial" w:hAnsi="Arial" w:cs="Arial"/>
          <w:sz w:val="24"/>
          <w:szCs w:val="24"/>
        </w:rPr>
        <w:t>Voet</w:t>
      </w:r>
      <w:proofErr w:type="spellEnd"/>
      <w:r>
        <w:rPr>
          <w:rFonts w:ascii="Arial" w:hAnsi="Arial" w:cs="Arial"/>
          <w:sz w:val="24"/>
          <w:szCs w:val="24"/>
        </w:rPr>
        <w:t xml:space="preserve"> (</w:t>
      </w:r>
      <w:r w:rsidRPr="00007DEA">
        <w:rPr>
          <w:rFonts w:ascii="Arial" w:hAnsi="Arial" w:cs="Arial"/>
          <w:i/>
          <w:sz w:val="24"/>
          <w:szCs w:val="24"/>
        </w:rPr>
        <w:t xml:space="preserve">Ad </w:t>
      </w:r>
      <w:proofErr w:type="spellStart"/>
      <w:r w:rsidRPr="00007DEA">
        <w:rPr>
          <w:rFonts w:ascii="Arial" w:hAnsi="Arial" w:cs="Arial"/>
          <w:i/>
          <w:sz w:val="24"/>
          <w:szCs w:val="24"/>
        </w:rPr>
        <w:t>Pand</w:t>
      </w:r>
      <w:proofErr w:type="spellEnd"/>
      <w:r>
        <w:rPr>
          <w:rFonts w:ascii="Arial" w:hAnsi="Arial" w:cs="Arial"/>
          <w:sz w:val="24"/>
          <w:szCs w:val="24"/>
        </w:rPr>
        <w:t xml:space="preserve">., 13,7,1). In </w:t>
      </w:r>
      <w:r w:rsidRPr="00007DEA">
        <w:rPr>
          <w:rFonts w:ascii="Arial" w:hAnsi="Arial" w:cs="Arial"/>
          <w:i/>
          <w:sz w:val="24"/>
          <w:szCs w:val="24"/>
        </w:rPr>
        <w:t>Beckett v Tower Assets Co</w:t>
      </w:r>
      <w:r>
        <w:rPr>
          <w:rFonts w:ascii="Arial" w:hAnsi="Arial" w:cs="Arial"/>
          <w:sz w:val="24"/>
          <w:szCs w:val="24"/>
        </w:rPr>
        <w:t>. (1891</w:t>
      </w:r>
      <w:r w:rsidR="00A51299">
        <w:rPr>
          <w:rFonts w:ascii="Arial" w:hAnsi="Arial" w:cs="Arial"/>
          <w:sz w:val="24"/>
          <w:szCs w:val="24"/>
        </w:rPr>
        <w:t>)</w:t>
      </w:r>
      <w:r>
        <w:rPr>
          <w:rFonts w:ascii="Arial" w:hAnsi="Arial" w:cs="Arial"/>
          <w:sz w:val="24"/>
          <w:szCs w:val="24"/>
        </w:rPr>
        <w:t xml:space="preserve"> 1QB, at 25, after reviewing all the decisions, </w:t>
      </w:r>
      <w:r w:rsidR="00906462">
        <w:rPr>
          <w:rFonts w:ascii="Arial" w:hAnsi="Arial" w:cs="Arial"/>
          <w:sz w:val="24"/>
          <w:szCs w:val="24"/>
        </w:rPr>
        <w:t>Cave</w:t>
      </w:r>
      <w:r>
        <w:rPr>
          <w:rFonts w:ascii="Arial" w:hAnsi="Arial" w:cs="Arial"/>
          <w:sz w:val="24"/>
          <w:szCs w:val="24"/>
        </w:rPr>
        <w:t xml:space="preserve"> J held, ‘the real question …is, what is </w:t>
      </w:r>
      <w:r w:rsidR="009A7899">
        <w:rPr>
          <w:rFonts w:ascii="Arial" w:hAnsi="Arial" w:cs="Arial"/>
          <w:sz w:val="24"/>
          <w:szCs w:val="24"/>
        </w:rPr>
        <w:t xml:space="preserve">the intention of the parties?’ </w:t>
      </w:r>
      <w:r w:rsidRPr="00007DEA">
        <w:rPr>
          <w:rFonts w:ascii="Arial" w:hAnsi="Arial" w:cs="Arial"/>
          <w:i/>
          <w:sz w:val="24"/>
          <w:szCs w:val="24"/>
        </w:rPr>
        <w:t>Be</w:t>
      </w:r>
      <w:r w:rsidR="00EC43D0">
        <w:rPr>
          <w:rFonts w:ascii="Arial" w:hAnsi="Arial" w:cs="Arial"/>
          <w:i/>
          <w:sz w:val="24"/>
          <w:szCs w:val="24"/>
        </w:rPr>
        <w:t>c</w:t>
      </w:r>
      <w:r w:rsidRPr="00007DEA">
        <w:rPr>
          <w:rFonts w:ascii="Arial" w:hAnsi="Arial" w:cs="Arial"/>
          <w:i/>
          <w:sz w:val="24"/>
          <w:szCs w:val="24"/>
        </w:rPr>
        <w:t>kett</w:t>
      </w:r>
      <w:r>
        <w:rPr>
          <w:rFonts w:ascii="Arial" w:hAnsi="Arial" w:cs="Arial"/>
          <w:sz w:val="24"/>
          <w:szCs w:val="24"/>
        </w:rPr>
        <w:t xml:space="preserve"> was also relied by Innes J in </w:t>
      </w:r>
      <w:proofErr w:type="spellStart"/>
      <w:r w:rsidR="00906462">
        <w:rPr>
          <w:rFonts w:ascii="Arial" w:hAnsi="Arial" w:cs="Arial"/>
          <w:i/>
          <w:sz w:val="24"/>
          <w:szCs w:val="24"/>
        </w:rPr>
        <w:t>Zandel</w:t>
      </w:r>
      <w:r w:rsidRPr="00007DEA">
        <w:rPr>
          <w:rFonts w:ascii="Arial" w:hAnsi="Arial" w:cs="Arial"/>
          <w:i/>
          <w:sz w:val="24"/>
          <w:szCs w:val="24"/>
        </w:rPr>
        <w:t>berg</w:t>
      </w:r>
      <w:proofErr w:type="spellEnd"/>
      <w:r>
        <w:rPr>
          <w:rFonts w:ascii="Arial" w:hAnsi="Arial" w:cs="Arial"/>
          <w:sz w:val="24"/>
          <w:szCs w:val="24"/>
        </w:rPr>
        <w:t xml:space="preserve"> v </w:t>
      </w:r>
      <w:r w:rsidR="00906462" w:rsidRPr="00007DEA">
        <w:rPr>
          <w:rFonts w:ascii="Arial" w:hAnsi="Arial" w:cs="Arial"/>
          <w:i/>
          <w:sz w:val="24"/>
          <w:szCs w:val="24"/>
        </w:rPr>
        <w:t xml:space="preserve">Van </w:t>
      </w:r>
      <w:proofErr w:type="spellStart"/>
      <w:r w:rsidRPr="00007DEA">
        <w:rPr>
          <w:rFonts w:ascii="Arial" w:hAnsi="Arial" w:cs="Arial"/>
          <w:i/>
          <w:sz w:val="24"/>
          <w:szCs w:val="24"/>
        </w:rPr>
        <w:t>Zyl</w:t>
      </w:r>
      <w:proofErr w:type="spellEnd"/>
      <w:r w:rsidR="009A7899">
        <w:rPr>
          <w:rFonts w:ascii="Arial" w:hAnsi="Arial" w:cs="Arial"/>
          <w:sz w:val="24"/>
          <w:szCs w:val="24"/>
        </w:rPr>
        <w:t xml:space="preserve"> at 311.</w:t>
      </w:r>
      <w:r>
        <w:rPr>
          <w:rFonts w:ascii="Arial" w:hAnsi="Arial" w:cs="Arial"/>
          <w:sz w:val="24"/>
          <w:szCs w:val="24"/>
        </w:rPr>
        <w:t xml:space="preserve"> ‘And to </w:t>
      </w:r>
      <w:r w:rsidR="00EC43D0">
        <w:rPr>
          <w:rFonts w:ascii="Arial" w:hAnsi="Arial" w:cs="Arial"/>
          <w:sz w:val="24"/>
          <w:szCs w:val="24"/>
        </w:rPr>
        <w:t>answer the question’, said</w:t>
      </w:r>
      <w:r w:rsidR="00906462">
        <w:rPr>
          <w:rFonts w:ascii="Arial" w:hAnsi="Arial" w:cs="Arial"/>
          <w:sz w:val="24"/>
          <w:szCs w:val="24"/>
        </w:rPr>
        <w:t xml:space="preserve"> Cave</w:t>
      </w:r>
      <w:r w:rsidR="00EC43D0">
        <w:rPr>
          <w:rFonts w:ascii="Arial" w:hAnsi="Arial" w:cs="Arial"/>
          <w:sz w:val="24"/>
          <w:szCs w:val="24"/>
        </w:rPr>
        <w:t xml:space="preserve"> J (in </w:t>
      </w:r>
      <w:r w:rsidR="00EC43D0" w:rsidRPr="00EC43D0">
        <w:rPr>
          <w:rFonts w:ascii="Arial" w:hAnsi="Arial" w:cs="Arial"/>
          <w:i/>
          <w:sz w:val="24"/>
          <w:szCs w:val="24"/>
        </w:rPr>
        <w:t>Beckett v Tower Assets Co</w:t>
      </w:r>
      <w:r w:rsidR="00906462">
        <w:rPr>
          <w:rFonts w:ascii="Arial" w:hAnsi="Arial" w:cs="Arial"/>
          <w:sz w:val="24"/>
          <w:szCs w:val="24"/>
        </w:rPr>
        <w:t>.</w:t>
      </w:r>
      <w:r w:rsidR="002E3A9C">
        <w:rPr>
          <w:rFonts w:ascii="Arial" w:hAnsi="Arial" w:cs="Arial"/>
          <w:sz w:val="24"/>
          <w:szCs w:val="24"/>
        </w:rPr>
        <w:t>)</w:t>
      </w:r>
      <w:r w:rsidR="00906462">
        <w:rPr>
          <w:rFonts w:ascii="Arial" w:hAnsi="Arial" w:cs="Arial"/>
          <w:sz w:val="24"/>
          <w:szCs w:val="24"/>
        </w:rPr>
        <w:t>,</w:t>
      </w:r>
      <w:r w:rsidR="00EC43D0">
        <w:rPr>
          <w:rFonts w:ascii="Arial" w:hAnsi="Arial" w:cs="Arial"/>
          <w:sz w:val="24"/>
          <w:szCs w:val="24"/>
        </w:rPr>
        <w:t xml:space="preserve"> ‘we </w:t>
      </w:r>
      <w:r w:rsidR="00EC43D0">
        <w:rPr>
          <w:rFonts w:ascii="Arial" w:hAnsi="Arial" w:cs="Arial"/>
          <w:sz w:val="24"/>
          <w:szCs w:val="24"/>
        </w:rPr>
        <w:lastRenderedPageBreak/>
        <w:t>must have regard to the form of the transaction, but more particularly to the substance, the position of the parties, and the whole of the circumstances under which the transactions came about’.</w:t>
      </w:r>
    </w:p>
    <w:p w:rsidR="00EC43D0" w:rsidRDefault="00EC43D0" w:rsidP="004932E3">
      <w:pPr>
        <w:spacing w:after="0" w:line="360" w:lineRule="auto"/>
        <w:jc w:val="both"/>
        <w:rPr>
          <w:rFonts w:ascii="Arial" w:hAnsi="Arial" w:cs="Arial"/>
          <w:sz w:val="24"/>
          <w:szCs w:val="24"/>
        </w:rPr>
      </w:pPr>
    </w:p>
    <w:p w:rsidR="00EC43D0" w:rsidRDefault="00EC43D0" w:rsidP="004932E3">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t>The next thing to do is, therefore, to consider the intention of plaintiff and defendant, the form of the transactio</w:t>
      </w:r>
      <w:bookmarkStart w:id="0" w:name="_GoBack"/>
      <w:bookmarkEnd w:id="0"/>
      <w:r>
        <w:rPr>
          <w:rFonts w:ascii="Arial" w:hAnsi="Arial" w:cs="Arial"/>
          <w:sz w:val="24"/>
          <w:szCs w:val="24"/>
        </w:rPr>
        <w:t xml:space="preserve">n, but more particularly the substance, and the whole of the circumstances under which the transaction came about (see </w:t>
      </w:r>
      <w:r w:rsidRPr="00EC43D0">
        <w:rPr>
          <w:rFonts w:ascii="Arial" w:hAnsi="Arial" w:cs="Arial"/>
          <w:i/>
          <w:sz w:val="24"/>
          <w:szCs w:val="24"/>
        </w:rPr>
        <w:t>Beckett v Tower Assets Co.</w:t>
      </w:r>
      <w:r w:rsidR="00906462">
        <w:rPr>
          <w:rFonts w:ascii="Arial" w:hAnsi="Arial" w:cs="Arial"/>
          <w:sz w:val="24"/>
          <w:szCs w:val="24"/>
        </w:rPr>
        <w:t>,</w:t>
      </w:r>
      <w:r>
        <w:rPr>
          <w:rFonts w:ascii="Arial" w:hAnsi="Arial" w:cs="Arial"/>
          <w:sz w:val="24"/>
          <w:szCs w:val="24"/>
        </w:rPr>
        <w:t xml:space="preserve"> referred to in para 17 </w:t>
      </w:r>
      <w:r w:rsidR="00A51299">
        <w:rPr>
          <w:rFonts w:ascii="Arial" w:hAnsi="Arial" w:cs="Arial"/>
          <w:sz w:val="24"/>
          <w:szCs w:val="24"/>
        </w:rPr>
        <w:t>above</w:t>
      </w:r>
      <w:r>
        <w:rPr>
          <w:rFonts w:ascii="Arial" w:hAnsi="Arial" w:cs="Arial"/>
          <w:sz w:val="24"/>
          <w:szCs w:val="24"/>
        </w:rPr>
        <w:t>). That is necessary to do for this reason. It</w:t>
      </w:r>
      <w:r w:rsidR="0068516C">
        <w:rPr>
          <w:rFonts w:ascii="Arial" w:hAnsi="Arial" w:cs="Arial"/>
          <w:sz w:val="24"/>
          <w:szCs w:val="24"/>
        </w:rPr>
        <w:t xml:space="preserve"> is to determine whether plain</w:t>
      </w:r>
      <w:r>
        <w:rPr>
          <w:rFonts w:ascii="Arial" w:hAnsi="Arial" w:cs="Arial"/>
          <w:sz w:val="24"/>
          <w:szCs w:val="24"/>
        </w:rPr>
        <w:t xml:space="preserve">tiff, who asserts that the nature of the transaction between him and defendant is something different from that which </w:t>
      </w:r>
      <w:r w:rsidR="00655BF8">
        <w:rPr>
          <w:rFonts w:ascii="Arial" w:hAnsi="Arial" w:cs="Arial"/>
          <w:sz w:val="24"/>
          <w:szCs w:val="24"/>
        </w:rPr>
        <w:t>defendant</w:t>
      </w:r>
      <w:r>
        <w:rPr>
          <w:rFonts w:ascii="Arial" w:hAnsi="Arial" w:cs="Arial"/>
          <w:sz w:val="24"/>
          <w:szCs w:val="24"/>
        </w:rPr>
        <w:t xml:space="preserve"> contends (that is, a donation</w:t>
      </w:r>
      <w:r w:rsidR="00655BF8">
        <w:rPr>
          <w:rFonts w:ascii="Arial" w:hAnsi="Arial" w:cs="Arial"/>
          <w:sz w:val="24"/>
          <w:szCs w:val="24"/>
        </w:rPr>
        <w:t xml:space="preserve"> not a sale) has proved that fact (see </w:t>
      </w:r>
      <w:r w:rsidR="00655BF8" w:rsidRPr="00655BF8">
        <w:rPr>
          <w:rFonts w:ascii="Arial" w:hAnsi="Arial" w:cs="Arial"/>
          <w:i/>
          <w:sz w:val="24"/>
          <w:szCs w:val="24"/>
        </w:rPr>
        <w:t xml:space="preserve">S v Coin Operated </w:t>
      </w:r>
      <w:r w:rsidR="00906462" w:rsidRPr="00655BF8">
        <w:rPr>
          <w:rFonts w:ascii="Arial" w:hAnsi="Arial" w:cs="Arial"/>
          <w:i/>
          <w:sz w:val="24"/>
          <w:szCs w:val="24"/>
        </w:rPr>
        <w:t>Systems</w:t>
      </w:r>
      <w:r w:rsidR="00906462">
        <w:rPr>
          <w:rFonts w:ascii="Arial" w:hAnsi="Arial" w:cs="Arial"/>
          <w:i/>
          <w:sz w:val="24"/>
          <w:szCs w:val="24"/>
        </w:rPr>
        <w:t xml:space="preserve"> </w:t>
      </w:r>
      <w:r w:rsidR="00655BF8" w:rsidRPr="00655BF8">
        <w:rPr>
          <w:rFonts w:ascii="Arial" w:hAnsi="Arial" w:cs="Arial"/>
          <w:i/>
          <w:sz w:val="24"/>
          <w:szCs w:val="24"/>
        </w:rPr>
        <w:t>(Pty) Ltd</w:t>
      </w:r>
      <w:r w:rsidR="00655BF8">
        <w:rPr>
          <w:rFonts w:ascii="Arial" w:hAnsi="Arial" w:cs="Arial"/>
          <w:sz w:val="24"/>
          <w:szCs w:val="24"/>
        </w:rPr>
        <w:t xml:space="preserve">, referred to in para 16 </w:t>
      </w:r>
      <w:r w:rsidR="00A51299">
        <w:rPr>
          <w:rFonts w:ascii="Arial" w:hAnsi="Arial" w:cs="Arial"/>
          <w:sz w:val="24"/>
          <w:szCs w:val="24"/>
        </w:rPr>
        <w:t>above</w:t>
      </w:r>
      <w:r w:rsidR="00655BF8">
        <w:rPr>
          <w:rFonts w:ascii="Arial" w:hAnsi="Arial" w:cs="Arial"/>
          <w:sz w:val="24"/>
          <w:szCs w:val="24"/>
        </w:rPr>
        <w:t>).</w:t>
      </w:r>
    </w:p>
    <w:p w:rsidR="00655BF8" w:rsidRDefault="00655BF8" w:rsidP="004932E3">
      <w:pPr>
        <w:spacing w:after="0" w:line="360" w:lineRule="auto"/>
        <w:jc w:val="both"/>
        <w:rPr>
          <w:rFonts w:ascii="Arial" w:hAnsi="Arial" w:cs="Arial"/>
          <w:sz w:val="24"/>
          <w:szCs w:val="24"/>
        </w:rPr>
      </w:pPr>
    </w:p>
    <w:p w:rsidR="00655BF8" w:rsidRDefault="00655BF8" w:rsidP="004932E3">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t xml:space="preserve">I have followed the </w:t>
      </w:r>
      <w:r w:rsidRPr="002E3A9C">
        <w:rPr>
          <w:rFonts w:ascii="Arial" w:hAnsi="Arial" w:cs="Arial"/>
          <w:i/>
          <w:sz w:val="24"/>
          <w:szCs w:val="24"/>
        </w:rPr>
        <w:t>Beckett v Tower Assets Co</w:t>
      </w:r>
      <w:r>
        <w:rPr>
          <w:rFonts w:ascii="Arial" w:hAnsi="Arial" w:cs="Arial"/>
          <w:sz w:val="24"/>
          <w:szCs w:val="24"/>
        </w:rPr>
        <w:t xml:space="preserve">. approach. I have also taken into account the </w:t>
      </w:r>
      <w:proofErr w:type="spellStart"/>
      <w:r w:rsidR="00A51299">
        <w:rPr>
          <w:rFonts w:ascii="Arial" w:hAnsi="Arial" w:cs="Arial"/>
          <w:sz w:val="24"/>
          <w:szCs w:val="24"/>
        </w:rPr>
        <w:t xml:space="preserve">well </w:t>
      </w:r>
      <w:r>
        <w:rPr>
          <w:rFonts w:ascii="Arial" w:hAnsi="Arial" w:cs="Arial"/>
          <w:sz w:val="24"/>
          <w:szCs w:val="24"/>
        </w:rPr>
        <w:t>known</w:t>
      </w:r>
      <w:proofErr w:type="spellEnd"/>
      <w:r>
        <w:rPr>
          <w:rFonts w:ascii="Arial" w:hAnsi="Arial" w:cs="Arial"/>
          <w:sz w:val="24"/>
          <w:szCs w:val="24"/>
        </w:rPr>
        <w:t xml:space="preserve"> approach</w:t>
      </w:r>
      <w:r w:rsidR="00906462">
        <w:rPr>
          <w:rFonts w:ascii="Arial" w:hAnsi="Arial" w:cs="Arial"/>
          <w:sz w:val="24"/>
          <w:szCs w:val="24"/>
        </w:rPr>
        <w:t>es to resolving factual disputes</w:t>
      </w:r>
      <w:r>
        <w:rPr>
          <w:rFonts w:ascii="Arial" w:hAnsi="Arial" w:cs="Arial"/>
          <w:sz w:val="24"/>
          <w:szCs w:val="24"/>
        </w:rPr>
        <w:t xml:space="preserve"> and irreconcilable differences; see </w:t>
      </w:r>
      <w:proofErr w:type="spellStart"/>
      <w:r w:rsidRPr="00655BF8">
        <w:rPr>
          <w:rFonts w:ascii="Arial" w:hAnsi="Arial" w:cs="Arial"/>
          <w:i/>
          <w:sz w:val="24"/>
          <w:szCs w:val="24"/>
        </w:rPr>
        <w:t>Sakusheka</w:t>
      </w:r>
      <w:proofErr w:type="spellEnd"/>
      <w:r w:rsidRPr="00655BF8">
        <w:rPr>
          <w:rFonts w:ascii="Arial" w:hAnsi="Arial" w:cs="Arial"/>
          <w:i/>
          <w:sz w:val="24"/>
          <w:szCs w:val="24"/>
        </w:rPr>
        <w:t xml:space="preserve"> and Another v Minister of Home Affair</w:t>
      </w:r>
      <w:r w:rsidR="00906462">
        <w:rPr>
          <w:rFonts w:ascii="Arial" w:hAnsi="Arial" w:cs="Arial"/>
          <w:sz w:val="24"/>
          <w:szCs w:val="24"/>
        </w:rPr>
        <w:t xml:space="preserve"> 2009 (2) NR 524 (HC</w:t>
      </w:r>
      <w:r>
        <w:rPr>
          <w:rFonts w:ascii="Arial" w:hAnsi="Arial" w:cs="Arial"/>
          <w:sz w:val="24"/>
          <w:szCs w:val="24"/>
        </w:rPr>
        <w:t>), namely, that the court should make findings on (a</w:t>
      </w:r>
      <w:r w:rsidR="00906462">
        <w:rPr>
          <w:rFonts w:ascii="Arial" w:hAnsi="Arial" w:cs="Arial"/>
          <w:sz w:val="24"/>
          <w:szCs w:val="24"/>
        </w:rPr>
        <w:t>)</w:t>
      </w:r>
      <w:r>
        <w:rPr>
          <w:rFonts w:ascii="Arial" w:hAnsi="Arial" w:cs="Arial"/>
          <w:sz w:val="24"/>
          <w:szCs w:val="24"/>
        </w:rPr>
        <w:t xml:space="preserve"> credibility of factual witnesses, (b) their reliability and (c) the probabilities, and (d) where the probabilities are equipoised, probabilities should </w:t>
      </w:r>
      <w:r w:rsidR="002F5714">
        <w:rPr>
          <w:rFonts w:ascii="Arial" w:hAnsi="Arial" w:cs="Arial"/>
          <w:sz w:val="24"/>
          <w:szCs w:val="24"/>
        </w:rPr>
        <w:t>prevail (</w:t>
      </w:r>
      <w:r w:rsidR="002F5714" w:rsidRPr="002F5714">
        <w:rPr>
          <w:rFonts w:ascii="Arial" w:hAnsi="Arial" w:cs="Arial"/>
          <w:i/>
          <w:sz w:val="24"/>
          <w:szCs w:val="24"/>
        </w:rPr>
        <w:t xml:space="preserve">U v </w:t>
      </w:r>
      <w:r w:rsidRPr="002F5714">
        <w:rPr>
          <w:rFonts w:ascii="Arial" w:hAnsi="Arial" w:cs="Arial"/>
          <w:i/>
          <w:sz w:val="24"/>
          <w:szCs w:val="24"/>
        </w:rPr>
        <w:t>Minister of E</w:t>
      </w:r>
      <w:r w:rsidR="002F5714" w:rsidRPr="002F5714">
        <w:rPr>
          <w:rFonts w:ascii="Arial" w:hAnsi="Arial" w:cs="Arial"/>
          <w:i/>
          <w:sz w:val="24"/>
          <w:szCs w:val="24"/>
        </w:rPr>
        <w:t>ducation, Sports and Culture an</w:t>
      </w:r>
      <w:r w:rsidRPr="002F5714">
        <w:rPr>
          <w:rFonts w:ascii="Arial" w:hAnsi="Arial" w:cs="Arial"/>
          <w:i/>
          <w:sz w:val="24"/>
          <w:szCs w:val="24"/>
        </w:rPr>
        <w:t xml:space="preserve">d Another </w:t>
      </w:r>
      <w:r>
        <w:rPr>
          <w:rFonts w:ascii="Arial" w:hAnsi="Arial" w:cs="Arial"/>
          <w:sz w:val="24"/>
          <w:szCs w:val="24"/>
        </w:rPr>
        <w:t>2006 (</w:t>
      </w:r>
      <w:r w:rsidR="00906462">
        <w:rPr>
          <w:rFonts w:ascii="Arial" w:hAnsi="Arial" w:cs="Arial"/>
          <w:sz w:val="24"/>
          <w:szCs w:val="24"/>
        </w:rPr>
        <w:t>I</w:t>
      </w:r>
      <w:r w:rsidR="002F5714">
        <w:rPr>
          <w:rFonts w:ascii="Arial" w:hAnsi="Arial" w:cs="Arial"/>
          <w:sz w:val="24"/>
          <w:szCs w:val="24"/>
        </w:rPr>
        <w:t>) NR 168 (HC). Having done all that, I make the following factual findings.</w:t>
      </w:r>
    </w:p>
    <w:p w:rsidR="002F5714" w:rsidRDefault="002F5714" w:rsidP="004932E3">
      <w:pPr>
        <w:spacing w:after="0" w:line="360" w:lineRule="auto"/>
        <w:jc w:val="both"/>
        <w:rPr>
          <w:rFonts w:ascii="Arial" w:hAnsi="Arial" w:cs="Arial"/>
          <w:sz w:val="24"/>
          <w:szCs w:val="24"/>
        </w:rPr>
      </w:pPr>
    </w:p>
    <w:p w:rsidR="002F5714" w:rsidRDefault="002F5714" w:rsidP="004932E3">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t>Somewhere in 2006</w:t>
      </w:r>
      <w:r w:rsidR="00906462">
        <w:rPr>
          <w:rFonts w:ascii="Arial" w:hAnsi="Arial" w:cs="Arial"/>
          <w:sz w:val="24"/>
          <w:szCs w:val="24"/>
        </w:rPr>
        <w:t>,</w:t>
      </w:r>
      <w:r>
        <w:rPr>
          <w:rFonts w:ascii="Arial" w:hAnsi="Arial" w:cs="Arial"/>
          <w:sz w:val="24"/>
          <w:szCs w:val="24"/>
        </w:rPr>
        <w:t xml:space="preserve"> defendant (who, as I have said previously, is plaintiff’s sister) asked plaintiff to permit her to build a backyard flat on the property to accommodate her daughter and plaintiff’s niece </w:t>
      </w:r>
      <w:proofErr w:type="spellStart"/>
      <w:r>
        <w:rPr>
          <w:rFonts w:ascii="Arial" w:hAnsi="Arial" w:cs="Arial"/>
          <w:sz w:val="24"/>
          <w:szCs w:val="24"/>
        </w:rPr>
        <w:t>Vindeline</w:t>
      </w:r>
      <w:proofErr w:type="spellEnd"/>
      <w:r>
        <w:rPr>
          <w:rFonts w:ascii="Arial" w:hAnsi="Arial" w:cs="Arial"/>
          <w:sz w:val="24"/>
          <w:szCs w:val="24"/>
        </w:rPr>
        <w:t xml:space="preserve"> </w:t>
      </w:r>
      <w:proofErr w:type="spellStart"/>
      <w:r>
        <w:rPr>
          <w:rFonts w:ascii="Arial" w:hAnsi="Arial" w:cs="Arial"/>
          <w:sz w:val="24"/>
          <w:szCs w:val="24"/>
        </w:rPr>
        <w:t>Hiangoro</w:t>
      </w:r>
      <w:proofErr w:type="spellEnd"/>
      <w:r w:rsidR="00906462">
        <w:rPr>
          <w:rFonts w:ascii="Arial" w:hAnsi="Arial" w:cs="Arial"/>
          <w:sz w:val="24"/>
          <w:szCs w:val="24"/>
        </w:rPr>
        <w:t xml:space="preserve"> (a plaintiff witness),</w:t>
      </w:r>
      <w:r>
        <w:rPr>
          <w:rFonts w:ascii="Arial" w:hAnsi="Arial" w:cs="Arial"/>
          <w:sz w:val="24"/>
          <w:szCs w:val="24"/>
        </w:rPr>
        <w:t xml:space="preserve"> who at the material time</w:t>
      </w:r>
      <w:r w:rsidR="00906462">
        <w:rPr>
          <w:rFonts w:ascii="Arial" w:hAnsi="Arial" w:cs="Arial"/>
          <w:sz w:val="24"/>
          <w:szCs w:val="24"/>
        </w:rPr>
        <w:t>,</w:t>
      </w:r>
      <w:r>
        <w:rPr>
          <w:rFonts w:ascii="Arial" w:hAnsi="Arial" w:cs="Arial"/>
          <w:sz w:val="24"/>
          <w:szCs w:val="24"/>
        </w:rPr>
        <w:t xml:space="preserve"> was une</w:t>
      </w:r>
      <w:r w:rsidR="003417EE">
        <w:rPr>
          <w:rFonts w:ascii="Arial" w:hAnsi="Arial" w:cs="Arial"/>
          <w:sz w:val="24"/>
          <w:szCs w:val="24"/>
        </w:rPr>
        <w:t xml:space="preserve">mployed and had </w:t>
      </w:r>
      <w:r w:rsidR="00537796">
        <w:rPr>
          <w:rFonts w:ascii="Arial" w:hAnsi="Arial" w:cs="Arial"/>
          <w:sz w:val="24"/>
          <w:szCs w:val="24"/>
        </w:rPr>
        <w:t>difficulty</w:t>
      </w:r>
      <w:r>
        <w:rPr>
          <w:rFonts w:ascii="Arial" w:hAnsi="Arial" w:cs="Arial"/>
          <w:sz w:val="24"/>
          <w:szCs w:val="24"/>
        </w:rPr>
        <w:t xml:space="preserve"> </w:t>
      </w:r>
      <w:r w:rsidR="002E3A9C">
        <w:rPr>
          <w:rFonts w:ascii="Arial" w:hAnsi="Arial" w:cs="Arial"/>
          <w:sz w:val="24"/>
          <w:szCs w:val="24"/>
        </w:rPr>
        <w:t>in fin</w:t>
      </w:r>
      <w:r>
        <w:rPr>
          <w:rFonts w:ascii="Arial" w:hAnsi="Arial" w:cs="Arial"/>
          <w:sz w:val="24"/>
          <w:szCs w:val="24"/>
        </w:rPr>
        <w:t>ding accommodation for herself and her children</w:t>
      </w:r>
      <w:r w:rsidR="003417EE">
        <w:rPr>
          <w:rFonts w:ascii="Arial" w:hAnsi="Arial" w:cs="Arial"/>
          <w:sz w:val="24"/>
          <w:szCs w:val="24"/>
        </w:rPr>
        <w:t>,</w:t>
      </w:r>
      <w:r>
        <w:rPr>
          <w:rFonts w:ascii="Arial" w:hAnsi="Arial" w:cs="Arial"/>
          <w:sz w:val="24"/>
          <w:szCs w:val="24"/>
        </w:rPr>
        <w:t xml:space="preserve"> one of whom has special needs. Plaintiff acceded to defendant’s entreaty. A year or two later plaintiff, who has no children of his own, told </w:t>
      </w:r>
      <w:proofErr w:type="spellStart"/>
      <w:r>
        <w:rPr>
          <w:rFonts w:ascii="Arial" w:hAnsi="Arial" w:cs="Arial"/>
          <w:sz w:val="24"/>
          <w:szCs w:val="24"/>
        </w:rPr>
        <w:t>Vindeline</w:t>
      </w:r>
      <w:proofErr w:type="spellEnd"/>
      <w:r>
        <w:rPr>
          <w:rFonts w:ascii="Arial" w:hAnsi="Arial" w:cs="Arial"/>
          <w:sz w:val="24"/>
          <w:szCs w:val="24"/>
        </w:rPr>
        <w:t xml:space="preserve"> that he wished to give the property to her as a donation. </w:t>
      </w:r>
      <w:proofErr w:type="spellStart"/>
      <w:r>
        <w:rPr>
          <w:rFonts w:ascii="Arial" w:hAnsi="Arial" w:cs="Arial"/>
          <w:sz w:val="24"/>
          <w:szCs w:val="24"/>
        </w:rPr>
        <w:t>Vindeline</w:t>
      </w:r>
      <w:proofErr w:type="spellEnd"/>
      <w:r>
        <w:rPr>
          <w:rFonts w:ascii="Arial" w:hAnsi="Arial" w:cs="Arial"/>
          <w:sz w:val="24"/>
          <w:szCs w:val="24"/>
        </w:rPr>
        <w:t xml:space="preserve"> did not take up the offer because as she was unemployed she could not afford the transfer costs involved. She suggested that plaintiff should rather give the property to her mother and plaintiff’s sister, </w:t>
      </w:r>
      <w:proofErr w:type="spellStart"/>
      <w:r>
        <w:rPr>
          <w:rFonts w:ascii="Arial" w:hAnsi="Arial" w:cs="Arial"/>
          <w:sz w:val="24"/>
          <w:szCs w:val="24"/>
        </w:rPr>
        <w:t>ie</w:t>
      </w:r>
      <w:proofErr w:type="spellEnd"/>
      <w:r>
        <w:rPr>
          <w:rFonts w:ascii="Arial" w:hAnsi="Arial" w:cs="Arial"/>
          <w:sz w:val="24"/>
          <w:szCs w:val="24"/>
        </w:rPr>
        <w:t xml:space="preserve"> the defendant, who, because she was a farmer, could afford to pay such costs. All this evidence</w:t>
      </w:r>
      <w:r w:rsidR="003417EE">
        <w:rPr>
          <w:rFonts w:ascii="Arial" w:hAnsi="Arial" w:cs="Arial"/>
          <w:sz w:val="24"/>
          <w:szCs w:val="24"/>
        </w:rPr>
        <w:t xml:space="preserve"> was</w:t>
      </w:r>
      <w:r>
        <w:rPr>
          <w:rFonts w:ascii="Arial" w:hAnsi="Arial" w:cs="Arial"/>
          <w:sz w:val="24"/>
          <w:szCs w:val="24"/>
        </w:rPr>
        <w:t xml:space="preserve"> corroborated </w:t>
      </w:r>
      <w:r w:rsidR="003417EE">
        <w:rPr>
          <w:rFonts w:ascii="Arial" w:hAnsi="Arial" w:cs="Arial"/>
          <w:sz w:val="24"/>
          <w:szCs w:val="24"/>
        </w:rPr>
        <w:t xml:space="preserve">in material respects </w:t>
      </w:r>
      <w:r>
        <w:rPr>
          <w:rFonts w:ascii="Arial" w:hAnsi="Arial" w:cs="Arial"/>
          <w:sz w:val="24"/>
          <w:szCs w:val="24"/>
        </w:rPr>
        <w:t xml:space="preserve">by </w:t>
      </w:r>
      <w:proofErr w:type="spellStart"/>
      <w:r w:rsidR="00DE7DA2">
        <w:rPr>
          <w:rFonts w:ascii="Arial" w:hAnsi="Arial" w:cs="Arial"/>
          <w:sz w:val="24"/>
          <w:szCs w:val="24"/>
        </w:rPr>
        <w:t>Vi</w:t>
      </w:r>
      <w:r>
        <w:rPr>
          <w:rFonts w:ascii="Arial" w:hAnsi="Arial" w:cs="Arial"/>
          <w:sz w:val="24"/>
          <w:szCs w:val="24"/>
        </w:rPr>
        <w:t>ndeline</w:t>
      </w:r>
      <w:proofErr w:type="spellEnd"/>
      <w:r w:rsidR="008802A5">
        <w:rPr>
          <w:rFonts w:ascii="Arial" w:hAnsi="Arial" w:cs="Arial"/>
          <w:sz w:val="24"/>
          <w:szCs w:val="24"/>
        </w:rPr>
        <w:t xml:space="preserve">. I find that </w:t>
      </w:r>
      <w:proofErr w:type="spellStart"/>
      <w:r w:rsidR="008802A5">
        <w:rPr>
          <w:rFonts w:ascii="Arial" w:hAnsi="Arial" w:cs="Arial"/>
          <w:sz w:val="24"/>
          <w:szCs w:val="24"/>
        </w:rPr>
        <w:t>Vindeline’s</w:t>
      </w:r>
      <w:proofErr w:type="spellEnd"/>
      <w:r w:rsidR="008802A5">
        <w:rPr>
          <w:rFonts w:ascii="Arial" w:hAnsi="Arial" w:cs="Arial"/>
          <w:sz w:val="24"/>
          <w:szCs w:val="24"/>
        </w:rPr>
        <w:t xml:space="preserve"> suggestion would have made sense to </w:t>
      </w:r>
      <w:r w:rsidR="008802A5">
        <w:rPr>
          <w:rFonts w:ascii="Arial" w:hAnsi="Arial" w:cs="Arial"/>
          <w:sz w:val="24"/>
          <w:szCs w:val="24"/>
        </w:rPr>
        <w:lastRenderedPageBreak/>
        <w:t xml:space="preserve">plaintiff. Having no children of his own, his wish was to give the property to his niece </w:t>
      </w:r>
      <w:proofErr w:type="spellStart"/>
      <w:r w:rsidR="008802A5">
        <w:rPr>
          <w:rFonts w:ascii="Arial" w:hAnsi="Arial" w:cs="Arial"/>
          <w:sz w:val="24"/>
          <w:szCs w:val="24"/>
        </w:rPr>
        <w:t>Vindeline</w:t>
      </w:r>
      <w:proofErr w:type="spellEnd"/>
      <w:r w:rsidR="008802A5">
        <w:rPr>
          <w:rFonts w:ascii="Arial" w:hAnsi="Arial" w:cs="Arial"/>
          <w:sz w:val="24"/>
          <w:szCs w:val="24"/>
        </w:rPr>
        <w:t xml:space="preserve">, as he testified, so that </w:t>
      </w:r>
      <w:proofErr w:type="spellStart"/>
      <w:r w:rsidR="008802A5">
        <w:rPr>
          <w:rFonts w:ascii="Arial" w:hAnsi="Arial" w:cs="Arial"/>
          <w:sz w:val="24"/>
          <w:szCs w:val="24"/>
        </w:rPr>
        <w:t>Vindeline</w:t>
      </w:r>
      <w:proofErr w:type="spellEnd"/>
      <w:r w:rsidR="008802A5">
        <w:rPr>
          <w:rFonts w:ascii="Arial" w:hAnsi="Arial" w:cs="Arial"/>
          <w:sz w:val="24"/>
          <w:szCs w:val="24"/>
        </w:rPr>
        <w:t xml:space="preserve"> would not</w:t>
      </w:r>
      <w:r w:rsidR="00DE7DA2">
        <w:rPr>
          <w:rFonts w:ascii="Arial" w:hAnsi="Arial" w:cs="Arial"/>
          <w:sz w:val="24"/>
          <w:szCs w:val="24"/>
        </w:rPr>
        <w:t xml:space="preserve"> become</w:t>
      </w:r>
      <w:r w:rsidR="008802A5">
        <w:rPr>
          <w:rFonts w:ascii="Arial" w:hAnsi="Arial" w:cs="Arial"/>
          <w:sz w:val="24"/>
          <w:szCs w:val="24"/>
        </w:rPr>
        <w:t xml:space="preserve"> a destitute. </w:t>
      </w:r>
    </w:p>
    <w:p w:rsidR="008802A5" w:rsidRDefault="008802A5" w:rsidP="004932E3">
      <w:pPr>
        <w:spacing w:after="0" w:line="360" w:lineRule="auto"/>
        <w:jc w:val="both"/>
        <w:rPr>
          <w:rFonts w:ascii="Arial" w:hAnsi="Arial" w:cs="Arial"/>
          <w:sz w:val="24"/>
          <w:szCs w:val="24"/>
        </w:rPr>
      </w:pPr>
    </w:p>
    <w:p w:rsidR="008802A5" w:rsidRDefault="008802A5" w:rsidP="004932E3">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proofErr w:type="spellStart"/>
      <w:r>
        <w:rPr>
          <w:rFonts w:ascii="Arial" w:hAnsi="Arial" w:cs="Arial"/>
          <w:sz w:val="24"/>
          <w:szCs w:val="24"/>
        </w:rPr>
        <w:t>Vindeline’s</w:t>
      </w:r>
      <w:proofErr w:type="spellEnd"/>
      <w:r w:rsidR="003417EE">
        <w:rPr>
          <w:rFonts w:ascii="Arial" w:hAnsi="Arial" w:cs="Arial"/>
          <w:sz w:val="24"/>
          <w:szCs w:val="24"/>
        </w:rPr>
        <w:t xml:space="preserve"> further</w:t>
      </w:r>
      <w:r>
        <w:rPr>
          <w:rFonts w:ascii="Arial" w:hAnsi="Arial" w:cs="Arial"/>
          <w:sz w:val="24"/>
          <w:szCs w:val="24"/>
        </w:rPr>
        <w:t xml:space="preserve"> evidence is that when her mother came to Windhoek she, </w:t>
      </w:r>
      <w:proofErr w:type="spellStart"/>
      <w:r>
        <w:rPr>
          <w:rFonts w:ascii="Arial" w:hAnsi="Arial" w:cs="Arial"/>
          <w:sz w:val="24"/>
          <w:szCs w:val="24"/>
        </w:rPr>
        <w:t>Vindeline</w:t>
      </w:r>
      <w:proofErr w:type="spellEnd"/>
      <w:r>
        <w:rPr>
          <w:rFonts w:ascii="Arial" w:hAnsi="Arial" w:cs="Arial"/>
          <w:sz w:val="24"/>
          <w:szCs w:val="24"/>
        </w:rPr>
        <w:t xml:space="preserve">, informed her mother about plaintiff’s wish; and her mother, the defendant, agreed to accept the donation. Plaintiff’s conditions in donating the property to defendant was </w:t>
      </w:r>
      <w:r w:rsidR="003417EE">
        <w:rPr>
          <w:rFonts w:ascii="Arial" w:hAnsi="Arial" w:cs="Arial"/>
          <w:sz w:val="24"/>
          <w:szCs w:val="24"/>
        </w:rPr>
        <w:t>th</w:t>
      </w:r>
      <w:r>
        <w:rPr>
          <w:rFonts w:ascii="Arial" w:hAnsi="Arial" w:cs="Arial"/>
          <w:sz w:val="24"/>
          <w:szCs w:val="24"/>
        </w:rPr>
        <w:t xml:space="preserve">at (a) plaintiff would occupy two rooms of the </w:t>
      </w:r>
      <w:r w:rsidR="003417EE">
        <w:rPr>
          <w:rFonts w:ascii="Arial" w:hAnsi="Arial" w:cs="Arial"/>
          <w:sz w:val="24"/>
          <w:szCs w:val="24"/>
        </w:rPr>
        <w:t>property for the rest of his lif</w:t>
      </w:r>
      <w:r>
        <w:rPr>
          <w:rFonts w:ascii="Arial" w:hAnsi="Arial" w:cs="Arial"/>
          <w:sz w:val="24"/>
          <w:szCs w:val="24"/>
        </w:rPr>
        <w:t>e; (b) plaintiff’s and defendant’s family members will occupy and use part of the property; and (c) the property shall not be leased to third parties.</w:t>
      </w:r>
    </w:p>
    <w:p w:rsidR="008802A5" w:rsidRDefault="008802A5" w:rsidP="004932E3">
      <w:pPr>
        <w:spacing w:after="0" w:line="360" w:lineRule="auto"/>
        <w:jc w:val="both"/>
        <w:rPr>
          <w:rFonts w:ascii="Arial" w:hAnsi="Arial" w:cs="Arial"/>
          <w:sz w:val="24"/>
          <w:szCs w:val="24"/>
        </w:rPr>
      </w:pPr>
    </w:p>
    <w:p w:rsidR="008802A5" w:rsidRDefault="008802A5" w:rsidP="004932E3">
      <w:pPr>
        <w:spacing w:after="0"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t xml:space="preserve">Defendant denies that plaintiff offered to donate the property to her on conditions (a), (b) and (c) in para 21 above. Her evidence is that in November 2008 she informed plaintiff that she was </w:t>
      </w:r>
      <w:r w:rsidRPr="008802A5">
        <w:rPr>
          <w:rFonts w:ascii="Arial" w:hAnsi="Arial" w:cs="Arial"/>
          <w:i/>
          <w:sz w:val="24"/>
          <w:szCs w:val="24"/>
        </w:rPr>
        <w:t>busy</w:t>
      </w:r>
      <w:r w:rsidR="00731A65">
        <w:rPr>
          <w:rFonts w:ascii="Arial" w:hAnsi="Arial" w:cs="Arial"/>
          <w:sz w:val="24"/>
          <w:szCs w:val="24"/>
        </w:rPr>
        <w:t xml:space="preserve"> looking for</w:t>
      </w:r>
      <w:r>
        <w:rPr>
          <w:rFonts w:ascii="Arial" w:hAnsi="Arial" w:cs="Arial"/>
          <w:sz w:val="24"/>
          <w:szCs w:val="24"/>
        </w:rPr>
        <w:t xml:space="preserve"> property to buy in Windhoek; and plaintiff advised her to b</w:t>
      </w:r>
      <w:r w:rsidR="00DE7DA2">
        <w:rPr>
          <w:rFonts w:ascii="Arial" w:hAnsi="Arial" w:cs="Arial"/>
          <w:sz w:val="24"/>
          <w:szCs w:val="24"/>
        </w:rPr>
        <w:t>u</w:t>
      </w:r>
      <w:r>
        <w:rPr>
          <w:rFonts w:ascii="Arial" w:hAnsi="Arial" w:cs="Arial"/>
          <w:sz w:val="24"/>
          <w:szCs w:val="24"/>
        </w:rPr>
        <w:t>y the property; and plaintiff agreed to sell the property to her for ‘N$60 000 and he would occupy two rooms in the house and that he would not need to pay rent’.</w:t>
      </w:r>
      <w:r w:rsidR="003417EE">
        <w:rPr>
          <w:rFonts w:ascii="Arial" w:hAnsi="Arial" w:cs="Arial"/>
          <w:sz w:val="24"/>
          <w:szCs w:val="24"/>
        </w:rPr>
        <w:t xml:space="preserve"> (Italicized for emphasis)</w:t>
      </w:r>
    </w:p>
    <w:p w:rsidR="008802A5" w:rsidRDefault="008802A5" w:rsidP="004932E3">
      <w:pPr>
        <w:spacing w:after="0" w:line="360" w:lineRule="auto"/>
        <w:jc w:val="both"/>
        <w:rPr>
          <w:rFonts w:ascii="Arial" w:hAnsi="Arial" w:cs="Arial"/>
          <w:sz w:val="24"/>
          <w:szCs w:val="24"/>
        </w:rPr>
      </w:pPr>
    </w:p>
    <w:p w:rsidR="00FA085C" w:rsidRDefault="008802A5" w:rsidP="004932E3">
      <w:pPr>
        <w:spacing w:after="0"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FA085C">
        <w:rPr>
          <w:rFonts w:ascii="Arial" w:hAnsi="Arial" w:cs="Arial"/>
          <w:sz w:val="24"/>
          <w:szCs w:val="24"/>
        </w:rPr>
        <w:t>I find that defendant’s version cannot on the probabilities be correct on the following ground</w:t>
      </w:r>
      <w:r w:rsidR="003417EE">
        <w:rPr>
          <w:rFonts w:ascii="Arial" w:hAnsi="Arial" w:cs="Arial"/>
          <w:sz w:val="24"/>
          <w:szCs w:val="24"/>
        </w:rPr>
        <w:t>s</w:t>
      </w:r>
      <w:r w:rsidR="00731A65">
        <w:rPr>
          <w:rFonts w:ascii="Arial" w:hAnsi="Arial" w:cs="Arial"/>
          <w:sz w:val="24"/>
          <w:szCs w:val="24"/>
        </w:rPr>
        <w:t>:</w:t>
      </w:r>
    </w:p>
    <w:p w:rsidR="00FA085C" w:rsidRPr="00FA085C" w:rsidRDefault="00731A65" w:rsidP="00FA085C">
      <w:pPr>
        <w:pStyle w:val="ListParagraph"/>
        <w:numPr>
          <w:ilvl w:val="0"/>
          <w:numId w:val="5"/>
        </w:numPr>
        <w:spacing w:after="0" w:line="360" w:lineRule="auto"/>
        <w:ind w:left="0" w:firstLine="0"/>
        <w:jc w:val="both"/>
        <w:rPr>
          <w:rFonts w:ascii="Arial" w:hAnsi="Arial" w:cs="Arial"/>
          <w:sz w:val="24"/>
          <w:szCs w:val="24"/>
        </w:rPr>
      </w:pPr>
      <w:r>
        <w:rPr>
          <w:rFonts w:ascii="Arial" w:hAnsi="Arial" w:cs="Arial"/>
          <w:sz w:val="24"/>
          <w:szCs w:val="24"/>
        </w:rPr>
        <w:t xml:space="preserve">Defendant </w:t>
      </w:r>
      <w:r w:rsidR="00FA085C">
        <w:rPr>
          <w:rFonts w:ascii="Arial" w:hAnsi="Arial" w:cs="Arial"/>
          <w:sz w:val="24"/>
          <w:szCs w:val="24"/>
        </w:rPr>
        <w:t xml:space="preserve">testified that she was ‘busy looking for property to buy </w:t>
      </w:r>
      <w:r w:rsidR="00DE7DA2">
        <w:rPr>
          <w:rFonts w:ascii="Arial" w:hAnsi="Arial" w:cs="Arial"/>
          <w:sz w:val="24"/>
          <w:szCs w:val="24"/>
        </w:rPr>
        <w:t>in</w:t>
      </w:r>
      <w:r w:rsidR="00FA085C">
        <w:rPr>
          <w:rFonts w:ascii="Arial" w:hAnsi="Arial" w:cs="Arial"/>
          <w:sz w:val="24"/>
          <w:szCs w:val="24"/>
        </w:rPr>
        <w:t xml:space="preserve"> Windhoek’. But not one iota of evidence was placed before the court tending to show how many property owners she approached and their identities in her ‘busy’ hunt for property to buy in Windhoek.</w:t>
      </w:r>
      <w:r w:rsidR="003417EE">
        <w:rPr>
          <w:rFonts w:ascii="Arial" w:hAnsi="Arial" w:cs="Arial"/>
          <w:sz w:val="24"/>
          <w:szCs w:val="24"/>
        </w:rPr>
        <w:t xml:space="preserve"> Was plaintiff the first and last property</w:t>
      </w:r>
      <w:r>
        <w:rPr>
          <w:rFonts w:ascii="Arial" w:hAnsi="Arial" w:cs="Arial"/>
          <w:sz w:val="24"/>
          <w:szCs w:val="24"/>
        </w:rPr>
        <w:t xml:space="preserve"> owner</w:t>
      </w:r>
      <w:r w:rsidR="003417EE">
        <w:rPr>
          <w:rFonts w:ascii="Arial" w:hAnsi="Arial" w:cs="Arial"/>
          <w:sz w:val="24"/>
          <w:szCs w:val="24"/>
        </w:rPr>
        <w:t xml:space="preserve"> she contacted? She does not say.</w:t>
      </w:r>
    </w:p>
    <w:p w:rsidR="003B4107" w:rsidRDefault="003B4107" w:rsidP="00CD7B63">
      <w:pPr>
        <w:spacing w:after="0" w:line="360" w:lineRule="auto"/>
        <w:jc w:val="both"/>
        <w:rPr>
          <w:rFonts w:ascii="Arial" w:eastAsia="Times New Roman" w:hAnsi="Arial" w:cs="Arial"/>
        </w:rPr>
      </w:pPr>
    </w:p>
    <w:p w:rsidR="00FA085C" w:rsidRPr="00FA085C" w:rsidRDefault="00FA085C" w:rsidP="00FA085C">
      <w:pPr>
        <w:pStyle w:val="ListParagraph"/>
        <w:numPr>
          <w:ilvl w:val="0"/>
          <w:numId w:val="5"/>
        </w:numPr>
        <w:spacing w:after="0" w:line="360" w:lineRule="auto"/>
        <w:ind w:left="0" w:firstLine="0"/>
        <w:jc w:val="both"/>
        <w:rPr>
          <w:rFonts w:ascii="Arial" w:eastAsia="Times New Roman" w:hAnsi="Arial" w:cs="Arial"/>
        </w:rPr>
      </w:pPr>
      <w:r w:rsidRPr="00FA085C">
        <w:rPr>
          <w:rFonts w:ascii="Arial" w:eastAsia="Times New Roman" w:hAnsi="Arial" w:cs="Arial"/>
          <w:sz w:val="24"/>
          <w:szCs w:val="24"/>
        </w:rPr>
        <w:t>Defendant’s</w:t>
      </w:r>
      <w:r>
        <w:rPr>
          <w:rFonts w:ascii="Arial" w:eastAsia="Times New Roman" w:hAnsi="Arial" w:cs="Arial"/>
        </w:rPr>
        <w:t xml:space="preserve"> </w:t>
      </w:r>
      <w:r>
        <w:rPr>
          <w:rFonts w:ascii="Arial" w:eastAsia="Times New Roman" w:hAnsi="Arial" w:cs="Arial"/>
          <w:sz w:val="24"/>
          <w:szCs w:val="24"/>
        </w:rPr>
        <w:t xml:space="preserve">evidence is that plaintiff agreed to sell the property to her for N$60 000, and plaintiff would occupy two rooms of the property for the rest of his life </w:t>
      </w:r>
      <w:r w:rsidR="003417EE">
        <w:rPr>
          <w:rFonts w:ascii="Arial" w:eastAsia="Times New Roman" w:hAnsi="Arial" w:cs="Arial"/>
          <w:sz w:val="24"/>
          <w:szCs w:val="24"/>
        </w:rPr>
        <w:t xml:space="preserve">and </w:t>
      </w:r>
      <w:r>
        <w:rPr>
          <w:rFonts w:ascii="Arial" w:eastAsia="Times New Roman" w:hAnsi="Arial" w:cs="Arial"/>
          <w:sz w:val="24"/>
          <w:szCs w:val="24"/>
        </w:rPr>
        <w:t xml:space="preserve">he would not pay any rent. Not one grain of evidence was placed before the court to explain satisfactorily why, if the seller intended to sell the property to defendant and defendant intended to purchase the property for the </w:t>
      </w:r>
      <w:r w:rsidRPr="00A51299">
        <w:rPr>
          <w:rFonts w:ascii="Arial" w:eastAsia="Times New Roman" w:hAnsi="Arial" w:cs="Arial"/>
          <w:sz w:val="24"/>
          <w:szCs w:val="24"/>
        </w:rPr>
        <w:t>full</w:t>
      </w:r>
      <w:r>
        <w:rPr>
          <w:rFonts w:ascii="Arial" w:eastAsia="Times New Roman" w:hAnsi="Arial" w:cs="Arial"/>
          <w:sz w:val="24"/>
          <w:szCs w:val="24"/>
        </w:rPr>
        <w:t xml:space="preserve"> consideration of N$60 000, that plaintiff would dictate terms that would materially encumber defendant’s rights in her own property.</w:t>
      </w:r>
    </w:p>
    <w:p w:rsidR="00FA085C" w:rsidRPr="00FA085C" w:rsidRDefault="00FA085C" w:rsidP="00FA085C">
      <w:pPr>
        <w:pStyle w:val="ListParagraph"/>
        <w:rPr>
          <w:rFonts w:ascii="Arial" w:eastAsia="Times New Roman" w:hAnsi="Arial" w:cs="Arial"/>
        </w:rPr>
      </w:pPr>
    </w:p>
    <w:p w:rsidR="00FA085C" w:rsidRDefault="00FA085C" w:rsidP="00FA085C">
      <w:pPr>
        <w:pStyle w:val="ListParagraph"/>
        <w:numPr>
          <w:ilvl w:val="0"/>
          <w:numId w:val="5"/>
        </w:numPr>
        <w:spacing w:after="0" w:line="360" w:lineRule="auto"/>
        <w:ind w:left="0" w:firstLine="0"/>
        <w:jc w:val="both"/>
        <w:rPr>
          <w:rFonts w:ascii="Arial" w:eastAsia="Times New Roman" w:hAnsi="Arial" w:cs="Arial"/>
          <w:sz w:val="24"/>
          <w:szCs w:val="24"/>
        </w:rPr>
      </w:pPr>
      <w:r w:rsidRPr="00FA085C">
        <w:rPr>
          <w:rFonts w:ascii="Arial" w:eastAsia="Times New Roman" w:hAnsi="Arial" w:cs="Arial"/>
          <w:sz w:val="24"/>
          <w:szCs w:val="24"/>
        </w:rPr>
        <w:lastRenderedPageBreak/>
        <w:t xml:space="preserve">We know that it is common </w:t>
      </w:r>
      <w:proofErr w:type="gramStart"/>
      <w:r w:rsidRPr="00FA085C">
        <w:rPr>
          <w:rFonts w:ascii="Arial" w:eastAsia="Times New Roman" w:hAnsi="Arial" w:cs="Arial"/>
          <w:sz w:val="24"/>
          <w:szCs w:val="24"/>
        </w:rPr>
        <w:t>cause</w:t>
      </w:r>
      <w:proofErr w:type="gramEnd"/>
      <w:r w:rsidRPr="00FA085C">
        <w:rPr>
          <w:rFonts w:ascii="Arial" w:eastAsia="Times New Roman" w:hAnsi="Arial" w:cs="Arial"/>
          <w:sz w:val="24"/>
          <w:szCs w:val="24"/>
        </w:rPr>
        <w:t xml:space="preserve"> between the parties that to date the alleged purchase price has not been paid to plaintiff.</w:t>
      </w:r>
      <w:r w:rsidR="005A4CDD">
        <w:rPr>
          <w:rFonts w:ascii="Arial" w:eastAsia="Times New Roman" w:hAnsi="Arial" w:cs="Arial"/>
          <w:sz w:val="24"/>
          <w:szCs w:val="24"/>
        </w:rPr>
        <w:t xml:space="preserve"> When this fact was put to defe</w:t>
      </w:r>
      <w:r w:rsidR="003417EE">
        <w:rPr>
          <w:rFonts w:ascii="Arial" w:eastAsia="Times New Roman" w:hAnsi="Arial" w:cs="Arial"/>
          <w:sz w:val="24"/>
          <w:szCs w:val="24"/>
        </w:rPr>
        <w:t>ndant in her cross-examination-</w:t>
      </w:r>
      <w:r w:rsidR="005A4CDD">
        <w:rPr>
          <w:rFonts w:ascii="Arial" w:eastAsia="Times New Roman" w:hAnsi="Arial" w:cs="Arial"/>
          <w:sz w:val="24"/>
          <w:szCs w:val="24"/>
        </w:rPr>
        <w:t>evidence, her answer was that plaintiff said he would not accept the purchase price because he was not paying rent. But that was not part of her examination-in-chief-evidence. I note that this afterthought answer weighs heavily against the credibility of defendant.</w:t>
      </w:r>
    </w:p>
    <w:p w:rsidR="005A4CDD" w:rsidRPr="005A4CDD" w:rsidRDefault="005A4CDD" w:rsidP="005A4CDD">
      <w:pPr>
        <w:pStyle w:val="ListParagraph"/>
        <w:rPr>
          <w:rFonts w:ascii="Arial" w:eastAsia="Times New Roman" w:hAnsi="Arial" w:cs="Arial"/>
          <w:sz w:val="24"/>
          <w:szCs w:val="24"/>
        </w:rPr>
      </w:pPr>
    </w:p>
    <w:p w:rsidR="005A4CDD" w:rsidRDefault="005A4CDD" w:rsidP="00FA085C">
      <w:pPr>
        <w:pStyle w:val="ListParagraph"/>
        <w:numPr>
          <w:ilvl w:val="0"/>
          <w:numId w:val="5"/>
        </w:numPr>
        <w:spacing w:after="0" w:line="360" w:lineRule="auto"/>
        <w:ind w:left="0" w:firstLine="0"/>
        <w:jc w:val="both"/>
        <w:rPr>
          <w:rFonts w:ascii="Arial" w:eastAsia="Times New Roman" w:hAnsi="Arial" w:cs="Arial"/>
          <w:sz w:val="24"/>
          <w:szCs w:val="24"/>
        </w:rPr>
      </w:pPr>
      <w:r>
        <w:rPr>
          <w:rFonts w:ascii="Arial" w:eastAsia="Times New Roman" w:hAnsi="Arial" w:cs="Arial"/>
          <w:sz w:val="24"/>
          <w:szCs w:val="24"/>
        </w:rPr>
        <w:t xml:space="preserve">Added to this fact is, </w:t>
      </w:r>
      <w:r w:rsidR="00A51299">
        <w:rPr>
          <w:rFonts w:ascii="Arial" w:eastAsia="Times New Roman" w:hAnsi="Arial" w:cs="Arial"/>
          <w:sz w:val="24"/>
          <w:szCs w:val="24"/>
        </w:rPr>
        <w:t xml:space="preserve">Why </w:t>
      </w:r>
      <w:r>
        <w:rPr>
          <w:rFonts w:ascii="Arial" w:eastAsia="Times New Roman" w:hAnsi="Arial" w:cs="Arial"/>
          <w:sz w:val="24"/>
          <w:szCs w:val="24"/>
        </w:rPr>
        <w:t>would the Deed of Sale provide in express terms that the purchase price of the property is N$60 000 and that</w:t>
      </w:r>
      <w:r w:rsidR="003417EE">
        <w:rPr>
          <w:rFonts w:ascii="Arial" w:eastAsia="Times New Roman" w:hAnsi="Arial" w:cs="Arial"/>
          <w:sz w:val="24"/>
          <w:szCs w:val="24"/>
        </w:rPr>
        <w:t xml:space="preserve"> that</w:t>
      </w:r>
      <w:r>
        <w:rPr>
          <w:rFonts w:ascii="Arial" w:eastAsia="Times New Roman" w:hAnsi="Arial" w:cs="Arial"/>
          <w:sz w:val="24"/>
          <w:szCs w:val="24"/>
        </w:rPr>
        <w:t xml:space="preserve"> amount had been paid? I find that as defendant was signing the instrument she knew that</w:t>
      </w:r>
      <w:r w:rsidR="003417EE">
        <w:rPr>
          <w:rFonts w:ascii="Arial" w:eastAsia="Times New Roman" w:hAnsi="Arial" w:cs="Arial"/>
          <w:sz w:val="24"/>
          <w:szCs w:val="24"/>
        </w:rPr>
        <w:t xml:space="preserve"> </w:t>
      </w:r>
      <w:r w:rsidR="00731A65">
        <w:rPr>
          <w:rFonts w:ascii="Arial" w:eastAsia="Times New Roman" w:hAnsi="Arial" w:cs="Arial"/>
          <w:sz w:val="24"/>
          <w:szCs w:val="24"/>
        </w:rPr>
        <w:t>the</w:t>
      </w:r>
      <w:r>
        <w:rPr>
          <w:rFonts w:ascii="Arial" w:eastAsia="Times New Roman" w:hAnsi="Arial" w:cs="Arial"/>
          <w:sz w:val="24"/>
          <w:szCs w:val="24"/>
        </w:rPr>
        <w:t xml:space="preserve"> N$60 000 had</w:t>
      </w:r>
      <w:r w:rsidR="00A51299">
        <w:rPr>
          <w:rFonts w:ascii="Arial" w:eastAsia="Times New Roman" w:hAnsi="Arial" w:cs="Arial"/>
          <w:sz w:val="24"/>
          <w:szCs w:val="24"/>
        </w:rPr>
        <w:t xml:space="preserve"> not</w:t>
      </w:r>
      <w:r>
        <w:rPr>
          <w:rFonts w:ascii="Arial" w:eastAsia="Times New Roman" w:hAnsi="Arial" w:cs="Arial"/>
          <w:sz w:val="24"/>
          <w:szCs w:val="24"/>
        </w:rPr>
        <w:t xml:space="preserve"> been paid because it was not plaintiff’s intention to sell the property to her, and it was not her intention to purchase the property.</w:t>
      </w:r>
      <w:r w:rsidR="00731A65">
        <w:rPr>
          <w:rFonts w:ascii="Arial" w:eastAsia="Times New Roman" w:hAnsi="Arial" w:cs="Arial"/>
          <w:sz w:val="24"/>
          <w:szCs w:val="24"/>
        </w:rPr>
        <w:t xml:space="preserve"> To answer the real question, I hold that the intention of the parties was that plaintiff would give the property to defendant as a donation, and he would occupy two rooms for the rest of his life and his niece </w:t>
      </w:r>
      <w:proofErr w:type="spellStart"/>
      <w:r w:rsidR="00731A65">
        <w:rPr>
          <w:rFonts w:ascii="Arial" w:eastAsia="Times New Roman" w:hAnsi="Arial" w:cs="Arial"/>
          <w:sz w:val="24"/>
          <w:szCs w:val="24"/>
        </w:rPr>
        <w:t>Vindeline</w:t>
      </w:r>
      <w:proofErr w:type="spellEnd"/>
      <w:r w:rsidR="00731A65">
        <w:rPr>
          <w:rFonts w:ascii="Arial" w:eastAsia="Times New Roman" w:hAnsi="Arial" w:cs="Arial"/>
          <w:sz w:val="24"/>
          <w:szCs w:val="24"/>
        </w:rPr>
        <w:t xml:space="preserve"> and other family members will also occupy and use the property. (See </w:t>
      </w:r>
      <w:r w:rsidR="00731A65" w:rsidRPr="00731A65">
        <w:rPr>
          <w:rFonts w:ascii="Arial" w:eastAsia="Times New Roman" w:hAnsi="Arial" w:cs="Arial"/>
          <w:i/>
          <w:sz w:val="24"/>
          <w:szCs w:val="24"/>
        </w:rPr>
        <w:t>Beckett v Tower Assets Co</w:t>
      </w:r>
      <w:r w:rsidR="00731A65">
        <w:rPr>
          <w:rFonts w:ascii="Arial" w:eastAsia="Times New Roman" w:hAnsi="Arial" w:cs="Arial"/>
          <w:sz w:val="24"/>
          <w:szCs w:val="24"/>
        </w:rPr>
        <w:t>, referred to in para 17 of this judgment.)</w:t>
      </w:r>
    </w:p>
    <w:p w:rsidR="005A4CDD" w:rsidRPr="00143230" w:rsidRDefault="005A4CDD" w:rsidP="00143230">
      <w:pPr>
        <w:rPr>
          <w:rFonts w:ascii="Arial" w:eastAsia="Times New Roman" w:hAnsi="Arial" w:cs="Arial"/>
          <w:sz w:val="24"/>
          <w:szCs w:val="24"/>
        </w:rPr>
      </w:pPr>
    </w:p>
    <w:p w:rsidR="005A4CDD" w:rsidRDefault="003417EE" w:rsidP="00FA085C">
      <w:pPr>
        <w:pStyle w:val="ListParagraph"/>
        <w:numPr>
          <w:ilvl w:val="0"/>
          <w:numId w:val="5"/>
        </w:numPr>
        <w:spacing w:after="0" w:line="360" w:lineRule="auto"/>
        <w:ind w:left="0" w:firstLine="0"/>
        <w:jc w:val="both"/>
        <w:rPr>
          <w:rFonts w:ascii="Arial" w:eastAsia="Times New Roman" w:hAnsi="Arial" w:cs="Arial"/>
          <w:sz w:val="24"/>
          <w:szCs w:val="24"/>
        </w:rPr>
      </w:pPr>
      <w:r>
        <w:rPr>
          <w:rFonts w:ascii="Arial" w:eastAsia="Times New Roman" w:hAnsi="Arial" w:cs="Arial"/>
          <w:sz w:val="24"/>
          <w:szCs w:val="24"/>
        </w:rPr>
        <w:t xml:space="preserve">Defendant </w:t>
      </w:r>
      <w:r w:rsidR="005A4CDD">
        <w:rPr>
          <w:rFonts w:ascii="Arial" w:eastAsia="Times New Roman" w:hAnsi="Arial" w:cs="Arial"/>
          <w:sz w:val="24"/>
          <w:szCs w:val="24"/>
        </w:rPr>
        <w:t>testified</w:t>
      </w:r>
      <w:r>
        <w:rPr>
          <w:rFonts w:ascii="Arial" w:eastAsia="Times New Roman" w:hAnsi="Arial" w:cs="Arial"/>
          <w:sz w:val="24"/>
          <w:szCs w:val="24"/>
        </w:rPr>
        <w:t xml:space="preserve"> further</w:t>
      </w:r>
      <w:r w:rsidR="005A4CDD">
        <w:rPr>
          <w:rFonts w:ascii="Arial" w:eastAsia="Times New Roman" w:hAnsi="Arial" w:cs="Arial"/>
          <w:sz w:val="24"/>
          <w:szCs w:val="24"/>
        </w:rPr>
        <w:t xml:space="preserve"> that before plaintiff and defendant approached legal practitioners that were to assist them in the transfer of the property, she informed the plaintiff that since she would be the owner of the property she wo</w:t>
      </w:r>
      <w:r w:rsidR="00F01E43">
        <w:rPr>
          <w:rFonts w:ascii="Arial" w:eastAsia="Times New Roman" w:hAnsi="Arial" w:cs="Arial"/>
          <w:sz w:val="24"/>
          <w:szCs w:val="24"/>
        </w:rPr>
        <w:t>u</w:t>
      </w:r>
      <w:r w:rsidR="005A4CDD">
        <w:rPr>
          <w:rFonts w:ascii="Arial" w:eastAsia="Times New Roman" w:hAnsi="Arial" w:cs="Arial"/>
          <w:sz w:val="24"/>
          <w:szCs w:val="24"/>
        </w:rPr>
        <w:t xml:space="preserve">ld like to erect flats at the back yard on the property. According to her, plaintiff had no objection to that and she started erecting the outside flat. If the intention of </w:t>
      </w:r>
      <w:r w:rsidR="00624CE1">
        <w:rPr>
          <w:rFonts w:ascii="Arial" w:eastAsia="Times New Roman" w:hAnsi="Arial" w:cs="Arial"/>
          <w:sz w:val="24"/>
          <w:szCs w:val="24"/>
        </w:rPr>
        <w:t>plaintiff</w:t>
      </w:r>
      <w:r w:rsidR="005A4CDD">
        <w:rPr>
          <w:rFonts w:ascii="Arial" w:eastAsia="Times New Roman" w:hAnsi="Arial" w:cs="Arial"/>
          <w:sz w:val="24"/>
          <w:szCs w:val="24"/>
        </w:rPr>
        <w:t xml:space="preserve"> was to sell the property to defendant, and defendant’</w:t>
      </w:r>
      <w:r w:rsidR="00624CE1">
        <w:rPr>
          <w:rFonts w:ascii="Arial" w:eastAsia="Times New Roman" w:hAnsi="Arial" w:cs="Arial"/>
          <w:sz w:val="24"/>
          <w:szCs w:val="24"/>
        </w:rPr>
        <w:t xml:space="preserve">s intention </w:t>
      </w:r>
      <w:r w:rsidR="005A4CDD">
        <w:rPr>
          <w:rFonts w:ascii="Arial" w:eastAsia="Times New Roman" w:hAnsi="Arial" w:cs="Arial"/>
          <w:sz w:val="24"/>
          <w:szCs w:val="24"/>
        </w:rPr>
        <w:t>was to purchase the property</w:t>
      </w:r>
      <w:r w:rsidR="00624CE1">
        <w:rPr>
          <w:rFonts w:ascii="Arial" w:eastAsia="Times New Roman" w:hAnsi="Arial" w:cs="Arial"/>
          <w:sz w:val="24"/>
          <w:szCs w:val="24"/>
        </w:rPr>
        <w:t xml:space="preserve"> as the new owner, and there was </w:t>
      </w:r>
      <w:r w:rsidR="00624CE1" w:rsidRPr="003417EE">
        <w:rPr>
          <w:rFonts w:ascii="Arial" w:eastAsia="Times New Roman" w:hAnsi="Arial" w:cs="Arial"/>
          <w:i/>
          <w:sz w:val="24"/>
          <w:szCs w:val="24"/>
        </w:rPr>
        <w:t>consensus ad idem</w:t>
      </w:r>
      <w:r w:rsidR="00624CE1">
        <w:rPr>
          <w:rFonts w:ascii="Arial" w:eastAsia="Times New Roman" w:hAnsi="Arial" w:cs="Arial"/>
          <w:sz w:val="24"/>
          <w:szCs w:val="24"/>
        </w:rPr>
        <w:t xml:space="preserve"> as to a sale, why would she need the permission of plaintiff to erect the outside flat on her own property?</w:t>
      </w:r>
      <w:r>
        <w:rPr>
          <w:rFonts w:ascii="Arial" w:eastAsia="Times New Roman" w:hAnsi="Arial" w:cs="Arial"/>
          <w:sz w:val="24"/>
          <w:szCs w:val="24"/>
        </w:rPr>
        <w:t xml:space="preserve"> The conclusion is inevitable that t</w:t>
      </w:r>
      <w:r w:rsidR="00624CE1">
        <w:rPr>
          <w:rFonts w:ascii="Arial" w:eastAsia="Times New Roman" w:hAnsi="Arial" w:cs="Arial"/>
          <w:sz w:val="24"/>
          <w:szCs w:val="24"/>
        </w:rPr>
        <w:t xml:space="preserve">here was no </w:t>
      </w:r>
      <w:r w:rsidR="00624CE1" w:rsidRPr="003417EE">
        <w:rPr>
          <w:rFonts w:ascii="Arial" w:eastAsia="Times New Roman" w:hAnsi="Arial" w:cs="Arial"/>
          <w:i/>
          <w:sz w:val="24"/>
          <w:szCs w:val="24"/>
        </w:rPr>
        <w:t xml:space="preserve">consensus </w:t>
      </w:r>
      <w:proofErr w:type="spellStart"/>
      <w:r w:rsidR="00624CE1" w:rsidRPr="003417EE">
        <w:rPr>
          <w:rFonts w:ascii="Arial" w:eastAsia="Times New Roman" w:hAnsi="Arial" w:cs="Arial"/>
          <w:i/>
          <w:sz w:val="24"/>
          <w:szCs w:val="24"/>
        </w:rPr>
        <w:t>animorum</w:t>
      </w:r>
      <w:proofErr w:type="spellEnd"/>
      <w:r w:rsidR="00624CE1">
        <w:rPr>
          <w:rFonts w:ascii="Arial" w:eastAsia="Times New Roman" w:hAnsi="Arial" w:cs="Arial"/>
          <w:sz w:val="24"/>
          <w:szCs w:val="24"/>
        </w:rPr>
        <w:t xml:space="preserve"> about sale of </w:t>
      </w:r>
      <w:r w:rsidR="00731A65">
        <w:rPr>
          <w:rFonts w:ascii="Arial" w:eastAsia="Times New Roman" w:hAnsi="Arial" w:cs="Arial"/>
          <w:sz w:val="24"/>
          <w:szCs w:val="24"/>
        </w:rPr>
        <w:t xml:space="preserve">the </w:t>
      </w:r>
      <w:r w:rsidR="00624CE1">
        <w:rPr>
          <w:rFonts w:ascii="Arial" w:eastAsia="Times New Roman" w:hAnsi="Arial" w:cs="Arial"/>
          <w:sz w:val="24"/>
          <w:szCs w:val="24"/>
        </w:rPr>
        <w:t>property.</w:t>
      </w:r>
    </w:p>
    <w:p w:rsidR="00624CE1" w:rsidRDefault="00624CE1" w:rsidP="00624CE1">
      <w:pPr>
        <w:pStyle w:val="ListParagraph"/>
        <w:spacing w:after="0" w:line="360" w:lineRule="auto"/>
        <w:ind w:left="0"/>
        <w:jc w:val="both"/>
        <w:rPr>
          <w:rFonts w:ascii="Arial" w:eastAsia="Times New Roman" w:hAnsi="Arial" w:cs="Arial"/>
          <w:sz w:val="24"/>
          <w:szCs w:val="24"/>
        </w:rPr>
      </w:pPr>
    </w:p>
    <w:p w:rsidR="00624CE1" w:rsidRDefault="00624CE1" w:rsidP="00624CE1">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[24]</w:t>
      </w:r>
      <w:r>
        <w:rPr>
          <w:rFonts w:ascii="Arial" w:eastAsia="Times New Roman" w:hAnsi="Arial" w:cs="Arial"/>
          <w:sz w:val="24"/>
          <w:szCs w:val="24"/>
        </w:rPr>
        <w:tab/>
      </w:r>
      <w:r w:rsidR="00A47191">
        <w:rPr>
          <w:rFonts w:ascii="Arial" w:eastAsia="Times New Roman" w:hAnsi="Arial" w:cs="Arial"/>
          <w:sz w:val="24"/>
          <w:szCs w:val="24"/>
        </w:rPr>
        <w:t>Apart from the factual findings in para 23 above, there is this. In the particulars of claim, plaintiff claims that he and defendant were advised by the legal practitioners (who were to assist them in the transfer of the property) that</w:t>
      </w:r>
      <w:r w:rsidR="003417EE">
        <w:rPr>
          <w:rFonts w:ascii="Arial" w:eastAsia="Times New Roman" w:hAnsi="Arial" w:cs="Arial"/>
          <w:sz w:val="24"/>
          <w:szCs w:val="24"/>
        </w:rPr>
        <w:t xml:space="preserve"> to give effect to the donation</w:t>
      </w:r>
      <w:r w:rsidR="00A47191">
        <w:rPr>
          <w:rFonts w:ascii="Arial" w:eastAsia="Times New Roman" w:hAnsi="Arial" w:cs="Arial"/>
          <w:sz w:val="24"/>
          <w:szCs w:val="24"/>
        </w:rPr>
        <w:t xml:space="preserve"> and for the transaction to be expedited, plaintiff and defendant must sign a Deed of Sale</w:t>
      </w:r>
      <w:r w:rsidR="00A51299">
        <w:rPr>
          <w:rFonts w:ascii="Arial" w:eastAsia="Times New Roman" w:hAnsi="Arial" w:cs="Arial"/>
          <w:sz w:val="24"/>
          <w:szCs w:val="24"/>
        </w:rPr>
        <w:t xml:space="preserve">, which had been prepared in </w:t>
      </w:r>
      <w:proofErr w:type="spellStart"/>
      <w:r w:rsidR="00A51299">
        <w:rPr>
          <w:rFonts w:ascii="Arial" w:eastAsia="Times New Roman" w:hAnsi="Arial" w:cs="Arial"/>
          <w:sz w:val="24"/>
          <w:szCs w:val="24"/>
        </w:rPr>
        <w:t>proforma</w:t>
      </w:r>
      <w:proofErr w:type="spellEnd"/>
      <w:r w:rsidR="00A51299">
        <w:rPr>
          <w:rFonts w:ascii="Arial" w:eastAsia="Times New Roman" w:hAnsi="Arial" w:cs="Arial"/>
          <w:sz w:val="24"/>
          <w:szCs w:val="24"/>
        </w:rPr>
        <w:t>,</w:t>
      </w:r>
      <w:r w:rsidR="00A47191">
        <w:rPr>
          <w:rFonts w:ascii="Arial" w:eastAsia="Times New Roman" w:hAnsi="Arial" w:cs="Arial"/>
          <w:sz w:val="24"/>
          <w:szCs w:val="24"/>
        </w:rPr>
        <w:t xml:space="preserve"> in respect of the property. No wonder the Deed of </w:t>
      </w:r>
      <w:r w:rsidR="00F01E43">
        <w:rPr>
          <w:rFonts w:ascii="Arial" w:eastAsia="Times New Roman" w:hAnsi="Arial" w:cs="Arial"/>
          <w:sz w:val="24"/>
          <w:szCs w:val="24"/>
        </w:rPr>
        <w:t xml:space="preserve">Sale </w:t>
      </w:r>
      <w:r w:rsidR="00A47191">
        <w:rPr>
          <w:rFonts w:ascii="Arial" w:eastAsia="Times New Roman" w:hAnsi="Arial" w:cs="Arial"/>
          <w:sz w:val="24"/>
          <w:szCs w:val="24"/>
        </w:rPr>
        <w:t>provides that the purchase price of the property is N$60 000 and the amount had already been paid.</w:t>
      </w:r>
    </w:p>
    <w:p w:rsidR="00A47191" w:rsidRDefault="00A47191" w:rsidP="00624CE1">
      <w:pPr>
        <w:pStyle w:val="ListParagraph"/>
        <w:spacing w:after="0" w:line="360" w:lineRule="auto"/>
        <w:ind w:left="0"/>
        <w:jc w:val="both"/>
        <w:rPr>
          <w:rFonts w:ascii="Arial" w:eastAsia="Times New Roman" w:hAnsi="Arial" w:cs="Arial"/>
          <w:sz w:val="24"/>
          <w:szCs w:val="24"/>
        </w:rPr>
      </w:pPr>
    </w:p>
    <w:p w:rsidR="00A47191" w:rsidRDefault="00A47191" w:rsidP="00624CE1">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[25]</w:t>
      </w:r>
      <w:r>
        <w:rPr>
          <w:rFonts w:ascii="Arial" w:eastAsia="Times New Roman" w:hAnsi="Arial" w:cs="Arial"/>
          <w:sz w:val="24"/>
          <w:szCs w:val="24"/>
        </w:rPr>
        <w:tab/>
        <w:t>In our rule of practice in terms of r 46 (2), the defendant must in his or her plea admit, deny or confess and avoid all material facts alleged in the combined summons and the particulars of claim, or state which of those facts are not admitted and to what extent, and must</w:t>
      </w:r>
      <w:r w:rsidR="003417EE">
        <w:rPr>
          <w:rFonts w:ascii="Arial" w:eastAsia="Times New Roman" w:hAnsi="Arial" w:cs="Arial"/>
          <w:sz w:val="24"/>
          <w:szCs w:val="24"/>
        </w:rPr>
        <w:t xml:space="preserve"> also</w:t>
      </w:r>
      <w:r>
        <w:rPr>
          <w:rFonts w:ascii="Arial" w:eastAsia="Times New Roman" w:hAnsi="Arial" w:cs="Arial"/>
          <w:sz w:val="24"/>
          <w:szCs w:val="24"/>
        </w:rPr>
        <w:t xml:space="preserve"> clearly and concisely state all material facts on which the defendant relies in defence or answer to plaintiff’s claim.</w:t>
      </w:r>
      <w:r w:rsidR="007F40A8">
        <w:rPr>
          <w:rFonts w:ascii="Arial" w:eastAsia="Times New Roman" w:hAnsi="Arial" w:cs="Arial"/>
          <w:sz w:val="24"/>
          <w:szCs w:val="24"/>
        </w:rPr>
        <w:t xml:space="preserve"> </w:t>
      </w:r>
      <w:proofErr w:type="spellStart"/>
      <w:r w:rsidR="007F40A8">
        <w:rPr>
          <w:rFonts w:ascii="Arial" w:eastAsia="Times New Roman" w:hAnsi="Arial" w:cs="Arial"/>
          <w:sz w:val="24"/>
          <w:szCs w:val="24"/>
        </w:rPr>
        <w:t>Subrule</w:t>
      </w:r>
      <w:proofErr w:type="spellEnd"/>
      <w:r w:rsidR="007F40A8">
        <w:rPr>
          <w:rFonts w:ascii="Arial" w:eastAsia="Times New Roman" w:hAnsi="Arial" w:cs="Arial"/>
          <w:sz w:val="24"/>
          <w:szCs w:val="24"/>
        </w:rPr>
        <w:t xml:space="preserve"> (3) of r 46 provides that every allegation of fact in the particul</w:t>
      </w:r>
      <w:r w:rsidR="00F01E43">
        <w:rPr>
          <w:rFonts w:ascii="Arial" w:eastAsia="Times New Roman" w:hAnsi="Arial" w:cs="Arial"/>
          <w:sz w:val="24"/>
          <w:szCs w:val="24"/>
        </w:rPr>
        <w:t>ars of claim which is not state</w:t>
      </w:r>
      <w:r w:rsidR="007F40A8">
        <w:rPr>
          <w:rFonts w:ascii="Arial" w:eastAsia="Times New Roman" w:hAnsi="Arial" w:cs="Arial"/>
          <w:sz w:val="24"/>
          <w:szCs w:val="24"/>
        </w:rPr>
        <w:t xml:space="preserve">d in the plea as denied or admitted is regarded as having been admitted (see </w:t>
      </w:r>
      <w:r w:rsidR="007F40A8" w:rsidRPr="007F40A8">
        <w:rPr>
          <w:rFonts w:ascii="Arial" w:eastAsia="Times New Roman" w:hAnsi="Arial" w:cs="Arial"/>
          <w:i/>
          <w:sz w:val="24"/>
          <w:szCs w:val="24"/>
        </w:rPr>
        <w:t>EPS Ltd v Trident Construction (Pty) Ltd</w:t>
      </w:r>
      <w:r w:rsidR="007F40A8">
        <w:rPr>
          <w:rFonts w:ascii="Arial" w:eastAsia="Times New Roman" w:hAnsi="Arial" w:cs="Arial"/>
          <w:sz w:val="24"/>
          <w:szCs w:val="24"/>
        </w:rPr>
        <w:t xml:space="preserve"> 1989 (3) SA 537 (A) at 542B-D).</w:t>
      </w:r>
    </w:p>
    <w:p w:rsidR="007F40A8" w:rsidRDefault="007F40A8" w:rsidP="00624CE1">
      <w:pPr>
        <w:pStyle w:val="ListParagraph"/>
        <w:spacing w:after="0" w:line="360" w:lineRule="auto"/>
        <w:ind w:left="0"/>
        <w:jc w:val="both"/>
        <w:rPr>
          <w:rFonts w:ascii="Arial" w:eastAsia="Times New Roman" w:hAnsi="Arial" w:cs="Arial"/>
          <w:sz w:val="24"/>
          <w:szCs w:val="24"/>
        </w:rPr>
      </w:pPr>
    </w:p>
    <w:p w:rsidR="007F40A8" w:rsidRDefault="007F40A8" w:rsidP="00624CE1">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[26]</w:t>
      </w:r>
      <w:r>
        <w:rPr>
          <w:rFonts w:ascii="Arial" w:eastAsia="Times New Roman" w:hAnsi="Arial" w:cs="Arial"/>
          <w:sz w:val="24"/>
          <w:szCs w:val="24"/>
        </w:rPr>
        <w:tab/>
        <w:t xml:space="preserve">The defendant does not state </w:t>
      </w:r>
      <w:r w:rsidR="005C0E67">
        <w:rPr>
          <w:rFonts w:ascii="Arial" w:eastAsia="Times New Roman" w:hAnsi="Arial" w:cs="Arial"/>
          <w:sz w:val="24"/>
          <w:szCs w:val="24"/>
        </w:rPr>
        <w:t>in</w:t>
      </w:r>
      <w:r>
        <w:rPr>
          <w:rFonts w:ascii="Arial" w:eastAsia="Times New Roman" w:hAnsi="Arial" w:cs="Arial"/>
          <w:sz w:val="24"/>
          <w:szCs w:val="24"/>
        </w:rPr>
        <w:t xml:space="preserve"> the plea that she denies or admits this crucial allegation of fact.  The result is that that fact is regarded as having been admitted. This leads to the irrefragable conclusion that the transaction between plaintiff and defendant is simulated, as Mr </w:t>
      </w:r>
      <w:proofErr w:type="spellStart"/>
      <w:r>
        <w:rPr>
          <w:rFonts w:ascii="Arial" w:eastAsia="Times New Roman" w:hAnsi="Arial" w:cs="Arial"/>
          <w:sz w:val="24"/>
          <w:szCs w:val="24"/>
        </w:rPr>
        <w:t>Narib</w:t>
      </w:r>
      <w:proofErr w:type="spellEnd"/>
      <w:r>
        <w:rPr>
          <w:rFonts w:ascii="Arial" w:eastAsia="Times New Roman" w:hAnsi="Arial" w:cs="Arial"/>
          <w:sz w:val="24"/>
          <w:szCs w:val="24"/>
        </w:rPr>
        <w:t xml:space="preserve"> submitted.</w:t>
      </w:r>
      <w:r w:rsidR="00731A65">
        <w:rPr>
          <w:rFonts w:ascii="Arial" w:eastAsia="Times New Roman" w:hAnsi="Arial" w:cs="Arial"/>
          <w:sz w:val="24"/>
          <w:szCs w:val="24"/>
        </w:rPr>
        <w:t xml:space="preserve"> (See </w:t>
      </w:r>
      <w:proofErr w:type="spellStart"/>
      <w:r w:rsidR="00731A65" w:rsidRPr="00A51299">
        <w:rPr>
          <w:rFonts w:ascii="Arial" w:eastAsia="Times New Roman" w:hAnsi="Arial" w:cs="Arial"/>
          <w:i/>
          <w:sz w:val="24"/>
          <w:szCs w:val="24"/>
        </w:rPr>
        <w:t>Zandberg</w:t>
      </w:r>
      <w:proofErr w:type="spellEnd"/>
      <w:r w:rsidR="00731A65" w:rsidRPr="00A51299">
        <w:rPr>
          <w:rFonts w:ascii="Arial" w:eastAsia="Times New Roman" w:hAnsi="Arial" w:cs="Arial"/>
          <w:i/>
          <w:sz w:val="24"/>
          <w:szCs w:val="24"/>
        </w:rPr>
        <w:t xml:space="preserve"> Van </w:t>
      </w:r>
      <w:proofErr w:type="spellStart"/>
      <w:r w:rsidR="00731A65" w:rsidRPr="00A51299">
        <w:rPr>
          <w:rFonts w:ascii="Arial" w:eastAsia="Times New Roman" w:hAnsi="Arial" w:cs="Arial"/>
          <w:i/>
          <w:sz w:val="24"/>
          <w:szCs w:val="24"/>
        </w:rPr>
        <w:t>Zyl</w:t>
      </w:r>
      <w:proofErr w:type="spellEnd"/>
      <w:r w:rsidR="00731A65">
        <w:rPr>
          <w:rFonts w:ascii="Arial" w:eastAsia="Times New Roman" w:hAnsi="Arial" w:cs="Arial"/>
          <w:sz w:val="24"/>
          <w:szCs w:val="24"/>
        </w:rPr>
        <w:t>, referred to in para 17 of this judgment.)</w:t>
      </w:r>
    </w:p>
    <w:p w:rsidR="007F40A8" w:rsidRDefault="007F40A8" w:rsidP="00624CE1">
      <w:pPr>
        <w:pStyle w:val="ListParagraph"/>
        <w:spacing w:after="0" w:line="360" w:lineRule="auto"/>
        <w:ind w:left="0"/>
        <w:jc w:val="both"/>
        <w:rPr>
          <w:rFonts w:ascii="Arial" w:eastAsia="Times New Roman" w:hAnsi="Arial" w:cs="Arial"/>
          <w:sz w:val="24"/>
          <w:szCs w:val="24"/>
        </w:rPr>
      </w:pPr>
    </w:p>
    <w:p w:rsidR="007F40A8" w:rsidRDefault="007F40A8" w:rsidP="00624CE1">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[27]</w:t>
      </w:r>
      <w:r>
        <w:rPr>
          <w:rFonts w:ascii="Arial" w:eastAsia="Times New Roman" w:hAnsi="Arial" w:cs="Arial"/>
          <w:sz w:val="24"/>
          <w:szCs w:val="24"/>
        </w:rPr>
        <w:tab/>
        <w:t>Based on all these reasons, I c</w:t>
      </w:r>
      <w:r w:rsidR="003417EE">
        <w:rPr>
          <w:rFonts w:ascii="Arial" w:eastAsia="Times New Roman" w:hAnsi="Arial" w:cs="Arial"/>
          <w:sz w:val="24"/>
          <w:szCs w:val="24"/>
        </w:rPr>
        <w:t>ome to the following conclusion.</w:t>
      </w:r>
      <w:r>
        <w:rPr>
          <w:rFonts w:ascii="Arial" w:eastAsia="Times New Roman" w:hAnsi="Arial" w:cs="Arial"/>
          <w:sz w:val="24"/>
          <w:szCs w:val="24"/>
        </w:rPr>
        <w:t xml:space="preserve"> </w:t>
      </w:r>
      <w:r w:rsidR="003417EE">
        <w:rPr>
          <w:rFonts w:ascii="Arial" w:eastAsia="Times New Roman" w:hAnsi="Arial" w:cs="Arial"/>
          <w:sz w:val="24"/>
          <w:szCs w:val="24"/>
        </w:rPr>
        <w:t xml:space="preserve">Plaintiff </w:t>
      </w:r>
      <w:r>
        <w:rPr>
          <w:rFonts w:ascii="Arial" w:eastAsia="Times New Roman" w:hAnsi="Arial" w:cs="Arial"/>
          <w:sz w:val="24"/>
          <w:szCs w:val="24"/>
        </w:rPr>
        <w:t>has discharged on the balance of probability the onus cast on him to prove that the natur</w:t>
      </w:r>
      <w:r w:rsidR="00730A49">
        <w:rPr>
          <w:rFonts w:ascii="Arial" w:eastAsia="Times New Roman" w:hAnsi="Arial" w:cs="Arial"/>
          <w:sz w:val="24"/>
          <w:szCs w:val="24"/>
        </w:rPr>
        <w:t>e</w:t>
      </w:r>
      <w:r>
        <w:rPr>
          <w:rFonts w:ascii="Arial" w:eastAsia="Times New Roman" w:hAnsi="Arial" w:cs="Arial"/>
          <w:sz w:val="24"/>
          <w:szCs w:val="24"/>
        </w:rPr>
        <w:t xml:space="preserve"> of the transaction between him and defendant is that of a donation</w:t>
      </w:r>
      <w:r w:rsidR="00A51299">
        <w:rPr>
          <w:rFonts w:ascii="Arial" w:eastAsia="Times New Roman" w:hAnsi="Arial" w:cs="Arial"/>
          <w:sz w:val="24"/>
          <w:szCs w:val="24"/>
        </w:rPr>
        <w:t xml:space="preserve">, </w:t>
      </w:r>
      <w:r>
        <w:rPr>
          <w:rFonts w:ascii="Arial" w:eastAsia="Times New Roman" w:hAnsi="Arial" w:cs="Arial"/>
          <w:sz w:val="24"/>
          <w:szCs w:val="24"/>
        </w:rPr>
        <w:t>and not a</w:t>
      </w:r>
      <w:r w:rsidR="00A51299">
        <w:rPr>
          <w:rFonts w:ascii="Arial" w:eastAsia="Times New Roman" w:hAnsi="Arial" w:cs="Arial"/>
          <w:sz w:val="24"/>
          <w:szCs w:val="24"/>
        </w:rPr>
        <w:t xml:space="preserve"> sale as contended by defendant</w:t>
      </w:r>
      <w:r>
        <w:rPr>
          <w:rFonts w:ascii="Arial" w:eastAsia="Times New Roman" w:hAnsi="Arial" w:cs="Arial"/>
          <w:sz w:val="24"/>
          <w:szCs w:val="24"/>
        </w:rPr>
        <w:t xml:space="preserve"> (see para 18 above). The occasion has therefore ari</w:t>
      </w:r>
      <w:r w:rsidR="00730A49">
        <w:rPr>
          <w:rFonts w:ascii="Arial" w:eastAsia="Times New Roman" w:hAnsi="Arial" w:cs="Arial"/>
          <w:sz w:val="24"/>
          <w:szCs w:val="24"/>
        </w:rPr>
        <w:t xml:space="preserve">sen for the court not to be deceived by the form of the transaction, and for the court to ‘rend the veil in which the transaction is wrapped and examine its true nature and substance’ on the principle </w:t>
      </w:r>
      <w:r w:rsidR="00730A49" w:rsidRPr="00730A49">
        <w:rPr>
          <w:rFonts w:ascii="Arial" w:eastAsia="Times New Roman" w:hAnsi="Arial" w:cs="Arial"/>
          <w:i/>
          <w:sz w:val="24"/>
          <w:szCs w:val="24"/>
        </w:rPr>
        <w:t>plus</w:t>
      </w:r>
      <w:r w:rsidR="00730A49">
        <w:rPr>
          <w:rFonts w:ascii="Arial" w:eastAsia="Times New Roman" w:hAnsi="Arial" w:cs="Arial"/>
          <w:sz w:val="24"/>
          <w:szCs w:val="24"/>
        </w:rPr>
        <w:t xml:space="preserve"> </w:t>
      </w:r>
      <w:proofErr w:type="spellStart"/>
      <w:r w:rsidR="00730A49" w:rsidRPr="00730A49">
        <w:rPr>
          <w:rFonts w:ascii="Arial" w:eastAsia="Times New Roman" w:hAnsi="Arial" w:cs="Arial"/>
          <w:i/>
          <w:sz w:val="24"/>
          <w:szCs w:val="24"/>
        </w:rPr>
        <w:t>valeat</w:t>
      </w:r>
      <w:proofErr w:type="spellEnd"/>
      <w:r w:rsidR="00730A49" w:rsidRPr="00730A49">
        <w:rPr>
          <w:rFonts w:ascii="Arial" w:eastAsia="Times New Roman" w:hAnsi="Arial" w:cs="Arial"/>
          <w:i/>
          <w:sz w:val="24"/>
          <w:szCs w:val="24"/>
        </w:rPr>
        <w:t xml:space="preserve"> quo</w:t>
      </w:r>
      <w:r w:rsidR="003417EE">
        <w:rPr>
          <w:rFonts w:ascii="Arial" w:eastAsia="Times New Roman" w:hAnsi="Arial" w:cs="Arial"/>
          <w:i/>
          <w:sz w:val="24"/>
          <w:szCs w:val="24"/>
        </w:rPr>
        <w:t xml:space="preserve">d </w:t>
      </w:r>
      <w:proofErr w:type="spellStart"/>
      <w:r w:rsidR="003417EE">
        <w:rPr>
          <w:rFonts w:ascii="Arial" w:eastAsia="Times New Roman" w:hAnsi="Arial" w:cs="Arial"/>
          <w:i/>
          <w:sz w:val="24"/>
          <w:szCs w:val="24"/>
        </w:rPr>
        <w:t>agitur</w:t>
      </w:r>
      <w:proofErr w:type="spellEnd"/>
      <w:r w:rsidR="003417EE">
        <w:rPr>
          <w:rFonts w:ascii="Arial" w:eastAsia="Times New Roman" w:hAnsi="Arial" w:cs="Arial"/>
          <w:i/>
          <w:sz w:val="24"/>
          <w:szCs w:val="24"/>
        </w:rPr>
        <w:t xml:space="preserve"> quam quod simulate </w:t>
      </w:r>
      <w:proofErr w:type="spellStart"/>
      <w:r w:rsidR="003417EE">
        <w:rPr>
          <w:rFonts w:ascii="Arial" w:eastAsia="Times New Roman" w:hAnsi="Arial" w:cs="Arial"/>
          <w:i/>
          <w:sz w:val="24"/>
          <w:szCs w:val="24"/>
        </w:rPr>
        <w:t>conc</w:t>
      </w:r>
      <w:r w:rsidR="00730A49" w:rsidRPr="00730A49">
        <w:rPr>
          <w:rFonts w:ascii="Arial" w:eastAsia="Times New Roman" w:hAnsi="Arial" w:cs="Arial"/>
          <w:i/>
          <w:sz w:val="24"/>
          <w:szCs w:val="24"/>
        </w:rPr>
        <w:t>ipitur</w:t>
      </w:r>
      <w:proofErr w:type="spellEnd"/>
      <w:r w:rsidR="00730A49">
        <w:rPr>
          <w:rFonts w:ascii="Arial" w:eastAsia="Times New Roman" w:hAnsi="Arial" w:cs="Arial"/>
          <w:sz w:val="24"/>
          <w:szCs w:val="24"/>
        </w:rPr>
        <w:t xml:space="preserve"> (see para 15 above). The true nature of the transaction in the present matter between plaintiff and defenda</w:t>
      </w:r>
      <w:r w:rsidR="0023419F">
        <w:rPr>
          <w:rFonts w:ascii="Arial" w:eastAsia="Times New Roman" w:hAnsi="Arial" w:cs="Arial"/>
          <w:sz w:val="24"/>
          <w:szCs w:val="24"/>
        </w:rPr>
        <w:t>nt is a transaction of donation; I so hold.</w:t>
      </w:r>
    </w:p>
    <w:p w:rsidR="00730A49" w:rsidRDefault="00730A49" w:rsidP="00624CE1">
      <w:pPr>
        <w:pStyle w:val="ListParagraph"/>
        <w:spacing w:after="0" w:line="360" w:lineRule="auto"/>
        <w:ind w:left="0"/>
        <w:jc w:val="both"/>
        <w:rPr>
          <w:rFonts w:ascii="Arial" w:eastAsia="Times New Roman" w:hAnsi="Arial" w:cs="Arial"/>
          <w:sz w:val="24"/>
          <w:szCs w:val="24"/>
        </w:rPr>
      </w:pPr>
    </w:p>
    <w:p w:rsidR="00730A49" w:rsidRDefault="00730A49" w:rsidP="00624CE1">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[28]</w:t>
      </w:r>
      <w:r>
        <w:rPr>
          <w:rFonts w:ascii="Arial" w:eastAsia="Times New Roman" w:hAnsi="Arial" w:cs="Arial"/>
          <w:sz w:val="24"/>
          <w:szCs w:val="24"/>
        </w:rPr>
        <w:tab/>
        <w:t xml:space="preserve">On the pleadings and evidence, the long and short of it is that plaintiff wants his property back; not least because defendant evicted him and his niece </w:t>
      </w:r>
      <w:proofErr w:type="spellStart"/>
      <w:r>
        <w:rPr>
          <w:rFonts w:ascii="Arial" w:eastAsia="Times New Roman" w:hAnsi="Arial" w:cs="Arial"/>
          <w:sz w:val="24"/>
          <w:szCs w:val="24"/>
        </w:rPr>
        <w:t>Vindeline</w:t>
      </w:r>
      <w:proofErr w:type="spellEnd"/>
      <w:r>
        <w:rPr>
          <w:rFonts w:ascii="Arial" w:eastAsia="Times New Roman" w:hAnsi="Arial" w:cs="Arial"/>
          <w:sz w:val="24"/>
          <w:szCs w:val="24"/>
        </w:rPr>
        <w:t xml:space="preserve"> from his property somewhere in 2013</w:t>
      </w:r>
      <w:r w:rsidR="005C0E67">
        <w:rPr>
          <w:rFonts w:ascii="Arial" w:eastAsia="Times New Roman" w:hAnsi="Arial" w:cs="Arial"/>
          <w:sz w:val="24"/>
          <w:szCs w:val="24"/>
        </w:rPr>
        <w:t xml:space="preserve"> in breach o</w:t>
      </w:r>
      <w:r>
        <w:rPr>
          <w:rFonts w:ascii="Arial" w:eastAsia="Times New Roman" w:hAnsi="Arial" w:cs="Arial"/>
          <w:sz w:val="24"/>
          <w:szCs w:val="24"/>
        </w:rPr>
        <w:t>f the terms of the donation. Defendant denies she evicted him. All this matters tuppence now. Of the view I have taken of the matter, plaintiff is, in any event, entitled to have his property back.</w:t>
      </w:r>
    </w:p>
    <w:p w:rsidR="00730A49" w:rsidRDefault="00730A49" w:rsidP="00624CE1">
      <w:pPr>
        <w:pStyle w:val="ListParagraph"/>
        <w:spacing w:after="0" w:line="360" w:lineRule="auto"/>
        <w:ind w:left="0"/>
        <w:jc w:val="both"/>
        <w:rPr>
          <w:rFonts w:ascii="Arial" w:eastAsia="Times New Roman" w:hAnsi="Arial" w:cs="Arial"/>
          <w:sz w:val="24"/>
          <w:szCs w:val="24"/>
        </w:rPr>
      </w:pPr>
    </w:p>
    <w:p w:rsidR="00730A49" w:rsidRDefault="00730A49" w:rsidP="00624CE1">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[29]</w:t>
      </w:r>
      <w:r>
        <w:rPr>
          <w:rFonts w:ascii="Arial" w:eastAsia="Times New Roman" w:hAnsi="Arial" w:cs="Arial"/>
          <w:sz w:val="24"/>
          <w:szCs w:val="24"/>
        </w:rPr>
        <w:tab/>
        <w:t xml:space="preserve">One last aspect; on the evidence, defendant has effected improvements on the property, and it is fair and just that she be compensated accordingly. Mr Erick </w:t>
      </w:r>
      <w:proofErr w:type="spellStart"/>
      <w:r>
        <w:rPr>
          <w:rFonts w:ascii="Arial" w:eastAsia="Times New Roman" w:hAnsi="Arial" w:cs="Arial"/>
          <w:sz w:val="24"/>
          <w:szCs w:val="24"/>
        </w:rPr>
        <w:lastRenderedPageBreak/>
        <w:t>Kandorozu</w:t>
      </w:r>
      <w:proofErr w:type="spellEnd"/>
      <w:r>
        <w:rPr>
          <w:rFonts w:ascii="Arial" w:eastAsia="Times New Roman" w:hAnsi="Arial" w:cs="Arial"/>
          <w:sz w:val="24"/>
          <w:szCs w:val="24"/>
        </w:rPr>
        <w:t xml:space="preserve"> (a plaintiff witness), a disinterested party, in his </w:t>
      </w:r>
      <w:r w:rsidR="00737D91">
        <w:rPr>
          <w:rFonts w:ascii="Arial" w:eastAsia="Times New Roman" w:hAnsi="Arial" w:cs="Arial"/>
          <w:sz w:val="24"/>
          <w:szCs w:val="24"/>
        </w:rPr>
        <w:t xml:space="preserve">official </w:t>
      </w:r>
      <w:r w:rsidR="0035438F">
        <w:rPr>
          <w:rFonts w:ascii="Arial" w:eastAsia="Times New Roman" w:hAnsi="Arial" w:cs="Arial"/>
          <w:sz w:val="24"/>
          <w:szCs w:val="24"/>
        </w:rPr>
        <w:t>capacity of community activist o</w:t>
      </w:r>
      <w:r>
        <w:rPr>
          <w:rFonts w:ascii="Arial" w:eastAsia="Times New Roman" w:hAnsi="Arial" w:cs="Arial"/>
          <w:sz w:val="24"/>
          <w:szCs w:val="24"/>
        </w:rPr>
        <w:t xml:space="preserve">fficer at the Office of the Katutura </w:t>
      </w:r>
      <w:r w:rsidR="0035438F">
        <w:rPr>
          <w:rFonts w:ascii="Arial" w:eastAsia="Times New Roman" w:hAnsi="Arial" w:cs="Arial"/>
          <w:sz w:val="24"/>
          <w:szCs w:val="24"/>
        </w:rPr>
        <w:t>Constituency</w:t>
      </w:r>
      <w:r>
        <w:rPr>
          <w:rFonts w:ascii="Arial" w:eastAsia="Times New Roman" w:hAnsi="Arial" w:cs="Arial"/>
          <w:sz w:val="24"/>
          <w:szCs w:val="24"/>
        </w:rPr>
        <w:t>,</w:t>
      </w:r>
      <w:r w:rsidR="0035438F">
        <w:rPr>
          <w:rFonts w:ascii="Arial" w:eastAsia="Times New Roman" w:hAnsi="Arial" w:cs="Arial"/>
          <w:sz w:val="24"/>
          <w:szCs w:val="24"/>
        </w:rPr>
        <w:t xml:space="preserve"> got a property </w:t>
      </w:r>
      <w:proofErr w:type="spellStart"/>
      <w:r w:rsidR="0035438F">
        <w:rPr>
          <w:rFonts w:ascii="Arial" w:eastAsia="Times New Roman" w:hAnsi="Arial" w:cs="Arial"/>
          <w:sz w:val="24"/>
          <w:szCs w:val="24"/>
        </w:rPr>
        <w:t>valuer</w:t>
      </w:r>
      <w:proofErr w:type="spellEnd"/>
      <w:r w:rsidR="0035438F">
        <w:rPr>
          <w:rFonts w:ascii="Arial" w:eastAsia="Times New Roman" w:hAnsi="Arial" w:cs="Arial"/>
          <w:sz w:val="24"/>
          <w:szCs w:val="24"/>
        </w:rPr>
        <w:t xml:space="preserve"> to value the improvements in March 2018. </w:t>
      </w:r>
      <w:proofErr w:type="spellStart"/>
      <w:r w:rsidR="0035438F">
        <w:rPr>
          <w:rFonts w:ascii="Arial" w:eastAsia="Times New Roman" w:hAnsi="Arial" w:cs="Arial"/>
          <w:sz w:val="24"/>
          <w:szCs w:val="24"/>
        </w:rPr>
        <w:t>Kandorozu</w:t>
      </w:r>
      <w:proofErr w:type="spellEnd"/>
      <w:r w:rsidR="0035438F">
        <w:rPr>
          <w:rFonts w:ascii="Arial" w:eastAsia="Times New Roman" w:hAnsi="Arial" w:cs="Arial"/>
          <w:sz w:val="24"/>
          <w:szCs w:val="24"/>
        </w:rPr>
        <w:t xml:space="preserve"> did that in his official attempt to resolve the dispute between plaintiff and defendant amicably outside the surrounds of the court. The </w:t>
      </w:r>
      <w:proofErr w:type="spellStart"/>
      <w:r w:rsidR="0035438F">
        <w:rPr>
          <w:rFonts w:ascii="Arial" w:eastAsia="Times New Roman" w:hAnsi="Arial" w:cs="Arial"/>
          <w:sz w:val="24"/>
          <w:szCs w:val="24"/>
        </w:rPr>
        <w:t>valuer’s</w:t>
      </w:r>
      <w:proofErr w:type="spellEnd"/>
      <w:r w:rsidR="0035438F">
        <w:rPr>
          <w:rFonts w:ascii="Arial" w:eastAsia="Times New Roman" w:hAnsi="Arial" w:cs="Arial"/>
          <w:sz w:val="24"/>
          <w:szCs w:val="24"/>
        </w:rPr>
        <w:t xml:space="preserve"> estimation of the value of the improvements to be </w:t>
      </w:r>
      <w:r w:rsidR="00737D91">
        <w:rPr>
          <w:rFonts w:ascii="Arial" w:eastAsia="Times New Roman" w:hAnsi="Arial" w:cs="Arial"/>
          <w:sz w:val="24"/>
          <w:szCs w:val="24"/>
        </w:rPr>
        <w:t>N$</w:t>
      </w:r>
      <w:r w:rsidR="0035438F">
        <w:rPr>
          <w:rFonts w:ascii="Arial" w:eastAsia="Times New Roman" w:hAnsi="Arial" w:cs="Arial"/>
          <w:sz w:val="24"/>
          <w:szCs w:val="24"/>
        </w:rPr>
        <w:t xml:space="preserve">81 000 was not confirmed before the court as evidence. I therefore agree with Mr </w:t>
      </w:r>
      <w:proofErr w:type="spellStart"/>
      <w:r w:rsidR="0035438F">
        <w:rPr>
          <w:rFonts w:ascii="Arial" w:eastAsia="Times New Roman" w:hAnsi="Arial" w:cs="Arial"/>
          <w:sz w:val="24"/>
          <w:szCs w:val="24"/>
        </w:rPr>
        <w:t>Narib</w:t>
      </w:r>
      <w:proofErr w:type="spellEnd"/>
      <w:r w:rsidR="0035438F">
        <w:rPr>
          <w:rFonts w:ascii="Arial" w:eastAsia="Times New Roman" w:hAnsi="Arial" w:cs="Arial"/>
          <w:sz w:val="24"/>
          <w:szCs w:val="24"/>
        </w:rPr>
        <w:t xml:space="preserve"> that the </w:t>
      </w:r>
      <w:proofErr w:type="spellStart"/>
      <w:r w:rsidR="0035438F">
        <w:rPr>
          <w:rFonts w:ascii="Arial" w:eastAsia="Times New Roman" w:hAnsi="Arial" w:cs="Arial"/>
          <w:sz w:val="24"/>
          <w:szCs w:val="24"/>
        </w:rPr>
        <w:t>valuer’s</w:t>
      </w:r>
      <w:proofErr w:type="spellEnd"/>
      <w:r w:rsidR="0035438F">
        <w:rPr>
          <w:rFonts w:ascii="Arial" w:eastAsia="Times New Roman" w:hAnsi="Arial" w:cs="Arial"/>
          <w:sz w:val="24"/>
          <w:szCs w:val="24"/>
        </w:rPr>
        <w:t xml:space="preserve"> estimation cannot, therefore, be accepted by the court. Plaintiff and defendant may now find a </w:t>
      </w:r>
      <w:proofErr w:type="spellStart"/>
      <w:r w:rsidR="0035438F">
        <w:rPr>
          <w:rFonts w:ascii="Arial" w:eastAsia="Times New Roman" w:hAnsi="Arial" w:cs="Arial"/>
          <w:sz w:val="24"/>
          <w:szCs w:val="24"/>
        </w:rPr>
        <w:t>valuer</w:t>
      </w:r>
      <w:proofErr w:type="spellEnd"/>
      <w:r w:rsidR="0035438F">
        <w:rPr>
          <w:rFonts w:ascii="Arial" w:eastAsia="Times New Roman" w:hAnsi="Arial" w:cs="Arial"/>
          <w:sz w:val="24"/>
          <w:szCs w:val="24"/>
        </w:rPr>
        <w:t xml:space="preserve"> to do that work for them, if defendant is not happy with the estimation of N$81 000.</w:t>
      </w:r>
    </w:p>
    <w:p w:rsidR="0035438F" w:rsidRDefault="0035438F" w:rsidP="00624CE1">
      <w:pPr>
        <w:pStyle w:val="ListParagraph"/>
        <w:spacing w:after="0" w:line="360" w:lineRule="auto"/>
        <w:ind w:left="0"/>
        <w:jc w:val="both"/>
        <w:rPr>
          <w:rFonts w:ascii="Arial" w:eastAsia="Times New Roman" w:hAnsi="Arial" w:cs="Arial"/>
          <w:sz w:val="24"/>
          <w:szCs w:val="24"/>
        </w:rPr>
      </w:pPr>
    </w:p>
    <w:p w:rsidR="0035438F" w:rsidRDefault="0035438F" w:rsidP="00624CE1">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[30]</w:t>
      </w:r>
      <w:r>
        <w:rPr>
          <w:rFonts w:ascii="Arial" w:eastAsia="Times New Roman" w:hAnsi="Arial" w:cs="Arial"/>
          <w:sz w:val="24"/>
          <w:szCs w:val="24"/>
        </w:rPr>
        <w:tab/>
        <w:t>In the result, I order as follows:</w:t>
      </w:r>
    </w:p>
    <w:p w:rsidR="0035438F" w:rsidRDefault="0035438F" w:rsidP="00624CE1">
      <w:pPr>
        <w:pStyle w:val="ListParagraph"/>
        <w:spacing w:after="0" w:line="360" w:lineRule="auto"/>
        <w:ind w:left="0"/>
        <w:jc w:val="both"/>
        <w:rPr>
          <w:rFonts w:ascii="Arial" w:eastAsia="Times New Roman" w:hAnsi="Arial" w:cs="Arial"/>
          <w:sz w:val="24"/>
          <w:szCs w:val="24"/>
        </w:rPr>
      </w:pPr>
    </w:p>
    <w:p w:rsidR="0035438F" w:rsidRPr="00227F4F" w:rsidRDefault="0035438F" w:rsidP="00227F4F">
      <w:pPr>
        <w:pStyle w:val="ListParagraph"/>
        <w:numPr>
          <w:ilvl w:val="0"/>
          <w:numId w:val="9"/>
        </w:numPr>
        <w:spacing w:after="0" w:line="360" w:lineRule="auto"/>
        <w:jc w:val="both"/>
        <w:rPr>
          <w:rFonts w:ascii="Arial" w:eastAsia="Times New Roman" w:hAnsi="Arial" w:cs="Arial"/>
          <w:sz w:val="24"/>
          <w:szCs w:val="24"/>
        </w:rPr>
      </w:pPr>
      <w:r w:rsidRPr="00227F4F">
        <w:rPr>
          <w:rFonts w:ascii="Arial" w:eastAsia="Times New Roman" w:hAnsi="Arial" w:cs="Arial"/>
          <w:sz w:val="24"/>
          <w:szCs w:val="24"/>
        </w:rPr>
        <w:t>Judgment is for the plaintiff.</w:t>
      </w:r>
    </w:p>
    <w:p w:rsidR="00B90BBE" w:rsidRDefault="00B90BBE" w:rsidP="00B90BBE">
      <w:pPr>
        <w:pStyle w:val="ListParagraph"/>
        <w:spacing w:after="0" w:line="360" w:lineRule="auto"/>
        <w:ind w:left="0"/>
        <w:jc w:val="both"/>
        <w:rPr>
          <w:rFonts w:ascii="Arial" w:eastAsia="Times New Roman" w:hAnsi="Arial" w:cs="Arial"/>
          <w:sz w:val="24"/>
          <w:szCs w:val="24"/>
        </w:rPr>
      </w:pPr>
    </w:p>
    <w:p w:rsidR="0035438F" w:rsidRPr="00227F4F" w:rsidRDefault="0035438F" w:rsidP="008D18DB">
      <w:pPr>
        <w:pStyle w:val="ListParagraph"/>
        <w:numPr>
          <w:ilvl w:val="0"/>
          <w:numId w:val="9"/>
        </w:numPr>
        <w:spacing w:after="0" w:line="360" w:lineRule="auto"/>
        <w:ind w:left="0" w:firstLine="0"/>
        <w:jc w:val="both"/>
        <w:rPr>
          <w:rFonts w:ascii="Arial" w:eastAsia="Times New Roman" w:hAnsi="Arial" w:cs="Arial"/>
          <w:sz w:val="24"/>
          <w:szCs w:val="24"/>
        </w:rPr>
      </w:pPr>
      <w:r w:rsidRPr="00227F4F">
        <w:rPr>
          <w:rFonts w:ascii="Arial" w:eastAsia="Times New Roman" w:hAnsi="Arial" w:cs="Arial"/>
          <w:sz w:val="24"/>
          <w:szCs w:val="24"/>
        </w:rPr>
        <w:t>The Deed of Sale done on 21 November 2008 a copy of which is annexed to the particulars of claim is declare</w:t>
      </w:r>
      <w:r w:rsidR="00221B03" w:rsidRPr="00227F4F">
        <w:rPr>
          <w:rFonts w:ascii="Arial" w:eastAsia="Times New Roman" w:hAnsi="Arial" w:cs="Arial"/>
          <w:sz w:val="24"/>
          <w:szCs w:val="24"/>
        </w:rPr>
        <w:t>d</w:t>
      </w:r>
      <w:r w:rsidR="00CC1BB0">
        <w:rPr>
          <w:rFonts w:ascii="Arial" w:eastAsia="Times New Roman" w:hAnsi="Arial" w:cs="Arial"/>
          <w:sz w:val="24"/>
          <w:szCs w:val="24"/>
        </w:rPr>
        <w:t xml:space="preserve"> null and void ab initio</w:t>
      </w:r>
      <w:r w:rsidRPr="00227F4F">
        <w:rPr>
          <w:rFonts w:ascii="Arial" w:eastAsia="Times New Roman" w:hAnsi="Arial" w:cs="Arial"/>
          <w:sz w:val="24"/>
          <w:szCs w:val="24"/>
        </w:rPr>
        <w:t>, and is set aside.</w:t>
      </w:r>
    </w:p>
    <w:p w:rsidR="00B90BBE" w:rsidRDefault="00B90BBE" w:rsidP="00B90BBE">
      <w:pPr>
        <w:pStyle w:val="ListParagraph"/>
        <w:spacing w:after="0" w:line="360" w:lineRule="auto"/>
        <w:ind w:left="0"/>
        <w:jc w:val="both"/>
        <w:rPr>
          <w:rFonts w:ascii="Arial" w:eastAsia="Times New Roman" w:hAnsi="Arial" w:cs="Arial"/>
          <w:sz w:val="24"/>
          <w:szCs w:val="24"/>
        </w:rPr>
      </w:pPr>
    </w:p>
    <w:p w:rsidR="0035438F" w:rsidRDefault="0035438F" w:rsidP="00227F4F">
      <w:pPr>
        <w:pStyle w:val="ListParagraph"/>
        <w:numPr>
          <w:ilvl w:val="0"/>
          <w:numId w:val="9"/>
        </w:numPr>
        <w:spacing w:after="0" w:line="360" w:lineRule="auto"/>
        <w:ind w:left="0" w:firstLine="0"/>
        <w:jc w:val="both"/>
        <w:rPr>
          <w:rFonts w:ascii="Arial" w:eastAsia="Times New Roman" w:hAnsi="Arial" w:cs="Arial"/>
          <w:sz w:val="24"/>
          <w:szCs w:val="24"/>
        </w:rPr>
      </w:pPr>
      <w:r>
        <w:rPr>
          <w:rFonts w:ascii="Arial" w:eastAsia="Times New Roman" w:hAnsi="Arial" w:cs="Arial"/>
          <w:sz w:val="24"/>
          <w:szCs w:val="24"/>
        </w:rPr>
        <w:t>The Deed of Transfer No.T</w:t>
      </w:r>
      <w:r w:rsidR="00221B03">
        <w:rPr>
          <w:rFonts w:ascii="Arial" w:eastAsia="Times New Roman" w:hAnsi="Arial" w:cs="Arial"/>
          <w:sz w:val="24"/>
          <w:szCs w:val="24"/>
        </w:rPr>
        <w:t xml:space="preserve"> </w:t>
      </w:r>
      <w:r>
        <w:rPr>
          <w:rFonts w:ascii="Arial" w:eastAsia="Times New Roman" w:hAnsi="Arial" w:cs="Arial"/>
          <w:sz w:val="24"/>
          <w:szCs w:val="24"/>
        </w:rPr>
        <w:t>7002/2008 is hereby cancelled.</w:t>
      </w:r>
    </w:p>
    <w:p w:rsidR="00B90BBE" w:rsidRDefault="00B90BBE" w:rsidP="00B90BBE">
      <w:pPr>
        <w:pStyle w:val="ListParagraph"/>
        <w:spacing w:after="0" w:line="360" w:lineRule="auto"/>
        <w:ind w:left="0"/>
        <w:jc w:val="both"/>
        <w:rPr>
          <w:rFonts w:ascii="Arial" w:eastAsia="Times New Roman" w:hAnsi="Arial" w:cs="Arial"/>
          <w:sz w:val="24"/>
          <w:szCs w:val="24"/>
        </w:rPr>
      </w:pPr>
    </w:p>
    <w:p w:rsidR="0035438F" w:rsidRDefault="0035438F" w:rsidP="00227F4F">
      <w:pPr>
        <w:pStyle w:val="ListParagraph"/>
        <w:numPr>
          <w:ilvl w:val="0"/>
          <w:numId w:val="9"/>
        </w:numPr>
        <w:spacing w:after="0" w:line="360" w:lineRule="auto"/>
        <w:ind w:left="0" w:firstLine="0"/>
        <w:jc w:val="both"/>
        <w:rPr>
          <w:rFonts w:ascii="Arial" w:eastAsia="Times New Roman" w:hAnsi="Arial" w:cs="Arial"/>
          <w:sz w:val="24"/>
          <w:szCs w:val="24"/>
        </w:rPr>
      </w:pPr>
      <w:r>
        <w:rPr>
          <w:rFonts w:ascii="Arial" w:eastAsia="Times New Roman" w:hAnsi="Arial" w:cs="Arial"/>
          <w:sz w:val="24"/>
          <w:szCs w:val="24"/>
        </w:rPr>
        <w:t>It is declared that plaintiff is the registered owner of the property, viz. Erf No.</w:t>
      </w:r>
      <w:r w:rsidR="00B90BBE">
        <w:rPr>
          <w:rFonts w:ascii="Arial" w:eastAsia="Times New Roman" w:hAnsi="Arial" w:cs="Arial"/>
          <w:sz w:val="24"/>
          <w:szCs w:val="24"/>
        </w:rPr>
        <w:t>3427 Katutura (</w:t>
      </w:r>
      <w:r w:rsidR="00221B03">
        <w:rPr>
          <w:rFonts w:ascii="Arial" w:eastAsia="Times New Roman" w:hAnsi="Arial" w:cs="Arial"/>
          <w:sz w:val="24"/>
          <w:szCs w:val="24"/>
        </w:rPr>
        <w:t xml:space="preserve">Extension </w:t>
      </w:r>
      <w:r w:rsidR="00B90BBE">
        <w:rPr>
          <w:rFonts w:ascii="Arial" w:eastAsia="Times New Roman" w:hAnsi="Arial" w:cs="Arial"/>
          <w:sz w:val="24"/>
          <w:szCs w:val="24"/>
        </w:rPr>
        <w:t xml:space="preserve">No. 4), situated in the Municipality of Windhoek, Registration Division “K”, </w:t>
      </w:r>
      <w:proofErr w:type="spellStart"/>
      <w:r w:rsidR="00B90BBE">
        <w:rPr>
          <w:rFonts w:ascii="Arial" w:eastAsia="Times New Roman" w:hAnsi="Arial" w:cs="Arial"/>
          <w:sz w:val="24"/>
          <w:szCs w:val="24"/>
        </w:rPr>
        <w:t>Khomas</w:t>
      </w:r>
      <w:proofErr w:type="spellEnd"/>
      <w:r w:rsidR="00B90BBE">
        <w:rPr>
          <w:rFonts w:ascii="Arial" w:eastAsia="Times New Roman" w:hAnsi="Arial" w:cs="Arial"/>
          <w:sz w:val="24"/>
          <w:szCs w:val="24"/>
        </w:rPr>
        <w:t xml:space="preserve"> Region, in extent 494</w:t>
      </w:r>
      <w:r w:rsidR="00E909F3">
        <w:rPr>
          <w:rFonts w:ascii="Arial" w:eastAsia="Times New Roman" w:hAnsi="Arial" w:cs="Arial"/>
          <w:sz w:val="24"/>
          <w:szCs w:val="24"/>
        </w:rPr>
        <w:t xml:space="preserve"> </w:t>
      </w:r>
      <w:r w:rsidR="00B90BBE">
        <w:rPr>
          <w:rFonts w:ascii="Arial" w:eastAsia="Times New Roman" w:hAnsi="Arial" w:cs="Arial"/>
          <w:sz w:val="24"/>
          <w:szCs w:val="24"/>
        </w:rPr>
        <w:t>(</w:t>
      </w:r>
      <w:r w:rsidR="00482F27">
        <w:rPr>
          <w:rFonts w:ascii="Arial" w:eastAsia="Times New Roman" w:hAnsi="Arial" w:cs="Arial"/>
          <w:sz w:val="24"/>
          <w:szCs w:val="24"/>
        </w:rPr>
        <w:t>Four Nine F</w:t>
      </w:r>
      <w:r w:rsidR="00B90BBE">
        <w:rPr>
          <w:rFonts w:ascii="Arial" w:eastAsia="Times New Roman" w:hAnsi="Arial" w:cs="Arial"/>
          <w:sz w:val="24"/>
          <w:szCs w:val="24"/>
        </w:rPr>
        <w:t>our) square meter</w:t>
      </w:r>
      <w:r w:rsidR="00221B03">
        <w:rPr>
          <w:rFonts w:ascii="Arial" w:eastAsia="Times New Roman" w:hAnsi="Arial" w:cs="Arial"/>
          <w:sz w:val="24"/>
          <w:szCs w:val="24"/>
        </w:rPr>
        <w:t>s</w:t>
      </w:r>
      <w:r w:rsidR="00B90BBE">
        <w:rPr>
          <w:rFonts w:ascii="Arial" w:eastAsia="Times New Roman" w:hAnsi="Arial" w:cs="Arial"/>
          <w:sz w:val="24"/>
          <w:szCs w:val="24"/>
        </w:rPr>
        <w:t xml:space="preserve">, held by </w:t>
      </w:r>
      <w:r w:rsidR="00221B03">
        <w:rPr>
          <w:rFonts w:ascii="Arial" w:eastAsia="Times New Roman" w:hAnsi="Arial" w:cs="Arial"/>
          <w:sz w:val="24"/>
          <w:szCs w:val="24"/>
        </w:rPr>
        <w:t xml:space="preserve">Certificate </w:t>
      </w:r>
      <w:r w:rsidR="00B90BBE">
        <w:rPr>
          <w:rFonts w:ascii="Arial" w:eastAsia="Times New Roman" w:hAnsi="Arial" w:cs="Arial"/>
          <w:sz w:val="24"/>
          <w:szCs w:val="24"/>
        </w:rPr>
        <w:t>of Consolidated Tit</w:t>
      </w:r>
      <w:r w:rsidR="00E909F3">
        <w:rPr>
          <w:rFonts w:ascii="Arial" w:eastAsia="Times New Roman" w:hAnsi="Arial" w:cs="Arial"/>
          <w:sz w:val="24"/>
          <w:szCs w:val="24"/>
        </w:rPr>
        <w:t>l</w:t>
      </w:r>
      <w:r w:rsidR="00B90BBE">
        <w:rPr>
          <w:rFonts w:ascii="Arial" w:eastAsia="Times New Roman" w:hAnsi="Arial" w:cs="Arial"/>
          <w:sz w:val="24"/>
          <w:szCs w:val="24"/>
        </w:rPr>
        <w:t>e No. T1986/1996</w:t>
      </w:r>
      <w:r w:rsidR="00482F27">
        <w:rPr>
          <w:rFonts w:ascii="Arial" w:eastAsia="Times New Roman" w:hAnsi="Arial" w:cs="Arial"/>
          <w:sz w:val="24"/>
          <w:szCs w:val="24"/>
        </w:rPr>
        <w:t>.</w:t>
      </w:r>
    </w:p>
    <w:p w:rsidR="00B90BBE" w:rsidRDefault="00B90BBE" w:rsidP="00B90BBE">
      <w:pPr>
        <w:pStyle w:val="ListParagraph"/>
        <w:spacing w:after="0" w:line="360" w:lineRule="auto"/>
        <w:ind w:left="0"/>
        <w:jc w:val="both"/>
        <w:rPr>
          <w:rFonts w:ascii="Arial" w:eastAsia="Times New Roman" w:hAnsi="Arial" w:cs="Arial"/>
          <w:sz w:val="24"/>
          <w:szCs w:val="24"/>
        </w:rPr>
      </w:pPr>
    </w:p>
    <w:p w:rsidR="00EC6626" w:rsidRDefault="00EC6626" w:rsidP="00EC6626">
      <w:pPr>
        <w:pStyle w:val="ListParagraph"/>
        <w:numPr>
          <w:ilvl w:val="0"/>
          <w:numId w:val="9"/>
        </w:numPr>
        <w:spacing w:after="0" w:line="360" w:lineRule="auto"/>
        <w:ind w:left="0" w:firstLine="0"/>
        <w:jc w:val="both"/>
        <w:rPr>
          <w:rFonts w:ascii="Arial" w:eastAsia="Times New Roman" w:hAnsi="Arial" w:cs="Arial"/>
          <w:sz w:val="24"/>
          <w:szCs w:val="24"/>
        </w:rPr>
      </w:pPr>
      <w:r>
        <w:rPr>
          <w:rFonts w:ascii="Arial" w:eastAsia="Times New Roman" w:hAnsi="Arial" w:cs="Arial"/>
          <w:sz w:val="24"/>
          <w:szCs w:val="24"/>
        </w:rPr>
        <w:t>T</w:t>
      </w:r>
      <w:r w:rsidR="009A7899">
        <w:rPr>
          <w:rFonts w:ascii="Arial" w:eastAsia="Times New Roman" w:hAnsi="Arial" w:cs="Arial"/>
          <w:sz w:val="24"/>
          <w:szCs w:val="24"/>
        </w:rPr>
        <w:t>he plaintiff and defendant must</w:t>
      </w:r>
      <w:r>
        <w:rPr>
          <w:rFonts w:ascii="Arial" w:eastAsia="Times New Roman" w:hAnsi="Arial" w:cs="Arial"/>
          <w:sz w:val="24"/>
          <w:szCs w:val="24"/>
        </w:rPr>
        <w:t xml:space="preserve"> at their joint cost appoint a property </w:t>
      </w:r>
      <w:proofErr w:type="spellStart"/>
      <w:r>
        <w:rPr>
          <w:rFonts w:ascii="Arial" w:eastAsia="Times New Roman" w:hAnsi="Arial" w:cs="Arial"/>
          <w:sz w:val="24"/>
          <w:szCs w:val="24"/>
        </w:rPr>
        <w:t>valuer</w:t>
      </w:r>
      <w:proofErr w:type="spellEnd"/>
      <w:r>
        <w:rPr>
          <w:rFonts w:ascii="Arial" w:eastAsia="Times New Roman" w:hAnsi="Arial" w:cs="Arial"/>
          <w:sz w:val="24"/>
          <w:szCs w:val="24"/>
        </w:rPr>
        <w:t xml:space="preserve"> registered as such in terms of any applicable law to estimate the value of the improvements done by defendant, and plaintiff shall, not later than 30 days after the estimated value is communicated to him</w:t>
      </w:r>
      <w:r w:rsidR="009A7899">
        <w:rPr>
          <w:rFonts w:ascii="Arial" w:eastAsia="Times New Roman" w:hAnsi="Arial" w:cs="Arial"/>
          <w:sz w:val="24"/>
          <w:szCs w:val="24"/>
        </w:rPr>
        <w:t>,</w:t>
      </w:r>
      <w:r>
        <w:rPr>
          <w:rFonts w:ascii="Arial" w:eastAsia="Times New Roman" w:hAnsi="Arial" w:cs="Arial"/>
          <w:sz w:val="24"/>
          <w:szCs w:val="24"/>
        </w:rPr>
        <w:t xml:space="preserve"> pay</w:t>
      </w:r>
      <w:r w:rsidRPr="00221B03">
        <w:rPr>
          <w:rFonts w:ascii="Arial" w:eastAsia="Times New Roman" w:hAnsi="Arial" w:cs="Arial"/>
          <w:sz w:val="24"/>
          <w:szCs w:val="24"/>
        </w:rPr>
        <w:t xml:space="preserve"> </w:t>
      </w:r>
      <w:r>
        <w:rPr>
          <w:rFonts w:ascii="Arial" w:eastAsia="Times New Roman" w:hAnsi="Arial" w:cs="Arial"/>
          <w:sz w:val="24"/>
          <w:szCs w:val="24"/>
        </w:rPr>
        <w:t>to defendant, through he</w:t>
      </w:r>
      <w:r w:rsidR="009A7899">
        <w:rPr>
          <w:rFonts w:ascii="Arial" w:eastAsia="Times New Roman" w:hAnsi="Arial" w:cs="Arial"/>
          <w:sz w:val="24"/>
          <w:szCs w:val="24"/>
        </w:rPr>
        <w:t>r legal practitioners of record</w:t>
      </w:r>
      <w:r>
        <w:rPr>
          <w:rFonts w:ascii="Arial" w:eastAsia="Times New Roman" w:hAnsi="Arial" w:cs="Arial"/>
          <w:sz w:val="24"/>
          <w:szCs w:val="24"/>
        </w:rPr>
        <w:t>,</w:t>
      </w:r>
      <w:r w:rsidR="009A7899">
        <w:rPr>
          <w:rFonts w:ascii="Arial" w:eastAsia="Times New Roman" w:hAnsi="Arial" w:cs="Arial"/>
          <w:sz w:val="24"/>
          <w:szCs w:val="24"/>
        </w:rPr>
        <w:t xml:space="preserve"> </w:t>
      </w:r>
      <w:r>
        <w:rPr>
          <w:rFonts w:ascii="Arial" w:eastAsia="Times New Roman" w:hAnsi="Arial" w:cs="Arial"/>
          <w:sz w:val="24"/>
          <w:szCs w:val="24"/>
        </w:rPr>
        <w:t xml:space="preserve">the amount arrived at by the </w:t>
      </w:r>
      <w:proofErr w:type="spellStart"/>
      <w:r>
        <w:rPr>
          <w:rFonts w:ascii="Arial" w:eastAsia="Times New Roman" w:hAnsi="Arial" w:cs="Arial"/>
          <w:sz w:val="24"/>
          <w:szCs w:val="24"/>
        </w:rPr>
        <w:t>valuer</w:t>
      </w:r>
      <w:proofErr w:type="spellEnd"/>
      <w:r>
        <w:rPr>
          <w:rFonts w:ascii="Arial" w:eastAsia="Times New Roman" w:hAnsi="Arial" w:cs="Arial"/>
          <w:sz w:val="24"/>
          <w:szCs w:val="24"/>
        </w:rPr>
        <w:t xml:space="preserve">. </w:t>
      </w:r>
    </w:p>
    <w:p w:rsidR="00B90BBE" w:rsidRPr="00EC6626" w:rsidRDefault="00B90BBE" w:rsidP="00EC6626">
      <w:pPr>
        <w:spacing w:after="0" w:line="360" w:lineRule="auto"/>
        <w:jc w:val="both"/>
        <w:rPr>
          <w:rFonts w:ascii="Arial" w:eastAsia="Times New Roman" w:hAnsi="Arial" w:cs="Arial"/>
          <w:sz w:val="24"/>
          <w:szCs w:val="24"/>
        </w:rPr>
      </w:pPr>
    </w:p>
    <w:p w:rsidR="00B90BBE" w:rsidRDefault="00B90BBE" w:rsidP="00227F4F">
      <w:pPr>
        <w:pStyle w:val="ListParagraph"/>
        <w:numPr>
          <w:ilvl w:val="0"/>
          <w:numId w:val="9"/>
        </w:numPr>
        <w:spacing w:after="0" w:line="360" w:lineRule="auto"/>
        <w:ind w:left="0" w:firstLine="0"/>
        <w:jc w:val="both"/>
        <w:rPr>
          <w:rFonts w:ascii="Arial" w:eastAsia="Times New Roman" w:hAnsi="Arial" w:cs="Arial"/>
          <w:sz w:val="24"/>
          <w:szCs w:val="24"/>
        </w:rPr>
      </w:pPr>
      <w:r>
        <w:rPr>
          <w:rFonts w:ascii="Arial" w:eastAsia="Times New Roman" w:hAnsi="Arial" w:cs="Arial"/>
          <w:sz w:val="24"/>
          <w:szCs w:val="24"/>
        </w:rPr>
        <w:t>Defendant shall pay plaintiff’s costs of suit</w:t>
      </w:r>
      <w:r w:rsidR="009A7899">
        <w:rPr>
          <w:rFonts w:ascii="Arial" w:eastAsia="Times New Roman" w:hAnsi="Arial" w:cs="Arial"/>
          <w:sz w:val="24"/>
          <w:szCs w:val="24"/>
        </w:rPr>
        <w:t>,</w:t>
      </w:r>
      <w:r>
        <w:rPr>
          <w:rFonts w:ascii="Arial" w:eastAsia="Times New Roman" w:hAnsi="Arial" w:cs="Arial"/>
          <w:sz w:val="24"/>
          <w:szCs w:val="24"/>
        </w:rPr>
        <w:t xml:space="preserve"> and such costs include costs of one instructing counsel and one instructed counsel.</w:t>
      </w:r>
    </w:p>
    <w:p w:rsidR="00EC6626" w:rsidRPr="00EC6626" w:rsidRDefault="00EC6626" w:rsidP="00EC6626">
      <w:pPr>
        <w:pStyle w:val="ListParagraph"/>
        <w:rPr>
          <w:rFonts w:ascii="Arial" w:eastAsia="Times New Roman" w:hAnsi="Arial" w:cs="Arial"/>
          <w:sz w:val="24"/>
          <w:szCs w:val="24"/>
        </w:rPr>
      </w:pPr>
    </w:p>
    <w:p w:rsidR="00EC6626" w:rsidRPr="00FA085C" w:rsidRDefault="009A7899" w:rsidP="00227F4F">
      <w:pPr>
        <w:pStyle w:val="ListParagraph"/>
        <w:numPr>
          <w:ilvl w:val="0"/>
          <w:numId w:val="9"/>
        </w:numPr>
        <w:spacing w:after="0" w:line="360" w:lineRule="auto"/>
        <w:ind w:left="0" w:firstLine="0"/>
        <w:jc w:val="both"/>
        <w:rPr>
          <w:rFonts w:ascii="Arial" w:eastAsia="Times New Roman" w:hAnsi="Arial" w:cs="Arial"/>
          <w:sz w:val="24"/>
          <w:szCs w:val="24"/>
        </w:rPr>
      </w:pPr>
      <w:r>
        <w:rPr>
          <w:rFonts w:ascii="Arial" w:eastAsia="Times New Roman" w:hAnsi="Arial" w:cs="Arial"/>
          <w:sz w:val="24"/>
          <w:szCs w:val="24"/>
        </w:rPr>
        <w:t>The m</w:t>
      </w:r>
      <w:r w:rsidR="00EC6626">
        <w:rPr>
          <w:rFonts w:ascii="Arial" w:eastAsia="Times New Roman" w:hAnsi="Arial" w:cs="Arial"/>
          <w:sz w:val="24"/>
          <w:szCs w:val="24"/>
        </w:rPr>
        <w:t>atter is considered finalized and is removed from the roll.</w:t>
      </w:r>
    </w:p>
    <w:p w:rsidR="00F75AB6" w:rsidRDefault="00F75AB6" w:rsidP="0075142D">
      <w:pPr>
        <w:spacing w:after="0" w:line="360" w:lineRule="auto"/>
        <w:jc w:val="both"/>
        <w:rPr>
          <w:rFonts w:ascii="Arial" w:hAnsi="Arial" w:cs="Arial"/>
          <w:sz w:val="24"/>
          <w:szCs w:val="24"/>
        </w:rPr>
      </w:pPr>
    </w:p>
    <w:p w:rsidR="00F75AB6" w:rsidRDefault="00F75AB6" w:rsidP="0075142D">
      <w:pPr>
        <w:spacing w:after="0" w:line="360" w:lineRule="auto"/>
        <w:jc w:val="both"/>
        <w:rPr>
          <w:rFonts w:ascii="Arial" w:hAnsi="Arial" w:cs="Arial"/>
          <w:sz w:val="24"/>
          <w:szCs w:val="24"/>
        </w:rPr>
      </w:pPr>
    </w:p>
    <w:p w:rsidR="00600612" w:rsidRDefault="00600612" w:rsidP="0075142D">
      <w:pPr>
        <w:spacing w:after="0" w:line="360" w:lineRule="auto"/>
        <w:jc w:val="both"/>
        <w:rPr>
          <w:rFonts w:ascii="Arial" w:hAnsi="Arial" w:cs="Arial"/>
          <w:sz w:val="24"/>
          <w:szCs w:val="24"/>
        </w:rPr>
      </w:pPr>
    </w:p>
    <w:p w:rsidR="00F75AB6" w:rsidRDefault="00F75AB6" w:rsidP="00F75AB6">
      <w:pPr>
        <w:spacing w:after="0" w:line="360" w:lineRule="auto"/>
        <w:jc w:val="right"/>
        <w:rPr>
          <w:rFonts w:ascii="Arial" w:hAnsi="Arial" w:cs="Arial"/>
          <w:sz w:val="24"/>
          <w:szCs w:val="24"/>
        </w:rPr>
      </w:pPr>
      <w:r w:rsidRPr="001F2A65">
        <w:rPr>
          <w:rFonts w:ascii="Arial" w:hAnsi="Arial" w:cs="Arial"/>
          <w:sz w:val="24"/>
          <w:szCs w:val="24"/>
        </w:rPr>
        <w:t>---------------------</w:t>
      </w:r>
    </w:p>
    <w:p w:rsidR="00F75AB6" w:rsidRPr="001F2A65" w:rsidRDefault="00F75AB6" w:rsidP="00F75AB6">
      <w:pPr>
        <w:spacing w:after="0" w:line="360" w:lineRule="auto"/>
        <w:jc w:val="right"/>
        <w:rPr>
          <w:rFonts w:ascii="Arial" w:hAnsi="Arial" w:cs="Arial"/>
          <w:sz w:val="24"/>
          <w:szCs w:val="24"/>
        </w:rPr>
      </w:pPr>
      <w:r>
        <w:rPr>
          <w:rFonts w:ascii="Arial" w:hAnsi="Arial" w:cs="Arial"/>
          <w:sz w:val="24"/>
          <w:szCs w:val="24"/>
        </w:rPr>
        <w:t>C PARKER</w:t>
      </w:r>
    </w:p>
    <w:p w:rsidR="00F75AB6" w:rsidRDefault="00F75AB6" w:rsidP="00F75AB6">
      <w:pPr>
        <w:spacing w:after="0" w:line="360" w:lineRule="auto"/>
        <w:jc w:val="right"/>
        <w:rPr>
          <w:rFonts w:ascii="Arial" w:hAnsi="Arial" w:cs="Arial"/>
          <w:sz w:val="24"/>
          <w:szCs w:val="24"/>
        </w:rPr>
      </w:pPr>
      <w:r>
        <w:rPr>
          <w:rFonts w:ascii="Arial" w:hAnsi="Arial" w:cs="Arial"/>
          <w:sz w:val="24"/>
          <w:szCs w:val="24"/>
        </w:rPr>
        <w:t xml:space="preserve">Acting </w:t>
      </w:r>
      <w:r w:rsidRPr="001F2A65">
        <w:rPr>
          <w:rFonts w:ascii="Arial" w:hAnsi="Arial" w:cs="Arial"/>
          <w:sz w:val="24"/>
          <w:szCs w:val="24"/>
        </w:rPr>
        <w:t>Judge</w:t>
      </w:r>
    </w:p>
    <w:p w:rsidR="00F75AB6" w:rsidRDefault="00F75AB6" w:rsidP="00F75AB6">
      <w:pPr>
        <w:spacing w:after="0" w:line="360" w:lineRule="auto"/>
        <w:jc w:val="right"/>
        <w:rPr>
          <w:rFonts w:ascii="Arial" w:hAnsi="Arial" w:cs="Arial"/>
          <w:sz w:val="24"/>
          <w:szCs w:val="24"/>
        </w:rPr>
      </w:pPr>
    </w:p>
    <w:p w:rsidR="002040BC" w:rsidRDefault="002040BC" w:rsidP="00333FCD">
      <w:pPr>
        <w:spacing w:after="0" w:line="360" w:lineRule="auto"/>
        <w:rPr>
          <w:rFonts w:ascii="Arial" w:hAnsi="Arial" w:cs="Arial"/>
          <w:sz w:val="24"/>
          <w:szCs w:val="24"/>
        </w:rPr>
      </w:pPr>
    </w:p>
    <w:p w:rsidR="00B90BBE" w:rsidRDefault="00B90BBE" w:rsidP="00333FCD">
      <w:pPr>
        <w:spacing w:after="0" w:line="360" w:lineRule="auto"/>
        <w:rPr>
          <w:rFonts w:ascii="Arial" w:hAnsi="Arial" w:cs="Arial"/>
          <w:sz w:val="24"/>
          <w:szCs w:val="24"/>
        </w:rPr>
      </w:pPr>
    </w:p>
    <w:p w:rsidR="003F31A4" w:rsidRDefault="003F31A4" w:rsidP="00333FCD">
      <w:pPr>
        <w:spacing w:after="0" w:line="360" w:lineRule="auto"/>
        <w:rPr>
          <w:rFonts w:ascii="Arial" w:hAnsi="Arial" w:cs="Arial"/>
          <w:sz w:val="24"/>
          <w:szCs w:val="24"/>
        </w:rPr>
      </w:pPr>
    </w:p>
    <w:p w:rsidR="003F31A4" w:rsidRDefault="003F31A4" w:rsidP="00333FCD">
      <w:pPr>
        <w:spacing w:after="0" w:line="360" w:lineRule="auto"/>
        <w:rPr>
          <w:rFonts w:ascii="Arial" w:hAnsi="Arial" w:cs="Arial"/>
          <w:sz w:val="24"/>
          <w:szCs w:val="24"/>
        </w:rPr>
      </w:pPr>
    </w:p>
    <w:p w:rsidR="003F31A4" w:rsidRDefault="003F31A4" w:rsidP="00333FCD">
      <w:pPr>
        <w:spacing w:after="0" w:line="360" w:lineRule="auto"/>
        <w:rPr>
          <w:rFonts w:ascii="Arial" w:hAnsi="Arial" w:cs="Arial"/>
          <w:sz w:val="24"/>
          <w:szCs w:val="24"/>
        </w:rPr>
      </w:pPr>
    </w:p>
    <w:p w:rsidR="003F31A4" w:rsidRDefault="003F31A4" w:rsidP="00333FCD">
      <w:pPr>
        <w:spacing w:after="0" w:line="360" w:lineRule="auto"/>
        <w:rPr>
          <w:rFonts w:ascii="Arial" w:hAnsi="Arial" w:cs="Arial"/>
          <w:sz w:val="24"/>
          <w:szCs w:val="24"/>
        </w:rPr>
      </w:pPr>
    </w:p>
    <w:p w:rsidR="003F31A4" w:rsidRDefault="003F31A4" w:rsidP="00333FCD">
      <w:pPr>
        <w:spacing w:after="0" w:line="360" w:lineRule="auto"/>
        <w:rPr>
          <w:rFonts w:ascii="Arial" w:hAnsi="Arial" w:cs="Arial"/>
          <w:sz w:val="24"/>
          <w:szCs w:val="24"/>
        </w:rPr>
      </w:pPr>
    </w:p>
    <w:p w:rsidR="003F31A4" w:rsidRDefault="003F31A4" w:rsidP="00333FCD">
      <w:pPr>
        <w:spacing w:after="0" w:line="360" w:lineRule="auto"/>
        <w:rPr>
          <w:rFonts w:ascii="Arial" w:hAnsi="Arial" w:cs="Arial"/>
          <w:sz w:val="24"/>
          <w:szCs w:val="24"/>
        </w:rPr>
      </w:pPr>
    </w:p>
    <w:p w:rsidR="003F31A4" w:rsidRDefault="003F31A4" w:rsidP="00333FCD">
      <w:pPr>
        <w:spacing w:after="0" w:line="360" w:lineRule="auto"/>
        <w:rPr>
          <w:rFonts w:ascii="Arial" w:hAnsi="Arial" w:cs="Arial"/>
          <w:sz w:val="24"/>
          <w:szCs w:val="24"/>
        </w:rPr>
      </w:pPr>
    </w:p>
    <w:p w:rsidR="003F31A4" w:rsidRDefault="003F31A4" w:rsidP="00333FCD">
      <w:pPr>
        <w:spacing w:after="0" w:line="360" w:lineRule="auto"/>
        <w:rPr>
          <w:rFonts w:ascii="Arial" w:hAnsi="Arial" w:cs="Arial"/>
          <w:sz w:val="24"/>
          <w:szCs w:val="24"/>
        </w:rPr>
      </w:pPr>
    </w:p>
    <w:p w:rsidR="003F31A4" w:rsidRDefault="003F31A4" w:rsidP="00333FCD">
      <w:pPr>
        <w:spacing w:after="0" w:line="360" w:lineRule="auto"/>
        <w:rPr>
          <w:rFonts w:ascii="Arial" w:hAnsi="Arial" w:cs="Arial"/>
          <w:sz w:val="24"/>
          <w:szCs w:val="24"/>
        </w:rPr>
      </w:pPr>
    </w:p>
    <w:p w:rsidR="003F31A4" w:rsidRDefault="003F31A4" w:rsidP="00333FCD">
      <w:pPr>
        <w:spacing w:after="0" w:line="360" w:lineRule="auto"/>
        <w:rPr>
          <w:rFonts w:ascii="Arial" w:hAnsi="Arial" w:cs="Arial"/>
          <w:sz w:val="24"/>
          <w:szCs w:val="24"/>
        </w:rPr>
      </w:pPr>
    </w:p>
    <w:p w:rsidR="003F31A4" w:rsidRDefault="003F31A4" w:rsidP="00333FCD">
      <w:pPr>
        <w:spacing w:after="0" w:line="360" w:lineRule="auto"/>
        <w:rPr>
          <w:rFonts w:ascii="Arial" w:hAnsi="Arial" w:cs="Arial"/>
          <w:sz w:val="24"/>
          <w:szCs w:val="24"/>
        </w:rPr>
      </w:pPr>
    </w:p>
    <w:p w:rsidR="003F31A4" w:rsidRDefault="003F31A4" w:rsidP="00333FCD">
      <w:pPr>
        <w:spacing w:after="0" w:line="360" w:lineRule="auto"/>
        <w:rPr>
          <w:rFonts w:ascii="Arial" w:hAnsi="Arial" w:cs="Arial"/>
          <w:sz w:val="24"/>
          <w:szCs w:val="24"/>
        </w:rPr>
      </w:pPr>
    </w:p>
    <w:p w:rsidR="003F31A4" w:rsidRDefault="003F31A4" w:rsidP="00333FCD">
      <w:pPr>
        <w:spacing w:after="0" w:line="360" w:lineRule="auto"/>
        <w:rPr>
          <w:rFonts w:ascii="Arial" w:hAnsi="Arial" w:cs="Arial"/>
          <w:sz w:val="24"/>
          <w:szCs w:val="24"/>
        </w:rPr>
      </w:pPr>
    </w:p>
    <w:p w:rsidR="003F31A4" w:rsidRDefault="003F31A4" w:rsidP="00333FCD">
      <w:pPr>
        <w:spacing w:after="0" w:line="360" w:lineRule="auto"/>
        <w:rPr>
          <w:rFonts w:ascii="Arial" w:hAnsi="Arial" w:cs="Arial"/>
          <w:sz w:val="24"/>
          <w:szCs w:val="24"/>
        </w:rPr>
      </w:pPr>
    </w:p>
    <w:p w:rsidR="002040BC" w:rsidRDefault="002040BC" w:rsidP="00333FCD">
      <w:pPr>
        <w:spacing w:after="0" w:line="360" w:lineRule="auto"/>
        <w:rPr>
          <w:rFonts w:ascii="Arial" w:hAnsi="Arial" w:cs="Arial"/>
          <w:sz w:val="24"/>
          <w:szCs w:val="24"/>
        </w:rPr>
      </w:pPr>
    </w:p>
    <w:p w:rsidR="00143230" w:rsidRDefault="00143230" w:rsidP="00333FCD">
      <w:pPr>
        <w:spacing w:after="0" w:line="360" w:lineRule="auto"/>
        <w:rPr>
          <w:rFonts w:ascii="Arial" w:hAnsi="Arial" w:cs="Arial"/>
          <w:sz w:val="24"/>
          <w:szCs w:val="24"/>
        </w:rPr>
      </w:pPr>
    </w:p>
    <w:p w:rsidR="00143230" w:rsidRDefault="00143230" w:rsidP="00333FCD">
      <w:pPr>
        <w:spacing w:after="0" w:line="360" w:lineRule="auto"/>
        <w:rPr>
          <w:rFonts w:ascii="Arial" w:hAnsi="Arial" w:cs="Arial"/>
          <w:sz w:val="24"/>
          <w:szCs w:val="24"/>
        </w:rPr>
      </w:pPr>
    </w:p>
    <w:p w:rsidR="00143230" w:rsidRDefault="00143230" w:rsidP="00333FCD">
      <w:pPr>
        <w:spacing w:after="0" w:line="360" w:lineRule="auto"/>
        <w:rPr>
          <w:rFonts w:ascii="Arial" w:hAnsi="Arial" w:cs="Arial"/>
          <w:sz w:val="24"/>
          <w:szCs w:val="24"/>
        </w:rPr>
      </w:pPr>
    </w:p>
    <w:p w:rsidR="00143230" w:rsidRDefault="00143230" w:rsidP="00333FCD">
      <w:pPr>
        <w:spacing w:after="0" w:line="360" w:lineRule="auto"/>
        <w:rPr>
          <w:rFonts w:ascii="Arial" w:hAnsi="Arial" w:cs="Arial"/>
          <w:sz w:val="24"/>
          <w:szCs w:val="24"/>
        </w:rPr>
      </w:pPr>
    </w:p>
    <w:p w:rsidR="00143230" w:rsidRDefault="00143230" w:rsidP="00333FCD">
      <w:pPr>
        <w:spacing w:after="0" w:line="360" w:lineRule="auto"/>
        <w:rPr>
          <w:rFonts w:ascii="Arial" w:hAnsi="Arial" w:cs="Arial"/>
          <w:sz w:val="24"/>
          <w:szCs w:val="24"/>
        </w:rPr>
      </w:pPr>
    </w:p>
    <w:p w:rsidR="00D132CF" w:rsidRDefault="00D132CF" w:rsidP="00333FCD">
      <w:pPr>
        <w:spacing w:after="0" w:line="360" w:lineRule="auto"/>
        <w:rPr>
          <w:rFonts w:ascii="Arial" w:hAnsi="Arial" w:cs="Arial"/>
          <w:sz w:val="24"/>
          <w:szCs w:val="24"/>
        </w:rPr>
      </w:pPr>
    </w:p>
    <w:p w:rsidR="00D132CF" w:rsidRDefault="00D132CF" w:rsidP="00333FCD">
      <w:pPr>
        <w:spacing w:after="0" w:line="360" w:lineRule="auto"/>
        <w:rPr>
          <w:rFonts w:ascii="Arial" w:hAnsi="Arial" w:cs="Arial"/>
          <w:sz w:val="24"/>
          <w:szCs w:val="24"/>
        </w:rPr>
      </w:pPr>
    </w:p>
    <w:p w:rsidR="00D132CF" w:rsidRDefault="00D132CF" w:rsidP="00333FCD">
      <w:pPr>
        <w:spacing w:after="0" w:line="360" w:lineRule="auto"/>
        <w:rPr>
          <w:rFonts w:ascii="Arial" w:hAnsi="Arial" w:cs="Arial"/>
          <w:sz w:val="24"/>
          <w:szCs w:val="24"/>
        </w:rPr>
      </w:pPr>
    </w:p>
    <w:p w:rsidR="00D132CF" w:rsidRDefault="00D132CF" w:rsidP="00333FCD">
      <w:pPr>
        <w:spacing w:after="0" w:line="360" w:lineRule="auto"/>
        <w:rPr>
          <w:rFonts w:ascii="Arial" w:hAnsi="Arial" w:cs="Arial"/>
          <w:sz w:val="24"/>
          <w:szCs w:val="24"/>
        </w:rPr>
      </w:pPr>
    </w:p>
    <w:p w:rsidR="00D132CF" w:rsidRDefault="00D132CF" w:rsidP="00333FCD">
      <w:pPr>
        <w:spacing w:after="0" w:line="360" w:lineRule="auto"/>
        <w:rPr>
          <w:rFonts w:ascii="Arial" w:hAnsi="Arial" w:cs="Arial"/>
          <w:sz w:val="24"/>
          <w:szCs w:val="24"/>
        </w:rPr>
      </w:pPr>
    </w:p>
    <w:p w:rsidR="00333FCD" w:rsidRDefault="00333FCD" w:rsidP="00333FCD">
      <w:pPr>
        <w:spacing w:after="0" w:line="360" w:lineRule="auto"/>
        <w:rPr>
          <w:rFonts w:ascii="Arial" w:hAnsi="Arial" w:cs="Arial"/>
          <w:sz w:val="24"/>
          <w:szCs w:val="24"/>
        </w:rPr>
      </w:pPr>
      <w:r>
        <w:rPr>
          <w:rFonts w:ascii="Arial" w:hAnsi="Arial" w:cs="Arial"/>
          <w:sz w:val="24"/>
          <w:szCs w:val="24"/>
        </w:rPr>
        <w:lastRenderedPageBreak/>
        <w:t>APPEARANCES:</w:t>
      </w:r>
    </w:p>
    <w:p w:rsidR="00333FCD" w:rsidRDefault="00333FCD" w:rsidP="00333FCD">
      <w:pPr>
        <w:spacing w:after="0" w:line="360" w:lineRule="auto"/>
        <w:rPr>
          <w:rFonts w:ascii="Arial" w:hAnsi="Arial" w:cs="Arial"/>
          <w:sz w:val="24"/>
          <w:szCs w:val="24"/>
        </w:rPr>
      </w:pPr>
    </w:p>
    <w:p w:rsidR="00333FCD" w:rsidRDefault="00333FCD" w:rsidP="00333FCD">
      <w:pPr>
        <w:spacing w:after="0" w:line="360" w:lineRule="auto"/>
        <w:rPr>
          <w:rFonts w:ascii="Arial" w:hAnsi="Arial" w:cs="Arial"/>
          <w:sz w:val="24"/>
          <w:szCs w:val="24"/>
        </w:rPr>
      </w:pPr>
    </w:p>
    <w:p w:rsidR="00333FCD" w:rsidRDefault="00B90BBE" w:rsidP="00333FCD">
      <w:pPr>
        <w:spacing w:after="0" w:line="360" w:lineRule="auto"/>
        <w:rPr>
          <w:rFonts w:ascii="Arial" w:hAnsi="Arial" w:cs="Arial"/>
          <w:sz w:val="24"/>
          <w:szCs w:val="24"/>
        </w:rPr>
      </w:pPr>
      <w:r>
        <w:rPr>
          <w:rFonts w:ascii="Arial" w:hAnsi="Arial" w:cs="Arial"/>
          <w:sz w:val="24"/>
          <w:szCs w:val="24"/>
        </w:rPr>
        <w:t>PLAINTIFF:</w:t>
      </w:r>
      <w:r w:rsidR="00333FCD">
        <w:rPr>
          <w:rFonts w:ascii="Arial" w:hAnsi="Arial" w:cs="Arial"/>
          <w:sz w:val="24"/>
          <w:szCs w:val="24"/>
        </w:rPr>
        <w:tab/>
      </w:r>
      <w:r w:rsidR="00333FCD">
        <w:rPr>
          <w:rFonts w:ascii="Arial" w:hAnsi="Arial" w:cs="Arial"/>
          <w:sz w:val="24"/>
          <w:szCs w:val="24"/>
        </w:rPr>
        <w:tab/>
      </w:r>
      <w:r w:rsidR="00333FCD">
        <w:rPr>
          <w:rFonts w:ascii="Arial" w:hAnsi="Arial" w:cs="Arial"/>
          <w:sz w:val="24"/>
          <w:szCs w:val="24"/>
        </w:rPr>
        <w:tab/>
      </w:r>
      <w:r w:rsidR="00221B03">
        <w:rPr>
          <w:rFonts w:ascii="Arial" w:hAnsi="Arial" w:cs="Arial"/>
          <w:sz w:val="24"/>
          <w:szCs w:val="24"/>
        </w:rPr>
        <w:t>G</w:t>
      </w:r>
      <w:r w:rsidR="00143230">
        <w:rPr>
          <w:rFonts w:ascii="Arial" w:hAnsi="Arial" w:cs="Arial"/>
          <w:sz w:val="24"/>
          <w:szCs w:val="24"/>
        </w:rPr>
        <w:t xml:space="preserve"> </w:t>
      </w:r>
      <w:proofErr w:type="spellStart"/>
      <w:r w:rsidR="00143230">
        <w:rPr>
          <w:rFonts w:ascii="Arial" w:hAnsi="Arial" w:cs="Arial"/>
          <w:sz w:val="24"/>
          <w:szCs w:val="24"/>
        </w:rPr>
        <w:t>Narib</w:t>
      </w:r>
      <w:proofErr w:type="spellEnd"/>
    </w:p>
    <w:p w:rsidR="00143230" w:rsidRDefault="00221B03" w:rsidP="00221B03">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Instructed b</w:t>
      </w:r>
      <w:r w:rsidR="00143230">
        <w:rPr>
          <w:rFonts w:ascii="Arial" w:hAnsi="Arial" w:cs="Arial"/>
          <w:sz w:val="24"/>
          <w:szCs w:val="24"/>
        </w:rPr>
        <w:t xml:space="preserve">y Dr </w:t>
      </w:r>
      <w:proofErr w:type="spellStart"/>
      <w:r w:rsidR="00143230">
        <w:rPr>
          <w:rFonts w:ascii="Arial" w:hAnsi="Arial" w:cs="Arial"/>
          <w:sz w:val="24"/>
          <w:szCs w:val="24"/>
        </w:rPr>
        <w:t>Weder</w:t>
      </w:r>
      <w:proofErr w:type="spellEnd"/>
      <w:r w:rsidR="00143230">
        <w:rPr>
          <w:rFonts w:ascii="Arial" w:hAnsi="Arial" w:cs="Arial"/>
          <w:sz w:val="24"/>
          <w:szCs w:val="24"/>
        </w:rPr>
        <w:t xml:space="preserve">, </w:t>
      </w:r>
      <w:proofErr w:type="spellStart"/>
      <w:r w:rsidR="00143230">
        <w:rPr>
          <w:rFonts w:ascii="Arial" w:hAnsi="Arial" w:cs="Arial"/>
          <w:sz w:val="24"/>
          <w:szCs w:val="24"/>
        </w:rPr>
        <w:t>Kauta</w:t>
      </w:r>
      <w:proofErr w:type="spellEnd"/>
      <w:r w:rsidR="00143230">
        <w:rPr>
          <w:rFonts w:ascii="Arial" w:hAnsi="Arial" w:cs="Arial"/>
          <w:sz w:val="24"/>
          <w:szCs w:val="24"/>
        </w:rPr>
        <w:t xml:space="preserve"> &amp; </w:t>
      </w:r>
      <w:proofErr w:type="spellStart"/>
      <w:r w:rsidR="00143230">
        <w:rPr>
          <w:rFonts w:ascii="Arial" w:hAnsi="Arial" w:cs="Arial"/>
          <w:sz w:val="24"/>
          <w:szCs w:val="24"/>
        </w:rPr>
        <w:t>Hoveka</w:t>
      </w:r>
      <w:proofErr w:type="spellEnd"/>
      <w:r w:rsidR="00143230">
        <w:rPr>
          <w:rFonts w:ascii="Arial" w:hAnsi="Arial" w:cs="Arial"/>
          <w:sz w:val="24"/>
          <w:szCs w:val="24"/>
        </w:rPr>
        <w:t xml:space="preserve"> Inc.</w:t>
      </w:r>
    </w:p>
    <w:p w:rsidR="00333FCD" w:rsidRDefault="00143230" w:rsidP="00143230">
      <w:pPr>
        <w:spacing w:after="0" w:line="360" w:lineRule="auto"/>
        <w:ind w:left="2160" w:firstLine="720"/>
        <w:rPr>
          <w:rFonts w:ascii="Arial" w:hAnsi="Arial" w:cs="Arial"/>
          <w:sz w:val="24"/>
          <w:szCs w:val="24"/>
        </w:rPr>
      </w:pPr>
      <w:r>
        <w:rPr>
          <w:rFonts w:ascii="Arial" w:hAnsi="Arial" w:cs="Arial"/>
          <w:sz w:val="24"/>
          <w:szCs w:val="24"/>
        </w:rPr>
        <w:t>Windhoek</w:t>
      </w:r>
    </w:p>
    <w:p w:rsidR="00333FCD" w:rsidRDefault="00333FCD" w:rsidP="00333FCD">
      <w:pPr>
        <w:spacing w:after="0" w:line="360" w:lineRule="auto"/>
        <w:rPr>
          <w:rFonts w:ascii="Arial" w:hAnsi="Arial" w:cs="Arial"/>
          <w:sz w:val="24"/>
          <w:szCs w:val="24"/>
        </w:rPr>
      </w:pPr>
    </w:p>
    <w:p w:rsidR="00F75AB6" w:rsidRDefault="00F75AB6" w:rsidP="00333FCD">
      <w:pPr>
        <w:spacing w:after="0" w:line="360" w:lineRule="auto"/>
        <w:rPr>
          <w:rFonts w:ascii="Arial" w:hAnsi="Arial" w:cs="Arial"/>
          <w:sz w:val="24"/>
          <w:szCs w:val="24"/>
        </w:rPr>
      </w:pPr>
    </w:p>
    <w:p w:rsidR="00333FCD" w:rsidRDefault="002C47AE" w:rsidP="00333FCD">
      <w:pPr>
        <w:spacing w:after="0" w:line="360" w:lineRule="auto"/>
        <w:rPr>
          <w:rFonts w:ascii="Arial" w:hAnsi="Arial" w:cs="Arial"/>
          <w:sz w:val="24"/>
          <w:szCs w:val="24"/>
        </w:rPr>
      </w:pPr>
      <w:r>
        <w:rPr>
          <w:rFonts w:ascii="Arial" w:hAnsi="Arial" w:cs="Arial"/>
          <w:sz w:val="24"/>
          <w:szCs w:val="24"/>
        </w:rPr>
        <w:t>DEFENDANT</w:t>
      </w:r>
      <w:r w:rsidR="00F75AB6">
        <w:rPr>
          <w:rFonts w:ascii="Arial" w:hAnsi="Arial" w:cs="Arial"/>
          <w:sz w:val="24"/>
          <w:szCs w:val="24"/>
        </w:rPr>
        <w:t>:</w:t>
      </w:r>
      <w:r w:rsidR="00333FCD">
        <w:rPr>
          <w:rFonts w:ascii="Arial" w:hAnsi="Arial" w:cs="Arial"/>
          <w:sz w:val="24"/>
          <w:szCs w:val="24"/>
        </w:rPr>
        <w:tab/>
      </w:r>
      <w:r w:rsidR="00333FCD">
        <w:rPr>
          <w:rFonts w:ascii="Arial" w:hAnsi="Arial" w:cs="Arial"/>
          <w:sz w:val="24"/>
          <w:szCs w:val="24"/>
        </w:rPr>
        <w:tab/>
      </w:r>
      <w:r w:rsidR="00221B03">
        <w:rPr>
          <w:rFonts w:ascii="Arial" w:hAnsi="Arial" w:cs="Arial"/>
          <w:sz w:val="24"/>
          <w:szCs w:val="24"/>
        </w:rPr>
        <w:t>E</w:t>
      </w:r>
      <w:r>
        <w:rPr>
          <w:rFonts w:ascii="Arial" w:hAnsi="Arial" w:cs="Arial"/>
          <w:sz w:val="24"/>
          <w:szCs w:val="24"/>
        </w:rPr>
        <w:t xml:space="preserve"> Coetzee</w:t>
      </w:r>
    </w:p>
    <w:p w:rsidR="00143230" w:rsidRDefault="00221B03" w:rsidP="00333FCD">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33FCD">
        <w:rPr>
          <w:rFonts w:ascii="Arial" w:hAnsi="Arial" w:cs="Arial"/>
          <w:sz w:val="24"/>
          <w:szCs w:val="24"/>
        </w:rPr>
        <w:t xml:space="preserve">Of </w:t>
      </w:r>
      <w:proofErr w:type="spellStart"/>
      <w:r>
        <w:rPr>
          <w:rFonts w:ascii="Arial" w:hAnsi="Arial" w:cs="Arial"/>
          <w:sz w:val="24"/>
          <w:szCs w:val="24"/>
        </w:rPr>
        <w:t>Tjitemisa</w:t>
      </w:r>
      <w:proofErr w:type="spellEnd"/>
      <w:r>
        <w:rPr>
          <w:rFonts w:ascii="Arial" w:hAnsi="Arial" w:cs="Arial"/>
          <w:sz w:val="24"/>
          <w:szCs w:val="24"/>
        </w:rPr>
        <w:t xml:space="preserve"> &amp; Associates</w:t>
      </w:r>
      <w:r w:rsidR="00143230">
        <w:rPr>
          <w:rFonts w:ascii="Arial" w:hAnsi="Arial" w:cs="Arial"/>
          <w:sz w:val="24"/>
          <w:szCs w:val="24"/>
        </w:rPr>
        <w:t>.</w:t>
      </w:r>
    </w:p>
    <w:p w:rsidR="00333FCD" w:rsidRDefault="00333FCD" w:rsidP="00143230">
      <w:pPr>
        <w:spacing w:after="0" w:line="360" w:lineRule="auto"/>
        <w:ind w:left="2160" w:firstLine="720"/>
        <w:rPr>
          <w:rFonts w:ascii="Arial" w:hAnsi="Arial" w:cs="Arial"/>
          <w:sz w:val="24"/>
          <w:szCs w:val="24"/>
        </w:rPr>
      </w:pPr>
      <w:r>
        <w:rPr>
          <w:rFonts w:ascii="Arial" w:hAnsi="Arial" w:cs="Arial"/>
          <w:sz w:val="24"/>
          <w:szCs w:val="24"/>
        </w:rPr>
        <w:t>Windhoek</w:t>
      </w:r>
    </w:p>
    <w:p w:rsidR="00333FCD" w:rsidRPr="0075142D" w:rsidRDefault="00333FCD" w:rsidP="0075142D">
      <w:pPr>
        <w:spacing w:after="0" w:line="360" w:lineRule="auto"/>
        <w:jc w:val="both"/>
        <w:rPr>
          <w:rFonts w:ascii="Arial" w:hAnsi="Arial" w:cs="Arial"/>
          <w:sz w:val="24"/>
          <w:szCs w:val="24"/>
        </w:rPr>
      </w:pPr>
    </w:p>
    <w:sectPr w:rsidR="00333FCD" w:rsidRPr="0075142D" w:rsidSect="00285954">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2D3" w:rsidRDefault="009232D3" w:rsidP="000B30D9">
      <w:pPr>
        <w:spacing w:after="0" w:line="240" w:lineRule="auto"/>
      </w:pPr>
      <w:r>
        <w:separator/>
      </w:r>
    </w:p>
  </w:endnote>
  <w:endnote w:type="continuationSeparator" w:id="0">
    <w:p w:rsidR="009232D3" w:rsidRDefault="009232D3" w:rsidP="000B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BF8" w:rsidRDefault="00655BF8">
    <w:pPr>
      <w:pStyle w:val="Footer"/>
      <w:jc w:val="right"/>
    </w:pPr>
  </w:p>
  <w:p w:rsidR="00655BF8" w:rsidRDefault="00655B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2D3" w:rsidRDefault="009232D3" w:rsidP="000B30D9">
      <w:pPr>
        <w:spacing w:after="0" w:line="240" w:lineRule="auto"/>
      </w:pPr>
      <w:r>
        <w:separator/>
      </w:r>
    </w:p>
  </w:footnote>
  <w:footnote w:type="continuationSeparator" w:id="0">
    <w:p w:rsidR="009232D3" w:rsidRDefault="009232D3" w:rsidP="000B3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475846"/>
      <w:docPartObj>
        <w:docPartGallery w:val="Page Numbers (Top of Page)"/>
        <w:docPartUnique/>
      </w:docPartObj>
    </w:sdtPr>
    <w:sdtEndPr>
      <w:rPr>
        <w:noProof/>
      </w:rPr>
    </w:sdtEndPr>
    <w:sdtContent>
      <w:p w:rsidR="00655BF8" w:rsidRDefault="00655BF8">
        <w:pPr>
          <w:pStyle w:val="Header"/>
          <w:jc w:val="right"/>
        </w:pPr>
        <w:r>
          <w:fldChar w:fldCharType="begin"/>
        </w:r>
        <w:r>
          <w:instrText xml:space="preserve"> PAGE   \* MERGEFORMAT </w:instrText>
        </w:r>
        <w:r>
          <w:fldChar w:fldCharType="separate"/>
        </w:r>
        <w:r w:rsidR="00432CC4">
          <w:rPr>
            <w:noProof/>
          </w:rPr>
          <w:t>2</w:t>
        </w:r>
        <w:r>
          <w:rPr>
            <w:noProof/>
          </w:rPr>
          <w:fldChar w:fldCharType="end"/>
        </w:r>
      </w:p>
    </w:sdtContent>
  </w:sdt>
  <w:p w:rsidR="00655BF8" w:rsidRDefault="00655B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C4C98"/>
    <w:multiLevelType w:val="hybridMultilevel"/>
    <w:tmpl w:val="BC8A85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6E1DFA"/>
    <w:multiLevelType w:val="hybridMultilevel"/>
    <w:tmpl w:val="4198AF0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1E3E6122"/>
    <w:multiLevelType w:val="hybridMultilevel"/>
    <w:tmpl w:val="916077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E4B252E"/>
    <w:multiLevelType w:val="multilevel"/>
    <w:tmpl w:val="1BBECE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1E1455D"/>
    <w:multiLevelType w:val="hybridMultilevel"/>
    <w:tmpl w:val="80780C7C"/>
    <w:lvl w:ilvl="0" w:tplc="9C060CC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6A561A"/>
    <w:multiLevelType w:val="hybridMultilevel"/>
    <w:tmpl w:val="958E12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AAC5DD0"/>
    <w:multiLevelType w:val="hybridMultilevel"/>
    <w:tmpl w:val="B0460BF2"/>
    <w:lvl w:ilvl="0" w:tplc="4AEEF9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CC0349"/>
    <w:multiLevelType w:val="hybridMultilevel"/>
    <w:tmpl w:val="3B92D540"/>
    <w:lvl w:ilvl="0" w:tplc="8BAE3E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D5917E1"/>
    <w:multiLevelType w:val="hybridMultilevel"/>
    <w:tmpl w:val="E1FE5040"/>
    <w:lvl w:ilvl="0" w:tplc="6F52288C">
      <w:start w:val="10"/>
      <w:numFmt w:val="decimal"/>
      <w:lvlText w:val="%1."/>
      <w:lvlJc w:val="left"/>
      <w:pPr>
        <w:ind w:left="3337" w:hanging="360"/>
      </w:pPr>
      <w:rPr>
        <w:rFonts w:hint="default"/>
      </w:rPr>
    </w:lvl>
    <w:lvl w:ilvl="1" w:tplc="20000019" w:tentative="1">
      <w:start w:val="1"/>
      <w:numFmt w:val="lowerLetter"/>
      <w:lvlText w:val="%2."/>
      <w:lvlJc w:val="left"/>
      <w:pPr>
        <w:ind w:left="4057" w:hanging="360"/>
      </w:pPr>
    </w:lvl>
    <w:lvl w:ilvl="2" w:tplc="2000001B" w:tentative="1">
      <w:start w:val="1"/>
      <w:numFmt w:val="lowerRoman"/>
      <w:lvlText w:val="%3."/>
      <w:lvlJc w:val="right"/>
      <w:pPr>
        <w:ind w:left="4777" w:hanging="180"/>
      </w:pPr>
    </w:lvl>
    <w:lvl w:ilvl="3" w:tplc="2000000F" w:tentative="1">
      <w:start w:val="1"/>
      <w:numFmt w:val="decimal"/>
      <w:lvlText w:val="%4."/>
      <w:lvlJc w:val="left"/>
      <w:pPr>
        <w:ind w:left="5497" w:hanging="360"/>
      </w:pPr>
    </w:lvl>
    <w:lvl w:ilvl="4" w:tplc="20000019" w:tentative="1">
      <w:start w:val="1"/>
      <w:numFmt w:val="lowerLetter"/>
      <w:lvlText w:val="%5."/>
      <w:lvlJc w:val="left"/>
      <w:pPr>
        <w:ind w:left="6217" w:hanging="360"/>
      </w:pPr>
    </w:lvl>
    <w:lvl w:ilvl="5" w:tplc="2000001B" w:tentative="1">
      <w:start w:val="1"/>
      <w:numFmt w:val="lowerRoman"/>
      <w:lvlText w:val="%6."/>
      <w:lvlJc w:val="right"/>
      <w:pPr>
        <w:ind w:left="6937" w:hanging="180"/>
      </w:pPr>
    </w:lvl>
    <w:lvl w:ilvl="6" w:tplc="2000000F" w:tentative="1">
      <w:start w:val="1"/>
      <w:numFmt w:val="decimal"/>
      <w:lvlText w:val="%7."/>
      <w:lvlJc w:val="left"/>
      <w:pPr>
        <w:ind w:left="7657" w:hanging="360"/>
      </w:pPr>
    </w:lvl>
    <w:lvl w:ilvl="7" w:tplc="20000019" w:tentative="1">
      <w:start w:val="1"/>
      <w:numFmt w:val="lowerLetter"/>
      <w:lvlText w:val="%8."/>
      <w:lvlJc w:val="left"/>
      <w:pPr>
        <w:ind w:left="8377" w:hanging="360"/>
      </w:pPr>
    </w:lvl>
    <w:lvl w:ilvl="8" w:tplc="2000001B" w:tentative="1">
      <w:start w:val="1"/>
      <w:numFmt w:val="lowerRoman"/>
      <w:lvlText w:val="%9."/>
      <w:lvlJc w:val="right"/>
      <w:pPr>
        <w:ind w:left="9097" w:hanging="180"/>
      </w:pPr>
    </w:lvl>
  </w:abstractNum>
  <w:num w:numId="1">
    <w:abstractNumId w:val="2"/>
  </w:num>
  <w:num w:numId="2">
    <w:abstractNumId w:val="1"/>
  </w:num>
  <w:num w:numId="3">
    <w:abstractNumId w:val="3"/>
  </w:num>
  <w:num w:numId="4">
    <w:abstractNumId w:val="8"/>
  </w:num>
  <w:num w:numId="5">
    <w:abstractNumId w:val="7"/>
  </w:num>
  <w:num w:numId="6">
    <w:abstractNumId w:val="6"/>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C7"/>
    <w:rsid w:val="00003A5D"/>
    <w:rsid w:val="00007DEA"/>
    <w:rsid w:val="00012C5A"/>
    <w:rsid w:val="000168E8"/>
    <w:rsid w:val="00026ADE"/>
    <w:rsid w:val="000411AA"/>
    <w:rsid w:val="00045A8F"/>
    <w:rsid w:val="0005596D"/>
    <w:rsid w:val="0007392E"/>
    <w:rsid w:val="00075ECD"/>
    <w:rsid w:val="00075FE7"/>
    <w:rsid w:val="00077D57"/>
    <w:rsid w:val="0008269B"/>
    <w:rsid w:val="000836FC"/>
    <w:rsid w:val="000A094E"/>
    <w:rsid w:val="000A6908"/>
    <w:rsid w:val="000B2D62"/>
    <w:rsid w:val="000B30D9"/>
    <w:rsid w:val="000B7905"/>
    <w:rsid w:val="000C64B7"/>
    <w:rsid w:val="000E4897"/>
    <w:rsid w:val="000E6277"/>
    <w:rsid w:val="00110802"/>
    <w:rsid w:val="00114B9C"/>
    <w:rsid w:val="00115BBF"/>
    <w:rsid w:val="00122A8A"/>
    <w:rsid w:val="00124FF0"/>
    <w:rsid w:val="00125783"/>
    <w:rsid w:val="00126085"/>
    <w:rsid w:val="001277FD"/>
    <w:rsid w:val="00131BDC"/>
    <w:rsid w:val="00141E6F"/>
    <w:rsid w:val="00143230"/>
    <w:rsid w:val="00162141"/>
    <w:rsid w:val="00165A6B"/>
    <w:rsid w:val="00165C00"/>
    <w:rsid w:val="001826C4"/>
    <w:rsid w:val="00183B8E"/>
    <w:rsid w:val="00184CEE"/>
    <w:rsid w:val="00194564"/>
    <w:rsid w:val="00197005"/>
    <w:rsid w:val="001A4D94"/>
    <w:rsid w:val="001A61DD"/>
    <w:rsid w:val="001B0CB4"/>
    <w:rsid w:val="001B51CF"/>
    <w:rsid w:val="001C019B"/>
    <w:rsid w:val="001C1FCD"/>
    <w:rsid w:val="001D3AB4"/>
    <w:rsid w:val="001D661B"/>
    <w:rsid w:val="001E7158"/>
    <w:rsid w:val="001F7368"/>
    <w:rsid w:val="002019E5"/>
    <w:rsid w:val="002040BC"/>
    <w:rsid w:val="0021707A"/>
    <w:rsid w:val="00221B03"/>
    <w:rsid w:val="00221B23"/>
    <w:rsid w:val="00227F4F"/>
    <w:rsid w:val="0023419F"/>
    <w:rsid w:val="00240AEE"/>
    <w:rsid w:val="00240E07"/>
    <w:rsid w:val="00243041"/>
    <w:rsid w:val="00255837"/>
    <w:rsid w:val="00256D64"/>
    <w:rsid w:val="0027219D"/>
    <w:rsid w:val="00272286"/>
    <w:rsid w:val="002768EB"/>
    <w:rsid w:val="00284BB5"/>
    <w:rsid w:val="00285954"/>
    <w:rsid w:val="00296986"/>
    <w:rsid w:val="002A157E"/>
    <w:rsid w:val="002A3D01"/>
    <w:rsid w:val="002B0E22"/>
    <w:rsid w:val="002B6C0E"/>
    <w:rsid w:val="002C4068"/>
    <w:rsid w:val="002C47AE"/>
    <w:rsid w:val="002E3A05"/>
    <w:rsid w:val="002E3A9C"/>
    <w:rsid w:val="002F5714"/>
    <w:rsid w:val="00302DF6"/>
    <w:rsid w:val="00303B1B"/>
    <w:rsid w:val="003066D0"/>
    <w:rsid w:val="003113AE"/>
    <w:rsid w:val="00312052"/>
    <w:rsid w:val="00314466"/>
    <w:rsid w:val="00326520"/>
    <w:rsid w:val="00333FCD"/>
    <w:rsid w:val="00334C5C"/>
    <w:rsid w:val="003400F0"/>
    <w:rsid w:val="00340FEA"/>
    <w:rsid w:val="003417EE"/>
    <w:rsid w:val="00341B40"/>
    <w:rsid w:val="00341B82"/>
    <w:rsid w:val="00343835"/>
    <w:rsid w:val="00347095"/>
    <w:rsid w:val="00352E80"/>
    <w:rsid w:val="0035438F"/>
    <w:rsid w:val="00360672"/>
    <w:rsid w:val="003661EA"/>
    <w:rsid w:val="00370844"/>
    <w:rsid w:val="00370ADB"/>
    <w:rsid w:val="00372318"/>
    <w:rsid w:val="003B4107"/>
    <w:rsid w:val="003C00E4"/>
    <w:rsid w:val="003C3402"/>
    <w:rsid w:val="003D6314"/>
    <w:rsid w:val="003E57A7"/>
    <w:rsid w:val="003E7E76"/>
    <w:rsid w:val="003F31A4"/>
    <w:rsid w:val="003F514B"/>
    <w:rsid w:val="0041440A"/>
    <w:rsid w:val="00422DB0"/>
    <w:rsid w:val="004257B7"/>
    <w:rsid w:val="004268BF"/>
    <w:rsid w:val="00431E0B"/>
    <w:rsid w:val="00432CC4"/>
    <w:rsid w:val="004536E3"/>
    <w:rsid w:val="0045532A"/>
    <w:rsid w:val="00464B37"/>
    <w:rsid w:val="00465721"/>
    <w:rsid w:val="00471994"/>
    <w:rsid w:val="00473934"/>
    <w:rsid w:val="00482A74"/>
    <w:rsid w:val="00482F27"/>
    <w:rsid w:val="004932E3"/>
    <w:rsid w:val="0049585A"/>
    <w:rsid w:val="004A13CA"/>
    <w:rsid w:val="004B23BF"/>
    <w:rsid w:val="004B7667"/>
    <w:rsid w:val="004D0DFE"/>
    <w:rsid w:val="004D0FC7"/>
    <w:rsid w:val="004D3BB6"/>
    <w:rsid w:val="004D3D38"/>
    <w:rsid w:val="004D42D8"/>
    <w:rsid w:val="004D4D02"/>
    <w:rsid w:val="004D5B20"/>
    <w:rsid w:val="004D757D"/>
    <w:rsid w:val="004E6E38"/>
    <w:rsid w:val="004F186F"/>
    <w:rsid w:val="004F46F4"/>
    <w:rsid w:val="00502430"/>
    <w:rsid w:val="005201F4"/>
    <w:rsid w:val="005306DF"/>
    <w:rsid w:val="00537423"/>
    <w:rsid w:val="00537796"/>
    <w:rsid w:val="00546BAC"/>
    <w:rsid w:val="0055290F"/>
    <w:rsid w:val="00555196"/>
    <w:rsid w:val="00557794"/>
    <w:rsid w:val="00561033"/>
    <w:rsid w:val="00563B7C"/>
    <w:rsid w:val="00565CA4"/>
    <w:rsid w:val="00574E74"/>
    <w:rsid w:val="00582D2F"/>
    <w:rsid w:val="00585C4C"/>
    <w:rsid w:val="00586349"/>
    <w:rsid w:val="005A2A5D"/>
    <w:rsid w:val="005A33E9"/>
    <w:rsid w:val="005A4CDD"/>
    <w:rsid w:val="005B3E15"/>
    <w:rsid w:val="005B7AE4"/>
    <w:rsid w:val="005C0E67"/>
    <w:rsid w:val="005C2DB9"/>
    <w:rsid w:val="005C37D9"/>
    <w:rsid w:val="005C4D1B"/>
    <w:rsid w:val="005C68FB"/>
    <w:rsid w:val="005D3016"/>
    <w:rsid w:val="005E77F0"/>
    <w:rsid w:val="005F2CDA"/>
    <w:rsid w:val="00600612"/>
    <w:rsid w:val="00602D4B"/>
    <w:rsid w:val="00611C38"/>
    <w:rsid w:val="00623EC1"/>
    <w:rsid w:val="00624AFE"/>
    <w:rsid w:val="00624CE1"/>
    <w:rsid w:val="00627BE2"/>
    <w:rsid w:val="00642211"/>
    <w:rsid w:val="00644F54"/>
    <w:rsid w:val="006510D0"/>
    <w:rsid w:val="00655BF8"/>
    <w:rsid w:val="00656ECB"/>
    <w:rsid w:val="00657C20"/>
    <w:rsid w:val="0068204E"/>
    <w:rsid w:val="006830A5"/>
    <w:rsid w:val="0068516C"/>
    <w:rsid w:val="00686061"/>
    <w:rsid w:val="006919EC"/>
    <w:rsid w:val="00697DD1"/>
    <w:rsid w:val="006A01DB"/>
    <w:rsid w:val="006A420C"/>
    <w:rsid w:val="006B5993"/>
    <w:rsid w:val="006C079E"/>
    <w:rsid w:val="006C12DF"/>
    <w:rsid w:val="006C3401"/>
    <w:rsid w:val="006D3605"/>
    <w:rsid w:val="006D4BE5"/>
    <w:rsid w:val="006D58B4"/>
    <w:rsid w:val="006D62BF"/>
    <w:rsid w:val="006E64EA"/>
    <w:rsid w:val="006F590A"/>
    <w:rsid w:val="006F7718"/>
    <w:rsid w:val="006F788D"/>
    <w:rsid w:val="00702F28"/>
    <w:rsid w:val="00704E39"/>
    <w:rsid w:val="00707E77"/>
    <w:rsid w:val="00714D93"/>
    <w:rsid w:val="0072248E"/>
    <w:rsid w:val="00723181"/>
    <w:rsid w:val="00727F91"/>
    <w:rsid w:val="00730A49"/>
    <w:rsid w:val="00731A65"/>
    <w:rsid w:val="00737D91"/>
    <w:rsid w:val="00740ED8"/>
    <w:rsid w:val="0074239F"/>
    <w:rsid w:val="00743F15"/>
    <w:rsid w:val="007462D7"/>
    <w:rsid w:val="00747F2E"/>
    <w:rsid w:val="0075142D"/>
    <w:rsid w:val="00757099"/>
    <w:rsid w:val="007578F9"/>
    <w:rsid w:val="00763C4A"/>
    <w:rsid w:val="00773526"/>
    <w:rsid w:val="0077718A"/>
    <w:rsid w:val="00791321"/>
    <w:rsid w:val="00794676"/>
    <w:rsid w:val="007970FA"/>
    <w:rsid w:val="007A12A5"/>
    <w:rsid w:val="007A1B5C"/>
    <w:rsid w:val="007A5903"/>
    <w:rsid w:val="007A789B"/>
    <w:rsid w:val="007A7E67"/>
    <w:rsid w:val="007C43C9"/>
    <w:rsid w:val="007C558B"/>
    <w:rsid w:val="007F27A7"/>
    <w:rsid w:val="007F40A8"/>
    <w:rsid w:val="0080347C"/>
    <w:rsid w:val="008131A2"/>
    <w:rsid w:val="0081343B"/>
    <w:rsid w:val="00815B70"/>
    <w:rsid w:val="0082313F"/>
    <w:rsid w:val="00832730"/>
    <w:rsid w:val="00836A04"/>
    <w:rsid w:val="00877365"/>
    <w:rsid w:val="008802A5"/>
    <w:rsid w:val="00884CFC"/>
    <w:rsid w:val="008879AC"/>
    <w:rsid w:val="008B38D0"/>
    <w:rsid w:val="008C1C2C"/>
    <w:rsid w:val="008C3341"/>
    <w:rsid w:val="008C4051"/>
    <w:rsid w:val="008D0F18"/>
    <w:rsid w:val="008D14EC"/>
    <w:rsid w:val="008D18DB"/>
    <w:rsid w:val="008E25F2"/>
    <w:rsid w:val="008F0317"/>
    <w:rsid w:val="008F3F35"/>
    <w:rsid w:val="008F7451"/>
    <w:rsid w:val="008F7C76"/>
    <w:rsid w:val="00904433"/>
    <w:rsid w:val="00905508"/>
    <w:rsid w:val="00906462"/>
    <w:rsid w:val="0091043A"/>
    <w:rsid w:val="00921509"/>
    <w:rsid w:val="009232D3"/>
    <w:rsid w:val="009336E6"/>
    <w:rsid w:val="0093508D"/>
    <w:rsid w:val="009373A3"/>
    <w:rsid w:val="00940169"/>
    <w:rsid w:val="00942EBE"/>
    <w:rsid w:val="00950FBE"/>
    <w:rsid w:val="0095156E"/>
    <w:rsid w:val="0095555C"/>
    <w:rsid w:val="009605A0"/>
    <w:rsid w:val="00964A88"/>
    <w:rsid w:val="0096605B"/>
    <w:rsid w:val="00967211"/>
    <w:rsid w:val="00976AEB"/>
    <w:rsid w:val="00977C6A"/>
    <w:rsid w:val="00990001"/>
    <w:rsid w:val="0099353A"/>
    <w:rsid w:val="00994CC0"/>
    <w:rsid w:val="00996CC1"/>
    <w:rsid w:val="009A0630"/>
    <w:rsid w:val="009A16A3"/>
    <w:rsid w:val="009A2715"/>
    <w:rsid w:val="009A7899"/>
    <w:rsid w:val="009A7E0A"/>
    <w:rsid w:val="009C7FC4"/>
    <w:rsid w:val="009D030D"/>
    <w:rsid w:val="009D0730"/>
    <w:rsid w:val="009D6466"/>
    <w:rsid w:val="009F66DE"/>
    <w:rsid w:val="00A015FD"/>
    <w:rsid w:val="00A01731"/>
    <w:rsid w:val="00A06A66"/>
    <w:rsid w:val="00A132B1"/>
    <w:rsid w:val="00A1406B"/>
    <w:rsid w:val="00A20F67"/>
    <w:rsid w:val="00A35EC9"/>
    <w:rsid w:val="00A368C5"/>
    <w:rsid w:val="00A47191"/>
    <w:rsid w:val="00A51299"/>
    <w:rsid w:val="00A52945"/>
    <w:rsid w:val="00A5320E"/>
    <w:rsid w:val="00A5353B"/>
    <w:rsid w:val="00A74580"/>
    <w:rsid w:val="00A76989"/>
    <w:rsid w:val="00A82DA6"/>
    <w:rsid w:val="00A83DB9"/>
    <w:rsid w:val="00A845FA"/>
    <w:rsid w:val="00A91232"/>
    <w:rsid w:val="00A96AE0"/>
    <w:rsid w:val="00AA56D5"/>
    <w:rsid w:val="00AB28FE"/>
    <w:rsid w:val="00AD0841"/>
    <w:rsid w:val="00AE036C"/>
    <w:rsid w:val="00AE5C89"/>
    <w:rsid w:val="00AF2252"/>
    <w:rsid w:val="00B05317"/>
    <w:rsid w:val="00B0697F"/>
    <w:rsid w:val="00B06AD7"/>
    <w:rsid w:val="00B122DB"/>
    <w:rsid w:val="00B1414B"/>
    <w:rsid w:val="00B141F0"/>
    <w:rsid w:val="00B2031A"/>
    <w:rsid w:val="00B23DB5"/>
    <w:rsid w:val="00B360BD"/>
    <w:rsid w:val="00B36509"/>
    <w:rsid w:val="00B36D1A"/>
    <w:rsid w:val="00B63849"/>
    <w:rsid w:val="00B70187"/>
    <w:rsid w:val="00B7086B"/>
    <w:rsid w:val="00B71064"/>
    <w:rsid w:val="00B7451E"/>
    <w:rsid w:val="00B90BBE"/>
    <w:rsid w:val="00B912A3"/>
    <w:rsid w:val="00BA56A9"/>
    <w:rsid w:val="00BA7BCA"/>
    <w:rsid w:val="00BB37C8"/>
    <w:rsid w:val="00BB6D05"/>
    <w:rsid w:val="00BC1A09"/>
    <w:rsid w:val="00BC43EB"/>
    <w:rsid w:val="00BC6A14"/>
    <w:rsid w:val="00BD3B4F"/>
    <w:rsid w:val="00BF3F45"/>
    <w:rsid w:val="00C04AEE"/>
    <w:rsid w:val="00C07E49"/>
    <w:rsid w:val="00C17C3D"/>
    <w:rsid w:val="00C21521"/>
    <w:rsid w:val="00C30D43"/>
    <w:rsid w:val="00C319F2"/>
    <w:rsid w:val="00C341CB"/>
    <w:rsid w:val="00C44096"/>
    <w:rsid w:val="00C73703"/>
    <w:rsid w:val="00C754C4"/>
    <w:rsid w:val="00C81FC0"/>
    <w:rsid w:val="00C830B8"/>
    <w:rsid w:val="00C84331"/>
    <w:rsid w:val="00C943C5"/>
    <w:rsid w:val="00CA075B"/>
    <w:rsid w:val="00CA22B7"/>
    <w:rsid w:val="00CA6385"/>
    <w:rsid w:val="00CA6FC5"/>
    <w:rsid w:val="00CB13A8"/>
    <w:rsid w:val="00CB3E60"/>
    <w:rsid w:val="00CC1BB0"/>
    <w:rsid w:val="00CC3CE4"/>
    <w:rsid w:val="00CD6A23"/>
    <w:rsid w:val="00CD7B63"/>
    <w:rsid w:val="00CE08FB"/>
    <w:rsid w:val="00CE40AC"/>
    <w:rsid w:val="00CE60A0"/>
    <w:rsid w:val="00CF66F3"/>
    <w:rsid w:val="00D03C59"/>
    <w:rsid w:val="00D0453C"/>
    <w:rsid w:val="00D0724F"/>
    <w:rsid w:val="00D11DC0"/>
    <w:rsid w:val="00D132CF"/>
    <w:rsid w:val="00D15806"/>
    <w:rsid w:val="00D15BFA"/>
    <w:rsid w:val="00D2063B"/>
    <w:rsid w:val="00D238D1"/>
    <w:rsid w:val="00D32E58"/>
    <w:rsid w:val="00D33B6F"/>
    <w:rsid w:val="00D35769"/>
    <w:rsid w:val="00D44C27"/>
    <w:rsid w:val="00D629B7"/>
    <w:rsid w:val="00D63962"/>
    <w:rsid w:val="00D64AAE"/>
    <w:rsid w:val="00D71611"/>
    <w:rsid w:val="00D857FD"/>
    <w:rsid w:val="00D9789E"/>
    <w:rsid w:val="00DA7778"/>
    <w:rsid w:val="00DA7FFA"/>
    <w:rsid w:val="00DB04AE"/>
    <w:rsid w:val="00DB20BA"/>
    <w:rsid w:val="00DB6866"/>
    <w:rsid w:val="00DC35DB"/>
    <w:rsid w:val="00DC38A3"/>
    <w:rsid w:val="00DC4762"/>
    <w:rsid w:val="00DC4C25"/>
    <w:rsid w:val="00DD2573"/>
    <w:rsid w:val="00DD2620"/>
    <w:rsid w:val="00DE7B5B"/>
    <w:rsid w:val="00DE7DA2"/>
    <w:rsid w:val="00DF4665"/>
    <w:rsid w:val="00E03E8E"/>
    <w:rsid w:val="00E14224"/>
    <w:rsid w:val="00E30DA8"/>
    <w:rsid w:val="00E31197"/>
    <w:rsid w:val="00E476C9"/>
    <w:rsid w:val="00E512EB"/>
    <w:rsid w:val="00E51DC4"/>
    <w:rsid w:val="00E5439D"/>
    <w:rsid w:val="00E601EF"/>
    <w:rsid w:val="00E64AF4"/>
    <w:rsid w:val="00E66C0F"/>
    <w:rsid w:val="00E77741"/>
    <w:rsid w:val="00E80F62"/>
    <w:rsid w:val="00E90574"/>
    <w:rsid w:val="00E909F3"/>
    <w:rsid w:val="00E945F6"/>
    <w:rsid w:val="00E95A65"/>
    <w:rsid w:val="00E95F04"/>
    <w:rsid w:val="00E97F41"/>
    <w:rsid w:val="00EA347F"/>
    <w:rsid w:val="00EC0B04"/>
    <w:rsid w:val="00EC2F1F"/>
    <w:rsid w:val="00EC43D0"/>
    <w:rsid w:val="00EC45A1"/>
    <w:rsid w:val="00EC6626"/>
    <w:rsid w:val="00ED7655"/>
    <w:rsid w:val="00ED7B9A"/>
    <w:rsid w:val="00EE0F08"/>
    <w:rsid w:val="00EE2DD3"/>
    <w:rsid w:val="00EE44FE"/>
    <w:rsid w:val="00EE4E73"/>
    <w:rsid w:val="00EF1859"/>
    <w:rsid w:val="00EF28A7"/>
    <w:rsid w:val="00EF45E6"/>
    <w:rsid w:val="00EF7450"/>
    <w:rsid w:val="00F01E43"/>
    <w:rsid w:val="00F025D1"/>
    <w:rsid w:val="00F03C1F"/>
    <w:rsid w:val="00F066C7"/>
    <w:rsid w:val="00F10C82"/>
    <w:rsid w:val="00F11B94"/>
    <w:rsid w:val="00F13B7D"/>
    <w:rsid w:val="00F257C2"/>
    <w:rsid w:val="00F257CF"/>
    <w:rsid w:val="00F25F59"/>
    <w:rsid w:val="00F31105"/>
    <w:rsid w:val="00F50852"/>
    <w:rsid w:val="00F54085"/>
    <w:rsid w:val="00F62DCD"/>
    <w:rsid w:val="00F674EC"/>
    <w:rsid w:val="00F67626"/>
    <w:rsid w:val="00F6788D"/>
    <w:rsid w:val="00F711E9"/>
    <w:rsid w:val="00F7273D"/>
    <w:rsid w:val="00F75AB6"/>
    <w:rsid w:val="00FA085C"/>
    <w:rsid w:val="00FA6B1B"/>
    <w:rsid w:val="00FB65A5"/>
    <w:rsid w:val="00FB6F83"/>
    <w:rsid w:val="00FC2CF9"/>
    <w:rsid w:val="00FD7A3C"/>
    <w:rsid w:val="00FE1B0B"/>
    <w:rsid w:val="00FE3BB4"/>
    <w:rsid w:val="00FF03AE"/>
    <w:rsid w:val="00FF427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23FB07-70DC-42E4-B07C-E5255EE28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6C7"/>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6C7"/>
    <w:pPr>
      <w:ind w:left="720"/>
      <w:contextualSpacing/>
    </w:pPr>
  </w:style>
  <w:style w:type="paragraph" w:styleId="FootnoteText">
    <w:name w:val="footnote text"/>
    <w:basedOn w:val="Normal"/>
    <w:link w:val="FootnoteTextChar"/>
    <w:uiPriority w:val="99"/>
    <w:semiHidden/>
    <w:unhideWhenUsed/>
    <w:rsid w:val="000B30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0D9"/>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0B30D9"/>
    <w:rPr>
      <w:vertAlign w:val="superscript"/>
    </w:rPr>
  </w:style>
  <w:style w:type="paragraph" w:styleId="BalloonText">
    <w:name w:val="Balloon Text"/>
    <w:basedOn w:val="Normal"/>
    <w:link w:val="BalloonTextChar"/>
    <w:uiPriority w:val="99"/>
    <w:semiHidden/>
    <w:unhideWhenUsed/>
    <w:rsid w:val="00552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90F"/>
    <w:rPr>
      <w:rFonts w:ascii="Segoe UI" w:eastAsia="Calibri" w:hAnsi="Segoe UI" w:cs="Segoe UI"/>
      <w:sz w:val="18"/>
      <w:szCs w:val="18"/>
      <w:lang w:val="en-GB"/>
    </w:rPr>
  </w:style>
  <w:style w:type="paragraph" w:styleId="Header">
    <w:name w:val="header"/>
    <w:basedOn w:val="Normal"/>
    <w:link w:val="HeaderChar"/>
    <w:uiPriority w:val="99"/>
    <w:unhideWhenUsed/>
    <w:rsid w:val="00285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954"/>
    <w:rPr>
      <w:rFonts w:ascii="Calibri" w:eastAsia="Calibri" w:hAnsi="Calibri" w:cs="Times New Roman"/>
      <w:lang w:val="en-GB"/>
    </w:rPr>
  </w:style>
  <w:style w:type="paragraph" w:styleId="Footer">
    <w:name w:val="footer"/>
    <w:basedOn w:val="Normal"/>
    <w:link w:val="FooterChar"/>
    <w:uiPriority w:val="99"/>
    <w:unhideWhenUsed/>
    <w:rsid w:val="00285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954"/>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79824">
      <w:bodyDiv w:val="1"/>
      <w:marLeft w:val="0"/>
      <w:marRight w:val="0"/>
      <w:marTop w:val="0"/>
      <w:marBottom w:val="0"/>
      <w:divBdr>
        <w:top w:val="none" w:sz="0" w:space="0" w:color="auto"/>
        <w:left w:val="none" w:sz="0" w:space="0" w:color="auto"/>
        <w:bottom w:val="none" w:sz="0" w:space="0" w:color="auto"/>
        <w:right w:val="none" w:sz="0" w:space="0" w:color="auto"/>
      </w:divBdr>
    </w:div>
    <w:div w:id="84628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2020-07-15T18:30:00+00:00</Judgment_x0020_Date>
    <Year xmlns="c1afb1bd-f2fb-40fd-9abb-aea55b4d7662">2020</Year>
  </documentManagement>
</p:properties>
</file>

<file path=customXml/itemProps1.xml><?xml version="1.0" encoding="utf-8"?>
<ds:datastoreItem xmlns:ds="http://schemas.openxmlformats.org/officeDocument/2006/customXml" ds:itemID="{BC7E1DA7-334E-4123-A9FB-25D422F37D4C}"/>
</file>

<file path=customXml/itemProps2.xml><?xml version="1.0" encoding="utf-8"?>
<ds:datastoreItem xmlns:ds="http://schemas.openxmlformats.org/officeDocument/2006/customXml" ds:itemID="{3DB9A702-B0B1-4D4D-B96C-70CE549039AB}"/>
</file>

<file path=customXml/itemProps3.xml><?xml version="1.0" encoding="utf-8"?>
<ds:datastoreItem xmlns:ds="http://schemas.openxmlformats.org/officeDocument/2006/customXml" ds:itemID="{F27EBD0C-B8CA-4D74-A2C6-0B8C9F9FEF0C}"/>
</file>

<file path=customXml/itemProps4.xml><?xml version="1.0" encoding="utf-8"?>
<ds:datastoreItem xmlns:ds="http://schemas.openxmlformats.org/officeDocument/2006/customXml" ds:itemID="{C7F6FA7B-6086-488A-9D1F-B19552CE7051}"/>
</file>

<file path=docProps/app.xml><?xml version="1.0" encoding="utf-8"?>
<Properties xmlns="http://schemas.openxmlformats.org/officeDocument/2006/extended-properties" xmlns:vt="http://schemas.openxmlformats.org/officeDocument/2006/docPropsVTypes">
  <Template>Normal</Template>
  <TotalTime>17</TotalTime>
  <Pages>15</Pages>
  <Words>4213</Words>
  <Characters>24020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Muvangua v Hiangoro (HC-MD-CIV-ACT-OTH-2019-00768) [2020] NAHCMD 292 (16 July 2020)</dc:title>
  <dc:creator>Hileni Shilunga</dc:creator>
  <cp:lastModifiedBy>Administrator</cp:lastModifiedBy>
  <cp:revision>3</cp:revision>
  <cp:lastPrinted>2020-07-16T08:05:00Z</cp:lastPrinted>
  <dcterms:created xsi:type="dcterms:W3CDTF">2020-07-17T08:03:00Z</dcterms:created>
  <dcterms:modified xsi:type="dcterms:W3CDTF">2020-07-17T08:20:00Z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