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Default="00D26CB5" w:rsidP="00086A0E">
      <w:pPr>
        <w:spacing w:after="0" w:line="360" w:lineRule="auto"/>
        <w:jc w:val="center"/>
        <w:rPr>
          <w:rFonts w:ascii="Arial Narrow" w:hAnsi="Arial Narrow"/>
          <w:sz w:val="24"/>
          <w:szCs w:val="24"/>
        </w:rPr>
      </w:pPr>
      <w:r w:rsidRPr="009F42A4">
        <w:rPr>
          <w:rFonts w:ascii="Arial Narrow" w:hAnsi="Arial Narrow"/>
          <w:sz w:val="24"/>
          <w:szCs w:val="24"/>
        </w:rPr>
        <w:t>Practice Directive 61</w:t>
      </w:r>
    </w:p>
    <w:p w:rsidR="00086A0E" w:rsidRPr="009F42A4" w:rsidRDefault="00086A0E" w:rsidP="00086A0E">
      <w:pPr>
        <w:spacing w:after="0" w:line="360" w:lineRule="auto"/>
        <w:jc w:val="center"/>
        <w:rPr>
          <w:rFonts w:ascii="Arial Narrow" w:hAnsi="Arial Narrow"/>
          <w:sz w:val="24"/>
          <w:szCs w:val="24"/>
        </w:rPr>
      </w:pPr>
      <w:r>
        <w:rPr>
          <w:rFonts w:ascii="Arial Narrow" w:hAnsi="Arial Narrow"/>
          <w:sz w:val="24"/>
          <w:szCs w:val="24"/>
        </w:rPr>
        <w:t>“ANNEXURE 11</w:t>
      </w:r>
      <w:r w:rsidR="000410CF">
        <w:rPr>
          <w:rFonts w:ascii="Arial Narrow" w:hAnsi="Arial Narrow"/>
          <w:sz w:val="24"/>
          <w:szCs w:val="24"/>
        </w:rPr>
        <w:t>”</w:t>
      </w:r>
      <w:bookmarkStart w:id="0" w:name="_GoBack"/>
      <w:bookmarkEnd w:id="0"/>
    </w:p>
    <w:p w:rsidR="00D26CB5" w:rsidRPr="009F42A4" w:rsidRDefault="00D26CB5" w:rsidP="00DA6472">
      <w:pPr>
        <w:spacing w:after="0" w:line="360" w:lineRule="auto"/>
        <w:jc w:val="center"/>
        <w:rPr>
          <w:rFonts w:ascii="Arial Narrow" w:hAnsi="Arial Narrow"/>
          <w:b/>
          <w:sz w:val="24"/>
          <w:szCs w:val="24"/>
        </w:rPr>
      </w:pPr>
      <w:r w:rsidRPr="009F42A4">
        <w:rPr>
          <w:rFonts w:ascii="Arial Narrow" w:hAnsi="Arial Narrow"/>
          <w:b/>
          <w:sz w:val="24"/>
          <w:szCs w:val="24"/>
        </w:rPr>
        <w:t>IN THE HIGH COURT OF NAMIBIA</w:t>
      </w:r>
    </w:p>
    <w:p w:rsidR="00D26CB5" w:rsidRPr="009F42A4" w:rsidRDefault="00D26CB5" w:rsidP="00DA6472">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9F42A4" w:rsidRPr="009F42A4" w:rsidTr="0092129C">
        <w:trPr>
          <w:trHeight w:val="744"/>
        </w:trPr>
        <w:tc>
          <w:tcPr>
            <w:tcW w:w="5397" w:type="dxa"/>
            <w:gridSpan w:val="2"/>
            <w:vMerge w:val="restart"/>
          </w:tcPr>
          <w:p w:rsidR="00D26CB5" w:rsidRPr="009F42A4" w:rsidRDefault="00D26CB5" w:rsidP="00DA6472">
            <w:pPr>
              <w:spacing w:line="360" w:lineRule="auto"/>
              <w:jc w:val="both"/>
              <w:rPr>
                <w:rFonts w:ascii="Arial Narrow" w:hAnsi="Arial Narrow" w:cs="Arial"/>
                <w:sz w:val="24"/>
                <w:szCs w:val="24"/>
              </w:rPr>
            </w:pPr>
            <w:r w:rsidRPr="009F42A4">
              <w:rPr>
                <w:rFonts w:ascii="Arial Narrow" w:hAnsi="Arial Narrow" w:cs="Arial"/>
                <w:b/>
                <w:sz w:val="24"/>
                <w:szCs w:val="24"/>
              </w:rPr>
              <w:t>Case Title:</w:t>
            </w:r>
          </w:p>
          <w:p w:rsidR="00D26CB5" w:rsidRPr="009F42A4" w:rsidRDefault="009F29F0" w:rsidP="00DA6472">
            <w:pPr>
              <w:spacing w:line="360" w:lineRule="auto"/>
              <w:jc w:val="both"/>
              <w:rPr>
                <w:rFonts w:ascii="Arial Narrow" w:hAnsi="Arial Narrow" w:cs="Arial"/>
                <w:sz w:val="24"/>
                <w:szCs w:val="24"/>
              </w:rPr>
            </w:pPr>
            <w:r w:rsidRPr="009F42A4">
              <w:rPr>
                <w:rFonts w:ascii="Arial Narrow" w:hAnsi="Arial Narrow" w:cs="Arial"/>
                <w:sz w:val="24"/>
                <w:szCs w:val="24"/>
                <w:lang w:val="en-US"/>
              </w:rPr>
              <w:t>CHARLES RICHARD SMITH v</w:t>
            </w:r>
            <w:r w:rsidR="00C84766" w:rsidRPr="009F42A4">
              <w:rPr>
                <w:rFonts w:ascii="Arial Narrow" w:hAnsi="Arial Narrow" w:cs="Arial"/>
                <w:sz w:val="24"/>
                <w:szCs w:val="24"/>
                <w:lang w:val="en-US"/>
              </w:rPr>
              <w:t xml:space="preserve"> </w:t>
            </w:r>
            <w:r w:rsidRPr="009F42A4">
              <w:rPr>
                <w:rFonts w:ascii="Arial Narrow" w:hAnsi="Arial Narrow" w:cs="Arial"/>
                <w:sz w:val="24"/>
                <w:szCs w:val="24"/>
                <w:lang w:val="en-US"/>
              </w:rPr>
              <w:t>TRUSTCO INSURANCE LIMITED</w:t>
            </w:r>
          </w:p>
        </w:tc>
        <w:tc>
          <w:tcPr>
            <w:tcW w:w="4323" w:type="dxa"/>
          </w:tcPr>
          <w:p w:rsidR="00D26CB5" w:rsidRPr="009F42A4" w:rsidRDefault="00D26CB5" w:rsidP="00DA6472">
            <w:pPr>
              <w:spacing w:line="360" w:lineRule="auto"/>
              <w:jc w:val="both"/>
              <w:rPr>
                <w:rFonts w:ascii="Arial Narrow" w:hAnsi="Arial Narrow" w:cs="Arial"/>
                <w:sz w:val="24"/>
                <w:szCs w:val="24"/>
              </w:rPr>
            </w:pPr>
            <w:r w:rsidRPr="009F42A4">
              <w:rPr>
                <w:rFonts w:ascii="Arial Narrow" w:hAnsi="Arial Narrow" w:cs="Arial"/>
                <w:b/>
                <w:sz w:val="24"/>
                <w:szCs w:val="24"/>
              </w:rPr>
              <w:t>Case No:</w:t>
            </w:r>
          </w:p>
          <w:p w:rsidR="00D26CB5" w:rsidRPr="009F42A4" w:rsidRDefault="005A43DF" w:rsidP="00DA6472">
            <w:pPr>
              <w:spacing w:line="360" w:lineRule="auto"/>
              <w:jc w:val="both"/>
              <w:rPr>
                <w:rFonts w:ascii="Arial Narrow" w:hAnsi="Arial Narrow" w:cs="Arial"/>
                <w:b/>
                <w:sz w:val="24"/>
                <w:szCs w:val="24"/>
              </w:rPr>
            </w:pPr>
            <w:r w:rsidRPr="009F42A4">
              <w:rPr>
                <w:rFonts w:ascii="Arial Narrow" w:hAnsi="Arial Narrow" w:cs="Arial"/>
                <w:sz w:val="24"/>
                <w:szCs w:val="24"/>
              </w:rPr>
              <w:t>HC-MD-CIV-ACT-</w:t>
            </w:r>
            <w:r w:rsidR="009F29F0" w:rsidRPr="009F42A4">
              <w:rPr>
                <w:rFonts w:ascii="Arial Narrow" w:hAnsi="Arial Narrow" w:cs="Arial"/>
                <w:sz w:val="24"/>
                <w:szCs w:val="24"/>
              </w:rPr>
              <w:t>CON-2018/04079</w:t>
            </w:r>
          </w:p>
        </w:tc>
      </w:tr>
      <w:tr w:rsidR="009F42A4" w:rsidRPr="009F42A4" w:rsidTr="0092129C">
        <w:trPr>
          <w:trHeight w:val="844"/>
        </w:trPr>
        <w:tc>
          <w:tcPr>
            <w:tcW w:w="5397" w:type="dxa"/>
            <w:gridSpan w:val="2"/>
            <w:vMerge/>
          </w:tcPr>
          <w:p w:rsidR="00D26CB5" w:rsidRPr="009F42A4" w:rsidRDefault="00D26CB5" w:rsidP="00DA6472">
            <w:pPr>
              <w:spacing w:line="360" w:lineRule="auto"/>
              <w:jc w:val="both"/>
              <w:rPr>
                <w:rFonts w:ascii="Arial Narrow" w:hAnsi="Arial Narrow" w:cs="Arial"/>
                <w:sz w:val="24"/>
                <w:szCs w:val="24"/>
              </w:rPr>
            </w:pPr>
          </w:p>
        </w:tc>
        <w:tc>
          <w:tcPr>
            <w:tcW w:w="4323" w:type="dxa"/>
          </w:tcPr>
          <w:p w:rsidR="00D26CB5" w:rsidRPr="009F42A4" w:rsidRDefault="00D26CB5" w:rsidP="00DA6472">
            <w:pPr>
              <w:spacing w:line="360" w:lineRule="auto"/>
              <w:jc w:val="both"/>
              <w:rPr>
                <w:rFonts w:ascii="Arial Narrow" w:hAnsi="Arial Narrow" w:cs="Arial"/>
                <w:sz w:val="24"/>
                <w:szCs w:val="24"/>
              </w:rPr>
            </w:pPr>
            <w:r w:rsidRPr="009F42A4">
              <w:rPr>
                <w:rFonts w:ascii="Arial Narrow" w:hAnsi="Arial Narrow" w:cs="Arial"/>
                <w:b/>
                <w:sz w:val="24"/>
                <w:szCs w:val="24"/>
              </w:rPr>
              <w:t>Division of Court:</w:t>
            </w:r>
          </w:p>
          <w:p w:rsidR="00D26CB5" w:rsidRPr="009F42A4" w:rsidRDefault="005A43DF" w:rsidP="00DA6472">
            <w:pPr>
              <w:spacing w:line="360" w:lineRule="auto"/>
              <w:jc w:val="both"/>
              <w:rPr>
                <w:rFonts w:ascii="Arial Narrow" w:hAnsi="Arial Narrow" w:cs="Arial"/>
                <w:sz w:val="24"/>
                <w:szCs w:val="24"/>
              </w:rPr>
            </w:pPr>
            <w:r w:rsidRPr="009F42A4">
              <w:rPr>
                <w:rFonts w:ascii="Arial Narrow" w:hAnsi="Arial Narrow" w:cs="Arial"/>
                <w:sz w:val="24"/>
                <w:szCs w:val="24"/>
              </w:rPr>
              <w:t>HIGH COURT</w:t>
            </w:r>
            <w:r w:rsidR="00D26CB5" w:rsidRPr="009F42A4">
              <w:rPr>
                <w:rFonts w:ascii="Arial Narrow" w:hAnsi="Arial Narrow" w:cs="Arial"/>
                <w:sz w:val="24"/>
                <w:szCs w:val="24"/>
              </w:rPr>
              <w:t>(MAIN DIVISION)</w:t>
            </w:r>
          </w:p>
        </w:tc>
      </w:tr>
      <w:tr w:rsidR="009F42A4" w:rsidRPr="009F42A4" w:rsidTr="0092129C">
        <w:trPr>
          <w:trHeight w:val="645"/>
        </w:trPr>
        <w:tc>
          <w:tcPr>
            <w:tcW w:w="5397" w:type="dxa"/>
            <w:gridSpan w:val="2"/>
            <w:vMerge w:val="restart"/>
          </w:tcPr>
          <w:p w:rsidR="00D26CB5" w:rsidRPr="009F42A4" w:rsidRDefault="00D26CB5" w:rsidP="00DA6472">
            <w:pPr>
              <w:spacing w:line="360" w:lineRule="auto"/>
              <w:jc w:val="both"/>
              <w:rPr>
                <w:rFonts w:ascii="Arial Narrow" w:hAnsi="Arial Narrow" w:cs="Arial"/>
                <w:b/>
                <w:sz w:val="24"/>
                <w:szCs w:val="24"/>
              </w:rPr>
            </w:pPr>
            <w:r w:rsidRPr="009F42A4">
              <w:rPr>
                <w:rFonts w:ascii="Arial Narrow" w:hAnsi="Arial Narrow" w:cs="Arial"/>
                <w:b/>
                <w:sz w:val="24"/>
                <w:szCs w:val="24"/>
              </w:rPr>
              <w:t>Heard before:</w:t>
            </w:r>
          </w:p>
          <w:p w:rsidR="00D26CB5" w:rsidRPr="009F42A4" w:rsidRDefault="005A43DF" w:rsidP="00DA6472">
            <w:pPr>
              <w:spacing w:line="360" w:lineRule="auto"/>
              <w:jc w:val="both"/>
              <w:rPr>
                <w:rFonts w:ascii="Arial Narrow" w:hAnsi="Arial Narrow" w:cs="Arial"/>
                <w:sz w:val="24"/>
                <w:szCs w:val="24"/>
              </w:rPr>
            </w:pPr>
            <w:r w:rsidRPr="009F42A4">
              <w:rPr>
                <w:rFonts w:ascii="Arial Narrow" w:hAnsi="Arial Narrow" w:cs="Arial"/>
                <w:sz w:val="24"/>
                <w:szCs w:val="24"/>
              </w:rPr>
              <w:t>HONOURABLE LADY JUSTICE PRINSLOO, JUDGE</w:t>
            </w:r>
          </w:p>
        </w:tc>
        <w:tc>
          <w:tcPr>
            <w:tcW w:w="4323" w:type="dxa"/>
          </w:tcPr>
          <w:p w:rsidR="00D26CB5" w:rsidRPr="009F42A4" w:rsidRDefault="00D26CB5" w:rsidP="00DA6472">
            <w:pPr>
              <w:spacing w:line="360" w:lineRule="auto"/>
              <w:jc w:val="both"/>
              <w:rPr>
                <w:rFonts w:ascii="Arial Narrow" w:hAnsi="Arial Narrow" w:cs="Arial"/>
                <w:b/>
                <w:sz w:val="24"/>
                <w:szCs w:val="24"/>
              </w:rPr>
            </w:pPr>
            <w:r w:rsidRPr="009F42A4">
              <w:rPr>
                <w:rFonts w:ascii="Arial Narrow" w:hAnsi="Arial Narrow" w:cs="Arial"/>
                <w:b/>
                <w:sz w:val="24"/>
                <w:szCs w:val="24"/>
              </w:rPr>
              <w:t>Date of hearing:</w:t>
            </w:r>
          </w:p>
          <w:p w:rsidR="00D26CB5" w:rsidRPr="009F42A4" w:rsidRDefault="00C01336" w:rsidP="00DA6472">
            <w:pPr>
              <w:spacing w:line="360" w:lineRule="auto"/>
              <w:rPr>
                <w:rFonts w:ascii="Arial Narrow" w:hAnsi="Arial Narrow" w:cs="Arial"/>
                <w:sz w:val="24"/>
                <w:szCs w:val="24"/>
              </w:rPr>
            </w:pPr>
            <w:r w:rsidRPr="009F42A4">
              <w:rPr>
                <w:rFonts w:ascii="Arial Narrow" w:hAnsi="Arial Narrow" w:cs="Arial"/>
                <w:sz w:val="24"/>
                <w:szCs w:val="24"/>
              </w:rPr>
              <w:t xml:space="preserve"> </w:t>
            </w:r>
            <w:r w:rsidR="009F29F0" w:rsidRPr="009F42A4">
              <w:rPr>
                <w:rFonts w:ascii="Arial Narrow" w:hAnsi="Arial Narrow" w:cs="Arial"/>
                <w:sz w:val="24"/>
                <w:szCs w:val="24"/>
              </w:rPr>
              <w:t>11 JUNE</w:t>
            </w:r>
            <w:r w:rsidR="00CD595C" w:rsidRPr="009F42A4">
              <w:rPr>
                <w:rFonts w:ascii="Arial Narrow" w:hAnsi="Arial Narrow" w:cs="Arial"/>
                <w:sz w:val="24"/>
                <w:szCs w:val="24"/>
              </w:rPr>
              <w:t xml:space="preserve"> 2020</w:t>
            </w:r>
          </w:p>
        </w:tc>
      </w:tr>
      <w:tr w:rsidR="009F42A4" w:rsidRPr="009F42A4" w:rsidTr="0092129C">
        <w:trPr>
          <w:trHeight w:val="588"/>
        </w:trPr>
        <w:tc>
          <w:tcPr>
            <w:tcW w:w="5397" w:type="dxa"/>
            <w:gridSpan w:val="2"/>
            <w:vMerge/>
          </w:tcPr>
          <w:p w:rsidR="00D26CB5" w:rsidRPr="009F42A4" w:rsidRDefault="00D26CB5" w:rsidP="00DA6472">
            <w:pPr>
              <w:spacing w:line="360" w:lineRule="auto"/>
              <w:jc w:val="both"/>
              <w:rPr>
                <w:rFonts w:ascii="Arial Narrow" w:hAnsi="Arial Narrow" w:cs="Arial"/>
                <w:b/>
                <w:sz w:val="24"/>
                <w:szCs w:val="24"/>
              </w:rPr>
            </w:pPr>
          </w:p>
        </w:tc>
        <w:tc>
          <w:tcPr>
            <w:tcW w:w="4323" w:type="dxa"/>
          </w:tcPr>
          <w:p w:rsidR="00D26CB5" w:rsidRPr="009F42A4" w:rsidRDefault="0042554E" w:rsidP="00DA6472">
            <w:pPr>
              <w:spacing w:line="360" w:lineRule="auto"/>
              <w:jc w:val="both"/>
              <w:rPr>
                <w:rFonts w:ascii="Arial Narrow" w:hAnsi="Arial Narrow" w:cs="Arial"/>
                <w:b/>
                <w:sz w:val="24"/>
                <w:szCs w:val="24"/>
              </w:rPr>
            </w:pPr>
            <w:r w:rsidRPr="009F42A4">
              <w:rPr>
                <w:rFonts w:ascii="Arial Narrow" w:hAnsi="Arial Narrow" w:cs="Arial"/>
                <w:b/>
                <w:sz w:val="24"/>
                <w:szCs w:val="24"/>
              </w:rPr>
              <w:t>Date of order</w:t>
            </w:r>
            <w:r w:rsidR="00D26CB5" w:rsidRPr="009F42A4">
              <w:rPr>
                <w:rFonts w:ascii="Arial Narrow" w:hAnsi="Arial Narrow" w:cs="Arial"/>
                <w:b/>
                <w:sz w:val="24"/>
                <w:szCs w:val="24"/>
              </w:rPr>
              <w:t>:</w:t>
            </w:r>
          </w:p>
          <w:p w:rsidR="00890FD4" w:rsidRPr="009F42A4" w:rsidRDefault="009F29F0" w:rsidP="009F42A4">
            <w:pPr>
              <w:spacing w:line="360" w:lineRule="auto"/>
              <w:jc w:val="both"/>
              <w:rPr>
                <w:rFonts w:ascii="Arial Narrow" w:hAnsi="Arial Narrow" w:cs="Arial"/>
                <w:sz w:val="24"/>
                <w:szCs w:val="24"/>
              </w:rPr>
            </w:pPr>
            <w:r w:rsidRPr="009F42A4">
              <w:rPr>
                <w:rFonts w:ascii="Arial Narrow" w:hAnsi="Arial Narrow" w:cs="Arial"/>
                <w:sz w:val="24"/>
                <w:szCs w:val="24"/>
              </w:rPr>
              <w:t>1</w:t>
            </w:r>
            <w:r w:rsidR="009F42A4" w:rsidRPr="009F42A4">
              <w:rPr>
                <w:rFonts w:ascii="Arial Narrow" w:hAnsi="Arial Narrow" w:cs="Arial"/>
                <w:sz w:val="24"/>
                <w:szCs w:val="24"/>
              </w:rPr>
              <w:t>5</w:t>
            </w:r>
            <w:r w:rsidRPr="009F42A4">
              <w:rPr>
                <w:rFonts w:ascii="Arial Narrow" w:hAnsi="Arial Narrow" w:cs="Arial"/>
                <w:sz w:val="24"/>
                <w:szCs w:val="24"/>
              </w:rPr>
              <w:t xml:space="preserve"> JUNE</w:t>
            </w:r>
            <w:r w:rsidR="00C01336" w:rsidRPr="009F42A4">
              <w:rPr>
                <w:rFonts w:ascii="Arial Narrow" w:hAnsi="Arial Narrow" w:cs="Arial"/>
                <w:sz w:val="24"/>
                <w:szCs w:val="24"/>
              </w:rPr>
              <w:t xml:space="preserve"> 2020</w:t>
            </w:r>
          </w:p>
        </w:tc>
      </w:tr>
      <w:tr w:rsidR="009F42A4" w:rsidRPr="009F42A4" w:rsidTr="0092129C">
        <w:tc>
          <w:tcPr>
            <w:tcW w:w="9720" w:type="dxa"/>
            <w:gridSpan w:val="3"/>
          </w:tcPr>
          <w:p w:rsidR="00D26CB5" w:rsidRPr="009F42A4" w:rsidRDefault="00D26CB5" w:rsidP="009F42A4">
            <w:pPr>
              <w:pStyle w:val="form-control-static"/>
              <w:shd w:val="clear" w:color="auto" w:fill="FFFFFF"/>
              <w:spacing w:before="0" w:beforeAutospacing="0" w:after="0" w:afterAutospacing="0" w:line="360" w:lineRule="auto"/>
              <w:jc w:val="both"/>
              <w:rPr>
                <w:rFonts w:ascii="Arial Narrow" w:hAnsi="Arial Narrow" w:cs="Arial"/>
              </w:rPr>
            </w:pPr>
            <w:r w:rsidRPr="009F42A4">
              <w:rPr>
                <w:rFonts w:ascii="Arial Narrow" w:hAnsi="Arial Narrow" w:cs="Arial"/>
                <w:b/>
              </w:rPr>
              <w:t xml:space="preserve">Neutral citation: </w:t>
            </w:r>
            <w:r w:rsidR="009F29F0" w:rsidRPr="009F42A4">
              <w:rPr>
                <w:rFonts w:ascii="Arial Narrow" w:hAnsi="Arial Narrow" w:cs="Arial"/>
                <w:i/>
              </w:rPr>
              <w:t xml:space="preserve">Smith v </w:t>
            </w:r>
            <w:proofErr w:type="spellStart"/>
            <w:r w:rsidR="009F29F0" w:rsidRPr="009F42A4">
              <w:rPr>
                <w:rFonts w:ascii="Arial Narrow" w:hAnsi="Arial Narrow" w:cs="Arial"/>
                <w:i/>
              </w:rPr>
              <w:t>Trustco</w:t>
            </w:r>
            <w:proofErr w:type="spellEnd"/>
            <w:r w:rsidR="009F29F0" w:rsidRPr="009F42A4">
              <w:rPr>
                <w:rFonts w:ascii="Arial Narrow" w:hAnsi="Arial Narrow" w:cs="Arial"/>
                <w:i/>
              </w:rPr>
              <w:t xml:space="preserve"> Insurance Limited </w:t>
            </w:r>
            <w:r w:rsidR="009F29F0" w:rsidRPr="009F42A4">
              <w:rPr>
                <w:rFonts w:ascii="Arial Narrow" w:hAnsi="Arial Narrow" w:cs="Arial"/>
              </w:rPr>
              <w:t>(HC-MD-CIV-ACT-C</w:t>
            </w:r>
            <w:r w:rsidR="00ED6456">
              <w:rPr>
                <w:rFonts w:ascii="Arial Narrow" w:hAnsi="Arial Narrow" w:cs="Arial"/>
              </w:rPr>
              <w:t>ON-2018</w:t>
            </w:r>
            <w:r w:rsidR="00AD182C">
              <w:rPr>
                <w:rFonts w:ascii="Arial Narrow" w:hAnsi="Arial Narrow" w:cs="Arial"/>
              </w:rPr>
              <w:t>/</w:t>
            </w:r>
            <w:r w:rsidR="002038BE">
              <w:rPr>
                <w:rFonts w:ascii="Arial Narrow" w:hAnsi="Arial Narrow" w:cs="Arial"/>
              </w:rPr>
              <w:t>04079) [2020] NAHCMD 228</w:t>
            </w:r>
            <w:r w:rsidR="009F29F0" w:rsidRPr="009F42A4">
              <w:rPr>
                <w:rFonts w:ascii="Arial Narrow" w:hAnsi="Arial Narrow" w:cs="Arial"/>
              </w:rPr>
              <w:t xml:space="preserve"> (1</w:t>
            </w:r>
            <w:r w:rsidR="009F42A4" w:rsidRPr="009F42A4">
              <w:rPr>
                <w:rFonts w:ascii="Arial Narrow" w:hAnsi="Arial Narrow" w:cs="Arial"/>
              </w:rPr>
              <w:t>5</w:t>
            </w:r>
            <w:r w:rsidR="009F29F0" w:rsidRPr="009F42A4">
              <w:rPr>
                <w:rFonts w:ascii="Arial Narrow" w:hAnsi="Arial Narrow" w:cs="Arial"/>
              </w:rPr>
              <w:t xml:space="preserve"> June 2020)</w:t>
            </w:r>
          </w:p>
        </w:tc>
      </w:tr>
      <w:tr w:rsidR="009F42A4" w:rsidRPr="009F42A4" w:rsidTr="0092129C">
        <w:tc>
          <w:tcPr>
            <w:tcW w:w="9720" w:type="dxa"/>
            <w:gridSpan w:val="3"/>
          </w:tcPr>
          <w:p w:rsidR="00D26CB5" w:rsidRPr="009F42A4" w:rsidRDefault="00D26CB5" w:rsidP="00DA6472">
            <w:pPr>
              <w:pStyle w:val="form-control-static"/>
              <w:shd w:val="clear" w:color="auto" w:fill="FFFFFF"/>
              <w:spacing w:before="0" w:beforeAutospacing="0" w:after="0" w:afterAutospacing="0" w:line="360" w:lineRule="auto"/>
              <w:rPr>
                <w:rFonts w:ascii="Arial Narrow" w:hAnsi="Arial Narrow" w:cs="Arial"/>
                <w:b/>
              </w:rPr>
            </w:pPr>
            <w:r w:rsidRPr="009F42A4">
              <w:rPr>
                <w:rFonts w:ascii="Arial Narrow" w:hAnsi="Arial Narrow" w:cs="Arial"/>
                <w:b/>
              </w:rPr>
              <w:t>Results on merits:</w:t>
            </w:r>
          </w:p>
          <w:p w:rsidR="00D26CB5" w:rsidRPr="009F42A4" w:rsidRDefault="009F29F0" w:rsidP="00DA6472">
            <w:pPr>
              <w:pStyle w:val="form-control-static"/>
              <w:shd w:val="clear" w:color="auto" w:fill="FFFFFF"/>
              <w:spacing w:before="0" w:beforeAutospacing="0" w:after="0" w:afterAutospacing="0" w:line="360" w:lineRule="auto"/>
              <w:rPr>
                <w:rFonts w:ascii="Arial Narrow" w:hAnsi="Arial Narrow" w:cs="Arial"/>
              </w:rPr>
            </w:pPr>
            <w:r w:rsidRPr="009F42A4">
              <w:rPr>
                <w:rFonts w:ascii="Arial Narrow" w:hAnsi="Arial Narrow" w:cs="Arial"/>
              </w:rPr>
              <w:t>Ruling on exception</w:t>
            </w:r>
            <w:r w:rsidR="00B850C2" w:rsidRPr="009F42A4">
              <w:rPr>
                <w:rFonts w:ascii="Arial Narrow" w:hAnsi="Arial Narrow" w:cs="Arial"/>
              </w:rPr>
              <w:t xml:space="preserve">. Merits not considered. </w:t>
            </w:r>
          </w:p>
        </w:tc>
      </w:tr>
      <w:tr w:rsidR="009F42A4" w:rsidRPr="009F42A4" w:rsidTr="0092129C">
        <w:tc>
          <w:tcPr>
            <w:tcW w:w="9720" w:type="dxa"/>
            <w:gridSpan w:val="3"/>
          </w:tcPr>
          <w:p w:rsidR="00D26CB5" w:rsidRPr="009F42A4" w:rsidRDefault="00D26CB5" w:rsidP="00DA6472">
            <w:pPr>
              <w:spacing w:line="360" w:lineRule="auto"/>
              <w:jc w:val="both"/>
              <w:rPr>
                <w:rFonts w:ascii="Arial Narrow" w:hAnsi="Arial Narrow" w:cs="Arial"/>
                <w:sz w:val="24"/>
                <w:szCs w:val="24"/>
              </w:rPr>
            </w:pPr>
          </w:p>
          <w:p w:rsidR="00D26CB5" w:rsidRPr="009F42A4" w:rsidRDefault="00D26CB5" w:rsidP="00DA6472">
            <w:pPr>
              <w:spacing w:line="360" w:lineRule="auto"/>
              <w:jc w:val="both"/>
              <w:rPr>
                <w:rFonts w:ascii="Arial Narrow" w:hAnsi="Arial Narrow" w:cs="Arial"/>
                <w:b/>
                <w:sz w:val="24"/>
                <w:szCs w:val="24"/>
              </w:rPr>
            </w:pPr>
            <w:r w:rsidRPr="009F42A4">
              <w:rPr>
                <w:rFonts w:ascii="Arial Narrow" w:hAnsi="Arial Narrow" w:cs="Arial"/>
                <w:b/>
                <w:sz w:val="24"/>
                <w:szCs w:val="24"/>
              </w:rPr>
              <w:t xml:space="preserve">IT IS </w:t>
            </w:r>
            <w:r w:rsidR="005A43DF" w:rsidRPr="009F42A4">
              <w:rPr>
                <w:rFonts w:ascii="Arial Narrow" w:hAnsi="Arial Narrow" w:cs="Arial"/>
                <w:b/>
                <w:sz w:val="24"/>
                <w:szCs w:val="24"/>
              </w:rPr>
              <w:t xml:space="preserve">HEREBY </w:t>
            </w:r>
            <w:r w:rsidRPr="009F42A4">
              <w:rPr>
                <w:rFonts w:ascii="Arial Narrow" w:hAnsi="Arial Narrow" w:cs="Arial"/>
                <w:b/>
                <w:sz w:val="24"/>
                <w:szCs w:val="24"/>
              </w:rPr>
              <w:t>ORDERED THAT:</w:t>
            </w:r>
          </w:p>
          <w:p w:rsidR="005F7261" w:rsidRPr="009F42A4" w:rsidRDefault="005F7261" w:rsidP="005F7261">
            <w:pPr>
              <w:pStyle w:val="NormalWeb"/>
              <w:numPr>
                <w:ilvl w:val="0"/>
                <w:numId w:val="10"/>
              </w:numPr>
              <w:spacing w:before="0" w:beforeAutospacing="0" w:after="0" w:afterAutospacing="0" w:line="360" w:lineRule="auto"/>
              <w:jc w:val="both"/>
              <w:rPr>
                <w:rFonts w:ascii="Arial Narrow" w:hAnsi="Arial Narrow"/>
              </w:rPr>
            </w:pPr>
            <w:r w:rsidRPr="009F42A4">
              <w:rPr>
                <w:rFonts w:ascii="Arial Narrow" w:hAnsi="Arial Narrow"/>
                <w:lang w:val="en-ZA"/>
              </w:rPr>
              <w:t xml:space="preserve">The First to Fifth exceptions are upheld. </w:t>
            </w:r>
          </w:p>
          <w:p w:rsidR="005F7261" w:rsidRPr="009F42A4" w:rsidRDefault="005F7261" w:rsidP="005F7261">
            <w:pPr>
              <w:pStyle w:val="NormalWeb"/>
              <w:numPr>
                <w:ilvl w:val="0"/>
                <w:numId w:val="10"/>
              </w:numPr>
              <w:spacing w:before="0" w:beforeAutospacing="0" w:after="0" w:afterAutospacing="0" w:line="360" w:lineRule="auto"/>
              <w:jc w:val="both"/>
              <w:rPr>
                <w:rFonts w:ascii="Arial Narrow" w:hAnsi="Arial Narrow"/>
              </w:rPr>
            </w:pPr>
            <w:r w:rsidRPr="009F42A4">
              <w:rPr>
                <w:rFonts w:ascii="Arial Narrow" w:hAnsi="Arial Narrow"/>
              </w:rPr>
              <w:t>Plaintiff’s particulars of claim is hereby struck.</w:t>
            </w:r>
          </w:p>
          <w:p w:rsidR="005F7261" w:rsidRPr="009F42A4" w:rsidRDefault="005F7261" w:rsidP="005F7261">
            <w:pPr>
              <w:pStyle w:val="NormalWeb"/>
              <w:numPr>
                <w:ilvl w:val="0"/>
                <w:numId w:val="10"/>
              </w:numPr>
              <w:spacing w:before="0" w:beforeAutospacing="0" w:after="0" w:afterAutospacing="0" w:line="360" w:lineRule="auto"/>
              <w:jc w:val="both"/>
              <w:rPr>
                <w:rFonts w:ascii="Arial Narrow" w:hAnsi="Arial Narrow"/>
              </w:rPr>
            </w:pPr>
            <w:r w:rsidRPr="009F42A4">
              <w:rPr>
                <w:rFonts w:ascii="Arial Narrow" w:hAnsi="Arial Narrow"/>
              </w:rPr>
              <w:t xml:space="preserve">Plaintiff is ordered to pay the cost of the action. </w:t>
            </w:r>
          </w:p>
          <w:p w:rsidR="00C01336" w:rsidRPr="009F42A4" w:rsidRDefault="005F7261" w:rsidP="005F7261">
            <w:pPr>
              <w:pStyle w:val="NormalWeb"/>
              <w:numPr>
                <w:ilvl w:val="0"/>
                <w:numId w:val="10"/>
              </w:numPr>
              <w:spacing w:before="0" w:beforeAutospacing="0" w:after="0" w:afterAutospacing="0" w:line="360" w:lineRule="auto"/>
              <w:jc w:val="both"/>
              <w:rPr>
                <w:rFonts w:ascii="Arial Narrow" w:hAnsi="Arial Narrow"/>
              </w:rPr>
            </w:pPr>
            <w:r w:rsidRPr="009F42A4">
              <w:rPr>
                <w:rFonts w:ascii="Arial Narrow" w:hAnsi="Arial Narrow"/>
                <w:lang w:val="af-ZA"/>
              </w:rPr>
              <w:t>The matter is removed from the roll and regarded as finalised</w:t>
            </w:r>
            <w:r w:rsidR="008D6833" w:rsidRPr="009F42A4">
              <w:rPr>
                <w:rFonts w:ascii="Arial Narrow" w:hAnsi="Arial Narrow"/>
                <w:lang w:val="af-ZA"/>
              </w:rPr>
              <w:t>.</w:t>
            </w:r>
            <w:r w:rsidR="005D11AD" w:rsidRPr="009F42A4">
              <w:rPr>
                <w:rFonts w:ascii="Arial Narrow" w:hAnsi="Arial Narrow"/>
                <w:lang w:val="af-ZA"/>
              </w:rPr>
              <w:t xml:space="preserve"> </w:t>
            </w:r>
          </w:p>
        </w:tc>
      </w:tr>
      <w:tr w:rsidR="009F42A4" w:rsidRPr="009F42A4" w:rsidTr="0092129C">
        <w:tc>
          <w:tcPr>
            <w:tcW w:w="9720" w:type="dxa"/>
            <w:gridSpan w:val="3"/>
          </w:tcPr>
          <w:p w:rsidR="00D26CB5" w:rsidRPr="009F42A4" w:rsidRDefault="00D26CB5" w:rsidP="00DA6472">
            <w:pPr>
              <w:spacing w:line="360" w:lineRule="auto"/>
              <w:jc w:val="both"/>
              <w:rPr>
                <w:rFonts w:ascii="Arial Narrow" w:hAnsi="Arial Narrow" w:cs="Arial"/>
                <w:b/>
                <w:sz w:val="24"/>
                <w:szCs w:val="24"/>
              </w:rPr>
            </w:pPr>
            <w:r w:rsidRPr="009F42A4">
              <w:rPr>
                <w:rFonts w:ascii="Arial Narrow" w:hAnsi="Arial Narrow" w:cs="Arial"/>
                <w:b/>
                <w:sz w:val="24"/>
                <w:szCs w:val="24"/>
              </w:rPr>
              <w:t>Reasons for orders:</w:t>
            </w:r>
          </w:p>
        </w:tc>
      </w:tr>
      <w:tr w:rsidR="009F42A4" w:rsidRPr="009F42A4" w:rsidTr="00194111">
        <w:tc>
          <w:tcPr>
            <w:tcW w:w="9720" w:type="dxa"/>
            <w:gridSpan w:val="3"/>
            <w:shd w:val="clear" w:color="auto" w:fill="auto"/>
          </w:tcPr>
          <w:p w:rsidR="00C01336" w:rsidRPr="009F42A4" w:rsidRDefault="00C01336" w:rsidP="00DA6472">
            <w:pPr>
              <w:tabs>
                <w:tab w:val="left" w:pos="1275"/>
              </w:tabs>
              <w:spacing w:line="360" w:lineRule="auto"/>
              <w:jc w:val="both"/>
              <w:rPr>
                <w:rFonts w:ascii="Arial Narrow" w:hAnsi="Arial Narrow" w:cs="Arial"/>
                <w:sz w:val="24"/>
                <w:szCs w:val="24"/>
                <w:u w:val="single"/>
              </w:rPr>
            </w:pPr>
          </w:p>
          <w:p w:rsidR="00C861E1" w:rsidRPr="009F42A4" w:rsidRDefault="00010FE7" w:rsidP="00DA6472">
            <w:pPr>
              <w:tabs>
                <w:tab w:val="left" w:pos="1275"/>
              </w:tabs>
              <w:spacing w:line="360" w:lineRule="auto"/>
              <w:jc w:val="both"/>
              <w:rPr>
                <w:rFonts w:ascii="Arial Narrow" w:hAnsi="Arial Narrow" w:cs="Arial"/>
                <w:sz w:val="24"/>
                <w:szCs w:val="24"/>
                <w:u w:val="single"/>
              </w:rPr>
            </w:pPr>
            <w:r w:rsidRPr="009F42A4">
              <w:rPr>
                <w:rFonts w:ascii="Arial Narrow" w:hAnsi="Arial Narrow" w:cs="Arial"/>
                <w:sz w:val="24"/>
                <w:szCs w:val="24"/>
                <w:u w:val="single"/>
              </w:rPr>
              <w:t>Introduction</w:t>
            </w:r>
            <w:r w:rsidR="00C861E1" w:rsidRPr="009F42A4">
              <w:rPr>
                <w:rFonts w:ascii="Arial Narrow" w:hAnsi="Arial Narrow" w:cs="Arial"/>
                <w:sz w:val="24"/>
                <w:szCs w:val="24"/>
                <w:u w:val="single"/>
              </w:rPr>
              <w:t xml:space="preserve"> and brief background</w:t>
            </w:r>
          </w:p>
          <w:p w:rsidR="00C01336" w:rsidRPr="009F42A4" w:rsidRDefault="00C01336" w:rsidP="00DA6472">
            <w:pPr>
              <w:tabs>
                <w:tab w:val="left" w:pos="1275"/>
              </w:tabs>
              <w:spacing w:line="360" w:lineRule="auto"/>
              <w:jc w:val="both"/>
              <w:rPr>
                <w:rFonts w:ascii="Arial Narrow" w:hAnsi="Arial Narrow" w:cs="Arial"/>
                <w:sz w:val="24"/>
                <w:szCs w:val="24"/>
                <w:u w:val="single"/>
              </w:rPr>
            </w:pPr>
          </w:p>
          <w:p w:rsidR="000F6D8E" w:rsidRPr="009F42A4" w:rsidRDefault="00C861E1" w:rsidP="00DA6472">
            <w:pPr>
              <w:spacing w:line="360" w:lineRule="auto"/>
              <w:jc w:val="both"/>
              <w:rPr>
                <w:rFonts w:ascii="Arial Narrow" w:hAnsi="Arial Narrow" w:cs="Arial"/>
                <w:sz w:val="24"/>
                <w:szCs w:val="24"/>
              </w:rPr>
            </w:pPr>
            <w:r w:rsidRPr="009F42A4">
              <w:rPr>
                <w:rFonts w:ascii="Arial Narrow" w:hAnsi="Arial Narrow" w:cs="Arial"/>
                <w:sz w:val="24"/>
                <w:szCs w:val="24"/>
              </w:rPr>
              <w:t>[1]</w:t>
            </w:r>
            <w:r w:rsidR="005B1E59" w:rsidRPr="009F42A4">
              <w:rPr>
                <w:rFonts w:ascii="Arial Narrow" w:hAnsi="Arial Narrow" w:cs="Arial"/>
                <w:sz w:val="24"/>
                <w:szCs w:val="24"/>
              </w:rPr>
              <w:t xml:space="preserve">     </w:t>
            </w:r>
            <w:r w:rsidR="00F25D45" w:rsidRPr="009F42A4">
              <w:rPr>
                <w:rFonts w:ascii="Arial Narrow" w:hAnsi="Arial Narrow" w:cs="Arial"/>
                <w:sz w:val="24"/>
                <w:szCs w:val="24"/>
              </w:rPr>
              <w:t xml:space="preserve">The respondent (the plaintiff in the main action) filed his amended particulars of claim following the excipient’s (defendant in the main action) success with its exception </w:t>
            </w:r>
            <w:r w:rsidR="00FF302D" w:rsidRPr="009F42A4">
              <w:rPr>
                <w:rFonts w:ascii="Arial Narrow" w:hAnsi="Arial Narrow" w:cs="Arial"/>
                <w:sz w:val="24"/>
                <w:szCs w:val="24"/>
              </w:rPr>
              <w:t xml:space="preserve">that was previously </w:t>
            </w:r>
            <w:r w:rsidR="00F25D45" w:rsidRPr="009F42A4">
              <w:rPr>
                <w:rFonts w:ascii="Arial Narrow" w:hAnsi="Arial Narrow" w:cs="Arial"/>
                <w:sz w:val="24"/>
                <w:szCs w:val="24"/>
              </w:rPr>
              <w:t>raised</w:t>
            </w:r>
            <w:r w:rsidR="009500CB" w:rsidRPr="009F42A4">
              <w:rPr>
                <w:rFonts w:ascii="Arial Narrow" w:hAnsi="Arial Narrow" w:cs="Arial"/>
                <w:sz w:val="24"/>
                <w:szCs w:val="24"/>
              </w:rPr>
              <w:t xml:space="preserve"> in the matter in </w:t>
            </w:r>
            <w:proofErr w:type="spellStart"/>
            <w:r w:rsidR="009500CB" w:rsidRPr="009F42A4">
              <w:rPr>
                <w:rFonts w:ascii="Arial Narrow" w:hAnsi="Arial Narrow" w:cs="Arial"/>
                <w:sz w:val="24"/>
                <w:szCs w:val="24"/>
              </w:rPr>
              <w:t>casu</w:t>
            </w:r>
            <w:proofErr w:type="spellEnd"/>
            <w:r w:rsidR="00F25D45" w:rsidRPr="009F42A4">
              <w:rPr>
                <w:rFonts w:ascii="Arial Narrow" w:hAnsi="Arial Narrow" w:cs="Arial"/>
                <w:sz w:val="24"/>
                <w:szCs w:val="24"/>
              </w:rPr>
              <w:t>. This Court delivered its exception ruling on 9 Se</w:t>
            </w:r>
            <w:r w:rsidR="00FF302D" w:rsidRPr="009F42A4">
              <w:rPr>
                <w:rFonts w:ascii="Arial Narrow" w:hAnsi="Arial Narrow" w:cs="Arial"/>
                <w:sz w:val="24"/>
                <w:szCs w:val="24"/>
              </w:rPr>
              <w:t>ptember 2019</w:t>
            </w:r>
            <w:r w:rsidR="00E255C5" w:rsidRPr="009F42A4">
              <w:rPr>
                <w:rStyle w:val="FootnoteReference"/>
                <w:rFonts w:ascii="Arial Narrow" w:hAnsi="Arial Narrow" w:cs="Arial"/>
                <w:sz w:val="24"/>
                <w:szCs w:val="24"/>
              </w:rPr>
              <w:footnoteReference w:id="1"/>
            </w:r>
            <w:r w:rsidR="00FF302D" w:rsidRPr="009F42A4">
              <w:rPr>
                <w:rFonts w:ascii="Arial Narrow" w:hAnsi="Arial Narrow" w:cs="Arial"/>
                <w:sz w:val="24"/>
                <w:szCs w:val="24"/>
              </w:rPr>
              <w:t xml:space="preserve"> wherein it </w:t>
            </w:r>
            <w:r w:rsidR="0050727B" w:rsidRPr="009F42A4">
              <w:rPr>
                <w:rFonts w:ascii="Arial Narrow" w:hAnsi="Arial Narrow" w:cs="Arial"/>
                <w:sz w:val="24"/>
                <w:szCs w:val="24"/>
              </w:rPr>
              <w:t xml:space="preserve">upheld all the exceptions raised </w:t>
            </w:r>
            <w:r w:rsidR="00BB67CE" w:rsidRPr="009F42A4">
              <w:rPr>
                <w:rFonts w:ascii="Arial Narrow" w:hAnsi="Arial Narrow" w:cs="Arial"/>
                <w:sz w:val="24"/>
                <w:szCs w:val="24"/>
              </w:rPr>
              <w:t>by the defendant and ordered the plaintiff</w:t>
            </w:r>
            <w:r w:rsidR="0050727B" w:rsidRPr="009F42A4">
              <w:rPr>
                <w:rFonts w:ascii="Arial Narrow" w:hAnsi="Arial Narrow" w:cs="Arial"/>
                <w:sz w:val="24"/>
                <w:szCs w:val="24"/>
              </w:rPr>
              <w:t xml:space="preserve"> to amend its particulars of claim</w:t>
            </w:r>
            <w:r w:rsidR="00BB67CE" w:rsidRPr="009F42A4">
              <w:rPr>
                <w:rFonts w:ascii="Arial Narrow" w:hAnsi="Arial Narrow" w:cs="Arial"/>
                <w:sz w:val="24"/>
                <w:szCs w:val="24"/>
              </w:rPr>
              <w:t>,</w:t>
            </w:r>
            <w:r w:rsidR="0050727B" w:rsidRPr="009F42A4">
              <w:rPr>
                <w:rFonts w:ascii="Arial Narrow" w:hAnsi="Arial Narrow" w:cs="Arial"/>
                <w:sz w:val="24"/>
                <w:szCs w:val="24"/>
              </w:rPr>
              <w:t xml:space="preserve"> </w:t>
            </w:r>
            <w:r w:rsidR="00FC6516" w:rsidRPr="009F42A4">
              <w:rPr>
                <w:rFonts w:ascii="Arial Narrow" w:hAnsi="Arial Narrow" w:cs="Arial"/>
                <w:sz w:val="24"/>
                <w:szCs w:val="24"/>
              </w:rPr>
              <w:t>if he</w:t>
            </w:r>
            <w:r w:rsidR="0050727B" w:rsidRPr="009F42A4">
              <w:rPr>
                <w:rFonts w:ascii="Arial Narrow" w:hAnsi="Arial Narrow" w:cs="Arial"/>
                <w:sz w:val="24"/>
                <w:szCs w:val="24"/>
              </w:rPr>
              <w:t xml:space="preserve"> so wished</w:t>
            </w:r>
            <w:r w:rsidR="00BB67CE" w:rsidRPr="009F42A4">
              <w:rPr>
                <w:rFonts w:ascii="Arial Narrow" w:hAnsi="Arial Narrow" w:cs="Arial"/>
                <w:sz w:val="24"/>
                <w:szCs w:val="24"/>
              </w:rPr>
              <w:t>,</w:t>
            </w:r>
            <w:r w:rsidR="0050727B" w:rsidRPr="009F42A4">
              <w:rPr>
                <w:rFonts w:ascii="Arial Narrow" w:hAnsi="Arial Narrow" w:cs="Arial"/>
                <w:sz w:val="24"/>
                <w:szCs w:val="24"/>
              </w:rPr>
              <w:t xml:space="preserve"> within 20 days after the order. </w:t>
            </w:r>
            <w:r w:rsidR="00C5418A" w:rsidRPr="009F42A4">
              <w:rPr>
                <w:rFonts w:ascii="Arial Narrow" w:hAnsi="Arial Narrow" w:cs="Arial"/>
                <w:sz w:val="24"/>
                <w:szCs w:val="24"/>
              </w:rPr>
              <w:t>However after the</w:t>
            </w:r>
            <w:r w:rsidR="00C43BEB" w:rsidRPr="009F42A4">
              <w:rPr>
                <w:rFonts w:ascii="Arial Narrow" w:hAnsi="Arial Narrow" w:cs="Arial"/>
                <w:sz w:val="24"/>
                <w:szCs w:val="24"/>
              </w:rPr>
              <w:t xml:space="preserve"> ruling</w:t>
            </w:r>
            <w:r w:rsidR="00AA0A45" w:rsidRPr="009F42A4">
              <w:rPr>
                <w:rFonts w:ascii="Arial Narrow" w:hAnsi="Arial Narrow" w:cs="Arial"/>
                <w:sz w:val="24"/>
                <w:szCs w:val="24"/>
              </w:rPr>
              <w:t xml:space="preserve"> was delivered,</w:t>
            </w:r>
            <w:r w:rsidR="00EE2453" w:rsidRPr="009F42A4">
              <w:rPr>
                <w:rFonts w:ascii="Arial Narrow" w:hAnsi="Arial Narrow" w:cs="Arial"/>
                <w:sz w:val="24"/>
                <w:szCs w:val="24"/>
              </w:rPr>
              <w:t xml:space="preserve"> the plaintiff</w:t>
            </w:r>
            <w:r w:rsidR="00C5418A" w:rsidRPr="009F42A4">
              <w:rPr>
                <w:rFonts w:ascii="Arial Narrow" w:hAnsi="Arial Narrow" w:cs="Arial"/>
                <w:sz w:val="24"/>
                <w:szCs w:val="24"/>
              </w:rPr>
              <w:t xml:space="preserve"> </w:t>
            </w:r>
            <w:r w:rsidR="00AA0A45" w:rsidRPr="009F42A4">
              <w:rPr>
                <w:rFonts w:ascii="Arial Narrow" w:hAnsi="Arial Narrow" w:cs="Arial"/>
                <w:sz w:val="24"/>
                <w:szCs w:val="24"/>
              </w:rPr>
              <w:t xml:space="preserve">filed a notice to appeal </w:t>
            </w:r>
            <w:r w:rsidR="00EE2453" w:rsidRPr="009F42A4">
              <w:rPr>
                <w:rFonts w:ascii="Arial Narrow" w:hAnsi="Arial Narrow" w:cs="Arial"/>
                <w:sz w:val="24"/>
                <w:szCs w:val="24"/>
              </w:rPr>
              <w:t xml:space="preserve">the ruling </w:t>
            </w:r>
            <w:r w:rsidR="00AA0A45" w:rsidRPr="009F42A4">
              <w:rPr>
                <w:rFonts w:ascii="Arial Narrow" w:hAnsi="Arial Narrow" w:cs="Arial"/>
                <w:sz w:val="24"/>
                <w:szCs w:val="24"/>
              </w:rPr>
              <w:t>to</w:t>
            </w:r>
            <w:r w:rsidR="00C5418A" w:rsidRPr="009F42A4">
              <w:rPr>
                <w:rFonts w:ascii="Arial Narrow" w:hAnsi="Arial Narrow" w:cs="Arial"/>
                <w:sz w:val="24"/>
                <w:szCs w:val="24"/>
              </w:rPr>
              <w:t xml:space="preserve"> the Supreme Court without leave of this court as the order granted was not final in nature. Subsequently and after </w:t>
            </w:r>
            <w:r w:rsidR="00E7561F" w:rsidRPr="009F42A4">
              <w:rPr>
                <w:rFonts w:ascii="Arial Narrow" w:hAnsi="Arial Narrow" w:cs="Arial"/>
                <w:sz w:val="24"/>
                <w:szCs w:val="24"/>
              </w:rPr>
              <w:t>several appearances</w:t>
            </w:r>
            <w:r w:rsidR="00C5418A" w:rsidRPr="009F42A4">
              <w:rPr>
                <w:rFonts w:ascii="Arial Narrow" w:hAnsi="Arial Narrow" w:cs="Arial"/>
                <w:sz w:val="24"/>
                <w:szCs w:val="24"/>
              </w:rPr>
              <w:t>, the said notice was withdrawn</w:t>
            </w:r>
            <w:r w:rsidR="00EE2453" w:rsidRPr="009F42A4">
              <w:rPr>
                <w:rFonts w:ascii="Arial Narrow" w:hAnsi="Arial Narrow" w:cs="Arial"/>
                <w:sz w:val="24"/>
                <w:szCs w:val="24"/>
              </w:rPr>
              <w:t xml:space="preserve"> and the plaintiff filed its amended particulars of claim. S</w:t>
            </w:r>
            <w:r w:rsidR="00C97808" w:rsidRPr="009F42A4">
              <w:rPr>
                <w:rFonts w:ascii="Arial Narrow" w:hAnsi="Arial Narrow" w:cs="Arial"/>
                <w:sz w:val="24"/>
                <w:szCs w:val="24"/>
              </w:rPr>
              <w:t xml:space="preserve">ince the </w:t>
            </w:r>
            <w:r w:rsidR="00C97808" w:rsidRPr="009F42A4">
              <w:rPr>
                <w:rFonts w:ascii="Arial Narrow" w:hAnsi="Arial Narrow" w:cs="Arial"/>
                <w:sz w:val="24"/>
                <w:szCs w:val="24"/>
              </w:rPr>
              <w:lastRenderedPageBreak/>
              <w:t>plaintiff</w:t>
            </w:r>
            <w:r w:rsidR="00C5418A" w:rsidRPr="009F42A4">
              <w:rPr>
                <w:rFonts w:ascii="Arial Narrow" w:hAnsi="Arial Narrow" w:cs="Arial"/>
                <w:sz w:val="24"/>
                <w:szCs w:val="24"/>
              </w:rPr>
              <w:t xml:space="preserve"> was out of time in filing its amended particulars of claim</w:t>
            </w:r>
            <w:r w:rsidR="00AA0A45" w:rsidRPr="009F42A4">
              <w:rPr>
                <w:rFonts w:ascii="Arial Narrow" w:hAnsi="Arial Narrow" w:cs="Arial"/>
                <w:sz w:val="24"/>
                <w:szCs w:val="24"/>
              </w:rPr>
              <w:t xml:space="preserve"> he had to file a condonation </w:t>
            </w:r>
            <w:r w:rsidR="00EE2453" w:rsidRPr="009F42A4">
              <w:rPr>
                <w:rFonts w:ascii="Arial Narrow" w:hAnsi="Arial Narrow" w:cs="Arial"/>
                <w:sz w:val="24"/>
                <w:szCs w:val="24"/>
              </w:rPr>
              <w:t xml:space="preserve">application, </w:t>
            </w:r>
            <w:r w:rsidR="00AA0A45" w:rsidRPr="009F42A4">
              <w:rPr>
                <w:rFonts w:ascii="Arial Narrow" w:hAnsi="Arial Narrow" w:cs="Arial"/>
                <w:sz w:val="24"/>
                <w:szCs w:val="24"/>
              </w:rPr>
              <w:t>to which</w:t>
            </w:r>
            <w:r w:rsidR="00EE2453" w:rsidRPr="009F42A4">
              <w:rPr>
                <w:rFonts w:ascii="Arial Narrow" w:hAnsi="Arial Narrow" w:cs="Arial"/>
                <w:sz w:val="24"/>
                <w:szCs w:val="24"/>
              </w:rPr>
              <w:t xml:space="preserve"> the defendant</w:t>
            </w:r>
            <w:r w:rsidR="00E7561F" w:rsidRPr="009F42A4">
              <w:rPr>
                <w:rFonts w:ascii="Arial Narrow" w:hAnsi="Arial Narrow" w:cs="Arial"/>
                <w:sz w:val="24"/>
                <w:szCs w:val="24"/>
              </w:rPr>
              <w:t xml:space="preserve"> </w:t>
            </w:r>
            <w:r w:rsidR="00AA0A45" w:rsidRPr="009F42A4">
              <w:rPr>
                <w:rFonts w:ascii="Arial Narrow" w:hAnsi="Arial Narrow" w:cs="Arial"/>
                <w:sz w:val="24"/>
                <w:szCs w:val="24"/>
              </w:rPr>
              <w:t>i</w:t>
            </w:r>
            <w:r w:rsidR="00EE2453" w:rsidRPr="009F42A4">
              <w:rPr>
                <w:rFonts w:ascii="Arial Narrow" w:hAnsi="Arial Narrow" w:cs="Arial"/>
                <w:sz w:val="24"/>
                <w:szCs w:val="24"/>
              </w:rPr>
              <w:t xml:space="preserve">ndicated that it will not oppose, as the amended particulars of claim had already been filed in any event without the plaintiff </w:t>
            </w:r>
            <w:r w:rsidR="0090245F" w:rsidRPr="009F42A4">
              <w:rPr>
                <w:rFonts w:ascii="Arial Narrow" w:hAnsi="Arial Narrow" w:cs="Arial"/>
                <w:sz w:val="24"/>
                <w:szCs w:val="24"/>
              </w:rPr>
              <w:t>first</w:t>
            </w:r>
            <w:r w:rsidR="00EE2453" w:rsidRPr="009F42A4">
              <w:rPr>
                <w:rFonts w:ascii="Arial Narrow" w:hAnsi="Arial Narrow" w:cs="Arial"/>
                <w:sz w:val="24"/>
                <w:szCs w:val="24"/>
              </w:rPr>
              <w:t xml:space="preserve"> filing his condonation</w:t>
            </w:r>
            <w:r w:rsidR="00AA0A45" w:rsidRPr="009F42A4">
              <w:rPr>
                <w:rFonts w:ascii="Arial Narrow" w:hAnsi="Arial Narrow" w:cs="Arial"/>
                <w:sz w:val="24"/>
                <w:szCs w:val="24"/>
              </w:rPr>
              <w:t>.</w:t>
            </w:r>
            <w:r w:rsidR="00EE2453" w:rsidRPr="009F42A4">
              <w:rPr>
                <w:rFonts w:ascii="Arial Narrow" w:hAnsi="Arial Narrow" w:cs="Arial"/>
                <w:sz w:val="24"/>
                <w:szCs w:val="24"/>
              </w:rPr>
              <w:t xml:space="preserve"> </w:t>
            </w:r>
            <w:r w:rsidR="00AA0A45" w:rsidRPr="009F42A4">
              <w:rPr>
                <w:rFonts w:ascii="Arial Narrow" w:hAnsi="Arial Narrow" w:cs="Arial"/>
                <w:sz w:val="24"/>
                <w:szCs w:val="24"/>
              </w:rPr>
              <w:t>T</w:t>
            </w:r>
            <w:r w:rsidR="00E7561F" w:rsidRPr="009F42A4">
              <w:rPr>
                <w:rFonts w:ascii="Arial Narrow" w:hAnsi="Arial Narrow" w:cs="Arial"/>
                <w:sz w:val="24"/>
                <w:szCs w:val="24"/>
              </w:rPr>
              <w:t>he matter was t</w:t>
            </w:r>
            <w:r w:rsidR="00AA0A45" w:rsidRPr="009F42A4">
              <w:rPr>
                <w:rFonts w:ascii="Arial Narrow" w:hAnsi="Arial Narrow" w:cs="Arial"/>
                <w:sz w:val="24"/>
                <w:szCs w:val="24"/>
              </w:rPr>
              <w:t xml:space="preserve">hen set down for hearing of this </w:t>
            </w:r>
            <w:r w:rsidR="00E7561F" w:rsidRPr="009F42A4">
              <w:rPr>
                <w:rFonts w:ascii="Arial Narrow" w:hAnsi="Arial Narrow" w:cs="Arial"/>
                <w:sz w:val="24"/>
                <w:szCs w:val="24"/>
              </w:rPr>
              <w:t>exception.</w:t>
            </w:r>
            <w:r w:rsidR="005F7F5E" w:rsidRPr="009F42A4">
              <w:rPr>
                <w:rFonts w:ascii="Arial Narrow" w:hAnsi="Arial Narrow" w:cs="Arial"/>
                <w:sz w:val="24"/>
                <w:szCs w:val="24"/>
              </w:rPr>
              <w:t xml:space="preserve">  </w:t>
            </w:r>
            <w:r w:rsidR="003D7A92" w:rsidRPr="009F42A4">
              <w:rPr>
                <w:rFonts w:ascii="Arial Narrow" w:hAnsi="Arial Narrow" w:cs="Arial"/>
                <w:sz w:val="24"/>
                <w:szCs w:val="24"/>
              </w:rPr>
              <w:t xml:space="preserve"> </w:t>
            </w:r>
          </w:p>
          <w:p w:rsidR="000F6D8E" w:rsidRPr="009F42A4" w:rsidRDefault="000F6D8E" w:rsidP="00DA6472">
            <w:pPr>
              <w:spacing w:line="360" w:lineRule="auto"/>
              <w:jc w:val="both"/>
              <w:rPr>
                <w:rFonts w:ascii="Arial Narrow" w:hAnsi="Arial Narrow" w:cs="Arial"/>
                <w:sz w:val="24"/>
                <w:szCs w:val="24"/>
              </w:rPr>
            </w:pPr>
          </w:p>
          <w:p w:rsidR="00C97808" w:rsidRPr="009F42A4" w:rsidRDefault="00C97808" w:rsidP="00DA6472">
            <w:pPr>
              <w:spacing w:line="360" w:lineRule="auto"/>
              <w:jc w:val="both"/>
              <w:rPr>
                <w:rFonts w:ascii="Arial Narrow" w:hAnsi="Arial Narrow" w:cs="Arial"/>
                <w:sz w:val="24"/>
                <w:szCs w:val="24"/>
              </w:rPr>
            </w:pPr>
            <w:r w:rsidRPr="009F42A4">
              <w:rPr>
                <w:rFonts w:ascii="Arial Narrow" w:hAnsi="Arial Narrow" w:cs="Arial"/>
                <w:sz w:val="24"/>
                <w:szCs w:val="24"/>
              </w:rPr>
              <w:t xml:space="preserve">[2]        For purposes of this ruling I will refer </w:t>
            </w:r>
            <w:r w:rsidR="002540FE" w:rsidRPr="009F42A4">
              <w:rPr>
                <w:rFonts w:ascii="Arial Narrow" w:hAnsi="Arial Narrow" w:cs="Arial"/>
                <w:sz w:val="24"/>
                <w:szCs w:val="24"/>
              </w:rPr>
              <w:t xml:space="preserve">to </w:t>
            </w:r>
            <w:r w:rsidRPr="009F42A4">
              <w:rPr>
                <w:rFonts w:ascii="Arial Narrow" w:hAnsi="Arial Narrow" w:cs="Arial"/>
                <w:sz w:val="24"/>
                <w:szCs w:val="24"/>
              </w:rPr>
              <w:t>the parties as they in the exception application.</w:t>
            </w:r>
          </w:p>
          <w:p w:rsidR="00C97808" w:rsidRPr="009F42A4" w:rsidRDefault="00C97808" w:rsidP="00DA6472">
            <w:pPr>
              <w:spacing w:line="360" w:lineRule="auto"/>
              <w:jc w:val="both"/>
              <w:rPr>
                <w:rFonts w:ascii="Arial Narrow" w:hAnsi="Arial Narrow" w:cs="Arial"/>
                <w:sz w:val="24"/>
                <w:szCs w:val="24"/>
              </w:rPr>
            </w:pPr>
            <w:r w:rsidRPr="009F42A4">
              <w:rPr>
                <w:rFonts w:ascii="Arial Narrow" w:hAnsi="Arial Narrow" w:cs="Arial"/>
                <w:sz w:val="24"/>
                <w:szCs w:val="24"/>
              </w:rPr>
              <w:t xml:space="preserve"> </w:t>
            </w:r>
          </w:p>
          <w:p w:rsidR="001B330C" w:rsidRPr="009F42A4" w:rsidRDefault="001B330C" w:rsidP="00DA6472">
            <w:pPr>
              <w:spacing w:line="360" w:lineRule="auto"/>
              <w:jc w:val="both"/>
              <w:rPr>
                <w:rFonts w:ascii="Arial Narrow" w:hAnsi="Arial Narrow" w:cs="Arial"/>
                <w:sz w:val="24"/>
                <w:szCs w:val="24"/>
                <w:u w:val="single"/>
              </w:rPr>
            </w:pPr>
            <w:r w:rsidRPr="009F42A4">
              <w:rPr>
                <w:rFonts w:ascii="Arial Narrow" w:hAnsi="Arial Narrow" w:cs="Arial"/>
                <w:sz w:val="24"/>
                <w:szCs w:val="24"/>
                <w:u w:val="single"/>
              </w:rPr>
              <w:t xml:space="preserve">Parties submissions </w:t>
            </w:r>
          </w:p>
          <w:p w:rsidR="001B330C" w:rsidRPr="009F42A4" w:rsidRDefault="001B330C" w:rsidP="00DA6472">
            <w:pPr>
              <w:spacing w:line="360" w:lineRule="auto"/>
              <w:jc w:val="both"/>
              <w:rPr>
                <w:rFonts w:ascii="Arial Narrow" w:hAnsi="Arial Narrow" w:cs="Arial"/>
                <w:sz w:val="24"/>
                <w:szCs w:val="24"/>
              </w:rPr>
            </w:pPr>
          </w:p>
          <w:p w:rsidR="001B330C" w:rsidRPr="009F42A4" w:rsidRDefault="008D728F" w:rsidP="00DA6472">
            <w:pPr>
              <w:tabs>
                <w:tab w:val="left" w:pos="702"/>
              </w:tabs>
              <w:spacing w:line="360" w:lineRule="auto"/>
              <w:jc w:val="both"/>
              <w:rPr>
                <w:rFonts w:ascii="Arial Narrow" w:hAnsi="Arial Narrow" w:cs="Arial"/>
                <w:sz w:val="24"/>
                <w:szCs w:val="24"/>
              </w:rPr>
            </w:pPr>
            <w:r w:rsidRPr="009F42A4">
              <w:rPr>
                <w:rFonts w:ascii="Arial Narrow" w:hAnsi="Arial Narrow" w:cs="Arial"/>
                <w:sz w:val="24"/>
                <w:szCs w:val="24"/>
              </w:rPr>
              <w:t>[3</w:t>
            </w:r>
            <w:r w:rsidR="005B1E59" w:rsidRPr="009F42A4">
              <w:rPr>
                <w:rFonts w:ascii="Arial Narrow" w:hAnsi="Arial Narrow" w:cs="Arial"/>
                <w:sz w:val="24"/>
                <w:szCs w:val="24"/>
              </w:rPr>
              <w:t xml:space="preserve">]     </w:t>
            </w:r>
            <w:r w:rsidR="00FB48CF" w:rsidRPr="009F42A4">
              <w:rPr>
                <w:rFonts w:ascii="Arial Narrow" w:hAnsi="Arial Narrow" w:cs="Arial"/>
                <w:sz w:val="24"/>
                <w:szCs w:val="24"/>
              </w:rPr>
              <w:t>Mr Theron</w:t>
            </w:r>
            <w:r w:rsidR="00FC0D98" w:rsidRPr="009F42A4">
              <w:rPr>
                <w:rFonts w:ascii="Arial Narrow" w:hAnsi="Arial Narrow" w:cs="Arial"/>
                <w:sz w:val="24"/>
                <w:szCs w:val="24"/>
              </w:rPr>
              <w:t>, counsel for the applicant,</w:t>
            </w:r>
            <w:r w:rsidR="00FB48CF" w:rsidRPr="009F42A4">
              <w:rPr>
                <w:rFonts w:ascii="Arial Narrow" w:hAnsi="Arial Narrow" w:cs="Arial"/>
                <w:sz w:val="24"/>
                <w:szCs w:val="24"/>
              </w:rPr>
              <w:t xml:space="preserve"> sub</w:t>
            </w:r>
            <w:r w:rsidR="00C30CF5" w:rsidRPr="009F42A4">
              <w:rPr>
                <w:rFonts w:ascii="Arial Narrow" w:hAnsi="Arial Narrow" w:cs="Arial"/>
                <w:sz w:val="24"/>
                <w:szCs w:val="24"/>
              </w:rPr>
              <w:t>mitted in his heads of argument</w:t>
            </w:r>
            <w:r w:rsidR="00FB48CF" w:rsidRPr="009F42A4">
              <w:rPr>
                <w:rFonts w:ascii="Arial Narrow" w:hAnsi="Arial Narrow" w:cs="Arial"/>
                <w:sz w:val="24"/>
                <w:szCs w:val="24"/>
              </w:rPr>
              <w:t xml:space="preserve"> tha</w:t>
            </w:r>
            <w:r w:rsidR="00FC0D98" w:rsidRPr="009F42A4">
              <w:rPr>
                <w:rFonts w:ascii="Arial Narrow" w:hAnsi="Arial Narrow" w:cs="Arial"/>
                <w:sz w:val="24"/>
                <w:szCs w:val="24"/>
              </w:rPr>
              <w:t>t</w:t>
            </w:r>
            <w:r w:rsidR="00FB48CF" w:rsidRPr="009F42A4">
              <w:rPr>
                <w:rFonts w:ascii="Arial Narrow" w:hAnsi="Arial Narrow" w:cs="Arial"/>
                <w:sz w:val="24"/>
                <w:szCs w:val="24"/>
              </w:rPr>
              <w:t xml:space="preserve"> the first exception</w:t>
            </w:r>
            <w:r w:rsidR="00FC0D98" w:rsidRPr="009F42A4">
              <w:rPr>
                <w:rFonts w:ascii="Arial Narrow" w:hAnsi="Arial Narrow" w:cs="Arial"/>
                <w:sz w:val="24"/>
                <w:szCs w:val="24"/>
              </w:rPr>
              <w:t xml:space="preserve"> application</w:t>
            </w:r>
            <w:r w:rsidR="00FB48CF" w:rsidRPr="009F42A4">
              <w:rPr>
                <w:rFonts w:ascii="Arial Narrow" w:hAnsi="Arial Narrow" w:cs="Arial"/>
                <w:sz w:val="24"/>
                <w:szCs w:val="24"/>
              </w:rPr>
              <w:t xml:space="preserve"> (ruling delivered on 9 September 2019</w:t>
            </w:r>
            <w:r w:rsidR="00FC0D98" w:rsidRPr="009F42A4">
              <w:rPr>
                <w:rFonts w:ascii="Arial Narrow" w:hAnsi="Arial Narrow" w:cs="Arial"/>
                <w:sz w:val="24"/>
                <w:szCs w:val="24"/>
              </w:rPr>
              <w:t>) has unswerving</w:t>
            </w:r>
            <w:r w:rsidR="002540FE" w:rsidRPr="009F42A4">
              <w:rPr>
                <w:rFonts w:ascii="Arial Narrow" w:hAnsi="Arial Narrow" w:cs="Arial"/>
                <w:sz w:val="24"/>
                <w:szCs w:val="24"/>
              </w:rPr>
              <w:t xml:space="preserve"> bearing to the second application</w:t>
            </w:r>
            <w:r w:rsidR="00FC0D98" w:rsidRPr="009F42A4">
              <w:rPr>
                <w:rFonts w:ascii="Arial Narrow" w:hAnsi="Arial Narrow" w:cs="Arial"/>
                <w:sz w:val="24"/>
                <w:szCs w:val="24"/>
              </w:rPr>
              <w:t>. Respondent was granted an opportunity to remove the previous complaints in his particulars of claim and was guided by the ruling as to what the nature of the shortcomings of the particulars were</w:t>
            </w:r>
            <w:r w:rsidR="00E255C5" w:rsidRPr="009F42A4">
              <w:rPr>
                <w:rFonts w:ascii="Arial Narrow" w:hAnsi="Arial Narrow" w:cs="Arial"/>
                <w:sz w:val="24"/>
                <w:szCs w:val="24"/>
              </w:rPr>
              <w:t xml:space="preserve">. </w:t>
            </w:r>
            <w:r w:rsidR="001B330C" w:rsidRPr="009F42A4">
              <w:rPr>
                <w:rFonts w:ascii="Arial Narrow" w:hAnsi="Arial Narrow" w:cs="Arial"/>
                <w:sz w:val="24"/>
                <w:szCs w:val="24"/>
              </w:rPr>
              <w:t xml:space="preserve"> </w:t>
            </w:r>
          </w:p>
          <w:p w:rsidR="00D415E5" w:rsidRPr="009F42A4" w:rsidRDefault="00D415E5" w:rsidP="00DA6472">
            <w:pPr>
              <w:spacing w:line="360" w:lineRule="auto"/>
              <w:jc w:val="both"/>
              <w:rPr>
                <w:rFonts w:ascii="Arial Narrow" w:hAnsi="Arial Narrow" w:cs="Arial"/>
                <w:sz w:val="24"/>
                <w:szCs w:val="24"/>
              </w:rPr>
            </w:pPr>
          </w:p>
          <w:p w:rsidR="0015050A" w:rsidRPr="009F42A4" w:rsidRDefault="008D728F" w:rsidP="00DA6472">
            <w:pPr>
              <w:tabs>
                <w:tab w:val="left" w:pos="2085"/>
              </w:tabs>
              <w:spacing w:line="360" w:lineRule="auto"/>
              <w:jc w:val="both"/>
              <w:rPr>
                <w:rFonts w:ascii="Arial Narrow" w:hAnsi="Arial Narrow" w:cs="Arial"/>
                <w:sz w:val="24"/>
                <w:szCs w:val="24"/>
              </w:rPr>
            </w:pPr>
            <w:r w:rsidRPr="009F42A4">
              <w:rPr>
                <w:rFonts w:ascii="Arial Narrow" w:hAnsi="Arial Narrow" w:cs="Arial"/>
                <w:sz w:val="24"/>
                <w:szCs w:val="24"/>
              </w:rPr>
              <w:t>[4</w:t>
            </w:r>
            <w:r w:rsidR="00536735" w:rsidRPr="009F42A4">
              <w:rPr>
                <w:rFonts w:ascii="Arial Narrow" w:hAnsi="Arial Narrow" w:cs="Arial"/>
                <w:sz w:val="24"/>
                <w:szCs w:val="24"/>
              </w:rPr>
              <w:t>]</w:t>
            </w:r>
            <w:r w:rsidR="00C77FF2" w:rsidRPr="009F42A4">
              <w:rPr>
                <w:rFonts w:ascii="Arial Narrow" w:hAnsi="Arial Narrow" w:cs="Arial"/>
                <w:sz w:val="24"/>
                <w:szCs w:val="24"/>
              </w:rPr>
              <w:t xml:space="preserve">     </w:t>
            </w:r>
            <w:r w:rsidR="00401AE4">
              <w:rPr>
                <w:rFonts w:ascii="Arial Narrow" w:hAnsi="Arial Narrow" w:cs="Arial"/>
                <w:sz w:val="24"/>
                <w:szCs w:val="24"/>
              </w:rPr>
              <w:t xml:space="preserve">  </w:t>
            </w:r>
            <w:r w:rsidR="00C30CF5" w:rsidRPr="009F42A4">
              <w:rPr>
                <w:rFonts w:ascii="Arial Narrow" w:hAnsi="Arial Narrow" w:cs="Arial"/>
                <w:sz w:val="24"/>
                <w:szCs w:val="24"/>
              </w:rPr>
              <w:t>Counsel raised five grounds of exception and i</w:t>
            </w:r>
            <w:r w:rsidR="0029227C" w:rsidRPr="009F42A4">
              <w:rPr>
                <w:rFonts w:ascii="Arial Narrow" w:hAnsi="Arial Narrow" w:cs="Arial"/>
                <w:sz w:val="24"/>
                <w:szCs w:val="24"/>
              </w:rPr>
              <w:t>n</w:t>
            </w:r>
            <w:r w:rsidR="001C045C" w:rsidRPr="009F42A4">
              <w:rPr>
                <w:rFonts w:ascii="Arial Narrow" w:hAnsi="Arial Narrow" w:cs="Arial"/>
                <w:sz w:val="24"/>
                <w:szCs w:val="24"/>
              </w:rPr>
              <w:t xml:space="preserve"> respect of the</w:t>
            </w:r>
            <w:r w:rsidR="00C30CF5" w:rsidRPr="009F42A4">
              <w:rPr>
                <w:rFonts w:ascii="Arial Narrow" w:hAnsi="Arial Narrow" w:cs="Arial"/>
                <w:sz w:val="24"/>
                <w:szCs w:val="24"/>
              </w:rPr>
              <w:t xml:space="preserve"> </w:t>
            </w:r>
            <w:r w:rsidR="006647C2" w:rsidRPr="009F42A4">
              <w:rPr>
                <w:rFonts w:ascii="Arial Narrow" w:hAnsi="Arial Narrow" w:cs="Arial"/>
                <w:sz w:val="24"/>
                <w:szCs w:val="24"/>
              </w:rPr>
              <w:t>first</w:t>
            </w:r>
            <w:r w:rsidR="001C045C" w:rsidRPr="009F42A4">
              <w:rPr>
                <w:rFonts w:ascii="Arial Narrow" w:hAnsi="Arial Narrow" w:cs="Arial"/>
                <w:sz w:val="24"/>
                <w:szCs w:val="24"/>
              </w:rPr>
              <w:t xml:space="preserve"> and fourth ground</w:t>
            </w:r>
            <w:r w:rsidR="00C30CF5" w:rsidRPr="009F42A4">
              <w:rPr>
                <w:rFonts w:ascii="Arial Narrow" w:hAnsi="Arial Narrow" w:cs="Arial"/>
                <w:sz w:val="24"/>
                <w:szCs w:val="24"/>
              </w:rPr>
              <w:t xml:space="preserve"> of exception he</w:t>
            </w:r>
            <w:r w:rsidR="00FC0D98" w:rsidRPr="009F42A4">
              <w:rPr>
                <w:rFonts w:ascii="Arial Narrow" w:hAnsi="Arial Narrow" w:cs="Arial"/>
                <w:sz w:val="24"/>
                <w:szCs w:val="24"/>
              </w:rPr>
              <w:t xml:space="preserve"> submitted that the amendment does not cure th</w:t>
            </w:r>
            <w:r w:rsidR="00C3313F" w:rsidRPr="009F42A4">
              <w:rPr>
                <w:rFonts w:ascii="Arial Narrow" w:hAnsi="Arial Narrow" w:cs="Arial"/>
                <w:sz w:val="24"/>
                <w:szCs w:val="24"/>
              </w:rPr>
              <w:t xml:space="preserve">e </w:t>
            </w:r>
            <w:r w:rsidR="0090000C" w:rsidRPr="009F42A4">
              <w:rPr>
                <w:rFonts w:ascii="Arial Narrow" w:hAnsi="Arial Narrow" w:cs="Arial"/>
                <w:sz w:val="24"/>
                <w:szCs w:val="24"/>
              </w:rPr>
              <w:t xml:space="preserve">first </w:t>
            </w:r>
            <w:r w:rsidR="00FC0D98" w:rsidRPr="009F42A4">
              <w:rPr>
                <w:rFonts w:ascii="Arial Narrow" w:hAnsi="Arial Narrow" w:cs="Arial"/>
                <w:sz w:val="24"/>
                <w:szCs w:val="24"/>
              </w:rPr>
              <w:t xml:space="preserve">exception that was upheld in the </w:t>
            </w:r>
            <w:r w:rsidR="002540FE" w:rsidRPr="009F42A4">
              <w:rPr>
                <w:rFonts w:ascii="Arial Narrow" w:hAnsi="Arial Narrow" w:cs="Arial"/>
                <w:sz w:val="24"/>
                <w:szCs w:val="24"/>
              </w:rPr>
              <w:t>9</w:t>
            </w:r>
            <w:r w:rsidR="002540FE" w:rsidRPr="009F42A4">
              <w:rPr>
                <w:rFonts w:ascii="Arial Narrow" w:hAnsi="Arial Narrow" w:cs="Arial"/>
                <w:sz w:val="24"/>
                <w:szCs w:val="24"/>
                <w:vertAlign w:val="superscript"/>
              </w:rPr>
              <w:t>th</w:t>
            </w:r>
            <w:r w:rsidR="002540FE" w:rsidRPr="009F42A4">
              <w:rPr>
                <w:rFonts w:ascii="Arial Narrow" w:hAnsi="Arial Narrow" w:cs="Arial"/>
                <w:sz w:val="24"/>
                <w:szCs w:val="24"/>
              </w:rPr>
              <w:t xml:space="preserve"> </w:t>
            </w:r>
            <w:r w:rsidR="00FC0D98" w:rsidRPr="009F42A4">
              <w:rPr>
                <w:rFonts w:ascii="Arial Narrow" w:hAnsi="Arial Narrow" w:cs="Arial"/>
                <w:sz w:val="24"/>
                <w:szCs w:val="24"/>
              </w:rPr>
              <w:t>September 2019 ruling</w:t>
            </w:r>
            <w:r w:rsidR="00C30CF5" w:rsidRPr="009F42A4">
              <w:rPr>
                <w:rFonts w:ascii="Arial Narrow" w:hAnsi="Arial Narrow" w:cs="Arial"/>
                <w:sz w:val="24"/>
                <w:szCs w:val="24"/>
              </w:rPr>
              <w:t>. Counsel argued that</w:t>
            </w:r>
            <w:r w:rsidR="00FC0D98" w:rsidRPr="009F42A4">
              <w:rPr>
                <w:rFonts w:ascii="Arial Narrow" w:hAnsi="Arial Narrow" w:cs="Arial"/>
                <w:sz w:val="24"/>
                <w:szCs w:val="24"/>
              </w:rPr>
              <w:t xml:space="preserve"> the respondent once again failed to attach to the </w:t>
            </w:r>
            <w:r w:rsidR="00C3313F" w:rsidRPr="009F42A4">
              <w:rPr>
                <w:rFonts w:ascii="Arial Narrow" w:hAnsi="Arial Narrow" w:cs="Arial"/>
                <w:sz w:val="24"/>
                <w:szCs w:val="24"/>
              </w:rPr>
              <w:t>particulars</w:t>
            </w:r>
            <w:r w:rsidR="00531BE0" w:rsidRPr="009F42A4">
              <w:rPr>
                <w:rFonts w:ascii="Arial Narrow" w:hAnsi="Arial Narrow" w:cs="Arial"/>
                <w:sz w:val="24"/>
                <w:szCs w:val="24"/>
              </w:rPr>
              <w:t xml:space="preserve"> of claim the insurance </w:t>
            </w:r>
            <w:r w:rsidR="009F42A4" w:rsidRPr="009F42A4">
              <w:rPr>
                <w:rFonts w:ascii="Arial Narrow" w:hAnsi="Arial Narrow" w:cs="Arial"/>
                <w:sz w:val="24"/>
                <w:szCs w:val="24"/>
              </w:rPr>
              <w:t>c</w:t>
            </w:r>
            <w:r w:rsidR="00531BE0" w:rsidRPr="009F42A4">
              <w:rPr>
                <w:rFonts w:ascii="Arial Narrow" w:hAnsi="Arial Narrow" w:cs="Arial"/>
                <w:sz w:val="24"/>
                <w:szCs w:val="24"/>
              </w:rPr>
              <w:t>ontract</w:t>
            </w:r>
            <w:r w:rsidR="00FC0D98" w:rsidRPr="009F42A4">
              <w:rPr>
                <w:rFonts w:ascii="Arial Narrow" w:hAnsi="Arial Narrow" w:cs="Arial"/>
                <w:sz w:val="24"/>
                <w:szCs w:val="24"/>
              </w:rPr>
              <w:t xml:space="preserve"> he relies upon for his claim</w:t>
            </w:r>
            <w:r w:rsidR="00E7215D" w:rsidRPr="009F42A4">
              <w:rPr>
                <w:rFonts w:ascii="Arial Narrow" w:hAnsi="Arial Narrow" w:cs="Arial"/>
                <w:sz w:val="24"/>
                <w:szCs w:val="24"/>
              </w:rPr>
              <w:t xml:space="preserve"> as well as the </w:t>
            </w:r>
            <w:proofErr w:type="spellStart"/>
            <w:r w:rsidR="00E7215D" w:rsidRPr="009F42A4">
              <w:rPr>
                <w:rFonts w:ascii="Arial Narrow" w:hAnsi="Arial Narrow" w:cs="Arial"/>
                <w:sz w:val="24"/>
                <w:szCs w:val="24"/>
              </w:rPr>
              <w:t>Trustco</w:t>
            </w:r>
            <w:proofErr w:type="spellEnd"/>
            <w:r w:rsidR="00E7215D" w:rsidRPr="009F42A4">
              <w:rPr>
                <w:rFonts w:ascii="Arial Narrow" w:hAnsi="Arial Narrow" w:cs="Arial"/>
                <w:sz w:val="24"/>
                <w:szCs w:val="24"/>
              </w:rPr>
              <w:t xml:space="preserve"> tariffs</w:t>
            </w:r>
            <w:r w:rsidR="00FC0D98" w:rsidRPr="009F42A4">
              <w:rPr>
                <w:rFonts w:ascii="Arial Narrow" w:hAnsi="Arial Narrow" w:cs="Arial"/>
                <w:sz w:val="24"/>
                <w:szCs w:val="24"/>
              </w:rPr>
              <w:t>.</w:t>
            </w:r>
            <w:r w:rsidR="00C3313F" w:rsidRPr="009F42A4">
              <w:rPr>
                <w:rFonts w:ascii="Arial Narrow" w:hAnsi="Arial Narrow" w:cs="Arial"/>
                <w:sz w:val="24"/>
                <w:szCs w:val="24"/>
              </w:rPr>
              <w:t xml:space="preserve"> </w:t>
            </w:r>
            <w:r w:rsidR="00C30CF5" w:rsidRPr="009F42A4">
              <w:rPr>
                <w:rFonts w:ascii="Arial Narrow" w:hAnsi="Arial Narrow" w:cs="Arial"/>
                <w:sz w:val="24"/>
                <w:szCs w:val="24"/>
              </w:rPr>
              <w:t xml:space="preserve">Counsel argued that the </w:t>
            </w:r>
            <w:r w:rsidR="001C045C" w:rsidRPr="009F42A4">
              <w:rPr>
                <w:rFonts w:ascii="Arial Narrow" w:hAnsi="Arial Narrow" w:cs="Arial"/>
                <w:sz w:val="24"/>
                <w:szCs w:val="24"/>
              </w:rPr>
              <w:t>respondent relies on</w:t>
            </w:r>
            <w:r w:rsidR="00C30CF5" w:rsidRPr="009F42A4">
              <w:rPr>
                <w:rFonts w:ascii="Arial Narrow" w:hAnsi="Arial Narrow" w:cs="Arial"/>
                <w:sz w:val="24"/>
                <w:szCs w:val="24"/>
              </w:rPr>
              <w:t xml:space="preserve"> document</w:t>
            </w:r>
            <w:r w:rsidR="001C045C" w:rsidRPr="009F42A4">
              <w:rPr>
                <w:rFonts w:ascii="Arial Narrow" w:hAnsi="Arial Narrow" w:cs="Arial"/>
                <w:sz w:val="24"/>
                <w:szCs w:val="24"/>
              </w:rPr>
              <w:t>s that were</w:t>
            </w:r>
            <w:r w:rsidR="00C30CF5" w:rsidRPr="009F42A4">
              <w:rPr>
                <w:rFonts w:ascii="Arial Narrow" w:hAnsi="Arial Narrow" w:cs="Arial"/>
                <w:sz w:val="24"/>
                <w:szCs w:val="24"/>
              </w:rPr>
              <w:t xml:space="preserve"> filed by the applicant in </w:t>
            </w:r>
            <w:r w:rsidR="00E7215D" w:rsidRPr="009F42A4">
              <w:rPr>
                <w:rFonts w:ascii="Arial Narrow" w:hAnsi="Arial Narrow" w:cs="Arial"/>
                <w:sz w:val="24"/>
                <w:szCs w:val="24"/>
              </w:rPr>
              <w:t>opposing</w:t>
            </w:r>
            <w:r w:rsidR="00C30CF5" w:rsidRPr="009F42A4">
              <w:rPr>
                <w:rFonts w:ascii="Arial Narrow" w:hAnsi="Arial Narrow" w:cs="Arial"/>
                <w:sz w:val="24"/>
                <w:szCs w:val="24"/>
              </w:rPr>
              <w:t xml:space="preserve"> the summary judgment application, which falls outside the four corners of his particulars of claim</w:t>
            </w:r>
            <w:r w:rsidR="0015050A" w:rsidRPr="009F42A4">
              <w:rPr>
                <w:rFonts w:ascii="Arial Narrow" w:hAnsi="Arial Narrow" w:cs="Arial"/>
                <w:sz w:val="24"/>
                <w:szCs w:val="24"/>
              </w:rPr>
              <w:t>.</w:t>
            </w:r>
            <w:r w:rsidR="00C30CF5" w:rsidRPr="009F42A4">
              <w:rPr>
                <w:rFonts w:ascii="Arial Narrow" w:hAnsi="Arial Narrow" w:cs="Arial"/>
                <w:sz w:val="24"/>
                <w:szCs w:val="24"/>
              </w:rPr>
              <w:t xml:space="preserve"> </w:t>
            </w:r>
            <w:r w:rsidR="006A1EAC" w:rsidRPr="009F42A4">
              <w:rPr>
                <w:rFonts w:ascii="Arial Narrow" w:hAnsi="Arial Narrow" w:cs="Arial"/>
                <w:sz w:val="24"/>
                <w:szCs w:val="24"/>
              </w:rPr>
              <w:t>Counsel further argued that w</w:t>
            </w:r>
            <w:r w:rsidR="00C30CF5" w:rsidRPr="009F42A4">
              <w:rPr>
                <w:rFonts w:ascii="Arial Narrow" w:hAnsi="Arial Narrow" w:cs="Arial"/>
                <w:sz w:val="24"/>
                <w:szCs w:val="24"/>
              </w:rPr>
              <w:t>h</w:t>
            </w:r>
            <w:r w:rsidR="006A1EAC" w:rsidRPr="009F42A4">
              <w:rPr>
                <w:rFonts w:ascii="Arial Narrow" w:hAnsi="Arial Narrow" w:cs="Arial"/>
                <w:sz w:val="24"/>
                <w:szCs w:val="24"/>
              </w:rPr>
              <w:t>at respondent merely did was to refer</w:t>
            </w:r>
            <w:r w:rsidR="00E46BC0" w:rsidRPr="009F42A4">
              <w:rPr>
                <w:rFonts w:ascii="Arial Narrow" w:hAnsi="Arial Narrow" w:cs="Arial"/>
                <w:sz w:val="24"/>
                <w:szCs w:val="24"/>
              </w:rPr>
              <w:t xml:space="preserve"> to</w:t>
            </w:r>
            <w:r w:rsidR="00C30CF5" w:rsidRPr="009F42A4">
              <w:rPr>
                <w:rFonts w:ascii="Arial Narrow" w:hAnsi="Arial Narrow" w:cs="Arial"/>
                <w:sz w:val="24"/>
                <w:szCs w:val="24"/>
              </w:rPr>
              <w:t xml:space="preserve"> the agreement by inserting the following wording</w:t>
            </w:r>
            <w:r w:rsidR="00C7323B" w:rsidRPr="009F42A4">
              <w:rPr>
                <w:rFonts w:ascii="Arial Narrow" w:hAnsi="Arial Narrow" w:cs="Arial"/>
                <w:sz w:val="24"/>
                <w:szCs w:val="24"/>
              </w:rPr>
              <w:t xml:space="preserve"> in the amended particulars of claim at the end of para 3</w:t>
            </w:r>
            <w:r w:rsidR="00C30CF5" w:rsidRPr="009F42A4">
              <w:rPr>
                <w:rFonts w:ascii="Arial Narrow" w:hAnsi="Arial Narrow" w:cs="Arial"/>
                <w:sz w:val="24"/>
                <w:szCs w:val="24"/>
              </w:rPr>
              <w:t>: ‘ANNEXURE DH1 TO OPPOSING AFFIDAVIT TO SUMMARY JUDGMENT OF THE DEFENDANT’</w:t>
            </w:r>
            <w:r w:rsidR="00C7323B" w:rsidRPr="009F42A4">
              <w:rPr>
                <w:rFonts w:ascii="Arial Narrow" w:hAnsi="Arial Narrow" w:cs="Arial"/>
                <w:sz w:val="24"/>
                <w:szCs w:val="24"/>
              </w:rPr>
              <w:t xml:space="preserve"> and inserting the following sentence </w:t>
            </w:r>
            <w:r w:rsidR="00E46BC0" w:rsidRPr="009F42A4">
              <w:rPr>
                <w:rFonts w:ascii="Arial Narrow" w:hAnsi="Arial Narrow" w:cs="Arial"/>
                <w:sz w:val="24"/>
                <w:szCs w:val="24"/>
              </w:rPr>
              <w:t xml:space="preserve">with reference to the tariffs </w:t>
            </w:r>
            <w:r w:rsidR="00C7323B" w:rsidRPr="009F42A4">
              <w:rPr>
                <w:rFonts w:ascii="Arial Narrow" w:hAnsi="Arial Narrow" w:cs="Arial"/>
                <w:sz w:val="24"/>
                <w:szCs w:val="24"/>
              </w:rPr>
              <w:t xml:space="preserve">at the end of para 7.3: ‘ANNEXURE “DH2’ TO THE OPPOSING AFFIDAVIT TO SUMMARY JUDGMENT’. </w:t>
            </w:r>
            <w:r w:rsidR="00270047" w:rsidRPr="009F42A4">
              <w:rPr>
                <w:rFonts w:ascii="Arial Narrow" w:hAnsi="Arial Narrow" w:cs="Arial"/>
                <w:sz w:val="24"/>
                <w:szCs w:val="24"/>
              </w:rPr>
              <w:t>Counsel referred the Court to para 30 and 31 of its</w:t>
            </w:r>
            <w:r w:rsidR="006A1EAC" w:rsidRPr="009F42A4">
              <w:rPr>
                <w:rFonts w:ascii="Arial Narrow" w:hAnsi="Arial Narrow" w:cs="Arial"/>
                <w:sz w:val="24"/>
                <w:szCs w:val="24"/>
              </w:rPr>
              <w:t xml:space="preserve"> 9</w:t>
            </w:r>
            <w:r w:rsidR="006A1EAC" w:rsidRPr="009F42A4">
              <w:rPr>
                <w:rFonts w:ascii="Arial Narrow" w:hAnsi="Arial Narrow" w:cs="Arial"/>
                <w:sz w:val="24"/>
                <w:szCs w:val="24"/>
                <w:vertAlign w:val="superscript"/>
              </w:rPr>
              <w:t>th</w:t>
            </w:r>
            <w:r w:rsidR="006A1EAC" w:rsidRPr="009F42A4">
              <w:rPr>
                <w:rFonts w:ascii="Arial Narrow" w:hAnsi="Arial Narrow" w:cs="Arial"/>
                <w:sz w:val="24"/>
                <w:szCs w:val="24"/>
              </w:rPr>
              <w:t xml:space="preserve"> September 2019</w:t>
            </w:r>
            <w:r w:rsidR="00270047" w:rsidRPr="009F42A4">
              <w:rPr>
                <w:rFonts w:ascii="Arial Narrow" w:hAnsi="Arial Narrow" w:cs="Arial"/>
                <w:sz w:val="24"/>
                <w:szCs w:val="24"/>
              </w:rPr>
              <w:t xml:space="preserve"> ruling</w:t>
            </w:r>
            <w:r w:rsidR="00BD41FC" w:rsidRPr="009F42A4">
              <w:rPr>
                <w:rFonts w:ascii="Arial Narrow" w:hAnsi="Arial Narrow" w:cs="Arial"/>
                <w:sz w:val="24"/>
                <w:szCs w:val="24"/>
              </w:rPr>
              <w:t xml:space="preserve"> in this regard</w:t>
            </w:r>
            <w:r w:rsidR="00270047" w:rsidRPr="009F42A4">
              <w:rPr>
                <w:rFonts w:ascii="Arial Narrow" w:hAnsi="Arial Narrow" w:cs="Arial"/>
                <w:sz w:val="24"/>
                <w:szCs w:val="24"/>
              </w:rPr>
              <w:t xml:space="preserve">. </w:t>
            </w:r>
          </w:p>
          <w:p w:rsidR="00820D94" w:rsidRPr="009F42A4" w:rsidRDefault="00820D94" w:rsidP="00DA6472">
            <w:pPr>
              <w:tabs>
                <w:tab w:val="left" w:pos="2085"/>
              </w:tabs>
              <w:spacing w:line="360" w:lineRule="auto"/>
              <w:jc w:val="both"/>
              <w:rPr>
                <w:rFonts w:ascii="Arial Narrow" w:hAnsi="Arial Narrow" w:cs="Arial"/>
                <w:sz w:val="24"/>
                <w:szCs w:val="24"/>
              </w:rPr>
            </w:pPr>
          </w:p>
          <w:p w:rsidR="00820D94" w:rsidRPr="009F42A4" w:rsidRDefault="008D728F" w:rsidP="00DA6472">
            <w:pPr>
              <w:tabs>
                <w:tab w:val="left" w:pos="2085"/>
              </w:tabs>
              <w:spacing w:line="360" w:lineRule="auto"/>
              <w:jc w:val="both"/>
              <w:rPr>
                <w:rFonts w:ascii="Arial Narrow" w:hAnsi="Arial Narrow" w:cs="Arial"/>
                <w:sz w:val="24"/>
                <w:szCs w:val="24"/>
              </w:rPr>
            </w:pPr>
            <w:r w:rsidRPr="009F42A4">
              <w:rPr>
                <w:rFonts w:ascii="Arial Narrow" w:hAnsi="Arial Narrow" w:cs="Arial"/>
                <w:sz w:val="24"/>
                <w:szCs w:val="24"/>
              </w:rPr>
              <w:t>[5</w:t>
            </w:r>
            <w:r w:rsidR="00401AE4">
              <w:rPr>
                <w:rFonts w:ascii="Arial Narrow" w:hAnsi="Arial Narrow" w:cs="Arial"/>
                <w:sz w:val="24"/>
                <w:szCs w:val="24"/>
              </w:rPr>
              <w:t xml:space="preserve">]       </w:t>
            </w:r>
            <w:r w:rsidR="00820D94" w:rsidRPr="009F42A4">
              <w:rPr>
                <w:rFonts w:ascii="Arial Narrow" w:hAnsi="Arial Narrow" w:cs="Arial"/>
                <w:sz w:val="24"/>
                <w:szCs w:val="24"/>
              </w:rPr>
              <w:t xml:space="preserve">Mr </w:t>
            </w:r>
            <w:proofErr w:type="spellStart"/>
            <w:r w:rsidR="00820D94" w:rsidRPr="009F42A4">
              <w:rPr>
                <w:rFonts w:ascii="Arial Narrow" w:hAnsi="Arial Narrow" w:cs="Arial"/>
                <w:sz w:val="24"/>
                <w:szCs w:val="24"/>
              </w:rPr>
              <w:t>Grobler</w:t>
            </w:r>
            <w:proofErr w:type="spellEnd"/>
            <w:r w:rsidR="00820D94" w:rsidRPr="009F42A4">
              <w:rPr>
                <w:rFonts w:ascii="Arial Narrow" w:hAnsi="Arial Narrow" w:cs="Arial"/>
                <w:sz w:val="24"/>
                <w:szCs w:val="24"/>
              </w:rPr>
              <w:t xml:space="preserve">, counsel for the respondent, on the other hand submitted that when this court made the ruling of 9 September 2019 the court only considered the particulars of claim to which the insurance contract was not attached. The court did not consider the opposing affidavit to the summary judgment application to which the contract was attached to and incorporated in the pleadings. Mr </w:t>
            </w:r>
            <w:proofErr w:type="spellStart"/>
            <w:r w:rsidR="00820D94" w:rsidRPr="009F42A4">
              <w:rPr>
                <w:rFonts w:ascii="Arial Narrow" w:hAnsi="Arial Narrow" w:cs="Arial"/>
                <w:sz w:val="24"/>
                <w:szCs w:val="24"/>
              </w:rPr>
              <w:t>Grobler</w:t>
            </w:r>
            <w:proofErr w:type="spellEnd"/>
            <w:r w:rsidR="00820D94" w:rsidRPr="009F42A4">
              <w:rPr>
                <w:rFonts w:ascii="Arial Narrow" w:hAnsi="Arial Narrow" w:cs="Arial"/>
                <w:sz w:val="24"/>
                <w:szCs w:val="24"/>
              </w:rPr>
              <w:t xml:space="preserve"> submitted that what the respondent simply had to do </w:t>
            </w:r>
            <w:r w:rsidR="00B44D38" w:rsidRPr="009F42A4">
              <w:rPr>
                <w:rFonts w:ascii="Arial Narrow" w:hAnsi="Arial Narrow" w:cs="Arial"/>
                <w:sz w:val="24"/>
                <w:szCs w:val="24"/>
              </w:rPr>
              <w:t>was to refer to</w:t>
            </w:r>
            <w:r w:rsidR="00820D94" w:rsidRPr="009F42A4">
              <w:rPr>
                <w:rFonts w:ascii="Arial Narrow" w:hAnsi="Arial Narrow" w:cs="Arial"/>
                <w:sz w:val="24"/>
                <w:szCs w:val="24"/>
              </w:rPr>
              <w:t xml:space="preserve"> the contract (Annexure DH1) in his amended particulars of claim, which is in compliance with Rule 1 (3) of the Rules of Court to facilitate the resolution </w:t>
            </w:r>
            <w:r w:rsidR="00B44D38" w:rsidRPr="009F42A4">
              <w:rPr>
                <w:rFonts w:ascii="Arial Narrow" w:hAnsi="Arial Narrow" w:cs="Arial"/>
                <w:sz w:val="24"/>
                <w:szCs w:val="24"/>
              </w:rPr>
              <w:t>of the real issues in</w:t>
            </w:r>
            <w:r w:rsidR="00820D94" w:rsidRPr="009F42A4">
              <w:rPr>
                <w:rFonts w:ascii="Arial Narrow" w:hAnsi="Arial Narrow" w:cs="Arial"/>
                <w:sz w:val="24"/>
                <w:szCs w:val="24"/>
              </w:rPr>
              <w:t xml:space="preserve"> a dispute speedily and effectively</w:t>
            </w:r>
            <w:r w:rsidR="00485FB2" w:rsidRPr="009F42A4">
              <w:rPr>
                <w:rFonts w:ascii="Arial Narrow" w:hAnsi="Arial Narrow" w:cs="Arial"/>
                <w:sz w:val="24"/>
                <w:szCs w:val="24"/>
              </w:rPr>
              <w:t>. The respondent</w:t>
            </w:r>
            <w:r w:rsidR="00820D94" w:rsidRPr="009F42A4">
              <w:rPr>
                <w:rFonts w:ascii="Arial Narrow" w:hAnsi="Arial Narrow" w:cs="Arial"/>
                <w:sz w:val="24"/>
                <w:szCs w:val="24"/>
              </w:rPr>
              <w:t xml:space="preserve"> </w:t>
            </w:r>
            <w:r w:rsidR="00B44D38" w:rsidRPr="009F42A4">
              <w:rPr>
                <w:rFonts w:ascii="Arial Narrow" w:hAnsi="Arial Narrow" w:cs="Arial"/>
                <w:sz w:val="24"/>
                <w:szCs w:val="24"/>
              </w:rPr>
              <w:t xml:space="preserve">did </w:t>
            </w:r>
            <w:r w:rsidR="00820D94" w:rsidRPr="009F42A4">
              <w:rPr>
                <w:rFonts w:ascii="Arial Narrow" w:hAnsi="Arial Narrow" w:cs="Arial"/>
                <w:sz w:val="24"/>
                <w:szCs w:val="24"/>
              </w:rPr>
              <w:t xml:space="preserve">not need to attach </w:t>
            </w:r>
            <w:r w:rsidR="00B44D38" w:rsidRPr="009F42A4">
              <w:rPr>
                <w:rFonts w:ascii="Arial Narrow" w:hAnsi="Arial Narrow" w:cs="Arial"/>
                <w:sz w:val="24"/>
                <w:szCs w:val="24"/>
              </w:rPr>
              <w:t>the contract</w:t>
            </w:r>
            <w:r w:rsidR="00820D94" w:rsidRPr="009F42A4">
              <w:rPr>
                <w:rFonts w:ascii="Arial Narrow" w:hAnsi="Arial Narrow" w:cs="Arial"/>
                <w:sz w:val="24"/>
                <w:szCs w:val="24"/>
              </w:rPr>
              <w:t xml:space="preserve"> because to require the </w:t>
            </w:r>
            <w:r w:rsidR="00820D94" w:rsidRPr="009F42A4">
              <w:rPr>
                <w:rFonts w:ascii="Arial Narrow" w:hAnsi="Arial Narrow" w:cs="Arial"/>
                <w:sz w:val="24"/>
                <w:szCs w:val="24"/>
              </w:rPr>
              <w:lastRenderedPageBreak/>
              <w:t>respondent to file a further copy when it already forms part of the pleading</w:t>
            </w:r>
            <w:r w:rsidR="00B44D38" w:rsidRPr="009F42A4">
              <w:rPr>
                <w:rFonts w:ascii="Arial Narrow" w:hAnsi="Arial Narrow" w:cs="Arial"/>
                <w:sz w:val="24"/>
                <w:szCs w:val="24"/>
              </w:rPr>
              <w:t>s</w:t>
            </w:r>
            <w:r w:rsidR="00820D94" w:rsidRPr="009F42A4">
              <w:rPr>
                <w:rFonts w:ascii="Arial Narrow" w:hAnsi="Arial Narrow" w:cs="Arial"/>
                <w:sz w:val="24"/>
                <w:szCs w:val="24"/>
              </w:rPr>
              <w:t xml:space="preserve"> cannot be regarded as compliance with the Rules of Court  </w:t>
            </w:r>
          </w:p>
          <w:p w:rsidR="006000CB" w:rsidRPr="009F42A4" w:rsidRDefault="006000CB" w:rsidP="00DA6472">
            <w:pPr>
              <w:tabs>
                <w:tab w:val="left" w:pos="2085"/>
              </w:tabs>
              <w:spacing w:line="360" w:lineRule="auto"/>
              <w:jc w:val="both"/>
              <w:rPr>
                <w:rFonts w:ascii="Arial Narrow" w:hAnsi="Arial Narrow" w:cs="Arial"/>
                <w:sz w:val="24"/>
                <w:szCs w:val="24"/>
              </w:rPr>
            </w:pPr>
          </w:p>
          <w:p w:rsidR="00C77FF2" w:rsidRPr="009F42A4" w:rsidRDefault="008D728F" w:rsidP="00DA6472">
            <w:pPr>
              <w:tabs>
                <w:tab w:val="left" w:pos="2085"/>
              </w:tabs>
              <w:spacing w:line="360" w:lineRule="auto"/>
              <w:jc w:val="both"/>
              <w:rPr>
                <w:rFonts w:ascii="Arial Narrow" w:hAnsi="Arial Narrow" w:cs="Arial"/>
                <w:sz w:val="24"/>
                <w:szCs w:val="24"/>
              </w:rPr>
            </w:pPr>
            <w:r w:rsidRPr="009F42A4">
              <w:rPr>
                <w:rFonts w:ascii="Arial Narrow" w:hAnsi="Arial Narrow" w:cs="Arial"/>
                <w:sz w:val="24"/>
                <w:szCs w:val="24"/>
              </w:rPr>
              <w:t>[6</w:t>
            </w:r>
            <w:r w:rsidR="00C77FF2" w:rsidRPr="009F42A4">
              <w:rPr>
                <w:rFonts w:ascii="Arial Narrow" w:hAnsi="Arial Narrow" w:cs="Arial"/>
                <w:sz w:val="24"/>
                <w:szCs w:val="24"/>
              </w:rPr>
              <w:t>]</w:t>
            </w:r>
            <w:r w:rsidR="008A107C" w:rsidRPr="009F42A4">
              <w:rPr>
                <w:rFonts w:ascii="Arial Narrow" w:hAnsi="Arial Narrow" w:cs="Arial"/>
                <w:sz w:val="24"/>
                <w:szCs w:val="24"/>
              </w:rPr>
              <w:t xml:space="preserve">     </w:t>
            </w:r>
            <w:r w:rsidR="007619D2" w:rsidRPr="009F42A4">
              <w:rPr>
                <w:rFonts w:ascii="Arial Narrow" w:hAnsi="Arial Narrow" w:cs="Arial"/>
                <w:sz w:val="24"/>
                <w:szCs w:val="24"/>
              </w:rPr>
              <w:t xml:space="preserve">  </w:t>
            </w:r>
            <w:r w:rsidR="00E7735F" w:rsidRPr="009F42A4">
              <w:rPr>
                <w:rFonts w:ascii="Arial Narrow" w:hAnsi="Arial Narrow" w:cs="Arial"/>
                <w:sz w:val="24"/>
                <w:szCs w:val="24"/>
              </w:rPr>
              <w:t xml:space="preserve">In terms of the second exception, counsel submitted that the amendment does not cure the </w:t>
            </w:r>
            <w:r w:rsidR="0090000C" w:rsidRPr="009F42A4">
              <w:rPr>
                <w:rFonts w:ascii="Arial Narrow" w:hAnsi="Arial Narrow" w:cs="Arial"/>
                <w:sz w:val="24"/>
                <w:szCs w:val="24"/>
              </w:rPr>
              <w:t xml:space="preserve">second </w:t>
            </w:r>
            <w:r w:rsidR="00E7735F" w:rsidRPr="009F42A4">
              <w:rPr>
                <w:rFonts w:ascii="Arial Narrow" w:hAnsi="Arial Narrow" w:cs="Arial"/>
                <w:sz w:val="24"/>
                <w:szCs w:val="24"/>
              </w:rPr>
              <w:t xml:space="preserve">exception that was upheld </w:t>
            </w:r>
            <w:r w:rsidR="009B0019" w:rsidRPr="009F42A4">
              <w:rPr>
                <w:rFonts w:ascii="Arial Narrow" w:hAnsi="Arial Narrow" w:cs="Arial"/>
                <w:sz w:val="24"/>
                <w:szCs w:val="24"/>
              </w:rPr>
              <w:t xml:space="preserve">in the ruling </w:t>
            </w:r>
            <w:r w:rsidR="00E7735F" w:rsidRPr="009F42A4">
              <w:rPr>
                <w:rFonts w:ascii="Arial Narrow" w:hAnsi="Arial Narrow" w:cs="Arial"/>
                <w:sz w:val="24"/>
                <w:szCs w:val="24"/>
              </w:rPr>
              <w:t>as the respondent failed to</w:t>
            </w:r>
            <w:r w:rsidR="004F4445" w:rsidRPr="009F42A4">
              <w:rPr>
                <w:rFonts w:ascii="Arial Narrow" w:hAnsi="Arial Narrow" w:cs="Arial"/>
                <w:sz w:val="24"/>
                <w:szCs w:val="24"/>
              </w:rPr>
              <w:t xml:space="preserve"> once again</w:t>
            </w:r>
            <w:r w:rsidR="00E7735F" w:rsidRPr="009F42A4">
              <w:rPr>
                <w:rFonts w:ascii="Arial Narrow" w:hAnsi="Arial Narrow" w:cs="Arial"/>
                <w:sz w:val="24"/>
                <w:szCs w:val="24"/>
              </w:rPr>
              <w:t xml:space="preserve"> plead the ‘terms, conditions and exclusion’</w:t>
            </w:r>
            <w:r w:rsidR="009B0019" w:rsidRPr="009F42A4">
              <w:rPr>
                <w:rFonts w:ascii="Arial Narrow" w:hAnsi="Arial Narrow" w:cs="Arial"/>
                <w:sz w:val="24"/>
                <w:szCs w:val="24"/>
              </w:rPr>
              <w:t xml:space="preserve"> and</w:t>
            </w:r>
            <w:r w:rsidR="00846F57" w:rsidRPr="009F42A4">
              <w:rPr>
                <w:rFonts w:ascii="Arial Narrow" w:hAnsi="Arial Narrow" w:cs="Arial"/>
                <w:sz w:val="24"/>
                <w:szCs w:val="24"/>
              </w:rPr>
              <w:t xml:space="preserve"> the policy contract relied upon</w:t>
            </w:r>
            <w:r w:rsidR="009B0019" w:rsidRPr="009F42A4">
              <w:rPr>
                <w:rFonts w:ascii="Arial Narrow" w:hAnsi="Arial Narrow" w:cs="Arial"/>
                <w:sz w:val="24"/>
                <w:szCs w:val="24"/>
              </w:rPr>
              <w:t xml:space="preserve"> is also not</w:t>
            </w:r>
            <w:r w:rsidR="00846F57" w:rsidRPr="009F42A4">
              <w:rPr>
                <w:rFonts w:ascii="Arial Narrow" w:hAnsi="Arial Narrow" w:cs="Arial"/>
                <w:sz w:val="24"/>
                <w:szCs w:val="24"/>
              </w:rPr>
              <w:t xml:space="preserve"> attached. T</w:t>
            </w:r>
            <w:r w:rsidR="00E7735F" w:rsidRPr="009F42A4">
              <w:rPr>
                <w:rFonts w:ascii="Arial Narrow" w:hAnsi="Arial Narrow" w:cs="Arial"/>
                <w:sz w:val="24"/>
                <w:szCs w:val="24"/>
              </w:rPr>
              <w:t>he applicant is</w:t>
            </w:r>
            <w:r w:rsidR="00846F57" w:rsidRPr="009F42A4">
              <w:rPr>
                <w:rFonts w:ascii="Arial Narrow" w:hAnsi="Arial Narrow" w:cs="Arial"/>
                <w:sz w:val="24"/>
                <w:szCs w:val="24"/>
              </w:rPr>
              <w:t xml:space="preserve"> therefore</w:t>
            </w:r>
            <w:r w:rsidR="00E7735F" w:rsidRPr="009F42A4">
              <w:rPr>
                <w:rFonts w:ascii="Arial Narrow" w:hAnsi="Arial Narrow" w:cs="Arial"/>
                <w:sz w:val="24"/>
                <w:szCs w:val="24"/>
              </w:rPr>
              <w:t xml:space="preserve"> unable to ascertain those terms, conditions and exclusions relied upon</w:t>
            </w:r>
            <w:r w:rsidR="00846F57" w:rsidRPr="009F42A4">
              <w:rPr>
                <w:rFonts w:ascii="Arial Narrow" w:hAnsi="Arial Narrow" w:cs="Arial"/>
                <w:sz w:val="24"/>
                <w:szCs w:val="24"/>
              </w:rPr>
              <w:t xml:space="preserve">, which results in </w:t>
            </w:r>
            <w:r w:rsidR="00E7735F" w:rsidRPr="009F42A4">
              <w:rPr>
                <w:rFonts w:ascii="Arial Narrow" w:hAnsi="Arial Narrow" w:cs="Arial"/>
                <w:sz w:val="24"/>
                <w:szCs w:val="24"/>
              </w:rPr>
              <w:t>the particulars of claim remain</w:t>
            </w:r>
            <w:r w:rsidR="00846F57" w:rsidRPr="009F42A4">
              <w:rPr>
                <w:rFonts w:ascii="Arial Narrow" w:hAnsi="Arial Narrow" w:cs="Arial"/>
                <w:sz w:val="24"/>
                <w:szCs w:val="24"/>
              </w:rPr>
              <w:t>ing</w:t>
            </w:r>
            <w:r w:rsidR="00E7735F" w:rsidRPr="009F42A4">
              <w:rPr>
                <w:rFonts w:ascii="Arial Narrow" w:hAnsi="Arial Narrow" w:cs="Arial"/>
                <w:sz w:val="24"/>
                <w:szCs w:val="24"/>
              </w:rPr>
              <w:t xml:space="preserve"> vague and embarrassing. </w:t>
            </w:r>
            <w:r w:rsidR="00DD64C9" w:rsidRPr="009F42A4">
              <w:rPr>
                <w:rFonts w:ascii="Arial Narrow" w:hAnsi="Arial Narrow" w:cs="Arial"/>
                <w:sz w:val="24"/>
                <w:szCs w:val="24"/>
              </w:rPr>
              <w:t>Counsel refer</w:t>
            </w:r>
            <w:r w:rsidR="002540FE" w:rsidRPr="009F42A4">
              <w:rPr>
                <w:rFonts w:ascii="Arial Narrow" w:hAnsi="Arial Narrow" w:cs="Arial"/>
                <w:sz w:val="24"/>
                <w:szCs w:val="24"/>
              </w:rPr>
              <w:t xml:space="preserve">red the Court to para 32 of the </w:t>
            </w:r>
            <w:r w:rsidR="00DD64C9" w:rsidRPr="009F42A4">
              <w:rPr>
                <w:rFonts w:ascii="Arial Narrow" w:hAnsi="Arial Narrow" w:cs="Arial"/>
                <w:sz w:val="24"/>
                <w:szCs w:val="24"/>
              </w:rPr>
              <w:t xml:space="preserve">ruling. </w:t>
            </w:r>
          </w:p>
          <w:p w:rsidR="008D728F" w:rsidRPr="009F42A4" w:rsidRDefault="008D728F" w:rsidP="00DA6472">
            <w:pPr>
              <w:tabs>
                <w:tab w:val="left" w:pos="2085"/>
              </w:tabs>
              <w:spacing w:line="360" w:lineRule="auto"/>
              <w:jc w:val="both"/>
              <w:rPr>
                <w:rFonts w:ascii="Arial Narrow" w:hAnsi="Arial Narrow" w:cs="Arial"/>
                <w:sz w:val="24"/>
                <w:szCs w:val="24"/>
              </w:rPr>
            </w:pPr>
          </w:p>
          <w:p w:rsidR="008D728F" w:rsidRPr="009F42A4" w:rsidRDefault="008D728F" w:rsidP="00DA6472">
            <w:pPr>
              <w:tabs>
                <w:tab w:val="left" w:pos="2085"/>
              </w:tabs>
              <w:spacing w:line="360" w:lineRule="auto"/>
              <w:jc w:val="both"/>
              <w:rPr>
                <w:rFonts w:ascii="Arial Narrow" w:hAnsi="Arial Narrow" w:cs="Arial"/>
                <w:sz w:val="24"/>
                <w:szCs w:val="24"/>
              </w:rPr>
            </w:pPr>
            <w:r w:rsidRPr="009F42A4">
              <w:rPr>
                <w:rFonts w:ascii="Arial Narrow" w:hAnsi="Arial Narrow" w:cs="Arial"/>
                <w:sz w:val="24"/>
                <w:szCs w:val="24"/>
              </w:rPr>
              <w:t xml:space="preserve">[7]      </w:t>
            </w:r>
            <w:r w:rsidR="00401AE4">
              <w:rPr>
                <w:rFonts w:ascii="Arial Narrow" w:hAnsi="Arial Narrow" w:cs="Arial"/>
                <w:sz w:val="24"/>
                <w:szCs w:val="24"/>
              </w:rPr>
              <w:t xml:space="preserve">    </w:t>
            </w:r>
            <w:r w:rsidR="009B0019" w:rsidRPr="009F42A4">
              <w:rPr>
                <w:rFonts w:ascii="Arial Narrow" w:hAnsi="Arial Narrow" w:cs="Arial"/>
                <w:sz w:val="24"/>
                <w:szCs w:val="24"/>
              </w:rPr>
              <w:t xml:space="preserve">On this issue </w:t>
            </w:r>
            <w:r w:rsidRPr="009F42A4">
              <w:rPr>
                <w:rFonts w:ascii="Arial Narrow" w:hAnsi="Arial Narrow" w:cs="Arial"/>
                <w:sz w:val="24"/>
                <w:szCs w:val="24"/>
              </w:rPr>
              <w:t xml:space="preserve">Mr </w:t>
            </w:r>
            <w:proofErr w:type="spellStart"/>
            <w:r w:rsidRPr="009F42A4">
              <w:rPr>
                <w:rFonts w:ascii="Arial Narrow" w:hAnsi="Arial Narrow" w:cs="Arial"/>
                <w:sz w:val="24"/>
                <w:szCs w:val="24"/>
              </w:rPr>
              <w:t>Grobler</w:t>
            </w:r>
            <w:proofErr w:type="spellEnd"/>
            <w:r w:rsidRPr="009F42A4">
              <w:rPr>
                <w:rFonts w:ascii="Arial Narrow" w:hAnsi="Arial Narrow" w:cs="Arial"/>
                <w:sz w:val="24"/>
                <w:szCs w:val="24"/>
              </w:rPr>
              <w:t xml:space="preserve"> submits that the same argument raised in reply to the first and fourth exception should similarly be applied to the second exception.  </w:t>
            </w:r>
          </w:p>
          <w:p w:rsidR="0015050A" w:rsidRPr="009F42A4" w:rsidRDefault="0015050A" w:rsidP="00DA6472">
            <w:pPr>
              <w:tabs>
                <w:tab w:val="left" w:pos="2085"/>
              </w:tabs>
              <w:spacing w:line="360" w:lineRule="auto"/>
              <w:jc w:val="both"/>
              <w:rPr>
                <w:rFonts w:ascii="Arial Narrow" w:hAnsi="Arial Narrow" w:cs="Arial"/>
                <w:sz w:val="24"/>
                <w:szCs w:val="24"/>
              </w:rPr>
            </w:pPr>
          </w:p>
          <w:p w:rsidR="00C65157" w:rsidRPr="009F42A4" w:rsidRDefault="008D728F" w:rsidP="00DA6472">
            <w:pPr>
              <w:tabs>
                <w:tab w:val="left" w:pos="1590"/>
              </w:tabs>
              <w:spacing w:line="360" w:lineRule="auto"/>
              <w:jc w:val="both"/>
              <w:rPr>
                <w:rFonts w:ascii="Arial Narrow" w:hAnsi="Arial Narrow" w:cs="Arial"/>
                <w:sz w:val="24"/>
                <w:szCs w:val="24"/>
              </w:rPr>
            </w:pPr>
            <w:r w:rsidRPr="009F42A4">
              <w:rPr>
                <w:rFonts w:ascii="Arial Narrow" w:hAnsi="Arial Narrow" w:cs="Arial"/>
                <w:sz w:val="24"/>
                <w:szCs w:val="24"/>
              </w:rPr>
              <w:t>[8</w:t>
            </w:r>
            <w:r w:rsidR="00C65157" w:rsidRPr="009F42A4">
              <w:rPr>
                <w:rFonts w:ascii="Arial Narrow" w:hAnsi="Arial Narrow" w:cs="Arial"/>
                <w:sz w:val="24"/>
                <w:szCs w:val="24"/>
              </w:rPr>
              <w:t xml:space="preserve">]     </w:t>
            </w:r>
            <w:r w:rsidR="00401AE4">
              <w:rPr>
                <w:rFonts w:ascii="Arial Narrow" w:hAnsi="Arial Narrow" w:cs="Arial"/>
                <w:sz w:val="24"/>
                <w:szCs w:val="24"/>
              </w:rPr>
              <w:t xml:space="preserve">     </w:t>
            </w:r>
            <w:r w:rsidR="004F4445" w:rsidRPr="009F42A4">
              <w:rPr>
                <w:rFonts w:ascii="Arial Narrow" w:hAnsi="Arial Narrow" w:cs="Arial"/>
                <w:sz w:val="24"/>
                <w:szCs w:val="24"/>
              </w:rPr>
              <w:t>In respect of the third ground of exception</w:t>
            </w:r>
            <w:r w:rsidR="0022393D" w:rsidRPr="009F42A4">
              <w:rPr>
                <w:rFonts w:ascii="Arial Narrow" w:hAnsi="Arial Narrow" w:cs="Arial"/>
                <w:sz w:val="24"/>
                <w:szCs w:val="24"/>
              </w:rPr>
              <w:t>,</w:t>
            </w:r>
            <w:r w:rsidR="004F4445" w:rsidRPr="009F42A4">
              <w:rPr>
                <w:rFonts w:ascii="Arial Narrow" w:hAnsi="Arial Narrow" w:cs="Arial"/>
                <w:sz w:val="24"/>
                <w:szCs w:val="24"/>
              </w:rPr>
              <w:t xml:space="preserve"> c</w:t>
            </w:r>
            <w:r w:rsidRPr="009F42A4">
              <w:rPr>
                <w:rFonts w:ascii="Arial Narrow" w:hAnsi="Arial Narrow" w:cs="Arial"/>
                <w:sz w:val="24"/>
                <w:szCs w:val="24"/>
              </w:rPr>
              <w:t xml:space="preserve">ounsel </w:t>
            </w:r>
            <w:r w:rsidR="0020080A" w:rsidRPr="009F42A4">
              <w:rPr>
                <w:rFonts w:ascii="Arial Narrow" w:hAnsi="Arial Narrow" w:cs="Arial"/>
                <w:sz w:val="24"/>
                <w:szCs w:val="24"/>
              </w:rPr>
              <w:t xml:space="preserve">for the applicant </w:t>
            </w:r>
            <w:r w:rsidRPr="009F42A4">
              <w:rPr>
                <w:rFonts w:ascii="Arial Narrow" w:hAnsi="Arial Narrow" w:cs="Arial"/>
                <w:sz w:val="24"/>
                <w:szCs w:val="24"/>
              </w:rPr>
              <w:t>submits</w:t>
            </w:r>
            <w:r w:rsidR="009C7087" w:rsidRPr="009F42A4">
              <w:rPr>
                <w:rFonts w:ascii="Arial Narrow" w:hAnsi="Arial Narrow" w:cs="Arial"/>
                <w:sz w:val="24"/>
                <w:szCs w:val="24"/>
              </w:rPr>
              <w:t xml:space="preserve"> that</w:t>
            </w:r>
            <w:r w:rsidR="002533E4" w:rsidRPr="009F42A4">
              <w:rPr>
                <w:rFonts w:ascii="Arial Narrow" w:hAnsi="Arial Narrow" w:cs="Arial"/>
                <w:sz w:val="24"/>
                <w:szCs w:val="24"/>
              </w:rPr>
              <w:t xml:space="preserve"> the amendments fail to cure the previously raised exception </w:t>
            </w:r>
            <w:r w:rsidR="001E5460" w:rsidRPr="009F42A4">
              <w:rPr>
                <w:rFonts w:ascii="Arial Narrow" w:hAnsi="Arial Narrow" w:cs="Arial"/>
                <w:sz w:val="24"/>
                <w:szCs w:val="24"/>
              </w:rPr>
              <w:t xml:space="preserve">in that it fails to </w:t>
            </w:r>
            <w:r w:rsidR="002533E4" w:rsidRPr="009F42A4">
              <w:rPr>
                <w:rFonts w:ascii="Arial Narrow" w:hAnsi="Arial Narrow" w:cs="Arial"/>
                <w:sz w:val="24"/>
                <w:szCs w:val="24"/>
              </w:rPr>
              <w:t>clarify why the cancellation of the agreement between the respondent and appellant amounted to a breach and whether the alleged breach and/or repudiation is accepted by the plaintiff.</w:t>
            </w:r>
            <w:r w:rsidR="00A241EF" w:rsidRPr="009F42A4">
              <w:rPr>
                <w:rFonts w:ascii="Arial Narrow" w:hAnsi="Arial Narrow" w:cs="Arial"/>
                <w:sz w:val="24"/>
                <w:szCs w:val="24"/>
              </w:rPr>
              <w:t xml:space="preserve"> </w:t>
            </w:r>
            <w:r w:rsidR="002540FE" w:rsidRPr="009F42A4">
              <w:rPr>
                <w:rFonts w:ascii="Arial Narrow" w:hAnsi="Arial Narrow" w:cs="Arial"/>
                <w:sz w:val="24"/>
                <w:szCs w:val="24"/>
              </w:rPr>
              <w:t>Counsel</w:t>
            </w:r>
            <w:r w:rsidR="003C5C10" w:rsidRPr="009F42A4">
              <w:rPr>
                <w:rFonts w:ascii="Arial Narrow" w:hAnsi="Arial Narrow" w:cs="Arial"/>
                <w:sz w:val="24"/>
                <w:szCs w:val="24"/>
              </w:rPr>
              <w:t xml:space="preserve"> </w:t>
            </w:r>
            <w:r w:rsidR="00A95537" w:rsidRPr="009F42A4">
              <w:rPr>
                <w:rFonts w:ascii="Arial Narrow" w:hAnsi="Arial Narrow" w:cs="Arial"/>
                <w:sz w:val="24"/>
                <w:szCs w:val="24"/>
              </w:rPr>
              <w:t xml:space="preserve">further argues that it is not clear from the amended particulars as to what the respondent is seeking. Counsel </w:t>
            </w:r>
            <w:r w:rsidR="003C5C10" w:rsidRPr="009F42A4">
              <w:rPr>
                <w:rFonts w:ascii="Arial Narrow" w:hAnsi="Arial Narrow" w:cs="Arial"/>
                <w:sz w:val="24"/>
                <w:szCs w:val="24"/>
              </w:rPr>
              <w:t xml:space="preserve">referred the Court to para 35 of the ruling whereby the Court held that it was unclear from the particulars of claim whether the respondent is claiming specific performance or whether he accepted the alleged breach and now claims damages. </w:t>
            </w:r>
          </w:p>
          <w:p w:rsidR="008D728F" w:rsidRPr="009F42A4" w:rsidRDefault="008D728F" w:rsidP="00DA6472">
            <w:pPr>
              <w:tabs>
                <w:tab w:val="left" w:pos="1590"/>
              </w:tabs>
              <w:spacing w:line="360" w:lineRule="auto"/>
              <w:jc w:val="both"/>
              <w:rPr>
                <w:rFonts w:ascii="Arial Narrow" w:hAnsi="Arial Narrow" w:cs="Arial"/>
                <w:sz w:val="24"/>
                <w:szCs w:val="24"/>
              </w:rPr>
            </w:pPr>
          </w:p>
          <w:p w:rsidR="008D728F" w:rsidRPr="009F42A4" w:rsidRDefault="008D728F" w:rsidP="00DA6472">
            <w:pPr>
              <w:tabs>
                <w:tab w:val="left" w:pos="1590"/>
              </w:tabs>
              <w:spacing w:line="360" w:lineRule="auto"/>
              <w:jc w:val="both"/>
              <w:rPr>
                <w:rFonts w:ascii="Arial Narrow" w:hAnsi="Arial Narrow" w:cs="Arial"/>
                <w:sz w:val="24"/>
                <w:szCs w:val="24"/>
              </w:rPr>
            </w:pPr>
            <w:r w:rsidRPr="009F42A4">
              <w:rPr>
                <w:rFonts w:ascii="Arial Narrow" w:hAnsi="Arial Narrow" w:cs="Arial"/>
                <w:sz w:val="24"/>
                <w:szCs w:val="24"/>
              </w:rPr>
              <w:t xml:space="preserve">[9]      </w:t>
            </w:r>
            <w:r w:rsidR="00401AE4">
              <w:rPr>
                <w:rFonts w:ascii="Arial Narrow" w:hAnsi="Arial Narrow" w:cs="Arial"/>
                <w:sz w:val="24"/>
                <w:szCs w:val="24"/>
              </w:rPr>
              <w:t xml:space="preserve">    </w:t>
            </w:r>
            <w:r w:rsidR="00225388" w:rsidRPr="009F42A4">
              <w:rPr>
                <w:rFonts w:ascii="Arial Narrow" w:hAnsi="Arial Narrow" w:cs="Arial"/>
                <w:sz w:val="24"/>
                <w:szCs w:val="24"/>
              </w:rPr>
              <w:t xml:space="preserve">Mr </w:t>
            </w:r>
            <w:proofErr w:type="spellStart"/>
            <w:r w:rsidR="00225388" w:rsidRPr="009F42A4">
              <w:rPr>
                <w:rFonts w:ascii="Arial Narrow" w:hAnsi="Arial Narrow" w:cs="Arial"/>
                <w:sz w:val="24"/>
                <w:szCs w:val="24"/>
              </w:rPr>
              <w:t>Grobler</w:t>
            </w:r>
            <w:proofErr w:type="spellEnd"/>
            <w:r w:rsidR="00225388" w:rsidRPr="009F42A4">
              <w:rPr>
                <w:rFonts w:ascii="Arial Narrow" w:hAnsi="Arial Narrow" w:cs="Arial"/>
                <w:sz w:val="24"/>
                <w:szCs w:val="24"/>
              </w:rPr>
              <w:t xml:space="preserve"> is however</w:t>
            </w:r>
            <w:r w:rsidRPr="009F42A4">
              <w:rPr>
                <w:rFonts w:ascii="Arial Narrow" w:hAnsi="Arial Narrow" w:cs="Arial"/>
                <w:sz w:val="24"/>
                <w:szCs w:val="24"/>
              </w:rPr>
              <w:t xml:space="preserve"> of the view that</w:t>
            </w:r>
            <w:r w:rsidR="00225388" w:rsidRPr="009F42A4">
              <w:rPr>
                <w:rFonts w:ascii="Arial Narrow" w:hAnsi="Arial Narrow" w:cs="Arial"/>
                <w:sz w:val="24"/>
                <w:szCs w:val="24"/>
              </w:rPr>
              <w:t xml:space="preserve"> the amended particulars clearly sets out the facts on which he relies for his claim</w:t>
            </w:r>
            <w:r w:rsidR="006708C6" w:rsidRPr="009F42A4">
              <w:rPr>
                <w:rFonts w:ascii="Arial Narrow" w:hAnsi="Arial Narrow" w:cs="Arial"/>
                <w:sz w:val="24"/>
                <w:szCs w:val="24"/>
              </w:rPr>
              <w:t>,</w:t>
            </w:r>
            <w:r w:rsidR="00225388" w:rsidRPr="009F42A4">
              <w:rPr>
                <w:rFonts w:ascii="Arial Narrow" w:hAnsi="Arial Narrow" w:cs="Arial"/>
                <w:sz w:val="24"/>
                <w:szCs w:val="24"/>
              </w:rPr>
              <w:t xml:space="preserve"> in that the applicant is liable to indemnify the respondent for his legal expenses that he himself paid to his </w:t>
            </w:r>
            <w:r w:rsidR="006708C6" w:rsidRPr="009F42A4">
              <w:rPr>
                <w:rFonts w:ascii="Arial Narrow" w:hAnsi="Arial Narrow" w:cs="Arial"/>
                <w:sz w:val="24"/>
                <w:szCs w:val="24"/>
              </w:rPr>
              <w:t>then counsel</w:t>
            </w:r>
            <w:r w:rsidR="00225388" w:rsidRPr="009F42A4">
              <w:rPr>
                <w:rFonts w:ascii="Arial Narrow" w:hAnsi="Arial Narrow" w:cs="Arial"/>
                <w:sz w:val="24"/>
                <w:szCs w:val="24"/>
              </w:rPr>
              <w:t>.</w:t>
            </w:r>
            <w:r w:rsidR="006708C6" w:rsidRPr="009F42A4">
              <w:rPr>
                <w:rFonts w:ascii="Arial Narrow" w:hAnsi="Arial Narrow" w:cs="Arial"/>
                <w:sz w:val="24"/>
                <w:szCs w:val="24"/>
              </w:rPr>
              <w:t xml:space="preserve"> Counsel admits that he does not claim damages nor specific performance, but submits that his claim is based on indemnification. </w:t>
            </w:r>
            <w:r w:rsidR="00225388" w:rsidRPr="009F42A4">
              <w:rPr>
                <w:rFonts w:ascii="Arial Narrow" w:hAnsi="Arial Narrow" w:cs="Arial"/>
                <w:sz w:val="24"/>
                <w:szCs w:val="24"/>
              </w:rPr>
              <w:t xml:space="preserve"> </w:t>
            </w:r>
            <w:r w:rsidRPr="009F42A4">
              <w:rPr>
                <w:rFonts w:ascii="Arial Narrow" w:hAnsi="Arial Narrow" w:cs="Arial"/>
                <w:sz w:val="24"/>
                <w:szCs w:val="24"/>
              </w:rPr>
              <w:t xml:space="preserve">  </w:t>
            </w:r>
          </w:p>
          <w:p w:rsidR="008B6695" w:rsidRPr="009F42A4" w:rsidRDefault="008B6695" w:rsidP="00DA6472">
            <w:pPr>
              <w:tabs>
                <w:tab w:val="left" w:pos="2085"/>
              </w:tabs>
              <w:spacing w:line="360" w:lineRule="auto"/>
              <w:jc w:val="both"/>
              <w:rPr>
                <w:rFonts w:ascii="Arial Narrow" w:hAnsi="Arial Narrow" w:cs="Arial"/>
                <w:sz w:val="24"/>
                <w:szCs w:val="24"/>
              </w:rPr>
            </w:pPr>
          </w:p>
          <w:p w:rsidR="008B6695" w:rsidRPr="009F42A4" w:rsidRDefault="00810A49" w:rsidP="00DA6472">
            <w:pPr>
              <w:tabs>
                <w:tab w:val="left" w:pos="2085"/>
              </w:tabs>
              <w:spacing w:line="360" w:lineRule="auto"/>
              <w:jc w:val="both"/>
              <w:rPr>
                <w:rFonts w:ascii="Arial Narrow" w:hAnsi="Arial Narrow" w:cs="Arial"/>
                <w:sz w:val="24"/>
                <w:szCs w:val="24"/>
              </w:rPr>
            </w:pPr>
            <w:r w:rsidRPr="009F42A4">
              <w:rPr>
                <w:rFonts w:ascii="Arial Narrow" w:hAnsi="Arial Narrow" w:cs="Arial"/>
                <w:sz w:val="24"/>
                <w:szCs w:val="24"/>
              </w:rPr>
              <w:t>[10</w:t>
            </w:r>
            <w:r w:rsidR="008B6695" w:rsidRPr="009F42A4">
              <w:rPr>
                <w:rFonts w:ascii="Arial Narrow" w:hAnsi="Arial Narrow" w:cs="Arial"/>
                <w:sz w:val="24"/>
                <w:szCs w:val="24"/>
              </w:rPr>
              <w:t xml:space="preserve">]     </w:t>
            </w:r>
            <w:r w:rsidR="00401AE4">
              <w:rPr>
                <w:rFonts w:ascii="Arial Narrow" w:hAnsi="Arial Narrow" w:cs="Arial"/>
                <w:sz w:val="24"/>
                <w:szCs w:val="24"/>
              </w:rPr>
              <w:t xml:space="preserve">   </w:t>
            </w:r>
            <w:r w:rsidR="00932983" w:rsidRPr="009F42A4">
              <w:rPr>
                <w:rFonts w:ascii="Arial Narrow" w:hAnsi="Arial Narrow" w:cs="Arial"/>
                <w:sz w:val="24"/>
                <w:szCs w:val="24"/>
              </w:rPr>
              <w:t>In respect of the fifth</w:t>
            </w:r>
            <w:r w:rsidR="003C5C10" w:rsidRPr="009F42A4">
              <w:rPr>
                <w:rFonts w:ascii="Arial Narrow" w:hAnsi="Arial Narrow" w:cs="Arial"/>
                <w:sz w:val="24"/>
                <w:szCs w:val="24"/>
              </w:rPr>
              <w:t xml:space="preserve"> ground of exception</w:t>
            </w:r>
            <w:r w:rsidR="009E08BC" w:rsidRPr="009F42A4">
              <w:rPr>
                <w:rFonts w:ascii="Arial Narrow" w:hAnsi="Arial Narrow" w:cs="Arial"/>
                <w:sz w:val="24"/>
                <w:szCs w:val="24"/>
              </w:rPr>
              <w:t>,</w:t>
            </w:r>
            <w:r w:rsidR="003C5C10" w:rsidRPr="009F42A4">
              <w:rPr>
                <w:rFonts w:ascii="Arial Narrow" w:hAnsi="Arial Narrow" w:cs="Arial"/>
                <w:sz w:val="24"/>
                <w:szCs w:val="24"/>
              </w:rPr>
              <w:t xml:space="preserve"> </w:t>
            </w:r>
            <w:r w:rsidR="008D728F" w:rsidRPr="009F42A4">
              <w:rPr>
                <w:rFonts w:ascii="Arial Narrow" w:hAnsi="Arial Narrow" w:cs="Arial"/>
                <w:sz w:val="24"/>
                <w:szCs w:val="24"/>
              </w:rPr>
              <w:t xml:space="preserve">counsel </w:t>
            </w:r>
            <w:r w:rsidR="0020080A" w:rsidRPr="009F42A4">
              <w:rPr>
                <w:rFonts w:ascii="Arial Narrow" w:hAnsi="Arial Narrow" w:cs="Arial"/>
                <w:sz w:val="24"/>
                <w:szCs w:val="24"/>
              </w:rPr>
              <w:t xml:space="preserve">for the applicant </w:t>
            </w:r>
            <w:r w:rsidR="008D728F" w:rsidRPr="009F42A4">
              <w:rPr>
                <w:rFonts w:ascii="Arial Narrow" w:hAnsi="Arial Narrow" w:cs="Arial"/>
                <w:sz w:val="24"/>
                <w:szCs w:val="24"/>
              </w:rPr>
              <w:t>submits</w:t>
            </w:r>
            <w:r w:rsidR="004B6592" w:rsidRPr="009F42A4">
              <w:rPr>
                <w:rFonts w:ascii="Arial Narrow" w:hAnsi="Arial Narrow" w:cs="Arial"/>
                <w:sz w:val="24"/>
                <w:szCs w:val="24"/>
              </w:rPr>
              <w:t xml:space="preserve"> that </w:t>
            </w:r>
            <w:r w:rsidR="006B6ECB" w:rsidRPr="009F42A4">
              <w:rPr>
                <w:rFonts w:ascii="Arial Narrow" w:hAnsi="Arial Narrow" w:cs="Arial"/>
                <w:sz w:val="24"/>
                <w:szCs w:val="24"/>
              </w:rPr>
              <w:t xml:space="preserve">the phases now being introduced by the amendment (‘phase 5’ and ‘phase 6’) does not sustain the respondent’s claim because ‘Annexure A’ </w:t>
            </w:r>
            <w:r w:rsidR="009E08BC" w:rsidRPr="009F42A4">
              <w:rPr>
                <w:rFonts w:ascii="Arial Narrow" w:hAnsi="Arial Narrow" w:cs="Arial"/>
                <w:sz w:val="24"/>
                <w:szCs w:val="24"/>
              </w:rPr>
              <w:t xml:space="preserve">(written mandate) </w:t>
            </w:r>
            <w:r w:rsidR="006B6ECB" w:rsidRPr="009F42A4">
              <w:rPr>
                <w:rFonts w:ascii="Arial Narrow" w:hAnsi="Arial Narrow" w:cs="Arial"/>
                <w:sz w:val="24"/>
                <w:szCs w:val="24"/>
              </w:rPr>
              <w:t>that is attached to the particulars of claim</w:t>
            </w:r>
            <w:r w:rsidR="009E08BC" w:rsidRPr="009F42A4">
              <w:rPr>
                <w:rFonts w:ascii="Arial Narrow" w:hAnsi="Arial Narrow" w:cs="Arial"/>
                <w:sz w:val="24"/>
                <w:szCs w:val="24"/>
              </w:rPr>
              <w:t xml:space="preserve"> is limited to </w:t>
            </w:r>
            <w:r w:rsidR="002540FE" w:rsidRPr="009F42A4">
              <w:rPr>
                <w:rFonts w:ascii="Arial Narrow" w:hAnsi="Arial Narrow" w:cs="Arial"/>
                <w:sz w:val="24"/>
                <w:szCs w:val="24"/>
              </w:rPr>
              <w:t>‘</w:t>
            </w:r>
            <w:r w:rsidR="009E08BC" w:rsidRPr="009F42A4">
              <w:rPr>
                <w:rFonts w:ascii="Arial Narrow" w:hAnsi="Arial Narrow" w:cs="Arial"/>
                <w:sz w:val="24"/>
                <w:szCs w:val="24"/>
              </w:rPr>
              <w:t>phase 2</w:t>
            </w:r>
            <w:r w:rsidR="002540FE" w:rsidRPr="009F42A4">
              <w:rPr>
                <w:rFonts w:ascii="Arial Narrow" w:hAnsi="Arial Narrow" w:cs="Arial"/>
                <w:sz w:val="24"/>
                <w:szCs w:val="24"/>
              </w:rPr>
              <w:t>’</w:t>
            </w:r>
            <w:r w:rsidR="009E08BC" w:rsidRPr="009F42A4">
              <w:rPr>
                <w:rFonts w:ascii="Arial Narrow" w:hAnsi="Arial Narrow" w:cs="Arial"/>
                <w:sz w:val="24"/>
                <w:szCs w:val="24"/>
              </w:rPr>
              <w:t>.</w:t>
            </w:r>
            <w:r w:rsidR="00DA73EC" w:rsidRPr="009F42A4">
              <w:rPr>
                <w:rFonts w:ascii="Arial Narrow" w:hAnsi="Arial Narrow" w:cs="Arial"/>
                <w:sz w:val="24"/>
                <w:szCs w:val="24"/>
              </w:rPr>
              <w:t xml:space="preserve"> </w:t>
            </w:r>
            <w:r w:rsidR="009E08BC" w:rsidRPr="009F42A4">
              <w:rPr>
                <w:rFonts w:ascii="Arial Narrow" w:hAnsi="Arial Narrow" w:cs="Arial"/>
                <w:sz w:val="24"/>
                <w:szCs w:val="24"/>
              </w:rPr>
              <w:t>Counsel referred the Court to para 38 of the ruling</w:t>
            </w:r>
            <w:r w:rsidR="002540FE" w:rsidRPr="009F42A4">
              <w:rPr>
                <w:rFonts w:ascii="Arial Narrow" w:hAnsi="Arial Narrow" w:cs="Arial"/>
                <w:sz w:val="24"/>
                <w:szCs w:val="24"/>
              </w:rPr>
              <w:t xml:space="preserve"> and further submitted that </w:t>
            </w:r>
            <w:r w:rsidR="008945B4" w:rsidRPr="009F42A4">
              <w:rPr>
                <w:rFonts w:ascii="Arial Narrow" w:hAnsi="Arial Narrow" w:cs="Arial"/>
                <w:sz w:val="24"/>
                <w:szCs w:val="24"/>
              </w:rPr>
              <w:t>in light of the amendment, the particulars of claim still remain vague and embarrassing as it contradicts ‘Annexure A’</w:t>
            </w:r>
            <w:r w:rsidR="00BA66AA" w:rsidRPr="009F42A4">
              <w:rPr>
                <w:rFonts w:ascii="Arial Narrow" w:hAnsi="Arial Narrow" w:cs="Arial"/>
                <w:sz w:val="24"/>
                <w:szCs w:val="24"/>
              </w:rPr>
              <w:t xml:space="preserve"> as the basis for cla</w:t>
            </w:r>
            <w:r w:rsidR="002540FE" w:rsidRPr="009F42A4">
              <w:rPr>
                <w:rFonts w:ascii="Arial Narrow" w:hAnsi="Arial Narrow" w:cs="Arial"/>
                <w:sz w:val="24"/>
                <w:szCs w:val="24"/>
              </w:rPr>
              <w:t>iming what the plaintiff alleges</w:t>
            </w:r>
            <w:r w:rsidR="00BA66AA" w:rsidRPr="009F42A4">
              <w:rPr>
                <w:rFonts w:ascii="Arial Narrow" w:hAnsi="Arial Narrow" w:cs="Arial"/>
                <w:sz w:val="24"/>
                <w:szCs w:val="24"/>
              </w:rPr>
              <w:t xml:space="preserve"> is entitled </w:t>
            </w:r>
            <w:r w:rsidR="002540FE" w:rsidRPr="009F42A4">
              <w:rPr>
                <w:rFonts w:ascii="Arial Narrow" w:hAnsi="Arial Narrow" w:cs="Arial"/>
                <w:sz w:val="24"/>
                <w:szCs w:val="24"/>
              </w:rPr>
              <w:t xml:space="preserve">to </w:t>
            </w:r>
            <w:r w:rsidR="00BA66AA" w:rsidRPr="009F42A4">
              <w:rPr>
                <w:rFonts w:ascii="Arial Narrow" w:hAnsi="Arial Narrow" w:cs="Arial"/>
                <w:sz w:val="24"/>
                <w:szCs w:val="24"/>
              </w:rPr>
              <w:t>is not pleaded</w:t>
            </w:r>
            <w:r w:rsidR="008945B4" w:rsidRPr="009F42A4">
              <w:rPr>
                <w:rFonts w:ascii="Arial Narrow" w:hAnsi="Arial Narrow" w:cs="Arial"/>
                <w:sz w:val="24"/>
                <w:szCs w:val="24"/>
              </w:rPr>
              <w:t>. The Court was referred to para 39 of the ruling</w:t>
            </w:r>
            <w:r w:rsidR="002540FE" w:rsidRPr="009F42A4">
              <w:rPr>
                <w:rFonts w:ascii="Arial Narrow" w:hAnsi="Arial Narrow" w:cs="Arial"/>
                <w:sz w:val="24"/>
                <w:szCs w:val="24"/>
              </w:rPr>
              <w:t xml:space="preserve"> in this regard</w:t>
            </w:r>
            <w:r w:rsidR="008945B4" w:rsidRPr="009F42A4">
              <w:rPr>
                <w:rFonts w:ascii="Arial Narrow" w:hAnsi="Arial Narrow" w:cs="Arial"/>
                <w:sz w:val="24"/>
                <w:szCs w:val="24"/>
              </w:rPr>
              <w:t xml:space="preserve">. </w:t>
            </w:r>
          </w:p>
          <w:p w:rsidR="009168A7" w:rsidRPr="009F42A4" w:rsidRDefault="009168A7" w:rsidP="00DA6472">
            <w:pPr>
              <w:tabs>
                <w:tab w:val="left" w:pos="2085"/>
              </w:tabs>
              <w:spacing w:line="360" w:lineRule="auto"/>
              <w:jc w:val="both"/>
              <w:rPr>
                <w:rFonts w:ascii="Arial Narrow" w:hAnsi="Arial Narrow" w:cs="Arial"/>
                <w:sz w:val="24"/>
                <w:szCs w:val="24"/>
              </w:rPr>
            </w:pPr>
          </w:p>
          <w:p w:rsidR="009168A7" w:rsidRPr="009F42A4" w:rsidRDefault="009168A7" w:rsidP="00DA6472">
            <w:pPr>
              <w:tabs>
                <w:tab w:val="left" w:pos="2085"/>
              </w:tabs>
              <w:spacing w:line="360" w:lineRule="auto"/>
              <w:jc w:val="both"/>
              <w:rPr>
                <w:rFonts w:ascii="Arial Narrow" w:hAnsi="Arial Narrow" w:cs="Arial"/>
                <w:sz w:val="24"/>
                <w:szCs w:val="24"/>
              </w:rPr>
            </w:pPr>
            <w:r w:rsidRPr="009F42A4">
              <w:rPr>
                <w:rFonts w:ascii="Arial Narrow" w:hAnsi="Arial Narrow" w:cs="Arial"/>
                <w:sz w:val="24"/>
                <w:szCs w:val="24"/>
              </w:rPr>
              <w:t xml:space="preserve">[11]    </w:t>
            </w:r>
            <w:r w:rsidR="00401AE4">
              <w:rPr>
                <w:rFonts w:ascii="Arial Narrow" w:hAnsi="Arial Narrow" w:cs="Arial"/>
                <w:sz w:val="24"/>
                <w:szCs w:val="24"/>
              </w:rPr>
              <w:t xml:space="preserve">    </w:t>
            </w:r>
            <w:r w:rsidR="003C0EBD" w:rsidRPr="009F42A4">
              <w:rPr>
                <w:rFonts w:ascii="Arial Narrow" w:hAnsi="Arial Narrow" w:cs="Arial"/>
                <w:sz w:val="24"/>
                <w:szCs w:val="24"/>
              </w:rPr>
              <w:t xml:space="preserve">With respect to the fifth ground of exception Mr </w:t>
            </w:r>
            <w:proofErr w:type="spellStart"/>
            <w:r w:rsidR="003C0EBD" w:rsidRPr="009F42A4">
              <w:rPr>
                <w:rFonts w:ascii="Arial Narrow" w:hAnsi="Arial Narrow" w:cs="Arial"/>
                <w:sz w:val="24"/>
                <w:szCs w:val="24"/>
              </w:rPr>
              <w:t>Grobler</w:t>
            </w:r>
            <w:proofErr w:type="spellEnd"/>
            <w:r w:rsidR="003C0EBD" w:rsidRPr="009F42A4">
              <w:rPr>
                <w:rFonts w:ascii="Arial Narrow" w:hAnsi="Arial Narrow" w:cs="Arial"/>
                <w:sz w:val="24"/>
                <w:szCs w:val="24"/>
              </w:rPr>
              <w:t xml:space="preserve"> argues that the respondent had to incur legal costs which he had to pay himself although the applicant undertook to indemnify the respondent for his legal </w:t>
            </w:r>
            <w:r w:rsidR="003C0EBD" w:rsidRPr="009F42A4">
              <w:rPr>
                <w:rFonts w:ascii="Arial Narrow" w:hAnsi="Arial Narrow" w:cs="Arial"/>
                <w:sz w:val="24"/>
                <w:szCs w:val="24"/>
              </w:rPr>
              <w:lastRenderedPageBreak/>
              <w:t xml:space="preserve">expenses. Whether there is any inconsistency </w:t>
            </w:r>
            <w:r w:rsidR="007326A8" w:rsidRPr="009F42A4">
              <w:rPr>
                <w:rFonts w:ascii="Arial Narrow" w:hAnsi="Arial Narrow" w:cs="Arial"/>
                <w:sz w:val="24"/>
                <w:szCs w:val="24"/>
              </w:rPr>
              <w:t xml:space="preserve">in Annexure A, it refers to the mandate of </w:t>
            </w:r>
            <w:proofErr w:type="spellStart"/>
            <w:r w:rsidR="007326A8" w:rsidRPr="009F42A4">
              <w:rPr>
                <w:rFonts w:ascii="Arial Narrow" w:hAnsi="Arial Narrow" w:cs="Arial"/>
                <w:sz w:val="24"/>
                <w:szCs w:val="24"/>
              </w:rPr>
              <w:t>Grobler</w:t>
            </w:r>
            <w:proofErr w:type="spellEnd"/>
            <w:r w:rsidR="007326A8" w:rsidRPr="009F42A4">
              <w:rPr>
                <w:rFonts w:ascii="Arial Narrow" w:hAnsi="Arial Narrow" w:cs="Arial"/>
                <w:sz w:val="24"/>
                <w:szCs w:val="24"/>
              </w:rPr>
              <w:t xml:space="preserve"> &amp; Co and not to whether the applicant must indemnify the respondent for legal costs actually incurred. </w:t>
            </w:r>
            <w:r w:rsidR="002B7CA3" w:rsidRPr="009F42A4">
              <w:rPr>
                <w:rFonts w:ascii="Arial Narrow" w:hAnsi="Arial Narrow" w:cs="Arial"/>
                <w:sz w:val="24"/>
                <w:szCs w:val="24"/>
              </w:rPr>
              <w:t xml:space="preserve">Counsel argues that the averments in ‘Annexure A’ which this Court found to be contradictory cannot nullify the fact that the respondent incurred legal costs that the applicant undertook to indemnify him for such costs. </w:t>
            </w:r>
            <w:r w:rsidR="007326A8" w:rsidRPr="009F42A4">
              <w:rPr>
                <w:rFonts w:ascii="Arial Narrow" w:hAnsi="Arial Narrow" w:cs="Arial"/>
                <w:sz w:val="24"/>
                <w:szCs w:val="24"/>
              </w:rPr>
              <w:t xml:space="preserve"> </w:t>
            </w:r>
          </w:p>
          <w:p w:rsidR="00FA7925" w:rsidRPr="009F42A4" w:rsidRDefault="00FA7925" w:rsidP="00DA6472">
            <w:pPr>
              <w:tabs>
                <w:tab w:val="left" w:pos="2085"/>
              </w:tabs>
              <w:spacing w:line="360" w:lineRule="auto"/>
              <w:jc w:val="both"/>
              <w:rPr>
                <w:rFonts w:ascii="Arial Narrow" w:hAnsi="Arial Narrow" w:cs="Arial"/>
                <w:sz w:val="24"/>
                <w:szCs w:val="24"/>
              </w:rPr>
            </w:pPr>
          </w:p>
          <w:p w:rsidR="00FF740D" w:rsidRPr="009F42A4" w:rsidRDefault="00810A49" w:rsidP="00DA6472">
            <w:pPr>
              <w:tabs>
                <w:tab w:val="left" w:pos="2085"/>
              </w:tabs>
              <w:spacing w:line="360" w:lineRule="auto"/>
              <w:jc w:val="both"/>
              <w:rPr>
                <w:rFonts w:ascii="Arial Narrow" w:hAnsi="Arial Narrow" w:cs="Arial"/>
                <w:sz w:val="24"/>
                <w:szCs w:val="24"/>
              </w:rPr>
            </w:pPr>
            <w:r w:rsidRPr="009F42A4">
              <w:rPr>
                <w:rFonts w:ascii="Arial Narrow" w:hAnsi="Arial Narrow" w:cs="Arial"/>
                <w:sz w:val="24"/>
                <w:szCs w:val="24"/>
              </w:rPr>
              <w:t>[12</w:t>
            </w:r>
            <w:r w:rsidR="00FA7925" w:rsidRPr="009F42A4">
              <w:rPr>
                <w:rFonts w:ascii="Arial Narrow" w:hAnsi="Arial Narrow" w:cs="Arial"/>
                <w:sz w:val="24"/>
                <w:szCs w:val="24"/>
              </w:rPr>
              <w:t xml:space="preserve">]     </w:t>
            </w:r>
            <w:r w:rsidR="00401AE4">
              <w:rPr>
                <w:rFonts w:ascii="Arial Narrow" w:hAnsi="Arial Narrow" w:cs="Arial"/>
                <w:sz w:val="24"/>
                <w:szCs w:val="24"/>
              </w:rPr>
              <w:t xml:space="preserve">   </w:t>
            </w:r>
            <w:r w:rsidRPr="009F42A4">
              <w:rPr>
                <w:rFonts w:ascii="Arial Narrow" w:hAnsi="Arial Narrow" w:cs="Arial"/>
                <w:sz w:val="24"/>
                <w:szCs w:val="24"/>
              </w:rPr>
              <w:t>In conclusion Mr Theron</w:t>
            </w:r>
            <w:r w:rsidR="00B91268" w:rsidRPr="009F42A4">
              <w:rPr>
                <w:rFonts w:ascii="Arial Narrow" w:hAnsi="Arial Narrow" w:cs="Arial"/>
                <w:sz w:val="24"/>
                <w:szCs w:val="24"/>
              </w:rPr>
              <w:t xml:space="preserve"> argued that </w:t>
            </w:r>
            <w:r w:rsidR="00CA207A" w:rsidRPr="009F42A4">
              <w:rPr>
                <w:rFonts w:ascii="Arial Narrow" w:hAnsi="Arial Narrow" w:cs="Arial"/>
                <w:sz w:val="24"/>
                <w:szCs w:val="24"/>
              </w:rPr>
              <w:t xml:space="preserve">the respondent is required to plead all the material </w:t>
            </w:r>
            <w:r w:rsidR="00650F3A" w:rsidRPr="009F42A4">
              <w:rPr>
                <w:rFonts w:ascii="Arial Narrow" w:hAnsi="Arial Narrow" w:cs="Arial"/>
                <w:sz w:val="24"/>
                <w:szCs w:val="24"/>
              </w:rPr>
              <w:t xml:space="preserve">facts and terms </w:t>
            </w:r>
            <w:r w:rsidR="00CA207A" w:rsidRPr="009F42A4">
              <w:rPr>
                <w:rFonts w:ascii="Arial Narrow" w:hAnsi="Arial Narrow" w:cs="Arial"/>
                <w:sz w:val="24"/>
                <w:szCs w:val="24"/>
              </w:rPr>
              <w:t xml:space="preserve">on which he relies to sustain his cause of action. </w:t>
            </w:r>
            <w:r w:rsidR="00650F3A" w:rsidRPr="009F42A4">
              <w:rPr>
                <w:rFonts w:ascii="Arial Narrow" w:hAnsi="Arial Narrow" w:cs="Arial"/>
                <w:sz w:val="24"/>
                <w:szCs w:val="24"/>
              </w:rPr>
              <w:t>Respondent is further required to attach all document</w:t>
            </w:r>
            <w:r w:rsidR="00611D7A" w:rsidRPr="009F42A4">
              <w:rPr>
                <w:rFonts w:ascii="Arial Narrow" w:hAnsi="Arial Narrow" w:cs="Arial"/>
                <w:sz w:val="24"/>
                <w:szCs w:val="24"/>
              </w:rPr>
              <w:t xml:space="preserve">s </w:t>
            </w:r>
            <w:r w:rsidR="00650F3A" w:rsidRPr="009F42A4">
              <w:rPr>
                <w:rFonts w:ascii="Arial Narrow" w:hAnsi="Arial Narrow" w:cs="Arial"/>
                <w:sz w:val="24"/>
                <w:szCs w:val="24"/>
              </w:rPr>
              <w:t xml:space="preserve">he relies upon for his claim. </w:t>
            </w:r>
            <w:r w:rsidR="00CA207A" w:rsidRPr="009F42A4">
              <w:rPr>
                <w:rFonts w:ascii="Arial Narrow" w:hAnsi="Arial Narrow" w:cs="Arial"/>
                <w:sz w:val="24"/>
                <w:szCs w:val="24"/>
              </w:rPr>
              <w:t>He cannot expect the defendant to assume and anticipate in preparation for its defence for eventualities either foreseeable or unforeseeable</w:t>
            </w:r>
            <w:r w:rsidR="00EF4172" w:rsidRPr="009F42A4">
              <w:rPr>
                <w:rFonts w:ascii="Arial Narrow" w:hAnsi="Arial Narrow" w:cs="Arial"/>
                <w:sz w:val="24"/>
                <w:szCs w:val="24"/>
              </w:rPr>
              <w:t>.</w:t>
            </w:r>
            <w:r w:rsidR="00C22CA3" w:rsidRPr="009F42A4">
              <w:rPr>
                <w:rFonts w:ascii="Arial Narrow" w:hAnsi="Arial Narrow" w:cs="Arial"/>
                <w:sz w:val="24"/>
                <w:szCs w:val="24"/>
              </w:rPr>
              <w:t xml:space="preserve"> Counsel further submitted that the defendant will not be in a position to plead to the amended particulars of claim as the defendant is still confused by the discrepancy created between what the respondent claims is covered by the written mandate and what is claimed in the action. </w:t>
            </w:r>
            <w:r w:rsidR="00B91268" w:rsidRPr="009F42A4">
              <w:rPr>
                <w:rFonts w:ascii="Arial Narrow" w:hAnsi="Arial Narrow" w:cs="Arial"/>
                <w:sz w:val="24"/>
                <w:szCs w:val="24"/>
              </w:rPr>
              <w:t>T</w:t>
            </w:r>
            <w:r w:rsidR="00A9121D" w:rsidRPr="009F42A4">
              <w:rPr>
                <w:rFonts w:ascii="Arial Narrow" w:hAnsi="Arial Narrow" w:cs="Arial"/>
                <w:sz w:val="24"/>
                <w:szCs w:val="24"/>
              </w:rPr>
              <w:t>he excipient therefore submits</w:t>
            </w:r>
            <w:r w:rsidR="00B91268" w:rsidRPr="009F42A4">
              <w:rPr>
                <w:rFonts w:ascii="Arial Narrow" w:hAnsi="Arial Narrow" w:cs="Arial"/>
                <w:sz w:val="24"/>
                <w:szCs w:val="24"/>
              </w:rPr>
              <w:t xml:space="preserve"> that al</w:t>
            </w:r>
            <w:r w:rsidR="00A9121D" w:rsidRPr="009F42A4">
              <w:rPr>
                <w:rFonts w:ascii="Arial Narrow" w:hAnsi="Arial Narrow" w:cs="Arial"/>
                <w:sz w:val="24"/>
                <w:szCs w:val="24"/>
              </w:rPr>
              <w:t>l</w:t>
            </w:r>
            <w:r w:rsidR="00B91268" w:rsidRPr="009F42A4">
              <w:rPr>
                <w:rFonts w:ascii="Arial Narrow" w:hAnsi="Arial Narrow" w:cs="Arial"/>
                <w:sz w:val="24"/>
                <w:szCs w:val="24"/>
              </w:rPr>
              <w:t xml:space="preserve"> the exceptions rais</w:t>
            </w:r>
            <w:r w:rsidR="00650F3A" w:rsidRPr="009F42A4">
              <w:rPr>
                <w:rFonts w:ascii="Arial Narrow" w:hAnsi="Arial Narrow" w:cs="Arial"/>
                <w:sz w:val="24"/>
                <w:szCs w:val="24"/>
              </w:rPr>
              <w:t>ed should be upheld with costs</w:t>
            </w:r>
            <w:r w:rsidR="00611D7A" w:rsidRPr="009F42A4">
              <w:rPr>
                <w:rFonts w:ascii="Arial Narrow" w:hAnsi="Arial Narrow" w:cs="Arial"/>
                <w:sz w:val="24"/>
                <w:szCs w:val="24"/>
              </w:rPr>
              <w:t xml:space="preserve"> as t</w:t>
            </w:r>
            <w:r w:rsidR="00650F3A" w:rsidRPr="009F42A4">
              <w:rPr>
                <w:rFonts w:ascii="Arial Narrow" w:hAnsi="Arial Narrow" w:cs="Arial"/>
                <w:sz w:val="24"/>
                <w:szCs w:val="24"/>
              </w:rPr>
              <w:t>he respondent has failed to remedy the shortcomings that were raised in the ruling</w:t>
            </w:r>
            <w:r w:rsidR="0028510E" w:rsidRPr="009F42A4">
              <w:rPr>
                <w:rFonts w:ascii="Arial Narrow" w:hAnsi="Arial Narrow" w:cs="Arial"/>
                <w:sz w:val="24"/>
                <w:szCs w:val="24"/>
              </w:rPr>
              <w:t>.</w:t>
            </w:r>
            <w:r w:rsidR="00650F3A" w:rsidRPr="009F42A4">
              <w:rPr>
                <w:rFonts w:ascii="Arial Narrow" w:hAnsi="Arial Narrow" w:cs="Arial"/>
                <w:sz w:val="24"/>
                <w:szCs w:val="24"/>
              </w:rPr>
              <w:t xml:space="preserve"> </w:t>
            </w:r>
          </w:p>
          <w:p w:rsidR="00FF740D" w:rsidRPr="009F42A4" w:rsidRDefault="00FF740D" w:rsidP="00DA6472">
            <w:pPr>
              <w:tabs>
                <w:tab w:val="left" w:pos="2085"/>
              </w:tabs>
              <w:spacing w:line="360" w:lineRule="auto"/>
              <w:jc w:val="both"/>
              <w:rPr>
                <w:rFonts w:ascii="Arial Narrow" w:hAnsi="Arial Narrow" w:cs="Arial"/>
                <w:sz w:val="24"/>
                <w:szCs w:val="24"/>
              </w:rPr>
            </w:pPr>
          </w:p>
          <w:p w:rsidR="007A537D" w:rsidRPr="009F42A4" w:rsidRDefault="00FF740D" w:rsidP="00DA6472">
            <w:pPr>
              <w:tabs>
                <w:tab w:val="left" w:pos="2085"/>
              </w:tabs>
              <w:spacing w:line="360" w:lineRule="auto"/>
              <w:jc w:val="both"/>
              <w:rPr>
                <w:rFonts w:ascii="Arial Narrow" w:hAnsi="Arial Narrow" w:cs="Arial"/>
                <w:sz w:val="24"/>
                <w:szCs w:val="24"/>
              </w:rPr>
            </w:pPr>
            <w:r w:rsidRPr="009F42A4">
              <w:rPr>
                <w:rFonts w:ascii="Arial Narrow" w:hAnsi="Arial Narrow" w:cs="Arial"/>
                <w:sz w:val="24"/>
                <w:szCs w:val="24"/>
              </w:rPr>
              <w:t xml:space="preserve">[13]    </w:t>
            </w:r>
            <w:r w:rsidR="00401AE4">
              <w:rPr>
                <w:rFonts w:ascii="Arial Narrow" w:hAnsi="Arial Narrow" w:cs="Arial"/>
                <w:sz w:val="24"/>
                <w:szCs w:val="24"/>
              </w:rPr>
              <w:t xml:space="preserve">      </w:t>
            </w:r>
            <w:r w:rsidRPr="009F42A4">
              <w:rPr>
                <w:rFonts w:ascii="Arial Narrow" w:hAnsi="Arial Narrow" w:cs="Arial"/>
                <w:sz w:val="24"/>
                <w:szCs w:val="24"/>
              </w:rPr>
              <w:t xml:space="preserve">Mr </w:t>
            </w:r>
            <w:proofErr w:type="spellStart"/>
            <w:r w:rsidRPr="009F42A4">
              <w:rPr>
                <w:rFonts w:ascii="Arial Narrow" w:hAnsi="Arial Narrow" w:cs="Arial"/>
                <w:sz w:val="24"/>
                <w:szCs w:val="24"/>
              </w:rPr>
              <w:t>Grobler</w:t>
            </w:r>
            <w:proofErr w:type="spellEnd"/>
            <w:r w:rsidRPr="009F42A4">
              <w:rPr>
                <w:rFonts w:ascii="Arial Narrow" w:hAnsi="Arial Narrow" w:cs="Arial"/>
                <w:sz w:val="24"/>
                <w:szCs w:val="24"/>
              </w:rPr>
              <w:t xml:space="preserve"> on the other hand submits that the applicant failed to allege that it is prejudiced or seriously prejudiced by the content of the amended particulars and prays that the objections be dismissed with costs. </w:t>
            </w:r>
          </w:p>
          <w:p w:rsidR="006240AB" w:rsidRPr="009F42A4" w:rsidRDefault="006240AB" w:rsidP="00DA6472">
            <w:pPr>
              <w:spacing w:line="360" w:lineRule="auto"/>
              <w:jc w:val="both"/>
              <w:rPr>
                <w:rFonts w:ascii="Arial Narrow" w:hAnsi="Arial Narrow" w:cs="Arial"/>
                <w:sz w:val="24"/>
                <w:szCs w:val="24"/>
              </w:rPr>
            </w:pPr>
          </w:p>
          <w:p w:rsidR="00B50265" w:rsidRPr="009F42A4" w:rsidRDefault="006117D4" w:rsidP="00DA6472">
            <w:pPr>
              <w:spacing w:line="360" w:lineRule="auto"/>
              <w:jc w:val="both"/>
              <w:rPr>
                <w:rFonts w:ascii="Arial Narrow" w:hAnsi="Arial Narrow" w:cs="Arial"/>
                <w:sz w:val="24"/>
                <w:szCs w:val="24"/>
                <w:u w:val="single"/>
                <w:lang w:val="en-US"/>
              </w:rPr>
            </w:pPr>
            <w:r w:rsidRPr="009F42A4">
              <w:rPr>
                <w:rFonts w:ascii="Arial Narrow" w:hAnsi="Arial Narrow" w:cs="Arial"/>
                <w:sz w:val="24"/>
                <w:szCs w:val="24"/>
                <w:u w:val="single"/>
                <w:lang w:val="en-US"/>
              </w:rPr>
              <w:t>Discussion</w:t>
            </w:r>
          </w:p>
          <w:p w:rsidR="008056E0" w:rsidRPr="009F42A4" w:rsidRDefault="008056E0" w:rsidP="00DA6472">
            <w:pPr>
              <w:spacing w:line="360" w:lineRule="auto"/>
              <w:jc w:val="both"/>
              <w:rPr>
                <w:rFonts w:ascii="Arial Narrow" w:hAnsi="Arial Narrow" w:cs="Arial"/>
                <w:sz w:val="24"/>
                <w:szCs w:val="24"/>
                <w:u w:val="single"/>
                <w:lang w:val="en-US"/>
              </w:rPr>
            </w:pPr>
          </w:p>
          <w:p w:rsidR="00A8443D" w:rsidRPr="009F42A4" w:rsidRDefault="00824AE7" w:rsidP="00DA6472">
            <w:pPr>
              <w:spacing w:line="360" w:lineRule="auto"/>
              <w:jc w:val="both"/>
              <w:rPr>
                <w:rFonts w:ascii="Arial Narrow" w:hAnsi="Arial Narrow" w:cs="Arial"/>
                <w:sz w:val="24"/>
                <w:szCs w:val="24"/>
              </w:rPr>
            </w:pPr>
            <w:r w:rsidRPr="009F42A4">
              <w:rPr>
                <w:rFonts w:ascii="Arial Narrow" w:hAnsi="Arial Narrow" w:cs="Arial"/>
                <w:sz w:val="24"/>
                <w:szCs w:val="24"/>
                <w:lang w:val="en-US"/>
              </w:rPr>
              <w:t>[14</w:t>
            </w:r>
            <w:r w:rsidR="00811209" w:rsidRPr="009F42A4">
              <w:rPr>
                <w:rFonts w:ascii="Arial Narrow" w:hAnsi="Arial Narrow" w:cs="Arial"/>
                <w:sz w:val="24"/>
                <w:szCs w:val="24"/>
                <w:lang w:val="en-US"/>
              </w:rPr>
              <w:t xml:space="preserve">]     </w:t>
            </w:r>
            <w:r w:rsidR="00401AE4">
              <w:rPr>
                <w:rFonts w:ascii="Arial Narrow" w:hAnsi="Arial Narrow" w:cs="Arial"/>
                <w:sz w:val="24"/>
                <w:szCs w:val="24"/>
                <w:lang w:val="en-US"/>
              </w:rPr>
              <w:t xml:space="preserve">  </w:t>
            </w:r>
            <w:r w:rsidR="00053E28" w:rsidRPr="009F42A4">
              <w:rPr>
                <w:rFonts w:ascii="Arial Narrow" w:hAnsi="Arial Narrow" w:cs="Arial"/>
                <w:sz w:val="24"/>
                <w:szCs w:val="24"/>
                <w:lang w:val="en-US"/>
              </w:rPr>
              <w:t>The principles on exceptions</w:t>
            </w:r>
            <w:r w:rsidR="00991780" w:rsidRPr="009F42A4">
              <w:rPr>
                <w:rFonts w:ascii="Arial Narrow" w:hAnsi="Arial Narrow" w:cs="Arial"/>
                <w:sz w:val="24"/>
                <w:szCs w:val="24"/>
                <w:lang w:val="en-US"/>
              </w:rPr>
              <w:t xml:space="preserve"> are clear and I do</w:t>
            </w:r>
            <w:r w:rsidR="00DA6472" w:rsidRPr="009F42A4">
              <w:rPr>
                <w:rFonts w:ascii="Arial Narrow" w:hAnsi="Arial Narrow" w:cs="Arial"/>
                <w:sz w:val="24"/>
                <w:szCs w:val="24"/>
                <w:lang w:val="en-US"/>
              </w:rPr>
              <w:t xml:space="preserve"> </w:t>
            </w:r>
            <w:r w:rsidR="00991780" w:rsidRPr="009F42A4">
              <w:rPr>
                <w:rFonts w:ascii="Arial Narrow" w:hAnsi="Arial Narrow" w:cs="Arial"/>
                <w:sz w:val="24"/>
                <w:szCs w:val="24"/>
                <w:lang w:val="en-US"/>
              </w:rPr>
              <w:t xml:space="preserve">not </w:t>
            </w:r>
            <w:r w:rsidR="005616BE" w:rsidRPr="009F42A4">
              <w:rPr>
                <w:rFonts w:ascii="Arial Narrow" w:hAnsi="Arial Narrow" w:cs="Arial"/>
                <w:sz w:val="24"/>
                <w:szCs w:val="24"/>
                <w:lang w:val="en-US"/>
              </w:rPr>
              <w:t xml:space="preserve">intend </w:t>
            </w:r>
            <w:r w:rsidR="00991780" w:rsidRPr="009F42A4">
              <w:rPr>
                <w:rFonts w:ascii="Arial Narrow" w:hAnsi="Arial Narrow" w:cs="Arial"/>
                <w:sz w:val="24"/>
                <w:szCs w:val="24"/>
                <w:lang w:val="en-US"/>
              </w:rPr>
              <w:t>repeating them</w:t>
            </w:r>
            <w:r w:rsidR="00053E28" w:rsidRPr="009F42A4">
              <w:rPr>
                <w:rFonts w:ascii="Arial Narrow" w:hAnsi="Arial Narrow" w:cs="Arial"/>
                <w:sz w:val="24"/>
                <w:szCs w:val="24"/>
                <w:lang w:val="en-US"/>
              </w:rPr>
              <w:t xml:space="preserve"> in the matter in </w:t>
            </w:r>
            <w:proofErr w:type="spellStart"/>
            <w:r w:rsidR="00053E28" w:rsidRPr="009F42A4">
              <w:rPr>
                <w:rFonts w:ascii="Arial Narrow" w:hAnsi="Arial Narrow" w:cs="Arial"/>
                <w:sz w:val="24"/>
                <w:szCs w:val="24"/>
                <w:lang w:val="en-US"/>
              </w:rPr>
              <w:t>casu</w:t>
            </w:r>
            <w:proofErr w:type="spellEnd"/>
            <w:r w:rsidR="00053E28" w:rsidRPr="009F42A4">
              <w:rPr>
                <w:rFonts w:ascii="Arial Narrow" w:hAnsi="Arial Narrow" w:cs="Arial"/>
                <w:sz w:val="24"/>
                <w:szCs w:val="24"/>
                <w:lang w:val="en-US"/>
              </w:rPr>
              <w:t xml:space="preserve"> as the</w:t>
            </w:r>
            <w:r w:rsidR="00553987" w:rsidRPr="009F42A4">
              <w:rPr>
                <w:rFonts w:ascii="Arial Narrow" w:hAnsi="Arial Narrow" w:cs="Arial"/>
                <w:sz w:val="24"/>
                <w:szCs w:val="24"/>
                <w:lang w:val="en-US"/>
              </w:rPr>
              <w:t>se</w:t>
            </w:r>
            <w:r w:rsidR="00053E28" w:rsidRPr="009F42A4">
              <w:rPr>
                <w:rFonts w:ascii="Arial Narrow" w:hAnsi="Arial Narrow" w:cs="Arial"/>
                <w:sz w:val="24"/>
                <w:szCs w:val="24"/>
                <w:lang w:val="en-US"/>
              </w:rPr>
              <w:t xml:space="preserve"> principles were properly </w:t>
            </w:r>
            <w:r w:rsidR="005616BE" w:rsidRPr="009F42A4">
              <w:rPr>
                <w:rFonts w:ascii="Arial Narrow" w:hAnsi="Arial Narrow" w:cs="Arial"/>
                <w:sz w:val="24"/>
                <w:szCs w:val="24"/>
                <w:lang w:val="en-US"/>
              </w:rPr>
              <w:t xml:space="preserve">discussed </w:t>
            </w:r>
            <w:r w:rsidR="00053E28" w:rsidRPr="009F42A4">
              <w:rPr>
                <w:rFonts w:ascii="Arial Narrow" w:hAnsi="Arial Narrow" w:cs="Arial"/>
                <w:sz w:val="24"/>
                <w:szCs w:val="24"/>
                <w:lang w:val="en-US"/>
              </w:rPr>
              <w:t>in the ruling of 9 September 2019</w:t>
            </w:r>
            <w:r w:rsidR="00991780" w:rsidRPr="009F42A4">
              <w:rPr>
                <w:rFonts w:ascii="Arial Narrow" w:hAnsi="Arial Narrow" w:cs="Arial"/>
                <w:sz w:val="24"/>
                <w:szCs w:val="24"/>
                <w:lang w:val="en-US"/>
              </w:rPr>
              <w:t>.</w:t>
            </w:r>
            <w:r w:rsidR="00053E28" w:rsidRPr="009F42A4">
              <w:rPr>
                <w:rFonts w:ascii="Arial Narrow" w:hAnsi="Arial Narrow" w:cs="Arial"/>
                <w:sz w:val="24"/>
                <w:szCs w:val="24"/>
                <w:lang w:val="en-US"/>
              </w:rPr>
              <w:t xml:space="preserve"> </w:t>
            </w:r>
            <w:r w:rsidR="00991780" w:rsidRPr="009F42A4">
              <w:rPr>
                <w:rFonts w:ascii="Arial Narrow" w:hAnsi="Arial Narrow" w:cs="Arial"/>
                <w:sz w:val="24"/>
                <w:szCs w:val="24"/>
                <w:lang w:val="en-US"/>
              </w:rPr>
              <w:t xml:space="preserve"> </w:t>
            </w:r>
          </w:p>
          <w:p w:rsidR="009A62DB" w:rsidRPr="009F42A4" w:rsidRDefault="009A62DB" w:rsidP="00DA6472">
            <w:pPr>
              <w:spacing w:line="360" w:lineRule="auto"/>
              <w:jc w:val="both"/>
              <w:rPr>
                <w:rFonts w:ascii="Arial Narrow" w:hAnsi="Arial Narrow" w:cs="Arial"/>
              </w:rPr>
            </w:pPr>
          </w:p>
          <w:p w:rsidR="009A62DB" w:rsidRPr="009F42A4" w:rsidRDefault="00A8443D" w:rsidP="00DA6472">
            <w:pPr>
              <w:spacing w:line="360" w:lineRule="auto"/>
              <w:jc w:val="both"/>
              <w:rPr>
                <w:rFonts w:ascii="Arial Narrow" w:hAnsi="Arial Narrow" w:cs="Arial"/>
                <w:lang w:val="en-GB"/>
              </w:rPr>
            </w:pPr>
            <w:r w:rsidRPr="009F42A4">
              <w:rPr>
                <w:rFonts w:ascii="Arial Narrow" w:hAnsi="Arial Narrow" w:cs="Arial"/>
                <w:sz w:val="24"/>
                <w:szCs w:val="24"/>
                <w:lang w:val="en-US"/>
              </w:rPr>
              <w:t>[</w:t>
            </w:r>
            <w:r w:rsidR="00824AE7" w:rsidRPr="009F42A4">
              <w:rPr>
                <w:rFonts w:ascii="Arial Narrow" w:hAnsi="Arial Narrow" w:cs="Arial"/>
                <w:sz w:val="24"/>
                <w:szCs w:val="24"/>
                <w:lang w:val="en-US"/>
              </w:rPr>
              <w:t>15</w:t>
            </w:r>
            <w:r w:rsidR="00DA6472" w:rsidRPr="009F42A4">
              <w:rPr>
                <w:rFonts w:ascii="Arial Narrow" w:hAnsi="Arial Narrow" w:cs="Arial"/>
                <w:sz w:val="24"/>
                <w:szCs w:val="24"/>
                <w:lang w:val="en-US"/>
              </w:rPr>
              <w:t xml:space="preserve">]   </w:t>
            </w:r>
            <w:r w:rsidR="00401AE4">
              <w:rPr>
                <w:rFonts w:ascii="Arial Narrow" w:hAnsi="Arial Narrow" w:cs="Arial"/>
                <w:sz w:val="24"/>
                <w:szCs w:val="24"/>
                <w:lang w:val="en-US"/>
              </w:rPr>
              <w:t xml:space="preserve">    </w:t>
            </w:r>
            <w:r w:rsidR="00C37376" w:rsidRPr="009F42A4">
              <w:rPr>
                <w:rFonts w:ascii="Arial Narrow" w:hAnsi="Arial Narrow" w:cs="Arial"/>
                <w:sz w:val="24"/>
                <w:szCs w:val="24"/>
                <w:lang w:val="en-US"/>
              </w:rPr>
              <w:t xml:space="preserve">The respondent was granted an opportunity to amend </w:t>
            </w:r>
            <w:r w:rsidR="001511B9" w:rsidRPr="009F42A4">
              <w:rPr>
                <w:rFonts w:ascii="Arial Narrow" w:hAnsi="Arial Narrow" w:cs="Arial"/>
                <w:sz w:val="24"/>
                <w:szCs w:val="24"/>
                <w:lang w:val="en-US"/>
              </w:rPr>
              <w:t xml:space="preserve">his </w:t>
            </w:r>
            <w:r w:rsidR="00C37376" w:rsidRPr="009F42A4">
              <w:rPr>
                <w:rFonts w:ascii="Arial Narrow" w:hAnsi="Arial Narrow" w:cs="Arial"/>
                <w:sz w:val="24"/>
                <w:szCs w:val="24"/>
                <w:lang w:val="en-US"/>
              </w:rPr>
              <w:t>particulars of claim and the order of 9 September 201</w:t>
            </w:r>
            <w:r w:rsidR="001511B9" w:rsidRPr="009F42A4">
              <w:rPr>
                <w:rFonts w:ascii="Arial Narrow" w:hAnsi="Arial Narrow" w:cs="Arial"/>
                <w:sz w:val="24"/>
                <w:szCs w:val="24"/>
                <w:lang w:val="en-US"/>
              </w:rPr>
              <w:t>9</w:t>
            </w:r>
            <w:r w:rsidR="00C37376" w:rsidRPr="009F42A4">
              <w:rPr>
                <w:rFonts w:ascii="Arial Narrow" w:hAnsi="Arial Narrow" w:cs="Arial"/>
                <w:sz w:val="24"/>
                <w:szCs w:val="24"/>
                <w:lang w:val="en-US"/>
              </w:rPr>
              <w:t xml:space="preserve"> was unequivocally clear.</w:t>
            </w:r>
            <w:r w:rsidR="001511B9" w:rsidRPr="009F42A4">
              <w:rPr>
                <w:rFonts w:ascii="Arial Narrow" w:hAnsi="Arial Narrow" w:cs="Arial"/>
                <w:sz w:val="24"/>
                <w:szCs w:val="24"/>
              </w:rPr>
              <w:t xml:space="preserve"> However it appears that the respondent failed to remedy the shortcomings of the respondent’s particulars of claim </w:t>
            </w:r>
            <w:r w:rsidR="00E81D22" w:rsidRPr="009F42A4">
              <w:rPr>
                <w:rFonts w:ascii="Arial Narrow" w:hAnsi="Arial Narrow" w:cs="Arial"/>
                <w:sz w:val="24"/>
                <w:szCs w:val="24"/>
              </w:rPr>
              <w:t xml:space="preserve">as indicated in the ruling. This resulted in the applicant bringing another exception application on similar </w:t>
            </w:r>
            <w:r w:rsidR="001511B9" w:rsidRPr="009F42A4">
              <w:rPr>
                <w:rFonts w:ascii="Arial Narrow" w:hAnsi="Arial Narrow" w:cs="Arial"/>
                <w:sz w:val="24"/>
                <w:szCs w:val="24"/>
              </w:rPr>
              <w:t xml:space="preserve">grounds </w:t>
            </w:r>
            <w:r w:rsidR="00E81D22" w:rsidRPr="009F42A4">
              <w:rPr>
                <w:rFonts w:ascii="Arial Narrow" w:hAnsi="Arial Narrow" w:cs="Arial"/>
                <w:sz w:val="24"/>
                <w:szCs w:val="24"/>
              </w:rPr>
              <w:t xml:space="preserve">with those </w:t>
            </w:r>
            <w:r w:rsidR="001511B9" w:rsidRPr="009F42A4">
              <w:rPr>
                <w:rFonts w:ascii="Arial Narrow" w:hAnsi="Arial Narrow" w:cs="Arial"/>
                <w:sz w:val="24"/>
                <w:szCs w:val="24"/>
              </w:rPr>
              <w:t xml:space="preserve">that were raised in the first application. If one has a closer look at the amended particulars of claim one would notice that the </w:t>
            </w:r>
            <w:r w:rsidR="00E81D22" w:rsidRPr="009F42A4">
              <w:rPr>
                <w:rFonts w:ascii="Arial Narrow" w:hAnsi="Arial Narrow" w:cs="Arial"/>
                <w:sz w:val="24"/>
                <w:szCs w:val="24"/>
              </w:rPr>
              <w:t>shortcomings</w:t>
            </w:r>
            <w:r w:rsidR="001511B9" w:rsidRPr="009F42A4">
              <w:rPr>
                <w:rFonts w:ascii="Arial Narrow" w:hAnsi="Arial Narrow" w:cs="Arial"/>
                <w:sz w:val="24"/>
                <w:szCs w:val="24"/>
              </w:rPr>
              <w:t xml:space="preserve"> previously </w:t>
            </w:r>
            <w:r w:rsidR="00E81D22" w:rsidRPr="009F42A4">
              <w:rPr>
                <w:rFonts w:ascii="Arial Narrow" w:hAnsi="Arial Narrow" w:cs="Arial"/>
                <w:sz w:val="24"/>
                <w:szCs w:val="24"/>
              </w:rPr>
              <w:t xml:space="preserve">raised were not </w:t>
            </w:r>
            <w:r w:rsidR="001511B9" w:rsidRPr="009F42A4">
              <w:rPr>
                <w:rFonts w:ascii="Arial Narrow" w:hAnsi="Arial Narrow" w:cs="Arial"/>
                <w:sz w:val="24"/>
                <w:szCs w:val="24"/>
              </w:rPr>
              <w:t>dealt with, apart from</w:t>
            </w:r>
            <w:r w:rsidR="00E81D22" w:rsidRPr="009F42A4">
              <w:rPr>
                <w:rFonts w:ascii="Arial Narrow" w:hAnsi="Arial Narrow" w:cs="Arial"/>
                <w:sz w:val="24"/>
                <w:szCs w:val="24"/>
              </w:rPr>
              <w:t xml:space="preserve"> a few</w:t>
            </w:r>
            <w:r w:rsidR="001511B9" w:rsidRPr="009F42A4">
              <w:rPr>
                <w:rFonts w:ascii="Arial Narrow" w:hAnsi="Arial Narrow" w:cs="Arial"/>
                <w:sz w:val="24"/>
                <w:szCs w:val="24"/>
              </w:rPr>
              <w:t xml:space="preserve"> </w:t>
            </w:r>
            <w:r w:rsidR="00E81D22" w:rsidRPr="009F42A4">
              <w:rPr>
                <w:rFonts w:ascii="Arial Narrow" w:hAnsi="Arial Narrow" w:cs="Arial"/>
                <w:sz w:val="24"/>
                <w:szCs w:val="24"/>
              </w:rPr>
              <w:t xml:space="preserve">words and </w:t>
            </w:r>
            <w:r w:rsidR="001511B9" w:rsidRPr="009F42A4">
              <w:rPr>
                <w:rFonts w:ascii="Arial Narrow" w:hAnsi="Arial Narrow" w:cs="Arial"/>
                <w:sz w:val="24"/>
                <w:szCs w:val="24"/>
              </w:rPr>
              <w:t>sentences</w:t>
            </w:r>
            <w:r w:rsidR="00E81D22" w:rsidRPr="009F42A4">
              <w:rPr>
                <w:rFonts w:ascii="Arial Narrow" w:hAnsi="Arial Narrow" w:cs="Arial"/>
                <w:sz w:val="24"/>
                <w:szCs w:val="24"/>
              </w:rPr>
              <w:t xml:space="preserve"> </w:t>
            </w:r>
            <w:r w:rsidR="001511B9" w:rsidRPr="009F42A4">
              <w:rPr>
                <w:rFonts w:ascii="Arial Narrow" w:hAnsi="Arial Narrow" w:cs="Arial"/>
                <w:sz w:val="24"/>
                <w:szCs w:val="24"/>
              </w:rPr>
              <w:t>that were added</w:t>
            </w:r>
            <w:r w:rsidR="00E81D22" w:rsidRPr="009F42A4">
              <w:rPr>
                <w:rFonts w:ascii="Arial Narrow" w:hAnsi="Arial Narrow" w:cs="Arial"/>
                <w:sz w:val="24"/>
                <w:szCs w:val="24"/>
              </w:rPr>
              <w:t>.</w:t>
            </w:r>
          </w:p>
          <w:p w:rsidR="009A62DB" w:rsidRPr="009F42A4" w:rsidRDefault="009A62DB" w:rsidP="00DA6472">
            <w:pPr>
              <w:spacing w:line="360" w:lineRule="auto"/>
              <w:jc w:val="both"/>
              <w:rPr>
                <w:rFonts w:ascii="Arial Narrow" w:hAnsi="Arial Narrow" w:cs="Arial"/>
                <w:sz w:val="24"/>
                <w:szCs w:val="24"/>
              </w:rPr>
            </w:pPr>
          </w:p>
          <w:p w:rsidR="00852089" w:rsidRPr="009F42A4" w:rsidRDefault="00824AE7" w:rsidP="00DA6472">
            <w:pPr>
              <w:spacing w:line="360" w:lineRule="auto"/>
              <w:jc w:val="both"/>
              <w:rPr>
                <w:rFonts w:ascii="Arial Narrow" w:hAnsi="Arial Narrow" w:cs="Arial"/>
                <w:sz w:val="24"/>
                <w:szCs w:val="24"/>
              </w:rPr>
            </w:pPr>
            <w:r w:rsidRPr="009F42A4">
              <w:rPr>
                <w:rFonts w:ascii="Arial Narrow" w:hAnsi="Arial Narrow" w:cs="Arial"/>
                <w:sz w:val="24"/>
                <w:szCs w:val="24"/>
                <w:lang w:val="en-GB"/>
              </w:rPr>
              <w:t>[16</w:t>
            </w:r>
            <w:r w:rsidR="00DA6472" w:rsidRPr="009F42A4">
              <w:rPr>
                <w:rFonts w:ascii="Arial Narrow" w:hAnsi="Arial Narrow" w:cs="Arial"/>
                <w:sz w:val="24"/>
                <w:szCs w:val="24"/>
                <w:lang w:val="en-GB"/>
              </w:rPr>
              <w:t xml:space="preserve">]    </w:t>
            </w:r>
            <w:r w:rsidR="00401AE4">
              <w:rPr>
                <w:rFonts w:ascii="Arial Narrow" w:hAnsi="Arial Narrow" w:cs="Arial"/>
                <w:sz w:val="24"/>
                <w:szCs w:val="24"/>
                <w:lang w:val="en-GB"/>
              </w:rPr>
              <w:t xml:space="preserve">     </w:t>
            </w:r>
            <w:r w:rsidR="00E81D22" w:rsidRPr="009F42A4">
              <w:rPr>
                <w:rFonts w:ascii="Arial Narrow" w:hAnsi="Arial Narrow" w:cs="Arial"/>
                <w:sz w:val="24"/>
                <w:szCs w:val="24"/>
              </w:rPr>
              <w:t>The Court</w:t>
            </w:r>
            <w:r w:rsidR="000D39AD" w:rsidRPr="009F42A4">
              <w:rPr>
                <w:rFonts w:ascii="Arial Narrow" w:hAnsi="Arial Narrow" w:cs="Arial"/>
                <w:sz w:val="24"/>
                <w:szCs w:val="24"/>
              </w:rPr>
              <w:t xml:space="preserve"> is cognisant of the fact that a party must at least be granted an opportunity to set out his/her/its cause of action more clearly once an exception is upheld in order to remove the source of comp</w:t>
            </w:r>
            <w:r w:rsidR="00D72876" w:rsidRPr="009F42A4">
              <w:rPr>
                <w:rFonts w:ascii="Arial Narrow" w:hAnsi="Arial Narrow" w:cs="Arial"/>
                <w:sz w:val="24"/>
                <w:szCs w:val="24"/>
              </w:rPr>
              <w:t xml:space="preserve">lain where an </w:t>
            </w:r>
            <w:r w:rsidR="00141AE0" w:rsidRPr="009F42A4">
              <w:rPr>
                <w:rFonts w:ascii="Arial Narrow" w:hAnsi="Arial Narrow" w:cs="Arial"/>
                <w:sz w:val="24"/>
                <w:szCs w:val="24"/>
              </w:rPr>
              <w:t>exception i</w:t>
            </w:r>
            <w:r w:rsidR="00D72876" w:rsidRPr="009F42A4">
              <w:rPr>
                <w:rFonts w:ascii="Arial Narrow" w:hAnsi="Arial Narrow" w:cs="Arial"/>
                <w:sz w:val="24"/>
                <w:szCs w:val="24"/>
              </w:rPr>
              <w:t xml:space="preserve">s taken on the ground that the particulars of claim is vague and embarrassing. </w:t>
            </w:r>
            <w:r w:rsidR="00141AE0" w:rsidRPr="009F42A4">
              <w:rPr>
                <w:rFonts w:ascii="Arial Narrow" w:hAnsi="Arial Narrow" w:cs="Arial"/>
                <w:sz w:val="24"/>
                <w:szCs w:val="24"/>
              </w:rPr>
              <w:t xml:space="preserve">A </w:t>
            </w:r>
            <w:r w:rsidR="000B291E" w:rsidRPr="009F42A4">
              <w:rPr>
                <w:rFonts w:ascii="Arial Narrow" w:hAnsi="Arial Narrow" w:cs="Arial"/>
                <w:sz w:val="24"/>
                <w:szCs w:val="24"/>
              </w:rPr>
              <w:t>party must</w:t>
            </w:r>
            <w:r w:rsidR="00141AE0" w:rsidRPr="009F42A4">
              <w:rPr>
                <w:rFonts w:ascii="Arial Narrow" w:hAnsi="Arial Narrow" w:cs="Arial"/>
                <w:sz w:val="24"/>
                <w:szCs w:val="24"/>
              </w:rPr>
              <w:t xml:space="preserve"> be made aware of the shortcomings so that those shortcomings can be addressed in the subsequent</w:t>
            </w:r>
            <w:r w:rsidR="000B291E" w:rsidRPr="009F42A4">
              <w:rPr>
                <w:rFonts w:ascii="Arial Narrow" w:hAnsi="Arial Narrow" w:cs="Arial"/>
                <w:sz w:val="24"/>
                <w:szCs w:val="24"/>
              </w:rPr>
              <w:t xml:space="preserve"> </w:t>
            </w:r>
            <w:r w:rsidR="000B291E" w:rsidRPr="009F42A4">
              <w:rPr>
                <w:rFonts w:ascii="Arial Narrow" w:hAnsi="Arial Narrow" w:cs="Arial"/>
                <w:sz w:val="24"/>
                <w:szCs w:val="24"/>
              </w:rPr>
              <w:lastRenderedPageBreak/>
              <w:t>amended pleading. Having said that the Court is of the view that the respondent’s amended particulars of claim are still not sufficiently detailed and lack lucidity and thus embarrassing.</w:t>
            </w:r>
          </w:p>
          <w:p w:rsidR="00531BE0" w:rsidRPr="009F42A4" w:rsidRDefault="00531BE0" w:rsidP="00DA6472">
            <w:pPr>
              <w:spacing w:line="360" w:lineRule="auto"/>
              <w:jc w:val="both"/>
              <w:rPr>
                <w:rFonts w:ascii="Arial Narrow" w:hAnsi="Arial Narrow" w:cs="Arial"/>
                <w:sz w:val="24"/>
                <w:szCs w:val="24"/>
              </w:rPr>
            </w:pPr>
          </w:p>
          <w:p w:rsidR="00FF32F4" w:rsidRPr="009F42A4" w:rsidRDefault="00824AE7" w:rsidP="00AD29E2">
            <w:pPr>
              <w:spacing w:line="360" w:lineRule="auto"/>
              <w:jc w:val="both"/>
              <w:rPr>
                <w:rFonts w:ascii="Arial Narrow" w:hAnsi="Arial Narrow" w:cs="Arial"/>
                <w:sz w:val="24"/>
                <w:szCs w:val="24"/>
                <w:lang w:val="en-US"/>
              </w:rPr>
            </w:pPr>
            <w:r w:rsidRPr="009F42A4">
              <w:rPr>
                <w:rFonts w:ascii="Arial Narrow" w:hAnsi="Arial Narrow" w:cs="Arial"/>
                <w:sz w:val="24"/>
                <w:szCs w:val="24"/>
              </w:rPr>
              <w:t>[17</w:t>
            </w:r>
            <w:r w:rsidR="00531BE0" w:rsidRPr="009F42A4">
              <w:rPr>
                <w:rFonts w:ascii="Arial Narrow" w:hAnsi="Arial Narrow" w:cs="Arial"/>
                <w:sz w:val="24"/>
                <w:szCs w:val="24"/>
              </w:rPr>
              <w:t xml:space="preserve">]    </w:t>
            </w:r>
            <w:r w:rsidR="00401AE4">
              <w:rPr>
                <w:rFonts w:ascii="Arial Narrow" w:hAnsi="Arial Narrow" w:cs="Arial"/>
                <w:sz w:val="24"/>
                <w:szCs w:val="24"/>
              </w:rPr>
              <w:t xml:space="preserve">       </w:t>
            </w:r>
            <w:r w:rsidR="00531BE0" w:rsidRPr="009F42A4">
              <w:rPr>
                <w:rFonts w:ascii="Arial Narrow" w:hAnsi="Arial Narrow" w:cs="Arial"/>
                <w:sz w:val="24"/>
                <w:szCs w:val="24"/>
              </w:rPr>
              <w:t xml:space="preserve">I disagree with Mr </w:t>
            </w:r>
            <w:proofErr w:type="spellStart"/>
            <w:r w:rsidR="00531BE0" w:rsidRPr="009F42A4">
              <w:rPr>
                <w:rFonts w:ascii="Arial Narrow" w:hAnsi="Arial Narrow" w:cs="Arial"/>
                <w:sz w:val="24"/>
                <w:szCs w:val="24"/>
              </w:rPr>
              <w:t>Grobler’</w:t>
            </w:r>
            <w:r w:rsidR="00FF32F4" w:rsidRPr="009F42A4">
              <w:rPr>
                <w:rFonts w:ascii="Arial Narrow" w:hAnsi="Arial Narrow" w:cs="Arial"/>
                <w:sz w:val="24"/>
                <w:szCs w:val="24"/>
              </w:rPr>
              <w:t>s</w:t>
            </w:r>
            <w:proofErr w:type="spellEnd"/>
            <w:r w:rsidR="00FF32F4" w:rsidRPr="009F42A4">
              <w:rPr>
                <w:rFonts w:ascii="Arial Narrow" w:hAnsi="Arial Narrow" w:cs="Arial"/>
                <w:sz w:val="24"/>
                <w:szCs w:val="24"/>
              </w:rPr>
              <w:t xml:space="preserve"> position</w:t>
            </w:r>
            <w:r w:rsidR="00531BE0" w:rsidRPr="009F42A4">
              <w:rPr>
                <w:rFonts w:ascii="Arial Narrow" w:hAnsi="Arial Narrow" w:cs="Arial"/>
                <w:sz w:val="24"/>
                <w:szCs w:val="24"/>
              </w:rPr>
              <w:t xml:space="preserve"> that the insurance contract and the </w:t>
            </w:r>
            <w:proofErr w:type="spellStart"/>
            <w:r w:rsidR="00531BE0" w:rsidRPr="009F42A4">
              <w:rPr>
                <w:rFonts w:ascii="Arial Narrow" w:hAnsi="Arial Narrow" w:cs="Arial"/>
                <w:sz w:val="24"/>
                <w:szCs w:val="24"/>
              </w:rPr>
              <w:t>Trustco</w:t>
            </w:r>
            <w:proofErr w:type="spellEnd"/>
            <w:r w:rsidR="00531BE0" w:rsidRPr="009F42A4">
              <w:rPr>
                <w:rFonts w:ascii="Arial Narrow" w:hAnsi="Arial Narrow" w:cs="Arial"/>
                <w:sz w:val="24"/>
                <w:szCs w:val="24"/>
              </w:rPr>
              <w:t xml:space="preserve"> tariffs attached to the affidavit opposing summary judgment is sufficient and that it was not necessary to attach the said documents to the respondent’s particulars of claim as they formed part of the court file. The Court’s position is quite clear that parties stand and fall by their papers and are bound by the four corners of that particular pleading. The particulars of claim must be capable of being read independently and </w:t>
            </w:r>
            <w:r w:rsidR="00FF32F4" w:rsidRPr="009F42A4">
              <w:rPr>
                <w:rFonts w:ascii="Arial Narrow" w:hAnsi="Arial Narrow" w:cs="Arial"/>
                <w:sz w:val="24"/>
                <w:szCs w:val="24"/>
              </w:rPr>
              <w:t>separate</w:t>
            </w:r>
            <w:r w:rsidR="00531BE0" w:rsidRPr="009F42A4">
              <w:rPr>
                <w:rFonts w:ascii="Arial Narrow" w:hAnsi="Arial Narrow" w:cs="Arial"/>
                <w:sz w:val="24"/>
                <w:szCs w:val="24"/>
              </w:rPr>
              <w:t xml:space="preserve"> from the pleading relating to the summary judgment. </w:t>
            </w:r>
            <w:r w:rsidR="00AD29E2" w:rsidRPr="009F42A4">
              <w:rPr>
                <w:rFonts w:ascii="Arial Narrow" w:hAnsi="Arial Narrow" w:cs="Arial"/>
                <w:sz w:val="24"/>
                <w:szCs w:val="24"/>
              </w:rPr>
              <w:t xml:space="preserve">In this regard </w:t>
            </w:r>
            <w:r w:rsidR="00FF32F4" w:rsidRPr="009F42A4">
              <w:rPr>
                <w:rFonts w:ascii="Arial Narrow" w:hAnsi="Arial Narrow" w:cs="Arial"/>
                <w:sz w:val="24"/>
                <w:szCs w:val="24"/>
              </w:rPr>
              <w:t xml:space="preserve">I agree with the position of Damaseb DJP in the case of </w:t>
            </w:r>
            <w:r w:rsidR="00AD29E2" w:rsidRPr="009F42A4">
              <w:rPr>
                <w:rFonts w:ascii="Arial Narrow" w:hAnsi="Arial Narrow" w:cs="Arial"/>
                <w:i/>
                <w:sz w:val="24"/>
                <w:szCs w:val="24"/>
                <w:lang w:val="en-US"/>
              </w:rPr>
              <w:t>Coastal Fish Traders (Pty) Ltd v Wilson and Another</w:t>
            </w:r>
            <w:r w:rsidR="00AD29E2" w:rsidRPr="009F42A4">
              <w:rPr>
                <w:rStyle w:val="FootnoteReference"/>
                <w:rFonts w:ascii="Arial Narrow" w:hAnsi="Arial Narrow" w:cs="Arial"/>
                <w:sz w:val="24"/>
                <w:szCs w:val="24"/>
                <w:lang w:val="en-US"/>
              </w:rPr>
              <w:footnoteReference w:id="2"/>
            </w:r>
            <w:r w:rsidR="00AD29E2" w:rsidRPr="009F42A4">
              <w:rPr>
                <w:rFonts w:ascii="Arial Narrow" w:hAnsi="Arial Narrow" w:cs="Arial"/>
                <w:sz w:val="24"/>
                <w:szCs w:val="24"/>
                <w:lang w:val="en-US"/>
              </w:rPr>
              <w:t xml:space="preserve"> </w:t>
            </w:r>
            <w:r w:rsidR="00FF32F4" w:rsidRPr="009F42A4">
              <w:rPr>
                <w:rFonts w:ascii="Arial Narrow" w:hAnsi="Arial Narrow" w:cs="Arial"/>
                <w:sz w:val="24"/>
                <w:szCs w:val="24"/>
              </w:rPr>
              <w:t xml:space="preserve">wherein he cited Van </w:t>
            </w:r>
            <w:proofErr w:type="spellStart"/>
            <w:r w:rsidR="00FF32F4" w:rsidRPr="009F42A4">
              <w:rPr>
                <w:rFonts w:ascii="Arial Narrow" w:hAnsi="Arial Narrow" w:cs="Arial"/>
                <w:sz w:val="24"/>
                <w:szCs w:val="24"/>
              </w:rPr>
              <w:t>Blerk</w:t>
            </w:r>
            <w:proofErr w:type="spellEnd"/>
            <w:r w:rsidR="00FF32F4" w:rsidRPr="009F42A4">
              <w:rPr>
                <w:rFonts w:ascii="Arial Narrow" w:hAnsi="Arial Narrow" w:cs="Arial"/>
                <w:sz w:val="24"/>
                <w:szCs w:val="24"/>
              </w:rPr>
              <w:t xml:space="preserve"> </w:t>
            </w:r>
            <w:r w:rsidR="00FF32F4" w:rsidRPr="009F42A4">
              <w:rPr>
                <w:rFonts w:ascii="Arial Narrow" w:hAnsi="Arial Narrow" w:cs="Arial"/>
                <w:i/>
                <w:sz w:val="24"/>
                <w:szCs w:val="24"/>
              </w:rPr>
              <w:t>Legal Drafting Proceedings</w:t>
            </w:r>
            <w:r w:rsidR="00FF32F4" w:rsidRPr="009F42A4">
              <w:rPr>
                <w:rFonts w:ascii="Arial Narrow" w:hAnsi="Arial Narrow" w:cs="Arial"/>
                <w:sz w:val="24"/>
                <w:szCs w:val="24"/>
              </w:rPr>
              <w:t xml:space="preserve"> and held as follows: </w:t>
            </w:r>
          </w:p>
          <w:p w:rsidR="00FF32F4" w:rsidRPr="009F42A4" w:rsidRDefault="00FF32F4" w:rsidP="00FF32F4">
            <w:pPr>
              <w:spacing w:line="360" w:lineRule="auto"/>
              <w:jc w:val="both"/>
              <w:rPr>
                <w:rFonts w:ascii="Arial Narrow" w:hAnsi="Arial Narrow" w:cs="Arial"/>
                <w:sz w:val="24"/>
                <w:szCs w:val="24"/>
              </w:rPr>
            </w:pPr>
          </w:p>
          <w:p w:rsidR="00FF32F4" w:rsidRPr="009F42A4" w:rsidRDefault="00FF32F4" w:rsidP="00FF32F4">
            <w:pPr>
              <w:spacing w:line="360" w:lineRule="auto"/>
              <w:jc w:val="both"/>
              <w:rPr>
                <w:rFonts w:ascii="Arial Narrow" w:hAnsi="Arial Narrow" w:cs="Arial"/>
                <w:bCs/>
                <w:lang w:val="en-US"/>
              </w:rPr>
            </w:pPr>
            <w:r w:rsidRPr="009F42A4">
              <w:rPr>
                <w:rFonts w:ascii="Arial Narrow" w:hAnsi="Arial Narrow" w:cs="Arial"/>
              </w:rPr>
              <w:t xml:space="preserve">           ‘. . . The</w:t>
            </w:r>
            <w:r w:rsidRPr="009F42A4">
              <w:rPr>
                <w:rFonts w:ascii="Arial Narrow" w:hAnsi="Arial Narrow" w:cs="Arial"/>
                <w:bCs/>
                <w:lang w:val="en-US"/>
              </w:rPr>
              <w:t xml:space="preserve"> purpose of pleadings is to clarify, not obfuscate issues</w:t>
            </w:r>
            <w:r w:rsidR="00086A0E">
              <w:rPr>
                <w:rFonts w:ascii="Arial Narrow" w:hAnsi="Arial Narrow" w:cs="Arial"/>
                <w:bCs/>
                <w:lang w:val="en-US"/>
              </w:rPr>
              <w:t>’</w:t>
            </w:r>
            <w:r w:rsidRPr="009F42A4">
              <w:rPr>
                <w:rFonts w:ascii="Arial Narrow" w:hAnsi="Arial Narrow" w:cs="Arial"/>
                <w:bCs/>
                <w:lang w:val="en-US"/>
              </w:rPr>
              <w:t xml:space="preserve">.  I agree with and adopt the following statement by Peter Van </w:t>
            </w:r>
            <w:proofErr w:type="spellStart"/>
            <w:r w:rsidRPr="009F42A4">
              <w:rPr>
                <w:rFonts w:ascii="Arial Narrow" w:hAnsi="Arial Narrow" w:cs="Arial"/>
                <w:bCs/>
                <w:lang w:val="en-US"/>
              </w:rPr>
              <w:t>Blerk</w:t>
            </w:r>
            <w:proofErr w:type="spellEnd"/>
            <w:r w:rsidRPr="009F42A4">
              <w:rPr>
                <w:rFonts w:ascii="Arial Narrow" w:hAnsi="Arial Narrow" w:cs="Arial"/>
                <w:bCs/>
                <w:lang w:val="en-US"/>
              </w:rPr>
              <w:t xml:space="preserve"> in his work </w:t>
            </w:r>
            <w:r w:rsidRPr="009F42A4">
              <w:rPr>
                <w:rFonts w:ascii="Arial Narrow" w:hAnsi="Arial Narrow" w:cs="Arial"/>
                <w:bCs/>
                <w:i/>
                <w:lang w:val="en-US"/>
              </w:rPr>
              <w:t>“Legal Drafting:  Civil Proceedings”</w:t>
            </w:r>
            <w:r w:rsidRPr="009F42A4">
              <w:rPr>
                <w:rFonts w:ascii="Arial Narrow" w:hAnsi="Arial Narrow" w:cs="Arial"/>
                <w:bCs/>
                <w:lang w:val="en-US"/>
              </w:rPr>
              <w:t xml:space="preserve"> (1998), </w:t>
            </w:r>
            <w:proofErr w:type="spellStart"/>
            <w:r w:rsidRPr="009F42A4">
              <w:rPr>
                <w:rFonts w:ascii="Arial Narrow" w:hAnsi="Arial Narrow" w:cs="Arial"/>
                <w:bCs/>
                <w:lang w:val="en-US"/>
              </w:rPr>
              <w:t>Juta</w:t>
            </w:r>
            <w:proofErr w:type="spellEnd"/>
            <w:r w:rsidRPr="009F42A4">
              <w:rPr>
                <w:rFonts w:ascii="Arial Narrow" w:hAnsi="Arial Narrow" w:cs="Arial"/>
                <w:bCs/>
                <w:lang w:val="en-US"/>
              </w:rPr>
              <w:t xml:space="preserve"> at p.4:</w:t>
            </w:r>
          </w:p>
          <w:p w:rsidR="00FF32F4" w:rsidRPr="009F42A4" w:rsidRDefault="00FF32F4" w:rsidP="00FF32F4">
            <w:pPr>
              <w:spacing w:line="360" w:lineRule="auto"/>
              <w:jc w:val="both"/>
              <w:rPr>
                <w:rFonts w:ascii="Arial Narrow" w:hAnsi="Arial Narrow" w:cs="Arial"/>
                <w:bCs/>
                <w:lang w:val="en-US"/>
              </w:rPr>
            </w:pPr>
          </w:p>
          <w:p w:rsidR="00FF32F4" w:rsidRPr="009F42A4" w:rsidRDefault="00FF32F4" w:rsidP="00FF32F4">
            <w:pPr>
              <w:spacing w:line="360" w:lineRule="auto"/>
              <w:jc w:val="both"/>
              <w:rPr>
                <w:rFonts w:ascii="Arial Narrow" w:hAnsi="Arial Narrow" w:cs="Arial"/>
                <w:bCs/>
                <w:lang w:val="en-US"/>
              </w:rPr>
            </w:pPr>
            <w:r w:rsidRPr="009F42A4">
              <w:rPr>
                <w:rFonts w:ascii="Arial Narrow" w:hAnsi="Arial Narrow" w:cs="Arial"/>
                <w:bCs/>
                <w:lang w:val="en-US"/>
              </w:rPr>
              <w:t xml:space="preserve">“It is said that there are three reasons why pleadings are required:  firstly, for the parties to be informed of the issues in dispute between them so that they may prepare for trial; secondly, for the court to be informed of the issues so that it may know of the limits of the dispute before it; and, thirdly, so that the issues may be on record </w:t>
            </w:r>
            <w:proofErr w:type="spellStart"/>
            <w:r w:rsidRPr="009F42A4">
              <w:rPr>
                <w:rFonts w:ascii="Arial Narrow" w:hAnsi="Arial Narrow" w:cs="Arial"/>
                <w:bCs/>
                <w:lang w:val="en-US"/>
              </w:rPr>
              <w:t>lest</w:t>
            </w:r>
            <w:proofErr w:type="spellEnd"/>
            <w:r w:rsidRPr="009F42A4">
              <w:rPr>
                <w:rFonts w:ascii="Arial Narrow" w:hAnsi="Arial Narrow" w:cs="Arial"/>
                <w:bCs/>
                <w:lang w:val="en-US"/>
              </w:rPr>
              <w:t xml:space="preserve"> one or the other parties seek to reopen the same disputes after they have already become determined.  </w:t>
            </w:r>
          </w:p>
          <w:p w:rsidR="00FF32F4" w:rsidRPr="009F42A4" w:rsidRDefault="00FF32F4" w:rsidP="00FF32F4">
            <w:pPr>
              <w:spacing w:line="360" w:lineRule="auto"/>
              <w:jc w:val="both"/>
              <w:rPr>
                <w:rFonts w:ascii="Arial Narrow" w:hAnsi="Arial Narrow" w:cs="Arial"/>
                <w:bCs/>
                <w:lang w:val="en-US"/>
              </w:rPr>
            </w:pPr>
            <w:r w:rsidRPr="009F42A4">
              <w:rPr>
                <w:rFonts w:ascii="Arial Narrow" w:hAnsi="Arial Narrow" w:cs="Arial"/>
                <w:bCs/>
                <w:lang w:val="en-US"/>
              </w:rPr>
              <w:t>…</w:t>
            </w:r>
          </w:p>
          <w:p w:rsidR="00FF32F4" w:rsidRPr="009F42A4" w:rsidRDefault="00FF32F4" w:rsidP="00FF32F4">
            <w:pPr>
              <w:spacing w:line="360" w:lineRule="auto"/>
              <w:jc w:val="both"/>
              <w:rPr>
                <w:rFonts w:ascii="Arial Narrow" w:hAnsi="Arial Narrow" w:cs="Arial"/>
                <w:bCs/>
                <w:u w:val="single"/>
                <w:lang w:val="en-US"/>
              </w:rPr>
            </w:pPr>
            <w:r w:rsidRPr="009F42A4">
              <w:rPr>
                <w:rFonts w:ascii="Arial Narrow" w:hAnsi="Arial Narrow" w:cs="Arial"/>
                <w:bCs/>
                <w:lang w:val="en-US"/>
              </w:rPr>
              <w:t xml:space="preserve">To achieve these objectives, the pleadings must be prepared with as much precision as possible.  </w:t>
            </w:r>
            <w:r w:rsidRPr="009F42A4">
              <w:rPr>
                <w:rFonts w:ascii="Arial Narrow" w:hAnsi="Arial Narrow" w:cs="Arial"/>
                <w:bCs/>
                <w:u w:val="single"/>
                <w:lang w:val="en-US"/>
              </w:rPr>
              <w:t>There may be cases where the parties know precisely what is in dispute between them, but the judicial officer who is to hear the dispute will not know unless he or she is informed of it.  Pleadings present the opportunity to do just this.  The disputes must be recorded in the pleadings with sufficient precision to enable someone other than the combatants to ascertain what it is that is in dispute between them.</w:t>
            </w:r>
            <w:r w:rsidRPr="009F42A4">
              <w:rPr>
                <w:rFonts w:ascii="Arial Narrow" w:hAnsi="Arial Narrow" w:cs="Arial"/>
                <w:bCs/>
                <w:lang w:val="en-US"/>
              </w:rPr>
              <w:t>”  (My underlining)’</w:t>
            </w:r>
          </w:p>
          <w:p w:rsidR="00531BE0" w:rsidRPr="009F42A4" w:rsidRDefault="00531BE0" w:rsidP="00DA6472">
            <w:pPr>
              <w:spacing w:line="360" w:lineRule="auto"/>
              <w:jc w:val="both"/>
              <w:rPr>
                <w:rFonts w:ascii="Arial Narrow" w:hAnsi="Arial Narrow" w:cs="Arial"/>
                <w:sz w:val="24"/>
                <w:szCs w:val="24"/>
              </w:rPr>
            </w:pPr>
          </w:p>
          <w:p w:rsidR="0013189F" w:rsidRPr="009F42A4" w:rsidRDefault="00824AE7" w:rsidP="0013189F">
            <w:pPr>
              <w:spacing w:line="360" w:lineRule="auto"/>
              <w:jc w:val="both"/>
              <w:rPr>
                <w:rFonts w:ascii="Arial Narrow" w:hAnsi="Arial Narrow" w:cs="Arial"/>
                <w:sz w:val="24"/>
                <w:szCs w:val="24"/>
              </w:rPr>
            </w:pPr>
            <w:r w:rsidRPr="009F42A4">
              <w:rPr>
                <w:rFonts w:ascii="Arial Narrow" w:hAnsi="Arial Narrow" w:cs="Arial"/>
                <w:sz w:val="24"/>
                <w:szCs w:val="24"/>
              </w:rPr>
              <w:t>[18</w:t>
            </w:r>
            <w:r w:rsidR="003A2EC6" w:rsidRPr="009F42A4">
              <w:rPr>
                <w:rFonts w:ascii="Arial Narrow" w:hAnsi="Arial Narrow" w:cs="Arial"/>
                <w:sz w:val="24"/>
                <w:szCs w:val="24"/>
              </w:rPr>
              <w:t xml:space="preserve">]    </w:t>
            </w:r>
            <w:r w:rsidR="00401AE4">
              <w:rPr>
                <w:rFonts w:ascii="Arial Narrow" w:hAnsi="Arial Narrow" w:cs="Arial"/>
                <w:sz w:val="24"/>
                <w:szCs w:val="24"/>
              </w:rPr>
              <w:t xml:space="preserve">        </w:t>
            </w:r>
            <w:r w:rsidR="00F866E2" w:rsidRPr="009F42A4">
              <w:rPr>
                <w:rFonts w:ascii="Arial Narrow" w:hAnsi="Arial Narrow" w:cs="Arial"/>
                <w:sz w:val="24"/>
                <w:szCs w:val="24"/>
              </w:rPr>
              <w:t xml:space="preserve">Although the respondent argues that the applicant failed to show serious prejudice if the issues complaint </w:t>
            </w:r>
            <w:r w:rsidR="0013189F" w:rsidRPr="009F42A4">
              <w:rPr>
                <w:rFonts w:ascii="Arial Narrow" w:hAnsi="Arial Narrow" w:cs="Arial"/>
                <w:sz w:val="24"/>
                <w:szCs w:val="24"/>
              </w:rPr>
              <w:t>of were not expunged</w:t>
            </w:r>
            <w:r w:rsidR="00623748" w:rsidRPr="009F42A4">
              <w:rPr>
                <w:rFonts w:ascii="Arial Narrow" w:hAnsi="Arial Narrow" w:cs="Arial"/>
                <w:sz w:val="24"/>
                <w:szCs w:val="24"/>
              </w:rPr>
              <w:t>,</w:t>
            </w:r>
            <w:r w:rsidR="0013189F" w:rsidRPr="009F42A4">
              <w:rPr>
                <w:rFonts w:ascii="Arial Narrow" w:hAnsi="Arial Narrow" w:cs="Arial"/>
                <w:sz w:val="24"/>
                <w:szCs w:val="24"/>
              </w:rPr>
              <w:t xml:space="preserve"> the court in</w:t>
            </w:r>
            <w:r w:rsidR="00F866E2" w:rsidRPr="009F42A4">
              <w:rPr>
                <w:rFonts w:ascii="Arial Narrow" w:hAnsi="Arial Narrow" w:cs="Arial"/>
                <w:sz w:val="24"/>
                <w:szCs w:val="24"/>
              </w:rPr>
              <w:t xml:space="preserve"> </w:t>
            </w:r>
            <w:r w:rsidR="0013189F" w:rsidRPr="009F42A4">
              <w:rPr>
                <w:rFonts w:ascii="Arial Narrow" w:hAnsi="Arial Narrow" w:cs="Arial"/>
                <w:sz w:val="24"/>
                <w:szCs w:val="24"/>
                <w:lang w:val="af-ZA"/>
              </w:rPr>
              <w:t xml:space="preserve">In </w:t>
            </w:r>
            <w:r w:rsidR="0013189F" w:rsidRPr="009F42A4">
              <w:rPr>
                <w:rFonts w:ascii="Arial Narrow" w:hAnsi="Arial Narrow" w:cs="Arial"/>
                <w:i/>
                <w:sz w:val="24"/>
                <w:szCs w:val="24"/>
              </w:rPr>
              <w:t>Trope v South African Reserve Bank</w:t>
            </w:r>
            <w:r w:rsidR="0013189F" w:rsidRPr="009F42A4">
              <w:rPr>
                <w:rFonts w:ascii="Arial Narrow" w:hAnsi="Arial Narrow" w:cs="Arial"/>
                <w:i/>
                <w:sz w:val="24"/>
                <w:szCs w:val="24"/>
                <w:vertAlign w:val="superscript"/>
              </w:rPr>
              <w:footnoteReference w:id="3"/>
            </w:r>
            <w:r w:rsidR="0013189F" w:rsidRPr="009F42A4">
              <w:rPr>
                <w:rFonts w:ascii="Arial Narrow" w:hAnsi="Arial Narrow" w:cs="Arial"/>
                <w:sz w:val="24"/>
                <w:szCs w:val="24"/>
              </w:rPr>
              <w:t xml:space="preserve"> </w:t>
            </w:r>
            <w:r w:rsidR="00623748" w:rsidRPr="009F42A4">
              <w:rPr>
                <w:rFonts w:ascii="Arial Narrow" w:hAnsi="Arial Narrow" w:cs="Arial"/>
                <w:sz w:val="24"/>
                <w:szCs w:val="24"/>
              </w:rPr>
              <w:t xml:space="preserve">held </w:t>
            </w:r>
            <w:r w:rsidR="0013189F" w:rsidRPr="009F42A4">
              <w:rPr>
                <w:rFonts w:ascii="Arial Narrow" w:hAnsi="Arial Narrow" w:cs="Arial"/>
                <w:sz w:val="24"/>
                <w:szCs w:val="24"/>
              </w:rPr>
              <w:t xml:space="preserve">that: </w:t>
            </w:r>
          </w:p>
          <w:p w:rsidR="0013189F" w:rsidRPr="009F42A4" w:rsidRDefault="0013189F" w:rsidP="0013189F">
            <w:pPr>
              <w:spacing w:line="360" w:lineRule="auto"/>
              <w:jc w:val="both"/>
              <w:rPr>
                <w:rFonts w:ascii="Arial Narrow" w:hAnsi="Arial Narrow" w:cs="Arial"/>
                <w:sz w:val="24"/>
                <w:szCs w:val="24"/>
              </w:rPr>
            </w:pPr>
          </w:p>
          <w:p w:rsidR="0013189F" w:rsidRPr="009F42A4" w:rsidRDefault="0013189F" w:rsidP="0013189F">
            <w:pPr>
              <w:spacing w:line="360" w:lineRule="auto"/>
              <w:jc w:val="both"/>
              <w:rPr>
                <w:rFonts w:ascii="Arial Narrow" w:hAnsi="Arial Narrow" w:cs="Arial"/>
                <w:bCs/>
                <w:iCs/>
                <w:lang w:val="en-US"/>
              </w:rPr>
            </w:pPr>
            <w:r w:rsidRPr="009F42A4">
              <w:rPr>
                <w:rFonts w:ascii="Arial Narrow" w:hAnsi="Arial Narrow" w:cs="Arial"/>
              </w:rPr>
              <w:t xml:space="preserve">           ‘</w:t>
            </w:r>
            <w:r w:rsidRPr="009F42A4">
              <w:rPr>
                <w:rFonts w:ascii="Arial Narrow" w:hAnsi="Arial Narrow" w:cs="Arial"/>
                <w:iCs/>
                <w:lang w:val="en-US"/>
              </w:rPr>
              <w:t xml:space="preserve">As to whether there is prejudice, the ability of the excipient to produce an exception-proof plea is not the only, nor indeed the most important, test - see the remarks of </w:t>
            </w:r>
            <w:proofErr w:type="spellStart"/>
            <w:r w:rsidRPr="009F42A4">
              <w:rPr>
                <w:rFonts w:ascii="Arial Narrow" w:hAnsi="Arial Narrow" w:cs="Arial"/>
                <w:iCs/>
                <w:lang w:val="en-US"/>
              </w:rPr>
              <w:t>Conradie</w:t>
            </w:r>
            <w:proofErr w:type="spellEnd"/>
            <w:r w:rsidRPr="009F42A4">
              <w:rPr>
                <w:rFonts w:ascii="Arial Narrow" w:hAnsi="Arial Narrow" w:cs="Arial"/>
                <w:iCs/>
                <w:lang w:val="en-US"/>
              </w:rPr>
              <w:t xml:space="preserve"> J in</w:t>
            </w:r>
            <w:r w:rsidRPr="009F42A4">
              <w:rPr>
                <w:rFonts w:ascii="Arial Narrow" w:hAnsi="Arial Narrow" w:cs="Arial"/>
                <w:i/>
                <w:iCs/>
                <w:lang w:val="en-US"/>
              </w:rPr>
              <w:t xml:space="preserve"> </w:t>
            </w:r>
            <w:proofErr w:type="spellStart"/>
            <w:r w:rsidRPr="009F42A4">
              <w:rPr>
                <w:rFonts w:ascii="Arial Narrow" w:hAnsi="Arial Narrow" w:cs="Arial"/>
                <w:i/>
                <w:iCs/>
                <w:lang w:val="en-US"/>
              </w:rPr>
              <w:t>Levitan</w:t>
            </w:r>
            <w:proofErr w:type="spellEnd"/>
            <w:r w:rsidRPr="009F42A4">
              <w:rPr>
                <w:rFonts w:ascii="Arial Narrow" w:hAnsi="Arial Narrow" w:cs="Arial"/>
                <w:i/>
                <w:iCs/>
                <w:lang w:val="en-US"/>
              </w:rPr>
              <w:t xml:space="preserve"> v Newhaven Holiday Enterprises CC</w:t>
            </w:r>
            <w:r w:rsidRPr="009F42A4">
              <w:rPr>
                <w:rFonts w:ascii="Arial Narrow" w:hAnsi="Arial Narrow" w:cs="Arial"/>
                <w:iCs/>
                <w:lang w:val="en-US"/>
              </w:rPr>
              <w:t xml:space="preserve"> 1991 (2) SA 297 (C) at 298G-H. If that were the only test, the object of pleadings to enable parties to come to trial prepared to meet each other's case and not be taken by surprise may well be defeated.</w:t>
            </w:r>
            <w:r w:rsidRPr="009F42A4">
              <w:rPr>
                <w:rFonts w:ascii="Arial Narrow" w:hAnsi="Arial Narrow" w:cs="Arial"/>
                <w:bCs/>
                <w:iCs/>
                <w:lang w:val="en-US"/>
              </w:rPr>
              <w:t>’</w:t>
            </w:r>
          </w:p>
          <w:p w:rsidR="0013189F" w:rsidRPr="009F42A4" w:rsidRDefault="0013189F" w:rsidP="0013189F">
            <w:pPr>
              <w:spacing w:line="360" w:lineRule="auto"/>
              <w:jc w:val="both"/>
              <w:rPr>
                <w:rFonts w:ascii="Arial Narrow" w:hAnsi="Arial Narrow" w:cs="Arial"/>
                <w:sz w:val="24"/>
                <w:szCs w:val="24"/>
              </w:rPr>
            </w:pPr>
          </w:p>
          <w:p w:rsidR="0013189F" w:rsidRPr="009F42A4" w:rsidRDefault="00824AE7" w:rsidP="00DA6472">
            <w:pPr>
              <w:spacing w:line="360" w:lineRule="auto"/>
              <w:jc w:val="both"/>
              <w:rPr>
                <w:rFonts w:ascii="Arial Narrow" w:hAnsi="Arial Narrow" w:cs="Arial"/>
                <w:bCs/>
                <w:iCs/>
                <w:lang w:val="en-US"/>
              </w:rPr>
            </w:pPr>
            <w:r w:rsidRPr="009F42A4">
              <w:rPr>
                <w:rFonts w:ascii="Arial Narrow" w:hAnsi="Arial Narrow" w:cs="Arial"/>
                <w:sz w:val="24"/>
                <w:szCs w:val="24"/>
              </w:rPr>
              <w:lastRenderedPageBreak/>
              <w:t>[19</w:t>
            </w:r>
            <w:r w:rsidR="0013189F" w:rsidRPr="009F42A4">
              <w:rPr>
                <w:rFonts w:ascii="Arial Narrow" w:hAnsi="Arial Narrow" w:cs="Arial"/>
                <w:sz w:val="24"/>
                <w:szCs w:val="24"/>
              </w:rPr>
              <w:t xml:space="preserve">]      </w:t>
            </w:r>
            <w:r w:rsidR="00401AE4">
              <w:rPr>
                <w:rFonts w:ascii="Arial Narrow" w:hAnsi="Arial Narrow" w:cs="Arial"/>
                <w:sz w:val="24"/>
                <w:szCs w:val="24"/>
              </w:rPr>
              <w:t xml:space="preserve">  </w:t>
            </w:r>
            <w:r w:rsidR="00F866E2" w:rsidRPr="009F42A4">
              <w:rPr>
                <w:rFonts w:ascii="Arial Narrow" w:hAnsi="Arial Narrow" w:cs="Arial"/>
                <w:sz w:val="24"/>
                <w:szCs w:val="24"/>
              </w:rPr>
              <w:t>T</w:t>
            </w:r>
            <w:r w:rsidR="0013189F" w:rsidRPr="009F42A4">
              <w:rPr>
                <w:rFonts w:ascii="Arial Narrow" w:hAnsi="Arial Narrow" w:cs="Arial"/>
                <w:sz w:val="24"/>
                <w:szCs w:val="24"/>
              </w:rPr>
              <w:t>his</w:t>
            </w:r>
            <w:r w:rsidR="00F866E2" w:rsidRPr="009F42A4">
              <w:rPr>
                <w:rFonts w:ascii="Arial Narrow" w:hAnsi="Arial Narrow" w:cs="Arial"/>
                <w:sz w:val="24"/>
                <w:szCs w:val="24"/>
              </w:rPr>
              <w:t xml:space="preserve"> Court </w:t>
            </w:r>
            <w:r w:rsidR="00623748" w:rsidRPr="009F42A4">
              <w:rPr>
                <w:rFonts w:ascii="Arial Narrow" w:hAnsi="Arial Narrow" w:cs="Arial"/>
                <w:sz w:val="24"/>
                <w:szCs w:val="24"/>
              </w:rPr>
              <w:t>therefore</w:t>
            </w:r>
            <w:r w:rsidR="00F866E2" w:rsidRPr="009F42A4">
              <w:rPr>
                <w:rFonts w:ascii="Arial Narrow" w:hAnsi="Arial Narrow" w:cs="Arial"/>
                <w:sz w:val="24"/>
                <w:szCs w:val="24"/>
              </w:rPr>
              <w:t xml:space="preserve"> holds that a pleading may be vague if it fails to provide the degree of detail necessary in a particular case properly to inform the other party of the case being advanced</w:t>
            </w:r>
            <w:r w:rsidR="00F866E2" w:rsidRPr="009F42A4">
              <w:rPr>
                <w:rFonts w:ascii="Arial Narrow" w:hAnsi="Arial Narrow" w:cs="Arial"/>
                <w:sz w:val="24"/>
                <w:szCs w:val="24"/>
                <w:vertAlign w:val="superscript"/>
              </w:rPr>
              <w:footnoteReference w:id="4"/>
            </w:r>
            <w:r w:rsidR="00F866E2" w:rsidRPr="009F42A4">
              <w:rPr>
                <w:rFonts w:ascii="Arial Narrow" w:hAnsi="Arial Narrow" w:cs="Arial"/>
                <w:sz w:val="24"/>
                <w:szCs w:val="24"/>
              </w:rPr>
              <w:t xml:space="preserve">. The prejudice which will justify an exception is if the allegations in the particulars of claim are such that the defendant is unable to plead properly, and that is the main basis on which the applicant has raised the exceptions. </w:t>
            </w:r>
            <w:r w:rsidR="00EB7280" w:rsidRPr="009F42A4">
              <w:rPr>
                <w:rFonts w:ascii="Arial Narrow" w:hAnsi="Arial Narrow" w:cs="Arial"/>
                <w:sz w:val="24"/>
                <w:szCs w:val="24"/>
              </w:rPr>
              <w:t>The Court reiterates that the respondent would not know what to plead</w:t>
            </w:r>
            <w:r w:rsidR="00E614EE" w:rsidRPr="009F42A4">
              <w:rPr>
                <w:rFonts w:ascii="Arial Narrow" w:hAnsi="Arial Narrow" w:cs="Arial"/>
                <w:sz w:val="24"/>
                <w:szCs w:val="24"/>
              </w:rPr>
              <w:t xml:space="preserve"> to</w:t>
            </w:r>
            <w:r w:rsidR="00EB7280" w:rsidRPr="009F42A4">
              <w:rPr>
                <w:rFonts w:ascii="Arial Narrow" w:hAnsi="Arial Narrow" w:cs="Arial"/>
                <w:sz w:val="24"/>
                <w:szCs w:val="24"/>
              </w:rPr>
              <w:t xml:space="preserve"> and would be left to guess what material facts the plaintiff is relying on</w:t>
            </w:r>
            <w:r w:rsidR="00E614EE" w:rsidRPr="009F42A4">
              <w:rPr>
                <w:rFonts w:ascii="Arial Narrow" w:hAnsi="Arial Narrow" w:cs="Arial"/>
                <w:sz w:val="24"/>
                <w:szCs w:val="24"/>
              </w:rPr>
              <w:t xml:space="preserve"> as the amended particulars of claim remain</w:t>
            </w:r>
            <w:r w:rsidR="002C6BF3" w:rsidRPr="009F42A4">
              <w:rPr>
                <w:rFonts w:ascii="Arial Narrow" w:hAnsi="Arial Narrow" w:cs="Arial"/>
                <w:sz w:val="24"/>
                <w:szCs w:val="24"/>
              </w:rPr>
              <w:t>s</w:t>
            </w:r>
            <w:r w:rsidR="00E614EE" w:rsidRPr="009F42A4">
              <w:rPr>
                <w:rFonts w:ascii="Arial Narrow" w:hAnsi="Arial Narrow" w:cs="Arial"/>
                <w:sz w:val="24"/>
                <w:szCs w:val="24"/>
              </w:rPr>
              <w:t xml:space="preserve"> vague and embarrassing. </w:t>
            </w:r>
          </w:p>
          <w:p w:rsidR="0013189F" w:rsidRPr="009F42A4" w:rsidRDefault="0013189F" w:rsidP="00DA6472">
            <w:pPr>
              <w:spacing w:line="360" w:lineRule="auto"/>
              <w:jc w:val="both"/>
              <w:rPr>
                <w:rFonts w:ascii="Arial Narrow" w:hAnsi="Arial Narrow" w:cs="Arial"/>
                <w:sz w:val="24"/>
                <w:szCs w:val="24"/>
              </w:rPr>
            </w:pPr>
          </w:p>
          <w:p w:rsidR="003A2EC6" w:rsidRPr="009F42A4" w:rsidRDefault="00824AE7" w:rsidP="00DA6472">
            <w:pPr>
              <w:spacing w:line="360" w:lineRule="auto"/>
              <w:jc w:val="both"/>
              <w:rPr>
                <w:rFonts w:ascii="Arial Narrow" w:hAnsi="Arial Narrow" w:cs="Arial"/>
                <w:sz w:val="24"/>
                <w:szCs w:val="24"/>
              </w:rPr>
            </w:pPr>
            <w:r w:rsidRPr="009F42A4">
              <w:rPr>
                <w:rFonts w:ascii="Arial Narrow" w:hAnsi="Arial Narrow" w:cs="Arial"/>
                <w:sz w:val="24"/>
                <w:szCs w:val="24"/>
              </w:rPr>
              <w:t>[20</w:t>
            </w:r>
            <w:r w:rsidR="0013189F" w:rsidRPr="009F42A4">
              <w:rPr>
                <w:rFonts w:ascii="Arial Narrow" w:hAnsi="Arial Narrow" w:cs="Arial"/>
                <w:sz w:val="24"/>
                <w:szCs w:val="24"/>
              </w:rPr>
              <w:t xml:space="preserve">]      </w:t>
            </w:r>
            <w:r w:rsidR="00401AE4">
              <w:rPr>
                <w:rFonts w:ascii="Arial Narrow" w:hAnsi="Arial Narrow" w:cs="Arial"/>
                <w:sz w:val="24"/>
                <w:szCs w:val="24"/>
              </w:rPr>
              <w:t xml:space="preserve">       </w:t>
            </w:r>
            <w:r w:rsidR="00E614EE" w:rsidRPr="009F42A4">
              <w:rPr>
                <w:rFonts w:ascii="Arial Narrow" w:hAnsi="Arial Narrow" w:cs="Arial"/>
                <w:sz w:val="24"/>
                <w:szCs w:val="24"/>
              </w:rPr>
              <w:t xml:space="preserve">As a result the </w:t>
            </w:r>
            <w:r w:rsidR="00EB7280" w:rsidRPr="009F42A4">
              <w:rPr>
                <w:rFonts w:ascii="Arial Narrow" w:hAnsi="Arial Narrow" w:cs="Arial"/>
                <w:sz w:val="24"/>
                <w:szCs w:val="24"/>
              </w:rPr>
              <w:t>exception must be upheld</w:t>
            </w:r>
            <w:r w:rsidR="005F7261" w:rsidRPr="009F42A4">
              <w:rPr>
                <w:rFonts w:ascii="Arial Narrow" w:hAnsi="Arial Narrow" w:cs="Arial"/>
                <w:sz w:val="24"/>
                <w:szCs w:val="24"/>
              </w:rPr>
              <w:t xml:space="preserve"> with costs</w:t>
            </w:r>
            <w:r w:rsidR="00EB7280" w:rsidRPr="009F42A4">
              <w:rPr>
                <w:rFonts w:ascii="Arial Narrow" w:hAnsi="Arial Narrow" w:cs="Arial"/>
                <w:sz w:val="24"/>
                <w:szCs w:val="24"/>
              </w:rPr>
              <w:t>.</w:t>
            </w:r>
          </w:p>
          <w:p w:rsidR="00991780" w:rsidRPr="009F42A4" w:rsidRDefault="00991780" w:rsidP="00DA6472">
            <w:pPr>
              <w:spacing w:line="360" w:lineRule="auto"/>
              <w:jc w:val="both"/>
              <w:rPr>
                <w:rFonts w:ascii="Arial Narrow" w:hAnsi="Arial Narrow" w:cs="Arial"/>
                <w:sz w:val="24"/>
                <w:szCs w:val="24"/>
                <w:lang w:val="en-US"/>
              </w:rPr>
            </w:pPr>
          </w:p>
          <w:p w:rsidR="00DA6472" w:rsidRPr="009F42A4" w:rsidRDefault="00824AE7" w:rsidP="0013189F">
            <w:pPr>
              <w:spacing w:line="360" w:lineRule="auto"/>
              <w:jc w:val="both"/>
              <w:rPr>
                <w:rFonts w:ascii="Arial Narrow" w:hAnsi="Arial Narrow" w:cs="Arial"/>
                <w:sz w:val="24"/>
                <w:szCs w:val="24"/>
                <w:lang w:val="en-US"/>
              </w:rPr>
            </w:pPr>
            <w:r w:rsidRPr="009F42A4">
              <w:rPr>
                <w:rFonts w:ascii="Arial Narrow" w:hAnsi="Arial Narrow" w:cs="Arial"/>
                <w:sz w:val="24"/>
                <w:szCs w:val="24"/>
                <w:lang w:val="en-US"/>
              </w:rPr>
              <w:t>[21</w:t>
            </w:r>
            <w:r w:rsidR="003B4C2A" w:rsidRPr="009F42A4">
              <w:rPr>
                <w:rFonts w:ascii="Arial Narrow" w:hAnsi="Arial Narrow" w:cs="Arial"/>
                <w:sz w:val="24"/>
                <w:szCs w:val="24"/>
                <w:lang w:val="en-US"/>
              </w:rPr>
              <w:t>]</w:t>
            </w:r>
            <w:r w:rsidR="00CF3B2E" w:rsidRPr="009F42A4">
              <w:rPr>
                <w:rFonts w:ascii="Arial Narrow" w:hAnsi="Arial Narrow" w:cs="Arial"/>
                <w:sz w:val="24"/>
                <w:szCs w:val="24"/>
                <w:lang w:val="en-US"/>
              </w:rPr>
              <w:t xml:space="preserve">     </w:t>
            </w:r>
            <w:r w:rsidR="00401AE4">
              <w:rPr>
                <w:rFonts w:ascii="Arial Narrow" w:hAnsi="Arial Narrow" w:cs="Arial"/>
                <w:sz w:val="24"/>
                <w:szCs w:val="24"/>
                <w:lang w:val="en-US"/>
              </w:rPr>
              <w:t xml:space="preserve">        </w:t>
            </w:r>
            <w:r w:rsidR="00711F43" w:rsidRPr="009F42A4">
              <w:rPr>
                <w:rFonts w:ascii="Arial Narrow" w:hAnsi="Arial Narrow" w:cs="Arial"/>
                <w:sz w:val="24"/>
                <w:szCs w:val="24"/>
                <w:lang w:val="en-US"/>
              </w:rPr>
              <w:t>My order is</w:t>
            </w:r>
            <w:r w:rsidR="00571AC1" w:rsidRPr="009F42A4">
              <w:rPr>
                <w:rFonts w:ascii="Arial Narrow" w:hAnsi="Arial Narrow" w:cs="Arial"/>
                <w:sz w:val="24"/>
                <w:szCs w:val="24"/>
                <w:lang w:val="en-US"/>
              </w:rPr>
              <w:t xml:space="preserve"> as</w:t>
            </w:r>
            <w:r w:rsidR="006A6F65" w:rsidRPr="009F42A4">
              <w:rPr>
                <w:rFonts w:ascii="Arial Narrow" w:hAnsi="Arial Narrow" w:cs="Arial"/>
                <w:sz w:val="24"/>
                <w:szCs w:val="24"/>
                <w:lang w:val="en-US"/>
              </w:rPr>
              <w:t xml:space="preserve"> </w:t>
            </w:r>
            <w:r w:rsidR="00571AC1" w:rsidRPr="009F42A4">
              <w:rPr>
                <w:rFonts w:ascii="Arial Narrow" w:hAnsi="Arial Narrow" w:cs="Arial"/>
                <w:sz w:val="24"/>
                <w:szCs w:val="24"/>
                <w:lang w:val="en-US"/>
              </w:rPr>
              <w:t xml:space="preserve">set out </w:t>
            </w:r>
            <w:r w:rsidR="00AB77A2" w:rsidRPr="009F42A4">
              <w:rPr>
                <w:rFonts w:ascii="Arial Narrow" w:hAnsi="Arial Narrow" w:cs="Arial"/>
                <w:sz w:val="24"/>
                <w:szCs w:val="24"/>
                <w:lang w:val="en-US"/>
              </w:rPr>
              <w:t>above.</w:t>
            </w:r>
          </w:p>
          <w:p w:rsidR="00DA6472" w:rsidRPr="009F42A4" w:rsidRDefault="00DA6472" w:rsidP="00DA6472">
            <w:pPr>
              <w:spacing w:line="360" w:lineRule="auto"/>
              <w:jc w:val="center"/>
              <w:rPr>
                <w:rFonts w:ascii="Arial Narrow" w:hAnsi="Arial Narrow" w:cs="Arial"/>
                <w:sz w:val="24"/>
                <w:szCs w:val="24"/>
              </w:rPr>
            </w:pPr>
          </w:p>
        </w:tc>
      </w:tr>
      <w:tr w:rsidR="009F42A4" w:rsidRPr="009F42A4" w:rsidTr="0092129C">
        <w:tc>
          <w:tcPr>
            <w:tcW w:w="4770" w:type="dxa"/>
          </w:tcPr>
          <w:p w:rsidR="00D26CB5" w:rsidRPr="009F42A4" w:rsidRDefault="00A8443D" w:rsidP="00DA6472">
            <w:pPr>
              <w:spacing w:line="360" w:lineRule="auto"/>
              <w:jc w:val="center"/>
              <w:rPr>
                <w:rFonts w:ascii="Arial Narrow" w:hAnsi="Arial Narrow" w:cs="Arial"/>
                <w:b/>
                <w:sz w:val="24"/>
                <w:szCs w:val="24"/>
              </w:rPr>
            </w:pPr>
            <w:r w:rsidRPr="009F42A4">
              <w:rPr>
                <w:rFonts w:ascii="Arial Narrow" w:hAnsi="Arial Narrow" w:cs="Arial"/>
                <w:b/>
                <w:sz w:val="24"/>
                <w:szCs w:val="24"/>
              </w:rPr>
              <w:lastRenderedPageBreak/>
              <w:t xml:space="preserve"> </w:t>
            </w:r>
            <w:r w:rsidR="00D926C9" w:rsidRPr="009F42A4">
              <w:rPr>
                <w:rFonts w:ascii="Arial Narrow" w:hAnsi="Arial Narrow" w:cs="Arial"/>
                <w:b/>
                <w:sz w:val="24"/>
                <w:szCs w:val="24"/>
              </w:rPr>
              <w:t>Judge’s signature</w:t>
            </w:r>
          </w:p>
        </w:tc>
        <w:tc>
          <w:tcPr>
            <w:tcW w:w="4950" w:type="dxa"/>
            <w:gridSpan w:val="2"/>
          </w:tcPr>
          <w:p w:rsidR="00D26CB5" w:rsidRPr="009F42A4" w:rsidRDefault="00D26CB5" w:rsidP="00DA6472">
            <w:pPr>
              <w:spacing w:line="360" w:lineRule="auto"/>
              <w:jc w:val="center"/>
              <w:rPr>
                <w:rFonts w:ascii="Arial Narrow" w:hAnsi="Arial Narrow" w:cs="Arial"/>
                <w:b/>
                <w:sz w:val="24"/>
                <w:szCs w:val="24"/>
              </w:rPr>
            </w:pPr>
            <w:r w:rsidRPr="009F42A4">
              <w:rPr>
                <w:rFonts w:ascii="Arial Narrow" w:hAnsi="Arial Narrow" w:cs="Arial"/>
                <w:b/>
                <w:sz w:val="24"/>
                <w:szCs w:val="24"/>
              </w:rPr>
              <w:t>Note to the parties:</w:t>
            </w:r>
          </w:p>
        </w:tc>
      </w:tr>
      <w:tr w:rsidR="009F42A4" w:rsidRPr="009F42A4" w:rsidTr="0092129C">
        <w:trPr>
          <w:trHeight w:val="1114"/>
        </w:trPr>
        <w:tc>
          <w:tcPr>
            <w:tcW w:w="4770" w:type="dxa"/>
          </w:tcPr>
          <w:p w:rsidR="00D26CB5" w:rsidRPr="009F42A4" w:rsidRDefault="00D26CB5" w:rsidP="00DA6472">
            <w:pPr>
              <w:spacing w:line="360" w:lineRule="auto"/>
              <w:jc w:val="both"/>
              <w:rPr>
                <w:rFonts w:ascii="Arial Narrow" w:hAnsi="Arial Narrow" w:cs="Arial"/>
                <w:sz w:val="24"/>
                <w:szCs w:val="24"/>
              </w:rPr>
            </w:pPr>
          </w:p>
          <w:p w:rsidR="00D26CB5" w:rsidRPr="009F42A4" w:rsidRDefault="00D26CB5" w:rsidP="00DA6472">
            <w:pPr>
              <w:spacing w:line="360" w:lineRule="auto"/>
              <w:jc w:val="both"/>
              <w:rPr>
                <w:rFonts w:ascii="Arial Narrow" w:hAnsi="Arial Narrow" w:cs="Arial"/>
                <w:sz w:val="24"/>
                <w:szCs w:val="24"/>
              </w:rPr>
            </w:pPr>
          </w:p>
          <w:p w:rsidR="002B4E8C" w:rsidRPr="009F42A4" w:rsidRDefault="002B4E8C" w:rsidP="00DA6472">
            <w:pPr>
              <w:spacing w:line="360" w:lineRule="auto"/>
              <w:jc w:val="both"/>
              <w:rPr>
                <w:rFonts w:ascii="Arial Narrow" w:hAnsi="Arial Narrow" w:cs="Arial"/>
                <w:sz w:val="24"/>
                <w:szCs w:val="24"/>
              </w:rPr>
            </w:pPr>
          </w:p>
          <w:p w:rsidR="00D26CB5" w:rsidRPr="009F42A4" w:rsidRDefault="00D26CB5" w:rsidP="00DA6472">
            <w:pPr>
              <w:spacing w:line="360" w:lineRule="auto"/>
              <w:jc w:val="both"/>
              <w:rPr>
                <w:rFonts w:ascii="Arial Narrow" w:hAnsi="Arial Narrow" w:cs="Arial"/>
                <w:sz w:val="24"/>
                <w:szCs w:val="24"/>
              </w:rPr>
            </w:pPr>
          </w:p>
        </w:tc>
        <w:tc>
          <w:tcPr>
            <w:tcW w:w="4950" w:type="dxa"/>
            <w:gridSpan w:val="2"/>
          </w:tcPr>
          <w:p w:rsidR="00D26CB5" w:rsidRPr="009F42A4" w:rsidRDefault="00D26CB5" w:rsidP="00DA6472">
            <w:pPr>
              <w:spacing w:line="360" w:lineRule="auto"/>
              <w:jc w:val="both"/>
              <w:rPr>
                <w:rFonts w:ascii="Arial Narrow" w:hAnsi="Arial Narrow" w:cs="Arial"/>
                <w:sz w:val="24"/>
                <w:szCs w:val="24"/>
              </w:rPr>
            </w:pPr>
            <w:r w:rsidRPr="009F42A4">
              <w:rPr>
                <w:rFonts w:ascii="Arial Narrow" w:hAnsi="Arial Narrow" w:cs="Arial"/>
                <w:sz w:val="24"/>
                <w:szCs w:val="24"/>
              </w:rPr>
              <w:t>Not applicable.</w:t>
            </w:r>
          </w:p>
        </w:tc>
      </w:tr>
      <w:tr w:rsidR="009F42A4" w:rsidRPr="009F42A4" w:rsidTr="0092129C">
        <w:tc>
          <w:tcPr>
            <w:tcW w:w="9720" w:type="dxa"/>
            <w:gridSpan w:val="3"/>
          </w:tcPr>
          <w:p w:rsidR="00D26CB5" w:rsidRPr="009F42A4" w:rsidRDefault="00D26CB5" w:rsidP="00DA6472">
            <w:pPr>
              <w:spacing w:line="360" w:lineRule="auto"/>
              <w:jc w:val="center"/>
              <w:rPr>
                <w:rFonts w:ascii="Arial Narrow" w:hAnsi="Arial Narrow" w:cs="Arial"/>
                <w:b/>
                <w:sz w:val="24"/>
                <w:szCs w:val="24"/>
              </w:rPr>
            </w:pPr>
            <w:r w:rsidRPr="009F42A4">
              <w:rPr>
                <w:rFonts w:ascii="Arial Narrow" w:hAnsi="Arial Narrow" w:cs="Arial"/>
                <w:b/>
                <w:sz w:val="24"/>
                <w:szCs w:val="24"/>
              </w:rPr>
              <w:t>Counsel:</w:t>
            </w:r>
          </w:p>
        </w:tc>
      </w:tr>
      <w:tr w:rsidR="009F42A4" w:rsidRPr="009F42A4" w:rsidTr="0092129C">
        <w:tc>
          <w:tcPr>
            <w:tcW w:w="4770" w:type="dxa"/>
          </w:tcPr>
          <w:p w:rsidR="00D26CB5" w:rsidRPr="009F42A4" w:rsidRDefault="008B2C30" w:rsidP="00DA6472">
            <w:pPr>
              <w:spacing w:line="360" w:lineRule="auto"/>
              <w:jc w:val="center"/>
              <w:rPr>
                <w:rFonts w:ascii="Arial Narrow" w:hAnsi="Arial Narrow" w:cs="Arial"/>
                <w:b/>
                <w:sz w:val="24"/>
                <w:szCs w:val="24"/>
              </w:rPr>
            </w:pPr>
            <w:r w:rsidRPr="009F42A4">
              <w:rPr>
                <w:rFonts w:ascii="Arial Narrow" w:hAnsi="Arial Narrow" w:cs="Arial"/>
                <w:b/>
                <w:sz w:val="24"/>
                <w:szCs w:val="24"/>
              </w:rPr>
              <w:t xml:space="preserve">Applicant </w:t>
            </w:r>
          </w:p>
        </w:tc>
        <w:tc>
          <w:tcPr>
            <w:tcW w:w="4950" w:type="dxa"/>
            <w:gridSpan w:val="2"/>
          </w:tcPr>
          <w:p w:rsidR="00D26CB5" w:rsidRPr="009F42A4" w:rsidRDefault="00D26CB5" w:rsidP="00DA6472">
            <w:pPr>
              <w:spacing w:line="360" w:lineRule="auto"/>
              <w:jc w:val="center"/>
              <w:rPr>
                <w:rFonts w:ascii="Arial Narrow" w:hAnsi="Arial Narrow" w:cs="Arial"/>
                <w:b/>
                <w:sz w:val="24"/>
                <w:szCs w:val="24"/>
              </w:rPr>
            </w:pPr>
            <w:r w:rsidRPr="009F42A4">
              <w:rPr>
                <w:rFonts w:ascii="Arial Narrow" w:hAnsi="Arial Narrow" w:cs="Arial"/>
                <w:b/>
                <w:sz w:val="24"/>
                <w:szCs w:val="24"/>
              </w:rPr>
              <w:t xml:space="preserve"> Respondent</w:t>
            </w:r>
            <w:r w:rsidR="00567A34" w:rsidRPr="009F42A4">
              <w:rPr>
                <w:rFonts w:ascii="Arial Narrow" w:hAnsi="Arial Narrow" w:cs="Arial"/>
                <w:b/>
                <w:sz w:val="24"/>
                <w:szCs w:val="24"/>
              </w:rPr>
              <w:t xml:space="preserve"> </w:t>
            </w:r>
          </w:p>
        </w:tc>
      </w:tr>
      <w:tr w:rsidR="009F42A4" w:rsidRPr="009F42A4" w:rsidTr="0092129C">
        <w:tc>
          <w:tcPr>
            <w:tcW w:w="4770" w:type="dxa"/>
          </w:tcPr>
          <w:p w:rsidR="00D26CB5" w:rsidRPr="009F42A4" w:rsidRDefault="008B2C30" w:rsidP="00DA6472">
            <w:pPr>
              <w:spacing w:line="360" w:lineRule="auto"/>
              <w:jc w:val="center"/>
              <w:rPr>
                <w:rFonts w:ascii="Arial Narrow" w:hAnsi="Arial Narrow" w:cs="Arial"/>
                <w:sz w:val="24"/>
                <w:szCs w:val="24"/>
              </w:rPr>
            </w:pPr>
            <w:r w:rsidRPr="009F42A4">
              <w:rPr>
                <w:rFonts w:ascii="Arial Narrow" w:hAnsi="Arial Narrow" w:cs="Arial"/>
                <w:sz w:val="24"/>
                <w:szCs w:val="24"/>
              </w:rPr>
              <w:t>Ms P Theron</w:t>
            </w:r>
            <w:r w:rsidR="006117D4" w:rsidRPr="009F42A4">
              <w:rPr>
                <w:rFonts w:ascii="Arial Narrow" w:hAnsi="Arial Narrow" w:cs="Arial"/>
                <w:sz w:val="24"/>
                <w:szCs w:val="24"/>
              </w:rPr>
              <w:t xml:space="preserve"> </w:t>
            </w:r>
          </w:p>
          <w:p w:rsidR="008B2C30" w:rsidRPr="009F42A4" w:rsidRDefault="006117D4" w:rsidP="00DA6472">
            <w:pPr>
              <w:spacing w:line="360" w:lineRule="auto"/>
              <w:jc w:val="center"/>
              <w:rPr>
                <w:rFonts w:ascii="Arial Narrow" w:hAnsi="Arial Narrow" w:cs="Arial"/>
                <w:sz w:val="24"/>
                <w:szCs w:val="24"/>
              </w:rPr>
            </w:pPr>
            <w:r w:rsidRPr="009F42A4">
              <w:rPr>
                <w:rFonts w:ascii="Arial Narrow" w:hAnsi="Arial Narrow" w:cs="Arial"/>
                <w:sz w:val="24"/>
                <w:szCs w:val="24"/>
              </w:rPr>
              <w:t xml:space="preserve">Of </w:t>
            </w:r>
            <w:r w:rsidR="00D926C9" w:rsidRPr="009F42A4">
              <w:rPr>
                <w:rFonts w:ascii="Arial Narrow" w:hAnsi="Arial Narrow" w:cs="Arial"/>
                <w:sz w:val="24"/>
                <w:szCs w:val="24"/>
              </w:rPr>
              <w:t xml:space="preserve"> </w:t>
            </w:r>
          </w:p>
          <w:p w:rsidR="00D926C9" w:rsidRPr="009F42A4" w:rsidRDefault="008B2C30" w:rsidP="00DA6472">
            <w:pPr>
              <w:spacing w:line="360" w:lineRule="auto"/>
              <w:jc w:val="center"/>
              <w:rPr>
                <w:rFonts w:ascii="Arial Narrow" w:hAnsi="Arial Narrow" w:cs="Arial"/>
                <w:sz w:val="24"/>
                <w:szCs w:val="24"/>
              </w:rPr>
            </w:pPr>
            <w:r w:rsidRPr="009F42A4">
              <w:rPr>
                <w:rFonts w:ascii="Arial Narrow" w:hAnsi="Arial Narrow" w:cs="Arial"/>
                <w:sz w:val="24"/>
                <w:szCs w:val="24"/>
              </w:rPr>
              <w:t>PD Theron &amp; Associates</w:t>
            </w:r>
            <w:r w:rsidR="006117D4" w:rsidRPr="009F42A4">
              <w:rPr>
                <w:rFonts w:ascii="Arial Narrow" w:hAnsi="Arial Narrow" w:cs="Arial"/>
                <w:sz w:val="24"/>
                <w:szCs w:val="24"/>
              </w:rPr>
              <w:t xml:space="preserve"> </w:t>
            </w:r>
          </w:p>
        </w:tc>
        <w:tc>
          <w:tcPr>
            <w:tcW w:w="4950" w:type="dxa"/>
            <w:gridSpan w:val="2"/>
          </w:tcPr>
          <w:p w:rsidR="00D26CB5" w:rsidRPr="009F42A4" w:rsidRDefault="005B3909" w:rsidP="00DA6472">
            <w:pPr>
              <w:spacing w:line="360" w:lineRule="auto"/>
              <w:jc w:val="center"/>
              <w:rPr>
                <w:rFonts w:ascii="Arial Narrow" w:hAnsi="Arial Narrow" w:cs="Arial"/>
                <w:sz w:val="24"/>
                <w:szCs w:val="24"/>
              </w:rPr>
            </w:pPr>
            <w:r w:rsidRPr="009F42A4">
              <w:rPr>
                <w:rFonts w:ascii="Arial Narrow" w:hAnsi="Arial Narrow" w:cs="Arial"/>
                <w:sz w:val="24"/>
                <w:szCs w:val="24"/>
              </w:rPr>
              <w:t>Mr</w:t>
            </w:r>
            <w:r w:rsidR="008B2C30" w:rsidRPr="009F42A4">
              <w:rPr>
                <w:rFonts w:ascii="Arial Narrow" w:hAnsi="Arial Narrow" w:cs="Arial"/>
                <w:sz w:val="24"/>
                <w:szCs w:val="24"/>
              </w:rPr>
              <w:t xml:space="preserve"> Z </w:t>
            </w:r>
            <w:proofErr w:type="spellStart"/>
            <w:r w:rsidR="008B2C30" w:rsidRPr="009F42A4">
              <w:rPr>
                <w:rFonts w:ascii="Arial Narrow" w:hAnsi="Arial Narrow" w:cs="Arial"/>
                <w:sz w:val="24"/>
                <w:szCs w:val="24"/>
              </w:rPr>
              <w:t>Grobler</w:t>
            </w:r>
            <w:proofErr w:type="spellEnd"/>
          </w:p>
          <w:p w:rsidR="00F8299A" w:rsidRPr="009F42A4" w:rsidRDefault="00F8299A" w:rsidP="00DA6472">
            <w:pPr>
              <w:spacing w:line="360" w:lineRule="auto"/>
              <w:jc w:val="center"/>
              <w:rPr>
                <w:rFonts w:ascii="Arial Narrow" w:hAnsi="Arial Narrow" w:cs="Arial"/>
                <w:sz w:val="24"/>
                <w:szCs w:val="24"/>
              </w:rPr>
            </w:pPr>
            <w:r w:rsidRPr="009F42A4">
              <w:rPr>
                <w:rFonts w:ascii="Arial Narrow" w:hAnsi="Arial Narrow" w:cs="Arial"/>
                <w:sz w:val="24"/>
                <w:szCs w:val="24"/>
              </w:rPr>
              <w:t xml:space="preserve">Of </w:t>
            </w:r>
          </w:p>
          <w:p w:rsidR="006117D4" w:rsidRPr="009F42A4" w:rsidRDefault="008B2C30" w:rsidP="00DA6472">
            <w:pPr>
              <w:spacing w:line="360" w:lineRule="auto"/>
              <w:jc w:val="center"/>
              <w:rPr>
                <w:rFonts w:ascii="Arial Narrow" w:hAnsi="Arial Narrow" w:cs="Arial"/>
                <w:sz w:val="24"/>
                <w:szCs w:val="24"/>
              </w:rPr>
            </w:pPr>
            <w:proofErr w:type="spellStart"/>
            <w:r w:rsidRPr="009F42A4">
              <w:rPr>
                <w:rFonts w:ascii="Arial Narrow" w:hAnsi="Arial Narrow" w:cs="Arial"/>
                <w:sz w:val="24"/>
                <w:szCs w:val="24"/>
              </w:rPr>
              <w:t>Grobler</w:t>
            </w:r>
            <w:proofErr w:type="spellEnd"/>
            <w:r w:rsidRPr="009F42A4">
              <w:rPr>
                <w:rFonts w:ascii="Arial Narrow" w:hAnsi="Arial Narrow" w:cs="Arial"/>
                <w:sz w:val="24"/>
                <w:szCs w:val="24"/>
              </w:rPr>
              <w:t xml:space="preserve"> &amp; Co.</w:t>
            </w:r>
          </w:p>
        </w:tc>
      </w:tr>
    </w:tbl>
    <w:p w:rsidR="00D26CB5" w:rsidRPr="009F42A4" w:rsidRDefault="00D26CB5" w:rsidP="00DA6472">
      <w:pPr>
        <w:spacing w:after="0" w:line="360" w:lineRule="auto"/>
        <w:rPr>
          <w:rFonts w:ascii="Arial Narrow" w:hAnsi="Arial Narrow"/>
          <w:sz w:val="24"/>
          <w:szCs w:val="24"/>
        </w:rPr>
      </w:pPr>
    </w:p>
    <w:sectPr w:rsidR="00D26CB5" w:rsidRPr="009F42A4" w:rsidSect="009937E0">
      <w:headerReference w:type="default" r:id="rId8"/>
      <w:footerReference w:type="default" r:id="rId9"/>
      <w:pgSz w:w="11906" w:h="16838"/>
      <w:pgMar w:top="1080" w:right="1440" w:bottom="1138" w:left="1440" w:header="706" w:footer="7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F9" w:rsidRDefault="00F80DF9" w:rsidP="00D01890">
      <w:pPr>
        <w:spacing w:after="0" w:line="240" w:lineRule="auto"/>
      </w:pPr>
      <w:r>
        <w:separator/>
      </w:r>
    </w:p>
  </w:endnote>
  <w:endnote w:type="continuationSeparator" w:id="0">
    <w:p w:rsidR="00F80DF9" w:rsidRDefault="00F80DF9"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DA" w:rsidRDefault="003B7CDA">
    <w:pPr>
      <w:pStyle w:val="Footer"/>
      <w:jc w:val="right"/>
    </w:pPr>
  </w:p>
  <w:p w:rsidR="003B7CDA" w:rsidRDefault="003B7C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F9" w:rsidRDefault="00F80DF9" w:rsidP="00D01890">
      <w:pPr>
        <w:spacing w:after="0" w:line="240" w:lineRule="auto"/>
      </w:pPr>
      <w:r>
        <w:separator/>
      </w:r>
    </w:p>
  </w:footnote>
  <w:footnote w:type="continuationSeparator" w:id="0">
    <w:p w:rsidR="00F80DF9" w:rsidRDefault="00F80DF9" w:rsidP="00D01890">
      <w:pPr>
        <w:spacing w:after="0" w:line="240" w:lineRule="auto"/>
      </w:pPr>
      <w:r>
        <w:continuationSeparator/>
      </w:r>
    </w:p>
  </w:footnote>
  <w:footnote w:id="1">
    <w:p w:rsidR="00E255C5" w:rsidRPr="002C6BF3" w:rsidRDefault="00E255C5">
      <w:pPr>
        <w:pStyle w:val="FootnoteText"/>
        <w:rPr>
          <w:rFonts w:ascii="Arial Narrow" w:hAnsi="Arial Narrow"/>
          <w:lang w:val="en-US"/>
        </w:rPr>
      </w:pPr>
      <w:r w:rsidRPr="002C6BF3">
        <w:rPr>
          <w:rStyle w:val="FootnoteReference"/>
          <w:rFonts w:ascii="Arial Narrow" w:hAnsi="Arial Narrow"/>
        </w:rPr>
        <w:footnoteRef/>
      </w:r>
      <w:r w:rsidRPr="002C6BF3">
        <w:rPr>
          <w:rFonts w:ascii="Arial Narrow" w:hAnsi="Arial Narrow"/>
        </w:rPr>
        <w:t xml:space="preserve"> </w:t>
      </w:r>
      <w:r w:rsidRPr="002C6BF3">
        <w:rPr>
          <w:rFonts w:ascii="Arial Narrow" w:hAnsi="Arial Narrow"/>
          <w:i/>
          <w:lang w:val="en-US"/>
        </w:rPr>
        <w:t xml:space="preserve">Smith v </w:t>
      </w:r>
      <w:proofErr w:type="spellStart"/>
      <w:r w:rsidRPr="002C6BF3">
        <w:rPr>
          <w:rFonts w:ascii="Arial Narrow" w:hAnsi="Arial Narrow"/>
          <w:i/>
          <w:lang w:val="en-US"/>
        </w:rPr>
        <w:t>Trustco</w:t>
      </w:r>
      <w:proofErr w:type="spellEnd"/>
      <w:r w:rsidRPr="002C6BF3">
        <w:rPr>
          <w:rFonts w:ascii="Arial Narrow" w:hAnsi="Arial Narrow"/>
          <w:i/>
          <w:lang w:val="en-US"/>
        </w:rPr>
        <w:t xml:space="preserve"> Insurance</w:t>
      </w:r>
      <w:r w:rsidRPr="002C6BF3">
        <w:rPr>
          <w:rFonts w:ascii="Arial Narrow" w:hAnsi="Arial Narrow"/>
          <w:lang w:val="en-US"/>
        </w:rPr>
        <w:t xml:space="preserve"> (HC-MD-CIV-ACT-CON-2016/04079) [2019] NAHCMD 337 (09 September 2019).</w:t>
      </w:r>
    </w:p>
  </w:footnote>
  <w:footnote w:id="2">
    <w:p w:rsidR="00AD29E2" w:rsidRPr="009D3500" w:rsidRDefault="00AD29E2">
      <w:pPr>
        <w:pStyle w:val="FootnoteText"/>
        <w:rPr>
          <w:rFonts w:ascii="Arial Narrow" w:hAnsi="Arial Narrow"/>
          <w:lang w:val="en-US"/>
        </w:rPr>
      </w:pPr>
      <w:r w:rsidRPr="009D3500">
        <w:rPr>
          <w:rStyle w:val="FootnoteReference"/>
          <w:rFonts w:ascii="Arial Narrow" w:hAnsi="Arial Narrow"/>
        </w:rPr>
        <w:footnoteRef/>
      </w:r>
      <w:r w:rsidRPr="009D3500">
        <w:rPr>
          <w:rFonts w:ascii="Arial Narrow" w:hAnsi="Arial Narrow"/>
        </w:rPr>
        <w:t xml:space="preserve"> </w:t>
      </w:r>
      <w:r w:rsidRPr="009D3500">
        <w:rPr>
          <w:rFonts w:ascii="Arial Narrow" w:hAnsi="Arial Narrow"/>
          <w:lang w:val="en-US"/>
        </w:rPr>
        <w:t>(I672/04 ) [2006] NAHC 6 (01 March 2006).</w:t>
      </w:r>
    </w:p>
  </w:footnote>
  <w:footnote w:id="3">
    <w:p w:rsidR="0013189F" w:rsidRPr="0013189F" w:rsidRDefault="0013189F" w:rsidP="0013189F">
      <w:pPr>
        <w:pStyle w:val="FootnoteText"/>
        <w:rPr>
          <w:lang w:val="en-US"/>
        </w:rPr>
      </w:pPr>
      <w:r w:rsidRPr="009D3500">
        <w:rPr>
          <w:rStyle w:val="FootnoteReference"/>
          <w:rFonts w:ascii="Arial Narrow" w:hAnsi="Arial Narrow"/>
        </w:rPr>
        <w:footnoteRef/>
      </w:r>
      <w:r w:rsidRPr="009D3500">
        <w:rPr>
          <w:rFonts w:ascii="Arial Narrow" w:hAnsi="Arial Narrow"/>
        </w:rPr>
        <w:t xml:space="preserve"> 1993 [3] SA 208.</w:t>
      </w:r>
    </w:p>
  </w:footnote>
  <w:footnote w:id="4">
    <w:p w:rsidR="00F866E2" w:rsidRPr="002C6BF3" w:rsidRDefault="00F866E2" w:rsidP="00F866E2">
      <w:pPr>
        <w:pStyle w:val="FootnoteText"/>
        <w:jc w:val="both"/>
        <w:rPr>
          <w:rFonts w:ascii="Arial Narrow" w:hAnsi="Arial Narrow" w:cs="Arial"/>
          <w:lang w:val="af-ZA"/>
        </w:rPr>
      </w:pPr>
      <w:r w:rsidRPr="002C6BF3">
        <w:rPr>
          <w:rStyle w:val="FootnoteReference"/>
          <w:rFonts w:ascii="Arial Narrow" w:hAnsi="Arial Narrow" w:cs="Arial"/>
        </w:rPr>
        <w:footnoteRef/>
      </w:r>
      <w:r w:rsidRPr="002C6BF3">
        <w:rPr>
          <w:rFonts w:ascii="Arial Narrow" w:hAnsi="Arial Narrow" w:cs="Arial"/>
        </w:rPr>
        <w:t xml:space="preserve"> </w:t>
      </w:r>
      <w:proofErr w:type="spellStart"/>
      <w:r w:rsidRPr="002C6BF3">
        <w:rPr>
          <w:rFonts w:ascii="Arial Narrow" w:hAnsi="Arial Narrow" w:cs="Arial"/>
          <w:i/>
        </w:rPr>
        <w:t>Lockhat</w:t>
      </w:r>
      <w:proofErr w:type="spellEnd"/>
      <w:r w:rsidRPr="002C6BF3">
        <w:rPr>
          <w:rFonts w:ascii="Arial Narrow" w:hAnsi="Arial Narrow" w:cs="Arial"/>
          <w:i/>
        </w:rPr>
        <w:t xml:space="preserve"> v Minister of Interior</w:t>
      </w:r>
      <w:r w:rsidRPr="002C6BF3">
        <w:rPr>
          <w:rFonts w:ascii="Arial Narrow" w:hAnsi="Arial Narrow" w:cs="Arial"/>
        </w:rPr>
        <w:t xml:space="preserve"> 1960 (3) SA 765 (D) at 777D.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3B7CDA" w:rsidRDefault="003B7CDA">
        <w:pPr>
          <w:pStyle w:val="Header"/>
          <w:jc w:val="right"/>
        </w:pPr>
        <w:r>
          <w:fldChar w:fldCharType="begin"/>
        </w:r>
        <w:r>
          <w:instrText xml:space="preserve"> PAGE   \* MERGEFORMAT </w:instrText>
        </w:r>
        <w:r>
          <w:fldChar w:fldCharType="separate"/>
        </w:r>
        <w:r w:rsidR="000410CF">
          <w:rPr>
            <w:noProof/>
          </w:rPr>
          <w:t>6</w:t>
        </w:r>
        <w:r>
          <w:rPr>
            <w:noProof/>
          </w:rPr>
          <w:fldChar w:fldCharType="end"/>
        </w:r>
      </w:p>
    </w:sdtContent>
  </w:sdt>
  <w:p w:rsidR="003B7CDA" w:rsidRDefault="003B7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209070C4"/>
    <w:multiLevelType w:val="multilevel"/>
    <w:tmpl w:val="9D2075BC"/>
    <w:lvl w:ilvl="0">
      <w:start w:val="1"/>
      <w:numFmt w:val="decimal"/>
      <w:lvlText w:val="%1."/>
      <w:lvlJc w:val="left"/>
      <w:pPr>
        <w:ind w:left="780" w:hanging="360"/>
      </w:pPr>
      <w:rPr>
        <w:rFonts w:hint="default"/>
        <w:color w:val="000000" w:themeColor="text1"/>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2" w15:restartNumberingAfterBreak="0">
    <w:nsid w:val="230C4E2B"/>
    <w:multiLevelType w:val="hybridMultilevel"/>
    <w:tmpl w:val="CA68A562"/>
    <w:lvl w:ilvl="0" w:tplc="1E26155A">
      <w:start w:val="1"/>
      <w:numFmt w:val="decimal"/>
      <w:lvlText w:val="[%1]"/>
      <w:lvlJc w:val="left"/>
      <w:pPr>
        <w:ind w:left="1495" w:hanging="360"/>
      </w:pPr>
      <w:rPr>
        <w:rFonts w:hint="default"/>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3" w15:restartNumberingAfterBreak="0">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63B82"/>
    <w:multiLevelType w:val="hybridMultilevel"/>
    <w:tmpl w:val="44BEA89E"/>
    <w:lvl w:ilvl="0" w:tplc="C7DCE5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68531395"/>
    <w:multiLevelType w:val="hybridMultilevel"/>
    <w:tmpl w:val="E26E53AA"/>
    <w:lvl w:ilvl="0" w:tplc="76D2F6EE">
      <w:start w:val="1"/>
      <w:numFmt w:val="decimal"/>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5"/>
  </w:num>
  <w:num w:numId="5">
    <w:abstractNumId w:val="6"/>
  </w:num>
  <w:num w:numId="6">
    <w:abstractNumId w:val="3"/>
  </w:num>
  <w:num w:numId="7">
    <w:abstractNumId w:val="7"/>
  </w:num>
  <w:num w:numId="8">
    <w:abstractNumId w:val="0"/>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2555E"/>
    <w:rsid w:val="000309E0"/>
    <w:rsid w:val="00035699"/>
    <w:rsid w:val="00040B97"/>
    <w:rsid w:val="000410CF"/>
    <w:rsid w:val="0004308D"/>
    <w:rsid w:val="00046FFB"/>
    <w:rsid w:val="000501B3"/>
    <w:rsid w:val="000521B7"/>
    <w:rsid w:val="00053E28"/>
    <w:rsid w:val="000674D1"/>
    <w:rsid w:val="00070701"/>
    <w:rsid w:val="00070929"/>
    <w:rsid w:val="00071486"/>
    <w:rsid w:val="00086A0E"/>
    <w:rsid w:val="00097643"/>
    <w:rsid w:val="000A2F65"/>
    <w:rsid w:val="000A684E"/>
    <w:rsid w:val="000B291E"/>
    <w:rsid w:val="000B31F0"/>
    <w:rsid w:val="000B35CE"/>
    <w:rsid w:val="000B4FB2"/>
    <w:rsid w:val="000B6102"/>
    <w:rsid w:val="000B7507"/>
    <w:rsid w:val="000C2019"/>
    <w:rsid w:val="000C73FA"/>
    <w:rsid w:val="000D218C"/>
    <w:rsid w:val="000D3044"/>
    <w:rsid w:val="000D39AD"/>
    <w:rsid w:val="000D648A"/>
    <w:rsid w:val="000D70A9"/>
    <w:rsid w:val="000E043D"/>
    <w:rsid w:val="000E3103"/>
    <w:rsid w:val="000E6395"/>
    <w:rsid w:val="000F05FE"/>
    <w:rsid w:val="000F1321"/>
    <w:rsid w:val="000F3A0D"/>
    <w:rsid w:val="000F4B68"/>
    <w:rsid w:val="000F6D8E"/>
    <w:rsid w:val="000F7C5C"/>
    <w:rsid w:val="001007FF"/>
    <w:rsid w:val="001068B9"/>
    <w:rsid w:val="001073FB"/>
    <w:rsid w:val="001108CF"/>
    <w:rsid w:val="001123FA"/>
    <w:rsid w:val="001136FC"/>
    <w:rsid w:val="00113AED"/>
    <w:rsid w:val="00114FF5"/>
    <w:rsid w:val="0012786A"/>
    <w:rsid w:val="0013189F"/>
    <w:rsid w:val="00135C18"/>
    <w:rsid w:val="00141AE0"/>
    <w:rsid w:val="00142951"/>
    <w:rsid w:val="00142BD3"/>
    <w:rsid w:val="00145ADA"/>
    <w:rsid w:val="001479DB"/>
    <w:rsid w:val="0015050A"/>
    <w:rsid w:val="001508A6"/>
    <w:rsid w:val="001511B9"/>
    <w:rsid w:val="00153EFE"/>
    <w:rsid w:val="00163161"/>
    <w:rsid w:val="001648D8"/>
    <w:rsid w:val="00164DE0"/>
    <w:rsid w:val="00165A20"/>
    <w:rsid w:val="0017237D"/>
    <w:rsid w:val="0017517E"/>
    <w:rsid w:val="00192E55"/>
    <w:rsid w:val="00194111"/>
    <w:rsid w:val="001A3F99"/>
    <w:rsid w:val="001B330C"/>
    <w:rsid w:val="001B7111"/>
    <w:rsid w:val="001C045C"/>
    <w:rsid w:val="001D0856"/>
    <w:rsid w:val="001D15D1"/>
    <w:rsid w:val="001D76E5"/>
    <w:rsid w:val="001E4FF0"/>
    <w:rsid w:val="001E5460"/>
    <w:rsid w:val="001E5CCC"/>
    <w:rsid w:val="001F2E0C"/>
    <w:rsid w:val="001F4781"/>
    <w:rsid w:val="001F4DD5"/>
    <w:rsid w:val="0020080A"/>
    <w:rsid w:val="00201138"/>
    <w:rsid w:val="002038BE"/>
    <w:rsid w:val="00204929"/>
    <w:rsid w:val="00206E1F"/>
    <w:rsid w:val="00214C81"/>
    <w:rsid w:val="00214E94"/>
    <w:rsid w:val="00216069"/>
    <w:rsid w:val="00222323"/>
    <w:rsid w:val="0022393D"/>
    <w:rsid w:val="002246A3"/>
    <w:rsid w:val="00225388"/>
    <w:rsid w:val="00226E2F"/>
    <w:rsid w:val="00237DF6"/>
    <w:rsid w:val="00240526"/>
    <w:rsid w:val="00243C8D"/>
    <w:rsid w:val="00247BE3"/>
    <w:rsid w:val="002517B0"/>
    <w:rsid w:val="002533E4"/>
    <w:rsid w:val="002540FE"/>
    <w:rsid w:val="00255A67"/>
    <w:rsid w:val="00260F2B"/>
    <w:rsid w:val="002627CF"/>
    <w:rsid w:val="002642F9"/>
    <w:rsid w:val="00266084"/>
    <w:rsid w:val="00267013"/>
    <w:rsid w:val="00270047"/>
    <w:rsid w:val="00270FD3"/>
    <w:rsid w:val="002730BF"/>
    <w:rsid w:val="00275ABD"/>
    <w:rsid w:val="00280ADC"/>
    <w:rsid w:val="0028510E"/>
    <w:rsid w:val="0029227C"/>
    <w:rsid w:val="00295333"/>
    <w:rsid w:val="00295D3B"/>
    <w:rsid w:val="00296593"/>
    <w:rsid w:val="002A699C"/>
    <w:rsid w:val="002A7603"/>
    <w:rsid w:val="002B0C52"/>
    <w:rsid w:val="002B26C0"/>
    <w:rsid w:val="002B4E8C"/>
    <w:rsid w:val="002B7CA3"/>
    <w:rsid w:val="002C2969"/>
    <w:rsid w:val="002C4E37"/>
    <w:rsid w:val="002C63DD"/>
    <w:rsid w:val="002C6BF3"/>
    <w:rsid w:val="002D78B1"/>
    <w:rsid w:val="002E2FA9"/>
    <w:rsid w:val="002F3704"/>
    <w:rsid w:val="002F4A64"/>
    <w:rsid w:val="002F63D5"/>
    <w:rsid w:val="0030395F"/>
    <w:rsid w:val="00304CD2"/>
    <w:rsid w:val="0030538D"/>
    <w:rsid w:val="0031370C"/>
    <w:rsid w:val="00313CD0"/>
    <w:rsid w:val="00321AA9"/>
    <w:rsid w:val="003221BD"/>
    <w:rsid w:val="003223A4"/>
    <w:rsid w:val="003246A7"/>
    <w:rsid w:val="0032634A"/>
    <w:rsid w:val="00336EA3"/>
    <w:rsid w:val="003452EF"/>
    <w:rsid w:val="00346EB8"/>
    <w:rsid w:val="00351519"/>
    <w:rsid w:val="00356C0C"/>
    <w:rsid w:val="00361EBC"/>
    <w:rsid w:val="003677C6"/>
    <w:rsid w:val="00375095"/>
    <w:rsid w:val="00375F61"/>
    <w:rsid w:val="00384BFF"/>
    <w:rsid w:val="003901FB"/>
    <w:rsid w:val="00390E41"/>
    <w:rsid w:val="00393C39"/>
    <w:rsid w:val="0039465F"/>
    <w:rsid w:val="00394B64"/>
    <w:rsid w:val="00397C7F"/>
    <w:rsid w:val="003A0AED"/>
    <w:rsid w:val="003A125B"/>
    <w:rsid w:val="003A2EC6"/>
    <w:rsid w:val="003B4C2A"/>
    <w:rsid w:val="003B7CDA"/>
    <w:rsid w:val="003C0EBD"/>
    <w:rsid w:val="003C2051"/>
    <w:rsid w:val="003C2587"/>
    <w:rsid w:val="003C2FCB"/>
    <w:rsid w:val="003C3525"/>
    <w:rsid w:val="003C58B7"/>
    <w:rsid w:val="003C5C10"/>
    <w:rsid w:val="003D6370"/>
    <w:rsid w:val="003D66E0"/>
    <w:rsid w:val="003D7A92"/>
    <w:rsid w:val="003E0400"/>
    <w:rsid w:val="003E1468"/>
    <w:rsid w:val="003E5C60"/>
    <w:rsid w:val="003E6198"/>
    <w:rsid w:val="003E72CC"/>
    <w:rsid w:val="003F23AF"/>
    <w:rsid w:val="003F40BD"/>
    <w:rsid w:val="003F526F"/>
    <w:rsid w:val="00401AE4"/>
    <w:rsid w:val="004036BB"/>
    <w:rsid w:val="00404EDF"/>
    <w:rsid w:val="00405C09"/>
    <w:rsid w:val="00410EC4"/>
    <w:rsid w:val="00413B7B"/>
    <w:rsid w:val="00420266"/>
    <w:rsid w:val="00422236"/>
    <w:rsid w:val="00425233"/>
    <w:rsid w:val="0042554E"/>
    <w:rsid w:val="004262E2"/>
    <w:rsid w:val="00427466"/>
    <w:rsid w:val="0043000E"/>
    <w:rsid w:val="004318DE"/>
    <w:rsid w:val="00434521"/>
    <w:rsid w:val="004502D1"/>
    <w:rsid w:val="00463102"/>
    <w:rsid w:val="00466461"/>
    <w:rsid w:val="004705C9"/>
    <w:rsid w:val="00473CF0"/>
    <w:rsid w:val="0047650B"/>
    <w:rsid w:val="0048245E"/>
    <w:rsid w:val="00484737"/>
    <w:rsid w:val="00485FB2"/>
    <w:rsid w:val="00487D58"/>
    <w:rsid w:val="00490222"/>
    <w:rsid w:val="0049404B"/>
    <w:rsid w:val="004A0173"/>
    <w:rsid w:val="004A2CFA"/>
    <w:rsid w:val="004A4E75"/>
    <w:rsid w:val="004A67D2"/>
    <w:rsid w:val="004B207A"/>
    <w:rsid w:val="004B6592"/>
    <w:rsid w:val="004C0404"/>
    <w:rsid w:val="004C2B3E"/>
    <w:rsid w:val="004D313F"/>
    <w:rsid w:val="004E478D"/>
    <w:rsid w:val="004E6E67"/>
    <w:rsid w:val="004E7F24"/>
    <w:rsid w:val="004F2D2F"/>
    <w:rsid w:val="004F4445"/>
    <w:rsid w:val="0050727B"/>
    <w:rsid w:val="00510ACD"/>
    <w:rsid w:val="00513F10"/>
    <w:rsid w:val="00515C38"/>
    <w:rsid w:val="00525292"/>
    <w:rsid w:val="005315E1"/>
    <w:rsid w:val="00531BE0"/>
    <w:rsid w:val="00535679"/>
    <w:rsid w:val="00535ADC"/>
    <w:rsid w:val="00536426"/>
    <w:rsid w:val="00536735"/>
    <w:rsid w:val="00543009"/>
    <w:rsid w:val="00543F56"/>
    <w:rsid w:val="00545944"/>
    <w:rsid w:val="00550AD2"/>
    <w:rsid w:val="00550B2F"/>
    <w:rsid w:val="00552F8B"/>
    <w:rsid w:val="00553987"/>
    <w:rsid w:val="0055737E"/>
    <w:rsid w:val="005578CC"/>
    <w:rsid w:val="005616BE"/>
    <w:rsid w:val="00566A0E"/>
    <w:rsid w:val="00567A34"/>
    <w:rsid w:val="00570263"/>
    <w:rsid w:val="00571AC1"/>
    <w:rsid w:val="005732F3"/>
    <w:rsid w:val="00573DD8"/>
    <w:rsid w:val="00575302"/>
    <w:rsid w:val="00576699"/>
    <w:rsid w:val="0057707B"/>
    <w:rsid w:val="00577933"/>
    <w:rsid w:val="005810F7"/>
    <w:rsid w:val="005852F7"/>
    <w:rsid w:val="00587CA5"/>
    <w:rsid w:val="00590488"/>
    <w:rsid w:val="00590640"/>
    <w:rsid w:val="005932AF"/>
    <w:rsid w:val="00594D59"/>
    <w:rsid w:val="00595557"/>
    <w:rsid w:val="005A43DF"/>
    <w:rsid w:val="005A74A7"/>
    <w:rsid w:val="005A750D"/>
    <w:rsid w:val="005B0C75"/>
    <w:rsid w:val="005B1D5C"/>
    <w:rsid w:val="005B1E59"/>
    <w:rsid w:val="005B3909"/>
    <w:rsid w:val="005C0368"/>
    <w:rsid w:val="005C401D"/>
    <w:rsid w:val="005C749D"/>
    <w:rsid w:val="005D11AD"/>
    <w:rsid w:val="005D1985"/>
    <w:rsid w:val="005D6F2A"/>
    <w:rsid w:val="005D7C97"/>
    <w:rsid w:val="005D7EFF"/>
    <w:rsid w:val="005E41B3"/>
    <w:rsid w:val="005E5886"/>
    <w:rsid w:val="005F0C2B"/>
    <w:rsid w:val="005F365C"/>
    <w:rsid w:val="005F7261"/>
    <w:rsid w:val="005F7D87"/>
    <w:rsid w:val="005F7F5E"/>
    <w:rsid w:val="006000CB"/>
    <w:rsid w:val="00601896"/>
    <w:rsid w:val="00603F97"/>
    <w:rsid w:val="00606780"/>
    <w:rsid w:val="00610647"/>
    <w:rsid w:val="00610EC4"/>
    <w:rsid w:val="006117C1"/>
    <w:rsid w:val="006117D4"/>
    <w:rsid w:val="00611D7A"/>
    <w:rsid w:val="006136BB"/>
    <w:rsid w:val="0061500B"/>
    <w:rsid w:val="006172F9"/>
    <w:rsid w:val="006202C8"/>
    <w:rsid w:val="00620752"/>
    <w:rsid w:val="00622002"/>
    <w:rsid w:val="00623748"/>
    <w:rsid w:val="006240AB"/>
    <w:rsid w:val="00625C52"/>
    <w:rsid w:val="00635E89"/>
    <w:rsid w:val="00637307"/>
    <w:rsid w:val="00641114"/>
    <w:rsid w:val="00642ED0"/>
    <w:rsid w:val="00644E63"/>
    <w:rsid w:val="006479E8"/>
    <w:rsid w:val="00650D03"/>
    <w:rsid w:val="00650F3A"/>
    <w:rsid w:val="00651AC7"/>
    <w:rsid w:val="00651FBF"/>
    <w:rsid w:val="00653FB1"/>
    <w:rsid w:val="006544FA"/>
    <w:rsid w:val="006547BD"/>
    <w:rsid w:val="00654D5F"/>
    <w:rsid w:val="006647C2"/>
    <w:rsid w:val="006647DF"/>
    <w:rsid w:val="006708C6"/>
    <w:rsid w:val="0067282A"/>
    <w:rsid w:val="00685AE9"/>
    <w:rsid w:val="00691B65"/>
    <w:rsid w:val="0069254A"/>
    <w:rsid w:val="006A06C9"/>
    <w:rsid w:val="006A1EAC"/>
    <w:rsid w:val="006A2CA2"/>
    <w:rsid w:val="006A4D1C"/>
    <w:rsid w:val="006A6151"/>
    <w:rsid w:val="006A6F65"/>
    <w:rsid w:val="006A782A"/>
    <w:rsid w:val="006B3E7F"/>
    <w:rsid w:val="006B6ECB"/>
    <w:rsid w:val="006C7E6A"/>
    <w:rsid w:val="006D0EF4"/>
    <w:rsid w:val="006D187B"/>
    <w:rsid w:val="006D1C3B"/>
    <w:rsid w:val="006D2737"/>
    <w:rsid w:val="006D6045"/>
    <w:rsid w:val="006E7A06"/>
    <w:rsid w:val="006F1344"/>
    <w:rsid w:val="006F6851"/>
    <w:rsid w:val="007035AE"/>
    <w:rsid w:val="00707D8A"/>
    <w:rsid w:val="00711F43"/>
    <w:rsid w:val="00713A59"/>
    <w:rsid w:val="00720794"/>
    <w:rsid w:val="00723332"/>
    <w:rsid w:val="007321B3"/>
    <w:rsid w:val="007326A8"/>
    <w:rsid w:val="00732C84"/>
    <w:rsid w:val="007332A6"/>
    <w:rsid w:val="00735C76"/>
    <w:rsid w:val="007401A8"/>
    <w:rsid w:val="0074354F"/>
    <w:rsid w:val="00743821"/>
    <w:rsid w:val="00746B8B"/>
    <w:rsid w:val="00747312"/>
    <w:rsid w:val="0075709E"/>
    <w:rsid w:val="00760961"/>
    <w:rsid w:val="007619D2"/>
    <w:rsid w:val="00762E9C"/>
    <w:rsid w:val="00765FCC"/>
    <w:rsid w:val="00775691"/>
    <w:rsid w:val="007777C3"/>
    <w:rsid w:val="0078452F"/>
    <w:rsid w:val="007847BA"/>
    <w:rsid w:val="007868F5"/>
    <w:rsid w:val="007878E1"/>
    <w:rsid w:val="00790373"/>
    <w:rsid w:val="00791C43"/>
    <w:rsid w:val="007920DD"/>
    <w:rsid w:val="00795299"/>
    <w:rsid w:val="007979ED"/>
    <w:rsid w:val="007A537D"/>
    <w:rsid w:val="007A6F9E"/>
    <w:rsid w:val="007B2011"/>
    <w:rsid w:val="007B2183"/>
    <w:rsid w:val="007B701E"/>
    <w:rsid w:val="007C5F79"/>
    <w:rsid w:val="007C6151"/>
    <w:rsid w:val="007D4689"/>
    <w:rsid w:val="007D58A0"/>
    <w:rsid w:val="007D6576"/>
    <w:rsid w:val="007E4BA6"/>
    <w:rsid w:val="007F2F2D"/>
    <w:rsid w:val="008056E0"/>
    <w:rsid w:val="008059CD"/>
    <w:rsid w:val="00810A49"/>
    <w:rsid w:val="00811209"/>
    <w:rsid w:val="008134FF"/>
    <w:rsid w:val="00815C3D"/>
    <w:rsid w:val="00815DBB"/>
    <w:rsid w:val="00820D94"/>
    <w:rsid w:val="00821EF2"/>
    <w:rsid w:val="00822DA7"/>
    <w:rsid w:val="00824AE7"/>
    <w:rsid w:val="008278F9"/>
    <w:rsid w:val="00827DCA"/>
    <w:rsid w:val="00833987"/>
    <w:rsid w:val="0083674E"/>
    <w:rsid w:val="00836EB8"/>
    <w:rsid w:val="008371D5"/>
    <w:rsid w:val="00846F57"/>
    <w:rsid w:val="00850262"/>
    <w:rsid w:val="00850CE1"/>
    <w:rsid w:val="00851479"/>
    <w:rsid w:val="00852089"/>
    <w:rsid w:val="00862CC2"/>
    <w:rsid w:val="008632F0"/>
    <w:rsid w:val="00867419"/>
    <w:rsid w:val="00871FE0"/>
    <w:rsid w:val="00883A84"/>
    <w:rsid w:val="008901AF"/>
    <w:rsid w:val="00890FD4"/>
    <w:rsid w:val="008913D9"/>
    <w:rsid w:val="00893C31"/>
    <w:rsid w:val="008945B4"/>
    <w:rsid w:val="008A107C"/>
    <w:rsid w:val="008A417A"/>
    <w:rsid w:val="008A4A52"/>
    <w:rsid w:val="008A6453"/>
    <w:rsid w:val="008B0775"/>
    <w:rsid w:val="008B1C07"/>
    <w:rsid w:val="008B2C30"/>
    <w:rsid w:val="008B478D"/>
    <w:rsid w:val="008B6695"/>
    <w:rsid w:val="008B69F0"/>
    <w:rsid w:val="008C6555"/>
    <w:rsid w:val="008D0F38"/>
    <w:rsid w:val="008D23B9"/>
    <w:rsid w:val="008D6833"/>
    <w:rsid w:val="008D728F"/>
    <w:rsid w:val="008D7566"/>
    <w:rsid w:val="008E0283"/>
    <w:rsid w:val="008E27BA"/>
    <w:rsid w:val="008E4FC0"/>
    <w:rsid w:val="008E6CB8"/>
    <w:rsid w:val="008F5A90"/>
    <w:rsid w:val="008F6C4B"/>
    <w:rsid w:val="0090000C"/>
    <w:rsid w:val="00900C9A"/>
    <w:rsid w:val="00900EAE"/>
    <w:rsid w:val="00901965"/>
    <w:rsid w:val="0090245F"/>
    <w:rsid w:val="00905D4B"/>
    <w:rsid w:val="00910FCE"/>
    <w:rsid w:val="009114FF"/>
    <w:rsid w:val="00911F3C"/>
    <w:rsid w:val="00913A93"/>
    <w:rsid w:val="009168A7"/>
    <w:rsid w:val="00917569"/>
    <w:rsid w:val="0092129C"/>
    <w:rsid w:val="00922148"/>
    <w:rsid w:val="00924D7D"/>
    <w:rsid w:val="009253D3"/>
    <w:rsid w:val="00932983"/>
    <w:rsid w:val="00941D0F"/>
    <w:rsid w:val="0094348B"/>
    <w:rsid w:val="00943830"/>
    <w:rsid w:val="00943921"/>
    <w:rsid w:val="00944A7A"/>
    <w:rsid w:val="009500CB"/>
    <w:rsid w:val="00957A30"/>
    <w:rsid w:val="009626F4"/>
    <w:rsid w:val="0096285D"/>
    <w:rsid w:val="00964066"/>
    <w:rsid w:val="009640B8"/>
    <w:rsid w:val="009645D6"/>
    <w:rsid w:val="00965E3E"/>
    <w:rsid w:val="009677CC"/>
    <w:rsid w:val="009709AB"/>
    <w:rsid w:val="00970B3B"/>
    <w:rsid w:val="009758B7"/>
    <w:rsid w:val="00975C47"/>
    <w:rsid w:val="009776C2"/>
    <w:rsid w:val="00981DE5"/>
    <w:rsid w:val="00985685"/>
    <w:rsid w:val="00987EAD"/>
    <w:rsid w:val="00991780"/>
    <w:rsid w:val="009937E0"/>
    <w:rsid w:val="00994150"/>
    <w:rsid w:val="00996096"/>
    <w:rsid w:val="009A62DB"/>
    <w:rsid w:val="009B0019"/>
    <w:rsid w:val="009B22FD"/>
    <w:rsid w:val="009C108E"/>
    <w:rsid w:val="009C3892"/>
    <w:rsid w:val="009C7087"/>
    <w:rsid w:val="009D09C6"/>
    <w:rsid w:val="009D3500"/>
    <w:rsid w:val="009D499A"/>
    <w:rsid w:val="009D5248"/>
    <w:rsid w:val="009E08BC"/>
    <w:rsid w:val="009E46FB"/>
    <w:rsid w:val="009E4890"/>
    <w:rsid w:val="009E52F8"/>
    <w:rsid w:val="009F1F38"/>
    <w:rsid w:val="009F29F0"/>
    <w:rsid w:val="009F42A4"/>
    <w:rsid w:val="009F5356"/>
    <w:rsid w:val="009F5D22"/>
    <w:rsid w:val="009F6B8B"/>
    <w:rsid w:val="009F78A6"/>
    <w:rsid w:val="00A00282"/>
    <w:rsid w:val="00A00DF2"/>
    <w:rsid w:val="00A05F61"/>
    <w:rsid w:val="00A10933"/>
    <w:rsid w:val="00A13765"/>
    <w:rsid w:val="00A13C75"/>
    <w:rsid w:val="00A14C04"/>
    <w:rsid w:val="00A16FA7"/>
    <w:rsid w:val="00A22F11"/>
    <w:rsid w:val="00A241EF"/>
    <w:rsid w:val="00A268AD"/>
    <w:rsid w:val="00A306D3"/>
    <w:rsid w:val="00A31608"/>
    <w:rsid w:val="00A31967"/>
    <w:rsid w:val="00A32333"/>
    <w:rsid w:val="00A334A4"/>
    <w:rsid w:val="00A41E82"/>
    <w:rsid w:val="00A442FB"/>
    <w:rsid w:val="00A462EB"/>
    <w:rsid w:val="00A64956"/>
    <w:rsid w:val="00A64DBC"/>
    <w:rsid w:val="00A65679"/>
    <w:rsid w:val="00A66250"/>
    <w:rsid w:val="00A67C5B"/>
    <w:rsid w:val="00A70A19"/>
    <w:rsid w:val="00A70BA9"/>
    <w:rsid w:val="00A71F7B"/>
    <w:rsid w:val="00A81368"/>
    <w:rsid w:val="00A8296E"/>
    <w:rsid w:val="00A8443D"/>
    <w:rsid w:val="00A856BC"/>
    <w:rsid w:val="00A873AE"/>
    <w:rsid w:val="00A87A20"/>
    <w:rsid w:val="00A9121D"/>
    <w:rsid w:val="00A95537"/>
    <w:rsid w:val="00A9701C"/>
    <w:rsid w:val="00A97917"/>
    <w:rsid w:val="00AA0A45"/>
    <w:rsid w:val="00AB3DA0"/>
    <w:rsid w:val="00AB77A2"/>
    <w:rsid w:val="00AB7AF6"/>
    <w:rsid w:val="00AC2515"/>
    <w:rsid w:val="00AC3CFB"/>
    <w:rsid w:val="00AC5934"/>
    <w:rsid w:val="00AC7BA6"/>
    <w:rsid w:val="00AD182C"/>
    <w:rsid w:val="00AD29E2"/>
    <w:rsid w:val="00AD33D9"/>
    <w:rsid w:val="00AD6F3A"/>
    <w:rsid w:val="00AD7ED1"/>
    <w:rsid w:val="00AE123D"/>
    <w:rsid w:val="00AE23C2"/>
    <w:rsid w:val="00AE3254"/>
    <w:rsid w:val="00AE5601"/>
    <w:rsid w:val="00AE5621"/>
    <w:rsid w:val="00AE679E"/>
    <w:rsid w:val="00AF1F05"/>
    <w:rsid w:val="00AF62AE"/>
    <w:rsid w:val="00B0075F"/>
    <w:rsid w:val="00B025BA"/>
    <w:rsid w:val="00B026E7"/>
    <w:rsid w:val="00B04C63"/>
    <w:rsid w:val="00B05256"/>
    <w:rsid w:val="00B0760A"/>
    <w:rsid w:val="00B154E7"/>
    <w:rsid w:val="00B1578D"/>
    <w:rsid w:val="00B15C01"/>
    <w:rsid w:val="00B17CC0"/>
    <w:rsid w:val="00B2168A"/>
    <w:rsid w:val="00B21F20"/>
    <w:rsid w:val="00B25CC1"/>
    <w:rsid w:val="00B275D2"/>
    <w:rsid w:val="00B31F9E"/>
    <w:rsid w:val="00B362E7"/>
    <w:rsid w:val="00B412BB"/>
    <w:rsid w:val="00B44D38"/>
    <w:rsid w:val="00B50265"/>
    <w:rsid w:val="00B52A7F"/>
    <w:rsid w:val="00B52D39"/>
    <w:rsid w:val="00B56E05"/>
    <w:rsid w:val="00B653A7"/>
    <w:rsid w:val="00B701B7"/>
    <w:rsid w:val="00B7170F"/>
    <w:rsid w:val="00B732A0"/>
    <w:rsid w:val="00B73A33"/>
    <w:rsid w:val="00B7506D"/>
    <w:rsid w:val="00B77636"/>
    <w:rsid w:val="00B77786"/>
    <w:rsid w:val="00B83727"/>
    <w:rsid w:val="00B839A5"/>
    <w:rsid w:val="00B850C2"/>
    <w:rsid w:val="00B863CD"/>
    <w:rsid w:val="00B8695C"/>
    <w:rsid w:val="00B91268"/>
    <w:rsid w:val="00B932B1"/>
    <w:rsid w:val="00B94B61"/>
    <w:rsid w:val="00BA6105"/>
    <w:rsid w:val="00BA6108"/>
    <w:rsid w:val="00BA66AA"/>
    <w:rsid w:val="00BB0CA8"/>
    <w:rsid w:val="00BB19DE"/>
    <w:rsid w:val="00BB1ED0"/>
    <w:rsid w:val="00BB67CE"/>
    <w:rsid w:val="00BC12F7"/>
    <w:rsid w:val="00BC77BD"/>
    <w:rsid w:val="00BD1C0E"/>
    <w:rsid w:val="00BD41FC"/>
    <w:rsid w:val="00BD66A2"/>
    <w:rsid w:val="00BE23FC"/>
    <w:rsid w:val="00BE72D6"/>
    <w:rsid w:val="00BE7884"/>
    <w:rsid w:val="00BF5422"/>
    <w:rsid w:val="00BF73E2"/>
    <w:rsid w:val="00C0102F"/>
    <w:rsid w:val="00C01336"/>
    <w:rsid w:val="00C0170E"/>
    <w:rsid w:val="00C027CE"/>
    <w:rsid w:val="00C1032F"/>
    <w:rsid w:val="00C14459"/>
    <w:rsid w:val="00C15B98"/>
    <w:rsid w:val="00C16F39"/>
    <w:rsid w:val="00C17CA0"/>
    <w:rsid w:val="00C22CA3"/>
    <w:rsid w:val="00C23DA7"/>
    <w:rsid w:val="00C30CF5"/>
    <w:rsid w:val="00C31585"/>
    <w:rsid w:val="00C3313F"/>
    <w:rsid w:val="00C346DC"/>
    <w:rsid w:val="00C37376"/>
    <w:rsid w:val="00C43ABB"/>
    <w:rsid w:val="00C43BEB"/>
    <w:rsid w:val="00C463A1"/>
    <w:rsid w:val="00C50C3B"/>
    <w:rsid w:val="00C5418A"/>
    <w:rsid w:val="00C547A8"/>
    <w:rsid w:val="00C5755D"/>
    <w:rsid w:val="00C6130D"/>
    <w:rsid w:val="00C62D8A"/>
    <w:rsid w:val="00C65157"/>
    <w:rsid w:val="00C675C2"/>
    <w:rsid w:val="00C7323B"/>
    <w:rsid w:val="00C77FF2"/>
    <w:rsid w:val="00C84766"/>
    <w:rsid w:val="00C861E1"/>
    <w:rsid w:val="00C86863"/>
    <w:rsid w:val="00C87A3E"/>
    <w:rsid w:val="00C96AC7"/>
    <w:rsid w:val="00C97808"/>
    <w:rsid w:val="00CA207A"/>
    <w:rsid w:val="00CA6DDF"/>
    <w:rsid w:val="00CB7958"/>
    <w:rsid w:val="00CD0A5E"/>
    <w:rsid w:val="00CD4FFF"/>
    <w:rsid w:val="00CD595C"/>
    <w:rsid w:val="00CD5FD6"/>
    <w:rsid w:val="00CD6EBD"/>
    <w:rsid w:val="00CE1797"/>
    <w:rsid w:val="00CE30E4"/>
    <w:rsid w:val="00CE48FA"/>
    <w:rsid w:val="00CE7606"/>
    <w:rsid w:val="00CF1667"/>
    <w:rsid w:val="00CF199C"/>
    <w:rsid w:val="00CF1BDD"/>
    <w:rsid w:val="00CF3B2E"/>
    <w:rsid w:val="00CF6596"/>
    <w:rsid w:val="00D010A9"/>
    <w:rsid w:val="00D01890"/>
    <w:rsid w:val="00D044EC"/>
    <w:rsid w:val="00D05363"/>
    <w:rsid w:val="00D07DA9"/>
    <w:rsid w:val="00D125D5"/>
    <w:rsid w:val="00D2393D"/>
    <w:rsid w:val="00D25575"/>
    <w:rsid w:val="00D26CB5"/>
    <w:rsid w:val="00D307A5"/>
    <w:rsid w:val="00D32037"/>
    <w:rsid w:val="00D373D2"/>
    <w:rsid w:val="00D40FF2"/>
    <w:rsid w:val="00D415E5"/>
    <w:rsid w:val="00D446FE"/>
    <w:rsid w:val="00D46451"/>
    <w:rsid w:val="00D506E0"/>
    <w:rsid w:val="00D50D15"/>
    <w:rsid w:val="00D55857"/>
    <w:rsid w:val="00D61E20"/>
    <w:rsid w:val="00D6290A"/>
    <w:rsid w:val="00D65215"/>
    <w:rsid w:val="00D72876"/>
    <w:rsid w:val="00D82F1D"/>
    <w:rsid w:val="00D85A3A"/>
    <w:rsid w:val="00D926C9"/>
    <w:rsid w:val="00D934BF"/>
    <w:rsid w:val="00D93DCF"/>
    <w:rsid w:val="00D94440"/>
    <w:rsid w:val="00D96AF6"/>
    <w:rsid w:val="00DA58A6"/>
    <w:rsid w:val="00DA5D99"/>
    <w:rsid w:val="00DA6472"/>
    <w:rsid w:val="00DA73EC"/>
    <w:rsid w:val="00DB1FFC"/>
    <w:rsid w:val="00DC03E6"/>
    <w:rsid w:val="00DC4B65"/>
    <w:rsid w:val="00DC538C"/>
    <w:rsid w:val="00DC6114"/>
    <w:rsid w:val="00DC68FE"/>
    <w:rsid w:val="00DD05DC"/>
    <w:rsid w:val="00DD1876"/>
    <w:rsid w:val="00DD3037"/>
    <w:rsid w:val="00DD3138"/>
    <w:rsid w:val="00DD64C9"/>
    <w:rsid w:val="00DE3F8D"/>
    <w:rsid w:val="00DE5F56"/>
    <w:rsid w:val="00DF0655"/>
    <w:rsid w:val="00E0138B"/>
    <w:rsid w:val="00E03273"/>
    <w:rsid w:val="00E036D1"/>
    <w:rsid w:val="00E06384"/>
    <w:rsid w:val="00E22C6E"/>
    <w:rsid w:val="00E255C5"/>
    <w:rsid w:val="00E26093"/>
    <w:rsid w:val="00E30CB9"/>
    <w:rsid w:val="00E44D0B"/>
    <w:rsid w:val="00E46BC0"/>
    <w:rsid w:val="00E53ED5"/>
    <w:rsid w:val="00E60457"/>
    <w:rsid w:val="00E614EE"/>
    <w:rsid w:val="00E65149"/>
    <w:rsid w:val="00E6609C"/>
    <w:rsid w:val="00E703F8"/>
    <w:rsid w:val="00E715CB"/>
    <w:rsid w:val="00E7215D"/>
    <w:rsid w:val="00E7561F"/>
    <w:rsid w:val="00E757E9"/>
    <w:rsid w:val="00E7735F"/>
    <w:rsid w:val="00E80147"/>
    <w:rsid w:val="00E81D22"/>
    <w:rsid w:val="00E85763"/>
    <w:rsid w:val="00E857EB"/>
    <w:rsid w:val="00E871C3"/>
    <w:rsid w:val="00E87AB8"/>
    <w:rsid w:val="00E918C0"/>
    <w:rsid w:val="00EA4539"/>
    <w:rsid w:val="00EA6E2C"/>
    <w:rsid w:val="00EB42A4"/>
    <w:rsid w:val="00EB45C7"/>
    <w:rsid w:val="00EB6763"/>
    <w:rsid w:val="00EB7280"/>
    <w:rsid w:val="00EB7DBE"/>
    <w:rsid w:val="00EC21D4"/>
    <w:rsid w:val="00EC6F90"/>
    <w:rsid w:val="00EC71A2"/>
    <w:rsid w:val="00ED0E67"/>
    <w:rsid w:val="00ED14F6"/>
    <w:rsid w:val="00ED4D51"/>
    <w:rsid w:val="00ED6456"/>
    <w:rsid w:val="00EE2453"/>
    <w:rsid w:val="00EE498C"/>
    <w:rsid w:val="00EE5019"/>
    <w:rsid w:val="00EF4172"/>
    <w:rsid w:val="00EF50AC"/>
    <w:rsid w:val="00EF644C"/>
    <w:rsid w:val="00EF65CE"/>
    <w:rsid w:val="00EF66CA"/>
    <w:rsid w:val="00F051B5"/>
    <w:rsid w:val="00F14916"/>
    <w:rsid w:val="00F24E5F"/>
    <w:rsid w:val="00F259BF"/>
    <w:rsid w:val="00F25D45"/>
    <w:rsid w:val="00F26DA6"/>
    <w:rsid w:val="00F33C40"/>
    <w:rsid w:val="00F35399"/>
    <w:rsid w:val="00F40AC5"/>
    <w:rsid w:val="00F4328F"/>
    <w:rsid w:val="00F51FE0"/>
    <w:rsid w:val="00F520A5"/>
    <w:rsid w:val="00F54ED4"/>
    <w:rsid w:val="00F56E9F"/>
    <w:rsid w:val="00F57B67"/>
    <w:rsid w:val="00F63CE8"/>
    <w:rsid w:val="00F7459A"/>
    <w:rsid w:val="00F7462C"/>
    <w:rsid w:val="00F777B3"/>
    <w:rsid w:val="00F77E7C"/>
    <w:rsid w:val="00F80DF9"/>
    <w:rsid w:val="00F8299A"/>
    <w:rsid w:val="00F863A6"/>
    <w:rsid w:val="00F866E2"/>
    <w:rsid w:val="00F918ED"/>
    <w:rsid w:val="00FA5AA7"/>
    <w:rsid w:val="00FA6230"/>
    <w:rsid w:val="00FA7352"/>
    <w:rsid w:val="00FA7925"/>
    <w:rsid w:val="00FB48CF"/>
    <w:rsid w:val="00FC0D98"/>
    <w:rsid w:val="00FC1A32"/>
    <w:rsid w:val="00FC49E4"/>
    <w:rsid w:val="00FC5243"/>
    <w:rsid w:val="00FC6516"/>
    <w:rsid w:val="00FD2529"/>
    <w:rsid w:val="00FD4687"/>
    <w:rsid w:val="00FD78FF"/>
    <w:rsid w:val="00FE1D6F"/>
    <w:rsid w:val="00FF25F3"/>
    <w:rsid w:val="00FF302D"/>
    <w:rsid w:val="00FF32F4"/>
    <w:rsid w:val="00FF4187"/>
    <w:rsid w:val="00FF5DEE"/>
    <w:rsid w:val="00FF6577"/>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0FC8-7221-499A-970B-C171E50D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aliases w:val="Bullet Main"/>
    <w:basedOn w:val="Normal"/>
    <w:link w:val="ListParagraphChar"/>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D01890"/>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D01890"/>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character" w:customStyle="1" w:styleId="ListParagraphChar">
    <w:name w:val="List Paragraph Char"/>
    <w:aliases w:val="Bullet Main Char"/>
    <w:link w:val="ListParagraph"/>
    <w:uiPriority w:val="34"/>
    <w:locked/>
    <w:rsid w:val="00194111"/>
    <w:rPr>
      <w:lang w:val="en-ZA"/>
    </w:rPr>
  </w:style>
  <w:style w:type="paragraph" w:styleId="NormalWeb">
    <w:name w:val="Normal (Web)"/>
    <w:basedOn w:val="Normal"/>
    <w:uiPriority w:val="99"/>
    <w:unhideWhenUsed/>
    <w:rsid w:val="006A6F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A6F65"/>
    <w:rPr>
      <w:i/>
      <w:iCs/>
    </w:rPr>
  </w:style>
  <w:style w:type="character" w:styleId="Strong">
    <w:name w:val="Strong"/>
    <w:basedOn w:val="DefaultParagraphFont"/>
    <w:uiPriority w:val="22"/>
    <w:qFormat/>
    <w:rsid w:val="006A6F65"/>
    <w:rPr>
      <w:b/>
      <w:bCs/>
    </w:rPr>
  </w:style>
  <w:style w:type="character" w:styleId="Hyperlink">
    <w:name w:val="Hyperlink"/>
    <w:basedOn w:val="DefaultParagraphFont"/>
    <w:uiPriority w:val="99"/>
    <w:unhideWhenUsed/>
    <w:rsid w:val="00991780"/>
    <w:rPr>
      <w:color w:val="0563C1" w:themeColor="hyperlink"/>
      <w:u w:val="single"/>
    </w:rPr>
  </w:style>
  <w:style w:type="paragraph" w:styleId="Quote">
    <w:name w:val="Quote"/>
    <w:basedOn w:val="Normal"/>
    <w:next w:val="Normal"/>
    <w:link w:val="QuoteChar"/>
    <w:uiPriority w:val="29"/>
    <w:qFormat/>
    <w:rsid w:val="001318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3189F"/>
    <w:rPr>
      <w:i/>
      <w:iCs/>
      <w:color w:val="404040" w:themeColor="text1" w:themeTint="BF"/>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31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606625291">
      <w:bodyDiv w:val="1"/>
      <w:marLeft w:val="0"/>
      <w:marRight w:val="0"/>
      <w:marTop w:val="0"/>
      <w:marBottom w:val="0"/>
      <w:divBdr>
        <w:top w:val="none" w:sz="0" w:space="0" w:color="auto"/>
        <w:left w:val="none" w:sz="0" w:space="0" w:color="auto"/>
        <w:bottom w:val="none" w:sz="0" w:space="0" w:color="auto"/>
        <w:right w:val="none" w:sz="0" w:space="0" w:color="auto"/>
      </w:divBdr>
    </w:div>
    <w:div w:id="649559212">
      <w:bodyDiv w:val="1"/>
      <w:marLeft w:val="0"/>
      <w:marRight w:val="0"/>
      <w:marTop w:val="0"/>
      <w:marBottom w:val="0"/>
      <w:divBdr>
        <w:top w:val="none" w:sz="0" w:space="0" w:color="auto"/>
        <w:left w:val="none" w:sz="0" w:space="0" w:color="auto"/>
        <w:bottom w:val="none" w:sz="0" w:space="0" w:color="auto"/>
        <w:right w:val="none" w:sz="0" w:space="0" w:color="auto"/>
      </w:divBdr>
    </w:div>
    <w:div w:id="80748155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 w:id="21029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2020-06-14T18:30:00+00:00</Judgment_x0020_Date>
    <Year xmlns="c1afb1bd-f2fb-40fd-9abb-aea55b4d7662">2020</Year>
  </documentManagement>
</p:properties>
</file>

<file path=customXml/itemProps1.xml><?xml version="1.0" encoding="utf-8"?>
<ds:datastoreItem xmlns:ds="http://schemas.openxmlformats.org/officeDocument/2006/customXml" ds:itemID="{65DCE9B4-7995-4EE8-91AF-C4D46C9A4B44}"/>
</file>

<file path=customXml/itemProps2.xml><?xml version="1.0" encoding="utf-8"?>
<ds:datastoreItem xmlns:ds="http://schemas.openxmlformats.org/officeDocument/2006/customXml" ds:itemID="{BCD5C8AE-B5E8-4694-86AC-017E8B64AACD}"/>
</file>

<file path=customXml/itemProps3.xml><?xml version="1.0" encoding="utf-8"?>
<ds:datastoreItem xmlns:ds="http://schemas.openxmlformats.org/officeDocument/2006/customXml" ds:itemID="{5B3884EF-E16B-439C-B791-D995ADABD233}"/>
</file>

<file path=customXml/itemProps4.xml><?xml version="1.0" encoding="utf-8"?>
<ds:datastoreItem xmlns:ds="http://schemas.openxmlformats.org/officeDocument/2006/customXml" ds:itemID="{D2F8C942-D90F-4DA9-93DD-A958D2E388BA}"/>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v Trustco Insurance Limited (HC-MD-CIV-ACT-CON-2018-04079) [2020] NAHCMD 228 (15 June 2020)</dc:title>
  <dc:subject/>
  <dc:creator>Mbeurora Karamata</dc:creator>
  <cp:keywords/>
  <dc:description/>
  <cp:lastModifiedBy>Administrator</cp:lastModifiedBy>
  <cp:revision>3</cp:revision>
  <cp:lastPrinted>2020-06-15T11:14:00Z</cp:lastPrinted>
  <dcterms:created xsi:type="dcterms:W3CDTF">2020-06-15T14:19:00Z</dcterms:created>
  <dcterms:modified xsi:type="dcterms:W3CDTF">2020-06-15T14:19:00Z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