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50" w:rsidRDefault="00070C50" w:rsidP="00CF3A7F">
      <w:pPr>
        <w:spacing w:after="0" w:line="240" w:lineRule="auto"/>
        <w:jc w:val="center"/>
        <w:rPr>
          <w:rFonts w:ascii="Arial" w:hAnsi="Arial" w:cs="Arial"/>
          <w:sz w:val="24"/>
          <w:szCs w:val="24"/>
        </w:rPr>
      </w:pPr>
    </w:p>
    <w:p w:rsidR="00CF3A7F" w:rsidRPr="00CF3A7F" w:rsidRDefault="00CF3A7F" w:rsidP="00CF3A7F">
      <w:pPr>
        <w:spacing w:after="0" w:line="240" w:lineRule="auto"/>
        <w:jc w:val="center"/>
        <w:rPr>
          <w:rFonts w:ascii="Arial" w:hAnsi="Arial" w:cs="Arial"/>
          <w:sz w:val="24"/>
          <w:szCs w:val="24"/>
        </w:rPr>
      </w:pPr>
      <w:r w:rsidRPr="00CF3A7F">
        <w:rPr>
          <w:rFonts w:ascii="Arial" w:hAnsi="Arial" w:cs="Arial"/>
          <w:sz w:val="24"/>
          <w:szCs w:val="24"/>
        </w:rPr>
        <w:t>“ANNEXURE 11”</w:t>
      </w:r>
    </w:p>
    <w:p w:rsidR="00CF3A7F" w:rsidRPr="00CF3A7F" w:rsidRDefault="00CF3A7F" w:rsidP="00CF3A7F">
      <w:pPr>
        <w:spacing w:after="0" w:line="360" w:lineRule="auto"/>
        <w:jc w:val="both"/>
        <w:rPr>
          <w:rFonts w:ascii="Arial" w:hAnsi="Arial" w:cs="Arial"/>
          <w:sz w:val="24"/>
          <w:szCs w:val="24"/>
        </w:rPr>
      </w:pPr>
      <w:bookmarkStart w:id="0" w:name="_GoBack"/>
      <w:bookmarkEnd w:id="0"/>
    </w:p>
    <w:p w:rsidR="00CF3A7F" w:rsidRDefault="00CF3A7F" w:rsidP="00CF3A7F">
      <w:pPr>
        <w:spacing w:after="0" w:line="360" w:lineRule="auto"/>
        <w:jc w:val="center"/>
        <w:rPr>
          <w:rFonts w:ascii="Arial" w:hAnsi="Arial" w:cs="Arial"/>
          <w:b/>
          <w:sz w:val="24"/>
          <w:szCs w:val="24"/>
        </w:rPr>
      </w:pPr>
      <w:r w:rsidRPr="00CF3A7F">
        <w:rPr>
          <w:rFonts w:ascii="Arial" w:hAnsi="Arial" w:cs="Arial"/>
          <w:b/>
          <w:sz w:val="24"/>
          <w:szCs w:val="24"/>
        </w:rPr>
        <w:t>IN THE HIGH COURT OF NAMIBIA</w:t>
      </w:r>
    </w:p>
    <w:p w:rsidR="005A1481" w:rsidRPr="00CF3A7F" w:rsidRDefault="005A1481" w:rsidP="00CF3A7F">
      <w:pPr>
        <w:spacing w:after="0" w:line="360" w:lineRule="auto"/>
        <w:jc w:val="center"/>
        <w:rPr>
          <w:rFonts w:ascii="Arial" w:hAnsi="Arial" w:cs="Arial"/>
          <w:b/>
          <w:sz w:val="24"/>
          <w:szCs w:val="24"/>
        </w:rPr>
      </w:pPr>
      <w:r>
        <w:rPr>
          <w:rFonts w:ascii="Arial" w:hAnsi="Arial" w:cs="Arial"/>
          <w:b/>
          <w:sz w:val="24"/>
          <w:szCs w:val="24"/>
        </w:rPr>
        <w:t>(TO THE SUPREME COURT OF NAMIBIA)</w:t>
      </w:r>
    </w:p>
    <w:p w:rsidR="00CF3A7F" w:rsidRPr="00CF3A7F" w:rsidRDefault="00CF3A7F" w:rsidP="00CF3A7F">
      <w:pPr>
        <w:spacing w:after="0" w:line="360" w:lineRule="auto"/>
        <w:jc w:val="both"/>
        <w:rPr>
          <w:rFonts w:ascii="Arial" w:hAnsi="Arial" w:cs="Arial"/>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CF3A7F" w:rsidRPr="00CF3A7F" w:rsidTr="00180908">
        <w:trPr>
          <w:trHeight w:val="744"/>
        </w:trPr>
        <w:tc>
          <w:tcPr>
            <w:tcW w:w="5397" w:type="dxa"/>
            <w:gridSpan w:val="2"/>
            <w:vMerge w:val="restart"/>
          </w:tcPr>
          <w:p w:rsidR="00CF3A7F" w:rsidRPr="00CF3A7F" w:rsidRDefault="00CF3A7F" w:rsidP="000C30DA">
            <w:pPr>
              <w:spacing w:line="360" w:lineRule="auto"/>
              <w:jc w:val="both"/>
              <w:rPr>
                <w:rFonts w:ascii="Arial" w:hAnsi="Arial" w:cs="Arial"/>
                <w:sz w:val="24"/>
                <w:szCs w:val="24"/>
              </w:rPr>
            </w:pPr>
            <w:r w:rsidRPr="00CF3A7F">
              <w:rPr>
                <w:rFonts w:ascii="Arial" w:hAnsi="Arial" w:cs="Arial"/>
                <w:b/>
                <w:sz w:val="24"/>
                <w:szCs w:val="24"/>
              </w:rPr>
              <w:t xml:space="preserve">Case Title: </w:t>
            </w:r>
            <w:r w:rsidR="005A1481">
              <w:rPr>
                <w:rFonts w:ascii="Arial" w:hAnsi="Arial" w:cs="Arial"/>
              </w:rPr>
              <w:t>GERHARD TJAZIRAPI v</w:t>
            </w:r>
            <w:r w:rsidR="000C30DA" w:rsidRPr="000C30DA">
              <w:rPr>
                <w:rFonts w:ascii="Arial" w:hAnsi="Arial" w:cs="Arial"/>
              </w:rPr>
              <w:t xml:space="preserve"> CHRIS NGUAPIA</w:t>
            </w:r>
          </w:p>
        </w:tc>
        <w:tc>
          <w:tcPr>
            <w:tcW w:w="4323" w:type="dxa"/>
          </w:tcPr>
          <w:p w:rsidR="00CF3A7F" w:rsidRPr="00CF3A7F" w:rsidRDefault="00CF3A7F" w:rsidP="00180908">
            <w:pPr>
              <w:spacing w:line="360" w:lineRule="auto"/>
              <w:jc w:val="both"/>
              <w:rPr>
                <w:rFonts w:ascii="Arial" w:hAnsi="Arial" w:cs="Arial"/>
                <w:sz w:val="24"/>
                <w:szCs w:val="24"/>
              </w:rPr>
            </w:pPr>
            <w:r w:rsidRPr="00CF3A7F">
              <w:rPr>
                <w:rFonts w:ascii="Arial" w:hAnsi="Arial" w:cs="Arial"/>
                <w:b/>
                <w:sz w:val="24"/>
                <w:szCs w:val="24"/>
              </w:rPr>
              <w:t>Case No:</w:t>
            </w:r>
          </w:p>
          <w:p w:rsidR="00CF3A7F" w:rsidRPr="00CF3A7F" w:rsidRDefault="00CF3A7F" w:rsidP="00103008">
            <w:pPr>
              <w:spacing w:line="360" w:lineRule="auto"/>
              <w:jc w:val="both"/>
              <w:rPr>
                <w:rFonts w:ascii="Arial" w:hAnsi="Arial" w:cs="Arial"/>
                <w:b/>
                <w:sz w:val="24"/>
                <w:szCs w:val="24"/>
              </w:rPr>
            </w:pPr>
            <w:r w:rsidRPr="00CF3A7F">
              <w:rPr>
                <w:rFonts w:ascii="Arial" w:hAnsi="Arial" w:cs="Arial"/>
                <w:sz w:val="24"/>
                <w:szCs w:val="24"/>
              </w:rPr>
              <w:t>HC-MD-CIV-ACT-CON-</w:t>
            </w:r>
            <w:r w:rsidR="00962C63">
              <w:rPr>
                <w:rFonts w:ascii="Arial" w:hAnsi="Arial" w:cs="Arial"/>
                <w:sz w:val="24"/>
                <w:szCs w:val="24"/>
              </w:rPr>
              <w:t>2019/03765</w:t>
            </w:r>
          </w:p>
        </w:tc>
      </w:tr>
      <w:tr w:rsidR="00CF3A7F" w:rsidRPr="00CF3A7F" w:rsidTr="00180908">
        <w:trPr>
          <w:trHeight w:val="844"/>
        </w:trPr>
        <w:tc>
          <w:tcPr>
            <w:tcW w:w="5397" w:type="dxa"/>
            <w:gridSpan w:val="2"/>
            <w:vMerge/>
          </w:tcPr>
          <w:p w:rsidR="00CF3A7F" w:rsidRPr="00CF3A7F" w:rsidRDefault="00CF3A7F" w:rsidP="00180908">
            <w:pPr>
              <w:spacing w:line="360" w:lineRule="auto"/>
              <w:jc w:val="both"/>
              <w:rPr>
                <w:rFonts w:ascii="Arial" w:hAnsi="Arial" w:cs="Arial"/>
                <w:sz w:val="24"/>
                <w:szCs w:val="24"/>
              </w:rPr>
            </w:pPr>
          </w:p>
        </w:tc>
        <w:tc>
          <w:tcPr>
            <w:tcW w:w="4323" w:type="dxa"/>
          </w:tcPr>
          <w:p w:rsidR="00CF3A7F" w:rsidRPr="00CF3A7F" w:rsidRDefault="00CF3A7F" w:rsidP="00180908">
            <w:pPr>
              <w:spacing w:line="360" w:lineRule="auto"/>
              <w:jc w:val="both"/>
              <w:rPr>
                <w:rFonts w:ascii="Arial" w:hAnsi="Arial" w:cs="Arial"/>
                <w:sz w:val="24"/>
                <w:szCs w:val="24"/>
              </w:rPr>
            </w:pPr>
            <w:r w:rsidRPr="00CF3A7F">
              <w:rPr>
                <w:rFonts w:ascii="Arial" w:hAnsi="Arial" w:cs="Arial"/>
                <w:b/>
                <w:sz w:val="24"/>
                <w:szCs w:val="24"/>
              </w:rPr>
              <w:t>Division of Court:</w:t>
            </w:r>
          </w:p>
          <w:p w:rsidR="00CF3A7F" w:rsidRPr="00CF3A7F" w:rsidRDefault="00CF3A7F" w:rsidP="00180908">
            <w:pPr>
              <w:spacing w:line="360" w:lineRule="auto"/>
              <w:jc w:val="both"/>
              <w:rPr>
                <w:rFonts w:ascii="Arial" w:hAnsi="Arial" w:cs="Arial"/>
                <w:sz w:val="24"/>
                <w:szCs w:val="24"/>
              </w:rPr>
            </w:pPr>
            <w:r w:rsidRPr="00CF3A7F">
              <w:rPr>
                <w:rFonts w:ascii="Arial" w:hAnsi="Arial" w:cs="Arial"/>
                <w:sz w:val="24"/>
                <w:szCs w:val="24"/>
              </w:rPr>
              <w:t>MAIN DIVISION</w:t>
            </w:r>
          </w:p>
        </w:tc>
      </w:tr>
      <w:tr w:rsidR="00CF3A7F" w:rsidRPr="00CF3A7F" w:rsidTr="00180908">
        <w:trPr>
          <w:trHeight w:val="645"/>
        </w:trPr>
        <w:tc>
          <w:tcPr>
            <w:tcW w:w="5397" w:type="dxa"/>
            <w:gridSpan w:val="2"/>
            <w:vMerge w:val="restart"/>
          </w:tcPr>
          <w:p w:rsidR="00CF3A7F" w:rsidRPr="00CF3A7F" w:rsidRDefault="00CF3A7F" w:rsidP="00180908">
            <w:pPr>
              <w:spacing w:line="360" w:lineRule="auto"/>
              <w:jc w:val="both"/>
              <w:rPr>
                <w:rFonts w:ascii="Arial" w:hAnsi="Arial" w:cs="Arial"/>
                <w:b/>
                <w:sz w:val="24"/>
                <w:szCs w:val="24"/>
              </w:rPr>
            </w:pPr>
            <w:r w:rsidRPr="00CF3A7F">
              <w:rPr>
                <w:rFonts w:ascii="Arial" w:hAnsi="Arial" w:cs="Arial"/>
                <w:b/>
                <w:sz w:val="24"/>
                <w:szCs w:val="24"/>
              </w:rPr>
              <w:t>Heard before</w:t>
            </w:r>
          </w:p>
          <w:p w:rsidR="00CF3A7F" w:rsidRPr="00CF3A7F" w:rsidRDefault="00CF3A7F" w:rsidP="00180908">
            <w:pPr>
              <w:spacing w:line="360" w:lineRule="auto"/>
              <w:jc w:val="both"/>
              <w:rPr>
                <w:rFonts w:ascii="Arial" w:hAnsi="Arial" w:cs="Arial"/>
                <w:sz w:val="24"/>
                <w:szCs w:val="24"/>
              </w:rPr>
            </w:pPr>
            <w:r w:rsidRPr="00CF3A7F">
              <w:rPr>
                <w:rFonts w:ascii="Arial" w:hAnsi="Arial" w:cs="Arial"/>
                <w:sz w:val="24"/>
                <w:szCs w:val="24"/>
              </w:rPr>
              <w:t>TOMMASI J</w:t>
            </w:r>
          </w:p>
        </w:tc>
        <w:tc>
          <w:tcPr>
            <w:tcW w:w="4323" w:type="dxa"/>
          </w:tcPr>
          <w:p w:rsidR="00CF3A7F" w:rsidRPr="00CF3A7F" w:rsidRDefault="00CF3A7F" w:rsidP="00180908">
            <w:pPr>
              <w:spacing w:line="360" w:lineRule="auto"/>
              <w:jc w:val="both"/>
              <w:rPr>
                <w:rFonts w:ascii="Arial" w:hAnsi="Arial" w:cs="Arial"/>
                <w:b/>
                <w:sz w:val="24"/>
                <w:szCs w:val="24"/>
              </w:rPr>
            </w:pPr>
            <w:r w:rsidRPr="00CF3A7F">
              <w:rPr>
                <w:rFonts w:ascii="Arial" w:hAnsi="Arial" w:cs="Arial"/>
                <w:b/>
                <w:sz w:val="24"/>
                <w:szCs w:val="24"/>
              </w:rPr>
              <w:t>Date of hearing:</w:t>
            </w:r>
          </w:p>
          <w:p w:rsidR="00CF3A7F" w:rsidRPr="00CF3A7F" w:rsidRDefault="000C30DA" w:rsidP="00225DE7">
            <w:pPr>
              <w:spacing w:line="360" w:lineRule="auto"/>
              <w:rPr>
                <w:rFonts w:ascii="Arial" w:hAnsi="Arial" w:cs="Arial"/>
                <w:sz w:val="24"/>
                <w:szCs w:val="24"/>
              </w:rPr>
            </w:pPr>
            <w:r>
              <w:rPr>
                <w:rFonts w:ascii="Arial" w:hAnsi="Arial" w:cs="Arial"/>
                <w:sz w:val="24"/>
                <w:szCs w:val="24"/>
              </w:rPr>
              <w:t>0</w:t>
            </w:r>
            <w:r w:rsidR="00962C63">
              <w:rPr>
                <w:rFonts w:ascii="Arial" w:hAnsi="Arial" w:cs="Arial"/>
                <w:sz w:val="24"/>
                <w:szCs w:val="24"/>
              </w:rPr>
              <w:t>2 July 2020</w:t>
            </w:r>
          </w:p>
        </w:tc>
      </w:tr>
      <w:tr w:rsidR="00CF3A7F" w:rsidRPr="00CF3A7F" w:rsidTr="00180908">
        <w:trPr>
          <w:trHeight w:val="588"/>
        </w:trPr>
        <w:tc>
          <w:tcPr>
            <w:tcW w:w="5397" w:type="dxa"/>
            <w:gridSpan w:val="2"/>
            <w:vMerge/>
          </w:tcPr>
          <w:p w:rsidR="00CF3A7F" w:rsidRPr="00CF3A7F" w:rsidRDefault="00CF3A7F" w:rsidP="00180908">
            <w:pPr>
              <w:spacing w:line="360" w:lineRule="auto"/>
              <w:jc w:val="both"/>
              <w:rPr>
                <w:rFonts w:ascii="Arial" w:hAnsi="Arial" w:cs="Arial"/>
                <w:b/>
                <w:sz w:val="24"/>
                <w:szCs w:val="24"/>
              </w:rPr>
            </w:pPr>
          </w:p>
        </w:tc>
        <w:tc>
          <w:tcPr>
            <w:tcW w:w="4323" w:type="dxa"/>
          </w:tcPr>
          <w:p w:rsidR="00CF3A7F" w:rsidRPr="00CF3A7F" w:rsidRDefault="00CF3A7F" w:rsidP="00180908">
            <w:pPr>
              <w:spacing w:line="360" w:lineRule="auto"/>
              <w:jc w:val="both"/>
              <w:rPr>
                <w:rFonts w:ascii="Arial" w:hAnsi="Arial" w:cs="Arial"/>
                <w:b/>
                <w:sz w:val="24"/>
                <w:szCs w:val="24"/>
              </w:rPr>
            </w:pPr>
            <w:r w:rsidRPr="00CF3A7F">
              <w:rPr>
                <w:rFonts w:ascii="Arial" w:hAnsi="Arial" w:cs="Arial"/>
                <w:b/>
                <w:sz w:val="24"/>
                <w:szCs w:val="24"/>
              </w:rPr>
              <w:t>Delivered on:</w:t>
            </w:r>
          </w:p>
          <w:p w:rsidR="00287F72" w:rsidRPr="00CF3A7F" w:rsidRDefault="007C16FC" w:rsidP="000C30DA">
            <w:pPr>
              <w:spacing w:line="360" w:lineRule="auto"/>
              <w:jc w:val="both"/>
              <w:rPr>
                <w:rFonts w:ascii="Arial" w:hAnsi="Arial" w:cs="Arial"/>
                <w:sz w:val="24"/>
                <w:szCs w:val="24"/>
              </w:rPr>
            </w:pPr>
            <w:r>
              <w:rPr>
                <w:rFonts w:ascii="Arial" w:hAnsi="Arial" w:cs="Arial"/>
                <w:sz w:val="24"/>
                <w:szCs w:val="24"/>
              </w:rPr>
              <w:t>2</w:t>
            </w:r>
            <w:r w:rsidR="000C30DA">
              <w:rPr>
                <w:rFonts w:ascii="Arial" w:hAnsi="Arial" w:cs="Arial"/>
                <w:sz w:val="24"/>
                <w:szCs w:val="24"/>
              </w:rPr>
              <w:t>4</w:t>
            </w:r>
            <w:r>
              <w:rPr>
                <w:rFonts w:ascii="Arial" w:hAnsi="Arial" w:cs="Arial"/>
                <w:sz w:val="24"/>
                <w:szCs w:val="24"/>
              </w:rPr>
              <w:t xml:space="preserve"> July 2020</w:t>
            </w:r>
          </w:p>
        </w:tc>
      </w:tr>
      <w:tr w:rsidR="00CF3A7F" w:rsidRPr="00CF3A7F" w:rsidTr="00180908">
        <w:tc>
          <w:tcPr>
            <w:tcW w:w="9720" w:type="dxa"/>
            <w:gridSpan w:val="3"/>
          </w:tcPr>
          <w:p w:rsidR="00CF3A7F" w:rsidRDefault="00CF3A7F" w:rsidP="00180908">
            <w:pPr>
              <w:pStyle w:val="form-control-static"/>
              <w:shd w:val="clear" w:color="auto" w:fill="FFFFFF"/>
              <w:spacing w:before="0" w:beforeAutospacing="0" w:after="0" w:afterAutospacing="0"/>
              <w:rPr>
                <w:rFonts w:ascii="Arial" w:hAnsi="Arial" w:cs="Arial"/>
                <w:lang w:val="en-ZA"/>
              </w:rPr>
            </w:pPr>
            <w:r w:rsidRPr="00CF3A7F">
              <w:rPr>
                <w:rFonts w:ascii="Arial" w:hAnsi="Arial" w:cs="Arial"/>
                <w:b/>
              </w:rPr>
              <w:t xml:space="preserve">Neutral citation: </w:t>
            </w:r>
            <w:proofErr w:type="spellStart"/>
            <w:r w:rsidR="007C16FC" w:rsidRPr="005A1481">
              <w:rPr>
                <w:rFonts w:ascii="Arial" w:hAnsi="Arial" w:cs="Arial"/>
                <w:i/>
              </w:rPr>
              <w:t>Tjazirapi</w:t>
            </w:r>
            <w:proofErr w:type="spellEnd"/>
            <w:r w:rsidR="00332479" w:rsidRPr="005A1481">
              <w:rPr>
                <w:rFonts w:ascii="Arial" w:hAnsi="Arial" w:cs="Arial"/>
                <w:i/>
              </w:rPr>
              <w:t xml:space="preserve"> v </w:t>
            </w:r>
            <w:proofErr w:type="spellStart"/>
            <w:r w:rsidR="00332479" w:rsidRPr="005A1481">
              <w:rPr>
                <w:rFonts w:ascii="Arial" w:hAnsi="Arial" w:cs="Arial"/>
                <w:i/>
              </w:rPr>
              <w:t>Nguapi</w:t>
            </w:r>
            <w:r w:rsidR="000C30DA" w:rsidRPr="005A1481">
              <w:rPr>
                <w:rFonts w:ascii="Arial" w:hAnsi="Arial" w:cs="Arial"/>
                <w:i/>
              </w:rPr>
              <w:t>a</w:t>
            </w:r>
            <w:proofErr w:type="spellEnd"/>
            <w:r w:rsidR="00332479">
              <w:rPr>
                <w:rFonts w:ascii="Arial" w:hAnsi="Arial" w:cs="Arial"/>
              </w:rPr>
              <w:t xml:space="preserve"> </w:t>
            </w:r>
            <w:r w:rsidR="005A1481">
              <w:rPr>
                <w:rFonts w:ascii="Arial" w:hAnsi="Arial" w:cs="Arial"/>
              </w:rPr>
              <w:t>(</w:t>
            </w:r>
            <w:r w:rsidRPr="00CF3A7F">
              <w:rPr>
                <w:rFonts w:ascii="Arial" w:hAnsi="Arial" w:cs="Arial"/>
                <w:lang w:val="en-ZA"/>
              </w:rPr>
              <w:t>HC-MD-CIV-ACT-CON-</w:t>
            </w:r>
            <w:r w:rsidR="00332479">
              <w:rPr>
                <w:rFonts w:ascii="Arial" w:hAnsi="Arial" w:cs="Arial"/>
              </w:rPr>
              <w:t>2019/03765</w:t>
            </w:r>
            <w:r w:rsidR="005A1481">
              <w:rPr>
                <w:rFonts w:ascii="Arial" w:hAnsi="Arial" w:cs="Arial"/>
              </w:rPr>
              <w:t>)</w:t>
            </w:r>
            <w:r w:rsidRPr="00CF3A7F">
              <w:rPr>
                <w:rFonts w:ascii="Arial" w:hAnsi="Arial" w:cs="Arial"/>
                <w:lang w:val="en-ZA"/>
              </w:rPr>
              <w:t xml:space="preserve"> [2020] NAHCMD</w:t>
            </w:r>
            <w:r w:rsidR="009B2B77">
              <w:rPr>
                <w:rFonts w:ascii="Arial" w:hAnsi="Arial" w:cs="Arial"/>
                <w:lang w:val="en-ZA"/>
              </w:rPr>
              <w:t xml:space="preserve"> </w:t>
            </w:r>
            <w:r w:rsidR="00E43C43">
              <w:rPr>
                <w:rFonts w:ascii="Arial" w:hAnsi="Arial" w:cs="Arial"/>
                <w:lang w:val="en-ZA"/>
              </w:rPr>
              <w:t>315</w:t>
            </w:r>
            <w:r w:rsidR="009B2B77">
              <w:rPr>
                <w:rFonts w:ascii="Arial" w:hAnsi="Arial" w:cs="Arial"/>
                <w:lang w:val="en-ZA"/>
              </w:rPr>
              <w:t xml:space="preserve"> </w:t>
            </w:r>
            <w:r w:rsidRPr="00CF3A7F">
              <w:rPr>
                <w:rFonts w:ascii="Arial" w:hAnsi="Arial" w:cs="Arial"/>
                <w:lang w:val="en-ZA"/>
              </w:rPr>
              <w:t>(</w:t>
            </w:r>
            <w:r w:rsidR="000C30DA">
              <w:rPr>
                <w:rFonts w:ascii="Arial" w:hAnsi="Arial" w:cs="Arial"/>
                <w:lang w:val="en-ZA"/>
              </w:rPr>
              <w:t>24</w:t>
            </w:r>
            <w:r w:rsidR="00332479">
              <w:rPr>
                <w:rFonts w:ascii="Arial" w:hAnsi="Arial" w:cs="Arial"/>
                <w:lang w:val="en-ZA"/>
              </w:rPr>
              <w:t xml:space="preserve"> July 2020</w:t>
            </w:r>
            <w:r w:rsidRPr="00CF3A7F">
              <w:rPr>
                <w:rFonts w:ascii="Arial" w:hAnsi="Arial" w:cs="Arial"/>
                <w:lang w:val="en-ZA"/>
              </w:rPr>
              <w:t>)</w:t>
            </w:r>
          </w:p>
          <w:p w:rsidR="00050C6B" w:rsidRPr="00CF3A7F" w:rsidRDefault="00050C6B" w:rsidP="00180908">
            <w:pPr>
              <w:pStyle w:val="form-control-static"/>
              <w:shd w:val="clear" w:color="auto" w:fill="FFFFFF"/>
              <w:spacing w:before="0" w:beforeAutospacing="0" w:after="0" w:afterAutospacing="0"/>
              <w:rPr>
                <w:rFonts w:ascii="Arial" w:hAnsi="Arial" w:cs="Arial"/>
                <w:color w:val="333333"/>
                <w:shd w:val="clear" w:color="auto" w:fill="FFFFFF"/>
              </w:rPr>
            </w:pPr>
          </w:p>
          <w:p w:rsidR="00CF3A7F" w:rsidRPr="00CF3A7F" w:rsidRDefault="00CF3A7F" w:rsidP="00180908">
            <w:pPr>
              <w:pStyle w:val="form-control-static"/>
              <w:shd w:val="clear" w:color="auto" w:fill="FFFFFF"/>
              <w:spacing w:before="0" w:beforeAutospacing="0" w:after="0" w:afterAutospacing="0"/>
              <w:rPr>
                <w:rFonts w:ascii="Arial" w:hAnsi="Arial" w:cs="Arial"/>
                <w:color w:val="333333"/>
              </w:rPr>
            </w:pPr>
          </w:p>
        </w:tc>
      </w:tr>
      <w:tr w:rsidR="00CF3A7F" w:rsidRPr="00CF3A7F" w:rsidTr="00180908">
        <w:tc>
          <w:tcPr>
            <w:tcW w:w="9720" w:type="dxa"/>
            <w:gridSpan w:val="3"/>
          </w:tcPr>
          <w:p w:rsidR="00CF3A7F" w:rsidRPr="00CF3A7F" w:rsidRDefault="00CF3A7F" w:rsidP="00180908">
            <w:pPr>
              <w:pStyle w:val="form-control-static"/>
              <w:shd w:val="clear" w:color="auto" w:fill="FFFFFF"/>
              <w:spacing w:before="0" w:beforeAutospacing="0" w:after="0" w:afterAutospacing="0"/>
              <w:rPr>
                <w:rFonts w:ascii="Arial" w:hAnsi="Arial" w:cs="Arial"/>
                <w:b/>
              </w:rPr>
            </w:pPr>
            <w:r w:rsidRPr="00CF3A7F">
              <w:rPr>
                <w:rFonts w:ascii="Arial" w:hAnsi="Arial" w:cs="Arial"/>
                <w:b/>
              </w:rPr>
              <w:t>Results on merits:</w:t>
            </w:r>
          </w:p>
          <w:p w:rsidR="00CF3A7F" w:rsidRDefault="00CF3A7F" w:rsidP="00180908">
            <w:pPr>
              <w:pStyle w:val="form-control-static"/>
              <w:shd w:val="clear" w:color="auto" w:fill="FFFFFF"/>
              <w:spacing w:before="0" w:beforeAutospacing="0" w:after="0" w:afterAutospacing="0"/>
              <w:rPr>
                <w:rFonts w:ascii="Arial" w:hAnsi="Arial" w:cs="Arial"/>
              </w:rPr>
            </w:pPr>
            <w:r w:rsidRPr="00CF3A7F">
              <w:rPr>
                <w:rFonts w:ascii="Arial" w:hAnsi="Arial" w:cs="Arial"/>
              </w:rPr>
              <w:t>.</w:t>
            </w:r>
          </w:p>
          <w:p w:rsidR="00EC2065" w:rsidRPr="00CF3A7F" w:rsidRDefault="00EC2065" w:rsidP="00180908">
            <w:pPr>
              <w:pStyle w:val="form-control-static"/>
              <w:shd w:val="clear" w:color="auto" w:fill="FFFFFF"/>
              <w:spacing w:before="0" w:beforeAutospacing="0" w:after="0" w:afterAutospacing="0"/>
              <w:rPr>
                <w:rFonts w:ascii="Arial" w:hAnsi="Arial" w:cs="Arial"/>
              </w:rPr>
            </w:pPr>
          </w:p>
        </w:tc>
      </w:tr>
      <w:tr w:rsidR="00CF3A7F" w:rsidRPr="00CF3A7F" w:rsidTr="00180908">
        <w:tc>
          <w:tcPr>
            <w:tcW w:w="9720" w:type="dxa"/>
            <w:gridSpan w:val="3"/>
          </w:tcPr>
          <w:p w:rsidR="00CF3A7F" w:rsidRPr="00CF3A7F" w:rsidRDefault="00CF3A7F" w:rsidP="00180908">
            <w:pPr>
              <w:spacing w:line="360" w:lineRule="auto"/>
              <w:jc w:val="both"/>
              <w:rPr>
                <w:rFonts w:ascii="Arial" w:hAnsi="Arial" w:cs="Arial"/>
                <w:sz w:val="24"/>
                <w:szCs w:val="24"/>
              </w:rPr>
            </w:pPr>
          </w:p>
          <w:p w:rsidR="00CF3A7F" w:rsidRPr="00CF3A7F" w:rsidRDefault="00CF3A7F" w:rsidP="00180908">
            <w:pPr>
              <w:spacing w:line="360" w:lineRule="auto"/>
              <w:jc w:val="both"/>
              <w:rPr>
                <w:rFonts w:ascii="Arial" w:hAnsi="Arial" w:cs="Arial"/>
                <w:b/>
                <w:sz w:val="24"/>
                <w:szCs w:val="24"/>
              </w:rPr>
            </w:pPr>
            <w:r w:rsidRPr="00CF3A7F">
              <w:rPr>
                <w:rFonts w:ascii="Arial" w:hAnsi="Arial" w:cs="Arial"/>
                <w:b/>
                <w:sz w:val="24"/>
                <w:szCs w:val="24"/>
              </w:rPr>
              <w:t>IT IS ORDERED THAT:</w:t>
            </w:r>
          </w:p>
          <w:p w:rsidR="0076058F" w:rsidRPr="0076058F" w:rsidRDefault="0076058F" w:rsidP="0076058F">
            <w:pPr>
              <w:pStyle w:val="ListParagraph"/>
              <w:numPr>
                <w:ilvl w:val="0"/>
                <w:numId w:val="1"/>
              </w:numPr>
              <w:spacing w:line="360" w:lineRule="auto"/>
              <w:jc w:val="both"/>
              <w:rPr>
                <w:rFonts w:ascii="Arial" w:hAnsi="Arial" w:cs="Arial"/>
                <w:sz w:val="24"/>
                <w:szCs w:val="24"/>
              </w:rPr>
            </w:pPr>
            <w:r w:rsidRPr="0076058F">
              <w:rPr>
                <w:rFonts w:ascii="Arial" w:hAnsi="Arial" w:cs="Arial"/>
                <w:sz w:val="24"/>
                <w:szCs w:val="24"/>
              </w:rPr>
              <w:t>The plaintiff’s application for Summary Judgment is dismissed;</w:t>
            </w:r>
          </w:p>
          <w:p w:rsidR="0076058F" w:rsidRPr="0076058F" w:rsidRDefault="0076058F" w:rsidP="0076058F">
            <w:pPr>
              <w:pStyle w:val="ListParagraph"/>
              <w:numPr>
                <w:ilvl w:val="0"/>
                <w:numId w:val="1"/>
              </w:numPr>
              <w:spacing w:line="360" w:lineRule="auto"/>
              <w:jc w:val="both"/>
              <w:rPr>
                <w:rFonts w:ascii="Arial" w:hAnsi="Arial" w:cs="Arial"/>
                <w:sz w:val="24"/>
                <w:szCs w:val="24"/>
              </w:rPr>
            </w:pPr>
            <w:r w:rsidRPr="0076058F">
              <w:rPr>
                <w:rFonts w:ascii="Arial" w:hAnsi="Arial" w:cs="Arial"/>
                <w:sz w:val="24"/>
                <w:szCs w:val="24"/>
              </w:rPr>
              <w:t>The Defendant is granted leave to defend</w:t>
            </w:r>
            <w:r>
              <w:rPr>
                <w:rFonts w:ascii="Arial" w:hAnsi="Arial" w:cs="Arial"/>
                <w:sz w:val="24"/>
                <w:szCs w:val="24"/>
              </w:rPr>
              <w:t xml:space="preserve"> the main action;</w:t>
            </w:r>
          </w:p>
          <w:p w:rsidR="00CF3A7F" w:rsidRDefault="000C30DA" w:rsidP="0076058F">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plaintiff is ordered</w:t>
            </w:r>
            <w:r w:rsidR="0076058F" w:rsidRPr="0076058F">
              <w:rPr>
                <w:rFonts w:ascii="Arial" w:hAnsi="Arial" w:cs="Arial"/>
                <w:sz w:val="24"/>
                <w:szCs w:val="24"/>
              </w:rPr>
              <w:t xml:space="preserve"> </w:t>
            </w:r>
            <w:r>
              <w:rPr>
                <w:rFonts w:ascii="Arial" w:hAnsi="Arial" w:cs="Arial"/>
                <w:sz w:val="24"/>
                <w:szCs w:val="24"/>
              </w:rPr>
              <w:t xml:space="preserve">to </w:t>
            </w:r>
            <w:r w:rsidR="0076058F" w:rsidRPr="0076058F">
              <w:rPr>
                <w:rFonts w:ascii="Arial" w:hAnsi="Arial" w:cs="Arial"/>
                <w:sz w:val="24"/>
                <w:szCs w:val="24"/>
              </w:rPr>
              <w:t xml:space="preserve">pay the </w:t>
            </w:r>
            <w:r w:rsidR="0076058F">
              <w:rPr>
                <w:rFonts w:ascii="Arial" w:hAnsi="Arial" w:cs="Arial"/>
                <w:sz w:val="24"/>
                <w:szCs w:val="24"/>
              </w:rPr>
              <w:t xml:space="preserve">defendant’s </w:t>
            </w:r>
            <w:r w:rsidR="0076058F" w:rsidRPr="0076058F">
              <w:rPr>
                <w:rFonts w:ascii="Arial" w:hAnsi="Arial" w:cs="Arial"/>
                <w:sz w:val="24"/>
                <w:szCs w:val="24"/>
              </w:rPr>
              <w:t>cost of the application limited in terms of Rule 32 (11)</w:t>
            </w:r>
            <w:r w:rsidR="00540A04">
              <w:rPr>
                <w:rFonts w:ascii="Arial" w:hAnsi="Arial" w:cs="Arial"/>
                <w:sz w:val="24"/>
                <w:szCs w:val="24"/>
              </w:rPr>
              <w:t>;</w:t>
            </w:r>
            <w:r w:rsidR="0076058F" w:rsidRPr="00CF3A7F">
              <w:rPr>
                <w:rFonts w:ascii="Arial" w:hAnsi="Arial" w:cs="Arial"/>
                <w:sz w:val="24"/>
                <w:szCs w:val="24"/>
              </w:rPr>
              <w:t xml:space="preserve"> </w:t>
            </w:r>
          </w:p>
          <w:p w:rsidR="00552C6E" w:rsidRDefault="000C30DA" w:rsidP="0076058F">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parties are ordered to</w:t>
            </w:r>
            <w:r w:rsidR="00552C6E">
              <w:rPr>
                <w:rFonts w:ascii="Arial" w:hAnsi="Arial" w:cs="Arial"/>
                <w:sz w:val="24"/>
                <w:szCs w:val="24"/>
              </w:rPr>
              <w:t xml:space="preserve"> file a joint case plan on or before 14 August 2020;</w:t>
            </w:r>
          </w:p>
          <w:p w:rsidR="00552C6E" w:rsidRDefault="00552C6E" w:rsidP="00552C6E">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matter is postponed to 19 August 2020 for case planning hearing.</w:t>
            </w:r>
          </w:p>
          <w:p w:rsidR="00C72D57" w:rsidRPr="00CF3A7F" w:rsidRDefault="00C72D57" w:rsidP="00C72D57">
            <w:pPr>
              <w:pStyle w:val="ListParagraph"/>
              <w:spacing w:line="360" w:lineRule="auto"/>
              <w:jc w:val="both"/>
              <w:rPr>
                <w:rFonts w:ascii="Arial" w:hAnsi="Arial" w:cs="Arial"/>
                <w:sz w:val="24"/>
                <w:szCs w:val="24"/>
              </w:rPr>
            </w:pPr>
          </w:p>
        </w:tc>
      </w:tr>
      <w:tr w:rsidR="00CF3A7F" w:rsidRPr="00CF3A7F" w:rsidTr="00180908">
        <w:tc>
          <w:tcPr>
            <w:tcW w:w="9720" w:type="dxa"/>
            <w:gridSpan w:val="3"/>
          </w:tcPr>
          <w:p w:rsidR="00287F72" w:rsidRDefault="00CF3A7F" w:rsidP="00180908">
            <w:pPr>
              <w:spacing w:line="360" w:lineRule="auto"/>
              <w:jc w:val="both"/>
              <w:rPr>
                <w:rFonts w:ascii="Arial" w:hAnsi="Arial" w:cs="Arial"/>
                <w:b/>
                <w:sz w:val="24"/>
                <w:szCs w:val="24"/>
              </w:rPr>
            </w:pPr>
            <w:r w:rsidRPr="00CF3A7F">
              <w:rPr>
                <w:rFonts w:ascii="Arial" w:hAnsi="Arial" w:cs="Arial"/>
                <w:b/>
                <w:sz w:val="24"/>
                <w:szCs w:val="24"/>
              </w:rPr>
              <w:t>Reasons for orders:</w:t>
            </w:r>
          </w:p>
          <w:p w:rsidR="00C72D57" w:rsidRPr="00CF3A7F" w:rsidRDefault="00C72D57" w:rsidP="00180908">
            <w:pPr>
              <w:spacing w:line="360" w:lineRule="auto"/>
              <w:jc w:val="both"/>
              <w:rPr>
                <w:rFonts w:ascii="Arial" w:hAnsi="Arial" w:cs="Arial"/>
                <w:b/>
                <w:sz w:val="24"/>
                <w:szCs w:val="24"/>
              </w:rPr>
            </w:pPr>
          </w:p>
        </w:tc>
      </w:tr>
      <w:tr w:rsidR="00CF3A7F" w:rsidRPr="00CF3A7F" w:rsidTr="00180908">
        <w:tc>
          <w:tcPr>
            <w:tcW w:w="9720" w:type="dxa"/>
            <w:gridSpan w:val="3"/>
          </w:tcPr>
          <w:p w:rsidR="00CF3A7F" w:rsidRDefault="00287F72" w:rsidP="00180908">
            <w:pPr>
              <w:spacing w:line="360" w:lineRule="auto"/>
              <w:jc w:val="both"/>
              <w:rPr>
                <w:rFonts w:ascii="Arial" w:hAnsi="Arial" w:cs="Arial"/>
                <w:sz w:val="24"/>
                <w:szCs w:val="24"/>
              </w:rPr>
            </w:pPr>
            <w:r>
              <w:rPr>
                <w:rFonts w:ascii="Arial" w:hAnsi="Arial" w:cs="Arial"/>
                <w:sz w:val="24"/>
                <w:szCs w:val="24"/>
              </w:rPr>
              <w:t>TOMMASI J,</w:t>
            </w:r>
          </w:p>
          <w:p w:rsidR="00287F72" w:rsidRPr="00CF3A7F" w:rsidRDefault="00287F72" w:rsidP="00180908">
            <w:pPr>
              <w:spacing w:line="360" w:lineRule="auto"/>
              <w:jc w:val="both"/>
              <w:rPr>
                <w:rFonts w:ascii="Arial" w:hAnsi="Arial" w:cs="Arial"/>
                <w:sz w:val="24"/>
                <w:szCs w:val="24"/>
              </w:rPr>
            </w:pPr>
          </w:p>
          <w:p w:rsidR="00C70E8F" w:rsidRDefault="00CF3A7F" w:rsidP="00180908">
            <w:pPr>
              <w:spacing w:line="360" w:lineRule="auto"/>
              <w:jc w:val="both"/>
              <w:rPr>
                <w:rFonts w:ascii="Arial" w:hAnsi="Arial" w:cs="Arial"/>
                <w:sz w:val="24"/>
                <w:szCs w:val="24"/>
              </w:rPr>
            </w:pPr>
            <w:r w:rsidRPr="00CF3A7F">
              <w:rPr>
                <w:rFonts w:ascii="Arial" w:hAnsi="Arial" w:cs="Arial"/>
                <w:sz w:val="24"/>
                <w:szCs w:val="24"/>
              </w:rPr>
              <w:t>[1]</w:t>
            </w:r>
            <w:r w:rsidR="00844815">
              <w:rPr>
                <w:rFonts w:ascii="Arial" w:hAnsi="Arial" w:cs="Arial"/>
                <w:sz w:val="24"/>
                <w:szCs w:val="24"/>
              </w:rPr>
              <w:t xml:space="preserve">  </w:t>
            </w:r>
            <w:r w:rsidR="000C30DA">
              <w:rPr>
                <w:rFonts w:ascii="Arial" w:hAnsi="Arial" w:cs="Arial"/>
                <w:sz w:val="24"/>
                <w:szCs w:val="24"/>
              </w:rPr>
              <w:t xml:space="preserve"> </w:t>
            </w:r>
            <w:r w:rsidR="00C70E8F">
              <w:rPr>
                <w:rFonts w:ascii="Arial" w:hAnsi="Arial" w:cs="Arial"/>
                <w:sz w:val="24"/>
                <w:szCs w:val="24"/>
              </w:rPr>
              <w:t>The plaintiff applied for summary judgment and the defendant filed an affidavit opposing the application.</w:t>
            </w:r>
          </w:p>
          <w:p w:rsidR="00EC2065" w:rsidRDefault="00EC2065" w:rsidP="00180908">
            <w:pPr>
              <w:spacing w:line="360" w:lineRule="auto"/>
              <w:jc w:val="both"/>
              <w:rPr>
                <w:rFonts w:ascii="Arial" w:hAnsi="Arial" w:cs="Arial"/>
                <w:sz w:val="24"/>
                <w:szCs w:val="24"/>
              </w:rPr>
            </w:pPr>
          </w:p>
          <w:p w:rsidR="00C70E8F" w:rsidRDefault="00C70E8F" w:rsidP="00180908">
            <w:pPr>
              <w:spacing w:line="360" w:lineRule="auto"/>
              <w:jc w:val="both"/>
              <w:rPr>
                <w:rFonts w:ascii="Arial" w:hAnsi="Arial" w:cs="Arial"/>
                <w:sz w:val="24"/>
                <w:szCs w:val="24"/>
              </w:rPr>
            </w:pPr>
            <w:r>
              <w:rPr>
                <w:rFonts w:ascii="Arial" w:hAnsi="Arial" w:cs="Arial"/>
                <w:sz w:val="24"/>
                <w:szCs w:val="24"/>
              </w:rPr>
              <w:lastRenderedPageBreak/>
              <w:t xml:space="preserve">[2]  </w:t>
            </w:r>
            <w:r w:rsidR="000C30DA">
              <w:rPr>
                <w:rFonts w:ascii="Arial" w:hAnsi="Arial" w:cs="Arial"/>
                <w:sz w:val="24"/>
                <w:szCs w:val="24"/>
              </w:rPr>
              <w:t xml:space="preserve">  </w:t>
            </w:r>
            <w:r>
              <w:rPr>
                <w:rFonts w:ascii="Arial" w:hAnsi="Arial" w:cs="Arial"/>
                <w:sz w:val="24"/>
                <w:szCs w:val="24"/>
              </w:rPr>
              <w:t xml:space="preserve"> </w:t>
            </w:r>
            <w:r w:rsidR="004169C7">
              <w:rPr>
                <w:rFonts w:ascii="Arial" w:hAnsi="Arial" w:cs="Arial"/>
                <w:sz w:val="24"/>
                <w:szCs w:val="24"/>
              </w:rPr>
              <w:t>Plaintiff claim</w:t>
            </w:r>
            <w:r>
              <w:rPr>
                <w:rFonts w:ascii="Arial" w:hAnsi="Arial" w:cs="Arial"/>
                <w:sz w:val="24"/>
                <w:szCs w:val="24"/>
              </w:rPr>
              <w:t>s</w:t>
            </w:r>
            <w:r w:rsidR="004169C7">
              <w:rPr>
                <w:rFonts w:ascii="Arial" w:hAnsi="Arial" w:cs="Arial"/>
                <w:sz w:val="24"/>
                <w:szCs w:val="24"/>
              </w:rPr>
              <w:t xml:space="preserve"> </w:t>
            </w:r>
            <w:r>
              <w:rPr>
                <w:rFonts w:ascii="Arial" w:hAnsi="Arial" w:cs="Arial"/>
                <w:sz w:val="24"/>
                <w:szCs w:val="24"/>
              </w:rPr>
              <w:t xml:space="preserve">ejectment </w:t>
            </w:r>
            <w:r w:rsidR="004169C7">
              <w:rPr>
                <w:rFonts w:ascii="Arial" w:hAnsi="Arial" w:cs="Arial"/>
                <w:sz w:val="24"/>
                <w:szCs w:val="24"/>
              </w:rPr>
              <w:t>of the defendant from his property. He avers that</w:t>
            </w:r>
            <w:r>
              <w:rPr>
                <w:rFonts w:ascii="Arial" w:hAnsi="Arial" w:cs="Arial"/>
                <w:sz w:val="24"/>
                <w:szCs w:val="24"/>
              </w:rPr>
              <w:t>:</w:t>
            </w:r>
            <w:r w:rsidR="004169C7">
              <w:rPr>
                <w:rFonts w:ascii="Arial" w:hAnsi="Arial" w:cs="Arial"/>
                <w:sz w:val="24"/>
                <w:szCs w:val="24"/>
              </w:rPr>
              <w:t xml:space="preserve"> </w:t>
            </w:r>
          </w:p>
          <w:p w:rsidR="00C70E8F" w:rsidRDefault="004169C7" w:rsidP="00C70E8F">
            <w:pPr>
              <w:pStyle w:val="ListParagraph"/>
              <w:numPr>
                <w:ilvl w:val="0"/>
                <w:numId w:val="4"/>
              </w:numPr>
              <w:spacing w:line="360" w:lineRule="auto"/>
              <w:jc w:val="both"/>
              <w:rPr>
                <w:rFonts w:ascii="Arial" w:hAnsi="Arial" w:cs="Arial"/>
                <w:sz w:val="24"/>
                <w:szCs w:val="24"/>
              </w:rPr>
            </w:pPr>
            <w:r w:rsidRPr="00C70E8F">
              <w:rPr>
                <w:rFonts w:ascii="Arial" w:hAnsi="Arial" w:cs="Arial"/>
                <w:sz w:val="24"/>
                <w:szCs w:val="24"/>
              </w:rPr>
              <w:t>he is the lawful owner of the property</w:t>
            </w:r>
            <w:r w:rsidR="00C70E8F">
              <w:rPr>
                <w:rFonts w:ascii="Arial" w:hAnsi="Arial" w:cs="Arial"/>
                <w:sz w:val="24"/>
                <w:szCs w:val="24"/>
              </w:rPr>
              <w:t>;</w:t>
            </w:r>
          </w:p>
          <w:p w:rsidR="00CF3A7F" w:rsidRDefault="004169C7" w:rsidP="00180908">
            <w:pPr>
              <w:pStyle w:val="ListParagraph"/>
              <w:numPr>
                <w:ilvl w:val="0"/>
                <w:numId w:val="4"/>
              </w:numPr>
              <w:spacing w:line="360" w:lineRule="auto"/>
              <w:jc w:val="both"/>
              <w:rPr>
                <w:rFonts w:ascii="Arial" w:hAnsi="Arial" w:cs="Arial"/>
                <w:sz w:val="24"/>
                <w:szCs w:val="24"/>
              </w:rPr>
            </w:pPr>
            <w:r w:rsidRPr="00C70E8F">
              <w:rPr>
                <w:rFonts w:ascii="Arial" w:hAnsi="Arial" w:cs="Arial"/>
                <w:sz w:val="24"/>
                <w:szCs w:val="24"/>
              </w:rPr>
              <w:t xml:space="preserve"> </w:t>
            </w:r>
            <w:proofErr w:type="gramStart"/>
            <w:r w:rsidRPr="00C70E8F">
              <w:rPr>
                <w:rFonts w:ascii="Arial" w:hAnsi="Arial" w:cs="Arial"/>
                <w:sz w:val="24"/>
                <w:szCs w:val="24"/>
              </w:rPr>
              <w:t>and</w:t>
            </w:r>
            <w:proofErr w:type="gramEnd"/>
            <w:r w:rsidRPr="00C70E8F">
              <w:rPr>
                <w:rFonts w:ascii="Arial" w:hAnsi="Arial" w:cs="Arial"/>
                <w:sz w:val="24"/>
                <w:szCs w:val="24"/>
              </w:rPr>
              <w:t xml:space="preserve"> the defendant is in unlawful occupation of this property. </w:t>
            </w:r>
          </w:p>
          <w:p w:rsidR="00C70E8F" w:rsidRPr="000C30DA" w:rsidRDefault="00C70E8F" w:rsidP="000C30DA">
            <w:pPr>
              <w:spacing w:line="360" w:lineRule="auto"/>
              <w:jc w:val="both"/>
              <w:rPr>
                <w:rFonts w:ascii="Arial" w:hAnsi="Arial" w:cs="Arial"/>
                <w:sz w:val="24"/>
                <w:szCs w:val="24"/>
              </w:rPr>
            </w:pPr>
          </w:p>
          <w:p w:rsidR="004B7759" w:rsidRDefault="00CF3A7F" w:rsidP="00180908">
            <w:pPr>
              <w:spacing w:line="360" w:lineRule="auto"/>
              <w:jc w:val="both"/>
              <w:rPr>
                <w:rFonts w:ascii="Arial" w:hAnsi="Arial" w:cs="Arial"/>
                <w:sz w:val="24"/>
                <w:szCs w:val="24"/>
              </w:rPr>
            </w:pPr>
            <w:r w:rsidRPr="00CF3A7F">
              <w:rPr>
                <w:rFonts w:ascii="Arial" w:hAnsi="Arial" w:cs="Arial"/>
                <w:sz w:val="24"/>
                <w:szCs w:val="24"/>
              </w:rPr>
              <w:t>[</w:t>
            </w:r>
            <w:r w:rsidR="00C70E8F">
              <w:rPr>
                <w:rFonts w:ascii="Arial" w:hAnsi="Arial" w:cs="Arial"/>
                <w:sz w:val="24"/>
                <w:szCs w:val="24"/>
              </w:rPr>
              <w:t>3</w:t>
            </w:r>
            <w:r w:rsidR="000C30DA">
              <w:rPr>
                <w:rFonts w:ascii="Arial" w:hAnsi="Arial" w:cs="Arial"/>
                <w:sz w:val="24"/>
                <w:szCs w:val="24"/>
              </w:rPr>
              <w:t xml:space="preserve">]      </w:t>
            </w:r>
            <w:r w:rsidR="004169C7">
              <w:rPr>
                <w:rFonts w:ascii="Arial" w:hAnsi="Arial" w:cs="Arial"/>
                <w:sz w:val="24"/>
                <w:szCs w:val="24"/>
              </w:rPr>
              <w:t>The defendant admits that the property was registered in the name of the plaintiff</w:t>
            </w:r>
            <w:r w:rsidR="00C70E8F">
              <w:rPr>
                <w:rFonts w:ascii="Arial" w:hAnsi="Arial" w:cs="Arial"/>
                <w:sz w:val="24"/>
                <w:szCs w:val="24"/>
              </w:rPr>
              <w:t xml:space="preserve"> but dispute</w:t>
            </w:r>
            <w:r w:rsidR="000C30DA">
              <w:rPr>
                <w:rFonts w:ascii="Arial" w:hAnsi="Arial" w:cs="Arial"/>
                <w:sz w:val="24"/>
                <w:szCs w:val="24"/>
              </w:rPr>
              <w:t>s</w:t>
            </w:r>
            <w:r w:rsidR="00C70E8F">
              <w:rPr>
                <w:rFonts w:ascii="Arial" w:hAnsi="Arial" w:cs="Arial"/>
                <w:sz w:val="24"/>
                <w:szCs w:val="24"/>
              </w:rPr>
              <w:t xml:space="preserve"> that he is unlawful occupation</w:t>
            </w:r>
            <w:r w:rsidR="004169C7">
              <w:rPr>
                <w:rFonts w:ascii="Arial" w:hAnsi="Arial" w:cs="Arial"/>
                <w:sz w:val="24"/>
                <w:szCs w:val="24"/>
              </w:rPr>
              <w:t xml:space="preserve">. </w:t>
            </w:r>
            <w:r w:rsidR="00C70E8F">
              <w:rPr>
                <w:rFonts w:ascii="Arial" w:hAnsi="Arial" w:cs="Arial"/>
                <w:sz w:val="24"/>
                <w:szCs w:val="24"/>
              </w:rPr>
              <w:t>He avers that t</w:t>
            </w:r>
            <w:r w:rsidR="004169C7">
              <w:rPr>
                <w:rFonts w:ascii="Arial" w:hAnsi="Arial" w:cs="Arial"/>
                <w:sz w:val="24"/>
                <w:szCs w:val="24"/>
              </w:rPr>
              <w:t>he defendant approached him during 2013</w:t>
            </w:r>
            <w:r w:rsidR="00C70E8F">
              <w:rPr>
                <w:rFonts w:ascii="Arial" w:hAnsi="Arial" w:cs="Arial"/>
                <w:sz w:val="24"/>
                <w:szCs w:val="24"/>
              </w:rPr>
              <w:t xml:space="preserve"> for financial assistance in order to </w:t>
            </w:r>
            <w:r w:rsidR="004169C7">
              <w:rPr>
                <w:rFonts w:ascii="Arial" w:hAnsi="Arial" w:cs="Arial"/>
                <w:sz w:val="24"/>
                <w:szCs w:val="24"/>
              </w:rPr>
              <w:t>purchase the property from the Municipality</w:t>
            </w:r>
            <w:r w:rsidR="00C70E8F">
              <w:rPr>
                <w:rFonts w:ascii="Arial" w:hAnsi="Arial" w:cs="Arial"/>
                <w:sz w:val="24"/>
                <w:szCs w:val="24"/>
              </w:rPr>
              <w:t xml:space="preserve">. The </w:t>
            </w:r>
            <w:r w:rsidR="004169C7">
              <w:rPr>
                <w:rFonts w:ascii="Arial" w:hAnsi="Arial" w:cs="Arial"/>
                <w:sz w:val="24"/>
                <w:szCs w:val="24"/>
              </w:rPr>
              <w:t xml:space="preserve">purchase price </w:t>
            </w:r>
            <w:r w:rsidR="00C70E8F">
              <w:rPr>
                <w:rFonts w:ascii="Arial" w:hAnsi="Arial" w:cs="Arial"/>
                <w:sz w:val="24"/>
                <w:szCs w:val="24"/>
              </w:rPr>
              <w:t>was N$</w:t>
            </w:r>
            <w:r w:rsidR="004169C7">
              <w:rPr>
                <w:rFonts w:ascii="Arial" w:hAnsi="Arial" w:cs="Arial"/>
                <w:sz w:val="24"/>
                <w:szCs w:val="24"/>
              </w:rPr>
              <w:t xml:space="preserve">656 995. He </w:t>
            </w:r>
            <w:r w:rsidR="00C70E8F">
              <w:rPr>
                <w:rFonts w:ascii="Arial" w:hAnsi="Arial" w:cs="Arial"/>
                <w:sz w:val="24"/>
                <w:szCs w:val="24"/>
              </w:rPr>
              <w:t>advanced an amount of N$200 000 to th</w:t>
            </w:r>
            <w:r w:rsidR="000C30DA">
              <w:rPr>
                <w:rFonts w:ascii="Arial" w:hAnsi="Arial" w:cs="Arial"/>
                <w:sz w:val="24"/>
                <w:szCs w:val="24"/>
              </w:rPr>
              <w:t>e plaintiff who signed an</w:t>
            </w:r>
            <w:r w:rsidR="00C70E8F">
              <w:rPr>
                <w:rFonts w:ascii="Arial" w:hAnsi="Arial" w:cs="Arial"/>
                <w:sz w:val="24"/>
                <w:szCs w:val="24"/>
              </w:rPr>
              <w:t xml:space="preserve"> acknowledgment of debt on </w:t>
            </w:r>
            <w:r w:rsidR="000C30DA">
              <w:rPr>
                <w:rFonts w:ascii="Arial" w:hAnsi="Arial" w:cs="Arial"/>
                <w:sz w:val="24"/>
                <w:szCs w:val="24"/>
              </w:rPr>
              <w:t>0</w:t>
            </w:r>
            <w:r w:rsidR="00C70E8F">
              <w:rPr>
                <w:rFonts w:ascii="Arial" w:hAnsi="Arial" w:cs="Arial"/>
                <w:sz w:val="24"/>
                <w:szCs w:val="24"/>
              </w:rPr>
              <w:t xml:space="preserve">5 </w:t>
            </w:r>
            <w:r w:rsidR="000C30DA">
              <w:rPr>
                <w:rFonts w:ascii="Arial" w:hAnsi="Arial" w:cs="Arial"/>
                <w:sz w:val="24"/>
                <w:szCs w:val="24"/>
              </w:rPr>
              <w:t>November</w:t>
            </w:r>
            <w:r w:rsidR="005151E8">
              <w:rPr>
                <w:rFonts w:ascii="Arial" w:hAnsi="Arial" w:cs="Arial"/>
                <w:sz w:val="24"/>
                <w:szCs w:val="24"/>
              </w:rPr>
              <w:t xml:space="preserve"> </w:t>
            </w:r>
            <w:r w:rsidR="000C30DA">
              <w:rPr>
                <w:rFonts w:ascii="Arial" w:hAnsi="Arial" w:cs="Arial"/>
                <w:sz w:val="24"/>
                <w:szCs w:val="24"/>
              </w:rPr>
              <w:t>2013</w:t>
            </w:r>
            <w:r w:rsidR="00C70E8F">
              <w:rPr>
                <w:rFonts w:ascii="Arial" w:hAnsi="Arial" w:cs="Arial"/>
                <w:sz w:val="24"/>
                <w:szCs w:val="24"/>
              </w:rPr>
              <w:t xml:space="preserve"> to repay the amount on or before </w:t>
            </w:r>
            <w:r w:rsidR="000C30DA">
              <w:rPr>
                <w:rFonts w:ascii="Arial" w:hAnsi="Arial" w:cs="Arial"/>
                <w:sz w:val="24"/>
                <w:szCs w:val="24"/>
              </w:rPr>
              <w:t>0</w:t>
            </w:r>
            <w:r w:rsidR="00C70E8F">
              <w:rPr>
                <w:rFonts w:ascii="Arial" w:hAnsi="Arial" w:cs="Arial"/>
                <w:sz w:val="24"/>
                <w:szCs w:val="24"/>
              </w:rPr>
              <w:t xml:space="preserve">5 November 2014. </w:t>
            </w:r>
            <w:r w:rsidR="005151E8">
              <w:rPr>
                <w:rFonts w:ascii="Arial" w:hAnsi="Arial" w:cs="Arial"/>
                <w:sz w:val="24"/>
                <w:szCs w:val="24"/>
              </w:rPr>
              <w:t xml:space="preserve">Defendant claims </w:t>
            </w:r>
            <w:r w:rsidR="000C30DA">
              <w:rPr>
                <w:rFonts w:ascii="Arial" w:hAnsi="Arial" w:cs="Arial"/>
                <w:sz w:val="24"/>
                <w:szCs w:val="24"/>
              </w:rPr>
              <w:t xml:space="preserve">that this forms </w:t>
            </w:r>
            <w:r w:rsidR="00C70E8F">
              <w:rPr>
                <w:rFonts w:ascii="Arial" w:hAnsi="Arial" w:cs="Arial"/>
                <w:sz w:val="24"/>
                <w:szCs w:val="24"/>
              </w:rPr>
              <w:t>of a further agreement between the parties.</w:t>
            </w:r>
          </w:p>
          <w:p w:rsidR="00CF3A7F" w:rsidRPr="00CF3A7F" w:rsidRDefault="00CF3A7F" w:rsidP="00180908">
            <w:pPr>
              <w:spacing w:line="360" w:lineRule="auto"/>
              <w:jc w:val="both"/>
              <w:rPr>
                <w:rFonts w:ascii="Arial" w:hAnsi="Arial" w:cs="Arial"/>
                <w:sz w:val="24"/>
                <w:szCs w:val="24"/>
              </w:rPr>
            </w:pPr>
          </w:p>
          <w:p w:rsidR="00C70E8F" w:rsidRDefault="00CF3A7F" w:rsidP="004B7759">
            <w:pPr>
              <w:spacing w:line="360" w:lineRule="auto"/>
              <w:jc w:val="both"/>
              <w:rPr>
                <w:rFonts w:ascii="Arial" w:hAnsi="Arial" w:cs="Arial"/>
                <w:sz w:val="24"/>
                <w:szCs w:val="24"/>
              </w:rPr>
            </w:pPr>
            <w:r w:rsidRPr="00CF3A7F">
              <w:rPr>
                <w:rFonts w:ascii="Arial" w:hAnsi="Arial" w:cs="Arial"/>
                <w:sz w:val="24"/>
                <w:szCs w:val="24"/>
              </w:rPr>
              <w:t>[</w:t>
            </w:r>
            <w:r w:rsidR="005151E8">
              <w:rPr>
                <w:rFonts w:ascii="Arial" w:hAnsi="Arial" w:cs="Arial"/>
                <w:sz w:val="24"/>
                <w:szCs w:val="24"/>
              </w:rPr>
              <w:t>4</w:t>
            </w:r>
            <w:r w:rsidRPr="00CF3A7F">
              <w:rPr>
                <w:rFonts w:ascii="Arial" w:hAnsi="Arial" w:cs="Arial"/>
                <w:sz w:val="24"/>
                <w:szCs w:val="24"/>
              </w:rPr>
              <w:t xml:space="preserve">]     </w:t>
            </w:r>
            <w:r w:rsidR="00C70E8F">
              <w:rPr>
                <w:rFonts w:ascii="Arial" w:hAnsi="Arial" w:cs="Arial"/>
                <w:sz w:val="24"/>
                <w:szCs w:val="24"/>
              </w:rPr>
              <w:t xml:space="preserve">According to plaintiff they entered </w:t>
            </w:r>
            <w:r w:rsidR="004B7759" w:rsidRPr="004B7759">
              <w:rPr>
                <w:rFonts w:ascii="Arial" w:hAnsi="Arial" w:cs="Arial"/>
                <w:sz w:val="24"/>
                <w:szCs w:val="24"/>
              </w:rPr>
              <w:t xml:space="preserve">into a verbal agreement and the terms thereof were inter alia that: </w:t>
            </w:r>
          </w:p>
          <w:p w:rsidR="00C70E8F" w:rsidRDefault="000C30DA" w:rsidP="00C70E8F">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d</w:t>
            </w:r>
            <w:r w:rsidR="004B7759" w:rsidRPr="00C70E8F">
              <w:rPr>
                <w:rFonts w:ascii="Arial" w:hAnsi="Arial" w:cs="Arial"/>
                <w:sz w:val="24"/>
                <w:szCs w:val="24"/>
              </w:rPr>
              <w:t>efendant would pay the purchase price on behalf of the plaintiff;</w:t>
            </w:r>
          </w:p>
          <w:p w:rsidR="00C70E8F" w:rsidRDefault="000C30DA" w:rsidP="00C70E8F">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d</w:t>
            </w:r>
            <w:r w:rsidR="004B7759" w:rsidRPr="00C70E8F">
              <w:rPr>
                <w:rFonts w:ascii="Arial" w:hAnsi="Arial" w:cs="Arial"/>
                <w:sz w:val="24"/>
                <w:szCs w:val="24"/>
              </w:rPr>
              <w:t xml:space="preserve">efendant would take advance occupation pending the finalisation of the municipality transaction and transfer into the defendant’s name. </w:t>
            </w:r>
          </w:p>
          <w:p w:rsidR="00C70E8F" w:rsidRDefault="004B7759" w:rsidP="00C70E8F">
            <w:pPr>
              <w:pStyle w:val="ListParagraph"/>
              <w:numPr>
                <w:ilvl w:val="0"/>
                <w:numId w:val="5"/>
              </w:numPr>
              <w:spacing w:line="360" w:lineRule="auto"/>
              <w:jc w:val="both"/>
              <w:rPr>
                <w:rFonts w:ascii="Arial" w:hAnsi="Arial" w:cs="Arial"/>
                <w:sz w:val="24"/>
                <w:szCs w:val="24"/>
              </w:rPr>
            </w:pPr>
            <w:r w:rsidRPr="00C70E8F">
              <w:rPr>
                <w:rFonts w:ascii="Arial" w:hAnsi="Arial" w:cs="Arial"/>
                <w:sz w:val="24"/>
                <w:szCs w:val="24"/>
              </w:rPr>
              <w:t>Once the purchase price has been paid then the property would be transferred from the City of Windhoek to the plaintiff</w:t>
            </w:r>
            <w:r w:rsidR="00C70E8F">
              <w:rPr>
                <w:rFonts w:ascii="Arial" w:hAnsi="Arial" w:cs="Arial"/>
                <w:sz w:val="24"/>
                <w:szCs w:val="24"/>
              </w:rPr>
              <w:t>;</w:t>
            </w:r>
          </w:p>
          <w:p w:rsidR="00C70E8F" w:rsidRDefault="00C70E8F" w:rsidP="00C70E8F">
            <w:pPr>
              <w:pStyle w:val="ListParagraph"/>
              <w:numPr>
                <w:ilvl w:val="0"/>
                <w:numId w:val="5"/>
              </w:numPr>
              <w:spacing w:line="360" w:lineRule="auto"/>
              <w:jc w:val="both"/>
              <w:rPr>
                <w:rFonts w:ascii="Arial" w:hAnsi="Arial" w:cs="Arial"/>
                <w:sz w:val="24"/>
                <w:szCs w:val="24"/>
              </w:rPr>
            </w:pPr>
            <w:r>
              <w:rPr>
                <w:rFonts w:ascii="Arial" w:hAnsi="Arial" w:cs="Arial"/>
                <w:sz w:val="24"/>
                <w:szCs w:val="24"/>
              </w:rPr>
              <w:t xml:space="preserve">After </w:t>
            </w:r>
            <w:r w:rsidR="000C30DA">
              <w:rPr>
                <w:rFonts w:ascii="Arial" w:hAnsi="Arial" w:cs="Arial"/>
                <w:sz w:val="24"/>
                <w:szCs w:val="24"/>
              </w:rPr>
              <w:t>two years</w:t>
            </w:r>
            <w:r w:rsidR="004B7759" w:rsidRPr="00C70E8F">
              <w:rPr>
                <w:rFonts w:ascii="Arial" w:hAnsi="Arial" w:cs="Arial"/>
                <w:sz w:val="24"/>
                <w:szCs w:val="24"/>
              </w:rPr>
              <w:t xml:space="preserve"> the plaintiff would give transfer to the defendant. </w:t>
            </w:r>
          </w:p>
          <w:p w:rsidR="004B7759" w:rsidRPr="00C70E8F" w:rsidRDefault="000C30DA" w:rsidP="00C70E8F">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d</w:t>
            </w:r>
            <w:r w:rsidR="004B7759" w:rsidRPr="00C70E8F">
              <w:rPr>
                <w:rFonts w:ascii="Arial" w:hAnsi="Arial" w:cs="Arial"/>
                <w:sz w:val="24"/>
                <w:szCs w:val="24"/>
              </w:rPr>
              <w:t xml:space="preserve">efendant would </w:t>
            </w:r>
            <w:r w:rsidR="005151E8">
              <w:rPr>
                <w:rFonts w:ascii="Arial" w:hAnsi="Arial" w:cs="Arial"/>
                <w:sz w:val="24"/>
                <w:szCs w:val="24"/>
              </w:rPr>
              <w:t xml:space="preserve">take occupation and </w:t>
            </w:r>
            <w:r w:rsidR="004B7759" w:rsidRPr="00C70E8F">
              <w:rPr>
                <w:rFonts w:ascii="Arial" w:hAnsi="Arial" w:cs="Arial"/>
                <w:sz w:val="24"/>
                <w:szCs w:val="24"/>
              </w:rPr>
              <w:t xml:space="preserve">remain in possession of the property until the property has been transferred into his name.   </w:t>
            </w:r>
          </w:p>
          <w:p w:rsidR="00CF3A7F" w:rsidRPr="00CF3A7F" w:rsidRDefault="00CF3A7F" w:rsidP="00180908">
            <w:pPr>
              <w:spacing w:line="360" w:lineRule="auto"/>
              <w:jc w:val="both"/>
              <w:rPr>
                <w:rFonts w:ascii="Arial" w:hAnsi="Arial" w:cs="Arial"/>
                <w:sz w:val="24"/>
                <w:szCs w:val="24"/>
              </w:rPr>
            </w:pPr>
          </w:p>
          <w:p w:rsidR="005151E8" w:rsidRDefault="00CF3A7F" w:rsidP="00180908">
            <w:pPr>
              <w:spacing w:line="360" w:lineRule="auto"/>
              <w:jc w:val="both"/>
              <w:rPr>
                <w:rFonts w:ascii="Arial" w:hAnsi="Arial" w:cs="Arial"/>
                <w:sz w:val="24"/>
                <w:szCs w:val="24"/>
              </w:rPr>
            </w:pPr>
            <w:r w:rsidRPr="00CF3A7F">
              <w:rPr>
                <w:rFonts w:ascii="Arial" w:hAnsi="Arial" w:cs="Arial"/>
                <w:sz w:val="24"/>
                <w:szCs w:val="24"/>
              </w:rPr>
              <w:t>[</w:t>
            </w:r>
            <w:r w:rsidR="005151E8">
              <w:rPr>
                <w:rFonts w:ascii="Arial" w:hAnsi="Arial" w:cs="Arial"/>
                <w:sz w:val="24"/>
                <w:szCs w:val="24"/>
              </w:rPr>
              <w:t>5</w:t>
            </w:r>
            <w:r w:rsidRPr="00CF3A7F">
              <w:rPr>
                <w:rFonts w:ascii="Arial" w:hAnsi="Arial" w:cs="Arial"/>
                <w:sz w:val="24"/>
                <w:szCs w:val="24"/>
              </w:rPr>
              <w:t xml:space="preserve">]    </w:t>
            </w:r>
            <w:r w:rsidR="00670C49">
              <w:rPr>
                <w:rFonts w:ascii="Arial" w:hAnsi="Arial" w:cs="Arial"/>
                <w:sz w:val="24"/>
                <w:szCs w:val="24"/>
              </w:rPr>
              <w:t xml:space="preserve">The defendant avers that he paid a total of N$555 459 to the plaintiff and the City of Windhoek being a substantial payment toward </w:t>
            </w:r>
            <w:r w:rsidR="005A1481">
              <w:rPr>
                <w:rFonts w:ascii="Arial" w:hAnsi="Arial" w:cs="Arial"/>
                <w:sz w:val="24"/>
                <w:szCs w:val="24"/>
              </w:rPr>
              <w:t>the purchase price of N$730 000.</w:t>
            </w:r>
            <w:r w:rsidR="00670C49">
              <w:rPr>
                <w:rFonts w:ascii="Arial" w:hAnsi="Arial" w:cs="Arial"/>
                <w:sz w:val="24"/>
                <w:szCs w:val="24"/>
              </w:rPr>
              <w:t xml:space="preserve"> </w:t>
            </w:r>
            <w:r w:rsidR="005151E8">
              <w:rPr>
                <w:rFonts w:ascii="Arial" w:hAnsi="Arial" w:cs="Arial"/>
                <w:sz w:val="24"/>
                <w:szCs w:val="24"/>
              </w:rPr>
              <w:t>I</w:t>
            </w:r>
            <w:r w:rsidR="000C30DA">
              <w:rPr>
                <w:rFonts w:ascii="Arial" w:hAnsi="Arial" w:cs="Arial"/>
                <w:sz w:val="24"/>
                <w:szCs w:val="24"/>
              </w:rPr>
              <w:t xml:space="preserve">t is not entirely clear when </w:t>
            </w:r>
            <w:r w:rsidR="005151E8">
              <w:rPr>
                <w:rFonts w:ascii="Arial" w:hAnsi="Arial" w:cs="Arial"/>
                <w:sz w:val="24"/>
                <w:szCs w:val="24"/>
              </w:rPr>
              <w:t xml:space="preserve">this purchase price was agreed upon. </w:t>
            </w:r>
            <w:r w:rsidR="00670C49">
              <w:rPr>
                <w:rFonts w:ascii="Arial" w:hAnsi="Arial" w:cs="Arial"/>
                <w:sz w:val="24"/>
                <w:szCs w:val="24"/>
              </w:rPr>
              <w:t xml:space="preserve">He moved into the premises and paid the rates and taxes due to the Municipality. </w:t>
            </w:r>
          </w:p>
          <w:p w:rsidR="005151E8" w:rsidRDefault="005151E8" w:rsidP="00180908">
            <w:pPr>
              <w:spacing w:line="360" w:lineRule="auto"/>
              <w:jc w:val="both"/>
              <w:rPr>
                <w:rFonts w:ascii="Arial" w:hAnsi="Arial" w:cs="Arial"/>
                <w:sz w:val="24"/>
                <w:szCs w:val="24"/>
              </w:rPr>
            </w:pPr>
          </w:p>
          <w:p w:rsidR="00CF3A7F" w:rsidRDefault="005151E8" w:rsidP="00180908">
            <w:pPr>
              <w:spacing w:line="360" w:lineRule="auto"/>
              <w:jc w:val="both"/>
              <w:rPr>
                <w:rFonts w:ascii="Arial" w:hAnsi="Arial" w:cs="Arial"/>
                <w:sz w:val="24"/>
                <w:szCs w:val="24"/>
              </w:rPr>
            </w:pPr>
            <w:r>
              <w:rPr>
                <w:rFonts w:ascii="Arial" w:hAnsi="Arial" w:cs="Arial"/>
                <w:sz w:val="24"/>
                <w:szCs w:val="24"/>
              </w:rPr>
              <w:t xml:space="preserve">[6]   </w:t>
            </w:r>
            <w:r w:rsidR="00FC0057">
              <w:rPr>
                <w:rFonts w:ascii="Arial" w:hAnsi="Arial" w:cs="Arial"/>
                <w:sz w:val="24"/>
                <w:szCs w:val="24"/>
              </w:rPr>
              <w:t xml:space="preserve">  </w:t>
            </w:r>
            <w:r w:rsidR="00670C49">
              <w:rPr>
                <w:rFonts w:ascii="Arial" w:hAnsi="Arial" w:cs="Arial"/>
                <w:sz w:val="24"/>
                <w:szCs w:val="24"/>
              </w:rPr>
              <w:t>On 16 October 2017 the plaintiff’s legal practitioners wrote a letter to him informing him that the defendant is no longer interested in selling the property to him. He therefore maintains that his occupation is not unlawful.</w:t>
            </w:r>
          </w:p>
          <w:p w:rsidR="00050C6B" w:rsidRDefault="00050C6B" w:rsidP="00180908">
            <w:pPr>
              <w:spacing w:line="360" w:lineRule="auto"/>
              <w:jc w:val="both"/>
              <w:rPr>
                <w:rFonts w:ascii="Arial" w:hAnsi="Arial" w:cs="Arial"/>
                <w:sz w:val="24"/>
                <w:szCs w:val="24"/>
              </w:rPr>
            </w:pPr>
          </w:p>
          <w:p w:rsidR="00EC2065" w:rsidRDefault="00EC2065" w:rsidP="00180908">
            <w:pPr>
              <w:spacing w:line="360" w:lineRule="auto"/>
              <w:jc w:val="both"/>
              <w:rPr>
                <w:rFonts w:ascii="Arial" w:hAnsi="Arial" w:cs="Arial"/>
                <w:sz w:val="24"/>
                <w:szCs w:val="24"/>
              </w:rPr>
            </w:pPr>
          </w:p>
          <w:p w:rsidR="00EC2065" w:rsidRPr="00CF3A7F" w:rsidRDefault="00EC2065" w:rsidP="00180908">
            <w:pPr>
              <w:spacing w:line="360" w:lineRule="auto"/>
              <w:jc w:val="both"/>
              <w:rPr>
                <w:rFonts w:ascii="Arial" w:hAnsi="Arial" w:cs="Arial"/>
                <w:sz w:val="24"/>
                <w:szCs w:val="24"/>
              </w:rPr>
            </w:pPr>
          </w:p>
          <w:p w:rsidR="006F3A1E" w:rsidRDefault="004768BC" w:rsidP="006F3A1E">
            <w:pPr>
              <w:spacing w:line="360" w:lineRule="auto"/>
              <w:jc w:val="both"/>
              <w:rPr>
                <w:rFonts w:ascii="Arial" w:hAnsi="Arial" w:cs="Arial"/>
                <w:sz w:val="24"/>
                <w:szCs w:val="24"/>
              </w:rPr>
            </w:pPr>
            <w:r>
              <w:rPr>
                <w:rFonts w:ascii="Arial" w:hAnsi="Arial" w:cs="Arial"/>
                <w:sz w:val="24"/>
                <w:szCs w:val="24"/>
              </w:rPr>
              <w:lastRenderedPageBreak/>
              <w:t>[7</w:t>
            </w:r>
            <w:r w:rsidR="00CF3A7F" w:rsidRPr="00CF3A7F">
              <w:rPr>
                <w:rFonts w:ascii="Arial" w:hAnsi="Arial" w:cs="Arial"/>
                <w:sz w:val="24"/>
                <w:szCs w:val="24"/>
              </w:rPr>
              <w:t xml:space="preserve">]   </w:t>
            </w:r>
            <w:r w:rsidR="00EE2A72">
              <w:rPr>
                <w:rFonts w:ascii="Arial" w:hAnsi="Arial" w:cs="Arial"/>
                <w:sz w:val="24"/>
                <w:szCs w:val="24"/>
              </w:rPr>
              <w:tab/>
            </w:r>
            <w:r w:rsidR="00364D21">
              <w:rPr>
                <w:rFonts w:ascii="Arial" w:hAnsi="Arial" w:cs="Arial"/>
                <w:sz w:val="24"/>
                <w:szCs w:val="24"/>
              </w:rPr>
              <w:t xml:space="preserve">In </w:t>
            </w:r>
            <w:r w:rsidR="00364D21" w:rsidRPr="005151E8">
              <w:rPr>
                <w:rFonts w:ascii="Arial" w:hAnsi="Arial" w:cs="Arial"/>
                <w:i/>
                <w:sz w:val="24"/>
                <w:szCs w:val="24"/>
              </w:rPr>
              <w:t>L</w:t>
            </w:r>
            <w:r w:rsidR="005151E8" w:rsidRPr="005151E8">
              <w:rPr>
                <w:rFonts w:ascii="Arial" w:hAnsi="Arial" w:cs="Arial"/>
                <w:i/>
                <w:sz w:val="24"/>
                <w:szCs w:val="24"/>
              </w:rPr>
              <w:t xml:space="preserve">ofty-Eaton and Another </w:t>
            </w:r>
            <w:r w:rsidR="00364D21" w:rsidRPr="005151E8">
              <w:rPr>
                <w:rFonts w:ascii="Arial" w:hAnsi="Arial" w:cs="Arial"/>
                <w:i/>
                <w:sz w:val="24"/>
                <w:szCs w:val="24"/>
              </w:rPr>
              <w:t>v N</w:t>
            </w:r>
            <w:r w:rsidR="005151E8" w:rsidRPr="005151E8">
              <w:rPr>
                <w:rFonts w:ascii="Arial" w:hAnsi="Arial" w:cs="Arial"/>
                <w:i/>
                <w:sz w:val="24"/>
                <w:szCs w:val="24"/>
              </w:rPr>
              <w:t xml:space="preserve">oble </w:t>
            </w:r>
            <w:r w:rsidR="00364D21" w:rsidRPr="005151E8">
              <w:rPr>
                <w:rFonts w:ascii="Arial" w:hAnsi="Arial" w:cs="Arial"/>
                <w:i/>
                <w:sz w:val="24"/>
                <w:szCs w:val="24"/>
              </w:rPr>
              <w:t>2014 (4) NR 952 (HC)</w:t>
            </w:r>
            <w:r w:rsidR="005151E8" w:rsidRPr="005151E8">
              <w:rPr>
                <w:rFonts w:ascii="Arial" w:hAnsi="Arial" w:cs="Arial"/>
                <w:i/>
                <w:sz w:val="24"/>
                <w:szCs w:val="24"/>
              </w:rPr>
              <w:t>,</w:t>
            </w:r>
            <w:r w:rsidR="00364D21">
              <w:rPr>
                <w:rFonts w:ascii="Arial" w:hAnsi="Arial" w:cs="Arial"/>
                <w:sz w:val="24"/>
                <w:szCs w:val="24"/>
              </w:rPr>
              <w:t xml:space="preserve"> Cheda J</w:t>
            </w:r>
            <w:r w:rsidR="005151E8">
              <w:rPr>
                <w:rFonts w:ascii="Arial" w:hAnsi="Arial" w:cs="Arial"/>
                <w:sz w:val="24"/>
                <w:szCs w:val="24"/>
              </w:rPr>
              <w:t>,</w:t>
            </w:r>
            <w:r w:rsidR="00364D21">
              <w:rPr>
                <w:rFonts w:ascii="Arial" w:hAnsi="Arial" w:cs="Arial"/>
                <w:sz w:val="24"/>
                <w:szCs w:val="24"/>
              </w:rPr>
              <w:t xml:space="preserve"> at page</w:t>
            </w:r>
            <w:r w:rsidR="005151E8">
              <w:rPr>
                <w:rFonts w:ascii="Arial" w:hAnsi="Arial" w:cs="Arial"/>
                <w:sz w:val="24"/>
                <w:szCs w:val="24"/>
              </w:rPr>
              <w:t>, 995</w:t>
            </w:r>
            <w:r w:rsidR="00364D21">
              <w:rPr>
                <w:rFonts w:ascii="Arial" w:hAnsi="Arial" w:cs="Arial"/>
                <w:sz w:val="24"/>
                <w:szCs w:val="24"/>
              </w:rPr>
              <w:t xml:space="preserve">  para 5 stated the following:</w:t>
            </w:r>
          </w:p>
          <w:p w:rsidR="00FC0057" w:rsidRDefault="00FC0057" w:rsidP="006F3A1E">
            <w:pPr>
              <w:spacing w:line="360" w:lineRule="auto"/>
              <w:jc w:val="both"/>
              <w:rPr>
                <w:rFonts w:ascii="Arial" w:hAnsi="Arial" w:cs="Arial"/>
                <w:sz w:val="24"/>
                <w:szCs w:val="24"/>
              </w:rPr>
            </w:pPr>
          </w:p>
          <w:p w:rsidR="00D24D9A" w:rsidRDefault="00FC0057" w:rsidP="00D24D9A">
            <w:pPr>
              <w:spacing w:line="360" w:lineRule="auto"/>
              <w:jc w:val="both"/>
              <w:rPr>
                <w:rFonts w:ascii="Arial" w:hAnsi="Arial" w:cs="Arial"/>
                <w:lang w:val="en-US"/>
              </w:rPr>
            </w:pPr>
            <w:r>
              <w:rPr>
                <w:rFonts w:ascii="Arial" w:hAnsi="Arial" w:cs="Arial"/>
                <w:lang w:val="en-US"/>
              </w:rPr>
              <w:t xml:space="preserve">           </w:t>
            </w:r>
            <w:r w:rsidR="00364D21">
              <w:rPr>
                <w:rFonts w:ascii="Arial" w:hAnsi="Arial" w:cs="Arial"/>
                <w:lang w:val="en-US"/>
              </w:rPr>
              <w:t>‘</w:t>
            </w:r>
            <w:r w:rsidR="00364D21" w:rsidRPr="0076058F">
              <w:rPr>
                <w:rFonts w:ascii="Arial" w:hAnsi="Arial" w:cs="Arial"/>
                <w:lang w:val="en-US"/>
              </w:rPr>
              <w:t>The general approach of the courts in applications of this nature is that cognisance is taken that a summary judgment is an independent, distinctive and a speedy debt collecting mechanism utilised by creditors. It is a tool for use by a plaintiff where a defendant raises some lame excuse or defence in order to defend a clear claim. The courts, have, therefore, been using this method to justly grant an order to a desperate plaintiff who, in its absence without it, would continue to endure the frustration mounted by an unscrupulous defendant(s) on the basis of some imagined defence’.</w:t>
            </w:r>
          </w:p>
          <w:p w:rsidR="00FC0057" w:rsidRPr="0076058F" w:rsidRDefault="00FC0057" w:rsidP="00D24D9A">
            <w:pPr>
              <w:spacing w:line="360" w:lineRule="auto"/>
              <w:jc w:val="both"/>
              <w:rPr>
                <w:rFonts w:ascii="Arial" w:hAnsi="Arial" w:cs="Arial"/>
                <w:lang w:val="en-US"/>
              </w:rPr>
            </w:pPr>
          </w:p>
          <w:p w:rsidR="00D24D9A" w:rsidRDefault="00D24D9A" w:rsidP="00D24D9A">
            <w:pPr>
              <w:spacing w:line="360" w:lineRule="auto"/>
              <w:jc w:val="both"/>
              <w:rPr>
                <w:rFonts w:ascii="Arial" w:hAnsi="Arial" w:cs="Arial"/>
                <w:sz w:val="24"/>
                <w:szCs w:val="24"/>
                <w:lang w:val="en-US"/>
              </w:rPr>
            </w:pPr>
            <w:r w:rsidRPr="005151E8">
              <w:rPr>
                <w:rFonts w:ascii="Arial" w:hAnsi="Arial" w:cs="Arial"/>
                <w:sz w:val="24"/>
                <w:szCs w:val="24"/>
                <w:lang w:val="en-US"/>
              </w:rPr>
              <w:t xml:space="preserve">In para 9 of the same judgment the following is stated. </w:t>
            </w:r>
          </w:p>
          <w:p w:rsidR="005A1481" w:rsidRPr="005151E8" w:rsidRDefault="005A1481" w:rsidP="00D24D9A">
            <w:pPr>
              <w:spacing w:line="360" w:lineRule="auto"/>
              <w:jc w:val="both"/>
              <w:rPr>
                <w:rFonts w:ascii="Arial" w:hAnsi="Arial" w:cs="Arial"/>
                <w:sz w:val="24"/>
                <w:szCs w:val="24"/>
                <w:lang w:val="en-US"/>
              </w:rPr>
            </w:pPr>
          </w:p>
          <w:p w:rsidR="00D24D9A" w:rsidRDefault="00FC0057" w:rsidP="00D24D9A">
            <w:pPr>
              <w:spacing w:line="360" w:lineRule="auto"/>
              <w:jc w:val="both"/>
              <w:rPr>
                <w:rFonts w:ascii="Arial" w:hAnsi="Arial" w:cs="Arial"/>
                <w:lang w:val="en-US"/>
              </w:rPr>
            </w:pPr>
            <w:r>
              <w:rPr>
                <w:rFonts w:ascii="Arial" w:hAnsi="Arial" w:cs="Arial"/>
                <w:lang w:val="en-US"/>
              </w:rPr>
              <w:t xml:space="preserve">             ‘</w:t>
            </w:r>
            <w:r w:rsidR="00D24D9A" w:rsidRPr="0076058F">
              <w:rPr>
                <w:rFonts w:ascii="Arial" w:hAnsi="Arial" w:cs="Arial"/>
                <w:lang w:val="en-US"/>
              </w:rPr>
              <w:t xml:space="preserve">For that reason, these courts will always seriously consider the granting of a summary judgment and will only do so where a proper case has been made out by applicants. The above principle has been applied in many cases. See also </w:t>
            </w:r>
            <w:r w:rsidR="00D24D9A" w:rsidRPr="009D26C9">
              <w:rPr>
                <w:rFonts w:ascii="Arial" w:hAnsi="Arial" w:cs="Arial"/>
                <w:i/>
                <w:lang w:val="en-US"/>
              </w:rPr>
              <w:t>Credé v Standard Bank of SA Ltd</w:t>
            </w:r>
            <w:r w:rsidR="00D24D9A" w:rsidRPr="0076058F">
              <w:rPr>
                <w:rFonts w:ascii="Arial" w:hAnsi="Arial" w:cs="Arial"/>
                <w:lang w:val="en-US"/>
              </w:rPr>
              <w:t xml:space="preserve">  where Kannemeyer J remarked:</w:t>
            </w:r>
          </w:p>
          <w:p w:rsidR="00FC0057" w:rsidRPr="0076058F" w:rsidRDefault="00FC0057" w:rsidP="00D24D9A">
            <w:pPr>
              <w:spacing w:line="360" w:lineRule="auto"/>
              <w:jc w:val="both"/>
              <w:rPr>
                <w:rFonts w:ascii="Arial" w:hAnsi="Arial" w:cs="Arial"/>
                <w:lang w:val="en-US"/>
              </w:rPr>
            </w:pPr>
          </w:p>
          <w:p w:rsidR="00D24D9A" w:rsidRDefault="00D24D9A" w:rsidP="00D24D9A">
            <w:pPr>
              <w:spacing w:line="360" w:lineRule="auto"/>
              <w:jc w:val="both"/>
              <w:rPr>
                <w:rFonts w:ascii="Arial" w:hAnsi="Arial" w:cs="Arial"/>
                <w:lang w:val="en-US"/>
              </w:rPr>
            </w:pPr>
            <w:r w:rsidRPr="0076058F">
              <w:rPr>
                <w:rFonts w:ascii="Arial" w:hAnsi="Arial" w:cs="Arial"/>
                <w:lang w:val="en-US"/>
              </w:rPr>
              <w:tab/>
              <w:t>'One must bear in mind that the granting of summary judgment is an extraordinary and drastic remedy based upon the supposition that the plaintiff's claim is unimpeachable and that the defendant's defence is bogus or bad in law.'</w:t>
            </w:r>
          </w:p>
          <w:p w:rsidR="00FC0057" w:rsidRDefault="00FC0057" w:rsidP="00D24D9A">
            <w:pPr>
              <w:spacing w:line="360" w:lineRule="auto"/>
              <w:jc w:val="both"/>
              <w:rPr>
                <w:rFonts w:ascii="Arial" w:hAnsi="Arial" w:cs="Arial"/>
                <w:lang w:val="en-US"/>
              </w:rPr>
            </w:pPr>
          </w:p>
          <w:p w:rsidR="005151E8" w:rsidRPr="005151E8" w:rsidRDefault="00FC0057" w:rsidP="00D24D9A">
            <w:pPr>
              <w:spacing w:line="360" w:lineRule="auto"/>
              <w:jc w:val="both"/>
              <w:rPr>
                <w:rFonts w:ascii="Arial" w:hAnsi="Arial" w:cs="Arial"/>
                <w:sz w:val="24"/>
                <w:szCs w:val="24"/>
                <w:lang w:val="en-US"/>
              </w:rPr>
            </w:pPr>
            <w:r>
              <w:rPr>
                <w:rFonts w:ascii="Arial" w:hAnsi="Arial" w:cs="Arial"/>
                <w:sz w:val="24"/>
                <w:szCs w:val="24"/>
                <w:lang w:val="en-US"/>
              </w:rPr>
              <w:t xml:space="preserve">[8]      </w:t>
            </w:r>
            <w:r w:rsidR="005151E8">
              <w:rPr>
                <w:rFonts w:ascii="Arial" w:hAnsi="Arial" w:cs="Arial"/>
                <w:sz w:val="24"/>
                <w:szCs w:val="24"/>
                <w:lang w:val="en-US"/>
              </w:rPr>
              <w:t xml:space="preserve">I agree that this is the approach to follow when considering whether Summary Judgment should be granted. </w:t>
            </w:r>
          </w:p>
          <w:p w:rsidR="00CF3A7F" w:rsidRPr="0076058F" w:rsidRDefault="00CF3A7F" w:rsidP="00180908">
            <w:pPr>
              <w:spacing w:line="360" w:lineRule="auto"/>
              <w:jc w:val="both"/>
              <w:rPr>
                <w:rFonts w:ascii="Arial" w:hAnsi="Arial" w:cs="Arial"/>
                <w:sz w:val="24"/>
                <w:szCs w:val="24"/>
              </w:rPr>
            </w:pPr>
          </w:p>
          <w:p w:rsidR="005151E8" w:rsidRDefault="00CF3A7F" w:rsidP="006F3A1E">
            <w:pPr>
              <w:spacing w:line="360" w:lineRule="auto"/>
              <w:jc w:val="both"/>
              <w:rPr>
                <w:rFonts w:ascii="Arial" w:hAnsi="Arial" w:cs="Arial"/>
                <w:sz w:val="24"/>
                <w:szCs w:val="24"/>
              </w:rPr>
            </w:pPr>
            <w:r w:rsidRPr="0076058F">
              <w:rPr>
                <w:rFonts w:ascii="Arial" w:hAnsi="Arial" w:cs="Arial"/>
                <w:sz w:val="24"/>
                <w:szCs w:val="24"/>
              </w:rPr>
              <w:t>[</w:t>
            </w:r>
            <w:r w:rsidR="00FC0057">
              <w:rPr>
                <w:rFonts w:ascii="Arial" w:hAnsi="Arial" w:cs="Arial"/>
                <w:sz w:val="24"/>
                <w:szCs w:val="24"/>
              </w:rPr>
              <w:t>9</w:t>
            </w:r>
            <w:r w:rsidRPr="0076058F">
              <w:rPr>
                <w:rFonts w:ascii="Arial" w:hAnsi="Arial" w:cs="Arial"/>
                <w:sz w:val="24"/>
                <w:szCs w:val="24"/>
              </w:rPr>
              <w:t>]</w:t>
            </w:r>
            <w:r w:rsidRPr="0076058F">
              <w:rPr>
                <w:rFonts w:ascii="Arial" w:hAnsi="Arial" w:cs="Arial"/>
                <w:sz w:val="24"/>
                <w:szCs w:val="24"/>
              </w:rPr>
              <w:tab/>
            </w:r>
            <w:r w:rsidR="00D24D9A" w:rsidRPr="0076058F">
              <w:rPr>
                <w:rFonts w:ascii="Arial" w:hAnsi="Arial" w:cs="Arial"/>
                <w:sz w:val="24"/>
                <w:szCs w:val="24"/>
              </w:rPr>
              <w:t>Mr Ntinda referr</w:t>
            </w:r>
            <w:r w:rsidR="00CC08F6" w:rsidRPr="0076058F">
              <w:rPr>
                <w:rFonts w:ascii="Arial" w:hAnsi="Arial" w:cs="Arial"/>
                <w:sz w:val="24"/>
                <w:szCs w:val="24"/>
              </w:rPr>
              <w:t xml:space="preserve">ing </w:t>
            </w:r>
            <w:r w:rsidR="00D24D9A" w:rsidRPr="0076058F">
              <w:rPr>
                <w:rFonts w:ascii="Arial" w:hAnsi="Arial" w:cs="Arial"/>
                <w:sz w:val="24"/>
                <w:szCs w:val="24"/>
              </w:rPr>
              <w:t xml:space="preserve">to </w:t>
            </w:r>
            <w:r w:rsidR="005151E8" w:rsidRPr="005151E8">
              <w:rPr>
                <w:rFonts w:ascii="Arial" w:hAnsi="Arial" w:cs="Arial"/>
                <w:i/>
                <w:sz w:val="24"/>
                <w:szCs w:val="24"/>
              </w:rPr>
              <w:t xml:space="preserve">Agricultural Bank Of Namibia </w:t>
            </w:r>
            <w:r w:rsidR="00CC08F6" w:rsidRPr="005151E8">
              <w:rPr>
                <w:rFonts w:ascii="Arial" w:hAnsi="Arial" w:cs="Arial"/>
                <w:i/>
                <w:sz w:val="24"/>
                <w:szCs w:val="24"/>
              </w:rPr>
              <w:t xml:space="preserve">v </w:t>
            </w:r>
            <w:r w:rsidR="005151E8" w:rsidRPr="005151E8">
              <w:rPr>
                <w:rFonts w:ascii="Arial" w:hAnsi="Arial" w:cs="Arial"/>
                <w:i/>
                <w:sz w:val="24"/>
                <w:szCs w:val="24"/>
              </w:rPr>
              <w:t xml:space="preserve">Witvlei Meat </w:t>
            </w:r>
            <w:r w:rsidR="00CC08F6" w:rsidRPr="005151E8">
              <w:rPr>
                <w:rFonts w:ascii="Arial" w:hAnsi="Arial" w:cs="Arial"/>
                <w:i/>
                <w:sz w:val="24"/>
                <w:szCs w:val="24"/>
              </w:rPr>
              <w:t>(P</w:t>
            </w:r>
            <w:r w:rsidR="005151E8" w:rsidRPr="005151E8">
              <w:rPr>
                <w:rFonts w:ascii="Arial" w:hAnsi="Arial" w:cs="Arial"/>
                <w:i/>
                <w:sz w:val="24"/>
                <w:szCs w:val="24"/>
              </w:rPr>
              <w:t>ty</w:t>
            </w:r>
            <w:r w:rsidR="00CC08F6" w:rsidRPr="005151E8">
              <w:rPr>
                <w:rFonts w:ascii="Arial" w:hAnsi="Arial" w:cs="Arial"/>
                <w:i/>
                <w:sz w:val="24"/>
                <w:szCs w:val="24"/>
              </w:rPr>
              <w:t>) L</w:t>
            </w:r>
            <w:r w:rsidR="005151E8" w:rsidRPr="005151E8">
              <w:rPr>
                <w:rFonts w:ascii="Arial" w:hAnsi="Arial" w:cs="Arial"/>
                <w:i/>
                <w:sz w:val="24"/>
                <w:szCs w:val="24"/>
              </w:rPr>
              <w:t>td</w:t>
            </w:r>
            <w:r w:rsidR="004768BC">
              <w:rPr>
                <w:rFonts w:ascii="Arial" w:hAnsi="Arial" w:cs="Arial"/>
                <w:i/>
                <w:sz w:val="24"/>
                <w:szCs w:val="24"/>
              </w:rPr>
              <w:t xml:space="preserve"> </w:t>
            </w:r>
            <w:r w:rsidR="004768BC" w:rsidRPr="005A1481">
              <w:rPr>
                <w:rFonts w:ascii="Arial" w:hAnsi="Arial" w:cs="Arial"/>
                <w:sz w:val="24"/>
                <w:szCs w:val="24"/>
              </w:rPr>
              <w:t>(A98/2012 [2013] NAHCMD 75 (20 March 2013)</w:t>
            </w:r>
            <w:r w:rsidR="004768BC">
              <w:rPr>
                <w:rFonts w:ascii="Arial" w:hAnsi="Arial" w:cs="Arial"/>
                <w:sz w:val="24"/>
                <w:szCs w:val="24"/>
              </w:rPr>
              <w:t xml:space="preserve"> </w:t>
            </w:r>
            <w:r w:rsidR="00CC08F6" w:rsidRPr="0076058F">
              <w:rPr>
                <w:rFonts w:ascii="Arial" w:hAnsi="Arial" w:cs="Arial"/>
                <w:sz w:val="24"/>
                <w:szCs w:val="24"/>
              </w:rPr>
              <w:t xml:space="preserve">and </w:t>
            </w:r>
            <w:r w:rsidR="00CC08F6" w:rsidRPr="005151E8">
              <w:rPr>
                <w:rFonts w:ascii="Arial" w:hAnsi="Arial" w:cs="Arial"/>
                <w:i/>
                <w:sz w:val="24"/>
                <w:szCs w:val="24"/>
              </w:rPr>
              <w:t>S</w:t>
            </w:r>
            <w:r w:rsidR="005151E8" w:rsidRPr="005151E8">
              <w:rPr>
                <w:rFonts w:ascii="Arial" w:hAnsi="Arial" w:cs="Arial"/>
                <w:i/>
                <w:sz w:val="24"/>
                <w:szCs w:val="24"/>
              </w:rPr>
              <w:t>tandard bank v Somaeb</w:t>
            </w:r>
            <w:r w:rsidR="004768BC">
              <w:rPr>
                <w:rFonts w:ascii="Arial" w:hAnsi="Arial" w:cs="Arial"/>
                <w:i/>
                <w:sz w:val="24"/>
                <w:szCs w:val="24"/>
              </w:rPr>
              <w:t xml:space="preserve"> </w:t>
            </w:r>
            <w:r w:rsidR="004768BC" w:rsidRPr="005A1481">
              <w:rPr>
                <w:rFonts w:ascii="Arial" w:hAnsi="Arial" w:cs="Arial"/>
                <w:sz w:val="24"/>
                <w:szCs w:val="24"/>
              </w:rPr>
              <w:t>(I1912/2013 [2014]</w:t>
            </w:r>
            <w:r w:rsidR="00CC08F6" w:rsidRPr="005A1481">
              <w:rPr>
                <w:rFonts w:ascii="Arial" w:hAnsi="Arial" w:cs="Arial"/>
                <w:sz w:val="24"/>
                <w:szCs w:val="24"/>
              </w:rPr>
              <w:t xml:space="preserve"> </w:t>
            </w:r>
            <w:r w:rsidR="004768BC" w:rsidRPr="005A1481">
              <w:rPr>
                <w:rFonts w:ascii="Arial" w:hAnsi="Arial" w:cs="Arial"/>
                <w:sz w:val="24"/>
                <w:szCs w:val="24"/>
              </w:rPr>
              <w:t>NACMD 98 (26 March 2014)</w:t>
            </w:r>
            <w:r w:rsidR="004768BC">
              <w:rPr>
                <w:rFonts w:ascii="Arial" w:hAnsi="Arial" w:cs="Arial"/>
                <w:sz w:val="24"/>
                <w:szCs w:val="24"/>
              </w:rPr>
              <w:t xml:space="preserve"> </w:t>
            </w:r>
            <w:r w:rsidR="00CC08F6" w:rsidRPr="0076058F">
              <w:rPr>
                <w:rFonts w:ascii="Arial" w:hAnsi="Arial" w:cs="Arial"/>
                <w:sz w:val="24"/>
                <w:szCs w:val="24"/>
              </w:rPr>
              <w:t>argued that all the plaintiff must do is prove that</w:t>
            </w:r>
            <w:r w:rsidR="005151E8">
              <w:rPr>
                <w:rFonts w:ascii="Arial" w:hAnsi="Arial" w:cs="Arial"/>
                <w:sz w:val="24"/>
                <w:szCs w:val="24"/>
              </w:rPr>
              <w:t>:</w:t>
            </w:r>
          </w:p>
          <w:p w:rsidR="005151E8" w:rsidRDefault="00CC08F6" w:rsidP="005151E8">
            <w:pPr>
              <w:pStyle w:val="ListParagraph"/>
              <w:numPr>
                <w:ilvl w:val="0"/>
                <w:numId w:val="7"/>
              </w:numPr>
              <w:spacing w:line="360" w:lineRule="auto"/>
              <w:jc w:val="both"/>
              <w:rPr>
                <w:rFonts w:ascii="Arial" w:hAnsi="Arial" w:cs="Arial"/>
                <w:sz w:val="24"/>
                <w:szCs w:val="24"/>
              </w:rPr>
            </w:pPr>
            <w:r w:rsidRPr="005151E8">
              <w:rPr>
                <w:rFonts w:ascii="Arial" w:hAnsi="Arial" w:cs="Arial"/>
                <w:sz w:val="24"/>
                <w:szCs w:val="24"/>
              </w:rPr>
              <w:t>he is the owner of the property</w:t>
            </w:r>
            <w:r w:rsidR="005151E8">
              <w:rPr>
                <w:rFonts w:ascii="Arial" w:hAnsi="Arial" w:cs="Arial"/>
                <w:sz w:val="24"/>
                <w:szCs w:val="24"/>
              </w:rPr>
              <w:t xml:space="preserve">; and </w:t>
            </w:r>
          </w:p>
          <w:p w:rsidR="005151E8" w:rsidRDefault="00CC08F6" w:rsidP="005151E8">
            <w:pPr>
              <w:pStyle w:val="ListParagraph"/>
              <w:numPr>
                <w:ilvl w:val="0"/>
                <w:numId w:val="7"/>
              </w:numPr>
              <w:spacing w:line="360" w:lineRule="auto"/>
              <w:jc w:val="both"/>
              <w:rPr>
                <w:rFonts w:ascii="Arial" w:hAnsi="Arial" w:cs="Arial"/>
                <w:sz w:val="24"/>
                <w:szCs w:val="24"/>
              </w:rPr>
            </w:pPr>
            <w:proofErr w:type="gramStart"/>
            <w:r w:rsidRPr="005151E8">
              <w:rPr>
                <w:rFonts w:ascii="Arial" w:hAnsi="Arial" w:cs="Arial"/>
                <w:sz w:val="24"/>
                <w:szCs w:val="24"/>
              </w:rPr>
              <w:t>the</w:t>
            </w:r>
            <w:proofErr w:type="gramEnd"/>
            <w:r w:rsidRPr="005151E8">
              <w:rPr>
                <w:rFonts w:ascii="Arial" w:hAnsi="Arial" w:cs="Arial"/>
                <w:sz w:val="24"/>
                <w:szCs w:val="24"/>
              </w:rPr>
              <w:t xml:space="preserve"> defendant is in  possession of it to succeed with his claim for ejectment. </w:t>
            </w:r>
          </w:p>
          <w:p w:rsidR="005151E8" w:rsidRDefault="005151E8" w:rsidP="005151E8">
            <w:pPr>
              <w:spacing w:line="360" w:lineRule="auto"/>
              <w:jc w:val="both"/>
              <w:rPr>
                <w:rFonts w:ascii="Arial" w:hAnsi="Arial" w:cs="Arial"/>
                <w:sz w:val="24"/>
                <w:szCs w:val="24"/>
              </w:rPr>
            </w:pPr>
          </w:p>
          <w:p w:rsidR="00EC2065" w:rsidRDefault="005151E8" w:rsidP="005151E8">
            <w:pPr>
              <w:spacing w:line="360" w:lineRule="auto"/>
              <w:jc w:val="both"/>
              <w:rPr>
                <w:rFonts w:ascii="Arial" w:hAnsi="Arial" w:cs="Arial"/>
                <w:sz w:val="24"/>
                <w:szCs w:val="24"/>
              </w:rPr>
            </w:pPr>
            <w:r>
              <w:rPr>
                <w:rFonts w:ascii="Arial" w:hAnsi="Arial" w:cs="Arial"/>
                <w:sz w:val="24"/>
                <w:szCs w:val="24"/>
              </w:rPr>
              <w:t>[</w:t>
            </w:r>
            <w:r w:rsidR="00FC0057">
              <w:rPr>
                <w:rFonts w:ascii="Arial" w:hAnsi="Arial" w:cs="Arial"/>
                <w:sz w:val="24"/>
                <w:szCs w:val="24"/>
              </w:rPr>
              <w:t>10</w:t>
            </w:r>
            <w:r>
              <w:rPr>
                <w:rFonts w:ascii="Arial" w:hAnsi="Arial" w:cs="Arial"/>
                <w:sz w:val="24"/>
                <w:szCs w:val="24"/>
              </w:rPr>
              <w:t xml:space="preserve">]    He submitted that the </w:t>
            </w:r>
            <w:r w:rsidR="00CC08F6" w:rsidRPr="005151E8">
              <w:rPr>
                <w:rFonts w:ascii="Arial" w:hAnsi="Arial" w:cs="Arial"/>
                <w:sz w:val="24"/>
                <w:szCs w:val="24"/>
              </w:rPr>
              <w:t xml:space="preserve">defendant must show that he is lawful possession of the property to resist the applicant’s application for summary Judgment. </w:t>
            </w:r>
            <w:r>
              <w:rPr>
                <w:rFonts w:ascii="Arial" w:hAnsi="Arial" w:cs="Arial"/>
                <w:sz w:val="24"/>
                <w:szCs w:val="24"/>
              </w:rPr>
              <w:t>He further s</w:t>
            </w:r>
            <w:r w:rsidR="00DE0535" w:rsidRPr="005151E8">
              <w:rPr>
                <w:rFonts w:ascii="Arial" w:hAnsi="Arial" w:cs="Arial"/>
                <w:sz w:val="24"/>
                <w:szCs w:val="24"/>
              </w:rPr>
              <w:t>ubmits that it is a legal requirement that</w:t>
            </w:r>
            <w:r w:rsidR="009A2C95">
              <w:rPr>
                <w:rFonts w:ascii="Arial" w:hAnsi="Arial" w:cs="Arial"/>
                <w:sz w:val="24"/>
                <w:szCs w:val="24"/>
              </w:rPr>
              <w:t xml:space="preserve"> </w:t>
            </w:r>
            <w:r w:rsidR="004768BC">
              <w:rPr>
                <w:rFonts w:ascii="Arial" w:hAnsi="Arial" w:cs="Arial"/>
                <w:sz w:val="24"/>
                <w:szCs w:val="24"/>
              </w:rPr>
              <w:t>an</w:t>
            </w:r>
            <w:r w:rsidR="009A2C95">
              <w:rPr>
                <w:rFonts w:ascii="Arial" w:hAnsi="Arial" w:cs="Arial"/>
                <w:sz w:val="24"/>
                <w:szCs w:val="24"/>
              </w:rPr>
              <w:t xml:space="preserve"> agreement for </w:t>
            </w:r>
            <w:r w:rsidR="00DE0535" w:rsidRPr="005151E8">
              <w:rPr>
                <w:rFonts w:ascii="Arial" w:hAnsi="Arial" w:cs="Arial"/>
                <w:sz w:val="24"/>
                <w:szCs w:val="24"/>
              </w:rPr>
              <w:t xml:space="preserve">sale of property </w:t>
            </w:r>
            <w:r w:rsidR="009A2C95">
              <w:rPr>
                <w:rFonts w:ascii="Arial" w:hAnsi="Arial" w:cs="Arial"/>
                <w:sz w:val="24"/>
                <w:szCs w:val="24"/>
              </w:rPr>
              <w:t xml:space="preserve">must </w:t>
            </w:r>
            <w:r w:rsidR="00DE0535" w:rsidRPr="005151E8">
              <w:rPr>
                <w:rFonts w:ascii="Arial" w:hAnsi="Arial" w:cs="Arial"/>
                <w:sz w:val="24"/>
                <w:szCs w:val="24"/>
              </w:rPr>
              <w:t xml:space="preserve">be in writing and </w:t>
            </w:r>
          </w:p>
          <w:p w:rsidR="00EC2065" w:rsidRDefault="00EC2065" w:rsidP="005151E8">
            <w:pPr>
              <w:spacing w:line="360" w:lineRule="auto"/>
              <w:jc w:val="both"/>
              <w:rPr>
                <w:rFonts w:ascii="Arial" w:hAnsi="Arial" w:cs="Arial"/>
                <w:sz w:val="24"/>
                <w:szCs w:val="24"/>
              </w:rPr>
            </w:pPr>
          </w:p>
          <w:p w:rsidR="00DE0535" w:rsidRPr="005151E8" w:rsidRDefault="00DE0535" w:rsidP="005151E8">
            <w:pPr>
              <w:spacing w:line="360" w:lineRule="auto"/>
              <w:jc w:val="both"/>
              <w:rPr>
                <w:rFonts w:ascii="Arial" w:hAnsi="Arial" w:cs="Arial"/>
                <w:sz w:val="24"/>
                <w:szCs w:val="24"/>
              </w:rPr>
            </w:pPr>
            <w:proofErr w:type="gramStart"/>
            <w:r w:rsidRPr="005151E8">
              <w:rPr>
                <w:rFonts w:ascii="Arial" w:hAnsi="Arial" w:cs="Arial"/>
                <w:sz w:val="24"/>
                <w:szCs w:val="24"/>
              </w:rPr>
              <w:lastRenderedPageBreak/>
              <w:t>the</w:t>
            </w:r>
            <w:proofErr w:type="gramEnd"/>
            <w:r w:rsidRPr="005151E8">
              <w:rPr>
                <w:rFonts w:ascii="Arial" w:hAnsi="Arial" w:cs="Arial"/>
                <w:sz w:val="24"/>
                <w:szCs w:val="24"/>
              </w:rPr>
              <w:t xml:space="preserve"> verbal agreement between the parties is therefore invalid. </w:t>
            </w:r>
            <w:r w:rsidR="00375E9A" w:rsidRPr="005151E8">
              <w:rPr>
                <w:rFonts w:ascii="Arial" w:hAnsi="Arial" w:cs="Arial"/>
                <w:sz w:val="24"/>
                <w:szCs w:val="24"/>
              </w:rPr>
              <w:t xml:space="preserve">In this regard he referred to </w:t>
            </w:r>
            <w:r w:rsidR="00375E9A" w:rsidRPr="009A2C95">
              <w:rPr>
                <w:rFonts w:ascii="Arial" w:hAnsi="Arial" w:cs="Arial"/>
                <w:i/>
                <w:sz w:val="24"/>
                <w:szCs w:val="24"/>
              </w:rPr>
              <w:t>Tjihero &amp; Another v Kauria &amp; Another</w:t>
            </w:r>
            <w:r w:rsidR="00375E9A" w:rsidRPr="005151E8">
              <w:rPr>
                <w:rFonts w:ascii="Arial" w:hAnsi="Arial" w:cs="Arial"/>
                <w:sz w:val="24"/>
                <w:szCs w:val="24"/>
              </w:rPr>
              <w:t xml:space="preserve"> 2019 (3) NR 879. </w:t>
            </w:r>
          </w:p>
          <w:p w:rsidR="00C72D57" w:rsidRPr="0076058F" w:rsidRDefault="00C72D57" w:rsidP="006F3A1E">
            <w:pPr>
              <w:spacing w:line="360" w:lineRule="auto"/>
              <w:jc w:val="both"/>
              <w:rPr>
                <w:rFonts w:ascii="Arial" w:hAnsi="Arial" w:cs="Arial"/>
                <w:sz w:val="24"/>
                <w:szCs w:val="24"/>
              </w:rPr>
            </w:pPr>
          </w:p>
          <w:p w:rsidR="00DE0535" w:rsidRPr="0076058F" w:rsidRDefault="00DE0535" w:rsidP="006F3A1E">
            <w:pPr>
              <w:spacing w:line="360" w:lineRule="auto"/>
              <w:jc w:val="both"/>
              <w:rPr>
                <w:rFonts w:ascii="Arial" w:hAnsi="Arial" w:cs="Arial"/>
                <w:sz w:val="24"/>
                <w:szCs w:val="24"/>
              </w:rPr>
            </w:pPr>
            <w:r w:rsidRPr="0076058F">
              <w:rPr>
                <w:rFonts w:ascii="Arial" w:hAnsi="Arial" w:cs="Arial"/>
                <w:sz w:val="24"/>
                <w:szCs w:val="24"/>
              </w:rPr>
              <w:t>[</w:t>
            </w:r>
            <w:r w:rsidR="004768BC">
              <w:rPr>
                <w:rFonts w:ascii="Arial" w:hAnsi="Arial" w:cs="Arial"/>
                <w:sz w:val="24"/>
                <w:szCs w:val="24"/>
              </w:rPr>
              <w:t>1</w:t>
            </w:r>
            <w:r w:rsidR="00FC0057">
              <w:rPr>
                <w:rFonts w:ascii="Arial" w:hAnsi="Arial" w:cs="Arial"/>
                <w:sz w:val="24"/>
                <w:szCs w:val="24"/>
              </w:rPr>
              <w:t>1</w:t>
            </w:r>
            <w:r w:rsidRPr="0076058F">
              <w:rPr>
                <w:rFonts w:ascii="Arial" w:hAnsi="Arial" w:cs="Arial"/>
                <w:sz w:val="24"/>
                <w:szCs w:val="24"/>
              </w:rPr>
              <w:t>]</w:t>
            </w:r>
            <w:r w:rsidR="00FC0057">
              <w:rPr>
                <w:rFonts w:ascii="Arial" w:hAnsi="Arial" w:cs="Arial"/>
                <w:sz w:val="24"/>
                <w:szCs w:val="24"/>
              </w:rPr>
              <w:t xml:space="preserve">   </w:t>
            </w:r>
            <w:r w:rsidRPr="0076058F">
              <w:rPr>
                <w:rFonts w:ascii="Arial" w:hAnsi="Arial" w:cs="Arial"/>
                <w:sz w:val="24"/>
                <w:szCs w:val="24"/>
              </w:rPr>
              <w:t xml:space="preserve">  Mr Coetzee, counsel for the defendant, submitted that the agreement </w:t>
            </w:r>
            <w:r w:rsidR="00375E9A" w:rsidRPr="0076058F">
              <w:rPr>
                <w:rFonts w:ascii="Arial" w:hAnsi="Arial" w:cs="Arial"/>
                <w:sz w:val="24"/>
                <w:szCs w:val="24"/>
              </w:rPr>
              <w:t xml:space="preserve">as set out in the defendant’s affidavit </w:t>
            </w:r>
            <w:r w:rsidRPr="0076058F">
              <w:rPr>
                <w:rFonts w:ascii="Arial" w:hAnsi="Arial" w:cs="Arial"/>
                <w:sz w:val="24"/>
                <w:szCs w:val="24"/>
              </w:rPr>
              <w:t xml:space="preserve">is a triable </w:t>
            </w:r>
            <w:r w:rsidR="00375E9A" w:rsidRPr="0076058F">
              <w:rPr>
                <w:rFonts w:ascii="Arial" w:hAnsi="Arial" w:cs="Arial"/>
                <w:sz w:val="24"/>
                <w:szCs w:val="24"/>
              </w:rPr>
              <w:t xml:space="preserve">issue and a sustainable defence. </w:t>
            </w:r>
          </w:p>
          <w:p w:rsidR="004768BC" w:rsidRDefault="004768BC" w:rsidP="009A2C95">
            <w:pPr>
              <w:spacing w:line="360" w:lineRule="auto"/>
              <w:jc w:val="both"/>
              <w:rPr>
                <w:rFonts w:ascii="Arial" w:hAnsi="Arial" w:cs="Arial"/>
                <w:sz w:val="24"/>
                <w:szCs w:val="24"/>
              </w:rPr>
            </w:pPr>
          </w:p>
          <w:p w:rsidR="009A2C95" w:rsidRPr="0076058F" w:rsidRDefault="00856EF6" w:rsidP="009A2C95">
            <w:pPr>
              <w:spacing w:line="360" w:lineRule="auto"/>
              <w:jc w:val="both"/>
              <w:rPr>
                <w:rFonts w:ascii="Arial" w:hAnsi="Arial" w:cs="Arial"/>
                <w:sz w:val="24"/>
                <w:szCs w:val="24"/>
              </w:rPr>
            </w:pPr>
            <w:r w:rsidRPr="0076058F">
              <w:rPr>
                <w:rFonts w:ascii="Arial" w:hAnsi="Arial" w:cs="Arial"/>
                <w:sz w:val="24"/>
                <w:szCs w:val="24"/>
              </w:rPr>
              <w:t>[</w:t>
            </w:r>
            <w:r w:rsidR="004768BC">
              <w:rPr>
                <w:rFonts w:ascii="Arial" w:hAnsi="Arial" w:cs="Arial"/>
                <w:sz w:val="24"/>
                <w:szCs w:val="24"/>
              </w:rPr>
              <w:t>1</w:t>
            </w:r>
            <w:r w:rsidR="00FC0057">
              <w:rPr>
                <w:rFonts w:ascii="Arial" w:hAnsi="Arial" w:cs="Arial"/>
                <w:sz w:val="24"/>
                <w:szCs w:val="24"/>
              </w:rPr>
              <w:t xml:space="preserve">2]   </w:t>
            </w:r>
            <w:r w:rsidR="005A1481">
              <w:rPr>
                <w:rFonts w:ascii="Arial" w:hAnsi="Arial" w:cs="Arial"/>
                <w:sz w:val="24"/>
                <w:szCs w:val="24"/>
              </w:rPr>
              <w:t xml:space="preserve">  </w:t>
            </w:r>
            <w:r w:rsidRPr="0076058F">
              <w:rPr>
                <w:rFonts w:ascii="Arial" w:hAnsi="Arial" w:cs="Arial"/>
                <w:sz w:val="24"/>
                <w:szCs w:val="24"/>
              </w:rPr>
              <w:t xml:space="preserve">The affidavit of the defendant sets out sufficient information for this court to determine what his defence is. </w:t>
            </w:r>
            <w:r w:rsidR="00F60F3C" w:rsidRPr="0076058F">
              <w:rPr>
                <w:rFonts w:ascii="Arial" w:hAnsi="Arial" w:cs="Arial"/>
                <w:sz w:val="24"/>
                <w:szCs w:val="24"/>
              </w:rPr>
              <w:t>It is the defendant’s position that t</w:t>
            </w:r>
            <w:r w:rsidRPr="0076058F">
              <w:rPr>
                <w:rFonts w:ascii="Arial" w:hAnsi="Arial" w:cs="Arial"/>
                <w:sz w:val="24"/>
                <w:szCs w:val="24"/>
              </w:rPr>
              <w:t>he parties agreed that the defendant would take occupation</w:t>
            </w:r>
            <w:r w:rsidR="00F60F3C" w:rsidRPr="0076058F">
              <w:rPr>
                <w:rFonts w:ascii="Arial" w:hAnsi="Arial" w:cs="Arial"/>
                <w:sz w:val="24"/>
                <w:szCs w:val="24"/>
              </w:rPr>
              <w:t>, pay the purchase price and municipal accounts</w:t>
            </w:r>
            <w:r w:rsidRPr="0076058F">
              <w:rPr>
                <w:rFonts w:ascii="Arial" w:hAnsi="Arial" w:cs="Arial"/>
                <w:sz w:val="24"/>
                <w:szCs w:val="24"/>
              </w:rPr>
              <w:t xml:space="preserve"> and that </w:t>
            </w:r>
            <w:r w:rsidR="00FC0057">
              <w:rPr>
                <w:rFonts w:ascii="Arial" w:hAnsi="Arial" w:cs="Arial"/>
                <w:sz w:val="24"/>
                <w:szCs w:val="24"/>
              </w:rPr>
              <w:t xml:space="preserve">the </w:t>
            </w:r>
            <w:r w:rsidR="00E32674" w:rsidRPr="0076058F">
              <w:rPr>
                <w:rFonts w:ascii="Arial" w:hAnsi="Arial" w:cs="Arial"/>
                <w:sz w:val="24"/>
                <w:szCs w:val="24"/>
              </w:rPr>
              <w:t xml:space="preserve">plaintiff </w:t>
            </w:r>
            <w:r w:rsidR="00F60F3C" w:rsidRPr="0076058F">
              <w:rPr>
                <w:rFonts w:ascii="Arial" w:hAnsi="Arial" w:cs="Arial"/>
                <w:sz w:val="24"/>
                <w:szCs w:val="24"/>
              </w:rPr>
              <w:t xml:space="preserve">in return </w:t>
            </w:r>
            <w:r w:rsidR="00E32674" w:rsidRPr="0076058F">
              <w:rPr>
                <w:rFonts w:ascii="Arial" w:hAnsi="Arial" w:cs="Arial"/>
                <w:sz w:val="24"/>
                <w:szCs w:val="24"/>
              </w:rPr>
              <w:t>would transfer the property into the defendant’</w:t>
            </w:r>
            <w:r w:rsidR="00F60F3C" w:rsidRPr="0076058F">
              <w:rPr>
                <w:rFonts w:ascii="Arial" w:hAnsi="Arial" w:cs="Arial"/>
                <w:sz w:val="24"/>
                <w:szCs w:val="24"/>
              </w:rPr>
              <w:t xml:space="preserve">s name two years after it is transferred </w:t>
            </w:r>
            <w:r w:rsidR="00FC0057">
              <w:rPr>
                <w:rFonts w:ascii="Arial" w:hAnsi="Arial" w:cs="Arial"/>
                <w:sz w:val="24"/>
                <w:szCs w:val="24"/>
              </w:rPr>
              <w:t xml:space="preserve">by </w:t>
            </w:r>
            <w:r w:rsidR="00F60F3C" w:rsidRPr="0076058F">
              <w:rPr>
                <w:rFonts w:ascii="Arial" w:hAnsi="Arial" w:cs="Arial"/>
                <w:sz w:val="24"/>
                <w:szCs w:val="24"/>
              </w:rPr>
              <w:t xml:space="preserve">the City of Windhoek into the plaintiff’s name. </w:t>
            </w:r>
            <w:r w:rsidR="00E32674" w:rsidRPr="0076058F">
              <w:rPr>
                <w:rFonts w:ascii="Arial" w:hAnsi="Arial" w:cs="Arial"/>
                <w:sz w:val="24"/>
                <w:szCs w:val="24"/>
              </w:rPr>
              <w:t>After the property was transferred to the plaintiff he no longer wanted to sell the p</w:t>
            </w:r>
            <w:r w:rsidR="00FC0057">
              <w:rPr>
                <w:rFonts w:ascii="Arial" w:hAnsi="Arial" w:cs="Arial"/>
                <w:sz w:val="24"/>
                <w:szCs w:val="24"/>
              </w:rPr>
              <w:t>roperty. The d</w:t>
            </w:r>
            <w:r w:rsidR="00E32674" w:rsidRPr="0076058F">
              <w:rPr>
                <w:rFonts w:ascii="Arial" w:hAnsi="Arial" w:cs="Arial"/>
                <w:sz w:val="24"/>
                <w:szCs w:val="24"/>
              </w:rPr>
              <w:t xml:space="preserve">efendant submits that he is </w:t>
            </w:r>
            <w:r w:rsidR="00F60F3C" w:rsidRPr="0076058F">
              <w:rPr>
                <w:rFonts w:ascii="Arial" w:hAnsi="Arial" w:cs="Arial"/>
                <w:sz w:val="24"/>
                <w:szCs w:val="24"/>
              </w:rPr>
              <w:t xml:space="preserve">in terms of the agreement lawfully occupying the property </w:t>
            </w:r>
            <w:r w:rsidR="00E32674" w:rsidRPr="0076058F">
              <w:rPr>
                <w:rFonts w:ascii="Arial" w:hAnsi="Arial" w:cs="Arial"/>
                <w:sz w:val="24"/>
                <w:szCs w:val="24"/>
              </w:rPr>
              <w:t>alternatively that he has a counter claim.</w:t>
            </w:r>
            <w:r w:rsidR="009A2C95">
              <w:rPr>
                <w:rFonts w:ascii="Arial" w:hAnsi="Arial" w:cs="Arial"/>
                <w:sz w:val="24"/>
                <w:szCs w:val="24"/>
              </w:rPr>
              <w:t xml:space="preserve"> The agreement herein differs from the verbal agreement referred to in </w:t>
            </w:r>
            <w:r w:rsidR="009A2C95" w:rsidRPr="009A2C95">
              <w:rPr>
                <w:rFonts w:ascii="Arial" w:hAnsi="Arial" w:cs="Arial"/>
                <w:i/>
                <w:sz w:val="24"/>
                <w:szCs w:val="24"/>
              </w:rPr>
              <w:t>Tjihero &amp; Another v Kauria &amp; Another</w:t>
            </w:r>
            <w:r w:rsidR="009A2C95">
              <w:rPr>
                <w:rFonts w:ascii="Arial" w:hAnsi="Arial" w:cs="Arial"/>
                <w:i/>
                <w:sz w:val="24"/>
                <w:szCs w:val="24"/>
              </w:rPr>
              <w:t xml:space="preserve">, supra. </w:t>
            </w:r>
            <w:r w:rsidR="009A2C95" w:rsidRPr="0076058F">
              <w:rPr>
                <w:rFonts w:ascii="Arial" w:hAnsi="Arial" w:cs="Arial"/>
                <w:sz w:val="24"/>
                <w:szCs w:val="24"/>
              </w:rPr>
              <w:t>(</w:t>
            </w:r>
            <w:r w:rsidR="009D26C9">
              <w:rPr>
                <w:rFonts w:ascii="Arial" w:hAnsi="Arial" w:cs="Arial"/>
                <w:sz w:val="24"/>
                <w:szCs w:val="24"/>
              </w:rPr>
              <w:t>S</w:t>
            </w:r>
            <w:r w:rsidR="009A2C95" w:rsidRPr="0076058F">
              <w:rPr>
                <w:rFonts w:ascii="Arial" w:hAnsi="Arial" w:cs="Arial"/>
                <w:sz w:val="24"/>
                <w:szCs w:val="24"/>
              </w:rPr>
              <w:t xml:space="preserve">ee </w:t>
            </w:r>
            <w:r w:rsidR="009A2C95" w:rsidRPr="009A2C95">
              <w:rPr>
                <w:rFonts w:ascii="Arial" w:hAnsi="Arial" w:cs="Arial"/>
                <w:i/>
                <w:sz w:val="24"/>
                <w:szCs w:val="24"/>
              </w:rPr>
              <w:t>Shimhaudi v Shirungu</w:t>
            </w:r>
            <w:r w:rsidR="009A2C95" w:rsidRPr="0076058F">
              <w:rPr>
                <w:rFonts w:ascii="Arial" w:hAnsi="Arial" w:cs="Arial"/>
                <w:sz w:val="24"/>
                <w:szCs w:val="24"/>
              </w:rPr>
              <w:t xml:space="preserve"> </w:t>
            </w:r>
            <w:r w:rsidR="009A2C95" w:rsidRPr="009D26C9">
              <w:rPr>
                <w:rFonts w:ascii="Arial" w:hAnsi="Arial" w:cs="Arial"/>
                <w:i/>
                <w:sz w:val="24"/>
                <w:szCs w:val="24"/>
              </w:rPr>
              <w:t>1990 (3) SA 344 (SWA)</w:t>
            </w:r>
            <w:r w:rsidR="009A2C95" w:rsidRPr="0076058F">
              <w:rPr>
                <w:rFonts w:ascii="Arial" w:hAnsi="Arial" w:cs="Arial"/>
                <w:sz w:val="24"/>
                <w:szCs w:val="24"/>
              </w:rPr>
              <w:t xml:space="preserve">). </w:t>
            </w:r>
          </w:p>
          <w:p w:rsidR="00FC0057" w:rsidRPr="0076058F" w:rsidRDefault="00FC0057" w:rsidP="00180908">
            <w:pPr>
              <w:spacing w:line="360" w:lineRule="auto"/>
              <w:jc w:val="both"/>
              <w:rPr>
                <w:rFonts w:ascii="Arial" w:hAnsi="Arial" w:cs="Arial"/>
                <w:sz w:val="24"/>
                <w:szCs w:val="24"/>
              </w:rPr>
            </w:pPr>
          </w:p>
          <w:p w:rsidR="009A2C95" w:rsidRDefault="00E32674" w:rsidP="00180908">
            <w:pPr>
              <w:spacing w:line="360" w:lineRule="auto"/>
              <w:jc w:val="both"/>
              <w:rPr>
                <w:rFonts w:ascii="Arial" w:hAnsi="Arial" w:cs="Arial"/>
                <w:sz w:val="24"/>
                <w:szCs w:val="24"/>
              </w:rPr>
            </w:pPr>
            <w:r w:rsidRPr="0076058F">
              <w:rPr>
                <w:rFonts w:ascii="Arial" w:hAnsi="Arial" w:cs="Arial"/>
                <w:sz w:val="24"/>
                <w:szCs w:val="24"/>
              </w:rPr>
              <w:t>[1</w:t>
            </w:r>
            <w:r w:rsidR="00FC0057">
              <w:rPr>
                <w:rFonts w:ascii="Arial" w:hAnsi="Arial" w:cs="Arial"/>
                <w:sz w:val="24"/>
                <w:szCs w:val="24"/>
              </w:rPr>
              <w:t>3</w:t>
            </w:r>
            <w:r w:rsidRPr="0076058F">
              <w:rPr>
                <w:rFonts w:ascii="Arial" w:hAnsi="Arial" w:cs="Arial"/>
                <w:sz w:val="24"/>
                <w:szCs w:val="24"/>
              </w:rPr>
              <w:t xml:space="preserve">]   I am of the view that the defendant established a </w:t>
            </w:r>
            <w:r w:rsidRPr="004768BC">
              <w:rPr>
                <w:rFonts w:ascii="Arial" w:hAnsi="Arial" w:cs="Arial"/>
                <w:i/>
                <w:sz w:val="24"/>
                <w:szCs w:val="24"/>
              </w:rPr>
              <w:t>bona fide</w:t>
            </w:r>
            <w:r w:rsidRPr="0076058F">
              <w:rPr>
                <w:rFonts w:ascii="Arial" w:hAnsi="Arial" w:cs="Arial"/>
                <w:sz w:val="24"/>
                <w:szCs w:val="24"/>
              </w:rPr>
              <w:t xml:space="preserve"> defence that his occupation </w:t>
            </w:r>
            <w:r w:rsidR="004768BC">
              <w:rPr>
                <w:rFonts w:ascii="Arial" w:hAnsi="Arial" w:cs="Arial"/>
                <w:sz w:val="24"/>
                <w:szCs w:val="24"/>
              </w:rPr>
              <w:t xml:space="preserve">of the property </w:t>
            </w:r>
            <w:r w:rsidRPr="0076058F">
              <w:rPr>
                <w:rFonts w:ascii="Arial" w:hAnsi="Arial" w:cs="Arial"/>
                <w:sz w:val="24"/>
                <w:szCs w:val="24"/>
              </w:rPr>
              <w:t>is lawful in light of the agreement he</w:t>
            </w:r>
            <w:r w:rsidR="009A2C95">
              <w:rPr>
                <w:rFonts w:ascii="Arial" w:hAnsi="Arial" w:cs="Arial"/>
                <w:sz w:val="24"/>
                <w:szCs w:val="24"/>
              </w:rPr>
              <w:t xml:space="preserve"> entered into with the plaintiff. There is sufficient detail of payments made to the plaintiff and</w:t>
            </w:r>
            <w:r w:rsidR="00FC0057">
              <w:rPr>
                <w:rFonts w:ascii="Arial" w:hAnsi="Arial" w:cs="Arial"/>
                <w:sz w:val="24"/>
                <w:szCs w:val="24"/>
              </w:rPr>
              <w:t xml:space="preserve"> to</w:t>
            </w:r>
            <w:r w:rsidR="009A2C95">
              <w:rPr>
                <w:rFonts w:ascii="Arial" w:hAnsi="Arial" w:cs="Arial"/>
                <w:sz w:val="24"/>
                <w:szCs w:val="24"/>
              </w:rPr>
              <w:t xml:space="preserve"> the City of Windhoek</w:t>
            </w:r>
            <w:r w:rsidR="00135A5A">
              <w:rPr>
                <w:rFonts w:ascii="Arial" w:hAnsi="Arial" w:cs="Arial"/>
                <w:sz w:val="24"/>
                <w:szCs w:val="24"/>
              </w:rPr>
              <w:t xml:space="preserve"> in terms of the said agreement</w:t>
            </w:r>
            <w:r w:rsidR="009A2C95">
              <w:rPr>
                <w:rFonts w:ascii="Arial" w:hAnsi="Arial" w:cs="Arial"/>
                <w:sz w:val="24"/>
                <w:szCs w:val="24"/>
              </w:rPr>
              <w:t xml:space="preserve">. </w:t>
            </w:r>
            <w:r w:rsidRPr="0076058F">
              <w:rPr>
                <w:rFonts w:ascii="Arial" w:hAnsi="Arial" w:cs="Arial"/>
                <w:sz w:val="24"/>
                <w:szCs w:val="24"/>
              </w:rPr>
              <w:t xml:space="preserve"> </w:t>
            </w:r>
          </w:p>
          <w:p w:rsidR="009A2C95" w:rsidRDefault="009A2C95" w:rsidP="00180908">
            <w:pPr>
              <w:spacing w:line="360" w:lineRule="auto"/>
              <w:jc w:val="both"/>
              <w:rPr>
                <w:rFonts w:ascii="Arial" w:hAnsi="Arial" w:cs="Arial"/>
                <w:sz w:val="24"/>
                <w:szCs w:val="24"/>
              </w:rPr>
            </w:pPr>
          </w:p>
          <w:p w:rsidR="00F60F3C" w:rsidRDefault="00F60F3C" w:rsidP="00180908">
            <w:pPr>
              <w:spacing w:line="360" w:lineRule="auto"/>
              <w:jc w:val="both"/>
              <w:rPr>
                <w:rFonts w:ascii="Arial" w:hAnsi="Arial" w:cs="Arial"/>
                <w:sz w:val="24"/>
                <w:szCs w:val="24"/>
              </w:rPr>
            </w:pPr>
            <w:r w:rsidRPr="0076058F">
              <w:rPr>
                <w:rFonts w:ascii="Arial" w:hAnsi="Arial" w:cs="Arial"/>
                <w:sz w:val="24"/>
                <w:szCs w:val="24"/>
              </w:rPr>
              <w:t>[1</w:t>
            </w:r>
            <w:r w:rsidR="00FC0057">
              <w:rPr>
                <w:rFonts w:ascii="Arial" w:hAnsi="Arial" w:cs="Arial"/>
                <w:sz w:val="24"/>
                <w:szCs w:val="24"/>
              </w:rPr>
              <w:t>4</w:t>
            </w:r>
            <w:r w:rsidRPr="0076058F">
              <w:rPr>
                <w:rFonts w:ascii="Arial" w:hAnsi="Arial" w:cs="Arial"/>
                <w:sz w:val="24"/>
                <w:szCs w:val="24"/>
              </w:rPr>
              <w:t xml:space="preserve">]  </w:t>
            </w:r>
            <w:r w:rsidR="00FC0057">
              <w:rPr>
                <w:rFonts w:ascii="Arial" w:hAnsi="Arial" w:cs="Arial"/>
                <w:sz w:val="24"/>
                <w:szCs w:val="24"/>
              </w:rPr>
              <w:t xml:space="preserve">   </w:t>
            </w:r>
            <w:r w:rsidRPr="0076058F">
              <w:rPr>
                <w:rFonts w:ascii="Arial" w:hAnsi="Arial" w:cs="Arial"/>
                <w:sz w:val="24"/>
                <w:szCs w:val="24"/>
              </w:rPr>
              <w:t>In the premises the following order is made:</w:t>
            </w:r>
          </w:p>
          <w:p w:rsidR="00FC0057" w:rsidRPr="0076058F" w:rsidRDefault="00FC0057" w:rsidP="00180908">
            <w:pPr>
              <w:spacing w:line="360" w:lineRule="auto"/>
              <w:jc w:val="both"/>
              <w:rPr>
                <w:rFonts w:ascii="Arial" w:hAnsi="Arial" w:cs="Arial"/>
                <w:sz w:val="24"/>
                <w:szCs w:val="24"/>
              </w:rPr>
            </w:pPr>
          </w:p>
          <w:p w:rsidR="00F60F3C" w:rsidRPr="0076058F" w:rsidRDefault="00F60F3C" w:rsidP="00180908">
            <w:pPr>
              <w:spacing w:line="360" w:lineRule="auto"/>
              <w:jc w:val="both"/>
              <w:rPr>
                <w:rFonts w:ascii="Arial" w:hAnsi="Arial" w:cs="Arial"/>
                <w:sz w:val="24"/>
                <w:szCs w:val="24"/>
              </w:rPr>
            </w:pPr>
            <w:r w:rsidRPr="0076058F">
              <w:rPr>
                <w:rFonts w:ascii="Arial" w:hAnsi="Arial" w:cs="Arial"/>
                <w:sz w:val="24"/>
                <w:szCs w:val="24"/>
              </w:rPr>
              <w:t xml:space="preserve">1. </w:t>
            </w:r>
            <w:r w:rsidR="0076058F">
              <w:rPr>
                <w:rFonts w:ascii="Arial" w:hAnsi="Arial" w:cs="Arial"/>
                <w:sz w:val="24"/>
                <w:szCs w:val="24"/>
              </w:rPr>
              <w:t>T</w:t>
            </w:r>
            <w:r w:rsidRPr="0076058F">
              <w:rPr>
                <w:rFonts w:ascii="Arial" w:hAnsi="Arial" w:cs="Arial"/>
                <w:sz w:val="24"/>
                <w:szCs w:val="24"/>
              </w:rPr>
              <w:t>he plaintiff’s application for Summary Judgment is dismissed;</w:t>
            </w:r>
          </w:p>
          <w:p w:rsidR="00F60F3C" w:rsidRPr="0076058F" w:rsidRDefault="00F60F3C" w:rsidP="00180908">
            <w:pPr>
              <w:spacing w:line="360" w:lineRule="auto"/>
              <w:jc w:val="both"/>
              <w:rPr>
                <w:rFonts w:ascii="Arial" w:hAnsi="Arial" w:cs="Arial"/>
                <w:sz w:val="24"/>
                <w:szCs w:val="24"/>
              </w:rPr>
            </w:pPr>
            <w:r w:rsidRPr="0076058F">
              <w:rPr>
                <w:rFonts w:ascii="Arial" w:hAnsi="Arial" w:cs="Arial"/>
                <w:sz w:val="24"/>
                <w:szCs w:val="24"/>
              </w:rPr>
              <w:t>2. The Defendant is granted leave to defend;</w:t>
            </w:r>
          </w:p>
          <w:p w:rsidR="00552C6E" w:rsidRDefault="00FC0057" w:rsidP="00552C6E">
            <w:pPr>
              <w:spacing w:line="360" w:lineRule="auto"/>
              <w:jc w:val="both"/>
            </w:pPr>
            <w:r>
              <w:rPr>
                <w:rFonts w:ascii="Arial" w:hAnsi="Arial" w:cs="Arial"/>
                <w:sz w:val="24"/>
                <w:szCs w:val="24"/>
              </w:rPr>
              <w:t>3. The plaintiff is ordered to</w:t>
            </w:r>
            <w:r w:rsidR="00F60F3C" w:rsidRPr="0076058F">
              <w:rPr>
                <w:rFonts w:ascii="Arial" w:hAnsi="Arial" w:cs="Arial"/>
                <w:sz w:val="24"/>
                <w:szCs w:val="24"/>
              </w:rPr>
              <w:t xml:space="preserve"> pay the cost of the application limited in terms of Rule 32 (11)</w:t>
            </w:r>
            <w:r w:rsidR="00552C6E">
              <w:t xml:space="preserve"> </w:t>
            </w:r>
          </w:p>
          <w:p w:rsidR="00552C6E" w:rsidRPr="00552C6E" w:rsidRDefault="005A1481" w:rsidP="00552C6E">
            <w:pPr>
              <w:spacing w:line="360" w:lineRule="auto"/>
              <w:jc w:val="both"/>
              <w:rPr>
                <w:rFonts w:ascii="Arial" w:hAnsi="Arial" w:cs="Arial"/>
                <w:sz w:val="24"/>
                <w:szCs w:val="24"/>
              </w:rPr>
            </w:pPr>
            <w:r>
              <w:rPr>
                <w:rFonts w:ascii="Arial" w:hAnsi="Arial" w:cs="Arial"/>
                <w:sz w:val="24"/>
                <w:szCs w:val="24"/>
              </w:rPr>
              <w:t xml:space="preserve">4. </w:t>
            </w:r>
            <w:r w:rsidR="00FC0057">
              <w:rPr>
                <w:rFonts w:ascii="Arial" w:hAnsi="Arial" w:cs="Arial"/>
                <w:sz w:val="24"/>
                <w:szCs w:val="24"/>
              </w:rPr>
              <w:t xml:space="preserve">The parties are ordered to </w:t>
            </w:r>
            <w:r w:rsidR="00552C6E" w:rsidRPr="00552C6E">
              <w:rPr>
                <w:rFonts w:ascii="Arial" w:hAnsi="Arial" w:cs="Arial"/>
                <w:sz w:val="24"/>
                <w:szCs w:val="24"/>
              </w:rPr>
              <w:t>file a joint case plan on or before 14 August 2020;</w:t>
            </w:r>
          </w:p>
          <w:p w:rsidR="00F60F3C" w:rsidRDefault="005A1481" w:rsidP="00552C6E">
            <w:pPr>
              <w:spacing w:line="360" w:lineRule="auto"/>
              <w:jc w:val="both"/>
              <w:rPr>
                <w:rFonts w:ascii="Arial" w:hAnsi="Arial" w:cs="Arial"/>
                <w:sz w:val="24"/>
                <w:szCs w:val="24"/>
              </w:rPr>
            </w:pPr>
            <w:r>
              <w:rPr>
                <w:rFonts w:ascii="Arial" w:hAnsi="Arial" w:cs="Arial"/>
                <w:sz w:val="24"/>
                <w:szCs w:val="24"/>
              </w:rPr>
              <w:t xml:space="preserve">5. </w:t>
            </w:r>
            <w:r w:rsidR="00552C6E" w:rsidRPr="00552C6E">
              <w:rPr>
                <w:rFonts w:ascii="Arial" w:hAnsi="Arial" w:cs="Arial"/>
                <w:sz w:val="24"/>
                <w:szCs w:val="24"/>
              </w:rPr>
              <w:t>The matter is postponed to 19 August 2020 for case planning hearing.</w:t>
            </w:r>
          </w:p>
          <w:p w:rsidR="005B4765" w:rsidRDefault="005B4765" w:rsidP="00552C6E">
            <w:pPr>
              <w:spacing w:line="360" w:lineRule="auto"/>
              <w:jc w:val="both"/>
              <w:rPr>
                <w:rFonts w:ascii="Arial" w:hAnsi="Arial" w:cs="Arial"/>
                <w:sz w:val="24"/>
                <w:szCs w:val="24"/>
              </w:rPr>
            </w:pPr>
          </w:p>
          <w:p w:rsidR="005B4765" w:rsidRDefault="005B4765" w:rsidP="00552C6E">
            <w:pPr>
              <w:spacing w:line="360" w:lineRule="auto"/>
              <w:jc w:val="both"/>
              <w:rPr>
                <w:rFonts w:ascii="Arial" w:hAnsi="Arial" w:cs="Arial"/>
                <w:sz w:val="24"/>
                <w:szCs w:val="24"/>
              </w:rPr>
            </w:pPr>
          </w:p>
          <w:p w:rsidR="005B4765" w:rsidRPr="0076058F" w:rsidRDefault="005B4765" w:rsidP="00552C6E">
            <w:pPr>
              <w:spacing w:line="360" w:lineRule="auto"/>
              <w:jc w:val="both"/>
              <w:rPr>
                <w:rFonts w:ascii="Arial" w:hAnsi="Arial" w:cs="Arial"/>
                <w:sz w:val="24"/>
                <w:szCs w:val="24"/>
              </w:rPr>
            </w:pPr>
          </w:p>
          <w:p w:rsidR="00287F72" w:rsidRPr="00287F72" w:rsidRDefault="00287F72" w:rsidP="00480E5E">
            <w:pPr>
              <w:spacing w:line="360" w:lineRule="auto"/>
              <w:jc w:val="both"/>
              <w:rPr>
                <w:rFonts w:ascii="Arial" w:hAnsi="Arial" w:cs="Arial"/>
                <w:sz w:val="24"/>
                <w:szCs w:val="24"/>
              </w:rPr>
            </w:pPr>
          </w:p>
        </w:tc>
      </w:tr>
      <w:tr w:rsidR="00CF3A7F" w:rsidRPr="00CF3A7F" w:rsidTr="00180908">
        <w:tc>
          <w:tcPr>
            <w:tcW w:w="4770" w:type="dxa"/>
          </w:tcPr>
          <w:p w:rsidR="00CF3A7F" w:rsidRDefault="00CF3A7F" w:rsidP="00180908">
            <w:pPr>
              <w:spacing w:line="360" w:lineRule="auto"/>
              <w:jc w:val="center"/>
              <w:rPr>
                <w:rFonts w:ascii="Arial" w:hAnsi="Arial" w:cs="Arial"/>
                <w:b/>
                <w:sz w:val="24"/>
                <w:szCs w:val="24"/>
              </w:rPr>
            </w:pPr>
            <w:r w:rsidRPr="00CF3A7F">
              <w:rPr>
                <w:rFonts w:ascii="Arial" w:hAnsi="Arial" w:cs="Arial"/>
                <w:b/>
                <w:sz w:val="24"/>
                <w:szCs w:val="24"/>
              </w:rPr>
              <w:lastRenderedPageBreak/>
              <w:t>Judge’s signature:</w:t>
            </w:r>
          </w:p>
          <w:p w:rsidR="00FC0057" w:rsidRPr="00CF3A7F" w:rsidRDefault="00FC0057" w:rsidP="00180908">
            <w:pPr>
              <w:spacing w:line="360" w:lineRule="auto"/>
              <w:jc w:val="center"/>
              <w:rPr>
                <w:rFonts w:ascii="Arial" w:hAnsi="Arial" w:cs="Arial"/>
                <w:b/>
                <w:sz w:val="24"/>
                <w:szCs w:val="24"/>
              </w:rPr>
            </w:pPr>
          </w:p>
        </w:tc>
        <w:tc>
          <w:tcPr>
            <w:tcW w:w="4950" w:type="dxa"/>
            <w:gridSpan w:val="2"/>
          </w:tcPr>
          <w:p w:rsidR="00CF3A7F" w:rsidRPr="00CF3A7F" w:rsidRDefault="00CF3A7F" w:rsidP="00180908">
            <w:pPr>
              <w:spacing w:line="360" w:lineRule="auto"/>
              <w:jc w:val="center"/>
              <w:rPr>
                <w:rFonts w:ascii="Arial" w:hAnsi="Arial" w:cs="Arial"/>
                <w:b/>
                <w:sz w:val="24"/>
                <w:szCs w:val="24"/>
              </w:rPr>
            </w:pPr>
            <w:r w:rsidRPr="00CF3A7F">
              <w:rPr>
                <w:rFonts w:ascii="Arial" w:hAnsi="Arial" w:cs="Arial"/>
                <w:b/>
                <w:sz w:val="24"/>
                <w:szCs w:val="24"/>
              </w:rPr>
              <w:lastRenderedPageBreak/>
              <w:t>Note to the parties:</w:t>
            </w:r>
          </w:p>
        </w:tc>
      </w:tr>
      <w:tr w:rsidR="00CF3A7F" w:rsidRPr="00CF3A7F" w:rsidTr="00180908">
        <w:trPr>
          <w:trHeight w:val="1114"/>
        </w:trPr>
        <w:tc>
          <w:tcPr>
            <w:tcW w:w="4770" w:type="dxa"/>
          </w:tcPr>
          <w:p w:rsidR="00CF3A7F" w:rsidRDefault="00CF3A7F" w:rsidP="00180908">
            <w:pPr>
              <w:spacing w:line="360" w:lineRule="auto"/>
              <w:jc w:val="both"/>
              <w:rPr>
                <w:rFonts w:ascii="Arial" w:hAnsi="Arial" w:cs="Arial"/>
                <w:sz w:val="24"/>
                <w:szCs w:val="24"/>
              </w:rPr>
            </w:pPr>
          </w:p>
          <w:p w:rsidR="00423581" w:rsidRDefault="00423581" w:rsidP="00180908">
            <w:pPr>
              <w:spacing w:line="360" w:lineRule="auto"/>
              <w:jc w:val="both"/>
              <w:rPr>
                <w:rFonts w:ascii="Arial" w:hAnsi="Arial" w:cs="Arial"/>
                <w:sz w:val="24"/>
                <w:szCs w:val="24"/>
              </w:rPr>
            </w:pPr>
          </w:p>
          <w:p w:rsidR="00423581" w:rsidRPr="00CF3A7F" w:rsidRDefault="00423581" w:rsidP="00180908">
            <w:pPr>
              <w:spacing w:line="360" w:lineRule="auto"/>
              <w:jc w:val="both"/>
              <w:rPr>
                <w:rFonts w:ascii="Arial" w:hAnsi="Arial" w:cs="Arial"/>
                <w:sz w:val="24"/>
                <w:szCs w:val="24"/>
              </w:rPr>
            </w:pPr>
          </w:p>
        </w:tc>
        <w:tc>
          <w:tcPr>
            <w:tcW w:w="4950" w:type="dxa"/>
            <w:gridSpan w:val="2"/>
          </w:tcPr>
          <w:p w:rsidR="00CF3A7F" w:rsidRPr="00CF3A7F" w:rsidRDefault="00CF3A7F" w:rsidP="00180908">
            <w:pPr>
              <w:spacing w:line="360" w:lineRule="auto"/>
              <w:jc w:val="both"/>
              <w:rPr>
                <w:rFonts w:ascii="Arial" w:hAnsi="Arial" w:cs="Arial"/>
                <w:sz w:val="24"/>
                <w:szCs w:val="24"/>
              </w:rPr>
            </w:pPr>
            <w:r w:rsidRPr="00CF3A7F">
              <w:rPr>
                <w:rFonts w:ascii="Arial" w:hAnsi="Arial" w:cs="Arial"/>
                <w:sz w:val="24"/>
                <w:szCs w:val="24"/>
              </w:rPr>
              <w:t>Not applicable.</w:t>
            </w:r>
          </w:p>
        </w:tc>
      </w:tr>
      <w:tr w:rsidR="00CF3A7F" w:rsidRPr="00CF3A7F" w:rsidTr="00180908">
        <w:tc>
          <w:tcPr>
            <w:tcW w:w="9720" w:type="dxa"/>
            <w:gridSpan w:val="3"/>
          </w:tcPr>
          <w:p w:rsidR="00CF3A7F" w:rsidRDefault="00CF3A7F" w:rsidP="00180908">
            <w:pPr>
              <w:spacing w:line="360" w:lineRule="auto"/>
              <w:jc w:val="center"/>
              <w:rPr>
                <w:rFonts w:ascii="Arial" w:hAnsi="Arial" w:cs="Arial"/>
                <w:b/>
                <w:sz w:val="24"/>
                <w:szCs w:val="24"/>
              </w:rPr>
            </w:pPr>
            <w:r w:rsidRPr="00CF3A7F">
              <w:rPr>
                <w:rFonts w:ascii="Arial" w:hAnsi="Arial" w:cs="Arial"/>
                <w:b/>
                <w:sz w:val="24"/>
                <w:szCs w:val="24"/>
              </w:rPr>
              <w:t>Counsel:</w:t>
            </w:r>
          </w:p>
          <w:p w:rsidR="00287F72" w:rsidRPr="00CF3A7F" w:rsidRDefault="00287F72" w:rsidP="00180908">
            <w:pPr>
              <w:spacing w:line="360" w:lineRule="auto"/>
              <w:jc w:val="center"/>
              <w:rPr>
                <w:rFonts w:ascii="Arial" w:hAnsi="Arial" w:cs="Arial"/>
                <w:b/>
                <w:sz w:val="24"/>
                <w:szCs w:val="24"/>
              </w:rPr>
            </w:pPr>
          </w:p>
        </w:tc>
      </w:tr>
      <w:tr w:rsidR="00CF3A7F" w:rsidRPr="00CF3A7F" w:rsidTr="00180908">
        <w:tc>
          <w:tcPr>
            <w:tcW w:w="4770" w:type="dxa"/>
          </w:tcPr>
          <w:p w:rsidR="00FC0057" w:rsidRDefault="00FC0057" w:rsidP="00180908">
            <w:pPr>
              <w:spacing w:line="360" w:lineRule="auto"/>
              <w:jc w:val="center"/>
              <w:rPr>
                <w:rFonts w:ascii="Arial" w:hAnsi="Arial" w:cs="Arial"/>
                <w:b/>
                <w:sz w:val="24"/>
                <w:szCs w:val="24"/>
              </w:rPr>
            </w:pPr>
          </w:p>
          <w:p w:rsidR="00CF3A7F" w:rsidRPr="00CF3A7F" w:rsidRDefault="00CF3A7F" w:rsidP="00180908">
            <w:pPr>
              <w:spacing w:line="360" w:lineRule="auto"/>
              <w:jc w:val="center"/>
              <w:rPr>
                <w:rFonts w:ascii="Arial" w:hAnsi="Arial" w:cs="Arial"/>
                <w:b/>
                <w:sz w:val="24"/>
                <w:szCs w:val="24"/>
              </w:rPr>
            </w:pPr>
            <w:r w:rsidRPr="00CF3A7F">
              <w:rPr>
                <w:rFonts w:ascii="Arial" w:hAnsi="Arial" w:cs="Arial"/>
                <w:b/>
                <w:sz w:val="24"/>
                <w:szCs w:val="24"/>
              </w:rPr>
              <w:t>Applicant</w:t>
            </w:r>
          </w:p>
        </w:tc>
        <w:tc>
          <w:tcPr>
            <w:tcW w:w="4950" w:type="dxa"/>
            <w:gridSpan w:val="2"/>
          </w:tcPr>
          <w:p w:rsidR="00FC0057" w:rsidRDefault="00FC0057" w:rsidP="00180908">
            <w:pPr>
              <w:spacing w:line="360" w:lineRule="auto"/>
              <w:jc w:val="center"/>
              <w:rPr>
                <w:rFonts w:ascii="Arial" w:hAnsi="Arial" w:cs="Arial"/>
                <w:b/>
                <w:sz w:val="24"/>
                <w:szCs w:val="24"/>
              </w:rPr>
            </w:pPr>
          </w:p>
          <w:p w:rsidR="00CF3A7F" w:rsidRDefault="00CF3A7F" w:rsidP="00180908">
            <w:pPr>
              <w:spacing w:line="360" w:lineRule="auto"/>
              <w:jc w:val="center"/>
              <w:rPr>
                <w:rFonts w:ascii="Arial" w:hAnsi="Arial" w:cs="Arial"/>
                <w:b/>
                <w:sz w:val="24"/>
                <w:szCs w:val="24"/>
              </w:rPr>
            </w:pPr>
            <w:r w:rsidRPr="00CF3A7F">
              <w:rPr>
                <w:rFonts w:ascii="Arial" w:hAnsi="Arial" w:cs="Arial"/>
                <w:b/>
                <w:sz w:val="24"/>
                <w:szCs w:val="24"/>
              </w:rPr>
              <w:t xml:space="preserve"> Respondent</w:t>
            </w:r>
          </w:p>
          <w:p w:rsidR="00287F72" w:rsidRPr="00CF3A7F" w:rsidRDefault="00287F72" w:rsidP="00180908">
            <w:pPr>
              <w:spacing w:line="360" w:lineRule="auto"/>
              <w:jc w:val="center"/>
              <w:rPr>
                <w:rFonts w:ascii="Arial" w:hAnsi="Arial" w:cs="Arial"/>
                <w:b/>
                <w:sz w:val="24"/>
                <w:szCs w:val="24"/>
              </w:rPr>
            </w:pPr>
          </w:p>
        </w:tc>
      </w:tr>
      <w:tr w:rsidR="00CF3A7F" w:rsidRPr="00CF3A7F" w:rsidTr="00180908">
        <w:tc>
          <w:tcPr>
            <w:tcW w:w="4770" w:type="dxa"/>
          </w:tcPr>
          <w:p w:rsidR="00863DC3" w:rsidRDefault="00863DC3" w:rsidP="00287F72">
            <w:pPr>
              <w:spacing w:line="360" w:lineRule="auto"/>
              <w:jc w:val="center"/>
              <w:rPr>
                <w:rFonts w:ascii="Arial" w:hAnsi="Arial" w:cs="Arial"/>
                <w:i/>
                <w:sz w:val="24"/>
                <w:szCs w:val="24"/>
              </w:rPr>
            </w:pPr>
          </w:p>
          <w:p w:rsidR="00CF3A7F" w:rsidRPr="00287F72" w:rsidRDefault="005A1481" w:rsidP="00287F72">
            <w:pPr>
              <w:spacing w:line="360" w:lineRule="auto"/>
              <w:jc w:val="center"/>
              <w:rPr>
                <w:rFonts w:ascii="Arial" w:hAnsi="Arial" w:cs="Arial"/>
                <w:i/>
                <w:sz w:val="24"/>
                <w:szCs w:val="24"/>
              </w:rPr>
            </w:pPr>
            <w:r>
              <w:rPr>
                <w:rFonts w:ascii="Arial" w:hAnsi="Arial" w:cs="Arial"/>
                <w:i/>
                <w:sz w:val="24"/>
                <w:szCs w:val="24"/>
              </w:rPr>
              <w:t>M</w:t>
            </w:r>
            <w:r w:rsidR="00B43AEC">
              <w:rPr>
                <w:rFonts w:ascii="Arial" w:hAnsi="Arial" w:cs="Arial"/>
                <w:i/>
                <w:sz w:val="24"/>
                <w:szCs w:val="24"/>
              </w:rPr>
              <w:t xml:space="preserve"> </w:t>
            </w:r>
            <w:proofErr w:type="spellStart"/>
            <w:r w:rsidR="00B43AEC">
              <w:rPr>
                <w:rFonts w:ascii="Arial" w:hAnsi="Arial" w:cs="Arial"/>
                <w:i/>
                <w:sz w:val="24"/>
                <w:szCs w:val="24"/>
              </w:rPr>
              <w:t>Ntinda</w:t>
            </w:r>
            <w:proofErr w:type="spellEnd"/>
            <w:r w:rsidR="00674792">
              <w:rPr>
                <w:rFonts w:ascii="Arial" w:hAnsi="Arial" w:cs="Arial"/>
                <w:i/>
                <w:sz w:val="24"/>
                <w:szCs w:val="24"/>
              </w:rPr>
              <w:t xml:space="preserve"> </w:t>
            </w:r>
          </w:p>
          <w:p w:rsidR="00287F72" w:rsidRDefault="00990197" w:rsidP="00287F72">
            <w:pPr>
              <w:spacing w:line="360" w:lineRule="auto"/>
              <w:jc w:val="center"/>
              <w:rPr>
                <w:rFonts w:ascii="Arial" w:hAnsi="Arial" w:cs="Arial"/>
                <w:i/>
                <w:sz w:val="24"/>
                <w:szCs w:val="24"/>
              </w:rPr>
            </w:pPr>
            <w:r w:rsidRPr="00287F72">
              <w:rPr>
                <w:rFonts w:ascii="Arial" w:hAnsi="Arial" w:cs="Arial"/>
                <w:i/>
                <w:sz w:val="24"/>
                <w:szCs w:val="24"/>
              </w:rPr>
              <w:t>O</w:t>
            </w:r>
            <w:r w:rsidR="00287F72" w:rsidRPr="00287F72">
              <w:rPr>
                <w:rFonts w:ascii="Arial" w:hAnsi="Arial" w:cs="Arial"/>
                <w:i/>
                <w:sz w:val="24"/>
                <w:szCs w:val="24"/>
              </w:rPr>
              <w:t>f</w:t>
            </w:r>
          </w:p>
          <w:p w:rsidR="00287F72" w:rsidRPr="00CF3A7F" w:rsidRDefault="00B43AEC" w:rsidP="00B43AEC">
            <w:pPr>
              <w:spacing w:line="360" w:lineRule="auto"/>
              <w:jc w:val="center"/>
              <w:rPr>
                <w:rFonts w:ascii="Arial" w:hAnsi="Arial" w:cs="Arial"/>
                <w:sz w:val="24"/>
                <w:szCs w:val="24"/>
              </w:rPr>
            </w:pPr>
            <w:r>
              <w:rPr>
                <w:rFonts w:ascii="Arial" w:hAnsi="Arial" w:cs="Arial"/>
                <w:i/>
                <w:sz w:val="24"/>
                <w:szCs w:val="24"/>
              </w:rPr>
              <w:t>Sisa Namandje &amp; Co.</w:t>
            </w:r>
            <w:r w:rsidR="00C9490D">
              <w:rPr>
                <w:rFonts w:ascii="Arial" w:hAnsi="Arial" w:cs="Arial"/>
                <w:i/>
                <w:sz w:val="24"/>
                <w:szCs w:val="24"/>
              </w:rPr>
              <w:t xml:space="preserve"> </w:t>
            </w:r>
            <w:r w:rsidR="008A777B">
              <w:rPr>
                <w:rFonts w:ascii="Arial" w:hAnsi="Arial" w:cs="Arial"/>
                <w:i/>
                <w:sz w:val="24"/>
                <w:szCs w:val="24"/>
              </w:rPr>
              <w:t>Inc.</w:t>
            </w:r>
          </w:p>
        </w:tc>
        <w:tc>
          <w:tcPr>
            <w:tcW w:w="4950" w:type="dxa"/>
            <w:gridSpan w:val="2"/>
          </w:tcPr>
          <w:p w:rsidR="00863DC3" w:rsidRDefault="00863DC3" w:rsidP="00180908">
            <w:pPr>
              <w:spacing w:line="360" w:lineRule="auto"/>
              <w:jc w:val="center"/>
              <w:rPr>
                <w:rFonts w:ascii="Arial" w:hAnsi="Arial" w:cs="Arial"/>
                <w:i/>
                <w:sz w:val="24"/>
                <w:szCs w:val="24"/>
              </w:rPr>
            </w:pPr>
          </w:p>
          <w:p w:rsidR="00990197" w:rsidRPr="00287F72" w:rsidRDefault="005A1481" w:rsidP="00990197">
            <w:pPr>
              <w:spacing w:line="360" w:lineRule="auto"/>
              <w:jc w:val="center"/>
              <w:rPr>
                <w:rFonts w:ascii="Arial" w:hAnsi="Arial" w:cs="Arial"/>
                <w:i/>
                <w:sz w:val="24"/>
                <w:szCs w:val="24"/>
              </w:rPr>
            </w:pPr>
            <w:r>
              <w:rPr>
                <w:rFonts w:ascii="Arial" w:hAnsi="Arial" w:cs="Arial"/>
                <w:i/>
                <w:sz w:val="24"/>
                <w:szCs w:val="24"/>
              </w:rPr>
              <w:t>J</w:t>
            </w:r>
            <w:r w:rsidR="00B43AEC">
              <w:rPr>
                <w:rFonts w:ascii="Arial" w:hAnsi="Arial" w:cs="Arial"/>
                <w:i/>
                <w:sz w:val="24"/>
                <w:szCs w:val="24"/>
              </w:rPr>
              <w:t xml:space="preserve"> </w:t>
            </w:r>
            <w:proofErr w:type="spellStart"/>
            <w:r w:rsidR="00B43AEC">
              <w:rPr>
                <w:rFonts w:ascii="Arial" w:hAnsi="Arial" w:cs="Arial"/>
                <w:i/>
                <w:sz w:val="24"/>
                <w:szCs w:val="24"/>
              </w:rPr>
              <w:t>Tjitemisa</w:t>
            </w:r>
            <w:proofErr w:type="spellEnd"/>
            <w:r w:rsidR="00990197">
              <w:rPr>
                <w:rFonts w:ascii="Arial" w:hAnsi="Arial" w:cs="Arial"/>
                <w:i/>
                <w:sz w:val="24"/>
                <w:szCs w:val="24"/>
              </w:rPr>
              <w:t xml:space="preserve"> </w:t>
            </w:r>
          </w:p>
          <w:p w:rsidR="00990197" w:rsidRDefault="00990197" w:rsidP="00990197">
            <w:pPr>
              <w:spacing w:line="360" w:lineRule="auto"/>
              <w:jc w:val="center"/>
              <w:rPr>
                <w:rFonts w:ascii="Arial" w:hAnsi="Arial" w:cs="Arial"/>
                <w:i/>
                <w:sz w:val="24"/>
                <w:szCs w:val="24"/>
              </w:rPr>
            </w:pPr>
            <w:r w:rsidRPr="00287F72">
              <w:rPr>
                <w:rFonts w:ascii="Arial" w:hAnsi="Arial" w:cs="Arial"/>
                <w:i/>
                <w:sz w:val="24"/>
                <w:szCs w:val="24"/>
              </w:rPr>
              <w:t>Of</w:t>
            </w:r>
          </w:p>
          <w:p w:rsidR="00990197" w:rsidRPr="00287F72" w:rsidRDefault="00C9490D" w:rsidP="00990197">
            <w:pPr>
              <w:spacing w:line="360" w:lineRule="auto"/>
              <w:jc w:val="center"/>
              <w:rPr>
                <w:rFonts w:ascii="Arial" w:hAnsi="Arial" w:cs="Arial"/>
                <w:i/>
                <w:sz w:val="24"/>
                <w:szCs w:val="24"/>
              </w:rPr>
            </w:pPr>
            <w:r>
              <w:rPr>
                <w:rFonts w:ascii="Arial" w:hAnsi="Arial" w:cs="Arial"/>
                <w:i/>
                <w:sz w:val="24"/>
                <w:szCs w:val="24"/>
              </w:rPr>
              <w:t>Tjitemisa &amp; Associates</w:t>
            </w:r>
          </w:p>
          <w:p w:rsidR="00287F72" w:rsidRPr="00CF3A7F" w:rsidRDefault="00287F72" w:rsidP="00990197">
            <w:pPr>
              <w:spacing w:line="360" w:lineRule="auto"/>
              <w:jc w:val="center"/>
              <w:rPr>
                <w:rFonts w:ascii="Arial" w:hAnsi="Arial" w:cs="Arial"/>
                <w:sz w:val="24"/>
                <w:szCs w:val="24"/>
              </w:rPr>
            </w:pPr>
          </w:p>
        </w:tc>
      </w:tr>
    </w:tbl>
    <w:p w:rsidR="00CF3A7F" w:rsidRPr="00CF3A7F" w:rsidRDefault="00CF3A7F" w:rsidP="00CF3A7F">
      <w:pPr>
        <w:spacing w:after="0" w:line="360" w:lineRule="auto"/>
        <w:jc w:val="both"/>
        <w:rPr>
          <w:rFonts w:ascii="Arial" w:hAnsi="Arial" w:cs="Arial"/>
          <w:sz w:val="24"/>
          <w:szCs w:val="24"/>
        </w:rPr>
      </w:pPr>
    </w:p>
    <w:p w:rsidR="00CF3A7F" w:rsidRPr="00CF3A7F" w:rsidRDefault="00CF3A7F" w:rsidP="00CF3A7F">
      <w:pPr>
        <w:rPr>
          <w:rFonts w:ascii="Arial" w:hAnsi="Arial" w:cs="Arial"/>
          <w:sz w:val="24"/>
          <w:szCs w:val="24"/>
        </w:rPr>
      </w:pPr>
    </w:p>
    <w:sectPr w:rsidR="00CF3A7F" w:rsidRPr="00CF3A7F" w:rsidSect="0041481F">
      <w:headerReference w:type="default" r:id="rId7"/>
      <w:footerReference w:type="default" r:id="rId8"/>
      <w:pgSz w:w="11906" w:h="16838"/>
      <w:pgMar w:top="1080" w:right="1440" w:bottom="1134" w:left="1440" w:header="708" w:footer="75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E3F" w:rsidRDefault="00E54E3F">
      <w:pPr>
        <w:spacing w:after="0" w:line="240" w:lineRule="auto"/>
      </w:pPr>
      <w:r>
        <w:separator/>
      </w:r>
    </w:p>
  </w:endnote>
  <w:endnote w:type="continuationSeparator" w:id="0">
    <w:p w:rsidR="00E54E3F" w:rsidRDefault="00E5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3F" w:rsidRDefault="00E54E3F">
    <w:pPr>
      <w:pStyle w:val="Footer"/>
      <w:jc w:val="right"/>
    </w:pPr>
  </w:p>
  <w:p w:rsidR="00352B3F" w:rsidRDefault="00E54E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E3F" w:rsidRDefault="00E54E3F">
      <w:pPr>
        <w:spacing w:after="0" w:line="240" w:lineRule="auto"/>
      </w:pPr>
      <w:r>
        <w:separator/>
      </w:r>
    </w:p>
  </w:footnote>
  <w:footnote w:type="continuationSeparator" w:id="0">
    <w:p w:rsidR="00E54E3F" w:rsidRDefault="00E54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81F" w:rsidRDefault="00E54E3F">
    <w:pPr>
      <w:pStyle w:val="Header"/>
      <w:jc w:val="right"/>
    </w:pPr>
  </w:p>
  <w:p w:rsidR="00352B3F" w:rsidRDefault="00E54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E681E"/>
    <w:multiLevelType w:val="hybridMultilevel"/>
    <w:tmpl w:val="4E28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E60A5"/>
    <w:multiLevelType w:val="hybridMultilevel"/>
    <w:tmpl w:val="AE4E7BE8"/>
    <w:lvl w:ilvl="0" w:tplc="96AA9C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4D04943"/>
    <w:multiLevelType w:val="hybridMultilevel"/>
    <w:tmpl w:val="E11EDA7A"/>
    <w:lvl w:ilvl="0" w:tplc="36969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E1410"/>
    <w:multiLevelType w:val="hybridMultilevel"/>
    <w:tmpl w:val="BB1CD0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F33512E"/>
    <w:multiLevelType w:val="hybridMultilevel"/>
    <w:tmpl w:val="71541D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1104BE7"/>
    <w:multiLevelType w:val="hybridMultilevel"/>
    <w:tmpl w:val="2658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55A49"/>
    <w:multiLevelType w:val="hybridMultilevel"/>
    <w:tmpl w:val="3230CA84"/>
    <w:lvl w:ilvl="0" w:tplc="A1C237A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7F"/>
    <w:rsid w:val="000108BF"/>
    <w:rsid w:val="00050C6B"/>
    <w:rsid w:val="00070C50"/>
    <w:rsid w:val="000C30DA"/>
    <w:rsid w:val="00103008"/>
    <w:rsid w:val="00135A5A"/>
    <w:rsid w:val="0016458B"/>
    <w:rsid w:val="00176EDE"/>
    <w:rsid w:val="00225DE7"/>
    <w:rsid w:val="00230882"/>
    <w:rsid w:val="00255D9A"/>
    <w:rsid w:val="00271361"/>
    <w:rsid w:val="00287F72"/>
    <w:rsid w:val="002B5F46"/>
    <w:rsid w:val="00305D1F"/>
    <w:rsid w:val="00332479"/>
    <w:rsid w:val="00364D21"/>
    <w:rsid w:val="00375E9A"/>
    <w:rsid w:val="003859AD"/>
    <w:rsid w:val="004169C7"/>
    <w:rsid w:val="00423581"/>
    <w:rsid w:val="00472058"/>
    <w:rsid w:val="004768BC"/>
    <w:rsid w:val="00480E5E"/>
    <w:rsid w:val="004B7759"/>
    <w:rsid w:val="005151E8"/>
    <w:rsid w:val="00540A04"/>
    <w:rsid w:val="00552C6E"/>
    <w:rsid w:val="005A1481"/>
    <w:rsid w:val="005B4765"/>
    <w:rsid w:val="00670C49"/>
    <w:rsid w:val="00674792"/>
    <w:rsid w:val="006F3A1E"/>
    <w:rsid w:val="0076058F"/>
    <w:rsid w:val="007A1FA1"/>
    <w:rsid w:val="007C16FC"/>
    <w:rsid w:val="00844815"/>
    <w:rsid w:val="00856EF6"/>
    <w:rsid w:val="00863DC3"/>
    <w:rsid w:val="0089736C"/>
    <w:rsid w:val="008A777B"/>
    <w:rsid w:val="008D1D83"/>
    <w:rsid w:val="008F117D"/>
    <w:rsid w:val="008F2606"/>
    <w:rsid w:val="00962C63"/>
    <w:rsid w:val="00981CFC"/>
    <w:rsid w:val="00990197"/>
    <w:rsid w:val="009A2C95"/>
    <w:rsid w:val="009B2B77"/>
    <w:rsid w:val="009D064B"/>
    <w:rsid w:val="009D26C9"/>
    <w:rsid w:val="009F1205"/>
    <w:rsid w:val="00A763AC"/>
    <w:rsid w:val="00B10C58"/>
    <w:rsid w:val="00B43AEC"/>
    <w:rsid w:val="00B61732"/>
    <w:rsid w:val="00BE4BD3"/>
    <w:rsid w:val="00C70E8F"/>
    <w:rsid w:val="00C72D57"/>
    <w:rsid w:val="00C7376C"/>
    <w:rsid w:val="00C80C48"/>
    <w:rsid w:val="00C83107"/>
    <w:rsid w:val="00C9490D"/>
    <w:rsid w:val="00CC08F6"/>
    <w:rsid w:val="00CF3A7F"/>
    <w:rsid w:val="00D24D9A"/>
    <w:rsid w:val="00D70EF3"/>
    <w:rsid w:val="00DA11B2"/>
    <w:rsid w:val="00DE0535"/>
    <w:rsid w:val="00DE11C0"/>
    <w:rsid w:val="00E32674"/>
    <w:rsid w:val="00E3682B"/>
    <w:rsid w:val="00E43C43"/>
    <w:rsid w:val="00E54E3F"/>
    <w:rsid w:val="00E7497C"/>
    <w:rsid w:val="00EC2065"/>
    <w:rsid w:val="00EE2A72"/>
    <w:rsid w:val="00F60F3C"/>
    <w:rsid w:val="00FC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0403D-7493-45AF-8850-1A84BAAF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7F"/>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A7F"/>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3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A7F"/>
    <w:rPr>
      <w:lang w:val="en-ZA"/>
    </w:rPr>
  </w:style>
  <w:style w:type="paragraph" w:styleId="ListParagraph">
    <w:name w:val="List Paragraph"/>
    <w:basedOn w:val="Normal"/>
    <w:uiPriority w:val="34"/>
    <w:qFormat/>
    <w:rsid w:val="00CF3A7F"/>
    <w:pPr>
      <w:ind w:left="720"/>
      <w:contextualSpacing/>
    </w:pPr>
  </w:style>
  <w:style w:type="paragraph" w:customStyle="1" w:styleId="form-control-static">
    <w:name w:val="form-control-static"/>
    <w:basedOn w:val="Normal"/>
    <w:rsid w:val="00CF3A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F3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A7F"/>
    <w:rPr>
      <w:lang w:val="en-ZA"/>
    </w:rPr>
  </w:style>
  <w:style w:type="paragraph" w:styleId="BalloonText">
    <w:name w:val="Balloon Text"/>
    <w:basedOn w:val="Normal"/>
    <w:link w:val="BalloonTextChar"/>
    <w:uiPriority w:val="99"/>
    <w:semiHidden/>
    <w:unhideWhenUsed/>
    <w:rsid w:val="00552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C6E"/>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2020-07-23T18:30:00+00:00</Judgment_x0020_Date>
    <Year xmlns="c1afb1bd-f2fb-40fd-9abb-aea55b4d7662">2020</Year>
  </documentManagement>
</p:properties>
</file>

<file path=customXml/itemProps1.xml><?xml version="1.0" encoding="utf-8"?>
<ds:datastoreItem xmlns:ds="http://schemas.openxmlformats.org/officeDocument/2006/customXml" ds:itemID="{8DBFAF4A-1A66-4DBF-8B25-64BB5B0752C6}"/>
</file>

<file path=customXml/itemProps2.xml><?xml version="1.0" encoding="utf-8"?>
<ds:datastoreItem xmlns:ds="http://schemas.openxmlformats.org/officeDocument/2006/customXml" ds:itemID="{8C0E7465-2093-46DB-9BD5-189451169F15}"/>
</file>

<file path=customXml/itemProps3.xml><?xml version="1.0" encoding="utf-8"?>
<ds:datastoreItem xmlns:ds="http://schemas.openxmlformats.org/officeDocument/2006/customXml" ds:itemID="{7E2E01C2-BAEE-436A-BC95-D95DEACBEE36}"/>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Tjazirapi v Nguapia (HC-MD-CIV-ACT-CON-2019-03765) [2020] NAHCMD 315 (24 July 2020)</dc:title>
  <dc:creator>Mbeurora Karamata</dc:creator>
  <cp:lastModifiedBy>Administrator</cp:lastModifiedBy>
  <cp:revision>2</cp:revision>
  <cp:lastPrinted>2020-07-24T08:11:00Z</cp:lastPrinted>
  <dcterms:created xsi:type="dcterms:W3CDTF">2020-07-28T12:57:00Z</dcterms:created>
  <dcterms:modified xsi:type="dcterms:W3CDTF">2020-07-28T12:57:00Z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