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F2" w:rsidRPr="000F7CFB" w:rsidRDefault="006443F2" w:rsidP="000F7CFB">
      <w:pPr>
        <w:spacing w:after="0" w:line="360" w:lineRule="auto"/>
        <w:contextualSpacing/>
        <w:jc w:val="center"/>
        <w:rPr>
          <w:rFonts w:ascii="Arial" w:eastAsia="Calibri" w:hAnsi="Arial" w:cs="Arial"/>
          <w:b/>
          <w:sz w:val="24"/>
          <w:szCs w:val="24"/>
        </w:rPr>
      </w:pPr>
      <w:r w:rsidRPr="000F7CFB">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3B6F01A1" wp14:editId="2C9E4DBD">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443F2" w:rsidRPr="00001772" w:rsidRDefault="006443F2" w:rsidP="006443F2">
                            <w:pPr>
                              <w:jc w:val="center"/>
                              <w:rPr>
                                <w:rFonts w:ascii="Arial" w:hAnsi="Arial" w:cs="Arial"/>
                              </w:rPr>
                            </w:pPr>
                            <w:r w:rsidRPr="00001772">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F01A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443F2" w:rsidRPr="00001772" w:rsidRDefault="006443F2" w:rsidP="006443F2">
                      <w:pPr>
                        <w:jc w:val="center"/>
                        <w:rPr>
                          <w:rFonts w:ascii="Arial" w:hAnsi="Arial" w:cs="Arial"/>
                        </w:rPr>
                      </w:pPr>
                      <w:r w:rsidRPr="00001772">
                        <w:rPr>
                          <w:rFonts w:ascii="Arial" w:hAnsi="Arial" w:cs="Arial"/>
                        </w:rPr>
                        <w:t>NOT REPORTABLE</w:t>
                      </w:r>
                    </w:p>
                  </w:txbxContent>
                </v:textbox>
              </v:shape>
            </w:pict>
          </mc:Fallback>
        </mc:AlternateContent>
      </w:r>
      <w:r w:rsidRPr="000F7CFB">
        <w:rPr>
          <w:rFonts w:ascii="Arial" w:eastAsia="Calibri" w:hAnsi="Arial" w:cs="Arial"/>
          <w:b/>
          <w:sz w:val="24"/>
          <w:szCs w:val="24"/>
        </w:rPr>
        <w:t>REPUBLIC OF NAMIBIA</w:t>
      </w:r>
    </w:p>
    <w:p w:rsidR="006443F2" w:rsidRPr="000F7CFB" w:rsidRDefault="006443F2" w:rsidP="000F7CFB">
      <w:pPr>
        <w:spacing w:after="0" w:line="360" w:lineRule="auto"/>
        <w:contextualSpacing/>
        <w:jc w:val="center"/>
        <w:rPr>
          <w:rFonts w:ascii="Calibri" w:eastAsia="Calibri" w:hAnsi="Calibri" w:cs="Times New Roman"/>
          <w:b/>
          <w:sz w:val="24"/>
          <w:szCs w:val="24"/>
        </w:rPr>
      </w:pPr>
      <w:r w:rsidRPr="000F7CFB">
        <w:rPr>
          <w:rFonts w:ascii="Calibri" w:eastAsia="Calibri" w:hAnsi="Calibri" w:cs="Times New Roman"/>
          <w:b/>
          <w:noProof/>
          <w:sz w:val="24"/>
          <w:szCs w:val="24"/>
          <w:lang w:val="en-ZA" w:eastAsia="en-ZA"/>
        </w:rPr>
        <w:drawing>
          <wp:inline distT="0" distB="0" distL="0" distR="0" wp14:anchorId="501913BE" wp14:editId="6D172FD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443F2" w:rsidRPr="000F7CFB" w:rsidRDefault="006443F2" w:rsidP="000F7CFB">
      <w:pPr>
        <w:spacing w:after="0" w:line="360" w:lineRule="auto"/>
        <w:contextualSpacing/>
        <w:jc w:val="center"/>
        <w:rPr>
          <w:rFonts w:ascii="Arial" w:eastAsia="Calibri" w:hAnsi="Arial" w:cs="Arial"/>
          <w:b/>
          <w:sz w:val="24"/>
          <w:szCs w:val="24"/>
        </w:rPr>
      </w:pPr>
    </w:p>
    <w:p w:rsidR="006443F2" w:rsidRPr="000F7CFB" w:rsidRDefault="006443F2" w:rsidP="000F7CFB">
      <w:pPr>
        <w:spacing w:after="0" w:line="360" w:lineRule="auto"/>
        <w:contextualSpacing/>
        <w:jc w:val="center"/>
        <w:rPr>
          <w:rFonts w:ascii="Arial" w:eastAsia="Calibri" w:hAnsi="Arial" w:cs="Arial"/>
          <w:bCs/>
          <w:sz w:val="24"/>
          <w:szCs w:val="24"/>
        </w:rPr>
      </w:pPr>
      <w:r w:rsidRPr="000F7CFB">
        <w:rPr>
          <w:rFonts w:ascii="Arial" w:eastAsia="Calibri" w:hAnsi="Arial" w:cs="Arial"/>
          <w:b/>
          <w:sz w:val="24"/>
          <w:szCs w:val="24"/>
        </w:rPr>
        <w:t>HIGH COURT OF NAMIBIA MAIN DIVISION, WINDHOEK</w:t>
      </w:r>
    </w:p>
    <w:p w:rsidR="006443F2" w:rsidRPr="000F7CFB" w:rsidRDefault="006443F2" w:rsidP="000F7CFB">
      <w:pPr>
        <w:spacing w:after="0" w:line="360" w:lineRule="auto"/>
        <w:contextualSpacing/>
        <w:jc w:val="center"/>
        <w:rPr>
          <w:rFonts w:ascii="Arial" w:eastAsia="Calibri" w:hAnsi="Arial" w:cs="Arial"/>
          <w:b/>
          <w:sz w:val="24"/>
          <w:szCs w:val="24"/>
        </w:rPr>
      </w:pPr>
    </w:p>
    <w:p w:rsidR="006443F2" w:rsidRPr="000F7CFB" w:rsidRDefault="006443F2" w:rsidP="000F7CFB">
      <w:pPr>
        <w:spacing w:after="0" w:line="360" w:lineRule="auto"/>
        <w:contextualSpacing/>
        <w:jc w:val="center"/>
        <w:rPr>
          <w:rFonts w:ascii="Arial" w:eastAsia="Calibri" w:hAnsi="Arial" w:cs="Arial"/>
          <w:b/>
          <w:sz w:val="24"/>
          <w:szCs w:val="24"/>
        </w:rPr>
      </w:pPr>
      <w:r w:rsidRPr="000F7CFB">
        <w:rPr>
          <w:rFonts w:ascii="Arial" w:eastAsia="Calibri" w:hAnsi="Arial" w:cs="Arial"/>
          <w:b/>
          <w:sz w:val="24"/>
          <w:szCs w:val="24"/>
        </w:rPr>
        <w:t>JUDGMENT</w:t>
      </w:r>
    </w:p>
    <w:p w:rsidR="006443F2" w:rsidRPr="000F7CFB" w:rsidRDefault="006443F2" w:rsidP="000F7CFB">
      <w:pPr>
        <w:tabs>
          <w:tab w:val="right" w:pos="9000"/>
        </w:tabs>
        <w:spacing w:after="0" w:line="360" w:lineRule="auto"/>
        <w:contextualSpacing/>
        <w:jc w:val="center"/>
        <w:rPr>
          <w:rFonts w:ascii="Arial" w:eastAsia="Calibri" w:hAnsi="Arial" w:cs="Arial"/>
          <w:sz w:val="24"/>
          <w:szCs w:val="24"/>
        </w:rPr>
      </w:pPr>
    </w:p>
    <w:p w:rsidR="006443F2" w:rsidRPr="000F7CFB" w:rsidRDefault="006443F2" w:rsidP="000F7CFB">
      <w:pPr>
        <w:tabs>
          <w:tab w:val="right" w:pos="9000"/>
        </w:tabs>
        <w:spacing w:after="0" w:line="360" w:lineRule="auto"/>
        <w:contextualSpacing/>
        <w:jc w:val="right"/>
        <w:rPr>
          <w:rFonts w:ascii="Arial" w:eastAsia="Calibri" w:hAnsi="Arial" w:cs="Arial"/>
          <w:sz w:val="24"/>
          <w:szCs w:val="24"/>
        </w:rPr>
      </w:pPr>
      <w:r w:rsidRPr="000F7CFB">
        <w:rPr>
          <w:rFonts w:ascii="Arial" w:eastAsia="Calibri" w:hAnsi="Arial" w:cs="Arial"/>
          <w:sz w:val="24"/>
          <w:szCs w:val="24"/>
        </w:rPr>
        <w:t xml:space="preserve">Case no: </w:t>
      </w:r>
      <w:r w:rsidRPr="000F7CFB">
        <w:rPr>
          <w:rFonts w:ascii="Arial" w:eastAsia="Calibri" w:hAnsi="Arial" w:cs="Arial"/>
          <w:sz w:val="24"/>
          <w:szCs w:val="24"/>
          <w:shd w:val="clear" w:color="auto" w:fill="FFFFFF"/>
        </w:rPr>
        <w:t>HC-MD-CIV-MOT-REV-2017/00002</w:t>
      </w:r>
    </w:p>
    <w:p w:rsidR="006443F2" w:rsidRPr="000F7CFB" w:rsidRDefault="006443F2" w:rsidP="000F7CFB">
      <w:pPr>
        <w:spacing w:after="0" w:line="360" w:lineRule="auto"/>
        <w:contextualSpacing/>
        <w:jc w:val="both"/>
        <w:rPr>
          <w:rFonts w:ascii="Arial" w:eastAsia="Calibri" w:hAnsi="Arial" w:cs="Arial"/>
          <w:sz w:val="24"/>
          <w:szCs w:val="24"/>
        </w:rPr>
      </w:pPr>
    </w:p>
    <w:p w:rsidR="006443F2" w:rsidRPr="000F7CFB" w:rsidRDefault="006443F2" w:rsidP="000F7CFB">
      <w:pPr>
        <w:spacing w:after="0" w:line="360" w:lineRule="auto"/>
        <w:contextualSpacing/>
        <w:jc w:val="both"/>
        <w:rPr>
          <w:rFonts w:ascii="Arial" w:eastAsia="Calibri" w:hAnsi="Arial" w:cs="Arial"/>
          <w:sz w:val="24"/>
          <w:szCs w:val="24"/>
        </w:rPr>
      </w:pPr>
      <w:r w:rsidRPr="000F7CFB">
        <w:rPr>
          <w:rFonts w:ascii="Arial" w:eastAsia="Calibri" w:hAnsi="Arial" w:cs="Arial"/>
          <w:sz w:val="24"/>
          <w:szCs w:val="24"/>
        </w:rPr>
        <w:t>In the matter between:</w:t>
      </w:r>
    </w:p>
    <w:p w:rsidR="006443F2" w:rsidRPr="000F7CFB" w:rsidRDefault="006443F2" w:rsidP="000F7CFB">
      <w:pPr>
        <w:spacing w:after="0" w:line="360" w:lineRule="auto"/>
        <w:contextualSpacing/>
        <w:jc w:val="both"/>
        <w:rPr>
          <w:rFonts w:ascii="Arial" w:eastAsia="Calibri" w:hAnsi="Arial" w:cs="Arial"/>
          <w:b/>
          <w:sz w:val="24"/>
          <w:szCs w:val="24"/>
        </w:rPr>
      </w:pPr>
    </w:p>
    <w:p w:rsidR="00C41BC7" w:rsidRPr="000F7CFB" w:rsidRDefault="006443F2"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HOLLAR</w:t>
      </w:r>
      <w:r w:rsidR="00C41BC7" w:rsidRPr="000F7CFB">
        <w:rPr>
          <w:rFonts w:ascii="Arial" w:hAnsi="Arial" w:cs="Arial"/>
          <w:b/>
          <w:sz w:val="24"/>
          <w:szCs w:val="24"/>
        </w:rPr>
        <w:t xml:space="preserve">D INSURANCE COMPANY OF </w:t>
      </w:r>
    </w:p>
    <w:p w:rsidR="006443F2" w:rsidRPr="000F7CFB" w:rsidRDefault="00C41BC7"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NAMIBIA LIMITED</w:t>
      </w:r>
      <w:r w:rsidRPr="000F7CFB">
        <w:rPr>
          <w:rFonts w:ascii="Arial" w:hAnsi="Arial" w:cs="Arial"/>
          <w:b/>
          <w:sz w:val="24"/>
          <w:szCs w:val="24"/>
        </w:rPr>
        <w:tab/>
      </w:r>
      <w:r w:rsidR="00123880" w:rsidRPr="000F7CFB">
        <w:rPr>
          <w:rFonts w:ascii="Arial" w:hAnsi="Arial" w:cs="Arial"/>
          <w:b/>
          <w:sz w:val="24"/>
          <w:szCs w:val="24"/>
        </w:rPr>
        <w:t>1</w:t>
      </w:r>
      <w:r w:rsidR="00123880" w:rsidRPr="000F7CFB">
        <w:rPr>
          <w:rFonts w:ascii="Arial" w:hAnsi="Arial" w:cs="Arial"/>
          <w:b/>
          <w:sz w:val="24"/>
          <w:szCs w:val="24"/>
          <w:vertAlign w:val="superscript"/>
        </w:rPr>
        <w:t>ST</w:t>
      </w:r>
      <w:r w:rsidR="00123880"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HOLLARD LIFE NAMIBIA LIMITED</w:t>
      </w:r>
      <w:r w:rsidRPr="000F7CFB">
        <w:rPr>
          <w:rFonts w:ascii="Arial" w:hAnsi="Arial" w:cs="Arial"/>
          <w:b/>
          <w:sz w:val="24"/>
          <w:szCs w:val="24"/>
        </w:rPr>
        <w:tab/>
        <w:t>2</w:t>
      </w:r>
      <w:r w:rsidRPr="000F7CFB">
        <w:rPr>
          <w:rFonts w:ascii="Arial" w:hAnsi="Arial" w:cs="Arial"/>
          <w:b/>
          <w:sz w:val="24"/>
          <w:szCs w:val="24"/>
          <w:vertAlign w:val="superscript"/>
        </w:rPr>
        <w:t>ND</w:t>
      </w:r>
      <w:r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SANLAM NAMIBIA LIMITED</w:t>
      </w:r>
      <w:r w:rsidRPr="000F7CFB">
        <w:rPr>
          <w:rFonts w:ascii="Arial" w:hAnsi="Arial" w:cs="Arial"/>
          <w:b/>
          <w:sz w:val="24"/>
          <w:szCs w:val="24"/>
        </w:rPr>
        <w:tab/>
        <w:t>3</w:t>
      </w:r>
      <w:r w:rsidRPr="000F7CFB">
        <w:rPr>
          <w:rFonts w:ascii="Arial" w:hAnsi="Arial" w:cs="Arial"/>
          <w:b/>
          <w:sz w:val="24"/>
          <w:szCs w:val="24"/>
          <w:vertAlign w:val="superscript"/>
        </w:rPr>
        <w:t>RD</w:t>
      </w:r>
      <w:r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SANTAM NAMIBIA LIMITED</w:t>
      </w:r>
      <w:r w:rsidRPr="000F7CFB">
        <w:rPr>
          <w:rFonts w:ascii="Arial" w:hAnsi="Arial" w:cs="Arial"/>
          <w:b/>
          <w:sz w:val="24"/>
          <w:szCs w:val="24"/>
        </w:rPr>
        <w:tab/>
        <w:t>4</w:t>
      </w:r>
      <w:r w:rsidRPr="000F7CFB">
        <w:rPr>
          <w:rFonts w:ascii="Arial" w:hAnsi="Arial" w:cs="Arial"/>
          <w:b/>
          <w:sz w:val="24"/>
          <w:szCs w:val="24"/>
          <w:vertAlign w:val="superscript"/>
        </w:rPr>
        <w:t>TH</w:t>
      </w:r>
      <w:r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QUANTA INSURANCE LIMITED</w:t>
      </w:r>
      <w:r w:rsidRPr="000F7CFB">
        <w:rPr>
          <w:rFonts w:ascii="Arial" w:hAnsi="Arial" w:cs="Arial"/>
          <w:b/>
          <w:sz w:val="24"/>
          <w:szCs w:val="24"/>
        </w:rPr>
        <w:tab/>
        <w:t>5</w:t>
      </w:r>
      <w:r w:rsidRPr="000F7CFB">
        <w:rPr>
          <w:rFonts w:ascii="Arial" w:hAnsi="Arial" w:cs="Arial"/>
          <w:b/>
          <w:sz w:val="24"/>
          <w:szCs w:val="24"/>
          <w:vertAlign w:val="superscript"/>
        </w:rPr>
        <w:t>TH</w:t>
      </w:r>
      <w:r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TRUSTCO INSURANCE LIMITED</w:t>
      </w:r>
      <w:r w:rsidRPr="000F7CFB">
        <w:rPr>
          <w:rFonts w:ascii="Arial" w:hAnsi="Arial" w:cs="Arial"/>
          <w:b/>
          <w:sz w:val="24"/>
          <w:szCs w:val="24"/>
        </w:rPr>
        <w:tab/>
        <w:t>6</w:t>
      </w:r>
      <w:r w:rsidRPr="000F7CFB">
        <w:rPr>
          <w:rFonts w:ascii="Arial" w:hAnsi="Arial" w:cs="Arial"/>
          <w:b/>
          <w:sz w:val="24"/>
          <w:szCs w:val="24"/>
          <w:vertAlign w:val="superscript"/>
        </w:rPr>
        <w:t>TH</w:t>
      </w:r>
      <w:r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KING PRICE INSURANCE COMPANY OF</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NAMIBIA LIMITED</w:t>
      </w:r>
      <w:r w:rsidRPr="000F7CFB">
        <w:rPr>
          <w:rFonts w:ascii="Arial" w:hAnsi="Arial" w:cs="Arial"/>
          <w:b/>
          <w:sz w:val="24"/>
          <w:szCs w:val="24"/>
        </w:rPr>
        <w:tab/>
        <w:t>8</w:t>
      </w:r>
      <w:r w:rsidRPr="000F7CFB">
        <w:rPr>
          <w:rFonts w:ascii="Arial" w:hAnsi="Arial" w:cs="Arial"/>
          <w:b/>
          <w:sz w:val="24"/>
          <w:szCs w:val="24"/>
          <w:vertAlign w:val="superscript"/>
        </w:rPr>
        <w:t>TH</w:t>
      </w:r>
      <w:r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CORPORATE GUARANTEE AND INSURANCE</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COMPANY OF NAMIBIA LIMITED</w:t>
      </w:r>
      <w:r w:rsidRPr="000F7CFB">
        <w:rPr>
          <w:rFonts w:ascii="Arial" w:hAnsi="Arial" w:cs="Arial"/>
          <w:b/>
          <w:sz w:val="24"/>
          <w:szCs w:val="24"/>
        </w:rPr>
        <w:tab/>
        <w:t>9</w:t>
      </w:r>
      <w:r w:rsidRPr="000F7CFB">
        <w:rPr>
          <w:rFonts w:ascii="Arial" w:hAnsi="Arial" w:cs="Arial"/>
          <w:b/>
          <w:sz w:val="24"/>
          <w:szCs w:val="24"/>
          <w:vertAlign w:val="superscript"/>
        </w:rPr>
        <w:t>TH</w:t>
      </w:r>
      <w:r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OUTSURANCE INSURANCE COMPANY OF</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NAMIBIA LIMITED</w:t>
      </w:r>
      <w:r w:rsidRPr="000F7CFB">
        <w:rPr>
          <w:rFonts w:ascii="Arial" w:hAnsi="Arial" w:cs="Arial"/>
          <w:b/>
          <w:sz w:val="24"/>
          <w:szCs w:val="24"/>
        </w:rPr>
        <w:tab/>
        <w:t>10</w:t>
      </w:r>
      <w:r w:rsidRPr="000F7CFB">
        <w:rPr>
          <w:rFonts w:ascii="Arial" w:hAnsi="Arial" w:cs="Arial"/>
          <w:b/>
          <w:sz w:val="24"/>
          <w:szCs w:val="24"/>
          <w:vertAlign w:val="superscript"/>
        </w:rPr>
        <w:t>TH</w:t>
      </w:r>
      <w:r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NEDNAMIBIA LIFE ASSURANCE COMPANY</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LIMITED</w:t>
      </w:r>
      <w:r w:rsidRPr="000F7CFB">
        <w:rPr>
          <w:rFonts w:ascii="Arial" w:hAnsi="Arial" w:cs="Arial"/>
          <w:b/>
          <w:sz w:val="24"/>
          <w:szCs w:val="24"/>
        </w:rPr>
        <w:tab/>
        <w:t>11</w:t>
      </w:r>
      <w:r w:rsidRPr="000F7CFB">
        <w:rPr>
          <w:rFonts w:ascii="Arial" w:hAnsi="Arial" w:cs="Arial"/>
          <w:b/>
          <w:sz w:val="24"/>
          <w:szCs w:val="24"/>
          <w:vertAlign w:val="superscript"/>
        </w:rPr>
        <w:t>TH</w:t>
      </w:r>
      <w:r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BONBEN ASSURANCE NAMIBIA LIMITED T/A</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lastRenderedPageBreak/>
        <w:t>BONLIFE</w:t>
      </w:r>
      <w:r w:rsidRPr="000F7CFB">
        <w:rPr>
          <w:rFonts w:ascii="Arial" w:hAnsi="Arial" w:cs="Arial"/>
          <w:b/>
          <w:sz w:val="24"/>
          <w:szCs w:val="24"/>
        </w:rPr>
        <w:tab/>
        <w:t>12</w:t>
      </w:r>
      <w:r w:rsidRPr="000F7CFB">
        <w:rPr>
          <w:rFonts w:ascii="Arial" w:hAnsi="Arial" w:cs="Arial"/>
          <w:b/>
          <w:sz w:val="24"/>
          <w:szCs w:val="24"/>
          <w:vertAlign w:val="superscript"/>
        </w:rPr>
        <w:t>TH</w:t>
      </w:r>
      <w:r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OLD MUTUAL LIFE ASSURANCE COMPANY</w:t>
      </w:r>
    </w:p>
    <w:p w:rsidR="00123880" w:rsidRPr="000F7CFB" w:rsidRDefault="00123880" w:rsidP="000F7CFB">
      <w:pPr>
        <w:tabs>
          <w:tab w:val="right" w:pos="9000"/>
        </w:tabs>
        <w:spacing w:after="0" w:line="360" w:lineRule="auto"/>
        <w:contextualSpacing/>
        <w:jc w:val="both"/>
        <w:rPr>
          <w:rFonts w:ascii="Arial" w:hAnsi="Arial" w:cs="Arial"/>
          <w:b/>
          <w:sz w:val="24"/>
          <w:szCs w:val="24"/>
        </w:rPr>
      </w:pPr>
      <w:r w:rsidRPr="000F7CFB">
        <w:rPr>
          <w:rFonts w:ascii="Arial" w:hAnsi="Arial" w:cs="Arial"/>
          <w:b/>
          <w:sz w:val="24"/>
          <w:szCs w:val="24"/>
        </w:rPr>
        <w:t>(NAMIBIA) LIMITED</w:t>
      </w:r>
      <w:r w:rsidRPr="000F7CFB">
        <w:rPr>
          <w:rFonts w:ascii="Arial" w:hAnsi="Arial" w:cs="Arial"/>
          <w:b/>
          <w:sz w:val="24"/>
          <w:szCs w:val="24"/>
        </w:rPr>
        <w:tab/>
        <w:t>13</w:t>
      </w:r>
      <w:r w:rsidRPr="000F7CFB">
        <w:rPr>
          <w:rFonts w:ascii="Arial" w:hAnsi="Arial" w:cs="Arial"/>
          <w:b/>
          <w:sz w:val="24"/>
          <w:szCs w:val="24"/>
          <w:vertAlign w:val="superscript"/>
        </w:rPr>
        <w:t>TH</w:t>
      </w:r>
      <w:r w:rsidRPr="000F7CFB">
        <w:rPr>
          <w:rFonts w:ascii="Arial" w:hAnsi="Arial" w:cs="Arial"/>
          <w:b/>
          <w:sz w:val="24"/>
          <w:szCs w:val="24"/>
        </w:rPr>
        <w:t xml:space="preserve"> APPLICANT</w:t>
      </w:r>
    </w:p>
    <w:p w:rsidR="00123880" w:rsidRPr="000F7CFB" w:rsidRDefault="00123880" w:rsidP="000F7CFB">
      <w:pPr>
        <w:tabs>
          <w:tab w:val="right" w:pos="9000"/>
        </w:tabs>
        <w:spacing w:after="0" w:line="360" w:lineRule="auto"/>
        <w:contextualSpacing/>
        <w:jc w:val="both"/>
        <w:rPr>
          <w:rFonts w:ascii="Arial" w:hAnsi="Arial" w:cs="Arial"/>
          <w:b/>
          <w:sz w:val="24"/>
          <w:szCs w:val="24"/>
        </w:rPr>
      </w:pPr>
    </w:p>
    <w:p w:rsidR="00123880" w:rsidRPr="000F7CFB" w:rsidRDefault="00123880" w:rsidP="000F7CFB">
      <w:pPr>
        <w:tabs>
          <w:tab w:val="right" w:pos="9000"/>
        </w:tabs>
        <w:spacing w:after="0" w:line="360" w:lineRule="auto"/>
        <w:contextualSpacing/>
        <w:jc w:val="both"/>
        <w:rPr>
          <w:rFonts w:ascii="Arial" w:hAnsi="Arial" w:cs="Arial"/>
          <w:sz w:val="24"/>
          <w:szCs w:val="24"/>
        </w:rPr>
      </w:pPr>
      <w:r w:rsidRPr="000F7CFB">
        <w:rPr>
          <w:rFonts w:ascii="Arial" w:hAnsi="Arial" w:cs="Arial"/>
          <w:sz w:val="24"/>
          <w:szCs w:val="24"/>
        </w:rPr>
        <w:t>and</w:t>
      </w:r>
    </w:p>
    <w:p w:rsidR="00123880" w:rsidRPr="000F7CFB" w:rsidRDefault="00123880" w:rsidP="000F7CFB">
      <w:pPr>
        <w:tabs>
          <w:tab w:val="right" w:pos="9000"/>
        </w:tabs>
        <w:spacing w:after="0" w:line="360" w:lineRule="auto"/>
        <w:contextualSpacing/>
        <w:jc w:val="both"/>
        <w:rPr>
          <w:rFonts w:ascii="Arial" w:hAnsi="Arial" w:cs="Arial"/>
          <w:b/>
          <w:sz w:val="24"/>
          <w:szCs w:val="24"/>
        </w:rPr>
      </w:pPr>
    </w:p>
    <w:p w:rsidR="00123880" w:rsidRPr="000F7CFB" w:rsidRDefault="00123880" w:rsidP="000F7CFB">
      <w:pPr>
        <w:tabs>
          <w:tab w:val="right" w:pos="9000"/>
        </w:tabs>
        <w:spacing w:after="0" w:line="360" w:lineRule="auto"/>
        <w:contextualSpacing/>
        <w:jc w:val="both"/>
        <w:rPr>
          <w:rFonts w:ascii="Arial" w:eastAsia="Calibri" w:hAnsi="Arial" w:cs="Arial"/>
          <w:b/>
          <w:color w:val="000000"/>
          <w:sz w:val="24"/>
          <w:szCs w:val="24"/>
          <w:lang w:val="en-GB"/>
        </w:rPr>
      </w:pPr>
      <w:r w:rsidRPr="000F7CFB">
        <w:rPr>
          <w:rFonts w:ascii="Arial" w:eastAsia="Calibri" w:hAnsi="Arial" w:cs="Arial"/>
          <w:b/>
          <w:color w:val="000000"/>
          <w:sz w:val="24"/>
          <w:szCs w:val="24"/>
          <w:lang w:val="en-GB"/>
        </w:rPr>
        <w:t>MINISTER OF FINANCE</w:t>
      </w:r>
      <w:r w:rsidRPr="000F7CFB">
        <w:rPr>
          <w:rFonts w:ascii="Arial" w:eastAsia="Calibri" w:hAnsi="Arial" w:cs="Arial"/>
          <w:b/>
          <w:color w:val="000000"/>
          <w:sz w:val="24"/>
          <w:szCs w:val="24"/>
          <w:lang w:val="en-GB"/>
        </w:rPr>
        <w:tab/>
        <w:t>1</w:t>
      </w:r>
      <w:r w:rsidRPr="000F7CFB">
        <w:rPr>
          <w:rFonts w:ascii="Arial" w:eastAsia="Calibri" w:hAnsi="Arial" w:cs="Arial"/>
          <w:b/>
          <w:color w:val="000000"/>
          <w:sz w:val="24"/>
          <w:szCs w:val="24"/>
          <w:vertAlign w:val="superscript"/>
          <w:lang w:val="en-GB"/>
        </w:rPr>
        <w:t>ST</w:t>
      </w:r>
      <w:r w:rsidRPr="000F7CFB">
        <w:rPr>
          <w:rFonts w:ascii="Arial" w:eastAsia="Calibri" w:hAnsi="Arial" w:cs="Arial"/>
          <w:b/>
          <w:color w:val="000000"/>
          <w:sz w:val="24"/>
          <w:szCs w:val="24"/>
          <w:lang w:val="en-GB"/>
        </w:rPr>
        <w:t xml:space="preserve"> RESPONDENT</w:t>
      </w:r>
    </w:p>
    <w:p w:rsidR="00123880" w:rsidRPr="000F7CFB" w:rsidRDefault="00123880" w:rsidP="000F7CFB">
      <w:pPr>
        <w:tabs>
          <w:tab w:val="right" w:pos="9000"/>
        </w:tabs>
        <w:spacing w:after="0" w:line="360" w:lineRule="auto"/>
        <w:contextualSpacing/>
        <w:jc w:val="both"/>
        <w:rPr>
          <w:rFonts w:ascii="Arial" w:eastAsia="Calibri" w:hAnsi="Arial" w:cs="Arial"/>
          <w:b/>
          <w:color w:val="000000"/>
          <w:sz w:val="24"/>
          <w:szCs w:val="24"/>
          <w:lang w:val="en-GB"/>
        </w:rPr>
      </w:pPr>
      <w:r w:rsidRPr="000F7CFB">
        <w:rPr>
          <w:rFonts w:ascii="Arial" w:eastAsia="Calibri" w:hAnsi="Arial" w:cs="Arial"/>
          <w:b/>
          <w:color w:val="000000"/>
          <w:sz w:val="24"/>
          <w:szCs w:val="24"/>
          <w:lang w:val="en-GB"/>
        </w:rPr>
        <w:t>NAMIBIA NATIONAL REINSURANCE</w:t>
      </w:r>
    </w:p>
    <w:p w:rsidR="00123880" w:rsidRPr="000F7CFB" w:rsidRDefault="00123880" w:rsidP="000F7CFB">
      <w:pPr>
        <w:tabs>
          <w:tab w:val="right" w:pos="9000"/>
        </w:tabs>
        <w:spacing w:after="0" w:line="360" w:lineRule="auto"/>
        <w:contextualSpacing/>
        <w:jc w:val="both"/>
        <w:rPr>
          <w:rFonts w:ascii="Arial" w:eastAsia="Calibri" w:hAnsi="Arial" w:cs="Arial"/>
          <w:b/>
          <w:color w:val="000000"/>
          <w:sz w:val="24"/>
          <w:szCs w:val="24"/>
          <w:lang w:val="en-GB"/>
        </w:rPr>
      </w:pPr>
      <w:r w:rsidRPr="000F7CFB">
        <w:rPr>
          <w:rFonts w:ascii="Arial" w:eastAsia="Calibri" w:hAnsi="Arial" w:cs="Arial"/>
          <w:b/>
          <w:color w:val="000000"/>
          <w:sz w:val="24"/>
          <w:szCs w:val="24"/>
          <w:lang w:val="en-GB"/>
        </w:rPr>
        <w:t>CORPORATION</w:t>
      </w:r>
      <w:r w:rsidRPr="000F7CFB">
        <w:rPr>
          <w:rFonts w:ascii="Arial" w:eastAsia="Calibri" w:hAnsi="Arial" w:cs="Arial"/>
          <w:b/>
          <w:color w:val="000000"/>
          <w:sz w:val="24"/>
          <w:szCs w:val="24"/>
          <w:lang w:val="en-GB"/>
        </w:rPr>
        <w:tab/>
        <w:t>2</w:t>
      </w:r>
      <w:r w:rsidRPr="000F7CFB">
        <w:rPr>
          <w:rFonts w:ascii="Arial" w:eastAsia="Calibri" w:hAnsi="Arial" w:cs="Arial"/>
          <w:b/>
          <w:color w:val="000000"/>
          <w:sz w:val="24"/>
          <w:szCs w:val="24"/>
          <w:vertAlign w:val="superscript"/>
          <w:lang w:val="en-GB"/>
        </w:rPr>
        <w:t>ND</w:t>
      </w:r>
      <w:r w:rsidRPr="000F7CFB">
        <w:rPr>
          <w:rFonts w:ascii="Arial" w:eastAsia="Calibri" w:hAnsi="Arial" w:cs="Arial"/>
          <w:b/>
          <w:color w:val="000000"/>
          <w:sz w:val="24"/>
          <w:szCs w:val="24"/>
          <w:lang w:val="en-GB"/>
        </w:rPr>
        <w:t xml:space="preserve"> RESPONDENT</w:t>
      </w:r>
    </w:p>
    <w:p w:rsidR="006443F2" w:rsidRPr="000F7CFB" w:rsidRDefault="006443F2" w:rsidP="000F7CFB">
      <w:pPr>
        <w:spacing w:after="0" w:line="360" w:lineRule="auto"/>
        <w:contextualSpacing/>
        <w:jc w:val="both"/>
        <w:rPr>
          <w:rFonts w:ascii="Arial" w:eastAsia="Calibri" w:hAnsi="Arial" w:cs="Arial"/>
          <w:sz w:val="24"/>
          <w:szCs w:val="24"/>
        </w:rPr>
      </w:pPr>
    </w:p>
    <w:p w:rsidR="006443F2" w:rsidRPr="000F7CFB" w:rsidRDefault="006443F2" w:rsidP="00E01CFC">
      <w:pPr>
        <w:spacing w:after="0" w:line="360" w:lineRule="auto"/>
        <w:contextualSpacing/>
        <w:jc w:val="both"/>
        <w:rPr>
          <w:rFonts w:ascii="Arial" w:eastAsia="Calibri" w:hAnsi="Arial" w:cs="Arial"/>
          <w:sz w:val="24"/>
          <w:szCs w:val="24"/>
        </w:rPr>
      </w:pPr>
      <w:r w:rsidRPr="000F7CFB">
        <w:rPr>
          <w:rFonts w:ascii="Arial" w:eastAsia="Calibri" w:hAnsi="Arial" w:cs="Arial"/>
          <w:b/>
          <w:sz w:val="24"/>
          <w:szCs w:val="24"/>
        </w:rPr>
        <w:t>Neutral citation:</w:t>
      </w:r>
      <w:r w:rsidR="00E01CFC">
        <w:rPr>
          <w:rFonts w:ascii="Arial" w:eastAsia="Calibri" w:hAnsi="Arial" w:cs="Arial"/>
          <w:b/>
          <w:sz w:val="24"/>
          <w:szCs w:val="24"/>
        </w:rPr>
        <w:tab/>
      </w:r>
      <w:bookmarkStart w:id="0" w:name="_GoBack"/>
      <w:r w:rsidR="00970290" w:rsidRPr="000F7CFB">
        <w:rPr>
          <w:rFonts w:ascii="Arial" w:eastAsia="Calibri" w:hAnsi="Arial" w:cs="Arial"/>
          <w:i/>
          <w:sz w:val="24"/>
          <w:szCs w:val="24"/>
        </w:rPr>
        <w:t>Hollard v Minister of Finance</w:t>
      </w:r>
      <w:r w:rsidR="00970290" w:rsidRPr="000F7CFB">
        <w:rPr>
          <w:rFonts w:ascii="Arial" w:eastAsia="Calibri" w:hAnsi="Arial" w:cs="Arial"/>
          <w:sz w:val="24"/>
          <w:szCs w:val="24"/>
        </w:rPr>
        <w:t xml:space="preserve"> (HC</w:t>
      </w:r>
      <w:r w:rsidR="00E83E5E" w:rsidRPr="000F7CFB">
        <w:rPr>
          <w:rFonts w:ascii="Arial" w:eastAsia="Calibri" w:hAnsi="Arial" w:cs="Arial"/>
          <w:sz w:val="24"/>
          <w:szCs w:val="24"/>
        </w:rPr>
        <w:t>-MD-CIV-MOT-REV-2017/00002</w:t>
      </w:r>
      <w:r w:rsidR="00873B5D">
        <w:rPr>
          <w:rFonts w:ascii="Arial" w:eastAsia="Calibri" w:hAnsi="Arial" w:cs="Arial"/>
          <w:sz w:val="24"/>
          <w:szCs w:val="24"/>
        </w:rPr>
        <w:t xml:space="preserve">) [2020] NAHCMD 32 </w:t>
      </w:r>
      <w:r w:rsidR="00E83E5E" w:rsidRPr="000F7CFB">
        <w:rPr>
          <w:rFonts w:ascii="Arial" w:eastAsia="Calibri" w:hAnsi="Arial" w:cs="Arial"/>
          <w:sz w:val="24"/>
          <w:szCs w:val="24"/>
        </w:rPr>
        <w:t>(31 January 2020)</w:t>
      </w:r>
    </w:p>
    <w:bookmarkEnd w:id="0"/>
    <w:p w:rsidR="006443F2" w:rsidRPr="000F7CFB" w:rsidRDefault="006443F2" w:rsidP="000F7CFB">
      <w:pPr>
        <w:spacing w:after="0" w:line="360" w:lineRule="auto"/>
        <w:ind w:left="2160" w:hanging="2160"/>
        <w:contextualSpacing/>
        <w:jc w:val="both"/>
        <w:rPr>
          <w:rFonts w:ascii="Arial" w:eastAsia="Calibri" w:hAnsi="Arial" w:cs="Arial"/>
          <w:sz w:val="24"/>
          <w:szCs w:val="24"/>
        </w:rPr>
      </w:pPr>
    </w:p>
    <w:p w:rsidR="006443F2" w:rsidRPr="000F7CFB" w:rsidRDefault="006443F2" w:rsidP="000F7CFB">
      <w:pPr>
        <w:spacing w:after="0" w:line="360" w:lineRule="auto"/>
        <w:ind w:left="1440" w:hanging="1440"/>
        <w:contextualSpacing/>
        <w:jc w:val="both"/>
        <w:rPr>
          <w:rFonts w:ascii="Arial" w:eastAsia="Calibri" w:hAnsi="Arial" w:cs="Arial"/>
          <w:b/>
          <w:i/>
          <w:sz w:val="24"/>
          <w:szCs w:val="24"/>
        </w:rPr>
      </w:pPr>
      <w:r w:rsidRPr="000F7CFB">
        <w:rPr>
          <w:rFonts w:ascii="Arial" w:eastAsia="Calibri" w:hAnsi="Arial" w:cs="Arial"/>
          <w:b/>
          <w:sz w:val="24"/>
          <w:szCs w:val="24"/>
        </w:rPr>
        <w:t>Coram:</w:t>
      </w:r>
      <w:r w:rsidRPr="000F7CFB">
        <w:rPr>
          <w:rFonts w:ascii="Arial" w:eastAsia="Calibri" w:hAnsi="Arial" w:cs="Arial"/>
          <w:sz w:val="24"/>
          <w:szCs w:val="24"/>
        </w:rPr>
        <w:tab/>
      </w:r>
      <w:r w:rsidR="005122B4" w:rsidRPr="000F7CFB">
        <w:rPr>
          <w:rFonts w:ascii="Arial" w:eastAsia="Calibri" w:hAnsi="Arial" w:cs="Arial"/>
          <w:sz w:val="24"/>
          <w:szCs w:val="24"/>
        </w:rPr>
        <w:tab/>
      </w:r>
      <w:r w:rsidR="005122B4" w:rsidRPr="000F7CFB">
        <w:rPr>
          <w:rFonts w:ascii="Arial" w:eastAsia="Calibri" w:hAnsi="Arial" w:cs="Arial"/>
          <w:sz w:val="24"/>
          <w:szCs w:val="24"/>
        </w:rPr>
        <w:tab/>
      </w:r>
      <w:r w:rsidRPr="000F7CFB">
        <w:rPr>
          <w:rFonts w:ascii="Arial" w:eastAsia="Calibri" w:hAnsi="Arial" w:cs="Arial"/>
          <w:b/>
          <w:sz w:val="24"/>
          <w:szCs w:val="24"/>
        </w:rPr>
        <w:t>CLAASEN, J</w:t>
      </w:r>
    </w:p>
    <w:p w:rsidR="006443F2" w:rsidRPr="000F7CFB" w:rsidRDefault="006443F2" w:rsidP="000F7CFB">
      <w:pPr>
        <w:spacing w:after="0" w:line="360" w:lineRule="auto"/>
        <w:ind w:left="1440" w:hanging="1440"/>
        <w:contextualSpacing/>
        <w:rPr>
          <w:rFonts w:ascii="Arial" w:eastAsia="Calibri" w:hAnsi="Arial" w:cs="Arial"/>
          <w:b/>
          <w:sz w:val="24"/>
          <w:szCs w:val="24"/>
        </w:rPr>
      </w:pPr>
      <w:r w:rsidRPr="000F7CFB">
        <w:rPr>
          <w:rFonts w:ascii="Arial" w:eastAsia="Calibri" w:hAnsi="Arial" w:cs="Arial"/>
          <w:b/>
          <w:bCs/>
          <w:sz w:val="24"/>
          <w:szCs w:val="24"/>
        </w:rPr>
        <w:t>Heard</w:t>
      </w:r>
      <w:r w:rsidRPr="000F7CFB">
        <w:rPr>
          <w:rFonts w:ascii="Arial" w:eastAsia="Calibri" w:hAnsi="Arial" w:cs="Arial"/>
          <w:sz w:val="24"/>
          <w:szCs w:val="24"/>
        </w:rPr>
        <w:t>:</w:t>
      </w:r>
      <w:r w:rsidRPr="000F7CFB">
        <w:rPr>
          <w:rFonts w:ascii="Arial" w:eastAsia="Calibri" w:hAnsi="Arial" w:cs="Arial"/>
          <w:sz w:val="24"/>
          <w:szCs w:val="24"/>
        </w:rPr>
        <w:tab/>
      </w:r>
      <w:r w:rsidR="005122B4" w:rsidRPr="000F7CFB">
        <w:rPr>
          <w:rFonts w:ascii="Arial" w:eastAsia="Calibri" w:hAnsi="Arial" w:cs="Arial"/>
          <w:sz w:val="24"/>
          <w:szCs w:val="24"/>
        </w:rPr>
        <w:tab/>
      </w:r>
      <w:r w:rsidR="005122B4" w:rsidRPr="000F7CFB">
        <w:rPr>
          <w:rFonts w:ascii="Arial" w:eastAsia="Calibri" w:hAnsi="Arial" w:cs="Arial"/>
          <w:sz w:val="24"/>
          <w:szCs w:val="24"/>
        </w:rPr>
        <w:tab/>
      </w:r>
      <w:r w:rsidRPr="000F7CFB">
        <w:rPr>
          <w:rFonts w:ascii="Arial" w:eastAsia="Calibri" w:hAnsi="Arial" w:cs="Arial"/>
          <w:b/>
          <w:sz w:val="24"/>
          <w:szCs w:val="24"/>
        </w:rPr>
        <w:t>4 SEPTEMBER 2019</w:t>
      </w:r>
    </w:p>
    <w:p w:rsidR="006443F2" w:rsidRPr="000F7CFB" w:rsidRDefault="006443F2" w:rsidP="000F7CFB">
      <w:pPr>
        <w:spacing w:after="0" w:line="360" w:lineRule="auto"/>
        <w:contextualSpacing/>
        <w:rPr>
          <w:rFonts w:ascii="Arial" w:eastAsia="Calibri" w:hAnsi="Arial" w:cs="Arial"/>
          <w:b/>
          <w:sz w:val="24"/>
          <w:szCs w:val="24"/>
        </w:rPr>
      </w:pPr>
      <w:r w:rsidRPr="000F7CFB">
        <w:rPr>
          <w:rFonts w:ascii="Arial" w:eastAsia="Calibri" w:hAnsi="Arial" w:cs="Arial"/>
          <w:b/>
          <w:bCs/>
          <w:sz w:val="24"/>
          <w:szCs w:val="24"/>
        </w:rPr>
        <w:t>Delivered</w:t>
      </w:r>
      <w:r w:rsidRPr="000F7CFB">
        <w:rPr>
          <w:rFonts w:ascii="Arial" w:eastAsia="Calibri" w:hAnsi="Arial" w:cs="Arial"/>
          <w:sz w:val="24"/>
          <w:szCs w:val="24"/>
        </w:rPr>
        <w:t>:</w:t>
      </w:r>
      <w:r w:rsidRPr="000F7CFB">
        <w:rPr>
          <w:rFonts w:ascii="Arial" w:eastAsia="Calibri" w:hAnsi="Arial" w:cs="Arial"/>
          <w:sz w:val="24"/>
          <w:szCs w:val="24"/>
        </w:rPr>
        <w:tab/>
      </w:r>
      <w:r w:rsidR="005122B4" w:rsidRPr="000F7CFB">
        <w:rPr>
          <w:rFonts w:ascii="Arial" w:eastAsia="Calibri" w:hAnsi="Arial" w:cs="Arial"/>
          <w:sz w:val="24"/>
          <w:szCs w:val="24"/>
        </w:rPr>
        <w:tab/>
      </w:r>
      <w:r w:rsidR="005122B4" w:rsidRPr="000F7CFB">
        <w:rPr>
          <w:rFonts w:ascii="Arial" w:eastAsia="Calibri" w:hAnsi="Arial" w:cs="Arial"/>
          <w:sz w:val="24"/>
          <w:szCs w:val="24"/>
        </w:rPr>
        <w:tab/>
      </w:r>
      <w:r w:rsidRPr="000F7CFB">
        <w:rPr>
          <w:rFonts w:ascii="Arial" w:eastAsia="Calibri" w:hAnsi="Arial" w:cs="Arial"/>
          <w:b/>
          <w:sz w:val="24"/>
          <w:szCs w:val="24"/>
        </w:rPr>
        <w:t>24 JANUARY 2020</w:t>
      </w:r>
    </w:p>
    <w:p w:rsidR="006443F2" w:rsidRPr="000F7CFB" w:rsidRDefault="005122B4" w:rsidP="000F7CFB">
      <w:pPr>
        <w:spacing w:after="0" w:line="360" w:lineRule="auto"/>
        <w:contextualSpacing/>
        <w:rPr>
          <w:rFonts w:ascii="Arial" w:eastAsia="Calibri" w:hAnsi="Arial" w:cs="Arial"/>
          <w:b/>
          <w:sz w:val="24"/>
          <w:szCs w:val="24"/>
        </w:rPr>
      </w:pPr>
      <w:r w:rsidRPr="000F7CFB">
        <w:rPr>
          <w:rFonts w:ascii="Arial" w:eastAsia="Calibri" w:hAnsi="Arial" w:cs="Arial"/>
          <w:b/>
          <w:sz w:val="24"/>
          <w:szCs w:val="24"/>
        </w:rPr>
        <w:t>Reasons:</w:t>
      </w:r>
      <w:r w:rsidRPr="000F7CFB">
        <w:rPr>
          <w:rFonts w:ascii="Arial" w:eastAsia="Calibri" w:hAnsi="Arial" w:cs="Arial"/>
          <w:b/>
          <w:sz w:val="24"/>
          <w:szCs w:val="24"/>
        </w:rPr>
        <w:tab/>
      </w:r>
      <w:r w:rsidRPr="000F7CFB">
        <w:rPr>
          <w:rFonts w:ascii="Arial" w:eastAsia="Calibri" w:hAnsi="Arial" w:cs="Arial"/>
          <w:b/>
          <w:sz w:val="24"/>
          <w:szCs w:val="24"/>
        </w:rPr>
        <w:tab/>
      </w:r>
      <w:r w:rsidR="006443F2" w:rsidRPr="000F7CFB">
        <w:rPr>
          <w:rFonts w:ascii="Arial" w:eastAsia="Calibri" w:hAnsi="Arial" w:cs="Arial"/>
          <w:b/>
          <w:sz w:val="24"/>
          <w:szCs w:val="24"/>
        </w:rPr>
        <w:tab/>
        <w:t>31 JANUARY 2020</w:t>
      </w:r>
    </w:p>
    <w:p w:rsidR="00C57AF1" w:rsidRPr="000F7CFB" w:rsidRDefault="00C57AF1" w:rsidP="000F7CFB">
      <w:pPr>
        <w:spacing w:after="0" w:line="360" w:lineRule="auto"/>
        <w:contextualSpacing/>
        <w:jc w:val="both"/>
        <w:rPr>
          <w:rFonts w:ascii="Arial" w:hAnsi="Arial" w:cs="Arial"/>
          <w:sz w:val="24"/>
          <w:szCs w:val="24"/>
        </w:rPr>
      </w:pPr>
    </w:p>
    <w:p w:rsidR="00655C19" w:rsidRDefault="00655C19" w:rsidP="000F7CFB">
      <w:pPr>
        <w:spacing w:after="0" w:line="360" w:lineRule="auto"/>
        <w:contextualSpacing/>
        <w:jc w:val="both"/>
        <w:rPr>
          <w:rFonts w:ascii="Arial" w:hAnsi="Arial" w:cs="Arial"/>
          <w:sz w:val="24"/>
          <w:szCs w:val="24"/>
        </w:rPr>
      </w:pPr>
    </w:p>
    <w:p w:rsidR="00655C19" w:rsidRDefault="00655C19" w:rsidP="00655C19">
      <w:pPr>
        <w:spacing w:after="0" w:line="360" w:lineRule="auto"/>
        <w:contextualSpacing/>
        <w:jc w:val="both"/>
        <w:rPr>
          <w:rFonts w:ascii="Arial" w:hAnsi="Arial" w:cs="Arial"/>
          <w:sz w:val="24"/>
          <w:szCs w:val="24"/>
        </w:rPr>
      </w:pPr>
      <w:r w:rsidRPr="000F7CFB">
        <w:rPr>
          <w:rFonts w:ascii="Arial" w:eastAsia="Calibri" w:hAnsi="Arial" w:cs="Arial"/>
          <w:b/>
          <w:sz w:val="24"/>
          <w:szCs w:val="24"/>
        </w:rPr>
        <w:t xml:space="preserve">Flynote: </w:t>
      </w:r>
      <w:r w:rsidRPr="000F7CFB">
        <w:rPr>
          <w:rFonts w:ascii="Arial" w:eastAsia="Calibri" w:hAnsi="Arial" w:cs="Arial"/>
          <w:sz w:val="24"/>
          <w:szCs w:val="24"/>
        </w:rPr>
        <w:t xml:space="preserve">Costs </w:t>
      </w:r>
      <w:r w:rsidRPr="000F7CFB">
        <w:rPr>
          <w:rFonts w:ascii="Arial" w:eastAsia="Calibri" w:hAnsi="Arial" w:cs="Arial"/>
          <w:bCs/>
          <w:sz w:val="24"/>
          <w:szCs w:val="24"/>
        </w:rPr>
        <w:t>– Taxation – Review of taxation by the court - Rule 75 -</w:t>
      </w:r>
      <w:r w:rsidRPr="00754E53">
        <w:rPr>
          <w:rFonts w:ascii="Arial" w:hAnsi="Arial" w:cs="Arial"/>
          <w:sz w:val="24"/>
          <w:szCs w:val="24"/>
        </w:rPr>
        <w:t xml:space="preserve"> </w:t>
      </w:r>
      <w:r w:rsidRPr="000F7CFB">
        <w:rPr>
          <w:rFonts w:ascii="Arial" w:hAnsi="Arial" w:cs="Arial"/>
          <w:sz w:val="24"/>
          <w:szCs w:val="24"/>
        </w:rPr>
        <w:t>Rule 125(1) of the rules of court constitutes the basis for taxation of a bill of cost by the taxing officer</w:t>
      </w:r>
      <w:r>
        <w:rPr>
          <w:rFonts w:ascii="Arial" w:hAnsi="Arial" w:cs="Arial"/>
          <w:sz w:val="24"/>
          <w:szCs w:val="24"/>
        </w:rPr>
        <w:t xml:space="preserve"> and it also refers to rule </w:t>
      </w:r>
      <w:r>
        <w:rPr>
          <w:rFonts w:ascii="Arial" w:eastAsia="Calibri" w:hAnsi="Arial" w:cs="Arial"/>
          <w:bCs/>
          <w:sz w:val="24"/>
          <w:szCs w:val="24"/>
        </w:rPr>
        <w:t xml:space="preserve">125(7) - </w:t>
      </w:r>
      <w:r w:rsidRPr="000F7CFB">
        <w:rPr>
          <w:rFonts w:ascii="Arial" w:hAnsi="Arial" w:cs="Arial"/>
          <w:sz w:val="24"/>
          <w:szCs w:val="24"/>
        </w:rPr>
        <w:t>Rule 125(7) envisage</w:t>
      </w:r>
      <w:r w:rsidR="00537CB3">
        <w:rPr>
          <w:rFonts w:ascii="Arial" w:hAnsi="Arial" w:cs="Arial"/>
          <w:sz w:val="24"/>
          <w:szCs w:val="24"/>
        </w:rPr>
        <w:t>s</w:t>
      </w:r>
      <w:r w:rsidRPr="000F7CFB">
        <w:rPr>
          <w:rFonts w:ascii="Arial" w:hAnsi="Arial" w:cs="Arial"/>
          <w:sz w:val="24"/>
          <w:szCs w:val="24"/>
        </w:rPr>
        <w:t xml:space="preserve"> departure from the fairly rigid and prescriptive scales when in the discretion of the taxing officer exceptional </w:t>
      </w:r>
      <w:r w:rsidR="00C60E0D">
        <w:rPr>
          <w:rFonts w:ascii="Arial" w:hAnsi="Arial" w:cs="Arial"/>
          <w:sz w:val="24"/>
          <w:szCs w:val="24"/>
        </w:rPr>
        <w:t>and extraordinary cases present</w:t>
      </w:r>
      <w:r w:rsidRPr="000F7CFB">
        <w:rPr>
          <w:rFonts w:ascii="Arial" w:hAnsi="Arial" w:cs="Arial"/>
          <w:sz w:val="24"/>
          <w:szCs w:val="24"/>
        </w:rPr>
        <w:t xml:space="preserve"> themselves where the strict adherence will be inequitable</w:t>
      </w:r>
      <w:r>
        <w:rPr>
          <w:rFonts w:ascii="Arial" w:hAnsi="Arial" w:cs="Arial"/>
          <w:sz w:val="24"/>
          <w:szCs w:val="24"/>
        </w:rPr>
        <w:t xml:space="preserve"> – </w:t>
      </w:r>
    </w:p>
    <w:p w:rsidR="00655C19" w:rsidRDefault="00655C19" w:rsidP="00655C19">
      <w:pPr>
        <w:spacing w:after="0" w:line="360" w:lineRule="auto"/>
        <w:contextualSpacing/>
        <w:jc w:val="both"/>
        <w:rPr>
          <w:rFonts w:ascii="Arial" w:hAnsi="Arial" w:cs="Arial"/>
          <w:sz w:val="24"/>
          <w:szCs w:val="24"/>
        </w:rPr>
      </w:pPr>
    </w:p>
    <w:p w:rsidR="00655C19" w:rsidRDefault="00655C19" w:rsidP="00655C19">
      <w:pPr>
        <w:spacing w:after="0" w:line="360" w:lineRule="auto"/>
        <w:contextualSpacing/>
        <w:jc w:val="both"/>
        <w:rPr>
          <w:rFonts w:ascii="Arial" w:hAnsi="Arial" w:cs="Arial"/>
          <w:sz w:val="24"/>
          <w:szCs w:val="24"/>
        </w:rPr>
      </w:pPr>
      <w:r w:rsidRPr="000F7CFB">
        <w:rPr>
          <w:rFonts w:ascii="Arial" w:hAnsi="Arial" w:cs="Arial"/>
          <w:sz w:val="24"/>
          <w:szCs w:val="24"/>
        </w:rPr>
        <w:t>The taxing officer has to strive towards a balance between indemnifying the successful party and remaining within reasonable boundaries, whilst being mindful that if rule 125(7) finds application, he or she has latitude to permit fees over the tariff.</w:t>
      </w:r>
    </w:p>
    <w:p w:rsidR="00655C19" w:rsidRDefault="00655C19" w:rsidP="00655C19">
      <w:pPr>
        <w:spacing w:after="0" w:line="360" w:lineRule="auto"/>
        <w:contextualSpacing/>
        <w:jc w:val="both"/>
        <w:rPr>
          <w:rFonts w:ascii="Arial" w:hAnsi="Arial" w:cs="Arial"/>
          <w:sz w:val="24"/>
          <w:szCs w:val="24"/>
        </w:rPr>
      </w:pPr>
    </w:p>
    <w:p w:rsidR="00655C19" w:rsidRPr="000F7CFB" w:rsidRDefault="00655C19" w:rsidP="00655C19">
      <w:pPr>
        <w:spacing w:after="0" w:line="360" w:lineRule="auto"/>
        <w:contextualSpacing/>
        <w:jc w:val="both"/>
        <w:rPr>
          <w:rFonts w:ascii="Arial" w:eastAsia="Calibri" w:hAnsi="Arial" w:cs="Arial"/>
          <w:bCs/>
          <w:sz w:val="24"/>
          <w:szCs w:val="24"/>
        </w:rPr>
      </w:pPr>
      <w:r>
        <w:rPr>
          <w:rFonts w:ascii="Arial" w:hAnsi="Arial" w:cs="Arial"/>
          <w:sz w:val="24"/>
          <w:szCs w:val="24"/>
        </w:rPr>
        <w:t xml:space="preserve">Court held that taxation review succeeds – Matter referred back to taxing officer to exercise her discretion accordingly - </w:t>
      </w:r>
    </w:p>
    <w:p w:rsidR="00655C19" w:rsidRDefault="00655C19" w:rsidP="00655C19">
      <w:pPr>
        <w:spacing w:after="0" w:line="360" w:lineRule="auto"/>
        <w:contextualSpacing/>
        <w:jc w:val="both"/>
        <w:rPr>
          <w:rFonts w:ascii="Arial" w:hAnsi="Arial" w:cs="Arial"/>
          <w:sz w:val="24"/>
          <w:szCs w:val="24"/>
        </w:rPr>
      </w:pPr>
      <w:r w:rsidRPr="000F7CFB">
        <w:rPr>
          <w:rFonts w:ascii="Arial" w:eastAsia="Calibri" w:hAnsi="Arial" w:cs="Arial"/>
          <w:b/>
          <w:sz w:val="24"/>
          <w:szCs w:val="24"/>
        </w:rPr>
        <w:lastRenderedPageBreak/>
        <w:t xml:space="preserve">Summary: </w:t>
      </w:r>
      <w:r w:rsidRPr="000F7CFB">
        <w:rPr>
          <w:rFonts w:ascii="Arial" w:eastAsia="Calibri" w:hAnsi="Arial" w:cs="Arial"/>
          <w:sz w:val="24"/>
          <w:szCs w:val="24"/>
        </w:rPr>
        <w:t>The applicants were dissatisfied with the allocation by the taxing</w:t>
      </w:r>
      <w:r w:rsidRPr="000F7CFB">
        <w:rPr>
          <w:rFonts w:ascii="Arial" w:hAnsi="Arial" w:cs="Arial"/>
          <w:sz w:val="24"/>
          <w:szCs w:val="24"/>
        </w:rPr>
        <w:t xml:space="preserve"> officer that disallowed</w:t>
      </w:r>
      <w:r>
        <w:rPr>
          <w:rFonts w:ascii="Arial" w:hAnsi="Arial" w:cs="Arial"/>
          <w:sz w:val="24"/>
          <w:szCs w:val="24"/>
        </w:rPr>
        <w:t xml:space="preserve"> the hourly rate charged </w:t>
      </w:r>
      <w:r w:rsidR="005951F4">
        <w:rPr>
          <w:rFonts w:ascii="Arial" w:hAnsi="Arial" w:cs="Arial"/>
          <w:sz w:val="24"/>
          <w:szCs w:val="24"/>
        </w:rPr>
        <w:t xml:space="preserve">by </w:t>
      </w:r>
      <w:r w:rsidRPr="000F7CFB">
        <w:rPr>
          <w:rFonts w:ascii="Arial" w:hAnsi="Arial" w:cs="Arial"/>
          <w:sz w:val="24"/>
          <w:szCs w:val="24"/>
        </w:rPr>
        <w:t>t</w:t>
      </w:r>
      <w:r>
        <w:rPr>
          <w:rFonts w:ascii="Arial" w:hAnsi="Arial" w:cs="Arial"/>
          <w:sz w:val="24"/>
          <w:szCs w:val="24"/>
        </w:rPr>
        <w:t xml:space="preserve">he senior instructed counsel on the basis that there can be no deviation from the tariffs – </w:t>
      </w:r>
    </w:p>
    <w:p w:rsidR="00655C19" w:rsidRDefault="00655C19" w:rsidP="00655C19">
      <w:pPr>
        <w:spacing w:after="0" w:line="360" w:lineRule="auto"/>
        <w:contextualSpacing/>
        <w:jc w:val="both"/>
        <w:rPr>
          <w:rFonts w:ascii="Arial" w:hAnsi="Arial" w:cs="Arial"/>
          <w:sz w:val="24"/>
          <w:szCs w:val="24"/>
        </w:rPr>
      </w:pPr>
    </w:p>
    <w:p w:rsidR="00655C19" w:rsidRDefault="00655C19" w:rsidP="00655C19">
      <w:pPr>
        <w:spacing w:after="0" w:line="360" w:lineRule="auto"/>
        <w:contextualSpacing/>
        <w:jc w:val="both"/>
        <w:rPr>
          <w:rFonts w:ascii="Arial" w:hAnsi="Arial" w:cs="Arial"/>
          <w:sz w:val="24"/>
          <w:szCs w:val="24"/>
        </w:rPr>
      </w:pPr>
      <w:r>
        <w:rPr>
          <w:rFonts w:ascii="Arial" w:hAnsi="Arial" w:cs="Arial"/>
          <w:sz w:val="24"/>
          <w:szCs w:val="24"/>
        </w:rPr>
        <w:t xml:space="preserve">The applicants approached the court </w:t>
      </w:r>
      <w:r w:rsidRPr="000F7CFB">
        <w:rPr>
          <w:rFonts w:ascii="Arial" w:hAnsi="Arial" w:cs="Arial"/>
          <w:sz w:val="24"/>
          <w:szCs w:val="24"/>
        </w:rPr>
        <w:t>on the basis that the matter was exceptional and extraordinary and therefore justified a deviation from the tariffs in terms of R</w:t>
      </w:r>
      <w:r>
        <w:rPr>
          <w:rFonts w:ascii="Arial" w:hAnsi="Arial" w:cs="Arial"/>
          <w:sz w:val="24"/>
          <w:szCs w:val="24"/>
        </w:rPr>
        <w:t>ule 125(7) –</w:t>
      </w:r>
      <w:r w:rsidRPr="005B5367">
        <w:rPr>
          <w:rFonts w:ascii="Arial" w:hAnsi="Arial" w:cs="Arial"/>
          <w:sz w:val="24"/>
          <w:szCs w:val="24"/>
        </w:rPr>
        <w:t xml:space="preserve"> </w:t>
      </w:r>
    </w:p>
    <w:p w:rsidR="00655C19" w:rsidRDefault="00655C19" w:rsidP="00655C19">
      <w:pPr>
        <w:spacing w:after="0" w:line="360" w:lineRule="auto"/>
        <w:contextualSpacing/>
        <w:jc w:val="both"/>
        <w:rPr>
          <w:rFonts w:ascii="Arial" w:hAnsi="Arial" w:cs="Arial"/>
          <w:sz w:val="24"/>
          <w:szCs w:val="24"/>
        </w:rPr>
      </w:pPr>
    </w:p>
    <w:p w:rsidR="00655C19" w:rsidRDefault="00655C19" w:rsidP="00655C19">
      <w:pPr>
        <w:spacing w:after="0" w:line="360" w:lineRule="auto"/>
        <w:contextualSpacing/>
        <w:jc w:val="both"/>
        <w:rPr>
          <w:rFonts w:ascii="Arial" w:hAnsi="Arial" w:cs="Arial"/>
          <w:sz w:val="24"/>
          <w:szCs w:val="24"/>
        </w:rPr>
      </w:pPr>
      <w:r>
        <w:rPr>
          <w:rFonts w:ascii="Arial" w:hAnsi="Arial" w:cs="Arial"/>
          <w:sz w:val="24"/>
          <w:szCs w:val="24"/>
        </w:rPr>
        <w:t xml:space="preserve">Court held </w:t>
      </w:r>
      <w:r w:rsidRPr="00804AF9">
        <w:rPr>
          <w:rFonts w:ascii="Arial" w:hAnsi="Arial" w:cs="Arial"/>
          <w:sz w:val="24"/>
          <w:szCs w:val="24"/>
        </w:rPr>
        <w:t>the enabling provision requires adhe</w:t>
      </w:r>
      <w:r>
        <w:rPr>
          <w:rFonts w:ascii="Arial" w:hAnsi="Arial" w:cs="Arial"/>
          <w:sz w:val="24"/>
          <w:szCs w:val="24"/>
        </w:rPr>
        <w:t xml:space="preserve">rence to the prescribed tariff but it </w:t>
      </w:r>
      <w:r w:rsidRPr="00804AF9">
        <w:rPr>
          <w:rFonts w:ascii="Arial" w:hAnsi="Arial" w:cs="Arial"/>
          <w:sz w:val="24"/>
          <w:szCs w:val="24"/>
        </w:rPr>
        <w:t>also permits a degree of flexibility to the ta</w:t>
      </w:r>
      <w:r>
        <w:rPr>
          <w:rFonts w:ascii="Arial" w:hAnsi="Arial" w:cs="Arial"/>
          <w:sz w:val="24"/>
          <w:szCs w:val="24"/>
        </w:rPr>
        <w:t>xing officer in deserving cases as it has to be read with rule 125(7)</w:t>
      </w:r>
      <w:r w:rsidR="00F6129F">
        <w:rPr>
          <w:rFonts w:ascii="Arial" w:hAnsi="Arial" w:cs="Arial"/>
          <w:sz w:val="24"/>
          <w:szCs w:val="24"/>
        </w:rPr>
        <w:t>.</w:t>
      </w:r>
    </w:p>
    <w:p w:rsidR="00655C19" w:rsidRDefault="00655C19" w:rsidP="00655C19">
      <w:pPr>
        <w:spacing w:after="0" w:line="360" w:lineRule="auto"/>
        <w:contextualSpacing/>
        <w:jc w:val="both"/>
        <w:rPr>
          <w:rFonts w:ascii="Arial" w:hAnsi="Arial" w:cs="Arial"/>
          <w:sz w:val="24"/>
          <w:szCs w:val="24"/>
        </w:rPr>
      </w:pPr>
    </w:p>
    <w:p w:rsidR="00655C19" w:rsidRPr="00FA1CD7" w:rsidRDefault="00DA1746" w:rsidP="00655C19">
      <w:pPr>
        <w:spacing w:after="0" w:line="360" w:lineRule="auto"/>
        <w:contextualSpacing/>
        <w:jc w:val="both"/>
        <w:rPr>
          <w:rFonts w:ascii="Arial" w:hAnsi="Arial" w:cs="Arial"/>
          <w:sz w:val="24"/>
          <w:szCs w:val="24"/>
        </w:rPr>
      </w:pPr>
      <w:r>
        <w:rPr>
          <w:rFonts w:ascii="Arial" w:hAnsi="Arial" w:cs="Arial"/>
          <w:sz w:val="24"/>
          <w:szCs w:val="24"/>
        </w:rPr>
        <w:t>Court held on the papers</w:t>
      </w:r>
      <w:r w:rsidR="00655C19">
        <w:rPr>
          <w:rFonts w:ascii="Arial" w:hAnsi="Arial" w:cs="Arial"/>
          <w:sz w:val="24"/>
          <w:szCs w:val="24"/>
        </w:rPr>
        <w:t xml:space="preserve"> of the taxing o</w:t>
      </w:r>
      <w:r w:rsidR="00345434">
        <w:rPr>
          <w:rFonts w:ascii="Arial" w:hAnsi="Arial" w:cs="Arial"/>
          <w:sz w:val="24"/>
          <w:szCs w:val="24"/>
        </w:rPr>
        <w:t>fficer</w:t>
      </w:r>
      <w:r w:rsidR="00655C19" w:rsidRPr="00FA1CD7">
        <w:rPr>
          <w:rFonts w:ascii="Arial" w:hAnsi="Arial" w:cs="Arial"/>
          <w:sz w:val="24"/>
          <w:szCs w:val="24"/>
        </w:rPr>
        <w:t xml:space="preserve"> </w:t>
      </w:r>
      <w:r w:rsidR="00655C19">
        <w:rPr>
          <w:rFonts w:ascii="Arial" w:hAnsi="Arial" w:cs="Arial"/>
          <w:sz w:val="24"/>
          <w:szCs w:val="24"/>
        </w:rPr>
        <w:t>there is no basis on which I could find that the t</w:t>
      </w:r>
      <w:r w:rsidR="00655C19" w:rsidRPr="00FA1CD7">
        <w:rPr>
          <w:rFonts w:ascii="Arial" w:hAnsi="Arial" w:cs="Arial"/>
          <w:sz w:val="24"/>
          <w:szCs w:val="24"/>
        </w:rPr>
        <w:t>axing o</w:t>
      </w:r>
      <w:r w:rsidR="00F37559">
        <w:rPr>
          <w:rFonts w:ascii="Arial" w:hAnsi="Arial" w:cs="Arial"/>
          <w:sz w:val="24"/>
          <w:szCs w:val="24"/>
        </w:rPr>
        <w:t xml:space="preserve">fficer applied </w:t>
      </w:r>
      <w:r w:rsidR="00655C19" w:rsidRPr="00FA1CD7">
        <w:rPr>
          <w:rFonts w:ascii="Arial" w:hAnsi="Arial" w:cs="Arial"/>
          <w:sz w:val="24"/>
          <w:szCs w:val="24"/>
        </w:rPr>
        <w:t>her discretion judiciously.</w:t>
      </w:r>
    </w:p>
    <w:p w:rsidR="00655C19" w:rsidRDefault="00655C19" w:rsidP="00655C19">
      <w:pPr>
        <w:spacing w:after="0" w:line="360" w:lineRule="auto"/>
        <w:contextualSpacing/>
        <w:jc w:val="both"/>
        <w:rPr>
          <w:rFonts w:ascii="Arial" w:hAnsi="Arial" w:cs="Arial"/>
          <w:sz w:val="24"/>
          <w:szCs w:val="24"/>
        </w:rPr>
      </w:pPr>
    </w:p>
    <w:p w:rsidR="00655C19" w:rsidRPr="000F7CFB" w:rsidRDefault="00655C19" w:rsidP="00655C19">
      <w:pPr>
        <w:spacing w:after="0" w:line="360" w:lineRule="auto"/>
        <w:contextualSpacing/>
        <w:jc w:val="both"/>
        <w:rPr>
          <w:rFonts w:ascii="Arial" w:hAnsi="Arial" w:cs="Arial"/>
          <w:sz w:val="24"/>
          <w:szCs w:val="24"/>
        </w:rPr>
      </w:pPr>
      <w:r>
        <w:rPr>
          <w:rFonts w:ascii="Arial" w:hAnsi="Arial" w:cs="Arial"/>
          <w:sz w:val="24"/>
          <w:szCs w:val="24"/>
        </w:rPr>
        <w:t xml:space="preserve">Taxation review succeeds and matter </w:t>
      </w:r>
      <w:r w:rsidR="00100635">
        <w:rPr>
          <w:rFonts w:ascii="Arial" w:hAnsi="Arial" w:cs="Arial"/>
          <w:sz w:val="24"/>
          <w:szCs w:val="24"/>
        </w:rPr>
        <w:t xml:space="preserve">is </w:t>
      </w:r>
      <w:r>
        <w:rPr>
          <w:rFonts w:ascii="Arial" w:hAnsi="Arial" w:cs="Arial"/>
          <w:sz w:val="24"/>
          <w:szCs w:val="24"/>
        </w:rPr>
        <w:t>referred back to the taxing officer.</w:t>
      </w:r>
    </w:p>
    <w:p w:rsidR="00655C19" w:rsidRDefault="00655C19" w:rsidP="000F7CFB">
      <w:pPr>
        <w:spacing w:after="0" w:line="360" w:lineRule="auto"/>
        <w:contextualSpacing/>
        <w:jc w:val="both"/>
        <w:rPr>
          <w:rFonts w:ascii="Arial" w:hAnsi="Arial" w:cs="Arial"/>
          <w:sz w:val="24"/>
          <w:szCs w:val="24"/>
        </w:rPr>
      </w:pPr>
    </w:p>
    <w:p w:rsidR="002125DD" w:rsidRPr="000F7CFB" w:rsidRDefault="000F7CFB" w:rsidP="000F7CFB">
      <w:pPr>
        <w:spacing w:after="0" w:line="360" w:lineRule="auto"/>
        <w:contextualSpacing/>
        <w:jc w:val="both"/>
        <w:rPr>
          <w:rFonts w:ascii="Arial" w:hAnsi="Arial" w:cs="Arial"/>
          <w:b/>
          <w:sz w:val="24"/>
          <w:szCs w:val="24"/>
        </w:rPr>
      </w:pPr>
      <w:r w:rsidRPr="000F7CFB">
        <w:rPr>
          <w:rFonts w:ascii="Arial" w:hAnsi="Arial" w:cs="Arial"/>
          <w:b/>
          <w:sz w:val="24"/>
          <w:szCs w:val="24"/>
        </w:rPr>
        <w:t>______________________________________________________________________</w:t>
      </w:r>
    </w:p>
    <w:p w:rsidR="000A54CE" w:rsidRPr="000F7CFB" w:rsidRDefault="000F7CFB" w:rsidP="000F7CFB">
      <w:pPr>
        <w:pBdr>
          <w:bottom w:val="single" w:sz="12" w:space="1" w:color="auto"/>
        </w:pBdr>
        <w:spacing w:after="0" w:line="360" w:lineRule="auto"/>
        <w:contextualSpacing/>
        <w:jc w:val="center"/>
        <w:rPr>
          <w:rFonts w:ascii="Arial" w:eastAsia="Calibri" w:hAnsi="Arial" w:cs="Arial"/>
          <w:b/>
          <w:sz w:val="24"/>
          <w:szCs w:val="24"/>
        </w:rPr>
      </w:pPr>
      <w:r w:rsidRPr="000F7CFB">
        <w:rPr>
          <w:rFonts w:ascii="Arial" w:eastAsia="Calibri" w:hAnsi="Arial" w:cs="Arial"/>
          <w:b/>
          <w:sz w:val="24"/>
          <w:szCs w:val="24"/>
        </w:rPr>
        <w:t>ORDER</w:t>
      </w:r>
    </w:p>
    <w:p w:rsidR="000A54CE" w:rsidRPr="000F7CFB" w:rsidRDefault="000A54CE" w:rsidP="000F7CFB">
      <w:pPr>
        <w:spacing w:after="0" w:line="360" w:lineRule="auto"/>
        <w:contextualSpacing/>
        <w:jc w:val="both"/>
        <w:rPr>
          <w:rFonts w:ascii="Arial" w:hAnsi="Arial" w:cs="Arial"/>
          <w:sz w:val="24"/>
          <w:szCs w:val="24"/>
        </w:rPr>
      </w:pPr>
    </w:p>
    <w:p w:rsidR="000F7CFB" w:rsidRPr="000F7CFB" w:rsidRDefault="000F7CFB" w:rsidP="008132FC">
      <w:pPr>
        <w:pStyle w:val="ListParagraph"/>
        <w:numPr>
          <w:ilvl w:val="0"/>
          <w:numId w:val="1"/>
        </w:numPr>
        <w:spacing w:after="0" w:line="360" w:lineRule="auto"/>
        <w:jc w:val="both"/>
        <w:rPr>
          <w:rFonts w:ascii="Arial" w:hAnsi="Arial" w:cs="Arial"/>
          <w:sz w:val="24"/>
          <w:szCs w:val="24"/>
        </w:rPr>
      </w:pPr>
      <w:r w:rsidRPr="000F7CFB">
        <w:rPr>
          <w:rFonts w:ascii="Arial" w:hAnsi="Arial" w:cs="Arial"/>
          <w:sz w:val="24"/>
          <w:szCs w:val="24"/>
        </w:rPr>
        <w:t>The review application succeeds</w:t>
      </w:r>
      <w:r w:rsidR="008E2F4D">
        <w:rPr>
          <w:rFonts w:ascii="Arial" w:hAnsi="Arial" w:cs="Arial"/>
          <w:sz w:val="24"/>
          <w:szCs w:val="24"/>
        </w:rPr>
        <w:t>.</w:t>
      </w:r>
    </w:p>
    <w:p w:rsidR="000F7CFB" w:rsidRPr="000F7CFB" w:rsidRDefault="000F7CFB" w:rsidP="008132FC">
      <w:pPr>
        <w:pStyle w:val="ListParagraph"/>
        <w:numPr>
          <w:ilvl w:val="0"/>
          <w:numId w:val="1"/>
        </w:numPr>
        <w:spacing w:after="0" w:line="360" w:lineRule="auto"/>
        <w:jc w:val="both"/>
        <w:rPr>
          <w:rFonts w:ascii="Arial" w:hAnsi="Arial" w:cs="Arial"/>
          <w:sz w:val="24"/>
          <w:szCs w:val="24"/>
        </w:rPr>
      </w:pPr>
      <w:r w:rsidRPr="000F7CFB">
        <w:rPr>
          <w:rFonts w:ascii="Arial" w:hAnsi="Arial" w:cs="Arial"/>
          <w:sz w:val="24"/>
          <w:szCs w:val="24"/>
        </w:rPr>
        <w:t>The determination by the taxing officer that she has no discretion to permit a fee for senior counsel above the prescribed N$ 1800.00 per hour is reviewed and set aside</w:t>
      </w:r>
      <w:r w:rsidR="008E2F4D">
        <w:rPr>
          <w:rFonts w:ascii="Arial" w:hAnsi="Arial" w:cs="Arial"/>
          <w:sz w:val="24"/>
          <w:szCs w:val="24"/>
        </w:rPr>
        <w:t>.</w:t>
      </w:r>
    </w:p>
    <w:p w:rsidR="000F7CFB" w:rsidRPr="000F7CFB" w:rsidRDefault="000F7CFB" w:rsidP="008132FC">
      <w:pPr>
        <w:pStyle w:val="ListParagraph"/>
        <w:numPr>
          <w:ilvl w:val="0"/>
          <w:numId w:val="1"/>
        </w:numPr>
        <w:spacing w:after="0" w:line="360" w:lineRule="auto"/>
        <w:jc w:val="both"/>
        <w:rPr>
          <w:rFonts w:ascii="Arial" w:hAnsi="Arial" w:cs="Arial"/>
          <w:sz w:val="24"/>
          <w:szCs w:val="24"/>
        </w:rPr>
      </w:pPr>
      <w:r w:rsidRPr="000F7CFB">
        <w:rPr>
          <w:rFonts w:ascii="Arial" w:hAnsi="Arial" w:cs="Arial"/>
          <w:sz w:val="24"/>
          <w:szCs w:val="24"/>
        </w:rPr>
        <w:t>It is declared that the taxing officer has a discretion in terms of rule 125(7) to allow an amount higher than the prescribed fees of N$ 1800.00 in deserving cases.</w:t>
      </w:r>
    </w:p>
    <w:p w:rsidR="000F7CFB" w:rsidRDefault="000F7CFB" w:rsidP="008132FC">
      <w:pPr>
        <w:pStyle w:val="ListParagraph"/>
        <w:numPr>
          <w:ilvl w:val="0"/>
          <w:numId w:val="1"/>
        </w:numPr>
        <w:spacing w:after="0" w:line="360" w:lineRule="auto"/>
        <w:jc w:val="both"/>
        <w:rPr>
          <w:rFonts w:ascii="Arial" w:hAnsi="Arial" w:cs="Arial"/>
          <w:sz w:val="24"/>
          <w:szCs w:val="24"/>
        </w:rPr>
      </w:pPr>
      <w:r w:rsidRPr="000F7CFB">
        <w:rPr>
          <w:rFonts w:ascii="Arial" w:hAnsi="Arial" w:cs="Arial"/>
          <w:sz w:val="24"/>
          <w:szCs w:val="24"/>
        </w:rPr>
        <w:t>The matter is referred back to the taxing officer to exercise her discretion in terms of rule 125(7) after having asked for and received submissions from the respective parties to enable the taxing officer to determine fe</w:t>
      </w:r>
      <w:r w:rsidR="008132FC">
        <w:rPr>
          <w:rFonts w:ascii="Arial" w:hAnsi="Arial" w:cs="Arial"/>
          <w:sz w:val="24"/>
          <w:szCs w:val="24"/>
        </w:rPr>
        <w:t>es that are fair and equitable.</w:t>
      </w:r>
    </w:p>
    <w:p w:rsidR="00EA5BDE" w:rsidRDefault="00EA5BDE" w:rsidP="00EA5BDE">
      <w:pPr>
        <w:pStyle w:val="ListParagraph"/>
        <w:spacing w:after="0" w:line="360" w:lineRule="auto"/>
        <w:jc w:val="both"/>
        <w:rPr>
          <w:rFonts w:ascii="Arial" w:hAnsi="Arial" w:cs="Arial"/>
          <w:sz w:val="24"/>
          <w:szCs w:val="24"/>
        </w:rPr>
      </w:pPr>
    </w:p>
    <w:p w:rsidR="00EA5BDE" w:rsidRDefault="00EA5BDE" w:rsidP="00EA5BDE">
      <w:pPr>
        <w:pStyle w:val="ListParagraph"/>
        <w:spacing w:after="0" w:line="360" w:lineRule="auto"/>
        <w:jc w:val="both"/>
        <w:rPr>
          <w:rFonts w:ascii="Arial" w:hAnsi="Arial" w:cs="Arial"/>
          <w:sz w:val="24"/>
          <w:szCs w:val="24"/>
        </w:rPr>
      </w:pPr>
    </w:p>
    <w:p w:rsidR="00245177" w:rsidRPr="000F7CFB" w:rsidRDefault="00245177" w:rsidP="00EA5BDE">
      <w:pPr>
        <w:pStyle w:val="ListParagraph"/>
        <w:spacing w:after="0" w:line="360" w:lineRule="auto"/>
        <w:jc w:val="both"/>
        <w:rPr>
          <w:rFonts w:ascii="Arial" w:hAnsi="Arial" w:cs="Arial"/>
          <w:sz w:val="24"/>
          <w:szCs w:val="24"/>
        </w:rPr>
      </w:pPr>
    </w:p>
    <w:p w:rsidR="000F7CFB" w:rsidRPr="000F7CFB" w:rsidRDefault="000F7CFB" w:rsidP="000F7CFB">
      <w:pPr>
        <w:spacing w:after="0" w:line="360" w:lineRule="auto"/>
        <w:contextualSpacing/>
        <w:jc w:val="both"/>
        <w:rPr>
          <w:rFonts w:ascii="Arial" w:hAnsi="Arial" w:cs="Arial"/>
          <w:b/>
          <w:sz w:val="24"/>
          <w:szCs w:val="24"/>
        </w:rPr>
      </w:pPr>
      <w:r w:rsidRPr="000F7CFB">
        <w:rPr>
          <w:rFonts w:ascii="Arial" w:hAnsi="Arial" w:cs="Arial"/>
          <w:b/>
          <w:sz w:val="24"/>
          <w:szCs w:val="24"/>
        </w:rPr>
        <w:lastRenderedPageBreak/>
        <w:t>____________________________________________</w:t>
      </w:r>
      <w:r w:rsidR="0025734D">
        <w:rPr>
          <w:rFonts w:ascii="Arial" w:hAnsi="Arial" w:cs="Arial"/>
          <w:b/>
          <w:sz w:val="24"/>
          <w:szCs w:val="24"/>
        </w:rPr>
        <w:t>__________________________</w:t>
      </w:r>
    </w:p>
    <w:p w:rsidR="000F7CFB" w:rsidRPr="000F7CFB" w:rsidRDefault="000F7CFB" w:rsidP="000F7CFB">
      <w:pPr>
        <w:spacing w:after="0" w:line="360" w:lineRule="auto"/>
        <w:contextualSpacing/>
        <w:jc w:val="center"/>
        <w:rPr>
          <w:rFonts w:ascii="Arial" w:hAnsi="Arial" w:cs="Arial"/>
          <w:b/>
          <w:sz w:val="24"/>
          <w:szCs w:val="24"/>
        </w:rPr>
      </w:pPr>
      <w:r w:rsidRPr="000F7CFB">
        <w:rPr>
          <w:rFonts w:ascii="Arial" w:hAnsi="Arial" w:cs="Arial"/>
          <w:b/>
          <w:sz w:val="24"/>
          <w:szCs w:val="24"/>
        </w:rPr>
        <w:t>JUDGMENT</w:t>
      </w:r>
    </w:p>
    <w:p w:rsidR="000F7CFB" w:rsidRPr="000F7CFB" w:rsidRDefault="000F7CFB" w:rsidP="000F7CFB">
      <w:pPr>
        <w:spacing w:after="0" w:line="360" w:lineRule="auto"/>
        <w:contextualSpacing/>
        <w:jc w:val="both"/>
        <w:rPr>
          <w:rFonts w:ascii="Arial" w:hAnsi="Arial" w:cs="Arial"/>
          <w:b/>
          <w:sz w:val="24"/>
          <w:szCs w:val="24"/>
        </w:rPr>
      </w:pPr>
      <w:r w:rsidRPr="000F7CFB">
        <w:rPr>
          <w:rFonts w:ascii="Arial" w:hAnsi="Arial" w:cs="Arial"/>
          <w:b/>
          <w:sz w:val="24"/>
          <w:szCs w:val="24"/>
        </w:rPr>
        <w:t>____________________________________________</w:t>
      </w:r>
      <w:r w:rsidR="0025734D">
        <w:rPr>
          <w:rFonts w:ascii="Arial" w:hAnsi="Arial" w:cs="Arial"/>
          <w:b/>
          <w:sz w:val="24"/>
          <w:szCs w:val="24"/>
        </w:rPr>
        <w:t>__________________________</w:t>
      </w:r>
    </w:p>
    <w:p w:rsidR="000F7CFB" w:rsidRPr="000F7CFB" w:rsidRDefault="000F7CFB" w:rsidP="000F7CFB">
      <w:pPr>
        <w:spacing w:after="0" w:line="360" w:lineRule="auto"/>
        <w:contextualSpacing/>
        <w:jc w:val="both"/>
        <w:rPr>
          <w:rFonts w:ascii="Arial" w:hAnsi="Arial" w:cs="Arial"/>
          <w:sz w:val="24"/>
          <w:szCs w:val="24"/>
        </w:rPr>
      </w:pPr>
    </w:p>
    <w:p w:rsidR="000F7CFB" w:rsidRPr="000F7CFB" w:rsidRDefault="000F7CFB" w:rsidP="000F7CFB">
      <w:pPr>
        <w:spacing w:after="0" w:line="360" w:lineRule="auto"/>
        <w:contextualSpacing/>
        <w:jc w:val="both"/>
        <w:rPr>
          <w:rFonts w:ascii="Arial" w:hAnsi="Arial" w:cs="Arial"/>
          <w:b/>
          <w:sz w:val="24"/>
          <w:szCs w:val="24"/>
        </w:rPr>
      </w:pPr>
      <w:r w:rsidRPr="000F7CFB">
        <w:rPr>
          <w:rFonts w:ascii="Arial" w:hAnsi="Arial" w:cs="Arial"/>
          <w:b/>
          <w:sz w:val="24"/>
          <w:szCs w:val="24"/>
        </w:rPr>
        <w:t>CLAASEN, J</w:t>
      </w:r>
    </w:p>
    <w:p w:rsidR="000F7CFB" w:rsidRPr="000F7CFB" w:rsidRDefault="000F7CFB" w:rsidP="000F7CFB">
      <w:pPr>
        <w:spacing w:after="0" w:line="360" w:lineRule="auto"/>
        <w:contextualSpacing/>
        <w:jc w:val="both"/>
        <w:rPr>
          <w:rFonts w:ascii="Arial" w:hAnsi="Arial" w:cs="Arial"/>
          <w:sz w:val="24"/>
          <w:szCs w:val="24"/>
        </w:rPr>
      </w:pPr>
    </w:p>
    <w:p w:rsidR="002125DD" w:rsidRPr="000F7CFB" w:rsidRDefault="00A525F8" w:rsidP="000F7CFB">
      <w:pPr>
        <w:spacing w:after="0" w:line="360" w:lineRule="auto"/>
        <w:contextualSpacing/>
        <w:jc w:val="both"/>
        <w:rPr>
          <w:rFonts w:ascii="Arial" w:hAnsi="Arial" w:cs="Arial"/>
          <w:i/>
          <w:sz w:val="24"/>
          <w:szCs w:val="24"/>
        </w:rPr>
      </w:pPr>
      <w:r w:rsidRPr="000F7CFB">
        <w:rPr>
          <w:rFonts w:ascii="Arial" w:hAnsi="Arial" w:cs="Arial"/>
          <w:i/>
          <w:sz w:val="24"/>
          <w:szCs w:val="24"/>
        </w:rPr>
        <w:t>Introduction</w:t>
      </w:r>
    </w:p>
    <w:p w:rsidR="003D5971" w:rsidRPr="000F7CFB" w:rsidRDefault="003D5971" w:rsidP="000F7CFB">
      <w:pPr>
        <w:spacing w:after="0" w:line="360" w:lineRule="auto"/>
        <w:contextualSpacing/>
        <w:jc w:val="both"/>
        <w:rPr>
          <w:rFonts w:ascii="Arial" w:hAnsi="Arial" w:cs="Arial"/>
          <w:sz w:val="24"/>
          <w:szCs w:val="24"/>
          <w:u w:val="single"/>
        </w:rPr>
      </w:pPr>
    </w:p>
    <w:p w:rsidR="000F7CFB" w:rsidRDefault="000F7CFB" w:rsidP="000F7CF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D5971" w:rsidRPr="000F7CFB">
        <w:rPr>
          <w:rFonts w:ascii="Arial" w:hAnsi="Arial" w:cs="Arial"/>
          <w:sz w:val="24"/>
          <w:szCs w:val="24"/>
        </w:rPr>
        <w:t xml:space="preserve">This matter emanates from an administrative review instituted by several insurance corporations against the implementation of a compulsory cession </w:t>
      </w:r>
      <w:r w:rsidR="00A97DD4" w:rsidRPr="000F7CFB">
        <w:rPr>
          <w:rFonts w:ascii="Arial" w:hAnsi="Arial" w:cs="Arial"/>
          <w:sz w:val="24"/>
          <w:szCs w:val="24"/>
        </w:rPr>
        <w:t>of a certain percentage of the value of each insurance contract by registered insurers or registered reinsure</w:t>
      </w:r>
      <w:r w:rsidR="00245177">
        <w:rPr>
          <w:rFonts w:ascii="Arial" w:hAnsi="Arial" w:cs="Arial"/>
          <w:sz w:val="24"/>
          <w:szCs w:val="24"/>
        </w:rPr>
        <w:t>r</w:t>
      </w:r>
      <w:r>
        <w:rPr>
          <w:rFonts w:ascii="Arial" w:hAnsi="Arial" w:cs="Arial"/>
          <w:sz w:val="24"/>
          <w:szCs w:val="24"/>
        </w:rPr>
        <w:t>s to the second respondent.</w:t>
      </w:r>
    </w:p>
    <w:p w:rsidR="000F7CFB" w:rsidRDefault="000F7CFB" w:rsidP="000F7CFB">
      <w:pPr>
        <w:spacing w:after="0" w:line="360" w:lineRule="auto"/>
        <w:jc w:val="both"/>
        <w:rPr>
          <w:rFonts w:ascii="Arial" w:hAnsi="Arial" w:cs="Arial"/>
          <w:sz w:val="24"/>
          <w:szCs w:val="24"/>
        </w:rPr>
      </w:pPr>
    </w:p>
    <w:p w:rsidR="000F7CFB" w:rsidRDefault="000F7CFB" w:rsidP="000F7CF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97DD4" w:rsidRPr="000F7CFB">
        <w:rPr>
          <w:rFonts w:ascii="Arial" w:hAnsi="Arial" w:cs="Arial"/>
          <w:sz w:val="24"/>
          <w:szCs w:val="24"/>
        </w:rPr>
        <w:t>Though the principal legislation, The Namibia National Reinsurance Corporation Act 22 of 1998 was passed</w:t>
      </w:r>
      <w:r w:rsidR="001F26EA" w:rsidRPr="000F7CFB">
        <w:rPr>
          <w:rFonts w:ascii="Arial" w:hAnsi="Arial" w:cs="Arial"/>
          <w:sz w:val="24"/>
          <w:szCs w:val="24"/>
        </w:rPr>
        <w:t xml:space="preserve"> 2 decades </w:t>
      </w:r>
      <w:r w:rsidR="00A97DD4" w:rsidRPr="000F7CFB">
        <w:rPr>
          <w:rFonts w:ascii="Arial" w:hAnsi="Arial" w:cs="Arial"/>
          <w:sz w:val="24"/>
          <w:szCs w:val="24"/>
        </w:rPr>
        <w:t xml:space="preserve">ago, the </w:t>
      </w:r>
      <w:r w:rsidR="00F7088C" w:rsidRPr="000F7CFB">
        <w:rPr>
          <w:rFonts w:ascii="Arial" w:hAnsi="Arial" w:cs="Arial"/>
          <w:sz w:val="24"/>
          <w:szCs w:val="24"/>
        </w:rPr>
        <w:t>enforcement of the above</w:t>
      </w:r>
      <w:r w:rsidR="00FC3006" w:rsidRPr="000F7CFB">
        <w:rPr>
          <w:rFonts w:ascii="Arial" w:hAnsi="Arial" w:cs="Arial"/>
          <w:sz w:val="24"/>
          <w:szCs w:val="24"/>
        </w:rPr>
        <w:t xml:space="preserve"> </w:t>
      </w:r>
      <w:r w:rsidR="001F26EA" w:rsidRPr="000F7CFB">
        <w:rPr>
          <w:rFonts w:ascii="Arial" w:hAnsi="Arial" w:cs="Arial"/>
          <w:sz w:val="24"/>
          <w:szCs w:val="24"/>
        </w:rPr>
        <w:t>system was</w:t>
      </w:r>
      <w:r w:rsidR="00FC3006" w:rsidRPr="000F7CFB">
        <w:rPr>
          <w:rFonts w:ascii="Arial" w:hAnsi="Arial" w:cs="Arial"/>
          <w:sz w:val="24"/>
          <w:szCs w:val="24"/>
        </w:rPr>
        <w:t xml:space="preserve"> </w:t>
      </w:r>
      <w:r w:rsidR="00F7088C" w:rsidRPr="000F7CFB">
        <w:rPr>
          <w:rFonts w:ascii="Arial" w:hAnsi="Arial" w:cs="Arial"/>
          <w:sz w:val="24"/>
          <w:szCs w:val="24"/>
        </w:rPr>
        <w:t xml:space="preserve">promulgated </w:t>
      </w:r>
      <w:r w:rsidR="001F26EA" w:rsidRPr="000F7CFB">
        <w:rPr>
          <w:rFonts w:ascii="Arial" w:hAnsi="Arial" w:cs="Arial"/>
          <w:sz w:val="24"/>
          <w:szCs w:val="24"/>
        </w:rPr>
        <w:t xml:space="preserve">only </w:t>
      </w:r>
      <w:r w:rsidR="00F6464E">
        <w:rPr>
          <w:rFonts w:ascii="Arial" w:hAnsi="Arial" w:cs="Arial"/>
          <w:sz w:val="24"/>
          <w:szCs w:val="24"/>
        </w:rPr>
        <w:t>during October and December 2016</w:t>
      </w:r>
      <w:r w:rsidR="001F26EA" w:rsidRPr="000F7CFB">
        <w:rPr>
          <w:rFonts w:ascii="Arial" w:hAnsi="Arial" w:cs="Arial"/>
          <w:sz w:val="24"/>
          <w:szCs w:val="24"/>
        </w:rPr>
        <w:t xml:space="preserve"> in </w:t>
      </w:r>
      <w:r w:rsidR="00F7088C" w:rsidRPr="000F7CFB">
        <w:rPr>
          <w:rFonts w:ascii="Arial" w:hAnsi="Arial" w:cs="Arial"/>
          <w:sz w:val="24"/>
          <w:szCs w:val="24"/>
        </w:rPr>
        <w:t>Governme</w:t>
      </w:r>
      <w:r w:rsidR="00FC3006" w:rsidRPr="000F7CFB">
        <w:rPr>
          <w:rFonts w:ascii="Arial" w:hAnsi="Arial" w:cs="Arial"/>
          <w:sz w:val="24"/>
          <w:szCs w:val="24"/>
        </w:rPr>
        <w:t>nt</w:t>
      </w:r>
      <w:r w:rsidR="00205DA9">
        <w:rPr>
          <w:rFonts w:ascii="Arial" w:hAnsi="Arial" w:cs="Arial"/>
          <w:sz w:val="24"/>
          <w:szCs w:val="24"/>
        </w:rPr>
        <w:t xml:space="preserve"> Notices 26</w:t>
      </w:r>
      <w:r w:rsidR="00FC3006" w:rsidRPr="000F7CFB">
        <w:rPr>
          <w:rFonts w:ascii="Arial" w:hAnsi="Arial" w:cs="Arial"/>
          <w:sz w:val="24"/>
          <w:szCs w:val="24"/>
        </w:rPr>
        <w:t>6,</w:t>
      </w:r>
      <w:r w:rsidR="00241293" w:rsidRPr="000F7CFB">
        <w:rPr>
          <w:rFonts w:ascii="Arial" w:hAnsi="Arial" w:cs="Arial"/>
          <w:sz w:val="24"/>
          <w:szCs w:val="24"/>
        </w:rPr>
        <w:t xml:space="preserve"> </w:t>
      </w:r>
      <w:r w:rsidR="00FC3006" w:rsidRPr="000F7CFB">
        <w:rPr>
          <w:rFonts w:ascii="Arial" w:hAnsi="Arial" w:cs="Arial"/>
          <w:sz w:val="24"/>
          <w:szCs w:val="24"/>
        </w:rPr>
        <w:t>267 and 291</w:t>
      </w:r>
      <w:r w:rsidR="001F26EA" w:rsidRPr="000F7CFB">
        <w:rPr>
          <w:rFonts w:ascii="Arial" w:hAnsi="Arial" w:cs="Arial"/>
          <w:sz w:val="24"/>
          <w:szCs w:val="24"/>
        </w:rPr>
        <w:t>.</w:t>
      </w:r>
      <w:r w:rsidR="00FC3006" w:rsidRPr="000F7CFB">
        <w:rPr>
          <w:rFonts w:ascii="Arial" w:hAnsi="Arial" w:cs="Arial"/>
          <w:sz w:val="24"/>
          <w:szCs w:val="24"/>
        </w:rPr>
        <w:t xml:space="preserve"> </w:t>
      </w:r>
      <w:r w:rsidR="00184FDC" w:rsidRPr="000F7CFB">
        <w:rPr>
          <w:rFonts w:ascii="Arial" w:hAnsi="Arial" w:cs="Arial"/>
          <w:sz w:val="24"/>
          <w:szCs w:val="24"/>
        </w:rPr>
        <w:t>Qui</w:t>
      </w:r>
      <w:r w:rsidR="001F26EA" w:rsidRPr="000F7CFB">
        <w:rPr>
          <w:rFonts w:ascii="Arial" w:hAnsi="Arial" w:cs="Arial"/>
          <w:sz w:val="24"/>
          <w:szCs w:val="24"/>
        </w:rPr>
        <w:t>te a few insurance companies were</w:t>
      </w:r>
      <w:r w:rsidR="00184FDC" w:rsidRPr="000F7CFB">
        <w:rPr>
          <w:rFonts w:ascii="Arial" w:hAnsi="Arial" w:cs="Arial"/>
          <w:sz w:val="24"/>
          <w:szCs w:val="24"/>
        </w:rPr>
        <w:t xml:space="preserve"> dissatisfied with the scheme and launched an ad</w:t>
      </w:r>
      <w:r>
        <w:rPr>
          <w:rFonts w:ascii="Arial" w:hAnsi="Arial" w:cs="Arial"/>
          <w:sz w:val="24"/>
          <w:szCs w:val="24"/>
        </w:rPr>
        <w:t>ministrative review against it.</w:t>
      </w:r>
    </w:p>
    <w:p w:rsidR="000F7CFB" w:rsidRDefault="000F7CFB" w:rsidP="000F7CFB">
      <w:pPr>
        <w:spacing w:after="0" w:line="360" w:lineRule="auto"/>
        <w:jc w:val="both"/>
        <w:rPr>
          <w:rFonts w:ascii="Arial" w:hAnsi="Arial" w:cs="Arial"/>
          <w:sz w:val="24"/>
          <w:szCs w:val="24"/>
        </w:rPr>
      </w:pPr>
    </w:p>
    <w:p w:rsidR="000F7CFB" w:rsidRDefault="000F7CFB" w:rsidP="000F7CF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84FDC" w:rsidRPr="000F7CFB">
        <w:rPr>
          <w:rFonts w:ascii="Arial" w:hAnsi="Arial" w:cs="Arial"/>
          <w:sz w:val="24"/>
          <w:szCs w:val="24"/>
        </w:rPr>
        <w:t>Subsequently thereto the said notices were withdrawn</w:t>
      </w:r>
      <w:r w:rsidR="00241293" w:rsidRPr="000F7CFB">
        <w:rPr>
          <w:rFonts w:ascii="Arial" w:hAnsi="Arial" w:cs="Arial"/>
          <w:sz w:val="24"/>
          <w:szCs w:val="24"/>
        </w:rPr>
        <w:t>. O</w:t>
      </w:r>
      <w:r w:rsidR="00184FDC" w:rsidRPr="000F7CFB">
        <w:rPr>
          <w:rFonts w:ascii="Arial" w:hAnsi="Arial" w:cs="Arial"/>
          <w:sz w:val="24"/>
          <w:szCs w:val="24"/>
        </w:rPr>
        <w:t>n 17 May 2017, the applicants herein obtained a cost order in the</w:t>
      </w:r>
      <w:r w:rsidR="001F26EA" w:rsidRPr="000F7CFB">
        <w:rPr>
          <w:rFonts w:ascii="Arial" w:hAnsi="Arial" w:cs="Arial"/>
          <w:sz w:val="24"/>
          <w:szCs w:val="24"/>
        </w:rPr>
        <w:t>ir</w:t>
      </w:r>
      <w:r w:rsidR="00184FDC" w:rsidRPr="000F7CFB">
        <w:rPr>
          <w:rFonts w:ascii="Arial" w:hAnsi="Arial" w:cs="Arial"/>
          <w:sz w:val="24"/>
          <w:szCs w:val="24"/>
        </w:rPr>
        <w:t xml:space="preserve"> favour that first and second respondents must pay the applicants’ cost of one instructing and two instructed counsel, jointly and severally, the one p</w:t>
      </w:r>
      <w:r>
        <w:rPr>
          <w:rFonts w:ascii="Arial" w:hAnsi="Arial" w:cs="Arial"/>
          <w:sz w:val="24"/>
          <w:szCs w:val="24"/>
        </w:rPr>
        <w:t>aying the other to be absolved.</w:t>
      </w:r>
    </w:p>
    <w:p w:rsidR="000F7CFB" w:rsidRDefault="000F7CFB" w:rsidP="000F7CFB">
      <w:pPr>
        <w:spacing w:after="0" w:line="360" w:lineRule="auto"/>
        <w:jc w:val="both"/>
        <w:rPr>
          <w:rFonts w:ascii="Arial" w:hAnsi="Arial" w:cs="Arial"/>
          <w:sz w:val="24"/>
          <w:szCs w:val="24"/>
        </w:rPr>
      </w:pPr>
    </w:p>
    <w:p w:rsidR="002125DD" w:rsidRPr="000F7CFB" w:rsidRDefault="000F7CFB" w:rsidP="000F7CF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C3006" w:rsidRPr="000F7CFB">
        <w:rPr>
          <w:rFonts w:ascii="Arial" w:hAnsi="Arial" w:cs="Arial"/>
          <w:sz w:val="24"/>
          <w:szCs w:val="24"/>
        </w:rPr>
        <w:t xml:space="preserve">The parties appeared before the taxing officer and an </w:t>
      </w:r>
      <w:r w:rsidR="009058FE">
        <w:rPr>
          <w:rFonts w:ascii="Arial" w:hAnsi="Arial" w:cs="Arial"/>
          <w:sz w:val="24"/>
          <w:szCs w:val="24"/>
        </w:rPr>
        <w:t>allocatu</w:t>
      </w:r>
      <w:r w:rsidR="00FC3006" w:rsidRPr="000F7CFB">
        <w:rPr>
          <w:rFonts w:ascii="Arial" w:hAnsi="Arial" w:cs="Arial"/>
          <w:sz w:val="24"/>
          <w:szCs w:val="24"/>
        </w:rPr>
        <w:t xml:space="preserve">r was issued on 20 October 2017. </w:t>
      </w:r>
      <w:r w:rsidR="00C02974" w:rsidRPr="000F7CFB">
        <w:rPr>
          <w:rFonts w:ascii="Arial" w:hAnsi="Arial" w:cs="Arial"/>
          <w:sz w:val="24"/>
          <w:szCs w:val="24"/>
        </w:rPr>
        <w:t>The applicants were not satisfied with the ruling and on 10 November 2017 filed a review for taxation of cost</w:t>
      </w:r>
      <w:r w:rsidR="00673389">
        <w:rPr>
          <w:rFonts w:ascii="Arial" w:hAnsi="Arial" w:cs="Arial"/>
          <w:sz w:val="24"/>
          <w:szCs w:val="24"/>
        </w:rPr>
        <w:t>s</w:t>
      </w:r>
      <w:r w:rsidR="00C02974" w:rsidRPr="000F7CFB">
        <w:rPr>
          <w:rFonts w:ascii="Arial" w:hAnsi="Arial" w:cs="Arial"/>
          <w:sz w:val="24"/>
          <w:szCs w:val="24"/>
        </w:rPr>
        <w:t xml:space="preserve"> i</w:t>
      </w:r>
      <w:r w:rsidR="00726CD6">
        <w:rPr>
          <w:rFonts w:ascii="Arial" w:hAnsi="Arial" w:cs="Arial"/>
          <w:sz w:val="24"/>
          <w:szCs w:val="24"/>
        </w:rPr>
        <w:t>n terms of r</w:t>
      </w:r>
      <w:r w:rsidR="000C7B96" w:rsidRPr="000F7CFB">
        <w:rPr>
          <w:rFonts w:ascii="Arial" w:hAnsi="Arial" w:cs="Arial"/>
          <w:sz w:val="24"/>
          <w:szCs w:val="24"/>
        </w:rPr>
        <w:t xml:space="preserve">ule 75 of </w:t>
      </w:r>
      <w:r w:rsidR="00F84A84" w:rsidRPr="000F7CFB">
        <w:rPr>
          <w:rFonts w:ascii="Arial" w:hAnsi="Arial" w:cs="Arial"/>
          <w:sz w:val="24"/>
          <w:szCs w:val="24"/>
        </w:rPr>
        <w:t>the Rules of</w:t>
      </w:r>
      <w:r w:rsidR="00FC3006" w:rsidRPr="000F7CFB">
        <w:rPr>
          <w:rFonts w:ascii="Arial" w:hAnsi="Arial" w:cs="Arial"/>
          <w:sz w:val="24"/>
          <w:szCs w:val="24"/>
        </w:rPr>
        <w:t xml:space="preserve"> the High Court</w:t>
      </w:r>
      <w:r w:rsidR="00C02974" w:rsidRPr="000F7CFB">
        <w:rPr>
          <w:rFonts w:ascii="Arial" w:hAnsi="Arial" w:cs="Arial"/>
          <w:sz w:val="24"/>
          <w:szCs w:val="24"/>
        </w:rPr>
        <w:t xml:space="preserve">. </w:t>
      </w:r>
      <w:r w:rsidR="006A7C1D" w:rsidRPr="000F7CFB">
        <w:rPr>
          <w:rFonts w:ascii="Arial" w:hAnsi="Arial" w:cs="Arial"/>
          <w:sz w:val="24"/>
          <w:szCs w:val="24"/>
        </w:rPr>
        <w:t xml:space="preserve">The taxing officer complied </w:t>
      </w:r>
      <w:r w:rsidR="00C02974" w:rsidRPr="000F7CFB">
        <w:rPr>
          <w:rFonts w:ascii="Arial" w:hAnsi="Arial" w:cs="Arial"/>
          <w:sz w:val="24"/>
          <w:szCs w:val="24"/>
        </w:rPr>
        <w:t xml:space="preserve">and filed a stated case on </w:t>
      </w:r>
      <w:r w:rsidR="004436F1" w:rsidRPr="000F7CFB">
        <w:rPr>
          <w:rFonts w:ascii="Arial" w:hAnsi="Arial" w:cs="Arial"/>
          <w:sz w:val="24"/>
          <w:szCs w:val="24"/>
        </w:rPr>
        <w:t xml:space="preserve">20 June 2018 </w:t>
      </w:r>
      <w:r w:rsidR="00241293" w:rsidRPr="000F7CFB">
        <w:rPr>
          <w:rFonts w:ascii="Arial" w:hAnsi="Arial" w:cs="Arial"/>
          <w:sz w:val="24"/>
          <w:szCs w:val="24"/>
        </w:rPr>
        <w:t xml:space="preserve">with the record. </w:t>
      </w:r>
      <w:r w:rsidR="00C02974" w:rsidRPr="000F7CFB">
        <w:rPr>
          <w:rFonts w:ascii="Arial" w:hAnsi="Arial" w:cs="Arial"/>
          <w:sz w:val="24"/>
          <w:szCs w:val="24"/>
        </w:rPr>
        <w:t>The</w:t>
      </w:r>
      <w:r w:rsidR="004436F1" w:rsidRPr="000F7CFB">
        <w:rPr>
          <w:rFonts w:ascii="Arial" w:hAnsi="Arial" w:cs="Arial"/>
          <w:sz w:val="24"/>
          <w:szCs w:val="24"/>
        </w:rPr>
        <w:t xml:space="preserve"> </w:t>
      </w:r>
      <w:r w:rsidR="00102CE6" w:rsidRPr="000F7CFB">
        <w:rPr>
          <w:rFonts w:ascii="Arial" w:hAnsi="Arial" w:cs="Arial"/>
          <w:sz w:val="24"/>
          <w:szCs w:val="24"/>
        </w:rPr>
        <w:t>respondents did not file</w:t>
      </w:r>
      <w:r w:rsidR="006A7C1D" w:rsidRPr="000F7CFB">
        <w:rPr>
          <w:rFonts w:ascii="Arial" w:hAnsi="Arial" w:cs="Arial"/>
          <w:sz w:val="24"/>
          <w:szCs w:val="24"/>
        </w:rPr>
        <w:t xml:space="preserve"> any </w:t>
      </w:r>
      <w:r w:rsidR="00C02974" w:rsidRPr="000F7CFB">
        <w:rPr>
          <w:rFonts w:ascii="Arial" w:hAnsi="Arial" w:cs="Arial"/>
          <w:sz w:val="24"/>
          <w:szCs w:val="24"/>
        </w:rPr>
        <w:t>submissions on the matter.</w:t>
      </w:r>
    </w:p>
    <w:p w:rsidR="009C147B" w:rsidRDefault="009C147B" w:rsidP="000F7CFB">
      <w:pPr>
        <w:spacing w:after="0" w:line="360" w:lineRule="auto"/>
        <w:contextualSpacing/>
        <w:jc w:val="both"/>
        <w:rPr>
          <w:rFonts w:ascii="Arial" w:hAnsi="Arial" w:cs="Arial"/>
          <w:sz w:val="24"/>
          <w:szCs w:val="24"/>
          <w:u w:val="single"/>
        </w:rPr>
      </w:pPr>
    </w:p>
    <w:p w:rsidR="00613E0F" w:rsidRPr="000F7CFB" w:rsidRDefault="00613E0F" w:rsidP="000F7CFB">
      <w:pPr>
        <w:spacing w:after="0" w:line="360" w:lineRule="auto"/>
        <w:contextualSpacing/>
        <w:jc w:val="both"/>
        <w:rPr>
          <w:rFonts w:ascii="Arial" w:hAnsi="Arial" w:cs="Arial"/>
          <w:sz w:val="24"/>
          <w:szCs w:val="24"/>
          <w:u w:val="single"/>
        </w:rPr>
      </w:pPr>
    </w:p>
    <w:p w:rsidR="004436F1" w:rsidRDefault="001F26EA" w:rsidP="000F7CFB">
      <w:pPr>
        <w:spacing w:after="0" w:line="360" w:lineRule="auto"/>
        <w:contextualSpacing/>
        <w:jc w:val="both"/>
        <w:rPr>
          <w:rFonts w:ascii="Arial" w:hAnsi="Arial" w:cs="Arial"/>
          <w:i/>
          <w:sz w:val="24"/>
          <w:szCs w:val="24"/>
        </w:rPr>
      </w:pPr>
      <w:r w:rsidRPr="000F7CFB">
        <w:rPr>
          <w:rFonts w:ascii="Arial" w:hAnsi="Arial" w:cs="Arial"/>
          <w:i/>
          <w:sz w:val="24"/>
          <w:szCs w:val="24"/>
        </w:rPr>
        <w:lastRenderedPageBreak/>
        <w:t>Grounds of review</w:t>
      </w:r>
    </w:p>
    <w:p w:rsidR="000F7CFB" w:rsidRPr="000F7CFB" w:rsidRDefault="000F7CFB" w:rsidP="000F7CFB">
      <w:pPr>
        <w:spacing w:after="0" w:line="360" w:lineRule="auto"/>
        <w:contextualSpacing/>
        <w:jc w:val="both"/>
        <w:rPr>
          <w:rFonts w:ascii="Arial" w:hAnsi="Arial" w:cs="Arial"/>
          <w:i/>
          <w:sz w:val="24"/>
          <w:szCs w:val="24"/>
        </w:rPr>
      </w:pPr>
    </w:p>
    <w:p w:rsidR="00241293" w:rsidRPr="000F7CFB" w:rsidRDefault="000F7CFB" w:rsidP="000F7CFB">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DD7D00" w:rsidRPr="000F7CFB">
        <w:rPr>
          <w:rFonts w:ascii="Arial" w:hAnsi="Arial" w:cs="Arial"/>
          <w:sz w:val="24"/>
          <w:szCs w:val="24"/>
        </w:rPr>
        <w:t>The</w:t>
      </w:r>
      <w:r w:rsidR="00CA0577" w:rsidRPr="000F7CFB">
        <w:rPr>
          <w:rFonts w:ascii="Arial" w:hAnsi="Arial" w:cs="Arial"/>
          <w:sz w:val="24"/>
          <w:szCs w:val="24"/>
        </w:rPr>
        <w:t xml:space="preserve"> applicants </w:t>
      </w:r>
      <w:r w:rsidR="00661054" w:rsidRPr="000F7CFB">
        <w:rPr>
          <w:rFonts w:ascii="Arial" w:hAnsi="Arial" w:cs="Arial"/>
          <w:sz w:val="24"/>
          <w:szCs w:val="24"/>
        </w:rPr>
        <w:t xml:space="preserve">objected </w:t>
      </w:r>
      <w:r w:rsidR="0019565A" w:rsidRPr="000F7CFB">
        <w:rPr>
          <w:rFonts w:ascii="Arial" w:hAnsi="Arial" w:cs="Arial"/>
          <w:sz w:val="24"/>
          <w:szCs w:val="24"/>
        </w:rPr>
        <w:t xml:space="preserve">against </w:t>
      </w:r>
      <w:r w:rsidR="002125DD" w:rsidRPr="000F7CFB">
        <w:rPr>
          <w:rFonts w:ascii="Arial" w:hAnsi="Arial" w:cs="Arial"/>
          <w:sz w:val="24"/>
          <w:szCs w:val="24"/>
        </w:rPr>
        <w:t>items 63 to 117, excluding items 72,</w:t>
      </w:r>
      <w:r w:rsidR="0019565A" w:rsidRPr="000F7CFB">
        <w:rPr>
          <w:rFonts w:ascii="Arial" w:hAnsi="Arial" w:cs="Arial"/>
          <w:sz w:val="24"/>
          <w:szCs w:val="24"/>
        </w:rPr>
        <w:t xml:space="preserve"> </w:t>
      </w:r>
      <w:r w:rsidR="002125DD" w:rsidRPr="000F7CFB">
        <w:rPr>
          <w:rFonts w:ascii="Arial" w:hAnsi="Arial" w:cs="Arial"/>
          <w:sz w:val="24"/>
          <w:szCs w:val="24"/>
        </w:rPr>
        <w:t>73, 74, 97</w:t>
      </w:r>
      <w:r w:rsidR="0089030D" w:rsidRPr="000F7CFB">
        <w:rPr>
          <w:rFonts w:ascii="Arial" w:hAnsi="Arial" w:cs="Arial"/>
          <w:sz w:val="24"/>
          <w:szCs w:val="24"/>
        </w:rPr>
        <w:t>, 98</w:t>
      </w:r>
      <w:r w:rsidR="002125DD" w:rsidRPr="000F7CFB">
        <w:rPr>
          <w:rFonts w:ascii="Arial" w:hAnsi="Arial" w:cs="Arial"/>
          <w:sz w:val="24"/>
          <w:szCs w:val="24"/>
        </w:rPr>
        <w:t xml:space="preserve">, 106, </w:t>
      </w:r>
      <w:r w:rsidR="00DD7D00" w:rsidRPr="000F7CFB">
        <w:rPr>
          <w:rFonts w:ascii="Arial" w:hAnsi="Arial" w:cs="Arial"/>
          <w:sz w:val="24"/>
          <w:szCs w:val="24"/>
        </w:rPr>
        <w:t>107,</w:t>
      </w:r>
      <w:r w:rsidR="00613E0F">
        <w:rPr>
          <w:rFonts w:ascii="Arial" w:hAnsi="Arial" w:cs="Arial"/>
          <w:sz w:val="24"/>
          <w:szCs w:val="24"/>
        </w:rPr>
        <w:t xml:space="preserve"> and 105.</w:t>
      </w:r>
    </w:p>
    <w:p w:rsidR="00241293" w:rsidRPr="000F7CFB" w:rsidRDefault="00241293" w:rsidP="000F7CFB">
      <w:pPr>
        <w:pStyle w:val="ListParagraph"/>
        <w:spacing w:after="0" w:line="360" w:lineRule="auto"/>
        <w:jc w:val="both"/>
        <w:rPr>
          <w:rFonts w:ascii="Arial" w:hAnsi="Arial" w:cs="Arial"/>
          <w:sz w:val="24"/>
          <w:szCs w:val="24"/>
        </w:rPr>
      </w:pPr>
    </w:p>
    <w:p w:rsidR="00CA0577" w:rsidRPr="000F7CFB" w:rsidRDefault="000F7CFB" w:rsidP="000F7CFB">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41293" w:rsidRPr="000F7CFB">
        <w:rPr>
          <w:rFonts w:ascii="Arial" w:hAnsi="Arial" w:cs="Arial"/>
          <w:sz w:val="24"/>
          <w:szCs w:val="24"/>
        </w:rPr>
        <w:t xml:space="preserve">The objection in respect of all the items relate to the hourly rate of N$ </w:t>
      </w:r>
      <w:r w:rsidR="0089030D" w:rsidRPr="000F7CFB">
        <w:rPr>
          <w:rFonts w:ascii="Arial" w:hAnsi="Arial" w:cs="Arial"/>
          <w:sz w:val="24"/>
          <w:szCs w:val="24"/>
        </w:rPr>
        <w:t>3000.00 charged</w:t>
      </w:r>
      <w:r w:rsidR="00241293" w:rsidRPr="000F7CFB">
        <w:rPr>
          <w:rFonts w:ascii="Arial" w:hAnsi="Arial" w:cs="Arial"/>
          <w:sz w:val="24"/>
          <w:szCs w:val="24"/>
        </w:rPr>
        <w:t xml:space="preserve"> by </w:t>
      </w:r>
      <w:r w:rsidR="000321A7">
        <w:rPr>
          <w:rFonts w:ascii="Arial" w:hAnsi="Arial" w:cs="Arial"/>
          <w:sz w:val="24"/>
          <w:szCs w:val="24"/>
        </w:rPr>
        <w:t xml:space="preserve">the senior instructed counsel. </w:t>
      </w:r>
      <w:r w:rsidR="0019565A" w:rsidRPr="000F7CFB">
        <w:rPr>
          <w:rFonts w:ascii="Arial" w:hAnsi="Arial" w:cs="Arial"/>
          <w:sz w:val="24"/>
          <w:szCs w:val="24"/>
        </w:rPr>
        <w:t xml:space="preserve">The Taxing Officer disallowed the rate </w:t>
      </w:r>
      <w:r w:rsidR="00661054" w:rsidRPr="000F7CFB">
        <w:rPr>
          <w:rFonts w:ascii="Arial" w:hAnsi="Arial" w:cs="Arial"/>
          <w:sz w:val="24"/>
          <w:szCs w:val="24"/>
        </w:rPr>
        <w:t xml:space="preserve">and taxed it down to </w:t>
      </w:r>
      <w:r w:rsidR="001B6CAB" w:rsidRPr="000F7CFB">
        <w:rPr>
          <w:rFonts w:ascii="Arial" w:hAnsi="Arial" w:cs="Arial"/>
          <w:sz w:val="24"/>
          <w:szCs w:val="24"/>
        </w:rPr>
        <w:t>N$ 1800.</w:t>
      </w:r>
      <w:r w:rsidR="0019565A" w:rsidRPr="000F7CFB">
        <w:rPr>
          <w:rFonts w:ascii="Arial" w:hAnsi="Arial" w:cs="Arial"/>
          <w:sz w:val="24"/>
          <w:szCs w:val="24"/>
        </w:rPr>
        <w:t>0</w:t>
      </w:r>
      <w:r w:rsidR="00FE3928" w:rsidRPr="000F7CFB">
        <w:rPr>
          <w:rFonts w:ascii="Arial" w:hAnsi="Arial" w:cs="Arial"/>
          <w:sz w:val="24"/>
          <w:szCs w:val="24"/>
        </w:rPr>
        <w:t>0 per hour</w:t>
      </w:r>
      <w:r w:rsidR="00661054" w:rsidRPr="000F7CFB">
        <w:rPr>
          <w:rFonts w:ascii="Arial" w:hAnsi="Arial" w:cs="Arial"/>
          <w:sz w:val="24"/>
          <w:szCs w:val="24"/>
        </w:rPr>
        <w:t xml:space="preserve"> for the senior instructed counsel</w:t>
      </w:r>
      <w:r w:rsidR="00FE3928" w:rsidRPr="000F7CFB">
        <w:rPr>
          <w:rFonts w:ascii="Arial" w:hAnsi="Arial" w:cs="Arial"/>
          <w:sz w:val="24"/>
          <w:szCs w:val="24"/>
        </w:rPr>
        <w:t xml:space="preserve"> and </w:t>
      </w:r>
      <w:r w:rsidR="00661054" w:rsidRPr="000F7CFB">
        <w:rPr>
          <w:rFonts w:ascii="Arial" w:hAnsi="Arial" w:cs="Arial"/>
          <w:sz w:val="24"/>
          <w:szCs w:val="24"/>
        </w:rPr>
        <w:t>N$ 900</w:t>
      </w:r>
      <w:r w:rsidR="001B6CAB" w:rsidRPr="000F7CFB">
        <w:rPr>
          <w:rFonts w:ascii="Arial" w:hAnsi="Arial" w:cs="Arial"/>
          <w:sz w:val="24"/>
          <w:szCs w:val="24"/>
        </w:rPr>
        <w:t>.</w:t>
      </w:r>
      <w:r w:rsidR="00661054" w:rsidRPr="000F7CFB">
        <w:rPr>
          <w:rFonts w:ascii="Arial" w:hAnsi="Arial" w:cs="Arial"/>
          <w:sz w:val="24"/>
          <w:szCs w:val="24"/>
        </w:rPr>
        <w:t>00 for the junior instructed counsel.</w:t>
      </w:r>
    </w:p>
    <w:p w:rsidR="00694D64" w:rsidRPr="000F7CFB" w:rsidRDefault="00694D64" w:rsidP="000F7CFB">
      <w:pPr>
        <w:pStyle w:val="ListParagraph"/>
        <w:spacing w:after="0" w:line="360" w:lineRule="auto"/>
        <w:rPr>
          <w:rFonts w:ascii="Arial" w:hAnsi="Arial" w:cs="Arial"/>
          <w:sz w:val="24"/>
          <w:szCs w:val="24"/>
        </w:rPr>
      </w:pPr>
    </w:p>
    <w:p w:rsidR="00E43CF2" w:rsidRPr="000F7CFB" w:rsidRDefault="000F7CFB" w:rsidP="000F7CFB">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43CF2" w:rsidRPr="000F7CFB">
        <w:rPr>
          <w:rFonts w:ascii="Arial" w:hAnsi="Arial" w:cs="Arial"/>
          <w:sz w:val="24"/>
          <w:szCs w:val="24"/>
        </w:rPr>
        <w:t xml:space="preserve">The </w:t>
      </w:r>
      <w:r w:rsidR="00661054" w:rsidRPr="000F7CFB">
        <w:rPr>
          <w:rFonts w:ascii="Arial" w:hAnsi="Arial" w:cs="Arial"/>
          <w:sz w:val="24"/>
          <w:szCs w:val="24"/>
        </w:rPr>
        <w:t>applicants grounded their review on the basis that</w:t>
      </w:r>
      <w:r w:rsidR="001B6CAB" w:rsidRPr="000F7CFB">
        <w:rPr>
          <w:rFonts w:ascii="Arial" w:hAnsi="Arial" w:cs="Arial"/>
          <w:sz w:val="24"/>
          <w:szCs w:val="24"/>
        </w:rPr>
        <w:t xml:space="preserve"> the matter</w:t>
      </w:r>
      <w:r w:rsidR="000336CF" w:rsidRPr="000F7CFB">
        <w:rPr>
          <w:rFonts w:ascii="Arial" w:hAnsi="Arial" w:cs="Arial"/>
          <w:sz w:val="24"/>
          <w:szCs w:val="24"/>
        </w:rPr>
        <w:t xml:space="preserve"> was exceptional and extraordinary and therefore </w:t>
      </w:r>
      <w:r w:rsidR="00661054" w:rsidRPr="000F7CFB">
        <w:rPr>
          <w:rFonts w:ascii="Arial" w:hAnsi="Arial" w:cs="Arial"/>
          <w:sz w:val="24"/>
          <w:szCs w:val="24"/>
        </w:rPr>
        <w:t>justifi</w:t>
      </w:r>
      <w:r w:rsidR="000336CF" w:rsidRPr="000F7CFB">
        <w:rPr>
          <w:rFonts w:ascii="Arial" w:hAnsi="Arial" w:cs="Arial"/>
          <w:sz w:val="24"/>
          <w:szCs w:val="24"/>
        </w:rPr>
        <w:t xml:space="preserve">ed a deviation from the tariffs. </w:t>
      </w:r>
      <w:r w:rsidR="00BC0FC9" w:rsidRPr="000F7CFB">
        <w:rPr>
          <w:rFonts w:ascii="Arial" w:hAnsi="Arial" w:cs="Arial"/>
          <w:sz w:val="24"/>
          <w:szCs w:val="24"/>
        </w:rPr>
        <w:t>It was motivated with factors placed before the t</w:t>
      </w:r>
      <w:r w:rsidR="000336CF" w:rsidRPr="000F7CFB">
        <w:rPr>
          <w:rFonts w:ascii="Arial" w:hAnsi="Arial" w:cs="Arial"/>
          <w:sz w:val="24"/>
          <w:szCs w:val="24"/>
        </w:rPr>
        <w:t xml:space="preserve">axing officer </w:t>
      </w:r>
      <w:r w:rsidR="00BC0FC9" w:rsidRPr="000F7CFB">
        <w:rPr>
          <w:rFonts w:ascii="Arial" w:hAnsi="Arial" w:cs="Arial"/>
          <w:sz w:val="24"/>
          <w:szCs w:val="24"/>
        </w:rPr>
        <w:t xml:space="preserve">such as </w:t>
      </w:r>
      <w:r w:rsidR="000336CF" w:rsidRPr="000F7CFB">
        <w:rPr>
          <w:rFonts w:ascii="Arial" w:hAnsi="Arial" w:cs="Arial"/>
          <w:sz w:val="24"/>
          <w:szCs w:val="24"/>
        </w:rPr>
        <w:t>complexity, the nature of the matter insofar as it entailed change and impact on the insurance industry as a whole, extra research and</w:t>
      </w:r>
      <w:r w:rsidR="00EE574F" w:rsidRPr="000F7CFB">
        <w:rPr>
          <w:rFonts w:ascii="Arial" w:hAnsi="Arial" w:cs="Arial"/>
          <w:sz w:val="24"/>
          <w:szCs w:val="24"/>
        </w:rPr>
        <w:t xml:space="preserve"> </w:t>
      </w:r>
      <w:r w:rsidR="000336CF" w:rsidRPr="000F7CFB">
        <w:rPr>
          <w:rFonts w:ascii="Arial" w:hAnsi="Arial" w:cs="Arial"/>
          <w:sz w:val="24"/>
          <w:szCs w:val="24"/>
        </w:rPr>
        <w:t>consultation were necessary</w:t>
      </w:r>
      <w:r w:rsidR="00EE574F" w:rsidRPr="000F7CFB">
        <w:rPr>
          <w:rFonts w:ascii="Arial" w:hAnsi="Arial" w:cs="Arial"/>
          <w:sz w:val="24"/>
          <w:szCs w:val="24"/>
        </w:rPr>
        <w:t xml:space="preserve"> and that </w:t>
      </w:r>
      <w:r w:rsidR="00B54160">
        <w:rPr>
          <w:rFonts w:ascii="Arial" w:hAnsi="Arial" w:cs="Arial"/>
          <w:sz w:val="24"/>
          <w:szCs w:val="24"/>
        </w:rPr>
        <w:t>t</w:t>
      </w:r>
      <w:r w:rsidR="00EE574F" w:rsidRPr="000F7CFB">
        <w:rPr>
          <w:rFonts w:ascii="Arial" w:hAnsi="Arial" w:cs="Arial"/>
          <w:sz w:val="24"/>
          <w:szCs w:val="24"/>
        </w:rPr>
        <w:t xml:space="preserve">he matter cannot be treated like </w:t>
      </w:r>
      <w:r w:rsidR="0089030D" w:rsidRPr="000F7CFB">
        <w:rPr>
          <w:rFonts w:ascii="Arial" w:hAnsi="Arial" w:cs="Arial"/>
          <w:sz w:val="24"/>
          <w:szCs w:val="24"/>
        </w:rPr>
        <w:t>a</w:t>
      </w:r>
      <w:r w:rsidR="00EE574F" w:rsidRPr="000F7CFB">
        <w:rPr>
          <w:rFonts w:ascii="Arial" w:hAnsi="Arial" w:cs="Arial"/>
          <w:sz w:val="24"/>
          <w:szCs w:val="24"/>
        </w:rPr>
        <w:t xml:space="preserve"> run of the mill motor vehicle accident case.</w:t>
      </w:r>
    </w:p>
    <w:p w:rsidR="00694D64" w:rsidRPr="000F7CFB" w:rsidRDefault="00694D64" w:rsidP="000F7CFB">
      <w:pPr>
        <w:pStyle w:val="ListParagraph"/>
        <w:spacing w:after="0" w:line="360" w:lineRule="auto"/>
        <w:rPr>
          <w:rFonts w:ascii="Arial" w:hAnsi="Arial" w:cs="Arial"/>
          <w:sz w:val="24"/>
          <w:szCs w:val="24"/>
        </w:rPr>
      </w:pPr>
    </w:p>
    <w:p w:rsidR="00D9462B" w:rsidRPr="000F7CFB" w:rsidRDefault="000F7CFB" w:rsidP="000F7CFB">
      <w:pPr>
        <w:spacing w:after="0" w:line="360" w:lineRule="auto"/>
        <w:jc w:val="both"/>
        <w:rPr>
          <w:rFonts w:ascii="Arial" w:hAnsi="Arial" w:cs="Arial"/>
          <w:sz w:val="24"/>
          <w:szCs w:val="24"/>
          <w:u w:val="single"/>
        </w:rPr>
      </w:pPr>
      <w:r>
        <w:rPr>
          <w:rFonts w:ascii="Arial" w:hAnsi="Arial" w:cs="Arial"/>
          <w:sz w:val="24"/>
          <w:szCs w:val="24"/>
        </w:rPr>
        <w:t>[8]</w:t>
      </w:r>
      <w:r>
        <w:rPr>
          <w:rFonts w:ascii="Arial" w:hAnsi="Arial" w:cs="Arial"/>
          <w:sz w:val="24"/>
          <w:szCs w:val="24"/>
        </w:rPr>
        <w:tab/>
      </w:r>
      <w:r w:rsidR="00661054" w:rsidRPr="000F7CFB">
        <w:rPr>
          <w:rFonts w:ascii="Arial" w:hAnsi="Arial" w:cs="Arial"/>
          <w:sz w:val="24"/>
          <w:szCs w:val="24"/>
        </w:rPr>
        <w:t>The applicants</w:t>
      </w:r>
      <w:r w:rsidR="009C147B" w:rsidRPr="000F7CFB">
        <w:rPr>
          <w:rFonts w:ascii="Arial" w:hAnsi="Arial" w:cs="Arial"/>
          <w:sz w:val="24"/>
          <w:szCs w:val="24"/>
        </w:rPr>
        <w:t>’</w:t>
      </w:r>
      <w:r w:rsidR="00661054" w:rsidRPr="000F7CFB">
        <w:rPr>
          <w:rFonts w:ascii="Arial" w:hAnsi="Arial" w:cs="Arial"/>
          <w:sz w:val="24"/>
          <w:szCs w:val="24"/>
        </w:rPr>
        <w:t xml:space="preserve"> </w:t>
      </w:r>
      <w:r w:rsidR="000A2977" w:rsidRPr="000F7CFB">
        <w:rPr>
          <w:rFonts w:ascii="Arial" w:hAnsi="Arial" w:cs="Arial"/>
          <w:sz w:val="24"/>
          <w:szCs w:val="24"/>
        </w:rPr>
        <w:t>c</w:t>
      </w:r>
      <w:r w:rsidR="00E43CF2" w:rsidRPr="000F7CFB">
        <w:rPr>
          <w:rFonts w:ascii="Arial" w:hAnsi="Arial" w:cs="Arial"/>
          <w:sz w:val="24"/>
          <w:szCs w:val="24"/>
        </w:rPr>
        <w:t>ontention was that the taxing o</w:t>
      </w:r>
      <w:r w:rsidR="000C7B96" w:rsidRPr="000F7CFB">
        <w:rPr>
          <w:rFonts w:ascii="Arial" w:hAnsi="Arial" w:cs="Arial"/>
          <w:sz w:val="24"/>
          <w:szCs w:val="24"/>
        </w:rPr>
        <w:t xml:space="preserve">fficer agreed that the matter was </w:t>
      </w:r>
      <w:r w:rsidR="00B44424" w:rsidRPr="000F7CFB">
        <w:rPr>
          <w:rFonts w:ascii="Arial" w:hAnsi="Arial" w:cs="Arial"/>
          <w:sz w:val="24"/>
          <w:szCs w:val="24"/>
        </w:rPr>
        <w:t xml:space="preserve">complex but failed to appreciate that she had a discretion in terms </w:t>
      </w:r>
      <w:r w:rsidR="00145146">
        <w:rPr>
          <w:rFonts w:ascii="Arial" w:hAnsi="Arial" w:cs="Arial"/>
          <w:sz w:val="24"/>
          <w:szCs w:val="24"/>
        </w:rPr>
        <w:t>of</w:t>
      </w:r>
      <w:r w:rsidR="00B44424" w:rsidRPr="000F7CFB">
        <w:rPr>
          <w:rFonts w:ascii="Arial" w:hAnsi="Arial" w:cs="Arial"/>
          <w:sz w:val="24"/>
          <w:szCs w:val="24"/>
        </w:rPr>
        <w:t xml:space="preserve"> rule 125</w:t>
      </w:r>
      <w:r w:rsidR="00B25BC6">
        <w:rPr>
          <w:rFonts w:ascii="Arial" w:hAnsi="Arial" w:cs="Arial"/>
          <w:sz w:val="24"/>
          <w:szCs w:val="24"/>
        </w:rPr>
        <w:t>(1)</w:t>
      </w:r>
      <w:r w:rsidR="00145146">
        <w:rPr>
          <w:rFonts w:ascii="Arial" w:hAnsi="Arial" w:cs="Arial"/>
          <w:sz w:val="24"/>
          <w:szCs w:val="24"/>
        </w:rPr>
        <w:t xml:space="preserve"> and </w:t>
      </w:r>
      <w:r w:rsidR="00B44424" w:rsidRPr="000F7CFB">
        <w:rPr>
          <w:rFonts w:ascii="Arial" w:hAnsi="Arial" w:cs="Arial"/>
          <w:sz w:val="24"/>
          <w:szCs w:val="24"/>
        </w:rPr>
        <w:t>rule 125(7) to depart from the prescribed tariffs.</w:t>
      </w:r>
      <w:r w:rsidR="00E43CF2" w:rsidRPr="000F7CFB">
        <w:rPr>
          <w:rFonts w:ascii="Arial" w:hAnsi="Arial" w:cs="Arial"/>
          <w:sz w:val="24"/>
          <w:szCs w:val="24"/>
        </w:rPr>
        <w:t xml:space="preserve"> The argument was thus that the </w:t>
      </w:r>
      <w:r w:rsidR="004E054A" w:rsidRPr="000F7CFB">
        <w:rPr>
          <w:rFonts w:ascii="Arial" w:hAnsi="Arial" w:cs="Arial"/>
          <w:sz w:val="24"/>
          <w:szCs w:val="24"/>
        </w:rPr>
        <w:t>taxing officer was wrong in maintaining that there can be no depart</w:t>
      </w:r>
      <w:r w:rsidR="009A5D3F">
        <w:rPr>
          <w:rFonts w:ascii="Arial" w:hAnsi="Arial" w:cs="Arial"/>
          <w:sz w:val="24"/>
          <w:szCs w:val="24"/>
        </w:rPr>
        <w:t>ure from the prescribed tariff.</w:t>
      </w:r>
    </w:p>
    <w:p w:rsidR="002125DD" w:rsidRPr="000F7CFB" w:rsidRDefault="002125DD" w:rsidP="000F7CFB">
      <w:pPr>
        <w:spacing w:after="0" w:line="360" w:lineRule="auto"/>
        <w:contextualSpacing/>
        <w:jc w:val="both"/>
        <w:rPr>
          <w:rFonts w:ascii="Arial" w:hAnsi="Arial" w:cs="Arial"/>
          <w:sz w:val="24"/>
          <w:szCs w:val="24"/>
          <w:u w:val="single"/>
        </w:rPr>
      </w:pPr>
    </w:p>
    <w:p w:rsidR="00CA0577" w:rsidRPr="000F7CFB" w:rsidRDefault="00A525F8" w:rsidP="000F7CFB">
      <w:pPr>
        <w:spacing w:after="0" w:line="360" w:lineRule="auto"/>
        <w:contextualSpacing/>
        <w:jc w:val="both"/>
        <w:rPr>
          <w:rFonts w:ascii="Arial" w:hAnsi="Arial" w:cs="Arial"/>
          <w:i/>
          <w:sz w:val="24"/>
          <w:szCs w:val="24"/>
        </w:rPr>
      </w:pPr>
      <w:r w:rsidRPr="000F7CFB">
        <w:rPr>
          <w:rFonts w:ascii="Arial" w:hAnsi="Arial" w:cs="Arial"/>
          <w:i/>
          <w:sz w:val="24"/>
          <w:szCs w:val="24"/>
        </w:rPr>
        <w:t>Taxing officer</w:t>
      </w:r>
      <w:r w:rsidR="000F7CFB">
        <w:rPr>
          <w:rFonts w:ascii="Arial" w:hAnsi="Arial" w:cs="Arial"/>
          <w:i/>
          <w:sz w:val="24"/>
          <w:szCs w:val="24"/>
        </w:rPr>
        <w:t>’s ruling</w:t>
      </w:r>
    </w:p>
    <w:p w:rsidR="001F26EA" w:rsidRPr="000F7CFB" w:rsidRDefault="001F26EA" w:rsidP="000F7CFB">
      <w:pPr>
        <w:spacing w:after="0" w:line="360" w:lineRule="auto"/>
        <w:contextualSpacing/>
        <w:jc w:val="both"/>
        <w:rPr>
          <w:rFonts w:ascii="Arial" w:hAnsi="Arial" w:cs="Arial"/>
          <w:i/>
          <w:sz w:val="24"/>
          <w:szCs w:val="24"/>
        </w:rPr>
      </w:pPr>
    </w:p>
    <w:p w:rsidR="00781D2B" w:rsidRPr="000F7CFB" w:rsidRDefault="000F7CFB" w:rsidP="000F7CFB">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A525F8" w:rsidRPr="000F7CFB">
        <w:rPr>
          <w:rFonts w:ascii="Arial" w:hAnsi="Arial" w:cs="Arial"/>
          <w:sz w:val="24"/>
          <w:szCs w:val="24"/>
        </w:rPr>
        <w:t xml:space="preserve">The </w:t>
      </w:r>
      <w:r w:rsidR="00C77BA3" w:rsidRPr="000F7CFB">
        <w:rPr>
          <w:rFonts w:ascii="Arial" w:hAnsi="Arial" w:cs="Arial"/>
          <w:sz w:val="24"/>
          <w:szCs w:val="24"/>
        </w:rPr>
        <w:t xml:space="preserve">sum of what is contained in the </w:t>
      </w:r>
      <w:r w:rsidR="00A525F8" w:rsidRPr="000F7CFB">
        <w:rPr>
          <w:rFonts w:ascii="Arial" w:hAnsi="Arial" w:cs="Arial"/>
          <w:sz w:val="24"/>
          <w:szCs w:val="24"/>
        </w:rPr>
        <w:t xml:space="preserve">stated case </w:t>
      </w:r>
      <w:r w:rsidR="00B0776A" w:rsidRPr="000F7CFB">
        <w:rPr>
          <w:rFonts w:ascii="Arial" w:hAnsi="Arial" w:cs="Arial"/>
          <w:sz w:val="24"/>
          <w:szCs w:val="24"/>
        </w:rPr>
        <w:t>by the taxing officer is rather scant</w:t>
      </w:r>
      <w:r w:rsidR="00C77BA3" w:rsidRPr="000F7CFB">
        <w:rPr>
          <w:rFonts w:ascii="Arial" w:hAnsi="Arial" w:cs="Arial"/>
          <w:sz w:val="24"/>
          <w:szCs w:val="24"/>
        </w:rPr>
        <w:t xml:space="preserve">. There is only </w:t>
      </w:r>
      <w:r w:rsidR="00B0776A" w:rsidRPr="000F7CFB">
        <w:rPr>
          <w:rFonts w:ascii="Arial" w:hAnsi="Arial" w:cs="Arial"/>
          <w:sz w:val="24"/>
          <w:szCs w:val="24"/>
        </w:rPr>
        <w:t>one sent</w:t>
      </w:r>
      <w:r w:rsidR="00D76308" w:rsidRPr="000F7CFB">
        <w:rPr>
          <w:rFonts w:ascii="Arial" w:hAnsi="Arial" w:cs="Arial"/>
          <w:sz w:val="24"/>
          <w:szCs w:val="24"/>
        </w:rPr>
        <w:t xml:space="preserve">ence </w:t>
      </w:r>
      <w:r w:rsidR="0010189F">
        <w:rPr>
          <w:rFonts w:ascii="Arial" w:hAnsi="Arial" w:cs="Arial"/>
          <w:sz w:val="24"/>
          <w:szCs w:val="24"/>
        </w:rPr>
        <w:t xml:space="preserve">in paragraph 4 </w:t>
      </w:r>
      <w:r w:rsidR="00B0776A" w:rsidRPr="000F7CFB">
        <w:rPr>
          <w:rFonts w:ascii="Arial" w:hAnsi="Arial" w:cs="Arial"/>
          <w:sz w:val="24"/>
          <w:szCs w:val="24"/>
        </w:rPr>
        <w:t xml:space="preserve">that </w:t>
      </w:r>
      <w:r w:rsidR="001F26EA" w:rsidRPr="000F7CFB">
        <w:rPr>
          <w:rFonts w:ascii="Arial" w:hAnsi="Arial" w:cs="Arial"/>
          <w:sz w:val="24"/>
          <w:szCs w:val="24"/>
        </w:rPr>
        <w:t xml:space="preserve">refers to </w:t>
      </w:r>
      <w:r w:rsidR="000A2977" w:rsidRPr="000F7CFB">
        <w:rPr>
          <w:rFonts w:ascii="Arial" w:hAnsi="Arial" w:cs="Arial"/>
          <w:sz w:val="24"/>
          <w:szCs w:val="24"/>
        </w:rPr>
        <w:t>the reasoning</w:t>
      </w:r>
      <w:r w:rsidR="00D76308" w:rsidRPr="000F7CFB">
        <w:rPr>
          <w:rFonts w:ascii="Arial" w:hAnsi="Arial" w:cs="Arial"/>
          <w:sz w:val="24"/>
          <w:szCs w:val="24"/>
        </w:rPr>
        <w:t xml:space="preserve"> </w:t>
      </w:r>
      <w:r w:rsidR="00067980">
        <w:rPr>
          <w:rFonts w:ascii="Arial" w:hAnsi="Arial" w:cs="Arial"/>
          <w:sz w:val="24"/>
          <w:szCs w:val="24"/>
        </w:rPr>
        <w:t>in the matter</w:t>
      </w:r>
      <w:r w:rsidR="0010189F">
        <w:rPr>
          <w:rFonts w:ascii="Arial" w:hAnsi="Arial" w:cs="Arial"/>
          <w:sz w:val="24"/>
          <w:szCs w:val="24"/>
        </w:rPr>
        <w:t xml:space="preserve"> by the taxing officer. Therein it is stated that, t</w:t>
      </w:r>
      <w:r w:rsidR="00A525F8" w:rsidRPr="000F7CFB">
        <w:rPr>
          <w:rFonts w:ascii="Arial" w:hAnsi="Arial" w:cs="Arial"/>
          <w:sz w:val="24"/>
          <w:szCs w:val="24"/>
        </w:rPr>
        <w:t>he taxing officer</w:t>
      </w:r>
      <w:r w:rsidR="00A56613">
        <w:rPr>
          <w:rFonts w:ascii="Arial" w:hAnsi="Arial" w:cs="Arial"/>
          <w:sz w:val="24"/>
          <w:szCs w:val="24"/>
        </w:rPr>
        <w:t>’s</w:t>
      </w:r>
      <w:r w:rsidR="00A525F8" w:rsidRPr="000F7CFB">
        <w:rPr>
          <w:rFonts w:ascii="Arial" w:hAnsi="Arial" w:cs="Arial"/>
          <w:sz w:val="24"/>
          <w:szCs w:val="24"/>
        </w:rPr>
        <w:t xml:space="preserve"> discretion applied </w:t>
      </w:r>
      <w:r w:rsidR="00A56613">
        <w:rPr>
          <w:rFonts w:ascii="Arial" w:hAnsi="Arial" w:cs="Arial"/>
          <w:sz w:val="24"/>
          <w:szCs w:val="24"/>
        </w:rPr>
        <w:t xml:space="preserve">to </w:t>
      </w:r>
      <w:r w:rsidR="00A525F8" w:rsidRPr="000F7CFB">
        <w:rPr>
          <w:rFonts w:ascii="Arial" w:hAnsi="Arial" w:cs="Arial"/>
          <w:sz w:val="24"/>
          <w:szCs w:val="24"/>
        </w:rPr>
        <w:t xml:space="preserve">paragraph </w:t>
      </w:r>
      <w:r w:rsidR="00A467B8" w:rsidRPr="000F7CFB">
        <w:rPr>
          <w:rFonts w:ascii="Arial" w:hAnsi="Arial" w:cs="Arial"/>
          <w:sz w:val="24"/>
          <w:szCs w:val="24"/>
        </w:rPr>
        <w:t>5 of S</w:t>
      </w:r>
      <w:r w:rsidR="00A525F8" w:rsidRPr="000F7CFB">
        <w:rPr>
          <w:rFonts w:ascii="Arial" w:hAnsi="Arial" w:cs="Arial"/>
          <w:sz w:val="24"/>
          <w:szCs w:val="24"/>
        </w:rPr>
        <w:t>ection A and the maximum tariff</w:t>
      </w:r>
      <w:r w:rsidR="00151751">
        <w:rPr>
          <w:rFonts w:ascii="Arial" w:hAnsi="Arial" w:cs="Arial"/>
          <w:sz w:val="24"/>
          <w:szCs w:val="24"/>
        </w:rPr>
        <w:t>s</w:t>
      </w:r>
      <w:r w:rsidR="00A525F8" w:rsidRPr="000F7CFB">
        <w:rPr>
          <w:rFonts w:ascii="Arial" w:hAnsi="Arial" w:cs="Arial"/>
          <w:sz w:val="24"/>
          <w:szCs w:val="24"/>
        </w:rPr>
        <w:t xml:space="preserve"> in </w:t>
      </w:r>
      <w:r w:rsidR="00A467B8" w:rsidRPr="000F7CFB">
        <w:rPr>
          <w:rFonts w:ascii="Arial" w:hAnsi="Arial" w:cs="Arial"/>
          <w:sz w:val="24"/>
          <w:szCs w:val="24"/>
        </w:rPr>
        <w:t>S</w:t>
      </w:r>
      <w:r w:rsidR="00A525F8" w:rsidRPr="000F7CFB">
        <w:rPr>
          <w:rFonts w:ascii="Arial" w:hAnsi="Arial" w:cs="Arial"/>
          <w:sz w:val="24"/>
          <w:szCs w:val="24"/>
        </w:rPr>
        <w:t xml:space="preserve">ection </w:t>
      </w:r>
      <w:r w:rsidR="00A467B8" w:rsidRPr="000F7CFB">
        <w:rPr>
          <w:rFonts w:ascii="Arial" w:hAnsi="Arial" w:cs="Arial"/>
          <w:sz w:val="24"/>
          <w:szCs w:val="24"/>
        </w:rPr>
        <w:t>B of Annexure E to rule that the maximum rate for the instructed legal practitioner shall be N$ 1800-00 per hour and N$ 900-00 per hour for the second instructed legal practitione</w:t>
      </w:r>
      <w:r w:rsidR="00067980">
        <w:rPr>
          <w:rFonts w:ascii="Arial" w:hAnsi="Arial" w:cs="Arial"/>
          <w:sz w:val="24"/>
          <w:szCs w:val="24"/>
        </w:rPr>
        <w:t>r as per party and party scale.</w:t>
      </w:r>
      <w:r w:rsidR="00F26C57" w:rsidRPr="000F7CFB">
        <w:rPr>
          <w:rFonts w:ascii="Arial" w:hAnsi="Arial" w:cs="Arial"/>
          <w:sz w:val="24"/>
          <w:szCs w:val="24"/>
        </w:rPr>
        <w:t xml:space="preserve"> Nothing else was stated </w:t>
      </w:r>
      <w:r w:rsidR="00D76308" w:rsidRPr="000F7CFB">
        <w:rPr>
          <w:rFonts w:ascii="Arial" w:hAnsi="Arial" w:cs="Arial"/>
          <w:sz w:val="24"/>
          <w:szCs w:val="24"/>
        </w:rPr>
        <w:t>in elaboration of the matter.</w:t>
      </w:r>
    </w:p>
    <w:p w:rsidR="00781D2B" w:rsidRDefault="00781D2B" w:rsidP="000F7CFB">
      <w:pPr>
        <w:spacing w:after="0" w:line="360" w:lineRule="auto"/>
        <w:contextualSpacing/>
        <w:jc w:val="both"/>
        <w:rPr>
          <w:rFonts w:ascii="Arial" w:hAnsi="Arial" w:cs="Arial"/>
          <w:i/>
          <w:sz w:val="24"/>
          <w:szCs w:val="24"/>
        </w:rPr>
      </w:pPr>
      <w:r w:rsidRPr="000F7CFB">
        <w:rPr>
          <w:rFonts w:ascii="Arial" w:hAnsi="Arial" w:cs="Arial"/>
          <w:i/>
          <w:sz w:val="24"/>
          <w:szCs w:val="24"/>
        </w:rPr>
        <w:lastRenderedPageBreak/>
        <w:t>The issue</w:t>
      </w:r>
    </w:p>
    <w:p w:rsidR="000F7CFB" w:rsidRPr="000F7CFB" w:rsidRDefault="000F7CFB" w:rsidP="000F7CFB">
      <w:pPr>
        <w:spacing w:after="0" w:line="360" w:lineRule="auto"/>
        <w:contextualSpacing/>
        <w:jc w:val="both"/>
        <w:rPr>
          <w:rFonts w:ascii="Arial" w:hAnsi="Arial" w:cs="Arial"/>
          <w:i/>
          <w:sz w:val="24"/>
          <w:szCs w:val="24"/>
        </w:rPr>
      </w:pPr>
    </w:p>
    <w:p w:rsidR="00517436" w:rsidRPr="000F7CFB" w:rsidRDefault="000F7CFB" w:rsidP="000F7CFB">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436F1" w:rsidRPr="000F7CFB">
        <w:rPr>
          <w:rFonts w:ascii="Arial" w:hAnsi="Arial" w:cs="Arial"/>
          <w:sz w:val="24"/>
          <w:szCs w:val="24"/>
        </w:rPr>
        <w:t>The applicants made it clear that there is no qualm with the taxing officer</w:t>
      </w:r>
      <w:r w:rsidR="00E03CBE" w:rsidRPr="000F7CFB">
        <w:rPr>
          <w:rFonts w:ascii="Arial" w:hAnsi="Arial" w:cs="Arial"/>
          <w:sz w:val="24"/>
          <w:szCs w:val="24"/>
        </w:rPr>
        <w:t>’s fixing of the junior counsel’s fee at the rate of half of the senior counsel’s fee, which provision is contained in paragraph 5 of</w:t>
      </w:r>
      <w:r w:rsidR="004436F1" w:rsidRPr="000F7CFB">
        <w:rPr>
          <w:rFonts w:ascii="Arial" w:hAnsi="Arial" w:cs="Arial"/>
          <w:sz w:val="24"/>
          <w:szCs w:val="24"/>
        </w:rPr>
        <w:t xml:space="preserve"> Section A of Annex</w:t>
      </w:r>
      <w:r w:rsidR="00E03CBE" w:rsidRPr="000F7CFB">
        <w:rPr>
          <w:rFonts w:ascii="Arial" w:hAnsi="Arial" w:cs="Arial"/>
          <w:sz w:val="24"/>
          <w:szCs w:val="24"/>
        </w:rPr>
        <w:t>ure E</w:t>
      </w:r>
      <w:r w:rsidR="004436F1" w:rsidRPr="000F7CFB">
        <w:rPr>
          <w:rFonts w:ascii="Arial" w:hAnsi="Arial" w:cs="Arial"/>
          <w:sz w:val="24"/>
          <w:szCs w:val="24"/>
        </w:rPr>
        <w:t xml:space="preserve"> to the Rules of the High Co</w:t>
      </w:r>
      <w:r w:rsidR="00E03CBE" w:rsidRPr="000F7CFB">
        <w:rPr>
          <w:rFonts w:ascii="Arial" w:hAnsi="Arial" w:cs="Arial"/>
          <w:sz w:val="24"/>
          <w:szCs w:val="24"/>
        </w:rPr>
        <w:t>urt.</w:t>
      </w:r>
    </w:p>
    <w:p w:rsidR="00694D64" w:rsidRPr="000F7CFB" w:rsidRDefault="00694D64" w:rsidP="000F7CFB">
      <w:pPr>
        <w:pStyle w:val="ListParagraph"/>
        <w:spacing w:after="0" w:line="360" w:lineRule="auto"/>
        <w:jc w:val="both"/>
        <w:rPr>
          <w:rFonts w:ascii="Arial" w:hAnsi="Arial" w:cs="Arial"/>
          <w:sz w:val="24"/>
          <w:szCs w:val="24"/>
        </w:rPr>
      </w:pPr>
    </w:p>
    <w:p w:rsidR="00781D2B" w:rsidRPr="000F7CFB" w:rsidRDefault="000F7CFB" w:rsidP="000F7CFB">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03CBE" w:rsidRPr="000F7CFB">
        <w:rPr>
          <w:rFonts w:ascii="Arial" w:hAnsi="Arial" w:cs="Arial"/>
          <w:sz w:val="24"/>
          <w:szCs w:val="24"/>
        </w:rPr>
        <w:t xml:space="preserve">The issue before the court is whether the taxing officer has a discretion on a </w:t>
      </w:r>
      <w:r w:rsidR="00B341AA" w:rsidRPr="000F7CFB">
        <w:rPr>
          <w:rFonts w:ascii="Arial" w:hAnsi="Arial" w:cs="Arial"/>
          <w:sz w:val="24"/>
          <w:szCs w:val="24"/>
        </w:rPr>
        <w:t xml:space="preserve">party and party basis to go higher than </w:t>
      </w:r>
      <w:r w:rsidR="00E03CBE" w:rsidRPr="000F7CFB">
        <w:rPr>
          <w:rFonts w:ascii="Arial" w:hAnsi="Arial" w:cs="Arial"/>
          <w:sz w:val="24"/>
          <w:szCs w:val="24"/>
        </w:rPr>
        <w:t>the maximum hourly fee for senior counsel which is set at N$ 1800-00 in Se</w:t>
      </w:r>
      <w:r w:rsidR="00461C5D">
        <w:rPr>
          <w:rFonts w:ascii="Arial" w:hAnsi="Arial" w:cs="Arial"/>
          <w:sz w:val="24"/>
          <w:szCs w:val="24"/>
        </w:rPr>
        <w:t>ction B of Annexure E.</w:t>
      </w:r>
    </w:p>
    <w:p w:rsidR="009C147B" w:rsidRPr="000F7CFB" w:rsidRDefault="009C147B" w:rsidP="000F7CFB">
      <w:pPr>
        <w:spacing w:after="0" w:line="360" w:lineRule="auto"/>
        <w:contextualSpacing/>
        <w:jc w:val="both"/>
        <w:rPr>
          <w:rFonts w:ascii="Arial" w:hAnsi="Arial" w:cs="Arial"/>
          <w:sz w:val="24"/>
          <w:szCs w:val="24"/>
          <w:u w:val="single"/>
        </w:rPr>
      </w:pPr>
    </w:p>
    <w:p w:rsidR="00781D2B" w:rsidRPr="000F7CFB" w:rsidRDefault="00AB7834" w:rsidP="000F7CFB">
      <w:pPr>
        <w:spacing w:after="0" w:line="360" w:lineRule="auto"/>
        <w:contextualSpacing/>
        <w:jc w:val="both"/>
        <w:rPr>
          <w:rFonts w:ascii="Arial" w:hAnsi="Arial" w:cs="Arial"/>
          <w:i/>
          <w:sz w:val="24"/>
          <w:szCs w:val="24"/>
        </w:rPr>
      </w:pPr>
      <w:r>
        <w:rPr>
          <w:rFonts w:ascii="Arial" w:hAnsi="Arial" w:cs="Arial"/>
          <w:i/>
          <w:sz w:val="24"/>
          <w:szCs w:val="24"/>
        </w:rPr>
        <w:t>The applicable principles</w:t>
      </w:r>
    </w:p>
    <w:p w:rsidR="001F26EA" w:rsidRPr="000F7CFB" w:rsidRDefault="001F26EA" w:rsidP="000F7CFB">
      <w:pPr>
        <w:spacing w:after="0" w:line="360" w:lineRule="auto"/>
        <w:contextualSpacing/>
        <w:jc w:val="both"/>
        <w:rPr>
          <w:rFonts w:ascii="Arial" w:hAnsi="Arial" w:cs="Arial"/>
          <w:i/>
          <w:sz w:val="24"/>
          <w:szCs w:val="24"/>
        </w:rPr>
      </w:pPr>
    </w:p>
    <w:p w:rsidR="00781D2B" w:rsidRPr="000F7CFB" w:rsidRDefault="000F7CFB" w:rsidP="000F7CFB">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177F1" w:rsidRPr="000F7CFB">
        <w:rPr>
          <w:rFonts w:ascii="Arial" w:hAnsi="Arial" w:cs="Arial"/>
          <w:sz w:val="24"/>
          <w:szCs w:val="24"/>
        </w:rPr>
        <w:t>Rule 125(1</w:t>
      </w:r>
      <w:r w:rsidR="007A1818" w:rsidRPr="000F7CFB">
        <w:rPr>
          <w:rFonts w:ascii="Arial" w:hAnsi="Arial" w:cs="Arial"/>
          <w:sz w:val="24"/>
          <w:szCs w:val="24"/>
        </w:rPr>
        <w:t>) of the rules of court constitutes the basis for taxation of a bill of cost by the taxing officer. The rule provides as follows:</w:t>
      </w:r>
    </w:p>
    <w:p w:rsidR="00082C48" w:rsidRPr="008132FC" w:rsidRDefault="008132FC" w:rsidP="000F7CFB">
      <w:pPr>
        <w:spacing w:after="0" w:line="360" w:lineRule="auto"/>
        <w:ind w:left="720"/>
        <w:contextualSpacing/>
        <w:jc w:val="both"/>
        <w:rPr>
          <w:rFonts w:ascii="Arial" w:hAnsi="Arial" w:cs="Arial"/>
        </w:rPr>
      </w:pPr>
      <w:r>
        <w:rPr>
          <w:rFonts w:ascii="Arial" w:hAnsi="Arial" w:cs="Arial"/>
        </w:rPr>
        <w:t>‘</w:t>
      </w:r>
      <w:r w:rsidR="009177F1" w:rsidRPr="008132FC">
        <w:rPr>
          <w:rFonts w:ascii="Arial" w:hAnsi="Arial" w:cs="Arial"/>
        </w:rPr>
        <w:t>The taxing o</w:t>
      </w:r>
      <w:r w:rsidR="004436F1" w:rsidRPr="008132FC">
        <w:rPr>
          <w:rFonts w:ascii="Arial" w:hAnsi="Arial" w:cs="Arial"/>
        </w:rPr>
        <w:t>fficer i</w:t>
      </w:r>
      <w:r w:rsidR="009177F1" w:rsidRPr="008132FC">
        <w:rPr>
          <w:rFonts w:ascii="Arial" w:hAnsi="Arial" w:cs="Arial"/>
        </w:rPr>
        <w:t>s, subject to rule 124, competent to tax a bill of costs</w:t>
      </w:r>
      <w:r w:rsidR="004436F1" w:rsidRPr="008132FC">
        <w:rPr>
          <w:rFonts w:ascii="Arial" w:hAnsi="Arial" w:cs="Arial"/>
        </w:rPr>
        <w:t xml:space="preserve"> for services actually rendered by a legal practitioner i</w:t>
      </w:r>
      <w:r w:rsidR="009177F1" w:rsidRPr="008132FC">
        <w:rPr>
          <w:rFonts w:ascii="Arial" w:hAnsi="Arial" w:cs="Arial"/>
        </w:rPr>
        <w:t>n connection with litigious work of the court and he or she must tax such bill</w:t>
      </w:r>
      <w:r w:rsidR="00B7377C">
        <w:rPr>
          <w:rFonts w:ascii="Arial" w:hAnsi="Arial" w:cs="Arial"/>
        </w:rPr>
        <w:t>,</w:t>
      </w:r>
      <w:r w:rsidR="009177F1" w:rsidRPr="008132FC">
        <w:rPr>
          <w:rFonts w:ascii="Arial" w:hAnsi="Arial" w:cs="Arial"/>
        </w:rPr>
        <w:t xml:space="preserve"> subject to subrules (7), (8) and (11), in accordance with the provisions contained in Annexures D and E</w:t>
      </w:r>
      <w:r w:rsidR="00B66E1E" w:rsidRPr="008132FC">
        <w:rPr>
          <w:rFonts w:ascii="Arial" w:hAnsi="Arial" w:cs="Arial"/>
        </w:rPr>
        <w:t>, except that the taxing officer may not tax costs in instances were some other officer is empowered to do so.</w:t>
      </w:r>
      <w:r>
        <w:rPr>
          <w:rFonts w:ascii="Arial" w:hAnsi="Arial" w:cs="Arial"/>
        </w:rPr>
        <w:t>’</w:t>
      </w:r>
    </w:p>
    <w:p w:rsidR="00664628" w:rsidRPr="008132FC" w:rsidRDefault="00664628" w:rsidP="000F7CFB">
      <w:pPr>
        <w:spacing w:after="0" w:line="360" w:lineRule="auto"/>
        <w:ind w:left="720"/>
        <w:contextualSpacing/>
        <w:jc w:val="both"/>
        <w:rPr>
          <w:rFonts w:ascii="Arial" w:hAnsi="Arial" w:cs="Arial"/>
        </w:rPr>
      </w:pPr>
    </w:p>
    <w:p w:rsidR="005C084F" w:rsidRPr="00664628" w:rsidRDefault="00664628" w:rsidP="00664628">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133A4" w:rsidRPr="00664628">
        <w:rPr>
          <w:rFonts w:ascii="Arial" w:hAnsi="Arial" w:cs="Arial"/>
          <w:sz w:val="24"/>
          <w:szCs w:val="24"/>
        </w:rPr>
        <w:t xml:space="preserve">It is apparent </w:t>
      </w:r>
      <w:r w:rsidR="005C084F" w:rsidRPr="00664628">
        <w:rPr>
          <w:rFonts w:ascii="Arial" w:hAnsi="Arial" w:cs="Arial"/>
          <w:sz w:val="24"/>
          <w:szCs w:val="24"/>
        </w:rPr>
        <w:t>that this</w:t>
      </w:r>
      <w:r w:rsidR="00A133A4" w:rsidRPr="00664628">
        <w:rPr>
          <w:rFonts w:ascii="Arial" w:hAnsi="Arial" w:cs="Arial"/>
          <w:sz w:val="24"/>
          <w:szCs w:val="24"/>
        </w:rPr>
        <w:t xml:space="preserve"> </w:t>
      </w:r>
      <w:r w:rsidR="005C084F" w:rsidRPr="00664628">
        <w:rPr>
          <w:rFonts w:ascii="Arial" w:hAnsi="Arial" w:cs="Arial"/>
          <w:sz w:val="24"/>
          <w:szCs w:val="24"/>
        </w:rPr>
        <w:t xml:space="preserve">rule incorporates rule 124, </w:t>
      </w:r>
      <w:r w:rsidR="00A133A4" w:rsidRPr="00664628">
        <w:rPr>
          <w:rFonts w:ascii="Arial" w:hAnsi="Arial" w:cs="Arial"/>
          <w:sz w:val="24"/>
          <w:szCs w:val="24"/>
        </w:rPr>
        <w:t>the tariffs in Annexures D and E as well as subrules (7), (8) and (11) as criter</w:t>
      </w:r>
      <w:r w:rsidR="005C084F" w:rsidRPr="00664628">
        <w:rPr>
          <w:rFonts w:ascii="Arial" w:hAnsi="Arial" w:cs="Arial"/>
          <w:sz w:val="24"/>
          <w:szCs w:val="24"/>
        </w:rPr>
        <w:t>ia that the taxing officer must follow in</w:t>
      </w:r>
      <w:r w:rsidR="000E0791">
        <w:rPr>
          <w:rFonts w:ascii="Arial" w:hAnsi="Arial" w:cs="Arial"/>
          <w:sz w:val="24"/>
          <w:szCs w:val="24"/>
        </w:rPr>
        <w:t xml:space="preserve"> the exercise of awarding cost.</w:t>
      </w:r>
    </w:p>
    <w:p w:rsidR="00694D64" w:rsidRPr="000F7CFB" w:rsidRDefault="00694D64" w:rsidP="000F7CFB">
      <w:pPr>
        <w:pStyle w:val="ListParagraph"/>
        <w:spacing w:after="0" w:line="360" w:lineRule="auto"/>
        <w:jc w:val="both"/>
        <w:rPr>
          <w:rFonts w:ascii="Arial" w:hAnsi="Arial" w:cs="Arial"/>
          <w:sz w:val="24"/>
          <w:szCs w:val="24"/>
        </w:rPr>
      </w:pPr>
    </w:p>
    <w:p w:rsidR="009177F1" w:rsidRPr="00804AF9" w:rsidRDefault="00804AF9" w:rsidP="00804AF9">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C084F" w:rsidRPr="00804AF9">
        <w:rPr>
          <w:rFonts w:ascii="Arial" w:hAnsi="Arial" w:cs="Arial"/>
          <w:sz w:val="24"/>
          <w:szCs w:val="24"/>
        </w:rPr>
        <w:t>Subrule 125(7) provides:</w:t>
      </w:r>
    </w:p>
    <w:p w:rsidR="009177F1" w:rsidRPr="009775C8" w:rsidRDefault="009775C8" w:rsidP="000F7CFB">
      <w:pPr>
        <w:spacing w:after="0" w:line="360" w:lineRule="auto"/>
        <w:ind w:left="720"/>
        <w:contextualSpacing/>
        <w:jc w:val="both"/>
        <w:rPr>
          <w:rFonts w:ascii="Arial" w:hAnsi="Arial" w:cs="Arial"/>
        </w:rPr>
      </w:pPr>
      <w:r>
        <w:rPr>
          <w:rFonts w:ascii="Arial" w:hAnsi="Arial" w:cs="Arial"/>
        </w:rPr>
        <w:t>‘</w:t>
      </w:r>
      <w:r w:rsidR="009177F1" w:rsidRPr="009775C8">
        <w:rPr>
          <w:rFonts w:ascii="Arial" w:hAnsi="Arial" w:cs="Arial"/>
        </w:rPr>
        <w:t xml:space="preserve">The taxing officer may at any time depart from any of the provisions on tariffs in this rule in extraordinary </w:t>
      </w:r>
      <w:r w:rsidR="00BA4C11" w:rsidRPr="009775C8">
        <w:rPr>
          <w:rFonts w:ascii="Arial" w:hAnsi="Arial" w:cs="Arial"/>
        </w:rPr>
        <w:t xml:space="preserve">or exceptional </w:t>
      </w:r>
      <w:r w:rsidR="009177F1" w:rsidRPr="009775C8">
        <w:rPr>
          <w:rFonts w:ascii="Arial" w:hAnsi="Arial" w:cs="Arial"/>
        </w:rPr>
        <w:t>cases when strict adherence to the provisions would be inequitable and unfair</w:t>
      </w:r>
      <w:r>
        <w:rPr>
          <w:rFonts w:ascii="Arial" w:hAnsi="Arial" w:cs="Arial"/>
        </w:rPr>
        <w:t>.’</w:t>
      </w:r>
    </w:p>
    <w:p w:rsidR="00781D2B" w:rsidRDefault="00781D2B" w:rsidP="000F7CFB">
      <w:pPr>
        <w:spacing w:after="0" w:line="360" w:lineRule="auto"/>
        <w:contextualSpacing/>
        <w:jc w:val="both"/>
        <w:rPr>
          <w:rFonts w:ascii="Arial" w:hAnsi="Arial" w:cs="Arial"/>
          <w:sz w:val="24"/>
          <w:szCs w:val="24"/>
        </w:rPr>
      </w:pPr>
    </w:p>
    <w:p w:rsidR="00581C23" w:rsidRDefault="00581C23" w:rsidP="000F7CFB">
      <w:pPr>
        <w:spacing w:after="0" w:line="360" w:lineRule="auto"/>
        <w:contextualSpacing/>
        <w:jc w:val="both"/>
        <w:rPr>
          <w:rFonts w:ascii="Arial" w:hAnsi="Arial" w:cs="Arial"/>
          <w:sz w:val="24"/>
          <w:szCs w:val="24"/>
        </w:rPr>
      </w:pPr>
    </w:p>
    <w:p w:rsidR="00581C23" w:rsidRDefault="00581C23" w:rsidP="000F7CFB">
      <w:pPr>
        <w:spacing w:after="0" w:line="360" w:lineRule="auto"/>
        <w:contextualSpacing/>
        <w:jc w:val="both"/>
        <w:rPr>
          <w:rFonts w:ascii="Arial" w:hAnsi="Arial" w:cs="Arial"/>
          <w:sz w:val="24"/>
          <w:szCs w:val="24"/>
        </w:rPr>
      </w:pPr>
    </w:p>
    <w:p w:rsidR="00581C23" w:rsidRPr="000F7CFB" w:rsidRDefault="00581C23" w:rsidP="000F7CFB">
      <w:pPr>
        <w:spacing w:after="0" w:line="360" w:lineRule="auto"/>
        <w:contextualSpacing/>
        <w:jc w:val="both"/>
        <w:rPr>
          <w:rFonts w:ascii="Arial" w:hAnsi="Arial" w:cs="Arial"/>
          <w:sz w:val="24"/>
          <w:szCs w:val="24"/>
        </w:rPr>
      </w:pPr>
    </w:p>
    <w:p w:rsidR="00B341AA" w:rsidRDefault="00804AF9" w:rsidP="000F7CFB">
      <w:pPr>
        <w:spacing w:after="0" w:line="360" w:lineRule="auto"/>
        <w:contextualSpacing/>
        <w:jc w:val="both"/>
        <w:rPr>
          <w:rFonts w:ascii="Arial" w:hAnsi="Arial" w:cs="Arial"/>
          <w:i/>
          <w:sz w:val="24"/>
          <w:szCs w:val="24"/>
        </w:rPr>
      </w:pPr>
      <w:r>
        <w:rPr>
          <w:rFonts w:ascii="Arial" w:hAnsi="Arial" w:cs="Arial"/>
          <w:i/>
          <w:sz w:val="24"/>
          <w:szCs w:val="24"/>
        </w:rPr>
        <w:lastRenderedPageBreak/>
        <w:t>Disposal</w:t>
      </w:r>
    </w:p>
    <w:p w:rsidR="00804AF9" w:rsidRPr="000F7CFB" w:rsidRDefault="00804AF9" w:rsidP="000F7CFB">
      <w:pPr>
        <w:spacing w:after="0" w:line="360" w:lineRule="auto"/>
        <w:contextualSpacing/>
        <w:jc w:val="both"/>
        <w:rPr>
          <w:rFonts w:ascii="Arial" w:hAnsi="Arial" w:cs="Arial"/>
          <w:i/>
          <w:sz w:val="24"/>
          <w:szCs w:val="24"/>
        </w:rPr>
      </w:pPr>
    </w:p>
    <w:p w:rsidR="00694D64" w:rsidRPr="00804AF9" w:rsidRDefault="00804AF9" w:rsidP="00804AF9">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443738" w:rsidRPr="00804AF9">
        <w:rPr>
          <w:rFonts w:ascii="Arial" w:hAnsi="Arial" w:cs="Arial"/>
          <w:sz w:val="24"/>
          <w:szCs w:val="24"/>
        </w:rPr>
        <w:t>The general starting point is that a taxing officer has in the execution of his or her duties the discretion to permit costs that are necessary, proper and reasonable for the attainment of justice or for a</w:t>
      </w:r>
      <w:r w:rsidR="00581C23">
        <w:rPr>
          <w:rFonts w:ascii="Arial" w:hAnsi="Arial" w:cs="Arial"/>
          <w:sz w:val="24"/>
          <w:szCs w:val="24"/>
        </w:rPr>
        <w:t xml:space="preserve"> party who defended the matter.</w:t>
      </w:r>
    </w:p>
    <w:p w:rsidR="001A6E98" w:rsidRPr="000F7CFB" w:rsidRDefault="001A6E98" w:rsidP="000F7CFB">
      <w:pPr>
        <w:pStyle w:val="ListParagraph"/>
        <w:spacing w:after="0" w:line="360" w:lineRule="auto"/>
        <w:jc w:val="both"/>
        <w:rPr>
          <w:rFonts w:ascii="Arial" w:hAnsi="Arial" w:cs="Arial"/>
          <w:sz w:val="24"/>
          <w:szCs w:val="24"/>
        </w:rPr>
      </w:pPr>
    </w:p>
    <w:p w:rsidR="00B80689" w:rsidRPr="00804AF9" w:rsidRDefault="00804AF9" w:rsidP="00804AF9">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1F26EA" w:rsidRPr="00804AF9">
        <w:rPr>
          <w:rFonts w:ascii="Arial" w:hAnsi="Arial" w:cs="Arial"/>
          <w:sz w:val="24"/>
          <w:szCs w:val="24"/>
        </w:rPr>
        <w:t xml:space="preserve">Though the </w:t>
      </w:r>
      <w:r w:rsidR="00580FE2" w:rsidRPr="00804AF9">
        <w:rPr>
          <w:rFonts w:ascii="Arial" w:hAnsi="Arial" w:cs="Arial"/>
          <w:sz w:val="24"/>
          <w:szCs w:val="24"/>
        </w:rPr>
        <w:t xml:space="preserve">enabling </w:t>
      </w:r>
      <w:r w:rsidR="0089030D" w:rsidRPr="00804AF9">
        <w:rPr>
          <w:rFonts w:ascii="Arial" w:hAnsi="Arial" w:cs="Arial"/>
          <w:sz w:val="24"/>
          <w:szCs w:val="24"/>
        </w:rPr>
        <w:t>provision requires</w:t>
      </w:r>
      <w:r w:rsidR="00580FE2" w:rsidRPr="00804AF9">
        <w:rPr>
          <w:rFonts w:ascii="Arial" w:hAnsi="Arial" w:cs="Arial"/>
          <w:sz w:val="24"/>
          <w:szCs w:val="24"/>
        </w:rPr>
        <w:t xml:space="preserve"> adherence to the prescribed tariff i</w:t>
      </w:r>
      <w:r w:rsidR="00231E94" w:rsidRPr="00804AF9">
        <w:rPr>
          <w:rFonts w:ascii="Arial" w:hAnsi="Arial" w:cs="Arial"/>
          <w:sz w:val="24"/>
          <w:szCs w:val="24"/>
        </w:rPr>
        <w:t>t</w:t>
      </w:r>
      <w:r w:rsidR="00580FE2" w:rsidRPr="00804AF9">
        <w:rPr>
          <w:rFonts w:ascii="Arial" w:hAnsi="Arial" w:cs="Arial"/>
          <w:sz w:val="24"/>
          <w:szCs w:val="24"/>
        </w:rPr>
        <w:t xml:space="preserve"> also </w:t>
      </w:r>
      <w:r w:rsidR="00231E94" w:rsidRPr="00804AF9">
        <w:rPr>
          <w:rFonts w:ascii="Arial" w:hAnsi="Arial" w:cs="Arial"/>
          <w:sz w:val="24"/>
          <w:szCs w:val="24"/>
        </w:rPr>
        <w:t>permits</w:t>
      </w:r>
      <w:r w:rsidR="00580FE2" w:rsidRPr="00804AF9">
        <w:rPr>
          <w:rFonts w:ascii="Arial" w:hAnsi="Arial" w:cs="Arial"/>
          <w:sz w:val="24"/>
          <w:szCs w:val="24"/>
        </w:rPr>
        <w:t xml:space="preserve"> a degree of flexibility to the taxing officer in deserving cases. </w:t>
      </w:r>
      <w:r w:rsidR="00B80689" w:rsidRPr="00804AF9">
        <w:rPr>
          <w:rFonts w:ascii="Arial" w:hAnsi="Arial" w:cs="Arial"/>
          <w:sz w:val="24"/>
          <w:szCs w:val="24"/>
        </w:rPr>
        <w:t>Rule 125(7) envisage departure from the fairly rigid and prescriptive scales only when in the discretion of the taxing officer exceptional and extraordinary cases presents themselves where the strict adherence will be inequitable.</w:t>
      </w:r>
    </w:p>
    <w:p w:rsidR="00694D64" w:rsidRPr="000F7CFB" w:rsidRDefault="00694D64" w:rsidP="000F7CFB">
      <w:pPr>
        <w:pStyle w:val="ListParagraph"/>
        <w:spacing w:after="0" w:line="360" w:lineRule="auto"/>
        <w:rPr>
          <w:rFonts w:ascii="Arial" w:hAnsi="Arial" w:cs="Arial"/>
          <w:sz w:val="24"/>
          <w:szCs w:val="24"/>
        </w:rPr>
      </w:pPr>
    </w:p>
    <w:p w:rsidR="00231E94" w:rsidRPr="00804AF9" w:rsidRDefault="00804AF9" w:rsidP="00804AF9">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F26EA" w:rsidRPr="00804AF9">
        <w:rPr>
          <w:rFonts w:ascii="Arial" w:hAnsi="Arial" w:cs="Arial"/>
          <w:sz w:val="24"/>
          <w:szCs w:val="24"/>
        </w:rPr>
        <w:t xml:space="preserve">I find the </w:t>
      </w:r>
      <w:r w:rsidR="00457C53" w:rsidRPr="00804AF9">
        <w:rPr>
          <w:rFonts w:ascii="Arial" w:hAnsi="Arial" w:cs="Arial"/>
          <w:sz w:val="24"/>
          <w:szCs w:val="24"/>
        </w:rPr>
        <w:t xml:space="preserve">following </w:t>
      </w:r>
      <w:r w:rsidR="001F26EA" w:rsidRPr="00804AF9">
        <w:rPr>
          <w:rFonts w:ascii="Arial" w:hAnsi="Arial" w:cs="Arial"/>
          <w:sz w:val="24"/>
          <w:szCs w:val="24"/>
        </w:rPr>
        <w:t>statement by J St</w:t>
      </w:r>
      <w:r w:rsidR="007D2CA1" w:rsidRPr="00804AF9">
        <w:rPr>
          <w:rFonts w:ascii="Arial" w:hAnsi="Arial" w:cs="Arial"/>
          <w:sz w:val="24"/>
          <w:szCs w:val="24"/>
        </w:rPr>
        <w:t xml:space="preserve">eyn </w:t>
      </w:r>
      <w:r w:rsidR="0089030D" w:rsidRPr="00804AF9">
        <w:rPr>
          <w:rFonts w:ascii="Arial" w:hAnsi="Arial" w:cs="Arial"/>
          <w:sz w:val="24"/>
          <w:szCs w:val="24"/>
        </w:rPr>
        <w:t>in Van</w:t>
      </w:r>
      <w:r w:rsidR="00B80689" w:rsidRPr="00804AF9">
        <w:rPr>
          <w:rFonts w:ascii="Arial" w:hAnsi="Arial" w:cs="Arial"/>
          <w:sz w:val="24"/>
          <w:szCs w:val="24"/>
        </w:rPr>
        <w:t xml:space="preserve"> Rooyen vs Commercial Union Assurance Co o</w:t>
      </w:r>
      <w:r w:rsidR="007D2CA1" w:rsidRPr="00804AF9">
        <w:rPr>
          <w:rFonts w:ascii="Arial" w:hAnsi="Arial" w:cs="Arial"/>
          <w:sz w:val="24"/>
          <w:szCs w:val="24"/>
        </w:rPr>
        <w:t>f S</w:t>
      </w:r>
      <w:r w:rsidR="00B80689" w:rsidRPr="00804AF9">
        <w:rPr>
          <w:rFonts w:ascii="Arial" w:hAnsi="Arial" w:cs="Arial"/>
          <w:sz w:val="24"/>
          <w:szCs w:val="24"/>
        </w:rPr>
        <w:t>outh Africa Ltd</w:t>
      </w:r>
      <w:r w:rsidR="0097742E" w:rsidRPr="000F7CFB">
        <w:rPr>
          <w:rStyle w:val="FootnoteReference"/>
          <w:rFonts w:ascii="Arial" w:hAnsi="Arial" w:cs="Arial"/>
          <w:sz w:val="24"/>
          <w:szCs w:val="24"/>
        </w:rPr>
        <w:footnoteReference w:id="1"/>
      </w:r>
      <w:r w:rsidR="00457C53" w:rsidRPr="00804AF9">
        <w:rPr>
          <w:rFonts w:ascii="Arial" w:hAnsi="Arial" w:cs="Arial"/>
          <w:sz w:val="24"/>
          <w:szCs w:val="24"/>
        </w:rPr>
        <w:t xml:space="preserve"> </w:t>
      </w:r>
      <w:r w:rsidR="00157C47" w:rsidRPr="00804AF9">
        <w:rPr>
          <w:rFonts w:ascii="Arial" w:hAnsi="Arial" w:cs="Arial"/>
          <w:sz w:val="24"/>
          <w:szCs w:val="24"/>
        </w:rPr>
        <w:t>relevant to the issue:</w:t>
      </w:r>
    </w:p>
    <w:p w:rsidR="00231E94" w:rsidRPr="009E5A68" w:rsidRDefault="00C26030" w:rsidP="000F7CFB">
      <w:pPr>
        <w:spacing w:after="0" w:line="360" w:lineRule="auto"/>
        <w:ind w:left="720"/>
        <w:contextualSpacing/>
        <w:jc w:val="both"/>
        <w:rPr>
          <w:rFonts w:ascii="Arial" w:hAnsi="Arial" w:cs="Arial"/>
        </w:rPr>
      </w:pPr>
      <w:r>
        <w:rPr>
          <w:rFonts w:ascii="Arial" w:hAnsi="Arial" w:cs="Arial"/>
          <w:sz w:val="24"/>
          <w:szCs w:val="24"/>
        </w:rPr>
        <w:t>“</w:t>
      </w:r>
      <w:r w:rsidR="0089030D" w:rsidRPr="009E5A68">
        <w:rPr>
          <w:rFonts w:ascii="Arial" w:hAnsi="Arial" w:cs="Arial"/>
        </w:rPr>
        <w:t>Duly</w:t>
      </w:r>
      <w:r w:rsidR="00231E94" w:rsidRPr="009E5A68">
        <w:rPr>
          <w:rFonts w:ascii="Arial" w:hAnsi="Arial" w:cs="Arial"/>
        </w:rPr>
        <w:t xml:space="preserve"> promulgated Rules of Court have the force of law and must be obeyed. But the obedience must be in context, and where a discretion is conferred by the Rules as to the mode of </w:t>
      </w:r>
      <w:r>
        <w:rPr>
          <w:rFonts w:ascii="Arial" w:hAnsi="Arial" w:cs="Arial"/>
        </w:rPr>
        <w:t xml:space="preserve">their </w:t>
      </w:r>
      <w:r w:rsidR="00231E94" w:rsidRPr="009E5A68">
        <w:rPr>
          <w:rFonts w:ascii="Arial" w:hAnsi="Arial" w:cs="Arial"/>
        </w:rPr>
        <w:t>implementation</w:t>
      </w:r>
      <w:r w:rsidR="00653CA5">
        <w:rPr>
          <w:rFonts w:ascii="Arial" w:hAnsi="Arial" w:cs="Arial"/>
        </w:rPr>
        <w:t>,</w:t>
      </w:r>
      <w:r w:rsidR="00231E94" w:rsidRPr="009E5A68">
        <w:rPr>
          <w:rFonts w:ascii="Arial" w:hAnsi="Arial" w:cs="Arial"/>
        </w:rPr>
        <w:t xml:space="preserve"> and where a particular </w:t>
      </w:r>
      <w:r w:rsidR="001D62C0">
        <w:rPr>
          <w:rFonts w:ascii="Arial" w:hAnsi="Arial" w:cs="Arial"/>
        </w:rPr>
        <w:t xml:space="preserve">standard or </w:t>
      </w:r>
      <w:r w:rsidR="00231E94" w:rsidRPr="009E5A68">
        <w:rPr>
          <w:rFonts w:ascii="Arial" w:hAnsi="Arial" w:cs="Arial"/>
        </w:rPr>
        <w:t>tariff is provided as a guide and not as an absolute or unqualified measure or injunction, such obedien</w:t>
      </w:r>
      <w:r w:rsidR="00C07D5E">
        <w:rPr>
          <w:rFonts w:ascii="Arial" w:hAnsi="Arial" w:cs="Arial"/>
        </w:rPr>
        <w:t>ce is in itself also flexible and</w:t>
      </w:r>
      <w:r w:rsidR="00231E94" w:rsidRPr="009E5A68">
        <w:rPr>
          <w:rFonts w:ascii="Arial" w:hAnsi="Arial" w:cs="Arial"/>
        </w:rPr>
        <w:t xml:space="preserve"> related to the facts or the circumstances in respect whereof the discretion is to be ex</w:t>
      </w:r>
      <w:r w:rsidR="0097742E" w:rsidRPr="009E5A68">
        <w:rPr>
          <w:rFonts w:ascii="Arial" w:hAnsi="Arial" w:cs="Arial"/>
        </w:rPr>
        <w:t>ercised or the “guide” applied.</w:t>
      </w:r>
      <w:r w:rsidR="009E5A68">
        <w:rPr>
          <w:rFonts w:ascii="Arial" w:hAnsi="Arial" w:cs="Arial"/>
        </w:rPr>
        <w:t>’</w:t>
      </w:r>
      <w:r w:rsidR="00C07D5E">
        <w:rPr>
          <w:rFonts w:ascii="Arial" w:hAnsi="Arial" w:cs="Arial"/>
        </w:rPr>
        <w:t>’</w:t>
      </w:r>
    </w:p>
    <w:p w:rsidR="0097742E" w:rsidRPr="009E5A68" w:rsidRDefault="0097742E" w:rsidP="000F7CFB">
      <w:pPr>
        <w:spacing w:after="0" w:line="360" w:lineRule="auto"/>
        <w:ind w:left="720"/>
        <w:contextualSpacing/>
        <w:jc w:val="both"/>
        <w:rPr>
          <w:rFonts w:ascii="Arial" w:hAnsi="Arial" w:cs="Arial"/>
        </w:rPr>
      </w:pPr>
    </w:p>
    <w:p w:rsidR="00157C47" w:rsidRPr="00804AF9" w:rsidRDefault="00804AF9" w:rsidP="00804AF9">
      <w:pPr>
        <w:tabs>
          <w:tab w:val="left" w:pos="5193"/>
        </w:tabs>
        <w:spacing w:after="0" w:line="360" w:lineRule="auto"/>
        <w:jc w:val="both"/>
        <w:rPr>
          <w:rFonts w:ascii="Arial" w:hAnsi="Arial" w:cs="Arial"/>
          <w:sz w:val="24"/>
          <w:szCs w:val="24"/>
        </w:rPr>
      </w:pPr>
      <w:r>
        <w:rPr>
          <w:rFonts w:ascii="Arial" w:hAnsi="Arial" w:cs="Arial"/>
          <w:sz w:val="24"/>
          <w:szCs w:val="24"/>
        </w:rPr>
        <w:t xml:space="preserve">[18]   </w:t>
      </w:r>
      <w:r w:rsidR="00A90B0D" w:rsidRPr="00804AF9">
        <w:rPr>
          <w:rFonts w:ascii="Arial" w:hAnsi="Arial" w:cs="Arial"/>
          <w:sz w:val="24"/>
          <w:szCs w:val="24"/>
        </w:rPr>
        <w:t xml:space="preserve">In regard to an equivalent provision in the Uniform Rules, in </w:t>
      </w:r>
      <w:r w:rsidR="00580FE2" w:rsidRPr="00804AF9">
        <w:rPr>
          <w:rFonts w:ascii="Arial" w:hAnsi="Arial" w:cs="Arial"/>
          <w:sz w:val="24"/>
          <w:szCs w:val="24"/>
        </w:rPr>
        <w:t>Coetzee v Taxing Master South Gauteng High Court and another</w:t>
      </w:r>
      <w:r w:rsidR="008113F3" w:rsidRPr="000F7CFB">
        <w:rPr>
          <w:rStyle w:val="FootnoteReference"/>
          <w:rFonts w:ascii="Arial" w:hAnsi="Arial" w:cs="Arial"/>
          <w:sz w:val="24"/>
          <w:szCs w:val="24"/>
        </w:rPr>
        <w:footnoteReference w:id="2"/>
      </w:r>
      <w:r w:rsidR="008113F3" w:rsidRPr="00804AF9">
        <w:rPr>
          <w:rFonts w:ascii="Arial" w:hAnsi="Arial" w:cs="Arial"/>
          <w:sz w:val="24"/>
          <w:szCs w:val="24"/>
        </w:rPr>
        <w:t xml:space="preserve"> J Sutherland stated </w:t>
      </w:r>
      <w:r w:rsidR="00DE4630">
        <w:rPr>
          <w:rFonts w:ascii="Arial" w:hAnsi="Arial" w:cs="Arial"/>
          <w:sz w:val="24"/>
          <w:szCs w:val="24"/>
        </w:rPr>
        <w:t>that:</w:t>
      </w:r>
    </w:p>
    <w:p w:rsidR="007308B0" w:rsidRDefault="007308B0" w:rsidP="000F7CFB">
      <w:pPr>
        <w:pStyle w:val="ListParagraph"/>
        <w:tabs>
          <w:tab w:val="left" w:pos="5193"/>
        </w:tabs>
        <w:spacing w:after="0" w:line="360" w:lineRule="auto"/>
        <w:jc w:val="both"/>
        <w:rPr>
          <w:rFonts w:ascii="Arial" w:hAnsi="Arial" w:cs="Arial"/>
        </w:rPr>
      </w:pPr>
    </w:p>
    <w:p w:rsidR="007A5FEB" w:rsidRPr="00525749" w:rsidRDefault="00457C53" w:rsidP="000F7CFB">
      <w:pPr>
        <w:pStyle w:val="ListParagraph"/>
        <w:tabs>
          <w:tab w:val="left" w:pos="5193"/>
        </w:tabs>
        <w:spacing w:after="0" w:line="360" w:lineRule="auto"/>
        <w:jc w:val="both"/>
        <w:rPr>
          <w:rFonts w:ascii="Arial" w:hAnsi="Arial" w:cs="Arial"/>
        </w:rPr>
      </w:pPr>
      <w:r w:rsidRPr="00525749">
        <w:rPr>
          <w:rFonts w:ascii="Arial" w:hAnsi="Arial" w:cs="Arial"/>
        </w:rPr>
        <w:t>“</w:t>
      </w:r>
      <w:r w:rsidR="009D2791">
        <w:rPr>
          <w:rFonts w:ascii="Arial" w:hAnsi="Arial" w:cs="Arial"/>
        </w:rPr>
        <w:t>E</w:t>
      </w:r>
      <w:r w:rsidR="0089030D" w:rsidRPr="00525749">
        <w:rPr>
          <w:rFonts w:ascii="Arial" w:hAnsi="Arial" w:cs="Arial"/>
        </w:rPr>
        <w:t>vidently</w:t>
      </w:r>
      <w:r w:rsidR="001F3D3C" w:rsidRPr="00525749">
        <w:rPr>
          <w:rFonts w:ascii="Arial" w:hAnsi="Arial" w:cs="Arial"/>
        </w:rPr>
        <w:t xml:space="preserve"> the wide discretion conferred in rule 70(5) is the true fo</w:t>
      </w:r>
      <w:r w:rsidR="009D2791">
        <w:rPr>
          <w:rFonts w:ascii="Arial" w:hAnsi="Arial" w:cs="Arial"/>
        </w:rPr>
        <w:t>u</w:t>
      </w:r>
      <w:r w:rsidR="001F3D3C" w:rsidRPr="00525749">
        <w:rPr>
          <w:rFonts w:ascii="Arial" w:hAnsi="Arial" w:cs="Arial"/>
        </w:rPr>
        <w:t>nt for any ‘application of the mind</w:t>
      </w:r>
      <w:r w:rsidR="001C40D6">
        <w:rPr>
          <w:rFonts w:ascii="Arial" w:hAnsi="Arial" w:cs="Arial"/>
        </w:rPr>
        <w:t>’</w:t>
      </w:r>
      <w:r w:rsidR="001F3D3C" w:rsidRPr="00525749">
        <w:rPr>
          <w:rFonts w:ascii="Arial" w:hAnsi="Arial" w:cs="Arial"/>
        </w:rPr>
        <w:t xml:space="preserve"> by a taxing master to the task of fixing a fee. Importantly, so it seems </w:t>
      </w:r>
      <w:r w:rsidR="004726DD">
        <w:rPr>
          <w:rFonts w:ascii="Arial" w:hAnsi="Arial" w:cs="Arial"/>
        </w:rPr>
        <w:t xml:space="preserve">plain </w:t>
      </w:r>
      <w:r w:rsidR="001F3D3C" w:rsidRPr="00525749">
        <w:rPr>
          <w:rFonts w:ascii="Arial" w:hAnsi="Arial" w:cs="Arial"/>
        </w:rPr>
        <w:t xml:space="preserve">to me, the text of the subrule expresses a very clear structure to </w:t>
      </w:r>
      <w:r w:rsidR="00F77EDE" w:rsidRPr="00525749">
        <w:rPr>
          <w:rFonts w:ascii="Arial" w:hAnsi="Arial" w:cs="Arial"/>
        </w:rPr>
        <w:t>the approach lic</w:t>
      </w:r>
      <w:r w:rsidR="001F3D3C" w:rsidRPr="00525749">
        <w:rPr>
          <w:rFonts w:ascii="Arial" w:hAnsi="Arial" w:cs="Arial"/>
        </w:rPr>
        <w:t>e</w:t>
      </w:r>
      <w:r w:rsidR="00F77EDE" w:rsidRPr="00525749">
        <w:rPr>
          <w:rFonts w:ascii="Arial" w:hAnsi="Arial" w:cs="Arial"/>
        </w:rPr>
        <w:t>nse</w:t>
      </w:r>
      <w:r w:rsidR="004726DD">
        <w:rPr>
          <w:rFonts w:ascii="Arial" w:hAnsi="Arial" w:cs="Arial"/>
        </w:rPr>
        <w:t>d by the subrule;</w:t>
      </w:r>
      <w:r w:rsidR="001F3D3C" w:rsidRPr="00525749">
        <w:rPr>
          <w:rFonts w:ascii="Arial" w:hAnsi="Arial" w:cs="Arial"/>
        </w:rPr>
        <w:t xml:space="preserve"> i.e. the tariff is the default position, which may be departed from under the conditions prescribed, i.e. </w:t>
      </w:r>
      <w:r w:rsidR="00607250">
        <w:rPr>
          <w:rFonts w:ascii="Arial" w:hAnsi="Arial" w:cs="Arial"/>
        </w:rPr>
        <w:t>‘</w:t>
      </w:r>
      <w:r w:rsidR="001F3D3C" w:rsidRPr="00525749">
        <w:rPr>
          <w:rFonts w:ascii="Arial" w:hAnsi="Arial" w:cs="Arial"/>
        </w:rPr>
        <w:t>extraordinary or exceptional cases..</w:t>
      </w:r>
      <w:r w:rsidR="00607250">
        <w:rPr>
          <w:rFonts w:ascii="Arial" w:hAnsi="Arial" w:cs="Arial"/>
        </w:rPr>
        <w:t>.’</w:t>
      </w:r>
      <w:r w:rsidR="00525749">
        <w:rPr>
          <w:rFonts w:ascii="Arial" w:hAnsi="Arial" w:cs="Arial"/>
        </w:rPr>
        <w:t>.</w:t>
      </w:r>
    </w:p>
    <w:p w:rsidR="00AC5761" w:rsidRPr="000F7CFB" w:rsidRDefault="00AC5761" w:rsidP="000F7CFB">
      <w:pPr>
        <w:spacing w:after="0" w:line="360" w:lineRule="auto"/>
        <w:ind w:left="720"/>
        <w:contextualSpacing/>
        <w:jc w:val="both"/>
        <w:rPr>
          <w:rFonts w:ascii="Arial" w:hAnsi="Arial" w:cs="Arial"/>
          <w:sz w:val="24"/>
          <w:szCs w:val="24"/>
        </w:rPr>
      </w:pPr>
    </w:p>
    <w:p w:rsidR="007A5FEB" w:rsidRPr="00804AF9" w:rsidRDefault="00804AF9" w:rsidP="00804AF9">
      <w:pPr>
        <w:spacing w:after="0"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EE574F" w:rsidRPr="00804AF9">
        <w:rPr>
          <w:rFonts w:ascii="Arial" w:hAnsi="Arial" w:cs="Arial"/>
          <w:sz w:val="24"/>
          <w:szCs w:val="24"/>
        </w:rPr>
        <w:t xml:space="preserve">The question then arises as to the meaning of </w:t>
      </w:r>
      <w:r w:rsidR="00755946" w:rsidRPr="00804AF9">
        <w:rPr>
          <w:rFonts w:ascii="Arial" w:hAnsi="Arial" w:cs="Arial"/>
          <w:sz w:val="24"/>
          <w:szCs w:val="24"/>
        </w:rPr>
        <w:t xml:space="preserve">the criteria of </w:t>
      </w:r>
      <w:r w:rsidR="00EE574F" w:rsidRPr="00804AF9">
        <w:rPr>
          <w:rFonts w:ascii="Arial" w:hAnsi="Arial" w:cs="Arial"/>
          <w:sz w:val="24"/>
          <w:szCs w:val="24"/>
        </w:rPr>
        <w:t>extraordin</w:t>
      </w:r>
      <w:r w:rsidR="00583B03" w:rsidRPr="00804AF9">
        <w:rPr>
          <w:rFonts w:ascii="Arial" w:hAnsi="Arial" w:cs="Arial"/>
          <w:sz w:val="24"/>
          <w:szCs w:val="24"/>
        </w:rPr>
        <w:t xml:space="preserve">ary and </w:t>
      </w:r>
      <w:r w:rsidR="00755946" w:rsidRPr="00804AF9">
        <w:rPr>
          <w:rFonts w:ascii="Arial" w:hAnsi="Arial" w:cs="Arial"/>
          <w:sz w:val="24"/>
          <w:szCs w:val="24"/>
        </w:rPr>
        <w:t>exceptional</w:t>
      </w:r>
      <w:r w:rsidR="00111AD6" w:rsidRPr="00804AF9">
        <w:rPr>
          <w:rFonts w:ascii="Arial" w:hAnsi="Arial" w:cs="Arial"/>
          <w:sz w:val="24"/>
          <w:szCs w:val="24"/>
        </w:rPr>
        <w:t>.</w:t>
      </w:r>
      <w:r w:rsidR="00EE574F" w:rsidRPr="00804AF9">
        <w:rPr>
          <w:rFonts w:ascii="Arial" w:hAnsi="Arial" w:cs="Arial"/>
          <w:sz w:val="24"/>
          <w:szCs w:val="24"/>
        </w:rPr>
        <w:t xml:space="preserve"> The Concise </w:t>
      </w:r>
      <w:r w:rsidR="007A5FEB" w:rsidRPr="00804AF9">
        <w:rPr>
          <w:rFonts w:ascii="Arial" w:hAnsi="Arial" w:cs="Arial"/>
          <w:sz w:val="24"/>
          <w:szCs w:val="24"/>
        </w:rPr>
        <w:t>Oxford English Dictionary</w:t>
      </w:r>
      <w:r w:rsidR="00583B03" w:rsidRPr="000F7CFB">
        <w:rPr>
          <w:rStyle w:val="FootnoteReference"/>
          <w:rFonts w:ascii="Arial" w:hAnsi="Arial" w:cs="Arial"/>
          <w:sz w:val="24"/>
          <w:szCs w:val="24"/>
        </w:rPr>
        <w:footnoteReference w:id="3"/>
      </w:r>
      <w:r w:rsidR="007A5FEB" w:rsidRPr="00804AF9">
        <w:rPr>
          <w:rFonts w:ascii="Arial" w:hAnsi="Arial" w:cs="Arial"/>
          <w:sz w:val="24"/>
          <w:szCs w:val="24"/>
        </w:rPr>
        <w:t xml:space="preserve"> def</w:t>
      </w:r>
      <w:r w:rsidR="00AC5761" w:rsidRPr="00804AF9">
        <w:rPr>
          <w:rFonts w:ascii="Arial" w:hAnsi="Arial" w:cs="Arial"/>
          <w:sz w:val="24"/>
          <w:szCs w:val="24"/>
        </w:rPr>
        <w:t xml:space="preserve">ines the meaning of “exceptional” </w:t>
      </w:r>
      <w:r w:rsidR="007A5FEB" w:rsidRPr="00804AF9">
        <w:rPr>
          <w:rFonts w:ascii="Arial" w:hAnsi="Arial" w:cs="Arial"/>
          <w:sz w:val="24"/>
          <w:szCs w:val="24"/>
        </w:rPr>
        <w:t xml:space="preserve">as “unusual; not typical.” </w:t>
      </w:r>
    </w:p>
    <w:p w:rsidR="00694D64" w:rsidRPr="000F7CFB" w:rsidRDefault="00694D64" w:rsidP="000F7CFB">
      <w:pPr>
        <w:pStyle w:val="ListParagraph"/>
        <w:spacing w:after="0" w:line="360" w:lineRule="auto"/>
        <w:jc w:val="both"/>
        <w:rPr>
          <w:rFonts w:ascii="Arial" w:hAnsi="Arial" w:cs="Arial"/>
          <w:sz w:val="24"/>
          <w:szCs w:val="24"/>
        </w:rPr>
      </w:pPr>
    </w:p>
    <w:p w:rsidR="007A5FEB" w:rsidRPr="00804AF9" w:rsidRDefault="00804AF9" w:rsidP="00804AF9">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583B03" w:rsidRPr="00804AF9">
        <w:rPr>
          <w:rFonts w:ascii="Arial" w:hAnsi="Arial" w:cs="Arial"/>
          <w:sz w:val="24"/>
          <w:szCs w:val="24"/>
        </w:rPr>
        <w:t>Black’s Law D</w:t>
      </w:r>
      <w:r w:rsidR="007A5FEB" w:rsidRPr="00804AF9">
        <w:rPr>
          <w:rFonts w:ascii="Arial" w:hAnsi="Arial" w:cs="Arial"/>
          <w:sz w:val="24"/>
          <w:szCs w:val="24"/>
        </w:rPr>
        <w:t>ictionary</w:t>
      </w:r>
      <w:r w:rsidR="0075639A" w:rsidRPr="000F7CFB">
        <w:rPr>
          <w:rStyle w:val="FootnoteReference"/>
          <w:rFonts w:ascii="Arial" w:hAnsi="Arial" w:cs="Arial"/>
          <w:sz w:val="24"/>
          <w:szCs w:val="24"/>
        </w:rPr>
        <w:footnoteReference w:id="4"/>
      </w:r>
      <w:r w:rsidR="007A5FEB" w:rsidRPr="00804AF9">
        <w:rPr>
          <w:rFonts w:ascii="Arial" w:hAnsi="Arial" w:cs="Arial"/>
          <w:sz w:val="24"/>
          <w:szCs w:val="24"/>
        </w:rPr>
        <w:t xml:space="preserve"> ascribes the following meanings to </w:t>
      </w:r>
      <w:r w:rsidR="00C0200A">
        <w:rPr>
          <w:rFonts w:ascii="Arial" w:hAnsi="Arial" w:cs="Arial"/>
          <w:sz w:val="24"/>
          <w:szCs w:val="24"/>
        </w:rPr>
        <w:t>‘</w:t>
      </w:r>
      <w:r w:rsidR="007A5FEB" w:rsidRPr="00804AF9">
        <w:rPr>
          <w:rFonts w:ascii="Arial" w:hAnsi="Arial" w:cs="Arial"/>
          <w:sz w:val="24"/>
          <w:szCs w:val="24"/>
        </w:rPr>
        <w:t>extraordinary</w:t>
      </w:r>
      <w:r w:rsidR="00C0200A">
        <w:rPr>
          <w:rFonts w:ascii="Arial" w:hAnsi="Arial" w:cs="Arial"/>
          <w:sz w:val="24"/>
          <w:szCs w:val="24"/>
        </w:rPr>
        <w:t xml:space="preserve">’, </w:t>
      </w:r>
      <w:r w:rsidR="00F24E6F">
        <w:rPr>
          <w:rFonts w:ascii="Arial" w:hAnsi="Arial" w:cs="Arial"/>
          <w:sz w:val="24"/>
          <w:szCs w:val="24"/>
        </w:rPr>
        <w:t>“</w:t>
      </w:r>
      <w:r w:rsidR="007A5FEB" w:rsidRPr="00804AF9">
        <w:rPr>
          <w:rFonts w:ascii="Arial" w:hAnsi="Arial" w:cs="Arial"/>
          <w:sz w:val="24"/>
          <w:szCs w:val="24"/>
        </w:rPr>
        <w:t>out of the ordinary, exceeding the usual, average or normal measure of degree, beyond or out of the common order or rule; not usual, regular or of a customary kind; remarkable; uncommon; rare</w:t>
      </w:r>
      <w:r w:rsidR="00F24E6F">
        <w:rPr>
          <w:rFonts w:ascii="Arial" w:hAnsi="Arial" w:cs="Arial"/>
          <w:sz w:val="24"/>
          <w:szCs w:val="24"/>
        </w:rPr>
        <w:t>”</w:t>
      </w:r>
      <w:r w:rsidR="00C0200A">
        <w:rPr>
          <w:rFonts w:ascii="Arial" w:hAnsi="Arial" w:cs="Arial"/>
          <w:sz w:val="24"/>
          <w:szCs w:val="24"/>
        </w:rPr>
        <w:t>.</w:t>
      </w:r>
    </w:p>
    <w:p w:rsidR="00804AF9" w:rsidRDefault="00804AF9" w:rsidP="00804AF9">
      <w:pPr>
        <w:spacing w:after="0" w:line="360" w:lineRule="auto"/>
        <w:jc w:val="both"/>
        <w:rPr>
          <w:rFonts w:ascii="Arial" w:hAnsi="Arial" w:cs="Arial"/>
          <w:sz w:val="24"/>
          <w:szCs w:val="24"/>
        </w:rPr>
      </w:pPr>
    </w:p>
    <w:p w:rsidR="009074E3" w:rsidRDefault="00804AF9" w:rsidP="00804AF9">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A276B">
        <w:rPr>
          <w:rFonts w:ascii="Arial" w:hAnsi="Arial" w:cs="Arial"/>
          <w:sz w:val="24"/>
          <w:szCs w:val="24"/>
        </w:rPr>
        <w:t>It is implicit in r</w:t>
      </w:r>
      <w:r w:rsidR="004426FA" w:rsidRPr="00804AF9">
        <w:rPr>
          <w:rFonts w:ascii="Arial" w:hAnsi="Arial" w:cs="Arial"/>
          <w:sz w:val="24"/>
          <w:szCs w:val="24"/>
        </w:rPr>
        <w:t xml:space="preserve">ule 125(7) that a </w:t>
      </w:r>
      <w:r w:rsidR="00694D64" w:rsidRPr="00804AF9">
        <w:rPr>
          <w:rFonts w:ascii="Arial" w:hAnsi="Arial" w:cs="Arial"/>
          <w:sz w:val="24"/>
          <w:szCs w:val="24"/>
        </w:rPr>
        <w:t xml:space="preserve">party </w:t>
      </w:r>
      <w:r w:rsidR="003D2ACB">
        <w:rPr>
          <w:rFonts w:ascii="Arial" w:hAnsi="Arial" w:cs="Arial"/>
          <w:sz w:val="24"/>
          <w:szCs w:val="24"/>
        </w:rPr>
        <w:t>who</w:t>
      </w:r>
      <w:r w:rsidR="00AC5761" w:rsidRPr="00804AF9">
        <w:rPr>
          <w:rFonts w:ascii="Arial" w:hAnsi="Arial" w:cs="Arial"/>
          <w:sz w:val="24"/>
          <w:szCs w:val="24"/>
        </w:rPr>
        <w:t xml:space="preserve"> intends to rely on this provision has a duty to present</w:t>
      </w:r>
      <w:r w:rsidR="00694D64" w:rsidRPr="00804AF9">
        <w:rPr>
          <w:rFonts w:ascii="Arial" w:hAnsi="Arial" w:cs="Arial"/>
          <w:sz w:val="24"/>
          <w:szCs w:val="24"/>
        </w:rPr>
        <w:t xml:space="preserve"> relevant factual and legal issues to the taxing officer</w:t>
      </w:r>
      <w:r w:rsidR="008D4364" w:rsidRPr="00804AF9">
        <w:rPr>
          <w:rFonts w:ascii="Arial" w:hAnsi="Arial" w:cs="Arial"/>
          <w:sz w:val="24"/>
          <w:szCs w:val="24"/>
        </w:rPr>
        <w:t xml:space="preserve">. </w:t>
      </w:r>
      <w:r w:rsidR="00D925B8">
        <w:rPr>
          <w:rFonts w:ascii="Arial" w:hAnsi="Arial" w:cs="Arial"/>
          <w:sz w:val="24"/>
          <w:szCs w:val="24"/>
        </w:rPr>
        <w:t>During the taxation s</w:t>
      </w:r>
      <w:r w:rsidR="006830A4">
        <w:rPr>
          <w:rFonts w:ascii="Arial" w:hAnsi="Arial" w:cs="Arial"/>
          <w:sz w:val="24"/>
          <w:szCs w:val="24"/>
        </w:rPr>
        <w:t xml:space="preserve">uch an applicant </w:t>
      </w:r>
      <w:r w:rsidR="00D925B8">
        <w:rPr>
          <w:rFonts w:ascii="Arial" w:hAnsi="Arial" w:cs="Arial"/>
          <w:sz w:val="24"/>
          <w:szCs w:val="24"/>
        </w:rPr>
        <w:t xml:space="preserve">has </w:t>
      </w:r>
      <w:r w:rsidR="006830A4">
        <w:rPr>
          <w:rFonts w:ascii="Arial" w:hAnsi="Arial" w:cs="Arial"/>
          <w:sz w:val="24"/>
          <w:szCs w:val="24"/>
        </w:rPr>
        <w:t xml:space="preserve">to </w:t>
      </w:r>
      <w:r w:rsidR="003D2ACB">
        <w:rPr>
          <w:rFonts w:ascii="Arial" w:hAnsi="Arial" w:cs="Arial"/>
          <w:sz w:val="24"/>
          <w:szCs w:val="24"/>
        </w:rPr>
        <w:t>tender sufficient reasons in order to</w:t>
      </w:r>
      <w:r w:rsidR="00D925B8">
        <w:rPr>
          <w:rFonts w:ascii="Arial" w:hAnsi="Arial" w:cs="Arial"/>
          <w:sz w:val="24"/>
          <w:szCs w:val="24"/>
        </w:rPr>
        <w:t xml:space="preserve"> </w:t>
      </w:r>
      <w:r w:rsidR="006830A4">
        <w:rPr>
          <w:rFonts w:ascii="Arial" w:hAnsi="Arial" w:cs="Arial"/>
          <w:sz w:val="24"/>
          <w:szCs w:val="24"/>
        </w:rPr>
        <w:t>satisf</w:t>
      </w:r>
      <w:r w:rsidR="00BC0DBD">
        <w:rPr>
          <w:rFonts w:ascii="Arial" w:hAnsi="Arial" w:cs="Arial"/>
          <w:sz w:val="24"/>
          <w:szCs w:val="24"/>
        </w:rPr>
        <w:t>y the criteria as set out in this</w:t>
      </w:r>
      <w:r w:rsidR="006830A4">
        <w:rPr>
          <w:rFonts w:ascii="Arial" w:hAnsi="Arial" w:cs="Arial"/>
          <w:sz w:val="24"/>
          <w:szCs w:val="24"/>
        </w:rPr>
        <w:t xml:space="preserve"> rule. </w:t>
      </w:r>
      <w:r w:rsidR="008D4364" w:rsidRPr="00804AF9">
        <w:rPr>
          <w:rFonts w:ascii="Arial" w:hAnsi="Arial" w:cs="Arial"/>
          <w:sz w:val="24"/>
          <w:szCs w:val="24"/>
        </w:rPr>
        <w:t xml:space="preserve">In turn </w:t>
      </w:r>
      <w:r w:rsidR="003D34AD" w:rsidRPr="00804AF9">
        <w:rPr>
          <w:rFonts w:ascii="Arial" w:hAnsi="Arial" w:cs="Arial"/>
          <w:sz w:val="24"/>
          <w:szCs w:val="24"/>
        </w:rPr>
        <w:t>a taxing officer has to</w:t>
      </w:r>
      <w:r w:rsidR="00755946" w:rsidRPr="00804AF9">
        <w:rPr>
          <w:rFonts w:ascii="Arial" w:hAnsi="Arial" w:cs="Arial"/>
          <w:sz w:val="24"/>
          <w:szCs w:val="24"/>
        </w:rPr>
        <w:t xml:space="preserve"> </w:t>
      </w:r>
      <w:r w:rsidR="003D34AD" w:rsidRPr="00804AF9">
        <w:rPr>
          <w:rFonts w:ascii="Arial" w:hAnsi="Arial" w:cs="Arial"/>
          <w:sz w:val="24"/>
          <w:szCs w:val="24"/>
        </w:rPr>
        <w:t xml:space="preserve">cumulatively </w:t>
      </w:r>
      <w:r w:rsidR="00755946" w:rsidRPr="00804AF9">
        <w:rPr>
          <w:rFonts w:ascii="Arial" w:hAnsi="Arial" w:cs="Arial"/>
          <w:sz w:val="24"/>
          <w:szCs w:val="24"/>
        </w:rPr>
        <w:t xml:space="preserve">evaluate the </w:t>
      </w:r>
      <w:r w:rsidR="005026BA" w:rsidRPr="00804AF9">
        <w:rPr>
          <w:rFonts w:ascii="Arial" w:hAnsi="Arial" w:cs="Arial"/>
          <w:sz w:val="24"/>
          <w:szCs w:val="24"/>
        </w:rPr>
        <w:t xml:space="preserve">relevant </w:t>
      </w:r>
      <w:r w:rsidR="003D34AD" w:rsidRPr="00804AF9">
        <w:rPr>
          <w:rFonts w:ascii="Arial" w:hAnsi="Arial" w:cs="Arial"/>
          <w:sz w:val="24"/>
          <w:szCs w:val="24"/>
        </w:rPr>
        <w:t>fac</w:t>
      </w:r>
      <w:r w:rsidR="005026BA" w:rsidRPr="00804AF9">
        <w:rPr>
          <w:rFonts w:ascii="Arial" w:hAnsi="Arial" w:cs="Arial"/>
          <w:sz w:val="24"/>
          <w:szCs w:val="24"/>
        </w:rPr>
        <w:t>tors</w:t>
      </w:r>
      <w:r w:rsidR="00CB0189">
        <w:rPr>
          <w:rFonts w:ascii="Arial" w:hAnsi="Arial" w:cs="Arial"/>
          <w:sz w:val="24"/>
          <w:szCs w:val="24"/>
        </w:rPr>
        <w:t xml:space="preserve"> </w:t>
      </w:r>
      <w:r w:rsidR="005026BA" w:rsidRPr="00804AF9">
        <w:rPr>
          <w:rFonts w:ascii="Arial" w:hAnsi="Arial" w:cs="Arial"/>
          <w:sz w:val="24"/>
          <w:szCs w:val="24"/>
        </w:rPr>
        <w:t xml:space="preserve">and </w:t>
      </w:r>
      <w:r w:rsidR="003D34AD" w:rsidRPr="00804AF9">
        <w:rPr>
          <w:rFonts w:ascii="Arial" w:hAnsi="Arial" w:cs="Arial"/>
          <w:sz w:val="24"/>
          <w:szCs w:val="24"/>
        </w:rPr>
        <w:t>may depart from the tariffs in extraordinary or exceptional cases wherein strict adherence to t</w:t>
      </w:r>
      <w:r w:rsidR="00F407AE">
        <w:rPr>
          <w:rFonts w:ascii="Arial" w:hAnsi="Arial" w:cs="Arial"/>
          <w:sz w:val="24"/>
          <w:szCs w:val="24"/>
        </w:rPr>
        <w:t>he tariffs will be inequitable.</w:t>
      </w:r>
    </w:p>
    <w:p w:rsidR="00F407AE" w:rsidRPr="00804AF9" w:rsidRDefault="00F407AE" w:rsidP="00804AF9">
      <w:pPr>
        <w:spacing w:after="0" w:line="360" w:lineRule="auto"/>
        <w:jc w:val="both"/>
        <w:rPr>
          <w:rFonts w:ascii="Arial" w:hAnsi="Arial" w:cs="Arial"/>
          <w:sz w:val="24"/>
          <w:szCs w:val="24"/>
        </w:rPr>
      </w:pPr>
    </w:p>
    <w:p w:rsidR="00FE4D8E" w:rsidRPr="0025734D" w:rsidRDefault="0025734D" w:rsidP="0025734D">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074E3" w:rsidRPr="0025734D">
        <w:rPr>
          <w:rFonts w:ascii="Arial" w:hAnsi="Arial" w:cs="Arial"/>
          <w:sz w:val="24"/>
          <w:szCs w:val="24"/>
        </w:rPr>
        <w:t xml:space="preserve">This does not mean that the </w:t>
      </w:r>
      <w:r w:rsidR="00111AD6" w:rsidRPr="0025734D">
        <w:rPr>
          <w:rFonts w:ascii="Arial" w:hAnsi="Arial" w:cs="Arial"/>
          <w:sz w:val="24"/>
          <w:szCs w:val="24"/>
        </w:rPr>
        <w:t xml:space="preserve">tariffs and the </w:t>
      </w:r>
      <w:r w:rsidR="009074E3" w:rsidRPr="0025734D">
        <w:rPr>
          <w:rFonts w:ascii="Arial" w:hAnsi="Arial" w:cs="Arial"/>
          <w:sz w:val="24"/>
          <w:szCs w:val="24"/>
        </w:rPr>
        <w:t xml:space="preserve">principle of </w:t>
      </w:r>
      <w:r w:rsidR="00111AD6" w:rsidRPr="0025734D">
        <w:rPr>
          <w:rFonts w:ascii="Arial" w:hAnsi="Arial" w:cs="Arial"/>
          <w:sz w:val="24"/>
          <w:szCs w:val="24"/>
        </w:rPr>
        <w:t>reasonable and necessary cost</w:t>
      </w:r>
      <w:r w:rsidR="00F71B18">
        <w:rPr>
          <w:rFonts w:ascii="Arial" w:hAnsi="Arial" w:cs="Arial"/>
          <w:sz w:val="24"/>
          <w:szCs w:val="24"/>
        </w:rPr>
        <w:t>s</w:t>
      </w:r>
      <w:r w:rsidR="00111AD6" w:rsidRPr="0025734D">
        <w:rPr>
          <w:rFonts w:ascii="Arial" w:hAnsi="Arial" w:cs="Arial"/>
          <w:sz w:val="24"/>
          <w:szCs w:val="24"/>
        </w:rPr>
        <w:t xml:space="preserve"> </w:t>
      </w:r>
      <w:r w:rsidR="00682BC6">
        <w:rPr>
          <w:rFonts w:ascii="Arial" w:hAnsi="Arial" w:cs="Arial"/>
          <w:sz w:val="24"/>
          <w:szCs w:val="24"/>
        </w:rPr>
        <w:t>are</w:t>
      </w:r>
      <w:r w:rsidR="009074E3" w:rsidRPr="0025734D">
        <w:rPr>
          <w:rFonts w:ascii="Arial" w:hAnsi="Arial" w:cs="Arial"/>
          <w:sz w:val="24"/>
          <w:szCs w:val="24"/>
        </w:rPr>
        <w:t xml:space="preserve"> </w:t>
      </w:r>
      <w:r w:rsidR="00111AD6" w:rsidRPr="0025734D">
        <w:rPr>
          <w:rFonts w:ascii="Arial" w:hAnsi="Arial" w:cs="Arial"/>
          <w:sz w:val="24"/>
          <w:szCs w:val="24"/>
        </w:rPr>
        <w:t xml:space="preserve">taken </w:t>
      </w:r>
      <w:r w:rsidR="009074E3" w:rsidRPr="0025734D">
        <w:rPr>
          <w:rFonts w:ascii="Arial" w:hAnsi="Arial" w:cs="Arial"/>
          <w:sz w:val="24"/>
          <w:szCs w:val="24"/>
        </w:rPr>
        <w:t>out of the equation</w:t>
      </w:r>
      <w:r w:rsidR="00111AD6" w:rsidRPr="0025734D">
        <w:rPr>
          <w:rFonts w:ascii="Arial" w:hAnsi="Arial" w:cs="Arial"/>
          <w:sz w:val="24"/>
          <w:szCs w:val="24"/>
        </w:rPr>
        <w:t xml:space="preserve">. The taxing officer has to strive towards a balance between indemnifying the successful </w:t>
      </w:r>
      <w:r w:rsidR="00FE4D8E" w:rsidRPr="0025734D">
        <w:rPr>
          <w:rFonts w:ascii="Arial" w:hAnsi="Arial" w:cs="Arial"/>
          <w:sz w:val="24"/>
          <w:szCs w:val="24"/>
        </w:rPr>
        <w:t xml:space="preserve">party and </w:t>
      </w:r>
      <w:r w:rsidR="00111AD6" w:rsidRPr="0025734D">
        <w:rPr>
          <w:rFonts w:ascii="Arial" w:hAnsi="Arial" w:cs="Arial"/>
          <w:sz w:val="24"/>
          <w:szCs w:val="24"/>
        </w:rPr>
        <w:t>remaining within reasonable bounda</w:t>
      </w:r>
      <w:r w:rsidR="00FE4D8E" w:rsidRPr="0025734D">
        <w:rPr>
          <w:rFonts w:ascii="Arial" w:hAnsi="Arial" w:cs="Arial"/>
          <w:sz w:val="24"/>
          <w:szCs w:val="24"/>
        </w:rPr>
        <w:t xml:space="preserve">ries, whilst being mindful that if rule 125(7) finds application, he or she has latitude to permit </w:t>
      </w:r>
      <w:r w:rsidR="00F407AE">
        <w:rPr>
          <w:rFonts w:ascii="Arial" w:hAnsi="Arial" w:cs="Arial"/>
          <w:sz w:val="24"/>
          <w:szCs w:val="24"/>
        </w:rPr>
        <w:t>fees over the tariff.</w:t>
      </w:r>
      <w:r w:rsidR="00FE4D8E" w:rsidRPr="0025734D">
        <w:rPr>
          <w:rFonts w:ascii="Arial" w:hAnsi="Arial" w:cs="Arial"/>
          <w:sz w:val="24"/>
          <w:szCs w:val="24"/>
        </w:rPr>
        <w:t xml:space="preserve"> I find the statement i</w:t>
      </w:r>
      <w:r w:rsidR="00E73261" w:rsidRPr="0025734D">
        <w:rPr>
          <w:rFonts w:ascii="Arial" w:hAnsi="Arial" w:cs="Arial"/>
          <w:sz w:val="24"/>
          <w:szCs w:val="24"/>
        </w:rPr>
        <w:t>n Cobb v Levy</w:t>
      </w:r>
      <w:r w:rsidR="00E73261" w:rsidRPr="000F7CFB">
        <w:rPr>
          <w:rStyle w:val="FootnoteReference"/>
          <w:rFonts w:ascii="Arial" w:hAnsi="Arial" w:cs="Arial"/>
          <w:sz w:val="24"/>
          <w:szCs w:val="24"/>
        </w:rPr>
        <w:footnoteReference w:id="5"/>
      </w:r>
      <w:r w:rsidR="00E73261" w:rsidRPr="0025734D">
        <w:rPr>
          <w:rFonts w:ascii="Arial" w:hAnsi="Arial" w:cs="Arial"/>
          <w:sz w:val="24"/>
          <w:szCs w:val="24"/>
        </w:rPr>
        <w:t xml:space="preserve"> </w:t>
      </w:r>
      <w:r w:rsidR="00845A3C" w:rsidRPr="0025734D">
        <w:rPr>
          <w:rFonts w:ascii="Arial" w:hAnsi="Arial" w:cs="Arial"/>
          <w:sz w:val="24"/>
          <w:szCs w:val="24"/>
        </w:rPr>
        <w:t xml:space="preserve">at p 464H and 465A </w:t>
      </w:r>
      <w:r w:rsidR="00FE4D8E" w:rsidRPr="0025734D">
        <w:rPr>
          <w:rFonts w:ascii="Arial" w:hAnsi="Arial" w:cs="Arial"/>
          <w:sz w:val="24"/>
          <w:szCs w:val="24"/>
        </w:rPr>
        <w:t>apposite here:</w:t>
      </w:r>
    </w:p>
    <w:p w:rsidR="009074E3" w:rsidRPr="00F407AE" w:rsidRDefault="00D117F4" w:rsidP="00D01739">
      <w:pPr>
        <w:spacing w:after="0" w:line="360" w:lineRule="auto"/>
        <w:ind w:left="720"/>
        <w:jc w:val="both"/>
        <w:rPr>
          <w:rFonts w:ascii="Arial" w:hAnsi="Arial" w:cs="Arial"/>
        </w:rPr>
      </w:pPr>
      <w:r>
        <w:rPr>
          <w:rFonts w:ascii="Arial" w:hAnsi="Arial" w:cs="Arial"/>
        </w:rPr>
        <w:t>“</w:t>
      </w:r>
      <w:r w:rsidR="00FE4D8E" w:rsidRPr="00F407AE">
        <w:rPr>
          <w:rFonts w:ascii="Arial" w:hAnsi="Arial" w:cs="Arial"/>
        </w:rPr>
        <w:t xml:space="preserve">Where a </w:t>
      </w:r>
      <w:r w:rsidR="00E73261" w:rsidRPr="00F407AE">
        <w:rPr>
          <w:rFonts w:ascii="Arial" w:hAnsi="Arial" w:cs="Arial"/>
        </w:rPr>
        <w:t>person is enjoined by statute to exercise a discretion, he ought not to preclude himself from doing so by followi</w:t>
      </w:r>
      <w:r>
        <w:rPr>
          <w:rFonts w:ascii="Arial" w:hAnsi="Arial" w:cs="Arial"/>
        </w:rPr>
        <w:t>ng a rigid preconceived policy.</w:t>
      </w:r>
    </w:p>
    <w:p w:rsidR="00694D64" w:rsidRPr="000F7CFB" w:rsidRDefault="00694D64" w:rsidP="000F7CFB">
      <w:pPr>
        <w:pStyle w:val="ListParagraph"/>
        <w:spacing w:after="0" w:line="360" w:lineRule="auto"/>
        <w:jc w:val="both"/>
        <w:rPr>
          <w:rFonts w:ascii="Arial" w:hAnsi="Arial" w:cs="Arial"/>
          <w:sz w:val="24"/>
          <w:szCs w:val="24"/>
        </w:rPr>
      </w:pPr>
    </w:p>
    <w:p w:rsidR="00CF6C91" w:rsidRPr="0025734D" w:rsidRDefault="0025734D" w:rsidP="0025734D">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F6C91" w:rsidRPr="0025734D">
        <w:rPr>
          <w:rFonts w:ascii="Arial" w:hAnsi="Arial" w:cs="Arial"/>
          <w:sz w:val="24"/>
          <w:szCs w:val="24"/>
        </w:rPr>
        <w:t xml:space="preserve">In </w:t>
      </w:r>
      <w:r w:rsidR="00EE6476" w:rsidRPr="0025734D">
        <w:rPr>
          <w:rFonts w:ascii="Arial" w:hAnsi="Arial" w:cs="Arial"/>
          <w:sz w:val="24"/>
          <w:szCs w:val="24"/>
        </w:rPr>
        <w:t xml:space="preserve">turning to the </w:t>
      </w:r>
      <w:r w:rsidR="00CF6C91" w:rsidRPr="0025734D">
        <w:rPr>
          <w:rFonts w:ascii="Arial" w:hAnsi="Arial" w:cs="Arial"/>
          <w:sz w:val="24"/>
          <w:szCs w:val="24"/>
        </w:rPr>
        <w:t xml:space="preserve">nature of the case at hand, </w:t>
      </w:r>
      <w:r w:rsidR="0043480D" w:rsidRPr="0025734D">
        <w:rPr>
          <w:rFonts w:ascii="Arial" w:hAnsi="Arial" w:cs="Arial"/>
          <w:sz w:val="24"/>
          <w:szCs w:val="24"/>
        </w:rPr>
        <w:t xml:space="preserve">I consider this matter as an exceptional case in that it was a </w:t>
      </w:r>
      <w:r w:rsidR="00CF6C91" w:rsidRPr="0025734D">
        <w:rPr>
          <w:rFonts w:ascii="Arial" w:hAnsi="Arial" w:cs="Arial"/>
          <w:sz w:val="24"/>
          <w:szCs w:val="24"/>
        </w:rPr>
        <w:t xml:space="preserve">first impression case in respect of the implementation of </w:t>
      </w:r>
      <w:r w:rsidR="00457C53" w:rsidRPr="0025734D">
        <w:rPr>
          <w:rFonts w:ascii="Arial" w:hAnsi="Arial" w:cs="Arial"/>
          <w:sz w:val="24"/>
          <w:szCs w:val="24"/>
        </w:rPr>
        <w:t xml:space="preserve">the </w:t>
      </w:r>
      <w:r w:rsidR="00CF6C91" w:rsidRPr="0025734D">
        <w:rPr>
          <w:rFonts w:ascii="Arial" w:hAnsi="Arial" w:cs="Arial"/>
          <w:sz w:val="24"/>
          <w:szCs w:val="24"/>
        </w:rPr>
        <w:t xml:space="preserve">system of </w:t>
      </w:r>
      <w:r w:rsidR="003C5696" w:rsidRPr="0025734D">
        <w:rPr>
          <w:rFonts w:ascii="Arial" w:hAnsi="Arial" w:cs="Arial"/>
          <w:sz w:val="24"/>
          <w:szCs w:val="24"/>
        </w:rPr>
        <w:t xml:space="preserve">the </w:t>
      </w:r>
      <w:r w:rsidR="00CF6C91" w:rsidRPr="0025734D">
        <w:rPr>
          <w:rFonts w:ascii="Arial" w:hAnsi="Arial" w:cs="Arial"/>
          <w:sz w:val="24"/>
          <w:szCs w:val="24"/>
        </w:rPr>
        <w:t>compulsory cession of the respective specified values of each insurance contract by registered insurers and re-insurers</w:t>
      </w:r>
      <w:r w:rsidR="00396449">
        <w:rPr>
          <w:rFonts w:ascii="Arial" w:hAnsi="Arial" w:cs="Arial"/>
          <w:sz w:val="24"/>
          <w:szCs w:val="24"/>
        </w:rPr>
        <w:t>.</w:t>
      </w:r>
      <w:r w:rsidR="00CF6C91" w:rsidRPr="0025734D">
        <w:rPr>
          <w:rFonts w:ascii="Arial" w:hAnsi="Arial" w:cs="Arial"/>
          <w:sz w:val="24"/>
          <w:szCs w:val="24"/>
        </w:rPr>
        <w:t xml:space="preserve"> </w:t>
      </w:r>
      <w:r w:rsidR="003C5696" w:rsidRPr="0025734D">
        <w:rPr>
          <w:rFonts w:ascii="Arial" w:hAnsi="Arial" w:cs="Arial"/>
          <w:sz w:val="24"/>
          <w:szCs w:val="24"/>
        </w:rPr>
        <w:t xml:space="preserve">In that sense the </w:t>
      </w:r>
      <w:r w:rsidR="00CF6C91" w:rsidRPr="0025734D">
        <w:rPr>
          <w:rFonts w:ascii="Arial" w:hAnsi="Arial" w:cs="Arial"/>
          <w:sz w:val="24"/>
          <w:szCs w:val="24"/>
        </w:rPr>
        <w:t xml:space="preserve">scope of the issues were complex </w:t>
      </w:r>
      <w:r w:rsidR="00CF6C91" w:rsidRPr="0025734D">
        <w:rPr>
          <w:rFonts w:ascii="Arial" w:hAnsi="Arial" w:cs="Arial"/>
          <w:sz w:val="24"/>
          <w:szCs w:val="24"/>
        </w:rPr>
        <w:lastRenderedPageBreak/>
        <w:t xml:space="preserve">and called for labour by counsel that goes beyond </w:t>
      </w:r>
      <w:r w:rsidR="003C5696" w:rsidRPr="0025734D">
        <w:rPr>
          <w:rFonts w:ascii="Arial" w:hAnsi="Arial" w:cs="Arial"/>
          <w:sz w:val="24"/>
          <w:szCs w:val="24"/>
        </w:rPr>
        <w:t xml:space="preserve">what is done for </w:t>
      </w:r>
      <w:r w:rsidR="003E64E4">
        <w:rPr>
          <w:rFonts w:ascii="Arial" w:hAnsi="Arial" w:cs="Arial"/>
          <w:sz w:val="24"/>
          <w:szCs w:val="24"/>
        </w:rPr>
        <w:t xml:space="preserve">a run of the mill </w:t>
      </w:r>
      <w:r w:rsidR="00C3350E" w:rsidRPr="0025734D">
        <w:rPr>
          <w:rFonts w:ascii="Arial" w:hAnsi="Arial" w:cs="Arial"/>
          <w:sz w:val="24"/>
          <w:szCs w:val="24"/>
        </w:rPr>
        <w:t>case</w:t>
      </w:r>
      <w:r w:rsidR="003C5696" w:rsidRPr="0025734D">
        <w:rPr>
          <w:rFonts w:ascii="Arial" w:hAnsi="Arial" w:cs="Arial"/>
          <w:sz w:val="24"/>
          <w:szCs w:val="24"/>
        </w:rPr>
        <w:t>. This may include items</w:t>
      </w:r>
      <w:r w:rsidR="0043480D" w:rsidRPr="0025734D">
        <w:rPr>
          <w:rFonts w:ascii="Arial" w:hAnsi="Arial" w:cs="Arial"/>
          <w:sz w:val="24"/>
          <w:szCs w:val="24"/>
        </w:rPr>
        <w:t xml:space="preserve"> such as, </w:t>
      </w:r>
      <w:r w:rsidR="003C5696" w:rsidRPr="0025734D">
        <w:rPr>
          <w:rFonts w:ascii="Arial" w:hAnsi="Arial" w:cs="Arial"/>
          <w:sz w:val="24"/>
          <w:szCs w:val="24"/>
        </w:rPr>
        <w:t xml:space="preserve">research </w:t>
      </w:r>
      <w:r w:rsidR="00FE47BD">
        <w:rPr>
          <w:rFonts w:ascii="Arial" w:hAnsi="Arial" w:cs="Arial"/>
          <w:sz w:val="24"/>
          <w:szCs w:val="24"/>
        </w:rPr>
        <w:t xml:space="preserve">of </w:t>
      </w:r>
      <w:r w:rsidR="00CF6C91" w:rsidRPr="0025734D">
        <w:rPr>
          <w:rFonts w:ascii="Arial" w:hAnsi="Arial" w:cs="Arial"/>
          <w:sz w:val="24"/>
          <w:szCs w:val="24"/>
        </w:rPr>
        <w:t>comparable</w:t>
      </w:r>
      <w:r w:rsidR="003C5696" w:rsidRPr="0025734D">
        <w:rPr>
          <w:rFonts w:ascii="Arial" w:hAnsi="Arial" w:cs="Arial"/>
          <w:sz w:val="24"/>
          <w:szCs w:val="24"/>
        </w:rPr>
        <w:t xml:space="preserve"> statutes</w:t>
      </w:r>
      <w:r w:rsidR="008408D0" w:rsidRPr="0025734D">
        <w:rPr>
          <w:rFonts w:ascii="Arial" w:hAnsi="Arial" w:cs="Arial"/>
          <w:sz w:val="24"/>
          <w:szCs w:val="24"/>
        </w:rPr>
        <w:t xml:space="preserve"> and resource material</w:t>
      </w:r>
      <w:r w:rsidR="003C5696" w:rsidRPr="0025734D">
        <w:rPr>
          <w:rFonts w:ascii="Arial" w:hAnsi="Arial" w:cs="Arial"/>
          <w:sz w:val="24"/>
          <w:szCs w:val="24"/>
        </w:rPr>
        <w:t xml:space="preserve"> </w:t>
      </w:r>
      <w:r w:rsidR="00CF6C91" w:rsidRPr="0025734D">
        <w:rPr>
          <w:rFonts w:ascii="Arial" w:hAnsi="Arial" w:cs="Arial"/>
          <w:sz w:val="24"/>
          <w:szCs w:val="24"/>
        </w:rPr>
        <w:t>or consult authorities in jurisdictions that has implemented similar legislation</w:t>
      </w:r>
      <w:r w:rsidR="0043480D" w:rsidRPr="0025734D">
        <w:rPr>
          <w:rFonts w:ascii="Arial" w:hAnsi="Arial" w:cs="Arial"/>
          <w:sz w:val="24"/>
          <w:szCs w:val="24"/>
        </w:rPr>
        <w:t>. These items do not</w:t>
      </w:r>
      <w:r w:rsidR="007D049D">
        <w:rPr>
          <w:rFonts w:ascii="Arial" w:hAnsi="Arial" w:cs="Arial"/>
          <w:sz w:val="24"/>
          <w:szCs w:val="24"/>
        </w:rPr>
        <w:t xml:space="preserve"> constitute an exhaustive list.</w:t>
      </w:r>
    </w:p>
    <w:p w:rsidR="00694D64" w:rsidRPr="000F7CFB" w:rsidRDefault="00694D64" w:rsidP="000F7CFB">
      <w:pPr>
        <w:pStyle w:val="ListParagraph"/>
        <w:spacing w:after="0" w:line="360" w:lineRule="auto"/>
        <w:jc w:val="both"/>
        <w:rPr>
          <w:rFonts w:ascii="Arial" w:hAnsi="Arial" w:cs="Arial"/>
          <w:sz w:val="24"/>
          <w:szCs w:val="24"/>
        </w:rPr>
      </w:pPr>
    </w:p>
    <w:p w:rsidR="006F3F26" w:rsidRPr="0025734D" w:rsidRDefault="0025734D" w:rsidP="0025734D">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B92EDE" w:rsidRPr="0025734D">
        <w:rPr>
          <w:rFonts w:ascii="Arial" w:hAnsi="Arial" w:cs="Arial"/>
          <w:sz w:val="24"/>
          <w:szCs w:val="24"/>
        </w:rPr>
        <w:t xml:space="preserve">I heed to the guidance </w:t>
      </w:r>
      <w:r w:rsidR="006F3F26" w:rsidRPr="0025734D">
        <w:rPr>
          <w:rFonts w:ascii="Arial" w:hAnsi="Arial" w:cs="Arial"/>
          <w:sz w:val="24"/>
          <w:szCs w:val="24"/>
        </w:rPr>
        <w:t>by the Supreme Court in Afshani v Vaatz</w:t>
      </w:r>
      <w:r w:rsidR="00B92EDE" w:rsidRPr="000F7CFB">
        <w:rPr>
          <w:rStyle w:val="FootnoteReference"/>
          <w:rFonts w:ascii="Arial" w:hAnsi="Arial" w:cs="Arial"/>
          <w:sz w:val="24"/>
          <w:szCs w:val="24"/>
        </w:rPr>
        <w:footnoteReference w:id="6"/>
      </w:r>
      <w:r w:rsidR="004C293B" w:rsidRPr="0025734D">
        <w:rPr>
          <w:rFonts w:ascii="Arial" w:hAnsi="Arial" w:cs="Arial"/>
          <w:sz w:val="24"/>
          <w:szCs w:val="24"/>
        </w:rPr>
        <w:t xml:space="preserve"> </w:t>
      </w:r>
      <w:r w:rsidR="006F3F26" w:rsidRPr="0025734D">
        <w:rPr>
          <w:rFonts w:ascii="Arial" w:hAnsi="Arial" w:cs="Arial"/>
          <w:sz w:val="24"/>
          <w:szCs w:val="24"/>
        </w:rPr>
        <w:t>that reviewing courts should not readily interfere with the discretion of a taxing officer, unless he or she has not exercised his discretion judicially but has done so improperly or has not brought his or her mind to bear upon the question or has acted on a wrong principle.</w:t>
      </w:r>
    </w:p>
    <w:p w:rsidR="00694D64" w:rsidRPr="000F7CFB" w:rsidRDefault="00694D64" w:rsidP="000F7CFB">
      <w:pPr>
        <w:pStyle w:val="ListParagraph"/>
        <w:spacing w:after="0" w:line="360" w:lineRule="auto"/>
        <w:jc w:val="both"/>
        <w:rPr>
          <w:rFonts w:ascii="Arial" w:hAnsi="Arial" w:cs="Arial"/>
          <w:sz w:val="24"/>
          <w:szCs w:val="24"/>
        </w:rPr>
      </w:pPr>
    </w:p>
    <w:p w:rsidR="002F714E" w:rsidRDefault="0025734D" w:rsidP="0025734D">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CF6C91" w:rsidRPr="0025734D">
        <w:rPr>
          <w:rFonts w:ascii="Arial" w:hAnsi="Arial" w:cs="Arial"/>
          <w:sz w:val="24"/>
          <w:szCs w:val="24"/>
        </w:rPr>
        <w:t xml:space="preserve">From the record </w:t>
      </w:r>
      <w:r w:rsidR="00EB563E" w:rsidRPr="0025734D">
        <w:rPr>
          <w:rFonts w:ascii="Arial" w:hAnsi="Arial" w:cs="Arial"/>
          <w:sz w:val="24"/>
          <w:szCs w:val="24"/>
        </w:rPr>
        <w:t xml:space="preserve">and </w:t>
      </w:r>
      <w:r w:rsidR="00E944E1" w:rsidRPr="0025734D">
        <w:rPr>
          <w:rFonts w:ascii="Arial" w:hAnsi="Arial" w:cs="Arial"/>
          <w:sz w:val="24"/>
          <w:szCs w:val="24"/>
        </w:rPr>
        <w:t>stated case it</w:t>
      </w:r>
      <w:r w:rsidR="00AC3C5C" w:rsidRPr="0025734D">
        <w:rPr>
          <w:rFonts w:ascii="Arial" w:hAnsi="Arial" w:cs="Arial"/>
          <w:sz w:val="24"/>
          <w:szCs w:val="24"/>
        </w:rPr>
        <w:t xml:space="preserve"> appears </w:t>
      </w:r>
      <w:r w:rsidR="00E73261" w:rsidRPr="0025734D">
        <w:rPr>
          <w:rFonts w:ascii="Arial" w:hAnsi="Arial" w:cs="Arial"/>
          <w:sz w:val="24"/>
          <w:szCs w:val="24"/>
        </w:rPr>
        <w:t xml:space="preserve">that </w:t>
      </w:r>
      <w:r w:rsidR="00AC3C5C" w:rsidRPr="0025734D">
        <w:rPr>
          <w:rFonts w:ascii="Arial" w:hAnsi="Arial" w:cs="Arial"/>
          <w:sz w:val="24"/>
          <w:szCs w:val="24"/>
        </w:rPr>
        <w:t xml:space="preserve">the matter was approached </w:t>
      </w:r>
      <w:r w:rsidR="00E73261" w:rsidRPr="0025734D">
        <w:rPr>
          <w:rFonts w:ascii="Arial" w:hAnsi="Arial" w:cs="Arial"/>
          <w:sz w:val="24"/>
          <w:szCs w:val="24"/>
        </w:rPr>
        <w:t xml:space="preserve">on the basis </w:t>
      </w:r>
      <w:r w:rsidR="00AC3C5C" w:rsidRPr="0025734D">
        <w:rPr>
          <w:rFonts w:ascii="Arial" w:hAnsi="Arial" w:cs="Arial"/>
          <w:sz w:val="24"/>
          <w:szCs w:val="24"/>
        </w:rPr>
        <w:t xml:space="preserve">that there can be no departure from the tariffs. </w:t>
      </w:r>
      <w:r w:rsidR="00727ABD">
        <w:rPr>
          <w:rFonts w:ascii="Arial" w:hAnsi="Arial" w:cs="Arial"/>
          <w:sz w:val="24"/>
          <w:szCs w:val="24"/>
        </w:rPr>
        <w:t>Judging from the taxing officer’s</w:t>
      </w:r>
      <w:r w:rsidR="00AC3C5C" w:rsidRPr="0025734D">
        <w:rPr>
          <w:rFonts w:ascii="Arial" w:hAnsi="Arial" w:cs="Arial"/>
          <w:sz w:val="24"/>
          <w:szCs w:val="24"/>
        </w:rPr>
        <w:t xml:space="preserve"> own papers </w:t>
      </w:r>
      <w:r w:rsidR="00C0398C">
        <w:rPr>
          <w:rFonts w:ascii="Arial" w:hAnsi="Arial" w:cs="Arial"/>
          <w:sz w:val="24"/>
          <w:szCs w:val="24"/>
        </w:rPr>
        <w:t xml:space="preserve">it </w:t>
      </w:r>
      <w:r w:rsidR="00AC3C5C" w:rsidRPr="0025734D">
        <w:rPr>
          <w:rFonts w:ascii="Arial" w:hAnsi="Arial" w:cs="Arial"/>
          <w:sz w:val="24"/>
          <w:szCs w:val="24"/>
        </w:rPr>
        <w:t xml:space="preserve">does not reflect that there was an appreciation </w:t>
      </w:r>
      <w:r w:rsidR="00E73261" w:rsidRPr="0025734D">
        <w:rPr>
          <w:rFonts w:ascii="Arial" w:hAnsi="Arial" w:cs="Arial"/>
          <w:sz w:val="24"/>
          <w:szCs w:val="24"/>
        </w:rPr>
        <w:t xml:space="preserve">of the </w:t>
      </w:r>
      <w:r w:rsidR="00E944E1" w:rsidRPr="0025734D">
        <w:rPr>
          <w:rFonts w:ascii="Arial" w:hAnsi="Arial" w:cs="Arial"/>
          <w:sz w:val="24"/>
          <w:szCs w:val="24"/>
        </w:rPr>
        <w:t xml:space="preserve">issues in the matter. </w:t>
      </w:r>
      <w:r w:rsidR="008408D0" w:rsidRPr="0025734D">
        <w:rPr>
          <w:rFonts w:ascii="Arial" w:hAnsi="Arial" w:cs="Arial"/>
          <w:sz w:val="24"/>
          <w:szCs w:val="24"/>
        </w:rPr>
        <w:t xml:space="preserve">Thus there is no basis on which I could find that the taxing officer applied her mind to the </w:t>
      </w:r>
      <w:r w:rsidR="0043480D" w:rsidRPr="0025734D">
        <w:rPr>
          <w:rFonts w:ascii="Arial" w:hAnsi="Arial" w:cs="Arial"/>
          <w:sz w:val="24"/>
          <w:szCs w:val="24"/>
        </w:rPr>
        <w:t>evidence presented</w:t>
      </w:r>
      <w:r w:rsidR="000F47FB" w:rsidRPr="0025734D">
        <w:rPr>
          <w:rFonts w:ascii="Arial" w:hAnsi="Arial" w:cs="Arial"/>
          <w:sz w:val="24"/>
          <w:szCs w:val="24"/>
        </w:rPr>
        <w:t xml:space="preserve"> and exer</w:t>
      </w:r>
      <w:r w:rsidR="006F3F26" w:rsidRPr="0025734D">
        <w:rPr>
          <w:rFonts w:ascii="Arial" w:hAnsi="Arial" w:cs="Arial"/>
          <w:sz w:val="24"/>
          <w:szCs w:val="24"/>
        </w:rPr>
        <w:t>cised her discretion judiciously.</w:t>
      </w:r>
    </w:p>
    <w:p w:rsidR="007308B0" w:rsidRDefault="007308B0" w:rsidP="0025734D">
      <w:pPr>
        <w:spacing w:after="0" w:line="360" w:lineRule="auto"/>
        <w:jc w:val="both"/>
        <w:rPr>
          <w:rFonts w:ascii="Arial" w:hAnsi="Arial" w:cs="Arial"/>
          <w:sz w:val="24"/>
          <w:szCs w:val="24"/>
        </w:rPr>
      </w:pPr>
    </w:p>
    <w:p w:rsidR="006F3F26" w:rsidRPr="0025734D" w:rsidRDefault="0025734D" w:rsidP="0025734D">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F3F26" w:rsidRPr="0025734D">
        <w:rPr>
          <w:rFonts w:ascii="Arial" w:hAnsi="Arial" w:cs="Arial"/>
          <w:sz w:val="24"/>
          <w:szCs w:val="24"/>
        </w:rPr>
        <w:t>Based on the aforegoing I make the following order:</w:t>
      </w:r>
    </w:p>
    <w:p w:rsidR="006D59A9" w:rsidRPr="0025734D" w:rsidRDefault="006D59A9" w:rsidP="0025734D">
      <w:pPr>
        <w:pStyle w:val="ListParagraph"/>
        <w:numPr>
          <w:ilvl w:val="0"/>
          <w:numId w:val="3"/>
        </w:numPr>
        <w:spacing w:after="0" w:line="360" w:lineRule="auto"/>
        <w:jc w:val="both"/>
        <w:rPr>
          <w:rFonts w:ascii="Arial" w:hAnsi="Arial" w:cs="Arial"/>
          <w:sz w:val="24"/>
          <w:szCs w:val="24"/>
        </w:rPr>
      </w:pPr>
      <w:r w:rsidRPr="0025734D">
        <w:rPr>
          <w:rFonts w:ascii="Arial" w:hAnsi="Arial" w:cs="Arial"/>
          <w:sz w:val="24"/>
          <w:szCs w:val="24"/>
        </w:rPr>
        <w:t>The review application succeeds</w:t>
      </w:r>
    </w:p>
    <w:p w:rsidR="006D59A9" w:rsidRPr="000F7CFB" w:rsidRDefault="006D59A9" w:rsidP="0025734D">
      <w:pPr>
        <w:pStyle w:val="ListParagraph"/>
        <w:numPr>
          <w:ilvl w:val="0"/>
          <w:numId w:val="3"/>
        </w:numPr>
        <w:spacing w:after="0" w:line="360" w:lineRule="auto"/>
        <w:jc w:val="both"/>
        <w:rPr>
          <w:rFonts w:ascii="Arial" w:hAnsi="Arial" w:cs="Arial"/>
          <w:sz w:val="24"/>
          <w:szCs w:val="24"/>
        </w:rPr>
      </w:pPr>
      <w:r w:rsidRPr="000F7CFB">
        <w:rPr>
          <w:rFonts w:ascii="Arial" w:hAnsi="Arial" w:cs="Arial"/>
          <w:sz w:val="24"/>
          <w:szCs w:val="24"/>
        </w:rPr>
        <w:t>The determination by the taxing officer that she has no discretion to permit a fee for senior counsel above the prescribed N$ 1800.00 per hour is reviewed and set aside</w:t>
      </w:r>
    </w:p>
    <w:p w:rsidR="006D59A9" w:rsidRPr="000F7CFB" w:rsidRDefault="006D59A9" w:rsidP="0025734D">
      <w:pPr>
        <w:pStyle w:val="ListParagraph"/>
        <w:numPr>
          <w:ilvl w:val="0"/>
          <w:numId w:val="3"/>
        </w:numPr>
        <w:spacing w:after="0" w:line="360" w:lineRule="auto"/>
        <w:jc w:val="both"/>
        <w:rPr>
          <w:rFonts w:ascii="Arial" w:hAnsi="Arial" w:cs="Arial"/>
          <w:sz w:val="24"/>
          <w:szCs w:val="24"/>
        </w:rPr>
      </w:pPr>
      <w:r w:rsidRPr="000F7CFB">
        <w:rPr>
          <w:rFonts w:ascii="Arial" w:hAnsi="Arial" w:cs="Arial"/>
          <w:sz w:val="24"/>
          <w:szCs w:val="24"/>
        </w:rPr>
        <w:t>It is declared that the taxing officer has a discretion in terms of rule 125(7) to allow an amount higher than the prescribed fees of N$ 1800.00 in deserving cases.</w:t>
      </w:r>
    </w:p>
    <w:p w:rsidR="006D59A9" w:rsidRDefault="006D59A9" w:rsidP="0025734D">
      <w:pPr>
        <w:pStyle w:val="ListParagraph"/>
        <w:numPr>
          <w:ilvl w:val="0"/>
          <w:numId w:val="3"/>
        </w:numPr>
        <w:spacing w:after="0" w:line="360" w:lineRule="auto"/>
        <w:jc w:val="both"/>
        <w:rPr>
          <w:rFonts w:ascii="Arial" w:hAnsi="Arial" w:cs="Arial"/>
          <w:sz w:val="24"/>
          <w:szCs w:val="24"/>
        </w:rPr>
      </w:pPr>
      <w:r w:rsidRPr="000F7CFB">
        <w:rPr>
          <w:rFonts w:ascii="Arial" w:hAnsi="Arial" w:cs="Arial"/>
          <w:sz w:val="24"/>
          <w:szCs w:val="24"/>
        </w:rPr>
        <w:t>The matter is referred back to the taxing officer to exercise her discretion in terms of rule 125(7) after having asked for and received submissions from the respective parties to enable the taxing officer to determine fees that are f</w:t>
      </w:r>
      <w:r w:rsidR="00E30702">
        <w:rPr>
          <w:rFonts w:ascii="Arial" w:hAnsi="Arial" w:cs="Arial"/>
          <w:sz w:val="24"/>
          <w:szCs w:val="24"/>
        </w:rPr>
        <w:t>air and equitable.</w:t>
      </w:r>
    </w:p>
    <w:p w:rsidR="00C42FBE" w:rsidRDefault="00C42FBE" w:rsidP="00E30702">
      <w:pPr>
        <w:pStyle w:val="ListParagraph"/>
        <w:spacing w:after="0" w:line="360" w:lineRule="auto"/>
        <w:jc w:val="both"/>
        <w:rPr>
          <w:rFonts w:ascii="Arial" w:hAnsi="Arial" w:cs="Arial"/>
          <w:sz w:val="24"/>
          <w:szCs w:val="24"/>
        </w:rPr>
      </w:pPr>
    </w:p>
    <w:p w:rsidR="00E30702" w:rsidRPr="00E30702" w:rsidRDefault="00E30702" w:rsidP="00E30702">
      <w:pPr>
        <w:spacing w:after="0" w:line="360" w:lineRule="auto"/>
        <w:ind w:left="7200" w:firstLine="720"/>
        <w:jc w:val="both"/>
        <w:rPr>
          <w:rFonts w:ascii="Arial" w:hAnsi="Arial" w:cs="Arial"/>
          <w:b/>
          <w:sz w:val="24"/>
          <w:szCs w:val="24"/>
        </w:rPr>
      </w:pPr>
      <w:r>
        <w:rPr>
          <w:rFonts w:ascii="Arial" w:hAnsi="Arial" w:cs="Arial"/>
          <w:sz w:val="24"/>
          <w:szCs w:val="24"/>
        </w:rPr>
        <w:t xml:space="preserve">    </w:t>
      </w:r>
      <w:r w:rsidRPr="00E30702">
        <w:rPr>
          <w:rFonts w:ascii="Arial" w:hAnsi="Arial" w:cs="Arial"/>
          <w:b/>
          <w:sz w:val="24"/>
          <w:szCs w:val="24"/>
        </w:rPr>
        <w:t>C Claasen</w:t>
      </w:r>
    </w:p>
    <w:p w:rsidR="00E30702" w:rsidRDefault="00E30702" w:rsidP="00E30702">
      <w:pPr>
        <w:spacing w:after="0" w:line="360" w:lineRule="auto"/>
        <w:jc w:val="both"/>
        <w:rPr>
          <w:rFonts w:ascii="Arial" w:hAnsi="Arial" w:cs="Arial"/>
          <w:b/>
          <w:sz w:val="24"/>
          <w:szCs w:val="24"/>
        </w:rPr>
      </w:pPr>
      <w:r w:rsidRPr="00E30702">
        <w:rPr>
          <w:rFonts w:ascii="Arial" w:hAnsi="Arial" w:cs="Arial"/>
          <w:b/>
          <w:sz w:val="24"/>
          <w:szCs w:val="24"/>
        </w:rPr>
        <w:tab/>
      </w:r>
      <w:r w:rsidRPr="00E30702">
        <w:rPr>
          <w:rFonts w:ascii="Arial" w:hAnsi="Arial" w:cs="Arial"/>
          <w:b/>
          <w:sz w:val="24"/>
          <w:szCs w:val="24"/>
        </w:rPr>
        <w:tab/>
      </w:r>
      <w:r w:rsidRPr="00E30702">
        <w:rPr>
          <w:rFonts w:ascii="Arial" w:hAnsi="Arial" w:cs="Arial"/>
          <w:b/>
          <w:sz w:val="24"/>
          <w:szCs w:val="24"/>
        </w:rPr>
        <w:tab/>
      </w:r>
      <w:r w:rsidRPr="00E30702">
        <w:rPr>
          <w:rFonts w:ascii="Arial" w:hAnsi="Arial" w:cs="Arial"/>
          <w:b/>
          <w:sz w:val="24"/>
          <w:szCs w:val="24"/>
        </w:rPr>
        <w:tab/>
      </w:r>
      <w:r w:rsidRPr="00E30702">
        <w:rPr>
          <w:rFonts w:ascii="Arial" w:hAnsi="Arial" w:cs="Arial"/>
          <w:b/>
          <w:sz w:val="24"/>
          <w:szCs w:val="24"/>
        </w:rPr>
        <w:tab/>
      </w:r>
      <w:r w:rsidRPr="00E30702">
        <w:rPr>
          <w:rFonts w:ascii="Arial" w:hAnsi="Arial" w:cs="Arial"/>
          <w:b/>
          <w:sz w:val="24"/>
          <w:szCs w:val="24"/>
        </w:rPr>
        <w:tab/>
      </w:r>
      <w:r w:rsidRPr="00E30702">
        <w:rPr>
          <w:rFonts w:ascii="Arial" w:hAnsi="Arial" w:cs="Arial"/>
          <w:b/>
          <w:sz w:val="24"/>
          <w:szCs w:val="24"/>
        </w:rPr>
        <w:tab/>
      </w:r>
      <w:r w:rsidRPr="00E30702">
        <w:rPr>
          <w:rFonts w:ascii="Arial" w:hAnsi="Arial" w:cs="Arial"/>
          <w:b/>
          <w:sz w:val="24"/>
          <w:szCs w:val="24"/>
        </w:rPr>
        <w:tab/>
      </w:r>
      <w:r w:rsidRPr="00E30702">
        <w:rPr>
          <w:rFonts w:ascii="Arial" w:hAnsi="Arial" w:cs="Arial"/>
          <w:b/>
          <w:sz w:val="24"/>
          <w:szCs w:val="24"/>
        </w:rPr>
        <w:tab/>
      </w:r>
      <w:r w:rsidRPr="00E30702">
        <w:rPr>
          <w:rFonts w:ascii="Arial" w:hAnsi="Arial" w:cs="Arial"/>
          <w:b/>
          <w:sz w:val="24"/>
          <w:szCs w:val="24"/>
        </w:rPr>
        <w:tab/>
      </w:r>
      <w:r w:rsidRPr="00E30702">
        <w:rPr>
          <w:rFonts w:ascii="Arial" w:hAnsi="Arial" w:cs="Arial"/>
          <w:b/>
          <w:sz w:val="24"/>
          <w:szCs w:val="24"/>
        </w:rPr>
        <w:tab/>
      </w:r>
      <w:r w:rsidRPr="00E30702">
        <w:rPr>
          <w:rFonts w:ascii="Arial" w:hAnsi="Arial" w:cs="Arial"/>
          <w:b/>
          <w:sz w:val="24"/>
          <w:szCs w:val="24"/>
        </w:rPr>
        <w:tab/>
        <w:t>Judge</w:t>
      </w:r>
    </w:p>
    <w:p w:rsidR="00C42FBE" w:rsidRDefault="00C42FBE" w:rsidP="00E30702">
      <w:pPr>
        <w:spacing w:after="0" w:line="360" w:lineRule="auto"/>
        <w:jc w:val="both"/>
        <w:rPr>
          <w:rFonts w:ascii="Arial" w:hAnsi="Arial" w:cs="Arial"/>
          <w:b/>
          <w:sz w:val="24"/>
          <w:szCs w:val="24"/>
        </w:rPr>
      </w:pPr>
    </w:p>
    <w:p w:rsidR="00F13F7D" w:rsidRDefault="00F13F7D" w:rsidP="00E30702">
      <w:pPr>
        <w:spacing w:after="0" w:line="360" w:lineRule="auto"/>
        <w:jc w:val="both"/>
        <w:rPr>
          <w:rFonts w:ascii="Arial" w:hAnsi="Arial" w:cs="Arial"/>
          <w:b/>
          <w:sz w:val="24"/>
          <w:szCs w:val="24"/>
        </w:rPr>
      </w:pPr>
    </w:p>
    <w:p w:rsidR="00F13F7D" w:rsidRDefault="00F13F7D" w:rsidP="00E30702">
      <w:pPr>
        <w:spacing w:after="0" w:line="360" w:lineRule="auto"/>
        <w:jc w:val="both"/>
        <w:rPr>
          <w:rFonts w:ascii="Arial" w:hAnsi="Arial" w:cs="Arial"/>
          <w:b/>
          <w:sz w:val="24"/>
          <w:szCs w:val="24"/>
        </w:rPr>
      </w:pPr>
    </w:p>
    <w:p w:rsidR="00C42FBE" w:rsidRDefault="00C42FBE" w:rsidP="00E30702">
      <w:pPr>
        <w:spacing w:after="0" w:line="360" w:lineRule="auto"/>
        <w:jc w:val="both"/>
        <w:rPr>
          <w:rFonts w:ascii="Arial" w:hAnsi="Arial" w:cs="Arial"/>
          <w:b/>
          <w:sz w:val="24"/>
          <w:szCs w:val="24"/>
        </w:rPr>
      </w:pPr>
    </w:p>
    <w:p w:rsidR="00C42FBE" w:rsidRDefault="00C42FBE" w:rsidP="00E30702">
      <w:pPr>
        <w:spacing w:after="0" w:line="360" w:lineRule="auto"/>
        <w:jc w:val="both"/>
        <w:rPr>
          <w:rFonts w:ascii="Arial" w:hAnsi="Arial" w:cs="Arial"/>
          <w:b/>
          <w:sz w:val="24"/>
          <w:szCs w:val="24"/>
        </w:rPr>
      </w:pPr>
    </w:p>
    <w:p w:rsidR="00C42FBE" w:rsidRPr="0000263B" w:rsidRDefault="00C42FBE" w:rsidP="00E30702">
      <w:pPr>
        <w:spacing w:after="0" w:line="360" w:lineRule="auto"/>
        <w:jc w:val="both"/>
        <w:rPr>
          <w:rFonts w:ascii="Arial" w:hAnsi="Arial" w:cs="Arial"/>
          <w:sz w:val="24"/>
          <w:szCs w:val="24"/>
        </w:rPr>
      </w:pPr>
      <w:r w:rsidRPr="0000263B">
        <w:rPr>
          <w:rFonts w:ascii="Arial" w:hAnsi="Arial" w:cs="Arial"/>
          <w:sz w:val="24"/>
          <w:szCs w:val="24"/>
        </w:rPr>
        <w:t>APPEARANCES:</w:t>
      </w:r>
    </w:p>
    <w:p w:rsidR="00C42FBE" w:rsidRDefault="00C42FBE" w:rsidP="00E30702">
      <w:pPr>
        <w:spacing w:after="0" w:line="360" w:lineRule="auto"/>
        <w:jc w:val="both"/>
        <w:rPr>
          <w:rFonts w:ascii="Arial" w:hAnsi="Arial" w:cs="Arial"/>
          <w:b/>
          <w:sz w:val="24"/>
          <w:szCs w:val="24"/>
        </w:rPr>
      </w:pPr>
    </w:p>
    <w:p w:rsidR="00C21383" w:rsidRDefault="00C21383" w:rsidP="00E30702">
      <w:pPr>
        <w:spacing w:after="0" w:line="360" w:lineRule="auto"/>
        <w:jc w:val="both"/>
        <w:rPr>
          <w:rFonts w:ascii="Arial" w:hAnsi="Arial" w:cs="Arial"/>
          <w:b/>
          <w:sz w:val="24"/>
          <w:szCs w:val="24"/>
        </w:rPr>
      </w:pPr>
    </w:p>
    <w:p w:rsidR="00C21383" w:rsidRDefault="00C21383" w:rsidP="00E30702">
      <w:pPr>
        <w:spacing w:after="0" w:line="360" w:lineRule="auto"/>
        <w:jc w:val="both"/>
        <w:rPr>
          <w:rFonts w:ascii="Arial" w:hAnsi="Arial" w:cs="Arial"/>
          <w:b/>
          <w:sz w:val="24"/>
          <w:szCs w:val="24"/>
        </w:rPr>
      </w:pPr>
    </w:p>
    <w:p w:rsidR="00C21383" w:rsidRDefault="00C21383" w:rsidP="00E30702">
      <w:pPr>
        <w:spacing w:after="0" w:line="360" w:lineRule="auto"/>
        <w:jc w:val="both"/>
        <w:rPr>
          <w:rFonts w:ascii="Arial" w:hAnsi="Arial" w:cs="Arial"/>
          <w:b/>
          <w:sz w:val="24"/>
          <w:szCs w:val="24"/>
        </w:rPr>
      </w:pPr>
    </w:p>
    <w:p w:rsidR="00C42FBE" w:rsidRDefault="00C42FBE" w:rsidP="00E30702">
      <w:pPr>
        <w:spacing w:after="0" w:line="360" w:lineRule="auto"/>
        <w:jc w:val="both"/>
        <w:rPr>
          <w:rFonts w:ascii="Arial" w:hAnsi="Arial" w:cs="Arial"/>
          <w:b/>
          <w:sz w:val="24"/>
          <w:szCs w:val="24"/>
        </w:rPr>
      </w:pPr>
      <w:r w:rsidRPr="0000263B">
        <w:rPr>
          <w:rFonts w:ascii="Arial" w:hAnsi="Arial" w:cs="Arial"/>
          <w:sz w:val="24"/>
          <w:szCs w:val="24"/>
        </w:rPr>
        <w:t>APPLICANT</w:t>
      </w:r>
      <w:r w:rsidR="006776C8" w:rsidRPr="0000263B">
        <w:rPr>
          <w:rFonts w:ascii="Arial" w:hAnsi="Arial" w:cs="Arial"/>
          <w:sz w:val="24"/>
          <w:szCs w:val="24"/>
        </w:rPr>
        <w: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21383">
        <w:rPr>
          <w:rFonts w:ascii="Arial" w:hAnsi="Arial" w:cs="Arial"/>
          <w:b/>
          <w:sz w:val="24"/>
          <w:szCs w:val="24"/>
        </w:rPr>
        <w:tab/>
      </w:r>
      <w:r>
        <w:rPr>
          <w:rFonts w:ascii="Arial" w:hAnsi="Arial" w:cs="Arial"/>
          <w:b/>
          <w:sz w:val="24"/>
          <w:szCs w:val="24"/>
        </w:rPr>
        <w:t>R Heathcote</w:t>
      </w:r>
    </w:p>
    <w:p w:rsidR="00D47937" w:rsidRDefault="00D47937" w:rsidP="00E30702">
      <w:pPr>
        <w:spacing w:after="0" w:line="360" w:lineRule="auto"/>
        <w:jc w:val="both"/>
        <w:rPr>
          <w:rFonts w:ascii="Arial" w:hAnsi="Arial" w:cs="Arial"/>
          <w:b/>
          <w:sz w:val="24"/>
          <w:szCs w:val="24"/>
        </w:rPr>
      </w:pPr>
    </w:p>
    <w:p w:rsidR="00C42FBE" w:rsidRPr="00E30702" w:rsidRDefault="00D47937" w:rsidP="00E30702">
      <w:pPr>
        <w:spacing w:after="0" w:line="360" w:lineRule="auto"/>
        <w:jc w:val="both"/>
        <w:rPr>
          <w:rFonts w:ascii="Arial" w:hAnsi="Arial" w:cs="Arial"/>
          <w:b/>
          <w:sz w:val="24"/>
          <w:szCs w:val="24"/>
        </w:rPr>
      </w:pPr>
      <w:r w:rsidRPr="0000263B">
        <w:rPr>
          <w:rFonts w:ascii="Arial" w:hAnsi="Arial" w:cs="Arial"/>
          <w:sz w:val="24"/>
          <w:szCs w:val="24"/>
        </w:rPr>
        <w:t>Instructed by: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C21383">
        <w:rPr>
          <w:rFonts w:ascii="Arial" w:hAnsi="Arial" w:cs="Arial"/>
          <w:b/>
          <w:sz w:val="24"/>
          <w:szCs w:val="24"/>
        </w:rPr>
        <w:t>Van Der Merwe-Greeff Andima Inc.</w:t>
      </w:r>
    </w:p>
    <w:sectPr w:rsidR="00C42FBE" w:rsidRPr="00E307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90" w:rsidRDefault="00547A90" w:rsidP="0097742E">
      <w:pPr>
        <w:spacing w:after="0" w:line="240" w:lineRule="auto"/>
      </w:pPr>
      <w:r>
        <w:separator/>
      </w:r>
    </w:p>
  </w:endnote>
  <w:endnote w:type="continuationSeparator" w:id="0">
    <w:p w:rsidR="00547A90" w:rsidRDefault="00547A90" w:rsidP="0097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90" w:rsidRDefault="00547A90" w:rsidP="0097742E">
      <w:pPr>
        <w:spacing w:after="0" w:line="240" w:lineRule="auto"/>
      </w:pPr>
      <w:r>
        <w:separator/>
      </w:r>
    </w:p>
  </w:footnote>
  <w:footnote w:type="continuationSeparator" w:id="0">
    <w:p w:rsidR="00547A90" w:rsidRDefault="00547A90" w:rsidP="0097742E">
      <w:pPr>
        <w:spacing w:after="0" w:line="240" w:lineRule="auto"/>
      </w:pPr>
      <w:r>
        <w:continuationSeparator/>
      </w:r>
    </w:p>
  </w:footnote>
  <w:footnote w:id="1">
    <w:p w:rsidR="0097742E" w:rsidRDefault="0097742E">
      <w:pPr>
        <w:pStyle w:val="FootnoteText"/>
      </w:pPr>
      <w:r>
        <w:rPr>
          <w:rStyle w:val="FootnoteReference"/>
        </w:rPr>
        <w:footnoteRef/>
      </w:r>
      <w:r>
        <w:t xml:space="preserve"> 1983 (2) SA 465 (O)</w:t>
      </w:r>
    </w:p>
  </w:footnote>
  <w:footnote w:id="2">
    <w:p w:rsidR="008113F3" w:rsidRDefault="008113F3">
      <w:pPr>
        <w:pStyle w:val="FootnoteText"/>
      </w:pPr>
      <w:r>
        <w:rPr>
          <w:rStyle w:val="FootnoteReference"/>
        </w:rPr>
        <w:footnoteRef/>
      </w:r>
      <w:r w:rsidR="00DC5F95">
        <w:t xml:space="preserve"> </w:t>
      </w:r>
      <w:r>
        <w:t>2013 (1) SA 74 GSJ</w:t>
      </w:r>
    </w:p>
  </w:footnote>
  <w:footnote w:id="3">
    <w:p w:rsidR="00583B03" w:rsidRDefault="00583B03">
      <w:pPr>
        <w:pStyle w:val="FootnoteText"/>
      </w:pPr>
      <w:r>
        <w:rPr>
          <w:rStyle w:val="FootnoteReference"/>
        </w:rPr>
        <w:footnoteRef/>
      </w:r>
      <w:r>
        <w:t xml:space="preserve"> Stevenson &amp; Waite Concise Oxford English Dictionary 12</w:t>
      </w:r>
      <w:r w:rsidRPr="00583B03">
        <w:rPr>
          <w:vertAlign w:val="superscript"/>
        </w:rPr>
        <w:t>th</w:t>
      </w:r>
      <w:r>
        <w:t xml:space="preserve"> ed, Oxford University Press. (2011)</w:t>
      </w:r>
    </w:p>
  </w:footnote>
  <w:footnote w:id="4">
    <w:p w:rsidR="0075639A" w:rsidRDefault="0075639A">
      <w:pPr>
        <w:pStyle w:val="FootnoteText"/>
      </w:pPr>
      <w:r>
        <w:rPr>
          <w:rStyle w:val="FootnoteReference"/>
        </w:rPr>
        <w:footnoteRef/>
      </w:r>
      <w:r>
        <w:t xml:space="preserve"> Nolan &amp;</w:t>
      </w:r>
      <w:r w:rsidR="0089030D">
        <w:t xml:space="preserve"> Connolly</w:t>
      </w:r>
      <w:r>
        <w:t xml:space="preserve"> Black’s Law Dictionary Abridged 5</w:t>
      </w:r>
      <w:r w:rsidRPr="0075639A">
        <w:rPr>
          <w:vertAlign w:val="superscript"/>
        </w:rPr>
        <w:t>th</w:t>
      </w:r>
      <w:r w:rsidR="0089030D">
        <w:t xml:space="preserve"> ed, </w:t>
      </w:r>
      <w:r>
        <w:t>West Publishing Co. (1983)</w:t>
      </w:r>
    </w:p>
  </w:footnote>
  <w:footnote w:id="5">
    <w:p w:rsidR="00E73261" w:rsidRDefault="00E73261">
      <w:pPr>
        <w:pStyle w:val="FootnoteText"/>
      </w:pPr>
      <w:r>
        <w:rPr>
          <w:rStyle w:val="FootnoteReference"/>
        </w:rPr>
        <w:footnoteRef/>
      </w:r>
      <w:r w:rsidR="00845A3C">
        <w:t xml:space="preserve"> 1978 (4) SA 459 (T) </w:t>
      </w:r>
    </w:p>
  </w:footnote>
  <w:footnote w:id="6">
    <w:p w:rsidR="00B92EDE" w:rsidRDefault="00B92EDE">
      <w:pPr>
        <w:pStyle w:val="FootnoteText"/>
      </w:pPr>
      <w:r>
        <w:rPr>
          <w:rStyle w:val="FootnoteReference"/>
        </w:rPr>
        <w:footnoteRef/>
      </w:r>
      <w:r w:rsidR="00F01E5A">
        <w:t xml:space="preserve"> </w:t>
      </w:r>
      <w:r w:rsidR="009D49BF">
        <w:t>SA 01-2004</w:t>
      </w:r>
      <w:r>
        <w:t xml:space="preserve"> [2007] NASC 18 October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083848"/>
      <w:docPartObj>
        <w:docPartGallery w:val="Page Numbers (Top of Page)"/>
        <w:docPartUnique/>
      </w:docPartObj>
    </w:sdtPr>
    <w:sdtEndPr>
      <w:rPr>
        <w:noProof/>
      </w:rPr>
    </w:sdtEndPr>
    <w:sdtContent>
      <w:p w:rsidR="005079F3" w:rsidRDefault="005079F3">
        <w:pPr>
          <w:pStyle w:val="Header"/>
          <w:jc w:val="right"/>
        </w:pPr>
        <w:r>
          <w:fldChar w:fldCharType="begin"/>
        </w:r>
        <w:r>
          <w:instrText xml:space="preserve"> PAGE   \* MERGEFORMAT </w:instrText>
        </w:r>
        <w:r>
          <w:fldChar w:fldCharType="separate"/>
        </w:r>
        <w:r w:rsidR="00E01CFC">
          <w:rPr>
            <w:noProof/>
          </w:rPr>
          <w:t>2</w:t>
        </w:r>
        <w:r>
          <w:rPr>
            <w:noProof/>
          </w:rPr>
          <w:fldChar w:fldCharType="end"/>
        </w:r>
      </w:p>
    </w:sdtContent>
  </w:sdt>
  <w:p w:rsidR="005079F3" w:rsidRDefault="00507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369A6"/>
    <w:multiLevelType w:val="hybridMultilevel"/>
    <w:tmpl w:val="6830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F7CCA"/>
    <w:multiLevelType w:val="hybridMultilevel"/>
    <w:tmpl w:val="7D5C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C0145"/>
    <w:multiLevelType w:val="hybridMultilevel"/>
    <w:tmpl w:val="561C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DD"/>
    <w:rsid w:val="0000263B"/>
    <w:rsid w:val="00006170"/>
    <w:rsid w:val="00015C89"/>
    <w:rsid w:val="00020891"/>
    <w:rsid w:val="000321A7"/>
    <w:rsid w:val="000333AF"/>
    <w:rsid w:val="000336CF"/>
    <w:rsid w:val="000507B3"/>
    <w:rsid w:val="0005756B"/>
    <w:rsid w:val="000676F0"/>
    <w:rsid w:val="00067980"/>
    <w:rsid w:val="00082C48"/>
    <w:rsid w:val="000A2977"/>
    <w:rsid w:val="000A54CE"/>
    <w:rsid w:val="000B7D35"/>
    <w:rsid w:val="000C7B96"/>
    <w:rsid w:val="000E0791"/>
    <w:rsid w:val="000F47FB"/>
    <w:rsid w:val="000F7CFB"/>
    <w:rsid w:val="00100635"/>
    <w:rsid w:val="0010189F"/>
    <w:rsid w:val="00102CE6"/>
    <w:rsid w:val="00107678"/>
    <w:rsid w:val="00111AD6"/>
    <w:rsid w:val="00123880"/>
    <w:rsid w:val="00145146"/>
    <w:rsid w:val="00151751"/>
    <w:rsid w:val="00157C47"/>
    <w:rsid w:val="0018176C"/>
    <w:rsid w:val="00184AF7"/>
    <w:rsid w:val="00184FDC"/>
    <w:rsid w:val="001937F4"/>
    <w:rsid w:val="0019565A"/>
    <w:rsid w:val="001A6E98"/>
    <w:rsid w:val="001A7FD6"/>
    <w:rsid w:val="001B279C"/>
    <w:rsid w:val="001B6CAB"/>
    <w:rsid w:val="001C40D6"/>
    <w:rsid w:val="001C67D9"/>
    <w:rsid w:val="001D53FE"/>
    <w:rsid w:val="001D62C0"/>
    <w:rsid w:val="001E7A8B"/>
    <w:rsid w:val="001F1C61"/>
    <w:rsid w:val="001F26EA"/>
    <w:rsid w:val="001F3D3C"/>
    <w:rsid w:val="002053C9"/>
    <w:rsid w:val="00205DA9"/>
    <w:rsid w:val="00207F43"/>
    <w:rsid w:val="002125DD"/>
    <w:rsid w:val="00215937"/>
    <w:rsid w:val="00231E94"/>
    <w:rsid w:val="00241293"/>
    <w:rsid w:val="00245177"/>
    <w:rsid w:val="0025375D"/>
    <w:rsid w:val="0025734D"/>
    <w:rsid w:val="002954D3"/>
    <w:rsid w:val="002C0EA7"/>
    <w:rsid w:val="002C7578"/>
    <w:rsid w:val="002F714E"/>
    <w:rsid w:val="00321B96"/>
    <w:rsid w:val="00345434"/>
    <w:rsid w:val="00396449"/>
    <w:rsid w:val="003B5DCE"/>
    <w:rsid w:val="003C5696"/>
    <w:rsid w:val="003D0297"/>
    <w:rsid w:val="003D2ACB"/>
    <w:rsid w:val="003D34AD"/>
    <w:rsid w:val="003D5971"/>
    <w:rsid w:val="003E64E4"/>
    <w:rsid w:val="003F640B"/>
    <w:rsid w:val="0043480D"/>
    <w:rsid w:val="00437762"/>
    <w:rsid w:val="004426FA"/>
    <w:rsid w:val="004436F1"/>
    <w:rsid w:val="00443738"/>
    <w:rsid w:val="0045198C"/>
    <w:rsid w:val="0045530E"/>
    <w:rsid w:val="00457C53"/>
    <w:rsid w:val="00461C5D"/>
    <w:rsid w:val="004726DD"/>
    <w:rsid w:val="00472C6C"/>
    <w:rsid w:val="00474F84"/>
    <w:rsid w:val="00484C33"/>
    <w:rsid w:val="004A040F"/>
    <w:rsid w:val="004C293B"/>
    <w:rsid w:val="004D0C84"/>
    <w:rsid w:val="004D1F6D"/>
    <w:rsid w:val="004E054A"/>
    <w:rsid w:val="004E14C9"/>
    <w:rsid w:val="004F2C30"/>
    <w:rsid w:val="004F59A9"/>
    <w:rsid w:val="005026BA"/>
    <w:rsid w:val="005079F3"/>
    <w:rsid w:val="005122B4"/>
    <w:rsid w:val="00517436"/>
    <w:rsid w:val="00525749"/>
    <w:rsid w:val="00533271"/>
    <w:rsid w:val="00537CB3"/>
    <w:rsid w:val="00547A90"/>
    <w:rsid w:val="00580FE2"/>
    <w:rsid w:val="00581C23"/>
    <w:rsid w:val="00583B03"/>
    <w:rsid w:val="005951F4"/>
    <w:rsid w:val="005B13C3"/>
    <w:rsid w:val="005C084F"/>
    <w:rsid w:val="00607250"/>
    <w:rsid w:val="00613E0F"/>
    <w:rsid w:val="006443F2"/>
    <w:rsid w:val="00653CA5"/>
    <w:rsid w:val="006547D6"/>
    <w:rsid w:val="00655C19"/>
    <w:rsid w:val="00661054"/>
    <w:rsid w:val="00664628"/>
    <w:rsid w:val="00673389"/>
    <w:rsid w:val="006776C8"/>
    <w:rsid w:val="00680F70"/>
    <w:rsid w:val="00682BC6"/>
    <w:rsid w:val="006830A4"/>
    <w:rsid w:val="00694D64"/>
    <w:rsid w:val="006A7C1D"/>
    <w:rsid w:val="006D59A9"/>
    <w:rsid w:val="006F3F26"/>
    <w:rsid w:val="007041C1"/>
    <w:rsid w:val="00723649"/>
    <w:rsid w:val="00726CD6"/>
    <w:rsid w:val="00727ABD"/>
    <w:rsid w:val="007308B0"/>
    <w:rsid w:val="00752E9D"/>
    <w:rsid w:val="00754BB5"/>
    <w:rsid w:val="00755946"/>
    <w:rsid w:val="0075639A"/>
    <w:rsid w:val="007720CA"/>
    <w:rsid w:val="0078140C"/>
    <w:rsid w:val="00781D2B"/>
    <w:rsid w:val="007A1818"/>
    <w:rsid w:val="007A5FEB"/>
    <w:rsid w:val="007D049D"/>
    <w:rsid w:val="007D2CA1"/>
    <w:rsid w:val="007D3547"/>
    <w:rsid w:val="007F7AB8"/>
    <w:rsid w:val="00804AF9"/>
    <w:rsid w:val="008113F3"/>
    <w:rsid w:val="008132FC"/>
    <w:rsid w:val="0082295C"/>
    <w:rsid w:val="00835BF4"/>
    <w:rsid w:val="008408D0"/>
    <w:rsid w:val="00845A3C"/>
    <w:rsid w:val="00863C22"/>
    <w:rsid w:val="00873B5D"/>
    <w:rsid w:val="00874469"/>
    <w:rsid w:val="00883CE9"/>
    <w:rsid w:val="0089030D"/>
    <w:rsid w:val="008B68D2"/>
    <w:rsid w:val="008D4364"/>
    <w:rsid w:val="008E2F4D"/>
    <w:rsid w:val="008E58E0"/>
    <w:rsid w:val="008F2ABA"/>
    <w:rsid w:val="009058FE"/>
    <w:rsid w:val="009074E3"/>
    <w:rsid w:val="009177F1"/>
    <w:rsid w:val="0097013F"/>
    <w:rsid w:val="00970290"/>
    <w:rsid w:val="0097742E"/>
    <w:rsid w:val="009775C8"/>
    <w:rsid w:val="009925F6"/>
    <w:rsid w:val="009A276B"/>
    <w:rsid w:val="009A5D3F"/>
    <w:rsid w:val="009A71B4"/>
    <w:rsid w:val="009C147B"/>
    <w:rsid w:val="009D2791"/>
    <w:rsid w:val="009D49BF"/>
    <w:rsid w:val="009E5A68"/>
    <w:rsid w:val="00A133A4"/>
    <w:rsid w:val="00A2752D"/>
    <w:rsid w:val="00A45F70"/>
    <w:rsid w:val="00A467B8"/>
    <w:rsid w:val="00A525F8"/>
    <w:rsid w:val="00A56613"/>
    <w:rsid w:val="00A67E7D"/>
    <w:rsid w:val="00A90B0D"/>
    <w:rsid w:val="00A97DD4"/>
    <w:rsid w:val="00AB7834"/>
    <w:rsid w:val="00AC3C5C"/>
    <w:rsid w:val="00AC5761"/>
    <w:rsid w:val="00AC7750"/>
    <w:rsid w:val="00B06E2C"/>
    <w:rsid w:val="00B0776A"/>
    <w:rsid w:val="00B25BC6"/>
    <w:rsid w:val="00B32423"/>
    <w:rsid w:val="00B341AA"/>
    <w:rsid w:val="00B43FF8"/>
    <w:rsid w:val="00B44424"/>
    <w:rsid w:val="00B54160"/>
    <w:rsid w:val="00B61F9E"/>
    <w:rsid w:val="00B66E1E"/>
    <w:rsid w:val="00B7377C"/>
    <w:rsid w:val="00B80689"/>
    <w:rsid w:val="00B92EDE"/>
    <w:rsid w:val="00B9692E"/>
    <w:rsid w:val="00BA2624"/>
    <w:rsid w:val="00BA4C11"/>
    <w:rsid w:val="00BC0DBD"/>
    <w:rsid w:val="00BC0FC9"/>
    <w:rsid w:val="00BD480D"/>
    <w:rsid w:val="00C00834"/>
    <w:rsid w:val="00C0200A"/>
    <w:rsid w:val="00C02974"/>
    <w:rsid w:val="00C0398C"/>
    <w:rsid w:val="00C05FD9"/>
    <w:rsid w:val="00C07D5E"/>
    <w:rsid w:val="00C14C60"/>
    <w:rsid w:val="00C21383"/>
    <w:rsid w:val="00C26030"/>
    <w:rsid w:val="00C3350E"/>
    <w:rsid w:val="00C35F58"/>
    <w:rsid w:val="00C41BC7"/>
    <w:rsid w:val="00C42FBE"/>
    <w:rsid w:val="00C577B4"/>
    <w:rsid w:val="00C57AF1"/>
    <w:rsid w:val="00C60E0D"/>
    <w:rsid w:val="00C77BA3"/>
    <w:rsid w:val="00CA0577"/>
    <w:rsid w:val="00CB0189"/>
    <w:rsid w:val="00CB1E85"/>
    <w:rsid w:val="00CB4105"/>
    <w:rsid w:val="00CD30A5"/>
    <w:rsid w:val="00CD4508"/>
    <w:rsid w:val="00CF6C91"/>
    <w:rsid w:val="00D01739"/>
    <w:rsid w:val="00D117F4"/>
    <w:rsid w:val="00D22DA5"/>
    <w:rsid w:val="00D47937"/>
    <w:rsid w:val="00D76308"/>
    <w:rsid w:val="00D91A6B"/>
    <w:rsid w:val="00D925B8"/>
    <w:rsid w:val="00D9462B"/>
    <w:rsid w:val="00DA1746"/>
    <w:rsid w:val="00DC5F95"/>
    <w:rsid w:val="00DC6192"/>
    <w:rsid w:val="00DD7D00"/>
    <w:rsid w:val="00DE4630"/>
    <w:rsid w:val="00E01CFC"/>
    <w:rsid w:val="00E03CBE"/>
    <w:rsid w:val="00E04373"/>
    <w:rsid w:val="00E079A0"/>
    <w:rsid w:val="00E25DCA"/>
    <w:rsid w:val="00E30702"/>
    <w:rsid w:val="00E373F0"/>
    <w:rsid w:val="00E43CF2"/>
    <w:rsid w:val="00E51492"/>
    <w:rsid w:val="00E51DDF"/>
    <w:rsid w:val="00E57B90"/>
    <w:rsid w:val="00E73261"/>
    <w:rsid w:val="00E83E5E"/>
    <w:rsid w:val="00E91646"/>
    <w:rsid w:val="00E944E1"/>
    <w:rsid w:val="00EA5BDE"/>
    <w:rsid w:val="00EB563E"/>
    <w:rsid w:val="00ED28EE"/>
    <w:rsid w:val="00ED5223"/>
    <w:rsid w:val="00EE574F"/>
    <w:rsid w:val="00EE6476"/>
    <w:rsid w:val="00EF0F5B"/>
    <w:rsid w:val="00F01E5A"/>
    <w:rsid w:val="00F039A1"/>
    <w:rsid w:val="00F13F7D"/>
    <w:rsid w:val="00F24E6F"/>
    <w:rsid w:val="00F26C57"/>
    <w:rsid w:val="00F37559"/>
    <w:rsid w:val="00F407AE"/>
    <w:rsid w:val="00F4600C"/>
    <w:rsid w:val="00F6129F"/>
    <w:rsid w:val="00F6464E"/>
    <w:rsid w:val="00F66A3E"/>
    <w:rsid w:val="00F7088C"/>
    <w:rsid w:val="00F71B18"/>
    <w:rsid w:val="00F77EDE"/>
    <w:rsid w:val="00F84A84"/>
    <w:rsid w:val="00F86909"/>
    <w:rsid w:val="00FC3006"/>
    <w:rsid w:val="00FE3928"/>
    <w:rsid w:val="00FE47BD"/>
    <w:rsid w:val="00FE4D8E"/>
    <w:rsid w:val="00FF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C0ADFD-99C4-4678-82E1-276A44AE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5"/>
    <w:rPr>
      <w:rFonts w:ascii="Segoe UI" w:hAnsi="Segoe UI" w:cs="Segoe UI"/>
      <w:sz w:val="18"/>
      <w:szCs w:val="18"/>
    </w:rPr>
  </w:style>
  <w:style w:type="paragraph" w:styleId="ListParagraph">
    <w:name w:val="List Paragraph"/>
    <w:basedOn w:val="Normal"/>
    <w:uiPriority w:val="34"/>
    <w:qFormat/>
    <w:rsid w:val="006D59A9"/>
    <w:pPr>
      <w:ind w:left="720"/>
      <w:contextualSpacing/>
    </w:pPr>
  </w:style>
  <w:style w:type="paragraph" w:styleId="FootnoteText">
    <w:name w:val="footnote text"/>
    <w:basedOn w:val="Normal"/>
    <w:link w:val="FootnoteTextChar"/>
    <w:uiPriority w:val="99"/>
    <w:semiHidden/>
    <w:unhideWhenUsed/>
    <w:rsid w:val="00977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42E"/>
    <w:rPr>
      <w:sz w:val="20"/>
      <w:szCs w:val="20"/>
    </w:rPr>
  </w:style>
  <w:style w:type="character" w:styleId="FootnoteReference">
    <w:name w:val="footnote reference"/>
    <w:basedOn w:val="DefaultParagraphFont"/>
    <w:uiPriority w:val="99"/>
    <w:semiHidden/>
    <w:unhideWhenUsed/>
    <w:rsid w:val="0097742E"/>
    <w:rPr>
      <w:vertAlign w:val="superscript"/>
    </w:rPr>
  </w:style>
  <w:style w:type="paragraph" w:styleId="Header">
    <w:name w:val="header"/>
    <w:basedOn w:val="Normal"/>
    <w:link w:val="HeaderChar"/>
    <w:uiPriority w:val="99"/>
    <w:unhideWhenUsed/>
    <w:rsid w:val="00835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F4"/>
  </w:style>
  <w:style w:type="paragraph" w:styleId="Footer">
    <w:name w:val="footer"/>
    <w:basedOn w:val="Normal"/>
    <w:link w:val="FooterChar"/>
    <w:uiPriority w:val="99"/>
    <w:unhideWhenUsed/>
    <w:rsid w:val="0083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2020-01-30T18:30:00+00:00</Judgment_x0020_Date>
    <Year xmlns="c1afb1bd-f2fb-40fd-9abb-aea55b4d7662">2020</Year>
  </documentManagement>
</p:properties>
</file>

<file path=customXml/itemProps1.xml><?xml version="1.0" encoding="utf-8"?>
<ds:datastoreItem xmlns:ds="http://schemas.openxmlformats.org/officeDocument/2006/customXml" ds:itemID="{8D5384A1-933D-4373-A047-D10F4DFAE679}"/>
</file>

<file path=customXml/itemProps2.xml><?xml version="1.0" encoding="utf-8"?>
<ds:datastoreItem xmlns:ds="http://schemas.openxmlformats.org/officeDocument/2006/customXml" ds:itemID="{6664E9BE-4E7B-473E-A695-4B61EFF417B0}"/>
</file>

<file path=customXml/itemProps3.xml><?xml version="1.0" encoding="utf-8"?>
<ds:datastoreItem xmlns:ds="http://schemas.openxmlformats.org/officeDocument/2006/customXml" ds:itemID="{29867B20-D561-4ADF-AAD0-F226A09D0939}"/>
</file>

<file path=customXml/itemProps4.xml><?xml version="1.0" encoding="utf-8"?>
<ds:datastoreItem xmlns:ds="http://schemas.openxmlformats.org/officeDocument/2006/customXml" ds:itemID="{44DB5AF5-8908-406E-82AA-B082D8B64ADF}"/>
</file>

<file path=docProps/app.xml><?xml version="1.0" encoding="utf-8"?>
<Properties xmlns="http://schemas.openxmlformats.org/officeDocument/2006/extended-properties" xmlns:vt="http://schemas.openxmlformats.org/officeDocument/2006/docPropsVTypes">
  <Template>Normal</Template>
  <TotalTime>0</TotalTime>
  <Pages>10</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Claasen</dc:creator>
  <cp:keywords/>
  <dc:description/>
  <cp:lastModifiedBy>Lotta N. Ambunda</cp:lastModifiedBy>
  <cp:revision>2</cp:revision>
  <cp:lastPrinted>2020-01-30T07:19:00Z</cp:lastPrinted>
  <dcterms:created xsi:type="dcterms:W3CDTF">2020-02-03T17:01:00Z</dcterms:created>
  <dcterms:modified xsi:type="dcterms:W3CDTF">2020-02-03T17:01:00Z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