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977A00" w:rsidRDefault="00C73154" w:rsidP="00EB27A0">
            <w:pPr>
              <w:spacing w:line="360" w:lineRule="auto"/>
              <w:jc w:val="both"/>
              <w:rPr>
                <w:rFonts w:ascii="Arial" w:hAnsi="Arial" w:cs="Arial"/>
              </w:rPr>
            </w:pPr>
            <w:r w:rsidRPr="00977A00">
              <w:rPr>
                <w:rFonts w:ascii="Arial" w:hAnsi="Arial" w:cs="Arial"/>
                <w:b/>
              </w:rPr>
              <w:t>Case Title:</w:t>
            </w:r>
          </w:p>
          <w:p w:rsidR="00C73154" w:rsidRPr="00977A00" w:rsidRDefault="00977A00" w:rsidP="00977A00">
            <w:pPr>
              <w:spacing w:line="360" w:lineRule="auto"/>
              <w:jc w:val="both"/>
              <w:rPr>
                <w:rFonts w:ascii="Arial" w:hAnsi="Arial" w:cs="Arial"/>
              </w:rPr>
            </w:pPr>
            <w:r w:rsidRPr="00977A00">
              <w:rPr>
                <w:rFonts w:ascii="Arial" w:hAnsi="Arial" w:cs="Arial"/>
                <w:shd w:val="clear" w:color="auto" w:fill="FFFFFF"/>
              </w:rPr>
              <w:t xml:space="preserve">DISTELL LIMITED </w:t>
            </w:r>
            <w:r>
              <w:rPr>
                <w:rFonts w:ascii="Arial" w:hAnsi="Arial" w:cs="Arial"/>
                <w:shd w:val="clear" w:color="auto" w:fill="FFFFFF"/>
              </w:rPr>
              <w:t>//</w:t>
            </w:r>
            <w:r w:rsidRPr="00977A00">
              <w:rPr>
                <w:rFonts w:ascii="Arial" w:hAnsi="Arial" w:cs="Arial"/>
                <w:shd w:val="clear" w:color="auto" w:fill="FFFFFF"/>
              </w:rPr>
              <w:t xml:space="preserve"> FT NENTELE TRANSPORT CC</w:t>
            </w:r>
          </w:p>
        </w:tc>
        <w:tc>
          <w:tcPr>
            <w:tcW w:w="4323" w:type="dxa"/>
          </w:tcPr>
          <w:p w:rsidR="00C73154" w:rsidRPr="00977A00" w:rsidRDefault="00977A00" w:rsidP="00905A48">
            <w:pPr>
              <w:spacing w:line="360" w:lineRule="auto"/>
              <w:jc w:val="both"/>
              <w:rPr>
                <w:rFonts w:ascii="Arial" w:hAnsi="Arial" w:cs="Arial"/>
                <w:b/>
              </w:rPr>
            </w:pPr>
            <w:r w:rsidRPr="00977A00">
              <w:rPr>
                <w:rFonts w:ascii="Arial" w:hAnsi="Arial" w:cs="Arial"/>
                <w:b/>
              </w:rPr>
              <w:t xml:space="preserve">Main </w:t>
            </w:r>
            <w:r w:rsidR="00C73154" w:rsidRPr="00977A00">
              <w:rPr>
                <w:rFonts w:ascii="Arial" w:hAnsi="Arial" w:cs="Arial"/>
                <w:b/>
              </w:rPr>
              <w:t>Case No</w:t>
            </w:r>
            <w:r w:rsidRPr="00977A00">
              <w:rPr>
                <w:rFonts w:ascii="Arial" w:hAnsi="Arial" w:cs="Arial"/>
                <w:b/>
              </w:rPr>
              <w:t>.</w:t>
            </w:r>
            <w:r w:rsidR="00C73154" w:rsidRPr="00977A00">
              <w:rPr>
                <w:rFonts w:ascii="Arial" w:hAnsi="Arial" w:cs="Arial"/>
                <w:b/>
              </w:rPr>
              <w:t>:</w:t>
            </w:r>
          </w:p>
          <w:p w:rsidR="00977A00" w:rsidRPr="00977A00" w:rsidRDefault="00977A00" w:rsidP="00977A00">
            <w:pPr>
              <w:spacing w:line="360" w:lineRule="auto"/>
              <w:jc w:val="both"/>
              <w:rPr>
                <w:rFonts w:ascii="Arial" w:hAnsi="Arial" w:cs="Arial"/>
              </w:rPr>
            </w:pPr>
            <w:r w:rsidRPr="00977A00">
              <w:rPr>
                <w:rFonts w:ascii="Arial" w:hAnsi="Arial" w:cs="Arial"/>
              </w:rPr>
              <w:t>HC-MD-CIV-ACT-OTH-2019/00562</w:t>
            </w:r>
          </w:p>
          <w:p w:rsidR="00977A00" w:rsidRPr="00977A00" w:rsidRDefault="00977A00" w:rsidP="00977A00">
            <w:pPr>
              <w:spacing w:line="360" w:lineRule="auto"/>
              <w:jc w:val="both"/>
              <w:rPr>
                <w:rFonts w:ascii="Arial" w:hAnsi="Arial" w:cs="Arial"/>
                <w:b/>
              </w:rPr>
            </w:pPr>
            <w:r w:rsidRPr="00977A00">
              <w:rPr>
                <w:rFonts w:ascii="Arial" w:hAnsi="Arial" w:cs="Arial"/>
                <w:b/>
              </w:rPr>
              <w:t>Interlocutory Case No.:</w:t>
            </w:r>
          </w:p>
          <w:p w:rsidR="00C73154" w:rsidRPr="00977A00" w:rsidRDefault="00977A00" w:rsidP="00890143">
            <w:pPr>
              <w:spacing w:line="360" w:lineRule="auto"/>
              <w:jc w:val="both"/>
              <w:rPr>
                <w:rFonts w:ascii="Arial" w:hAnsi="Arial" w:cs="Arial"/>
                <w:b/>
              </w:rPr>
            </w:pPr>
            <w:r w:rsidRPr="00977A00">
              <w:rPr>
                <w:rFonts w:ascii="Arial" w:hAnsi="Arial" w:cs="Arial"/>
                <w:shd w:val="clear" w:color="auto" w:fill="FFFFFF"/>
              </w:rPr>
              <w:t>INT-HC-SECCOST-2020/00103</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977A00">
              <w:rPr>
                <w:rFonts w:ascii="Arial" w:hAnsi="Arial" w:cs="Arial"/>
              </w:rPr>
              <w:t>MILLER, 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265783" w:rsidP="00977A00">
            <w:pPr>
              <w:spacing w:line="360" w:lineRule="auto"/>
              <w:rPr>
                <w:rFonts w:ascii="Arial" w:hAnsi="Arial" w:cs="Arial"/>
              </w:rPr>
            </w:pPr>
            <w:r>
              <w:rPr>
                <w:rFonts w:ascii="Arial" w:hAnsi="Arial" w:cs="Arial"/>
              </w:rPr>
              <w:t>2</w:t>
            </w:r>
            <w:r w:rsidR="00977A00">
              <w:rPr>
                <w:rFonts w:ascii="Arial" w:hAnsi="Arial" w:cs="Arial"/>
              </w:rPr>
              <w:t>0 JULY</w:t>
            </w:r>
            <w:r w:rsidR="00F72F82" w:rsidRPr="006E49A3">
              <w:rPr>
                <w:rFonts w:ascii="Arial" w:hAnsi="Arial" w:cs="Arial"/>
              </w:rPr>
              <w:t xml:space="preserve"> 20</w:t>
            </w:r>
            <w:r w:rsidR="00977A00">
              <w:rPr>
                <w:rFonts w:ascii="Arial" w:hAnsi="Arial" w:cs="Arial"/>
              </w:rPr>
              <w:t>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977A00" w:rsidRDefault="00977A00" w:rsidP="00977A00">
            <w:pPr>
              <w:spacing w:line="360" w:lineRule="auto"/>
              <w:jc w:val="both"/>
              <w:rPr>
                <w:rFonts w:ascii="Arial" w:hAnsi="Arial" w:cs="Arial"/>
              </w:rPr>
            </w:pPr>
            <w:r>
              <w:rPr>
                <w:rFonts w:ascii="Arial" w:hAnsi="Arial" w:cs="Arial"/>
              </w:rPr>
              <w:t xml:space="preserve">31 JULY </w:t>
            </w:r>
            <w:r w:rsidR="00F72F82" w:rsidRPr="006E49A3">
              <w:rPr>
                <w:rFonts w:ascii="Arial" w:hAnsi="Arial" w:cs="Arial"/>
              </w:rPr>
              <w:t>20</w:t>
            </w:r>
            <w:r>
              <w:rPr>
                <w:rFonts w:ascii="Arial" w:hAnsi="Arial" w:cs="Arial"/>
              </w:rPr>
              <w:t>20</w:t>
            </w:r>
          </w:p>
        </w:tc>
      </w:tr>
      <w:tr w:rsidR="005955B1" w:rsidRPr="006E49A3" w:rsidTr="00BB1E6E">
        <w:trPr>
          <w:trHeight w:val="908"/>
        </w:trPr>
        <w:tc>
          <w:tcPr>
            <w:tcW w:w="9720" w:type="dxa"/>
            <w:gridSpan w:val="3"/>
          </w:tcPr>
          <w:p w:rsidR="00F71EB9" w:rsidRPr="006E49A3" w:rsidRDefault="005955B1" w:rsidP="00977A00">
            <w:pPr>
              <w:spacing w:line="360" w:lineRule="auto"/>
              <w:jc w:val="both"/>
              <w:rPr>
                <w:rFonts w:ascii="Arial" w:hAnsi="Arial" w:cs="Arial"/>
              </w:rPr>
            </w:pPr>
            <w:r w:rsidRPr="006E49A3">
              <w:rPr>
                <w:rFonts w:ascii="Arial" w:hAnsi="Arial" w:cs="Arial"/>
                <w:b/>
              </w:rPr>
              <w:t xml:space="preserve">Neutral citation: </w:t>
            </w:r>
            <w:r w:rsidR="00977A00">
              <w:rPr>
                <w:rFonts w:ascii="Arial" w:hAnsi="Arial" w:cs="Arial"/>
                <w:i/>
              </w:rPr>
              <w:t>Distell Limited</w:t>
            </w:r>
            <w:r w:rsidR="00F72F82" w:rsidRPr="006E49A3">
              <w:rPr>
                <w:rFonts w:ascii="Arial" w:hAnsi="Arial" w:cs="Arial"/>
                <w:i/>
              </w:rPr>
              <w:t xml:space="preserve"> v </w:t>
            </w:r>
            <w:r w:rsidR="00977A00">
              <w:rPr>
                <w:rFonts w:ascii="Arial" w:hAnsi="Arial" w:cs="Arial"/>
                <w:i/>
              </w:rPr>
              <w:t>FT Nentele Transport CC</w:t>
            </w:r>
            <w:r w:rsidR="00B4625E" w:rsidRPr="006E49A3">
              <w:rPr>
                <w:rFonts w:ascii="Arial" w:hAnsi="Arial" w:cs="Arial"/>
                <w:b/>
              </w:rPr>
              <w:t xml:space="preserve"> </w:t>
            </w:r>
            <w:r w:rsidR="00B4625E" w:rsidRPr="006E49A3">
              <w:rPr>
                <w:rFonts w:ascii="Arial" w:hAnsi="Arial" w:cs="Arial"/>
              </w:rPr>
              <w:t>(</w:t>
            </w:r>
            <w:r w:rsidR="00977A00" w:rsidRPr="00977A00">
              <w:rPr>
                <w:rFonts w:ascii="Arial" w:hAnsi="Arial" w:cs="Arial"/>
                <w:shd w:val="clear" w:color="auto" w:fill="FFFFFF"/>
              </w:rPr>
              <w:t>INT-HC-SECCOST-2020/00103</w:t>
            </w:r>
            <w:r w:rsidR="00B4625E" w:rsidRPr="006E49A3">
              <w:rPr>
                <w:rFonts w:ascii="Arial" w:hAnsi="Arial" w:cs="Arial"/>
              </w:rPr>
              <w:t>)</w:t>
            </w:r>
            <w:r w:rsidR="00B4625E" w:rsidRPr="006E49A3">
              <w:rPr>
                <w:rFonts w:ascii="Arial" w:hAnsi="Arial" w:cs="Arial"/>
                <w:b/>
              </w:rPr>
              <w:t xml:space="preserve"> </w:t>
            </w:r>
            <w:r w:rsidR="00977A00">
              <w:rPr>
                <w:rFonts w:ascii="Arial" w:hAnsi="Arial" w:cs="Arial"/>
              </w:rPr>
              <w:t>[2020</w:t>
            </w:r>
            <w:r w:rsidR="00B4625E" w:rsidRPr="006E49A3">
              <w:rPr>
                <w:rFonts w:ascii="Arial" w:hAnsi="Arial" w:cs="Arial"/>
              </w:rPr>
              <w:t xml:space="preserve">] </w:t>
            </w:r>
            <w:r w:rsidRPr="006E49A3">
              <w:rPr>
                <w:rFonts w:ascii="Arial" w:hAnsi="Arial" w:cs="Arial"/>
              </w:rPr>
              <w:t xml:space="preserve">NAHCMD </w:t>
            </w:r>
            <w:r w:rsidR="00977A00">
              <w:rPr>
                <w:rFonts w:ascii="Arial" w:hAnsi="Arial" w:cs="Arial"/>
              </w:rPr>
              <w:t>324</w:t>
            </w:r>
            <w:r w:rsidR="00B4625E" w:rsidRPr="006E49A3">
              <w:rPr>
                <w:rFonts w:ascii="Arial" w:hAnsi="Arial" w:cs="Arial"/>
              </w:rPr>
              <w:t xml:space="preserve"> (</w:t>
            </w:r>
            <w:r w:rsidR="00977A00">
              <w:rPr>
                <w:rFonts w:ascii="Arial" w:hAnsi="Arial" w:cs="Arial"/>
              </w:rPr>
              <w:t>31 July 2020</w:t>
            </w:r>
            <w:r w:rsidRPr="006E49A3">
              <w:rPr>
                <w:rFonts w:ascii="Arial" w:hAnsi="Arial" w:cs="Arial"/>
              </w:rPr>
              <w:t>)</w:t>
            </w:r>
          </w:p>
        </w:tc>
      </w:tr>
      <w:tr w:rsidR="00281FAB" w:rsidRPr="006E49A3" w:rsidTr="00EB27A0">
        <w:tc>
          <w:tcPr>
            <w:tcW w:w="9720" w:type="dxa"/>
            <w:gridSpan w:val="3"/>
          </w:tcPr>
          <w:p w:rsidR="00281FAB" w:rsidRPr="00447B18" w:rsidRDefault="00281FAB" w:rsidP="00EB27A0">
            <w:pPr>
              <w:spacing w:line="360" w:lineRule="auto"/>
              <w:jc w:val="both"/>
              <w:rPr>
                <w:rFonts w:ascii="Arial" w:hAnsi="Arial" w:cs="Arial"/>
                <w:b/>
              </w:rPr>
            </w:pPr>
            <w:r w:rsidRPr="00447B18">
              <w:rPr>
                <w:rFonts w:ascii="Arial" w:hAnsi="Arial" w:cs="Arial"/>
                <w:b/>
              </w:rPr>
              <w:t>The order:</w:t>
            </w:r>
          </w:p>
          <w:p w:rsidR="00C73154" w:rsidRPr="00447B18" w:rsidRDefault="00C73154" w:rsidP="00EB27A0">
            <w:pPr>
              <w:spacing w:line="360" w:lineRule="auto"/>
              <w:jc w:val="both"/>
              <w:rPr>
                <w:rFonts w:ascii="Arial" w:hAnsi="Arial" w:cs="Arial"/>
              </w:rPr>
            </w:pPr>
          </w:p>
          <w:p w:rsidR="00281FAB" w:rsidRPr="00447B18" w:rsidRDefault="00447B18" w:rsidP="00EB27A0">
            <w:pPr>
              <w:spacing w:line="360" w:lineRule="auto"/>
              <w:jc w:val="both"/>
              <w:rPr>
                <w:rFonts w:ascii="Arial" w:hAnsi="Arial" w:cs="Arial"/>
              </w:rPr>
            </w:pPr>
            <w:r w:rsidRPr="00447B18">
              <w:rPr>
                <w:rFonts w:ascii="Arial" w:hAnsi="Arial" w:cs="Arial"/>
              </w:rPr>
              <w:t xml:space="preserve">Having heard </w:t>
            </w:r>
            <w:r w:rsidRPr="00447B18">
              <w:rPr>
                <w:rFonts w:ascii="Arial" w:hAnsi="Arial" w:cs="Arial"/>
                <w:b/>
              </w:rPr>
              <w:t>Ms Garbers-Kirsten</w:t>
            </w:r>
            <w:r w:rsidRPr="00447B18">
              <w:rPr>
                <w:rFonts w:ascii="Arial" w:hAnsi="Arial" w:cs="Arial"/>
              </w:rPr>
              <w:t>, counsel for the applicant/defendant and</w:t>
            </w:r>
            <w:r w:rsidRPr="00447B18">
              <w:rPr>
                <w:rFonts w:ascii="Arial" w:hAnsi="Arial" w:cs="Arial"/>
                <w:b/>
              </w:rPr>
              <w:t xml:space="preserve"> Mr Silungwe</w:t>
            </w:r>
            <w:r w:rsidRPr="00F87113">
              <w:rPr>
                <w:rFonts w:ascii="Arial" w:hAnsi="Arial" w:cs="Arial"/>
              </w:rPr>
              <w:t>,</w:t>
            </w:r>
            <w:r w:rsidRPr="00447B18">
              <w:rPr>
                <w:rFonts w:ascii="Arial" w:hAnsi="Arial" w:cs="Arial"/>
                <w:b/>
              </w:rPr>
              <w:t xml:space="preserve"> </w:t>
            </w:r>
            <w:r w:rsidRPr="00447B18">
              <w:rPr>
                <w:rFonts w:ascii="Arial" w:hAnsi="Arial" w:cs="Arial"/>
              </w:rPr>
              <w:t>counsel for the respondent/plaintiff and having read documents filed of record</w:t>
            </w:r>
            <w:r w:rsidR="006D2D84" w:rsidRPr="00447B18">
              <w:rPr>
                <w:rFonts w:ascii="Arial" w:hAnsi="Arial" w:cs="Arial"/>
              </w:rPr>
              <w:t>:</w:t>
            </w:r>
          </w:p>
          <w:p w:rsidR="00EB27A0" w:rsidRPr="00447B18" w:rsidRDefault="00EB27A0" w:rsidP="00EB27A0">
            <w:pPr>
              <w:spacing w:line="360" w:lineRule="auto"/>
              <w:jc w:val="both"/>
              <w:rPr>
                <w:rFonts w:ascii="Arial" w:hAnsi="Arial" w:cs="Arial"/>
              </w:rPr>
            </w:pPr>
          </w:p>
          <w:p w:rsidR="00EB27A0" w:rsidRPr="00447B18" w:rsidRDefault="00EB27A0" w:rsidP="00EB27A0">
            <w:pPr>
              <w:spacing w:line="360" w:lineRule="auto"/>
              <w:jc w:val="both"/>
              <w:rPr>
                <w:rFonts w:ascii="Arial" w:hAnsi="Arial" w:cs="Arial"/>
                <w:b/>
              </w:rPr>
            </w:pPr>
            <w:r w:rsidRPr="00447B18">
              <w:rPr>
                <w:rFonts w:ascii="Arial" w:hAnsi="Arial" w:cs="Arial"/>
                <w:b/>
              </w:rPr>
              <w:t>IT IS ORDERED THAT:</w:t>
            </w:r>
          </w:p>
          <w:p w:rsidR="008D65E9" w:rsidRPr="00447B18" w:rsidRDefault="008D65E9" w:rsidP="00EB27A0">
            <w:pPr>
              <w:spacing w:line="360" w:lineRule="auto"/>
              <w:jc w:val="both"/>
              <w:rPr>
                <w:rFonts w:ascii="Arial" w:hAnsi="Arial" w:cs="Arial"/>
              </w:rPr>
            </w:pPr>
          </w:p>
          <w:p w:rsidR="00CF3D16" w:rsidRPr="00447B18" w:rsidRDefault="00447B18" w:rsidP="00447B18">
            <w:pPr>
              <w:spacing w:line="360" w:lineRule="auto"/>
              <w:jc w:val="both"/>
              <w:rPr>
                <w:rFonts w:ascii="Arial" w:hAnsi="Arial" w:cs="Arial"/>
              </w:rPr>
            </w:pPr>
            <w:r w:rsidRPr="00447B18">
              <w:rPr>
                <w:rFonts w:ascii="Arial" w:hAnsi="Arial" w:cs="Arial"/>
              </w:rPr>
              <w:t xml:space="preserve">The interlocutory application for the </w:t>
            </w:r>
            <w:r w:rsidR="00292BB8">
              <w:rPr>
                <w:rFonts w:ascii="Arial" w:hAnsi="Arial" w:cs="Arial"/>
              </w:rPr>
              <w:t>plaintiff</w:t>
            </w:r>
            <w:r w:rsidR="00B23661" w:rsidRPr="00447B18">
              <w:rPr>
                <w:rFonts w:ascii="Arial" w:hAnsi="Arial" w:cs="Arial"/>
              </w:rPr>
              <w:t xml:space="preserve"> </w:t>
            </w:r>
            <w:r w:rsidRPr="00447B18">
              <w:rPr>
                <w:rFonts w:ascii="Arial" w:hAnsi="Arial" w:cs="Arial"/>
              </w:rPr>
              <w:t>to furnish security for costs is dismissed with costs, limited to N$20 000</w:t>
            </w:r>
            <w:r w:rsidR="00EE19B5" w:rsidRPr="00447B18">
              <w:rPr>
                <w:rFonts w:ascii="Arial" w:hAnsi="Arial" w:cs="Arial"/>
              </w:rPr>
              <w:t>.</w:t>
            </w:r>
          </w:p>
          <w:p w:rsidR="00686B3F" w:rsidRPr="00447B18" w:rsidRDefault="00686B3F" w:rsidP="00A258AF">
            <w:pPr>
              <w:spacing w:line="360" w:lineRule="auto"/>
              <w:jc w:val="both"/>
              <w:rPr>
                <w:rFonts w:ascii="Arial" w:hAnsi="Arial" w:cs="Arial"/>
              </w:rPr>
            </w:pPr>
          </w:p>
        </w:tc>
      </w:tr>
      <w:tr w:rsidR="00281FAB" w:rsidRPr="006E49A3" w:rsidTr="00EB27A0">
        <w:tc>
          <w:tcPr>
            <w:tcW w:w="9720" w:type="dxa"/>
            <w:gridSpan w:val="3"/>
          </w:tcPr>
          <w:p w:rsidR="00281FAB" w:rsidRPr="008E6759" w:rsidRDefault="008E6759" w:rsidP="006E49A3">
            <w:pPr>
              <w:spacing w:line="360" w:lineRule="auto"/>
              <w:jc w:val="both"/>
              <w:rPr>
                <w:rFonts w:ascii="Arial" w:hAnsi="Arial" w:cs="Arial"/>
                <w:b/>
              </w:rPr>
            </w:pPr>
            <w:r w:rsidRPr="008E6759">
              <w:rPr>
                <w:rFonts w:ascii="Arial" w:hAnsi="Arial" w:cs="Arial"/>
                <w:b/>
              </w:rPr>
              <w:t xml:space="preserve">Following below are </w:t>
            </w:r>
            <w:r w:rsidR="00A66F65">
              <w:rPr>
                <w:rFonts w:ascii="Arial" w:hAnsi="Arial" w:cs="Arial"/>
                <w:b/>
              </w:rPr>
              <w:t>the reasons for the above order</w:t>
            </w:r>
            <w:r w:rsidRPr="008E6759">
              <w:rPr>
                <w:rFonts w:ascii="Arial" w:hAnsi="Arial" w:cs="Arial"/>
                <w:b/>
              </w:rPr>
              <w:t>:</w:t>
            </w:r>
          </w:p>
        </w:tc>
      </w:tr>
      <w:tr w:rsidR="00281FAB" w:rsidRPr="006E49A3" w:rsidTr="00EB27A0">
        <w:tc>
          <w:tcPr>
            <w:tcW w:w="9720" w:type="dxa"/>
            <w:gridSpan w:val="3"/>
          </w:tcPr>
          <w:p w:rsidR="00BB1E6E" w:rsidRPr="002E5933" w:rsidRDefault="00BB1E6E" w:rsidP="00FD38C2">
            <w:pPr>
              <w:spacing w:line="360" w:lineRule="auto"/>
              <w:jc w:val="both"/>
              <w:rPr>
                <w:rFonts w:ascii="Arial" w:hAnsi="Arial" w:cs="Arial"/>
              </w:rPr>
            </w:pPr>
          </w:p>
          <w:p w:rsidR="00A4515E" w:rsidRPr="002E5933" w:rsidRDefault="009C7093" w:rsidP="00FD38C2">
            <w:pPr>
              <w:spacing w:line="360" w:lineRule="auto"/>
              <w:jc w:val="both"/>
              <w:rPr>
                <w:rFonts w:ascii="Arial" w:hAnsi="Arial" w:cs="Arial"/>
              </w:rPr>
            </w:pPr>
            <w:r w:rsidRPr="002E5933">
              <w:rPr>
                <w:rFonts w:ascii="Arial" w:hAnsi="Arial" w:cs="Arial"/>
              </w:rPr>
              <w:t xml:space="preserve">[1]   </w:t>
            </w:r>
            <w:r w:rsidR="00A66F65" w:rsidRPr="002E5933">
              <w:rPr>
                <w:rFonts w:ascii="Arial" w:hAnsi="Arial" w:cs="Arial"/>
              </w:rPr>
              <w:t>In this interlocutory application, the applicant is the defendant in the main matter and the respondent is the plaintiff in the main matter. The parties will be referred to as they appear in the main matter</w:t>
            </w:r>
            <w:r w:rsidR="00E41527" w:rsidRPr="002E5933">
              <w:rPr>
                <w:rFonts w:ascii="Arial" w:hAnsi="Arial" w:cs="Arial"/>
              </w:rPr>
              <w:t>.</w:t>
            </w:r>
          </w:p>
          <w:p w:rsidR="00B53D6D" w:rsidRPr="002E5933" w:rsidRDefault="00B53D6D" w:rsidP="00FD38C2">
            <w:pPr>
              <w:spacing w:line="360" w:lineRule="auto"/>
              <w:jc w:val="both"/>
              <w:rPr>
                <w:rFonts w:ascii="Arial" w:hAnsi="Arial" w:cs="Arial"/>
              </w:rPr>
            </w:pPr>
          </w:p>
          <w:p w:rsidR="00CC4D82" w:rsidRPr="002E5933" w:rsidRDefault="00A6494E" w:rsidP="00FD38C2">
            <w:pPr>
              <w:spacing w:line="360" w:lineRule="auto"/>
              <w:jc w:val="both"/>
              <w:rPr>
                <w:rFonts w:ascii="Arial" w:hAnsi="Arial" w:cs="Arial"/>
              </w:rPr>
            </w:pPr>
            <w:r w:rsidRPr="002E5933">
              <w:rPr>
                <w:rFonts w:ascii="Arial" w:hAnsi="Arial" w:cs="Arial"/>
              </w:rPr>
              <w:t xml:space="preserve">[2] </w:t>
            </w:r>
            <w:r w:rsidR="009C7093" w:rsidRPr="002E5933">
              <w:rPr>
                <w:rFonts w:ascii="Arial" w:hAnsi="Arial" w:cs="Arial"/>
              </w:rPr>
              <w:t xml:space="preserve">  </w:t>
            </w:r>
            <w:r w:rsidR="00A66F65" w:rsidRPr="002E5933">
              <w:rPr>
                <w:rFonts w:ascii="Arial" w:hAnsi="Arial" w:cs="Arial"/>
              </w:rPr>
              <w:t xml:space="preserve">On 24 February 2019, the plaintiff instituted action against the defendant seeking an order directing the defendant to reinstate the plaintiff as a contractor in terms of the Owner Distribution Agreement concluded between the plaintiff and the defendant, and an order directing the defendant to remit payment to the plaintiff in an amount equivalent to the three months payment </w:t>
            </w:r>
            <w:r w:rsidR="00A66F65" w:rsidRPr="002E5933">
              <w:rPr>
                <w:rFonts w:ascii="Arial" w:hAnsi="Arial" w:cs="Arial"/>
              </w:rPr>
              <w:lastRenderedPageBreak/>
              <w:t>to the plaintiff in the amount of N$390 000</w:t>
            </w:r>
            <w:r w:rsidR="00E41527" w:rsidRPr="002E5933">
              <w:rPr>
                <w:rFonts w:ascii="Arial" w:hAnsi="Arial" w:cs="Arial"/>
              </w:rPr>
              <w:t>.</w:t>
            </w:r>
          </w:p>
          <w:p w:rsidR="00422CA6" w:rsidRPr="002E5933" w:rsidRDefault="00422CA6" w:rsidP="00FD38C2">
            <w:pPr>
              <w:spacing w:line="360" w:lineRule="auto"/>
              <w:jc w:val="both"/>
              <w:rPr>
                <w:rFonts w:ascii="Arial" w:hAnsi="Arial" w:cs="Arial"/>
              </w:rPr>
            </w:pPr>
          </w:p>
          <w:p w:rsidR="00A23F8A" w:rsidRPr="002E5933" w:rsidRDefault="00A6494E" w:rsidP="00422CA6">
            <w:pPr>
              <w:spacing w:line="360" w:lineRule="auto"/>
              <w:jc w:val="both"/>
              <w:rPr>
                <w:rFonts w:ascii="Arial" w:hAnsi="Arial" w:cs="Arial"/>
              </w:rPr>
            </w:pPr>
            <w:r w:rsidRPr="002E5933">
              <w:rPr>
                <w:rFonts w:ascii="Arial" w:hAnsi="Arial" w:cs="Arial"/>
              </w:rPr>
              <w:t>[3]</w:t>
            </w:r>
            <w:r w:rsidR="00B53D6D" w:rsidRPr="002E5933">
              <w:rPr>
                <w:rFonts w:ascii="Arial" w:hAnsi="Arial" w:cs="Arial"/>
              </w:rPr>
              <w:t xml:space="preserve"> </w:t>
            </w:r>
            <w:r w:rsidR="006E49A3" w:rsidRPr="002E5933">
              <w:rPr>
                <w:rFonts w:ascii="Arial" w:hAnsi="Arial" w:cs="Arial"/>
              </w:rPr>
              <w:t xml:space="preserve">  </w:t>
            </w:r>
            <w:r w:rsidR="00A66F65" w:rsidRPr="002E5933">
              <w:rPr>
                <w:rFonts w:ascii="Arial" w:hAnsi="Arial" w:cs="Arial"/>
              </w:rPr>
              <w:t>Before me now is an interlocutory application brought by the defendant on 12 May 2020 seeking an order that:</w:t>
            </w:r>
          </w:p>
          <w:p w:rsidR="002736CF" w:rsidRPr="002E5933" w:rsidRDefault="002736CF" w:rsidP="00422CA6">
            <w:pPr>
              <w:spacing w:line="360" w:lineRule="auto"/>
              <w:jc w:val="both"/>
              <w:rPr>
                <w:rFonts w:ascii="Arial" w:hAnsi="Arial" w:cs="Arial"/>
              </w:rPr>
            </w:pPr>
          </w:p>
          <w:p w:rsidR="00A66F65"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plaintiff is required to furnish security for costs in the form of a bank guarantee or funds held in the plaintiff's attorneys' trust account, or in such other form as may be determined by the registrar, in the sum of N$300 000, or such sum as is set by the registrar, within ten days of the determination of the amount of the security.</w:t>
            </w:r>
          </w:p>
          <w:p w:rsidR="002E5933" w:rsidRPr="002E5933" w:rsidRDefault="002E5933" w:rsidP="002E5933">
            <w:pPr>
              <w:tabs>
                <w:tab w:val="left" w:pos="2051"/>
              </w:tabs>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lang w:val="en-US"/>
              </w:rPr>
            </w:pPr>
            <w:r w:rsidRPr="002E5933">
              <w:rPr>
                <w:rFonts w:ascii="Arial" w:hAnsi="Arial" w:cs="Arial"/>
                <w:lang w:val="en-US"/>
              </w:rPr>
              <w:t>The action is stayed pending the granting of such security.</w:t>
            </w:r>
          </w:p>
          <w:p w:rsidR="002E5933" w:rsidRPr="002E5933" w:rsidRDefault="002E5933" w:rsidP="002E5933">
            <w:pPr>
              <w:spacing w:line="360" w:lineRule="auto"/>
              <w:ind w:left="559"/>
              <w:jc w:val="both"/>
              <w:rPr>
                <w:rFonts w:ascii="Arial" w:hAnsi="Arial" w:cs="Arial"/>
                <w:lang w:val="en-US"/>
              </w:rPr>
            </w:pPr>
          </w:p>
          <w:p w:rsidR="002E5933" w:rsidRPr="002E5933" w:rsidRDefault="002E5933" w:rsidP="002E5933">
            <w:pPr>
              <w:pStyle w:val="ListParagraph"/>
              <w:numPr>
                <w:ilvl w:val="0"/>
                <w:numId w:val="13"/>
              </w:numPr>
              <w:spacing w:line="360" w:lineRule="auto"/>
              <w:ind w:left="1126" w:hanging="567"/>
              <w:jc w:val="both"/>
              <w:rPr>
                <w:rFonts w:ascii="Arial" w:hAnsi="Arial" w:cs="Arial"/>
              </w:rPr>
            </w:pPr>
            <w:r w:rsidRPr="002E5933">
              <w:rPr>
                <w:rFonts w:ascii="Arial" w:hAnsi="Arial" w:cs="Arial"/>
                <w:lang w:val="en-US"/>
              </w:rPr>
              <w:t>The plaintiff pays the costs of this application.</w:t>
            </w:r>
          </w:p>
          <w:p w:rsidR="00A66F65" w:rsidRPr="002E5933" w:rsidRDefault="00A66F65" w:rsidP="00422CA6">
            <w:pPr>
              <w:spacing w:line="360" w:lineRule="auto"/>
              <w:jc w:val="both"/>
              <w:rPr>
                <w:rFonts w:ascii="Arial" w:hAnsi="Arial" w:cs="Arial"/>
              </w:rPr>
            </w:pPr>
          </w:p>
          <w:p w:rsidR="002736CF" w:rsidRPr="002E5933" w:rsidRDefault="002736CF" w:rsidP="00422CA6">
            <w:pPr>
              <w:spacing w:line="360" w:lineRule="auto"/>
              <w:jc w:val="both"/>
              <w:rPr>
                <w:rFonts w:ascii="Arial" w:hAnsi="Arial" w:cs="Arial"/>
              </w:rPr>
            </w:pPr>
            <w:r w:rsidRPr="002E5933">
              <w:rPr>
                <w:rFonts w:ascii="Arial" w:hAnsi="Arial" w:cs="Arial"/>
              </w:rPr>
              <w:t xml:space="preserve">[4]   </w:t>
            </w:r>
            <w:r w:rsidR="002E5933" w:rsidRPr="002E5933">
              <w:rPr>
                <w:rFonts w:ascii="Arial" w:hAnsi="Arial" w:cs="Arial"/>
              </w:rPr>
              <w:t>The Notice of Motion was accompanied by the founding affidavit of Sorita Botha and the confirmatory affidavit of Nangula Hilja Tuutaleni Nafuka was used in support of the application</w:t>
            </w:r>
            <w:r w:rsidRPr="002E5933">
              <w:rPr>
                <w:rFonts w:ascii="Arial" w:hAnsi="Arial" w:cs="Arial"/>
              </w:rPr>
              <w:t>.</w:t>
            </w:r>
          </w:p>
          <w:p w:rsidR="008E6759" w:rsidRPr="002E5933" w:rsidRDefault="008E6759" w:rsidP="00422CA6">
            <w:pPr>
              <w:spacing w:line="360" w:lineRule="auto"/>
              <w:jc w:val="both"/>
              <w:rPr>
                <w:rFonts w:ascii="Arial" w:hAnsi="Arial" w:cs="Arial"/>
              </w:rPr>
            </w:pPr>
          </w:p>
          <w:p w:rsidR="008E6759" w:rsidRPr="002E5933" w:rsidRDefault="008E6759" w:rsidP="00422CA6">
            <w:pPr>
              <w:spacing w:line="360" w:lineRule="auto"/>
              <w:jc w:val="both"/>
              <w:rPr>
                <w:rFonts w:ascii="Arial" w:hAnsi="Arial" w:cs="Arial"/>
              </w:rPr>
            </w:pPr>
            <w:r w:rsidRPr="002E5933">
              <w:rPr>
                <w:rFonts w:ascii="Arial" w:hAnsi="Arial" w:cs="Arial"/>
              </w:rPr>
              <w:t>[</w:t>
            </w:r>
            <w:r w:rsidR="002736CF" w:rsidRPr="002E5933">
              <w:rPr>
                <w:rFonts w:ascii="Arial" w:hAnsi="Arial" w:cs="Arial"/>
              </w:rPr>
              <w:t>5</w:t>
            </w:r>
            <w:r w:rsidRPr="002E5933">
              <w:rPr>
                <w:rFonts w:ascii="Arial" w:hAnsi="Arial" w:cs="Arial"/>
              </w:rPr>
              <w:t xml:space="preserve">]   </w:t>
            </w:r>
            <w:r w:rsidR="002E5933" w:rsidRPr="002E5933">
              <w:rPr>
                <w:rFonts w:ascii="Arial" w:hAnsi="Arial" w:cs="Arial"/>
              </w:rPr>
              <w:t xml:space="preserve">In her founding affidavit, Soritha Botha stated that the plaintiff is a close corporation established and registered under the Close Corporation Act 26 of 1988 as amended, and that ‘the defendant is of the reasonable belief that the plaintiff does not have any realisable property situated within the jurisdiction of Namibia which may serve to satisfy any cost award which the defendant may secure in its favour should the defendant succeed with its defence. Alternatively; the defendant is entitled to demand security for costs from the plaintiff under </w:t>
            </w:r>
            <w:r w:rsidR="002E5933">
              <w:rPr>
                <w:rFonts w:ascii="Arial" w:hAnsi="Arial" w:cs="Arial"/>
              </w:rPr>
              <w:t>s</w:t>
            </w:r>
            <w:r w:rsidR="002E5933" w:rsidRPr="002E5933">
              <w:rPr>
                <w:rFonts w:ascii="Arial" w:hAnsi="Arial" w:cs="Arial"/>
              </w:rPr>
              <w:t xml:space="preserve"> 8 of the Act, alternatively the common law’</w:t>
            </w:r>
            <w:r w:rsidR="002E5933" w:rsidRPr="002E5933">
              <w:rPr>
                <w:rStyle w:val="FootnoteReference"/>
                <w:rFonts w:ascii="Arial" w:hAnsi="Arial" w:cs="Arial"/>
              </w:rPr>
              <w:footnoteReference w:id="1"/>
            </w:r>
            <w:r w:rsidR="00650BB1">
              <w:rPr>
                <w:rFonts w:ascii="Arial" w:hAnsi="Arial" w:cs="Arial"/>
              </w:rPr>
              <w:t>.</w:t>
            </w:r>
          </w:p>
          <w:p w:rsidR="002E5933" w:rsidRPr="002E5933" w:rsidRDefault="002E5933" w:rsidP="00422CA6">
            <w:pPr>
              <w:spacing w:line="360" w:lineRule="auto"/>
              <w:jc w:val="both"/>
              <w:rPr>
                <w:rFonts w:ascii="Arial" w:hAnsi="Arial" w:cs="Arial"/>
              </w:rPr>
            </w:pPr>
          </w:p>
          <w:p w:rsidR="002E5933" w:rsidRDefault="002E5933" w:rsidP="00422CA6">
            <w:pPr>
              <w:spacing w:line="360" w:lineRule="auto"/>
              <w:jc w:val="both"/>
              <w:rPr>
                <w:rFonts w:ascii="Arial" w:hAnsi="Arial" w:cs="Arial"/>
              </w:rPr>
            </w:pPr>
            <w:r>
              <w:rPr>
                <w:rFonts w:ascii="Arial" w:hAnsi="Arial" w:cs="Arial"/>
              </w:rPr>
              <w:t xml:space="preserve">[6]   </w:t>
            </w:r>
            <w:r w:rsidR="003D11A7" w:rsidRPr="003D11A7">
              <w:rPr>
                <w:rFonts w:ascii="Arial" w:hAnsi="Arial" w:cs="Arial"/>
              </w:rPr>
              <w:t>Section 8 of the Close Corporations Act 26 of 1988 reads as follows:</w:t>
            </w:r>
          </w:p>
          <w:p w:rsidR="002E5933" w:rsidRDefault="002E5933" w:rsidP="00422CA6">
            <w:pPr>
              <w:spacing w:line="360" w:lineRule="auto"/>
              <w:jc w:val="both"/>
              <w:rPr>
                <w:rFonts w:ascii="Arial" w:hAnsi="Arial" w:cs="Arial"/>
              </w:rPr>
            </w:pPr>
          </w:p>
          <w:p w:rsidR="003D11A7" w:rsidRPr="003D11A7" w:rsidRDefault="003D11A7" w:rsidP="00422CA6">
            <w:pPr>
              <w:spacing w:line="360" w:lineRule="auto"/>
              <w:jc w:val="both"/>
              <w:rPr>
                <w:rFonts w:ascii="Arial" w:hAnsi="Arial" w:cs="Arial"/>
                <w:sz w:val="20"/>
                <w:szCs w:val="20"/>
              </w:rPr>
            </w:pPr>
            <w:r>
              <w:rPr>
                <w:rFonts w:ascii="Arial" w:hAnsi="Arial" w:cs="Arial"/>
                <w:sz w:val="20"/>
                <w:szCs w:val="20"/>
              </w:rPr>
              <w:t xml:space="preserve">       </w:t>
            </w:r>
            <w:r w:rsidRPr="003D11A7">
              <w:rPr>
                <w:rFonts w:ascii="Arial" w:hAnsi="Arial" w:cs="Arial"/>
                <w:sz w:val="20"/>
                <w:szCs w:val="20"/>
              </w:rPr>
              <w:t>‘When a corporation in any legal proceedings is a plaintiff or applicant or brings a counterclaim or counter-application, the Court concerned may at any time during the proceedings if it appears that there is reason to believe that the corporation or, if it is being wound up, the liquidator thereof, will be unable to pay the costs of the defendant or respondent, or the defendant or respondent in reconvention, if he is successful in his defence, require security to be given for those costs, and may stay all proceedings till the security is given.’</w:t>
            </w:r>
          </w:p>
          <w:p w:rsidR="003D11A7" w:rsidRPr="003D11A7" w:rsidRDefault="003D11A7" w:rsidP="00422CA6">
            <w:pPr>
              <w:spacing w:line="360" w:lineRule="auto"/>
              <w:jc w:val="both"/>
              <w:rPr>
                <w:rFonts w:ascii="Arial" w:hAnsi="Arial" w:cs="Arial"/>
              </w:rPr>
            </w:pPr>
          </w:p>
          <w:p w:rsidR="002E5933" w:rsidRPr="003D11A7" w:rsidRDefault="002E5933" w:rsidP="00422CA6">
            <w:pPr>
              <w:spacing w:line="360" w:lineRule="auto"/>
              <w:jc w:val="both"/>
              <w:rPr>
                <w:rFonts w:ascii="Arial" w:hAnsi="Arial" w:cs="Arial"/>
              </w:rPr>
            </w:pPr>
            <w:r w:rsidRPr="003D11A7">
              <w:rPr>
                <w:rFonts w:ascii="Arial" w:hAnsi="Arial" w:cs="Arial"/>
              </w:rPr>
              <w:t xml:space="preserve">[7]   </w:t>
            </w:r>
            <w:r w:rsidR="003D11A7" w:rsidRPr="003D11A7">
              <w:rPr>
                <w:rFonts w:ascii="Arial" w:hAnsi="Arial" w:cs="Arial"/>
              </w:rPr>
              <w:t>Section 8 of the Close Corporations Act 26 of 1988 gives the court discretionary power to grant or refuse an application for security for costs</w:t>
            </w:r>
            <w:r w:rsidRPr="003D11A7">
              <w:rPr>
                <w:rFonts w:ascii="Arial" w:hAnsi="Arial" w:cs="Arial"/>
              </w:rPr>
              <w:t>.</w:t>
            </w:r>
          </w:p>
          <w:p w:rsidR="003D11A7" w:rsidRDefault="003D11A7" w:rsidP="00422CA6">
            <w:pPr>
              <w:spacing w:line="360" w:lineRule="auto"/>
              <w:jc w:val="both"/>
              <w:rPr>
                <w:rFonts w:ascii="Arial" w:hAnsi="Arial" w:cs="Arial"/>
              </w:rPr>
            </w:pPr>
          </w:p>
          <w:p w:rsidR="003D11A7" w:rsidRDefault="003D11A7" w:rsidP="00422CA6">
            <w:pPr>
              <w:spacing w:line="360" w:lineRule="auto"/>
              <w:jc w:val="both"/>
              <w:rPr>
                <w:rFonts w:ascii="Arial" w:hAnsi="Arial" w:cs="Arial"/>
              </w:rPr>
            </w:pPr>
            <w:r>
              <w:rPr>
                <w:rFonts w:ascii="Arial" w:hAnsi="Arial" w:cs="Arial"/>
              </w:rPr>
              <w:lastRenderedPageBreak/>
              <w:t xml:space="preserve">[8]   </w:t>
            </w:r>
            <w:r w:rsidR="00650BB1" w:rsidRPr="00650BB1">
              <w:rPr>
                <w:rFonts w:ascii="Arial" w:hAnsi="Arial" w:cs="Arial"/>
              </w:rPr>
              <w:t>In her founding affidavit, Soritha Botha submitted that ‘the factual circumstances demonstrate that there is reason to believe that the plaintiff is unable to pay security for costs’</w:t>
            </w:r>
            <w:r w:rsidR="00650BB1" w:rsidRPr="00650BB1">
              <w:rPr>
                <w:rStyle w:val="FootnoteReference"/>
                <w:rFonts w:ascii="Arial" w:hAnsi="Arial" w:cs="Arial"/>
              </w:rPr>
              <w:footnoteReference w:id="2"/>
            </w:r>
            <w:r w:rsidR="00650BB1" w:rsidRPr="00650BB1">
              <w:rPr>
                <w:rFonts w:ascii="Arial" w:hAnsi="Arial" w:cs="Arial"/>
              </w:rPr>
              <w:t xml:space="preserve"> and further stated that from the circumstances she has explained in her affidavit, it appears that ‘if the defendant is successful in its defence of the action and the plaintiff is ordered to pay the costs, there will no funds available in the Republic of Namibia upon which the defendant can levy execution to recover such costs’</w:t>
            </w:r>
            <w:r w:rsidR="00B23661">
              <w:rPr>
                <w:rFonts w:ascii="Arial" w:hAnsi="Arial" w:cs="Arial"/>
              </w:rPr>
              <w:t>.</w:t>
            </w:r>
            <w:r w:rsidR="00650BB1" w:rsidRPr="00650BB1">
              <w:rPr>
                <w:rStyle w:val="FootnoteReference"/>
                <w:rFonts w:ascii="Arial" w:hAnsi="Arial" w:cs="Arial"/>
              </w:rPr>
              <w:footnoteReference w:id="3"/>
            </w:r>
          </w:p>
          <w:p w:rsidR="003D11A7" w:rsidRDefault="003D11A7" w:rsidP="00422CA6">
            <w:pPr>
              <w:spacing w:line="360" w:lineRule="auto"/>
              <w:jc w:val="both"/>
              <w:rPr>
                <w:rFonts w:ascii="Arial" w:hAnsi="Arial" w:cs="Arial"/>
              </w:rPr>
            </w:pPr>
          </w:p>
          <w:p w:rsidR="003D11A7" w:rsidRPr="00AE1B80" w:rsidRDefault="003D11A7" w:rsidP="00422CA6">
            <w:pPr>
              <w:spacing w:line="360" w:lineRule="auto"/>
              <w:jc w:val="both"/>
              <w:rPr>
                <w:rFonts w:ascii="Arial" w:hAnsi="Arial" w:cs="Arial"/>
              </w:rPr>
            </w:pPr>
            <w:r>
              <w:rPr>
                <w:rFonts w:ascii="Arial" w:hAnsi="Arial" w:cs="Arial"/>
              </w:rPr>
              <w:t xml:space="preserve">[9]   </w:t>
            </w:r>
            <w:r w:rsidR="00AE1B80" w:rsidRPr="00AE1B80">
              <w:rPr>
                <w:rFonts w:ascii="Arial" w:hAnsi="Arial" w:cs="Arial"/>
              </w:rPr>
              <w:t>In</w:t>
            </w:r>
            <w:r w:rsidR="00AE1B80">
              <w:rPr>
                <w:rFonts w:ascii="Arial" w:hAnsi="Arial" w:cs="Arial"/>
                <w:sz w:val="24"/>
                <w:szCs w:val="24"/>
              </w:rPr>
              <w:t xml:space="preserve"> </w:t>
            </w:r>
            <w:r w:rsidR="00AE1B80" w:rsidRPr="00AE1B80">
              <w:rPr>
                <w:rFonts w:ascii="Arial" w:hAnsi="Arial" w:cs="Arial"/>
              </w:rPr>
              <w:t>his answering</w:t>
            </w:r>
            <w:r w:rsidR="00AE1B80">
              <w:rPr>
                <w:rFonts w:ascii="Arial" w:hAnsi="Arial" w:cs="Arial"/>
              </w:rPr>
              <w:t>/</w:t>
            </w:r>
            <w:r w:rsidR="00AE1B80" w:rsidRPr="00AE1B80">
              <w:rPr>
                <w:rFonts w:ascii="Arial" w:hAnsi="Arial" w:cs="Arial"/>
              </w:rPr>
              <w:t>opposing affidavit on behalf of the plaintiff, Fillipus Twelimangulula Mentele stated that the plaintiff fell on hard times financially and was forced to cease operations shortly after the defendant terminated the agreement in question between the parties, and that it would be unfair in the circumstances to require the plaintiff to furnish security for costs.</w:t>
            </w:r>
            <w:r w:rsidR="00AE1B80" w:rsidRPr="00AE1B80">
              <w:rPr>
                <w:rStyle w:val="FootnoteReference"/>
                <w:rFonts w:ascii="Arial" w:hAnsi="Arial" w:cs="Arial"/>
              </w:rPr>
              <w:footnoteReference w:id="4"/>
            </w:r>
          </w:p>
          <w:p w:rsidR="003D11A7" w:rsidRPr="00AE1B80" w:rsidRDefault="003D11A7" w:rsidP="00422CA6">
            <w:pPr>
              <w:spacing w:line="360" w:lineRule="auto"/>
              <w:jc w:val="both"/>
              <w:rPr>
                <w:rFonts w:ascii="Arial" w:hAnsi="Arial" w:cs="Arial"/>
              </w:rPr>
            </w:pPr>
          </w:p>
          <w:p w:rsidR="003D11A7" w:rsidRDefault="003D11A7" w:rsidP="00422CA6">
            <w:pPr>
              <w:spacing w:line="360" w:lineRule="auto"/>
              <w:jc w:val="both"/>
              <w:rPr>
                <w:rFonts w:ascii="Arial" w:hAnsi="Arial" w:cs="Arial"/>
              </w:rPr>
            </w:pPr>
            <w:r>
              <w:rPr>
                <w:rFonts w:ascii="Arial" w:hAnsi="Arial" w:cs="Arial"/>
              </w:rPr>
              <w:t>[</w:t>
            </w:r>
            <w:r w:rsidRPr="00AE1B80">
              <w:rPr>
                <w:rFonts w:ascii="Arial" w:hAnsi="Arial" w:cs="Arial"/>
              </w:rPr>
              <w:t xml:space="preserve">10]  </w:t>
            </w:r>
            <w:r w:rsidR="00AE1B80" w:rsidRPr="00AE1B80">
              <w:rPr>
                <w:rFonts w:ascii="Arial" w:hAnsi="Arial" w:cs="Arial"/>
              </w:rPr>
              <w:t xml:space="preserve">Fillipus Twelimangulula Mentele further stated in his answering/opposing affidavit that the order sought by the defendant in its notice of motion will have an adverse financial impact on the plaintiff, especially in view of the fact that the defendant is in a better financial position than the plaintiff. He further stated that the defendant is a multinational company and a </w:t>
            </w:r>
            <w:r w:rsidR="00AE1B80" w:rsidRPr="00AE1B80">
              <w:rPr>
                <w:rFonts w:ascii="Arial" w:hAnsi="Arial" w:cs="Arial"/>
                <w:i/>
              </w:rPr>
              <w:t xml:space="preserve">peregrinus, </w:t>
            </w:r>
            <w:r w:rsidR="00AE1B80" w:rsidRPr="00AE1B80">
              <w:rPr>
                <w:rFonts w:ascii="Arial" w:hAnsi="Arial" w:cs="Arial"/>
              </w:rPr>
              <w:t xml:space="preserve">while the plaintiff is an </w:t>
            </w:r>
            <w:r w:rsidR="00AE1B80" w:rsidRPr="00AE1B80">
              <w:rPr>
                <w:rFonts w:ascii="Arial" w:hAnsi="Arial" w:cs="Arial"/>
                <w:i/>
              </w:rPr>
              <w:t xml:space="preserve">incola </w:t>
            </w:r>
            <w:r w:rsidR="00AE1B80" w:rsidRPr="00AE1B80">
              <w:rPr>
                <w:rFonts w:ascii="Arial" w:hAnsi="Arial" w:cs="Arial"/>
              </w:rPr>
              <w:t>in the Republic of Namibia. He further submitted in that affidavit that the defendant waived his right to claim security for costs from the plaintiff and the matter continued, and went past the close of pleadings, and as a result the plaintiff has incurred considerable expenses in legal fees as a result of instituting the proceedings, which are due and payable to his former and current legal practitioners.</w:t>
            </w:r>
            <w:r w:rsidR="00AE1B80" w:rsidRPr="00AE1B80">
              <w:rPr>
                <w:rStyle w:val="FootnoteReference"/>
                <w:rFonts w:ascii="Arial" w:hAnsi="Arial" w:cs="Arial"/>
              </w:rPr>
              <w:footnoteReference w:id="5"/>
            </w:r>
          </w:p>
          <w:p w:rsidR="003D1A3A" w:rsidRDefault="003D1A3A" w:rsidP="00422CA6">
            <w:pPr>
              <w:spacing w:line="360" w:lineRule="auto"/>
              <w:jc w:val="both"/>
              <w:rPr>
                <w:rFonts w:ascii="Arial" w:hAnsi="Arial" w:cs="Arial"/>
              </w:rPr>
            </w:pPr>
          </w:p>
          <w:p w:rsidR="003D1A3A" w:rsidRDefault="003D1A3A" w:rsidP="00422CA6">
            <w:pPr>
              <w:spacing w:line="360" w:lineRule="auto"/>
              <w:jc w:val="both"/>
              <w:rPr>
                <w:rFonts w:ascii="Arial" w:hAnsi="Arial" w:cs="Arial"/>
              </w:rPr>
            </w:pPr>
            <w:r>
              <w:rPr>
                <w:rFonts w:ascii="Arial" w:hAnsi="Arial" w:cs="Arial"/>
              </w:rPr>
              <w:t xml:space="preserve">[11]  </w:t>
            </w:r>
            <w:r w:rsidR="00FB039F" w:rsidRPr="00FB039F">
              <w:rPr>
                <w:rFonts w:ascii="Arial" w:hAnsi="Arial" w:cs="Arial"/>
              </w:rPr>
              <w:t>In her answering affidavit, Sorita Botha stated that the plaintiff, on its own admission is unable to pay an adverse costs order in the event that it is unsuccessful with the main action, and that solely for that reason the court should grant an application for security for costs against the plaintiff.</w:t>
            </w:r>
            <w:r w:rsidR="00FB039F" w:rsidRPr="00FB039F">
              <w:rPr>
                <w:rStyle w:val="FootnoteReference"/>
                <w:rFonts w:ascii="Arial" w:hAnsi="Arial" w:cs="Arial"/>
              </w:rPr>
              <w:footnoteReference w:id="6"/>
            </w:r>
            <w:r w:rsidR="00FB039F" w:rsidRPr="00FB039F">
              <w:rPr>
                <w:rFonts w:ascii="Arial" w:hAnsi="Arial" w:cs="Arial"/>
              </w:rPr>
              <w:t xml:space="preserve"> She further submitted that the defendant is in a dire financial position, and needs the court’s protection from the plaintiff and a legal entity that admits that it is ‘a man of straw’ and who is facing a claim that is disputed on reasonable grounds, and that the plaintiff should be called upon to pay security for costs in the event that it wants to proceed with its meritless action, and that the plaintiff has bad prospects to be successful in its action.</w:t>
            </w:r>
            <w:r w:rsidR="00FB039F" w:rsidRPr="00FB039F">
              <w:rPr>
                <w:rStyle w:val="FootnoteReference"/>
                <w:rFonts w:ascii="Arial" w:hAnsi="Arial" w:cs="Arial"/>
              </w:rPr>
              <w:footnoteReference w:id="7"/>
            </w:r>
            <w:r w:rsidR="00FB039F" w:rsidRPr="00FB039F">
              <w:rPr>
                <w:rFonts w:ascii="Arial" w:hAnsi="Arial" w:cs="Arial"/>
              </w:rPr>
              <w:t xml:space="preserve"> She submitted that ‘it is intolerable for courts to allow a person who is ‘a man of straw’ to proceed with legal action in which it is clear that the action is properly disputed.’</w:t>
            </w:r>
            <w:r w:rsidR="00FB039F" w:rsidRPr="00FB039F">
              <w:rPr>
                <w:rStyle w:val="FootnoteReference"/>
                <w:rFonts w:ascii="Arial" w:hAnsi="Arial" w:cs="Arial"/>
              </w:rPr>
              <w:footnoteReference w:id="8"/>
            </w:r>
            <w:r w:rsidR="00FB039F" w:rsidRPr="00FB039F">
              <w:rPr>
                <w:rFonts w:ascii="Arial" w:hAnsi="Arial" w:cs="Arial"/>
              </w:rPr>
              <w:t xml:space="preserve"> She further stated that the agreement in question between the parties was duly cancelled by following due process</w:t>
            </w:r>
            <w:r w:rsidR="00FB039F" w:rsidRPr="00FB039F">
              <w:rPr>
                <w:rStyle w:val="FootnoteReference"/>
                <w:rFonts w:ascii="Arial" w:hAnsi="Arial" w:cs="Arial"/>
              </w:rPr>
              <w:footnoteReference w:id="9"/>
            </w:r>
            <w:r w:rsidR="0014498F">
              <w:rPr>
                <w:rFonts w:ascii="Arial" w:hAnsi="Arial" w:cs="Arial"/>
              </w:rPr>
              <w:t>,</w:t>
            </w:r>
            <w:r w:rsidR="00FB039F" w:rsidRPr="00FB039F">
              <w:rPr>
                <w:rFonts w:ascii="Arial" w:hAnsi="Arial" w:cs="Arial"/>
              </w:rPr>
              <w:t xml:space="preserve"> and that the </w:t>
            </w:r>
            <w:r w:rsidR="00FB039F" w:rsidRPr="00FB039F">
              <w:rPr>
                <w:rFonts w:ascii="Arial" w:hAnsi="Arial" w:cs="Arial"/>
              </w:rPr>
              <w:lastRenderedPageBreak/>
              <w:t>defendant is not the cause of any financial difficulties of the respondent.</w:t>
            </w:r>
            <w:r w:rsidR="00FB039F" w:rsidRPr="00FB039F">
              <w:rPr>
                <w:rStyle w:val="FootnoteReference"/>
                <w:rFonts w:ascii="Arial" w:hAnsi="Arial" w:cs="Arial"/>
              </w:rPr>
              <w:footnoteReference w:id="10"/>
            </w:r>
            <w:r w:rsidR="00FB039F" w:rsidRPr="00FB039F">
              <w:rPr>
                <w:rFonts w:ascii="Arial" w:hAnsi="Arial" w:cs="Arial"/>
              </w:rPr>
              <w:t xml:space="preserve"> She also denied that the applicant has caused unnecessary costs to the plaintiff by waiving ‘its right to claim security for costs at the outset just after the action was instituted’</w:t>
            </w:r>
            <w:r w:rsidR="0014498F">
              <w:rPr>
                <w:rFonts w:ascii="Arial" w:hAnsi="Arial" w:cs="Arial"/>
              </w:rPr>
              <w:t>.</w:t>
            </w:r>
            <w:r w:rsidR="00FB039F" w:rsidRPr="00FB039F">
              <w:rPr>
                <w:rStyle w:val="FootnoteReference"/>
                <w:rFonts w:ascii="Arial" w:hAnsi="Arial" w:cs="Arial"/>
              </w:rPr>
              <w:footnoteReference w:id="11"/>
            </w:r>
          </w:p>
          <w:p w:rsidR="003D1A3A" w:rsidRDefault="003D1A3A" w:rsidP="00422CA6">
            <w:pPr>
              <w:spacing w:line="360" w:lineRule="auto"/>
              <w:jc w:val="both"/>
              <w:rPr>
                <w:rFonts w:ascii="Arial" w:hAnsi="Arial" w:cs="Arial"/>
              </w:rPr>
            </w:pPr>
          </w:p>
          <w:p w:rsidR="003D1A3A" w:rsidRDefault="003D1A3A" w:rsidP="00422CA6">
            <w:pPr>
              <w:spacing w:line="360" w:lineRule="auto"/>
              <w:jc w:val="both"/>
              <w:rPr>
                <w:rFonts w:ascii="Arial" w:hAnsi="Arial" w:cs="Arial"/>
              </w:rPr>
            </w:pPr>
            <w:r w:rsidRPr="0014498F">
              <w:rPr>
                <w:rFonts w:ascii="Arial" w:hAnsi="Arial" w:cs="Arial"/>
              </w:rPr>
              <w:t xml:space="preserve">[12]  </w:t>
            </w:r>
            <w:r w:rsidR="0014498F" w:rsidRPr="0014498F">
              <w:rPr>
                <w:rFonts w:ascii="Arial" w:hAnsi="Arial" w:cs="Arial"/>
              </w:rPr>
              <w:t xml:space="preserve">In </w:t>
            </w:r>
            <w:r w:rsidR="0014498F" w:rsidRPr="0014498F">
              <w:rPr>
                <w:rFonts w:ascii="Arial" w:hAnsi="Arial" w:cs="Arial"/>
                <w:i/>
              </w:rPr>
              <w:t>Hepute and Others v Minister of Mines and Energy and Another</w:t>
            </w:r>
            <w:r w:rsidR="0014498F" w:rsidRPr="0014498F">
              <w:rPr>
                <w:rStyle w:val="FootnoteReference"/>
                <w:rFonts w:ascii="Arial" w:hAnsi="Arial" w:cs="Arial"/>
                <w:i/>
              </w:rPr>
              <w:footnoteReference w:id="12"/>
            </w:r>
            <w:r w:rsidR="0014498F" w:rsidRPr="0014498F">
              <w:rPr>
                <w:rFonts w:ascii="Arial" w:hAnsi="Arial" w:cs="Arial"/>
              </w:rPr>
              <w:t xml:space="preserve"> the Supreme Court held that:</w:t>
            </w:r>
          </w:p>
          <w:p w:rsidR="00AE1B80" w:rsidRDefault="00AE1B80" w:rsidP="00422CA6">
            <w:pPr>
              <w:spacing w:line="360" w:lineRule="auto"/>
              <w:jc w:val="both"/>
              <w:rPr>
                <w:rFonts w:ascii="Arial" w:hAnsi="Arial" w:cs="Arial"/>
              </w:rPr>
            </w:pPr>
          </w:p>
          <w:p w:rsidR="008C1EF6" w:rsidRDefault="008C1EF6" w:rsidP="00F41E5C">
            <w:pPr>
              <w:spacing w:line="480" w:lineRule="auto"/>
              <w:ind w:left="1126" w:hanging="567"/>
              <w:jc w:val="both"/>
              <w:rPr>
                <w:rFonts w:ascii="Arial" w:hAnsi="Arial" w:cs="Arial"/>
                <w:sz w:val="20"/>
                <w:szCs w:val="20"/>
              </w:rPr>
            </w:pPr>
            <w:r>
              <w:rPr>
                <w:rFonts w:ascii="Arial" w:hAnsi="Arial" w:cs="Arial"/>
                <w:sz w:val="20"/>
                <w:szCs w:val="20"/>
              </w:rPr>
              <w:t>‘[23]</w:t>
            </w:r>
            <w:r w:rsidR="00F41E5C">
              <w:rPr>
                <w:rFonts w:ascii="Arial" w:hAnsi="Arial" w:cs="Arial"/>
                <w:sz w:val="20"/>
                <w:szCs w:val="20"/>
              </w:rPr>
              <w:t xml:space="preserve">  </w:t>
            </w:r>
            <w:r w:rsidRPr="00843084">
              <w:rPr>
                <w:rFonts w:ascii="Arial" w:hAnsi="Arial" w:cs="Arial"/>
                <w:sz w:val="20"/>
                <w:szCs w:val="20"/>
              </w:rPr>
              <w:t xml:space="preserve">Our common law recognises, as a general rule, the immunity enjoyed by an </w:t>
            </w:r>
            <w:r w:rsidRPr="00843084">
              <w:rPr>
                <w:rFonts w:ascii="Arial" w:hAnsi="Arial" w:cs="Arial"/>
                <w:i/>
                <w:sz w:val="20"/>
                <w:szCs w:val="20"/>
              </w:rPr>
              <w:t>incola</w:t>
            </w:r>
            <w:r w:rsidRPr="00843084">
              <w:rPr>
                <w:rFonts w:ascii="Arial" w:hAnsi="Arial" w:cs="Arial"/>
                <w:sz w:val="20"/>
                <w:szCs w:val="20"/>
              </w:rPr>
              <w:t xml:space="preserve"> plaintiff or applicant from having to provide security of costs. The </w:t>
            </w:r>
            <w:r w:rsidRPr="00843084">
              <w:rPr>
                <w:rFonts w:ascii="Arial" w:hAnsi="Arial" w:cs="Arial"/>
                <w:i/>
                <w:sz w:val="20"/>
                <w:szCs w:val="20"/>
              </w:rPr>
              <w:t xml:space="preserve">ratio </w:t>
            </w:r>
            <w:r w:rsidRPr="00843084">
              <w:rPr>
                <w:rFonts w:ascii="Arial" w:hAnsi="Arial" w:cs="Arial"/>
                <w:sz w:val="20"/>
                <w:szCs w:val="20"/>
              </w:rPr>
              <w:t xml:space="preserve">behind this rule is that every citizen should have uninhibited access to the courts: </w:t>
            </w:r>
            <w:r w:rsidRPr="00843084">
              <w:rPr>
                <w:rFonts w:ascii="Arial" w:hAnsi="Arial" w:cs="Arial"/>
                <w:i/>
                <w:sz w:val="20"/>
                <w:szCs w:val="20"/>
                <w:lang w:val="en-US"/>
              </w:rPr>
              <w:t xml:space="preserve">Vite v Mbuque; Namoyi v Mbuque </w:t>
            </w:r>
            <w:r w:rsidRPr="00843084">
              <w:rPr>
                <w:rFonts w:ascii="Arial" w:hAnsi="Arial" w:cs="Arial"/>
                <w:sz w:val="20"/>
                <w:szCs w:val="20"/>
                <w:lang w:val="en-US"/>
              </w:rPr>
              <w:t xml:space="preserve">1993(4) SA 93 at 94F-95B. </w:t>
            </w:r>
            <w:r w:rsidRPr="00843084">
              <w:rPr>
                <w:rFonts w:ascii="Arial" w:hAnsi="Arial" w:cs="Arial"/>
                <w:sz w:val="20"/>
                <w:szCs w:val="20"/>
              </w:rPr>
              <w:t>One exception to this general rule, founded in my view on the principle that t</w:t>
            </w:r>
            <w:bookmarkStart w:id="0" w:name="_GoBack"/>
            <w:bookmarkEnd w:id="0"/>
            <w:r w:rsidRPr="00843084">
              <w:rPr>
                <w:rFonts w:ascii="Arial" w:hAnsi="Arial" w:cs="Arial"/>
                <w:sz w:val="20"/>
                <w:szCs w:val="20"/>
              </w:rPr>
              <w:t xml:space="preserve">he process of the court should not be abused, is that an </w:t>
            </w:r>
            <w:r w:rsidRPr="00843084">
              <w:rPr>
                <w:rFonts w:ascii="Arial" w:hAnsi="Arial" w:cs="Arial"/>
                <w:i/>
                <w:sz w:val="20"/>
                <w:szCs w:val="20"/>
              </w:rPr>
              <w:t>incola</w:t>
            </w:r>
            <w:r w:rsidRPr="00843084">
              <w:rPr>
                <w:rFonts w:ascii="Arial" w:hAnsi="Arial" w:cs="Arial"/>
                <w:sz w:val="20"/>
                <w:szCs w:val="20"/>
              </w:rPr>
              <w:t xml:space="preserve"> who is a man of straw and litigates in a nominal capacity, or as a front for another may be ordered to furnish security: </w:t>
            </w:r>
            <w:r w:rsidRPr="00843084">
              <w:rPr>
                <w:rFonts w:ascii="Arial" w:hAnsi="Arial" w:cs="Arial"/>
                <w:i/>
                <w:sz w:val="20"/>
                <w:szCs w:val="20"/>
              </w:rPr>
              <w:t>Pillemer v Israelstam Shartin 1911 WLD 156; Vanda v Mbuque,</w:t>
            </w:r>
            <w:r w:rsidRPr="00843084">
              <w:rPr>
                <w:rFonts w:ascii="Arial" w:hAnsi="Arial" w:cs="Arial"/>
                <w:sz w:val="20"/>
                <w:szCs w:val="20"/>
              </w:rPr>
              <w:t xml:space="preserve"> </w:t>
            </w:r>
            <w:r w:rsidRPr="00843084">
              <w:rPr>
                <w:rFonts w:ascii="Arial" w:hAnsi="Arial" w:cs="Arial"/>
                <w:i/>
                <w:sz w:val="20"/>
                <w:szCs w:val="20"/>
              </w:rPr>
              <w:t>supra</w:t>
            </w:r>
            <w:r w:rsidRPr="00843084">
              <w:rPr>
                <w:rFonts w:ascii="Arial" w:hAnsi="Arial" w:cs="Arial"/>
                <w:sz w:val="20"/>
                <w:szCs w:val="20"/>
              </w:rPr>
              <w:t xml:space="preserve"> at 94J-95A, and the </w:t>
            </w:r>
            <w:r w:rsidRPr="00843084">
              <w:rPr>
                <w:rFonts w:ascii="Arial" w:hAnsi="Arial" w:cs="Arial"/>
                <w:i/>
                <w:sz w:val="20"/>
                <w:szCs w:val="20"/>
              </w:rPr>
              <w:t>obiter dictum</w:t>
            </w:r>
            <w:r w:rsidRPr="00843084">
              <w:rPr>
                <w:rFonts w:ascii="Arial" w:hAnsi="Arial" w:cs="Arial"/>
                <w:sz w:val="20"/>
                <w:szCs w:val="20"/>
              </w:rPr>
              <w:t xml:space="preserve"> in </w:t>
            </w:r>
            <w:r w:rsidRPr="00843084">
              <w:rPr>
                <w:rFonts w:ascii="Arial" w:hAnsi="Arial" w:cs="Arial"/>
                <w:i/>
                <w:sz w:val="20"/>
                <w:szCs w:val="20"/>
              </w:rPr>
              <w:t xml:space="preserve">Mears v Brook’s Executor and Mears’s Trustee </w:t>
            </w:r>
            <w:r w:rsidRPr="00843084">
              <w:rPr>
                <w:rFonts w:ascii="Arial" w:hAnsi="Arial" w:cs="Arial"/>
                <w:sz w:val="20"/>
                <w:szCs w:val="20"/>
              </w:rPr>
              <w:t>1906 TS 546 at 550.</w:t>
            </w:r>
          </w:p>
          <w:p w:rsidR="008C1EF6" w:rsidRPr="00843084" w:rsidRDefault="008C1EF6" w:rsidP="008C1EF6">
            <w:pPr>
              <w:spacing w:line="480" w:lineRule="auto"/>
              <w:jc w:val="both"/>
              <w:rPr>
                <w:rFonts w:ascii="Arial" w:hAnsi="Arial" w:cs="Arial"/>
                <w:sz w:val="20"/>
                <w:szCs w:val="20"/>
              </w:rPr>
            </w:pPr>
          </w:p>
          <w:p w:rsidR="008C1EF6" w:rsidRDefault="008C1EF6" w:rsidP="00F41E5C">
            <w:pPr>
              <w:spacing w:line="360" w:lineRule="auto"/>
              <w:ind w:left="1126" w:hanging="567"/>
              <w:jc w:val="both"/>
              <w:rPr>
                <w:rFonts w:ascii="Arial" w:hAnsi="Arial" w:cs="Arial"/>
                <w:sz w:val="20"/>
                <w:szCs w:val="20"/>
              </w:rPr>
            </w:pPr>
            <w:r>
              <w:rPr>
                <w:rFonts w:ascii="Arial" w:hAnsi="Arial" w:cs="Arial"/>
                <w:sz w:val="20"/>
                <w:szCs w:val="20"/>
              </w:rPr>
              <w:t>[24]</w:t>
            </w:r>
            <w:r w:rsidR="00F41E5C">
              <w:rPr>
                <w:rFonts w:ascii="Arial" w:hAnsi="Arial" w:cs="Arial"/>
                <w:sz w:val="20"/>
                <w:szCs w:val="20"/>
              </w:rPr>
              <w:t xml:space="preserve">   </w:t>
            </w:r>
            <w:r w:rsidRPr="00843084">
              <w:rPr>
                <w:rFonts w:ascii="Arial" w:hAnsi="Arial" w:cs="Arial"/>
                <w:sz w:val="20"/>
                <w:szCs w:val="20"/>
              </w:rPr>
              <w:t>I agree with Muller J that the implicated exception creates two discrete categories: while being a man of straw litigating in a nominal capacity, or while being a man of straw being put up as a front for another. Both instances would amount to an abu</w:t>
            </w:r>
            <w:r>
              <w:rPr>
                <w:rFonts w:ascii="Arial" w:hAnsi="Arial" w:cs="Arial"/>
                <w:sz w:val="20"/>
                <w:szCs w:val="20"/>
              </w:rPr>
              <w:t>se of the process of the court.</w:t>
            </w:r>
            <w:r w:rsidRPr="00843084">
              <w:rPr>
                <w:rFonts w:ascii="Arial" w:hAnsi="Arial" w:cs="Arial"/>
                <w:sz w:val="20"/>
                <w:szCs w:val="20"/>
              </w:rPr>
              <w:t xml:space="preserve"> There is, or ought to be, a distinction between being a nomina</w:t>
            </w:r>
            <w:r>
              <w:rPr>
                <w:rFonts w:ascii="Arial" w:hAnsi="Arial" w:cs="Arial"/>
                <w:sz w:val="20"/>
                <w:szCs w:val="20"/>
              </w:rPr>
              <w:t>l plaintiff and being a front.</w:t>
            </w:r>
            <w:r w:rsidRPr="00843084">
              <w:rPr>
                <w:rFonts w:ascii="Arial" w:hAnsi="Arial" w:cs="Arial"/>
                <w:sz w:val="20"/>
                <w:szCs w:val="20"/>
              </w:rPr>
              <w:t xml:space="preserve"> In my view, a nominal plaintiff/applicant is one who, although he might be entitled to maintain the action, has no interest in the subject matter of the cause such as the case was in </w:t>
            </w:r>
            <w:r w:rsidRPr="00843084">
              <w:rPr>
                <w:rFonts w:ascii="Arial" w:hAnsi="Arial" w:cs="Arial"/>
                <w:i/>
                <w:sz w:val="20"/>
                <w:szCs w:val="20"/>
              </w:rPr>
              <w:t>Mears</w:t>
            </w:r>
            <w:r w:rsidRPr="00843084">
              <w:rPr>
                <w:rFonts w:ascii="Arial" w:hAnsi="Arial" w:cs="Arial"/>
                <w:sz w:val="20"/>
                <w:szCs w:val="20"/>
              </w:rPr>
              <w:t xml:space="preserve">’ case, </w:t>
            </w:r>
            <w:r w:rsidRPr="00843084">
              <w:rPr>
                <w:rFonts w:ascii="Arial" w:hAnsi="Arial" w:cs="Arial"/>
                <w:i/>
                <w:sz w:val="20"/>
                <w:szCs w:val="20"/>
              </w:rPr>
              <w:t>supra</w:t>
            </w:r>
            <w:r>
              <w:rPr>
                <w:rFonts w:ascii="Arial" w:hAnsi="Arial" w:cs="Arial"/>
                <w:sz w:val="20"/>
                <w:szCs w:val="20"/>
              </w:rPr>
              <w:t xml:space="preserve"> at 550.</w:t>
            </w:r>
            <w:r w:rsidRPr="00843084">
              <w:rPr>
                <w:rFonts w:ascii="Arial" w:hAnsi="Arial" w:cs="Arial"/>
                <w:sz w:val="20"/>
                <w:szCs w:val="20"/>
              </w:rPr>
              <w:t xml:space="preserve"> A front, on the other hand, is one who is being used to shield another from the adver</w:t>
            </w:r>
            <w:r>
              <w:rPr>
                <w:rFonts w:ascii="Arial" w:hAnsi="Arial" w:cs="Arial"/>
                <w:sz w:val="20"/>
                <w:szCs w:val="20"/>
              </w:rPr>
              <w:t xml:space="preserve">se consequences of litigation. </w:t>
            </w:r>
            <w:r w:rsidRPr="00843084">
              <w:rPr>
                <w:rFonts w:ascii="Arial" w:hAnsi="Arial" w:cs="Arial"/>
                <w:sz w:val="20"/>
                <w:szCs w:val="20"/>
              </w:rPr>
              <w:t>In both respects, the principle underlying the rule is sound and is founded on the public policy consideration that the abuse of the process of the court should be frowned upon: it is not fair to allow a plaintiff with no real interest in the litigation to drag another through litigation while being unable to meet an adverse cos</w:t>
            </w:r>
            <w:r>
              <w:rPr>
                <w:rFonts w:ascii="Arial" w:hAnsi="Arial" w:cs="Arial"/>
                <w:sz w:val="20"/>
                <w:szCs w:val="20"/>
              </w:rPr>
              <w:t>ts order at the end of the day;</w:t>
            </w:r>
            <w:r w:rsidRPr="00843084">
              <w:rPr>
                <w:rFonts w:ascii="Arial" w:hAnsi="Arial" w:cs="Arial"/>
                <w:sz w:val="20"/>
                <w:szCs w:val="20"/>
              </w:rPr>
              <w:t xml:space="preserve"> and it is equally unfair to allow a party who has an interest in the litigation to use a poor man (who also has an interest) and in so doing hedge itself against an advers</w:t>
            </w:r>
            <w:r>
              <w:rPr>
                <w:rFonts w:ascii="Arial" w:hAnsi="Arial" w:cs="Arial"/>
                <w:sz w:val="20"/>
                <w:szCs w:val="20"/>
              </w:rPr>
              <w:t xml:space="preserve">e costs order. </w:t>
            </w:r>
            <w:r w:rsidRPr="00843084">
              <w:rPr>
                <w:rFonts w:ascii="Arial" w:hAnsi="Arial" w:cs="Arial"/>
                <w:sz w:val="20"/>
                <w:szCs w:val="20"/>
              </w:rPr>
              <w:t xml:space="preserve">It needs to be understood very clearly that in the application of the exception, a person is not ordered to pay costs because he or she is poor but because, while being impecunious, he or she is either a nominal plaintiff/applicant or is being used as a front by </w:t>
            </w:r>
            <w:r>
              <w:rPr>
                <w:rFonts w:ascii="Arial" w:hAnsi="Arial" w:cs="Arial"/>
                <w:sz w:val="20"/>
                <w:szCs w:val="20"/>
              </w:rPr>
              <w:t xml:space="preserve">another. </w:t>
            </w:r>
            <w:r w:rsidRPr="00843084">
              <w:rPr>
                <w:rFonts w:ascii="Arial" w:hAnsi="Arial" w:cs="Arial"/>
                <w:sz w:val="20"/>
                <w:szCs w:val="20"/>
              </w:rPr>
              <w:t>Poverty, without more,</w:t>
            </w:r>
            <w:r>
              <w:rPr>
                <w:rFonts w:ascii="Arial" w:hAnsi="Arial" w:cs="Arial"/>
                <w:sz w:val="20"/>
                <w:szCs w:val="20"/>
              </w:rPr>
              <w:t xml:space="preserve"> is no bar to seeking justice.</w:t>
            </w:r>
          </w:p>
          <w:p w:rsidR="008C1EF6" w:rsidRPr="00843084" w:rsidRDefault="008C1EF6" w:rsidP="008C1EF6">
            <w:pPr>
              <w:spacing w:line="360" w:lineRule="auto"/>
              <w:jc w:val="both"/>
              <w:rPr>
                <w:rFonts w:ascii="Arial" w:hAnsi="Arial" w:cs="Arial"/>
                <w:sz w:val="20"/>
                <w:szCs w:val="20"/>
              </w:rPr>
            </w:pPr>
          </w:p>
          <w:p w:rsidR="0014498F" w:rsidRDefault="008C1EF6" w:rsidP="00F41E5C">
            <w:pPr>
              <w:spacing w:line="360" w:lineRule="auto"/>
              <w:ind w:left="1126" w:hanging="567"/>
              <w:jc w:val="both"/>
              <w:rPr>
                <w:rFonts w:ascii="Arial" w:hAnsi="Arial" w:cs="Arial"/>
              </w:rPr>
            </w:pPr>
            <w:r w:rsidRPr="00843084">
              <w:rPr>
                <w:rFonts w:ascii="Arial" w:hAnsi="Arial" w:cs="Arial"/>
                <w:sz w:val="20"/>
                <w:szCs w:val="20"/>
              </w:rPr>
              <w:t>[25]</w:t>
            </w:r>
            <w:r w:rsidR="00F41E5C">
              <w:rPr>
                <w:rFonts w:ascii="Arial" w:hAnsi="Arial" w:cs="Arial"/>
                <w:sz w:val="20"/>
                <w:szCs w:val="20"/>
              </w:rPr>
              <w:t xml:space="preserve">  </w:t>
            </w:r>
            <w:r w:rsidRPr="00843084">
              <w:rPr>
                <w:rFonts w:ascii="Arial" w:hAnsi="Arial" w:cs="Arial"/>
                <w:sz w:val="20"/>
                <w:szCs w:val="20"/>
              </w:rPr>
              <w:t xml:space="preserve">A defendant/respondent who wishes to obtain security for costs on the strength of the </w:t>
            </w:r>
            <w:r w:rsidRPr="00843084">
              <w:rPr>
                <w:rFonts w:ascii="Arial" w:hAnsi="Arial" w:cs="Arial"/>
                <w:sz w:val="20"/>
                <w:szCs w:val="20"/>
              </w:rPr>
              <w:lastRenderedPageBreak/>
              <w:t>implicated exception should, on balance of probability, show that the plaintiff/applicant is poor and is, in addition, a nominal litigan</w:t>
            </w:r>
            <w:r>
              <w:rPr>
                <w:rFonts w:ascii="Arial" w:hAnsi="Arial" w:cs="Arial"/>
                <w:sz w:val="20"/>
                <w:szCs w:val="20"/>
              </w:rPr>
              <w:t xml:space="preserve">t or a front of another party. </w:t>
            </w:r>
            <w:r w:rsidRPr="00843084">
              <w:rPr>
                <w:rFonts w:ascii="Arial" w:hAnsi="Arial" w:cs="Arial"/>
                <w:sz w:val="20"/>
                <w:szCs w:val="20"/>
              </w:rPr>
              <w:t>If the jurisdictional facts are established for the invocation of the exception, the court may order security for the costs of the defendant/respondent upon application therefor.</w:t>
            </w:r>
            <w:r>
              <w:rPr>
                <w:rFonts w:ascii="Arial" w:hAnsi="Arial" w:cs="Arial"/>
                <w:sz w:val="20"/>
                <w:szCs w:val="20"/>
              </w:rPr>
              <w:t>’</w:t>
            </w:r>
          </w:p>
          <w:p w:rsidR="0014498F" w:rsidRDefault="0014498F" w:rsidP="00422CA6">
            <w:pPr>
              <w:spacing w:line="360" w:lineRule="auto"/>
              <w:jc w:val="both"/>
              <w:rPr>
                <w:rFonts w:ascii="Arial" w:hAnsi="Arial" w:cs="Arial"/>
              </w:rPr>
            </w:pPr>
          </w:p>
          <w:p w:rsidR="00AE1B80" w:rsidRDefault="00AE1B80" w:rsidP="00422CA6">
            <w:pPr>
              <w:spacing w:line="360" w:lineRule="auto"/>
              <w:jc w:val="both"/>
              <w:rPr>
                <w:rFonts w:ascii="Arial" w:hAnsi="Arial" w:cs="Arial"/>
              </w:rPr>
            </w:pPr>
            <w:r>
              <w:rPr>
                <w:rFonts w:ascii="Arial" w:hAnsi="Arial" w:cs="Arial"/>
              </w:rPr>
              <w:t xml:space="preserve">[13]  </w:t>
            </w:r>
            <w:r w:rsidR="00843A30" w:rsidRPr="00843A30">
              <w:rPr>
                <w:rFonts w:ascii="Arial" w:hAnsi="Arial" w:cs="Arial"/>
              </w:rPr>
              <w:t>The</w:t>
            </w:r>
            <w:r w:rsidR="00843A30">
              <w:rPr>
                <w:rFonts w:ascii="Arial" w:hAnsi="Arial" w:cs="Arial"/>
                <w:sz w:val="24"/>
                <w:szCs w:val="24"/>
              </w:rPr>
              <w:t xml:space="preserve"> </w:t>
            </w:r>
            <w:r w:rsidR="00843A30" w:rsidRPr="00843A30">
              <w:rPr>
                <w:rFonts w:ascii="Arial" w:hAnsi="Arial" w:cs="Arial"/>
              </w:rPr>
              <w:t>main matter arises from a written Owner-Driver Distribution Agreement that was entered into between the plaintiff, represented by Nentele Filipus Twelimangulula and the defendant, represented by Viian Govender, in Windhoek, Republic of Namibia. In terms of that agreement, the plaintiff would render cartage services for the defendant to and from the defendant’s customers. The plaintiff approached the court because, according to him, the defendant invalidly and without cause terminated that agreement, resulting in the plaintiff falling on hard times financially, while the defendant is saying that the agreement was duly cancelled by following due process as a result of the dishonesty of the plaintiff and its representative.</w:t>
            </w:r>
          </w:p>
          <w:p w:rsidR="00AE1B80" w:rsidRDefault="00AE1B80" w:rsidP="00422CA6">
            <w:pPr>
              <w:spacing w:line="360" w:lineRule="auto"/>
              <w:jc w:val="both"/>
              <w:rPr>
                <w:rFonts w:ascii="Arial" w:hAnsi="Arial" w:cs="Arial"/>
              </w:rPr>
            </w:pPr>
          </w:p>
          <w:p w:rsidR="00AE1B80" w:rsidRDefault="00AE1B80" w:rsidP="00422CA6">
            <w:pPr>
              <w:spacing w:line="360" w:lineRule="auto"/>
              <w:jc w:val="both"/>
              <w:rPr>
                <w:rFonts w:ascii="Arial" w:hAnsi="Arial" w:cs="Arial"/>
              </w:rPr>
            </w:pPr>
            <w:r>
              <w:rPr>
                <w:rFonts w:ascii="Arial" w:hAnsi="Arial" w:cs="Arial"/>
              </w:rPr>
              <w:t xml:space="preserve">[14]  </w:t>
            </w:r>
            <w:r w:rsidR="00843A30" w:rsidRPr="00843A30">
              <w:rPr>
                <w:rFonts w:ascii="Arial" w:hAnsi="Arial" w:cs="Arial"/>
              </w:rPr>
              <w:t>In the present matter, it is apparent from the papers filed that the parties are in agreement that the plaintiff is not in a good financial position to furnish security for costs. The defendant showed on a balance of probability that the plaintiff is poor but failed to show in addition, on a balance of probability, that the plaintiff is a nominal litigant or a front for another party. The plaintiff has shown that it is entitled to maintain the action and that it has real interest in the subject matter of the cause, and therefore it cannot be said that its conduct amounts to abuse of the process of the court nor can it be said that the claim is frivolous</w:t>
            </w:r>
            <w:r w:rsidRPr="00843A30">
              <w:rPr>
                <w:rFonts w:ascii="Arial" w:hAnsi="Arial" w:cs="Arial"/>
              </w:rPr>
              <w:t>.</w:t>
            </w:r>
          </w:p>
          <w:p w:rsidR="00AE1B80" w:rsidRPr="00DF6EA5" w:rsidRDefault="00AE1B80" w:rsidP="00422CA6">
            <w:pPr>
              <w:spacing w:line="360" w:lineRule="auto"/>
              <w:jc w:val="both"/>
              <w:rPr>
                <w:rFonts w:ascii="Arial" w:hAnsi="Arial" w:cs="Arial"/>
              </w:rPr>
            </w:pPr>
          </w:p>
          <w:p w:rsidR="00AE1B80" w:rsidRPr="00DF6EA5" w:rsidRDefault="00AE1B80" w:rsidP="00422CA6">
            <w:pPr>
              <w:spacing w:line="360" w:lineRule="auto"/>
              <w:jc w:val="both"/>
              <w:rPr>
                <w:rFonts w:ascii="Arial" w:hAnsi="Arial" w:cs="Arial"/>
              </w:rPr>
            </w:pPr>
            <w:r w:rsidRPr="00DF6EA5">
              <w:rPr>
                <w:rFonts w:ascii="Arial" w:hAnsi="Arial" w:cs="Arial"/>
              </w:rPr>
              <w:t xml:space="preserve">[15]  </w:t>
            </w:r>
            <w:r w:rsidR="00DF6EA5" w:rsidRPr="00DF6EA5">
              <w:rPr>
                <w:rFonts w:ascii="Arial" w:hAnsi="Arial" w:cs="Arial"/>
              </w:rPr>
              <w:t>Our courts will be slow to close the doors of the court to a plaintiff who, although poor, needs to pursue a claim which may be meritorious. To do so may well result in an injustice in itself</w:t>
            </w:r>
            <w:r w:rsidRPr="00DF6EA5">
              <w:rPr>
                <w:rFonts w:ascii="Arial" w:hAnsi="Arial" w:cs="Arial"/>
              </w:rPr>
              <w:t>.</w:t>
            </w:r>
          </w:p>
          <w:p w:rsidR="00FE0CF9" w:rsidRPr="00DF6EA5" w:rsidRDefault="00FE0CF9" w:rsidP="00422CA6">
            <w:pPr>
              <w:spacing w:line="360" w:lineRule="auto"/>
              <w:jc w:val="both"/>
              <w:rPr>
                <w:rFonts w:ascii="Arial" w:hAnsi="Arial" w:cs="Arial"/>
              </w:rPr>
            </w:pPr>
          </w:p>
          <w:p w:rsidR="00FE0CF9" w:rsidRDefault="00FE0CF9" w:rsidP="00422CA6">
            <w:pPr>
              <w:spacing w:line="360" w:lineRule="auto"/>
              <w:jc w:val="both"/>
              <w:rPr>
                <w:rFonts w:ascii="Arial" w:hAnsi="Arial" w:cs="Arial"/>
              </w:rPr>
            </w:pPr>
            <w:r w:rsidRPr="00DF6EA5">
              <w:rPr>
                <w:rFonts w:ascii="Arial" w:hAnsi="Arial" w:cs="Arial"/>
              </w:rPr>
              <w:t xml:space="preserve">[16]  </w:t>
            </w:r>
            <w:r w:rsidR="00DF6EA5" w:rsidRPr="00DF6EA5">
              <w:rPr>
                <w:rFonts w:ascii="Arial" w:hAnsi="Arial" w:cs="Arial"/>
              </w:rPr>
              <w:t>In the exercise of the discretion I have, I am inclined not to grant the relief being sought</w:t>
            </w:r>
            <w:r w:rsidRPr="00DF6EA5">
              <w:rPr>
                <w:rFonts w:ascii="Arial" w:hAnsi="Arial" w:cs="Arial"/>
              </w:rPr>
              <w:t>.</w:t>
            </w:r>
          </w:p>
          <w:p w:rsidR="00DF6EA5" w:rsidRPr="00DF6EA5" w:rsidRDefault="00DF6EA5" w:rsidP="00422CA6">
            <w:pPr>
              <w:spacing w:line="360" w:lineRule="auto"/>
              <w:jc w:val="both"/>
              <w:rPr>
                <w:rFonts w:ascii="Arial" w:hAnsi="Arial" w:cs="Arial"/>
              </w:rPr>
            </w:pPr>
          </w:p>
          <w:p w:rsidR="00DF6EA5" w:rsidRPr="00DF6EA5" w:rsidRDefault="00DF6EA5" w:rsidP="00422CA6">
            <w:pPr>
              <w:spacing w:line="360" w:lineRule="auto"/>
              <w:jc w:val="both"/>
              <w:rPr>
                <w:rFonts w:ascii="Arial" w:hAnsi="Arial" w:cs="Arial"/>
              </w:rPr>
            </w:pPr>
            <w:r w:rsidRPr="00DF6EA5">
              <w:rPr>
                <w:rFonts w:ascii="Arial" w:hAnsi="Arial" w:cs="Arial"/>
              </w:rPr>
              <w:t>[17]  The application is dismissed with cos</w:t>
            </w:r>
            <w:r>
              <w:rPr>
                <w:rFonts w:ascii="Arial" w:hAnsi="Arial" w:cs="Arial"/>
              </w:rPr>
              <w:t>ts, limited to the amount of N$</w:t>
            </w:r>
            <w:r w:rsidRPr="00DF6EA5">
              <w:rPr>
                <w:rFonts w:ascii="Arial" w:hAnsi="Arial" w:cs="Arial"/>
              </w:rPr>
              <w:t>20</w:t>
            </w:r>
            <w:r>
              <w:rPr>
                <w:rFonts w:ascii="Arial" w:hAnsi="Arial" w:cs="Arial"/>
              </w:rPr>
              <w:t xml:space="preserve"> </w:t>
            </w:r>
            <w:r w:rsidRPr="00DF6EA5">
              <w:rPr>
                <w:rFonts w:ascii="Arial" w:hAnsi="Arial" w:cs="Arial"/>
              </w:rPr>
              <w:t>000</w:t>
            </w:r>
            <w:r>
              <w:rPr>
                <w:rFonts w:ascii="Arial" w:hAnsi="Arial" w:cs="Arial"/>
              </w:rPr>
              <w:t>.</w:t>
            </w:r>
          </w:p>
          <w:p w:rsidR="00711F52" w:rsidRPr="002E5933" w:rsidRDefault="00711F52" w:rsidP="00422CA6">
            <w:pPr>
              <w:spacing w:line="360" w:lineRule="auto"/>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B23661">
        <w:trPr>
          <w:trHeight w:val="914"/>
        </w:trPr>
        <w:tc>
          <w:tcPr>
            <w:tcW w:w="4770" w:type="dxa"/>
          </w:tcPr>
          <w:p w:rsidR="00BE5489" w:rsidRPr="006E49A3" w:rsidRDefault="00BE5489"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r w:rsidR="00A66F65">
              <w:rPr>
                <w:rFonts w:ascii="Arial" w:hAnsi="Arial" w:cs="Arial"/>
                <w:b/>
              </w:rPr>
              <w:t>/Defendant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r w:rsidR="00A66F65">
              <w:rPr>
                <w:rFonts w:ascii="Arial" w:hAnsi="Arial" w:cs="Arial"/>
                <w:b/>
              </w:rPr>
              <w:t>/Plaintiff</w:t>
            </w:r>
          </w:p>
        </w:tc>
      </w:tr>
      <w:tr w:rsidR="00A23F8A" w:rsidRPr="006E49A3" w:rsidTr="00FD38C2">
        <w:tc>
          <w:tcPr>
            <w:tcW w:w="4770" w:type="dxa"/>
          </w:tcPr>
          <w:p w:rsidR="008E6759" w:rsidRPr="006E49A3" w:rsidRDefault="00265783" w:rsidP="008E6759">
            <w:pPr>
              <w:spacing w:line="360" w:lineRule="auto"/>
              <w:jc w:val="center"/>
              <w:rPr>
                <w:rFonts w:ascii="Arial" w:hAnsi="Arial" w:cs="Arial"/>
              </w:rPr>
            </w:pPr>
            <w:r>
              <w:rPr>
                <w:rFonts w:ascii="Arial" w:hAnsi="Arial" w:cs="Arial"/>
              </w:rPr>
              <w:t>H Garbers-Kirsten</w:t>
            </w:r>
          </w:p>
          <w:p w:rsidR="008E6759" w:rsidRPr="006E49A3" w:rsidRDefault="008E6759" w:rsidP="008E6759">
            <w:pPr>
              <w:spacing w:line="360" w:lineRule="auto"/>
              <w:jc w:val="center"/>
              <w:rPr>
                <w:rFonts w:ascii="Arial" w:hAnsi="Arial" w:cs="Arial"/>
                <w:i/>
              </w:rPr>
            </w:pPr>
            <w:r>
              <w:rPr>
                <w:rFonts w:ascii="Arial" w:hAnsi="Arial" w:cs="Arial"/>
                <w:i/>
              </w:rPr>
              <w:t>instructed by</w:t>
            </w:r>
          </w:p>
          <w:p w:rsidR="009F24FA" w:rsidRDefault="00A66F65" w:rsidP="008E6759">
            <w:pPr>
              <w:spacing w:line="360" w:lineRule="auto"/>
              <w:jc w:val="center"/>
              <w:rPr>
                <w:rFonts w:ascii="Arial" w:hAnsi="Arial" w:cs="Arial"/>
              </w:rPr>
            </w:pPr>
            <w:r>
              <w:rPr>
                <w:rFonts w:ascii="Arial" w:hAnsi="Arial" w:cs="Arial"/>
              </w:rPr>
              <w:t>Koep &amp; Partners</w:t>
            </w:r>
            <w:r w:rsidR="008E6759" w:rsidRPr="006E49A3">
              <w:rPr>
                <w:rFonts w:ascii="Arial" w:hAnsi="Arial" w:cs="Arial"/>
              </w:rPr>
              <w:t>, Windhoek</w:t>
            </w:r>
          </w:p>
          <w:p w:rsidR="008E6759" w:rsidRPr="006E49A3" w:rsidRDefault="008E6759" w:rsidP="008E6759">
            <w:pPr>
              <w:spacing w:line="360" w:lineRule="auto"/>
              <w:jc w:val="center"/>
              <w:rPr>
                <w:rFonts w:ascii="Arial" w:hAnsi="Arial" w:cs="Arial"/>
              </w:rPr>
            </w:pPr>
          </w:p>
        </w:tc>
        <w:tc>
          <w:tcPr>
            <w:tcW w:w="4950" w:type="dxa"/>
            <w:gridSpan w:val="2"/>
          </w:tcPr>
          <w:p w:rsidR="00A66F65" w:rsidRDefault="00DF6EA5" w:rsidP="00A66F65">
            <w:pPr>
              <w:spacing w:line="360" w:lineRule="auto"/>
              <w:jc w:val="center"/>
              <w:rPr>
                <w:rFonts w:ascii="Arial" w:hAnsi="Arial" w:cs="Arial"/>
              </w:rPr>
            </w:pPr>
            <w:r>
              <w:rPr>
                <w:rFonts w:ascii="Arial" w:hAnsi="Arial" w:cs="Arial"/>
              </w:rPr>
              <w:t xml:space="preserve">R </w:t>
            </w:r>
            <w:r w:rsidR="00A66F65">
              <w:rPr>
                <w:rFonts w:ascii="Arial" w:hAnsi="Arial" w:cs="Arial"/>
              </w:rPr>
              <w:t>Silungwe</w:t>
            </w:r>
          </w:p>
          <w:p w:rsidR="00265783" w:rsidRPr="006E49A3" w:rsidRDefault="00265783" w:rsidP="00265783">
            <w:pPr>
              <w:spacing w:line="360" w:lineRule="auto"/>
              <w:jc w:val="center"/>
              <w:rPr>
                <w:rFonts w:ascii="Arial" w:hAnsi="Arial" w:cs="Arial"/>
                <w:i/>
              </w:rPr>
            </w:pPr>
            <w:r>
              <w:rPr>
                <w:rFonts w:ascii="Arial" w:hAnsi="Arial" w:cs="Arial"/>
                <w:i/>
              </w:rPr>
              <w:t>of</w:t>
            </w:r>
          </w:p>
          <w:p w:rsidR="00265783" w:rsidRDefault="00A66F65" w:rsidP="00265783">
            <w:pPr>
              <w:spacing w:line="360" w:lineRule="auto"/>
              <w:jc w:val="center"/>
              <w:rPr>
                <w:rFonts w:ascii="Arial" w:hAnsi="Arial" w:cs="Arial"/>
              </w:rPr>
            </w:pPr>
            <w:r>
              <w:rPr>
                <w:rFonts w:ascii="Arial" w:hAnsi="Arial" w:cs="Arial"/>
              </w:rPr>
              <w:t>Silungwe</w:t>
            </w:r>
            <w:r w:rsidR="00265783">
              <w:rPr>
                <w:rFonts w:ascii="Arial" w:hAnsi="Arial" w:cs="Arial"/>
              </w:rPr>
              <w:t xml:space="preserve"> </w:t>
            </w:r>
            <w:r w:rsidR="00DF6EA5">
              <w:rPr>
                <w:rFonts w:ascii="Arial" w:hAnsi="Arial" w:cs="Arial"/>
              </w:rPr>
              <w:t>Legal</w:t>
            </w:r>
            <w:r w:rsidR="00265783">
              <w:rPr>
                <w:rFonts w:ascii="Arial" w:hAnsi="Arial" w:cs="Arial"/>
              </w:rPr>
              <w:t xml:space="preserve"> </w:t>
            </w:r>
            <w:r w:rsidR="00DF6EA5">
              <w:rPr>
                <w:rFonts w:ascii="Arial" w:hAnsi="Arial" w:cs="Arial"/>
              </w:rPr>
              <w:t>Practitioners</w:t>
            </w:r>
            <w:r w:rsidR="00265783" w:rsidRPr="006E49A3">
              <w:rPr>
                <w:rFonts w:ascii="Arial" w:hAnsi="Arial" w:cs="Arial"/>
              </w:rPr>
              <w:t>, Windhoek</w:t>
            </w:r>
          </w:p>
          <w:p w:rsidR="006E49A3" w:rsidRPr="006E49A3" w:rsidRDefault="006E49A3" w:rsidP="006E49A3">
            <w:pPr>
              <w:spacing w:line="360" w:lineRule="auto"/>
              <w:jc w:val="center"/>
              <w:rPr>
                <w:rFonts w:ascii="Arial" w:hAnsi="Arial" w:cs="Arial"/>
              </w:rPr>
            </w:pPr>
          </w:p>
        </w:tc>
      </w:tr>
    </w:tbl>
    <w:p w:rsidR="009B096F" w:rsidRPr="00B23661" w:rsidRDefault="009B096F" w:rsidP="00B23661">
      <w:pPr>
        <w:spacing w:after="0" w:line="360" w:lineRule="auto"/>
        <w:jc w:val="both"/>
        <w:rPr>
          <w:rFonts w:ascii="Arial" w:hAnsi="Arial" w:cs="Arial"/>
          <w:sz w:val="4"/>
          <w:szCs w:val="4"/>
        </w:rPr>
      </w:pPr>
    </w:p>
    <w:sectPr w:rsidR="009B096F" w:rsidRPr="00B23661"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84" w:rsidRDefault="00BB6784" w:rsidP="00A23F8A">
      <w:pPr>
        <w:spacing w:after="0" w:line="240" w:lineRule="auto"/>
      </w:pPr>
      <w:r>
        <w:separator/>
      </w:r>
    </w:p>
  </w:endnote>
  <w:endnote w:type="continuationSeparator" w:id="0">
    <w:p w:rsidR="00BB6784" w:rsidRDefault="00BB6784"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6C5AF5">
        <w:pPr>
          <w:pStyle w:val="Footer"/>
          <w:jc w:val="right"/>
        </w:pPr>
        <w:r w:rsidRPr="00A23F8A">
          <w:rPr>
            <w:rFonts w:ascii="Arial Narrow" w:hAnsi="Arial Narrow"/>
            <w:sz w:val="18"/>
            <w:szCs w:val="18"/>
          </w:rPr>
          <w:fldChar w:fldCharType="begin"/>
        </w:r>
        <w:r w:rsidR="00A23F8A"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5752A8">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84" w:rsidRDefault="00BB6784" w:rsidP="00A23F8A">
      <w:pPr>
        <w:spacing w:after="0" w:line="240" w:lineRule="auto"/>
      </w:pPr>
      <w:r>
        <w:separator/>
      </w:r>
    </w:p>
  </w:footnote>
  <w:footnote w:type="continuationSeparator" w:id="0">
    <w:p w:rsidR="00BB6784" w:rsidRDefault="00BB6784" w:rsidP="00A23F8A">
      <w:pPr>
        <w:spacing w:after="0" w:line="240" w:lineRule="auto"/>
      </w:pPr>
      <w:r>
        <w:continuationSeparator/>
      </w:r>
    </w:p>
  </w:footnote>
  <w:footnote w:id="1">
    <w:p w:rsidR="002E5933" w:rsidRPr="003D11A7" w:rsidRDefault="002E5933" w:rsidP="002E5933">
      <w:pPr>
        <w:pStyle w:val="FootnoteText"/>
        <w:rPr>
          <w:rFonts w:ascii="Arial" w:hAnsi="Arial" w:cs="Arial"/>
          <w:sz w:val="18"/>
          <w:szCs w:val="18"/>
          <w:lang w:val="en-US"/>
        </w:rPr>
      </w:pPr>
      <w:r w:rsidRPr="003D11A7">
        <w:rPr>
          <w:rStyle w:val="FootnoteReference"/>
          <w:rFonts w:ascii="Arial" w:hAnsi="Arial" w:cs="Arial"/>
          <w:sz w:val="18"/>
          <w:szCs w:val="18"/>
        </w:rPr>
        <w:footnoteRef/>
      </w:r>
      <w:r w:rsidRPr="003D11A7">
        <w:rPr>
          <w:rFonts w:ascii="Arial" w:hAnsi="Arial" w:cs="Arial"/>
          <w:sz w:val="18"/>
          <w:szCs w:val="18"/>
        </w:rPr>
        <w:t xml:space="preserve"> </w:t>
      </w:r>
      <w:r w:rsidR="00B23661">
        <w:rPr>
          <w:rFonts w:ascii="Arial" w:hAnsi="Arial" w:cs="Arial"/>
          <w:sz w:val="18"/>
          <w:szCs w:val="18"/>
          <w:lang w:val="en-US"/>
        </w:rPr>
        <w:t>Para</w:t>
      </w:r>
      <w:r w:rsidRPr="003D11A7">
        <w:rPr>
          <w:rFonts w:ascii="Arial" w:hAnsi="Arial" w:cs="Arial"/>
          <w:sz w:val="18"/>
          <w:szCs w:val="18"/>
          <w:lang w:val="en-US"/>
        </w:rPr>
        <w:t xml:space="preserve"> 6 of the Defendant’s Founding Affidavit</w:t>
      </w:r>
      <w:r w:rsidR="003D11A7">
        <w:rPr>
          <w:rFonts w:ascii="Arial" w:hAnsi="Arial" w:cs="Arial"/>
          <w:sz w:val="18"/>
          <w:szCs w:val="18"/>
          <w:lang w:val="en-US"/>
        </w:rPr>
        <w:t>.</w:t>
      </w:r>
    </w:p>
  </w:footnote>
  <w:footnote w:id="2">
    <w:p w:rsidR="00650BB1" w:rsidRPr="00FB039F" w:rsidRDefault="00650BB1" w:rsidP="00650BB1">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20 of the Defendant’s Founding Affidavit</w:t>
      </w:r>
      <w:r w:rsidR="00AE1B80" w:rsidRPr="00FB039F">
        <w:rPr>
          <w:rFonts w:ascii="Arial" w:hAnsi="Arial" w:cs="Arial"/>
          <w:sz w:val="18"/>
          <w:szCs w:val="18"/>
          <w:lang w:val="en-US"/>
        </w:rPr>
        <w:t>.</w:t>
      </w:r>
    </w:p>
  </w:footnote>
  <w:footnote w:id="3">
    <w:p w:rsidR="00650BB1" w:rsidRPr="00FB039F" w:rsidRDefault="00650BB1" w:rsidP="00650BB1">
      <w:pPr>
        <w:pStyle w:val="FootnoteText"/>
        <w:rPr>
          <w:rFonts w:ascii="Arial" w:hAnsi="Arial" w:cs="Arial"/>
          <w:sz w:val="18"/>
          <w:szCs w:val="18"/>
          <w:lang w:val="en-US"/>
        </w:rPr>
      </w:pPr>
      <w:r w:rsidRPr="00FB039F">
        <w:rPr>
          <w:rStyle w:val="FootnoteReference"/>
          <w:rFonts w:ascii="Arial" w:hAnsi="Arial" w:cs="Arial"/>
          <w:sz w:val="18"/>
          <w:szCs w:val="18"/>
        </w:rPr>
        <w:footnoteRef/>
      </w:r>
      <w:r w:rsidR="00B23661">
        <w:rPr>
          <w:rFonts w:ascii="Arial" w:hAnsi="Arial" w:cs="Arial"/>
          <w:sz w:val="18"/>
          <w:szCs w:val="18"/>
        </w:rPr>
        <w:t xml:space="preserve"> Para</w:t>
      </w:r>
      <w:r w:rsidRPr="00FB039F">
        <w:rPr>
          <w:rFonts w:ascii="Arial" w:hAnsi="Arial" w:cs="Arial"/>
          <w:sz w:val="18"/>
          <w:szCs w:val="18"/>
        </w:rPr>
        <w:t xml:space="preserve"> 21 of the </w:t>
      </w:r>
      <w:r w:rsidRPr="00FB039F">
        <w:rPr>
          <w:rFonts w:ascii="Arial" w:hAnsi="Arial" w:cs="Arial"/>
          <w:sz w:val="18"/>
          <w:szCs w:val="18"/>
          <w:lang w:val="en-US"/>
        </w:rPr>
        <w:t>Defendant’s Founding Affidavit</w:t>
      </w:r>
      <w:r w:rsidR="00AE1B80" w:rsidRPr="00FB039F">
        <w:rPr>
          <w:rFonts w:ascii="Arial" w:hAnsi="Arial" w:cs="Arial"/>
          <w:sz w:val="18"/>
          <w:szCs w:val="18"/>
          <w:lang w:val="en-US"/>
        </w:rPr>
        <w:t>.</w:t>
      </w:r>
    </w:p>
  </w:footnote>
  <w:footnote w:id="4">
    <w:p w:rsidR="00AE1B80" w:rsidRPr="00FB039F" w:rsidRDefault="00AE1B80" w:rsidP="00AE1B80">
      <w:pPr>
        <w:pStyle w:val="FootnoteText"/>
        <w:rPr>
          <w:rFonts w:ascii="Arial" w:hAnsi="Arial" w:cs="Arial"/>
          <w:sz w:val="18"/>
          <w:szCs w:val="18"/>
          <w:lang w:val="en-US"/>
        </w:rPr>
      </w:pPr>
      <w:r w:rsidRPr="00FB039F">
        <w:rPr>
          <w:rStyle w:val="FootnoteReference"/>
          <w:rFonts w:ascii="Arial" w:hAnsi="Arial" w:cs="Arial"/>
          <w:sz w:val="18"/>
          <w:szCs w:val="18"/>
        </w:rPr>
        <w:footnoteRef/>
      </w:r>
      <w:r w:rsidR="00B23661">
        <w:rPr>
          <w:rFonts w:ascii="Arial" w:hAnsi="Arial" w:cs="Arial"/>
          <w:sz w:val="18"/>
          <w:szCs w:val="18"/>
        </w:rPr>
        <w:t xml:space="preserve"> Para</w:t>
      </w:r>
      <w:r w:rsidRPr="00FB039F">
        <w:rPr>
          <w:rFonts w:ascii="Arial" w:hAnsi="Arial" w:cs="Arial"/>
          <w:sz w:val="18"/>
          <w:szCs w:val="18"/>
        </w:rPr>
        <w:t xml:space="preserve"> 8.6 of the </w:t>
      </w:r>
      <w:r w:rsidRPr="00FB039F">
        <w:rPr>
          <w:rFonts w:ascii="Arial" w:hAnsi="Arial" w:cs="Arial"/>
          <w:sz w:val="18"/>
          <w:szCs w:val="18"/>
          <w:lang w:val="en-US"/>
        </w:rPr>
        <w:t>Plaintiff’s Answering/Opposing Affidavit.</w:t>
      </w:r>
    </w:p>
  </w:footnote>
  <w:footnote w:id="5">
    <w:p w:rsidR="00AE1B80" w:rsidRPr="00FB039F" w:rsidRDefault="00AE1B80" w:rsidP="00AE1B80">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8.7 of the Plaintiff’s Answering/Opposing Affidavit</w:t>
      </w:r>
      <w:r w:rsidR="0014498F">
        <w:rPr>
          <w:rFonts w:ascii="Arial" w:hAnsi="Arial" w:cs="Arial"/>
          <w:sz w:val="18"/>
          <w:szCs w:val="18"/>
          <w:lang w:val="en-US"/>
        </w:rPr>
        <w:t>.</w:t>
      </w:r>
    </w:p>
  </w:footnote>
  <w:footnote w:id="6">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15.1 of the Defendant’s Replying Affidavit</w:t>
      </w:r>
      <w:r w:rsidR="0014498F">
        <w:rPr>
          <w:rFonts w:ascii="Arial" w:hAnsi="Arial" w:cs="Arial"/>
          <w:sz w:val="18"/>
          <w:szCs w:val="18"/>
          <w:lang w:val="en-US"/>
        </w:rPr>
        <w:t>.</w:t>
      </w:r>
    </w:p>
  </w:footnote>
  <w:footnote w:id="7">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15.3 and 15.4 of the Defendant’s Replying Affidavit</w:t>
      </w:r>
      <w:r w:rsidR="0014498F">
        <w:rPr>
          <w:rFonts w:ascii="Arial" w:hAnsi="Arial" w:cs="Arial"/>
          <w:sz w:val="18"/>
          <w:szCs w:val="18"/>
          <w:lang w:val="en-US"/>
        </w:rPr>
        <w:t>.</w:t>
      </w:r>
    </w:p>
  </w:footnote>
  <w:footnote w:id="8">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15.5 of the Defendant’s Replying Affidavit</w:t>
      </w:r>
      <w:r w:rsidR="0014498F">
        <w:rPr>
          <w:rFonts w:ascii="Arial" w:hAnsi="Arial" w:cs="Arial"/>
          <w:sz w:val="18"/>
          <w:szCs w:val="18"/>
          <w:lang w:val="en-US"/>
        </w:rPr>
        <w:t>.</w:t>
      </w:r>
    </w:p>
  </w:footnote>
  <w:footnote w:id="9">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14.4 of the Defendant’s Replying Affidavit</w:t>
      </w:r>
      <w:r w:rsidR="0014498F">
        <w:rPr>
          <w:rFonts w:ascii="Arial" w:hAnsi="Arial" w:cs="Arial"/>
          <w:sz w:val="18"/>
          <w:szCs w:val="18"/>
          <w:lang w:val="en-US"/>
        </w:rPr>
        <w:t>.</w:t>
      </w:r>
    </w:p>
  </w:footnote>
  <w:footnote w:id="10">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14.3 of the Defendant’s Replying Affidavit</w:t>
      </w:r>
      <w:r w:rsidR="00F41E5C">
        <w:rPr>
          <w:rFonts w:ascii="Arial" w:hAnsi="Arial" w:cs="Arial"/>
          <w:sz w:val="18"/>
          <w:szCs w:val="18"/>
          <w:lang w:val="en-US"/>
        </w:rPr>
        <w:t>.</w:t>
      </w:r>
    </w:p>
  </w:footnote>
  <w:footnote w:id="11">
    <w:p w:rsidR="00FB039F" w:rsidRPr="00FB039F" w:rsidRDefault="00FB039F" w:rsidP="00FB039F">
      <w:pPr>
        <w:pStyle w:val="FootnoteText"/>
        <w:rPr>
          <w:rFonts w:ascii="Arial" w:hAnsi="Arial" w:cs="Arial"/>
          <w:sz w:val="18"/>
          <w:szCs w:val="18"/>
          <w:lang w:val="en-US"/>
        </w:rPr>
      </w:pPr>
      <w:r w:rsidRPr="00FB039F">
        <w:rPr>
          <w:rStyle w:val="FootnoteReference"/>
          <w:rFonts w:ascii="Arial" w:hAnsi="Arial" w:cs="Arial"/>
          <w:sz w:val="18"/>
          <w:szCs w:val="18"/>
        </w:rPr>
        <w:footnoteRef/>
      </w:r>
      <w:r w:rsidRPr="00FB039F">
        <w:rPr>
          <w:rFonts w:ascii="Arial" w:hAnsi="Arial" w:cs="Arial"/>
          <w:sz w:val="18"/>
          <w:szCs w:val="18"/>
        </w:rPr>
        <w:t xml:space="preserve"> </w:t>
      </w:r>
      <w:r w:rsidR="00B23661">
        <w:rPr>
          <w:rFonts w:ascii="Arial" w:hAnsi="Arial" w:cs="Arial"/>
          <w:sz w:val="18"/>
          <w:szCs w:val="18"/>
          <w:lang w:val="en-US"/>
        </w:rPr>
        <w:t>Para</w:t>
      </w:r>
      <w:r w:rsidRPr="00FB039F">
        <w:rPr>
          <w:rFonts w:ascii="Arial" w:hAnsi="Arial" w:cs="Arial"/>
          <w:sz w:val="18"/>
          <w:szCs w:val="18"/>
          <w:lang w:val="en-US"/>
        </w:rPr>
        <w:t xml:space="preserve"> 15.8 of the Defendant’s Replying Affidavit</w:t>
      </w:r>
      <w:r w:rsidR="00F41E5C">
        <w:rPr>
          <w:rFonts w:ascii="Arial" w:hAnsi="Arial" w:cs="Arial"/>
          <w:sz w:val="18"/>
          <w:szCs w:val="18"/>
          <w:lang w:val="en-US"/>
        </w:rPr>
        <w:t>.</w:t>
      </w:r>
    </w:p>
  </w:footnote>
  <w:footnote w:id="12">
    <w:p w:rsidR="0014498F" w:rsidRPr="00B23661" w:rsidRDefault="0014498F" w:rsidP="00B23661">
      <w:pPr>
        <w:pStyle w:val="FootnoteText"/>
        <w:jc w:val="both"/>
        <w:rPr>
          <w:rFonts w:ascii="Arial" w:hAnsi="Arial" w:cs="Arial"/>
          <w:sz w:val="18"/>
          <w:szCs w:val="18"/>
          <w:lang w:val="en-US"/>
        </w:rPr>
      </w:pPr>
      <w:r w:rsidRPr="00B23661">
        <w:rPr>
          <w:rStyle w:val="FootnoteReference"/>
          <w:rFonts w:ascii="Arial" w:hAnsi="Arial" w:cs="Arial"/>
          <w:sz w:val="18"/>
          <w:szCs w:val="18"/>
        </w:rPr>
        <w:footnoteRef/>
      </w:r>
      <w:r w:rsidRPr="00B23661">
        <w:rPr>
          <w:rFonts w:ascii="Arial" w:hAnsi="Arial" w:cs="Arial"/>
          <w:sz w:val="18"/>
          <w:szCs w:val="18"/>
        </w:rPr>
        <w:t xml:space="preserve"> </w:t>
      </w:r>
      <w:r w:rsidRPr="00B23661">
        <w:rPr>
          <w:rFonts w:ascii="Arial" w:hAnsi="Arial" w:cs="Arial"/>
          <w:i/>
          <w:sz w:val="18"/>
          <w:szCs w:val="18"/>
        </w:rPr>
        <w:t xml:space="preserve">Hepute and Others v Minister of Mines and Energy and Another </w:t>
      </w:r>
      <w:r w:rsidRPr="00B23661">
        <w:rPr>
          <w:rFonts w:ascii="Arial" w:hAnsi="Arial" w:cs="Arial"/>
          <w:sz w:val="18"/>
          <w:szCs w:val="18"/>
        </w:rPr>
        <w:t>2008</w:t>
      </w:r>
      <w:r w:rsidRPr="00B23661">
        <w:rPr>
          <w:rFonts w:ascii="Arial" w:hAnsi="Arial" w:cs="Arial"/>
          <w:i/>
          <w:sz w:val="18"/>
          <w:szCs w:val="18"/>
        </w:rPr>
        <w:t xml:space="preserve"> </w:t>
      </w:r>
      <w:r w:rsidRPr="00B23661">
        <w:rPr>
          <w:rFonts w:ascii="Arial" w:hAnsi="Arial" w:cs="Arial"/>
          <w:sz w:val="18"/>
          <w:szCs w:val="18"/>
        </w:rPr>
        <w:t>(2) NR 399 (SC) at 409-10</w:t>
      </w:r>
      <w:r w:rsidRPr="00B23661">
        <w:rPr>
          <w:rFonts w:ascii="Arial" w:hAnsi="Arial"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AE"/>
    <w:multiLevelType w:val="hybridMultilevel"/>
    <w:tmpl w:val="911661A8"/>
    <w:lvl w:ilvl="0" w:tplc="B73A9B20">
      <w:start w:val="1"/>
      <w:numFmt w:val="lowerLetter"/>
      <w:lvlText w:val="(%1)"/>
      <w:lvlJc w:val="left"/>
      <w:pPr>
        <w:ind w:left="919" w:hanging="360"/>
      </w:pPr>
      <w:rPr>
        <w:rFonts w:hint="default"/>
      </w:rPr>
    </w:lvl>
    <w:lvl w:ilvl="1" w:tplc="1C090019" w:tentative="1">
      <w:start w:val="1"/>
      <w:numFmt w:val="lowerLetter"/>
      <w:lvlText w:val="%2."/>
      <w:lvlJc w:val="left"/>
      <w:pPr>
        <w:ind w:left="1639" w:hanging="360"/>
      </w:pPr>
    </w:lvl>
    <w:lvl w:ilvl="2" w:tplc="1C09001B" w:tentative="1">
      <w:start w:val="1"/>
      <w:numFmt w:val="lowerRoman"/>
      <w:lvlText w:val="%3."/>
      <w:lvlJc w:val="right"/>
      <w:pPr>
        <w:ind w:left="2359" w:hanging="180"/>
      </w:pPr>
    </w:lvl>
    <w:lvl w:ilvl="3" w:tplc="1C09000F" w:tentative="1">
      <w:start w:val="1"/>
      <w:numFmt w:val="decimal"/>
      <w:lvlText w:val="%4."/>
      <w:lvlJc w:val="left"/>
      <w:pPr>
        <w:ind w:left="3079" w:hanging="360"/>
      </w:pPr>
    </w:lvl>
    <w:lvl w:ilvl="4" w:tplc="1C090019" w:tentative="1">
      <w:start w:val="1"/>
      <w:numFmt w:val="lowerLetter"/>
      <w:lvlText w:val="%5."/>
      <w:lvlJc w:val="left"/>
      <w:pPr>
        <w:ind w:left="3799" w:hanging="360"/>
      </w:pPr>
    </w:lvl>
    <w:lvl w:ilvl="5" w:tplc="1C09001B" w:tentative="1">
      <w:start w:val="1"/>
      <w:numFmt w:val="lowerRoman"/>
      <w:lvlText w:val="%6."/>
      <w:lvlJc w:val="right"/>
      <w:pPr>
        <w:ind w:left="4519" w:hanging="180"/>
      </w:pPr>
    </w:lvl>
    <w:lvl w:ilvl="6" w:tplc="1C09000F" w:tentative="1">
      <w:start w:val="1"/>
      <w:numFmt w:val="decimal"/>
      <w:lvlText w:val="%7."/>
      <w:lvlJc w:val="left"/>
      <w:pPr>
        <w:ind w:left="5239" w:hanging="360"/>
      </w:pPr>
    </w:lvl>
    <w:lvl w:ilvl="7" w:tplc="1C090019" w:tentative="1">
      <w:start w:val="1"/>
      <w:numFmt w:val="lowerLetter"/>
      <w:lvlText w:val="%8."/>
      <w:lvlJc w:val="left"/>
      <w:pPr>
        <w:ind w:left="5959" w:hanging="360"/>
      </w:pPr>
    </w:lvl>
    <w:lvl w:ilvl="8" w:tplc="1C09001B" w:tentative="1">
      <w:start w:val="1"/>
      <w:numFmt w:val="lowerRoman"/>
      <w:lvlText w:val="%9."/>
      <w:lvlJc w:val="right"/>
      <w:pPr>
        <w:ind w:left="6679" w:hanging="180"/>
      </w:pPr>
    </w:lvl>
  </w:abstractNum>
  <w:abstractNum w:abstractNumId="1" w15:restartNumberingAfterBreak="0">
    <w:nsid w:val="0B1856F7"/>
    <w:multiLevelType w:val="hybridMultilevel"/>
    <w:tmpl w:val="C50A90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9"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7"/>
  </w:num>
  <w:num w:numId="6">
    <w:abstractNumId w:val="5"/>
  </w:num>
  <w:num w:numId="7">
    <w:abstractNumId w:val="12"/>
  </w:num>
  <w:num w:numId="8">
    <w:abstractNumId w:val="11"/>
  </w:num>
  <w:num w:numId="9">
    <w:abstractNumId w:val="4"/>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0783"/>
    <w:rsid w:val="00092FD2"/>
    <w:rsid w:val="000C0A07"/>
    <w:rsid w:val="000C3C56"/>
    <w:rsid w:val="000D5FE9"/>
    <w:rsid w:val="000E362A"/>
    <w:rsid w:val="000F1180"/>
    <w:rsid w:val="00112D50"/>
    <w:rsid w:val="00113321"/>
    <w:rsid w:val="00124EC8"/>
    <w:rsid w:val="001338C3"/>
    <w:rsid w:val="001417E6"/>
    <w:rsid w:val="0014498F"/>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736CF"/>
    <w:rsid w:val="00281A10"/>
    <w:rsid w:val="00281FAB"/>
    <w:rsid w:val="00292BB8"/>
    <w:rsid w:val="002B1C34"/>
    <w:rsid w:val="002B3F1D"/>
    <w:rsid w:val="002C3150"/>
    <w:rsid w:val="002C5513"/>
    <w:rsid w:val="002C6FA8"/>
    <w:rsid w:val="002D4C2A"/>
    <w:rsid w:val="002E3BFB"/>
    <w:rsid w:val="002E5933"/>
    <w:rsid w:val="00300CF7"/>
    <w:rsid w:val="0030287B"/>
    <w:rsid w:val="00323762"/>
    <w:rsid w:val="00334EC0"/>
    <w:rsid w:val="003375D1"/>
    <w:rsid w:val="00342AC5"/>
    <w:rsid w:val="00347DBC"/>
    <w:rsid w:val="00364D3C"/>
    <w:rsid w:val="00371CD0"/>
    <w:rsid w:val="003723C3"/>
    <w:rsid w:val="0039308E"/>
    <w:rsid w:val="00393E41"/>
    <w:rsid w:val="00396AF1"/>
    <w:rsid w:val="003A0103"/>
    <w:rsid w:val="003A7E2F"/>
    <w:rsid w:val="003B0E74"/>
    <w:rsid w:val="003C4403"/>
    <w:rsid w:val="003C4613"/>
    <w:rsid w:val="003D11A7"/>
    <w:rsid w:val="003D1A3A"/>
    <w:rsid w:val="003E3D0D"/>
    <w:rsid w:val="003E50E8"/>
    <w:rsid w:val="003F52A2"/>
    <w:rsid w:val="003F63E0"/>
    <w:rsid w:val="00422CA6"/>
    <w:rsid w:val="00425554"/>
    <w:rsid w:val="00447B18"/>
    <w:rsid w:val="004514DE"/>
    <w:rsid w:val="004546CC"/>
    <w:rsid w:val="00456199"/>
    <w:rsid w:val="00470B0C"/>
    <w:rsid w:val="004B355E"/>
    <w:rsid w:val="004B5538"/>
    <w:rsid w:val="004B5E87"/>
    <w:rsid w:val="004E581F"/>
    <w:rsid w:val="004E7D33"/>
    <w:rsid w:val="0050338C"/>
    <w:rsid w:val="005234EE"/>
    <w:rsid w:val="005403D8"/>
    <w:rsid w:val="005577B6"/>
    <w:rsid w:val="00560857"/>
    <w:rsid w:val="00562A14"/>
    <w:rsid w:val="0056512A"/>
    <w:rsid w:val="005752A8"/>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0BB1"/>
    <w:rsid w:val="00652595"/>
    <w:rsid w:val="00666306"/>
    <w:rsid w:val="006809D8"/>
    <w:rsid w:val="00686B3F"/>
    <w:rsid w:val="00694FE2"/>
    <w:rsid w:val="00697A81"/>
    <w:rsid w:val="006B1F56"/>
    <w:rsid w:val="006C2872"/>
    <w:rsid w:val="006C5AF5"/>
    <w:rsid w:val="006D1141"/>
    <w:rsid w:val="006D22F9"/>
    <w:rsid w:val="006D2D84"/>
    <w:rsid w:val="006E2964"/>
    <w:rsid w:val="006E49A3"/>
    <w:rsid w:val="00711F52"/>
    <w:rsid w:val="00715AD2"/>
    <w:rsid w:val="00723F03"/>
    <w:rsid w:val="0072640A"/>
    <w:rsid w:val="0073012B"/>
    <w:rsid w:val="007329D4"/>
    <w:rsid w:val="007447AE"/>
    <w:rsid w:val="00764071"/>
    <w:rsid w:val="0078341F"/>
    <w:rsid w:val="0079456D"/>
    <w:rsid w:val="00797188"/>
    <w:rsid w:val="00797247"/>
    <w:rsid w:val="007A64D4"/>
    <w:rsid w:val="007C6B41"/>
    <w:rsid w:val="00805BCE"/>
    <w:rsid w:val="00806B14"/>
    <w:rsid w:val="00812E09"/>
    <w:rsid w:val="0081352A"/>
    <w:rsid w:val="00823237"/>
    <w:rsid w:val="00825474"/>
    <w:rsid w:val="00837272"/>
    <w:rsid w:val="00843A30"/>
    <w:rsid w:val="00851B88"/>
    <w:rsid w:val="00864008"/>
    <w:rsid w:val="00864FC2"/>
    <w:rsid w:val="00867BDF"/>
    <w:rsid w:val="00890143"/>
    <w:rsid w:val="008930A5"/>
    <w:rsid w:val="008A14A9"/>
    <w:rsid w:val="008B1C23"/>
    <w:rsid w:val="008C0AC7"/>
    <w:rsid w:val="008C1EF6"/>
    <w:rsid w:val="008D2B93"/>
    <w:rsid w:val="008D5B8D"/>
    <w:rsid w:val="008D65E9"/>
    <w:rsid w:val="008D79D4"/>
    <w:rsid w:val="008E6759"/>
    <w:rsid w:val="00902CE8"/>
    <w:rsid w:val="00905A48"/>
    <w:rsid w:val="00912D4E"/>
    <w:rsid w:val="00913A1D"/>
    <w:rsid w:val="00945A2F"/>
    <w:rsid w:val="00947BEE"/>
    <w:rsid w:val="00952193"/>
    <w:rsid w:val="009633A4"/>
    <w:rsid w:val="00977A00"/>
    <w:rsid w:val="0098277A"/>
    <w:rsid w:val="00992A7D"/>
    <w:rsid w:val="00997334"/>
    <w:rsid w:val="009A5F60"/>
    <w:rsid w:val="009B096F"/>
    <w:rsid w:val="009C36A5"/>
    <w:rsid w:val="009C7093"/>
    <w:rsid w:val="009F24FA"/>
    <w:rsid w:val="009F6C8B"/>
    <w:rsid w:val="00A06FD8"/>
    <w:rsid w:val="00A14435"/>
    <w:rsid w:val="00A16AC6"/>
    <w:rsid w:val="00A23F8A"/>
    <w:rsid w:val="00A258AF"/>
    <w:rsid w:val="00A40097"/>
    <w:rsid w:val="00A4515E"/>
    <w:rsid w:val="00A5368E"/>
    <w:rsid w:val="00A5758F"/>
    <w:rsid w:val="00A635A8"/>
    <w:rsid w:val="00A6494E"/>
    <w:rsid w:val="00A66F65"/>
    <w:rsid w:val="00A772D3"/>
    <w:rsid w:val="00A81203"/>
    <w:rsid w:val="00A82F94"/>
    <w:rsid w:val="00AB3745"/>
    <w:rsid w:val="00AB5193"/>
    <w:rsid w:val="00AC4198"/>
    <w:rsid w:val="00AD0FCD"/>
    <w:rsid w:val="00AD1833"/>
    <w:rsid w:val="00AE1B80"/>
    <w:rsid w:val="00B07B4B"/>
    <w:rsid w:val="00B160EB"/>
    <w:rsid w:val="00B1649C"/>
    <w:rsid w:val="00B23661"/>
    <w:rsid w:val="00B30012"/>
    <w:rsid w:val="00B337FC"/>
    <w:rsid w:val="00B40BBE"/>
    <w:rsid w:val="00B4625E"/>
    <w:rsid w:val="00B53D6D"/>
    <w:rsid w:val="00B66325"/>
    <w:rsid w:val="00B76671"/>
    <w:rsid w:val="00B8518D"/>
    <w:rsid w:val="00BA213D"/>
    <w:rsid w:val="00BA3715"/>
    <w:rsid w:val="00BA48EA"/>
    <w:rsid w:val="00BB1E6E"/>
    <w:rsid w:val="00BB388A"/>
    <w:rsid w:val="00BB6784"/>
    <w:rsid w:val="00BC4D4A"/>
    <w:rsid w:val="00BE5489"/>
    <w:rsid w:val="00BE7DE8"/>
    <w:rsid w:val="00BF539E"/>
    <w:rsid w:val="00BF6DAE"/>
    <w:rsid w:val="00C04EBD"/>
    <w:rsid w:val="00C06B39"/>
    <w:rsid w:val="00C10C58"/>
    <w:rsid w:val="00C119BC"/>
    <w:rsid w:val="00C249D9"/>
    <w:rsid w:val="00C332BE"/>
    <w:rsid w:val="00C356C5"/>
    <w:rsid w:val="00C50A1F"/>
    <w:rsid w:val="00C73154"/>
    <w:rsid w:val="00C86226"/>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64023"/>
    <w:rsid w:val="00D73FFF"/>
    <w:rsid w:val="00D862BF"/>
    <w:rsid w:val="00DD1F31"/>
    <w:rsid w:val="00DF6EA5"/>
    <w:rsid w:val="00E1002B"/>
    <w:rsid w:val="00E256F6"/>
    <w:rsid w:val="00E3339B"/>
    <w:rsid w:val="00E41527"/>
    <w:rsid w:val="00E41C88"/>
    <w:rsid w:val="00E44BBF"/>
    <w:rsid w:val="00E619CB"/>
    <w:rsid w:val="00E765F9"/>
    <w:rsid w:val="00EA06CF"/>
    <w:rsid w:val="00EB27A0"/>
    <w:rsid w:val="00EE19B5"/>
    <w:rsid w:val="00F11950"/>
    <w:rsid w:val="00F16C57"/>
    <w:rsid w:val="00F24301"/>
    <w:rsid w:val="00F3787E"/>
    <w:rsid w:val="00F41E5C"/>
    <w:rsid w:val="00F53DDE"/>
    <w:rsid w:val="00F571A4"/>
    <w:rsid w:val="00F66EB8"/>
    <w:rsid w:val="00F71EB9"/>
    <w:rsid w:val="00F72F82"/>
    <w:rsid w:val="00F806B3"/>
    <w:rsid w:val="00F87113"/>
    <w:rsid w:val="00FB039F"/>
    <w:rsid w:val="00FB2069"/>
    <w:rsid w:val="00FD3814"/>
    <w:rsid w:val="00FD38C2"/>
    <w:rsid w:val="00FE0CF9"/>
    <w:rsid w:val="00FF050B"/>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DF026-7A1E-4E54-8E79-F6EDCCA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2020-07-30T18:30:00+00:00</Judgment_x0020_Date>
    <Year xmlns="c1afb1bd-f2fb-40fd-9abb-aea55b4d7662">2020</Year>
  </documentManagement>
</p:properties>
</file>

<file path=customXml/itemProps1.xml><?xml version="1.0" encoding="utf-8"?>
<ds:datastoreItem xmlns:ds="http://schemas.openxmlformats.org/officeDocument/2006/customXml" ds:itemID="{2C07B4BB-C0E9-4161-BC61-73B0473349EC}"/>
</file>

<file path=customXml/itemProps2.xml><?xml version="1.0" encoding="utf-8"?>
<ds:datastoreItem xmlns:ds="http://schemas.openxmlformats.org/officeDocument/2006/customXml" ds:itemID="{ABAC4432-A0B2-412F-BFA6-EB6F14BFD8C2}"/>
</file>

<file path=customXml/itemProps3.xml><?xml version="1.0" encoding="utf-8"?>
<ds:datastoreItem xmlns:ds="http://schemas.openxmlformats.org/officeDocument/2006/customXml" ds:itemID="{5DACD1B5-8A57-45C9-B01F-215F7892463E}"/>
</file>

<file path=customXml/itemProps4.xml><?xml version="1.0" encoding="utf-8"?>
<ds:datastoreItem xmlns:ds="http://schemas.openxmlformats.org/officeDocument/2006/customXml" ds:itemID="{EF003FA0-CA41-4526-B479-779E4593B377}"/>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Distell LTD v FT Nentele Transport (INT-HC-SECCOST-2020-00103)[2020] NAHCMD 324 (31 July 2020)</dc:title>
  <dc:creator>E. Kharases</dc:creator>
  <cp:lastModifiedBy>Administrator</cp:lastModifiedBy>
  <cp:revision>2</cp:revision>
  <cp:lastPrinted>2019-08-09T10:27:00Z</cp:lastPrinted>
  <dcterms:created xsi:type="dcterms:W3CDTF">2020-08-13T06:30:00Z</dcterms:created>
  <dcterms:modified xsi:type="dcterms:W3CDTF">2020-08-13T06:30:00Z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