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E49A3" w:rsidP="006E49A3">
      <w:pPr>
        <w:spacing w:after="0" w:line="240" w:lineRule="auto"/>
        <w:jc w:val="center"/>
        <w:rPr>
          <w:rFonts w:ascii="Arial" w:hAnsi="Arial" w:cs="Arial"/>
          <w:sz w:val="26"/>
          <w:szCs w:val="26"/>
        </w:rPr>
      </w:pPr>
      <w:bookmarkStart w:id="0" w:name="_GoBack"/>
      <w:bookmarkEnd w:id="0"/>
      <w:r w:rsidRPr="006E49A3">
        <w:rPr>
          <w:rFonts w:ascii="Arial" w:hAnsi="Arial" w:cs="Arial"/>
          <w:sz w:val="26"/>
          <w:szCs w:val="26"/>
        </w:rPr>
        <w:t>“ANNEXURE 11”</w:t>
      </w:r>
    </w:p>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Practice Directive 61</w:t>
      </w:r>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Default="00C73154" w:rsidP="00EB27A0">
            <w:pPr>
              <w:spacing w:line="360" w:lineRule="auto"/>
              <w:jc w:val="both"/>
              <w:rPr>
                <w:rFonts w:ascii="Arial" w:hAnsi="Arial" w:cs="Arial"/>
                <w:b/>
              </w:rPr>
            </w:pPr>
            <w:r w:rsidRPr="004B452A">
              <w:rPr>
                <w:rFonts w:ascii="Arial" w:hAnsi="Arial" w:cs="Arial"/>
                <w:b/>
              </w:rPr>
              <w:t>Case Title:</w:t>
            </w:r>
          </w:p>
          <w:p w:rsidR="004B452A" w:rsidRPr="004B452A" w:rsidRDefault="004B452A" w:rsidP="00EB27A0">
            <w:pPr>
              <w:spacing w:line="360" w:lineRule="auto"/>
              <w:jc w:val="both"/>
              <w:rPr>
                <w:rFonts w:ascii="Arial" w:hAnsi="Arial" w:cs="Arial"/>
              </w:rPr>
            </w:pPr>
            <w:r w:rsidRPr="004B452A">
              <w:rPr>
                <w:rFonts w:ascii="Arial" w:hAnsi="Arial" w:cs="Arial"/>
              </w:rPr>
              <w:t>DISTELL LIMITED // VAUGHAN R TRANSPORT CC</w:t>
            </w:r>
          </w:p>
          <w:p w:rsidR="00C73154" w:rsidRPr="004B452A" w:rsidRDefault="00C73154" w:rsidP="004B452A">
            <w:pPr>
              <w:spacing w:line="360" w:lineRule="auto"/>
              <w:jc w:val="both"/>
              <w:rPr>
                <w:rFonts w:ascii="Arial" w:hAnsi="Arial" w:cs="Arial"/>
              </w:rPr>
            </w:pPr>
          </w:p>
        </w:tc>
        <w:tc>
          <w:tcPr>
            <w:tcW w:w="4323" w:type="dxa"/>
          </w:tcPr>
          <w:p w:rsidR="00C73154" w:rsidRPr="004B452A" w:rsidRDefault="00977A00" w:rsidP="00905A48">
            <w:pPr>
              <w:spacing w:line="360" w:lineRule="auto"/>
              <w:jc w:val="both"/>
              <w:rPr>
                <w:rFonts w:ascii="Arial" w:hAnsi="Arial" w:cs="Arial"/>
                <w:b/>
              </w:rPr>
            </w:pPr>
            <w:r w:rsidRPr="004B452A">
              <w:rPr>
                <w:rFonts w:ascii="Arial" w:hAnsi="Arial" w:cs="Arial"/>
                <w:b/>
              </w:rPr>
              <w:t xml:space="preserve">Main </w:t>
            </w:r>
            <w:r w:rsidR="00C73154" w:rsidRPr="004B452A">
              <w:rPr>
                <w:rFonts w:ascii="Arial" w:hAnsi="Arial" w:cs="Arial"/>
                <w:b/>
              </w:rPr>
              <w:t>Case No</w:t>
            </w:r>
            <w:r w:rsidRPr="004B452A">
              <w:rPr>
                <w:rFonts w:ascii="Arial" w:hAnsi="Arial" w:cs="Arial"/>
                <w:b/>
              </w:rPr>
              <w:t>.</w:t>
            </w:r>
            <w:r w:rsidR="00C73154" w:rsidRPr="004B452A">
              <w:rPr>
                <w:rFonts w:ascii="Arial" w:hAnsi="Arial" w:cs="Arial"/>
                <w:b/>
              </w:rPr>
              <w:t>:</w:t>
            </w:r>
          </w:p>
          <w:p w:rsidR="00977A00" w:rsidRPr="004B452A" w:rsidRDefault="004B452A" w:rsidP="00977A00">
            <w:pPr>
              <w:spacing w:line="360" w:lineRule="auto"/>
              <w:jc w:val="both"/>
              <w:rPr>
                <w:rFonts w:ascii="Arial" w:hAnsi="Arial" w:cs="Arial"/>
              </w:rPr>
            </w:pPr>
            <w:r w:rsidRPr="004B452A">
              <w:rPr>
                <w:rFonts w:ascii="Arial" w:hAnsi="Arial" w:cs="Arial"/>
              </w:rPr>
              <w:t>HC-MD-CIV-ACT-OTH-2019/00700</w:t>
            </w:r>
          </w:p>
          <w:p w:rsidR="00977A00" w:rsidRDefault="00977A00" w:rsidP="00977A00">
            <w:pPr>
              <w:spacing w:line="360" w:lineRule="auto"/>
              <w:jc w:val="both"/>
              <w:rPr>
                <w:rFonts w:ascii="Arial" w:hAnsi="Arial" w:cs="Arial"/>
                <w:b/>
              </w:rPr>
            </w:pPr>
            <w:r w:rsidRPr="004B452A">
              <w:rPr>
                <w:rFonts w:ascii="Arial" w:hAnsi="Arial" w:cs="Arial"/>
                <w:b/>
              </w:rPr>
              <w:t>Interlocutory Case No.:</w:t>
            </w:r>
          </w:p>
          <w:p w:rsidR="00C73154" w:rsidRPr="004B452A" w:rsidRDefault="004B452A" w:rsidP="00890143">
            <w:pPr>
              <w:spacing w:line="360" w:lineRule="auto"/>
              <w:jc w:val="both"/>
              <w:rPr>
                <w:rFonts w:ascii="Arial" w:hAnsi="Arial" w:cs="Arial"/>
              </w:rPr>
            </w:pPr>
            <w:r w:rsidRPr="004B452A">
              <w:rPr>
                <w:rFonts w:ascii="Arial" w:hAnsi="Arial" w:cs="Arial"/>
              </w:rPr>
              <w:t>INT-HC-SECCOST-2020/00101</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977A00">
              <w:rPr>
                <w:rFonts w:ascii="Arial" w:hAnsi="Arial" w:cs="Arial"/>
              </w:rPr>
              <w:t>MILLER, ACTING</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265783" w:rsidP="00977A00">
            <w:pPr>
              <w:spacing w:line="360" w:lineRule="auto"/>
              <w:rPr>
                <w:rFonts w:ascii="Arial" w:hAnsi="Arial" w:cs="Arial"/>
              </w:rPr>
            </w:pPr>
            <w:r>
              <w:rPr>
                <w:rFonts w:ascii="Arial" w:hAnsi="Arial" w:cs="Arial"/>
              </w:rPr>
              <w:t>2</w:t>
            </w:r>
            <w:r w:rsidR="00977A00">
              <w:rPr>
                <w:rFonts w:ascii="Arial" w:hAnsi="Arial" w:cs="Arial"/>
              </w:rPr>
              <w:t>0 JULY</w:t>
            </w:r>
            <w:r w:rsidR="00F72F82" w:rsidRPr="006E49A3">
              <w:rPr>
                <w:rFonts w:ascii="Arial" w:hAnsi="Arial" w:cs="Arial"/>
              </w:rPr>
              <w:t xml:space="preserve"> 20</w:t>
            </w:r>
            <w:r w:rsidR="00977A00">
              <w:rPr>
                <w:rFonts w:ascii="Arial" w:hAnsi="Arial" w:cs="Arial"/>
              </w:rPr>
              <w:t>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977A00" w:rsidRDefault="00977A00" w:rsidP="00977A00">
            <w:pPr>
              <w:spacing w:line="360" w:lineRule="auto"/>
              <w:jc w:val="both"/>
              <w:rPr>
                <w:rFonts w:ascii="Arial" w:hAnsi="Arial" w:cs="Arial"/>
              </w:rPr>
            </w:pPr>
            <w:r>
              <w:rPr>
                <w:rFonts w:ascii="Arial" w:hAnsi="Arial" w:cs="Arial"/>
              </w:rPr>
              <w:t xml:space="preserve">31 JULY </w:t>
            </w:r>
            <w:r w:rsidR="00F72F82" w:rsidRPr="006E49A3">
              <w:rPr>
                <w:rFonts w:ascii="Arial" w:hAnsi="Arial" w:cs="Arial"/>
              </w:rPr>
              <w:t>20</w:t>
            </w:r>
            <w:r>
              <w:rPr>
                <w:rFonts w:ascii="Arial" w:hAnsi="Arial" w:cs="Arial"/>
              </w:rPr>
              <w:t>20</w:t>
            </w:r>
          </w:p>
        </w:tc>
      </w:tr>
      <w:tr w:rsidR="005955B1" w:rsidRPr="006E49A3" w:rsidTr="00BB1E6E">
        <w:trPr>
          <w:trHeight w:val="908"/>
        </w:trPr>
        <w:tc>
          <w:tcPr>
            <w:tcW w:w="9720" w:type="dxa"/>
            <w:gridSpan w:val="3"/>
          </w:tcPr>
          <w:p w:rsidR="00F71EB9" w:rsidRPr="006E49A3" w:rsidRDefault="005955B1" w:rsidP="003F4D3E">
            <w:pPr>
              <w:spacing w:line="360" w:lineRule="auto"/>
              <w:jc w:val="both"/>
              <w:rPr>
                <w:rFonts w:ascii="Arial" w:hAnsi="Arial" w:cs="Arial"/>
              </w:rPr>
            </w:pPr>
            <w:r w:rsidRPr="006E49A3">
              <w:rPr>
                <w:rFonts w:ascii="Arial" w:hAnsi="Arial" w:cs="Arial"/>
                <w:b/>
              </w:rPr>
              <w:t xml:space="preserve">Neutral citation: </w:t>
            </w:r>
            <w:r w:rsidR="00977A00">
              <w:rPr>
                <w:rFonts w:ascii="Arial" w:hAnsi="Arial" w:cs="Arial"/>
                <w:i/>
              </w:rPr>
              <w:t>Distell Limited</w:t>
            </w:r>
            <w:r w:rsidR="00F72F82" w:rsidRPr="006E49A3">
              <w:rPr>
                <w:rFonts w:ascii="Arial" w:hAnsi="Arial" w:cs="Arial"/>
                <w:i/>
              </w:rPr>
              <w:t xml:space="preserve"> v </w:t>
            </w:r>
            <w:r w:rsidR="003F4D3E">
              <w:rPr>
                <w:rFonts w:ascii="Arial" w:hAnsi="Arial" w:cs="Arial"/>
                <w:i/>
              </w:rPr>
              <w:t>Vaughan R</w:t>
            </w:r>
            <w:r w:rsidR="00977A00">
              <w:rPr>
                <w:rFonts w:ascii="Arial" w:hAnsi="Arial" w:cs="Arial"/>
                <w:i/>
              </w:rPr>
              <w:t xml:space="preserve"> Transport CC</w:t>
            </w:r>
            <w:r w:rsidR="00B4625E" w:rsidRPr="006E49A3">
              <w:rPr>
                <w:rFonts w:ascii="Arial" w:hAnsi="Arial" w:cs="Arial"/>
                <w:b/>
              </w:rPr>
              <w:t xml:space="preserve"> </w:t>
            </w:r>
            <w:r w:rsidR="00B4625E" w:rsidRPr="006E49A3">
              <w:rPr>
                <w:rFonts w:ascii="Arial" w:hAnsi="Arial" w:cs="Arial"/>
              </w:rPr>
              <w:t>(</w:t>
            </w:r>
            <w:r w:rsidR="004B452A" w:rsidRPr="004B452A">
              <w:rPr>
                <w:rFonts w:ascii="Arial" w:hAnsi="Arial" w:cs="Arial"/>
              </w:rPr>
              <w:t>INT-HC-SECCOST-2020/00101</w:t>
            </w:r>
            <w:r w:rsidR="00B4625E" w:rsidRPr="006E49A3">
              <w:rPr>
                <w:rFonts w:ascii="Arial" w:hAnsi="Arial" w:cs="Arial"/>
              </w:rPr>
              <w:t>)</w:t>
            </w:r>
            <w:r w:rsidR="00B4625E" w:rsidRPr="006E49A3">
              <w:rPr>
                <w:rFonts w:ascii="Arial" w:hAnsi="Arial" w:cs="Arial"/>
                <w:b/>
              </w:rPr>
              <w:t xml:space="preserve"> </w:t>
            </w:r>
            <w:r w:rsidR="00977A00">
              <w:rPr>
                <w:rFonts w:ascii="Arial" w:hAnsi="Arial" w:cs="Arial"/>
              </w:rPr>
              <w:t>[2020</w:t>
            </w:r>
            <w:r w:rsidR="00B4625E" w:rsidRPr="006E49A3">
              <w:rPr>
                <w:rFonts w:ascii="Arial" w:hAnsi="Arial" w:cs="Arial"/>
              </w:rPr>
              <w:t xml:space="preserve">] </w:t>
            </w:r>
            <w:r w:rsidRPr="006E49A3">
              <w:rPr>
                <w:rFonts w:ascii="Arial" w:hAnsi="Arial" w:cs="Arial"/>
              </w:rPr>
              <w:t xml:space="preserve">NAHCMD </w:t>
            </w:r>
            <w:r w:rsidR="00977A00">
              <w:rPr>
                <w:rFonts w:ascii="Arial" w:hAnsi="Arial" w:cs="Arial"/>
              </w:rPr>
              <w:t>32</w:t>
            </w:r>
            <w:r w:rsidR="003F4D3E">
              <w:rPr>
                <w:rFonts w:ascii="Arial" w:hAnsi="Arial" w:cs="Arial"/>
              </w:rPr>
              <w:t>6</w:t>
            </w:r>
            <w:r w:rsidR="00B4625E" w:rsidRPr="006E49A3">
              <w:rPr>
                <w:rFonts w:ascii="Arial" w:hAnsi="Arial" w:cs="Arial"/>
              </w:rPr>
              <w:t xml:space="preserve"> (</w:t>
            </w:r>
            <w:r w:rsidR="00977A00">
              <w:rPr>
                <w:rFonts w:ascii="Arial" w:hAnsi="Arial" w:cs="Arial"/>
              </w:rPr>
              <w:t>31 July 2020</w:t>
            </w:r>
            <w:r w:rsidRPr="006E49A3">
              <w:rPr>
                <w:rFonts w:ascii="Arial" w:hAnsi="Arial" w:cs="Arial"/>
              </w:rPr>
              <w:t>)</w:t>
            </w:r>
          </w:p>
        </w:tc>
      </w:tr>
      <w:tr w:rsidR="00281FAB" w:rsidRPr="006E49A3" w:rsidTr="00EB27A0">
        <w:tc>
          <w:tcPr>
            <w:tcW w:w="9720" w:type="dxa"/>
            <w:gridSpan w:val="3"/>
          </w:tcPr>
          <w:p w:rsidR="00281FAB" w:rsidRPr="00447B18" w:rsidRDefault="00281FAB" w:rsidP="00EB27A0">
            <w:pPr>
              <w:spacing w:line="360" w:lineRule="auto"/>
              <w:jc w:val="both"/>
              <w:rPr>
                <w:rFonts w:ascii="Arial" w:hAnsi="Arial" w:cs="Arial"/>
                <w:b/>
              </w:rPr>
            </w:pPr>
            <w:r w:rsidRPr="00447B18">
              <w:rPr>
                <w:rFonts w:ascii="Arial" w:hAnsi="Arial" w:cs="Arial"/>
                <w:b/>
              </w:rPr>
              <w:t>The order:</w:t>
            </w:r>
          </w:p>
          <w:p w:rsidR="00C73154" w:rsidRPr="00447B18" w:rsidRDefault="00C73154" w:rsidP="00EB27A0">
            <w:pPr>
              <w:spacing w:line="360" w:lineRule="auto"/>
              <w:jc w:val="both"/>
              <w:rPr>
                <w:rFonts w:ascii="Arial" w:hAnsi="Arial" w:cs="Arial"/>
              </w:rPr>
            </w:pPr>
          </w:p>
          <w:p w:rsidR="00281FAB" w:rsidRPr="00447B18" w:rsidRDefault="00447B18" w:rsidP="00EB27A0">
            <w:pPr>
              <w:spacing w:line="360" w:lineRule="auto"/>
              <w:jc w:val="both"/>
              <w:rPr>
                <w:rFonts w:ascii="Arial" w:hAnsi="Arial" w:cs="Arial"/>
              </w:rPr>
            </w:pPr>
            <w:r w:rsidRPr="00447B18">
              <w:rPr>
                <w:rFonts w:ascii="Arial" w:hAnsi="Arial" w:cs="Arial"/>
              </w:rPr>
              <w:t xml:space="preserve">Having heard </w:t>
            </w:r>
            <w:r w:rsidRPr="00447B18">
              <w:rPr>
                <w:rFonts w:ascii="Arial" w:hAnsi="Arial" w:cs="Arial"/>
                <w:b/>
              </w:rPr>
              <w:t>Ms Garbers-Kirsten</w:t>
            </w:r>
            <w:r w:rsidRPr="00447B18">
              <w:rPr>
                <w:rFonts w:ascii="Arial" w:hAnsi="Arial" w:cs="Arial"/>
              </w:rPr>
              <w:t>, counsel for the applicant/defendant and</w:t>
            </w:r>
            <w:r w:rsidRPr="00447B18">
              <w:rPr>
                <w:rFonts w:ascii="Arial" w:hAnsi="Arial" w:cs="Arial"/>
                <w:b/>
              </w:rPr>
              <w:t xml:space="preserve"> Mr Silungwe</w:t>
            </w:r>
            <w:r w:rsidRPr="00F87113">
              <w:rPr>
                <w:rFonts w:ascii="Arial" w:hAnsi="Arial" w:cs="Arial"/>
              </w:rPr>
              <w:t>,</w:t>
            </w:r>
            <w:r w:rsidRPr="00447B18">
              <w:rPr>
                <w:rFonts w:ascii="Arial" w:hAnsi="Arial" w:cs="Arial"/>
                <w:b/>
              </w:rPr>
              <w:t xml:space="preserve"> </w:t>
            </w:r>
            <w:r w:rsidRPr="00447B18">
              <w:rPr>
                <w:rFonts w:ascii="Arial" w:hAnsi="Arial" w:cs="Arial"/>
              </w:rPr>
              <w:t>counsel for the respondent/plaintiff and having read documents filed of record</w:t>
            </w:r>
            <w:r w:rsidR="006D2D84" w:rsidRPr="00447B18">
              <w:rPr>
                <w:rFonts w:ascii="Arial" w:hAnsi="Arial" w:cs="Arial"/>
              </w:rPr>
              <w:t>:</w:t>
            </w:r>
          </w:p>
          <w:p w:rsidR="00EB27A0" w:rsidRPr="00447B18" w:rsidRDefault="00EB27A0" w:rsidP="00EB27A0">
            <w:pPr>
              <w:spacing w:line="360" w:lineRule="auto"/>
              <w:jc w:val="both"/>
              <w:rPr>
                <w:rFonts w:ascii="Arial" w:hAnsi="Arial" w:cs="Arial"/>
              </w:rPr>
            </w:pPr>
          </w:p>
          <w:p w:rsidR="00EB27A0" w:rsidRPr="00447B18" w:rsidRDefault="00EB27A0" w:rsidP="00EB27A0">
            <w:pPr>
              <w:spacing w:line="360" w:lineRule="auto"/>
              <w:jc w:val="both"/>
              <w:rPr>
                <w:rFonts w:ascii="Arial" w:hAnsi="Arial" w:cs="Arial"/>
                <w:b/>
              </w:rPr>
            </w:pPr>
            <w:r w:rsidRPr="00447B18">
              <w:rPr>
                <w:rFonts w:ascii="Arial" w:hAnsi="Arial" w:cs="Arial"/>
                <w:b/>
              </w:rPr>
              <w:t>IT IS ORDERED THAT:</w:t>
            </w:r>
          </w:p>
          <w:p w:rsidR="008D65E9" w:rsidRPr="00447B18" w:rsidRDefault="008D65E9" w:rsidP="00EB27A0">
            <w:pPr>
              <w:spacing w:line="360" w:lineRule="auto"/>
              <w:jc w:val="both"/>
              <w:rPr>
                <w:rFonts w:ascii="Arial" w:hAnsi="Arial" w:cs="Arial"/>
              </w:rPr>
            </w:pPr>
          </w:p>
          <w:p w:rsidR="00CF3D16" w:rsidRPr="00447B18" w:rsidRDefault="00447B18" w:rsidP="00447B18">
            <w:pPr>
              <w:spacing w:line="360" w:lineRule="auto"/>
              <w:jc w:val="both"/>
              <w:rPr>
                <w:rFonts w:ascii="Arial" w:hAnsi="Arial" w:cs="Arial"/>
              </w:rPr>
            </w:pPr>
            <w:r w:rsidRPr="00447B18">
              <w:rPr>
                <w:rFonts w:ascii="Arial" w:hAnsi="Arial" w:cs="Arial"/>
              </w:rPr>
              <w:t xml:space="preserve">The interlocutory application for the </w:t>
            </w:r>
            <w:r w:rsidR="00246F96">
              <w:rPr>
                <w:rFonts w:ascii="Arial" w:hAnsi="Arial" w:cs="Arial"/>
              </w:rPr>
              <w:t>plaintiff</w:t>
            </w:r>
            <w:r w:rsidR="00B23661" w:rsidRPr="00447B18">
              <w:rPr>
                <w:rFonts w:ascii="Arial" w:hAnsi="Arial" w:cs="Arial"/>
              </w:rPr>
              <w:t xml:space="preserve"> </w:t>
            </w:r>
            <w:r w:rsidRPr="00447B18">
              <w:rPr>
                <w:rFonts w:ascii="Arial" w:hAnsi="Arial" w:cs="Arial"/>
              </w:rPr>
              <w:t>to furnish security for costs is dismissed with costs, limited to N$20 000</w:t>
            </w:r>
            <w:r w:rsidR="00EE19B5" w:rsidRPr="00447B18">
              <w:rPr>
                <w:rFonts w:ascii="Arial" w:hAnsi="Arial" w:cs="Arial"/>
              </w:rPr>
              <w:t>.</w:t>
            </w:r>
          </w:p>
          <w:p w:rsidR="00686B3F" w:rsidRPr="00447B18" w:rsidRDefault="00686B3F" w:rsidP="00A258AF">
            <w:pPr>
              <w:spacing w:line="360" w:lineRule="auto"/>
              <w:jc w:val="both"/>
              <w:rPr>
                <w:rFonts w:ascii="Arial" w:hAnsi="Arial" w:cs="Arial"/>
              </w:rPr>
            </w:pPr>
          </w:p>
        </w:tc>
      </w:tr>
      <w:tr w:rsidR="00281FAB" w:rsidRPr="006E49A3" w:rsidTr="00EB27A0">
        <w:tc>
          <w:tcPr>
            <w:tcW w:w="9720" w:type="dxa"/>
            <w:gridSpan w:val="3"/>
          </w:tcPr>
          <w:p w:rsidR="00281FAB" w:rsidRPr="008E6759" w:rsidRDefault="008E6759" w:rsidP="006E49A3">
            <w:pPr>
              <w:spacing w:line="360" w:lineRule="auto"/>
              <w:jc w:val="both"/>
              <w:rPr>
                <w:rFonts w:ascii="Arial" w:hAnsi="Arial" w:cs="Arial"/>
                <w:b/>
              </w:rPr>
            </w:pPr>
            <w:r w:rsidRPr="008E6759">
              <w:rPr>
                <w:rFonts w:ascii="Arial" w:hAnsi="Arial" w:cs="Arial"/>
                <w:b/>
              </w:rPr>
              <w:t xml:space="preserve">Following below are </w:t>
            </w:r>
            <w:r w:rsidR="00A66F65">
              <w:rPr>
                <w:rFonts w:ascii="Arial" w:hAnsi="Arial" w:cs="Arial"/>
                <w:b/>
              </w:rPr>
              <w:t>the reasons for the above order</w:t>
            </w:r>
            <w:r w:rsidRPr="008E6759">
              <w:rPr>
                <w:rFonts w:ascii="Arial" w:hAnsi="Arial" w:cs="Arial"/>
                <w:b/>
              </w:rPr>
              <w:t>:</w:t>
            </w:r>
          </w:p>
        </w:tc>
      </w:tr>
      <w:tr w:rsidR="00281FAB" w:rsidRPr="006E49A3" w:rsidTr="00EB27A0">
        <w:tc>
          <w:tcPr>
            <w:tcW w:w="9720" w:type="dxa"/>
            <w:gridSpan w:val="3"/>
          </w:tcPr>
          <w:p w:rsidR="00BB1E6E" w:rsidRPr="002E5933" w:rsidRDefault="00BB1E6E" w:rsidP="00FD38C2">
            <w:pPr>
              <w:spacing w:line="360" w:lineRule="auto"/>
              <w:jc w:val="both"/>
              <w:rPr>
                <w:rFonts w:ascii="Arial" w:hAnsi="Arial" w:cs="Arial"/>
              </w:rPr>
            </w:pPr>
          </w:p>
          <w:p w:rsidR="00A4515E" w:rsidRPr="002E5933" w:rsidRDefault="009C7093" w:rsidP="00FD38C2">
            <w:pPr>
              <w:spacing w:line="360" w:lineRule="auto"/>
              <w:jc w:val="both"/>
              <w:rPr>
                <w:rFonts w:ascii="Arial" w:hAnsi="Arial" w:cs="Arial"/>
              </w:rPr>
            </w:pPr>
            <w:r w:rsidRPr="002E5933">
              <w:rPr>
                <w:rFonts w:ascii="Arial" w:hAnsi="Arial" w:cs="Arial"/>
              </w:rPr>
              <w:t xml:space="preserve">[1]   </w:t>
            </w:r>
            <w:r w:rsidR="002238FA" w:rsidRPr="002238FA">
              <w:rPr>
                <w:rFonts w:ascii="Arial" w:hAnsi="Arial" w:cs="Arial"/>
              </w:rPr>
              <w:t>In this interlocutory application, the applicant is the defendant in the main matter and the respondent is the plaintiff in the main matter. They will be referred to as they appear in the main matter</w:t>
            </w:r>
            <w:r w:rsidR="00E41527" w:rsidRPr="002E5933">
              <w:rPr>
                <w:rFonts w:ascii="Arial" w:hAnsi="Arial" w:cs="Arial"/>
              </w:rPr>
              <w:t>.</w:t>
            </w:r>
          </w:p>
          <w:p w:rsidR="00B53D6D" w:rsidRPr="002E5933" w:rsidRDefault="00B53D6D" w:rsidP="00FD38C2">
            <w:pPr>
              <w:spacing w:line="360" w:lineRule="auto"/>
              <w:jc w:val="both"/>
              <w:rPr>
                <w:rFonts w:ascii="Arial" w:hAnsi="Arial" w:cs="Arial"/>
              </w:rPr>
            </w:pPr>
          </w:p>
          <w:p w:rsidR="00CC4D82" w:rsidRPr="002E5933" w:rsidRDefault="00A6494E" w:rsidP="00FD38C2">
            <w:pPr>
              <w:spacing w:line="360" w:lineRule="auto"/>
              <w:jc w:val="both"/>
              <w:rPr>
                <w:rFonts w:ascii="Arial" w:hAnsi="Arial" w:cs="Arial"/>
              </w:rPr>
            </w:pPr>
            <w:r w:rsidRPr="002E5933">
              <w:rPr>
                <w:rFonts w:ascii="Arial" w:hAnsi="Arial" w:cs="Arial"/>
              </w:rPr>
              <w:t xml:space="preserve">[2] </w:t>
            </w:r>
            <w:r w:rsidR="009C7093" w:rsidRPr="002E5933">
              <w:rPr>
                <w:rFonts w:ascii="Arial" w:hAnsi="Arial" w:cs="Arial"/>
              </w:rPr>
              <w:t xml:space="preserve">  </w:t>
            </w:r>
            <w:r w:rsidR="00A66F65" w:rsidRPr="002E5933">
              <w:rPr>
                <w:rFonts w:ascii="Arial" w:hAnsi="Arial" w:cs="Arial"/>
              </w:rPr>
              <w:t xml:space="preserve">On </w:t>
            </w:r>
            <w:r w:rsidR="002238FA" w:rsidRPr="002238FA">
              <w:rPr>
                <w:rFonts w:ascii="Arial" w:hAnsi="Arial" w:cs="Arial"/>
              </w:rPr>
              <w:t xml:space="preserve">21 February 2019, the plaintiff instituted action against the defendant seeking an order directing the defendant to reinstate the plaintiff as a contractor in terms of the Owner Distribution Agreement concluded between the plaintiff and the defendant, and an order directing the defendant to remit payment to the plaintiff in an amount equivalent to a payment of N$120 000 for </w:t>
            </w:r>
            <w:r w:rsidR="002238FA" w:rsidRPr="002238FA">
              <w:rPr>
                <w:rFonts w:ascii="Arial" w:hAnsi="Arial" w:cs="Arial"/>
              </w:rPr>
              <w:lastRenderedPageBreak/>
              <w:t>each month spanning the period between 30 June 2018 and 22 February 2019</w:t>
            </w:r>
            <w:r w:rsidR="00E41527" w:rsidRPr="002E5933">
              <w:rPr>
                <w:rFonts w:ascii="Arial" w:hAnsi="Arial" w:cs="Arial"/>
              </w:rPr>
              <w:t>.</w:t>
            </w:r>
          </w:p>
          <w:p w:rsidR="00422CA6" w:rsidRPr="002E5933" w:rsidRDefault="00422CA6" w:rsidP="00FD38C2">
            <w:pPr>
              <w:spacing w:line="360" w:lineRule="auto"/>
              <w:jc w:val="both"/>
              <w:rPr>
                <w:rFonts w:ascii="Arial" w:hAnsi="Arial" w:cs="Arial"/>
              </w:rPr>
            </w:pPr>
          </w:p>
          <w:p w:rsidR="00A23F8A" w:rsidRPr="002E5933" w:rsidRDefault="00A6494E" w:rsidP="00422CA6">
            <w:pPr>
              <w:spacing w:line="360" w:lineRule="auto"/>
              <w:jc w:val="both"/>
              <w:rPr>
                <w:rFonts w:ascii="Arial" w:hAnsi="Arial" w:cs="Arial"/>
              </w:rPr>
            </w:pPr>
            <w:r w:rsidRPr="002E5933">
              <w:rPr>
                <w:rFonts w:ascii="Arial" w:hAnsi="Arial" w:cs="Arial"/>
              </w:rPr>
              <w:t>[3]</w:t>
            </w:r>
            <w:r w:rsidR="00B53D6D" w:rsidRPr="002E5933">
              <w:rPr>
                <w:rFonts w:ascii="Arial" w:hAnsi="Arial" w:cs="Arial"/>
              </w:rPr>
              <w:t xml:space="preserve"> </w:t>
            </w:r>
            <w:r w:rsidR="006E49A3" w:rsidRPr="002E5933">
              <w:rPr>
                <w:rFonts w:ascii="Arial" w:hAnsi="Arial" w:cs="Arial"/>
              </w:rPr>
              <w:t xml:space="preserve">  </w:t>
            </w:r>
            <w:r w:rsidR="00A66F65" w:rsidRPr="002E5933">
              <w:rPr>
                <w:rFonts w:ascii="Arial" w:hAnsi="Arial" w:cs="Arial"/>
              </w:rPr>
              <w:t>Before me now is an interlocutory application brought by the defendant on 12 May 2020 seeking an order that:</w:t>
            </w:r>
          </w:p>
          <w:p w:rsidR="002736CF" w:rsidRPr="002E5933" w:rsidRDefault="002736CF" w:rsidP="00422CA6">
            <w:pPr>
              <w:spacing w:line="360" w:lineRule="auto"/>
              <w:jc w:val="both"/>
              <w:rPr>
                <w:rFonts w:ascii="Arial" w:hAnsi="Arial" w:cs="Arial"/>
              </w:rPr>
            </w:pPr>
          </w:p>
          <w:p w:rsidR="00A66F65" w:rsidRPr="002E5933" w:rsidRDefault="002E5933" w:rsidP="002E5933">
            <w:pPr>
              <w:pStyle w:val="ListParagraph"/>
              <w:numPr>
                <w:ilvl w:val="0"/>
                <w:numId w:val="13"/>
              </w:numPr>
              <w:spacing w:line="360" w:lineRule="auto"/>
              <w:ind w:left="1126" w:hanging="567"/>
              <w:jc w:val="both"/>
              <w:rPr>
                <w:rFonts w:ascii="Arial" w:hAnsi="Arial" w:cs="Arial"/>
                <w:lang w:val="en-US"/>
              </w:rPr>
            </w:pPr>
            <w:r w:rsidRPr="002E5933">
              <w:rPr>
                <w:rFonts w:ascii="Arial" w:hAnsi="Arial" w:cs="Arial"/>
                <w:lang w:val="en-US"/>
              </w:rPr>
              <w:t>The plaintiff is required to furnish security for costs in the form of a bank guarantee or funds held in the plaintiff's attorneys' trust account, or in such other form as may be determined by the registrar, in the sum of N$300 000, or such sum as is set by the registrar, within ten days of the determination of the amount of the security.</w:t>
            </w:r>
          </w:p>
          <w:p w:rsidR="002E5933" w:rsidRPr="002E5933" w:rsidRDefault="002E5933" w:rsidP="002E5933">
            <w:pPr>
              <w:tabs>
                <w:tab w:val="left" w:pos="2051"/>
              </w:tabs>
              <w:spacing w:line="360" w:lineRule="auto"/>
              <w:ind w:left="559"/>
              <w:jc w:val="both"/>
              <w:rPr>
                <w:rFonts w:ascii="Arial" w:hAnsi="Arial" w:cs="Arial"/>
                <w:lang w:val="en-US"/>
              </w:rPr>
            </w:pPr>
          </w:p>
          <w:p w:rsidR="002E5933" w:rsidRPr="002E5933" w:rsidRDefault="002E5933" w:rsidP="002E5933">
            <w:pPr>
              <w:pStyle w:val="ListParagraph"/>
              <w:numPr>
                <w:ilvl w:val="0"/>
                <w:numId w:val="13"/>
              </w:numPr>
              <w:spacing w:line="360" w:lineRule="auto"/>
              <w:ind w:left="1126" w:hanging="567"/>
              <w:jc w:val="both"/>
              <w:rPr>
                <w:rFonts w:ascii="Arial" w:hAnsi="Arial" w:cs="Arial"/>
                <w:lang w:val="en-US"/>
              </w:rPr>
            </w:pPr>
            <w:r w:rsidRPr="002E5933">
              <w:rPr>
                <w:rFonts w:ascii="Arial" w:hAnsi="Arial" w:cs="Arial"/>
                <w:lang w:val="en-US"/>
              </w:rPr>
              <w:t>The action is stayed pending the granting of such security.</w:t>
            </w:r>
          </w:p>
          <w:p w:rsidR="002E5933" w:rsidRPr="002E5933" w:rsidRDefault="002E5933" w:rsidP="002E5933">
            <w:pPr>
              <w:spacing w:line="360" w:lineRule="auto"/>
              <w:ind w:left="559"/>
              <w:jc w:val="both"/>
              <w:rPr>
                <w:rFonts w:ascii="Arial" w:hAnsi="Arial" w:cs="Arial"/>
                <w:lang w:val="en-US"/>
              </w:rPr>
            </w:pPr>
          </w:p>
          <w:p w:rsidR="002E5933" w:rsidRPr="002E5933" w:rsidRDefault="002E5933" w:rsidP="002E5933">
            <w:pPr>
              <w:pStyle w:val="ListParagraph"/>
              <w:numPr>
                <w:ilvl w:val="0"/>
                <w:numId w:val="13"/>
              </w:numPr>
              <w:spacing w:line="360" w:lineRule="auto"/>
              <w:ind w:left="1126" w:hanging="567"/>
              <w:jc w:val="both"/>
              <w:rPr>
                <w:rFonts w:ascii="Arial" w:hAnsi="Arial" w:cs="Arial"/>
              </w:rPr>
            </w:pPr>
            <w:r w:rsidRPr="002E5933">
              <w:rPr>
                <w:rFonts w:ascii="Arial" w:hAnsi="Arial" w:cs="Arial"/>
                <w:lang w:val="en-US"/>
              </w:rPr>
              <w:t>The plaintiff pays the costs of this application.</w:t>
            </w:r>
          </w:p>
          <w:p w:rsidR="00A66F65" w:rsidRPr="002E5933" w:rsidRDefault="00A66F65" w:rsidP="00422CA6">
            <w:pPr>
              <w:spacing w:line="360" w:lineRule="auto"/>
              <w:jc w:val="both"/>
              <w:rPr>
                <w:rFonts w:ascii="Arial" w:hAnsi="Arial" w:cs="Arial"/>
              </w:rPr>
            </w:pPr>
          </w:p>
          <w:p w:rsidR="002736CF" w:rsidRPr="002E5933" w:rsidRDefault="002736CF" w:rsidP="00422CA6">
            <w:pPr>
              <w:spacing w:line="360" w:lineRule="auto"/>
              <w:jc w:val="both"/>
              <w:rPr>
                <w:rFonts w:ascii="Arial" w:hAnsi="Arial" w:cs="Arial"/>
              </w:rPr>
            </w:pPr>
            <w:r w:rsidRPr="002E5933">
              <w:rPr>
                <w:rFonts w:ascii="Arial" w:hAnsi="Arial" w:cs="Arial"/>
              </w:rPr>
              <w:t xml:space="preserve">[4]   </w:t>
            </w:r>
            <w:r w:rsidR="002238FA" w:rsidRPr="002238FA">
              <w:rPr>
                <w:rFonts w:ascii="Arial" w:hAnsi="Arial" w:cs="Arial"/>
              </w:rPr>
              <w:t>The Notice of Motion was accompanied by a founding affidavit of Sorita Botha who is employed by the defendant in the action as a Legal and Compliance Advisor and duly authorized by the affidavit to depose to the affidavit by way of a resolution</w:t>
            </w:r>
            <w:r w:rsidRPr="002E5933">
              <w:rPr>
                <w:rFonts w:ascii="Arial" w:hAnsi="Arial" w:cs="Arial"/>
              </w:rPr>
              <w:t>.</w:t>
            </w:r>
          </w:p>
          <w:p w:rsidR="008E6759" w:rsidRPr="002E5933" w:rsidRDefault="008E6759" w:rsidP="00422CA6">
            <w:pPr>
              <w:spacing w:line="360" w:lineRule="auto"/>
              <w:jc w:val="both"/>
              <w:rPr>
                <w:rFonts w:ascii="Arial" w:hAnsi="Arial" w:cs="Arial"/>
              </w:rPr>
            </w:pPr>
          </w:p>
          <w:p w:rsidR="008E6759" w:rsidRDefault="008E6759" w:rsidP="00422CA6">
            <w:pPr>
              <w:spacing w:line="360" w:lineRule="auto"/>
              <w:jc w:val="both"/>
              <w:rPr>
                <w:rFonts w:ascii="Arial" w:hAnsi="Arial" w:cs="Arial"/>
              </w:rPr>
            </w:pPr>
            <w:r w:rsidRPr="002E5933">
              <w:rPr>
                <w:rFonts w:ascii="Arial" w:hAnsi="Arial" w:cs="Arial"/>
              </w:rPr>
              <w:t>[</w:t>
            </w:r>
            <w:r w:rsidR="002736CF" w:rsidRPr="002E5933">
              <w:rPr>
                <w:rFonts w:ascii="Arial" w:hAnsi="Arial" w:cs="Arial"/>
              </w:rPr>
              <w:t>5</w:t>
            </w:r>
            <w:r w:rsidRPr="002E5933">
              <w:rPr>
                <w:rFonts w:ascii="Arial" w:hAnsi="Arial" w:cs="Arial"/>
              </w:rPr>
              <w:t xml:space="preserve">]   </w:t>
            </w:r>
            <w:r w:rsidR="002238FA" w:rsidRPr="002238FA">
              <w:rPr>
                <w:rFonts w:ascii="Arial" w:hAnsi="Arial" w:cs="Arial"/>
              </w:rPr>
              <w:t>In her founding affidavit, Soritha Botha stated that the plaintiff failed to furnish the defendant with certain documents which would illustrate that the plaintiff is in a position to satisfy an adverse costs order, and that a reasonable inference to be drawn from such failure or refusal to provide the requested information is that the plaintiff is either not in possession of the said documents or it does not wish the defendant to be aware of its dire financial position. Soritha Botha also stated that the defendant has reasons to believe that there are reasonable grounds why the plaintiff will be unable to meet an adverse costs order should the defendant be successful in the action for the reasons she has explained in her affidavit. Lastly, she stated in her affidavit that the circumstances indicate that if the defendant is successful in its defence of the action and the plaintiff is ordered to pay the costs, there will be no funds available in the Republic of Namibia, upon which the defendant can levy execution to recover such costs</w:t>
            </w:r>
            <w:r w:rsidR="00650BB1">
              <w:rPr>
                <w:rFonts w:ascii="Arial" w:hAnsi="Arial" w:cs="Arial"/>
              </w:rPr>
              <w:t>.</w:t>
            </w:r>
          </w:p>
          <w:p w:rsidR="002238FA" w:rsidRDefault="002238FA" w:rsidP="00422CA6">
            <w:pPr>
              <w:spacing w:line="360" w:lineRule="auto"/>
              <w:jc w:val="both"/>
              <w:rPr>
                <w:rFonts w:ascii="Arial" w:hAnsi="Arial" w:cs="Arial"/>
              </w:rPr>
            </w:pPr>
          </w:p>
          <w:p w:rsidR="002238FA" w:rsidRPr="00CE758D" w:rsidRDefault="002238FA" w:rsidP="00422CA6">
            <w:pPr>
              <w:spacing w:line="360" w:lineRule="auto"/>
              <w:jc w:val="both"/>
              <w:rPr>
                <w:rFonts w:ascii="Arial" w:hAnsi="Arial" w:cs="Arial"/>
              </w:rPr>
            </w:pPr>
            <w:r>
              <w:rPr>
                <w:rFonts w:ascii="Arial" w:hAnsi="Arial" w:cs="Arial"/>
              </w:rPr>
              <w:t xml:space="preserve">[6]   </w:t>
            </w:r>
            <w:r w:rsidR="00CE758D" w:rsidRPr="00CE758D">
              <w:rPr>
                <w:rFonts w:ascii="Arial" w:hAnsi="Arial" w:cs="Arial"/>
              </w:rPr>
              <w:t>In</w:t>
            </w:r>
            <w:r w:rsidR="00CE758D" w:rsidRPr="009F2525">
              <w:rPr>
                <w:rFonts w:ascii="Arial" w:hAnsi="Arial" w:cs="Arial"/>
                <w:sz w:val="24"/>
                <w:szCs w:val="24"/>
              </w:rPr>
              <w:t xml:space="preserve"> </w:t>
            </w:r>
            <w:r w:rsidR="00CE758D" w:rsidRPr="00CE758D">
              <w:rPr>
                <w:rFonts w:ascii="Arial" w:hAnsi="Arial" w:cs="Arial"/>
              </w:rPr>
              <w:t xml:space="preserve">his answering/opposing affidavit on behalf of the plaintiff, Johannes Bikeur who is a sole member of the plaintiff stated that the plaintiff is not liable to furnish security for cost in this matter. He further stated that the plaintiff fell on hard financial times because of the defendant’s invalid termination of the Owner-Driver Distribution agreement entered into between the parties. He further stated that the defendant terminated the said agreement without cause and as a result the plaintiff was forced to cease operations shortly after the termination of the said agreement. He added that the result of this is that the plaintiff would be unable to meet the costs order in the event that it is unsuccessful with its claim; however the plaintiff has a good prospect of success in </w:t>
            </w:r>
            <w:r w:rsidR="00CE758D" w:rsidRPr="00CE758D">
              <w:rPr>
                <w:rFonts w:ascii="Arial" w:hAnsi="Arial" w:cs="Arial"/>
              </w:rPr>
              <w:lastRenderedPageBreak/>
              <w:t>the main application, following the defendant’s invalid termination of the agreement.</w:t>
            </w:r>
          </w:p>
          <w:p w:rsidR="002238FA" w:rsidRPr="00CE758D" w:rsidRDefault="002238FA" w:rsidP="00422CA6">
            <w:pPr>
              <w:spacing w:line="360" w:lineRule="auto"/>
              <w:jc w:val="both"/>
              <w:rPr>
                <w:rFonts w:ascii="Arial" w:hAnsi="Arial" w:cs="Arial"/>
              </w:rPr>
            </w:pPr>
          </w:p>
          <w:p w:rsidR="002238FA" w:rsidRPr="00CE758D" w:rsidRDefault="002238FA" w:rsidP="00422CA6">
            <w:pPr>
              <w:spacing w:line="360" w:lineRule="auto"/>
              <w:jc w:val="both"/>
              <w:rPr>
                <w:rFonts w:ascii="Arial" w:hAnsi="Arial" w:cs="Arial"/>
              </w:rPr>
            </w:pPr>
            <w:r>
              <w:rPr>
                <w:rFonts w:ascii="Arial" w:hAnsi="Arial" w:cs="Arial"/>
              </w:rPr>
              <w:t xml:space="preserve">[7]   </w:t>
            </w:r>
            <w:r w:rsidR="00CE758D" w:rsidRPr="00CE758D">
              <w:rPr>
                <w:rFonts w:ascii="Arial" w:hAnsi="Arial" w:cs="Arial"/>
              </w:rPr>
              <w:t>In her replying affidavit, Sorita Botha stated that the defendant terminated the agreement between the parties with good cause and after having followed proper procedure, and denied that the defendant is the cause of the plaintiff’s financial demise. She further denied that the respondent has any prospects of success in the main matter.</w:t>
            </w:r>
          </w:p>
          <w:p w:rsidR="002238FA" w:rsidRPr="00CE758D" w:rsidRDefault="002238FA" w:rsidP="00422CA6">
            <w:pPr>
              <w:spacing w:line="360" w:lineRule="auto"/>
              <w:jc w:val="both"/>
              <w:rPr>
                <w:rFonts w:ascii="Arial" w:hAnsi="Arial" w:cs="Arial"/>
              </w:rPr>
            </w:pPr>
          </w:p>
          <w:p w:rsidR="00CE758D" w:rsidRPr="00CE758D" w:rsidRDefault="002238FA" w:rsidP="00CE758D">
            <w:pPr>
              <w:pStyle w:val="ListParagraph"/>
              <w:tabs>
                <w:tab w:val="left" w:pos="851"/>
              </w:tabs>
              <w:spacing w:line="360" w:lineRule="auto"/>
              <w:ind w:left="0"/>
              <w:jc w:val="both"/>
              <w:rPr>
                <w:rFonts w:ascii="Arial" w:hAnsi="Arial" w:cs="Arial"/>
              </w:rPr>
            </w:pPr>
            <w:r>
              <w:rPr>
                <w:rFonts w:ascii="Arial" w:hAnsi="Arial" w:cs="Arial"/>
              </w:rPr>
              <w:t xml:space="preserve">[8]   </w:t>
            </w:r>
            <w:r w:rsidR="00CE758D" w:rsidRPr="00CE758D">
              <w:rPr>
                <w:rFonts w:ascii="Arial" w:hAnsi="Arial" w:cs="Arial"/>
              </w:rPr>
              <w:t>Sorita Botha stated in her replying affidavit that on its own admission, the plaintiff is unable to pay an adverse costs order in the even that it is unsuccessful with the main action, and further submitted that solely for that reason the court should grant an application for security for costs against the plaintiff.</w:t>
            </w:r>
            <w:r w:rsidR="00CE758D" w:rsidRPr="00CE758D">
              <w:rPr>
                <w:rStyle w:val="FootnoteReference"/>
                <w:rFonts w:ascii="Arial" w:hAnsi="Arial" w:cs="Arial"/>
              </w:rPr>
              <w:footnoteReference w:id="1"/>
            </w:r>
            <w:r w:rsidR="00CE758D" w:rsidRPr="00CE758D">
              <w:rPr>
                <w:rFonts w:ascii="Arial" w:hAnsi="Arial" w:cs="Arial"/>
              </w:rPr>
              <w:t xml:space="preserve"> She further submitted that it is untenable for the court to allow an entity that outright admits that it is ‘a man of straw’ to proceed with the action against another entity, thereby causing the other entity legal costs that are impossible to be recovered.</w:t>
            </w:r>
            <w:r w:rsidR="00CE758D" w:rsidRPr="00CE758D">
              <w:rPr>
                <w:rStyle w:val="FootnoteReference"/>
                <w:rFonts w:ascii="Arial" w:hAnsi="Arial" w:cs="Arial"/>
              </w:rPr>
              <w:footnoteReference w:id="2"/>
            </w:r>
          </w:p>
          <w:p w:rsidR="003D1A3A" w:rsidRDefault="003D1A3A" w:rsidP="00422CA6">
            <w:pPr>
              <w:spacing w:line="360" w:lineRule="auto"/>
              <w:jc w:val="both"/>
              <w:rPr>
                <w:rFonts w:ascii="Arial" w:hAnsi="Arial" w:cs="Arial"/>
              </w:rPr>
            </w:pPr>
          </w:p>
          <w:p w:rsidR="003D1A3A" w:rsidRDefault="00CE758D" w:rsidP="00422CA6">
            <w:pPr>
              <w:spacing w:line="360" w:lineRule="auto"/>
              <w:jc w:val="both"/>
              <w:rPr>
                <w:rFonts w:ascii="Arial" w:hAnsi="Arial" w:cs="Arial"/>
              </w:rPr>
            </w:pPr>
            <w:r>
              <w:rPr>
                <w:rFonts w:ascii="Arial" w:hAnsi="Arial" w:cs="Arial"/>
              </w:rPr>
              <w:t>[9</w:t>
            </w:r>
            <w:r w:rsidR="003D1A3A" w:rsidRPr="0014498F">
              <w:rPr>
                <w:rFonts w:ascii="Arial" w:hAnsi="Arial" w:cs="Arial"/>
              </w:rPr>
              <w:t>]</w:t>
            </w:r>
            <w:r>
              <w:rPr>
                <w:rFonts w:ascii="Arial" w:hAnsi="Arial" w:cs="Arial"/>
              </w:rPr>
              <w:t xml:space="preserve"> </w:t>
            </w:r>
            <w:r w:rsidR="003D1A3A" w:rsidRPr="0014498F">
              <w:rPr>
                <w:rFonts w:ascii="Arial" w:hAnsi="Arial" w:cs="Arial"/>
              </w:rPr>
              <w:t xml:space="preserve">  </w:t>
            </w:r>
            <w:r w:rsidR="0014498F" w:rsidRPr="0014498F">
              <w:rPr>
                <w:rFonts w:ascii="Arial" w:hAnsi="Arial" w:cs="Arial"/>
              </w:rPr>
              <w:t xml:space="preserve">In </w:t>
            </w:r>
            <w:r w:rsidR="0014498F" w:rsidRPr="0014498F">
              <w:rPr>
                <w:rFonts w:ascii="Arial" w:hAnsi="Arial" w:cs="Arial"/>
                <w:i/>
              </w:rPr>
              <w:t>Hepute and Others v Minister of Mines and Energy and Another</w:t>
            </w:r>
            <w:r w:rsidR="0014498F" w:rsidRPr="0014498F">
              <w:rPr>
                <w:rStyle w:val="FootnoteReference"/>
                <w:rFonts w:ascii="Arial" w:hAnsi="Arial" w:cs="Arial"/>
                <w:i/>
              </w:rPr>
              <w:footnoteReference w:id="3"/>
            </w:r>
            <w:r w:rsidR="0014498F" w:rsidRPr="0014498F">
              <w:rPr>
                <w:rFonts w:ascii="Arial" w:hAnsi="Arial" w:cs="Arial"/>
              </w:rPr>
              <w:t xml:space="preserve"> the Supreme Court held that:</w:t>
            </w:r>
          </w:p>
          <w:p w:rsidR="00AE1B80" w:rsidRDefault="00AE1B80" w:rsidP="00422CA6">
            <w:pPr>
              <w:spacing w:line="360" w:lineRule="auto"/>
              <w:jc w:val="both"/>
              <w:rPr>
                <w:rFonts w:ascii="Arial" w:hAnsi="Arial" w:cs="Arial"/>
              </w:rPr>
            </w:pPr>
          </w:p>
          <w:p w:rsidR="008C1EF6" w:rsidRDefault="008C1EF6" w:rsidP="00F41E5C">
            <w:pPr>
              <w:spacing w:line="480" w:lineRule="auto"/>
              <w:ind w:left="1126" w:hanging="567"/>
              <w:jc w:val="both"/>
              <w:rPr>
                <w:rFonts w:ascii="Arial" w:hAnsi="Arial" w:cs="Arial"/>
                <w:sz w:val="20"/>
                <w:szCs w:val="20"/>
              </w:rPr>
            </w:pPr>
            <w:r>
              <w:rPr>
                <w:rFonts w:ascii="Arial" w:hAnsi="Arial" w:cs="Arial"/>
                <w:sz w:val="20"/>
                <w:szCs w:val="20"/>
              </w:rPr>
              <w:t>‘[23]</w:t>
            </w:r>
            <w:r w:rsidR="00F41E5C">
              <w:rPr>
                <w:rFonts w:ascii="Arial" w:hAnsi="Arial" w:cs="Arial"/>
                <w:sz w:val="20"/>
                <w:szCs w:val="20"/>
              </w:rPr>
              <w:t xml:space="preserve">  </w:t>
            </w:r>
            <w:r w:rsidRPr="00843084">
              <w:rPr>
                <w:rFonts w:ascii="Arial" w:hAnsi="Arial" w:cs="Arial"/>
                <w:sz w:val="20"/>
                <w:szCs w:val="20"/>
              </w:rPr>
              <w:t xml:space="preserve">Our common law recognises, as a general rule, the immunity enjoyed by an </w:t>
            </w:r>
            <w:r w:rsidRPr="00843084">
              <w:rPr>
                <w:rFonts w:ascii="Arial" w:hAnsi="Arial" w:cs="Arial"/>
                <w:i/>
                <w:sz w:val="20"/>
                <w:szCs w:val="20"/>
              </w:rPr>
              <w:t>incola</w:t>
            </w:r>
            <w:r w:rsidRPr="00843084">
              <w:rPr>
                <w:rFonts w:ascii="Arial" w:hAnsi="Arial" w:cs="Arial"/>
                <w:sz w:val="20"/>
                <w:szCs w:val="20"/>
              </w:rPr>
              <w:t xml:space="preserve"> plaintiff or applicant from having to provide security of costs. The </w:t>
            </w:r>
            <w:r w:rsidRPr="00843084">
              <w:rPr>
                <w:rFonts w:ascii="Arial" w:hAnsi="Arial" w:cs="Arial"/>
                <w:i/>
                <w:sz w:val="20"/>
                <w:szCs w:val="20"/>
              </w:rPr>
              <w:t xml:space="preserve">ratio </w:t>
            </w:r>
            <w:r w:rsidRPr="00843084">
              <w:rPr>
                <w:rFonts w:ascii="Arial" w:hAnsi="Arial" w:cs="Arial"/>
                <w:sz w:val="20"/>
                <w:szCs w:val="20"/>
              </w:rPr>
              <w:t xml:space="preserve">behind this rule is that every citizen should have uninhibited access to the courts: </w:t>
            </w:r>
            <w:r w:rsidRPr="00843084">
              <w:rPr>
                <w:rFonts w:ascii="Arial" w:hAnsi="Arial" w:cs="Arial"/>
                <w:i/>
                <w:sz w:val="20"/>
                <w:szCs w:val="20"/>
                <w:lang w:val="en-US"/>
              </w:rPr>
              <w:t xml:space="preserve">Vite v Mbuque; Namoyi v Mbuque </w:t>
            </w:r>
            <w:r w:rsidRPr="00843084">
              <w:rPr>
                <w:rFonts w:ascii="Arial" w:hAnsi="Arial" w:cs="Arial"/>
                <w:sz w:val="20"/>
                <w:szCs w:val="20"/>
                <w:lang w:val="en-US"/>
              </w:rPr>
              <w:t xml:space="preserve">1993(4) SA 93 at 94F-95B. </w:t>
            </w:r>
            <w:r w:rsidRPr="00843084">
              <w:rPr>
                <w:rFonts w:ascii="Arial" w:hAnsi="Arial" w:cs="Arial"/>
                <w:sz w:val="20"/>
                <w:szCs w:val="20"/>
              </w:rPr>
              <w:t xml:space="preserve">One exception to this general rule, founded in my view on the principle that the process of the court should not be abused, is that an </w:t>
            </w:r>
            <w:r w:rsidRPr="00843084">
              <w:rPr>
                <w:rFonts w:ascii="Arial" w:hAnsi="Arial" w:cs="Arial"/>
                <w:i/>
                <w:sz w:val="20"/>
                <w:szCs w:val="20"/>
              </w:rPr>
              <w:t>incola</w:t>
            </w:r>
            <w:r w:rsidRPr="00843084">
              <w:rPr>
                <w:rFonts w:ascii="Arial" w:hAnsi="Arial" w:cs="Arial"/>
                <w:sz w:val="20"/>
                <w:szCs w:val="20"/>
              </w:rPr>
              <w:t xml:space="preserve"> who is a man of straw and litigates in a nominal capacity, or as a front for another may be ordered to furnish security: </w:t>
            </w:r>
            <w:r w:rsidRPr="00843084">
              <w:rPr>
                <w:rFonts w:ascii="Arial" w:hAnsi="Arial" w:cs="Arial"/>
                <w:i/>
                <w:sz w:val="20"/>
                <w:szCs w:val="20"/>
              </w:rPr>
              <w:t>Pillemer v Israelstam Shartin 1911 WLD 156; Vanda v Mbuque,</w:t>
            </w:r>
            <w:r w:rsidRPr="00843084">
              <w:rPr>
                <w:rFonts w:ascii="Arial" w:hAnsi="Arial" w:cs="Arial"/>
                <w:sz w:val="20"/>
                <w:szCs w:val="20"/>
              </w:rPr>
              <w:t xml:space="preserve"> </w:t>
            </w:r>
            <w:r w:rsidRPr="00843084">
              <w:rPr>
                <w:rFonts w:ascii="Arial" w:hAnsi="Arial" w:cs="Arial"/>
                <w:i/>
                <w:sz w:val="20"/>
                <w:szCs w:val="20"/>
              </w:rPr>
              <w:t>supra</w:t>
            </w:r>
            <w:r w:rsidRPr="00843084">
              <w:rPr>
                <w:rFonts w:ascii="Arial" w:hAnsi="Arial" w:cs="Arial"/>
                <w:sz w:val="20"/>
                <w:szCs w:val="20"/>
              </w:rPr>
              <w:t xml:space="preserve"> at 94J-95A, and the </w:t>
            </w:r>
            <w:r w:rsidRPr="00843084">
              <w:rPr>
                <w:rFonts w:ascii="Arial" w:hAnsi="Arial" w:cs="Arial"/>
                <w:i/>
                <w:sz w:val="20"/>
                <w:szCs w:val="20"/>
              </w:rPr>
              <w:t>obiter dictum</w:t>
            </w:r>
            <w:r w:rsidRPr="00843084">
              <w:rPr>
                <w:rFonts w:ascii="Arial" w:hAnsi="Arial" w:cs="Arial"/>
                <w:sz w:val="20"/>
                <w:szCs w:val="20"/>
              </w:rPr>
              <w:t xml:space="preserve"> in </w:t>
            </w:r>
            <w:r w:rsidRPr="00843084">
              <w:rPr>
                <w:rFonts w:ascii="Arial" w:hAnsi="Arial" w:cs="Arial"/>
                <w:i/>
                <w:sz w:val="20"/>
                <w:szCs w:val="20"/>
              </w:rPr>
              <w:t xml:space="preserve">Mears v Brook’s Executor and Mears’s Trustee </w:t>
            </w:r>
            <w:r w:rsidRPr="00843084">
              <w:rPr>
                <w:rFonts w:ascii="Arial" w:hAnsi="Arial" w:cs="Arial"/>
                <w:sz w:val="20"/>
                <w:szCs w:val="20"/>
              </w:rPr>
              <w:t>1906 TS 546 at 550.</w:t>
            </w:r>
          </w:p>
          <w:p w:rsidR="008C1EF6" w:rsidRPr="00843084" w:rsidRDefault="008C1EF6" w:rsidP="008C1EF6">
            <w:pPr>
              <w:spacing w:line="480" w:lineRule="auto"/>
              <w:jc w:val="both"/>
              <w:rPr>
                <w:rFonts w:ascii="Arial" w:hAnsi="Arial" w:cs="Arial"/>
                <w:sz w:val="20"/>
                <w:szCs w:val="20"/>
              </w:rPr>
            </w:pPr>
          </w:p>
          <w:p w:rsidR="008C1EF6" w:rsidRDefault="008C1EF6" w:rsidP="00F41E5C">
            <w:pPr>
              <w:spacing w:line="360" w:lineRule="auto"/>
              <w:ind w:left="1126" w:hanging="567"/>
              <w:jc w:val="both"/>
              <w:rPr>
                <w:rFonts w:ascii="Arial" w:hAnsi="Arial" w:cs="Arial"/>
                <w:sz w:val="20"/>
                <w:szCs w:val="20"/>
              </w:rPr>
            </w:pPr>
            <w:r>
              <w:rPr>
                <w:rFonts w:ascii="Arial" w:hAnsi="Arial" w:cs="Arial"/>
                <w:sz w:val="20"/>
                <w:szCs w:val="20"/>
              </w:rPr>
              <w:t>[24]</w:t>
            </w:r>
            <w:r w:rsidR="00F41E5C">
              <w:rPr>
                <w:rFonts w:ascii="Arial" w:hAnsi="Arial" w:cs="Arial"/>
                <w:sz w:val="20"/>
                <w:szCs w:val="20"/>
              </w:rPr>
              <w:t xml:space="preserve">   </w:t>
            </w:r>
            <w:r w:rsidRPr="00843084">
              <w:rPr>
                <w:rFonts w:ascii="Arial" w:hAnsi="Arial" w:cs="Arial"/>
                <w:sz w:val="20"/>
                <w:szCs w:val="20"/>
              </w:rPr>
              <w:t>I agree with Muller J that the implicated exception creates two discrete categories: while being a man of straw litigating in a nominal capacity, or while being a man of straw being put up as a front for another. Both instances would amount to an abu</w:t>
            </w:r>
            <w:r>
              <w:rPr>
                <w:rFonts w:ascii="Arial" w:hAnsi="Arial" w:cs="Arial"/>
                <w:sz w:val="20"/>
                <w:szCs w:val="20"/>
              </w:rPr>
              <w:t>se of the process of the court.</w:t>
            </w:r>
            <w:r w:rsidRPr="00843084">
              <w:rPr>
                <w:rFonts w:ascii="Arial" w:hAnsi="Arial" w:cs="Arial"/>
                <w:sz w:val="20"/>
                <w:szCs w:val="20"/>
              </w:rPr>
              <w:t xml:space="preserve"> There is, or ought to be, a distinction between being a nomina</w:t>
            </w:r>
            <w:r>
              <w:rPr>
                <w:rFonts w:ascii="Arial" w:hAnsi="Arial" w:cs="Arial"/>
                <w:sz w:val="20"/>
                <w:szCs w:val="20"/>
              </w:rPr>
              <w:t>l plaintiff and being a front.</w:t>
            </w:r>
            <w:r w:rsidRPr="00843084">
              <w:rPr>
                <w:rFonts w:ascii="Arial" w:hAnsi="Arial" w:cs="Arial"/>
                <w:sz w:val="20"/>
                <w:szCs w:val="20"/>
              </w:rPr>
              <w:t xml:space="preserve"> In my view, a nominal plaintiff/applicant is one who, although he might be entitled to maintain the action, has no interest in the subject matter of the cause such as the case was in </w:t>
            </w:r>
            <w:r w:rsidRPr="00843084">
              <w:rPr>
                <w:rFonts w:ascii="Arial" w:hAnsi="Arial" w:cs="Arial"/>
                <w:i/>
                <w:sz w:val="20"/>
                <w:szCs w:val="20"/>
              </w:rPr>
              <w:t>Mears</w:t>
            </w:r>
            <w:r w:rsidRPr="00843084">
              <w:rPr>
                <w:rFonts w:ascii="Arial" w:hAnsi="Arial" w:cs="Arial"/>
                <w:sz w:val="20"/>
                <w:szCs w:val="20"/>
              </w:rPr>
              <w:t xml:space="preserve">’ case, </w:t>
            </w:r>
            <w:r w:rsidRPr="00843084">
              <w:rPr>
                <w:rFonts w:ascii="Arial" w:hAnsi="Arial" w:cs="Arial"/>
                <w:i/>
                <w:sz w:val="20"/>
                <w:szCs w:val="20"/>
              </w:rPr>
              <w:t>supra</w:t>
            </w:r>
            <w:r>
              <w:rPr>
                <w:rFonts w:ascii="Arial" w:hAnsi="Arial" w:cs="Arial"/>
                <w:sz w:val="20"/>
                <w:szCs w:val="20"/>
              </w:rPr>
              <w:t xml:space="preserve"> at 550.</w:t>
            </w:r>
            <w:r w:rsidRPr="00843084">
              <w:rPr>
                <w:rFonts w:ascii="Arial" w:hAnsi="Arial" w:cs="Arial"/>
                <w:sz w:val="20"/>
                <w:szCs w:val="20"/>
              </w:rPr>
              <w:t xml:space="preserve"> A front, on the other hand, is one who is being used to shield another from the adver</w:t>
            </w:r>
            <w:r>
              <w:rPr>
                <w:rFonts w:ascii="Arial" w:hAnsi="Arial" w:cs="Arial"/>
                <w:sz w:val="20"/>
                <w:szCs w:val="20"/>
              </w:rPr>
              <w:t xml:space="preserve">se consequences of litigation. </w:t>
            </w:r>
            <w:r w:rsidRPr="00843084">
              <w:rPr>
                <w:rFonts w:ascii="Arial" w:hAnsi="Arial" w:cs="Arial"/>
                <w:sz w:val="20"/>
                <w:szCs w:val="20"/>
              </w:rPr>
              <w:t xml:space="preserve">In both respects, the principle underlying the rule is sound and is </w:t>
            </w:r>
            <w:r w:rsidRPr="00843084">
              <w:rPr>
                <w:rFonts w:ascii="Arial" w:hAnsi="Arial" w:cs="Arial"/>
                <w:sz w:val="20"/>
                <w:szCs w:val="20"/>
              </w:rPr>
              <w:lastRenderedPageBreak/>
              <w:t>founded on the public policy consideration that the abuse of the process of the court should be frowned upon: it is not fair to allow a plaintiff with no real interest in the litigation to drag another through litigation while being unable to meet an adverse cos</w:t>
            </w:r>
            <w:r>
              <w:rPr>
                <w:rFonts w:ascii="Arial" w:hAnsi="Arial" w:cs="Arial"/>
                <w:sz w:val="20"/>
                <w:szCs w:val="20"/>
              </w:rPr>
              <w:t>ts order at the end of the day;</w:t>
            </w:r>
            <w:r w:rsidRPr="00843084">
              <w:rPr>
                <w:rFonts w:ascii="Arial" w:hAnsi="Arial" w:cs="Arial"/>
                <w:sz w:val="20"/>
                <w:szCs w:val="20"/>
              </w:rPr>
              <w:t xml:space="preserve"> and it is equally unfair to allow a party who has an interest in the litigation to use a poor man (who also has an interest) and in so doing hedge itself against an advers</w:t>
            </w:r>
            <w:r>
              <w:rPr>
                <w:rFonts w:ascii="Arial" w:hAnsi="Arial" w:cs="Arial"/>
                <w:sz w:val="20"/>
                <w:szCs w:val="20"/>
              </w:rPr>
              <w:t xml:space="preserve">e costs order. </w:t>
            </w:r>
            <w:r w:rsidRPr="00843084">
              <w:rPr>
                <w:rFonts w:ascii="Arial" w:hAnsi="Arial" w:cs="Arial"/>
                <w:sz w:val="20"/>
                <w:szCs w:val="20"/>
              </w:rPr>
              <w:t xml:space="preserve">It needs to be understood very clearly that in the application of the exception, a person is not ordered to pay costs because he or she is poor but because, while being impecunious, he or she is either a nominal plaintiff/applicant or is being used as a front by </w:t>
            </w:r>
            <w:r>
              <w:rPr>
                <w:rFonts w:ascii="Arial" w:hAnsi="Arial" w:cs="Arial"/>
                <w:sz w:val="20"/>
                <w:szCs w:val="20"/>
              </w:rPr>
              <w:t xml:space="preserve">another. </w:t>
            </w:r>
            <w:r w:rsidRPr="00843084">
              <w:rPr>
                <w:rFonts w:ascii="Arial" w:hAnsi="Arial" w:cs="Arial"/>
                <w:sz w:val="20"/>
                <w:szCs w:val="20"/>
              </w:rPr>
              <w:t>Poverty, without more,</w:t>
            </w:r>
            <w:r>
              <w:rPr>
                <w:rFonts w:ascii="Arial" w:hAnsi="Arial" w:cs="Arial"/>
                <w:sz w:val="20"/>
                <w:szCs w:val="20"/>
              </w:rPr>
              <w:t xml:space="preserve"> is no bar to seeking justice.</w:t>
            </w:r>
          </w:p>
          <w:p w:rsidR="008C1EF6" w:rsidRPr="00843084" w:rsidRDefault="008C1EF6" w:rsidP="008C1EF6">
            <w:pPr>
              <w:spacing w:line="360" w:lineRule="auto"/>
              <w:jc w:val="both"/>
              <w:rPr>
                <w:rFonts w:ascii="Arial" w:hAnsi="Arial" w:cs="Arial"/>
                <w:sz w:val="20"/>
                <w:szCs w:val="20"/>
              </w:rPr>
            </w:pPr>
          </w:p>
          <w:p w:rsidR="0014498F" w:rsidRDefault="008C1EF6" w:rsidP="00F41E5C">
            <w:pPr>
              <w:spacing w:line="360" w:lineRule="auto"/>
              <w:ind w:left="1126" w:hanging="567"/>
              <w:jc w:val="both"/>
              <w:rPr>
                <w:rFonts w:ascii="Arial" w:hAnsi="Arial" w:cs="Arial"/>
              </w:rPr>
            </w:pPr>
            <w:r w:rsidRPr="00843084">
              <w:rPr>
                <w:rFonts w:ascii="Arial" w:hAnsi="Arial" w:cs="Arial"/>
                <w:sz w:val="20"/>
                <w:szCs w:val="20"/>
              </w:rPr>
              <w:t>[25]</w:t>
            </w:r>
            <w:r w:rsidR="00F41E5C">
              <w:rPr>
                <w:rFonts w:ascii="Arial" w:hAnsi="Arial" w:cs="Arial"/>
                <w:sz w:val="20"/>
                <w:szCs w:val="20"/>
              </w:rPr>
              <w:t xml:space="preserve">  </w:t>
            </w:r>
            <w:r w:rsidRPr="00843084">
              <w:rPr>
                <w:rFonts w:ascii="Arial" w:hAnsi="Arial" w:cs="Arial"/>
                <w:sz w:val="20"/>
                <w:szCs w:val="20"/>
              </w:rPr>
              <w:t>A defendant/respondent who wishes to obtain security for costs on the strength of the implicated exception should, on balance of probability, show that the plaintiff/applicant is poor and is, in addition, a nominal litigan</w:t>
            </w:r>
            <w:r>
              <w:rPr>
                <w:rFonts w:ascii="Arial" w:hAnsi="Arial" w:cs="Arial"/>
                <w:sz w:val="20"/>
                <w:szCs w:val="20"/>
              </w:rPr>
              <w:t xml:space="preserve">t or a front of another party. </w:t>
            </w:r>
            <w:r w:rsidRPr="00843084">
              <w:rPr>
                <w:rFonts w:ascii="Arial" w:hAnsi="Arial" w:cs="Arial"/>
                <w:sz w:val="20"/>
                <w:szCs w:val="20"/>
              </w:rPr>
              <w:t>If the jurisdictional facts are established for the invocation of the exception, the court may order security for the costs of the defendant/respondent upon application therefor.</w:t>
            </w:r>
            <w:r>
              <w:rPr>
                <w:rFonts w:ascii="Arial" w:hAnsi="Arial" w:cs="Arial"/>
                <w:sz w:val="20"/>
                <w:szCs w:val="20"/>
              </w:rPr>
              <w:t>’</w:t>
            </w:r>
          </w:p>
          <w:p w:rsidR="0014498F" w:rsidRDefault="0014498F" w:rsidP="00422CA6">
            <w:pPr>
              <w:spacing w:line="360" w:lineRule="auto"/>
              <w:jc w:val="both"/>
              <w:rPr>
                <w:rFonts w:ascii="Arial" w:hAnsi="Arial" w:cs="Arial"/>
              </w:rPr>
            </w:pPr>
          </w:p>
          <w:p w:rsidR="00AE1B80" w:rsidRPr="00CE758D" w:rsidRDefault="00AE1B80" w:rsidP="00422CA6">
            <w:pPr>
              <w:spacing w:line="360" w:lineRule="auto"/>
              <w:jc w:val="both"/>
              <w:rPr>
                <w:rFonts w:ascii="Arial" w:hAnsi="Arial" w:cs="Arial"/>
              </w:rPr>
            </w:pPr>
            <w:r>
              <w:rPr>
                <w:rFonts w:ascii="Arial" w:hAnsi="Arial" w:cs="Arial"/>
              </w:rPr>
              <w:t>[1</w:t>
            </w:r>
            <w:r w:rsidR="00CE758D">
              <w:rPr>
                <w:rFonts w:ascii="Arial" w:hAnsi="Arial" w:cs="Arial"/>
              </w:rPr>
              <w:t>0</w:t>
            </w:r>
            <w:r>
              <w:rPr>
                <w:rFonts w:ascii="Arial" w:hAnsi="Arial" w:cs="Arial"/>
              </w:rPr>
              <w:t xml:space="preserve">]  </w:t>
            </w:r>
            <w:r w:rsidR="00CE758D" w:rsidRPr="00CE758D">
              <w:rPr>
                <w:rFonts w:ascii="Arial" w:hAnsi="Arial" w:cs="Arial"/>
              </w:rPr>
              <w:t>The main matter arises from a written Owner-Driver Distribution Agreement that was entered into on 15 February 2017 between the plaintiff, represented by Johannes Bikeur, and the defendant, represented by Viian Govender in Windhoek, The Republic of Namibia. In terms of that agreement, the plaintiff would render cartage services for the defendant to and from the defendant’s customers as a contractor. The plaintiff stated in its particulars of claim that it has complied with all of its obligations arising from the agreement, as well as the terms stated therein and rendered cartage services as agreed, but on 1 April 2018 the defendant addressed a purported notice of termination to the plaintiff in terms of which the defendant informed the plaintiff that the defendant has elected to terminate the agreement for reasons indicated therein. The plaintiff explained in the particulars of claim that such purported summary termination of the agreement is invalid and that in the circumstances it has explained, the defendant’s purported termination of the agreement is in breach of the agreement as it amounts to an unsubstantiated repudiation of the agreement on invalid and salacious grounds. The plaintiff further added that the purported notice of termination is inherently defective</w:t>
            </w:r>
            <w:r w:rsidR="00843A30" w:rsidRPr="00CE758D">
              <w:rPr>
                <w:rFonts w:ascii="Arial" w:hAnsi="Arial" w:cs="Arial"/>
              </w:rPr>
              <w:t>.</w:t>
            </w:r>
          </w:p>
          <w:p w:rsidR="00AE1B80" w:rsidRPr="00CE758D" w:rsidRDefault="00AE1B80" w:rsidP="00422CA6">
            <w:pPr>
              <w:spacing w:line="360" w:lineRule="auto"/>
              <w:jc w:val="both"/>
              <w:rPr>
                <w:rFonts w:ascii="Arial" w:hAnsi="Arial" w:cs="Arial"/>
              </w:rPr>
            </w:pPr>
          </w:p>
          <w:p w:rsidR="00AE1B80" w:rsidRPr="00CE758D" w:rsidRDefault="00CE758D" w:rsidP="00422CA6">
            <w:pPr>
              <w:spacing w:line="360" w:lineRule="auto"/>
              <w:jc w:val="both"/>
              <w:rPr>
                <w:rFonts w:ascii="Arial" w:hAnsi="Arial" w:cs="Arial"/>
              </w:rPr>
            </w:pPr>
            <w:r>
              <w:rPr>
                <w:rFonts w:ascii="Arial" w:hAnsi="Arial" w:cs="Arial"/>
              </w:rPr>
              <w:t>[11</w:t>
            </w:r>
            <w:r w:rsidR="00AE1B80">
              <w:rPr>
                <w:rFonts w:ascii="Arial" w:hAnsi="Arial" w:cs="Arial"/>
              </w:rPr>
              <w:t xml:space="preserve">]  </w:t>
            </w:r>
            <w:r w:rsidRPr="00CE758D">
              <w:rPr>
                <w:rFonts w:ascii="Arial" w:hAnsi="Arial" w:cs="Arial"/>
              </w:rPr>
              <w:t>In the present matter, it is apparent from the papers filed that the parties are in agreement that the plaintiff is not in a good financial position to furnish security for costs. The defendant showed on a balance of probability that the plaintiff is poor but failed to show in addition, on a balance of probability, that the plaintiff is a nominal litigant or a front for another party. The plaintiff has shown that it is entitled to maintain the action and that it has real interest in the subject matter of the cause, and therefore it cannot be said that its conduct amounts to abuse of the process of the court nor can it be said that the claim is frivolous</w:t>
            </w:r>
            <w:r w:rsidR="00AE1B80" w:rsidRPr="00CE758D">
              <w:rPr>
                <w:rFonts w:ascii="Arial" w:hAnsi="Arial" w:cs="Arial"/>
              </w:rPr>
              <w:t>.</w:t>
            </w:r>
          </w:p>
          <w:p w:rsidR="00AE1B80" w:rsidRPr="00CE758D" w:rsidRDefault="00AE1B80" w:rsidP="00422CA6">
            <w:pPr>
              <w:spacing w:line="360" w:lineRule="auto"/>
              <w:jc w:val="both"/>
              <w:rPr>
                <w:rFonts w:ascii="Arial" w:hAnsi="Arial" w:cs="Arial"/>
              </w:rPr>
            </w:pPr>
          </w:p>
          <w:p w:rsidR="00AE1B80" w:rsidRPr="00DF6EA5" w:rsidRDefault="00AE1B80" w:rsidP="00422CA6">
            <w:pPr>
              <w:spacing w:line="360" w:lineRule="auto"/>
              <w:jc w:val="both"/>
              <w:rPr>
                <w:rFonts w:ascii="Arial" w:hAnsi="Arial" w:cs="Arial"/>
              </w:rPr>
            </w:pPr>
            <w:r w:rsidRPr="00DF6EA5">
              <w:rPr>
                <w:rFonts w:ascii="Arial" w:hAnsi="Arial" w:cs="Arial"/>
              </w:rPr>
              <w:lastRenderedPageBreak/>
              <w:t>[1</w:t>
            </w:r>
            <w:r w:rsidR="00CE758D">
              <w:rPr>
                <w:rFonts w:ascii="Arial" w:hAnsi="Arial" w:cs="Arial"/>
              </w:rPr>
              <w:t>2</w:t>
            </w:r>
            <w:r w:rsidRPr="00DF6EA5">
              <w:rPr>
                <w:rFonts w:ascii="Arial" w:hAnsi="Arial" w:cs="Arial"/>
              </w:rPr>
              <w:t xml:space="preserve">]  </w:t>
            </w:r>
            <w:r w:rsidR="00DF6EA5" w:rsidRPr="00DF6EA5">
              <w:rPr>
                <w:rFonts w:ascii="Arial" w:hAnsi="Arial" w:cs="Arial"/>
              </w:rPr>
              <w:t>Our courts will be slow to close the doors of the court to a plaintiff who, although poor, needs to pursue a claim which may be meritorious. To do so may well result in an injustice in itself</w:t>
            </w:r>
            <w:r w:rsidRPr="00DF6EA5">
              <w:rPr>
                <w:rFonts w:ascii="Arial" w:hAnsi="Arial" w:cs="Arial"/>
              </w:rPr>
              <w:t>.</w:t>
            </w:r>
          </w:p>
          <w:p w:rsidR="00FE0CF9" w:rsidRPr="00DF6EA5" w:rsidRDefault="00FE0CF9" w:rsidP="00422CA6">
            <w:pPr>
              <w:spacing w:line="360" w:lineRule="auto"/>
              <w:jc w:val="both"/>
              <w:rPr>
                <w:rFonts w:ascii="Arial" w:hAnsi="Arial" w:cs="Arial"/>
              </w:rPr>
            </w:pPr>
          </w:p>
          <w:p w:rsidR="00FE0CF9" w:rsidRDefault="00CE758D" w:rsidP="00422CA6">
            <w:pPr>
              <w:spacing w:line="360" w:lineRule="auto"/>
              <w:jc w:val="both"/>
              <w:rPr>
                <w:rFonts w:ascii="Arial" w:hAnsi="Arial" w:cs="Arial"/>
              </w:rPr>
            </w:pPr>
            <w:r>
              <w:rPr>
                <w:rFonts w:ascii="Arial" w:hAnsi="Arial" w:cs="Arial"/>
              </w:rPr>
              <w:t>[13</w:t>
            </w:r>
            <w:r w:rsidR="00FE0CF9" w:rsidRPr="00DF6EA5">
              <w:rPr>
                <w:rFonts w:ascii="Arial" w:hAnsi="Arial" w:cs="Arial"/>
              </w:rPr>
              <w:t xml:space="preserve">]  </w:t>
            </w:r>
            <w:r w:rsidR="00DF6EA5" w:rsidRPr="00DF6EA5">
              <w:rPr>
                <w:rFonts w:ascii="Arial" w:hAnsi="Arial" w:cs="Arial"/>
              </w:rPr>
              <w:t>In the exercise of the discretion I have, I am inclined not to grant the relief being sought</w:t>
            </w:r>
            <w:r w:rsidR="00FE0CF9" w:rsidRPr="00DF6EA5">
              <w:rPr>
                <w:rFonts w:ascii="Arial" w:hAnsi="Arial" w:cs="Arial"/>
              </w:rPr>
              <w:t>.</w:t>
            </w:r>
          </w:p>
          <w:p w:rsidR="00DF6EA5" w:rsidRPr="00DF6EA5" w:rsidRDefault="00DF6EA5" w:rsidP="00422CA6">
            <w:pPr>
              <w:spacing w:line="360" w:lineRule="auto"/>
              <w:jc w:val="both"/>
              <w:rPr>
                <w:rFonts w:ascii="Arial" w:hAnsi="Arial" w:cs="Arial"/>
              </w:rPr>
            </w:pPr>
          </w:p>
          <w:p w:rsidR="00DF6EA5" w:rsidRPr="00DF6EA5" w:rsidRDefault="00CE758D" w:rsidP="00422CA6">
            <w:pPr>
              <w:spacing w:line="360" w:lineRule="auto"/>
              <w:jc w:val="both"/>
              <w:rPr>
                <w:rFonts w:ascii="Arial" w:hAnsi="Arial" w:cs="Arial"/>
              </w:rPr>
            </w:pPr>
            <w:r>
              <w:rPr>
                <w:rFonts w:ascii="Arial" w:hAnsi="Arial" w:cs="Arial"/>
              </w:rPr>
              <w:t>[14</w:t>
            </w:r>
            <w:r w:rsidR="00DF6EA5" w:rsidRPr="00DF6EA5">
              <w:rPr>
                <w:rFonts w:ascii="Arial" w:hAnsi="Arial" w:cs="Arial"/>
              </w:rPr>
              <w:t>]  The application is dismissed with cos</w:t>
            </w:r>
            <w:r w:rsidR="00DF6EA5">
              <w:rPr>
                <w:rFonts w:ascii="Arial" w:hAnsi="Arial" w:cs="Arial"/>
              </w:rPr>
              <w:t>ts, limited to the amount of N$</w:t>
            </w:r>
            <w:r w:rsidR="00DF6EA5" w:rsidRPr="00DF6EA5">
              <w:rPr>
                <w:rFonts w:ascii="Arial" w:hAnsi="Arial" w:cs="Arial"/>
              </w:rPr>
              <w:t>20</w:t>
            </w:r>
            <w:r w:rsidR="00DF6EA5">
              <w:rPr>
                <w:rFonts w:ascii="Arial" w:hAnsi="Arial" w:cs="Arial"/>
              </w:rPr>
              <w:t xml:space="preserve"> </w:t>
            </w:r>
            <w:r w:rsidR="00DF6EA5" w:rsidRPr="00DF6EA5">
              <w:rPr>
                <w:rFonts w:ascii="Arial" w:hAnsi="Arial" w:cs="Arial"/>
              </w:rPr>
              <w:t>000</w:t>
            </w:r>
            <w:r w:rsidR="00DF6EA5">
              <w:rPr>
                <w:rFonts w:ascii="Arial" w:hAnsi="Arial" w:cs="Arial"/>
              </w:rPr>
              <w:t>.</w:t>
            </w:r>
          </w:p>
          <w:p w:rsidR="00711F52" w:rsidRPr="002E5933" w:rsidRDefault="00711F52" w:rsidP="00422CA6">
            <w:pPr>
              <w:spacing w:line="360" w:lineRule="auto"/>
              <w:jc w:val="both"/>
              <w:rPr>
                <w:rFonts w:ascii="Arial" w:hAnsi="Arial" w:cs="Arial"/>
              </w:rPr>
            </w:pPr>
          </w:p>
        </w:tc>
      </w:tr>
      <w:tr w:rsidR="00BE5489" w:rsidRPr="006E49A3" w:rsidTr="00C04EBD">
        <w:tc>
          <w:tcPr>
            <w:tcW w:w="4770" w:type="dxa"/>
          </w:tcPr>
          <w:p w:rsidR="00BE5489" w:rsidRPr="006E49A3" w:rsidRDefault="00EB27A0" w:rsidP="0050338C">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B23661">
        <w:trPr>
          <w:trHeight w:val="914"/>
        </w:trPr>
        <w:tc>
          <w:tcPr>
            <w:tcW w:w="4770" w:type="dxa"/>
          </w:tcPr>
          <w:p w:rsidR="00BE5489" w:rsidRDefault="00BE5489" w:rsidP="00EB27A0">
            <w:pPr>
              <w:spacing w:line="360" w:lineRule="auto"/>
              <w:jc w:val="both"/>
              <w:rPr>
                <w:rFonts w:ascii="Arial" w:hAnsi="Arial" w:cs="Arial"/>
              </w:rPr>
            </w:pPr>
          </w:p>
          <w:p w:rsidR="00CE758D" w:rsidRDefault="00CE758D"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265783">
            <w:pPr>
              <w:spacing w:line="360" w:lineRule="auto"/>
              <w:jc w:val="center"/>
              <w:rPr>
                <w:rFonts w:ascii="Arial" w:hAnsi="Arial" w:cs="Arial"/>
                <w:b/>
              </w:rPr>
            </w:pPr>
            <w:r w:rsidRPr="006E49A3">
              <w:rPr>
                <w:rFonts w:ascii="Arial" w:hAnsi="Arial" w:cs="Arial"/>
                <w:b/>
              </w:rPr>
              <w:t>Applicant</w:t>
            </w:r>
            <w:r w:rsidR="00A66F65">
              <w:rPr>
                <w:rFonts w:ascii="Arial" w:hAnsi="Arial" w:cs="Arial"/>
                <w:b/>
              </w:rPr>
              <w:t>/Defendant</w:t>
            </w:r>
          </w:p>
        </w:tc>
        <w:tc>
          <w:tcPr>
            <w:tcW w:w="4950" w:type="dxa"/>
            <w:gridSpan w:val="2"/>
          </w:tcPr>
          <w:p w:rsidR="00FD38C2" w:rsidRPr="006E49A3" w:rsidRDefault="00265783" w:rsidP="00265783">
            <w:pPr>
              <w:spacing w:line="360" w:lineRule="auto"/>
              <w:jc w:val="center"/>
              <w:rPr>
                <w:rFonts w:ascii="Arial" w:hAnsi="Arial" w:cs="Arial"/>
                <w:b/>
              </w:rPr>
            </w:pPr>
            <w:r>
              <w:rPr>
                <w:rFonts w:ascii="Arial" w:hAnsi="Arial" w:cs="Arial"/>
                <w:b/>
              </w:rPr>
              <w:t>R</w:t>
            </w:r>
            <w:r w:rsidR="0050338C" w:rsidRPr="006E49A3">
              <w:rPr>
                <w:rFonts w:ascii="Arial" w:hAnsi="Arial" w:cs="Arial"/>
                <w:b/>
              </w:rPr>
              <w:t>espondent</w:t>
            </w:r>
            <w:r w:rsidR="00A66F65">
              <w:rPr>
                <w:rFonts w:ascii="Arial" w:hAnsi="Arial" w:cs="Arial"/>
                <w:b/>
              </w:rPr>
              <w:t>/Plaintiff</w:t>
            </w:r>
          </w:p>
        </w:tc>
      </w:tr>
      <w:tr w:rsidR="00A23F8A" w:rsidRPr="006E49A3" w:rsidTr="00FD38C2">
        <w:tc>
          <w:tcPr>
            <w:tcW w:w="4770" w:type="dxa"/>
          </w:tcPr>
          <w:p w:rsidR="008E6759" w:rsidRPr="006E49A3" w:rsidRDefault="00265783" w:rsidP="008E6759">
            <w:pPr>
              <w:spacing w:line="360" w:lineRule="auto"/>
              <w:jc w:val="center"/>
              <w:rPr>
                <w:rFonts w:ascii="Arial" w:hAnsi="Arial" w:cs="Arial"/>
              </w:rPr>
            </w:pPr>
            <w:r>
              <w:rPr>
                <w:rFonts w:ascii="Arial" w:hAnsi="Arial" w:cs="Arial"/>
              </w:rPr>
              <w:t>H Garbers-Kirsten</w:t>
            </w:r>
          </w:p>
          <w:p w:rsidR="008E6759" w:rsidRPr="006E49A3" w:rsidRDefault="008E6759" w:rsidP="008E6759">
            <w:pPr>
              <w:spacing w:line="360" w:lineRule="auto"/>
              <w:jc w:val="center"/>
              <w:rPr>
                <w:rFonts w:ascii="Arial" w:hAnsi="Arial" w:cs="Arial"/>
                <w:i/>
              </w:rPr>
            </w:pPr>
            <w:r>
              <w:rPr>
                <w:rFonts w:ascii="Arial" w:hAnsi="Arial" w:cs="Arial"/>
                <w:i/>
              </w:rPr>
              <w:t>instructed by</w:t>
            </w:r>
          </w:p>
          <w:p w:rsidR="009F24FA" w:rsidRDefault="00A66F65" w:rsidP="008E6759">
            <w:pPr>
              <w:spacing w:line="360" w:lineRule="auto"/>
              <w:jc w:val="center"/>
              <w:rPr>
                <w:rFonts w:ascii="Arial" w:hAnsi="Arial" w:cs="Arial"/>
              </w:rPr>
            </w:pPr>
            <w:r>
              <w:rPr>
                <w:rFonts w:ascii="Arial" w:hAnsi="Arial" w:cs="Arial"/>
              </w:rPr>
              <w:t>Koep &amp; Partners</w:t>
            </w:r>
            <w:r w:rsidR="008E6759" w:rsidRPr="006E49A3">
              <w:rPr>
                <w:rFonts w:ascii="Arial" w:hAnsi="Arial" w:cs="Arial"/>
              </w:rPr>
              <w:t>, Windhoek</w:t>
            </w:r>
          </w:p>
          <w:p w:rsidR="008E6759" w:rsidRPr="006E49A3" w:rsidRDefault="008E6759" w:rsidP="008E6759">
            <w:pPr>
              <w:spacing w:line="360" w:lineRule="auto"/>
              <w:jc w:val="center"/>
              <w:rPr>
                <w:rFonts w:ascii="Arial" w:hAnsi="Arial" w:cs="Arial"/>
              </w:rPr>
            </w:pPr>
          </w:p>
        </w:tc>
        <w:tc>
          <w:tcPr>
            <w:tcW w:w="4950" w:type="dxa"/>
            <w:gridSpan w:val="2"/>
          </w:tcPr>
          <w:p w:rsidR="00A66F65" w:rsidRDefault="00DF6EA5" w:rsidP="00A66F65">
            <w:pPr>
              <w:spacing w:line="360" w:lineRule="auto"/>
              <w:jc w:val="center"/>
              <w:rPr>
                <w:rFonts w:ascii="Arial" w:hAnsi="Arial" w:cs="Arial"/>
              </w:rPr>
            </w:pPr>
            <w:r>
              <w:rPr>
                <w:rFonts w:ascii="Arial" w:hAnsi="Arial" w:cs="Arial"/>
              </w:rPr>
              <w:t xml:space="preserve">R </w:t>
            </w:r>
            <w:r w:rsidR="00A66F65">
              <w:rPr>
                <w:rFonts w:ascii="Arial" w:hAnsi="Arial" w:cs="Arial"/>
              </w:rPr>
              <w:t>Silungwe</w:t>
            </w:r>
          </w:p>
          <w:p w:rsidR="00265783" w:rsidRPr="006E49A3" w:rsidRDefault="00265783" w:rsidP="00265783">
            <w:pPr>
              <w:spacing w:line="360" w:lineRule="auto"/>
              <w:jc w:val="center"/>
              <w:rPr>
                <w:rFonts w:ascii="Arial" w:hAnsi="Arial" w:cs="Arial"/>
                <w:i/>
              </w:rPr>
            </w:pPr>
            <w:r>
              <w:rPr>
                <w:rFonts w:ascii="Arial" w:hAnsi="Arial" w:cs="Arial"/>
                <w:i/>
              </w:rPr>
              <w:t>of</w:t>
            </w:r>
          </w:p>
          <w:p w:rsidR="00265783" w:rsidRDefault="00A66F65" w:rsidP="00265783">
            <w:pPr>
              <w:spacing w:line="360" w:lineRule="auto"/>
              <w:jc w:val="center"/>
              <w:rPr>
                <w:rFonts w:ascii="Arial" w:hAnsi="Arial" w:cs="Arial"/>
              </w:rPr>
            </w:pPr>
            <w:r>
              <w:rPr>
                <w:rFonts w:ascii="Arial" w:hAnsi="Arial" w:cs="Arial"/>
              </w:rPr>
              <w:t>Silungwe</w:t>
            </w:r>
            <w:r w:rsidR="00265783">
              <w:rPr>
                <w:rFonts w:ascii="Arial" w:hAnsi="Arial" w:cs="Arial"/>
              </w:rPr>
              <w:t xml:space="preserve"> </w:t>
            </w:r>
            <w:r w:rsidR="00DF6EA5">
              <w:rPr>
                <w:rFonts w:ascii="Arial" w:hAnsi="Arial" w:cs="Arial"/>
              </w:rPr>
              <w:t>Legal</w:t>
            </w:r>
            <w:r w:rsidR="00265783">
              <w:rPr>
                <w:rFonts w:ascii="Arial" w:hAnsi="Arial" w:cs="Arial"/>
              </w:rPr>
              <w:t xml:space="preserve"> </w:t>
            </w:r>
            <w:r w:rsidR="00DF6EA5">
              <w:rPr>
                <w:rFonts w:ascii="Arial" w:hAnsi="Arial" w:cs="Arial"/>
              </w:rPr>
              <w:t>Practitioners</w:t>
            </w:r>
            <w:r w:rsidR="00265783" w:rsidRPr="006E49A3">
              <w:rPr>
                <w:rFonts w:ascii="Arial" w:hAnsi="Arial" w:cs="Arial"/>
              </w:rPr>
              <w:t>, Windhoek</w:t>
            </w:r>
          </w:p>
          <w:p w:rsidR="006E49A3" w:rsidRPr="006E49A3" w:rsidRDefault="006E49A3" w:rsidP="006E49A3">
            <w:pPr>
              <w:spacing w:line="360" w:lineRule="auto"/>
              <w:jc w:val="center"/>
              <w:rPr>
                <w:rFonts w:ascii="Arial" w:hAnsi="Arial" w:cs="Arial"/>
              </w:rPr>
            </w:pPr>
          </w:p>
        </w:tc>
      </w:tr>
    </w:tbl>
    <w:p w:rsidR="009B096F" w:rsidRPr="00B23661" w:rsidRDefault="009B096F" w:rsidP="00B23661">
      <w:pPr>
        <w:spacing w:after="0" w:line="360" w:lineRule="auto"/>
        <w:jc w:val="both"/>
        <w:rPr>
          <w:rFonts w:ascii="Arial" w:hAnsi="Arial" w:cs="Arial"/>
          <w:sz w:val="4"/>
          <w:szCs w:val="4"/>
        </w:rPr>
      </w:pPr>
    </w:p>
    <w:sectPr w:rsidR="009B096F" w:rsidRPr="00B23661" w:rsidSect="00BB1E6E">
      <w:footerReference w:type="default" r:id="rId8"/>
      <w:pgSz w:w="11906" w:h="16838"/>
      <w:pgMar w:top="1134"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26" w:rsidRDefault="00267126" w:rsidP="00A23F8A">
      <w:pPr>
        <w:spacing w:after="0" w:line="240" w:lineRule="auto"/>
      </w:pPr>
      <w:r>
        <w:separator/>
      </w:r>
    </w:p>
  </w:endnote>
  <w:endnote w:type="continuationSeparator" w:id="0">
    <w:p w:rsidR="00267126" w:rsidRDefault="00267126"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2C59CB">
        <w:pPr>
          <w:pStyle w:val="Footer"/>
          <w:jc w:val="right"/>
        </w:pPr>
        <w:r w:rsidRPr="00A23F8A">
          <w:rPr>
            <w:rFonts w:ascii="Arial Narrow" w:hAnsi="Arial Narrow"/>
            <w:sz w:val="18"/>
            <w:szCs w:val="18"/>
          </w:rPr>
          <w:fldChar w:fldCharType="begin"/>
        </w:r>
        <w:r w:rsidR="00A23F8A"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BD2308">
          <w:rPr>
            <w:rFonts w:ascii="Arial Narrow" w:hAnsi="Arial Narrow"/>
            <w:noProof/>
            <w:sz w:val="18"/>
            <w:szCs w:val="18"/>
          </w:rPr>
          <w:t>5</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26" w:rsidRDefault="00267126" w:rsidP="00A23F8A">
      <w:pPr>
        <w:spacing w:after="0" w:line="240" w:lineRule="auto"/>
      </w:pPr>
      <w:r>
        <w:separator/>
      </w:r>
    </w:p>
  </w:footnote>
  <w:footnote w:type="continuationSeparator" w:id="0">
    <w:p w:rsidR="00267126" w:rsidRDefault="00267126" w:rsidP="00A23F8A">
      <w:pPr>
        <w:spacing w:after="0" w:line="240" w:lineRule="auto"/>
      </w:pPr>
      <w:r>
        <w:continuationSeparator/>
      </w:r>
    </w:p>
  </w:footnote>
  <w:footnote w:id="1">
    <w:p w:rsidR="00CE758D" w:rsidRPr="00CE758D" w:rsidRDefault="00CE758D" w:rsidP="00CE758D">
      <w:pPr>
        <w:pStyle w:val="FootnoteText"/>
        <w:rPr>
          <w:rFonts w:ascii="Arial" w:hAnsi="Arial" w:cs="Arial"/>
          <w:sz w:val="18"/>
          <w:szCs w:val="18"/>
          <w:lang w:val="en-US"/>
        </w:rPr>
      </w:pPr>
      <w:r w:rsidRPr="00CE758D">
        <w:rPr>
          <w:rStyle w:val="FootnoteReference"/>
          <w:rFonts w:ascii="Arial" w:hAnsi="Arial" w:cs="Arial"/>
          <w:sz w:val="18"/>
          <w:szCs w:val="18"/>
        </w:rPr>
        <w:footnoteRef/>
      </w:r>
      <w:r w:rsidRPr="00CE758D">
        <w:rPr>
          <w:rFonts w:ascii="Arial" w:hAnsi="Arial" w:cs="Arial"/>
          <w:sz w:val="18"/>
          <w:szCs w:val="18"/>
        </w:rPr>
        <w:t xml:space="preserve"> </w:t>
      </w:r>
      <w:r>
        <w:rPr>
          <w:rFonts w:ascii="Arial" w:hAnsi="Arial" w:cs="Arial"/>
          <w:sz w:val="18"/>
          <w:szCs w:val="18"/>
          <w:lang w:val="en-US"/>
        </w:rPr>
        <w:t>Para</w:t>
      </w:r>
      <w:r w:rsidRPr="00CE758D">
        <w:rPr>
          <w:rFonts w:ascii="Arial" w:hAnsi="Arial" w:cs="Arial"/>
          <w:sz w:val="18"/>
          <w:szCs w:val="18"/>
          <w:lang w:val="en-US"/>
        </w:rPr>
        <w:t xml:space="preserve"> 15.1 of the Defendant’s Replying Affidavit</w:t>
      </w:r>
      <w:r>
        <w:rPr>
          <w:rFonts w:ascii="Arial" w:hAnsi="Arial" w:cs="Arial"/>
          <w:sz w:val="18"/>
          <w:szCs w:val="18"/>
          <w:lang w:val="en-US"/>
        </w:rPr>
        <w:t>.</w:t>
      </w:r>
    </w:p>
  </w:footnote>
  <w:footnote w:id="2">
    <w:p w:rsidR="00CE758D" w:rsidRPr="00CE758D" w:rsidRDefault="00CE758D" w:rsidP="00CE758D">
      <w:pPr>
        <w:pStyle w:val="FootnoteText"/>
        <w:rPr>
          <w:rFonts w:ascii="Arial" w:hAnsi="Arial" w:cs="Arial"/>
          <w:sz w:val="18"/>
          <w:szCs w:val="18"/>
          <w:lang w:val="en-US"/>
        </w:rPr>
      </w:pPr>
      <w:r w:rsidRPr="00CE758D">
        <w:rPr>
          <w:rStyle w:val="FootnoteReference"/>
          <w:rFonts w:ascii="Arial" w:hAnsi="Arial" w:cs="Arial"/>
          <w:sz w:val="18"/>
          <w:szCs w:val="18"/>
        </w:rPr>
        <w:footnoteRef/>
      </w:r>
      <w:r w:rsidRPr="00CE758D">
        <w:rPr>
          <w:rFonts w:ascii="Arial" w:hAnsi="Arial" w:cs="Arial"/>
          <w:sz w:val="18"/>
          <w:szCs w:val="18"/>
        </w:rPr>
        <w:t xml:space="preserve"> </w:t>
      </w:r>
      <w:r>
        <w:rPr>
          <w:rFonts w:ascii="Arial" w:hAnsi="Arial" w:cs="Arial"/>
          <w:sz w:val="18"/>
          <w:szCs w:val="18"/>
          <w:lang w:val="en-US"/>
        </w:rPr>
        <w:t>Para</w:t>
      </w:r>
      <w:r w:rsidRPr="00CE758D">
        <w:rPr>
          <w:rFonts w:ascii="Arial" w:hAnsi="Arial" w:cs="Arial"/>
          <w:sz w:val="18"/>
          <w:szCs w:val="18"/>
          <w:lang w:val="en-US"/>
        </w:rPr>
        <w:t xml:space="preserve"> 22 of the Defendant’s Replying Affidavit</w:t>
      </w:r>
      <w:r>
        <w:rPr>
          <w:rFonts w:ascii="Arial" w:hAnsi="Arial" w:cs="Arial"/>
          <w:sz w:val="18"/>
          <w:szCs w:val="18"/>
          <w:lang w:val="en-US"/>
        </w:rPr>
        <w:t>.</w:t>
      </w:r>
    </w:p>
  </w:footnote>
  <w:footnote w:id="3">
    <w:p w:rsidR="0014498F" w:rsidRPr="00CE758D" w:rsidRDefault="0014498F" w:rsidP="00B23661">
      <w:pPr>
        <w:pStyle w:val="FootnoteText"/>
        <w:jc w:val="both"/>
        <w:rPr>
          <w:rFonts w:ascii="Arial" w:hAnsi="Arial" w:cs="Arial"/>
          <w:sz w:val="18"/>
          <w:szCs w:val="18"/>
          <w:lang w:val="en-US"/>
        </w:rPr>
      </w:pPr>
      <w:r w:rsidRPr="00CE758D">
        <w:rPr>
          <w:rStyle w:val="FootnoteReference"/>
          <w:rFonts w:ascii="Arial" w:hAnsi="Arial" w:cs="Arial"/>
          <w:sz w:val="18"/>
          <w:szCs w:val="18"/>
        </w:rPr>
        <w:footnoteRef/>
      </w:r>
      <w:r w:rsidRPr="00CE758D">
        <w:rPr>
          <w:rFonts w:ascii="Arial" w:hAnsi="Arial" w:cs="Arial"/>
          <w:sz w:val="18"/>
          <w:szCs w:val="18"/>
        </w:rPr>
        <w:t xml:space="preserve"> </w:t>
      </w:r>
      <w:r w:rsidRPr="00CE758D">
        <w:rPr>
          <w:rFonts w:ascii="Arial" w:hAnsi="Arial" w:cs="Arial"/>
          <w:i/>
          <w:sz w:val="18"/>
          <w:szCs w:val="18"/>
        </w:rPr>
        <w:t xml:space="preserve">Hepute and Others v Minister of Mines and Energy and Another </w:t>
      </w:r>
      <w:r w:rsidRPr="00CE758D">
        <w:rPr>
          <w:rFonts w:ascii="Arial" w:hAnsi="Arial" w:cs="Arial"/>
          <w:sz w:val="18"/>
          <w:szCs w:val="18"/>
        </w:rPr>
        <w:t>2008</w:t>
      </w:r>
      <w:r w:rsidRPr="00CE758D">
        <w:rPr>
          <w:rFonts w:ascii="Arial" w:hAnsi="Arial" w:cs="Arial"/>
          <w:i/>
          <w:sz w:val="18"/>
          <w:szCs w:val="18"/>
        </w:rPr>
        <w:t xml:space="preserve"> </w:t>
      </w:r>
      <w:r w:rsidRPr="00CE758D">
        <w:rPr>
          <w:rFonts w:ascii="Arial" w:hAnsi="Arial" w:cs="Arial"/>
          <w:sz w:val="18"/>
          <w:szCs w:val="18"/>
        </w:rPr>
        <w:t>(2) NR 399 (SC) at 409-10</w:t>
      </w:r>
      <w:r w:rsidRPr="00CE758D">
        <w:rPr>
          <w:rFonts w:ascii="Arial" w:hAnsi="Arial" w:cs="Arial"/>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FAE"/>
    <w:multiLevelType w:val="hybridMultilevel"/>
    <w:tmpl w:val="911661A8"/>
    <w:lvl w:ilvl="0" w:tplc="B73A9B20">
      <w:start w:val="1"/>
      <w:numFmt w:val="lowerLetter"/>
      <w:lvlText w:val="(%1)"/>
      <w:lvlJc w:val="left"/>
      <w:pPr>
        <w:ind w:left="919" w:hanging="360"/>
      </w:pPr>
      <w:rPr>
        <w:rFonts w:hint="default"/>
      </w:rPr>
    </w:lvl>
    <w:lvl w:ilvl="1" w:tplc="1C090019" w:tentative="1">
      <w:start w:val="1"/>
      <w:numFmt w:val="lowerLetter"/>
      <w:lvlText w:val="%2."/>
      <w:lvlJc w:val="left"/>
      <w:pPr>
        <w:ind w:left="1639" w:hanging="360"/>
      </w:pPr>
    </w:lvl>
    <w:lvl w:ilvl="2" w:tplc="1C09001B" w:tentative="1">
      <w:start w:val="1"/>
      <w:numFmt w:val="lowerRoman"/>
      <w:lvlText w:val="%3."/>
      <w:lvlJc w:val="right"/>
      <w:pPr>
        <w:ind w:left="2359" w:hanging="180"/>
      </w:pPr>
    </w:lvl>
    <w:lvl w:ilvl="3" w:tplc="1C09000F" w:tentative="1">
      <w:start w:val="1"/>
      <w:numFmt w:val="decimal"/>
      <w:lvlText w:val="%4."/>
      <w:lvlJc w:val="left"/>
      <w:pPr>
        <w:ind w:left="3079" w:hanging="360"/>
      </w:pPr>
    </w:lvl>
    <w:lvl w:ilvl="4" w:tplc="1C090019" w:tentative="1">
      <w:start w:val="1"/>
      <w:numFmt w:val="lowerLetter"/>
      <w:lvlText w:val="%5."/>
      <w:lvlJc w:val="left"/>
      <w:pPr>
        <w:ind w:left="3799" w:hanging="360"/>
      </w:pPr>
    </w:lvl>
    <w:lvl w:ilvl="5" w:tplc="1C09001B" w:tentative="1">
      <w:start w:val="1"/>
      <w:numFmt w:val="lowerRoman"/>
      <w:lvlText w:val="%6."/>
      <w:lvlJc w:val="right"/>
      <w:pPr>
        <w:ind w:left="4519" w:hanging="180"/>
      </w:pPr>
    </w:lvl>
    <w:lvl w:ilvl="6" w:tplc="1C09000F" w:tentative="1">
      <w:start w:val="1"/>
      <w:numFmt w:val="decimal"/>
      <w:lvlText w:val="%7."/>
      <w:lvlJc w:val="left"/>
      <w:pPr>
        <w:ind w:left="5239" w:hanging="360"/>
      </w:pPr>
    </w:lvl>
    <w:lvl w:ilvl="7" w:tplc="1C090019" w:tentative="1">
      <w:start w:val="1"/>
      <w:numFmt w:val="lowerLetter"/>
      <w:lvlText w:val="%8."/>
      <w:lvlJc w:val="left"/>
      <w:pPr>
        <w:ind w:left="5959" w:hanging="360"/>
      </w:pPr>
    </w:lvl>
    <w:lvl w:ilvl="8" w:tplc="1C09001B" w:tentative="1">
      <w:start w:val="1"/>
      <w:numFmt w:val="lowerRoman"/>
      <w:lvlText w:val="%9."/>
      <w:lvlJc w:val="right"/>
      <w:pPr>
        <w:ind w:left="6679" w:hanging="180"/>
      </w:pPr>
    </w:lvl>
  </w:abstractNum>
  <w:abstractNum w:abstractNumId="1" w15:restartNumberingAfterBreak="0">
    <w:nsid w:val="0B1856F7"/>
    <w:multiLevelType w:val="hybridMultilevel"/>
    <w:tmpl w:val="C50A90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0C4E2B"/>
    <w:multiLevelType w:val="hybridMultilevel"/>
    <w:tmpl w:val="40FECA10"/>
    <w:lvl w:ilvl="0" w:tplc="E7BA7CDE">
      <w:start w:val="1"/>
      <w:numFmt w:val="decimal"/>
      <w:lvlText w:val="[%1]"/>
      <w:lvlJc w:val="left"/>
      <w:pPr>
        <w:ind w:left="540" w:hanging="360"/>
      </w:pPr>
      <w:rPr>
        <w:rFonts w:ascii="Arial" w:hAnsi="Arial" w:cs="Arial" w:hint="default"/>
        <w:b w:val="0"/>
        <w:i w:val="0"/>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10"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0"/>
  </w:num>
  <w:num w:numId="5">
    <w:abstractNumId w:val="8"/>
  </w:num>
  <w:num w:numId="6">
    <w:abstractNumId w:val="6"/>
  </w:num>
  <w:num w:numId="7">
    <w:abstractNumId w:val="13"/>
  </w:num>
  <w:num w:numId="8">
    <w:abstractNumId w:val="12"/>
  </w:num>
  <w:num w:numId="9">
    <w:abstractNumId w:val="5"/>
  </w:num>
  <w:num w:numId="10">
    <w:abstractNumId w:val="9"/>
  </w:num>
  <w:num w:numId="11">
    <w:abstractNumId w:val="4"/>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62068"/>
    <w:rsid w:val="00065CE7"/>
    <w:rsid w:val="00090783"/>
    <w:rsid w:val="00092FD2"/>
    <w:rsid w:val="000C0A07"/>
    <w:rsid w:val="000D5FE9"/>
    <w:rsid w:val="000E362A"/>
    <w:rsid w:val="000F1180"/>
    <w:rsid w:val="00112D50"/>
    <w:rsid w:val="00113321"/>
    <w:rsid w:val="00124EC8"/>
    <w:rsid w:val="001338C3"/>
    <w:rsid w:val="001417E6"/>
    <w:rsid w:val="0014498F"/>
    <w:rsid w:val="00165FEE"/>
    <w:rsid w:val="0017153C"/>
    <w:rsid w:val="001804AD"/>
    <w:rsid w:val="001B23D9"/>
    <w:rsid w:val="001B710C"/>
    <w:rsid w:val="001D41D2"/>
    <w:rsid w:val="001E39EE"/>
    <w:rsid w:val="001E70F9"/>
    <w:rsid w:val="001F1ECD"/>
    <w:rsid w:val="001F4A48"/>
    <w:rsid w:val="002002FA"/>
    <w:rsid w:val="00203E3D"/>
    <w:rsid w:val="002100DF"/>
    <w:rsid w:val="002207D9"/>
    <w:rsid w:val="002238FA"/>
    <w:rsid w:val="00223D66"/>
    <w:rsid w:val="00246F96"/>
    <w:rsid w:val="00263A9B"/>
    <w:rsid w:val="00265783"/>
    <w:rsid w:val="00267126"/>
    <w:rsid w:val="00270859"/>
    <w:rsid w:val="002736CF"/>
    <w:rsid w:val="00281A10"/>
    <w:rsid w:val="00281FAB"/>
    <w:rsid w:val="002832E5"/>
    <w:rsid w:val="002B1C34"/>
    <w:rsid w:val="002B3F1D"/>
    <w:rsid w:val="002C3150"/>
    <w:rsid w:val="002C5513"/>
    <w:rsid w:val="002C59CB"/>
    <w:rsid w:val="002C6FA8"/>
    <w:rsid w:val="002D4C2A"/>
    <w:rsid w:val="002E3BFB"/>
    <w:rsid w:val="002E5933"/>
    <w:rsid w:val="00300CF7"/>
    <w:rsid w:val="0030287B"/>
    <w:rsid w:val="00323762"/>
    <w:rsid w:val="00334EC0"/>
    <w:rsid w:val="003375D1"/>
    <w:rsid w:val="00342AC5"/>
    <w:rsid w:val="00347DBC"/>
    <w:rsid w:val="00364D3C"/>
    <w:rsid w:val="00371CD0"/>
    <w:rsid w:val="003723C3"/>
    <w:rsid w:val="0039308E"/>
    <w:rsid w:val="00393E41"/>
    <w:rsid w:val="00396AF1"/>
    <w:rsid w:val="003A0103"/>
    <w:rsid w:val="003A7E2F"/>
    <w:rsid w:val="003B0E74"/>
    <w:rsid w:val="003C4403"/>
    <w:rsid w:val="003C4613"/>
    <w:rsid w:val="003D11A7"/>
    <w:rsid w:val="003D1A3A"/>
    <w:rsid w:val="003E3D0D"/>
    <w:rsid w:val="003E50E8"/>
    <w:rsid w:val="003F4D3E"/>
    <w:rsid w:val="003F52A2"/>
    <w:rsid w:val="003F63E0"/>
    <w:rsid w:val="00422CA6"/>
    <w:rsid w:val="00425554"/>
    <w:rsid w:val="00447B18"/>
    <w:rsid w:val="004514DE"/>
    <w:rsid w:val="004546CC"/>
    <w:rsid w:val="00456199"/>
    <w:rsid w:val="00470B0C"/>
    <w:rsid w:val="004B355E"/>
    <w:rsid w:val="004B452A"/>
    <w:rsid w:val="004B5538"/>
    <w:rsid w:val="004B5E87"/>
    <w:rsid w:val="004E581F"/>
    <w:rsid w:val="004E7D33"/>
    <w:rsid w:val="0050338C"/>
    <w:rsid w:val="005234EE"/>
    <w:rsid w:val="00524D61"/>
    <w:rsid w:val="005403D8"/>
    <w:rsid w:val="005577B6"/>
    <w:rsid w:val="00560857"/>
    <w:rsid w:val="00562A14"/>
    <w:rsid w:val="0056512A"/>
    <w:rsid w:val="005955B1"/>
    <w:rsid w:val="005A66F8"/>
    <w:rsid w:val="005B7A31"/>
    <w:rsid w:val="005D0592"/>
    <w:rsid w:val="005D6172"/>
    <w:rsid w:val="005D7161"/>
    <w:rsid w:val="005E5A8F"/>
    <w:rsid w:val="0060394A"/>
    <w:rsid w:val="006039AA"/>
    <w:rsid w:val="00621EE8"/>
    <w:rsid w:val="0062225A"/>
    <w:rsid w:val="00627C26"/>
    <w:rsid w:val="006475B1"/>
    <w:rsid w:val="00647A7B"/>
    <w:rsid w:val="00650BB1"/>
    <w:rsid w:val="00652595"/>
    <w:rsid w:val="00666306"/>
    <w:rsid w:val="006809D8"/>
    <w:rsid w:val="00686B3F"/>
    <w:rsid w:val="00694FE2"/>
    <w:rsid w:val="00697A81"/>
    <w:rsid w:val="006B1F56"/>
    <w:rsid w:val="006C2872"/>
    <w:rsid w:val="006C5AF5"/>
    <w:rsid w:val="006D1141"/>
    <w:rsid w:val="006D22F9"/>
    <w:rsid w:val="006D2D84"/>
    <w:rsid w:val="006E2964"/>
    <w:rsid w:val="006E49A3"/>
    <w:rsid w:val="00711F52"/>
    <w:rsid w:val="00715AD2"/>
    <w:rsid w:val="00723F03"/>
    <w:rsid w:val="0072640A"/>
    <w:rsid w:val="0073012B"/>
    <w:rsid w:val="007329D4"/>
    <w:rsid w:val="007447AE"/>
    <w:rsid w:val="00764071"/>
    <w:rsid w:val="0078341F"/>
    <w:rsid w:val="0079456D"/>
    <w:rsid w:val="00797188"/>
    <w:rsid w:val="00797247"/>
    <w:rsid w:val="007A64D4"/>
    <w:rsid w:val="007C6B41"/>
    <w:rsid w:val="00805BCE"/>
    <w:rsid w:val="00806B14"/>
    <w:rsid w:val="00812E09"/>
    <w:rsid w:val="0081352A"/>
    <w:rsid w:val="00823237"/>
    <w:rsid w:val="00825474"/>
    <w:rsid w:val="00837272"/>
    <w:rsid w:val="00843A30"/>
    <w:rsid w:val="00851B88"/>
    <w:rsid w:val="00864008"/>
    <w:rsid w:val="00864FC2"/>
    <w:rsid w:val="00867BDF"/>
    <w:rsid w:val="00890143"/>
    <w:rsid w:val="008930A5"/>
    <w:rsid w:val="008A14A9"/>
    <w:rsid w:val="008B1C23"/>
    <w:rsid w:val="008C0AC7"/>
    <w:rsid w:val="008C1EF6"/>
    <w:rsid w:val="008D2B93"/>
    <w:rsid w:val="008D5B8D"/>
    <w:rsid w:val="008D65E9"/>
    <w:rsid w:val="008D79D4"/>
    <w:rsid w:val="008E6759"/>
    <w:rsid w:val="00902CE8"/>
    <w:rsid w:val="00905A48"/>
    <w:rsid w:val="00912D4E"/>
    <w:rsid w:val="00913A1D"/>
    <w:rsid w:val="00945A2F"/>
    <w:rsid w:val="00947BEE"/>
    <w:rsid w:val="00952193"/>
    <w:rsid w:val="009633A4"/>
    <w:rsid w:val="00977A00"/>
    <w:rsid w:val="0098277A"/>
    <w:rsid w:val="00992A7D"/>
    <w:rsid w:val="00997334"/>
    <w:rsid w:val="009A5F60"/>
    <w:rsid w:val="009B096F"/>
    <w:rsid w:val="009C36A5"/>
    <w:rsid w:val="009C7093"/>
    <w:rsid w:val="009F24FA"/>
    <w:rsid w:val="009F6C8B"/>
    <w:rsid w:val="00A06FD8"/>
    <w:rsid w:val="00A14435"/>
    <w:rsid w:val="00A16AC6"/>
    <w:rsid w:val="00A23F8A"/>
    <w:rsid w:val="00A258AF"/>
    <w:rsid w:val="00A40097"/>
    <w:rsid w:val="00A4515E"/>
    <w:rsid w:val="00A5368E"/>
    <w:rsid w:val="00A5758F"/>
    <w:rsid w:val="00A635A8"/>
    <w:rsid w:val="00A6494E"/>
    <w:rsid w:val="00A66F65"/>
    <w:rsid w:val="00A772D3"/>
    <w:rsid w:val="00A81203"/>
    <w:rsid w:val="00A82F94"/>
    <w:rsid w:val="00AB3745"/>
    <w:rsid w:val="00AB5193"/>
    <w:rsid w:val="00AC4198"/>
    <w:rsid w:val="00AD0FCD"/>
    <w:rsid w:val="00AD1833"/>
    <w:rsid w:val="00AE1B80"/>
    <w:rsid w:val="00B07B4B"/>
    <w:rsid w:val="00B160EB"/>
    <w:rsid w:val="00B1649C"/>
    <w:rsid w:val="00B23661"/>
    <w:rsid w:val="00B30012"/>
    <w:rsid w:val="00B337FC"/>
    <w:rsid w:val="00B40BBE"/>
    <w:rsid w:val="00B4625E"/>
    <w:rsid w:val="00B53D6D"/>
    <w:rsid w:val="00B66325"/>
    <w:rsid w:val="00B76671"/>
    <w:rsid w:val="00B8518D"/>
    <w:rsid w:val="00BA213D"/>
    <w:rsid w:val="00BA3715"/>
    <w:rsid w:val="00BA48EA"/>
    <w:rsid w:val="00BB1E6E"/>
    <w:rsid w:val="00BB388A"/>
    <w:rsid w:val="00BC4D4A"/>
    <w:rsid w:val="00BD2308"/>
    <w:rsid w:val="00BE5489"/>
    <w:rsid w:val="00BE7DE8"/>
    <w:rsid w:val="00BF539E"/>
    <w:rsid w:val="00BF6DAE"/>
    <w:rsid w:val="00C04EBD"/>
    <w:rsid w:val="00C06B39"/>
    <w:rsid w:val="00C10C58"/>
    <w:rsid w:val="00C119BC"/>
    <w:rsid w:val="00C249D9"/>
    <w:rsid w:val="00C332BE"/>
    <w:rsid w:val="00C356C5"/>
    <w:rsid w:val="00C50A1F"/>
    <w:rsid w:val="00C73154"/>
    <w:rsid w:val="00C86226"/>
    <w:rsid w:val="00CA2B73"/>
    <w:rsid w:val="00CA4320"/>
    <w:rsid w:val="00CB39F0"/>
    <w:rsid w:val="00CB4CA9"/>
    <w:rsid w:val="00CC191C"/>
    <w:rsid w:val="00CC4D82"/>
    <w:rsid w:val="00CC4E7A"/>
    <w:rsid w:val="00CC5024"/>
    <w:rsid w:val="00CE758D"/>
    <w:rsid w:val="00CF3D16"/>
    <w:rsid w:val="00CF6287"/>
    <w:rsid w:val="00D0287E"/>
    <w:rsid w:val="00D10858"/>
    <w:rsid w:val="00D153C7"/>
    <w:rsid w:val="00D22ACF"/>
    <w:rsid w:val="00D40029"/>
    <w:rsid w:val="00D64023"/>
    <w:rsid w:val="00D73FFF"/>
    <w:rsid w:val="00D862BF"/>
    <w:rsid w:val="00DD1F31"/>
    <w:rsid w:val="00DF6EA5"/>
    <w:rsid w:val="00E1002B"/>
    <w:rsid w:val="00E256F6"/>
    <w:rsid w:val="00E3339B"/>
    <w:rsid w:val="00E41527"/>
    <w:rsid w:val="00E41C88"/>
    <w:rsid w:val="00E44BBF"/>
    <w:rsid w:val="00E619CB"/>
    <w:rsid w:val="00E765F9"/>
    <w:rsid w:val="00EA06CF"/>
    <w:rsid w:val="00EB27A0"/>
    <w:rsid w:val="00EE19B5"/>
    <w:rsid w:val="00F11950"/>
    <w:rsid w:val="00F16C57"/>
    <w:rsid w:val="00F24301"/>
    <w:rsid w:val="00F3787E"/>
    <w:rsid w:val="00F41E5C"/>
    <w:rsid w:val="00F53DDE"/>
    <w:rsid w:val="00F571A4"/>
    <w:rsid w:val="00F66EB8"/>
    <w:rsid w:val="00F71EB9"/>
    <w:rsid w:val="00F72F82"/>
    <w:rsid w:val="00F806B3"/>
    <w:rsid w:val="00F87113"/>
    <w:rsid w:val="00FB039F"/>
    <w:rsid w:val="00FB2069"/>
    <w:rsid w:val="00FD3814"/>
    <w:rsid w:val="00FD38C2"/>
    <w:rsid w:val="00FE0CF9"/>
    <w:rsid w:val="00FF050B"/>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24DC7-DBDA-47FE-B6B3-9D841FDC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2020-07-30T18:30:00+00:00</Judgment_x0020_Date>
    <Year xmlns="c1afb1bd-f2fb-40fd-9abb-aea55b4d7662">2020</Year>
  </documentManagement>
</p:properties>
</file>

<file path=customXml/itemProps1.xml><?xml version="1.0" encoding="utf-8"?>
<ds:datastoreItem xmlns:ds="http://schemas.openxmlformats.org/officeDocument/2006/customXml" ds:itemID="{6BB014EA-87FA-43AF-A4CE-3D3E06E82DCB}"/>
</file>

<file path=customXml/itemProps2.xml><?xml version="1.0" encoding="utf-8"?>
<ds:datastoreItem xmlns:ds="http://schemas.openxmlformats.org/officeDocument/2006/customXml" ds:itemID="{CD13EC6C-7C7C-452F-BF69-A7FCB3607C75}"/>
</file>

<file path=customXml/itemProps3.xml><?xml version="1.0" encoding="utf-8"?>
<ds:datastoreItem xmlns:ds="http://schemas.openxmlformats.org/officeDocument/2006/customXml" ds:itemID="{7999E00D-7B9C-4004-BBE6-B979A27BF450}"/>
</file>

<file path=customXml/itemProps4.xml><?xml version="1.0" encoding="utf-8"?>
<ds:datastoreItem xmlns:ds="http://schemas.openxmlformats.org/officeDocument/2006/customXml" ds:itemID="{8BBDBADF-6208-4EBF-8C37-4AF209BFC7DB}"/>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Distell LTD v Vaughan R Transport (INT-HC-SECCOST-2020-00101)[2020] NAHCMD 326 (31 July 2020)</dc:title>
  <dc:creator>E. Kharases</dc:creator>
  <cp:lastModifiedBy>Administrator</cp:lastModifiedBy>
  <cp:revision>2</cp:revision>
  <cp:lastPrinted>2019-08-09T10:27:00Z</cp:lastPrinted>
  <dcterms:created xsi:type="dcterms:W3CDTF">2020-08-13T06:34:00Z</dcterms:created>
  <dcterms:modified xsi:type="dcterms:W3CDTF">2020-08-13T06:34:00Z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