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9A3" w:rsidRPr="006E49A3" w:rsidRDefault="006E49A3" w:rsidP="006E49A3">
      <w:pPr>
        <w:spacing w:after="0" w:line="240" w:lineRule="auto"/>
        <w:jc w:val="center"/>
        <w:rPr>
          <w:rFonts w:ascii="Arial" w:hAnsi="Arial" w:cs="Arial"/>
          <w:sz w:val="26"/>
          <w:szCs w:val="26"/>
        </w:rPr>
      </w:pPr>
      <w:r w:rsidRPr="006E49A3">
        <w:rPr>
          <w:rFonts w:ascii="Arial" w:hAnsi="Arial" w:cs="Arial"/>
          <w:sz w:val="26"/>
          <w:szCs w:val="26"/>
        </w:rPr>
        <w:t>“ANNEXURE 11”</w:t>
      </w:r>
    </w:p>
    <w:p w:rsidR="006E49A3" w:rsidRPr="006E49A3" w:rsidRDefault="006E49A3" w:rsidP="006E49A3">
      <w:pPr>
        <w:spacing w:after="0" w:line="240" w:lineRule="auto"/>
        <w:jc w:val="center"/>
        <w:rPr>
          <w:rFonts w:ascii="Arial" w:hAnsi="Arial" w:cs="Arial"/>
          <w:sz w:val="26"/>
          <w:szCs w:val="26"/>
        </w:rPr>
      </w:pPr>
      <w:r w:rsidRPr="006E49A3">
        <w:rPr>
          <w:rFonts w:ascii="Arial" w:hAnsi="Arial" w:cs="Arial"/>
          <w:sz w:val="26"/>
          <w:szCs w:val="26"/>
        </w:rPr>
        <w:t>Practice Directive 61</w:t>
      </w:r>
    </w:p>
    <w:p w:rsidR="006E49A3" w:rsidRPr="006E49A3" w:rsidRDefault="006E49A3" w:rsidP="006E49A3">
      <w:pPr>
        <w:spacing w:after="0" w:line="360" w:lineRule="auto"/>
        <w:jc w:val="both"/>
        <w:rPr>
          <w:rFonts w:ascii="Arial" w:hAnsi="Arial" w:cs="Arial"/>
          <w:sz w:val="24"/>
          <w:szCs w:val="24"/>
        </w:rPr>
      </w:pPr>
    </w:p>
    <w:p w:rsidR="006E49A3" w:rsidRPr="006E49A3" w:rsidRDefault="006E49A3" w:rsidP="006E49A3">
      <w:pPr>
        <w:spacing w:after="0" w:line="360" w:lineRule="auto"/>
        <w:jc w:val="center"/>
        <w:rPr>
          <w:rFonts w:ascii="Arial" w:hAnsi="Arial" w:cs="Arial"/>
          <w:b/>
          <w:sz w:val="24"/>
          <w:szCs w:val="24"/>
        </w:rPr>
      </w:pPr>
      <w:r w:rsidRPr="006E49A3">
        <w:rPr>
          <w:rFonts w:ascii="Arial" w:hAnsi="Arial" w:cs="Arial"/>
          <w:b/>
          <w:sz w:val="24"/>
          <w:szCs w:val="24"/>
        </w:rPr>
        <w:t>IN THE HIGH COURT OF NAMIBIA</w:t>
      </w:r>
    </w:p>
    <w:p w:rsidR="00281FAB" w:rsidRPr="006E49A3" w:rsidRDefault="00281FAB" w:rsidP="00EB27A0">
      <w:pPr>
        <w:spacing w:after="0" w:line="360" w:lineRule="auto"/>
        <w:jc w:val="both"/>
        <w:rPr>
          <w:rFonts w:ascii="Arial" w:hAnsi="Arial" w:cs="Arial"/>
        </w:rPr>
      </w:pPr>
    </w:p>
    <w:tbl>
      <w:tblPr>
        <w:tblStyle w:val="TableGrid"/>
        <w:tblW w:w="9720" w:type="dxa"/>
        <w:tblInd w:w="-275" w:type="dxa"/>
        <w:tblLook w:val="04A0" w:firstRow="1" w:lastRow="0" w:firstColumn="1" w:lastColumn="0" w:noHBand="0" w:noVBand="1"/>
      </w:tblPr>
      <w:tblGrid>
        <w:gridCol w:w="4770"/>
        <w:gridCol w:w="627"/>
        <w:gridCol w:w="4323"/>
      </w:tblGrid>
      <w:tr w:rsidR="00C4257E" w:rsidRPr="00C4257E" w:rsidTr="005403D8">
        <w:trPr>
          <w:trHeight w:val="744"/>
        </w:trPr>
        <w:tc>
          <w:tcPr>
            <w:tcW w:w="5397" w:type="dxa"/>
            <w:gridSpan w:val="2"/>
            <w:vMerge w:val="restart"/>
          </w:tcPr>
          <w:p w:rsidR="00C4257E" w:rsidRDefault="00C4257E" w:rsidP="001C66EA">
            <w:pPr>
              <w:spacing w:line="360" w:lineRule="auto"/>
              <w:jc w:val="both"/>
              <w:rPr>
                <w:rFonts w:ascii="Arial" w:hAnsi="Arial" w:cs="Arial"/>
                <w:b/>
              </w:rPr>
            </w:pPr>
            <w:r w:rsidRPr="00C4257E">
              <w:rPr>
                <w:rFonts w:ascii="Arial" w:hAnsi="Arial" w:cs="Arial"/>
                <w:b/>
              </w:rPr>
              <w:t>Case Title:</w:t>
            </w:r>
          </w:p>
          <w:p w:rsidR="00C4257E" w:rsidRPr="00C4257E" w:rsidRDefault="00C4257E" w:rsidP="001C66EA">
            <w:pPr>
              <w:spacing w:line="360" w:lineRule="auto"/>
              <w:jc w:val="both"/>
              <w:rPr>
                <w:rFonts w:ascii="Arial" w:hAnsi="Arial" w:cs="Arial"/>
                <w:b/>
              </w:rPr>
            </w:pPr>
            <w:r w:rsidRPr="00C4257E">
              <w:rPr>
                <w:rFonts w:ascii="Arial" w:hAnsi="Arial" w:cs="Arial"/>
              </w:rPr>
              <w:t>O</w:t>
            </w:r>
            <w:r>
              <w:rPr>
                <w:rFonts w:ascii="Arial" w:hAnsi="Arial" w:cs="Arial"/>
              </w:rPr>
              <w:t>NO</w:t>
            </w:r>
            <w:r w:rsidRPr="00C4257E">
              <w:rPr>
                <w:rFonts w:ascii="Arial" w:hAnsi="Arial" w:cs="Arial"/>
              </w:rPr>
              <w:t xml:space="preserve"> N</w:t>
            </w:r>
            <w:r>
              <w:rPr>
                <w:rFonts w:ascii="Arial" w:hAnsi="Arial" w:cs="Arial"/>
              </w:rPr>
              <w:t>ATANGUE</w:t>
            </w:r>
            <w:r w:rsidRPr="00C4257E">
              <w:rPr>
                <w:rFonts w:ascii="Arial" w:hAnsi="Arial" w:cs="Arial"/>
              </w:rPr>
              <w:t xml:space="preserve"> H</w:t>
            </w:r>
            <w:r>
              <w:rPr>
                <w:rFonts w:ascii="Arial" w:hAnsi="Arial" w:cs="Arial"/>
              </w:rPr>
              <w:t>AILOMBE //</w:t>
            </w:r>
            <w:r w:rsidRPr="00C4257E">
              <w:rPr>
                <w:rFonts w:ascii="Arial" w:hAnsi="Arial" w:cs="Arial"/>
              </w:rPr>
              <w:t xml:space="preserve"> P</w:t>
            </w:r>
            <w:r>
              <w:rPr>
                <w:rFonts w:ascii="Arial" w:hAnsi="Arial" w:cs="Arial"/>
              </w:rPr>
              <w:t>HILLIP</w:t>
            </w:r>
            <w:r w:rsidRPr="00C4257E">
              <w:rPr>
                <w:rFonts w:ascii="Arial" w:hAnsi="Arial" w:cs="Arial"/>
              </w:rPr>
              <w:t xml:space="preserve"> O</w:t>
            </w:r>
            <w:r>
              <w:rPr>
                <w:rFonts w:ascii="Arial" w:hAnsi="Arial" w:cs="Arial"/>
              </w:rPr>
              <w:t>UPAPA</w:t>
            </w:r>
            <w:r w:rsidRPr="00C4257E">
              <w:rPr>
                <w:rFonts w:ascii="Arial" w:hAnsi="Arial" w:cs="Arial"/>
              </w:rPr>
              <w:t xml:space="preserve"> N</w:t>
            </w:r>
            <w:r>
              <w:rPr>
                <w:rFonts w:ascii="Arial" w:hAnsi="Arial" w:cs="Arial"/>
              </w:rPr>
              <w:t>ASHANDI</w:t>
            </w:r>
          </w:p>
          <w:p w:rsidR="00C4257E" w:rsidRPr="00C4257E" w:rsidRDefault="00C4257E" w:rsidP="001C66EA">
            <w:pPr>
              <w:pStyle w:val="form-control-static"/>
              <w:shd w:val="clear" w:color="auto" w:fill="FFFFFF"/>
              <w:spacing w:before="0" w:beforeAutospacing="0" w:after="0" w:afterAutospacing="0"/>
              <w:rPr>
                <w:rFonts w:ascii="Arial" w:hAnsi="Arial" w:cs="Arial"/>
                <w:sz w:val="22"/>
                <w:szCs w:val="22"/>
              </w:rPr>
            </w:pPr>
          </w:p>
        </w:tc>
        <w:tc>
          <w:tcPr>
            <w:tcW w:w="4323" w:type="dxa"/>
          </w:tcPr>
          <w:p w:rsidR="00C4257E" w:rsidRPr="00C4257E" w:rsidRDefault="00C4257E" w:rsidP="00905A48">
            <w:pPr>
              <w:spacing w:line="360" w:lineRule="auto"/>
              <w:jc w:val="both"/>
              <w:rPr>
                <w:rFonts w:ascii="Arial" w:hAnsi="Arial" w:cs="Arial"/>
                <w:b/>
              </w:rPr>
            </w:pPr>
            <w:r w:rsidRPr="00C4257E">
              <w:rPr>
                <w:rFonts w:ascii="Arial" w:hAnsi="Arial" w:cs="Arial"/>
                <w:b/>
              </w:rPr>
              <w:t>Case No:</w:t>
            </w:r>
          </w:p>
          <w:p w:rsidR="00C4257E" w:rsidRPr="00C4257E" w:rsidRDefault="00C4257E" w:rsidP="00890143">
            <w:pPr>
              <w:spacing w:line="360" w:lineRule="auto"/>
              <w:jc w:val="both"/>
              <w:rPr>
                <w:rFonts w:ascii="Arial" w:hAnsi="Arial" w:cs="Arial"/>
              </w:rPr>
            </w:pPr>
            <w:r w:rsidRPr="00C4257E">
              <w:rPr>
                <w:rFonts w:ascii="Arial" w:hAnsi="Arial" w:cs="Arial"/>
              </w:rPr>
              <w:t>HC-MD-CIV-ACT-OTH-2019/02607</w:t>
            </w:r>
          </w:p>
        </w:tc>
      </w:tr>
      <w:tr w:rsidR="00C73154" w:rsidRPr="006E49A3" w:rsidTr="005403D8">
        <w:trPr>
          <w:trHeight w:val="844"/>
        </w:trPr>
        <w:tc>
          <w:tcPr>
            <w:tcW w:w="5397" w:type="dxa"/>
            <w:gridSpan w:val="2"/>
            <w:vMerge/>
          </w:tcPr>
          <w:p w:rsidR="00C73154" w:rsidRPr="006E49A3" w:rsidRDefault="00C73154" w:rsidP="00EB27A0">
            <w:pPr>
              <w:spacing w:line="360" w:lineRule="auto"/>
              <w:jc w:val="both"/>
              <w:rPr>
                <w:rFonts w:ascii="Arial" w:hAnsi="Arial" w:cs="Arial"/>
              </w:rPr>
            </w:pPr>
          </w:p>
        </w:tc>
        <w:tc>
          <w:tcPr>
            <w:tcW w:w="4323" w:type="dxa"/>
          </w:tcPr>
          <w:p w:rsidR="00C73154" w:rsidRPr="006E49A3" w:rsidRDefault="00C73154" w:rsidP="00EB27A0">
            <w:pPr>
              <w:spacing w:line="360" w:lineRule="auto"/>
              <w:jc w:val="both"/>
              <w:rPr>
                <w:rFonts w:ascii="Arial" w:hAnsi="Arial" w:cs="Arial"/>
              </w:rPr>
            </w:pPr>
            <w:r w:rsidRPr="006E49A3">
              <w:rPr>
                <w:rFonts w:ascii="Arial" w:hAnsi="Arial" w:cs="Arial"/>
                <w:b/>
              </w:rPr>
              <w:t>Division of Court:</w:t>
            </w:r>
          </w:p>
          <w:p w:rsidR="00C73154" w:rsidRPr="006E49A3" w:rsidRDefault="00C73154" w:rsidP="00092FD2">
            <w:pPr>
              <w:spacing w:line="360" w:lineRule="auto"/>
              <w:jc w:val="both"/>
              <w:rPr>
                <w:rFonts w:ascii="Arial" w:hAnsi="Arial" w:cs="Arial"/>
              </w:rPr>
            </w:pPr>
            <w:r w:rsidRPr="006E49A3">
              <w:rPr>
                <w:rFonts w:ascii="Arial" w:hAnsi="Arial" w:cs="Arial"/>
              </w:rPr>
              <w:t>H</w:t>
            </w:r>
            <w:r w:rsidR="00092FD2" w:rsidRPr="006E49A3">
              <w:rPr>
                <w:rFonts w:ascii="Arial" w:hAnsi="Arial" w:cs="Arial"/>
              </w:rPr>
              <w:t>IGH COURT (MAIN DIVISION</w:t>
            </w:r>
            <w:r w:rsidR="00890143" w:rsidRPr="006E49A3">
              <w:rPr>
                <w:rFonts w:ascii="Arial" w:hAnsi="Arial" w:cs="Arial"/>
              </w:rPr>
              <w:t>)</w:t>
            </w:r>
          </w:p>
        </w:tc>
      </w:tr>
      <w:tr w:rsidR="005403D8" w:rsidRPr="006E49A3" w:rsidTr="005403D8">
        <w:trPr>
          <w:trHeight w:val="645"/>
        </w:trPr>
        <w:tc>
          <w:tcPr>
            <w:tcW w:w="5397" w:type="dxa"/>
            <w:gridSpan w:val="2"/>
            <w:vMerge w:val="restart"/>
          </w:tcPr>
          <w:p w:rsidR="005403D8" w:rsidRPr="006E49A3" w:rsidRDefault="005403D8" w:rsidP="00EB27A0">
            <w:pPr>
              <w:spacing w:line="360" w:lineRule="auto"/>
              <w:jc w:val="both"/>
              <w:rPr>
                <w:rFonts w:ascii="Arial" w:hAnsi="Arial" w:cs="Arial"/>
                <w:b/>
              </w:rPr>
            </w:pPr>
            <w:r w:rsidRPr="006E49A3">
              <w:rPr>
                <w:rFonts w:ascii="Arial" w:hAnsi="Arial" w:cs="Arial"/>
                <w:b/>
              </w:rPr>
              <w:t>Heard before:</w:t>
            </w:r>
          </w:p>
          <w:p w:rsidR="005403D8" w:rsidRPr="006E49A3" w:rsidRDefault="005403D8" w:rsidP="00C4257E">
            <w:pPr>
              <w:spacing w:line="360" w:lineRule="auto"/>
              <w:jc w:val="both"/>
              <w:rPr>
                <w:rFonts w:ascii="Arial" w:hAnsi="Arial" w:cs="Arial"/>
              </w:rPr>
            </w:pPr>
            <w:r w:rsidRPr="006E49A3">
              <w:rPr>
                <w:rFonts w:ascii="Arial" w:hAnsi="Arial" w:cs="Arial"/>
              </w:rPr>
              <w:t>H</w:t>
            </w:r>
            <w:r w:rsidR="00092FD2" w:rsidRPr="006E49A3">
              <w:rPr>
                <w:rFonts w:ascii="Arial" w:hAnsi="Arial" w:cs="Arial"/>
              </w:rPr>
              <w:t xml:space="preserve">ONOURABLE MR JUSTICE </w:t>
            </w:r>
            <w:r w:rsidR="00C4257E">
              <w:rPr>
                <w:rFonts w:ascii="Arial" w:hAnsi="Arial" w:cs="Arial"/>
              </w:rPr>
              <w:t>MILLER</w:t>
            </w:r>
            <w:r w:rsidR="00092FD2" w:rsidRPr="006E49A3">
              <w:rPr>
                <w:rFonts w:ascii="Arial" w:hAnsi="Arial" w:cs="Arial"/>
              </w:rPr>
              <w:t xml:space="preserve">, </w:t>
            </w:r>
            <w:r w:rsidR="00C4257E">
              <w:rPr>
                <w:rFonts w:ascii="Arial" w:hAnsi="Arial" w:cs="Arial"/>
              </w:rPr>
              <w:t>ACTING</w:t>
            </w:r>
          </w:p>
        </w:tc>
        <w:tc>
          <w:tcPr>
            <w:tcW w:w="4323" w:type="dxa"/>
          </w:tcPr>
          <w:p w:rsidR="005403D8" w:rsidRPr="006E49A3" w:rsidRDefault="005403D8" w:rsidP="00EB27A0">
            <w:pPr>
              <w:spacing w:line="360" w:lineRule="auto"/>
              <w:jc w:val="both"/>
              <w:rPr>
                <w:rFonts w:ascii="Arial" w:hAnsi="Arial" w:cs="Arial"/>
                <w:b/>
              </w:rPr>
            </w:pPr>
            <w:r w:rsidRPr="006E49A3">
              <w:rPr>
                <w:rFonts w:ascii="Arial" w:hAnsi="Arial" w:cs="Arial"/>
                <w:b/>
              </w:rPr>
              <w:t>Date of hearing:</w:t>
            </w:r>
          </w:p>
          <w:p w:rsidR="005403D8" w:rsidRPr="006E49A3" w:rsidRDefault="00265783" w:rsidP="00C4257E">
            <w:pPr>
              <w:spacing w:line="360" w:lineRule="auto"/>
              <w:rPr>
                <w:rFonts w:ascii="Arial" w:hAnsi="Arial" w:cs="Arial"/>
              </w:rPr>
            </w:pPr>
            <w:r>
              <w:rPr>
                <w:rFonts w:ascii="Arial" w:hAnsi="Arial" w:cs="Arial"/>
              </w:rPr>
              <w:t>1</w:t>
            </w:r>
            <w:r w:rsidR="00C4257E">
              <w:rPr>
                <w:rFonts w:ascii="Arial" w:hAnsi="Arial" w:cs="Arial"/>
              </w:rPr>
              <w:t>3 JULY 2020</w:t>
            </w:r>
          </w:p>
        </w:tc>
      </w:tr>
      <w:tr w:rsidR="005403D8" w:rsidRPr="006E49A3" w:rsidTr="00FD38C2">
        <w:trPr>
          <w:trHeight w:val="588"/>
        </w:trPr>
        <w:tc>
          <w:tcPr>
            <w:tcW w:w="5397" w:type="dxa"/>
            <w:gridSpan w:val="2"/>
            <w:vMerge/>
          </w:tcPr>
          <w:p w:rsidR="005403D8" w:rsidRPr="006E49A3" w:rsidRDefault="005403D8" w:rsidP="00EB27A0">
            <w:pPr>
              <w:spacing w:line="360" w:lineRule="auto"/>
              <w:jc w:val="both"/>
              <w:rPr>
                <w:rFonts w:ascii="Arial" w:hAnsi="Arial" w:cs="Arial"/>
                <w:b/>
              </w:rPr>
            </w:pPr>
          </w:p>
        </w:tc>
        <w:tc>
          <w:tcPr>
            <w:tcW w:w="4323" w:type="dxa"/>
          </w:tcPr>
          <w:p w:rsidR="005403D8" w:rsidRPr="006E49A3" w:rsidRDefault="005403D8" w:rsidP="005403D8">
            <w:pPr>
              <w:spacing w:line="360" w:lineRule="auto"/>
              <w:jc w:val="both"/>
              <w:rPr>
                <w:rFonts w:ascii="Arial" w:hAnsi="Arial" w:cs="Arial"/>
                <w:b/>
              </w:rPr>
            </w:pPr>
            <w:r w:rsidRPr="006E49A3">
              <w:rPr>
                <w:rFonts w:ascii="Arial" w:hAnsi="Arial" w:cs="Arial"/>
                <w:b/>
              </w:rPr>
              <w:t>Delivered on:</w:t>
            </w:r>
          </w:p>
          <w:p w:rsidR="005403D8" w:rsidRPr="006E49A3" w:rsidRDefault="00C4257E" w:rsidP="00C4257E">
            <w:pPr>
              <w:spacing w:line="360" w:lineRule="auto"/>
              <w:jc w:val="both"/>
              <w:rPr>
                <w:rFonts w:ascii="Arial" w:hAnsi="Arial" w:cs="Arial"/>
                <w:b/>
              </w:rPr>
            </w:pPr>
            <w:r>
              <w:rPr>
                <w:rFonts w:ascii="Arial" w:hAnsi="Arial" w:cs="Arial"/>
              </w:rPr>
              <w:t>3 AUGUST</w:t>
            </w:r>
            <w:r w:rsidR="009F24FA" w:rsidRPr="006E49A3">
              <w:rPr>
                <w:rFonts w:ascii="Arial" w:hAnsi="Arial" w:cs="Arial"/>
              </w:rPr>
              <w:t xml:space="preserve"> </w:t>
            </w:r>
            <w:r w:rsidR="00F72F82" w:rsidRPr="006E49A3">
              <w:rPr>
                <w:rFonts w:ascii="Arial" w:hAnsi="Arial" w:cs="Arial"/>
              </w:rPr>
              <w:t>20</w:t>
            </w:r>
            <w:r>
              <w:rPr>
                <w:rFonts w:ascii="Arial" w:hAnsi="Arial" w:cs="Arial"/>
              </w:rPr>
              <w:t>20</w:t>
            </w:r>
          </w:p>
        </w:tc>
      </w:tr>
      <w:tr w:rsidR="005955B1" w:rsidRPr="006E49A3" w:rsidTr="00BB1E6E">
        <w:trPr>
          <w:trHeight w:val="908"/>
        </w:trPr>
        <w:tc>
          <w:tcPr>
            <w:tcW w:w="9720" w:type="dxa"/>
            <w:gridSpan w:val="3"/>
          </w:tcPr>
          <w:p w:rsidR="00F71EB9" w:rsidRPr="006E49A3" w:rsidRDefault="005955B1" w:rsidP="005778F9">
            <w:pPr>
              <w:spacing w:line="360" w:lineRule="auto"/>
              <w:jc w:val="both"/>
              <w:rPr>
                <w:rFonts w:ascii="Arial" w:hAnsi="Arial" w:cs="Arial"/>
              </w:rPr>
            </w:pPr>
            <w:r w:rsidRPr="006E49A3">
              <w:rPr>
                <w:rFonts w:ascii="Arial" w:hAnsi="Arial" w:cs="Arial"/>
                <w:b/>
              </w:rPr>
              <w:t xml:space="preserve">Neutral citation: </w:t>
            </w:r>
            <w:r w:rsidR="00C4257E">
              <w:rPr>
                <w:rFonts w:ascii="Arial" w:hAnsi="Arial" w:cs="Arial"/>
                <w:i/>
              </w:rPr>
              <w:t>Hailombe</w:t>
            </w:r>
            <w:r w:rsidR="00F72F82" w:rsidRPr="006E49A3">
              <w:rPr>
                <w:rFonts w:ascii="Arial" w:hAnsi="Arial" w:cs="Arial"/>
                <w:i/>
              </w:rPr>
              <w:t xml:space="preserve"> v </w:t>
            </w:r>
            <w:r w:rsidR="00C4257E">
              <w:rPr>
                <w:rFonts w:ascii="Arial" w:hAnsi="Arial" w:cs="Arial"/>
                <w:i/>
              </w:rPr>
              <w:t>Nashandi</w:t>
            </w:r>
            <w:r w:rsidR="00B4625E" w:rsidRPr="006E49A3">
              <w:rPr>
                <w:rFonts w:ascii="Arial" w:hAnsi="Arial" w:cs="Arial"/>
                <w:b/>
              </w:rPr>
              <w:t xml:space="preserve"> </w:t>
            </w:r>
            <w:r w:rsidR="00B4625E" w:rsidRPr="006E49A3">
              <w:rPr>
                <w:rFonts w:ascii="Arial" w:hAnsi="Arial" w:cs="Arial"/>
              </w:rPr>
              <w:t>(</w:t>
            </w:r>
            <w:r w:rsidR="00C4257E" w:rsidRPr="00C4257E">
              <w:rPr>
                <w:rFonts w:ascii="Arial" w:hAnsi="Arial" w:cs="Arial"/>
              </w:rPr>
              <w:t>HC-MD-CIV-ACT-OTH-2019/02607</w:t>
            </w:r>
            <w:r w:rsidR="00B4625E" w:rsidRPr="006E49A3">
              <w:rPr>
                <w:rFonts w:ascii="Arial" w:hAnsi="Arial" w:cs="Arial"/>
              </w:rPr>
              <w:t>)</w:t>
            </w:r>
            <w:r w:rsidR="00B4625E" w:rsidRPr="006E49A3">
              <w:rPr>
                <w:rFonts w:ascii="Arial" w:hAnsi="Arial" w:cs="Arial"/>
                <w:b/>
              </w:rPr>
              <w:t xml:space="preserve"> </w:t>
            </w:r>
            <w:r w:rsidR="00B4625E" w:rsidRPr="006E49A3">
              <w:rPr>
                <w:rFonts w:ascii="Arial" w:hAnsi="Arial" w:cs="Arial"/>
              </w:rPr>
              <w:t>[20</w:t>
            </w:r>
            <w:r w:rsidR="00C4257E">
              <w:rPr>
                <w:rFonts w:ascii="Arial" w:hAnsi="Arial" w:cs="Arial"/>
              </w:rPr>
              <w:t>20</w:t>
            </w:r>
            <w:r w:rsidR="00B4625E" w:rsidRPr="006E49A3">
              <w:rPr>
                <w:rFonts w:ascii="Arial" w:hAnsi="Arial" w:cs="Arial"/>
              </w:rPr>
              <w:t xml:space="preserve">] </w:t>
            </w:r>
            <w:r w:rsidRPr="006E49A3">
              <w:rPr>
                <w:rFonts w:ascii="Arial" w:hAnsi="Arial" w:cs="Arial"/>
              </w:rPr>
              <w:t xml:space="preserve">NAHCMD </w:t>
            </w:r>
            <w:r w:rsidR="005778F9">
              <w:rPr>
                <w:rFonts w:ascii="Arial" w:hAnsi="Arial" w:cs="Arial"/>
              </w:rPr>
              <w:t>329</w:t>
            </w:r>
            <w:r w:rsidR="00B4625E" w:rsidRPr="006E49A3">
              <w:rPr>
                <w:rFonts w:ascii="Arial" w:hAnsi="Arial" w:cs="Arial"/>
              </w:rPr>
              <w:t xml:space="preserve"> (</w:t>
            </w:r>
            <w:r w:rsidR="00C4257E">
              <w:rPr>
                <w:rFonts w:ascii="Arial" w:hAnsi="Arial" w:cs="Arial"/>
              </w:rPr>
              <w:t>3 August 2020</w:t>
            </w:r>
            <w:r w:rsidRPr="006E49A3">
              <w:rPr>
                <w:rFonts w:ascii="Arial" w:hAnsi="Arial" w:cs="Arial"/>
              </w:rPr>
              <w:t>)</w:t>
            </w:r>
          </w:p>
        </w:tc>
      </w:tr>
      <w:tr w:rsidR="00281FAB" w:rsidRPr="006E49A3" w:rsidTr="00EB27A0">
        <w:tc>
          <w:tcPr>
            <w:tcW w:w="9720" w:type="dxa"/>
            <w:gridSpan w:val="3"/>
          </w:tcPr>
          <w:p w:rsidR="00281FAB" w:rsidRPr="006E49A3" w:rsidRDefault="00281FAB" w:rsidP="00EB27A0">
            <w:pPr>
              <w:spacing w:line="360" w:lineRule="auto"/>
              <w:jc w:val="both"/>
              <w:rPr>
                <w:rFonts w:ascii="Arial" w:hAnsi="Arial" w:cs="Arial"/>
                <w:b/>
              </w:rPr>
            </w:pPr>
            <w:r w:rsidRPr="006E49A3">
              <w:rPr>
                <w:rFonts w:ascii="Arial" w:hAnsi="Arial" w:cs="Arial"/>
                <w:b/>
              </w:rPr>
              <w:t>The order:</w:t>
            </w:r>
          </w:p>
          <w:p w:rsidR="00C73154" w:rsidRPr="006E49A3" w:rsidRDefault="00C73154" w:rsidP="00EB27A0">
            <w:pPr>
              <w:spacing w:line="360" w:lineRule="auto"/>
              <w:jc w:val="both"/>
              <w:rPr>
                <w:rFonts w:ascii="Arial" w:hAnsi="Arial" w:cs="Arial"/>
                <w:sz w:val="16"/>
                <w:szCs w:val="16"/>
              </w:rPr>
            </w:pPr>
          </w:p>
          <w:p w:rsidR="00281FAB" w:rsidRPr="006E49A3" w:rsidRDefault="003F2930" w:rsidP="00EB27A0">
            <w:pPr>
              <w:spacing w:line="360" w:lineRule="auto"/>
              <w:jc w:val="both"/>
              <w:rPr>
                <w:rFonts w:ascii="Arial" w:hAnsi="Arial" w:cs="Arial"/>
              </w:rPr>
            </w:pPr>
            <w:r w:rsidRPr="003F2930">
              <w:rPr>
                <w:rFonts w:ascii="Arial" w:hAnsi="Arial" w:cs="Arial"/>
              </w:rPr>
              <w:t xml:space="preserve">Having heard </w:t>
            </w:r>
            <w:r w:rsidRPr="003F2930">
              <w:rPr>
                <w:rFonts w:ascii="Arial" w:hAnsi="Arial" w:cs="Arial"/>
                <w:b/>
              </w:rPr>
              <w:t>Mr Ntinda</w:t>
            </w:r>
            <w:r w:rsidRPr="003F2930">
              <w:rPr>
                <w:rFonts w:ascii="Arial" w:hAnsi="Arial" w:cs="Arial"/>
              </w:rPr>
              <w:t>, counsel for the plaintiff and</w:t>
            </w:r>
            <w:r w:rsidRPr="003F2930">
              <w:rPr>
                <w:rFonts w:ascii="Arial" w:hAnsi="Arial" w:cs="Arial"/>
                <w:b/>
              </w:rPr>
              <w:t xml:space="preserve"> Mr Beukes</w:t>
            </w:r>
            <w:r w:rsidRPr="003F2930">
              <w:rPr>
                <w:rFonts w:ascii="Arial" w:hAnsi="Arial" w:cs="Arial"/>
              </w:rPr>
              <w:t>,</w:t>
            </w:r>
            <w:r w:rsidRPr="003F2930">
              <w:rPr>
                <w:rFonts w:ascii="Arial" w:hAnsi="Arial" w:cs="Arial"/>
                <w:b/>
              </w:rPr>
              <w:t xml:space="preserve"> </w:t>
            </w:r>
            <w:r w:rsidRPr="003F2930">
              <w:rPr>
                <w:rFonts w:ascii="Arial" w:hAnsi="Arial" w:cs="Arial"/>
              </w:rPr>
              <w:t>counsel for the defendant</w:t>
            </w:r>
            <w:r w:rsidR="00265783" w:rsidRPr="003F2930">
              <w:rPr>
                <w:rFonts w:ascii="Arial" w:hAnsi="Arial" w:cs="Arial"/>
              </w:rPr>
              <w:t>,</w:t>
            </w:r>
            <w:r w:rsidR="00FD38C2" w:rsidRPr="003F2930">
              <w:rPr>
                <w:rFonts w:ascii="Arial" w:hAnsi="Arial" w:cs="Arial"/>
              </w:rPr>
              <w:t xml:space="preserve"> and having read</w:t>
            </w:r>
            <w:r w:rsidR="006D2D84" w:rsidRPr="003F2930">
              <w:rPr>
                <w:rFonts w:ascii="Arial" w:hAnsi="Arial" w:cs="Arial"/>
              </w:rPr>
              <w:t xml:space="preserve"> </w:t>
            </w:r>
            <w:r w:rsidR="006D2D84" w:rsidRPr="006E49A3">
              <w:rPr>
                <w:rFonts w:ascii="Arial" w:hAnsi="Arial" w:cs="Arial"/>
              </w:rPr>
              <w:t>the documents filed of record:</w:t>
            </w:r>
          </w:p>
          <w:p w:rsidR="00EB27A0" w:rsidRPr="006E49A3" w:rsidRDefault="00EB27A0" w:rsidP="00EB27A0">
            <w:pPr>
              <w:spacing w:line="360" w:lineRule="auto"/>
              <w:jc w:val="both"/>
              <w:rPr>
                <w:rFonts w:ascii="Arial" w:hAnsi="Arial" w:cs="Arial"/>
                <w:sz w:val="20"/>
                <w:szCs w:val="20"/>
              </w:rPr>
            </w:pPr>
          </w:p>
          <w:p w:rsidR="00EB27A0" w:rsidRPr="006E49A3" w:rsidRDefault="00EB27A0" w:rsidP="00EB27A0">
            <w:pPr>
              <w:spacing w:line="360" w:lineRule="auto"/>
              <w:jc w:val="both"/>
              <w:rPr>
                <w:rFonts w:ascii="Arial" w:hAnsi="Arial" w:cs="Arial"/>
                <w:b/>
              </w:rPr>
            </w:pPr>
            <w:r w:rsidRPr="006E49A3">
              <w:rPr>
                <w:rFonts w:ascii="Arial" w:hAnsi="Arial" w:cs="Arial"/>
                <w:b/>
              </w:rPr>
              <w:t>IT IS ORDERED THAT:</w:t>
            </w:r>
          </w:p>
          <w:p w:rsidR="008D65E9" w:rsidRPr="006E49A3" w:rsidRDefault="008D65E9" w:rsidP="00EB27A0">
            <w:pPr>
              <w:spacing w:line="360" w:lineRule="auto"/>
              <w:jc w:val="both"/>
              <w:rPr>
                <w:rFonts w:ascii="Arial" w:hAnsi="Arial" w:cs="Arial"/>
                <w:sz w:val="20"/>
                <w:szCs w:val="20"/>
              </w:rPr>
            </w:pPr>
          </w:p>
          <w:p w:rsidR="007447AE" w:rsidRPr="003F2930" w:rsidRDefault="00945A2F" w:rsidP="003F2930">
            <w:pPr>
              <w:pStyle w:val="ListParagraph"/>
              <w:numPr>
                <w:ilvl w:val="0"/>
                <w:numId w:val="8"/>
              </w:numPr>
              <w:spacing w:line="360" w:lineRule="auto"/>
              <w:ind w:left="446" w:hanging="426"/>
              <w:jc w:val="both"/>
              <w:rPr>
                <w:rFonts w:ascii="Arial" w:hAnsi="Arial" w:cs="Arial"/>
              </w:rPr>
            </w:pPr>
            <w:r w:rsidRPr="003F2930">
              <w:rPr>
                <w:rFonts w:ascii="Arial" w:hAnsi="Arial" w:cs="Arial"/>
              </w:rPr>
              <w:t xml:space="preserve">The </w:t>
            </w:r>
            <w:r w:rsidR="003F2930" w:rsidRPr="003F2930">
              <w:rPr>
                <w:rFonts w:ascii="Arial" w:hAnsi="Arial" w:cs="Arial"/>
              </w:rPr>
              <w:t>plaintiff’s application for summary judgement is dismissed</w:t>
            </w:r>
            <w:r w:rsidR="00D153C7" w:rsidRPr="003F2930">
              <w:rPr>
                <w:rFonts w:ascii="Arial" w:hAnsi="Arial" w:cs="Arial"/>
              </w:rPr>
              <w:t>.</w:t>
            </w:r>
          </w:p>
          <w:p w:rsidR="007447AE" w:rsidRPr="003F2930" w:rsidRDefault="007447AE" w:rsidP="003F2930">
            <w:pPr>
              <w:spacing w:line="360" w:lineRule="auto"/>
              <w:ind w:left="20"/>
              <w:jc w:val="both"/>
              <w:rPr>
                <w:rFonts w:ascii="Arial" w:hAnsi="Arial" w:cs="Arial"/>
              </w:rPr>
            </w:pPr>
          </w:p>
          <w:p w:rsidR="00905A48" w:rsidRPr="003F2930" w:rsidRDefault="003F2930" w:rsidP="003F2930">
            <w:pPr>
              <w:pStyle w:val="ListParagraph"/>
              <w:numPr>
                <w:ilvl w:val="0"/>
                <w:numId w:val="8"/>
              </w:numPr>
              <w:spacing w:line="360" w:lineRule="auto"/>
              <w:ind w:left="446" w:hanging="426"/>
              <w:jc w:val="both"/>
              <w:rPr>
                <w:rFonts w:ascii="Arial" w:hAnsi="Arial" w:cs="Arial"/>
              </w:rPr>
            </w:pPr>
            <w:r w:rsidRPr="003F2930">
              <w:rPr>
                <w:rFonts w:ascii="Arial" w:hAnsi="Arial" w:cs="Arial"/>
              </w:rPr>
              <w:t>The defendant is granted leave to defend</w:t>
            </w:r>
            <w:r w:rsidR="00945A2F" w:rsidRPr="003F2930">
              <w:rPr>
                <w:rFonts w:ascii="Arial" w:hAnsi="Arial" w:cs="Arial"/>
              </w:rPr>
              <w:t>.</w:t>
            </w:r>
          </w:p>
          <w:p w:rsidR="00837272" w:rsidRPr="003F2930" w:rsidRDefault="00837272" w:rsidP="003F2930">
            <w:pPr>
              <w:spacing w:line="360" w:lineRule="auto"/>
              <w:ind w:left="20"/>
              <w:jc w:val="both"/>
              <w:rPr>
                <w:rFonts w:ascii="Arial" w:hAnsi="Arial" w:cs="Arial"/>
              </w:rPr>
            </w:pPr>
          </w:p>
          <w:p w:rsidR="00CF3D16" w:rsidRPr="003F2930" w:rsidRDefault="00EE19B5" w:rsidP="003F2930">
            <w:pPr>
              <w:pStyle w:val="ListParagraph"/>
              <w:numPr>
                <w:ilvl w:val="0"/>
                <w:numId w:val="8"/>
              </w:numPr>
              <w:spacing w:line="360" w:lineRule="auto"/>
              <w:ind w:left="446" w:hanging="426"/>
              <w:jc w:val="both"/>
              <w:rPr>
                <w:rFonts w:ascii="Arial" w:hAnsi="Arial" w:cs="Arial"/>
              </w:rPr>
            </w:pPr>
            <w:r w:rsidRPr="003F2930">
              <w:rPr>
                <w:rFonts w:ascii="Arial" w:hAnsi="Arial" w:cs="Arial"/>
              </w:rPr>
              <w:t xml:space="preserve">The </w:t>
            </w:r>
            <w:r w:rsidR="003F2930" w:rsidRPr="003F2930">
              <w:rPr>
                <w:rFonts w:ascii="Arial" w:hAnsi="Arial" w:cs="Arial"/>
              </w:rPr>
              <w:t>parties are to file a case plan not later than 12 August 2020</w:t>
            </w:r>
            <w:r w:rsidRPr="003F2930">
              <w:rPr>
                <w:rFonts w:ascii="Arial" w:hAnsi="Arial" w:cs="Arial"/>
              </w:rPr>
              <w:t>.</w:t>
            </w:r>
          </w:p>
          <w:p w:rsidR="003F2930" w:rsidRPr="003F2930" w:rsidRDefault="003F2930" w:rsidP="003F2930">
            <w:pPr>
              <w:spacing w:line="360" w:lineRule="auto"/>
              <w:rPr>
                <w:rFonts w:ascii="Arial" w:hAnsi="Arial" w:cs="Arial"/>
              </w:rPr>
            </w:pPr>
          </w:p>
          <w:p w:rsidR="003F2930" w:rsidRPr="003F2930" w:rsidRDefault="003F2930" w:rsidP="003F2930">
            <w:pPr>
              <w:pStyle w:val="ListParagraph"/>
              <w:numPr>
                <w:ilvl w:val="0"/>
                <w:numId w:val="8"/>
              </w:numPr>
              <w:spacing w:line="360" w:lineRule="auto"/>
              <w:ind w:left="446" w:hanging="426"/>
              <w:jc w:val="both"/>
              <w:rPr>
                <w:rFonts w:ascii="Arial" w:hAnsi="Arial" w:cs="Arial"/>
              </w:rPr>
            </w:pPr>
            <w:r w:rsidRPr="003F2930">
              <w:rPr>
                <w:rFonts w:ascii="Arial" w:hAnsi="Arial" w:cs="Arial"/>
              </w:rPr>
              <w:t>There will be a case planning conference on 17 August 2020 at 14h15.</w:t>
            </w:r>
          </w:p>
          <w:p w:rsidR="003F2930" w:rsidRPr="003F2930" w:rsidRDefault="003F2930" w:rsidP="003F2930">
            <w:pPr>
              <w:spacing w:line="360" w:lineRule="auto"/>
              <w:rPr>
                <w:rFonts w:ascii="Arial" w:hAnsi="Arial" w:cs="Arial"/>
              </w:rPr>
            </w:pPr>
          </w:p>
          <w:p w:rsidR="003F2930" w:rsidRPr="003F2930" w:rsidRDefault="003F2930" w:rsidP="003F2930">
            <w:pPr>
              <w:pStyle w:val="ListParagraph"/>
              <w:numPr>
                <w:ilvl w:val="0"/>
                <w:numId w:val="8"/>
              </w:numPr>
              <w:spacing w:line="360" w:lineRule="auto"/>
              <w:ind w:left="446" w:hanging="426"/>
              <w:jc w:val="both"/>
              <w:rPr>
                <w:rFonts w:ascii="Arial" w:hAnsi="Arial" w:cs="Arial"/>
              </w:rPr>
            </w:pPr>
            <w:r w:rsidRPr="003F2930">
              <w:rPr>
                <w:rFonts w:ascii="Arial" w:hAnsi="Arial" w:cs="Arial"/>
              </w:rPr>
              <w:t>Costs to stand over.</w:t>
            </w:r>
          </w:p>
          <w:p w:rsidR="00686B3F" w:rsidRPr="006E49A3" w:rsidRDefault="00686B3F" w:rsidP="00A258AF">
            <w:pPr>
              <w:spacing w:line="360" w:lineRule="auto"/>
              <w:jc w:val="both"/>
              <w:rPr>
                <w:rFonts w:ascii="Arial" w:hAnsi="Arial" w:cs="Arial"/>
              </w:rPr>
            </w:pPr>
          </w:p>
        </w:tc>
      </w:tr>
      <w:tr w:rsidR="00281FAB" w:rsidRPr="006E49A3" w:rsidTr="00EB27A0">
        <w:tc>
          <w:tcPr>
            <w:tcW w:w="9720" w:type="dxa"/>
            <w:gridSpan w:val="3"/>
          </w:tcPr>
          <w:p w:rsidR="00281FAB" w:rsidRPr="008E6759" w:rsidRDefault="008E6759" w:rsidP="006E49A3">
            <w:pPr>
              <w:spacing w:line="360" w:lineRule="auto"/>
              <w:jc w:val="both"/>
              <w:rPr>
                <w:rFonts w:ascii="Arial" w:hAnsi="Arial" w:cs="Arial"/>
                <w:b/>
              </w:rPr>
            </w:pPr>
            <w:r w:rsidRPr="008E6759">
              <w:rPr>
                <w:rFonts w:ascii="Arial" w:hAnsi="Arial" w:cs="Arial"/>
                <w:b/>
              </w:rPr>
              <w:t>Following below are the reasons for the above orders:</w:t>
            </w:r>
          </w:p>
        </w:tc>
      </w:tr>
      <w:tr w:rsidR="00281FAB" w:rsidRPr="006E49A3" w:rsidTr="00EB27A0">
        <w:tc>
          <w:tcPr>
            <w:tcW w:w="9720" w:type="dxa"/>
            <w:gridSpan w:val="3"/>
          </w:tcPr>
          <w:p w:rsidR="00BB1E6E" w:rsidRDefault="00BB1E6E" w:rsidP="00FD38C2">
            <w:pPr>
              <w:spacing w:line="360" w:lineRule="auto"/>
              <w:jc w:val="both"/>
              <w:rPr>
                <w:rFonts w:ascii="Arial" w:hAnsi="Arial" w:cs="Arial"/>
              </w:rPr>
            </w:pPr>
          </w:p>
          <w:p w:rsidR="00A4515E" w:rsidRPr="008C0759" w:rsidRDefault="009C7093" w:rsidP="00FD38C2">
            <w:pPr>
              <w:spacing w:line="360" w:lineRule="auto"/>
              <w:jc w:val="both"/>
              <w:rPr>
                <w:rFonts w:ascii="Arial" w:hAnsi="Arial" w:cs="Arial"/>
              </w:rPr>
            </w:pPr>
            <w:r w:rsidRPr="008E6759">
              <w:rPr>
                <w:rFonts w:ascii="Arial" w:hAnsi="Arial" w:cs="Arial"/>
              </w:rPr>
              <w:t xml:space="preserve">[1]   </w:t>
            </w:r>
            <w:r w:rsidR="008C0759" w:rsidRPr="008C0759">
              <w:rPr>
                <w:rFonts w:ascii="Arial" w:hAnsi="Arial" w:cs="Arial"/>
              </w:rPr>
              <w:t>The plaintiff in this matter brought an application for summary judgment on 12 June 2019, seeking an order ejecting the defendant or any other person under the authority of th</w:t>
            </w:r>
            <w:r w:rsidR="00EF087A">
              <w:rPr>
                <w:rFonts w:ascii="Arial" w:hAnsi="Arial" w:cs="Arial"/>
              </w:rPr>
              <w:t>e defendant in occupation of Erf</w:t>
            </w:r>
            <w:r w:rsidR="008C0759" w:rsidRPr="008C0759">
              <w:rPr>
                <w:rFonts w:ascii="Arial" w:hAnsi="Arial" w:cs="Arial"/>
              </w:rPr>
              <w:t xml:space="preserve"> 5780, Kuisebmond, Walvis Bay</w:t>
            </w:r>
            <w:r w:rsidR="00EF087A">
              <w:rPr>
                <w:rFonts w:ascii="Arial" w:hAnsi="Arial" w:cs="Arial"/>
              </w:rPr>
              <w:t xml:space="preserve"> in t</w:t>
            </w:r>
            <w:r w:rsidR="008C0759" w:rsidRPr="008C0759">
              <w:rPr>
                <w:rFonts w:ascii="Arial" w:hAnsi="Arial" w:cs="Arial"/>
              </w:rPr>
              <w:t xml:space="preserve">he Republic of Namibia, and in the event of </w:t>
            </w:r>
            <w:r w:rsidR="008C0759" w:rsidRPr="008C0759">
              <w:rPr>
                <w:rFonts w:ascii="Arial" w:hAnsi="Arial" w:cs="Arial"/>
              </w:rPr>
              <w:lastRenderedPageBreak/>
              <w:t>the defendant failing to comply th</w:t>
            </w:r>
            <w:r w:rsidR="00EF087A">
              <w:rPr>
                <w:rFonts w:ascii="Arial" w:hAnsi="Arial" w:cs="Arial"/>
              </w:rPr>
              <w:t>erewith, authorising the Deputy-</w:t>
            </w:r>
            <w:r w:rsidR="008C0759" w:rsidRPr="008C0759">
              <w:rPr>
                <w:rFonts w:ascii="Arial" w:hAnsi="Arial" w:cs="Arial"/>
              </w:rPr>
              <w:t>Sheriff of the High Court to enforce the order.</w:t>
            </w:r>
          </w:p>
          <w:p w:rsidR="00B53D6D" w:rsidRPr="008C0759" w:rsidRDefault="00B53D6D" w:rsidP="00FD38C2">
            <w:pPr>
              <w:spacing w:line="360" w:lineRule="auto"/>
              <w:jc w:val="both"/>
              <w:rPr>
                <w:rFonts w:ascii="Arial" w:hAnsi="Arial" w:cs="Arial"/>
              </w:rPr>
            </w:pPr>
          </w:p>
          <w:p w:rsidR="00CC4D82" w:rsidRPr="00EF087A" w:rsidRDefault="00A6494E" w:rsidP="00FD38C2">
            <w:pPr>
              <w:spacing w:line="360" w:lineRule="auto"/>
              <w:jc w:val="both"/>
              <w:rPr>
                <w:rFonts w:ascii="Arial" w:hAnsi="Arial" w:cs="Arial"/>
              </w:rPr>
            </w:pPr>
            <w:r w:rsidRPr="006E49A3">
              <w:rPr>
                <w:rFonts w:ascii="Arial" w:hAnsi="Arial" w:cs="Arial"/>
              </w:rPr>
              <w:t xml:space="preserve">[2] </w:t>
            </w:r>
            <w:r w:rsidR="009C7093" w:rsidRPr="006E49A3">
              <w:rPr>
                <w:rFonts w:ascii="Arial" w:hAnsi="Arial" w:cs="Arial"/>
              </w:rPr>
              <w:t xml:space="preserve">  </w:t>
            </w:r>
            <w:r w:rsidR="00EF087A" w:rsidRPr="00EF087A">
              <w:rPr>
                <w:rFonts w:ascii="Arial" w:hAnsi="Arial" w:cs="Arial"/>
              </w:rPr>
              <w:t xml:space="preserve">The affidavit of Ono Natangue Hailombe was used in support of the application for summary judgment. In his affidavit, he stated that in his opinion and belief, the defendant does not have a </w:t>
            </w:r>
            <w:r w:rsidR="00EF087A" w:rsidRPr="00EF087A">
              <w:rPr>
                <w:rFonts w:ascii="Arial" w:hAnsi="Arial" w:cs="Arial"/>
                <w:i/>
              </w:rPr>
              <w:t>bona fide</w:t>
            </w:r>
            <w:r w:rsidR="00EF087A" w:rsidRPr="00EF087A">
              <w:rPr>
                <w:rFonts w:ascii="Arial" w:hAnsi="Arial" w:cs="Arial"/>
              </w:rPr>
              <w:t xml:space="preserve"> defence to the plaintiff’s action, and the notice of intention to defend has been delivered for purposes of delaying the action. He further stated that he has attached a copy of the Deed of T</w:t>
            </w:r>
            <w:r w:rsidR="00EF087A">
              <w:rPr>
                <w:rFonts w:ascii="Arial" w:hAnsi="Arial" w:cs="Arial"/>
              </w:rPr>
              <w:t>ransfer/</w:t>
            </w:r>
            <w:r w:rsidR="00EF087A" w:rsidRPr="00EF087A">
              <w:rPr>
                <w:rFonts w:ascii="Arial" w:hAnsi="Arial" w:cs="Arial"/>
              </w:rPr>
              <w:t xml:space="preserve">Title Deed to the particulars of claim as Annexure </w:t>
            </w:r>
            <w:r w:rsidR="00EF087A">
              <w:rPr>
                <w:rFonts w:ascii="Arial" w:hAnsi="Arial" w:cs="Arial"/>
              </w:rPr>
              <w:t>‘</w:t>
            </w:r>
            <w:r w:rsidR="00EF087A" w:rsidRPr="00EF087A">
              <w:rPr>
                <w:rFonts w:ascii="Arial" w:hAnsi="Arial" w:cs="Arial"/>
              </w:rPr>
              <w:t>HON1</w:t>
            </w:r>
            <w:r w:rsidR="00EF087A">
              <w:rPr>
                <w:rFonts w:ascii="Arial" w:hAnsi="Arial" w:cs="Arial"/>
              </w:rPr>
              <w:t>’</w:t>
            </w:r>
            <w:r w:rsidR="00EF087A" w:rsidRPr="00EF087A">
              <w:rPr>
                <w:rFonts w:ascii="Arial" w:hAnsi="Arial" w:cs="Arial"/>
              </w:rPr>
              <w:t>, and that there is no any further agreement between him and the defendant authorising the defendant or anyone residing with the defendant on his property to continue residing on his property. He concluded that the defendant is in unlawful occupation of his property, and prayed that the court grant the orders against the defendant with costs as prayed for in the particulars of claim</w:t>
            </w:r>
            <w:r w:rsidR="00E41527" w:rsidRPr="00EF087A">
              <w:rPr>
                <w:rFonts w:ascii="Arial" w:hAnsi="Arial" w:cs="Arial"/>
              </w:rPr>
              <w:t>.</w:t>
            </w:r>
          </w:p>
          <w:p w:rsidR="00422CA6" w:rsidRPr="00EF087A" w:rsidRDefault="00422CA6" w:rsidP="00FD38C2">
            <w:pPr>
              <w:spacing w:line="360" w:lineRule="auto"/>
              <w:jc w:val="both"/>
              <w:rPr>
                <w:rFonts w:ascii="Arial" w:hAnsi="Arial" w:cs="Arial"/>
              </w:rPr>
            </w:pPr>
          </w:p>
          <w:p w:rsidR="00A23F8A" w:rsidRPr="00EF087A" w:rsidRDefault="00A6494E" w:rsidP="00422CA6">
            <w:pPr>
              <w:spacing w:line="360" w:lineRule="auto"/>
              <w:jc w:val="both"/>
              <w:rPr>
                <w:rFonts w:ascii="Arial" w:hAnsi="Arial" w:cs="Arial"/>
              </w:rPr>
            </w:pPr>
            <w:r w:rsidRPr="00EF087A">
              <w:rPr>
                <w:rFonts w:ascii="Arial" w:hAnsi="Arial" w:cs="Arial"/>
              </w:rPr>
              <w:t>[3]</w:t>
            </w:r>
            <w:r w:rsidR="00B53D6D" w:rsidRPr="00EF087A">
              <w:rPr>
                <w:rFonts w:ascii="Arial" w:hAnsi="Arial" w:cs="Arial"/>
              </w:rPr>
              <w:t xml:space="preserve"> </w:t>
            </w:r>
            <w:r w:rsidR="006E49A3" w:rsidRPr="00EF087A">
              <w:rPr>
                <w:rFonts w:ascii="Arial" w:hAnsi="Arial" w:cs="Arial"/>
              </w:rPr>
              <w:t xml:space="preserve">  </w:t>
            </w:r>
            <w:r w:rsidR="00EF087A" w:rsidRPr="00EF087A">
              <w:rPr>
                <w:rFonts w:ascii="Arial" w:hAnsi="Arial" w:cs="Arial"/>
              </w:rPr>
              <w:t xml:space="preserve">In his answering affidavit, Phillip Oupapa Nashandi stated that he has a valid and/or </w:t>
            </w:r>
            <w:r w:rsidR="00EF087A" w:rsidRPr="00EF087A">
              <w:rPr>
                <w:rFonts w:ascii="Arial" w:hAnsi="Arial" w:cs="Arial"/>
                <w:i/>
              </w:rPr>
              <w:t>bona fide</w:t>
            </w:r>
            <w:r w:rsidR="00EF087A" w:rsidRPr="00EF087A">
              <w:rPr>
                <w:rFonts w:ascii="Arial" w:hAnsi="Arial" w:cs="Arial"/>
              </w:rPr>
              <w:t xml:space="preserve"> defence against the plaintiff’s claim because a title deed is only </w:t>
            </w:r>
            <w:r w:rsidR="00EF087A" w:rsidRPr="00EF087A">
              <w:rPr>
                <w:rFonts w:ascii="Arial" w:hAnsi="Arial" w:cs="Arial"/>
                <w:i/>
              </w:rPr>
              <w:t>prima facie</w:t>
            </w:r>
            <w:r w:rsidR="00EF087A" w:rsidRPr="00EF087A">
              <w:rPr>
                <w:rFonts w:ascii="Arial" w:hAnsi="Arial" w:cs="Arial"/>
              </w:rPr>
              <w:t xml:space="preserve"> proof of ownership, but same in itself does not necessarily prove ownership over the property or the transfer of such ownership. He submitted that the plaintiff is not the lawful owner of the property, but he simply holds the property in trust on behalf of the actual lawful owner of the property, who is an uncle of the defendant and the plaintiff by the name Petrus Ducky Hailombe. He further submitted that he enjoys occupation of the property with the permission of his uncle, Petrus Ducky Hailombe, and that his occupation of the property is thus lawful. Lastly, he stated that he believes that he has made out a case and prayed that the court dismiss the plaintiff’s application for summary judgment with costs</w:t>
            </w:r>
            <w:r w:rsidR="005577B6" w:rsidRPr="00EF087A">
              <w:rPr>
                <w:rFonts w:ascii="Arial" w:hAnsi="Arial" w:cs="Arial"/>
              </w:rPr>
              <w:t>.</w:t>
            </w:r>
          </w:p>
          <w:p w:rsidR="002736CF" w:rsidRDefault="002736CF" w:rsidP="00E26AF0">
            <w:pPr>
              <w:tabs>
                <w:tab w:val="left" w:pos="1313"/>
              </w:tabs>
              <w:spacing w:line="360" w:lineRule="auto"/>
              <w:jc w:val="both"/>
              <w:rPr>
                <w:rFonts w:ascii="Arial" w:hAnsi="Arial" w:cs="Arial"/>
              </w:rPr>
            </w:pPr>
          </w:p>
          <w:p w:rsidR="002736CF" w:rsidRPr="00E26AF0" w:rsidRDefault="003F2930" w:rsidP="00422CA6">
            <w:pPr>
              <w:spacing w:line="360" w:lineRule="auto"/>
              <w:jc w:val="both"/>
              <w:rPr>
                <w:rFonts w:ascii="Arial" w:hAnsi="Arial" w:cs="Arial"/>
              </w:rPr>
            </w:pPr>
            <w:r>
              <w:rPr>
                <w:rFonts w:ascii="Arial" w:hAnsi="Arial" w:cs="Arial"/>
              </w:rPr>
              <w:t xml:space="preserve">[4]   </w:t>
            </w:r>
            <w:r w:rsidR="00EF087A" w:rsidRPr="00E26AF0">
              <w:rPr>
                <w:rFonts w:ascii="Arial" w:hAnsi="Arial" w:cs="Arial"/>
              </w:rPr>
              <w:t>Petrus Ducky Hailombe provided a background of the matter in his supporting affidavit and stated that the plaintiff is not the owner of the property, but he simply holds the property in trust on his behalf. He stated that he purchased the property and paid the full purchase price of the property, and that he paid and continues to pay all the property taxes, and has paid for the maintenance of the property for the benefit of the Hailombe family, and that the plaintiff made no contribution to the property in that regard. He stated that a title deed is not sufficient proof of ownership and further that registration of an immovable property in one’s name does not necessarily mean ownership has been transferred, because such registration must be coupled with an intention to pass and receive ownership. He submitted that it was never his intention to pass ownership to the plaintiff. He said that the property is registered in the name of the plaintiff because it was the wish of the elders of his family, and he agreed. The plaintiff and the defendant are his nephews. He denied that the plaintiff is the owner of the property and submitted that he is the owner of the property in question, and added that the defendant currently enjoys undisturbed use and enjoyment of the property on his behest, and on that basis denied that the defendant is in unlawful occupation of the property.</w:t>
            </w:r>
          </w:p>
          <w:p w:rsidR="008E6759" w:rsidRPr="00E26AF0" w:rsidRDefault="008E6759" w:rsidP="00422CA6">
            <w:pPr>
              <w:spacing w:line="360" w:lineRule="auto"/>
              <w:jc w:val="both"/>
              <w:rPr>
                <w:rFonts w:ascii="Arial" w:hAnsi="Arial" w:cs="Arial"/>
              </w:rPr>
            </w:pPr>
          </w:p>
          <w:p w:rsidR="008E6759" w:rsidRPr="00E26AF0" w:rsidRDefault="008E6759" w:rsidP="00422CA6">
            <w:pPr>
              <w:spacing w:line="360" w:lineRule="auto"/>
              <w:jc w:val="both"/>
              <w:rPr>
                <w:rFonts w:ascii="Arial" w:hAnsi="Arial" w:cs="Arial"/>
              </w:rPr>
            </w:pPr>
            <w:r w:rsidRPr="00E26AF0">
              <w:rPr>
                <w:rFonts w:ascii="Arial" w:hAnsi="Arial" w:cs="Arial"/>
              </w:rPr>
              <w:lastRenderedPageBreak/>
              <w:t>[</w:t>
            </w:r>
            <w:r w:rsidR="002736CF" w:rsidRPr="00E26AF0">
              <w:rPr>
                <w:rFonts w:ascii="Arial" w:hAnsi="Arial" w:cs="Arial"/>
              </w:rPr>
              <w:t>5</w:t>
            </w:r>
            <w:r w:rsidRPr="00E26AF0">
              <w:rPr>
                <w:rFonts w:ascii="Arial" w:hAnsi="Arial" w:cs="Arial"/>
              </w:rPr>
              <w:t xml:space="preserve">]   </w:t>
            </w:r>
            <w:r w:rsidR="00EF087A" w:rsidRPr="00E26AF0">
              <w:rPr>
                <w:rFonts w:ascii="Arial" w:hAnsi="Arial" w:cs="Arial"/>
              </w:rPr>
              <w:t xml:space="preserve">Lastly, Petrus Ducky Hailombe stated that he believes that a valid and </w:t>
            </w:r>
            <w:r w:rsidR="00EF087A" w:rsidRPr="00E26AF0">
              <w:rPr>
                <w:rFonts w:ascii="Arial" w:hAnsi="Arial" w:cs="Arial"/>
                <w:i/>
              </w:rPr>
              <w:t>bona fide</w:t>
            </w:r>
            <w:r w:rsidR="00EF087A" w:rsidRPr="00E26AF0">
              <w:rPr>
                <w:rFonts w:ascii="Arial" w:hAnsi="Arial" w:cs="Arial"/>
              </w:rPr>
              <w:t xml:space="preserve"> defence has been raised against the plaintiff’s claim in that the plaintiff is not the owner of the impugned property, nor is the defendant in unlawful occupation of the property; therefore the application for summary judgment should be dismissed with costs</w:t>
            </w:r>
            <w:r w:rsidR="00CA2B73" w:rsidRPr="00E26AF0">
              <w:rPr>
                <w:rFonts w:ascii="Arial" w:hAnsi="Arial" w:cs="Arial"/>
              </w:rPr>
              <w:t>.</w:t>
            </w:r>
          </w:p>
          <w:p w:rsidR="003F2930" w:rsidRPr="00E26AF0" w:rsidRDefault="003F2930" w:rsidP="00422CA6">
            <w:pPr>
              <w:spacing w:line="360" w:lineRule="auto"/>
              <w:jc w:val="both"/>
              <w:rPr>
                <w:rFonts w:ascii="Arial" w:hAnsi="Arial" w:cs="Arial"/>
              </w:rPr>
            </w:pPr>
          </w:p>
          <w:p w:rsidR="00EF087A" w:rsidRPr="00E26AF0" w:rsidRDefault="003F2930" w:rsidP="00EF087A">
            <w:pPr>
              <w:pStyle w:val="ListParagraph"/>
              <w:tabs>
                <w:tab w:val="left" w:pos="851"/>
              </w:tabs>
              <w:spacing w:line="360" w:lineRule="auto"/>
              <w:ind w:left="0"/>
              <w:jc w:val="both"/>
              <w:rPr>
                <w:rFonts w:ascii="Arial" w:hAnsi="Arial" w:cs="Arial"/>
              </w:rPr>
            </w:pPr>
            <w:r w:rsidRPr="00E26AF0">
              <w:rPr>
                <w:rFonts w:ascii="Arial" w:hAnsi="Arial" w:cs="Arial"/>
              </w:rPr>
              <w:t xml:space="preserve">[6]   </w:t>
            </w:r>
            <w:r w:rsidR="00EF087A" w:rsidRPr="00E26AF0">
              <w:rPr>
                <w:rFonts w:ascii="Arial" w:hAnsi="Arial" w:cs="Arial"/>
              </w:rPr>
              <w:t xml:space="preserve">In the case of </w:t>
            </w:r>
            <w:r w:rsidR="00EF087A" w:rsidRPr="00E26AF0">
              <w:rPr>
                <w:rFonts w:ascii="Arial" w:hAnsi="Arial" w:cs="Arial"/>
                <w:i/>
              </w:rPr>
              <w:t>Lofty-Eaton v Ramos</w:t>
            </w:r>
            <w:r w:rsidR="00EF087A" w:rsidRPr="00E26AF0">
              <w:rPr>
                <w:rStyle w:val="FootnoteReference"/>
                <w:rFonts w:ascii="Arial" w:hAnsi="Arial" w:cs="Arial"/>
                <w:i/>
              </w:rPr>
              <w:footnoteReference w:id="1"/>
            </w:r>
            <w:r w:rsidR="00E26AF0" w:rsidRPr="00E26AF0">
              <w:rPr>
                <w:rFonts w:ascii="Arial" w:hAnsi="Arial" w:cs="Arial"/>
              </w:rPr>
              <w:t>,</w:t>
            </w:r>
            <w:r w:rsidR="00EF087A" w:rsidRPr="00E26AF0">
              <w:rPr>
                <w:rFonts w:ascii="Arial" w:hAnsi="Arial" w:cs="Arial"/>
              </w:rPr>
              <w:t xml:space="preserve"> it was held as follows:</w:t>
            </w:r>
          </w:p>
          <w:p w:rsidR="003F2930" w:rsidRPr="00E26AF0" w:rsidRDefault="003F2930" w:rsidP="00422CA6">
            <w:pPr>
              <w:spacing w:line="360" w:lineRule="auto"/>
              <w:jc w:val="both"/>
              <w:rPr>
                <w:rFonts w:ascii="Arial" w:hAnsi="Arial" w:cs="Arial"/>
              </w:rPr>
            </w:pPr>
          </w:p>
          <w:p w:rsidR="00EB7915" w:rsidRDefault="00EB7915" w:rsidP="00E26AF0">
            <w:pPr>
              <w:pStyle w:val="ListParagraph"/>
              <w:tabs>
                <w:tab w:val="left" w:pos="851"/>
              </w:tabs>
              <w:spacing w:line="360" w:lineRule="auto"/>
              <w:ind w:left="842" w:hanging="425"/>
              <w:jc w:val="both"/>
              <w:rPr>
                <w:rFonts w:ascii="Arial" w:hAnsi="Arial" w:cs="Arial"/>
                <w:sz w:val="20"/>
                <w:szCs w:val="20"/>
              </w:rPr>
            </w:pPr>
            <w:r w:rsidRPr="00695F75">
              <w:rPr>
                <w:rFonts w:ascii="Arial" w:hAnsi="Arial" w:cs="Arial"/>
                <w:sz w:val="20"/>
                <w:szCs w:val="20"/>
              </w:rPr>
              <w:t xml:space="preserve">‘[5] </w:t>
            </w:r>
            <w:r w:rsidR="00E26AF0">
              <w:rPr>
                <w:rFonts w:ascii="Arial" w:hAnsi="Arial" w:cs="Arial"/>
                <w:sz w:val="20"/>
                <w:szCs w:val="20"/>
              </w:rPr>
              <w:t xml:space="preserve"> </w:t>
            </w:r>
            <w:r w:rsidRPr="00695F75">
              <w:rPr>
                <w:rFonts w:ascii="Arial" w:hAnsi="Arial" w:cs="Arial"/>
                <w:sz w:val="20"/>
                <w:szCs w:val="20"/>
              </w:rPr>
              <w:t>The general approach of these courts in applications of this nature is that cognisance is taken into account that a summary judgment is an independent, distinctive and a speedy debt collecting mechanism utilized by creditors. It is a tool to use by a plaintiff where a defendant raises some lame excuse or defence in order to defend a clear claim. These courts, have, therefore, been using this method to justly grant an order to a desperate plaintiff who without doing so, will continue to endure the frustration mount</w:t>
            </w:r>
            <w:r w:rsidR="00E26AF0">
              <w:rPr>
                <w:rFonts w:ascii="Arial" w:hAnsi="Arial" w:cs="Arial"/>
                <w:sz w:val="20"/>
                <w:szCs w:val="20"/>
              </w:rPr>
              <w:t>ed by an unscrupulous defendant</w:t>
            </w:r>
            <w:r w:rsidRPr="00695F75">
              <w:rPr>
                <w:rFonts w:ascii="Arial" w:hAnsi="Arial" w:cs="Arial"/>
                <w:sz w:val="20"/>
                <w:szCs w:val="20"/>
              </w:rPr>
              <w:t>(s) on the basis of some imagined defence. As remedy available to plaintiff is an extra-</w:t>
            </w:r>
            <w:r w:rsidRPr="00E26AF0">
              <w:rPr>
                <w:rFonts w:ascii="Arial" w:hAnsi="Arial" w:cs="Arial"/>
                <w:sz w:val="20"/>
                <w:szCs w:val="20"/>
              </w:rPr>
              <w:t xml:space="preserve">ordinary one and is indeed stringent to the defendant, it should only be availed to a party who has a watertight case and that there is absolutely no chance of respondent/defendant answering it, see </w:t>
            </w:r>
            <w:r w:rsidRPr="00E26AF0">
              <w:rPr>
                <w:rFonts w:ascii="Arial" w:hAnsi="Arial" w:cs="Arial"/>
                <w:i/>
                <w:sz w:val="20"/>
                <w:szCs w:val="20"/>
              </w:rPr>
              <w:t>Standard Bank of Namibia Ltd v Veldsman</w:t>
            </w:r>
            <w:r w:rsidRPr="00E26AF0">
              <w:rPr>
                <w:rStyle w:val="FootnoteReference"/>
                <w:rFonts w:ascii="Arial" w:hAnsi="Arial" w:cs="Arial"/>
                <w:i/>
                <w:sz w:val="20"/>
                <w:szCs w:val="20"/>
              </w:rPr>
              <w:footnoteReference w:id="2"/>
            </w:r>
            <w:r w:rsidRPr="00E26AF0">
              <w:rPr>
                <w:rFonts w:ascii="Arial" w:hAnsi="Arial" w:cs="Arial"/>
                <w:sz w:val="20"/>
                <w:szCs w:val="20"/>
              </w:rPr>
              <w:t xml:space="preserve">. Rule 32 specifically deals with the said applications. Summary Judgment is therefore a simple, but, effective method of disposing of suitable cases without high costs and long delays of trial actions, see </w:t>
            </w:r>
            <w:r w:rsidRPr="00E26AF0">
              <w:rPr>
                <w:rFonts w:ascii="Arial" w:hAnsi="Arial" w:cs="Arial"/>
                <w:i/>
                <w:sz w:val="20"/>
                <w:szCs w:val="20"/>
              </w:rPr>
              <w:t>Caston Ltd v Barrigo</w:t>
            </w:r>
            <w:r w:rsidRPr="00E26AF0">
              <w:rPr>
                <w:rStyle w:val="FootnoteReference"/>
                <w:rFonts w:ascii="Arial" w:hAnsi="Arial" w:cs="Arial"/>
                <w:i/>
                <w:sz w:val="20"/>
                <w:szCs w:val="20"/>
              </w:rPr>
              <w:footnoteReference w:id="3"/>
            </w:r>
            <w:r w:rsidRPr="00E26AF0">
              <w:rPr>
                <w:rFonts w:ascii="Arial" w:hAnsi="Arial" w:cs="Arial"/>
                <w:sz w:val="20"/>
                <w:szCs w:val="20"/>
              </w:rPr>
              <w:t>. In that case, Roberts, AJ w</w:t>
            </w:r>
            <w:r w:rsidRPr="00695F75">
              <w:rPr>
                <w:rFonts w:ascii="Arial" w:hAnsi="Arial" w:cs="Arial"/>
                <w:sz w:val="20"/>
                <w:szCs w:val="20"/>
              </w:rPr>
              <w:t>ent further and crystalised the principle as follows:</w:t>
            </w:r>
          </w:p>
          <w:p w:rsidR="00E26AF0" w:rsidRPr="00695F75" w:rsidRDefault="00E26AF0" w:rsidP="00EB7915">
            <w:pPr>
              <w:pStyle w:val="ListParagraph"/>
              <w:tabs>
                <w:tab w:val="left" w:pos="851"/>
              </w:tabs>
              <w:spacing w:line="360" w:lineRule="auto"/>
              <w:ind w:left="0"/>
              <w:jc w:val="both"/>
              <w:rPr>
                <w:rFonts w:ascii="Arial" w:hAnsi="Arial" w:cs="Arial"/>
                <w:sz w:val="20"/>
                <w:szCs w:val="20"/>
              </w:rPr>
            </w:pPr>
          </w:p>
          <w:p w:rsidR="00EB7915" w:rsidRDefault="00E26AF0" w:rsidP="00E26AF0">
            <w:pPr>
              <w:spacing w:line="360" w:lineRule="auto"/>
              <w:ind w:left="720" w:right="15" w:firstLine="548"/>
              <w:jc w:val="both"/>
              <w:rPr>
                <w:rFonts w:ascii="Arial" w:hAnsi="Arial" w:cs="Arial"/>
                <w:sz w:val="20"/>
                <w:szCs w:val="20"/>
              </w:rPr>
            </w:pPr>
            <w:r>
              <w:rPr>
                <w:rFonts w:ascii="Arial" w:hAnsi="Arial" w:cs="Arial"/>
                <w:sz w:val="20"/>
                <w:szCs w:val="20"/>
              </w:rPr>
              <w:t>“</w:t>
            </w:r>
            <w:r w:rsidR="00EB7915" w:rsidRPr="00E26AF0">
              <w:rPr>
                <w:rFonts w:ascii="Arial" w:hAnsi="Arial" w:cs="Arial"/>
                <w:sz w:val="20"/>
                <w:szCs w:val="20"/>
              </w:rPr>
              <w:t>It is confined to claims in respect of which it is alleged and appears to the court that the defendant has no bona fide defence, and that appearance has been entered solely for the purpose of delay</w:t>
            </w:r>
            <w:r>
              <w:rPr>
                <w:rFonts w:ascii="Arial" w:hAnsi="Arial" w:cs="Arial"/>
                <w:sz w:val="20"/>
                <w:szCs w:val="20"/>
              </w:rPr>
              <w:t>.”</w:t>
            </w:r>
          </w:p>
          <w:p w:rsidR="00E26AF0" w:rsidRPr="00E26AF0" w:rsidRDefault="00E26AF0" w:rsidP="00E26AF0">
            <w:pPr>
              <w:spacing w:line="360" w:lineRule="auto"/>
              <w:ind w:right="1107"/>
              <w:jc w:val="both"/>
              <w:rPr>
                <w:rFonts w:ascii="Arial" w:hAnsi="Arial" w:cs="Arial"/>
                <w:sz w:val="20"/>
                <w:szCs w:val="20"/>
              </w:rPr>
            </w:pPr>
          </w:p>
          <w:p w:rsidR="00EB7915" w:rsidRDefault="00EB7915" w:rsidP="00C91508">
            <w:pPr>
              <w:spacing w:line="360" w:lineRule="auto"/>
              <w:ind w:left="842" w:hanging="425"/>
              <w:jc w:val="both"/>
              <w:rPr>
                <w:rFonts w:ascii="Arial" w:hAnsi="Arial" w:cs="Arial"/>
                <w:sz w:val="20"/>
                <w:szCs w:val="20"/>
              </w:rPr>
            </w:pPr>
            <w:r w:rsidRPr="00695F75">
              <w:rPr>
                <w:rFonts w:ascii="Arial" w:hAnsi="Arial" w:cs="Arial"/>
                <w:sz w:val="20"/>
                <w:szCs w:val="20"/>
              </w:rPr>
              <w:t xml:space="preserve">[7] </w:t>
            </w:r>
            <w:r w:rsidR="00C91508">
              <w:rPr>
                <w:rFonts w:ascii="Arial" w:hAnsi="Arial" w:cs="Arial"/>
                <w:sz w:val="20"/>
                <w:szCs w:val="20"/>
              </w:rPr>
              <w:t xml:space="preserve"> </w:t>
            </w:r>
            <w:r w:rsidRPr="00695F75">
              <w:rPr>
                <w:rFonts w:ascii="Arial" w:hAnsi="Arial" w:cs="Arial"/>
                <w:sz w:val="20"/>
                <w:szCs w:val="20"/>
              </w:rPr>
              <w:t xml:space="preserve">Where a summary judgment has been applied for, the respondent is entitled to oppose, if he has a </w:t>
            </w:r>
            <w:r w:rsidRPr="00695F75">
              <w:rPr>
                <w:rFonts w:ascii="Arial" w:hAnsi="Arial" w:cs="Arial"/>
                <w:i/>
                <w:sz w:val="20"/>
                <w:szCs w:val="20"/>
              </w:rPr>
              <w:t>bona fide</w:t>
            </w:r>
            <w:r w:rsidRPr="00695F75">
              <w:rPr>
                <w:rFonts w:ascii="Arial" w:hAnsi="Arial" w:cs="Arial"/>
                <w:sz w:val="20"/>
                <w:szCs w:val="20"/>
              </w:rPr>
              <w:t xml:space="preserve"> defence and in that opposition he/she must depose to an affidavit where he/she should positively state and show that he/she has a </w:t>
            </w:r>
            <w:r w:rsidRPr="00695F75">
              <w:rPr>
                <w:rFonts w:ascii="Arial" w:hAnsi="Arial" w:cs="Arial"/>
                <w:i/>
                <w:sz w:val="20"/>
                <w:szCs w:val="20"/>
              </w:rPr>
              <w:t>bona fide</w:t>
            </w:r>
            <w:r w:rsidRPr="00695F75">
              <w:rPr>
                <w:rFonts w:ascii="Arial" w:hAnsi="Arial" w:cs="Arial"/>
                <w:sz w:val="20"/>
                <w:szCs w:val="20"/>
              </w:rPr>
              <w:t xml:space="preserve"> defence to applicant’s claim. Respondent must not only show, but, must satisfy the court that he/she has a </w:t>
            </w:r>
            <w:r w:rsidRPr="00695F75">
              <w:rPr>
                <w:rFonts w:ascii="Arial" w:hAnsi="Arial" w:cs="Arial"/>
                <w:i/>
                <w:sz w:val="20"/>
                <w:szCs w:val="20"/>
              </w:rPr>
              <w:t>bona fide</w:t>
            </w:r>
            <w:r w:rsidRPr="00695F75">
              <w:rPr>
                <w:rFonts w:ascii="Arial" w:hAnsi="Arial" w:cs="Arial"/>
                <w:sz w:val="20"/>
                <w:szCs w:val="20"/>
              </w:rPr>
              <w:t xml:space="preserve"> defence. In furtherance of the satisfaction to the court, respondent must at least disclose his defence and material facts upon which it is based with sufficient particularity and completeness to enable the court to decide whether the affidavit discloses a </w:t>
            </w:r>
            <w:r w:rsidRPr="00695F75">
              <w:rPr>
                <w:rFonts w:ascii="Arial" w:hAnsi="Arial" w:cs="Arial"/>
                <w:i/>
                <w:sz w:val="20"/>
                <w:szCs w:val="20"/>
              </w:rPr>
              <w:t>bona fide</w:t>
            </w:r>
            <w:r w:rsidRPr="00695F75">
              <w:rPr>
                <w:rFonts w:ascii="Arial" w:hAnsi="Arial" w:cs="Arial"/>
                <w:sz w:val="20"/>
                <w:szCs w:val="20"/>
              </w:rPr>
              <w:t xml:space="preserve"> defence, see </w:t>
            </w:r>
            <w:r w:rsidRPr="00695F75">
              <w:rPr>
                <w:rFonts w:ascii="Arial" w:hAnsi="Arial" w:cs="Arial"/>
                <w:i/>
                <w:sz w:val="20"/>
                <w:szCs w:val="20"/>
              </w:rPr>
              <w:t>Breitenbach v Fiat SA (Edms) BPK</w:t>
            </w:r>
            <w:r w:rsidRPr="00695F75">
              <w:rPr>
                <w:rStyle w:val="FootnoteReference"/>
                <w:rFonts w:ascii="Arial" w:hAnsi="Arial" w:cs="Arial"/>
                <w:i/>
                <w:sz w:val="20"/>
                <w:szCs w:val="20"/>
              </w:rPr>
              <w:footnoteReference w:id="4"/>
            </w:r>
            <w:r w:rsidRPr="00695F75">
              <w:rPr>
                <w:rFonts w:ascii="Arial" w:hAnsi="Arial" w:cs="Arial"/>
                <w:i/>
                <w:sz w:val="20"/>
                <w:szCs w:val="20"/>
              </w:rPr>
              <w:t xml:space="preserve"> </w:t>
            </w:r>
            <w:r w:rsidRPr="00695F75">
              <w:rPr>
                <w:rFonts w:ascii="Arial" w:hAnsi="Arial" w:cs="Arial"/>
                <w:sz w:val="20"/>
                <w:szCs w:val="20"/>
              </w:rPr>
              <w:t xml:space="preserve">and </w:t>
            </w:r>
            <w:r w:rsidRPr="00695F75">
              <w:rPr>
                <w:rFonts w:ascii="Arial" w:hAnsi="Arial" w:cs="Arial"/>
                <w:i/>
                <w:sz w:val="20"/>
                <w:szCs w:val="20"/>
              </w:rPr>
              <w:t>Namibia Breweries Ltd v Marina Nenzo Serrao</w:t>
            </w:r>
            <w:r w:rsidRPr="00695F75">
              <w:rPr>
                <w:rStyle w:val="FootnoteReference"/>
                <w:rFonts w:ascii="Arial" w:hAnsi="Arial" w:cs="Arial"/>
                <w:sz w:val="20"/>
                <w:szCs w:val="20"/>
              </w:rPr>
              <w:footnoteReference w:id="5"/>
            </w:r>
            <w:r w:rsidRPr="00695F75">
              <w:rPr>
                <w:rFonts w:ascii="Arial" w:hAnsi="Arial" w:cs="Arial"/>
                <w:sz w:val="20"/>
                <w:szCs w:val="20"/>
              </w:rPr>
              <w:t xml:space="preserve">. This, however, is not to say that he/she should do so by disclosing all the details and particulars as would be the case of proceedings, see </w:t>
            </w:r>
            <w:r w:rsidRPr="00695F75">
              <w:rPr>
                <w:rFonts w:ascii="Arial" w:hAnsi="Arial" w:cs="Arial"/>
                <w:i/>
                <w:sz w:val="20"/>
                <w:szCs w:val="20"/>
              </w:rPr>
              <w:t>Maharaj v Barclays National Bank Ltd</w:t>
            </w:r>
            <w:r w:rsidRPr="00695F75">
              <w:rPr>
                <w:rStyle w:val="FootnoteReference"/>
                <w:rFonts w:ascii="Arial" w:hAnsi="Arial" w:cs="Arial"/>
                <w:i/>
                <w:sz w:val="20"/>
                <w:szCs w:val="20"/>
              </w:rPr>
              <w:footnoteReference w:id="6"/>
            </w:r>
            <w:r w:rsidRPr="00695F75">
              <w:rPr>
                <w:rFonts w:ascii="Arial" w:hAnsi="Arial" w:cs="Arial"/>
                <w:sz w:val="20"/>
                <w:szCs w:val="20"/>
              </w:rPr>
              <w:t xml:space="preserve"> and </w:t>
            </w:r>
            <w:r w:rsidRPr="00695F75">
              <w:rPr>
                <w:rFonts w:ascii="Arial" w:hAnsi="Arial" w:cs="Arial"/>
                <w:i/>
                <w:sz w:val="20"/>
                <w:szCs w:val="20"/>
              </w:rPr>
              <w:t>Breitenbach v Fiat SA</w:t>
            </w:r>
            <w:r w:rsidRPr="00695F75">
              <w:rPr>
                <w:rStyle w:val="FootnoteReference"/>
                <w:rFonts w:ascii="Arial" w:hAnsi="Arial" w:cs="Arial"/>
                <w:i/>
                <w:sz w:val="20"/>
                <w:szCs w:val="20"/>
              </w:rPr>
              <w:footnoteReference w:id="7"/>
            </w:r>
            <w:r w:rsidRPr="00695F75">
              <w:rPr>
                <w:rFonts w:ascii="Arial" w:hAnsi="Arial" w:cs="Arial"/>
                <w:sz w:val="20"/>
                <w:szCs w:val="20"/>
              </w:rPr>
              <w:t>.</w:t>
            </w:r>
          </w:p>
          <w:p w:rsidR="00C91508" w:rsidRPr="00695F75" w:rsidRDefault="00C91508" w:rsidP="00EB7915">
            <w:pPr>
              <w:spacing w:line="360" w:lineRule="auto"/>
              <w:jc w:val="both"/>
              <w:rPr>
                <w:rFonts w:ascii="Arial" w:hAnsi="Arial" w:cs="Arial"/>
                <w:sz w:val="20"/>
                <w:szCs w:val="20"/>
              </w:rPr>
            </w:pPr>
          </w:p>
          <w:p w:rsidR="00EB7915" w:rsidRDefault="00C91508" w:rsidP="00C91508">
            <w:pPr>
              <w:spacing w:line="360" w:lineRule="auto"/>
              <w:ind w:left="842" w:hanging="425"/>
              <w:jc w:val="both"/>
              <w:rPr>
                <w:rFonts w:ascii="Arial" w:hAnsi="Arial" w:cs="Arial"/>
                <w:sz w:val="20"/>
                <w:szCs w:val="20"/>
              </w:rPr>
            </w:pPr>
            <w:r>
              <w:rPr>
                <w:rFonts w:ascii="Arial" w:hAnsi="Arial" w:cs="Arial"/>
                <w:sz w:val="20"/>
                <w:szCs w:val="20"/>
              </w:rPr>
              <w:lastRenderedPageBreak/>
              <w:t xml:space="preserve">[8]  </w:t>
            </w:r>
            <w:r w:rsidR="00EB7915" w:rsidRPr="00695F75">
              <w:rPr>
                <w:rFonts w:ascii="Arial" w:hAnsi="Arial" w:cs="Arial"/>
                <w:sz w:val="20"/>
                <w:szCs w:val="20"/>
              </w:rPr>
              <w:t xml:space="preserve">The requirement seems to be relaxed to a certain extent as it is not rigorous </w:t>
            </w:r>
            <w:r w:rsidR="00EB7915" w:rsidRPr="00695F75">
              <w:rPr>
                <w:rFonts w:ascii="Arial" w:hAnsi="Arial" w:cs="Arial"/>
                <w:i/>
                <w:sz w:val="20"/>
                <w:szCs w:val="20"/>
              </w:rPr>
              <w:t>per se,</w:t>
            </w:r>
            <w:r w:rsidR="00EB7915" w:rsidRPr="00695F75">
              <w:rPr>
                <w:rFonts w:ascii="Arial" w:hAnsi="Arial" w:cs="Arial"/>
                <w:sz w:val="20"/>
                <w:szCs w:val="20"/>
              </w:rPr>
              <w:t xml:space="preserve"> but, is designed to enable a genuine respondent to defend a claim which otherwise would result in applicants’ obtaining judgment under circumstances where respondent had a genuine defence. The need for clarity on defendant’s part is designed to avoid the entry of intention to defend an action solely to delay an otherwise just claim by plaintiff.</w:t>
            </w:r>
          </w:p>
          <w:p w:rsidR="00C91508" w:rsidRPr="00695F75" w:rsidRDefault="00C91508" w:rsidP="00EB7915">
            <w:pPr>
              <w:spacing w:line="360" w:lineRule="auto"/>
              <w:jc w:val="both"/>
              <w:rPr>
                <w:rFonts w:ascii="Arial" w:hAnsi="Arial" w:cs="Arial"/>
                <w:sz w:val="20"/>
                <w:szCs w:val="20"/>
              </w:rPr>
            </w:pPr>
          </w:p>
          <w:p w:rsidR="00EB7915" w:rsidRDefault="00C91508" w:rsidP="00C91508">
            <w:pPr>
              <w:spacing w:line="360" w:lineRule="auto"/>
              <w:ind w:left="842" w:hanging="425"/>
              <w:jc w:val="both"/>
              <w:rPr>
                <w:rFonts w:ascii="Arial" w:hAnsi="Arial" w:cs="Arial"/>
                <w:sz w:val="20"/>
                <w:szCs w:val="20"/>
              </w:rPr>
            </w:pPr>
            <w:r>
              <w:rPr>
                <w:rFonts w:ascii="Arial" w:hAnsi="Arial" w:cs="Arial"/>
                <w:sz w:val="20"/>
                <w:szCs w:val="20"/>
              </w:rPr>
              <w:t xml:space="preserve">[9]  </w:t>
            </w:r>
            <w:r w:rsidR="00EB7915" w:rsidRPr="00695F75">
              <w:rPr>
                <w:rFonts w:ascii="Arial" w:hAnsi="Arial" w:cs="Arial"/>
                <w:sz w:val="20"/>
                <w:szCs w:val="20"/>
              </w:rPr>
              <w:t xml:space="preserve">For that reason, these courts will always seriously consider the granting of a summary judgment and will only do so where a proper case has been made out by applicants. The above principle has been applied in many cases, see also </w:t>
            </w:r>
            <w:r w:rsidR="00EB7915" w:rsidRPr="00695F75">
              <w:rPr>
                <w:rFonts w:ascii="Arial" w:hAnsi="Arial" w:cs="Arial"/>
                <w:i/>
                <w:sz w:val="20"/>
                <w:szCs w:val="20"/>
              </w:rPr>
              <w:t>Crede v Standard Bank of South Africa Ltd</w:t>
            </w:r>
            <w:r w:rsidR="00EB7915" w:rsidRPr="00695F75">
              <w:rPr>
                <w:rStyle w:val="FootnoteReference"/>
                <w:rFonts w:ascii="Arial" w:hAnsi="Arial" w:cs="Arial"/>
                <w:sz w:val="20"/>
                <w:szCs w:val="20"/>
              </w:rPr>
              <w:footnoteReference w:id="8"/>
            </w:r>
            <w:r w:rsidR="00EB7915" w:rsidRPr="00695F75">
              <w:rPr>
                <w:rFonts w:ascii="Arial" w:hAnsi="Arial" w:cs="Arial"/>
                <w:sz w:val="20"/>
                <w:szCs w:val="20"/>
              </w:rPr>
              <w:t xml:space="preserve"> where Kannemeyer,</w:t>
            </w:r>
            <w:r w:rsidR="00EB7915">
              <w:rPr>
                <w:rFonts w:ascii="Arial" w:hAnsi="Arial" w:cs="Arial"/>
                <w:sz w:val="20"/>
                <w:szCs w:val="20"/>
              </w:rPr>
              <w:t xml:space="preserve"> J remarked:</w:t>
            </w:r>
          </w:p>
          <w:p w:rsidR="00C91508" w:rsidRPr="00695F75" w:rsidRDefault="00C91508" w:rsidP="00EB7915">
            <w:pPr>
              <w:spacing w:line="360" w:lineRule="auto"/>
              <w:jc w:val="both"/>
              <w:rPr>
                <w:rFonts w:ascii="Arial" w:hAnsi="Arial" w:cs="Arial"/>
                <w:sz w:val="20"/>
                <w:szCs w:val="20"/>
              </w:rPr>
            </w:pPr>
          </w:p>
          <w:p w:rsidR="00EB7915" w:rsidRPr="00C91508" w:rsidRDefault="00EB7915" w:rsidP="00C91508">
            <w:pPr>
              <w:spacing w:line="360" w:lineRule="auto"/>
              <w:ind w:left="720" w:firstLine="548"/>
              <w:jc w:val="both"/>
              <w:rPr>
                <w:rFonts w:ascii="Arial" w:hAnsi="Arial" w:cs="Arial"/>
                <w:sz w:val="20"/>
                <w:szCs w:val="20"/>
              </w:rPr>
            </w:pPr>
            <w:r w:rsidRPr="00C91508">
              <w:rPr>
                <w:rFonts w:ascii="Arial" w:hAnsi="Arial" w:cs="Arial"/>
                <w:sz w:val="20"/>
                <w:szCs w:val="20"/>
              </w:rPr>
              <w:t>“One must bear in mind that the granting of summary judgment is an extraordinary and drastic remedy based upon the supposition that the plaintiff’s claim is unimpeachable and that the defendant’s defence is bogus or bad in law</w:t>
            </w:r>
            <w:r w:rsidR="00C91508">
              <w:rPr>
                <w:rFonts w:ascii="Arial" w:hAnsi="Arial" w:cs="Arial"/>
                <w:sz w:val="20"/>
                <w:szCs w:val="20"/>
              </w:rPr>
              <w:t>.</w:t>
            </w:r>
            <w:r w:rsidRPr="00C91508">
              <w:rPr>
                <w:rFonts w:ascii="Arial" w:hAnsi="Arial" w:cs="Arial"/>
                <w:sz w:val="20"/>
                <w:szCs w:val="20"/>
              </w:rPr>
              <w:t>”</w:t>
            </w:r>
            <w:r w:rsidR="00C91508">
              <w:rPr>
                <w:rFonts w:ascii="Arial" w:hAnsi="Arial" w:cs="Arial"/>
                <w:sz w:val="20"/>
                <w:szCs w:val="20"/>
              </w:rPr>
              <w:t xml:space="preserve"> ‘</w:t>
            </w:r>
          </w:p>
          <w:p w:rsidR="003F2930" w:rsidRDefault="003F2930" w:rsidP="00422CA6">
            <w:pPr>
              <w:spacing w:line="360" w:lineRule="auto"/>
              <w:jc w:val="both"/>
              <w:rPr>
                <w:rFonts w:ascii="Arial" w:hAnsi="Arial" w:cs="Arial"/>
              </w:rPr>
            </w:pPr>
          </w:p>
          <w:p w:rsidR="003F2930" w:rsidRPr="00C91508" w:rsidRDefault="003F2930" w:rsidP="00422CA6">
            <w:pPr>
              <w:spacing w:line="360" w:lineRule="auto"/>
              <w:jc w:val="both"/>
              <w:rPr>
                <w:rFonts w:ascii="Arial" w:hAnsi="Arial" w:cs="Arial"/>
              </w:rPr>
            </w:pPr>
            <w:r>
              <w:rPr>
                <w:rFonts w:ascii="Arial" w:hAnsi="Arial" w:cs="Arial"/>
              </w:rPr>
              <w:t xml:space="preserve">[7]   </w:t>
            </w:r>
            <w:r w:rsidR="00EB7915" w:rsidRPr="00C91508">
              <w:rPr>
                <w:rFonts w:ascii="Arial" w:hAnsi="Arial" w:cs="Arial"/>
              </w:rPr>
              <w:t>Rule 60(5) of the Rules of the High Court says that o</w:t>
            </w:r>
            <w:r w:rsidR="00EB7915" w:rsidRPr="00C91508">
              <w:rPr>
                <w:rFonts w:ascii="Arial" w:hAnsi="Arial" w:cs="Arial"/>
                <w:lang w:val="en-US"/>
              </w:rPr>
              <w:t xml:space="preserve">n the hearing of an application for summary judgment the defendant may satisfy the court by affidavit, that he or she has a </w:t>
            </w:r>
            <w:r w:rsidR="00EB7915" w:rsidRPr="00C91508">
              <w:rPr>
                <w:rFonts w:ascii="Arial" w:hAnsi="Arial" w:cs="Arial"/>
                <w:i/>
                <w:iCs/>
                <w:lang w:val="en-US"/>
              </w:rPr>
              <w:t xml:space="preserve">bona fide </w:t>
            </w:r>
            <w:r w:rsidR="00EB7915" w:rsidRPr="00C91508">
              <w:rPr>
                <w:rFonts w:ascii="Arial" w:hAnsi="Arial" w:cs="Arial"/>
                <w:lang w:val="en-US"/>
              </w:rPr>
              <w:t>defense to the action and the affidavit or evidence must disclose fully the nature and grounds of the defense and the material facts relied on.</w:t>
            </w:r>
          </w:p>
          <w:p w:rsidR="003F2930" w:rsidRPr="00C91508" w:rsidRDefault="003F2930" w:rsidP="00422CA6">
            <w:pPr>
              <w:spacing w:line="360" w:lineRule="auto"/>
              <w:jc w:val="both"/>
              <w:rPr>
                <w:rFonts w:ascii="Arial" w:hAnsi="Arial" w:cs="Arial"/>
              </w:rPr>
            </w:pPr>
          </w:p>
          <w:p w:rsidR="003F2930" w:rsidRDefault="003F2930" w:rsidP="00422CA6">
            <w:pPr>
              <w:spacing w:line="360" w:lineRule="auto"/>
              <w:jc w:val="both"/>
              <w:rPr>
                <w:rFonts w:ascii="Arial" w:hAnsi="Arial" w:cs="Arial"/>
              </w:rPr>
            </w:pPr>
            <w:r w:rsidRPr="00C91508">
              <w:rPr>
                <w:rFonts w:ascii="Arial" w:hAnsi="Arial" w:cs="Arial"/>
              </w:rPr>
              <w:t xml:space="preserve">[8]   </w:t>
            </w:r>
            <w:r w:rsidR="00EB7915" w:rsidRPr="00C91508">
              <w:rPr>
                <w:rFonts w:ascii="Arial" w:hAnsi="Arial" w:cs="Arial"/>
              </w:rPr>
              <w:t xml:space="preserve">Taking into consideration the principles reiterated in </w:t>
            </w:r>
            <w:r w:rsidR="00EB7915" w:rsidRPr="00C91508">
              <w:rPr>
                <w:rFonts w:ascii="Arial" w:hAnsi="Arial" w:cs="Arial"/>
                <w:i/>
              </w:rPr>
              <w:t>Lofty-Eaton v Ramos</w:t>
            </w:r>
            <w:r w:rsidR="00EB7915" w:rsidRPr="00C91508">
              <w:rPr>
                <w:rStyle w:val="FootnoteReference"/>
                <w:rFonts w:ascii="Arial" w:hAnsi="Arial" w:cs="Arial"/>
                <w:i/>
              </w:rPr>
              <w:footnoteReference w:id="9"/>
            </w:r>
            <w:r w:rsidR="00EB7915" w:rsidRPr="00C91508">
              <w:rPr>
                <w:rFonts w:ascii="Arial" w:hAnsi="Arial" w:cs="Arial"/>
                <w:i/>
              </w:rPr>
              <w:t xml:space="preserve"> </w:t>
            </w:r>
            <w:r w:rsidR="00C91508">
              <w:rPr>
                <w:rFonts w:ascii="Arial" w:hAnsi="Arial" w:cs="Arial"/>
              </w:rPr>
              <w:t>and the provision of r</w:t>
            </w:r>
            <w:r w:rsidR="00EB7915" w:rsidRPr="00C91508">
              <w:rPr>
                <w:rFonts w:ascii="Arial" w:hAnsi="Arial" w:cs="Arial"/>
              </w:rPr>
              <w:t xml:space="preserve">ule 60(5) of the Rules of the High Court in contrast with the content of the papers filed by the parties as discussed before, I find that the defendant in this case has satisfied the court that he has a </w:t>
            </w:r>
            <w:r w:rsidR="00EB7915" w:rsidRPr="00C91508">
              <w:rPr>
                <w:rFonts w:ascii="Arial" w:hAnsi="Arial" w:cs="Arial"/>
                <w:i/>
              </w:rPr>
              <w:t>bona fide</w:t>
            </w:r>
            <w:r w:rsidR="00EB7915" w:rsidRPr="00C91508">
              <w:rPr>
                <w:rFonts w:ascii="Arial" w:hAnsi="Arial" w:cs="Arial"/>
              </w:rPr>
              <w:t xml:space="preserve"> defence to the action, in that the plaintiff is not the owner of the impugned property, nor is the defendant in unlawful occupation of the property, and that the defendant’s affidavit supported by the affidavit of Petrus Ducky Hailombe has disclosed the full nature and grounds of the defence and the material facts relied on. It cannot be said in this case that the notice of intention to defend by the defendant was filed with an objective to delay the action or to frustrate the applicant’s valid and legal claim</w:t>
            </w:r>
            <w:r w:rsidR="00C91508">
              <w:rPr>
                <w:rFonts w:ascii="Arial" w:hAnsi="Arial" w:cs="Arial"/>
              </w:rPr>
              <w:t>.</w:t>
            </w:r>
          </w:p>
          <w:p w:rsidR="00711F52" w:rsidRDefault="00711F52" w:rsidP="00422CA6">
            <w:pPr>
              <w:spacing w:line="360" w:lineRule="auto"/>
              <w:jc w:val="both"/>
              <w:rPr>
                <w:rFonts w:ascii="Arial" w:hAnsi="Arial" w:cs="Arial"/>
              </w:rPr>
            </w:pPr>
          </w:p>
          <w:p w:rsidR="00C91508" w:rsidRPr="006E49A3" w:rsidRDefault="00C91508" w:rsidP="00422CA6">
            <w:pPr>
              <w:spacing w:line="360" w:lineRule="auto"/>
              <w:jc w:val="both"/>
              <w:rPr>
                <w:rFonts w:ascii="Arial" w:hAnsi="Arial" w:cs="Arial"/>
              </w:rPr>
            </w:pPr>
          </w:p>
        </w:tc>
      </w:tr>
      <w:tr w:rsidR="00BE5489" w:rsidRPr="006E49A3" w:rsidTr="00C04EBD">
        <w:tc>
          <w:tcPr>
            <w:tcW w:w="4770" w:type="dxa"/>
          </w:tcPr>
          <w:p w:rsidR="00BE5489" w:rsidRPr="006E49A3" w:rsidRDefault="00EB27A0" w:rsidP="0050338C">
            <w:pPr>
              <w:spacing w:line="360" w:lineRule="auto"/>
              <w:jc w:val="center"/>
              <w:rPr>
                <w:rFonts w:ascii="Arial" w:hAnsi="Arial" w:cs="Arial"/>
                <w:b/>
              </w:rPr>
            </w:pPr>
            <w:r w:rsidRPr="006E49A3">
              <w:rPr>
                <w:rFonts w:ascii="Arial" w:hAnsi="Arial" w:cs="Arial"/>
                <w:b/>
              </w:rPr>
              <w:lastRenderedPageBreak/>
              <w:t>Judge’s signature:</w:t>
            </w:r>
          </w:p>
        </w:tc>
        <w:tc>
          <w:tcPr>
            <w:tcW w:w="4950" w:type="dxa"/>
            <w:gridSpan w:val="2"/>
          </w:tcPr>
          <w:p w:rsidR="00BE5489" w:rsidRPr="006E49A3" w:rsidRDefault="00EB27A0" w:rsidP="0050338C">
            <w:pPr>
              <w:spacing w:line="360" w:lineRule="auto"/>
              <w:jc w:val="center"/>
              <w:rPr>
                <w:rFonts w:ascii="Arial" w:hAnsi="Arial" w:cs="Arial"/>
                <w:b/>
              </w:rPr>
            </w:pPr>
            <w:r w:rsidRPr="006E49A3">
              <w:rPr>
                <w:rFonts w:ascii="Arial" w:hAnsi="Arial" w:cs="Arial"/>
                <w:b/>
              </w:rPr>
              <w:t>Note to the parties:</w:t>
            </w:r>
          </w:p>
        </w:tc>
      </w:tr>
      <w:tr w:rsidR="00BE5489" w:rsidRPr="006E49A3" w:rsidTr="0050338C">
        <w:trPr>
          <w:trHeight w:val="1114"/>
        </w:trPr>
        <w:tc>
          <w:tcPr>
            <w:tcW w:w="4770" w:type="dxa"/>
          </w:tcPr>
          <w:p w:rsidR="00BE5489" w:rsidRDefault="00BE5489" w:rsidP="00EB27A0">
            <w:pPr>
              <w:spacing w:line="360" w:lineRule="auto"/>
              <w:jc w:val="both"/>
              <w:rPr>
                <w:rFonts w:ascii="Arial" w:hAnsi="Arial" w:cs="Arial"/>
              </w:rPr>
            </w:pPr>
          </w:p>
          <w:p w:rsidR="00C91508" w:rsidRPr="006E49A3" w:rsidRDefault="00C91508" w:rsidP="00EB27A0">
            <w:pPr>
              <w:spacing w:line="360" w:lineRule="auto"/>
              <w:jc w:val="both"/>
              <w:rPr>
                <w:rFonts w:ascii="Arial" w:hAnsi="Arial" w:cs="Arial"/>
              </w:rPr>
            </w:pPr>
          </w:p>
          <w:p w:rsidR="006D2D84" w:rsidRPr="006E49A3" w:rsidRDefault="006D2D84" w:rsidP="00EB27A0">
            <w:pPr>
              <w:spacing w:line="360" w:lineRule="auto"/>
              <w:jc w:val="both"/>
              <w:rPr>
                <w:rFonts w:ascii="Arial" w:hAnsi="Arial" w:cs="Arial"/>
              </w:rPr>
            </w:pPr>
          </w:p>
          <w:p w:rsidR="009F6C8B" w:rsidRPr="006E49A3" w:rsidRDefault="009F6C8B" w:rsidP="00EB27A0">
            <w:pPr>
              <w:spacing w:line="360" w:lineRule="auto"/>
              <w:jc w:val="both"/>
              <w:rPr>
                <w:rFonts w:ascii="Arial" w:hAnsi="Arial" w:cs="Arial"/>
              </w:rPr>
            </w:pPr>
          </w:p>
        </w:tc>
        <w:tc>
          <w:tcPr>
            <w:tcW w:w="4950" w:type="dxa"/>
            <w:gridSpan w:val="2"/>
          </w:tcPr>
          <w:p w:rsidR="00BE5489" w:rsidRPr="006E49A3" w:rsidRDefault="0060394A" w:rsidP="00952193">
            <w:pPr>
              <w:spacing w:line="360" w:lineRule="auto"/>
              <w:jc w:val="both"/>
              <w:rPr>
                <w:rFonts w:ascii="Arial" w:hAnsi="Arial" w:cs="Arial"/>
              </w:rPr>
            </w:pPr>
            <w:r w:rsidRPr="006E49A3">
              <w:rPr>
                <w:rFonts w:ascii="Arial" w:hAnsi="Arial" w:cs="Arial"/>
              </w:rPr>
              <w:t>Not applicable.</w:t>
            </w:r>
          </w:p>
        </w:tc>
      </w:tr>
      <w:tr w:rsidR="00A23F8A" w:rsidRPr="006E49A3" w:rsidTr="00B530B4">
        <w:tc>
          <w:tcPr>
            <w:tcW w:w="9720" w:type="dxa"/>
            <w:gridSpan w:val="3"/>
          </w:tcPr>
          <w:p w:rsidR="00A23F8A" w:rsidRPr="006E49A3" w:rsidRDefault="00A23F8A" w:rsidP="00A23F8A">
            <w:pPr>
              <w:spacing w:line="360" w:lineRule="auto"/>
              <w:jc w:val="center"/>
              <w:rPr>
                <w:rFonts w:ascii="Arial" w:hAnsi="Arial" w:cs="Arial"/>
                <w:b/>
              </w:rPr>
            </w:pPr>
            <w:r w:rsidRPr="006E49A3">
              <w:rPr>
                <w:rFonts w:ascii="Arial" w:hAnsi="Arial" w:cs="Arial"/>
                <w:b/>
              </w:rPr>
              <w:t>Counsel:</w:t>
            </w:r>
          </w:p>
        </w:tc>
      </w:tr>
      <w:tr w:rsidR="00FD38C2" w:rsidRPr="006E49A3" w:rsidTr="00FD38C2">
        <w:tc>
          <w:tcPr>
            <w:tcW w:w="4770" w:type="dxa"/>
          </w:tcPr>
          <w:p w:rsidR="00FD38C2" w:rsidRPr="006E49A3" w:rsidRDefault="00890143" w:rsidP="00265783">
            <w:pPr>
              <w:spacing w:line="360" w:lineRule="auto"/>
              <w:jc w:val="center"/>
              <w:rPr>
                <w:rFonts w:ascii="Arial" w:hAnsi="Arial" w:cs="Arial"/>
                <w:b/>
              </w:rPr>
            </w:pPr>
            <w:r w:rsidRPr="006E49A3">
              <w:rPr>
                <w:rFonts w:ascii="Arial" w:hAnsi="Arial" w:cs="Arial"/>
                <w:b/>
              </w:rPr>
              <w:lastRenderedPageBreak/>
              <w:t>Applicant</w:t>
            </w:r>
          </w:p>
        </w:tc>
        <w:tc>
          <w:tcPr>
            <w:tcW w:w="4950" w:type="dxa"/>
            <w:gridSpan w:val="2"/>
          </w:tcPr>
          <w:p w:rsidR="00FD38C2" w:rsidRPr="006E49A3" w:rsidRDefault="00265783" w:rsidP="00265783">
            <w:pPr>
              <w:spacing w:line="360" w:lineRule="auto"/>
              <w:jc w:val="center"/>
              <w:rPr>
                <w:rFonts w:ascii="Arial" w:hAnsi="Arial" w:cs="Arial"/>
                <w:b/>
              </w:rPr>
            </w:pPr>
            <w:r>
              <w:rPr>
                <w:rFonts w:ascii="Arial" w:hAnsi="Arial" w:cs="Arial"/>
                <w:b/>
              </w:rPr>
              <w:t>R</w:t>
            </w:r>
            <w:r w:rsidR="0050338C" w:rsidRPr="006E49A3">
              <w:rPr>
                <w:rFonts w:ascii="Arial" w:hAnsi="Arial" w:cs="Arial"/>
                <w:b/>
              </w:rPr>
              <w:t>espondent</w:t>
            </w:r>
          </w:p>
        </w:tc>
      </w:tr>
      <w:tr w:rsidR="00A23F8A" w:rsidRPr="006E49A3" w:rsidTr="00FD38C2">
        <w:tc>
          <w:tcPr>
            <w:tcW w:w="4770" w:type="dxa"/>
          </w:tcPr>
          <w:p w:rsidR="008E6759" w:rsidRPr="006E49A3" w:rsidRDefault="003F2930" w:rsidP="008E6759">
            <w:pPr>
              <w:spacing w:line="360" w:lineRule="auto"/>
              <w:jc w:val="center"/>
              <w:rPr>
                <w:rFonts w:ascii="Arial" w:hAnsi="Arial" w:cs="Arial"/>
              </w:rPr>
            </w:pPr>
            <w:r>
              <w:rPr>
                <w:rFonts w:ascii="Arial" w:hAnsi="Arial" w:cs="Arial"/>
              </w:rPr>
              <w:t>M Ntinda</w:t>
            </w:r>
          </w:p>
          <w:p w:rsidR="008E6759" w:rsidRPr="006E49A3" w:rsidRDefault="003F2930" w:rsidP="008E6759">
            <w:pPr>
              <w:spacing w:line="360" w:lineRule="auto"/>
              <w:jc w:val="center"/>
              <w:rPr>
                <w:rFonts w:ascii="Arial" w:hAnsi="Arial" w:cs="Arial"/>
                <w:i/>
              </w:rPr>
            </w:pPr>
            <w:r>
              <w:rPr>
                <w:rFonts w:ascii="Arial" w:hAnsi="Arial" w:cs="Arial"/>
                <w:i/>
              </w:rPr>
              <w:t>of</w:t>
            </w:r>
          </w:p>
          <w:p w:rsidR="009F24FA" w:rsidRDefault="003F2930" w:rsidP="008E6759">
            <w:pPr>
              <w:spacing w:line="360" w:lineRule="auto"/>
              <w:jc w:val="center"/>
              <w:rPr>
                <w:rFonts w:ascii="Arial" w:hAnsi="Arial" w:cs="Arial"/>
              </w:rPr>
            </w:pPr>
            <w:r>
              <w:rPr>
                <w:rFonts w:ascii="Arial" w:hAnsi="Arial" w:cs="Arial"/>
              </w:rPr>
              <w:t>Sisa Namandje</w:t>
            </w:r>
            <w:r w:rsidR="008C0759">
              <w:rPr>
                <w:rFonts w:ascii="Arial" w:hAnsi="Arial" w:cs="Arial"/>
              </w:rPr>
              <w:t xml:space="preserve"> &amp; Co.</w:t>
            </w:r>
            <w:r>
              <w:rPr>
                <w:rFonts w:ascii="Arial" w:hAnsi="Arial" w:cs="Arial"/>
              </w:rPr>
              <w:t xml:space="preserve"> Inc.</w:t>
            </w:r>
            <w:r w:rsidR="008E6759" w:rsidRPr="006E49A3">
              <w:rPr>
                <w:rFonts w:ascii="Arial" w:hAnsi="Arial" w:cs="Arial"/>
              </w:rPr>
              <w:t>, Windhoek</w:t>
            </w:r>
          </w:p>
          <w:p w:rsidR="008E6759" w:rsidRPr="006E49A3" w:rsidRDefault="008E6759" w:rsidP="008E6759">
            <w:pPr>
              <w:spacing w:line="360" w:lineRule="auto"/>
              <w:jc w:val="center"/>
              <w:rPr>
                <w:rFonts w:ascii="Arial" w:hAnsi="Arial" w:cs="Arial"/>
              </w:rPr>
            </w:pPr>
          </w:p>
        </w:tc>
        <w:tc>
          <w:tcPr>
            <w:tcW w:w="4950" w:type="dxa"/>
            <w:gridSpan w:val="2"/>
          </w:tcPr>
          <w:p w:rsidR="008E6759" w:rsidRDefault="008C0759" w:rsidP="008E6759">
            <w:pPr>
              <w:spacing w:line="360" w:lineRule="auto"/>
              <w:jc w:val="center"/>
              <w:rPr>
                <w:rFonts w:ascii="Arial" w:hAnsi="Arial" w:cs="Arial"/>
              </w:rPr>
            </w:pPr>
            <w:r>
              <w:rPr>
                <w:rFonts w:ascii="Arial" w:hAnsi="Arial" w:cs="Arial"/>
              </w:rPr>
              <w:t>R Beukes</w:t>
            </w:r>
          </w:p>
          <w:p w:rsidR="00265783" w:rsidRPr="006E49A3" w:rsidRDefault="00265783" w:rsidP="00265783">
            <w:pPr>
              <w:spacing w:line="360" w:lineRule="auto"/>
              <w:jc w:val="center"/>
              <w:rPr>
                <w:rFonts w:ascii="Arial" w:hAnsi="Arial" w:cs="Arial"/>
                <w:i/>
              </w:rPr>
            </w:pPr>
            <w:r>
              <w:rPr>
                <w:rFonts w:ascii="Arial" w:hAnsi="Arial" w:cs="Arial"/>
                <w:i/>
              </w:rPr>
              <w:t>of</w:t>
            </w:r>
          </w:p>
          <w:p w:rsidR="00265783" w:rsidRDefault="008C0759" w:rsidP="00265783">
            <w:pPr>
              <w:spacing w:line="360" w:lineRule="auto"/>
              <w:jc w:val="center"/>
              <w:rPr>
                <w:rFonts w:ascii="Arial" w:hAnsi="Arial" w:cs="Arial"/>
              </w:rPr>
            </w:pPr>
            <w:r>
              <w:rPr>
                <w:rFonts w:ascii="Arial" w:hAnsi="Arial" w:cs="Arial"/>
              </w:rPr>
              <w:t xml:space="preserve">Henry </w:t>
            </w:r>
            <w:r w:rsidRPr="008C0759">
              <w:rPr>
                <w:rFonts w:ascii="Arial" w:hAnsi="Arial" w:cs="Arial"/>
              </w:rPr>
              <w:t>Shimutwikeni &amp; Co. Inc.</w:t>
            </w:r>
            <w:r w:rsidR="00265783" w:rsidRPr="008C0759">
              <w:rPr>
                <w:rFonts w:ascii="Arial" w:hAnsi="Arial" w:cs="Arial"/>
              </w:rPr>
              <w:t xml:space="preserve">, </w:t>
            </w:r>
            <w:r w:rsidR="00265783" w:rsidRPr="006E49A3">
              <w:rPr>
                <w:rFonts w:ascii="Arial" w:hAnsi="Arial" w:cs="Arial"/>
              </w:rPr>
              <w:t>Windhoek</w:t>
            </w:r>
          </w:p>
          <w:p w:rsidR="006E49A3" w:rsidRPr="006E49A3" w:rsidRDefault="006E49A3" w:rsidP="006E49A3">
            <w:pPr>
              <w:spacing w:line="360" w:lineRule="auto"/>
              <w:jc w:val="center"/>
              <w:rPr>
                <w:rFonts w:ascii="Arial" w:hAnsi="Arial" w:cs="Arial"/>
              </w:rPr>
            </w:pPr>
          </w:p>
        </w:tc>
      </w:tr>
    </w:tbl>
    <w:p w:rsidR="009B096F" w:rsidRPr="00C91508" w:rsidRDefault="009B096F" w:rsidP="00EB27A0">
      <w:pPr>
        <w:spacing w:after="0" w:line="360" w:lineRule="auto"/>
        <w:jc w:val="both"/>
        <w:rPr>
          <w:rFonts w:ascii="Arial" w:hAnsi="Arial" w:cs="Arial"/>
        </w:rPr>
      </w:pPr>
    </w:p>
    <w:p w:rsidR="00422CA6" w:rsidRPr="00C91508" w:rsidRDefault="00422CA6" w:rsidP="00EB27A0">
      <w:pPr>
        <w:spacing w:after="0" w:line="360" w:lineRule="auto"/>
        <w:jc w:val="both"/>
        <w:rPr>
          <w:rFonts w:ascii="Arial" w:hAnsi="Arial" w:cs="Arial"/>
        </w:rPr>
      </w:pPr>
    </w:p>
    <w:sectPr w:rsidR="00422CA6" w:rsidRPr="00C91508" w:rsidSect="00BB1E6E">
      <w:footerReference w:type="default" r:id="rId8"/>
      <w:pgSz w:w="11906" w:h="16838"/>
      <w:pgMar w:top="1134" w:right="1440" w:bottom="1134" w:left="1440" w:header="708" w:footer="7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753" w:rsidRDefault="00DD2753" w:rsidP="00A23F8A">
      <w:pPr>
        <w:spacing w:after="0" w:line="240" w:lineRule="auto"/>
      </w:pPr>
      <w:r>
        <w:separator/>
      </w:r>
    </w:p>
  </w:endnote>
  <w:endnote w:type="continuationSeparator" w:id="0">
    <w:p w:rsidR="00DD2753" w:rsidRDefault="00DD2753" w:rsidP="00A2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725512"/>
      <w:docPartObj>
        <w:docPartGallery w:val="Page Numbers (Bottom of Page)"/>
        <w:docPartUnique/>
      </w:docPartObj>
    </w:sdtPr>
    <w:sdtEndPr>
      <w:rPr>
        <w:noProof/>
      </w:rPr>
    </w:sdtEndPr>
    <w:sdtContent>
      <w:p w:rsidR="00A23F8A" w:rsidRDefault="0059031F">
        <w:pPr>
          <w:pStyle w:val="Footer"/>
          <w:jc w:val="right"/>
        </w:pPr>
        <w:r w:rsidRPr="00A23F8A">
          <w:rPr>
            <w:rFonts w:ascii="Arial Narrow" w:hAnsi="Arial Narrow"/>
            <w:sz w:val="18"/>
            <w:szCs w:val="18"/>
          </w:rPr>
          <w:fldChar w:fldCharType="begin"/>
        </w:r>
        <w:r w:rsidR="00A23F8A" w:rsidRPr="00A23F8A">
          <w:rPr>
            <w:rFonts w:ascii="Arial Narrow" w:hAnsi="Arial Narrow"/>
            <w:sz w:val="18"/>
            <w:szCs w:val="18"/>
          </w:rPr>
          <w:instrText xml:space="preserve"> PAGE   \* MERGEFORMAT </w:instrText>
        </w:r>
        <w:r w:rsidRPr="00A23F8A">
          <w:rPr>
            <w:rFonts w:ascii="Arial Narrow" w:hAnsi="Arial Narrow"/>
            <w:sz w:val="18"/>
            <w:szCs w:val="18"/>
          </w:rPr>
          <w:fldChar w:fldCharType="separate"/>
        </w:r>
        <w:r w:rsidR="0022560D">
          <w:rPr>
            <w:rFonts w:ascii="Arial Narrow" w:hAnsi="Arial Narrow"/>
            <w:noProof/>
            <w:sz w:val="18"/>
            <w:szCs w:val="18"/>
          </w:rPr>
          <w:t>5</w:t>
        </w:r>
        <w:r w:rsidRPr="00A23F8A">
          <w:rPr>
            <w:rFonts w:ascii="Arial Narrow" w:hAnsi="Arial Narrow"/>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753" w:rsidRDefault="00DD2753" w:rsidP="00A23F8A">
      <w:pPr>
        <w:spacing w:after="0" w:line="240" w:lineRule="auto"/>
      </w:pPr>
      <w:r>
        <w:separator/>
      </w:r>
    </w:p>
  </w:footnote>
  <w:footnote w:type="continuationSeparator" w:id="0">
    <w:p w:rsidR="00DD2753" w:rsidRDefault="00DD2753" w:rsidP="00A23F8A">
      <w:pPr>
        <w:spacing w:after="0" w:line="240" w:lineRule="auto"/>
      </w:pPr>
      <w:r>
        <w:continuationSeparator/>
      </w:r>
    </w:p>
  </w:footnote>
  <w:footnote w:id="1">
    <w:p w:rsidR="00EF087A" w:rsidRPr="00E26AF0" w:rsidRDefault="00EF087A" w:rsidP="00E26AF0">
      <w:pPr>
        <w:pStyle w:val="FootnoteText"/>
        <w:jc w:val="both"/>
        <w:rPr>
          <w:rFonts w:ascii="Arial" w:hAnsi="Arial" w:cs="Arial"/>
          <w:sz w:val="18"/>
          <w:szCs w:val="18"/>
          <w:lang w:val="en-US"/>
        </w:rPr>
      </w:pPr>
      <w:r w:rsidRPr="00E26AF0">
        <w:rPr>
          <w:rStyle w:val="FootnoteReference"/>
          <w:rFonts w:ascii="Arial" w:hAnsi="Arial" w:cs="Arial"/>
          <w:sz w:val="18"/>
          <w:szCs w:val="18"/>
        </w:rPr>
        <w:footnoteRef/>
      </w:r>
      <w:r w:rsidRPr="00E26AF0">
        <w:rPr>
          <w:rFonts w:ascii="Arial" w:hAnsi="Arial" w:cs="Arial"/>
          <w:sz w:val="18"/>
          <w:szCs w:val="18"/>
        </w:rPr>
        <w:t xml:space="preserve"> </w:t>
      </w:r>
      <w:r w:rsidRPr="00E26AF0">
        <w:rPr>
          <w:rFonts w:ascii="Arial" w:hAnsi="Arial" w:cs="Arial"/>
          <w:i/>
          <w:sz w:val="18"/>
          <w:szCs w:val="18"/>
        </w:rPr>
        <w:t xml:space="preserve">Lofty-Eaton v Ramos </w:t>
      </w:r>
      <w:r w:rsidRPr="00E26AF0">
        <w:rPr>
          <w:rFonts w:ascii="Arial" w:hAnsi="Arial" w:cs="Arial"/>
          <w:sz w:val="18"/>
          <w:szCs w:val="18"/>
        </w:rPr>
        <w:t>(I 1386/2013) [2013] NAHCMD 322 (08 November 2013)</w:t>
      </w:r>
      <w:r w:rsidR="00C91508">
        <w:rPr>
          <w:rFonts w:ascii="Arial" w:hAnsi="Arial" w:cs="Arial"/>
          <w:sz w:val="18"/>
          <w:szCs w:val="18"/>
        </w:rPr>
        <w:t>.</w:t>
      </w:r>
    </w:p>
  </w:footnote>
  <w:footnote w:id="2">
    <w:p w:rsidR="00EB7915" w:rsidRPr="00E26AF0" w:rsidRDefault="00EB7915" w:rsidP="00E26AF0">
      <w:pPr>
        <w:pStyle w:val="FootnoteText"/>
        <w:jc w:val="both"/>
        <w:rPr>
          <w:rFonts w:ascii="Arial" w:hAnsi="Arial" w:cs="Arial"/>
          <w:sz w:val="18"/>
          <w:szCs w:val="18"/>
        </w:rPr>
      </w:pPr>
      <w:r w:rsidRPr="00E26AF0">
        <w:rPr>
          <w:rStyle w:val="FootnoteReference"/>
          <w:rFonts w:ascii="Arial" w:hAnsi="Arial" w:cs="Arial"/>
          <w:sz w:val="18"/>
          <w:szCs w:val="18"/>
        </w:rPr>
        <w:footnoteRef/>
      </w:r>
      <w:r w:rsidRPr="00E26AF0">
        <w:rPr>
          <w:rFonts w:ascii="Arial" w:hAnsi="Arial" w:cs="Arial"/>
          <w:sz w:val="18"/>
          <w:szCs w:val="18"/>
        </w:rPr>
        <w:t xml:space="preserve"> </w:t>
      </w:r>
      <w:r w:rsidRPr="00C91508">
        <w:rPr>
          <w:rFonts w:ascii="Arial" w:hAnsi="Arial" w:cs="Arial"/>
          <w:i/>
          <w:sz w:val="18"/>
          <w:szCs w:val="18"/>
        </w:rPr>
        <w:t>Standard Bank Namibia Ltd v Veldsman</w:t>
      </w:r>
      <w:r w:rsidR="0022560D">
        <w:rPr>
          <w:rFonts w:ascii="Arial" w:hAnsi="Arial" w:cs="Arial"/>
          <w:sz w:val="18"/>
          <w:szCs w:val="18"/>
        </w:rPr>
        <w:t xml:space="preserve"> 1993</w:t>
      </w:r>
      <w:bookmarkStart w:id="0" w:name="_GoBack"/>
      <w:bookmarkEnd w:id="0"/>
      <w:r w:rsidRPr="00E26AF0">
        <w:rPr>
          <w:rFonts w:ascii="Arial" w:hAnsi="Arial" w:cs="Arial"/>
          <w:sz w:val="18"/>
          <w:szCs w:val="18"/>
        </w:rPr>
        <w:t xml:space="preserve"> NR 391 (HC)</w:t>
      </w:r>
      <w:r w:rsidR="00C91508">
        <w:rPr>
          <w:rFonts w:ascii="Arial" w:hAnsi="Arial" w:cs="Arial"/>
          <w:sz w:val="18"/>
          <w:szCs w:val="18"/>
        </w:rPr>
        <w:t>.</w:t>
      </w:r>
    </w:p>
  </w:footnote>
  <w:footnote w:id="3">
    <w:p w:rsidR="00EB7915" w:rsidRPr="00E26AF0" w:rsidRDefault="00EB7915" w:rsidP="00E26AF0">
      <w:pPr>
        <w:pStyle w:val="FootnoteText"/>
        <w:jc w:val="both"/>
        <w:rPr>
          <w:rFonts w:ascii="Arial" w:hAnsi="Arial" w:cs="Arial"/>
          <w:sz w:val="18"/>
          <w:szCs w:val="18"/>
        </w:rPr>
      </w:pPr>
      <w:r w:rsidRPr="00E26AF0">
        <w:rPr>
          <w:rStyle w:val="FootnoteReference"/>
          <w:rFonts w:ascii="Arial" w:hAnsi="Arial" w:cs="Arial"/>
          <w:sz w:val="18"/>
          <w:szCs w:val="18"/>
        </w:rPr>
        <w:footnoteRef/>
      </w:r>
      <w:r w:rsidRPr="00E26AF0">
        <w:rPr>
          <w:rFonts w:ascii="Arial" w:hAnsi="Arial" w:cs="Arial"/>
          <w:sz w:val="18"/>
          <w:szCs w:val="18"/>
        </w:rPr>
        <w:t xml:space="preserve"> </w:t>
      </w:r>
      <w:r w:rsidRPr="00C91508">
        <w:rPr>
          <w:rFonts w:ascii="Arial" w:hAnsi="Arial" w:cs="Arial"/>
          <w:i/>
          <w:sz w:val="18"/>
          <w:szCs w:val="18"/>
        </w:rPr>
        <w:t>Caton Ltd v Barrigo</w:t>
      </w:r>
      <w:r w:rsidRPr="00E26AF0">
        <w:rPr>
          <w:rFonts w:ascii="Arial" w:hAnsi="Arial" w:cs="Arial"/>
          <w:sz w:val="18"/>
          <w:szCs w:val="18"/>
        </w:rPr>
        <w:t xml:space="preserve"> 1960 (4) SA I at 3 H.</w:t>
      </w:r>
    </w:p>
  </w:footnote>
  <w:footnote w:id="4">
    <w:p w:rsidR="00EB7915" w:rsidRPr="00E26AF0" w:rsidRDefault="00EB7915" w:rsidP="00E26AF0">
      <w:pPr>
        <w:pStyle w:val="FootnoteText"/>
        <w:jc w:val="both"/>
        <w:rPr>
          <w:rFonts w:ascii="Arial" w:hAnsi="Arial" w:cs="Arial"/>
          <w:sz w:val="18"/>
          <w:szCs w:val="18"/>
        </w:rPr>
      </w:pPr>
      <w:r w:rsidRPr="00E26AF0">
        <w:rPr>
          <w:rStyle w:val="FootnoteReference"/>
          <w:rFonts w:ascii="Arial" w:hAnsi="Arial" w:cs="Arial"/>
          <w:sz w:val="18"/>
          <w:szCs w:val="18"/>
        </w:rPr>
        <w:footnoteRef/>
      </w:r>
      <w:r w:rsidRPr="00E26AF0">
        <w:rPr>
          <w:rFonts w:ascii="Arial" w:hAnsi="Arial" w:cs="Arial"/>
          <w:sz w:val="18"/>
          <w:szCs w:val="18"/>
        </w:rPr>
        <w:t xml:space="preserve"> </w:t>
      </w:r>
      <w:r w:rsidRPr="00C91508">
        <w:rPr>
          <w:rFonts w:ascii="Arial" w:hAnsi="Arial" w:cs="Arial"/>
          <w:i/>
          <w:sz w:val="18"/>
          <w:szCs w:val="18"/>
        </w:rPr>
        <w:t>Breitenbach v Fiat SA (Edms) BPK</w:t>
      </w:r>
      <w:r w:rsidRPr="00E26AF0">
        <w:rPr>
          <w:rFonts w:ascii="Arial" w:hAnsi="Arial" w:cs="Arial"/>
          <w:sz w:val="18"/>
          <w:szCs w:val="18"/>
        </w:rPr>
        <w:t xml:space="preserve"> 1976 (2) SA 226 (T) at 228 B-C.</w:t>
      </w:r>
    </w:p>
  </w:footnote>
  <w:footnote w:id="5">
    <w:p w:rsidR="00EB7915" w:rsidRPr="00E26AF0" w:rsidRDefault="00EB7915" w:rsidP="00E26AF0">
      <w:pPr>
        <w:pStyle w:val="FootnoteText"/>
        <w:jc w:val="both"/>
        <w:rPr>
          <w:rFonts w:ascii="Arial" w:hAnsi="Arial" w:cs="Arial"/>
          <w:sz w:val="18"/>
          <w:szCs w:val="18"/>
        </w:rPr>
      </w:pPr>
      <w:r w:rsidRPr="00E26AF0">
        <w:rPr>
          <w:rStyle w:val="FootnoteReference"/>
          <w:rFonts w:ascii="Arial" w:hAnsi="Arial" w:cs="Arial"/>
          <w:sz w:val="18"/>
          <w:szCs w:val="18"/>
        </w:rPr>
        <w:footnoteRef/>
      </w:r>
      <w:r w:rsidRPr="00E26AF0">
        <w:rPr>
          <w:rFonts w:ascii="Arial" w:hAnsi="Arial" w:cs="Arial"/>
          <w:sz w:val="18"/>
          <w:szCs w:val="18"/>
        </w:rPr>
        <w:t xml:space="preserve"> </w:t>
      </w:r>
      <w:r w:rsidRPr="00C91508">
        <w:rPr>
          <w:rFonts w:ascii="Arial" w:hAnsi="Arial" w:cs="Arial"/>
          <w:i/>
          <w:sz w:val="18"/>
          <w:szCs w:val="18"/>
        </w:rPr>
        <w:t>Namibia Breweries Ltd v Marina Nenzo Serrao</w:t>
      </w:r>
      <w:r w:rsidRPr="00E26AF0">
        <w:rPr>
          <w:rFonts w:ascii="Arial" w:hAnsi="Arial" w:cs="Arial"/>
          <w:sz w:val="18"/>
          <w:szCs w:val="18"/>
        </w:rPr>
        <w:t xml:space="preserve"> (2006) NAHC 37.</w:t>
      </w:r>
    </w:p>
  </w:footnote>
  <w:footnote w:id="6">
    <w:p w:rsidR="00EB7915" w:rsidRPr="00E26AF0" w:rsidRDefault="00EB7915" w:rsidP="00E26AF0">
      <w:pPr>
        <w:pStyle w:val="FootnoteText"/>
        <w:jc w:val="both"/>
        <w:rPr>
          <w:rFonts w:ascii="Arial" w:hAnsi="Arial" w:cs="Arial"/>
          <w:sz w:val="18"/>
          <w:szCs w:val="18"/>
        </w:rPr>
      </w:pPr>
      <w:r w:rsidRPr="00E26AF0">
        <w:rPr>
          <w:rStyle w:val="FootnoteReference"/>
          <w:rFonts w:ascii="Arial" w:hAnsi="Arial" w:cs="Arial"/>
          <w:sz w:val="18"/>
          <w:szCs w:val="18"/>
        </w:rPr>
        <w:footnoteRef/>
      </w:r>
      <w:r w:rsidRPr="00E26AF0">
        <w:rPr>
          <w:rFonts w:ascii="Arial" w:hAnsi="Arial" w:cs="Arial"/>
          <w:sz w:val="18"/>
          <w:szCs w:val="18"/>
        </w:rPr>
        <w:t xml:space="preserve"> </w:t>
      </w:r>
      <w:r w:rsidRPr="00C91508">
        <w:rPr>
          <w:rFonts w:ascii="Arial" w:hAnsi="Arial" w:cs="Arial"/>
          <w:i/>
          <w:sz w:val="18"/>
          <w:szCs w:val="18"/>
        </w:rPr>
        <w:t>Maharaj v Barclays National Bank Ltd</w:t>
      </w:r>
      <w:r w:rsidR="00C91508">
        <w:rPr>
          <w:rFonts w:ascii="Arial" w:hAnsi="Arial" w:cs="Arial"/>
          <w:sz w:val="18"/>
          <w:szCs w:val="18"/>
        </w:rPr>
        <w:t xml:space="preserve"> </w:t>
      </w:r>
      <w:r w:rsidRPr="00E26AF0">
        <w:rPr>
          <w:rFonts w:ascii="Arial" w:hAnsi="Arial" w:cs="Arial"/>
          <w:sz w:val="18"/>
          <w:szCs w:val="18"/>
        </w:rPr>
        <w:t>1976 (1) SA 418.</w:t>
      </w:r>
    </w:p>
  </w:footnote>
  <w:footnote w:id="7">
    <w:p w:rsidR="00EB7915" w:rsidRPr="00E26AF0" w:rsidRDefault="00EB7915" w:rsidP="00E26AF0">
      <w:pPr>
        <w:pStyle w:val="FootnoteText"/>
        <w:jc w:val="both"/>
        <w:rPr>
          <w:rFonts w:ascii="Arial" w:hAnsi="Arial" w:cs="Arial"/>
          <w:sz w:val="18"/>
          <w:szCs w:val="18"/>
        </w:rPr>
      </w:pPr>
      <w:r w:rsidRPr="00E26AF0">
        <w:rPr>
          <w:rStyle w:val="FootnoteReference"/>
          <w:rFonts w:ascii="Arial" w:hAnsi="Arial" w:cs="Arial"/>
          <w:sz w:val="18"/>
          <w:szCs w:val="18"/>
        </w:rPr>
        <w:footnoteRef/>
      </w:r>
      <w:r w:rsidRPr="00E26AF0">
        <w:rPr>
          <w:rFonts w:ascii="Arial" w:hAnsi="Arial" w:cs="Arial"/>
          <w:sz w:val="18"/>
          <w:szCs w:val="18"/>
        </w:rPr>
        <w:t xml:space="preserve"> </w:t>
      </w:r>
      <w:r w:rsidRPr="00C91508">
        <w:rPr>
          <w:rFonts w:ascii="Arial" w:hAnsi="Arial" w:cs="Arial"/>
          <w:i/>
          <w:sz w:val="18"/>
          <w:szCs w:val="18"/>
        </w:rPr>
        <w:t>Breitenbach v Fiat SA</w:t>
      </w:r>
      <w:r w:rsidR="00C91508" w:rsidRPr="00C91508">
        <w:rPr>
          <w:rFonts w:ascii="Arial" w:hAnsi="Arial" w:cs="Arial"/>
          <w:i/>
          <w:sz w:val="18"/>
          <w:szCs w:val="18"/>
        </w:rPr>
        <w:t xml:space="preserve"> </w:t>
      </w:r>
      <w:r w:rsidRPr="00C91508">
        <w:rPr>
          <w:rFonts w:ascii="Arial" w:hAnsi="Arial" w:cs="Arial"/>
          <w:i/>
          <w:sz w:val="18"/>
          <w:szCs w:val="18"/>
        </w:rPr>
        <w:t>(EDMS) (BPK)</w:t>
      </w:r>
      <w:r w:rsidRPr="00E26AF0">
        <w:rPr>
          <w:rFonts w:ascii="Arial" w:hAnsi="Arial" w:cs="Arial"/>
          <w:sz w:val="18"/>
          <w:szCs w:val="18"/>
        </w:rPr>
        <w:t xml:space="preserve"> 1976 (2) 226.</w:t>
      </w:r>
    </w:p>
  </w:footnote>
  <w:footnote w:id="8">
    <w:p w:rsidR="00EB7915" w:rsidRPr="00C91508" w:rsidRDefault="00EB7915" w:rsidP="00E26AF0">
      <w:pPr>
        <w:pStyle w:val="FootnoteText"/>
        <w:jc w:val="both"/>
        <w:rPr>
          <w:rFonts w:ascii="Arial" w:hAnsi="Arial" w:cs="Arial"/>
          <w:sz w:val="18"/>
          <w:szCs w:val="18"/>
        </w:rPr>
      </w:pPr>
      <w:r w:rsidRPr="00C91508">
        <w:rPr>
          <w:rStyle w:val="FootnoteReference"/>
          <w:rFonts w:ascii="Arial" w:hAnsi="Arial" w:cs="Arial"/>
          <w:sz w:val="18"/>
          <w:szCs w:val="18"/>
        </w:rPr>
        <w:footnoteRef/>
      </w:r>
      <w:r w:rsidRPr="00C91508">
        <w:rPr>
          <w:rFonts w:ascii="Arial" w:hAnsi="Arial" w:cs="Arial"/>
          <w:sz w:val="18"/>
          <w:szCs w:val="18"/>
        </w:rPr>
        <w:t xml:space="preserve"> </w:t>
      </w:r>
      <w:r w:rsidRPr="00C91508">
        <w:rPr>
          <w:rFonts w:ascii="Arial" w:hAnsi="Arial" w:cs="Arial"/>
          <w:i/>
          <w:sz w:val="18"/>
          <w:szCs w:val="18"/>
        </w:rPr>
        <w:t>Crede v Standard Bank of South Africa Ltd</w:t>
      </w:r>
      <w:r w:rsidRPr="00C91508">
        <w:rPr>
          <w:rFonts w:ascii="Arial" w:hAnsi="Arial" w:cs="Arial"/>
          <w:sz w:val="18"/>
          <w:szCs w:val="18"/>
        </w:rPr>
        <w:t xml:space="preserve"> 1988 (4) SA 786 at 789 E.</w:t>
      </w:r>
    </w:p>
  </w:footnote>
  <w:footnote w:id="9">
    <w:p w:rsidR="00EB7915" w:rsidRPr="00C91508" w:rsidRDefault="00EB7915" w:rsidP="00EB7915">
      <w:pPr>
        <w:pStyle w:val="FootnoteText"/>
        <w:rPr>
          <w:rFonts w:ascii="Arial" w:hAnsi="Arial" w:cs="Arial"/>
          <w:sz w:val="18"/>
          <w:szCs w:val="18"/>
          <w:lang w:val="en-US"/>
        </w:rPr>
      </w:pPr>
      <w:r w:rsidRPr="00C91508">
        <w:rPr>
          <w:rStyle w:val="FootnoteReference"/>
          <w:rFonts w:ascii="Arial" w:hAnsi="Arial" w:cs="Arial"/>
          <w:sz w:val="18"/>
          <w:szCs w:val="18"/>
        </w:rPr>
        <w:footnoteRef/>
      </w:r>
      <w:r w:rsidRPr="00C91508">
        <w:rPr>
          <w:rFonts w:ascii="Arial" w:hAnsi="Arial" w:cs="Arial"/>
          <w:sz w:val="18"/>
          <w:szCs w:val="18"/>
        </w:rPr>
        <w:t xml:space="preserve"> </w:t>
      </w:r>
      <w:r w:rsidRPr="00C91508">
        <w:rPr>
          <w:rFonts w:ascii="Arial" w:hAnsi="Arial" w:cs="Arial"/>
          <w:i/>
          <w:sz w:val="18"/>
          <w:szCs w:val="18"/>
        </w:rPr>
        <w:t xml:space="preserve">Lofty-Eaton v Ramos </w:t>
      </w:r>
      <w:r w:rsidRPr="00C91508">
        <w:rPr>
          <w:rFonts w:ascii="Arial" w:hAnsi="Arial" w:cs="Arial"/>
          <w:sz w:val="18"/>
          <w:szCs w:val="18"/>
        </w:rPr>
        <w:t>(I 1386/2013) [2013] NAHCMD 322 (08 November 2013)</w:t>
      </w:r>
      <w:r w:rsidR="00C91508">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C4E2B"/>
    <w:multiLevelType w:val="hybridMultilevel"/>
    <w:tmpl w:val="40FECA10"/>
    <w:lvl w:ilvl="0" w:tplc="E7BA7CDE">
      <w:start w:val="1"/>
      <w:numFmt w:val="decimal"/>
      <w:lvlText w:val="[%1]"/>
      <w:lvlJc w:val="left"/>
      <w:pPr>
        <w:ind w:left="540" w:hanging="360"/>
      </w:pPr>
      <w:rPr>
        <w:rFonts w:ascii="Arial" w:hAnsi="Arial" w:cs="Arial" w:hint="default"/>
        <w:b w:val="0"/>
        <w:i w:val="0"/>
        <w:sz w:val="24"/>
        <w:szCs w:val="24"/>
      </w:rPr>
    </w:lvl>
    <w:lvl w:ilvl="1" w:tplc="1C090019">
      <w:start w:val="1"/>
      <w:numFmt w:val="lowerLetter"/>
      <w:lvlText w:val="%2."/>
      <w:lvlJc w:val="left"/>
      <w:pPr>
        <w:ind w:left="1473" w:hanging="360"/>
      </w:pPr>
    </w:lvl>
    <w:lvl w:ilvl="2" w:tplc="1C09001B">
      <w:start w:val="1"/>
      <w:numFmt w:val="lowerRoman"/>
      <w:lvlText w:val="%3."/>
      <w:lvlJc w:val="right"/>
      <w:pPr>
        <w:ind w:left="2193" w:hanging="180"/>
      </w:pPr>
    </w:lvl>
    <w:lvl w:ilvl="3" w:tplc="1C09000F">
      <w:start w:val="1"/>
      <w:numFmt w:val="decimal"/>
      <w:lvlText w:val="%4."/>
      <w:lvlJc w:val="left"/>
      <w:pPr>
        <w:ind w:left="2913" w:hanging="360"/>
      </w:pPr>
    </w:lvl>
    <w:lvl w:ilvl="4" w:tplc="1C090019">
      <w:start w:val="1"/>
      <w:numFmt w:val="lowerLetter"/>
      <w:lvlText w:val="%5."/>
      <w:lvlJc w:val="left"/>
      <w:pPr>
        <w:ind w:left="3633" w:hanging="360"/>
      </w:pPr>
    </w:lvl>
    <w:lvl w:ilvl="5" w:tplc="1C09001B">
      <w:start w:val="1"/>
      <w:numFmt w:val="lowerRoman"/>
      <w:lvlText w:val="%6."/>
      <w:lvlJc w:val="right"/>
      <w:pPr>
        <w:ind w:left="4353" w:hanging="180"/>
      </w:pPr>
    </w:lvl>
    <w:lvl w:ilvl="6" w:tplc="1C09000F">
      <w:start w:val="1"/>
      <w:numFmt w:val="decimal"/>
      <w:lvlText w:val="%7."/>
      <w:lvlJc w:val="left"/>
      <w:pPr>
        <w:ind w:left="5073" w:hanging="360"/>
      </w:pPr>
    </w:lvl>
    <w:lvl w:ilvl="7" w:tplc="1C090019">
      <w:start w:val="1"/>
      <w:numFmt w:val="lowerLetter"/>
      <w:lvlText w:val="%8."/>
      <w:lvlJc w:val="left"/>
      <w:pPr>
        <w:ind w:left="5793" w:hanging="360"/>
      </w:pPr>
    </w:lvl>
    <w:lvl w:ilvl="8" w:tplc="1C09001B">
      <w:start w:val="1"/>
      <w:numFmt w:val="lowerRoman"/>
      <w:lvlText w:val="%9."/>
      <w:lvlJc w:val="right"/>
      <w:pPr>
        <w:ind w:left="6513" w:hanging="180"/>
      </w:pPr>
    </w:lvl>
  </w:abstractNum>
  <w:abstractNum w:abstractNumId="1" w15:restartNumberingAfterBreak="0">
    <w:nsid w:val="2854654F"/>
    <w:multiLevelType w:val="hybridMultilevel"/>
    <w:tmpl w:val="D0980A98"/>
    <w:lvl w:ilvl="0" w:tplc="1C09000F">
      <w:start w:val="1"/>
      <w:numFmt w:val="decimal"/>
      <w:lvlText w:val="%1."/>
      <w:lvlJc w:val="left"/>
      <w:pPr>
        <w:ind w:left="5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2325C20"/>
    <w:multiLevelType w:val="hybridMultilevel"/>
    <w:tmpl w:val="08284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31676"/>
    <w:multiLevelType w:val="hybridMultilevel"/>
    <w:tmpl w:val="891C9018"/>
    <w:lvl w:ilvl="0" w:tplc="21F07688">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C750334"/>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2173781"/>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74C6E6D"/>
    <w:multiLevelType w:val="hybridMultilevel"/>
    <w:tmpl w:val="3EA22A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AF3676F"/>
    <w:multiLevelType w:val="hybridMultilevel"/>
    <w:tmpl w:val="0F5456CA"/>
    <w:lvl w:ilvl="0" w:tplc="76D411F8">
      <w:start w:val="1"/>
      <w:numFmt w:val="decimal"/>
      <w:lvlText w:val="2.%1"/>
      <w:lvlJc w:val="left"/>
      <w:pPr>
        <w:ind w:left="4897" w:hanging="360"/>
      </w:pPr>
      <w:rPr>
        <w:rFonts w:hint="default"/>
      </w:rPr>
    </w:lvl>
    <w:lvl w:ilvl="1" w:tplc="1C090019" w:tentative="1">
      <w:start w:val="1"/>
      <w:numFmt w:val="lowerLetter"/>
      <w:lvlText w:val="%2."/>
      <w:lvlJc w:val="left"/>
      <w:pPr>
        <w:ind w:left="5617" w:hanging="360"/>
      </w:pPr>
    </w:lvl>
    <w:lvl w:ilvl="2" w:tplc="1C09001B" w:tentative="1">
      <w:start w:val="1"/>
      <w:numFmt w:val="lowerRoman"/>
      <w:lvlText w:val="%3."/>
      <w:lvlJc w:val="right"/>
      <w:pPr>
        <w:ind w:left="6337" w:hanging="180"/>
      </w:pPr>
    </w:lvl>
    <w:lvl w:ilvl="3" w:tplc="1C09000F" w:tentative="1">
      <w:start w:val="1"/>
      <w:numFmt w:val="decimal"/>
      <w:lvlText w:val="%4."/>
      <w:lvlJc w:val="left"/>
      <w:pPr>
        <w:ind w:left="7057" w:hanging="360"/>
      </w:pPr>
    </w:lvl>
    <w:lvl w:ilvl="4" w:tplc="1C090019" w:tentative="1">
      <w:start w:val="1"/>
      <w:numFmt w:val="lowerLetter"/>
      <w:lvlText w:val="%5."/>
      <w:lvlJc w:val="left"/>
      <w:pPr>
        <w:ind w:left="7777" w:hanging="360"/>
      </w:pPr>
    </w:lvl>
    <w:lvl w:ilvl="5" w:tplc="1C09001B" w:tentative="1">
      <w:start w:val="1"/>
      <w:numFmt w:val="lowerRoman"/>
      <w:lvlText w:val="%6."/>
      <w:lvlJc w:val="right"/>
      <w:pPr>
        <w:ind w:left="8497" w:hanging="180"/>
      </w:pPr>
    </w:lvl>
    <w:lvl w:ilvl="6" w:tplc="1C09000F" w:tentative="1">
      <w:start w:val="1"/>
      <w:numFmt w:val="decimal"/>
      <w:lvlText w:val="%7."/>
      <w:lvlJc w:val="left"/>
      <w:pPr>
        <w:ind w:left="9217" w:hanging="360"/>
      </w:pPr>
    </w:lvl>
    <w:lvl w:ilvl="7" w:tplc="1C090019" w:tentative="1">
      <w:start w:val="1"/>
      <w:numFmt w:val="lowerLetter"/>
      <w:lvlText w:val="%8."/>
      <w:lvlJc w:val="left"/>
      <w:pPr>
        <w:ind w:left="9937" w:hanging="360"/>
      </w:pPr>
    </w:lvl>
    <w:lvl w:ilvl="8" w:tplc="1C09001B" w:tentative="1">
      <w:start w:val="1"/>
      <w:numFmt w:val="lowerRoman"/>
      <w:lvlText w:val="%9."/>
      <w:lvlJc w:val="right"/>
      <w:pPr>
        <w:ind w:left="10657" w:hanging="180"/>
      </w:pPr>
    </w:lvl>
  </w:abstractNum>
  <w:abstractNum w:abstractNumId="8" w15:restartNumberingAfterBreak="0">
    <w:nsid w:val="608400B0"/>
    <w:multiLevelType w:val="hybridMultilevel"/>
    <w:tmpl w:val="FBAE01D2"/>
    <w:lvl w:ilvl="0" w:tplc="313C2548">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7B00625"/>
    <w:multiLevelType w:val="hybridMultilevel"/>
    <w:tmpl w:val="514AE724"/>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F33512E"/>
    <w:multiLevelType w:val="hybridMultilevel"/>
    <w:tmpl w:val="F8740784"/>
    <w:lvl w:ilvl="0" w:tplc="AF90C65C">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5370A81"/>
    <w:multiLevelType w:val="hybridMultilevel"/>
    <w:tmpl w:val="F164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8"/>
  </w:num>
  <w:num w:numId="5">
    <w:abstractNumId w:val="6"/>
  </w:num>
  <w:num w:numId="6">
    <w:abstractNumId w:val="4"/>
  </w:num>
  <w:num w:numId="7">
    <w:abstractNumId w:val="11"/>
  </w:num>
  <w:num w:numId="8">
    <w:abstractNumId w:val="10"/>
  </w:num>
  <w:num w:numId="9">
    <w:abstractNumId w:val="3"/>
  </w:num>
  <w:num w:numId="10">
    <w:abstractNumId w:val="7"/>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6F"/>
    <w:rsid w:val="00007708"/>
    <w:rsid w:val="00062068"/>
    <w:rsid w:val="00065CE7"/>
    <w:rsid w:val="00090783"/>
    <w:rsid w:val="00092FD2"/>
    <w:rsid w:val="000C0A07"/>
    <w:rsid w:val="000D5FE9"/>
    <w:rsid w:val="000E362A"/>
    <w:rsid w:val="000F1180"/>
    <w:rsid w:val="00112D50"/>
    <w:rsid w:val="00113321"/>
    <w:rsid w:val="00124EC8"/>
    <w:rsid w:val="001338C3"/>
    <w:rsid w:val="001417E6"/>
    <w:rsid w:val="00165FEE"/>
    <w:rsid w:val="0017153C"/>
    <w:rsid w:val="001804AD"/>
    <w:rsid w:val="001B23D9"/>
    <w:rsid w:val="001B710C"/>
    <w:rsid w:val="001D41D2"/>
    <w:rsid w:val="001E39EE"/>
    <w:rsid w:val="001E70F9"/>
    <w:rsid w:val="001F1ECD"/>
    <w:rsid w:val="001F4A48"/>
    <w:rsid w:val="002002FA"/>
    <w:rsid w:val="00203E3D"/>
    <w:rsid w:val="002100DF"/>
    <w:rsid w:val="002207D9"/>
    <w:rsid w:val="00223D66"/>
    <w:rsid w:val="0022560D"/>
    <w:rsid w:val="00263A9B"/>
    <w:rsid w:val="00265783"/>
    <w:rsid w:val="002736CF"/>
    <w:rsid w:val="00281A10"/>
    <w:rsid w:val="00281FAB"/>
    <w:rsid w:val="002B1C34"/>
    <w:rsid w:val="002B3F1D"/>
    <w:rsid w:val="002C3150"/>
    <w:rsid w:val="002C6FA8"/>
    <w:rsid w:val="002D4C2A"/>
    <w:rsid w:val="002E3BFB"/>
    <w:rsid w:val="00300CF7"/>
    <w:rsid w:val="0030287B"/>
    <w:rsid w:val="00323762"/>
    <w:rsid w:val="00334EC0"/>
    <w:rsid w:val="003375D1"/>
    <w:rsid w:val="00342AC5"/>
    <w:rsid w:val="00347DBC"/>
    <w:rsid w:val="00364D3C"/>
    <w:rsid w:val="00371CD0"/>
    <w:rsid w:val="003723C3"/>
    <w:rsid w:val="0039308E"/>
    <w:rsid w:val="00393E41"/>
    <w:rsid w:val="00396AF1"/>
    <w:rsid w:val="003A0103"/>
    <w:rsid w:val="003A7E2F"/>
    <w:rsid w:val="003B0E74"/>
    <w:rsid w:val="003C4403"/>
    <w:rsid w:val="003C4613"/>
    <w:rsid w:val="003E3D0D"/>
    <w:rsid w:val="003E50E8"/>
    <w:rsid w:val="003F2930"/>
    <w:rsid w:val="003F52A2"/>
    <w:rsid w:val="003F63E0"/>
    <w:rsid w:val="00422CA6"/>
    <w:rsid w:val="00425554"/>
    <w:rsid w:val="00433C3C"/>
    <w:rsid w:val="004514DE"/>
    <w:rsid w:val="004546CC"/>
    <w:rsid w:val="00456199"/>
    <w:rsid w:val="00470B0C"/>
    <w:rsid w:val="00474C65"/>
    <w:rsid w:val="004B355E"/>
    <w:rsid w:val="004B5538"/>
    <w:rsid w:val="004B5E87"/>
    <w:rsid w:val="004E581F"/>
    <w:rsid w:val="004E7D33"/>
    <w:rsid w:val="0050338C"/>
    <w:rsid w:val="005234EE"/>
    <w:rsid w:val="005403D8"/>
    <w:rsid w:val="005577B6"/>
    <w:rsid w:val="00560857"/>
    <w:rsid w:val="00562A14"/>
    <w:rsid w:val="0056512A"/>
    <w:rsid w:val="005778F9"/>
    <w:rsid w:val="0059031F"/>
    <w:rsid w:val="005955B1"/>
    <w:rsid w:val="005A66F8"/>
    <w:rsid w:val="005B7A31"/>
    <w:rsid w:val="005D0592"/>
    <w:rsid w:val="005D6172"/>
    <w:rsid w:val="005D7161"/>
    <w:rsid w:val="005E5A8F"/>
    <w:rsid w:val="0060394A"/>
    <w:rsid w:val="006039AA"/>
    <w:rsid w:val="00621EE8"/>
    <w:rsid w:val="0062225A"/>
    <w:rsid w:val="00627C26"/>
    <w:rsid w:val="006475B1"/>
    <w:rsid w:val="00647A7B"/>
    <w:rsid w:val="00652595"/>
    <w:rsid w:val="00666306"/>
    <w:rsid w:val="006809D8"/>
    <w:rsid w:val="00686B3F"/>
    <w:rsid w:val="006B1F56"/>
    <w:rsid w:val="006C2872"/>
    <w:rsid w:val="006D1141"/>
    <w:rsid w:val="006D22F9"/>
    <w:rsid w:val="006D2D84"/>
    <w:rsid w:val="006E2964"/>
    <w:rsid w:val="006E49A3"/>
    <w:rsid w:val="00711F52"/>
    <w:rsid w:val="00715AD2"/>
    <w:rsid w:val="00723F03"/>
    <w:rsid w:val="0072640A"/>
    <w:rsid w:val="0073012B"/>
    <w:rsid w:val="007329D4"/>
    <w:rsid w:val="007447AE"/>
    <w:rsid w:val="00764071"/>
    <w:rsid w:val="0078341F"/>
    <w:rsid w:val="00784900"/>
    <w:rsid w:val="0079456D"/>
    <w:rsid w:val="00797188"/>
    <w:rsid w:val="00797247"/>
    <w:rsid w:val="007A64D4"/>
    <w:rsid w:val="007C6B41"/>
    <w:rsid w:val="00805BCE"/>
    <w:rsid w:val="00806B14"/>
    <w:rsid w:val="00812E09"/>
    <w:rsid w:val="0081352A"/>
    <w:rsid w:val="00823237"/>
    <w:rsid w:val="00825474"/>
    <w:rsid w:val="00837272"/>
    <w:rsid w:val="00851B88"/>
    <w:rsid w:val="00864008"/>
    <w:rsid w:val="00864FC2"/>
    <w:rsid w:val="00867BDF"/>
    <w:rsid w:val="00890143"/>
    <w:rsid w:val="008930A5"/>
    <w:rsid w:val="008A14A9"/>
    <w:rsid w:val="008B1C23"/>
    <w:rsid w:val="008C0759"/>
    <w:rsid w:val="008C0AC7"/>
    <w:rsid w:val="008D2B93"/>
    <w:rsid w:val="008D5B8D"/>
    <w:rsid w:val="008D65E9"/>
    <w:rsid w:val="008D79D4"/>
    <w:rsid w:val="008E6759"/>
    <w:rsid w:val="008F0588"/>
    <w:rsid w:val="00902CE8"/>
    <w:rsid w:val="00905A48"/>
    <w:rsid w:val="00912D4E"/>
    <w:rsid w:val="00913A1D"/>
    <w:rsid w:val="00945A2F"/>
    <w:rsid w:val="00947BEE"/>
    <w:rsid w:val="00952193"/>
    <w:rsid w:val="009633A4"/>
    <w:rsid w:val="0098277A"/>
    <w:rsid w:val="00992A7D"/>
    <w:rsid w:val="00997334"/>
    <w:rsid w:val="009A5F60"/>
    <w:rsid w:val="009B096F"/>
    <w:rsid w:val="009C36A5"/>
    <w:rsid w:val="009C7093"/>
    <w:rsid w:val="009F24FA"/>
    <w:rsid w:val="009F6C8B"/>
    <w:rsid w:val="00A06FD8"/>
    <w:rsid w:val="00A14435"/>
    <w:rsid w:val="00A16AC6"/>
    <w:rsid w:val="00A23F8A"/>
    <w:rsid w:val="00A258AF"/>
    <w:rsid w:val="00A40097"/>
    <w:rsid w:val="00A4515E"/>
    <w:rsid w:val="00A5368E"/>
    <w:rsid w:val="00A5758F"/>
    <w:rsid w:val="00A635A8"/>
    <w:rsid w:val="00A6494E"/>
    <w:rsid w:val="00A772D3"/>
    <w:rsid w:val="00A81203"/>
    <w:rsid w:val="00A82F94"/>
    <w:rsid w:val="00AB3745"/>
    <w:rsid w:val="00AB5193"/>
    <w:rsid w:val="00AC4198"/>
    <w:rsid w:val="00AD0FCD"/>
    <w:rsid w:val="00AD1833"/>
    <w:rsid w:val="00B07B4B"/>
    <w:rsid w:val="00B160EB"/>
    <w:rsid w:val="00B1649C"/>
    <w:rsid w:val="00B30012"/>
    <w:rsid w:val="00B337FC"/>
    <w:rsid w:val="00B40BBE"/>
    <w:rsid w:val="00B4625E"/>
    <w:rsid w:val="00B53D6D"/>
    <w:rsid w:val="00B66325"/>
    <w:rsid w:val="00B76671"/>
    <w:rsid w:val="00B8518D"/>
    <w:rsid w:val="00BA213D"/>
    <w:rsid w:val="00BA3715"/>
    <w:rsid w:val="00BA48EA"/>
    <w:rsid w:val="00BB1E6E"/>
    <w:rsid w:val="00BB388A"/>
    <w:rsid w:val="00BC4D4A"/>
    <w:rsid w:val="00BE5489"/>
    <w:rsid w:val="00BE7DE8"/>
    <w:rsid w:val="00BF539E"/>
    <w:rsid w:val="00BF6DAE"/>
    <w:rsid w:val="00C04EBD"/>
    <w:rsid w:val="00C06B39"/>
    <w:rsid w:val="00C10C58"/>
    <w:rsid w:val="00C119BC"/>
    <w:rsid w:val="00C23085"/>
    <w:rsid w:val="00C249D9"/>
    <w:rsid w:val="00C332BE"/>
    <w:rsid w:val="00C356C5"/>
    <w:rsid w:val="00C4257E"/>
    <w:rsid w:val="00C50A1F"/>
    <w:rsid w:val="00C73154"/>
    <w:rsid w:val="00C91508"/>
    <w:rsid w:val="00CA2B73"/>
    <w:rsid w:val="00CA4320"/>
    <w:rsid w:val="00CB39F0"/>
    <w:rsid w:val="00CB4CA9"/>
    <w:rsid w:val="00CC191C"/>
    <w:rsid w:val="00CC4D82"/>
    <w:rsid w:val="00CC4E7A"/>
    <w:rsid w:val="00CC5024"/>
    <w:rsid w:val="00CF3D16"/>
    <w:rsid w:val="00CF6287"/>
    <w:rsid w:val="00D0287E"/>
    <w:rsid w:val="00D10858"/>
    <w:rsid w:val="00D153C7"/>
    <w:rsid w:val="00D22ACF"/>
    <w:rsid w:val="00D40029"/>
    <w:rsid w:val="00D64023"/>
    <w:rsid w:val="00D73FFF"/>
    <w:rsid w:val="00D862BF"/>
    <w:rsid w:val="00DD1F31"/>
    <w:rsid w:val="00DD2753"/>
    <w:rsid w:val="00DF5723"/>
    <w:rsid w:val="00E1002B"/>
    <w:rsid w:val="00E256F6"/>
    <w:rsid w:val="00E26AF0"/>
    <w:rsid w:val="00E3339B"/>
    <w:rsid w:val="00E41527"/>
    <w:rsid w:val="00E41C88"/>
    <w:rsid w:val="00E44BBF"/>
    <w:rsid w:val="00E619CB"/>
    <w:rsid w:val="00E765F9"/>
    <w:rsid w:val="00EA06CF"/>
    <w:rsid w:val="00EB27A0"/>
    <w:rsid w:val="00EB7915"/>
    <w:rsid w:val="00EE19B5"/>
    <w:rsid w:val="00EF087A"/>
    <w:rsid w:val="00F11950"/>
    <w:rsid w:val="00F16C57"/>
    <w:rsid w:val="00F24301"/>
    <w:rsid w:val="00F3787E"/>
    <w:rsid w:val="00F53DDE"/>
    <w:rsid w:val="00F571A4"/>
    <w:rsid w:val="00F66EB8"/>
    <w:rsid w:val="00F71EB9"/>
    <w:rsid w:val="00F72F82"/>
    <w:rsid w:val="00FB2069"/>
    <w:rsid w:val="00FD3814"/>
    <w:rsid w:val="00FD38C2"/>
    <w:rsid w:val="00FF56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481E27-19AE-455D-ACE4-082D5F8D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FootnoteText">
    <w:name w:val="footnote text"/>
    <w:basedOn w:val="Normal"/>
    <w:link w:val="FootnoteTextChar"/>
    <w:uiPriority w:val="99"/>
    <w:semiHidden/>
    <w:unhideWhenUsed/>
    <w:rsid w:val="00B07B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B4B"/>
    <w:rPr>
      <w:sz w:val="20"/>
      <w:szCs w:val="20"/>
    </w:rPr>
  </w:style>
  <w:style w:type="character" w:styleId="FootnoteReference">
    <w:name w:val="footnote reference"/>
    <w:basedOn w:val="DefaultParagraphFont"/>
    <w:uiPriority w:val="99"/>
    <w:semiHidden/>
    <w:unhideWhenUsed/>
    <w:rsid w:val="00B07B4B"/>
    <w:rPr>
      <w:vertAlign w:val="superscript"/>
    </w:rPr>
  </w:style>
  <w:style w:type="paragraph" w:customStyle="1" w:styleId="form-control-static">
    <w:name w:val="form-control-static"/>
    <w:basedOn w:val="Normal"/>
    <w:rsid w:val="00C4257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2020-08-02T18:30:00+00:00</Judgment_x0020_Date>
    <Year xmlns="c1afb1bd-f2fb-40fd-9abb-aea55b4d7662">2020</Year>
  </documentManagement>
</p:properties>
</file>

<file path=customXml/itemProps1.xml><?xml version="1.0" encoding="utf-8"?>
<ds:datastoreItem xmlns:ds="http://schemas.openxmlformats.org/officeDocument/2006/customXml" ds:itemID="{BC757254-6E41-4E9B-9DCA-6834001AE9D0}"/>
</file>

<file path=customXml/itemProps2.xml><?xml version="1.0" encoding="utf-8"?>
<ds:datastoreItem xmlns:ds="http://schemas.openxmlformats.org/officeDocument/2006/customXml" ds:itemID="{CC61A2D3-14C9-47F8-B8AC-C12F28F2190E}"/>
</file>

<file path=customXml/itemProps3.xml><?xml version="1.0" encoding="utf-8"?>
<ds:datastoreItem xmlns:ds="http://schemas.openxmlformats.org/officeDocument/2006/customXml" ds:itemID="{7BB7D6E0-A84F-461A-8842-E75B0503514A}"/>
</file>

<file path=customXml/itemProps4.xml><?xml version="1.0" encoding="utf-8"?>
<ds:datastoreItem xmlns:ds="http://schemas.openxmlformats.org/officeDocument/2006/customXml" ds:itemID="{4BEEDAEA-7DAC-43B5-A7D0-B7B2DDC5E51D}"/>
</file>

<file path=docProps/app.xml><?xml version="1.0" encoding="utf-8"?>
<Properties xmlns="http://schemas.openxmlformats.org/officeDocument/2006/extended-properties" xmlns:vt="http://schemas.openxmlformats.org/officeDocument/2006/docPropsVTypes">
  <Template>Normal</Template>
  <TotalTime>0</TotalTime>
  <Pages>5</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ailombe v Nashandi (HC-MD-CIV-ACT-OTH-2019-02607) [2020] NAHCMD 329 (3 August 2020)</dc:title>
  <dc:creator>E. Kharases</dc:creator>
  <cp:lastModifiedBy>Administrator</cp:lastModifiedBy>
  <cp:revision>3</cp:revision>
  <cp:lastPrinted>2019-08-09T10:27:00Z</cp:lastPrinted>
  <dcterms:created xsi:type="dcterms:W3CDTF">2020-08-17T09:08:00Z</dcterms:created>
  <dcterms:modified xsi:type="dcterms:W3CDTF">2020-08-17T09:08:00Z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