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9A3" w:rsidRPr="006E49A3" w:rsidRDefault="006F4B2E" w:rsidP="006E49A3">
      <w:pPr>
        <w:spacing w:after="0" w:line="240" w:lineRule="auto"/>
        <w:jc w:val="center"/>
        <w:rPr>
          <w:rFonts w:ascii="Arial" w:hAnsi="Arial" w:cs="Arial"/>
          <w:sz w:val="26"/>
          <w:szCs w:val="26"/>
        </w:rPr>
      </w:pPr>
      <w:r>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390AC028" wp14:editId="6C7A8689">
                <wp:simplePos x="0" y="0"/>
                <wp:positionH relativeFrom="column">
                  <wp:posOffset>4619625</wp:posOffset>
                </wp:positionH>
                <wp:positionV relativeFrom="paragraph">
                  <wp:posOffset>-53340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6F4B2E" w:rsidRPr="00483760" w:rsidRDefault="006F4B2E" w:rsidP="006F4B2E">
                            <w:pPr>
                              <w:spacing w:after="106"/>
                              <w:jc w:val="center"/>
                              <w:rPr>
                                <w:b/>
                              </w:rPr>
                            </w:pPr>
                            <w:r>
                              <w:rPr>
                                <w:b/>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AC028" id="_x0000_t202" coordsize="21600,21600" o:spt="202" path="m,l,21600r21600,l21600,xe">
                <v:stroke joinstyle="miter"/>
                <v:path gradientshapeok="t" o:connecttype="rect"/>
              </v:shapetype>
              <v:shape id="Text Box 2" o:spid="_x0000_s1026" type="#_x0000_t202" style="position:absolute;left:0;text-align:left;margin-left:363.75pt;margin-top:-4.2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" strokecolor="white">
                <v:textbox>
                  <w:txbxContent>
                    <w:p w:rsidR="006F4B2E" w:rsidRPr="00483760" w:rsidRDefault="006F4B2E" w:rsidP="006F4B2E">
                      <w:pPr>
                        <w:spacing w:after="106"/>
                        <w:jc w:val="center"/>
                        <w:rPr>
                          <w:b/>
                        </w:rPr>
                      </w:pPr>
                      <w:r>
                        <w:rPr>
                          <w:b/>
                        </w:rPr>
                        <w:t>REPORTABLE</w:t>
                      </w:r>
                    </w:p>
                  </w:txbxContent>
                </v:textbox>
              </v:shape>
            </w:pict>
          </mc:Fallback>
        </mc:AlternateContent>
      </w:r>
      <w:r w:rsidR="006E49A3" w:rsidRPr="006E49A3">
        <w:rPr>
          <w:rFonts w:ascii="Arial" w:hAnsi="Arial" w:cs="Arial"/>
          <w:sz w:val="26"/>
          <w:szCs w:val="26"/>
        </w:rPr>
        <w:t>“ANNEXURE 11”</w:t>
      </w:r>
      <w:r w:rsidRPr="006F4B2E">
        <w:rPr>
          <w:rFonts w:ascii="Arial" w:hAnsi="Arial" w:cs="Arial"/>
          <w:b/>
          <w:noProof/>
          <w:sz w:val="24"/>
          <w:szCs w:val="24"/>
          <w:lang w:eastAsia="en-ZA"/>
        </w:rPr>
        <w:t xml:space="preserve"> </w:t>
      </w:r>
    </w:p>
    <w:p w:rsidR="006E49A3" w:rsidRPr="006E49A3" w:rsidRDefault="006E49A3" w:rsidP="006E49A3">
      <w:pPr>
        <w:spacing w:after="0" w:line="240" w:lineRule="auto"/>
        <w:jc w:val="center"/>
        <w:rPr>
          <w:rFonts w:ascii="Arial" w:hAnsi="Arial" w:cs="Arial"/>
          <w:sz w:val="26"/>
          <w:szCs w:val="26"/>
        </w:rPr>
      </w:pPr>
      <w:r w:rsidRPr="006E49A3">
        <w:rPr>
          <w:rFonts w:ascii="Arial" w:hAnsi="Arial" w:cs="Arial"/>
          <w:sz w:val="26"/>
          <w:szCs w:val="26"/>
        </w:rPr>
        <w:t>Practice Directive 61</w:t>
      </w:r>
      <w:bookmarkStart w:id="0" w:name="_GoBack"/>
      <w:bookmarkEnd w:id="0"/>
    </w:p>
    <w:p w:rsidR="006E49A3" w:rsidRPr="006E49A3" w:rsidRDefault="006E49A3" w:rsidP="006E49A3">
      <w:pPr>
        <w:spacing w:after="0" w:line="360" w:lineRule="auto"/>
        <w:jc w:val="both"/>
        <w:rPr>
          <w:rFonts w:ascii="Arial" w:hAnsi="Arial" w:cs="Arial"/>
          <w:sz w:val="24"/>
          <w:szCs w:val="24"/>
        </w:rPr>
      </w:pPr>
    </w:p>
    <w:p w:rsidR="006E49A3" w:rsidRPr="006E49A3" w:rsidRDefault="006E49A3" w:rsidP="006E49A3">
      <w:pPr>
        <w:spacing w:after="0" w:line="360" w:lineRule="auto"/>
        <w:jc w:val="center"/>
        <w:rPr>
          <w:rFonts w:ascii="Arial" w:hAnsi="Arial" w:cs="Arial"/>
          <w:b/>
          <w:sz w:val="24"/>
          <w:szCs w:val="24"/>
        </w:rPr>
      </w:pPr>
      <w:r w:rsidRPr="006E49A3">
        <w:rPr>
          <w:rFonts w:ascii="Arial" w:hAnsi="Arial" w:cs="Arial"/>
          <w:b/>
          <w:sz w:val="24"/>
          <w:szCs w:val="24"/>
        </w:rPr>
        <w:t>IN THE HIGH COURT OF NAMIBIA</w:t>
      </w:r>
    </w:p>
    <w:p w:rsidR="00281FAB" w:rsidRPr="006E49A3" w:rsidRDefault="00281FAB" w:rsidP="00EB27A0">
      <w:pPr>
        <w:spacing w:after="0" w:line="360" w:lineRule="auto"/>
        <w:jc w:val="both"/>
        <w:rPr>
          <w:rFonts w:ascii="Arial" w:hAnsi="Arial" w:cs="Arial"/>
        </w:rPr>
      </w:pPr>
    </w:p>
    <w:tbl>
      <w:tblPr>
        <w:tblStyle w:val="TableGrid"/>
        <w:tblW w:w="9720" w:type="dxa"/>
        <w:tblInd w:w="-275" w:type="dxa"/>
        <w:tblLook w:val="04A0" w:firstRow="1" w:lastRow="0" w:firstColumn="1" w:lastColumn="0" w:noHBand="0" w:noVBand="1"/>
      </w:tblPr>
      <w:tblGrid>
        <w:gridCol w:w="4770"/>
        <w:gridCol w:w="627"/>
        <w:gridCol w:w="4323"/>
      </w:tblGrid>
      <w:tr w:rsidR="00C73154" w:rsidRPr="006E49A3" w:rsidTr="005403D8">
        <w:trPr>
          <w:trHeight w:val="744"/>
        </w:trPr>
        <w:tc>
          <w:tcPr>
            <w:tcW w:w="5397" w:type="dxa"/>
            <w:gridSpan w:val="2"/>
            <w:vMerge w:val="restart"/>
          </w:tcPr>
          <w:p w:rsidR="00C73154" w:rsidRPr="006E49A3" w:rsidRDefault="00C73154" w:rsidP="00EB27A0">
            <w:pPr>
              <w:spacing w:line="360" w:lineRule="auto"/>
              <w:jc w:val="both"/>
              <w:rPr>
                <w:rFonts w:ascii="Arial" w:hAnsi="Arial" w:cs="Arial"/>
              </w:rPr>
            </w:pPr>
            <w:r w:rsidRPr="006E49A3">
              <w:rPr>
                <w:rFonts w:ascii="Arial" w:hAnsi="Arial" w:cs="Arial"/>
                <w:b/>
              </w:rPr>
              <w:t>Case Title:</w:t>
            </w:r>
          </w:p>
          <w:p w:rsidR="00C73154" w:rsidRPr="00026D86" w:rsidRDefault="00EC2977" w:rsidP="006D2D84">
            <w:pPr>
              <w:spacing w:line="360" w:lineRule="auto"/>
              <w:jc w:val="both"/>
              <w:rPr>
                <w:rFonts w:ascii="Arial" w:hAnsi="Arial" w:cs="Arial"/>
              </w:rPr>
            </w:pPr>
            <w:r>
              <w:rPr>
                <w:rFonts w:ascii="Arial" w:hAnsi="Arial" w:cs="Arial"/>
              </w:rPr>
              <w:t>POPULAR DEMOCRATIC MOVEMENT (PDM)</w:t>
            </w:r>
            <w:r w:rsidR="00026D86" w:rsidRPr="00026D86">
              <w:rPr>
                <w:rFonts w:ascii="Arial" w:hAnsi="Arial" w:cs="Arial"/>
                <w:shd w:val="clear" w:color="auto" w:fill="FFFFFF"/>
              </w:rPr>
              <w:t xml:space="preserve"> vs </w:t>
            </w:r>
            <w:r>
              <w:rPr>
                <w:rFonts w:ascii="Arial" w:hAnsi="Arial" w:cs="Arial"/>
                <w:shd w:val="clear" w:color="auto" w:fill="FFFFFF"/>
              </w:rPr>
              <w:t>MINISTER OF LAND REFORM</w:t>
            </w:r>
            <w:r w:rsidR="002A06F0">
              <w:rPr>
                <w:rFonts w:ascii="Arial" w:hAnsi="Arial" w:cs="Arial"/>
                <w:shd w:val="clear" w:color="auto" w:fill="FFFFFF"/>
              </w:rPr>
              <w:t xml:space="preserve"> &amp; </w:t>
            </w:r>
            <w:r>
              <w:rPr>
                <w:rFonts w:ascii="Arial" w:hAnsi="Arial" w:cs="Arial"/>
                <w:shd w:val="clear" w:color="auto" w:fill="FFFFFF"/>
              </w:rPr>
              <w:t>8</w:t>
            </w:r>
            <w:r w:rsidR="002A06F0">
              <w:rPr>
                <w:rFonts w:ascii="Arial" w:hAnsi="Arial" w:cs="Arial"/>
                <w:shd w:val="clear" w:color="auto" w:fill="FFFFFF"/>
              </w:rPr>
              <w:t xml:space="preserve"> OTHERS</w:t>
            </w:r>
          </w:p>
          <w:p w:rsidR="00C73154" w:rsidRPr="006E49A3" w:rsidRDefault="00C73154" w:rsidP="006D2D84">
            <w:pPr>
              <w:spacing w:line="360" w:lineRule="auto"/>
              <w:jc w:val="both"/>
              <w:rPr>
                <w:rFonts w:ascii="Arial" w:hAnsi="Arial" w:cs="Arial"/>
              </w:rPr>
            </w:pPr>
          </w:p>
        </w:tc>
        <w:tc>
          <w:tcPr>
            <w:tcW w:w="4323" w:type="dxa"/>
          </w:tcPr>
          <w:p w:rsidR="00C73154" w:rsidRPr="006E49A3" w:rsidRDefault="00C73154" w:rsidP="00905A48">
            <w:pPr>
              <w:spacing w:line="360" w:lineRule="auto"/>
              <w:jc w:val="both"/>
              <w:rPr>
                <w:rFonts w:ascii="Arial" w:hAnsi="Arial" w:cs="Arial"/>
                <w:b/>
              </w:rPr>
            </w:pPr>
            <w:r w:rsidRPr="006E49A3">
              <w:rPr>
                <w:rFonts w:ascii="Arial" w:hAnsi="Arial" w:cs="Arial"/>
                <w:b/>
              </w:rPr>
              <w:t>Case No:</w:t>
            </w:r>
          </w:p>
          <w:p w:rsidR="00C73154" w:rsidRPr="002A06F0" w:rsidRDefault="002A06F0" w:rsidP="00EC2977">
            <w:pPr>
              <w:spacing w:line="360" w:lineRule="auto"/>
              <w:jc w:val="both"/>
              <w:rPr>
                <w:rFonts w:ascii="Arial" w:hAnsi="Arial" w:cs="Arial"/>
              </w:rPr>
            </w:pPr>
            <w:r w:rsidRPr="002A06F0">
              <w:rPr>
                <w:rFonts w:ascii="Arial" w:hAnsi="Arial" w:cs="Arial"/>
              </w:rPr>
              <w:t>HC-MD-CIV-</w:t>
            </w:r>
            <w:r w:rsidR="00EC2977">
              <w:rPr>
                <w:rFonts w:ascii="Arial" w:hAnsi="Arial" w:cs="Arial"/>
              </w:rPr>
              <w:t>MOT-</w:t>
            </w:r>
            <w:r w:rsidRPr="002A06F0">
              <w:rPr>
                <w:rFonts w:ascii="Arial" w:hAnsi="Arial" w:cs="Arial"/>
              </w:rPr>
              <w:t>REV-201</w:t>
            </w:r>
            <w:r w:rsidR="00EC2977">
              <w:rPr>
                <w:rFonts w:ascii="Arial" w:hAnsi="Arial" w:cs="Arial"/>
              </w:rPr>
              <w:t>8</w:t>
            </w:r>
            <w:r w:rsidRPr="002A06F0">
              <w:rPr>
                <w:rFonts w:ascii="Arial" w:hAnsi="Arial" w:cs="Arial"/>
              </w:rPr>
              <w:t>/00</w:t>
            </w:r>
            <w:r w:rsidR="00EC2977">
              <w:rPr>
                <w:rFonts w:ascii="Arial" w:hAnsi="Arial" w:cs="Arial"/>
              </w:rPr>
              <w:t>457</w:t>
            </w:r>
          </w:p>
        </w:tc>
      </w:tr>
      <w:tr w:rsidR="00C73154" w:rsidRPr="006E49A3" w:rsidTr="005403D8">
        <w:trPr>
          <w:trHeight w:val="844"/>
        </w:trPr>
        <w:tc>
          <w:tcPr>
            <w:tcW w:w="5397" w:type="dxa"/>
            <w:gridSpan w:val="2"/>
            <w:vMerge/>
          </w:tcPr>
          <w:p w:rsidR="00C73154" w:rsidRPr="006E49A3" w:rsidRDefault="00C73154" w:rsidP="00EB27A0">
            <w:pPr>
              <w:spacing w:line="360" w:lineRule="auto"/>
              <w:jc w:val="both"/>
              <w:rPr>
                <w:rFonts w:ascii="Arial" w:hAnsi="Arial" w:cs="Arial"/>
              </w:rPr>
            </w:pPr>
          </w:p>
        </w:tc>
        <w:tc>
          <w:tcPr>
            <w:tcW w:w="4323" w:type="dxa"/>
          </w:tcPr>
          <w:p w:rsidR="00C73154" w:rsidRPr="006E49A3" w:rsidRDefault="00C73154" w:rsidP="00EB27A0">
            <w:pPr>
              <w:spacing w:line="360" w:lineRule="auto"/>
              <w:jc w:val="both"/>
              <w:rPr>
                <w:rFonts w:ascii="Arial" w:hAnsi="Arial" w:cs="Arial"/>
              </w:rPr>
            </w:pPr>
            <w:r w:rsidRPr="006E49A3">
              <w:rPr>
                <w:rFonts w:ascii="Arial" w:hAnsi="Arial" w:cs="Arial"/>
                <w:b/>
              </w:rPr>
              <w:t>Division of Court:</w:t>
            </w:r>
          </w:p>
          <w:p w:rsidR="00C73154" w:rsidRPr="006E49A3" w:rsidRDefault="00C73154" w:rsidP="00092FD2">
            <w:pPr>
              <w:spacing w:line="360" w:lineRule="auto"/>
              <w:jc w:val="both"/>
              <w:rPr>
                <w:rFonts w:ascii="Arial" w:hAnsi="Arial" w:cs="Arial"/>
              </w:rPr>
            </w:pPr>
            <w:r w:rsidRPr="006E49A3">
              <w:rPr>
                <w:rFonts w:ascii="Arial" w:hAnsi="Arial" w:cs="Arial"/>
              </w:rPr>
              <w:t>H</w:t>
            </w:r>
            <w:r w:rsidR="00092FD2" w:rsidRPr="006E49A3">
              <w:rPr>
                <w:rFonts w:ascii="Arial" w:hAnsi="Arial" w:cs="Arial"/>
              </w:rPr>
              <w:t>IGH COURT (MAIN DIVISION</w:t>
            </w:r>
            <w:r w:rsidR="00890143" w:rsidRPr="006E49A3">
              <w:rPr>
                <w:rFonts w:ascii="Arial" w:hAnsi="Arial" w:cs="Arial"/>
              </w:rPr>
              <w:t>)</w:t>
            </w:r>
          </w:p>
        </w:tc>
      </w:tr>
      <w:tr w:rsidR="005403D8" w:rsidRPr="006E49A3" w:rsidTr="005403D8">
        <w:trPr>
          <w:trHeight w:val="645"/>
        </w:trPr>
        <w:tc>
          <w:tcPr>
            <w:tcW w:w="5397" w:type="dxa"/>
            <w:gridSpan w:val="2"/>
            <w:vMerge w:val="restart"/>
          </w:tcPr>
          <w:p w:rsidR="005403D8" w:rsidRPr="006E49A3" w:rsidRDefault="005403D8" w:rsidP="00EB27A0">
            <w:pPr>
              <w:spacing w:line="360" w:lineRule="auto"/>
              <w:jc w:val="both"/>
              <w:rPr>
                <w:rFonts w:ascii="Arial" w:hAnsi="Arial" w:cs="Arial"/>
                <w:b/>
              </w:rPr>
            </w:pPr>
            <w:r w:rsidRPr="006E49A3">
              <w:rPr>
                <w:rFonts w:ascii="Arial" w:hAnsi="Arial" w:cs="Arial"/>
                <w:b/>
              </w:rPr>
              <w:t>Heard before:</w:t>
            </w:r>
          </w:p>
          <w:p w:rsidR="005403D8" w:rsidRPr="006E49A3" w:rsidRDefault="005403D8" w:rsidP="0009710D">
            <w:pPr>
              <w:spacing w:line="360" w:lineRule="auto"/>
              <w:jc w:val="both"/>
              <w:rPr>
                <w:rFonts w:ascii="Arial" w:hAnsi="Arial" w:cs="Arial"/>
              </w:rPr>
            </w:pPr>
            <w:r w:rsidRPr="006E49A3">
              <w:rPr>
                <w:rFonts w:ascii="Arial" w:hAnsi="Arial" w:cs="Arial"/>
              </w:rPr>
              <w:t>H</w:t>
            </w:r>
            <w:r w:rsidR="00092FD2" w:rsidRPr="006E49A3">
              <w:rPr>
                <w:rFonts w:ascii="Arial" w:hAnsi="Arial" w:cs="Arial"/>
              </w:rPr>
              <w:t xml:space="preserve">ONOURABLE MR JUSTICE </w:t>
            </w:r>
            <w:r w:rsidR="0009710D">
              <w:rPr>
                <w:rFonts w:ascii="Arial" w:hAnsi="Arial" w:cs="Arial"/>
              </w:rPr>
              <w:t>GEIER</w:t>
            </w:r>
          </w:p>
        </w:tc>
        <w:tc>
          <w:tcPr>
            <w:tcW w:w="4323" w:type="dxa"/>
          </w:tcPr>
          <w:p w:rsidR="005403D8" w:rsidRPr="006E49A3" w:rsidRDefault="005403D8" w:rsidP="00EB27A0">
            <w:pPr>
              <w:spacing w:line="360" w:lineRule="auto"/>
              <w:jc w:val="both"/>
              <w:rPr>
                <w:rFonts w:ascii="Arial" w:hAnsi="Arial" w:cs="Arial"/>
                <w:b/>
              </w:rPr>
            </w:pPr>
            <w:r w:rsidRPr="006E49A3">
              <w:rPr>
                <w:rFonts w:ascii="Arial" w:hAnsi="Arial" w:cs="Arial"/>
                <w:b/>
              </w:rPr>
              <w:t xml:space="preserve">Date </w:t>
            </w:r>
            <w:r w:rsidR="00EC2977">
              <w:rPr>
                <w:rFonts w:ascii="Arial" w:hAnsi="Arial" w:cs="Arial"/>
                <w:b/>
              </w:rPr>
              <w:t>reserved</w:t>
            </w:r>
            <w:r w:rsidRPr="006E49A3">
              <w:rPr>
                <w:rFonts w:ascii="Arial" w:hAnsi="Arial" w:cs="Arial"/>
                <w:b/>
              </w:rPr>
              <w:t>:</w:t>
            </w:r>
          </w:p>
          <w:p w:rsidR="005403D8" w:rsidRPr="006E49A3" w:rsidRDefault="008A4CAD" w:rsidP="008A4CAD">
            <w:pPr>
              <w:spacing w:line="360" w:lineRule="auto"/>
              <w:rPr>
                <w:rFonts w:ascii="Arial" w:hAnsi="Arial" w:cs="Arial"/>
              </w:rPr>
            </w:pPr>
            <w:r>
              <w:rPr>
                <w:rFonts w:ascii="Arial" w:hAnsi="Arial" w:cs="Arial"/>
              </w:rPr>
              <w:t>04</w:t>
            </w:r>
            <w:r w:rsidR="0009710D">
              <w:rPr>
                <w:rFonts w:ascii="Arial" w:hAnsi="Arial" w:cs="Arial"/>
              </w:rPr>
              <w:t xml:space="preserve"> </w:t>
            </w:r>
            <w:r>
              <w:rPr>
                <w:rFonts w:ascii="Arial" w:hAnsi="Arial" w:cs="Arial"/>
              </w:rPr>
              <w:t>August</w:t>
            </w:r>
            <w:r w:rsidR="00F72F82" w:rsidRPr="006E49A3">
              <w:rPr>
                <w:rFonts w:ascii="Arial" w:hAnsi="Arial" w:cs="Arial"/>
              </w:rPr>
              <w:t xml:space="preserve"> </w:t>
            </w:r>
            <w:r w:rsidR="0009710D">
              <w:rPr>
                <w:rFonts w:ascii="Arial" w:hAnsi="Arial" w:cs="Arial"/>
              </w:rPr>
              <w:t>2020</w:t>
            </w:r>
          </w:p>
        </w:tc>
      </w:tr>
      <w:tr w:rsidR="005403D8" w:rsidRPr="006E49A3" w:rsidTr="00FD38C2">
        <w:trPr>
          <w:trHeight w:val="588"/>
        </w:trPr>
        <w:tc>
          <w:tcPr>
            <w:tcW w:w="5397" w:type="dxa"/>
            <w:gridSpan w:val="2"/>
            <w:vMerge/>
          </w:tcPr>
          <w:p w:rsidR="005403D8" w:rsidRPr="006E49A3" w:rsidRDefault="005403D8" w:rsidP="00EB27A0">
            <w:pPr>
              <w:spacing w:line="360" w:lineRule="auto"/>
              <w:jc w:val="both"/>
              <w:rPr>
                <w:rFonts w:ascii="Arial" w:hAnsi="Arial" w:cs="Arial"/>
                <w:b/>
              </w:rPr>
            </w:pPr>
          </w:p>
        </w:tc>
        <w:tc>
          <w:tcPr>
            <w:tcW w:w="4323" w:type="dxa"/>
          </w:tcPr>
          <w:p w:rsidR="005403D8" w:rsidRPr="006E49A3" w:rsidRDefault="005403D8" w:rsidP="005403D8">
            <w:pPr>
              <w:spacing w:line="360" w:lineRule="auto"/>
              <w:jc w:val="both"/>
              <w:rPr>
                <w:rFonts w:ascii="Arial" w:hAnsi="Arial" w:cs="Arial"/>
                <w:b/>
              </w:rPr>
            </w:pPr>
            <w:r w:rsidRPr="006E49A3">
              <w:rPr>
                <w:rFonts w:ascii="Arial" w:hAnsi="Arial" w:cs="Arial"/>
                <w:b/>
              </w:rPr>
              <w:t>Delivered on:</w:t>
            </w:r>
          </w:p>
          <w:p w:rsidR="005403D8" w:rsidRPr="006E49A3" w:rsidRDefault="00131D60" w:rsidP="008A4CAD">
            <w:pPr>
              <w:spacing w:line="360" w:lineRule="auto"/>
              <w:jc w:val="both"/>
              <w:rPr>
                <w:rFonts w:ascii="Arial" w:hAnsi="Arial" w:cs="Arial"/>
                <w:b/>
              </w:rPr>
            </w:pPr>
            <w:r>
              <w:rPr>
                <w:rFonts w:ascii="Arial" w:hAnsi="Arial" w:cs="Arial"/>
              </w:rPr>
              <w:t>19</w:t>
            </w:r>
            <w:r w:rsidR="00026D86">
              <w:rPr>
                <w:rFonts w:ascii="Arial" w:hAnsi="Arial" w:cs="Arial"/>
              </w:rPr>
              <w:t xml:space="preserve"> </w:t>
            </w:r>
            <w:r w:rsidR="008A4CAD">
              <w:rPr>
                <w:rFonts w:ascii="Arial" w:hAnsi="Arial" w:cs="Arial"/>
              </w:rPr>
              <w:t>August</w:t>
            </w:r>
            <w:r w:rsidR="009F24FA" w:rsidRPr="006E49A3">
              <w:rPr>
                <w:rFonts w:ascii="Arial" w:hAnsi="Arial" w:cs="Arial"/>
              </w:rPr>
              <w:t xml:space="preserve"> </w:t>
            </w:r>
            <w:r w:rsidR="00F72F82" w:rsidRPr="006E49A3">
              <w:rPr>
                <w:rFonts w:ascii="Arial" w:hAnsi="Arial" w:cs="Arial"/>
              </w:rPr>
              <w:t>20</w:t>
            </w:r>
            <w:r w:rsidR="0009710D">
              <w:rPr>
                <w:rFonts w:ascii="Arial" w:hAnsi="Arial" w:cs="Arial"/>
              </w:rPr>
              <w:t>20</w:t>
            </w:r>
          </w:p>
        </w:tc>
      </w:tr>
      <w:tr w:rsidR="005955B1" w:rsidRPr="006E49A3" w:rsidTr="00BB1E6E">
        <w:trPr>
          <w:trHeight w:val="908"/>
        </w:trPr>
        <w:tc>
          <w:tcPr>
            <w:tcW w:w="9720" w:type="dxa"/>
            <w:gridSpan w:val="3"/>
          </w:tcPr>
          <w:p w:rsidR="00F71EB9" w:rsidRPr="006E49A3" w:rsidRDefault="005955B1" w:rsidP="00604D76">
            <w:pPr>
              <w:spacing w:line="360" w:lineRule="auto"/>
              <w:jc w:val="both"/>
              <w:rPr>
                <w:rFonts w:ascii="Arial" w:hAnsi="Arial" w:cs="Arial"/>
              </w:rPr>
            </w:pPr>
            <w:r w:rsidRPr="006E49A3">
              <w:rPr>
                <w:rFonts w:ascii="Arial" w:hAnsi="Arial" w:cs="Arial"/>
                <w:b/>
              </w:rPr>
              <w:t xml:space="preserve">Neutral citation: </w:t>
            </w:r>
            <w:r w:rsidR="00C26907">
              <w:rPr>
                <w:rFonts w:ascii="Arial" w:hAnsi="Arial" w:cs="Arial"/>
                <w:i/>
              </w:rPr>
              <w:t>Popular Democratic Movement (PDM)</w:t>
            </w:r>
            <w:r w:rsidR="0009710D">
              <w:rPr>
                <w:rFonts w:ascii="Arial" w:hAnsi="Arial" w:cs="Arial"/>
                <w:i/>
              </w:rPr>
              <w:t xml:space="preserve"> </w:t>
            </w:r>
            <w:r w:rsidR="00F72F82" w:rsidRPr="006E49A3">
              <w:rPr>
                <w:rFonts w:ascii="Arial" w:hAnsi="Arial" w:cs="Arial"/>
                <w:i/>
              </w:rPr>
              <w:t xml:space="preserve">v </w:t>
            </w:r>
            <w:r w:rsidR="00C26907">
              <w:rPr>
                <w:rFonts w:ascii="Arial" w:hAnsi="Arial" w:cs="Arial"/>
                <w:i/>
              </w:rPr>
              <w:t>Minister of Lands</w:t>
            </w:r>
            <w:r w:rsidR="00026D86">
              <w:rPr>
                <w:rFonts w:ascii="Arial" w:hAnsi="Arial" w:cs="Arial"/>
                <w:i/>
              </w:rPr>
              <w:t xml:space="preserve"> </w:t>
            </w:r>
            <w:r w:rsidR="00B4625E" w:rsidRPr="006E49A3">
              <w:rPr>
                <w:rFonts w:ascii="Arial" w:hAnsi="Arial" w:cs="Arial"/>
              </w:rPr>
              <w:t>(</w:t>
            </w:r>
            <w:r w:rsidR="0009710D" w:rsidRPr="002A06F0">
              <w:rPr>
                <w:rFonts w:ascii="Arial" w:hAnsi="Arial" w:cs="Arial"/>
              </w:rPr>
              <w:t>HC-MD-CIV-</w:t>
            </w:r>
            <w:r w:rsidR="00C26907">
              <w:rPr>
                <w:rFonts w:ascii="Arial" w:hAnsi="Arial" w:cs="Arial"/>
              </w:rPr>
              <w:t>MOT-</w:t>
            </w:r>
            <w:r w:rsidR="0009710D" w:rsidRPr="002A06F0">
              <w:rPr>
                <w:rFonts w:ascii="Arial" w:hAnsi="Arial" w:cs="Arial"/>
              </w:rPr>
              <w:t>REV-201</w:t>
            </w:r>
            <w:r w:rsidR="00C26907">
              <w:rPr>
                <w:rFonts w:ascii="Arial" w:hAnsi="Arial" w:cs="Arial"/>
              </w:rPr>
              <w:t>8</w:t>
            </w:r>
            <w:r w:rsidR="0009710D" w:rsidRPr="002A06F0">
              <w:rPr>
                <w:rFonts w:ascii="Arial" w:hAnsi="Arial" w:cs="Arial"/>
              </w:rPr>
              <w:t>/00</w:t>
            </w:r>
            <w:r w:rsidR="00C26907">
              <w:rPr>
                <w:rFonts w:ascii="Arial" w:hAnsi="Arial" w:cs="Arial"/>
              </w:rPr>
              <w:t>457</w:t>
            </w:r>
            <w:r w:rsidR="00B4625E" w:rsidRPr="006E49A3">
              <w:rPr>
                <w:rFonts w:ascii="Arial" w:hAnsi="Arial" w:cs="Arial"/>
              </w:rPr>
              <w:t>)</w:t>
            </w:r>
            <w:r w:rsidR="00B4625E" w:rsidRPr="006E49A3">
              <w:rPr>
                <w:rFonts w:ascii="Arial" w:hAnsi="Arial" w:cs="Arial"/>
                <w:b/>
              </w:rPr>
              <w:t xml:space="preserve"> </w:t>
            </w:r>
            <w:r w:rsidR="00B4625E" w:rsidRPr="006E49A3">
              <w:rPr>
                <w:rFonts w:ascii="Arial" w:hAnsi="Arial" w:cs="Arial"/>
              </w:rPr>
              <w:t>[20</w:t>
            </w:r>
            <w:r w:rsidR="0009710D">
              <w:rPr>
                <w:rFonts w:ascii="Arial" w:hAnsi="Arial" w:cs="Arial"/>
              </w:rPr>
              <w:t>20</w:t>
            </w:r>
            <w:r w:rsidR="00B4625E" w:rsidRPr="006E49A3">
              <w:rPr>
                <w:rFonts w:ascii="Arial" w:hAnsi="Arial" w:cs="Arial"/>
              </w:rPr>
              <w:t xml:space="preserve">] </w:t>
            </w:r>
            <w:r w:rsidRPr="006E49A3">
              <w:rPr>
                <w:rFonts w:ascii="Arial" w:hAnsi="Arial" w:cs="Arial"/>
              </w:rPr>
              <w:t xml:space="preserve">NAHCMD </w:t>
            </w:r>
            <w:r w:rsidR="00604D76">
              <w:rPr>
                <w:rFonts w:ascii="Arial" w:hAnsi="Arial" w:cs="Arial"/>
              </w:rPr>
              <w:t>363</w:t>
            </w:r>
            <w:r w:rsidR="00B4625E" w:rsidRPr="006E49A3">
              <w:rPr>
                <w:rFonts w:ascii="Arial" w:hAnsi="Arial" w:cs="Arial"/>
              </w:rPr>
              <w:t xml:space="preserve"> (</w:t>
            </w:r>
            <w:r w:rsidR="00F9250D">
              <w:rPr>
                <w:rFonts w:ascii="Arial" w:hAnsi="Arial" w:cs="Arial"/>
              </w:rPr>
              <w:t>19</w:t>
            </w:r>
            <w:r w:rsidR="00026D86">
              <w:rPr>
                <w:rFonts w:ascii="Arial" w:hAnsi="Arial" w:cs="Arial"/>
              </w:rPr>
              <w:t xml:space="preserve"> </w:t>
            </w:r>
            <w:r w:rsidR="00C26907">
              <w:rPr>
                <w:rFonts w:ascii="Arial" w:hAnsi="Arial" w:cs="Arial"/>
              </w:rPr>
              <w:t>August</w:t>
            </w:r>
            <w:r w:rsidR="00F72F82" w:rsidRPr="006E49A3">
              <w:rPr>
                <w:rFonts w:ascii="Arial" w:hAnsi="Arial" w:cs="Arial"/>
              </w:rPr>
              <w:t xml:space="preserve"> 20</w:t>
            </w:r>
            <w:r w:rsidR="0009710D">
              <w:rPr>
                <w:rFonts w:ascii="Arial" w:hAnsi="Arial" w:cs="Arial"/>
              </w:rPr>
              <w:t>20</w:t>
            </w:r>
            <w:r w:rsidRPr="006E49A3">
              <w:rPr>
                <w:rFonts w:ascii="Arial" w:hAnsi="Arial" w:cs="Arial"/>
              </w:rPr>
              <w:t>)</w:t>
            </w:r>
          </w:p>
        </w:tc>
      </w:tr>
      <w:tr w:rsidR="00281FAB" w:rsidRPr="006E49A3" w:rsidTr="00EB27A0">
        <w:tc>
          <w:tcPr>
            <w:tcW w:w="9720" w:type="dxa"/>
            <w:gridSpan w:val="3"/>
          </w:tcPr>
          <w:p w:rsidR="00C26907" w:rsidRDefault="00C26907" w:rsidP="00EB27A0">
            <w:pPr>
              <w:spacing w:line="360" w:lineRule="auto"/>
              <w:jc w:val="both"/>
              <w:rPr>
                <w:rFonts w:ascii="Arial" w:hAnsi="Arial" w:cs="Arial"/>
                <w:b/>
              </w:rPr>
            </w:pPr>
          </w:p>
          <w:p w:rsidR="00EB27A0" w:rsidRPr="00187A29" w:rsidRDefault="00EB27A0" w:rsidP="00EB27A0">
            <w:pPr>
              <w:spacing w:line="360" w:lineRule="auto"/>
              <w:jc w:val="both"/>
              <w:rPr>
                <w:rFonts w:ascii="Arial" w:hAnsi="Arial" w:cs="Arial"/>
                <w:b/>
                <w:sz w:val="24"/>
                <w:szCs w:val="24"/>
              </w:rPr>
            </w:pPr>
            <w:r w:rsidRPr="00187A29">
              <w:rPr>
                <w:rFonts w:ascii="Arial" w:hAnsi="Arial" w:cs="Arial"/>
                <w:b/>
                <w:sz w:val="24"/>
                <w:szCs w:val="24"/>
              </w:rPr>
              <w:t>IT IS ORDERED THAT:</w:t>
            </w:r>
          </w:p>
          <w:p w:rsidR="008D65E9" w:rsidRPr="007E24ED" w:rsidRDefault="008D65E9" w:rsidP="00EB27A0">
            <w:pPr>
              <w:spacing w:line="360" w:lineRule="auto"/>
              <w:jc w:val="both"/>
              <w:rPr>
                <w:rFonts w:ascii="Arial" w:hAnsi="Arial" w:cs="Arial"/>
                <w:sz w:val="24"/>
                <w:szCs w:val="24"/>
              </w:rPr>
            </w:pPr>
          </w:p>
          <w:p w:rsidR="007447AE" w:rsidRPr="007E24ED" w:rsidRDefault="00EA5900" w:rsidP="00393E41">
            <w:pPr>
              <w:pStyle w:val="ListParagraph"/>
              <w:numPr>
                <w:ilvl w:val="0"/>
                <w:numId w:val="8"/>
              </w:numPr>
              <w:spacing w:line="360" w:lineRule="auto"/>
              <w:ind w:left="446" w:hanging="426"/>
              <w:jc w:val="both"/>
              <w:rPr>
                <w:rFonts w:ascii="Arial" w:hAnsi="Arial" w:cs="Arial"/>
                <w:sz w:val="24"/>
                <w:szCs w:val="24"/>
              </w:rPr>
            </w:pPr>
            <w:r w:rsidRPr="007E24ED">
              <w:rPr>
                <w:rFonts w:ascii="Arial" w:hAnsi="Arial" w:cs="Arial"/>
                <w:sz w:val="24"/>
                <w:szCs w:val="24"/>
              </w:rPr>
              <w:t>The</w:t>
            </w:r>
            <w:r w:rsidR="00187A29" w:rsidRPr="007E24ED">
              <w:rPr>
                <w:rFonts w:ascii="Arial" w:hAnsi="Arial" w:cs="Arial"/>
                <w:sz w:val="24"/>
                <w:szCs w:val="24"/>
              </w:rPr>
              <w:t xml:space="preserve"> Rule 76(6) application filed on 30 October 2019 is struck.</w:t>
            </w:r>
          </w:p>
          <w:p w:rsidR="007447AE" w:rsidRPr="007E24ED" w:rsidRDefault="007447AE" w:rsidP="00393E41">
            <w:pPr>
              <w:spacing w:line="360" w:lineRule="auto"/>
              <w:ind w:left="20"/>
              <w:jc w:val="both"/>
              <w:rPr>
                <w:rFonts w:ascii="Arial" w:hAnsi="Arial" w:cs="Arial"/>
                <w:sz w:val="24"/>
                <w:szCs w:val="24"/>
              </w:rPr>
            </w:pPr>
          </w:p>
          <w:p w:rsidR="00905A48" w:rsidRPr="007E24ED" w:rsidRDefault="00187A29" w:rsidP="00393E41">
            <w:pPr>
              <w:pStyle w:val="ListParagraph"/>
              <w:numPr>
                <w:ilvl w:val="0"/>
                <w:numId w:val="8"/>
              </w:numPr>
              <w:spacing w:line="360" w:lineRule="auto"/>
              <w:ind w:left="446" w:hanging="426"/>
              <w:jc w:val="both"/>
              <w:rPr>
                <w:rFonts w:ascii="Arial" w:hAnsi="Arial" w:cs="Arial"/>
                <w:sz w:val="24"/>
                <w:szCs w:val="24"/>
              </w:rPr>
            </w:pPr>
            <w:r w:rsidRPr="007E24ED">
              <w:rPr>
                <w:rFonts w:ascii="Arial" w:hAnsi="Arial" w:cs="Arial"/>
                <w:sz w:val="24"/>
                <w:szCs w:val="24"/>
              </w:rPr>
              <w:t>The applicant is to bear the resultant costs.</w:t>
            </w:r>
          </w:p>
          <w:p w:rsidR="00686B3F" w:rsidRPr="00660D08" w:rsidRDefault="00686B3F" w:rsidP="00660D08">
            <w:pPr>
              <w:pStyle w:val="ListParagraph"/>
              <w:spacing w:line="360" w:lineRule="auto"/>
              <w:ind w:left="446"/>
              <w:jc w:val="both"/>
              <w:rPr>
                <w:rFonts w:ascii="Arial" w:hAnsi="Arial" w:cs="Arial"/>
                <w:sz w:val="24"/>
                <w:szCs w:val="24"/>
              </w:rPr>
            </w:pPr>
          </w:p>
        </w:tc>
      </w:tr>
      <w:tr w:rsidR="00281FAB" w:rsidRPr="006E49A3" w:rsidTr="00EB27A0">
        <w:tc>
          <w:tcPr>
            <w:tcW w:w="9720" w:type="dxa"/>
            <w:gridSpan w:val="3"/>
          </w:tcPr>
          <w:p w:rsidR="00281FAB" w:rsidRPr="008E6759" w:rsidRDefault="008E6759" w:rsidP="00266B3E">
            <w:pPr>
              <w:spacing w:line="360" w:lineRule="auto"/>
              <w:jc w:val="both"/>
              <w:rPr>
                <w:rFonts w:ascii="Arial" w:hAnsi="Arial" w:cs="Arial"/>
                <w:b/>
              </w:rPr>
            </w:pPr>
            <w:r w:rsidRPr="008E6759">
              <w:rPr>
                <w:rFonts w:ascii="Arial" w:hAnsi="Arial" w:cs="Arial"/>
                <w:b/>
              </w:rPr>
              <w:t>Following below are the reasons for the above order:</w:t>
            </w:r>
          </w:p>
        </w:tc>
      </w:tr>
      <w:tr w:rsidR="00281FAB" w:rsidRPr="006E49A3" w:rsidTr="00EB27A0">
        <w:tc>
          <w:tcPr>
            <w:tcW w:w="9720" w:type="dxa"/>
            <w:gridSpan w:val="3"/>
          </w:tcPr>
          <w:p w:rsidR="00BB1E6E" w:rsidRDefault="00BB1E6E" w:rsidP="00FD38C2">
            <w:pPr>
              <w:spacing w:line="360" w:lineRule="auto"/>
              <w:jc w:val="both"/>
              <w:rPr>
                <w:rFonts w:ascii="Arial" w:hAnsi="Arial" w:cs="Arial"/>
              </w:rPr>
            </w:pPr>
          </w:p>
          <w:p w:rsidR="00B6188A" w:rsidRDefault="00B6188A" w:rsidP="00FD38C2">
            <w:pPr>
              <w:spacing w:line="360" w:lineRule="auto"/>
              <w:jc w:val="both"/>
              <w:rPr>
                <w:rFonts w:ascii="Arial" w:hAnsi="Arial" w:cs="Arial"/>
              </w:rPr>
            </w:pPr>
          </w:p>
          <w:p w:rsidR="00FB739A" w:rsidRPr="003C4029" w:rsidRDefault="00FB739A" w:rsidP="00FD38C2">
            <w:pPr>
              <w:spacing w:line="360" w:lineRule="auto"/>
              <w:jc w:val="both"/>
              <w:rPr>
                <w:rFonts w:ascii="Arial" w:hAnsi="Arial" w:cs="Arial"/>
                <w:sz w:val="24"/>
                <w:szCs w:val="24"/>
              </w:rPr>
            </w:pPr>
            <w:r w:rsidRPr="003C4029">
              <w:rPr>
                <w:rFonts w:ascii="Arial" w:hAnsi="Arial" w:cs="Arial"/>
                <w:sz w:val="24"/>
                <w:szCs w:val="24"/>
              </w:rPr>
              <w:t>[</w:t>
            </w:r>
            <w:r w:rsidR="00F9250D">
              <w:rPr>
                <w:rFonts w:ascii="Arial" w:hAnsi="Arial" w:cs="Arial"/>
                <w:sz w:val="24"/>
                <w:szCs w:val="24"/>
              </w:rPr>
              <w:t>1</w:t>
            </w:r>
            <w:proofErr w:type="gramStart"/>
            <w:r w:rsidRPr="003C4029">
              <w:rPr>
                <w:rFonts w:ascii="Arial" w:hAnsi="Arial" w:cs="Arial"/>
                <w:sz w:val="24"/>
                <w:szCs w:val="24"/>
              </w:rPr>
              <w:t>]</w:t>
            </w:r>
            <w:r w:rsidR="00F9250D">
              <w:rPr>
                <w:rFonts w:ascii="Arial" w:hAnsi="Arial" w:cs="Arial"/>
                <w:sz w:val="24"/>
                <w:szCs w:val="24"/>
              </w:rPr>
              <w:t xml:space="preserve">  </w:t>
            </w:r>
            <w:r w:rsidRPr="003C4029">
              <w:rPr>
                <w:rFonts w:ascii="Arial" w:hAnsi="Arial" w:cs="Arial"/>
                <w:sz w:val="24"/>
                <w:szCs w:val="24"/>
              </w:rPr>
              <w:t>The</w:t>
            </w:r>
            <w:proofErr w:type="gramEnd"/>
            <w:r w:rsidR="00B6188A">
              <w:rPr>
                <w:rFonts w:ascii="Arial" w:hAnsi="Arial" w:cs="Arial"/>
                <w:sz w:val="24"/>
                <w:szCs w:val="24"/>
              </w:rPr>
              <w:t xml:space="preserve"> applicant in this application has</w:t>
            </w:r>
            <w:r w:rsidRPr="003C4029">
              <w:rPr>
                <w:rFonts w:ascii="Arial" w:hAnsi="Arial" w:cs="Arial"/>
                <w:sz w:val="24"/>
                <w:szCs w:val="24"/>
              </w:rPr>
              <w:t xml:space="preserve"> launched a review application, which remains pending.</w:t>
            </w:r>
          </w:p>
          <w:p w:rsidR="00FB739A" w:rsidRPr="003C4029" w:rsidRDefault="00FB739A" w:rsidP="00FD38C2">
            <w:pPr>
              <w:spacing w:line="360" w:lineRule="auto"/>
              <w:jc w:val="both"/>
              <w:rPr>
                <w:rFonts w:ascii="Arial" w:hAnsi="Arial" w:cs="Arial"/>
                <w:sz w:val="24"/>
                <w:szCs w:val="24"/>
              </w:rPr>
            </w:pPr>
          </w:p>
          <w:p w:rsidR="00FB739A" w:rsidRPr="003C4029" w:rsidRDefault="00FB739A" w:rsidP="00FD38C2">
            <w:pPr>
              <w:spacing w:line="360" w:lineRule="auto"/>
              <w:jc w:val="both"/>
              <w:rPr>
                <w:rFonts w:ascii="Arial" w:hAnsi="Arial" w:cs="Arial"/>
                <w:sz w:val="24"/>
                <w:szCs w:val="24"/>
              </w:rPr>
            </w:pPr>
            <w:r w:rsidRPr="003C4029">
              <w:rPr>
                <w:rFonts w:ascii="Arial" w:hAnsi="Arial" w:cs="Arial"/>
                <w:sz w:val="24"/>
                <w:szCs w:val="24"/>
              </w:rPr>
              <w:t>[</w:t>
            </w:r>
            <w:r w:rsidR="00F9250D">
              <w:rPr>
                <w:rFonts w:ascii="Arial" w:hAnsi="Arial" w:cs="Arial"/>
                <w:sz w:val="24"/>
                <w:szCs w:val="24"/>
              </w:rPr>
              <w:t>2</w:t>
            </w:r>
            <w:r w:rsidRPr="003C4029">
              <w:rPr>
                <w:rFonts w:ascii="Arial" w:hAnsi="Arial" w:cs="Arial"/>
                <w:sz w:val="24"/>
                <w:szCs w:val="24"/>
              </w:rPr>
              <w:t>]</w:t>
            </w:r>
            <w:r w:rsidR="00F9250D">
              <w:rPr>
                <w:rFonts w:ascii="Arial" w:hAnsi="Arial" w:cs="Arial"/>
                <w:sz w:val="24"/>
                <w:szCs w:val="24"/>
              </w:rPr>
              <w:t xml:space="preserve">  </w:t>
            </w:r>
            <w:r w:rsidRPr="003C4029">
              <w:rPr>
                <w:rFonts w:ascii="Arial" w:hAnsi="Arial" w:cs="Arial"/>
                <w:sz w:val="24"/>
                <w:szCs w:val="24"/>
              </w:rPr>
              <w:t xml:space="preserve">As happens frequently in such applications the initial skirmishes often relate to the ‘discovery’ of the record in which case – more often than not – such applicants then seek to compel the production of further documents believed to be in the possession of the decision-maker relevant to the decision or proceedings sought to be reviewed.  </w:t>
            </w:r>
          </w:p>
          <w:p w:rsidR="00F302DA" w:rsidRPr="003C4029" w:rsidRDefault="00F302DA" w:rsidP="00FD38C2">
            <w:pPr>
              <w:spacing w:line="360" w:lineRule="auto"/>
              <w:jc w:val="both"/>
              <w:rPr>
                <w:rFonts w:ascii="Arial" w:hAnsi="Arial" w:cs="Arial"/>
                <w:sz w:val="24"/>
                <w:szCs w:val="24"/>
              </w:rPr>
            </w:pPr>
          </w:p>
          <w:p w:rsidR="00F302DA" w:rsidRPr="003C4029" w:rsidRDefault="00F302DA" w:rsidP="00FD38C2">
            <w:pPr>
              <w:spacing w:line="360" w:lineRule="auto"/>
              <w:jc w:val="both"/>
              <w:rPr>
                <w:rFonts w:ascii="Arial" w:hAnsi="Arial" w:cs="Arial"/>
                <w:sz w:val="24"/>
                <w:szCs w:val="24"/>
              </w:rPr>
            </w:pPr>
            <w:r w:rsidRPr="003C4029">
              <w:rPr>
                <w:rFonts w:ascii="Arial" w:hAnsi="Arial" w:cs="Arial"/>
                <w:sz w:val="24"/>
                <w:szCs w:val="24"/>
              </w:rPr>
              <w:t>[</w:t>
            </w:r>
            <w:r w:rsidR="00F9250D">
              <w:rPr>
                <w:rFonts w:ascii="Arial" w:hAnsi="Arial" w:cs="Arial"/>
                <w:sz w:val="24"/>
                <w:szCs w:val="24"/>
              </w:rPr>
              <w:t>3</w:t>
            </w:r>
            <w:proofErr w:type="gramStart"/>
            <w:r w:rsidRPr="003C4029">
              <w:rPr>
                <w:rFonts w:ascii="Arial" w:hAnsi="Arial" w:cs="Arial"/>
                <w:sz w:val="24"/>
                <w:szCs w:val="24"/>
              </w:rPr>
              <w:t>]</w:t>
            </w:r>
            <w:r w:rsidR="00F9250D">
              <w:rPr>
                <w:rFonts w:ascii="Arial" w:hAnsi="Arial" w:cs="Arial"/>
                <w:sz w:val="24"/>
                <w:szCs w:val="24"/>
              </w:rPr>
              <w:t xml:space="preserve">  </w:t>
            </w:r>
            <w:r w:rsidRPr="003C4029">
              <w:rPr>
                <w:rFonts w:ascii="Arial" w:hAnsi="Arial" w:cs="Arial"/>
                <w:sz w:val="24"/>
                <w:szCs w:val="24"/>
              </w:rPr>
              <w:t>For</w:t>
            </w:r>
            <w:proofErr w:type="gramEnd"/>
            <w:r w:rsidRPr="003C4029">
              <w:rPr>
                <w:rFonts w:ascii="Arial" w:hAnsi="Arial" w:cs="Arial"/>
                <w:sz w:val="24"/>
                <w:szCs w:val="24"/>
              </w:rPr>
              <w:t xml:space="preserve"> purposes of compelling the production of such further documents application is then made to the Court in terms of Rule 76(6) of the Rules of Court.</w:t>
            </w:r>
          </w:p>
          <w:p w:rsidR="00F302DA" w:rsidRPr="003C4029" w:rsidRDefault="00F302DA" w:rsidP="00FD38C2">
            <w:pPr>
              <w:spacing w:line="360" w:lineRule="auto"/>
              <w:jc w:val="both"/>
              <w:rPr>
                <w:rFonts w:ascii="Arial" w:hAnsi="Arial" w:cs="Arial"/>
                <w:sz w:val="24"/>
                <w:szCs w:val="24"/>
              </w:rPr>
            </w:pPr>
          </w:p>
          <w:p w:rsidR="00F302DA" w:rsidRPr="003C4029" w:rsidRDefault="00F302DA" w:rsidP="00FD38C2">
            <w:pPr>
              <w:spacing w:line="360" w:lineRule="auto"/>
              <w:jc w:val="both"/>
              <w:rPr>
                <w:rFonts w:ascii="Arial" w:hAnsi="Arial" w:cs="Arial"/>
                <w:sz w:val="24"/>
                <w:szCs w:val="24"/>
              </w:rPr>
            </w:pPr>
            <w:r w:rsidRPr="003C4029">
              <w:rPr>
                <w:rFonts w:ascii="Arial" w:hAnsi="Arial" w:cs="Arial"/>
                <w:sz w:val="24"/>
                <w:szCs w:val="24"/>
              </w:rPr>
              <w:lastRenderedPageBreak/>
              <w:t>[</w:t>
            </w:r>
            <w:r w:rsidR="00F9250D">
              <w:rPr>
                <w:rFonts w:ascii="Arial" w:hAnsi="Arial" w:cs="Arial"/>
                <w:sz w:val="24"/>
                <w:szCs w:val="24"/>
              </w:rPr>
              <w:t>4</w:t>
            </w:r>
            <w:proofErr w:type="gramStart"/>
            <w:r w:rsidRPr="003C4029">
              <w:rPr>
                <w:rFonts w:ascii="Arial" w:hAnsi="Arial" w:cs="Arial"/>
                <w:sz w:val="24"/>
                <w:szCs w:val="24"/>
              </w:rPr>
              <w:t>]</w:t>
            </w:r>
            <w:r w:rsidR="00F9250D">
              <w:rPr>
                <w:rFonts w:ascii="Arial" w:hAnsi="Arial" w:cs="Arial"/>
                <w:sz w:val="24"/>
                <w:szCs w:val="24"/>
              </w:rPr>
              <w:t xml:space="preserve">  </w:t>
            </w:r>
            <w:r w:rsidRPr="003C4029">
              <w:rPr>
                <w:rFonts w:ascii="Arial" w:hAnsi="Arial" w:cs="Arial"/>
                <w:sz w:val="24"/>
                <w:szCs w:val="24"/>
              </w:rPr>
              <w:t>If</w:t>
            </w:r>
            <w:proofErr w:type="gramEnd"/>
            <w:r w:rsidRPr="003C4029">
              <w:rPr>
                <w:rFonts w:ascii="Arial" w:hAnsi="Arial" w:cs="Arial"/>
                <w:sz w:val="24"/>
                <w:szCs w:val="24"/>
              </w:rPr>
              <w:t xml:space="preserve"> a dispute arises as to whether any further documents should be discovered the parties may approach a managing judge in chambers in terms of Rule 76(8) who must then give directions for the dispute to be resolved.</w:t>
            </w:r>
          </w:p>
          <w:p w:rsidR="00F302DA" w:rsidRPr="003C4029" w:rsidRDefault="00F302DA" w:rsidP="00FD38C2">
            <w:pPr>
              <w:spacing w:line="360" w:lineRule="auto"/>
              <w:jc w:val="both"/>
              <w:rPr>
                <w:rFonts w:ascii="Arial" w:hAnsi="Arial" w:cs="Arial"/>
                <w:sz w:val="24"/>
                <w:szCs w:val="24"/>
              </w:rPr>
            </w:pPr>
          </w:p>
          <w:p w:rsidR="00F302DA" w:rsidRPr="003C4029" w:rsidRDefault="00F302DA" w:rsidP="00FD38C2">
            <w:pPr>
              <w:spacing w:line="360" w:lineRule="auto"/>
              <w:jc w:val="both"/>
              <w:rPr>
                <w:rFonts w:ascii="Arial" w:hAnsi="Arial" w:cs="Arial"/>
                <w:sz w:val="24"/>
                <w:szCs w:val="24"/>
              </w:rPr>
            </w:pPr>
            <w:r w:rsidRPr="003C4029">
              <w:rPr>
                <w:rFonts w:ascii="Arial" w:hAnsi="Arial" w:cs="Arial"/>
                <w:sz w:val="24"/>
                <w:szCs w:val="24"/>
              </w:rPr>
              <w:t>[</w:t>
            </w:r>
            <w:r w:rsidR="00F9250D">
              <w:rPr>
                <w:rFonts w:ascii="Arial" w:hAnsi="Arial" w:cs="Arial"/>
                <w:sz w:val="24"/>
                <w:szCs w:val="24"/>
              </w:rPr>
              <w:t>5</w:t>
            </w:r>
            <w:proofErr w:type="gramStart"/>
            <w:r w:rsidRPr="003C4029">
              <w:rPr>
                <w:rFonts w:ascii="Arial" w:hAnsi="Arial" w:cs="Arial"/>
                <w:sz w:val="24"/>
                <w:szCs w:val="24"/>
              </w:rPr>
              <w:t>]</w:t>
            </w:r>
            <w:r w:rsidR="00F9250D">
              <w:rPr>
                <w:rFonts w:ascii="Arial" w:hAnsi="Arial" w:cs="Arial"/>
                <w:sz w:val="24"/>
                <w:szCs w:val="24"/>
              </w:rPr>
              <w:t xml:space="preserve">  </w:t>
            </w:r>
            <w:r w:rsidRPr="003C4029">
              <w:rPr>
                <w:rFonts w:ascii="Arial" w:hAnsi="Arial" w:cs="Arial"/>
                <w:sz w:val="24"/>
                <w:szCs w:val="24"/>
              </w:rPr>
              <w:t>This</w:t>
            </w:r>
            <w:proofErr w:type="gramEnd"/>
            <w:r w:rsidRPr="003C4029">
              <w:rPr>
                <w:rFonts w:ascii="Arial" w:hAnsi="Arial" w:cs="Arial"/>
                <w:sz w:val="24"/>
                <w:szCs w:val="24"/>
              </w:rPr>
              <w:t xml:space="preserve"> is precisely what the parties in this instance did.</w:t>
            </w:r>
          </w:p>
          <w:p w:rsidR="00F302DA" w:rsidRPr="003C4029" w:rsidRDefault="00F302DA" w:rsidP="00FD38C2">
            <w:pPr>
              <w:spacing w:line="360" w:lineRule="auto"/>
              <w:jc w:val="both"/>
              <w:rPr>
                <w:rFonts w:ascii="Arial" w:hAnsi="Arial" w:cs="Arial"/>
                <w:sz w:val="24"/>
                <w:szCs w:val="24"/>
              </w:rPr>
            </w:pPr>
          </w:p>
          <w:p w:rsidR="00F302DA" w:rsidRPr="003C4029" w:rsidRDefault="00F302DA" w:rsidP="00FD38C2">
            <w:pPr>
              <w:spacing w:line="360" w:lineRule="auto"/>
              <w:jc w:val="both"/>
              <w:rPr>
                <w:rFonts w:ascii="Arial" w:hAnsi="Arial" w:cs="Arial"/>
                <w:sz w:val="24"/>
                <w:szCs w:val="24"/>
              </w:rPr>
            </w:pPr>
            <w:r w:rsidRPr="003C4029">
              <w:rPr>
                <w:rFonts w:ascii="Arial" w:hAnsi="Arial" w:cs="Arial"/>
                <w:sz w:val="24"/>
                <w:szCs w:val="24"/>
              </w:rPr>
              <w:t>[</w:t>
            </w:r>
            <w:r w:rsidR="00F9250D">
              <w:rPr>
                <w:rFonts w:ascii="Arial" w:hAnsi="Arial" w:cs="Arial"/>
                <w:sz w:val="24"/>
                <w:szCs w:val="24"/>
              </w:rPr>
              <w:t>6</w:t>
            </w:r>
            <w:proofErr w:type="gramStart"/>
            <w:r w:rsidRPr="003C4029">
              <w:rPr>
                <w:rFonts w:ascii="Arial" w:hAnsi="Arial" w:cs="Arial"/>
                <w:sz w:val="24"/>
                <w:szCs w:val="24"/>
              </w:rPr>
              <w:t>]</w:t>
            </w:r>
            <w:r w:rsidR="00F9250D">
              <w:rPr>
                <w:rFonts w:ascii="Arial" w:hAnsi="Arial" w:cs="Arial"/>
                <w:sz w:val="24"/>
                <w:szCs w:val="24"/>
              </w:rPr>
              <w:t xml:space="preserve">  </w:t>
            </w:r>
            <w:r w:rsidRPr="003C4029">
              <w:rPr>
                <w:rFonts w:ascii="Arial" w:hAnsi="Arial" w:cs="Arial"/>
                <w:sz w:val="24"/>
                <w:szCs w:val="24"/>
              </w:rPr>
              <w:t>The</w:t>
            </w:r>
            <w:proofErr w:type="gramEnd"/>
            <w:r w:rsidRPr="003C4029">
              <w:rPr>
                <w:rFonts w:ascii="Arial" w:hAnsi="Arial" w:cs="Arial"/>
                <w:sz w:val="24"/>
                <w:szCs w:val="24"/>
              </w:rPr>
              <w:t xml:space="preserve"> Court responded by</w:t>
            </w:r>
            <w:r w:rsidR="000618F4" w:rsidRPr="003C4029">
              <w:rPr>
                <w:rFonts w:ascii="Arial" w:hAnsi="Arial" w:cs="Arial"/>
                <w:sz w:val="24"/>
                <w:szCs w:val="24"/>
              </w:rPr>
              <w:t xml:space="preserve"> directing by which date the applicant was to deliver the intended Rule 76(6) application.</w:t>
            </w:r>
            <w:r w:rsidR="000618F4" w:rsidRPr="003C4029">
              <w:rPr>
                <w:rStyle w:val="FootnoteReference"/>
                <w:rFonts w:ascii="Arial" w:hAnsi="Arial" w:cs="Arial"/>
                <w:sz w:val="24"/>
                <w:szCs w:val="24"/>
              </w:rPr>
              <w:footnoteReference w:id="1"/>
            </w:r>
            <w:r w:rsidR="000618F4" w:rsidRPr="003C4029">
              <w:rPr>
                <w:rFonts w:ascii="Arial" w:hAnsi="Arial" w:cs="Arial"/>
                <w:sz w:val="24"/>
                <w:szCs w:val="24"/>
              </w:rPr>
              <w:t xml:space="preserve"> The Court also regulated the subsequent exchange of papers.</w:t>
            </w:r>
            <w:r w:rsidR="000618F4" w:rsidRPr="003C4029">
              <w:rPr>
                <w:rStyle w:val="FootnoteReference"/>
                <w:rFonts w:ascii="Arial" w:hAnsi="Arial" w:cs="Arial"/>
                <w:sz w:val="24"/>
                <w:szCs w:val="24"/>
              </w:rPr>
              <w:footnoteReference w:id="2"/>
            </w:r>
          </w:p>
          <w:p w:rsidR="000618F4" w:rsidRPr="003C4029" w:rsidRDefault="000618F4" w:rsidP="00FD38C2">
            <w:pPr>
              <w:spacing w:line="360" w:lineRule="auto"/>
              <w:jc w:val="both"/>
              <w:rPr>
                <w:rFonts w:ascii="Arial" w:hAnsi="Arial" w:cs="Arial"/>
                <w:sz w:val="24"/>
                <w:szCs w:val="24"/>
              </w:rPr>
            </w:pPr>
          </w:p>
          <w:p w:rsidR="000618F4" w:rsidRPr="003C4029" w:rsidRDefault="000618F4" w:rsidP="00FD38C2">
            <w:pPr>
              <w:spacing w:line="360" w:lineRule="auto"/>
              <w:jc w:val="both"/>
              <w:rPr>
                <w:rFonts w:ascii="Arial" w:hAnsi="Arial" w:cs="Arial"/>
                <w:sz w:val="24"/>
                <w:szCs w:val="24"/>
              </w:rPr>
            </w:pPr>
            <w:r w:rsidRPr="003C4029">
              <w:rPr>
                <w:rFonts w:ascii="Arial" w:hAnsi="Arial" w:cs="Arial"/>
                <w:sz w:val="24"/>
                <w:szCs w:val="24"/>
              </w:rPr>
              <w:t>[</w:t>
            </w:r>
            <w:r w:rsidR="00F9250D">
              <w:rPr>
                <w:rFonts w:ascii="Arial" w:hAnsi="Arial" w:cs="Arial"/>
                <w:sz w:val="24"/>
                <w:szCs w:val="24"/>
              </w:rPr>
              <w:t>7</w:t>
            </w:r>
            <w:proofErr w:type="gramStart"/>
            <w:r w:rsidRPr="003C4029">
              <w:rPr>
                <w:rFonts w:ascii="Arial" w:hAnsi="Arial" w:cs="Arial"/>
                <w:sz w:val="24"/>
                <w:szCs w:val="24"/>
              </w:rPr>
              <w:t>]</w:t>
            </w:r>
            <w:r w:rsidR="00F9250D">
              <w:rPr>
                <w:rFonts w:ascii="Arial" w:hAnsi="Arial" w:cs="Arial"/>
                <w:sz w:val="24"/>
                <w:szCs w:val="24"/>
              </w:rPr>
              <w:t xml:space="preserve">  </w:t>
            </w:r>
            <w:r w:rsidRPr="003C4029">
              <w:rPr>
                <w:rFonts w:ascii="Arial" w:hAnsi="Arial" w:cs="Arial"/>
                <w:sz w:val="24"/>
                <w:szCs w:val="24"/>
              </w:rPr>
              <w:t>A</w:t>
            </w:r>
            <w:proofErr w:type="gramEnd"/>
            <w:r w:rsidRPr="003C4029">
              <w:rPr>
                <w:rFonts w:ascii="Arial" w:hAnsi="Arial" w:cs="Arial"/>
                <w:sz w:val="24"/>
                <w:szCs w:val="24"/>
              </w:rPr>
              <w:t xml:space="preserve"> date was set for the hearing of the matter and the exchange of heads of argument was regulated as well.</w:t>
            </w:r>
          </w:p>
          <w:p w:rsidR="000618F4" w:rsidRDefault="000618F4" w:rsidP="00FD38C2">
            <w:pPr>
              <w:spacing w:line="360" w:lineRule="auto"/>
              <w:jc w:val="both"/>
              <w:rPr>
                <w:rFonts w:ascii="Arial" w:hAnsi="Arial" w:cs="Arial"/>
              </w:rPr>
            </w:pPr>
          </w:p>
          <w:p w:rsidR="000618F4" w:rsidRDefault="000618F4" w:rsidP="00FD38C2">
            <w:pPr>
              <w:spacing w:line="360" w:lineRule="auto"/>
              <w:jc w:val="both"/>
              <w:rPr>
                <w:rFonts w:ascii="Arial" w:hAnsi="Arial" w:cs="Arial"/>
                <w:sz w:val="24"/>
                <w:szCs w:val="24"/>
              </w:rPr>
            </w:pPr>
            <w:r w:rsidRPr="00CC6457">
              <w:rPr>
                <w:rFonts w:ascii="Arial" w:hAnsi="Arial" w:cs="Arial"/>
                <w:sz w:val="24"/>
                <w:szCs w:val="24"/>
              </w:rPr>
              <w:t>[</w:t>
            </w:r>
            <w:r w:rsidR="00F9250D" w:rsidRPr="00CC6457">
              <w:rPr>
                <w:rFonts w:ascii="Arial" w:hAnsi="Arial" w:cs="Arial"/>
                <w:sz w:val="24"/>
                <w:szCs w:val="24"/>
              </w:rPr>
              <w:t>8</w:t>
            </w:r>
            <w:proofErr w:type="gramStart"/>
            <w:r w:rsidRPr="00CC6457">
              <w:rPr>
                <w:rFonts w:ascii="Arial" w:hAnsi="Arial" w:cs="Arial"/>
                <w:sz w:val="24"/>
                <w:szCs w:val="24"/>
              </w:rPr>
              <w:t>]</w:t>
            </w:r>
            <w:r w:rsidR="00F9250D">
              <w:rPr>
                <w:rFonts w:ascii="Arial" w:hAnsi="Arial" w:cs="Arial"/>
              </w:rPr>
              <w:t xml:space="preserve">  </w:t>
            </w:r>
            <w:r w:rsidR="003C4029">
              <w:rPr>
                <w:rFonts w:ascii="Arial" w:hAnsi="Arial" w:cs="Arial"/>
                <w:sz w:val="24"/>
                <w:szCs w:val="24"/>
              </w:rPr>
              <w:t>Due</w:t>
            </w:r>
            <w:proofErr w:type="gramEnd"/>
            <w:r w:rsidR="003C4029">
              <w:rPr>
                <w:rFonts w:ascii="Arial" w:hAnsi="Arial" w:cs="Arial"/>
                <w:sz w:val="24"/>
                <w:szCs w:val="24"/>
              </w:rPr>
              <w:t xml:space="preserve"> to the </w:t>
            </w:r>
            <w:proofErr w:type="spellStart"/>
            <w:r w:rsidR="003C4029">
              <w:rPr>
                <w:rFonts w:ascii="Arial" w:hAnsi="Arial" w:cs="Arial"/>
                <w:sz w:val="24"/>
                <w:szCs w:val="24"/>
              </w:rPr>
              <w:t>Covid</w:t>
            </w:r>
            <w:proofErr w:type="spellEnd"/>
            <w:r w:rsidR="003C4029">
              <w:rPr>
                <w:rFonts w:ascii="Arial" w:hAnsi="Arial" w:cs="Arial"/>
                <w:sz w:val="24"/>
                <w:szCs w:val="24"/>
              </w:rPr>
              <w:t xml:space="preserve"> 19 pandemic</w:t>
            </w:r>
            <w:r w:rsidR="00A97520">
              <w:rPr>
                <w:rFonts w:ascii="Arial" w:hAnsi="Arial" w:cs="Arial"/>
                <w:sz w:val="24"/>
                <w:szCs w:val="24"/>
              </w:rPr>
              <w:t xml:space="preserve"> the scheduled hearing could not proceed and</w:t>
            </w:r>
            <w:r w:rsidR="003C4029">
              <w:rPr>
                <w:rFonts w:ascii="Arial" w:hAnsi="Arial" w:cs="Arial"/>
                <w:sz w:val="24"/>
                <w:szCs w:val="24"/>
              </w:rPr>
              <w:t xml:space="preserve"> the parties where requested - in accordance with the ‘Revised Road Map, dated 4 May 2020, for the High Court of Namibia, whilst the State of Emergency persists’ - to consider waiving their right to oral argument and to have the matter determined on the papers only, which they did.</w:t>
            </w:r>
          </w:p>
          <w:p w:rsidR="003C4029" w:rsidRDefault="003C4029" w:rsidP="00FD38C2">
            <w:pPr>
              <w:spacing w:line="360" w:lineRule="auto"/>
              <w:jc w:val="both"/>
              <w:rPr>
                <w:rFonts w:ascii="Arial" w:hAnsi="Arial" w:cs="Arial"/>
                <w:sz w:val="24"/>
                <w:szCs w:val="24"/>
              </w:rPr>
            </w:pPr>
          </w:p>
          <w:p w:rsidR="003C4029" w:rsidRDefault="003C4029" w:rsidP="00FD38C2">
            <w:pPr>
              <w:spacing w:line="360" w:lineRule="auto"/>
              <w:jc w:val="both"/>
              <w:rPr>
                <w:rFonts w:ascii="Arial" w:hAnsi="Arial" w:cs="Arial"/>
                <w:sz w:val="24"/>
                <w:szCs w:val="24"/>
              </w:rPr>
            </w:pPr>
            <w:r>
              <w:rPr>
                <w:rFonts w:ascii="Arial" w:hAnsi="Arial" w:cs="Arial"/>
                <w:sz w:val="24"/>
                <w:szCs w:val="24"/>
              </w:rPr>
              <w:t>[</w:t>
            </w:r>
            <w:r w:rsidR="00F9250D">
              <w:rPr>
                <w:rFonts w:ascii="Arial" w:hAnsi="Arial" w:cs="Arial"/>
                <w:sz w:val="24"/>
                <w:szCs w:val="24"/>
              </w:rPr>
              <w:t>9</w:t>
            </w:r>
            <w:r>
              <w:rPr>
                <w:rFonts w:ascii="Arial" w:hAnsi="Arial" w:cs="Arial"/>
                <w:sz w:val="24"/>
                <w:szCs w:val="24"/>
              </w:rPr>
              <w:t>]</w:t>
            </w:r>
            <w:r w:rsidR="00F9250D">
              <w:rPr>
                <w:rFonts w:ascii="Arial" w:hAnsi="Arial" w:cs="Arial"/>
                <w:sz w:val="24"/>
                <w:szCs w:val="24"/>
              </w:rPr>
              <w:t xml:space="preserve">  </w:t>
            </w:r>
            <w:r>
              <w:rPr>
                <w:rFonts w:ascii="Arial" w:hAnsi="Arial" w:cs="Arial"/>
                <w:sz w:val="24"/>
                <w:szCs w:val="24"/>
              </w:rPr>
              <w:t>From the so-exchanged heads of argument it then appears that the first resp</w:t>
            </w:r>
            <w:r w:rsidR="00B6188A">
              <w:rPr>
                <w:rFonts w:ascii="Arial" w:hAnsi="Arial" w:cs="Arial"/>
                <w:sz w:val="24"/>
                <w:szCs w:val="24"/>
              </w:rPr>
              <w:t>ondent, in his answering papers</w:t>
            </w:r>
            <w:r>
              <w:rPr>
                <w:rFonts w:ascii="Arial" w:hAnsi="Arial" w:cs="Arial"/>
                <w:sz w:val="24"/>
                <w:szCs w:val="24"/>
              </w:rPr>
              <w:t xml:space="preserve"> to the Rule 76(6) application</w:t>
            </w:r>
            <w:r w:rsidR="00B6188A">
              <w:rPr>
                <w:rFonts w:ascii="Arial" w:hAnsi="Arial" w:cs="Arial"/>
                <w:sz w:val="24"/>
                <w:szCs w:val="24"/>
              </w:rPr>
              <w:t>,</w:t>
            </w:r>
            <w:r>
              <w:rPr>
                <w:rFonts w:ascii="Arial" w:hAnsi="Arial" w:cs="Arial"/>
                <w:sz w:val="24"/>
                <w:szCs w:val="24"/>
              </w:rPr>
              <w:t xml:space="preserve"> raises the issue of the applicant’s non-compliance with Rule</w:t>
            </w:r>
            <w:r w:rsidR="00B6188A">
              <w:rPr>
                <w:rFonts w:ascii="Arial" w:hAnsi="Arial" w:cs="Arial"/>
                <w:sz w:val="24"/>
                <w:szCs w:val="24"/>
              </w:rPr>
              <w:t>s</w:t>
            </w:r>
            <w:r>
              <w:rPr>
                <w:rFonts w:ascii="Arial" w:hAnsi="Arial" w:cs="Arial"/>
                <w:sz w:val="24"/>
                <w:szCs w:val="24"/>
              </w:rPr>
              <w:t xml:space="preserve"> 32(9) and (10) of the Rules of Court. This </w:t>
            </w:r>
            <w:r w:rsidRPr="003C4029">
              <w:rPr>
                <w:rFonts w:ascii="Arial" w:hAnsi="Arial" w:cs="Arial"/>
                <w:i/>
                <w:sz w:val="24"/>
                <w:szCs w:val="24"/>
              </w:rPr>
              <w:t xml:space="preserve">in </w:t>
            </w:r>
            <w:proofErr w:type="spellStart"/>
            <w:r w:rsidRPr="003C4029">
              <w:rPr>
                <w:rFonts w:ascii="Arial" w:hAnsi="Arial" w:cs="Arial"/>
                <w:i/>
                <w:sz w:val="24"/>
                <w:szCs w:val="24"/>
              </w:rPr>
              <w:t>limine</w:t>
            </w:r>
            <w:proofErr w:type="spellEnd"/>
            <w:r w:rsidR="00B6188A">
              <w:rPr>
                <w:rFonts w:ascii="Arial" w:hAnsi="Arial" w:cs="Arial"/>
                <w:sz w:val="24"/>
                <w:szCs w:val="24"/>
              </w:rPr>
              <w:t xml:space="preserve"> issue wa</w:t>
            </w:r>
            <w:r>
              <w:rPr>
                <w:rFonts w:ascii="Arial" w:hAnsi="Arial" w:cs="Arial"/>
                <w:sz w:val="24"/>
                <w:szCs w:val="24"/>
              </w:rPr>
              <w:t>s then also canvassed by counsel</w:t>
            </w:r>
            <w:r w:rsidR="00B6188A">
              <w:rPr>
                <w:rFonts w:ascii="Arial" w:hAnsi="Arial" w:cs="Arial"/>
                <w:sz w:val="24"/>
                <w:szCs w:val="24"/>
              </w:rPr>
              <w:t xml:space="preserve"> for all parties in their heads</w:t>
            </w:r>
            <w:r>
              <w:rPr>
                <w:rFonts w:ascii="Arial" w:hAnsi="Arial" w:cs="Arial"/>
                <w:sz w:val="24"/>
                <w:szCs w:val="24"/>
              </w:rPr>
              <w:t xml:space="preserve"> and so requires determination.</w:t>
            </w:r>
          </w:p>
          <w:p w:rsidR="00684620" w:rsidRDefault="00684620" w:rsidP="00FD38C2">
            <w:pPr>
              <w:spacing w:line="360" w:lineRule="auto"/>
              <w:jc w:val="both"/>
              <w:rPr>
                <w:rFonts w:ascii="Arial" w:hAnsi="Arial" w:cs="Arial"/>
                <w:sz w:val="24"/>
                <w:szCs w:val="24"/>
              </w:rPr>
            </w:pPr>
          </w:p>
          <w:p w:rsidR="00684620" w:rsidRDefault="00684620" w:rsidP="00FD38C2">
            <w:pPr>
              <w:spacing w:line="360" w:lineRule="auto"/>
              <w:jc w:val="both"/>
              <w:rPr>
                <w:rFonts w:ascii="Arial" w:hAnsi="Arial" w:cs="Arial"/>
              </w:rPr>
            </w:pPr>
            <w:r>
              <w:rPr>
                <w:rFonts w:ascii="Arial" w:hAnsi="Arial" w:cs="Arial"/>
                <w:sz w:val="24"/>
                <w:szCs w:val="24"/>
              </w:rPr>
              <w:t>[</w:t>
            </w:r>
            <w:r w:rsidR="00F630E7">
              <w:rPr>
                <w:rFonts w:ascii="Arial" w:hAnsi="Arial" w:cs="Arial"/>
                <w:sz w:val="24"/>
                <w:szCs w:val="24"/>
              </w:rPr>
              <w:t>10</w:t>
            </w:r>
            <w:r>
              <w:rPr>
                <w:rFonts w:ascii="Arial" w:hAnsi="Arial" w:cs="Arial"/>
                <w:sz w:val="24"/>
                <w:szCs w:val="24"/>
              </w:rPr>
              <w:t>]</w:t>
            </w:r>
            <w:r w:rsidR="00F630E7">
              <w:rPr>
                <w:rFonts w:ascii="Arial" w:hAnsi="Arial" w:cs="Arial"/>
                <w:sz w:val="24"/>
                <w:szCs w:val="24"/>
              </w:rPr>
              <w:t xml:space="preserve">  </w:t>
            </w:r>
            <w:r>
              <w:rPr>
                <w:rFonts w:ascii="Arial" w:hAnsi="Arial" w:cs="Arial"/>
                <w:sz w:val="24"/>
                <w:szCs w:val="24"/>
              </w:rPr>
              <w:t>Counsel argued this point as follows :</w:t>
            </w:r>
          </w:p>
          <w:p w:rsidR="0009710D" w:rsidRDefault="0009710D" w:rsidP="0009710D">
            <w:pPr>
              <w:suppressAutoHyphens/>
              <w:spacing w:line="360" w:lineRule="auto"/>
              <w:ind w:right="74"/>
              <w:jc w:val="both"/>
              <w:rPr>
                <w:rFonts w:ascii="Arial" w:hAnsi="Arial" w:cs="Arial"/>
                <w:bCs/>
                <w:lang w:val="en-GB"/>
              </w:rPr>
            </w:pPr>
          </w:p>
          <w:p w:rsidR="00B6188A" w:rsidRPr="00B6188A" w:rsidRDefault="00B6188A" w:rsidP="0009710D">
            <w:pPr>
              <w:suppressAutoHyphens/>
              <w:spacing w:line="360" w:lineRule="auto"/>
              <w:ind w:right="74"/>
              <w:jc w:val="both"/>
              <w:rPr>
                <w:rFonts w:ascii="Arial" w:hAnsi="Arial" w:cs="Arial"/>
                <w:bCs/>
                <w:u w:val="single"/>
                <w:lang w:val="en-GB"/>
              </w:rPr>
            </w:pPr>
            <w:r w:rsidRPr="00B6188A">
              <w:rPr>
                <w:rFonts w:ascii="Arial" w:hAnsi="Arial" w:cs="Arial"/>
                <w:bCs/>
                <w:u w:val="single"/>
                <w:lang w:val="en-GB"/>
              </w:rPr>
              <w:t>For the first respondent:</w:t>
            </w:r>
          </w:p>
          <w:p w:rsidR="00B6188A" w:rsidRDefault="00B6188A" w:rsidP="0009710D">
            <w:pPr>
              <w:suppressAutoHyphens/>
              <w:spacing w:line="360" w:lineRule="auto"/>
              <w:ind w:right="74"/>
              <w:jc w:val="both"/>
              <w:rPr>
                <w:rFonts w:ascii="Arial" w:hAnsi="Arial" w:cs="Arial"/>
                <w:bCs/>
                <w:lang w:val="en-GB"/>
              </w:rPr>
            </w:pPr>
          </w:p>
          <w:p w:rsidR="00B80CED" w:rsidRPr="00F630E7" w:rsidRDefault="00684620" w:rsidP="00B80CED">
            <w:pPr>
              <w:spacing w:after="117" w:line="259" w:lineRule="auto"/>
              <w:ind w:left="-5"/>
              <w:rPr>
                <w:rFonts w:ascii="Arial" w:hAnsi="Arial" w:cs="Arial"/>
              </w:rPr>
            </w:pPr>
            <w:r w:rsidRPr="00F630E7">
              <w:rPr>
                <w:rFonts w:ascii="Arial" w:hAnsi="Arial" w:cs="Arial"/>
                <w:u w:val="single" w:color="000000"/>
              </w:rPr>
              <w:t>‘</w:t>
            </w:r>
            <w:r w:rsidR="00B80CED" w:rsidRPr="00F630E7">
              <w:rPr>
                <w:rFonts w:ascii="Arial" w:hAnsi="Arial" w:cs="Arial"/>
                <w:u w:val="single" w:color="000000"/>
              </w:rPr>
              <w:t xml:space="preserve">Point in </w:t>
            </w:r>
            <w:proofErr w:type="spellStart"/>
            <w:r w:rsidR="00B80CED" w:rsidRPr="00F630E7">
              <w:rPr>
                <w:rFonts w:ascii="Arial" w:hAnsi="Arial" w:cs="Arial"/>
                <w:u w:val="single" w:color="000000"/>
              </w:rPr>
              <w:t>limine</w:t>
            </w:r>
            <w:proofErr w:type="spellEnd"/>
            <w:r w:rsidR="00B80CED" w:rsidRPr="00F630E7">
              <w:rPr>
                <w:rFonts w:ascii="Arial" w:hAnsi="Arial" w:cs="Arial"/>
              </w:rPr>
              <w:t xml:space="preserve"> </w:t>
            </w:r>
          </w:p>
          <w:p w:rsidR="00B80CED" w:rsidRPr="00F630E7" w:rsidRDefault="00B80CED" w:rsidP="00B80CED">
            <w:pPr>
              <w:spacing w:after="115" w:line="259" w:lineRule="auto"/>
              <w:rPr>
                <w:rFonts w:ascii="Arial" w:hAnsi="Arial" w:cs="Arial"/>
              </w:rPr>
            </w:pPr>
            <w:r w:rsidRPr="00F630E7">
              <w:rPr>
                <w:rFonts w:ascii="Arial" w:hAnsi="Arial" w:cs="Arial"/>
              </w:rPr>
              <w:t xml:space="preserve">  </w:t>
            </w:r>
          </w:p>
          <w:p w:rsidR="00B80CED" w:rsidRPr="00F630E7" w:rsidRDefault="00B80CED" w:rsidP="00F630E7">
            <w:pPr>
              <w:pStyle w:val="Heading2"/>
              <w:ind w:left="0" w:firstLine="0"/>
              <w:outlineLvl w:val="1"/>
              <w:rPr>
                <w:sz w:val="22"/>
              </w:rPr>
            </w:pPr>
            <w:r w:rsidRPr="00F630E7">
              <w:rPr>
                <w:sz w:val="22"/>
              </w:rPr>
              <w:t>The applicant non -compliance with rule 32</w:t>
            </w:r>
            <w:proofErr w:type="gramStart"/>
            <w:r w:rsidRPr="00F630E7">
              <w:rPr>
                <w:sz w:val="22"/>
              </w:rPr>
              <w:t>( 9</w:t>
            </w:r>
            <w:proofErr w:type="gramEnd"/>
            <w:r w:rsidRPr="00F630E7">
              <w:rPr>
                <w:sz w:val="22"/>
              </w:rPr>
              <w:t>) &amp; (10)</w:t>
            </w:r>
            <w:r w:rsidRPr="00F630E7">
              <w:rPr>
                <w:sz w:val="22"/>
                <w:u w:val="none"/>
              </w:rPr>
              <w:t xml:space="preserve">  </w:t>
            </w:r>
          </w:p>
          <w:p w:rsidR="00B80CED" w:rsidRPr="00F630E7" w:rsidRDefault="00B80CED" w:rsidP="00B80CED">
            <w:pPr>
              <w:spacing w:line="259" w:lineRule="auto"/>
              <w:rPr>
                <w:rFonts w:ascii="Arial" w:hAnsi="Arial" w:cs="Arial"/>
              </w:rPr>
            </w:pPr>
            <w:r w:rsidRPr="00F630E7">
              <w:rPr>
                <w:rFonts w:ascii="Arial" w:hAnsi="Arial" w:cs="Arial"/>
              </w:rPr>
              <w:t xml:space="preserve"> </w:t>
            </w:r>
          </w:p>
          <w:p w:rsidR="00B80CED" w:rsidRPr="00F630E7" w:rsidRDefault="00F630E7" w:rsidP="00F630E7">
            <w:pPr>
              <w:spacing w:after="4" w:line="360" w:lineRule="auto"/>
              <w:jc w:val="both"/>
              <w:rPr>
                <w:rFonts w:ascii="Arial" w:hAnsi="Arial" w:cs="Arial"/>
              </w:rPr>
            </w:pPr>
            <w:r>
              <w:rPr>
                <w:rFonts w:ascii="Arial" w:hAnsi="Arial" w:cs="Arial"/>
              </w:rPr>
              <w:t xml:space="preserve">7.  </w:t>
            </w:r>
            <w:r w:rsidR="00B80CED" w:rsidRPr="00F630E7">
              <w:rPr>
                <w:rFonts w:ascii="Arial" w:hAnsi="Arial" w:cs="Arial"/>
              </w:rPr>
              <w:t xml:space="preserve">The first respondent submit that the applicant has failed to comply with rule 32 (9) and (10) and on such failure alone the application must be dismissed with costs. </w:t>
            </w:r>
          </w:p>
          <w:p w:rsidR="00B80CED" w:rsidRPr="00F630E7" w:rsidRDefault="00B80CED" w:rsidP="00B80CED">
            <w:pPr>
              <w:spacing w:after="117" w:line="259" w:lineRule="auto"/>
              <w:ind w:left="720"/>
              <w:rPr>
                <w:rFonts w:ascii="Arial" w:hAnsi="Arial" w:cs="Arial"/>
              </w:rPr>
            </w:pPr>
            <w:r w:rsidRPr="00F630E7">
              <w:rPr>
                <w:rFonts w:ascii="Arial" w:hAnsi="Arial" w:cs="Arial"/>
              </w:rPr>
              <w:lastRenderedPageBreak/>
              <w:t xml:space="preserve"> </w:t>
            </w:r>
          </w:p>
          <w:p w:rsidR="00B80CED" w:rsidRPr="00F630E7" w:rsidRDefault="00F630E7" w:rsidP="00F630E7">
            <w:pPr>
              <w:spacing w:after="4" w:line="360" w:lineRule="auto"/>
              <w:ind w:left="20"/>
              <w:jc w:val="both"/>
              <w:rPr>
                <w:rFonts w:ascii="Arial" w:hAnsi="Arial" w:cs="Arial"/>
              </w:rPr>
            </w:pPr>
            <w:r>
              <w:rPr>
                <w:rFonts w:ascii="Arial" w:hAnsi="Arial" w:cs="Arial"/>
              </w:rPr>
              <w:t xml:space="preserve">8.  </w:t>
            </w:r>
            <w:r w:rsidR="00B80CED" w:rsidRPr="00F630E7">
              <w:rPr>
                <w:rFonts w:ascii="Arial" w:hAnsi="Arial" w:cs="Arial"/>
              </w:rPr>
              <w:t>The applicant in its papers contend that it was not required to comply with rule 32 (9) &amp; (10) of the rules of Court in that the court directed it to file its application in terms of a court order. The applicant’s contention is wrong. The court order merely grants the applicant an opportunity to file its application, such an application ought to be brought in full compliance of the rules of Court. The order does not explicitly nor impliedly exempt the applicant from complying with the rules of court in instituting its application to compel discovery. The application to compel is an interlocutory application and the applicant must comply with Rule 32 (9) &amp; (10). Failure to comply with this rule is fatal to the applicant’s application.</w:t>
            </w:r>
            <w:r w:rsidR="00B80CED" w:rsidRPr="00F630E7">
              <w:rPr>
                <w:rFonts w:ascii="Arial" w:hAnsi="Arial" w:cs="Arial"/>
                <w:vertAlign w:val="superscript"/>
              </w:rPr>
              <w:footnoteReference w:id="3"/>
            </w:r>
            <w:r w:rsidR="00B80CED" w:rsidRPr="00F630E7">
              <w:rPr>
                <w:rFonts w:ascii="Arial" w:hAnsi="Arial" w:cs="Arial"/>
              </w:rPr>
              <w:t xml:space="preserve"> </w:t>
            </w:r>
          </w:p>
          <w:p w:rsidR="00B80CED" w:rsidRDefault="00B80CED" w:rsidP="00684620">
            <w:pPr>
              <w:spacing w:after="144" w:line="259" w:lineRule="auto"/>
            </w:pPr>
            <w:r>
              <w:t xml:space="preserve"> </w:t>
            </w:r>
          </w:p>
          <w:p w:rsidR="004F38B9" w:rsidRPr="004F38B9" w:rsidRDefault="004F38B9" w:rsidP="00684620">
            <w:pPr>
              <w:spacing w:after="144" w:line="259" w:lineRule="auto"/>
              <w:rPr>
                <w:rFonts w:ascii="Arial" w:hAnsi="Arial" w:cs="Arial"/>
                <w:u w:val="single"/>
              </w:rPr>
            </w:pPr>
            <w:r w:rsidRPr="004F38B9">
              <w:rPr>
                <w:rFonts w:ascii="Arial" w:hAnsi="Arial" w:cs="Arial"/>
                <w:u w:val="single"/>
              </w:rPr>
              <w:t>For the applicant</w:t>
            </w:r>
          </w:p>
          <w:p w:rsidR="00684620" w:rsidRDefault="00684620" w:rsidP="00B80CED">
            <w:pPr>
              <w:spacing w:after="122" w:line="259" w:lineRule="auto"/>
              <w:rPr>
                <w:rFonts w:ascii="Arial" w:eastAsia="Arial" w:hAnsi="Arial" w:cs="Arial"/>
                <w:color w:val="FF0000"/>
                <w:u w:val="single" w:color="000000"/>
                <w:lang w:val="en-US"/>
              </w:rPr>
            </w:pPr>
          </w:p>
          <w:p w:rsidR="004F38B9" w:rsidRPr="00B25204" w:rsidRDefault="004F38B9" w:rsidP="00B25204">
            <w:pPr>
              <w:pStyle w:val="Default"/>
              <w:spacing w:line="360" w:lineRule="auto"/>
              <w:jc w:val="both"/>
              <w:rPr>
                <w:b/>
                <w:bCs/>
                <w:sz w:val="22"/>
                <w:szCs w:val="22"/>
                <w:u w:val="single"/>
              </w:rPr>
            </w:pPr>
            <w:r w:rsidRPr="00B25204">
              <w:rPr>
                <w:b/>
                <w:bCs/>
                <w:sz w:val="22"/>
                <w:szCs w:val="22"/>
              </w:rPr>
              <w:t xml:space="preserve">            </w:t>
            </w:r>
            <w:r w:rsidRPr="00B25204">
              <w:rPr>
                <w:b/>
                <w:bCs/>
                <w:sz w:val="22"/>
                <w:szCs w:val="22"/>
                <w:u w:val="single"/>
              </w:rPr>
              <w:t>‘APPLICANT NOT REQUIRED TO COMPLY WITH RULE 32 (9) AND (10)</w:t>
            </w:r>
          </w:p>
          <w:p w:rsidR="004F38B9" w:rsidRPr="00B25204" w:rsidRDefault="004F38B9" w:rsidP="00B25204">
            <w:pPr>
              <w:pStyle w:val="Default"/>
              <w:spacing w:line="360" w:lineRule="auto"/>
              <w:jc w:val="both"/>
              <w:rPr>
                <w:bCs/>
                <w:sz w:val="22"/>
                <w:szCs w:val="22"/>
              </w:rPr>
            </w:pPr>
          </w:p>
          <w:p w:rsidR="004F38B9" w:rsidRPr="00B25204" w:rsidRDefault="00796984" w:rsidP="00B25204">
            <w:pPr>
              <w:pStyle w:val="Default"/>
              <w:spacing w:line="360" w:lineRule="auto"/>
              <w:ind w:left="20"/>
              <w:jc w:val="both"/>
              <w:rPr>
                <w:bCs/>
                <w:sz w:val="22"/>
                <w:szCs w:val="22"/>
              </w:rPr>
            </w:pPr>
            <w:r>
              <w:rPr>
                <w:bCs/>
                <w:sz w:val="22"/>
                <w:szCs w:val="22"/>
              </w:rPr>
              <w:t>6</w:t>
            </w:r>
            <w:r w:rsidR="007E24ED" w:rsidRPr="00B25204">
              <w:rPr>
                <w:bCs/>
                <w:sz w:val="22"/>
                <w:szCs w:val="22"/>
              </w:rPr>
              <w:t xml:space="preserve">.  </w:t>
            </w:r>
            <w:r w:rsidR="004F38B9" w:rsidRPr="00B25204">
              <w:rPr>
                <w:bCs/>
                <w:sz w:val="22"/>
                <w:szCs w:val="22"/>
              </w:rPr>
              <w:t>The First Respondent in his answering affidavit for the Rule 76 (6) application states that the Applicant failed to comply with Rule 32 (9) and (10) of the rules of the High Court. Rule 32 (9) and (10) reads as follows:</w:t>
            </w:r>
          </w:p>
          <w:p w:rsidR="004F38B9" w:rsidRPr="00B25204" w:rsidRDefault="004F38B9" w:rsidP="00B25204">
            <w:pPr>
              <w:pStyle w:val="Default"/>
              <w:spacing w:line="360" w:lineRule="auto"/>
              <w:ind w:left="720"/>
              <w:jc w:val="both"/>
              <w:rPr>
                <w:bCs/>
                <w:sz w:val="22"/>
                <w:szCs w:val="22"/>
              </w:rPr>
            </w:pPr>
          </w:p>
          <w:p w:rsidR="004F38B9" w:rsidRPr="00B25204" w:rsidRDefault="004F38B9" w:rsidP="00B25204">
            <w:pPr>
              <w:pStyle w:val="Default"/>
              <w:spacing w:line="360" w:lineRule="auto"/>
              <w:ind w:left="446"/>
              <w:jc w:val="both"/>
              <w:rPr>
                <w:i/>
                <w:iCs/>
                <w:sz w:val="22"/>
                <w:szCs w:val="22"/>
              </w:rPr>
            </w:pPr>
            <w:r w:rsidRPr="00B25204">
              <w:rPr>
                <w:i/>
                <w:iCs/>
                <w:sz w:val="22"/>
                <w:szCs w:val="22"/>
              </w:rPr>
              <w:t xml:space="preserve">‘(9) In relation to any proceeding referred to in this rule, a party wishing to bring such proceeding must, before launching it, seek an amicable resolution thereof with the other party or parties and only after the parties have failed to resolve their dispute may such proceeding be delivered for adjudication by the court. </w:t>
            </w:r>
          </w:p>
          <w:p w:rsidR="00B25204" w:rsidRPr="00B25204" w:rsidRDefault="00B25204" w:rsidP="00B25204">
            <w:pPr>
              <w:pStyle w:val="Default"/>
              <w:spacing w:line="360" w:lineRule="auto"/>
              <w:ind w:left="446"/>
              <w:jc w:val="both"/>
              <w:rPr>
                <w:sz w:val="22"/>
                <w:szCs w:val="22"/>
              </w:rPr>
            </w:pPr>
          </w:p>
          <w:p w:rsidR="004F38B9" w:rsidRPr="00B25204" w:rsidRDefault="004F38B9" w:rsidP="00B25204">
            <w:pPr>
              <w:spacing w:line="360" w:lineRule="auto"/>
              <w:ind w:left="446"/>
              <w:jc w:val="both"/>
              <w:rPr>
                <w:rFonts w:ascii="Arial" w:hAnsi="Arial" w:cs="Arial"/>
                <w:i/>
                <w:iCs/>
              </w:rPr>
            </w:pPr>
            <w:r w:rsidRPr="00B25204">
              <w:rPr>
                <w:rFonts w:ascii="Arial" w:hAnsi="Arial" w:cs="Arial"/>
                <w:i/>
                <w:iCs/>
              </w:rPr>
              <w:t xml:space="preserve">(10) The party bringing any proceeding contemplated in this rule must before, instituting the proceeding, file with the registrar details of the steps taken to have the matter amicably resolved as contemplated in </w:t>
            </w:r>
            <w:proofErr w:type="spellStart"/>
            <w:r w:rsidRPr="00B25204">
              <w:rPr>
                <w:rFonts w:ascii="Arial" w:hAnsi="Arial" w:cs="Arial"/>
                <w:i/>
                <w:iCs/>
              </w:rPr>
              <w:t>subrule</w:t>
            </w:r>
            <w:proofErr w:type="spellEnd"/>
            <w:r w:rsidRPr="00B25204">
              <w:rPr>
                <w:rFonts w:ascii="Arial" w:hAnsi="Arial" w:cs="Arial"/>
                <w:i/>
                <w:iCs/>
              </w:rPr>
              <w:t xml:space="preserve"> (9) without disclosing privileged information.’</w:t>
            </w:r>
          </w:p>
          <w:p w:rsidR="004F38B9" w:rsidRPr="00B25204" w:rsidRDefault="004F38B9" w:rsidP="00B25204">
            <w:pPr>
              <w:spacing w:line="360" w:lineRule="auto"/>
              <w:ind w:left="720"/>
              <w:jc w:val="both"/>
              <w:rPr>
                <w:rFonts w:ascii="Arial" w:hAnsi="Arial" w:cs="Arial"/>
              </w:rPr>
            </w:pPr>
          </w:p>
          <w:p w:rsidR="004F38B9" w:rsidRDefault="00796984" w:rsidP="00796984">
            <w:pPr>
              <w:pStyle w:val="ListParagraph"/>
              <w:widowControl w:val="0"/>
              <w:autoSpaceDE w:val="0"/>
              <w:autoSpaceDN w:val="0"/>
              <w:adjustRightInd w:val="0"/>
              <w:spacing w:line="360" w:lineRule="auto"/>
              <w:ind w:left="20"/>
              <w:jc w:val="both"/>
              <w:rPr>
                <w:rFonts w:ascii="Arial" w:hAnsi="Arial" w:cs="Arial"/>
                <w:i/>
                <w:iCs/>
                <w:color w:val="000000"/>
              </w:rPr>
            </w:pPr>
            <w:r>
              <w:rPr>
                <w:rFonts w:ascii="Arial" w:hAnsi="Arial" w:cs="Arial"/>
                <w:color w:val="000000"/>
              </w:rPr>
              <w:t xml:space="preserve">7.  </w:t>
            </w:r>
            <w:r w:rsidR="004F38B9" w:rsidRPr="00796984">
              <w:rPr>
                <w:rFonts w:ascii="Arial" w:hAnsi="Arial" w:cs="Arial"/>
                <w:color w:val="000000"/>
              </w:rPr>
              <w:t xml:space="preserve">The purpose of rule 32(9) and (10) was clearly enunciated by </w:t>
            </w:r>
            <w:proofErr w:type="spellStart"/>
            <w:r w:rsidR="004F38B9" w:rsidRPr="00796984">
              <w:rPr>
                <w:rFonts w:ascii="Arial" w:hAnsi="Arial" w:cs="Arial"/>
                <w:color w:val="000000"/>
              </w:rPr>
              <w:t>Masuku</w:t>
            </w:r>
            <w:proofErr w:type="spellEnd"/>
            <w:r w:rsidR="004F38B9" w:rsidRPr="00796984">
              <w:rPr>
                <w:rFonts w:ascii="Arial" w:hAnsi="Arial" w:cs="Arial"/>
                <w:color w:val="000000"/>
              </w:rPr>
              <w:t xml:space="preserve"> J in the matter of </w:t>
            </w:r>
            <w:r w:rsidR="004F38B9" w:rsidRPr="00796984">
              <w:rPr>
                <w:rFonts w:ascii="Arial" w:hAnsi="Arial" w:cs="Arial"/>
                <w:i/>
                <w:iCs/>
                <w:color w:val="000000"/>
              </w:rPr>
              <w:t xml:space="preserve">Bank Windhoek Limited v </w:t>
            </w:r>
            <w:proofErr w:type="spellStart"/>
            <w:r w:rsidR="004F38B9" w:rsidRPr="00796984">
              <w:rPr>
                <w:rFonts w:ascii="Arial" w:hAnsi="Arial" w:cs="Arial"/>
                <w:i/>
                <w:iCs/>
                <w:color w:val="000000"/>
              </w:rPr>
              <w:t>Benlin</w:t>
            </w:r>
            <w:proofErr w:type="spellEnd"/>
            <w:r w:rsidR="004F38B9" w:rsidRPr="00796984">
              <w:rPr>
                <w:rFonts w:ascii="Arial" w:hAnsi="Arial" w:cs="Arial"/>
                <w:i/>
                <w:iCs/>
                <w:color w:val="000000"/>
              </w:rPr>
              <w:t xml:space="preserve"> Investment CC</w:t>
            </w:r>
            <w:r w:rsidR="004F38B9" w:rsidRPr="00B25204">
              <w:rPr>
                <w:rStyle w:val="FootnoteReference"/>
                <w:rFonts w:ascii="Arial" w:hAnsi="Arial" w:cs="Arial"/>
                <w:i/>
                <w:iCs/>
                <w:color w:val="000000"/>
              </w:rPr>
              <w:footnoteReference w:id="4"/>
            </w:r>
            <w:r w:rsidR="004F38B9" w:rsidRPr="00796984">
              <w:rPr>
                <w:rFonts w:ascii="Arial" w:hAnsi="Arial" w:cs="Arial"/>
                <w:i/>
                <w:iCs/>
                <w:color w:val="000000"/>
              </w:rPr>
              <w:t xml:space="preserve"> </w:t>
            </w:r>
            <w:r w:rsidR="004F38B9" w:rsidRPr="00796984">
              <w:rPr>
                <w:rFonts w:ascii="Arial" w:hAnsi="Arial" w:cs="Arial"/>
              </w:rPr>
              <w:t xml:space="preserve">, </w:t>
            </w:r>
            <w:r w:rsidR="004F38B9" w:rsidRPr="00796984">
              <w:rPr>
                <w:rFonts w:ascii="Arial" w:hAnsi="Arial" w:cs="Arial"/>
                <w:color w:val="000000"/>
              </w:rPr>
              <w:t>wherein he said as follows</w:t>
            </w:r>
            <w:r w:rsidR="004F38B9" w:rsidRPr="00796984">
              <w:rPr>
                <w:rFonts w:ascii="Arial" w:hAnsi="Arial" w:cs="Arial"/>
                <w:i/>
                <w:iCs/>
                <w:color w:val="000000"/>
              </w:rPr>
              <w:t xml:space="preserve">: </w:t>
            </w:r>
          </w:p>
          <w:p w:rsidR="00796984" w:rsidRPr="00796984" w:rsidRDefault="00796984" w:rsidP="00796984">
            <w:pPr>
              <w:pStyle w:val="ListParagraph"/>
              <w:widowControl w:val="0"/>
              <w:autoSpaceDE w:val="0"/>
              <w:autoSpaceDN w:val="0"/>
              <w:adjustRightInd w:val="0"/>
              <w:spacing w:line="360" w:lineRule="auto"/>
              <w:ind w:left="20"/>
              <w:jc w:val="both"/>
              <w:rPr>
                <w:rFonts w:ascii="Arial" w:hAnsi="Arial" w:cs="Arial"/>
                <w:i/>
                <w:iCs/>
                <w:color w:val="000000"/>
              </w:rPr>
            </w:pPr>
          </w:p>
          <w:p w:rsidR="00796984" w:rsidRDefault="004F38B9" w:rsidP="00796984">
            <w:pPr>
              <w:autoSpaceDE w:val="0"/>
              <w:autoSpaceDN w:val="0"/>
              <w:adjustRightInd w:val="0"/>
              <w:spacing w:line="360" w:lineRule="auto"/>
              <w:ind w:left="446"/>
              <w:jc w:val="both"/>
              <w:rPr>
                <w:rFonts w:ascii="Arial" w:hAnsi="Arial" w:cs="Arial"/>
                <w:i/>
                <w:color w:val="000000"/>
              </w:rPr>
            </w:pPr>
            <w:r w:rsidRPr="00B25204">
              <w:rPr>
                <w:rFonts w:ascii="Arial" w:hAnsi="Arial" w:cs="Arial"/>
                <w:i/>
                <w:color w:val="000000"/>
              </w:rPr>
              <w:lastRenderedPageBreak/>
              <w:t xml:space="preserve">“[17] It must be mentioned and pertinently so, that rule 32 (9) and (10) are not merely incidental rules. They actually go to the core of the edifice that should keep judicial case management standing tall and strong. The two </w:t>
            </w:r>
            <w:proofErr w:type="spellStart"/>
            <w:r w:rsidRPr="00B25204">
              <w:rPr>
                <w:rFonts w:ascii="Arial" w:hAnsi="Arial" w:cs="Arial"/>
                <w:i/>
                <w:color w:val="000000"/>
              </w:rPr>
              <w:t>subrules</w:t>
            </w:r>
            <w:proofErr w:type="spellEnd"/>
            <w:r w:rsidRPr="00B25204">
              <w:rPr>
                <w:rFonts w:ascii="Arial" w:hAnsi="Arial" w:cs="Arial"/>
                <w:i/>
                <w:color w:val="000000"/>
              </w:rPr>
              <w:t xml:space="preserve"> fully resonate with and give live expression to the overriding and core values of judicial case management as found in rule 1 (3) and stated in the following terms:</w:t>
            </w:r>
          </w:p>
          <w:p w:rsidR="004F38B9" w:rsidRPr="00B25204" w:rsidRDefault="004F38B9" w:rsidP="00796984">
            <w:pPr>
              <w:autoSpaceDE w:val="0"/>
              <w:autoSpaceDN w:val="0"/>
              <w:adjustRightInd w:val="0"/>
              <w:spacing w:line="360" w:lineRule="auto"/>
              <w:ind w:left="446" w:firstLine="425"/>
              <w:jc w:val="both"/>
              <w:rPr>
                <w:rFonts w:ascii="Arial" w:hAnsi="Arial" w:cs="Arial"/>
                <w:i/>
                <w:color w:val="000000"/>
              </w:rPr>
            </w:pPr>
            <w:r w:rsidRPr="00B25204">
              <w:rPr>
                <w:rFonts w:ascii="Arial" w:hAnsi="Arial" w:cs="Arial"/>
                <w:i/>
                <w:color w:val="000000"/>
              </w:rPr>
              <w:t xml:space="preserve"> </w:t>
            </w:r>
          </w:p>
          <w:p w:rsidR="004F38B9" w:rsidRPr="00B25204" w:rsidRDefault="004F38B9" w:rsidP="00796984">
            <w:pPr>
              <w:autoSpaceDE w:val="0"/>
              <w:autoSpaceDN w:val="0"/>
              <w:adjustRightInd w:val="0"/>
              <w:spacing w:line="360" w:lineRule="auto"/>
              <w:ind w:left="871"/>
              <w:jc w:val="both"/>
              <w:rPr>
                <w:rFonts w:ascii="Arial" w:hAnsi="Arial" w:cs="Arial"/>
                <w:i/>
                <w:color w:val="000000"/>
              </w:rPr>
            </w:pPr>
            <w:r w:rsidRPr="00B25204">
              <w:rPr>
                <w:rFonts w:ascii="Arial" w:hAnsi="Arial" w:cs="Arial"/>
                <w:i/>
                <w:color w:val="000000"/>
              </w:rPr>
              <w:t xml:space="preserve">“The overriding objective of these rules is to facilitate the resolution of the real issues in dispute justly and speedily, efficiently and cost effectively as far as practicable by – </w:t>
            </w:r>
          </w:p>
          <w:p w:rsidR="004F38B9" w:rsidRPr="00B25204" w:rsidRDefault="004F38B9" w:rsidP="00796984">
            <w:pPr>
              <w:autoSpaceDE w:val="0"/>
              <w:autoSpaceDN w:val="0"/>
              <w:adjustRightInd w:val="0"/>
              <w:spacing w:line="360" w:lineRule="auto"/>
              <w:ind w:left="1440" w:hanging="569"/>
              <w:jc w:val="both"/>
              <w:rPr>
                <w:rFonts w:ascii="Arial" w:hAnsi="Arial" w:cs="Arial"/>
                <w:i/>
                <w:color w:val="000000"/>
              </w:rPr>
            </w:pPr>
            <w:r w:rsidRPr="00B25204">
              <w:rPr>
                <w:rFonts w:ascii="Arial" w:hAnsi="Arial" w:cs="Arial"/>
                <w:i/>
                <w:color w:val="000000"/>
              </w:rPr>
              <w:t xml:space="preserve">. . . </w:t>
            </w:r>
          </w:p>
          <w:p w:rsidR="004F38B9" w:rsidRPr="00B25204" w:rsidRDefault="004F38B9" w:rsidP="00796984">
            <w:pPr>
              <w:autoSpaceDE w:val="0"/>
              <w:autoSpaceDN w:val="0"/>
              <w:adjustRightInd w:val="0"/>
              <w:spacing w:line="360" w:lineRule="auto"/>
              <w:ind w:left="871"/>
              <w:jc w:val="both"/>
              <w:rPr>
                <w:rFonts w:ascii="Arial" w:hAnsi="Arial" w:cs="Arial"/>
                <w:i/>
                <w:color w:val="000000"/>
              </w:rPr>
            </w:pPr>
            <w:r w:rsidRPr="00B25204">
              <w:rPr>
                <w:rFonts w:ascii="Arial" w:hAnsi="Arial" w:cs="Arial"/>
                <w:i/>
                <w:color w:val="000000"/>
              </w:rPr>
              <w:t xml:space="preserve">(b) saving costs by, among others, limiting interlocutory proceedings to what is strictly necessary in order to achieve a fair and timely disposal of a cause or matter; </w:t>
            </w:r>
          </w:p>
          <w:p w:rsidR="004F38B9" w:rsidRPr="00B25204" w:rsidRDefault="004F38B9" w:rsidP="00796984">
            <w:pPr>
              <w:pStyle w:val="Default"/>
              <w:spacing w:line="360" w:lineRule="auto"/>
              <w:ind w:left="1440" w:hanging="569"/>
              <w:jc w:val="both"/>
              <w:rPr>
                <w:b/>
                <w:bCs/>
                <w:i/>
                <w:sz w:val="22"/>
                <w:szCs w:val="22"/>
              </w:rPr>
            </w:pPr>
            <w:r w:rsidRPr="00B25204">
              <w:rPr>
                <w:i/>
                <w:sz w:val="22"/>
                <w:szCs w:val="22"/>
              </w:rPr>
              <w:t>. . .</w:t>
            </w:r>
          </w:p>
          <w:p w:rsidR="004F38B9" w:rsidRPr="00B25204" w:rsidRDefault="004F38B9" w:rsidP="00796984">
            <w:pPr>
              <w:pStyle w:val="Default"/>
              <w:spacing w:line="360" w:lineRule="auto"/>
              <w:ind w:left="1440"/>
              <w:jc w:val="both"/>
              <w:rPr>
                <w:b/>
                <w:bCs/>
                <w:i/>
                <w:sz w:val="22"/>
                <w:szCs w:val="22"/>
              </w:rPr>
            </w:pPr>
          </w:p>
          <w:p w:rsidR="004F38B9" w:rsidRPr="00B25204" w:rsidRDefault="004F38B9" w:rsidP="00796984">
            <w:pPr>
              <w:pStyle w:val="Default"/>
              <w:spacing w:line="360" w:lineRule="auto"/>
              <w:ind w:left="871"/>
              <w:jc w:val="both"/>
              <w:rPr>
                <w:i/>
                <w:sz w:val="22"/>
                <w:szCs w:val="22"/>
              </w:rPr>
            </w:pPr>
            <w:r w:rsidRPr="00B25204">
              <w:rPr>
                <w:i/>
                <w:sz w:val="22"/>
                <w:szCs w:val="22"/>
              </w:rPr>
              <w:t xml:space="preserve">(f) </w:t>
            </w:r>
            <w:proofErr w:type="gramStart"/>
            <w:r w:rsidRPr="00B25204">
              <w:rPr>
                <w:i/>
                <w:sz w:val="22"/>
                <w:szCs w:val="22"/>
              </w:rPr>
              <w:t>considering</w:t>
            </w:r>
            <w:proofErr w:type="gramEnd"/>
            <w:r w:rsidRPr="00B25204">
              <w:rPr>
                <w:i/>
                <w:sz w:val="22"/>
                <w:szCs w:val="22"/>
              </w:rPr>
              <w:t xml:space="preserve"> the public interest in limiting issues in dispute and in the early settlement of disputes by agreement between the parties in dispute.” (Emphasis added).’</w:t>
            </w:r>
          </w:p>
          <w:p w:rsidR="004F38B9" w:rsidRPr="00B25204" w:rsidRDefault="004F38B9" w:rsidP="00796984">
            <w:pPr>
              <w:pStyle w:val="Default"/>
              <w:spacing w:line="360" w:lineRule="auto"/>
              <w:ind w:left="720"/>
              <w:jc w:val="both"/>
              <w:rPr>
                <w:b/>
                <w:bCs/>
                <w:i/>
                <w:sz w:val="22"/>
                <w:szCs w:val="22"/>
              </w:rPr>
            </w:pPr>
          </w:p>
          <w:p w:rsidR="004F38B9" w:rsidRPr="00B25204" w:rsidRDefault="00796984" w:rsidP="00796984">
            <w:pPr>
              <w:pStyle w:val="Default"/>
              <w:spacing w:line="360" w:lineRule="auto"/>
              <w:jc w:val="both"/>
              <w:rPr>
                <w:bCs/>
                <w:sz w:val="22"/>
                <w:szCs w:val="22"/>
              </w:rPr>
            </w:pPr>
            <w:r>
              <w:rPr>
                <w:bCs/>
                <w:sz w:val="22"/>
                <w:szCs w:val="22"/>
              </w:rPr>
              <w:t xml:space="preserve">8.    </w:t>
            </w:r>
            <w:r w:rsidR="004F38B9" w:rsidRPr="00B25204">
              <w:rPr>
                <w:bCs/>
                <w:sz w:val="22"/>
                <w:szCs w:val="22"/>
              </w:rPr>
              <w:t>The Applicant submits that it was not required to comply with rule 32(9) and (10) for the following reasons:</w:t>
            </w:r>
          </w:p>
          <w:p w:rsidR="00796984" w:rsidRDefault="004F38B9" w:rsidP="00796984">
            <w:pPr>
              <w:pStyle w:val="Default"/>
              <w:spacing w:line="360" w:lineRule="auto"/>
              <w:ind w:left="446"/>
              <w:jc w:val="both"/>
              <w:rPr>
                <w:bCs/>
                <w:sz w:val="22"/>
                <w:szCs w:val="22"/>
              </w:rPr>
            </w:pPr>
            <w:r w:rsidRPr="00B25204">
              <w:rPr>
                <w:bCs/>
                <w:sz w:val="22"/>
                <w:szCs w:val="22"/>
              </w:rPr>
              <w:t>8.1</w:t>
            </w:r>
            <w:r w:rsidR="00796984">
              <w:rPr>
                <w:bCs/>
                <w:sz w:val="22"/>
                <w:szCs w:val="22"/>
              </w:rPr>
              <w:t xml:space="preserve">   </w:t>
            </w:r>
            <w:r w:rsidRPr="00B25204">
              <w:rPr>
                <w:bCs/>
                <w:sz w:val="22"/>
                <w:szCs w:val="22"/>
              </w:rPr>
              <w:t>Rule 76 (8) already has a dispute mechanism in place where parties to a dispute can approach the honourable judge for directives so as to solve the dispute.</w:t>
            </w:r>
          </w:p>
          <w:p w:rsidR="004F38B9" w:rsidRPr="00B25204" w:rsidRDefault="004F38B9" w:rsidP="00796984">
            <w:pPr>
              <w:pStyle w:val="Default"/>
              <w:spacing w:line="360" w:lineRule="auto"/>
              <w:ind w:left="446"/>
              <w:jc w:val="both"/>
              <w:rPr>
                <w:bCs/>
                <w:sz w:val="22"/>
                <w:szCs w:val="22"/>
              </w:rPr>
            </w:pPr>
            <w:r w:rsidRPr="00B25204">
              <w:rPr>
                <w:bCs/>
                <w:sz w:val="22"/>
                <w:szCs w:val="22"/>
              </w:rPr>
              <w:t xml:space="preserve"> </w:t>
            </w:r>
          </w:p>
          <w:p w:rsidR="004F38B9" w:rsidRDefault="004F38B9" w:rsidP="00796984">
            <w:pPr>
              <w:pStyle w:val="Default"/>
              <w:spacing w:line="360" w:lineRule="auto"/>
              <w:ind w:left="446"/>
              <w:jc w:val="both"/>
              <w:rPr>
                <w:bCs/>
                <w:sz w:val="22"/>
                <w:szCs w:val="22"/>
              </w:rPr>
            </w:pPr>
            <w:r w:rsidRPr="00B25204">
              <w:rPr>
                <w:bCs/>
                <w:sz w:val="22"/>
                <w:szCs w:val="22"/>
              </w:rPr>
              <w:t>8.2</w:t>
            </w:r>
            <w:r w:rsidR="00796984">
              <w:rPr>
                <w:bCs/>
                <w:sz w:val="22"/>
                <w:szCs w:val="22"/>
              </w:rPr>
              <w:t xml:space="preserve">   </w:t>
            </w:r>
            <w:r w:rsidRPr="00B25204">
              <w:rPr>
                <w:bCs/>
                <w:sz w:val="22"/>
                <w:szCs w:val="22"/>
              </w:rPr>
              <w:t>Rule 32 (9) and (10) also seeks to facilitate the resolution of issues in disputes justly and speedily, however due to the nature of the present application parties approached the managing judge in chambers as per rule 76 (6).</w:t>
            </w:r>
          </w:p>
          <w:p w:rsidR="00796984" w:rsidRPr="00B25204" w:rsidRDefault="00796984" w:rsidP="00796984">
            <w:pPr>
              <w:pStyle w:val="Default"/>
              <w:spacing w:line="360" w:lineRule="auto"/>
              <w:ind w:left="446"/>
              <w:jc w:val="both"/>
              <w:rPr>
                <w:bCs/>
                <w:sz w:val="22"/>
                <w:szCs w:val="22"/>
              </w:rPr>
            </w:pPr>
          </w:p>
          <w:p w:rsidR="004F38B9" w:rsidRPr="00B25204" w:rsidRDefault="004F38B9" w:rsidP="00796984">
            <w:pPr>
              <w:pStyle w:val="Default"/>
              <w:spacing w:line="360" w:lineRule="auto"/>
              <w:ind w:left="446"/>
              <w:jc w:val="both"/>
              <w:rPr>
                <w:bCs/>
                <w:sz w:val="22"/>
                <w:szCs w:val="22"/>
              </w:rPr>
            </w:pPr>
            <w:r w:rsidRPr="00B25204">
              <w:rPr>
                <w:bCs/>
                <w:sz w:val="22"/>
                <w:szCs w:val="22"/>
              </w:rPr>
              <w:t>8.3</w:t>
            </w:r>
            <w:r w:rsidR="00796984">
              <w:rPr>
                <w:bCs/>
                <w:sz w:val="22"/>
                <w:szCs w:val="22"/>
              </w:rPr>
              <w:t xml:space="preserve">   </w:t>
            </w:r>
            <w:r w:rsidRPr="00B25204">
              <w:rPr>
                <w:bCs/>
                <w:sz w:val="22"/>
                <w:szCs w:val="22"/>
              </w:rPr>
              <w:t xml:space="preserve">Applicant further submits that as per the interpretation of the court order, of which court order is authoritative in nature, the court order directs the applicant to file its application in terms of rule 76(6), as such and by virtue of the direction provided by the honourable court we submit that rule 32(9) and (10) is of no application. </w:t>
            </w:r>
          </w:p>
          <w:p w:rsidR="004F38B9" w:rsidRPr="00B25204" w:rsidRDefault="004F38B9" w:rsidP="00B25204">
            <w:pPr>
              <w:pStyle w:val="Default"/>
              <w:spacing w:line="360" w:lineRule="auto"/>
              <w:ind w:left="720"/>
              <w:jc w:val="both"/>
              <w:rPr>
                <w:bCs/>
                <w:sz w:val="22"/>
                <w:szCs w:val="22"/>
              </w:rPr>
            </w:pPr>
          </w:p>
          <w:p w:rsidR="004F38B9" w:rsidRPr="00B25204" w:rsidRDefault="004F38B9" w:rsidP="00796984">
            <w:pPr>
              <w:pStyle w:val="Default"/>
              <w:numPr>
                <w:ilvl w:val="0"/>
                <w:numId w:val="17"/>
              </w:numPr>
              <w:spacing w:line="360" w:lineRule="auto"/>
              <w:ind w:left="446" w:hanging="426"/>
              <w:jc w:val="both"/>
              <w:rPr>
                <w:bCs/>
                <w:sz w:val="22"/>
                <w:szCs w:val="22"/>
              </w:rPr>
            </w:pPr>
            <w:r w:rsidRPr="00B25204">
              <w:rPr>
                <w:bCs/>
                <w:sz w:val="22"/>
                <w:szCs w:val="22"/>
              </w:rPr>
              <w:t>Rule 76(6) to Rule 76(8) reads as follows:</w:t>
            </w:r>
          </w:p>
          <w:p w:rsidR="004F38B9" w:rsidRPr="00B25204" w:rsidRDefault="004F38B9" w:rsidP="00B25204">
            <w:pPr>
              <w:pStyle w:val="Default"/>
              <w:spacing w:line="360" w:lineRule="auto"/>
              <w:ind w:left="720"/>
              <w:jc w:val="both"/>
              <w:rPr>
                <w:bCs/>
                <w:i/>
                <w:sz w:val="22"/>
                <w:szCs w:val="22"/>
              </w:rPr>
            </w:pPr>
          </w:p>
          <w:p w:rsidR="004F38B9" w:rsidRPr="00B25204" w:rsidRDefault="00CC6457" w:rsidP="00F2705A">
            <w:pPr>
              <w:pStyle w:val="Default"/>
              <w:spacing w:line="360" w:lineRule="auto"/>
              <w:ind w:left="446"/>
              <w:jc w:val="both"/>
              <w:rPr>
                <w:bCs/>
                <w:i/>
                <w:sz w:val="22"/>
                <w:szCs w:val="22"/>
              </w:rPr>
            </w:pPr>
            <w:r>
              <w:rPr>
                <w:bCs/>
                <w:i/>
                <w:sz w:val="22"/>
                <w:szCs w:val="22"/>
              </w:rPr>
              <w:t>‘</w:t>
            </w:r>
            <w:r w:rsidR="004F38B9" w:rsidRPr="00B25204">
              <w:rPr>
                <w:bCs/>
                <w:i/>
                <w:sz w:val="22"/>
                <w:szCs w:val="22"/>
              </w:rPr>
              <w:t>(6) If the applicant believes there are other documents in possession of the respondent, which are relevant to the decision or proceedings sought to be reviewed, he or she, must within 14 days from receiving copies of the record, give notice to the respondent that such further reasonably identified documents must be discovered within five days after the date that notice is delivered to the other party.</w:t>
            </w:r>
          </w:p>
          <w:p w:rsidR="004F38B9" w:rsidRPr="00B25204" w:rsidRDefault="004F38B9" w:rsidP="00B25204">
            <w:pPr>
              <w:pStyle w:val="Default"/>
              <w:spacing w:line="360" w:lineRule="auto"/>
              <w:ind w:left="993"/>
              <w:jc w:val="both"/>
              <w:rPr>
                <w:bCs/>
                <w:i/>
                <w:sz w:val="22"/>
                <w:szCs w:val="22"/>
              </w:rPr>
            </w:pPr>
          </w:p>
          <w:p w:rsidR="004F38B9" w:rsidRPr="00B25204" w:rsidRDefault="004F38B9" w:rsidP="00F2705A">
            <w:pPr>
              <w:pStyle w:val="Default"/>
              <w:spacing w:line="360" w:lineRule="auto"/>
              <w:ind w:left="446"/>
              <w:jc w:val="both"/>
              <w:rPr>
                <w:bCs/>
                <w:i/>
                <w:sz w:val="22"/>
                <w:szCs w:val="22"/>
              </w:rPr>
            </w:pPr>
            <w:r w:rsidRPr="00B25204">
              <w:rPr>
                <w:bCs/>
                <w:i/>
                <w:sz w:val="22"/>
                <w:szCs w:val="22"/>
              </w:rPr>
              <w:lastRenderedPageBreak/>
              <w:t xml:space="preserve">(7) The party receiving a notice in terms of </w:t>
            </w:r>
            <w:proofErr w:type="spellStart"/>
            <w:r w:rsidRPr="00B25204">
              <w:rPr>
                <w:bCs/>
                <w:i/>
                <w:sz w:val="22"/>
                <w:szCs w:val="22"/>
              </w:rPr>
              <w:t>subrule</w:t>
            </w:r>
            <w:proofErr w:type="spellEnd"/>
            <w:r w:rsidRPr="00B25204">
              <w:rPr>
                <w:bCs/>
                <w:i/>
                <w:sz w:val="22"/>
                <w:szCs w:val="22"/>
              </w:rPr>
              <w:t xml:space="preserve"> (6) must make copies of such additional documents available to the applicant for inspection and copying and the respondent must supplement the record filed with the registrar within three days after the applicant is given access to the additional documents.</w:t>
            </w:r>
          </w:p>
          <w:p w:rsidR="004F38B9" w:rsidRPr="00B25204" w:rsidRDefault="004F38B9" w:rsidP="00B25204">
            <w:pPr>
              <w:pStyle w:val="Default"/>
              <w:spacing w:line="360" w:lineRule="auto"/>
              <w:ind w:left="993"/>
              <w:jc w:val="both"/>
              <w:rPr>
                <w:bCs/>
                <w:i/>
                <w:sz w:val="22"/>
                <w:szCs w:val="22"/>
              </w:rPr>
            </w:pPr>
          </w:p>
          <w:p w:rsidR="004F38B9" w:rsidRPr="00B25204" w:rsidRDefault="004F38B9" w:rsidP="001F5CF4">
            <w:pPr>
              <w:pStyle w:val="Default"/>
              <w:spacing w:line="360" w:lineRule="auto"/>
              <w:ind w:left="446"/>
              <w:jc w:val="both"/>
              <w:rPr>
                <w:bCs/>
                <w:i/>
                <w:sz w:val="22"/>
                <w:szCs w:val="22"/>
              </w:rPr>
            </w:pPr>
            <w:r w:rsidRPr="00B25204">
              <w:rPr>
                <w:bCs/>
                <w:i/>
                <w:sz w:val="22"/>
                <w:szCs w:val="22"/>
              </w:rPr>
              <w:t xml:space="preserve">(8) If a dispute arises as to whether any further documents should be discovered the parties may approach the managing judge in chambers who must give directions </w:t>
            </w:r>
            <w:r w:rsidR="00CC6457">
              <w:rPr>
                <w:bCs/>
                <w:i/>
                <w:sz w:val="22"/>
                <w:szCs w:val="22"/>
              </w:rPr>
              <w:t>for the dispute to be resolved.’</w:t>
            </w:r>
          </w:p>
          <w:p w:rsidR="004F38B9" w:rsidRPr="00B25204" w:rsidRDefault="004F38B9" w:rsidP="00B25204">
            <w:pPr>
              <w:pStyle w:val="Default"/>
              <w:spacing w:line="360" w:lineRule="auto"/>
              <w:jc w:val="both"/>
              <w:rPr>
                <w:bCs/>
                <w:sz w:val="22"/>
                <w:szCs w:val="22"/>
              </w:rPr>
            </w:pPr>
          </w:p>
          <w:p w:rsidR="004F38B9" w:rsidRPr="00B25204" w:rsidRDefault="001F5CF4" w:rsidP="001F5CF4">
            <w:pPr>
              <w:pStyle w:val="Default"/>
              <w:spacing w:line="360" w:lineRule="auto"/>
              <w:ind w:left="20"/>
              <w:jc w:val="both"/>
              <w:rPr>
                <w:bCs/>
                <w:sz w:val="22"/>
                <w:szCs w:val="22"/>
              </w:rPr>
            </w:pPr>
            <w:r>
              <w:rPr>
                <w:bCs/>
                <w:sz w:val="22"/>
                <w:szCs w:val="22"/>
              </w:rPr>
              <w:t xml:space="preserve">10.  </w:t>
            </w:r>
            <w:r w:rsidR="004F38B9" w:rsidRPr="00B25204">
              <w:rPr>
                <w:bCs/>
                <w:sz w:val="22"/>
                <w:szCs w:val="22"/>
              </w:rPr>
              <w:t>Rule 76 (8) provides for dispute resolution, should there be a need for discovery of further documents. Parties in terms of the rule, are to approach the judge in chambers for directions on how the dispute can be solved. As such, the current dispute does not fall within the scope of Rule 32 (9) and (10).</w:t>
            </w:r>
          </w:p>
          <w:p w:rsidR="004F38B9" w:rsidRPr="00B25204" w:rsidRDefault="004F38B9" w:rsidP="00B25204">
            <w:pPr>
              <w:pStyle w:val="Default"/>
              <w:spacing w:line="360" w:lineRule="auto"/>
              <w:ind w:left="720"/>
              <w:jc w:val="both"/>
              <w:rPr>
                <w:bCs/>
                <w:sz w:val="22"/>
                <w:szCs w:val="22"/>
              </w:rPr>
            </w:pPr>
          </w:p>
          <w:p w:rsidR="004F38B9" w:rsidRPr="00B25204" w:rsidRDefault="001F5CF4" w:rsidP="00FB7B7C">
            <w:pPr>
              <w:pStyle w:val="Default"/>
              <w:spacing w:line="360" w:lineRule="auto"/>
              <w:jc w:val="both"/>
              <w:rPr>
                <w:bCs/>
                <w:sz w:val="22"/>
                <w:szCs w:val="22"/>
              </w:rPr>
            </w:pPr>
            <w:r>
              <w:rPr>
                <w:bCs/>
                <w:sz w:val="22"/>
                <w:szCs w:val="22"/>
              </w:rPr>
              <w:t xml:space="preserve">11.   </w:t>
            </w:r>
            <w:r w:rsidR="004F38B9" w:rsidRPr="00B25204">
              <w:rPr>
                <w:bCs/>
                <w:sz w:val="22"/>
                <w:szCs w:val="22"/>
              </w:rPr>
              <w:t>Parties accordingly attended to the chambers of the managing judge in the matter and it was resolved that a hearing shall be held where parties are to file heads of arguments in the application in terms of rule 76 (6). Same was recorded by court order of 16 October 2019 which reads as follows:</w:t>
            </w:r>
          </w:p>
          <w:p w:rsidR="004F38B9" w:rsidRPr="00B25204" w:rsidRDefault="004F38B9" w:rsidP="00FB7B7C">
            <w:pPr>
              <w:pStyle w:val="Default"/>
              <w:spacing w:line="360" w:lineRule="auto"/>
              <w:ind w:left="720"/>
              <w:jc w:val="both"/>
              <w:rPr>
                <w:bCs/>
                <w:sz w:val="22"/>
                <w:szCs w:val="22"/>
              </w:rPr>
            </w:pPr>
          </w:p>
          <w:p w:rsidR="004F38B9" w:rsidRPr="00B25204" w:rsidRDefault="00CC6457" w:rsidP="00FB7B7C">
            <w:pPr>
              <w:pStyle w:val="Default"/>
              <w:spacing w:line="360" w:lineRule="auto"/>
              <w:ind w:left="446"/>
              <w:jc w:val="both"/>
              <w:rPr>
                <w:bCs/>
                <w:sz w:val="22"/>
                <w:szCs w:val="22"/>
              </w:rPr>
            </w:pPr>
            <w:r>
              <w:rPr>
                <w:bCs/>
                <w:sz w:val="22"/>
                <w:szCs w:val="22"/>
              </w:rPr>
              <w:t>‘</w:t>
            </w:r>
            <w:r w:rsidR="004F38B9" w:rsidRPr="00B25204">
              <w:rPr>
                <w:bCs/>
                <w:sz w:val="22"/>
                <w:szCs w:val="22"/>
              </w:rPr>
              <w:t>The applicant is hereby granted the opportunity to deliver it Rule 76 (6) applicatio</w:t>
            </w:r>
            <w:r>
              <w:rPr>
                <w:bCs/>
                <w:sz w:val="22"/>
                <w:szCs w:val="22"/>
              </w:rPr>
              <w:t xml:space="preserve">n on or before 30 October 2019.’ </w:t>
            </w:r>
          </w:p>
          <w:p w:rsidR="004F38B9" w:rsidRPr="00B25204" w:rsidRDefault="004F38B9" w:rsidP="00CC6457">
            <w:pPr>
              <w:pStyle w:val="Default"/>
              <w:spacing w:line="360" w:lineRule="auto"/>
              <w:jc w:val="both"/>
              <w:rPr>
                <w:bCs/>
                <w:sz w:val="22"/>
                <w:szCs w:val="22"/>
              </w:rPr>
            </w:pPr>
          </w:p>
          <w:p w:rsidR="004F38B9" w:rsidRPr="00B25204" w:rsidRDefault="001F5CF4" w:rsidP="001F5CF4">
            <w:pPr>
              <w:pStyle w:val="Default"/>
              <w:spacing w:line="360" w:lineRule="auto"/>
              <w:jc w:val="both"/>
              <w:rPr>
                <w:bCs/>
                <w:sz w:val="22"/>
                <w:szCs w:val="22"/>
              </w:rPr>
            </w:pPr>
            <w:r>
              <w:rPr>
                <w:bCs/>
                <w:sz w:val="22"/>
                <w:szCs w:val="22"/>
              </w:rPr>
              <w:t xml:space="preserve">12.  </w:t>
            </w:r>
            <w:r w:rsidR="004F38B9" w:rsidRPr="00B25204">
              <w:rPr>
                <w:bCs/>
                <w:sz w:val="22"/>
                <w:szCs w:val="22"/>
              </w:rPr>
              <w:t xml:space="preserve">The first respondent in his heads of argument indicated that the court order issued by the Honourable </w:t>
            </w:r>
            <w:proofErr w:type="spellStart"/>
            <w:r w:rsidR="004F38B9" w:rsidRPr="00B25204">
              <w:rPr>
                <w:bCs/>
                <w:sz w:val="22"/>
                <w:szCs w:val="22"/>
              </w:rPr>
              <w:t>Geier</w:t>
            </w:r>
            <w:proofErr w:type="spellEnd"/>
            <w:r w:rsidR="004F38B9" w:rsidRPr="00B25204">
              <w:rPr>
                <w:bCs/>
                <w:sz w:val="22"/>
                <w:szCs w:val="22"/>
              </w:rPr>
              <w:t xml:space="preserve">, J merely grants the applicant an opportunity to file its intended application. However, it is trite that court orders are authoritative in nature and </w:t>
            </w:r>
            <w:proofErr w:type="gramStart"/>
            <w:r w:rsidR="004F38B9" w:rsidRPr="00B25204">
              <w:rPr>
                <w:bCs/>
                <w:sz w:val="22"/>
                <w:szCs w:val="22"/>
              </w:rPr>
              <w:t>a such</w:t>
            </w:r>
            <w:proofErr w:type="gramEnd"/>
            <w:r w:rsidR="004F38B9" w:rsidRPr="00B25204">
              <w:rPr>
                <w:bCs/>
                <w:sz w:val="22"/>
                <w:szCs w:val="22"/>
              </w:rPr>
              <w:t xml:space="preserve"> non-compliance with court orders may result in sanctions being imposed. Having read and interpreted the aforementioned court order and the reading thereof it is clear that the court had already ordered that the applicant file its application. No amicable solution could be sought by way of rule 32 (9) and (10) in an instance where the court has ordered a party to proceedings to file a certain application. </w:t>
            </w:r>
          </w:p>
          <w:p w:rsidR="00FB7B7C" w:rsidRDefault="00FB7B7C" w:rsidP="00FB7B7C">
            <w:pPr>
              <w:pStyle w:val="Default"/>
              <w:spacing w:line="360" w:lineRule="auto"/>
              <w:jc w:val="both"/>
              <w:rPr>
                <w:bCs/>
                <w:sz w:val="22"/>
                <w:szCs w:val="22"/>
              </w:rPr>
            </w:pPr>
          </w:p>
          <w:p w:rsidR="004F38B9" w:rsidRPr="00B25204" w:rsidRDefault="00FB7B7C" w:rsidP="00FB7B7C">
            <w:pPr>
              <w:pStyle w:val="Default"/>
              <w:spacing w:line="360" w:lineRule="auto"/>
              <w:jc w:val="both"/>
              <w:rPr>
                <w:bCs/>
                <w:sz w:val="22"/>
                <w:szCs w:val="22"/>
              </w:rPr>
            </w:pPr>
            <w:r>
              <w:rPr>
                <w:bCs/>
                <w:sz w:val="22"/>
                <w:szCs w:val="22"/>
              </w:rPr>
              <w:t xml:space="preserve">13.  </w:t>
            </w:r>
            <w:r w:rsidR="004F38B9" w:rsidRPr="00B25204">
              <w:rPr>
                <w:bCs/>
                <w:sz w:val="22"/>
                <w:szCs w:val="22"/>
              </w:rPr>
              <w:t xml:space="preserve">The interpretation and reading of the court order is indicative of the dispute resolution mechanism as provided for in rule 76 (8). Because there was a dispute between the parties to the proceedings in terms of rule 76 (6), a chamber meeting was held with the managing judge of which a direction to file the necessary papers was ordered for the dispute to be solved. </w:t>
            </w:r>
          </w:p>
          <w:p w:rsidR="004F38B9" w:rsidRPr="00B25204" w:rsidRDefault="004F38B9" w:rsidP="00B25204">
            <w:pPr>
              <w:pStyle w:val="ListParagraph"/>
              <w:spacing w:line="360" w:lineRule="auto"/>
              <w:rPr>
                <w:rFonts w:ascii="Arial" w:hAnsi="Arial" w:cs="Arial"/>
                <w:lang w:val="en-US"/>
              </w:rPr>
            </w:pPr>
          </w:p>
          <w:p w:rsidR="004F38B9" w:rsidRDefault="00FB7B7C" w:rsidP="00FB7B7C">
            <w:pPr>
              <w:pStyle w:val="Default"/>
              <w:spacing w:line="360" w:lineRule="auto"/>
              <w:jc w:val="both"/>
              <w:rPr>
                <w:i/>
                <w:iCs/>
                <w:color w:val="auto"/>
                <w:sz w:val="22"/>
                <w:szCs w:val="22"/>
                <w:lang w:val="en-US"/>
              </w:rPr>
            </w:pPr>
            <w:r>
              <w:rPr>
                <w:color w:val="auto"/>
                <w:sz w:val="22"/>
                <w:szCs w:val="22"/>
                <w:lang w:val="en-US"/>
              </w:rPr>
              <w:lastRenderedPageBreak/>
              <w:t xml:space="preserve">14.  </w:t>
            </w:r>
            <w:r w:rsidR="004F38B9" w:rsidRPr="00B25204">
              <w:rPr>
                <w:color w:val="auto"/>
                <w:sz w:val="22"/>
                <w:szCs w:val="22"/>
                <w:lang w:val="en-US"/>
              </w:rPr>
              <w:t xml:space="preserve">The well-established principles governing the interpretation of a court orders were expounded in </w:t>
            </w:r>
            <w:r w:rsidR="004F38B9" w:rsidRPr="00B25204">
              <w:rPr>
                <w:i/>
                <w:iCs/>
                <w:color w:val="auto"/>
                <w:sz w:val="22"/>
                <w:szCs w:val="22"/>
                <w:lang w:val="en-US"/>
              </w:rPr>
              <w:t xml:space="preserve">Firestone South Africa (Pty) Ltd v </w:t>
            </w:r>
            <w:proofErr w:type="spellStart"/>
            <w:r w:rsidR="004F38B9" w:rsidRPr="00B25204">
              <w:rPr>
                <w:i/>
                <w:iCs/>
                <w:color w:val="auto"/>
                <w:sz w:val="22"/>
                <w:szCs w:val="22"/>
                <w:lang w:val="en-US"/>
              </w:rPr>
              <w:t>Genticuro</w:t>
            </w:r>
            <w:proofErr w:type="spellEnd"/>
            <w:r w:rsidR="004F38B9" w:rsidRPr="00B25204">
              <w:rPr>
                <w:i/>
                <w:iCs/>
                <w:color w:val="auto"/>
                <w:sz w:val="22"/>
                <w:szCs w:val="22"/>
                <w:lang w:val="en-US"/>
              </w:rPr>
              <w:t xml:space="preserve"> AG</w:t>
            </w:r>
            <w:r w:rsidR="004F38B9" w:rsidRPr="00B25204">
              <w:rPr>
                <w:rStyle w:val="FootnoteReference"/>
                <w:color w:val="auto"/>
                <w:sz w:val="22"/>
                <w:szCs w:val="22"/>
                <w:lang w:val="en-US"/>
              </w:rPr>
              <w:footnoteReference w:id="5"/>
            </w:r>
            <w:r w:rsidR="004F38B9" w:rsidRPr="00B25204">
              <w:rPr>
                <w:color w:val="auto"/>
                <w:sz w:val="22"/>
                <w:szCs w:val="22"/>
                <w:lang w:val="en-US"/>
              </w:rPr>
              <w:t xml:space="preserve"> and more recently endorsed in </w:t>
            </w:r>
            <w:r w:rsidR="004F38B9" w:rsidRPr="00B25204">
              <w:rPr>
                <w:i/>
                <w:iCs/>
                <w:color w:val="auto"/>
                <w:sz w:val="22"/>
                <w:szCs w:val="22"/>
                <w:lang w:val="en-US"/>
              </w:rPr>
              <w:t>Eke v Parsons:</w:t>
            </w:r>
            <w:r w:rsidR="004F38B9" w:rsidRPr="00B25204">
              <w:rPr>
                <w:rStyle w:val="FootnoteReference"/>
                <w:i/>
                <w:iCs/>
                <w:color w:val="auto"/>
                <w:sz w:val="22"/>
                <w:szCs w:val="22"/>
                <w:lang w:val="en-US"/>
              </w:rPr>
              <w:footnoteReference w:id="6"/>
            </w:r>
          </w:p>
          <w:p w:rsidR="00FB7B7C" w:rsidRPr="00B25204" w:rsidRDefault="00FB7B7C" w:rsidP="00FB7B7C">
            <w:pPr>
              <w:pStyle w:val="Default"/>
              <w:spacing w:line="360" w:lineRule="auto"/>
              <w:jc w:val="both"/>
              <w:rPr>
                <w:bCs/>
                <w:color w:val="auto"/>
                <w:sz w:val="22"/>
                <w:szCs w:val="22"/>
              </w:rPr>
            </w:pPr>
          </w:p>
          <w:p w:rsidR="004F38B9" w:rsidRPr="00B25204" w:rsidRDefault="00CC6457" w:rsidP="00FB7B7C">
            <w:pPr>
              <w:pStyle w:val="ListParagraph"/>
              <w:spacing w:line="360" w:lineRule="auto"/>
              <w:ind w:left="446"/>
              <w:rPr>
                <w:rFonts w:ascii="Arial" w:hAnsi="Arial" w:cs="Arial"/>
                <w:lang w:val="en-US"/>
              </w:rPr>
            </w:pPr>
            <w:r>
              <w:rPr>
                <w:rFonts w:ascii="Arial" w:hAnsi="Arial" w:cs="Arial"/>
                <w:i/>
                <w:lang w:val="en-US"/>
              </w:rPr>
              <w:t>‘</w:t>
            </w:r>
            <w:r w:rsidR="004F38B9" w:rsidRPr="00B25204">
              <w:rPr>
                <w:rFonts w:ascii="Arial" w:hAnsi="Arial" w:cs="Arial"/>
                <w:i/>
                <w:lang w:val="en-US"/>
              </w:rPr>
              <w:t xml:space="preserve">The starting point is to determine the manifest purpose of the order. In interpreting a judgment or order, </w:t>
            </w:r>
            <w:r w:rsidR="004F38B9" w:rsidRPr="00B25204">
              <w:rPr>
                <w:rFonts w:ascii="Arial" w:hAnsi="Arial" w:cs="Arial"/>
                <w:i/>
                <w:u w:val="single"/>
                <w:lang w:val="en-US"/>
              </w:rPr>
              <w:t>the court’s intention is to be ascertained primarily from the language of the judgment or order</w:t>
            </w:r>
            <w:r w:rsidR="004F38B9" w:rsidRPr="00B25204">
              <w:rPr>
                <w:rFonts w:ascii="Arial" w:hAnsi="Arial" w:cs="Arial"/>
                <w:i/>
                <w:lang w:val="en-US"/>
              </w:rPr>
              <w:t xml:space="preserve"> in accordance with the usual well-known rules relating to the interpretation of documents. As in the case of a document, the judgment or order and the court’s reasons for giving it must be read as a whole in order to ascertain its intention.</w:t>
            </w:r>
            <w:r>
              <w:rPr>
                <w:rFonts w:ascii="Arial" w:hAnsi="Arial" w:cs="Arial"/>
                <w:lang w:val="en-US"/>
              </w:rPr>
              <w:t>’</w:t>
            </w:r>
          </w:p>
          <w:p w:rsidR="004F38B9" w:rsidRPr="00B25204" w:rsidRDefault="004F38B9" w:rsidP="00B25204">
            <w:pPr>
              <w:pStyle w:val="ListParagraph"/>
              <w:spacing w:line="360" w:lineRule="auto"/>
              <w:ind w:left="1440"/>
              <w:rPr>
                <w:rFonts w:ascii="Arial" w:hAnsi="Arial" w:cs="Arial"/>
                <w:bCs/>
              </w:rPr>
            </w:pPr>
          </w:p>
          <w:p w:rsidR="004F38B9" w:rsidRDefault="00FB7B7C" w:rsidP="00FB7B7C">
            <w:pPr>
              <w:widowControl w:val="0"/>
              <w:autoSpaceDE w:val="0"/>
              <w:autoSpaceDN w:val="0"/>
              <w:adjustRightInd w:val="0"/>
              <w:spacing w:line="360" w:lineRule="auto"/>
              <w:jc w:val="both"/>
              <w:rPr>
                <w:rFonts w:ascii="Arial" w:hAnsi="Arial" w:cs="Arial"/>
                <w:lang w:val="en-US"/>
              </w:rPr>
            </w:pPr>
            <w:r>
              <w:rPr>
                <w:rFonts w:ascii="Arial" w:hAnsi="Arial" w:cs="Arial"/>
                <w:lang w:val="en-US"/>
              </w:rPr>
              <w:t xml:space="preserve">15.    </w:t>
            </w:r>
            <w:r w:rsidR="004F38B9" w:rsidRPr="00FB7B7C">
              <w:rPr>
                <w:rFonts w:ascii="Arial" w:hAnsi="Arial" w:cs="Arial"/>
                <w:lang w:val="en-US"/>
              </w:rPr>
              <w:t xml:space="preserve">In respect of an order that is “clear and unambiguous”, </w:t>
            </w:r>
            <w:r w:rsidR="004F38B9" w:rsidRPr="00FB7B7C">
              <w:rPr>
                <w:rFonts w:ascii="Arial" w:hAnsi="Arial" w:cs="Arial"/>
                <w:i/>
                <w:iCs/>
                <w:lang w:val="en-US"/>
              </w:rPr>
              <w:t xml:space="preserve">Firestone </w:t>
            </w:r>
            <w:r w:rsidR="004F38B9" w:rsidRPr="00FB7B7C">
              <w:rPr>
                <w:rFonts w:ascii="Arial" w:hAnsi="Arial" w:cs="Arial"/>
                <w:lang w:val="en-US"/>
              </w:rPr>
              <w:t xml:space="preserve">enunciated:  </w:t>
            </w:r>
          </w:p>
          <w:p w:rsidR="00FB7B7C" w:rsidRPr="00FB7B7C" w:rsidRDefault="00FB7B7C" w:rsidP="00FB7B7C">
            <w:pPr>
              <w:widowControl w:val="0"/>
              <w:autoSpaceDE w:val="0"/>
              <w:autoSpaceDN w:val="0"/>
              <w:adjustRightInd w:val="0"/>
              <w:spacing w:line="360" w:lineRule="auto"/>
              <w:jc w:val="both"/>
              <w:rPr>
                <w:rFonts w:ascii="Arial" w:hAnsi="Arial" w:cs="Arial"/>
                <w:lang w:val="en-US"/>
              </w:rPr>
            </w:pPr>
          </w:p>
          <w:p w:rsidR="004F38B9" w:rsidRPr="00B25204" w:rsidRDefault="00CC6457" w:rsidP="00FB7B7C">
            <w:pPr>
              <w:pStyle w:val="Default"/>
              <w:spacing w:line="360" w:lineRule="auto"/>
              <w:ind w:left="446"/>
              <w:jc w:val="both"/>
              <w:rPr>
                <w:bCs/>
                <w:i/>
                <w:color w:val="auto"/>
                <w:sz w:val="22"/>
                <w:szCs w:val="22"/>
              </w:rPr>
            </w:pPr>
            <w:r>
              <w:rPr>
                <w:i/>
                <w:color w:val="auto"/>
                <w:sz w:val="22"/>
                <w:szCs w:val="22"/>
                <w:lang w:val="en-US"/>
              </w:rPr>
              <w:t>‘</w:t>
            </w:r>
            <w:r w:rsidR="004F38B9" w:rsidRPr="00B25204">
              <w:rPr>
                <w:i/>
                <w:color w:val="auto"/>
                <w:sz w:val="22"/>
                <w:szCs w:val="22"/>
                <w:u w:val="single"/>
                <w:lang w:val="en-US"/>
              </w:rPr>
              <w:t>If, on such a reading, the meaning of the judgment or order is clear and unambiguous, no extrinsic fact or evidence is admissible to contradict, vary, qualify, or supplement it</w:t>
            </w:r>
            <w:r w:rsidR="004F38B9" w:rsidRPr="00B25204">
              <w:rPr>
                <w:i/>
                <w:color w:val="auto"/>
                <w:sz w:val="22"/>
                <w:szCs w:val="22"/>
                <w:lang w:val="en-US"/>
              </w:rPr>
              <w:t>…….[N]</w:t>
            </w:r>
            <w:proofErr w:type="spellStart"/>
            <w:r w:rsidR="004F38B9" w:rsidRPr="00B25204">
              <w:rPr>
                <w:i/>
                <w:color w:val="auto"/>
                <w:sz w:val="22"/>
                <w:szCs w:val="22"/>
                <w:lang w:val="en-US"/>
              </w:rPr>
              <w:t>ot</w:t>
            </w:r>
            <w:proofErr w:type="spellEnd"/>
            <w:r w:rsidR="004F38B9" w:rsidRPr="00B25204">
              <w:rPr>
                <w:i/>
                <w:color w:val="auto"/>
                <w:sz w:val="22"/>
                <w:szCs w:val="22"/>
                <w:lang w:val="en-US"/>
              </w:rPr>
              <w:t xml:space="preserve"> even the court that gave the judgment or order can be asked to state what its subjective intention was in giv</w:t>
            </w:r>
            <w:r>
              <w:rPr>
                <w:i/>
                <w:color w:val="auto"/>
                <w:sz w:val="22"/>
                <w:szCs w:val="22"/>
                <w:lang w:val="en-US"/>
              </w:rPr>
              <w:t>ing it.</w:t>
            </w:r>
          </w:p>
          <w:p w:rsidR="004F38B9" w:rsidRPr="00B25204" w:rsidRDefault="004F38B9" w:rsidP="00B25204">
            <w:pPr>
              <w:pStyle w:val="ListParagraph"/>
              <w:spacing w:line="360" w:lineRule="auto"/>
              <w:rPr>
                <w:rFonts w:ascii="Arial" w:hAnsi="Arial" w:cs="Arial"/>
                <w:bCs/>
              </w:rPr>
            </w:pPr>
          </w:p>
          <w:p w:rsidR="004F38B9" w:rsidRPr="00B25204" w:rsidRDefault="0000789A" w:rsidP="0000789A">
            <w:pPr>
              <w:pStyle w:val="Default"/>
              <w:spacing w:line="360" w:lineRule="auto"/>
              <w:jc w:val="both"/>
              <w:rPr>
                <w:bCs/>
                <w:sz w:val="22"/>
                <w:szCs w:val="22"/>
              </w:rPr>
            </w:pPr>
            <w:r>
              <w:rPr>
                <w:bCs/>
                <w:sz w:val="22"/>
                <w:szCs w:val="22"/>
              </w:rPr>
              <w:t xml:space="preserve">16.   </w:t>
            </w:r>
            <w:r w:rsidR="004F38B9" w:rsidRPr="00B25204">
              <w:rPr>
                <w:bCs/>
                <w:sz w:val="22"/>
                <w:szCs w:val="22"/>
              </w:rPr>
              <w:t>In this instance Rule 32(9) and (10) which seeks for amicable resolutions in matters, is of no relevance or application in the present matter as bringing the application was the only way in which the dispute could be resolved. And it was to this effect that</w:t>
            </w:r>
            <w:r w:rsidR="004F38B9" w:rsidRPr="00B25204">
              <w:rPr>
                <w:sz w:val="22"/>
                <w:szCs w:val="22"/>
              </w:rPr>
              <w:t xml:space="preserve"> the court provided directions on, of which same was made an order of court.  </w:t>
            </w:r>
          </w:p>
          <w:p w:rsidR="004F38B9" w:rsidRPr="00B25204" w:rsidRDefault="004F38B9" w:rsidP="00B25204">
            <w:pPr>
              <w:pStyle w:val="ListParagraph"/>
              <w:spacing w:line="360" w:lineRule="auto"/>
              <w:rPr>
                <w:rFonts w:ascii="Arial" w:hAnsi="Arial" w:cs="Arial"/>
              </w:rPr>
            </w:pPr>
          </w:p>
          <w:p w:rsidR="004F38B9" w:rsidRPr="00B25204" w:rsidRDefault="0000789A" w:rsidP="0000789A">
            <w:pPr>
              <w:pStyle w:val="Default"/>
              <w:spacing w:line="360" w:lineRule="auto"/>
              <w:jc w:val="both"/>
              <w:rPr>
                <w:bCs/>
                <w:sz w:val="22"/>
                <w:szCs w:val="22"/>
              </w:rPr>
            </w:pPr>
            <w:r>
              <w:rPr>
                <w:sz w:val="22"/>
                <w:szCs w:val="22"/>
              </w:rPr>
              <w:t xml:space="preserve">17.   </w:t>
            </w:r>
            <w:r w:rsidR="004F38B9" w:rsidRPr="00B25204">
              <w:rPr>
                <w:sz w:val="22"/>
                <w:szCs w:val="22"/>
              </w:rPr>
              <w:t xml:space="preserve">It was by virtue of the direction given by Honourable Justice </w:t>
            </w:r>
            <w:proofErr w:type="spellStart"/>
            <w:r w:rsidR="004F38B9" w:rsidRPr="00B25204">
              <w:rPr>
                <w:sz w:val="22"/>
                <w:szCs w:val="22"/>
              </w:rPr>
              <w:t>Geier</w:t>
            </w:r>
            <w:proofErr w:type="spellEnd"/>
            <w:r w:rsidR="004F38B9" w:rsidRPr="00B25204">
              <w:rPr>
                <w:sz w:val="22"/>
                <w:szCs w:val="22"/>
              </w:rPr>
              <w:t xml:space="preserve"> that the Notice in terms of Rule 76 (6) was brought and as such no compliance with rule 32 (9) and (10) was not necessary. This direction was issued as a result of the respondent’s unwillingness to disclose the requested documentation or to explain the reasons for non-compliance.’</w:t>
            </w:r>
          </w:p>
          <w:p w:rsidR="00684620" w:rsidRDefault="00684620" w:rsidP="00B80CED">
            <w:pPr>
              <w:spacing w:after="122" w:line="259" w:lineRule="auto"/>
              <w:rPr>
                <w:color w:val="FF0000"/>
              </w:rPr>
            </w:pPr>
          </w:p>
          <w:p w:rsidR="00684620" w:rsidRDefault="00684620" w:rsidP="00D24F2D">
            <w:pPr>
              <w:spacing w:line="360" w:lineRule="auto"/>
              <w:ind w:left="20" w:hanging="20"/>
              <w:jc w:val="both"/>
              <w:rPr>
                <w:rFonts w:ascii="Arial" w:hAnsi="Arial" w:cs="Arial"/>
                <w:color w:val="000000" w:themeColor="text1"/>
                <w:sz w:val="24"/>
                <w:szCs w:val="24"/>
              </w:rPr>
            </w:pPr>
            <w:r w:rsidRPr="00AF3C29">
              <w:rPr>
                <w:rFonts w:ascii="Arial" w:hAnsi="Arial" w:cs="Arial"/>
                <w:color w:val="000000" w:themeColor="text1"/>
                <w:sz w:val="24"/>
                <w:szCs w:val="24"/>
              </w:rPr>
              <w:t>[</w:t>
            </w:r>
            <w:r w:rsidR="00D24F2D">
              <w:rPr>
                <w:rFonts w:ascii="Arial" w:hAnsi="Arial" w:cs="Arial"/>
                <w:color w:val="000000" w:themeColor="text1"/>
                <w:sz w:val="24"/>
                <w:szCs w:val="24"/>
              </w:rPr>
              <w:t>11</w:t>
            </w:r>
            <w:proofErr w:type="gramStart"/>
            <w:r w:rsidRPr="00AF3C29">
              <w:rPr>
                <w:rFonts w:ascii="Arial" w:hAnsi="Arial" w:cs="Arial"/>
                <w:color w:val="000000" w:themeColor="text1"/>
                <w:sz w:val="24"/>
                <w:szCs w:val="24"/>
              </w:rPr>
              <w:t>]</w:t>
            </w:r>
            <w:r w:rsidR="00D24F2D">
              <w:rPr>
                <w:rFonts w:ascii="Arial" w:hAnsi="Arial" w:cs="Arial"/>
                <w:color w:val="000000" w:themeColor="text1"/>
                <w:sz w:val="24"/>
                <w:szCs w:val="24"/>
              </w:rPr>
              <w:t xml:space="preserve">  </w:t>
            </w:r>
            <w:r w:rsidR="00AF3C29" w:rsidRPr="00AF3C29">
              <w:rPr>
                <w:rFonts w:ascii="Arial" w:hAnsi="Arial" w:cs="Arial"/>
                <w:color w:val="000000" w:themeColor="text1"/>
                <w:sz w:val="24"/>
                <w:szCs w:val="24"/>
              </w:rPr>
              <w:t>For</w:t>
            </w:r>
            <w:proofErr w:type="gramEnd"/>
            <w:r w:rsidR="00AF3C29" w:rsidRPr="00AF3C29">
              <w:rPr>
                <w:rFonts w:ascii="Arial" w:hAnsi="Arial" w:cs="Arial"/>
                <w:color w:val="000000" w:themeColor="text1"/>
                <w:sz w:val="24"/>
                <w:szCs w:val="24"/>
              </w:rPr>
              <w:t xml:space="preserve"> purposes</w:t>
            </w:r>
            <w:r w:rsidR="00AF3C29">
              <w:rPr>
                <w:rFonts w:ascii="Arial" w:hAnsi="Arial" w:cs="Arial"/>
                <w:color w:val="000000" w:themeColor="text1"/>
                <w:sz w:val="24"/>
                <w:szCs w:val="24"/>
              </w:rPr>
              <w:t xml:space="preserve"> determining the main aspects</w:t>
            </w:r>
            <w:r w:rsidR="00E06D7C">
              <w:rPr>
                <w:rFonts w:ascii="Arial" w:hAnsi="Arial" w:cs="Arial"/>
                <w:color w:val="000000" w:themeColor="text1"/>
                <w:sz w:val="24"/>
                <w:szCs w:val="24"/>
              </w:rPr>
              <w:t xml:space="preserve"> as</w:t>
            </w:r>
            <w:r w:rsidR="00AF3C29">
              <w:rPr>
                <w:rFonts w:ascii="Arial" w:hAnsi="Arial" w:cs="Arial"/>
                <w:color w:val="000000" w:themeColor="text1"/>
                <w:sz w:val="24"/>
                <w:szCs w:val="24"/>
              </w:rPr>
              <w:t xml:space="preserve"> raised</w:t>
            </w:r>
            <w:r w:rsidR="00A97520">
              <w:rPr>
                <w:rFonts w:ascii="Arial" w:hAnsi="Arial" w:cs="Arial"/>
                <w:color w:val="000000" w:themeColor="text1"/>
                <w:sz w:val="24"/>
                <w:szCs w:val="24"/>
              </w:rPr>
              <w:t xml:space="preserve"> in this</w:t>
            </w:r>
            <w:r w:rsidR="00AF3C29">
              <w:rPr>
                <w:rFonts w:ascii="Arial" w:hAnsi="Arial" w:cs="Arial"/>
                <w:color w:val="000000" w:themeColor="text1"/>
                <w:sz w:val="24"/>
                <w:szCs w:val="24"/>
              </w:rPr>
              <w:t xml:space="preserve"> </w:t>
            </w:r>
            <w:r w:rsidR="00AF3C29" w:rsidRPr="00AF3C29">
              <w:rPr>
                <w:rFonts w:ascii="Arial" w:hAnsi="Arial" w:cs="Arial"/>
                <w:i/>
                <w:color w:val="000000" w:themeColor="text1"/>
                <w:sz w:val="24"/>
                <w:szCs w:val="24"/>
              </w:rPr>
              <w:t xml:space="preserve">in </w:t>
            </w:r>
            <w:proofErr w:type="spellStart"/>
            <w:r w:rsidR="00AF3C29" w:rsidRPr="00AF3C29">
              <w:rPr>
                <w:rFonts w:ascii="Arial" w:hAnsi="Arial" w:cs="Arial"/>
                <w:i/>
                <w:color w:val="000000" w:themeColor="text1"/>
                <w:sz w:val="24"/>
                <w:szCs w:val="24"/>
              </w:rPr>
              <w:t>limine</w:t>
            </w:r>
            <w:proofErr w:type="spellEnd"/>
            <w:r w:rsidR="00AF3C29">
              <w:rPr>
                <w:rFonts w:ascii="Arial" w:hAnsi="Arial" w:cs="Arial"/>
                <w:color w:val="000000" w:themeColor="text1"/>
                <w:sz w:val="24"/>
                <w:szCs w:val="24"/>
              </w:rPr>
              <w:t xml:space="preserve"> dispute I need to do little more than to refer to the</w:t>
            </w:r>
            <w:r w:rsidR="00A97520">
              <w:rPr>
                <w:rFonts w:ascii="Arial" w:hAnsi="Arial" w:cs="Arial"/>
                <w:color w:val="000000" w:themeColor="text1"/>
                <w:sz w:val="24"/>
                <w:szCs w:val="24"/>
              </w:rPr>
              <w:t xml:space="preserve"> squarely applicable</w:t>
            </w:r>
            <w:r w:rsidR="00AF3C29">
              <w:rPr>
                <w:rFonts w:ascii="Arial" w:hAnsi="Arial" w:cs="Arial"/>
                <w:color w:val="000000" w:themeColor="text1"/>
                <w:sz w:val="24"/>
                <w:szCs w:val="24"/>
              </w:rPr>
              <w:t xml:space="preserve"> judgment of this Court delivered in</w:t>
            </w:r>
            <w:r w:rsidR="00D24F2D">
              <w:rPr>
                <w:rFonts w:ascii="Arial" w:hAnsi="Arial" w:cs="Arial"/>
                <w:color w:val="000000" w:themeColor="text1"/>
                <w:sz w:val="24"/>
                <w:szCs w:val="24"/>
              </w:rPr>
              <w:t xml:space="preserve"> </w:t>
            </w:r>
            <w:r w:rsidR="00AF3C29">
              <w:rPr>
                <w:rFonts w:ascii="Arial" w:hAnsi="Arial" w:cs="Arial"/>
                <w:i/>
                <w:sz w:val="24"/>
                <w:szCs w:val="24"/>
              </w:rPr>
              <w:t xml:space="preserve">Standard Bank of Namibia Limited v </w:t>
            </w:r>
            <w:proofErr w:type="spellStart"/>
            <w:r w:rsidR="00AF3C29">
              <w:rPr>
                <w:rFonts w:ascii="Arial" w:hAnsi="Arial" w:cs="Arial"/>
                <w:i/>
                <w:sz w:val="24"/>
                <w:szCs w:val="24"/>
              </w:rPr>
              <w:t>Nekwaya</w:t>
            </w:r>
            <w:proofErr w:type="spellEnd"/>
            <w:r w:rsidR="00AF3C29">
              <w:rPr>
                <w:rFonts w:ascii="Arial" w:hAnsi="Arial" w:cs="Arial"/>
                <w:i/>
                <w:sz w:val="24"/>
                <w:szCs w:val="24"/>
              </w:rPr>
              <w:t xml:space="preserve"> </w:t>
            </w:r>
            <w:r w:rsidR="00AF3C29" w:rsidRPr="005D6C92">
              <w:rPr>
                <w:rFonts w:ascii="Arial" w:hAnsi="Arial" w:cs="Arial"/>
                <w:sz w:val="24"/>
                <w:szCs w:val="24"/>
              </w:rPr>
              <w:t>(</w:t>
            </w:r>
            <w:r w:rsidR="00AF3C29">
              <w:rPr>
                <w:rFonts w:ascii="Arial" w:hAnsi="Arial" w:cs="Arial"/>
                <w:sz w:val="24"/>
                <w:szCs w:val="24"/>
              </w:rPr>
              <w:t>HC-MD-CIV-ACT-CON-2017/01164</w:t>
            </w:r>
            <w:r w:rsidR="00AF3C29" w:rsidRPr="005D6C92">
              <w:rPr>
                <w:rFonts w:ascii="Arial" w:hAnsi="Arial" w:cs="Arial"/>
                <w:sz w:val="24"/>
                <w:szCs w:val="24"/>
              </w:rPr>
              <w:t>) [20</w:t>
            </w:r>
            <w:r w:rsidR="00AF3C29">
              <w:rPr>
                <w:rFonts w:ascii="Arial" w:hAnsi="Arial" w:cs="Arial"/>
                <w:sz w:val="24"/>
                <w:szCs w:val="24"/>
              </w:rPr>
              <w:t>17</w:t>
            </w:r>
            <w:r w:rsidR="00AF3C29" w:rsidRPr="005D6C92">
              <w:rPr>
                <w:rFonts w:ascii="Arial" w:hAnsi="Arial" w:cs="Arial"/>
                <w:sz w:val="24"/>
                <w:szCs w:val="24"/>
              </w:rPr>
              <w:t>] NAHC</w:t>
            </w:r>
            <w:r w:rsidR="00AF3C29">
              <w:rPr>
                <w:rFonts w:ascii="Arial" w:hAnsi="Arial" w:cs="Arial"/>
                <w:sz w:val="24"/>
                <w:szCs w:val="24"/>
              </w:rPr>
              <w:t>M</w:t>
            </w:r>
            <w:r w:rsidR="00AF3C29" w:rsidRPr="005D6C92">
              <w:rPr>
                <w:rFonts w:ascii="Arial" w:hAnsi="Arial" w:cs="Arial"/>
                <w:sz w:val="24"/>
                <w:szCs w:val="24"/>
              </w:rPr>
              <w:t xml:space="preserve">D </w:t>
            </w:r>
            <w:r w:rsidR="00AF3C29">
              <w:rPr>
                <w:rFonts w:ascii="Arial" w:hAnsi="Arial" w:cs="Arial"/>
                <w:sz w:val="24"/>
                <w:szCs w:val="24"/>
              </w:rPr>
              <w:t>365</w:t>
            </w:r>
            <w:r w:rsidR="00AF3C29" w:rsidRPr="005D6C92">
              <w:rPr>
                <w:rFonts w:ascii="Arial" w:hAnsi="Arial" w:cs="Arial"/>
                <w:sz w:val="24"/>
                <w:szCs w:val="24"/>
              </w:rPr>
              <w:t xml:space="preserve"> (</w:t>
            </w:r>
            <w:r w:rsidR="00AF3C29">
              <w:rPr>
                <w:rFonts w:ascii="Arial" w:hAnsi="Arial" w:cs="Arial"/>
                <w:sz w:val="24"/>
                <w:szCs w:val="24"/>
              </w:rPr>
              <w:t xml:space="preserve">01 November </w:t>
            </w:r>
            <w:r w:rsidR="00AF3C29" w:rsidRPr="005D6C92">
              <w:rPr>
                <w:rFonts w:ascii="Arial" w:hAnsi="Arial" w:cs="Arial"/>
                <w:sz w:val="24"/>
                <w:szCs w:val="24"/>
              </w:rPr>
              <w:t>20</w:t>
            </w:r>
            <w:r w:rsidR="00AF3C29">
              <w:rPr>
                <w:rFonts w:ascii="Arial" w:hAnsi="Arial" w:cs="Arial"/>
                <w:sz w:val="24"/>
                <w:szCs w:val="24"/>
              </w:rPr>
              <w:t>17</w:t>
            </w:r>
            <w:r w:rsidR="00AF3C29" w:rsidRPr="005D6C92">
              <w:rPr>
                <w:rFonts w:ascii="Arial" w:hAnsi="Arial" w:cs="Arial"/>
                <w:sz w:val="24"/>
                <w:szCs w:val="24"/>
              </w:rPr>
              <w:t>)</w:t>
            </w:r>
            <w:r w:rsidR="00AF3C29">
              <w:rPr>
                <w:rFonts w:ascii="Arial" w:hAnsi="Arial" w:cs="Arial"/>
                <w:sz w:val="24"/>
                <w:szCs w:val="24"/>
              </w:rPr>
              <w:t xml:space="preserve"> – to which neither counsel referred me to – and in which – ironically – also a legal practitioner -</w:t>
            </w:r>
            <w:r w:rsidR="00A97520">
              <w:rPr>
                <w:rFonts w:ascii="Arial" w:hAnsi="Arial" w:cs="Arial"/>
                <w:color w:val="000000" w:themeColor="text1"/>
                <w:sz w:val="24"/>
                <w:szCs w:val="24"/>
              </w:rPr>
              <w:t xml:space="preserve"> employed at </w:t>
            </w:r>
            <w:proofErr w:type="spellStart"/>
            <w:r w:rsidR="00A97520">
              <w:rPr>
                <w:rFonts w:ascii="Arial" w:hAnsi="Arial" w:cs="Arial"/>
                <w:color w:val="000000" w:themeColor="text1"/>
                <w:sz w:val="24"/>
                <w:szCs w:val="24"/>
              </w:rPr>
              <w:t>AngulaCo</w:t>
            </w:r>
            <w:proofErr w:type="spellEnd"/>
            <w:r w:rsidR="00A97520">
              <w:rPr>
                <w:rFonts w:ascii="Arial" w:hAnsi="Arial" w:cs="Arial"/>
                <w:color w:val="000000" w:themeColor="text1"/>
                <w:sz w:val="24"/>
                <w:szCs w:val="24"/>
              </w:rPr>
              <w:t xml:space="preserve"> </w:t>
            </w:r>
            <w:proofErr w:type="spellStart"/>
            <w:r w:rsidR="00A97520">
              <w:rPr>
                <w:rFonts w:ascii="Arial" w:hAnsi="Arial" w:cs="Arial"/>
                <w:color w:val="000000" w:themeColor="text1"/>
                <w:sz w:val="24"/>
                <w:szCs w:val="24"/>
              </w:rPr>
              <w:t>Inc</w:t>
            </w:r>
            <w:proofErr w:type="spellEnd"/>
            <w:r w:rsidR="00E06D7C">
              <w:rPr>
                <w:rFonts w:ascii="Arial" w:hAnsi="Arial" w:cs="Arial"/>
                <w:color w:val="000000" w:themeColor="text1"/>
                <w:sz w:val="24"/>
                <w:szCs w:val="24"/>
              </w:rPr>
              <w:t xml:space="preserve"> -</w:t>
            </w:r>
            <w:r w:rsidR="00AF3C29">
              <w:rPr>
                <w:rFonts w:ascii="Arial" w:hAnsi="Arial" w:cs="Arial"/>
                <w:color w:val="000000" w:themeColor="text1"/>
                <w:sz w:val="24"/>
                <w:szCs w:val="24"/>
              </w:rPr>
              <w:t xml:space="preserve"> was involved.</w:t>
            </w:r>
          </w:p>
          <w:p w:rsidR="00AF3C29" w:rsidRDefault="00AF3C29" w:rsidP="00AF3C29">
            <w:pPr>
              <w:spacing w:line="360" w:lineRule="auto"/>
              <w:jc w:val="both"/>
              <w:rPr>
                <w:rFonts w:ascii="Arial" w:hAnsi="Arial" w:cs="Arial"/>
                <w:color w:val="000000" w:themeColor="text1"/>
                <w:sz w:val="24"/>
                <w:szCs w:val="24"/>
              </w:rPr>
            </w:pPr>
          </w:p>
          <w:p w:rsidR="00AF3C29" w:rsidRDefault="00AF3C29" w:rsidP="00AF3C29">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w:t>
            </w:r>
            <w:r w:rsidR="00D24F2D">
              <w:rPr>
                <w:rFonts w:ascii="Arial" w:hAnsi="Arial" w:cs="Arial"/>
                <w:color w:val="000000" w:themeColor="text1"/>
                <w:sz w:val="24"/>
                <w:szCs w:val="24"/>
              </w:rPr>
              <w:t>12</w:t>
            </w:r>
            <w:r>
              <w:rPr>
                <w:rFonts w:ascii="Arial" w:hAnsi="Arial" w:cs="Arial"/>
                <w:color w:val="000000" w:themeColor="text1"/>
                <w:sz w:val="24"/>
                <w:szCs w:val="24"/>
              </w:rPr>
              <w:t>]</w:t>
            </w:r>
            <w:r w:rsidR="00D24F2D">
              <w:rPr>
                <w:rFonts w:ascii="Arial" w:hAnsi="Arial" w:cs="Arial"/>
                <w:color w:val="000000" w:themeColor="text1"/>
                <w:sz w:val="24"/>
                <w:szCs w:val="24"/>
              </w:rPr>
              <w:t xml:space="preserve">  </w:t>
            </w:r>
            <w:r>
              <w:rPr>
                <w:rFonts w:ascii="Arial" w:hAnsi="Arial" w:cs="Arial"/>
                <w:color w:val="000000" w:themeColor="text1"/>
                <w:sz w:val="24"/>
                <w:szCs w:val="24"/>
              </w:rPr>
              <w:t xml:space="preserve">The salient aspects determined in the </w:t>
            </w:r>
            <w:proofErr w:type="spellStart"/>
            <w:r w:rsidRPr="00AF3C29">
              <w:rPr>
                <w:rFonts w:ascii="Arial" w:hAnsi="Arial" w:cs="Arial"/>
                <w:i/>
                <w:color w:val="000000" w:themeColor="text1"/>
                <w:sz w:val="24"/>
                <w:szCs w:val="24"/>
              </w:rPr>
              <w:t>Nekwaya</w:t>
            </w:r>
            <w:proofErr w:type="spellEnd"/>
            <w:r>
              <w:rPr>
                <w:rFonts w:ascii="Arial" w:hAnsi="Arial" w:cs="Arial"/>
                <w:color w:val="000000" w:themeColor="text1"/>
                <w:sz w:val="24"/>
                <w:szCs w:val="24"/>
              </w:rPr>
              <w:t xml:space="preserve"> case – as al</w:t>
            </w:r>
            <w:r w:rsidR="00A97520">
              <w:rPr>
                <w:rFonts w:ascii="Arial" w:hAnsi="Arial" w:cs="Arial"/>
                <w:color w:val="000000" w:themeColor="text1"/>
                <w:sz w:val="24"/>
                <w:szCs w:val="24"/>
              </w:rPr>
              <w:t xml:space="preserve">ready apparent from its </w:t>
            </w:r>
            <w:proofErr w:type="spellStart"/>
            <w:r w:rsidR="00A97520">
              <w:rPr>
                <w:rFonts w:ascii="Arial" w:hAnsi="Arial" w:cs="Arial"/>
                <w:color w:val="000000" w:themeColor="text1"/>
                <w:sz w:val="24"/>
                <w:szCs w:val="24"/>
              </w:rPr>
              <w:t>flynote</w:t>
            </w:r>
            <w:proofErr w:type="spellEnd"/>
            <w:r w:rsidR="00A97520">
              <w:rPr>
                <w:rFonts w:ascii="Arial" w:hAnsi="Arial" w:cs="Arial"/>
                <w:color w:val="000000" w:themeColor="text1"/>
                <w:sz w:val="24"/>
                <w:szCs w:val="24"/>
              </w:rPr>
              <w:t xml:space="preserve">, which I quote - </w:t>
            </w:r>
            <w:r>
              <w:rPr>
                <w:rFonts w:ascii="Arial" w:hAnsi="Arial" w:cs="Arial"/>
                <w:color w:val="000000" w:themeColor="text1"/>
                <w:sz w:val="24"/>
                <w:szCs w:val="24"/>
              </w:rPr>
              <w:t>where</w:t>
            </w:r>
            <w:r w:rsidR="00E06D7C">
              <w:rPr>
                <w:rFonts w:ascii="Arial" w:hAnsi="Arial" w:cs="Arial"/>
                <w:color w:val="000000" w:themeColor="text1"/>
                <w:sz w:val="24"/>
                <w:szCs w:val="24"/>
              </w:rPr>
              <w:t xml:space="preserve"> the following </w:t>
            </w:r>
            <w:r>
              <w:rPr>
                <w:rFonts w:ascii="Arial" w:hAnsi="Arial" w:cs="Arial"/>
                <w:color w:val="000000" w:themeColor="text1"/>
                <w:sz w:val="24"/>
                <w:szCs w:val="24"/>
              </w:rPr>
              <w:t xml:space="preserve"> :</w:t>
            </w:r>
          </w:p>
          <w:p w:rsidR="00E06D7C" w:rsidRDefault="00E06D7C" w:rsidP="00E06D7C">
            <w:pPr>
              <w:spacing w:line="360" w:lineRule="auto"/>
              <w:jc w:val="both"/>
              <w:rPr>
                <w:rFonts w:ascii="Arial" w:hAnsi="Arial" w:cs="Arial"/>
                <w:sz w:val="24"/>
                <w:szCs w:val="24"/>
              </w:rPr>
            </w:pPr>
          </w:p>
          <w:p w:rsidR="00E06D7C" w:rsidRPr="00E06D7C" w:rsidRDefault="00E06D7C" w:rsidP="00E06D7C">
            <w:pPr>
              <w:spacing w:line="360" w:lineRule="auto"/>
              <w:jc w:val="both"/>
              <w:rPr>
                <w:rFonts w:ascii="Arial" w:hAnsi="Arial" w:cs="Arial"/>
              </w:rPr>
            </w:pPr>
            <w:r w:rsidRPr="00E06D7C">
              <w:rPr>
                <w:rFonts w:ascii="Arial" w:hAnsi="Arial" w:cs="Arial"/>
              </w:rPr>
              <w:lastRenderedPageBreak/>
              <w:t xml:space="preserve">    ‘ … the regulation of a procedure - or a facet thereof - by a court, would generally, never absolve the parties from complying with the rules of court, in so far as such rules may still have a bearing on such interlocutory procedure even if such proceedings had been regulated to some extent, as was the case in this instance and that the direction, which the case managing judge had given, would always have to be seen and to be the interpreted with regard to- and within the context of the rules of court.</w:t>
            </w:r>
          </w:p>
          <w:p w:rsidR="00E06D7C" w:rsidRPr="00E06D7C" w:rsidRDefault="00E06D7C" w:rsidP="00E06D7C">
            <w:pPr>
              <w:spacing w:line="360" w:lineRule="auto"/>
              <w:jc w:val="both"/>
              <w:rPr>
                <w:rFonts w:ascii="Arial" w:hAnsi="Arial" w:cs="Arial"/>
              </w:rPr>
            </w:pPr>
          </w:p>
          <w:p w:rsidR="00E06D7C" w:rsidRPr="00E06D7C" w:rsidRDefault="00E06D7C" w:rsidP="00E06D7C">
            <w:pPr>
              <w:spacing w:line="360" w:lineRule="auto"/>
              <w:jc w:val="both"/>
              <w:rPr>
                <w:rFonts w:ascii="Arial" w:hAnsi="Arial" w:cs="Arial"/>
              </w:rPr>
            </w:pPr>
            <w:r w:rsidRPr="00E06D7C">
              <w:rPr>
                <w:rFonts w:ascii="Arial" w:hAnsi="Arial" w:cs="Arial"/>
              </w:rPr>
              <w:t>Court accordingly holding further that also the applicant in the directed re-instatement application, was also always obliged, to again, comply with the requirements set by Rules 32(9) and (10) before its delivery.</w:t>
            </w:r>
          </w:p>
          <w:p w:rsidR="00E06D7C" w:rsidRPr="00E06D7C" w:rsidRDefault="00E06D7C" w:rsidP="00E06D7C">
            <w:pPr>
              <w:spacing w:line="360" w:lineRule="auto"/>
              <w:jc w:val="both"/>
              <w:rPr>
                <w:rFonts w:ascii="Arial" w:hAnsi="Arial" w:cs="Arial"/>
              </w:rPr>
            </w:pPr>
          </w:p>
          <w:p w:rsidR="00E06D7C" w:rsidRDefault="00E06D7C" w:rsidP="00E06D7C">
            <w:pPr>
              <w:spacing w:line="360" w:lineRule="auto"/>
              <w:jc w:val="both"/>
              <w:rPr>
                <w:rFonts w:ascii="Arial" w:hAnsi="Arial" w:cs="Arial"/>
              </w:rPr>
            </w:pPr>
            <w:r w:rsidRPr="00E06D7C">
              <w:rPr>
                <w:rFonts w:ascii="Arial" w:hAnsi="Arial" w:cs="Arial"/>
              </w:rPr>
              <w:t>As the compliance with High Court Rules 32(9) and (10) was peremptory for all interlocutory applications - application for re-instatement accordingly also struck due to the applicant’s non-compliance with Rules 32 (9) and (10).’</w:t>
            </w:r>
            <w:r w:rsidR="005E058A">
              <w:rPr>
                <w:rFonts w:ascii="Arial" w:hAnsi="Arial" w:cs="Arial"/>
              </w:rPr>
              <w:t xml:space="preserve"> </w:t>
            </w:r>
            <w:r>
              <w:rPr>
                <w:rStyle w:val="FootnoteReference"/>
                <w:rFonts w:ascii="Arial" w:hAnsi="Arial" w:cs="Arial"/>
              </w:rPr>
              <w:footnoteReference w:id="7"/>
            </w:r>
          </w:p>
          <w:p w:rsidR="00E06D7C" w:rsidRDefault="00E06D7C" w:rsidP="00E06D7C">
            <w:pPr>
              <w:spacing w:line="360" w:lineRule="auto"/>
              <w:jc w:val="both"/>
              <w:rPr>
                <w:rFonts w:ascii="Arial" w:hAnsi="Arial" w:cs="Arial"/>
              </w:rPr>
            </w:pPr>
          </w:p>
          <w:p w:rsidR="00E06D7C" w:rsidRDefault="00E06D7C" w:rsidP="005D0028">
            <w:pPr>
              <w:spacing w:line="360" w:lineRule="auto"/>
              <w:jc w:val="both"/>
              <w:rPr>
                <w:rFonts w:ascii="Arial" w:hAnsi="Arial" w:cs="Arial"/>
                <w:sz w:val="24"/>
                <w:szCs w:val="24"/>
              </w:rPr>
            </w:pPr>
            <w:r w:rsidRPr="00E06D7C">
              <w:rPr>
                <w:rFonts w:ascii="Arial" w:hAnsi="Arial" w:cs="Arial"/>
                <w:sz w:val="24"/>
                <w:szCs w:val="24"/>
              </w:rPr>
              <w:t>[</w:t>
            </w:r>
            <w:r w:rsidR="00D24F2D">
              <w:rPr>
                <w:rFonts w:ascii="Arial" w:hAnsi="Arial" w:cs="Arial"/>
                <w:sz w:val="24"/>
                <w:szCs w:val="24"/>
              </w:rPr>
              <w:t>13</w:t>
            </w:r>
            <w:r>
              <w:rPr>
                <w:rFonts w:ascii="Arial" w:hAnsi="Arial" w:cs="Arial"/>
                <w:sz w:val="24"/>
                <w:szCs w:val="24"/>
              </w:rPr>
              <w:t>]</w:t>
            </w:r>
            <w:r w:rsidR="00D24F2D">
              <w:rPr>
                <w:rFonts w:ascii="Arial" w:hAnsi="Arial" w:cs="Arial"/>
                <w:sz w:val="24"/>
                <w:szCs w:val="24"/>
              </w:rPr>
              <w:t xml:space="preserve">  </w:t>
            </w:r>
            <w:r w:rsidR="005E058A">
              <w:rPr>
                <w:rFonts w:ascii="Arial" w:hAnsi="Arial" w:cs="Arial"/>
                <w:sz w:val="24"/>
                <w:szCs w:val="24"/>
              </w:rPr>
              <w:t>When it comes to the consideration of the remainder of the arguments relied on for the ‘brazen’ refusal to comply with the requirements set by Rules 32(9) and (10) the following can also be said immediately :</w:t>
            </w:r>
          </w:p>
          <w:p w:rsidR="0088329E" w:rsidRPr="0088329E" w:rsidRDefault="0088329E" w:rsidP="005D0028">
            <w:pPr>
              <w:spacing w:line="360" w:lineRule="auto"/>
              <w:jc w:val="both"/>
              <w:rPr>
                <w:rFonts w:ascii="Arial" w:hAnsi="Arial" w:cs="Arial"/>
                <w:sz w:val="24"/>
                <w:szCs w:val="24"/>
              </w:rPr>
            </w:pPr>
          </w:p>
          <w:p w:rsidR="005E058A" w:rsidRDefault="00D24F2D" w:rsidP="005D0028">
            <w:pPr>
              <w:pStyle w:val="ListParagraph"/>
              <w:numPr>
                <w:ilvl w:val="0"/>
                <w:numId w:val="14"/>
              </w:numPr>
              <w:spacing w:line="360" w:lineRule="auto"/>
              <w:ind w:left="20" w:firstLine="0"/>
              <w:jc w:val="both"/>
              <w:rPr>
                <w:rFonts w:ascii="Arial" w:hAnsi="Arial" w:cs="Arial"/>
                <w:sz w:val="24"/>
                <w:szCs w:val="24"/>
              </w:rPr>
            </w:pPr>
            <w:r>
              <w:rPr>
                <w:rFonts w:ascii="Arial" w:hAnsi="Arial" w:cs="Arial"/>
                <w:sz w:val="24"/>
                <w:szCs w:val="24"/>
              </w:rPr>
              <w:t>A</w:t>
            </w:r>
            <w:r w:rsidR="005E058A">
              <w:rPr>
                <w:rFonts w:ascii="Arial" w:hAnsi="Arial" w:cs="Arial"/>
                <w:sz w:val="24"/>
                <w:szCs w:val="24"/>
              </w:rPr>
              <w:t>n application for the discovery of further documents – whether in terms of Rule 76 of the Rules of Court or any other rule relating to discovery</w:t>
            </w:r>
            <w:r w:rsidR="000944C5">
              <w:rPr>
                <w:rFonts w:ascii="Arial" w:hAnsi="Arial" w:cs="Arial"/>
                <w:sz w:val="24"/>
                <w:szCs w:val="24"/>
              </w:rPr>
              <w:t xml:space="preserve"> -</w:t>
            </w:r>
            <w:r w:rsidR="004F38B9">
              <w:rPr>
                <w:rFonts w:ascii="Arial" w:hAnsi="Arial" w:cs="Arial"/>
                <w:sz w:val="24"/>
                <w:szCs w:val="24"/>
              </w:rPr>
              <w:t xml:space="preserve"> is</w:t>
            </w:r>
            <w:r w:rsidR="009116F7">
              <w:rPr>
                <w:rFonts w:ascii="Arial" w:hAnsi="Arial" w:cs="Arial"/>
                <w:sz w:val="24"/>
                <w:szCs w:val="24"/>
              </w:rPr>
              <w:t xml:space="preserve"> </w:t>
            </w:r>
            <w:r w:rsidR="005E058A">
              <w:rPr>
                <w:rFonts w:ascii="Arial" w:hAnsi="Arial" w:cs="Arial"/>
                <w:sz w:val="24"/>
                <w:szCs w:val="24"/>
              </w:rPr>
              <w:t>an interlocutory application</w:t>
            </w:r>
            <w:r w:rsidR="0031767F">
              <w:rPr>
                <w:rFonts w:ascii="Arial" w:hAnsi="Arial" w:cs="Arial"/>
                <w:sz w:val="24"/>
                <w:szCs w:val="24"/>
              </w:rPr>
              <w:t xml:space="preserve"> as it regulates a procedural issue only</w:t>
            </w:r>
            <w:r w:rsidR="005E058A">
              <w:rPr>
                <w:rFonts w:ascii="Arial" w:hAnsi="Arial" w:cs="Arial"/>
                <w:sz w:val="24"/>
                <w:szCs w:val="24"/>
              </w:rPr>
              <w:t>;</w:t>
            </w:r>
            <w:r w:rsidR="005E058A">
              <w:rPr>
                <w:rStyle w:val="FootnoteReference"/>
                <w:rFonts w:ascii="Arial" w:hAnsi="Arial" w:cs="Arial"/>
                <w:sz w:val="24"/>
                <w:szCs w:val="24"/>
              </w:rPr>
              <w:footnoteReference w:id="8"/>
            </w:r>
          </w:p>
          <w:p w:rsidR="009116F7" w:rsidRPr="009116F7" w:rsidRDefault="009116F7" w:rsidP="00D24F2D">
            <w:pPr>
              <w:pStyle w:val="ListParagraph"/>
              <w:ind w:left="20"/>
              <w:rPr>
                <w:rFonts w:ascii="Arial" w:hAnsi="Arial" w:cs="Arial"/>
                <w:sz w:val="24"/>
                <w:szCs w:val="24"/>
              </w:rPr>
            </w:pPr>
          </w:p>
          <w:p w:rsidR="009116F7" w:rsidRDefault="00771DD6" w:rsidP="00D24F2D">
            <w:pPr>
              <w:pStyle w:val="ListParagraph"/>
              <w:numPr>
                <w:ilvl w:val="0"/>
                <w:numId w:val="14"/>
              </w:numPr>
              <w:spacing w:line="360" w:lineRule="auto"/>
              <w:ind w:left="20" w:firstLine="0"/>
              <w:jc w:val="both"/>
              <w:rPr>
                <w:rFonts w:ascii="Arial" w:hAnsi="Arial" w:cs="Arial"/>
                <w:sz w:val="24"/>
                <w:szCs w:val="24"/>
              </w:rPr>
            </w:pPr>
            <w:r>
              <w:rPr>
                <w:rFonts w:ascii="Arial" w:hAnsi="Arial" w:cs="Arial"/>
                <w:sz w:val="24"/>
                <w:szCs w:val="24"/>
              </w:rPr>
              <w:t>Rules 76(6) and 76(8) are</w:t>
            </w:r>
            <w:r w:rsidR="009116F7">
              <w:rPr>
                <w:rFonts w:ascii="Arial" w:hAnsi="Arial" w:cs="Arial"/>
                <w:sz w:val="24"/>
                <w:szCs w:val="24"/>
              </w:rPr>
              <w:t xml:space="preserve"> applicable to reviews </w:t>
            </w:r>
            <w:r>
              <w:rPr>
                <w:rFonts w:ascii="Arial" w:hAnsi="Arial" w:cs="Arial"/>
                <w:sz w:val="24"/>
                <w:szCs w:val="24"/>
              </w:rPr>
              <w:t>specifically;</w:t>
            </w:r>
          </w:p>
          <w:p w:rsidR="009116F7" w:rsidRPr="009116F7" w:rsidRDefault="009116F7" w:rsidP="00D24F2D">
            <w:pPr>
              <w:pStyle w:val="ListParagraph"/>
              <w:ind w:left="20"/>
              <w:rPr>
                <w:rFonts w:ascii="Arial" w:hAnsi="Arial" w:cs="Arial"/>
                <w:sz w:val="24"/>
                <w:szCs w:val="24"/>
              </w:rPr>
            </w:pPr>
          </w:p>
          <w:p w:rsidR="009116F7" w:rsidRDefault="009116F7" w:rsidP="00D24F2D">
            <w:pPr>
              <w:pStyle w:val="ListParagraph"/>
              <w:numPr>
                <w:ilvl w:val="0"/>
                <w:numId w:val="14"/>
              </w:numPr>
              <w:spacing w:line="360" w:lineRule="auto"/>
              <w:ind w:left="20" w:firstLine="0"/>
              <w:jc w:val="both"/>
              <w:rPr>
                <w:rFonts w:ascii="Arial" w:hAnsi="Arial" w:cs="Arial"/>
                <w:sz w:val="24"/>
                <w:szCs w:val="24"/>
              </w:rPr>
            </w:pPr>
            <w:r>
              <w:rPr>
                <w:rFonts w:ascii="Arial" w:hAnsi="Arial" w:cs="Arial"/>
                <w:sz w:val="24"/>
                <w:szCs w:val="24"/>
              </w:rPr>
              <w:t>These rules regulate a procedural issue relating to discovery in reviews and the procedures</w:t>
            </w:r>
            <w:r w:rsidR="0088329E">
              <w:rPr>
                <w:rFonts w:ascii="Arial" w:hAnsi="Arial" w:cs="Arial"/>
                <w:sz w:val="24"/>
                <w:szCs w:val="24"/>
              </w:rPr>
              <w:t xml:space="preserve"> and rulings,</w:t>
            </w:r>
            <w:r>
              <w:rPr>
                <w:rFonts w:ascii="Arial" w:hAnsi="Arial" w:cs="Arial"/>
                <w:sz w:val="24"/>
                <w:szCs w:val="24"/>
              </w:rPr>
              <w:t xml:space="preserve"> arising from such issues</w:t>
            </w:r>
            <w:r w:rsidR="0088329E">
              <w:rPr>
                <w:rFonts w:ascii="Arial" w:hAnsi="Arial" w:cs="Arial"/>
                <w:sz w:val="24"/>
                <w:szCs w:val="24"/>
              </w:rPr>
              <w:t>,</w:t>
            </w:r>
            <w:r>
              <w:rPr>
                <w:rFonts w:ascii="Arial" w:hAnsi="Arial" w:cs="Arial"/>
                <w:sz w:val="24"/>
                <w:szCs w:val="24"/>
              </w:rPr>
              <w:t xml:space="preserve"> are interlocutory issues</w:t>
            </w:r>
            <w:r w:rsidR="00771DD6">
              <w:rPr>
                <w:rFonts w:ascii="Arial" w:hAnsi="Arial" w:cs="Arial"/>
                <w:sz w:val="24"/>
                <w:szCs w:val="24"/>
              </w:rPr>
              <w:t xml:space="preserve"> resulting in</w:t>
            </w:r>
            <w:r w:rsidR="0088329E">
              <w:rPr>
                <w:rFonts w:ascii="Arial" w:hAnsi="Arial" w:cs="Arial"/>
                <w:sz w:val="24"/>
                <w:szCs w:val="24"/>
              </w:rPr>
              <w:t xml:space="preserve"> interlocutory rulings</w:t>
            </w:r>
            <w:r>
              <w:rPr>
                <w:rFonts w:ascii="Arial" w:hAnsi="Arial" w:cs="Arial"/>
                <w:sz w:val="24"/>
                <w:szCs w:val="24"/>
              </w:rPr>
              <w:t>;</w:t>
            </w:r>
          </w:p>
          <w:p w:rsidR="000944C5" w:rsidRPr="000944C5" w:rsidRDefault="000944C5" w:rsidP="00D24F2D">
            <w:pPr>
              <w:pStyle w:val="ListParagraph"/>
              <w:ind w:left="20"/>
              <w:rPr>
                <w:rFonts w:ascii="Arial" w:hAnsi="Arial" w:cs="Arial"/>
                <w:sz w:val="24"/>
                <w:szCs w:val="24"/>
              </w:rPr>
            </w:pPr>
          </w:p>
          <w:p w:rsidR="000944C5" w:rsidRPr="005E058A" w:rsidRDefault="000944C5" w:rsidP="00D24F2D">
            <w:pPr>
              <w:pStyle w:val="ListParagraph"/>
              <w:numPr>
                <w:ilvl w:val="0"/>
                <w:numId w:val="14"/>
              </w:numPr>
              <w:spacing w:line="360" w:lineRule="auto"/>
              <w:ind w:left="20" w:firstLine="0"/>
              <w:jc w:val="both"/>
              <w:rPr>
                <w:rFonts w:ascii="Arial" w:hAnsi="Arial" w:cs="Arial"/>
                <w:sz w:val="24"/>
                <w:szCs w:val="24"/>
              </w:rPr>
            </w:pPr>
            <w:r>
              <w:rPr>
                <w:rFonts w:ascii="Arial" w:hAnsi="Arial" w:cs="Arial"/>
                <w:sz w:val="24"/>
                <w:szCs w:val="24"/>
              </w:rPr>
              <w:t xml:space="preserve">It is </w:t>
            </w:r>
            <w:r w:rsidR="009116F7">
              <w:rPr>
                <w:rFonts w:ascii="Arial" w:hAnsi="Arial" w:cs="Arial"/>
                <w:sz w:val="24"/>
                <w:szCs w:val="24"/>
              </w:rPr>
              <w:t xml:space="preserve">also </w:t>
            </w:r>
            <w:r>
              <w:rPr>
                <w:rFonts w:ascii="Arial" w:hAnsi="Arial" w:cs="Arial"/>
                <w:sz w:val="24"/>
                <w:szCs w:val="24"/>
              </w:rPr>
              <w:t>clear from these rules that if a dispute arises as to whether any further documents are to be ‘discovered’ the parties may approach the Court for ‘directions’</w:t>
            </w:r>
            <w:r w:rsidR="00771DD6">
              <w:rPr>
                <w:rFonts w:ascii="Arial" w:hAnsi="Arial" w:cs="Arial"/>
                <w:sz w:val="24"/>
                <w:szCs w:val="24"/>
              </w:rPr>
              <w:t>;</w:t>
            </w:r>
          </w:p>
          <w:p w:rsidR="009116F7" w:rsidRDefault="009116F7" w:rsidP="00D24F2D">
            <w:pPr>
              <w:pStyle w:val="ListParagraph"/>
              <w:spacing w:line="360" w:lineRule="auto"/>
              <w:ind w:left="20"/>
              <w:jc w:val="both"/>
              <w:rPr>
                <w:rFonts w:ascii="Arial" w:hAnsi="Arial" w:cs="Arial"/>
                <w:sz w:val="24"/>
                <w:szCs w:val="24"/>
              </w:rPr>
            </w:pPr>
          </w:p>
          <w:p w:rsidR="009116F7" w:rsidRDefault="009116F7" w:rsidP="00D24F2D">
            <w:pPr>
              <w:pStyle w:val="ListParagraph"/>
              <w:numPr>
                <w:ilvl w:val="0"/>
                <w:numId w:val="14"/>
              </w:numPr>
              <w:spacing w:line="360" w:lineRule="auto"/>
              <w:ind w:left="20" w:firstLine="0"/>
              <w:jc w:val="both"/>
              <w:rPr>
                <w:rFonts w:ascii="Arial" w:hAnsi="Arial" w:cs="Arial"/>
                <w:sz w:val="24"/>
                <w:szCs w:val="24"/>
              </w:rPr>
            </w:pPr>
            <w:r>
              <w:rPr>
                <w:rFonts w:ascii="Arial" w:hAnsi="Arial" w:cs="Arial"/>
                <w:sz w:val="24"/>
                <w:szCs w:val="24"/>
              </w:rPr>
              <w:t>Rule 32 of the Rules of Court – inclusive of Rules 32(9) and (10) – however governs ‘interlocutory matters’ and ‘applications for directions’;</w:t>
            </w:r>
          </w:p>
          <w:p w:rsidR="009116F7" w:rsidRPr="009116F7" w:rsidRDefault="009116F7" w:rsidP="00D24F2D">
            <w:pPr>
              <w:pStyle w:val="ListParagraph"/>
              <w:ind w:left="20"/>
              <w:rPr>
                <w:rFonts w:ascii="Arial" w:hAnsi="Arial" w:cs="Arial"/>
                <w:sz w:val="24"/>
                <w:szCs w:val="24"/>
              </w:rPr>
            </w:pPr>
          </w:p>
          <w:p w:rsidR="0088329E" w:rsidRDefault="009116F7" w:rsidP="00D24F2D">
            <w:pPr>
              <w:pStyle w:val="ListParagraph"/>
              <w:numPr>
                <w:ilvl w:val="0"/>
                <w:numId w:val="14"/>
              </w:numPr>
              <w:spacing w:line="360" w:lineRule="auto"/>
              <w:ind w:left="20" w:firstLine="0"/>
              <w:jc w:val="both"/>
              <w:rPr>
                <w:rFonts w:ascii="Arial" w:hAnsi="Arial" w:cs="Arial"/>
                <w:sz w:val="24"/>
                <w:szCs w:val="24"/>
              </w:rPr>
            </w:pPr>
            <w:r>
              <w:rPr>
                <w:rFonts w:ascii="Arial" w:hAnsi="Arial" w:cs="Arial"/>
                <w:sz w:val="24"/>
                <w:szCs w:val="24"/>
              </w:rPr>
              <w:t>Rules 76(6) and 76(8</w:t>
            </w:r>
            <w:r w:rsidR="0088329E">
              <w:rPr>
                <w:rFonts w:ascii="Arial" w:hAnsi="Arial" w:cs="Arial"/>
                <w:sz w:val="24"/>
                <w:szCs w:val="24"/>
              </w:rPr>
              <w:t>)</w:t>
            </w:r>
            <w:r>
              <w:rPr>
                <w:rFonts w:ascii="Arial" w:hAnsi="Arial" w:cs="Arial"/>
                <w:sz w:val="24"/>
                <w:szCs w:val="24"/>
              </w:rPr>
              <w:t xml:space="preserve"> must</w:t>
            </w:r>
            <w:r w:rsidR="0088329E">
              <w:rPr>
                <w:rFonts w:ascii="Arial" w:hAnsi="Arial" w:cs="Arial"/>
                <w:sz w:val="24"/>
                <w:szCs w:val="24"/>
              </w:rPr>
              <w:t xml:space="preserve"> surely</w:t>
            </w:r>
            <w:r>
              <w:rPr>
                <w:rFonts w:ascii="Arial" w:hAnsi="Arial" w:cs="Arial"/>
                <w:sz w:val="24"/>
                <w:szCs w:val="24"/>
              </w:rPr>
              <w:t xml:space="preserve"> be read in conjunction</w:t>
            </w:r>
            <w:r w:rsidR="00771DD6">
              <w:rPr>
                <w:rFonts w:ascii="Arial" w:hAnsi="Arial" w:cs="Arial"/>
                <w:sz w:val="24"/>
                <w:szCs w:val="24"/>
              </w:rPr>
              <w:t xml:space="preserve"> with Rule 32 as Rule 32</w:t>
            </w:r>
            <w:r w:rsidR="0088329E">
              <w:rPr>
                <w:rFonts w:ascii="Arial" w:hAnsi="Arial" w:cs="Arial"/>
                <w:sz w:val="24"/>
                <w:szCs w:val="24"/>
              </w:rPr>
              <w:t xml:space="preserve"> is the Rule which also governs applications for ‘directions’; </w:t>
            </w:r>
          </w:p>
          <w:p w:rsidR="0088329E" w:rsidRDefault="0088329E" w:rsidP="00D24F2D">
            <w:pPr>
              <w:pStyle w:val="ListParagraph"/>
              <w:spacing w:line="360" w:lineRule="auto"/>
              <w:ind w:left="20"/>
              <w:jc w:val="both"/>
              <w:rPr>
                <w:rFonts w:ascii="Arial" w:hAnsi="Arial" w:cs="Arial"/>
                <w:sz w:val="24"/>
                <w:szCs w:val="24"/>
              </w:rPr>
            </w:pPr>
          </w:p>
          <w:p w:rsidR="009116F7" w:rsidRDefault="0088329E" w:rsidP="00D24F2D">
            <w:pPr>
              <w:pStyle w:val="ListParagraph"/>
              <w:numPr>
                <w:ilvl w:val="0"/>
                <w:numId w:val="14"/>
              </w:numPr>
              <w:spacing w:line="360" w:lineRule="auto"/>
              <w:ind w:left="20" w:firstLine="0"/>
              <w:jc w:val="both"/>
              <w:rPr>
                <w:rFonts w:ascii="Arial" w:hAnsi="Arial" w:cs="Arial"/>
                <w:sz w:val="24"/>
                <w:szCs w:val="24"/>
              </w:rPr>
            </w:pPr>
            <w:r>
              <w:rPr>
                <w:rFonts w:ascii="Arial" w:hAnsi="Arial" w:cs="Arial"/>
                <w:sz w:val="24"/>
                <w:szCs w:val="24"/>
              </w:rPr>
              <w:t>It so emerges that the requirements imposed by Rules 32(9) and (10</w:t>
            </w:r>
            <w:r w:rsidR="00771DD6">
              <w:rPr>
                <w:rFonts w:ascii="Arial" w:hAnsi="Arial" w:cs="Arial"/>
                <w:sz w:val="24"/>
                <w:szCs w:val="24"/>
              </w:rPr>
              <w:t>) are squarely applicable to any</w:t>
            </w:r>
            <w:r>
              <w:rPr>
                <w:rFonts w:ascii="Arial" w:hAnsi="Arial" w:cs="Arial"/>
                <w:sz w:val="24"/>
                <w:szCs w:val="24"/>
              </w:rPr>
              <w:t xml:space="preserve"> directions issued in terms of Rule 76(8);</w:t>
            </w:r>
          </w:p>
          <w:p w:rsidR="0088329E" w:rsidRPr="0088329E" w:rsidRDefault="0088329E" w:rsidP="00D24F2D">
            <w:pPr>
              <w:pStyle w:val="ListParagraph"/>
              <w:ind w:left="20"/>
              <w:rPr>
                <w:rFonts w:ascii="Arial" w:hAnsi="Arial" w:cs="Arial"/>
                <w:sz w:val="24"/>
                <w:szCs w:val="24"/>
              </w:rPr>
            </w:pPr>
          </w:p>
          <w:p w:rsidR="009116F7" w:rsidRDefault="0088329E" w:rsidP="00D24F2D">
            <w:pPr>
              <w:pStyle w:val="ListParagraph"/>
              <w:numPr>
                <w:ilvl w:val="0"/>
                <w:numId w:val="14"/>
              </w:numPr>
              <w:spacing w:line="360" w:lineRule="auto"/>
              <w:ind w:left="20" w:firstLine="0"/>
              <w:jc w:val="both"/>
              <w:rPr>
                <w:rFonts w:ascii="Arial" w:hAnsi="Arial" w:cs="Arial"/>
                <w:sz w:val="24"/>
                <w:szCs w:val="24"/>
              </w:rPr>
            </w:pPr>
            <w:r>
              <w:rPr>
                <w:rFonts w:ascii="Arial" w:hAnsi="Arial" w:cs="Arial"/>
                <w:sz w:val="24"/>
                <w:szCs w:val="24"/>
              </w:rPr>
              <w:t>The appli</w:t>
            </w:r>
            <w:r w:rsidR="00771DD6">
              <w:rPr>
                <w:rFonts w:ascii="Arial" w:hAnsi="Arial" w:cs="Arial"/>
                <w:sz w:val="24"/>
                <w:szCs w:val="24"/>
              </w:rPr>
              <w:t>cant has not complied with the</w:t>
            </w:r>
            <w:r>
              <w:rPr>
                <w:rFonts w:ascii="Arial" w:hAnsi="Arial" w:cs="Arial"/>
                <w:sz w:val="24"/>
                <w:szCs w:val="24"/>
              </w:rPr>
              <w:t xml:space="preserve"> requirements</w:t>
            </w:r>
            <w:r w:rsidRPr="0088329E">
              <w:rPr>
                <w:rFonts w:ascii="Arial" w:hAnsi="Arial" w:cs="Arial"/>
                <w:sz w:val="24"/>
                <w:szCs w:val="24"/>
              </w:rPr>
              <w:t xml:space="preserve"> imposed by Rules 32(9) and </w:t>
            </w:r>
            <w:r w:rsidR="00F338CF">
              <w:rPr>
                <w:rFonts w:ascii="Arial" w:hAnsi="Arial" w:cs="Arial"/>
                <w:sz w:val="24"/>
                <w:szCs w:val="24"/>
              </w:rPr>
              <w:t>(10).</w:t>
            </w:r>
          </w:p>
          <w:p w:rsidR="0088329E" w:rsidRPr="0088329E" w:rsidRDefault="0088329E" w:rsidP="0088329E">
            <w:pPr>
              <w:spacing w:line="360" w:lineRule="auto"/>
              <w:jc w:val="both"/>
              <w:rPr>
                <w:rFonts w:ascii="Arial" w:hAnsi="Arial" w:cs="Arial"/>
                <w:sz w:val="24"/>
                <w:szCs w:val="24"/>
              </w:rPr>
            </w:pPr>
          </w:p>
          <w:p w:rsidR="0034499F" w:rsidRDefault="000D17B0" w:rsidP="000D17B0">
            <w:pPr>
              <w:spacing w:line="360" w:lineRule="auto"/>
              <w:jc w:val="both"/>
              <w:rPr>
                <w:rFonts w:ascii="Arial" w:hAnsi="Arial" w:cs="Arial"/>
                <w:sz w:val="24"/>
                <w:szCs w:val="24"/>
              </w:rPr>
            </w:pPr>
            <w:r>
              <w:rPr>
                <w:rFonts w:ascii="Arial" w:hAnsi="Arial" w:cs="Arial"/>
                <w:sz w:val="24"/>
                <w:szCs w:val="24"/>
              </w:rPr>
              <w:t>[</w:t>
            </w:r>
            <w:r w:rsidR="00D24F2D">
              <w:rPr>
                <w:rFonts w:ascii="Arial" w:hAnsi="Arial" w:cs="Arial"/>
                <w:sz w:val="24"/>
                <w:szCs w:val="24"/>
              </w:rPr>
              <w:t>14</w:t>
            </w:r>
            <w:proofErr w:type="gramStart"/>
            <w:r>
              <w:rPr>
                <w:rFonts w:ascii="Arial" w:hAnsi="Arial" w:cs="Arial"/>
                <w:sz w:val="24"/>
                <w:szCs w:val="24"/>
              </w:rPr>
              <w:t>]</w:t>
            </w:r>
            <w:r w:rsidR="00D24F2D">
              <w:rPr>
                <w:rFonts w:ascii="Arial" w:hAnsi="Arial" w:cs="Arial"/>
                <w:sz w:val="24"/>
                <w:szCs w:val="24"/>
              </w:rPr>
              <w:t xml:space="preserve">  </w:t>
            </w:r>
            <w:r w:rsidR="00C74E6A">
              <w:rPr>
                <w:rFonts w:ascii="Arial" w:hAnsi="Arial" w:cs="Arial"/>
                <w:sz w:val="24"/>
                <w:szCs w:val="24"/>
              </w:rPr>
              <w:t>It</w:t>
            </w:r>
            <w:proofErr w:type="gramEnd"/>
            <w:r w:rsidR="00C74E6A">
              <w:rPr>
                <w:rFonts w:ascii="Arial" w:hAnsi="Arial" w:cs="Arial"/>
                <w:sz w:val="24"/>
                <w:szCs w:val="24"/>
              </w:rPr>
              <w:t xml:space="preserve"> so appears that the remaining grounds</w:t>
            </w:r>
            <w:r w:rsidR="00771DD6">
              <w:rPr>
                <w:rFonts w:ascii="Arial" w:hAnsi="Arial" w:cs="Arial"/>
                <w:sz w:val="24"/>
                <w:szCs w:val="24"/>
              </w:rPr>
              <w:t>,</w:t>
            </w:r>
            <w:r w:rsidR="00C74E6A">
              <w:rPr>
                <w:rFonts w:ascii="Arial" w:hAnsi="Arial" w:cs="Arial"/>
                <w:sz w:val="24"/>
                <w:szCs w:val="24"/>
              </w:rPr>
              <w:t xml:space="preserve"> on which the applicant’s deliberate election not to comply with Rules 32(9) and (10)</w:t>
            </w:r>
            <w:r w:rsidR="00771DD6">
              <w:rPr>
                <w:rFonts w:ascii="Arial" w:hAnsi="Arial" w:cs="Arial"/>
                <w:sz w:val="24"/>
                <w:szCs w:val="24"/>
              </w:rPr>
              <w:t xml:space="preserve"> are based,</w:t>
            </w:r>
            <w:r w:rsidR="00C74E6A">
              <w:rPr>
                <w:rFonts w:ascii="Arial" w:hAnsi="Arial" w:cs="Arial"/>
                <w:sz w:val="24"/>
                <w:szCs w:val="24"/>
              </w:rPr>
              <w:t xml:space="preserve"> must be rejected</w:t>
            </w:r>
            <w:r w:rsidR="00A97520">
              <w:rPr>
                <w:rFonts w:ascii="Arial" w:hAnsi="Arial" w:cs="Arial"/>
                <w:sz w:val="24"/>
                <w:szCs w:val="24"/>
              </w:rPr>
              <w:t xml:space="preserve"> as</w:t>
            </w:r>
            <w:r w:rsidR="0034499F">
              <w:rPr>
                <w:rFonts w:ascii="Arial" w:hAnsi="Arial" w:cs="Arial"/>
                <w:sz w:val="24"/>
                <w:szCs w:val="24"/>
              </w:rPr>
              <w:t xml:space="preserve"> the applicant, clearly had to comply with these rules</w:t>
            </w:r>
            <w:r w:rsidR="00C74E6A">
              <w:rPr>
                <w:rFonts w:ascii="Arial" w:hAnsi="Arial" w:cs="Arial"/>
                <w:sz w:val="24"/>
                <w:szCs w:val="24"/>
              </w:rPr>
              <w:t>.</w:t>
            </w:r>
          </w:p>
          <w:p w:rsidR="0034499F" w:rsidRDefault="0034499F" w:rsidP="000D17B0">
            <w:pPr>
              <w:spacing w:line="360" w:lineRule="auto"/>
              <w:jc w:val="both"/>
              <w:rPr>
                <w:rFonts w:ascii="Arial" w:hAnsi="Arial" w:cs="Arial"/>
                <w:sz w:val="24"/>
                <w:szCs w:val="24"/>
              </w:rPr>
            </w:pPr>
          </w:p>
          <w:p w:rsidR="0034499F" w:rsidRDefault="0034499F" w:rsidP="000D17B0">
            <w:pPr>
              <w:spacing w:line="360" w:lineRule="auto"/>
              <w:jc w:val="both"/>
              <w:rPr>
                <w:rFonts w:ascii="Arial" w:hAnsi="Arial" w:cs="Arial"/>
                <w:sz w:val="24"/>
                <w:szCs w:val="24"/>
              </w:rPr>
            </w:pPr>
            <w:r>
              <w:rPr>
                <w:rFonts w:ascii="Arial" w:hAnsi="Arial" w:cs="Arial"/>
                <w:sz w:val="24"/>
                <w:szCs w:val="24"/>
              </w:rPr>
              <w:t>[15</w:t>
            </w:r>
            <w:proofErr w:type="gramStart"/>
            <w:r>
              <w:rPr>
                <w:rFonts w:ascii="Arial" w:hAnsi="Arial" w:cs="Arial"/>
                <w:sz w:val="24"/>
                <w:szCs w:val="24"/>
              </w:rPr>
              <w:t>]  The</w:t>
            </w:r>
            <w:proofErr w:type="gramEnd"/>
            <w:r>
              <w:rPr>
                <w:rFonts w:ascii="Arial" w:hAnsi="Arial" w:cs="Arial"/>
                <w:sz w:val="24"/>
                <w:szCs w:val="24"/>
              </w:rPr>
              <w:t xml:space="preserve"> compliance with the said rules, in my view</w:t>
            </w:r>
            <w:r w:rsidR="00A97520">
              <w:rPr>
                <w:rFonts w:ascii="Arial" w:hAnsi="Arial" w:cs="Arial"/>
                <w:sz w:val="24"/>
                <w:szCs w:val="24"/>
              </w:rPr>
              <w:t>,</w:t>
            </w:r>
            <w:r>
              <w:rPr>
                <w:rFonts w:ascii="Arial" w:hAnsi="Arial" w:cs="Arial"/>
                <w:sz w:val="24"/>
                <w:szCs w:val="24"/>
              </w:rPr>
              <w:t xml:space="preserve"> remains</w:t>
            </w:r>
            <w:r w:rsidR="00A97520">
              <w:rPr>
                <w:rFonts w:ascii="Arial" w:hAnsi="Arial" w:cs="Arial"/>
                <w:sz w:val="24"/>
                <w:szCs w:val="24"/>
              </w:rPr>
              <w:t xml:space="preserve"> in any event</w:t>
            </w:r>
            <w:r>
              <w:rPr>
                <w:rFonts w:ascii="Arial" w:hAnsi="Arial" w:cs="Arial"/>
                <w:sz w:val="24"/>
                <w:szCs w:val="24"/>
              </w:rPr>
              <w:t xml:space="preserve"> relevant – now more so than ever – particularly as the parties are now in a most favourable position to re-assess each other’s ca</w:t>
            </w:r>
            <w:r w:rsidR="00A97520">
              <w:rPr>
                <w:rFonts w:ascii="Arial" w:hAnsi="Arial" w:cs="Arial"/>
                <w:sz w:val="24"/>
                <w:szCs w:val="24"/>
              </w:rPr>
              <w:t>ses in regard to</w:t>
            </w:r>
            <w:r>
              <w:rPr>
                <w:rFonts w:ascii="Arial" w:hAnsi="Arial" w:cs="Arial"/>
                <w:sz w:val="24"/>
                <w:szCs w:val="24"/>
              </w:rPr>
              <w:t xml:space="preserve"> the sought</w:t>
            </w:r>
            <w:r w:rsidR="00A97520">
              <w:rPr>
                <w:rFonts w:ascii="Arial" w:hAnsi="Arial" w:cs="Arial"/>
                <w:sz w:val="24"/>
                <w:szCs w:val="24"/>
              </w:rPr>
              <w:t xml:space="preserve"> additional</w:t>
            </w:r>
            <w:r>
              <w:rPr>
                <w:rFonts w:ascii="Arial" w:hAnsi="Arial" w:cs="Arial"/>
                <w:sz w:val="24"/>
                <w:szCs w:val="24"/>
              </w:rPr>
              <w:t xml:space="preserve"> discovery, in view of the heads of argument already exchanged. The</w:t>
            </w:r>
            <w:r w:rsidR="00A97520">
              <w:rPr>
                <w:rFonts w:ascii="Arial" w:hAnsi="Arial" w:cs="Arial"/>
                <w:sz w:val="24"/>
                <w:szCs w:val="24"/>
              </w:rPr>
              <w:t xml:space="preserve"> rules require that</w:t>
            </w:r>
            <w:r w:rsidR="005F57F5">
              <w:rPr>
                <w:rFonts w:ascii="Arial" w:hAnsi="Arial" w:cs="Arial"/>
                <w:sz w:val="24"/>
                <w:szCs w:val="24"/>
              </w:rPr>
              <w:t xml:space="preserve"> the</w:t>
            </w:r>
            <w:r>
              <w:rPr>
                <w:rFonts w:ascii="Arial" w:hAnsi="Arial" w:cs="Arial"/>
                <w:sz w:val="24"/>
                <w:szCs w:val="24"/>
              </w:rPr>
              <w:t xml:space="preserve"> pa</w:t>
            </w:r>
            <w:r w:rsidR="005F57F5">
              <w:rPr>
                <w:rFonts w:ascii="Arial" w:hAnsi="Arial" w:cs="Arial"/>
                <w:sz w:val="24"/>
                <w:szCs w:val="24"/>
              </w:rPr>
              <w:t>rties</w:t>
            </w:r>
            <w:r>
              <w:rPr>
                <w:rFonts w:ascii="Arial" w:hAnsi="Arial" w:cs="Arial"/>
                <w:sz w:val="24"/>
                <w:szCs w:val="24"/>
              </w:rPr>
              <w:t xml:space="preserve"> engage each other</w:t>
            </w:r>
            <w:r w:rsidR="005F57F5">
              <w:rPr>
                <w:rFonts w:ascii="Arial" w:hAnsi="Arial" w:cs="Arial"/>
                <w:sz w:val="24"/>
                <w:szCs w:val="24"/>
              </w:rPr>
              <w:t xml:space="preserve"> –</w:t>
            </w:r>
            <w:r>
              <w:rPr>
                <w:rFonts w:ascii="Arial" w:hAnsi="Arial" w:cs="Arial"/>
                <w:sz w:val="24"/>
                <w:szCs w:val="24"/>
              </w:rPr>
              <w:t xml:space="preserve"> meaningfully</w:t>
            </w:r>
            <w:r w:rsidR="005F57F5">
              <w:rPr>
                <w:rFonts w:ascii="Arial" w:hAnsi="Arial" w:cs="Arial"/>
                <w:sz w:val="24"/>
                <w:szCs w:val="24"/>
              </w:rPr>
              <w:t xml:space="preserve"> -</w:t>
            </w:r>
            <w:r>
              <w:rPr>
                <w:rFonts w:ascii="Arial" w:hAnsi="Arial" w:cs="Arial"/>
                <w:sz w:val="24"/>
                <w:szCs w:val="24"/>
              </w:rPr>
              <w:t xml:space="preserve"> before the launching of any interlocutory proceeding</w:t>
            </w:r>
            <w:r w:rsidR="005F57F5">
              <w:rPr>
                <w:rFonts w:ascii="Arial" w:hAnsi="Arial" w:cs="Arial"/>
                <w:sz w:val="24"/>
                <w:szCs w:val="24"/>
              </w:rPr>
              <w:t>: the ‘table for such an engagement i</w:t>
            </w:r>
            <w:r w:rsidR="00A97520">
              <w:rPr>
                <w:rFonts w:ascii="Arial" w:hAnsi="Arial" w:cs="Arial"/>
                <w:sz w:val="24"/>
                <w:szCs w:val="24"/>
              </w:rPr>
              <w:t>s now optimally</w:t>
            </w:r>
            <w:r w:rsidR="005F57F5">
              <w:rPr>
                <w:rFonts w:ascii="Arial" w:hAnsi="Arial" w:cs="Arial"/>
                <w:sz w:val="24"/>
                <w:szCs w:val="24"/>
              </w:rPr>
              <w:t xml:space="preserve"> laid’. I encourage the parties</w:t>
            </w:r>
            <w:r w:rsidR="00A97520">
              <w:rPr>
                <w:rFonts w:ascii="Arial" w:hAnsi="Arial" w:cs="Arial"/>
                <w:sz w:val="24"/>
                <w:szCs w:val="24"/>
              </w:rPr>
              <w:t xml:space="preserve"> to utilise this opportunity</w:t>
            </w:r>
            <w:r w:rsidR="005F57F5">
              <w:rPr>
                <w:rFonts w:ascii="Arial" w:hAnsi="Arial" w:cs="Arial"/>
                <w:sz w:val="24"/>
                <w:szCs w:val="24"/>
              </w:rPr>
              <w:t>.</w:t>
            </w:r>
          </w:p>
          <w:p w:rsidR="00C74E6A" w:rsidRDefault="00C74E6A" w:rsidP="000D17B0">
            <w:pPr>
              <w:spacing w:line="360" w:lineRule="auto"/>
              <w:jc w:val="both"/>
              <w:rPr>
                <w:rFonts w:ascii="Arial" w:hAnsi="Arial" w:cs="Arial"/>
                <w:sz w:val="24"/>
                <w:szCs w:val="24"/>
              </w:rPr>
            </w:pPr>
          </w:p>
          <w:p w:rsidR="00F338CF" w:rsidRDefault="00C74E6A" w:rsidP="000D17B0">
            <w:pPr>
              <w:spacing w:line="360" w:lineRule="auto"/>
              <w:jc w:val="both"/>
              <w:rPr>
                <w:rFonts w:ascii="Arial" w:hAnsi="Arial" w:cs="Arial"/>
                <w:sz w:val="24"/>
                <w:szCs w:val="24"/>
              </w:rPr>
            </w:pPr>
            <w:r>
              <w:rPr>
                <w:rFonts w:ascii="Arial" w:hAnsi="Arial" w:cs="Arial"/>
                <w:sz w:val="24"/>
                <w:szCs w:val="24"/>
              </w:rPr>
              <w:t>[</w:t>
            </w:r>
            <w:r w:rsidR="0034499F">
              <w:rPr>
                <w:rFonts w:ascii="Arial" w:hAnsi="Arial" w:cs="Arial"/>
                <w:sz w:val="24"/>
                <w:szCs w:val="24"/>
              </w:rPr>
              <w:t>16</w:t>
            </w:r>
            <w:r>
              <w:rPr>
                <w:rFonts w:ascii="Arial" w:hAnsi="Arial" w:cs="Arial"/>
                <w:sz w:val="24"/>
                <w:szCs w:val="24"/>
              </w:rPr>
              <w:t>]</w:t>
            </w:r>
            <w:r w:rsidR="00D24F2D">
              <w:rPr>
                <w:rFonts w:ascii="Arial" w:hAnsi="Arial" w:cs="Arial"/>
                <w:sz w:val="24"/>
                <w:szCs w:val="24"/>
              </w:rPr>
              <w:t xml:space="preserve">  </w:t>
            </w:r>
            <w:r w:rsidR="00F338CF" w:rsidRPr="000D17B0">
              <w:rPr>
                <w:rFonts w:ascii="Arial" w:hAnsi="Arial" w:cs="Arial"/>
                <w:sz w:val="24"/>
                <w:szCs w:val="24"/>
              </w:rPr>
              <w:t>The</w:t>
            </w:r>
            <w:r w:rsidR="00705DA8" w:rsidRPr="000D17B0">
              <w:rPr>
                <w:rFonts w:ascii="Arial" w:hAnsi="Arial" w:cs="Arial"/>
                <w:sz w:val="24"/>
                <w:szCs w:val="24"/>
              </w:rPr>
              <w:t xml:space="preserve"> inevitable fate that</w:t>
            </w:r>
            <w:r w:rsidR="005F57F5">
              <w:rPr>
                <w:rFonts w:ascii="Arial" w:hAnsi="Arial" w:cs="Arial"/>
                <w:sz w:val="24"/>
                <w:szCs w:val="24"/>
              </w:rPr>
              <w:t xml:space="preserve"> however</w:t>
            </w:r>
            <w:r w:rsidR="00705DA8" w:rsidRPr="000D17B0">
              <w:rPr>
                <w:rFonts w:ascii="Arial" w:hAnsi="Arial" w:cs="Arial"/>
                <w:sz w:val="24"/>
                <w:szCs w:val="24"/>
              </w:rPr>
              <w:t xml:space="preserve"> befalls an applicant in such scenario</w:t>
            </w:r>
            <w:r w:rsidR="005F57F5">
              <w:rPr>
                <w:rFonts w:ascii="Arial" w:hAnsi="Arial" w:cs="Arial"/>
                <w:sz w:val="24"/>
                <w:szCs w:val="24"/>
              </w:rPr>
              <w:t xml:space="preserve"> – and thus also the applicant in this case</w:t>
            </w:r>
            <w:r w:rsidR="00705DA8" w:rsidRPr="000D17B0">
              <w:rPr>
                <w:rFonts w:ascii="Arial" w:hAnsi="Arial" w:cs="Arial"/>
                <w:sz w:val="24"/>
                <w:szCs w:val="24"/>
              </w:rPr>
              <w:t xml:space="preserve"> – and the</w:t>
            </w:r>
            <w:r w:rsidR="00F338CF" w:rsidRPr="000D17B0">
              <w:rPr>
                <w:rFonts w:ascii="Arial" w:hAnsi="Arial" w:cs="Arial"/>
                <w:sz w:val="24"/>
                <w:szCs w:val="24"/>
              </w:rPr>
              <w:t xml:space="preserve"> case law is clear on this</w:t>
            </w:r>
            <w:r w:rsidR="00705DA8">
              <w:rPr>
                <w:rStyle w:val="FootnoteReference"/>
                <w:rFonts w:ascii="Arial" w:hAnsi="Arial" w:cs="Arial"/>
                <w:sz w:val="24"/>
                <w:szCs w:val="24"/>
              </w:rPr>
              <w:footnoteReference w:id="9"/>
            </w:r>
            <w:r w:rsidR="00705DA8" w:rsidRPr="000D17B0">
              <w:rPr>
                <w:rFonts w:ascii="Arial" w:hAnsi="Arial" w:cs="Arial"/>
                <w:sz w:val="24"/>
                <w:szCs w:val="24"/>
              </w:rPr>
              <w:t xml:space="preserve"> – is</w:t>
            </w:r>
            <w:r w:rsidR="000D17B0">
              <w:rPr>
                <w:rFonts w:ascii="Arial" w:hAnsi="Arial" w:cs="Arial"/>
                <w:sz w:val="24"/>
                <w:szCs w:val="24"/>
              </w:rPr>
              <w:t xml:space="preserve"> –</w:t>
            </w:r>
            <w:r w:rsidR="00705DA8" w:rsidRPr="000D17B0">
              <w:rPr>
                <w:rFonts w:ascii="Arial" w:hAnsi="Arial" w:cs="Arial"/>
                <w:sz w:val="24"/>
                <w:szCs w:val="24"/>
              </w:rPr>
              <w:t xml:space="preserve"> </w:t>
            </w:r>
            <w:r w:rsidR="00000A85">
              <w:rPr>
                <w:rFonts w:ascii="Arial" w:hAnsi="Arial" w:cs="Arial"/>
                <w:sz w:val="24"/>
                <w:szCs w:val="24"/>
              </w:rPr>
              <w:t>that the applicant’s Rule 76(6)</w:t>
            </w:r>
            <w:r w:rsidR="00705DA8" w:rsidRPr="000D17B0">
              <w:rPr>
                <w:rFonts w:ascii="Arial" w:hAnsi="Arial" w:cs="Arial"/>
                <w:sz w:val="24"/>
                <w:szCs w:val="24"/>
              </w:rPr>
              <w:t xml:space="preserve"> application</w:t>
            </w:r>
            <w:r w:rsidR="005F57F5">
              <w:rPr>
                <w:rFonts w:ascii="Arial" w:hAnsi="Arial" w:cs="Arial"/>
                <w:sz w:val="24"/>
                <w:szCs w:val="24"/>
              </w:rPr>
              <w:t xml:space="preserve"> – in the absence of compliance with Rules 32(9) and (10) -</w:t>
            </w:r>
            <w:r w:rsidR="00705DA8" w:rsidRPr="000D17B0">
              <w:rPr>
                <w:rFonts w:ascii="Arial" w:hAnsi="Arial" w:cs="Arial"/>
                <w:sz w:val="24"/>
                <w:szCs w:val="24"/>
              </w:rPr>
              <w:t xml:space="preserve"> is to be struck</w:t>
            </w:r>
            <w:r w:rsidR="000D17B0">
              <w:rPr>
                <w:rFonts w:ascii="Arial" w:hAnsi="Arial" w:cs="Arial"/>
                <w:sz w:val="24"/>
                <w:szCs w:val="24"/>
              </w:rPr>
              <w:t xml:space="preserve"> with costs.</w:t>
            </w:r>
          </w:p>
          <w:p w:rsidR="00771DD6" w:rsidRDefault="00771DD6" w:rsidP="000D17B0">
            <w:pPr>
              <w:spacing w:line="360" w:lineRule="auto"/>
              <w:jc w:val="both"/>
              <w:rPr>
                <w:rFonts w:ascii="Arial" w:hAnsi="Arial" w:cs="Arial"/>
                <w:sz w:val="24"/>
                <w:szCs w:val="24"/>
              </w:rPr>
            </w:pPr>
          </w:p>
          <w:p w:rsidR="00771DD6" w:rsidRPr="000D17B0" w:rsidRDefault="00771DD6" w:rsidP="000D17B0">
            <w:pPr>
              <w:spacing w:line="360" w:lineRule="auto"/>
              <w:jc w:val="both"/>
              <w:rPr>
                <w:rFonts w:ascii="Arial" w:hAnsi="Arial" w:cs="Arial"/>
                <w:sz w:val="24"/>
                <w:szCs w:val="24"/>
              </w:rPr>
            </w:pPr>
            <w:r>
              <w:rPr>
                <w:rFonts w:ascii="Arial" w:hAnsi="Arial" w:cs="Arial"/>
                <w:sz w:val="24"/>
                <w:szCs w:val="24"/>
              </w:rPr>
              <w:t>[1</w:t>
            </w:r>
            <w:r w:rsidR="005D0028">
              <w:rPr>
                <w:rFonts w:ascii="Arial" w:hAnsi="Arial" w:cs="Arial"/>
                <w:sz w:val="24"/>
                <w:szCs w:val="24"/>
              </w:rPr>
              <w:t>7</w:t>
            </w:r>
            <w:proofErr w:type="gramStart"/>
            <w:r>
              <w:rPr>
                <w:rFonts w:ascii="Arial" w:hAnsi="Arial" w:cs="Arial"/>
                <w:sz w:val="24"/>
                <w:szCs w:val="24"/>
              </w:rPr>
              <w:t>]  Such</w:t>
            </w:r>
            <w:proofErr w:type="gramEnd"/>
            <w:r>
              <w:rPr>
                <w:rFonts w:ascii="Arial" w:hAnsi="Arial" w:cs="Arial"/>
                <w:sz w:val="24"/>
                <w:szCs w:val="24"/>
              </w:rPr>
              <w:t xml:space="preserve"> orders are accordingly made.</w:t>
            </w:r>
          </w:p>
          <w:p w:rsidR="00711F52" w:rsidRDefault="00711F52" w:rsidP="00026D86">
            <w:pPr>
              <w:spacing w:line="360" w:lineRule="auto"/>
              <w:jc w:val="both"/>
              <w:rPr>
                <w:rFonts w:ascii="Arial" w:hAnsi="Arial" w:cs="Arial"/>
              </w:rPr>
            </w:pPr>
          </w:p>
          <w:p w:rsidR="00144B2B" w:rsidRDefault="00144B2B" w:rsidP="00026D86">
            <w:pPr>
              <w:spacing w:line="360" w:lineRule="auto"/>
              <w:jc w:val="both"/>
              <w:rPr>
                <w:rFonts w:ascii="Arial" w:hAnsi="Arial" w:cs="Arial"/>
              </w:rPr>
            </w:pPr>
          </w:p>
          <w:p w:rsidR="00144B2B" w:rsidRDefault="00144B2B" w:rsidP="00026D86">
            <w:pPr>
              <w:spacing w:line="360" w:lineRule="auto"/>
              <w:jc w:val="both"/>
              <w:rPr>
                <w:rFonts w:ascii="Arial" w:hAnsi="Arial" w:cs="Arial"/>
              </w:rPr>
            </w:pPr>
          </w:p>
          <w:p w:rsidR="00144B2B" w:rsidRPr="006E49A3" w:rsidRDefault="00144B2B" w:rsidP="00026D86">
            <w:pPr>
              <w:spacing w:line="360" w:lineRule="auto"/>
              <w:jc w:val="both"/>
              <w:rPr>
                <w:rFonts w:ascii="Arial" w:hAnsi="Arial" w:cs="Arial"/>
              </w:rPr>
            </w:pPr>
          </w:p>
        </w:tc>
      </w:tr>
      <w:tr w:rsidR="00BE5489" w:rsidRPr="006E49A3" w:rsidTr="00C04EBD">
        <w:tc>
          <w:tcPr>
            <w:tcW w:w="4770" w:type="dxa"/>
          </w:tcPr>
          <w:p w:rsidR="00BE5489" w:rsidRPr="006E49A3" w:rsidRDefault="00D24F2D" w:rsidP="0050338C">
            <w:pPr>
              <w:spacing w:line="360" w:lineRule="auto"/>
              <w:jc w:val="center"/>
              <w:rPr>
                <w:rFonts w:ascii="Arial" w:hAnsi="Arial" w:cs="Arial"/>
                <w:b/>
              </w:rPr>
            </w:pPr>
            <w:r>
              <w:rPr>
                <w:rFonts w:ascii="Arial" w:hAnsi="Arial" w:cs="Arial"/>
                <w:b/>
              </w:rPr>
              <w:lastRenderedPageBreak/>
              <w:t>Judge’s signature</w:t>
            </w:r>
            <w:r w:rsidR="00AF3C29">
              <w:rPr>
                <w:rFonts w:ascii="Arial" w:hAnsi="Arial" w:cs="Arial"/>
                <w:b/>
              </w:rPr>
              <w:t xml:space="preserve">  </w:t>
            </w:r>
          </w:p>
        </w:tc>
        <w:tc>
          <w:tcPr>
            <w:tcW w:w="4950" w:type="dxa"/>
            <w:gridSpan w:val="2"/>
          </w:tcPr>
          <w:p w:rsidR="00BE5489" w:rsidRPr="006E49A3" w:rsidRDefault="00EB27A0" w:rsidP="0050338C">
            <w:pPr>
              <w:spacing w:line="360" w:lineRule="auto"/>
              <w:jc w:val="center"/>
              <w:rPr>
                <w:rFonts w:ascii="Arial" w:hAnsi="Arial" w:cs="Arial"/>
                <w:b/>
              </w:rPr>
            </w:pPr>
            <w:r w:rsidRPr="006E49A3">
              <w:rPr>
                <w:rFonts w:ascii="Arial" w:hAnsi="Arial" w:cs="Arial"/>
                <w:b/>
              </w:rPr>
              <w:t>Note to the parties:</w:t>
            </w:r>
          </w:p>
        </w:tc>
      </w:tr>
      <w:tr w:rsidR="00BE5489" w:rsidRPr="006E49A3" w:rsidTr="0050338C">
        <w:trPr>
          <w:trHeight w:val="1114"/>
        </w:trPr>
        <w:tc>
          <w:tcPr>
            <w:tcW w:w="4770" w:type="dxa"/>
          </w:tcPr>
          <w:p w:rsidR="00BE5489" w:rsidRPr="006E49A3" w:rsidRDefault="00BE5489" w:rsidP="00EB27A0">
            <w:pPr>
              <w:spacing w:line="360" w:lineRule="auto"/>
              <w:jc w:val="both"/>
              <w:rPr>
                <w:rFonts w:ascii="Arial" w:hAnsi="Arial" w:cs="Arial"/>
              </w:rPr>
            </w:pPr>
          </w:p>
          <w:p w:rsidR="009F6C8B" w:rsidRPr="006E49A3" w:rsidRDefault="009F6C8B" w:rsidP="00EB27A0">
            <w:pPr>
              <w:spacing w:line="360" w:lineRule="auto"/>
              <w:jc w:val="both"/>
              <w:rPr>
                <w:rFonts w:ascii="Arial" w:hAnsi="Arial" w:cs="Arial"/>
              </w:rPr>
            </w:pPr>
          </w:p>
        </w:tc>
        <w:tc>
          <w:tcPr>
            <w:tcW w:w="4950" w:type="dxa"/>
            <w:gridSpan w:val="2"/>
          </w:tcPr>
          <w:p w:rsidR="00BE5489" w:rsidRPr="006E49A3" w:rsidRDefault="0060394A" w:rsidP="00952193">
            <w:pPr>
              <w:spacing w:line="360" w:lineRule="auto"/>
              <w:jc w:val="both"/>
              <w:rPr>
                <w:rFonts w:ascii="Arial" w:hAnsi="Arial" w:cs="Arial"/>
              </w:rPr>
            </w:pPr>
            <w:r w:rsidRPr="006E49A3">
              <w:rPr>
                <w:rFonts w:ascii="Arial" w:hAnsi="Arial" w:cs="Arial"/>
              </w:rPr>
              <w:t>Not applicable.</w:t>
            </w:r>
          </w:p>
        </w:tc>
      </w:tr>
      <w:tr w:rsidR="00A23F8A" w:rsidRPr="006E49A3" w:rsidTr="00B530B4">
        <w:tc>
          <w:tcPr>
            <w:tcW w:w="9720" w:type="dxa"/>
            <w:gridSpan w:val="3"/>
          </w:tcPr>
          <w:p w:rsidR="00A23F8A" w:rsidRPr="006E49A3" w:rsidRDefault="00A23F8A" w:rsidP="00A23F8A">
            <w:pPr>
              <w:spacing w:line="360" w:lineRule="auto"/>
              <w:jc w:val="center"/>
              <w:rPr>
                <w:rFonts w:ascii="Arial" w:hAnsi="Arial" w:cs="Arial"/>
                <w:b/>
              </w:rPr>
            </w:pPr>
            <w:r w:rsidRPr="006E49A3">
              <w:rPr>
                <w:rFonts w:ascii="Arial" w:hAnsi="Arial" w:cs="Arial"/>
                <w:b/>
              </w:rPr>
              <w:t>Counsel:</w:t>
            </w:r>
          </w:p>
        </w:tc>
      </w:tr>
      <w:tr w:rsidR="00FD38C2" w:rsidRPr="006E49A3" w:rsidTr="00FD38C2">
        <w:tc>
          <w:tcPr>
            <w:tcW w:w="4770" w:type="dxa"/>
          </w:tcPr>
          <w:p w:rsidR="00FD38C2" w:rsidRPr="006E49A3" w:rsidRDefault="00890143" w:rsidP="00265783">
            <w:pPr>
              <w:spacing w:line="360" w:lineRule="auto"/>
              <w:jc w:val="center"/>
              <w:rPr>
                <w:rFonts w:ascii="Arial" w:hAnsi="Arial" w:cs="Arial"/>
                <w:b/>
              </w:rPr>
            </w:pPr>
            <w:r w:rsidRPr="006E49A3">
              <w:rPr>
                <w:rFonts w:ascii="Arial" w:hAnsi="Arial" w:cs="Arial"/>
                <w:b/>
              </w:rPr>
              <w:t>Applicant</w:t>
            </w:r>
          </w:p>
        </w:tc>
        <w:tc>
          <w:tcPr>
            <w:tcW w:w="4950" w:type="dxa"/>
            <w:gridSpan w:val="2"/>
          </w:tcPr>
          <w:p w:rsidR="00FD38C2" w:rsidRPr="006E49A3" w:rsidRDefault="00265783" w:rsidP="00265783">
            <w:pPr>
              <w:spacing w:line="360" w:lineRule="auto"/>
              <w:jc w:val="center"/>
              <w:rPr>
                <w:rFonts w:ascii="Arial" w:hAnsi="Arial" w:cs="Arial"/>
                <w:b/>
              </w:rPr>
            </w:pPr>
            <w:r>
              <w:rPr>
                <w:rFonts w:ascii="Arial" w:hAnsi="Arial" w:cs="Arial"/>
                <w:b/>
              </w:rPr>
              <w:t>R</w:t>
            </w:r>
            <w:r w:rsidR="0050338C" w:rsidRPr="006E49A3">
              <w:rPr>
                <w:rFonts w:ascii="Arial" w:hAnsi="Arial" w:cs="Arial"/>
                <w:b/>
              </w:rPr>
              <w:t>espondent</w:t>
            </w:r>
          </w:p>
        </w:tc>
      </w:tr>
      <w:tr w:rsidR="00A23F8A" w:rsidRPr="006E49A3" w:rsidTr="00FD38C2">
        <w:tc>
          <w:tcPr>
            <w:tcW w:w="4770" w:type="dxa"/>
          </w:tcPr>
          <w:p w:rsidR="008E6759" w:rsidRPr="006E49A3" w:rsidRDefault="00197F48" w:rsidP="008E6759">
            <w:pPr>
              <w:spacing w:line="360" w:lineRule="auto"/>
              <w:jc w:val="center"/>
              <w:rPr>
                <w:rFonts w:ascii="Arial" w:hAnsi="Arial" w:cs="Arial"/>
              </w:rPr>
            </w:pPr>
            <w:r>
              <w:rPr>
                <w:rFonts w:ascii="Arial" w:hAnsi="Arial" w:cs="Arial"/>
              </w:rPr>
              <w:t>M</w:t>
            </w:r>
            <w:r w:rsidR="00D24F2D">
              <w:rPr>
                <w:rFonts w:ascii="Arial" w:hAnsi="Arial" w:cs="Arial"/>
              </w:rPr>
              <w:t>.N</w:t>
            </w:r>
            <w:r>
              <w:rPr>
                <w:rFonts w:ascii="Arial" w:hAnsi="Arial" w:cs="Arial"/>
              </w:rPr>
              <w:t xml:space="preserve"> </w:t>
            </w:r>
            <w:proofErr w:type="spellStart"/>
            <w:r>
              <w:rPr>
                <w:rFonts w:ascii="Arial" w:hAnsi="Arial" w:cs="Arial"/>
              </w:rPr>
              <w:t>Angula</w:t>
            </w:r>
            <w:proofErr w:type="spellEnd"/>
          </w:p>
          <w:p w:rsidR="008E6759" w:rsidRPr="006E49A3" w:rsidRDefault="00197F48" w:rsidP="008E6759">
            <w:pPr>
              <w:spacing w:line="360" w:lineRule="auto"/>
              <w:jc w:val="center"/>
              <w:rPr>
                <w:rFonts w:ascii="Arial" w:hAnsi="Arial" w:cs="Arial"/>
                <w:i/>
              </w:rPr>
            </w:pPr>
            <w:r>
              <w:rPr>
                <w:rFonts w:ascii="Arial" w:hAnsi="Arial" w:cs="Arial"/>
                <w:i/>
              </w:rPr>
              <w:t>of</w:t>
            </w:r>
          </w:p>
          <w:p w:rsidR="008E6759" w:rsidRPr="006E49A3" w:rsidRDefault="00197F48" w:rsidP="00962F54">
            <w:pPr>
              <w:spacing w:line="360" w:lineRule="auto"/>
              <w:jc w:val="center"/>
              <w:rPr>
                <w:rFonts w:ascii="Arial" w:hAnsi="Arial" w:cs="Arial"/>
              </w:rPr>
            </w:pPr>
            <w:proofErr w:type="spellStart"/>
            <w:r>
              <w:rPr>
                <w:rFonts w:ascii="Arial" w:hAnsi="Arial" w:cs="Arial"/>
              </w:rPr>
              <w:t>AngulaCo</w:t>
            </w:r>
            <w:proofErr w:type="spellEnd"/>
            <w:r>
              <w:rPr>
                <w:rFonts w:ascii="Arial" w:hAnsi="Arial" w:cs="Arial"/>
              </w:rPr>
              <w:t xml:space="preserve"> Inc.</w:t>
            </w:r>
          </w:p>
        </w:tc>
        <w:tc>
          <w:tcPr>
            <w:tcW w:w="4950" w:type="dxa"/>
            <w:gridSpan w:val="2"/>
          </w:tcPr>
          <w:p w:rsidR="008E6759" w:rsidRDefault="00DF0CAF" w:rsidP="008E6759">
            <w:pPr>
              <w:spacing w:line="360" w:lineRule="auto"/>
              <w:jc w:val="center"/>
              <w:rPr>
                <w:rFonts w:ascii="Arial" w:hAnsi="Arial" w:cs="Arial"/>
              </w:rPr>
            </w:pPr>
            <w:r>
              <w:rPr>
                <w:rFonts w:ascii="Arial" w:hAnsi="Arial" w:cs="Arial"/>
              </w:rPr>
              <w:t xml:space="preserve">G </w:t>
            </w:r>
            <w:proofErr w:type="spellStart"/>
            <w:r>
              <w:rPr>
                <w:rFonts w:ascii="Arial" w:hAnsi="Arial" w:cs="Arial"/>
              </w:rPr>
              <w:t>Narib</w:t>
            </w:r>
            <w:proofErr w:type="spellEnd"/>
            <w:r>
              <w:rPr>
                <w:rFonts w:ascii="Arial" w:hAnsi="Arial" w:cs="Arial"/>
              </w:rPr>
              <w:t xml:space="preserve"> (with him E</w:t>
            </w:r>
            <w:r w:rsidR="00C42BF1">
              <w:rPr>
                <w:rFonts w:ascii="Arial" w:hAnsi="Arial" w:cs="Arial"/>
              </w:rPr>
              <w:t>.</w:t>
            </w:r>
            <w:r>
              <w:rPr>
                <w:rFonts w:ascii="Arial" w:hAnsi="Arial" w:cs="Arial"/>
              </w:rPr>
              <w:t xml:space="preserve">S </w:t>
            </w:r>
            <w:proofErr w:type="spellStart"/>
            <w:r>
              <w:rPr>
                <w:rFonts w:ascii="Arial" w:hAnsi="Arial" w:cs="Arial"/>
              </w:rPr>
              <w:t>Shifotoka</w:t>
            </w:r>
            <w:proofErr w:type="spellEnd"/>
            <w:r>
              <w:rPr>
                <w:rFonts w:ascii="Arial" w:hAnsi="Arial" w:cs="Arial"/>
              </w:rPr>
              <w:t>)</w:t>
            </w:r>
          </w:p>
          <w:p w:rsidR="00265783" w:rsidRPr="006E49A3" w:rsidRDefault="00DF0CAF" w:rsidP="00265783">
            <w:pPr>
              <w:spacing w:line="360" w:lineRule="auto"/>
              <w:jc w:val="center"/>
              <w:rPr>
                <w:rFonts w:ascii="Arial" w:hAnsi="Arial" w:cs="Arial"/>
                <w:i/>
              </w:rPr>
            </w:pPr>
            <w:r>
              <w:rPr>
                <w:rFonts w:ascii="Arial" w:hAnsi="Arial" w:cs="Arial"/>
                <w:i/>
              </w:rPr>
              <w:t>Instructed by</w:t>
            </w:r>
          </w:p>
          <w:p w:rsidR="006E49A3" w:rsidRPr="006E49A3" w:rsidRDefault="00DF0CAF" w:rsidP="00962F54">
            <w:pPr>
              <w:spacing w:line="360" w:lineRule="auto"/>
              <w:jc w:val="center"/>
              <w:rPr>
                <w:rFonts w:ascii="Arial" w:hAnsi="Arial" w:cs="Arial"/>
              </w:rPr>
            </w:pPr>
            <w:r>
              <w:rPr>
                <w:rFonts w:ascii="Arial" w:hAnsi="Arial" w:cs="Arial"/>
              </w:rPr>
              <w:t>Government Attorney</w:t>
            </w:r>
          </w:p>
        </w:tc>
      </w:tr>
    </w:tbl>
    <w:p w:rsidR="00422CA6" w:rsidRPr="006E49A3" w:rsidRDefault="00422CA6" w:rsidP="005D0028">
      <w:pPr>
        <w:spacing w:after="0" w:line="360" w:lineRule="auto"/>
        <w:jc w:val="both"/>
        <w:rPr>
          <w:rFonts w:ascii="Arial" w:hAnsi="Arial" w:cs="Arial"/>
          <w:sz w:val="24"/>
          <w:szCs w:val="24"/>
        </w:rPr>
      </w:pPr>
    </w:p>
    <w:sectPr w:rsidR="00422CA6" w:rsidRPr="006E49A3" w:rsidSect="00026D86">
      <w:footerReference w:type="default" r:id="rId8"/>
      <w:pgSz w:w="11906" w:h="16838"/>
      <w:pgMar w:top="1134" w:right="1440" w:bottom="851" w:left="1440" w:header="708" w:footer="6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83B" w:rsidRDefault="002E583B" w:rsidP="00A23F8A">
      <w:pPr>
        <w:spacing w:after="0" w:line="240" w:lineRule="auto"/>
      </w:pPr>
      <w:r>
        <w:separator/>
      </w:r>
    </w:p>
  </w:endnote>
  <w:endnote w:type="continuationSeparator" w:id="0">
    <w:p w:rsidR="002E583B" w:rsidRDefault="002E583B" w:rsidP="00A2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792931"/>
      <w:docPartObj>
        <w:docPartGallery w:val="Page Numbers (Bottom of Page)"/>
        <w:docPartUnique/>
      </w:docPartObj>
    </w:sdtPr>
    <w:sdtEndPr>
      <w:rPr>
        <w:noProof/>
      </w:rPr>
    </w:sdtEndPr>
    <w:sdtContent>
      <w:p w:rsidR="00A23F8A" w:rsidRDefault="00A23F8A">
        <w:pPr>
          <w:pStyle w:val="Footer"/>
          <w:jc w:val="right"/>
        </w:pPr>
        <w:r w:rsidRPr="00A23F8A">
          <w:rPr>
            <w:rFonts w:ascii="Arial Narrow" w:hAnsi="Arial Narrow"/>
            <w:sz w:val="18"/>
            <w:szCs w:val="18"/>
          </w:rPr>
          <w:fldChar w:fldCharType="begin"/>
        </w:r>
        <w:r w:rsidRPr="00A23F8A">
          <w:rPr>
            <w:rFonts w:ascii="Arial Narrow" w:hAnsi="Arial Narrow"/>
            <w:sz w:val="18"/>
            <w:szCs w:val="18"/>
          </w:rPr>
          <w:instrText xml:space="preserve"> PAGE   \* MERGEFORMAT </w:instrText>
        </w:r>
        <w:r w:rsidRPr="00A23F8A">
          <w:rPr>
            <w:rFonts w:ascii="Arial Narrow" w:hAnsi="Arial Narrow"/>
            <w:sz w:val="18"/>
            <w:szCs w:val="18"/>
          </w:rPr>
          <w:fldChar w:fldCharType="separate"/>
        </w:r>
        <w:r w:rsidR="006D107B">
          <w:rPr>
            <w:rFonts w:ascii="Arial Narrow" w:hAnsi="Arial Narrow"/>
            <w:noProof/>
            <w:sz w:val="18"/>
            <w:szCs w:val="18"/>
          </w:rPr>
          <w:t>1</w:t>
        </w:r>
        <w:r w:rsidRPr="00A23F8A">
          <w:rPr>
            <w:rFonts w:ascii="Arial Narrow" w:hAnsi="Arial Narrow"/>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83B" w:rsidRDefault="002E583B" w:rsidP="00A23F8A">
      <w:pPr>
        <w:spacing w:after="0" w:line="240" w:lineRule="auto"/>
      </w:pPr>
      <w:r>
        <w:separator/>
      </w:r>
    </w:p>
  </w:footnote>
  <w:footnote w:type="continuationSeparator" w:id="0">
    <w:p w:rsidR="002E583B" w:rsidRDefault="002E583B" w:rsidP="00A23F8A">
      <w:pPr>
        <w:spacing w:after="0" w:line="240" w:lineRule="auto"/>
      </w:pPr>
      <w:r>
        <w:continuationSeparator/>
      </w:r>
    </w:p>
  </w:footnote>
  <w:footnote w:id="1">
    <w:p w:rsidR="000618F4" w:rsidRPr="00F630E7" w:rsidRDefault="000618F4" w:rsidP="000618F4">
      <w:pPr>
        <w:pStyle w:val="FootnoteText"/>
        <w:jc w:val="both"/>
        <w:rPr>
          <w:rFonts w:ascii="Arial" w:hAnsi="Arial" w:cs="Arial"/>
          <w:lang w:val="en-US"/>
        </w:rPr>
      </w:pPr>
      <w:r w:rsidRPr="00F630E7">
        <w:rPr>
          <w:rStyle w:val="FootnoteReference"/>
          <w:rFonts w:ascii="Arial" w:hAnsi="Arial" w:cs="Arial"/>
        </w:rPr>
        <w:footnoteRef/>
      </w:r>
      <w:r w:rsidRPr="00F630E7">
        <w:rPr>
          <w:rFonts w:ascii="Arial" w:hAnsi="Arial" w:cs="Arial"/>
        </w:rPr>
        <w:t xml:space="preserve"> The Court had to afford the applicant two opportunities to do so, the first by Order of 18 September 2019 and the second on 16 October 2019</w:t>
      </w:r>
      <w:r w:rsidR="00F630E7">
        <w:rPr>
          <w:rFonts w:ascii="Arial" w:hAnsi="Arial" w:cs="Arial"/>
        </w:rPr>
        <w:t>.</w:t>
      </w:r>
    </w:p>
  </w:footnote>
  <w:footnote w:id="2">
    <w:p w:rsidR="000618F4" w:rsidRPr="00F630E7" w:rsidRDefault="000618F4">
      <w:pPr>
        <w:pStyle w:val="FootnoteText"/>
        <w:rPr>
          <w:rFonts w:ascii="Arial" w:hAnsi="Arial" w:cs="Arial"/>
          <w:lang w:val="en-US"/>
        </w:rPr>
      </w:pPr>
      <w:r w:rsidRPr="00F630E7">
        <w:rPr>
          <w:rStyle w:val="FootnoteReference"/>
          <w:rFonts w:ascii="Arial" w:hAnsi="Arial" w:cs="Arial"/>
        </w:rPr>
        <w:footnoteRef/>
      </w:r>
      <w:r w:rsidRPr="00F630E7">
        <w:rPr>
          <w:rFonts w:ascii="Arial" w:hAnsi="Arial" w:cs="Arial"/>
        </w:rPr>
        <w:t xml:space="preserve"> </w:t>
      </w:r>
      <w:r w:rsidRPr="00F630E7">
        <w:rPr>
          <w:rFonts w:ascii="Arial" w:hAnsi="Arial" w:cs="Arial"/>
          <w:lang w:val="en-US"/>
        </w:rPr>
        <w:t>See</w:t>
      </w:r>
      <w:r w:rsidR="00B6188A">
        <w:rPr>
          <w:rFonts w:ascii="Arial" w:hAnsi="Arial" w:cs="Arial"/>
          <w:lang w:val="en-US"/>
        </w:rPr>
        <w:t xml:space="preserve"> for instance the</w:t>
      </w:r>
      <w:r w:rsidRPr="00F630E7">
        <w:rPr>
          <w:rFonts w:ascii="Arial" w:hAnsi="Arial" w:cs="Arial"/>
          <w:lang w:val="en-US"/>
        </w:rPr>
        <w:t xml:space="preserve"> Court Order of 16 October 2019</w:t>
      </w:r>
      <w:r w:rsidR="00F630E7">
        <w:rPr>
          <w:rFonts w:ascii="Arial" w:hAnsi="Arial" w:cs="Arial"/>
          <w:lang w:val="en-US"/>
        </w:rPr>
        <w:t>.</w:t>
      </w:r>
    </w:p>
  </w:footnote>
  <w:footnote w:id="3">
    <w:p w:rsidR="00B80CED" w:rsidRDefault="00B80CED" w:rsidP="00D24F2D">
      <w:pPr>
        <w:pStyle w:val="footnotedescription"/>
        <w:spacing w:line="240" w:lineRule="auto"/>
        <w:ind w:right="57"/>
        <w:jc w:val="both"/>
      </w:pPr>
      <w:r>
        <w:rPr>
          <w:rStyle w:val="footnotemark"/>
        </w:rPr>
        <w:footnoteRef/>
      </w:r>
      <w:r>
        <w:t xml:space="preserve"> </w:t>
      </w:r>
      <w:proofErr w:type="spellStart"/>
      <w:r>
        <w:rPr>
          <w:i/>
        </w:rPr>
        <w:t>Mukata</w:t>
      </w:r>
      <w:proofErr w:type="spellEnd"/>
      <w:r>
        <w:rPr>
          <w:i/>
        </w:rPr>
        <w:t xml:space="preserve"> v </w:t>
      </w:r>
      <w:proofErr w:type="spellStart"/>
      <w:r>
        <w:rPr>
          <w:i/>
        </w:rPr>
        <w:t>Apollus</w:t>
      </w:r>
      <w:proofErr w:type="spellEnd"/>
      <w:r>
        <w:rPr>
          <w:i/>
        </w:rPr>
        <w:t xml:space="preserve"> 2015 (3) NR 695 (HC)</w:t>
      </w:r>
      <w:r>
        <w:t xml:space="preserve"> where in the following was held: [6] It is undisputed that the plaintiff did not comply with rule 32(9) and   (10) of the rules. Considering the use of the words 'must' in rule 32(9) and (10) and the intention of the rule-maker as set out in rule 1(2) concerning the overriding objective of the rules (see </w:t>
      </w:r>
      <w:r>
        <w:rPr>
          <w:i/>
        </w:rPr>
        <w:t xml:space="preserve">International University of Management v </w:t>
      </w:r>
      <w:proofErr w:type="spellStart"/>
      <w:r>
        <w:rPr>
          <w:i/>
        </w:rPr>
        <w:t>Torbitt</w:t>
      </w:r>
      <w:proofErr w:type="spellEnd"/>
      <w:r>
        <w:rPr>
          <w:i/>
        </w:rPr>
        <w:t xml:space="preserve"> and Others (LC</w:t>
      </w:r>
      <w:r>
        <w:t xml:space="preserve"> </w:t>
      </w:r>
      <w:r>
        <w:rPr>
          <w:i/>
        </w:rPr>
        <w:t>114/2013</w:t>
      </w:r>
      <w:r>
        <w:t xml:space="preserve">) </w:t>
      </w:r>
      <w:r>
        <w:rPr>
          <w:i/>
        </w:rPr>
        <w:t>[2014] NALCMD 6)</w:t>
      </w:r>
      <w:proofErr w:type="gramStart"/>
      <w:r>
        <w:rPr>
          <w:i/>
        </w:rPr>
        <w:t>,</w:t>
      </w:r>
      <w:r>
        <w:t xml:space="preserve">  *</w:t>
      </w:r>
      <w:proofErr w:type="gramEnd"/>
      <w:r>
        <w:t xml:space="preserve">  I conclude that the provisions of rule 32(9) and (10) are   peremptory, and non-compliance with them must be fatal. I, therefore, accept Mr. Jacobs' submission that the summary judgment application is fatally defective because the plaintiff has failed to comply with rule 32(9) and (10). Consequently, the application is struck from the roll.  </w:t>
      </w:r>
      <w:proofErr w:type="gramStart"/>
      <w:r>
        <w:t>see</w:t>
      </w:r>
      <w:proofErr w:type="gramEnd"/>
      <w:r>
        <w:t xml:space="preserve"> also Parker C, Administrative Law: Cases &amp; Materials, p 289</w:t>
      </w:r>
      <w:r w:rsidR="00D24F2D">
        <w:t>.</w:t>
      </w:r>
      <w:r>
        <w:t xml:space="preserve"> </w:t>
      </w:r>
    </w:p>
  </w:footnote>
  <w:footnote w:id="4">
    <w:p w:rsidR="004F38B9" w:rsidRPr="001005FC" w:rsidRDefault="004F38B9" w:rsidP="004F38B9">
      <w:pPr>
        <w:pStyle w:val="FootnoteText"/>
        <w:rPr>
          <w:rFonts w:ascii="Arial" w:hAnsi="Arial" w:cs="Arial"/>
        </w:rPr>
      </w:pPr>
      <w:r w:rsidRPr="001005FC">
        <w:rPr>
          <w:rStyle w:val="FootnoteReference"/>
          <w:rFonts w:ascii="Arial" w:hAnsi="Arial" w:cs="Arial"/>
        </w:rPr>
        <w:footnoteRef/>
      </w:r>
      <w:r w:rsidRPr="001005FC">
        <w:rPr>
          <w:rFonts w:ascii="Arial" w:hAnsi="Arial" w:cs="Arial"/>
        </w:rPr>
        <w:t xml:space="preserve"> HC-MD-CIV-CON-2016/03020) [2017] NAHCMD 78</w:t>
      </w:r>
      <w:r w:rsidR="00796984">
        <w:rPr>
          <w:rFonts w:ascii="Arial" w:hAnsi="Arial" w:cs="Arial"/>
        </w:rPr>
        <w:t>.</w:t>
      </w:r>
    </w:p>
  </w:footnote>
  <w:footnote w:id="5">
    <w:p w:rsidR="004F38B9" w:rsidRPr="001005FC" w:rsidRDefault="004F38B9" w:rsidP="004F38B9">
      <w:pPr>
        <w:pStyle w:val="FootnoteText"/>
        <w:rPr>
          <w:rFonts w:ascii="Arial" w:hAnsi="Arial" w:cs="Arial"/>
        </w:rPr>
      </w:pPr>
      <w:r w:rsidRPr="001005FC">
        <w:rPr>
          <w:rStyle w:val="FootnoteReference"/>
          <w:rFonts w:ascii="Arial" w:hAnsi="Arial" w:cs="Arial"/>
        </w:rPr>
        <w:footnoteRef/>
      </w:r>
      <w:r w:rsidRPr="001005FC">
        <w:rPr>
          <w:rFonts w:ascii="Arial" w:hAnsi="Arial" w:cs="Arial"/>
        </w:rPr>
        <w:t xml:space="preserve"> 1977 (4) SA 298 (A).</w:t>
      </w:r>
    </w:p>
  </w:footnote>
  <w:footnote w:id="6">
    <w:p w:rsidR="004F38B9" w:rsidRPr="00CC6457" w:rsidRDefault="004F38B9" w:rsidP="004F38B9">
      <w:pPr>
        <w:pStyle w:val="FootnoteText"/>
        <w:rPr>
          <w:rFonts w:ascii="Arial" w:hAnsi="Arial" w:cs="Arial"/>
        </w:rPr>
      </w:pPr>
      <w:r w:rsidRPr="001005FC">
        <w:rPr>
          <w:rStyle w:val="FootnoteReference"/>
          <w:rFonts w:ascii="Arial" w:hAnsi="Arial" w:cs="Arial"/>
        </w:rPr>
        <w:footnoteRef/>
      </w:r>
      <w:r w:rsidRPr="001005FC">
        <w:rPr>
          <w:rFonts w:ascii="Arial" w:hAnsi="Arial" w:cs="Arial"/>
        </w:rPr>
        <w:t xml:space="preserve"> </w:t>
      </w:r>
      <w:r w:rsidRPr="00CC6457">
        <w:rPr>
          <w:rFonts w:ascii="Arial" w:hAnsi="Arial" w:cs="Arial"/>
          <w:iCs/>
        </w:rPr>
        <w:t>[2015] ZACC 30.</w:t>
      </w:r>
    </w:p>
  </w:footnote>
  <w:footnote w:id="7">
    <w:p w:rsidR="00E06D7C" w:rsidRPr="00E06D7C" w:rsidRDefault="00E06D7C">
      <w:pPr>
        <w:pStyle w:val="FootnoteText"/>
        <w:rPr>
          <w:rFonts w:ascii="Arial" w:hAnsi="Arial" w:cs="Arial"/>
          <w:lang w:val="en-US"/>
        </w:rPr>
      </w:pPr>
      <w:r w:rsidRPr="00E06D7C">
        <w:rPr>
          <w:rStyle w:val="FootnoteReference"/>
          <w:rFonts w:ascii="Arial" w:hAnsi="Arial" w:cs="Arial"/>
        </w:rPr>
        <w:footnoteRef/>
      </w:r>
      <w:r w:rsidRPr="00E06D7C">
        <w:rPr>
          <w:rFonts w:ascii="Arial" w:hAnsi="Arial" w:cs="Arial"/>
        </w:rPr>
        <w:t xml:space="preserve"> </w:t>
      </w:r>
      <w:r w:rsidRPr="00E06D7C">
        <w:rPr>
          <w:rFonts w:ascii="Arial" w:hAnsi="Arial" w:cs="Arial"/>
          <w:lang w:val="en-US"/>
        </w:rPr>
        <w:t>Compare</w:t>
      </w:r>
      <w:r w:rsidRPr="00E06D7C">
        <w:rPr>
          <w:rFonts w:ascii="Arial" w:hAnsi="Arial" w:cs="Arial"/>
          <w:i/>
          <w:sz w:val="24"/>
          <w:szCs w:val="24"/>
        </w:rPr>
        <w:t xml:space="preserve"> </w:t>
      </w:r>
      <w:r w:rsidRPr="00E06D7C">
        <w:rPr>
          <w:rFonts w:ascii="Arial" w:hAnsi="Arial" w:cs="Arial"/>
          <w:i/>
        </w:rPr>
        <w:t xml:space="preserve">Standard Bank of Namibia Limited v </w:t>
      </w:r>
      <w:proofErr w:type="spellStart"/>
      <w:r w:rsidRPr="00E06D7C">
        <w:rPr>
          <w:rFonts w:ascii="Arial" w:hAnsi="Arial" w:cs="Arial"/>
          <w:i/>
        </w:rPr>
        <w:t>Nekwaya</w:t>
      </w:r>
      <w:proofErr w:type="spellEnd"/>
      <w:r w:rsidRPr="00E06D7C">
        <w:rPr>
          <w:rFonts w:ascii="Arial" w:hAnsi="Arial" w:cs="Arial"/>
          <w:i/>
        </w:rPr>
        <w:t xml:space="preserve"> op </w:t>
      </w:r>
      <w:proofErr w:type="spellStart"/>
      <w:r w:rsidRPr="00E06D7C">
        <w:rPr>
          <w:rFonts w:ascii="Arial" w:hAnsi="Arial" w:cs="Arial"/>
          <w:i/>
        </w:rPr>
        <w:t>cit</w:t>
      </w:r>
      <w:proofErr w:type="spellEnd"/>
      <w:r w:rsidRPr="00E06D7C">
        <w:rPr>
          <w:rFonts w:ascii="Arial" w:hAnsi="Arial" w:cs="Arial"/>
          <w:i/>
        </w:rPr>
        <w:t xml:space="preserve"> </w:t>
      </w:r>
      <w:r w:rsidRPr="00E06D7C">
        <w:rPr>
          <w:rFonts w:ascii="Arial" w:hAnsi="Arial" w:cs="Arial"/>
        </w:rPr>
        <w:t>at</w:t>
      </w:r>
      <w:r w:rsidRPr="00E06D7C">
        <w:rPr>
          <w:rFonts w:ascii="Arial" w:hAnsi="Arial" w:cs="Arial"/>
          <w:lang w:val="en-US"/>
        </w:rPr>
        <w:t xml:space="preserve"> [</w:t>
      </w:r>
      <w:r w:rsidR="005E058A">
        <w:rPr>
          <w:rFonts w:ascii="Arial" w:hAnsi="Arial" w:cs="Arial"/>
          <w:lang w:val="en-US"/>
        </w:rPr>
        <w:t>20</w:t>
      </w:r>
      <w:r w:rsidRPr="00E06D7C">
        <w:rPr>
          <w:rFonts w:ascii="Arial" w:hAnsi="Arial" w:cs="Arial"/>
          <w:lang w:val="en-US"/>
        </w:rPr>
        <w:t>] to [29]</w:t>
      </w:r>
      <w:r w:rsidR="00D24F2D">
        <w:rPr>
          <w:rFonts w:ascii="Arial" w:hAnsi="Arial" w:cs="Arial"/>
          <w:lang w:val="en-US"/>
        </w:rPr>
        <w:t>.</w:t>
      </w:r>
    </w:p>
  </w:footnote>
  <w:footnote w:id="8">
    <w:p w:rsidR="005E058A" w:rsidRPr="0031767F" w:rsidRDefault="005E058A" w:rsidP="0031767F">
      <w:pPr>
        <w:pStyle w:val="FootnoteText"/>
        <w:jc w:val="both"/>
        <w:rPr>
          <w:rFonts w:ascii="Arial" w:hAnsi="Arial" w:cs="Arial"/>
          <w:lang w:val="en-US"/>
        </w:rPr>
      </w:pPr>
      <w:r w:rsidRPr="0031767F">
        <w:rPr>
          <w:rStyle w:val="FootnoteReference"/>
          <w:rFonts w:ascii="Arial" w:hAnsi="Arial" w:cs="Arial"/>
        </w:rPr>
        <w:footnoteRef/>
      </w:r>
      <w:r w:rsidRPr="0031767F">
        <w:rPr>
          <w:rFonts w:ascii="Arial" w:hAnsi="Arial" w:cs="Arial"/>
        </w:rPr>
        <w:t xml:space="preserve"> </w:t>
      </w:r>
      <w:r w:rsidR="000944C5">
        <w:rPr>
          <w:rFonts w:ascii="Arial" w:hAnsi="Arial" w:cs="Arial"/>
        </w:rPr>
        <w:t xml:space="preserve">See for instance : </w:t>
      </w:r>
      <w:r w:rsidRPr="00771DD6">
        <w:rPr>
          <w:rFonts w:ascii="Arial" w:hAnsi="Arial" w:cs="Arial"/>
          <w:i/>
        </w:rPr>
        <w:t>Standard Bank of South Africa Limited v The Competition Commission of South Africa</w:t>
      </w:r>
      <w:r w:rsidRPr="0031767F">
        <w:rPr>
          <w:rFonts w:ascii="Arial" w:hAnsi="Arial" w:cs="Arial"/>
        </w:rPr>
        <w:t xml:space="preserve"> 2018 JDR 0893 (CAC); (165/</w:t>
      </w:r>
      <w:proofErr w:type="spellStart"/>
      <w:r w:rsidRPr="0031767F">
        <w:rPr>
          <w:rFonts w:ascii="Arial" w:hAnsi="Arial" w:cs="Arial"/>
        </w:rPr>
        <w:t>CACMar</w:t>
      </w:r>
      <w:proofErr w:type="spellEnd"/>
      <w:r w:rsidRPr="0031767F">
        <w:rPr>
          <w:rFonts w:ascii="Arial" w:hAnsi="Arial" w:cs="Arial"/>
        </w:rPr>
        <w:t xml:space="preserve"> 18) [2018] ZACAC 3 (22 June 2018)</w:t>
      </w:r>
      <w:r w:rsidR="0031767F">
        <w:rPr>
          <w:rFonts w:ascii="Arial" w:hAnsi="Arial" w:cs="Arial"/>
        </w:rPr>
        <w:t xml:space="preserve"> at [10] – [11],</w:t>
      </w:r>
      <w:r w:rsidR="0031767F" w:rsidRPr="0031767F">
        <w:rPr>
          <w:rFonts w:ascii="Arial" w:hAnsi="Arial" w:cs="Arial"/>
        </w:rPr>
        <w:t xml:space="preserve"> </w:t>
      </w:r>
      <w:r w:rsidR="0031767F" w:rsidRPr="00771DD6">
        <w:rPr>
          <w:rFonts w:ascii="Arial" w:hAnsi="Arial" w:cs="Arial"/>
          <w:i/>
        </w:rPr>
        <w:t xml:space="preserve">General </w:t>
      </w:r>
      <w:proofErr w:type="spellStart"/>
      <w:r w:rsidR="0031767F" w:rsidRPr="00771DD6">
        <w:rPr>
          <w:rFonts w:ascii="Arial" w:hAnsi="Arial" w:cs="Arial"/>
          <w:i/>
        </w:rPr>
        <w:t>Council</w:t>
      </w:r>
      <w:proofErr w:type="spellEnd"/>
      <w:r w:rsidR="0031767F" w:rsidRPr="00771DD6">
        <w:rPr>
          <w:rFonts w:ascii="Arial" w:hAnsi="Arial" w:cs="Arial"/>
          <w:i/>
        </w:rPr>
        <w:t xml:space="preserve"> of the Bar of South Africa v </w:t>
      </w:r>
      <w:proofErr w:type="spellStart"/>
      <w:r w:rsidR="0031767F" w:rsidRPr="00771DD6">
        <w:rPr>
          <w:rFonts w:ascii="Arial" w:hAnsi="Arial" w:cs="Arial"/>
          <w:i/>
        </w:rPr>
        <w:t>Jiba</w:t>
      </w:r>
      <w:proofErr w:type="spellEnd"/>
      <w:r w:rsidR="0031767F" w:rsidRPr="00771DD6">
        <w:rPr>
          <w:rFonts w:ascii="Arial" w:hAnsi="Arial" w:cs="Arial"/>
          <w:i/>
        </w:rPr>
        <w:t xml:space="preserve"> and Others</w:t>
      </w:r>
      <w:r w:rsidR="0031767F" w:rsidRPr="0031767F">
        <w:rPr>
          <w:rFonts w:ascii="Arial" w:hAnsi="Arial" w:cs="Arial"/>
        </w:rPr>
        <w:t xml:space="preserve"> 2017 (2) SA 122 (GP), at paras [111] to [112], </w:t>
      </w:r>
      <w:r w:rsidR="0031767F" w:rsidRPr="00771DD6">
        <w:rPr>
          <w:rFonts w:ascii="Arial" w:hAnsi="Arial" w:cs="Arial"/>
          <w:i/>
        </w:rPr>
        <w:t xml:space="preserve">Competition Commission of South Africa v Standard Bank of South Africa Limited; Competition Commission of South Africa v Standard Bank of South Africa Limited; Competition Commission of South Africa v Waco Africa (Pty) Limited and Others </w:t>
      </w:r>
      <w:r w:rsidR="0031767F" w:rsidRPr="0031767F">
        <w:rPr>
          <w:rFonts w:ascii="Arial" w:hAnsi="Arial" w:cs="Arial"/>
        </w:rPr>
        <w:t>(CCT158/18; CCT179/18; CT218/18) [2020] ZACC 2; 2020 (4) BCLR 429 (CC) (20 February 2020)</w:t>
      </w:r>
      <w:r w:rsidR="0031767F">
        <w:rPr>
          <w:rFonts w:ascii="Arial" w:hAnsi="Arial" w:cs="Arial"/>
        </w:rPr>
        <w:t xml:space="preserve"> at [218] and [220] See also </w:t>
      </w:r>
      <w:r w:rsidR="0031767F" w:rsidRPr="000944C5">
        <w:rPr>
          <w:rFonts w:ascii="Arial" w:hAnsi="Arial" w:cs="Arial"/>
        </w:rPr>
        <w:t xml:space="preserve">: </w:t>
      </w:r>
      <w:proofErr w:type="spellStart"/>
      <w:r w:rsidR="0031767F" w:rsidRPr="000944C5">
        <w:rPr>
          <w:rFonts w:ascii="Arial" w:hAnsi="Arial" w:cs="Arial"/>
        </w:rPr>
        <w:t>Herbstein</w:t>
      </w:r>
      <w:proofErr w:type="spellEnd"/>
      <w:r w:rsidR="0031767F" w:rsidRPr="000944C5">
        <w:rPr>
          <w:rFonts w:ascii="Arial" w:hAnsi="Arial" w:cs="Arial"/>
        </w:rPr>
        <w:t xml:space="preserve"> &amp; Van </w:t>
      </w:r>
      <w:proofErr w:type="spellStart"/>
      <w:r w:rsidR="0031767F" w:rsidRPr="000944C5">
        <w:rPr>
          <w:rFonts w:ascii="Arial" w:hAnsi="Arial" w:cs="Arial"/>
        </w:rPr>
        <w:t>Winsen</w:t>
      </w:r>
      <w:proofErr w:type="spellEnd"/>
      <w:r w:rsidR="0031767F" w:rsidRPr="000944C5">
        <w:rPr>
          <w:rFonts w:ascii="Arial" w:hAnsi="Arial" w:cs="Arial"/>
        </w:rPr>
        <w:t xml:space="preserve"> </w:t>
      </w:r>
      <w:r w:rsidR="0031767F" w:rsidRPr="00771DD6">
        <w:rPr>
          <w:rFonts w:ascii="Arial" w:hAnsi="Arial" w:cs="Arial"/>
          <w:i/>
        </w:rPr>
        <w:t>The Civil Practice of High Courts of South Africa</w:t>
      </w:r>
      <w:r w:rsidR="0031767F" w:rsidRPr="000944C5">
        <w:rPr>
          <w:rFonts w:ascii="Arial" w:hAnsi="Arial" w:cs="Arial"/>
        </w:rPr>
        <w:t xml:space="preserve"> 5th Ed at 1210 at “Orders for discovery or production of documents” are interlocutory in nature and form and of the kind not appealable at all. Harms</w:t>
      </w:r>
      <w:r w:rsidR="000944C5" w:rsidRPr="000944C5">
        <w:rPr>
          <w:rFonts w:ascii="Arial" w:hAnsi="Arial" w:cs="Arial"/>
        </w:rPr>
        <w:t xml:space="preserve">: </w:t>
      </w:r>
      <w:r w:rsidR="000944C5" w:rsidRPr="00771DD6">
        <w:rPr>
          <w:rFonts w:ascii="Arial" w:hAnsi="Arial" w:cs="Arial"/>
          <w:i/>
        </w:rPr>
        <w:t>Civil Procedure in the Supreme Court</w:t>
      </w:r>
      <w:r w:rsidR="000944C5" w:rsidRPr="000944C5">
        <w:rPr>
          <w:rFonts w:ascii="Arial" w:hAnsi="Arial" w:cs="Arial"/>
        </w:rPr>
        <w:t xml:space="preserve"> at T15</w:t>
      </w:r>
      <w:r w:rsidR="0031767F" w:rsidRPr="000944C5">
        <w:rPr>
          <w:rFonts w:ascii="Arial" w:hAnsi="Arial" w:cs="Arial"/>
        </w:rPr>
        <w:t xml:space="preserve"> makes plain that “discovery orders” are “instances of rulings”</w:t>
      </w:r>
      <w:r w:rsidR="00D24F2D">
        <w:rPr>
          <w:rFonts w:ascii="Arial" w:hAnsi="Arial" w:cs="Arial"/>
        </w:rPr>
        <w:t>.</w:t>
      </w:r>
    </w:p>
  </w:footnote>
  <w:footnote w:id="9">
    <w:p w:rsidR="00705DA8" w:rsidRPr="00705DA8" w:rsidRDefault="00705DA8" w:rsidP="000D17B0">
      <w:pPr>
        <w:pStyle w:val="FootnoteText"/>
        <w:jc w:val="both"/>
        <w:rPr>
          <w:rFonts w:ascii="Arial" w:hAnsi="Arial" w:cs="Arial"/>
          <w:lang w:val="en-US"/>
        </w:rPr>
      </w:pPr>
      <w:r w:rsidRPr="00705DA8">
        <w:rPr>
          <w:rStyle w:val="FootnoteReference"/>
          <w:rFonts w:ascii="Arial" w:hAnsi="Arial" w:cs="Arial"/>
        </w:rPr>
        <w:footnoteRef/>
      </w:r>
      <w:r w:rsidRPr="00705DA8">
        <w:rPr>
          <w:rFonts w:ascii="Arial" w:hAnsi="Arial" w:cs="Arial"/>
        </w:rPr>
        <w:t xml:space="preserve"> See for instance</w:t>
      </w:r>
      <w:r w:rsidRPr="00705DA8">
        <w:rPr>
          <w:rFonts w:ascii="Arial" w:hAnsi="Arial" w:cs="Arial"/>
          <w:i/>
        </w:rPr>
        <w:t xml:space="preserve"> </w:t>
      </w:r>
      <w:proofErr w:type="spellStart"/>
      <w:r w:rsidRPr="00705DA8">
        <w:rPr>
          <w:rFonts w:ascii="Arial" w:hAnsi="Arial" w:cs="Arial"/>
          <w:i/>
        </w:rPr>
        <w:t>Mukata</w:t>
      </w:r>
      <w:proofErr w:type="spellEnd"/>
      <w:r w:rsidRPr="00705DA8">
        <w:rPr>
          <w:rFonts w:ascii="Arial" w:hAnsi="Arial" w:cs="Arial"/>
          <w:i/>
        </w:rPr>
        <w:t xml:space="preserve"> v </w:t>
      </w:r>
      <w:proofErr w:type="spellStart"/>
      <w:r w:rsidRPr="00705DA8">
        <w:rPr>
          <w:rFonts w:ascii="Arial" w:hAnsi="Arial" w:cs="Arial"/>
          <w:i/>
        </w:rPr>
        <w:t>Apollus</w:t>
      </w:r>
      <w:proofErr w:type="spellEnd"/>
      <w:r w:rsidRPr="00705DA8">
        <w:rPr>
          <w:rFonts w:ascii="Arial" w:hAnsi="Arial" w:cs="Arial"/>
          <w:i/>
        </w:rPr>
        <w:t xml:space="preserve"> </w:t>
      </w:r>
      <w:r w:rsidRPr="000D17B0">
        <w:rPr>
          <w:rFonts w:ascii="Arial" w:hAnsi="Arial" w:cs="Arial"/>
        </w:rPr>
        <w:t>2015 (3) NR 695 (HC at [6]</w:t>
      </w:r>
      <w:r w:rsidRPr="00705DA8">
        <w:rPr>
          <w:rFonts w:ascii="Arial" w:hAnsi="Arial" w:cs="Arial"/>
          <w:i/>
        </w:rPr>
        <w:t xml:space="preserve">, </w:t>
      </w:r>
      <w:r w:rsidR="000D17B0" w:rsidRPr="000D17B0">
        <w:rPr>
          <w:rFonts w:ascii="Arial" w:hAnsi="Arial" w:cs="Arial"/>
          <w:i/>
        </w:rPr>
        <w:t xml:space="preserve">CV v JV </w:t>
      </w:r>
      <w:r w:rsidR="000D17B0" w:rsidRPr="000D17B0">
        <w:rPr>
          <w:rFonts w:ascii="Arial" w:hAnsi="Arial" w:cs="Arial"/>
        </w:rPr>
        <w:t xml:space="preserve">2016 (1) NR 214 (HC) at </w:t>
      </w:r>
      <w:r w:rsidR="000D17B0">
        <w:rPr>
          <w:rFonts w:ascii="Arial" w:hAnsi="Arial" w:cs="Arial"/>
        </w:rPr>
        <w:t xml:space="preserve">[10] – [11], </w:t>
      </w:r>
      <w:r w:rsidRPr="00705DA8">
        <w:rPr>
          <w:rFonts w:ascii="Arial" w:hAnsi="Arial" w:cs="Arial"/>
          <w:i/>
        </w:rPr>
        <w:t xml:space="preserve">Bank Windhoek Ltd v </w:t>
      </w:r>
      <w:proofErr w:type="spellStart"/>
      <w:r w:rsidRPr="00705DA8">
        <w:rPr>
          <w:rFonts w:ascii="Arial" w:hAnsi="Arial" w:cs="Arial"/>
          <w:i/>
        </w:rPr>
        <w:t>Benlin</w:t>
      </w:r>
      <w:proofErr w:type="spellEnd"/>
      <w:r w:rsidRPr="00705DA8">
        <w:rPr>
          <w:rFonts w:ascii="Arial" w:hAnsi="Arial" w:cs="Arial"/>
          <w:i/>
        </w:rPr>
        <w:t xml:space="preserve"> </w:t>
      </w:r>
      <w:proofErr w:type="spellStart"/>
      <w:r w:rsidRPr="00705DA8">
        <w:rPr>
          <w:rFonts w:ascii="Arial" w:hAnsi="Arial" w:cs="Arial"/>
          <w:i/>
        </w:rPr>
        <w:t>Inv</w:t>
      </w:r>
      <w:proofErr w:type="spellEnd"/>
      <w:r w:rsidRPr="00705DA8">
        <w:rPr>
          <w:rFonts w:ascii="Arial" w:hAnsi="Arial" w:cs="Arial"/>
          <w:i/>
        </w:rPr>
        <w:t xml:space="preserve"> CC </w:t>
      </w:r>
      <w:r w:rsidRPr="000D17B0">
        <w:rPr>
          <w:rFonts w:ascii="Arial" w:hAnsi="Arial" w:cs="Arial"/>
        </w:rPr>
        <w:t>2017 (2) NR 403 (HC) at [7] – [8]</w:t>
      </w:r>
      <w:r w:rsidR="000D17B0">
        <w:rPr>
          <w:rFonts w:ascii="Arial" w:hAnsi="Arial" w:cs="Arial"/>
          <w:i/>
        </w:rPr>
        <w:t xml:space="preserve"> and </w:t>
      </w:r>
      <w:r w:rsidR="000D17B0" w:rsidRPr="00E06D7C">
        <w:rPr>
          <w:rFonts w:ascii="Arial" w:hAnsi="Arial" w:cs="Arial"/>
          <w:i/>
        </w:rPr>
        <w:t xml:space="preserve">Standard Bank of Namibia Limited v </w:t>
      </w:r>
      <w:proofErr w:type="spellStart"/>
      <w:r w:rsidR="000D17B0" w:rsidRPr="00E06D7C">
        <w:rPr>
          <w:rFonts w:ascii="Arial" w:hAnsi="Arial" w:cs="Arial"/>
          <w:i/>
        </w:rPr>
        <w:t>Nekwaya</w:t>
      </w:r>
      <w:proofErr w:type="spellEnd"/>
      <w:r w:rsidR="000D17B0" w:rsidRPr="00E06D7C">
        <w:rPr>
          <w:rFonts w:ascii="Arial" w:hAnsi="Arial" w:cs="Arial"/>
          <w:i/>
        </w:rPr>
        <w:t xml:space="preserve"> op </w:t>
      </w:r>
      <w:proofErr w:type="spellStart"/>
      <w:r w:rsidR="000D17B0" w:rsidRPr="00E06D7C">
        <w:rPr>
          <w:rFonts w:ascii="Arial" w:hAnsi="Arial" w:cs="Arial"/>
          <w:i/>
        </w:rPr>
        <w:t>cit</w:t>
      </w:r>
      <w:proofErr w:type="spellEnd"/>
      <w:r w:rsidR="000D17B0" w:rsidRPr="00E06D7C">
        <w:rPr>
          <w:rFonts w:ascii="Arial" w:hAnsi="Arial" w:cs="Arial"/>
          <w:i/>
        </w:rPr>
        <w:t xml:space="preserve"> </w:t>
      </w:r>
      <w:r w:rsidR="000D17B0" w:rsidRPr="00E06D7C">
        <w:rPr>
          <w:rFonts w:ascii="Arial" w:hAnsi="Arial" w:cs="Arial"/>
        </w:rPr>
        <w:t>at</w:t>
      </w:r>
      <w:r w:rsidR="000D17B0" w:rsidRPr="00E06D7C">
        <w:rPr>
          <w:rFonts w:ascii="Arial" w:hAnsi="Arial" w:cs="Arial"/>
          <w:lang w:val="en-US"/>
        </w:rPr>
        <w:t xml:space="preserve"> [</w:t>
      </w:r>
      <w:r w:rsidR="000D17B0">
        <w:rPr>
          <w:rFonts w:ascii="Arial" w:hAnsi="Arial" w:cs="Arial"/>
          <w:lang w:val="en-US"/>
        </w:rPr>
        <w:t>28</w:t>
      </w:r>
      <w:r w:rsidR="000D17B0" w:rsidRPr="00E06D7C">
        <w:rPr>
          <w:rFonts w:ascii="Arial" w:hAnsi="Arial" w:cs="Arial"/>
          <w:lang w:val="en-US"/>
        </w:rPr>
        <w:t>]</w:t>
      </w:r>
      <w:r w:rsidR="00D24F2D">
        <w:rPr>
          <w:rFonts w:ascii="Arial" w:hAnsi="Arial" w:cs="Arial"/>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06CA1"/>
    <w:multiLevelType w:val="multilevel"/>
    <w:tmpl w:val="42229484"/>
    <w:lvl w:ilvl="0">
      <w:start w:val="5"/>
      <w:numFmt w:val="decimal"/>
      <w:lvlText w:val="%1."/>
      <w:lvlJc w:val="left"/>
      <w:pPr>
        <w:ind w:left="72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15:restartNumberingAfterBreak="0">
    <w:nsid w:val="13637188"/>
    <w:multiLevelType w:val="hybridMultilevel"/>
    <w:tmpl w:val="BA2495D4"/>
    <w:lvl w:ilvl="0" w:tplc="8B224312">
      <w:start w:val="7"/>
      <w:numFmt w:val="decimal"/>
      <w:lvlText w:val="%1."/>
      <w:lvlJc w:val="left"/>
      <w:pPr>
        <w:ind w:left="705"/>
      </w:pPr>
      <w:rPr>
        <w:rFonts w:asciiTheme="minorHAnsi" w:eastAsia="Arial" w:hAnsiTheme="minorHAnsi" w:cs="Arial" w:hint="default"/>
        <w:b w:val="0"/>
        <w:i w:val="0"/>
        <w:strike w:val="0"/>
        <w:dstrike w:val="0"/>
        <w:color w:val="000000"/>
        <w:sz w:val="24"/>
        <w:szCs w:val="24"/>
        <w:u w:val="none" w:color="000000"/>
        <w:bdr w:val="none" w:sz="0" w:space="0" w:color="auto"/>
        <w:shd w:val="clear" w:color="auto" w:fill="auto"/>
        <w:vertAlign w:val="baseline"/>
      </w:rPr>
    </w:lvl>
    <w:lvl w:ilvl="1" w:tplc="2C78770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201DF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F6591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4E3FB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986FC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662BE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C0B02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14DDF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8B4A27"/>
    <w:multiLevelType w:val="hybridMultilevel"/>
    <w:tmpl w:val="14EA9F70"/>
    <w:lvl w:ilvl="0" w:tplc="1C09000F">
      <w:start w:val="6"/>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2325C20"/>
    <w:multiLevelType w:val="hybridMultilevel"/>
    <w:tmpl w:val="08284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00C73"/>
    <w:multiLevelType w:val="hybridMultilevel"/>
    <w:tmpl w:val="BA3C27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31676"/>
    <w:multiLevelType w:val="hybridMultilevel"/>
    <w:tmpl w:val="891C9018"/>
    <w:lvl w:ilvl="0" w:tplc="21F07688">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88F7C32"/>
    <w:multiLevelType w:val="hybridMultilevel"/>
    <w:tmpl w:val="A280962A"/>
    <w:lvl w:ilvl="0" w:tplc="1C09000F">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9CD3755"/>
    <w:multiLevelType w:val="hybridMultilevel"/>
    <w:tmpl w:val="2B34BE54"/>
    <w:lvl w:ilvl="0" w:tplc="23445804">
      <w:start w:val="9"/>
      <w:numFmt w:val="decimal"/>
      <w:lvlText w:val="%1."/>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CA5E117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4060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4E3B7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E403A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1C1B0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1249C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50F35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304FB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AF3676F"/>
    <w:multiLevelType w:val="hybridMultilevel"/>
    <w:tmpl w:val="0F5456CA"/>
    <w:lvl w:ilvl="0" w:tplc="76D411F8">
      <w:start w:val="1"/>
      <w:numFmt w:val="decimal"/>
      <w:lvlText w:val="2.%1"/>
      <w:lvlJc w:val="left"/>
      <w:pPr>
        <w:ind w:left="4897" w:hanging="360"/>
      </w:pPr>
      <w:rPr>
        <w:rFonts w:hint="default"/>
      </w:rPr>
    </w:lvl>
    <w:lvl w:ilvl="1" w:tplc="1C090019" w:tentative="1">
      <w:start w:val="1"/>
      <w:numFmt w:val="lowerLetter"/>
      <w:lvlText w:val="%2."/>
      <w:lvlJc w:val="left"/>
      <w:pPr>
        <w:ind w:left="5617" w:hanging="360"/>
      </w:pPr>
    </w:lvl>
    <w:lvl w:ilvl="2" w:tplc="1C09001B" w:tentative="1">
      <w:start w:val="1"/>
      <w:numFmt w:val="lowerRoman"/>
      <w:lvlText w:val="%3."/>
      <w:lvlJc w:val="right"/>
      <w:pPr>
        <w:ind w:left="6337" w:hanging="180"/>
      </w:pPr>
    </w:lvl>
    <w:lvl w:ilvl="3" w:tplc="1C09000F" w:tentative="1">
      <w:start w:val="1"/>
      <w:numFmt w:val="decimal"/>
      <w:lvlText w:val="%4."/>
      <w:lvlJc w:val="left"/>
      <w:pPr>
        <w:ind w:left="7057" w:hanging="360"/>
      </w:pPr>
    </w:lvl>
    <w:lvl w:ilvl="4" w:tplc="1C090019" w:tentative="1">
      <w:start w:val="1"/>
      <w:numFmt w:val="lowerLetter"/>
      <w:lvlText w:val="%5."/>
      <w:lvlJc w:val="left"/>
      <w:pPr>
        <w:ind w:left="7777" w:hanging="360"/>
      </w:pPr>
    </w:lvl>
    <w:lvl w:ilvl="5" w:tplc="1C09001B" w:tentative="1">
      <w:start w:val="1"/>
      <w:numFmt w:val="lowerRoman"/>
      <w:lvlText w:val="%6."/>
      <w:lvlJc w:val="right"/>
      <w:pPr>
        <w:ind w:left="8497" w:hanging="180"/>
      </w:pPr>
    </w:lvl>
    <w:lvl w:ilvl="6" w:tplc="1C09000F" w:tentative="1">
      <w:start w:val="1"/>
      <w:numFmt w:val="decimal"/>
      <w:lvlText w:val="%7."/>
      <w:lvlJc w:val="left"/>
      <w:pPr>
        <w:ind w:left="9217" w:hanging="360"/>
      </w:pPr>
    </w:lvl>
    <w:lvl w:ilvl="7" w:tplc="1C090019" w:tentative="1">
      <w:start w:val="1"/>
      <w:numFmt w:val="lowerLetter"/>
      <w:lvlText w:val="%8."/>
      <w:lvlJc w:val="left"/>
      <w:pPr>
        <w:ind w:left="9937" w:hanging="360"/>
      </w:pPr>
    </w:lvl>
    <w:lvl w:ilvl="8" w:tplc="1C09001B" w:tentative="1">
      <w:start w:val="1"/>
      <w:numFmt w:val="lowerRoman"/>
      <w:lvlText w:val="%9."/>
      <w:lvlJc w:val="right"/>
      <w:pPr>
        <w:ind w:left="10657" w:hanging="180"/>
      </w:pPr>
    </w:lvl>
  </w:abstractNum>
  <w:abstractNum w:abstractNumId="13" w15:restartNumberingAfterBreak="0">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F33512E"/>
    <w:multiLevelType w:val="multilevel"/>
    <w:tmpl w:val="57C69B60"/>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4"/>
  </w:num>
  <w:num w:numId="4">
    <w:abstractNumId w:val="13"/>
  </w:num>
  <w:num w:numId="5">
    <w:abstractNumId w:val="11"/>
  </w:num>
  <w:num w:numId="6">
    <w:abstractNumId w:val="9"/>
  </w:num>
  <w:num w:numId="7">
    <w:abstractNumId w:val="16"/>
  </w:num>
  <w:num w:numId="8">
    <w:abstractNumId w:val="15"/>
  </w:num>
  <w:num w:numId="9">
    <w:abstractNumId w:val="6"/>
  </w:num>
  <w:num w:numId="10">
    <w:abstractNumId w:val="12"/>
  </w:num>
  <w:num w:numId="11">
    <w:abstractNumId w:val="4"/>
  </w:num>
  <w:num w:numId="12">
    <w:abstractNumId w:val="1"/>
  </w:num>
  <w:num w:numId="13">
    <w:abstractNumId w:val="8"/>
  </w:num>
  <w:num w:numId="14">
    <w:abstractNumId w:val="5"/>
  </w:num>
  <w:num w:numId="15">
    <w:abstractNumId w:val="0"/>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6F"/>
    <w:rsid w:val="00000A85"/>
    <w:rsid w:val="000021A0"/>
    <w:rsid w:val="00007708"/>
    <w:rsid w:val="0000789A"/>
    <w:rsid w:val="00026D86"/>
    <w:rsid w:val="000618F4"/>
    <w:rsid w:val="00062068"/>
    <w:rsid w:val="00065CE7"/>
    <w:rsid w:val="00090783"/>
    <w:rsid w:val="00092FD2"/>
    <w:rsid w:val="000944C5"/>
    <w:rsid w:val="0009710D"/>
    <w:rsid w:val="0009757B"/>
    <w:rsid w:val="000C055F"/>
    <w:rsid w:val="000C0A07"/>
    <w:rsid w:val="000D17B0"/>
    <w:rsid w:val="000D5FE9"/>
    <w:rsid w:val="000E362A"/>
    <w:rsid w:val="000F1180"/>
    <w:rsid w:val="00112D50"/>
    <w:rsid w:val="00113321"/>
    <w:rsid w:val="00124EC8"/>
    <w:rsid w:val="00131D60"/>
    <w:rsid w:val="001338C3"/>
    <w:rsid w:val="001417E6"/>
    <w:rsid w:val="00144B2B"/>
    <w:rsid w:val="00165FEE"/>
    <w:rsid w:val="0017153C"/>
    <w:rsid w:val="001804AD"/>
    <w:rsid w:val="00187A29"/>
    <w:rsid w:val="00197F48"/>
    <w:rsid w:val="001A2AD3"/>
    <w:rsid w:val="001B23D9"/>
    <w:rsid w:val="001B710C"/>
    <w:rsid w:val="001D41D2"/>
    <w:rsid w:val="001E39EE"/>
    <w:rsid w:val="001E70F9"/>
    <w:rsid w:val="001F1ECD"/>
    <w:rsid w:val="001F4A48"/>
    <w:rsid w:val="001F5CF4"/>
    <w:rsid w:val="002002FA"/>
    <w:rsid w:val="00203E3D"/>
    <w:rsid w:val="002100DF"/>
    <w:rsid w:val="002207D9"/>
    <w:rsid w:val="00223D66"/>
    <w:rsid w:val="0024010F"/>
    <w:rsid w:val="00245B5A"/>
    <w:rsid w:val="00263A9B"/>
    <w:rsid w:val="00265783"/>
    <w:rsid w:val="00266B3E"/>
    <w:rsid w:val="002736CF"/>
    <w:rsid w:val="00281A10"/>
    <w:rsid w:val="00281FAB"/>
    <w:rsid w:val="00282CF1"/>
    <w:rsid w:val="002A06F0"/>
    <w:rsid w:val="002B1C34"/>
    <w:rsid w:val="002B3F1D"/>
    <w:rsid w:val="002C3150"/>
    <w:rsid w:val="002C6FA8"/>
    <w:rsid w:val="002D4C2A"/>
    <w:rsid w:val="002E3BFB"/>
    <w:rsid w:val="002E583B"/>
    <w:rsid w:val="00300CF7"/>
    <w:rsid w:val="0030287B"/>
    <w:rsid w:val="0031515F"/>
    <w:rsid w:val="0031767F"/>
    <w:rsid w:val="00323762"/>
    <w:rsid w:val="00334EC0"/>
    <w:rsid w:val="003375D1"/>
    <w:rsid w:val="00342AC5"/>
    <w:rsid w:val="0034499F"/>
    <w:rsid w:val="00347DBC"/>
    <w:rsid w:val="00364D3C"/>
    <w:rsid w:val="00371CD0"/>
    <w:rsid w:val="003723C3"/>
    <w:rsid w:val="00373558"/>
    <w:rsid w:val="0039308E"/>
    <w:rsid w:val="00393E41"/>
    <w:rsid w:val="00396AF1"/>
    <w:rsid w:val="003A0103"/>
    <w:rsid w:val="003A7E2F"/>
    <w:rsid w:val="003B0E74"/>
    <w:rsid w:val="003C4029"/>
    <w:rsid w:val="003C4403"/>
    <w:rsid w:val="003C4613"/>
    <w:rsid w:val="003C74AB"/>
    <w:rsid w:val="003E3D0D"/>
    <w:rsid w:val="003E50E8"/>
    <w:rsid w:val="003F52A2"/>
    <w:rsid w:val="003F63E0"/>
    <w:rsid w:val="00422CA6"/>
    <w:rsid w:val="00425554"/>
    <w:rsid w:val="004514DE"/>
    <w:rsid w:val="004546CC"/>
    <w:rsid w:val="00456199"/>
    <w:rsid w:val="00470B0C"/>
    <w:rsid w:val="004B355E"/>
    <w:rsid w:val="004B5538"/>
    <w:rsid w:val="004B5E87"/>
    <w:rsid w:val="004E581F"/>
    <w:rsid w:val="004E7D33"/>
    <w:rsid w:val="004F38B9"/>
    <w:rsid w:val="0050338C"/>
    <w:rsid w:val="005234EE"/>
    <w:rsid w:val="005403D8"/>
    <w:rsid w:val="005577B6"/>
    <w:rsid w:val="00560857"/>
    <w:rsid w:val="00562A14"/>
    <w:rsid w:val="0056512A"/>
    <w:rsid w:val="005955B1"/>
    <w:rsid w:val="005963C6"/>
    <w:rsid w:val="005A66F8"/>
    <w:rsid w:val="005B7A31"/>
    <w:rsid w:val="005D0028"/>
    <w:rsid w:val="005D0592"/>
    <w:rsid w:val="005D6172"/>
    <w:rsid w:val="005D7161"/>
    <w:rsid w:val="005E058A"/>
    <w:rsid w:val="005E5A8F"/>
    <w:rsid w:val="005F57F5"/>
    <w:rsid w:val="0060394A"/>
    <w:rsid w:val="006039AA"/>
    <w:rsid w:val="00604D76"/>
    <w:rsid w:val="00621EE8"/>
    <w:rsid w:val="0062225A"/>
    <w:rsid w:val="00627C26"/>
    <w:rsid w:val="006475B1"/>
    <w:rsid w:val="00647A7B"/>
    <w:rsid w:val="00652595"/>
    <w:rsid w:val="00660D08"/>
    <w:rsid w:val="00666306"/>
    <w:rsid w:val="006809D8"/>
    <w:rsid w:val="00684620"/>
    <w:rsid w:val="00686B3F"/>
    <w:rsid w:val="006B1F56"/>
    <w:rsid w:val="006C2872"/>
    <w:rsid w:val="006D107B"/>
    <w:rsid w:val="006D1141"/>
    <w:rsid w:val="006D22F9"/>
    <w:rsid w:val="006D2D84"/>
    <w:rsid w:val="006E2964"/>
    <w:rsid w:val="006E49A3"/>
    <w:rsid w:val="006F4A66"/>
    <w:rsid w:val="006F4B2E"/>
    <w:rsid w:val="00705DA8"/>
    <w:rsid w:val="00711F52"/>
    <w:rsid w:val="00715AD2"/>
    <w:rsid w:val="00722089"/>
    <w:rsid w:val="00723F03"/>
    <w:rsid w:val="0072640A"/>
    <w:rsid w:val="0073012B"/>
    <w:rsid w:val="007329D4"/>
    <w:rsid w:val="007447AE"/>
    <w:rsid w:val="0074529A"/>
    <w:rsid w:val="00764071"/>
    <w:rsid w:val="00771DD6"/>
    <w:rsid w:val="00772C8E"/>
    <w:rsid w:val="0078341F"/>
    <w:rsid w:val="00790E9F"/>
    <w:rsid w:val="0079434F"/>
    <w:rsid w:val="0079456D"/>
    <w:rsid w:val="00796984"/>
    <w:rsid w:val="00797188"/>
    <w:rsid w:val="00797247"/>
    <w:rsid w:val="007A64D4"/>
    <w:rsid w:val="007C46BC"/>
    <w:rsid w:val="007C6B41"/>
    <w:rsid w:val="007E24ED"/>
    <w:rsid w:val="007F3578"/>
    <w:rsid w:val="00805BCE"/>
    <w:rsid w:val="00806B14"/>
    <w:rsid w:val="00812E09"/>
    <w:rsid w:val="0081352A"/>
    <w:rsid w:val="00813D35"/>
    <w:rsid w:val="00823237"/>
    <w:rsid w:val="00825474"/>
    <w:rsid w:val="00837272"/>
    <w:rsid w:val="00851B88"/>
    <w:rsid w:val="00864008"/>
    <w:rsid w:val="00864FC2"/>
    <w:rsid w:val="00867BDF"/>
    <w:rsid w:val="0088329E"/>
    <w:rsid w:val="00890143"/>
    <w:rsid w:val="008930A5"/>
    <w:rsid w:val="008A14A9"/>
    <w:rsid w:val="008A4CAD"/>
    <w:rsid w:val="008A73BD"/>
    <w:rsid w:val="008B1C23"/>
    <w:rsid w:val="008C0AC7"/>
    <w:rsid w:val="008D2B93"/>
    <w:rsid w:val="008D39C9"/>
    <w:rsid w:val="008D5B8D"/>
    <w:rsid w:val="008D65E9"/>
    <w:rsid w:val="008D79D4"/>
    <w:rsid w:val="008E6759"/>
    <w:rsid w:val="00902CE8"/>
    <w:rsid w:val="00905A48"/>
    <w:rsid w:val="009116F7"/>
    <w:rsid w:val="00912D4E"/>
    <w:rsid w:val="00913A1D"/>
    <w:rsid w:val="00945A2F"/>
    <w:rsid w:val="00947BEE"/>
    <w:rsid w:val="00952193"/>
    <w:rsid w:val="00962F54"/>
    <w:rsid w:val="009633A4"/>
    <w:rsid w:val="0098277A"/>
    <w:rsid w:val="00992A7D"/>
    <w:rsid w:val="00997334"/>
    <w:rsid w:val="009A5F60"/>
    <w:rsid w:val="009B096F"/>
    <w:rsid w:val="009C36A5"/>
    <w:rsid w:val="009C7093"/>
    <w:rsid w:val="009F24FA"/>
    <w:rsid w:val="009F6C8B"/>
    <w:rsid w:val="00A06FD8"/>
    <w:rsid w:val="00A14435"/>
    <w:rsid w:val="00A16AC6"/>
    <w:rsid w:val="00A23F8A"/>
    <w:rsid w:val="00A258AF"/>
    <w:rsid w:val="00A40097"/>
    <w:rsid w:val="00A4515E"/>
    <w:rsid w:val="00A5368E"/>
    <w:rsid w:val="00A5758F"/>
    <w:rsid w:val="00A635A8"/>
    <w:rsid w:val="00A6494E"/>
    <w:rsid w:val="00A772D3"/>
    <w:rsid w:val="00A81203"/>
    <w:rsid w:val="00A82F94"/>
    <w:rsid w:val="00A97520"/>
    <w:rsid w:val="00AB3745"/>
    <w:rsid w:val="00AB5193"/>
    <w:rsid w:val="00AC4198"/>
    <w:rsid w:val="00AD0FCD"/>
    <w:rsid w:val="00AD1833"/>
    <w:rsid w:val="00AF3C29"/>
    <w:rsid w:val="00B00A2C"/>
    <w:rsid w:val="00B07B4B"/>
    <w:rsid w:val="00B160EB"/>
    <w:rsid w:val="00B1649C"/>
    <w:rsid w:val="00B25204"/>
    <w:rsid w:val="00B30012"/>
    <w:rsid w:val="00B337FC"/>
    <w:rsid w:val="00B40BBE"/>
    <w:rsid w:val="00B4625E"/>
    <w:rsid w:val="00B53D6D"/>
    <w:rsid w:val="00B6188A"/>
    <w:rsid w:val="00B66325"/>
    <w:rsid w:val="00B76671"/>
    <w:rsid w:val="00B80CED"/>
    <w:rsid w:val="00B8518D"/>
    <w:rsid w:val="00BA213D"/>
    <w:rsid w:val="00BA3715"/>
    <w:rsid w:val="00BA48EA"/>
    <w:rsid w:val="00BB1E6E"/>
    <w:rsid w:val="00BB388A"/>
    <w:rsid w:val="00BC4D4A"/>
    <w:rsid w:val="00BE5489"/>
    <w:rsid w:val="00BE7DE8"/>
    <w:rsid w:val="00BF539E"/>
    <w:rsid w:val="00BF6DAE"/>
    <w:rsid w:val="00C04EBD"/>
    <w:rsid w:val="00C06B39"/>
    <w:rsid w:val="00C10C58"/>
    <w:rsid w:val="00C119BC"/>
    <w:rsid w:val="00C249D9"/>
    <w:rsid w:val="00C26907"/>
    <w:rsid w:val="00C332BE"/>
    <w:rsid w:val="00C356C5"/>
    <w:rsid w:val="00C42BF1"/>
    <w:rsid w:val="00C50A1F"/>
    <w:rsid w:val="00C73154"/>
    <w:rsid w:val="00C74E6A"/>
    <w:rsid w:val="00CA2B73"/>
    <w:rsid w:val="00CA4320"/>
    <w:rsid w:val="00CB39F0"/>
    <w:rsid w:val="00CB4CA9"/>
    <w:rsid w:val="00CC191C"/>
    <w:rsid w:val="00CC4D82"/>
    <w:rsid w:val="00CC4E7A"/>
    <w:rsid w:val="00CC5024"/>
    <w:rsid w:val="00CC6457"/>
    <w:rsid w:val="00CF2F4C"/>
    <w:rsid w:val="00CF3D16"/>
    <w:rsid w:val="00CF6287"/>
    <w:rsid w:val="00D0287E"/>
    <w:rsid w:val="00D10858"/>
    <w:rsid w:val="00D153C7"/>
    <w:rsid w:val="00D220EF"/>
    <w:rsid w:val="00D22ACF"/>
    <w:rsid w:val="00D24F2D"/>
    <w:rsid w:val="00D40029"/>
    <w:rsid w:val="00D64023"/>
    <w:rsid w:val="00D73FFF"/>
    <w:rsid w:val="00D862BF"/>
    <w:rsid w:val="00DB1421"/>
    <w:rsid w:val="00DC392E"/>
    <w:rsid w:val="00DD1F31"/>
    <w:rsid w:val="00DF0CAF"/>
    <w:rsid w:val="00DF16FD"/>
    <w:rsid w:val="00E06D7C"/>
    <w:rsid w:val="00E1002B"/>
    <w:rsid w:val="00E256F6"/>
    <w:rsid w:val="00E3339B"/>
    <w:rsid w:val="00E41527"/>
    <w:rsid w:val="00E41C88"/>
    <w:rsid w:val="00E44BBF"/>
    <w:rsid w:val="00E619CB"/>
    <w:rsid w:val="00E765F9"/>
    <w:rsid w:val="00E9623B"/>
    <w:rsid w:val="00EA06CF"/>
    <w:rsid w:val="00EA5900"/>
    <w:rsid w:val="00EB27A0"/>
    <w:rsid w:val="00EC2977"/>
    <w:rsid w:val="00ED4A97"/>
    <w:rsid w:val="00EE19B5"/>
    <w:rsid w:val="00F11950"/>
    <w:rsid w:val="00F16C57"/>
    <w:rsid w:val="00F24301"/>
    <w:rsid w:val="00F2705A"/>
    <w:rsid w:val="00F302DA"/>
    <w:rsid w:val="00F338CF"/>
    <w:rsid w:val="00F3787E"/>
    <w:rsid w:val="00F53DDE"/>
    <w:rsid w:val="00F571A4"/>
    <w:rsid w:val="00F630E7"/>
    <w:rsid w:val="00F66EB8"/>
    <w:rsid w:val="00F71EB9"/>
    <w:rsid w:val="00F72F82"/>
    <w:rsid w:val="00F9250D"/>
    <w:rsid w:val="00FA6B6F"/>
    <w:rsid w:val="00FB2069"/>
    <w:rsid w:val="00FB739A"/>
    <w:rsid w:val="00FB7B7C"/>
    <w:rsid w:val="00FC482A"/>
    <w:rsid w:val="00FD3814"/>
    <w:rsid w:val="00FD38C2"/>
    <w:rsid w:val="00FF56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F4E541-DE00-4FA1-AA74-B0CA5218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B80CED"/>
    <w:pPr>
      <w:keepNext/>
      <w:keepLines/>
      <w:spacing w:after="117"/>
      <w:ind w:left="10" w:hanging="10"/>
      <w:outlineLvl w:val="1"/>
    </w:pPr>
    <w:rPr>
      <w:rFonts w:ascii="Arial" w:eastAsia="Arial" w:hAnsi="Arial" w:cs="Arial"/>
      <w:color w:val="000000"/>
      <w:sz w:val="24"/>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FootnoteText">
    <w:name w:val="footnote text"/>
    <w:basedOn w:val="Normal"/>
    <w:link w:val="FootnoteTextChar"/>
    <w:uiPriority w:val="99"/>
    <w:unhideWhenUsed/>
    <w:rsid w:val="00B07B4B"/>
    <w:pPr>
      <w:spacing w:after="0" w:line="240" w:lineRule="auto"/>
    </w:pPr>
    <w:rPr>
      <w:sz w:val="20"/>
      <w:szCs w:val="20"/>
    </w:rPr>
  </w:style>
  <w:style w:type="character" w:customStyle="1" w:styleId="FootnoteTextChar">
    <w:name w:val="Footnote Text Char"/>
    <w:basedOn w:val="DefaultParagraphFont"/>
    <w:link w:val="FootnoteText"/>
    <w:uiPriority w:val="99"/>
    <w:rsid w:val="00B07B4B"/>
    <w:rPr>
      <w:sz w:val="20"/>
      <w:szCs w:val="20"/>
    </w:rPr>
  </w:style>
  <w:style w:type="character" w:styleId="FootnoteReference">
    <w:name w:val="footnote reference"/>
    <w:basedOn w:val="DefaultParagraphFont"/>
    <w:uiPriority w:val="99"/>
    <w:semiHidden/>
    <w:unhideWhenUsed/>
    <w:rsid w:val="00B07B4B"/>
    <w:rPr>
      <w:vertAlign w:val="superscript"/>
    </w:rPr>
  </w:style>
  <w:style w:type="paragraph" w:styleId="NormalWeb">
    <w:name w:val="Normal (Web)"/>
    <w:basedOn w:val="Normal"/>
    <w:uiPriority w:val="99"/>
    <w:unhideWhenUsed/>
    <w:rsid w:val="00C26907"/>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character" w:customStyle="1" w:styleId="Heading2Char">
    <w:name w:val="Heading 2 Char"/>
    <w:basedOn w:val="DefaultParagraphFont"/>
    <w:link w:val="Heading2"/>
    <w:uiPriority w:val="9"/>
    <w:rsid w:val="00B80CED"/>
    <w:rPr>
      <w:rFonts w:ascii="Arial" w:eastAsia="Arial" w:hAnsi="Arial" w:cs="Arial"/>
      <w:color w:val="000000"/>
      <w:sz w:val="24"/>
      <w:u w:val="single" w:color="000000"/>
      <w:lang w:val="en-US"/>
    </w:rPr>
  </w:style>
  <w:style w:type="paragraph" w:customStyle="1" w:styleId="footnotedescription">
    <w:name w:val="footnote description"/>
    <w:next w:val="Normal"/>
    <w:link w:val="footnotedescriptionChar"/>
    <w:hidden/>
    <w:rsid w:val="00B80CED"/>
    <w:pPr>
      <w:spacing w:after="0"/>
    </w:pPr>
    <w:rPr>
      <w:rFonts w:ascii="Arial" w:eastAsia="Arial" w:hAnsi="Arial" w:cs="Arial"/>
      <w:color w:val="000000"/>
      <w:sz w:val="20"/>
      <w:lang w:val="en-US"/>
    </w:rPr>
  </w:style>
  <w:style w:type="character" w:customStyle="1" w:styleId="footnotedescriptionChar">
    <w:name w:val="footnote description Char"/>
    <w:link w:val="footnotedescription"/>
    <w:rsid w:val="00B80CED"/>
    <w:rPr>
      <w:rFonts w:ascii="Arial" w:eastAsia="Arial" w:hAnsi="Arial" w:cs="Arial"/>
      <w:color w:val="000000"/>
      <w:sz w:val="20"/>
      <w:lang w:val="en-US"/>
    </w:rPr>
  </w:style>
  <w:style w:type="character" w:customStyle="1" w:styleId="footnotemark">
    <w:name w:val="footnote mark"/>
    <w:hidden/>
    <w:rsid w:val="00B80CED"/>
    <w:rPr>
      <w:rFonts w:ascii="Arial" w:eastAsia="Arial" w:hAnsi="Arial" w:cs="Arial"/>
      <w:color w:val="000000"/>
      <w:sz w:val="20"/>
      <w:vertAlign w:val="superscript"/>
    </w:rPr>
  </w:style>
  <w:style w:type="paragraph" w:customStyle="1" w:styleId="Default">
    <w:name w:val="Default"/>
    <w:rsid w:val="004F38B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2020-08-18T18:30:00+00:00</Judgment_x0020_Date>
    <Year xmlns="c1afb1bd-f2fb-40fd-9abb-aea55b4d7662">2020</Year>
  </documentManagement>
</p:properties>
</file>

<file path=customXml/itemProps1.xml><?xml version="1.0" encoding="utf-8"?>
<ds:datastoreItem xmlns:ds="http://schemas.openxmlformats.org/officeDocument/2006/customXml" ds:itemID="{56378021-1FA6-45DA-8652-5A136880F6A5}"/>
</file>

<file path=customXml/itemProps2.xml><?xml version="1.0" encoding="utf-8"?>
<ds:datastoreItem xmlns:ds="http://schemas.openxmlformats.org/officeDocument/2006/customXml" ds:itemID="{2DB75EC0-A7EA-42A5-85DE-920E349267A3}"/>
</file>

<file path=customXml/itemProps3.xml><?xml version="1.0" encoding="utf-8"?>
<ds:datastoreItem xmlns:ds="http://schemas.openxmlformats.org/officeDocument/2006/customXml" ds:itemID="{8AF6AA00-C41E-4633-84F6-E3B2FEB1814B}"/>
</file>

<file path=customXml/itemProps4.xml><?xml version="1.0" encoding="utf-8"?>
<ds:datastoreItem xmlns:ds="http://schemas.openxmlformats.org/officeDocument/2006/customXml" ds:itemID="{793CBA56-F711-4A3F-AA96-C9BD64C254BE}"/>
</file>

<file path=docProps/app.xml><?xml version="1.0" encoding="utf-8"?>
<Properties xmlns="http://schemas.openxmlformats.org/officeDocument/2006/extended-properties" xmlns:vt="http://schemas.openxmlformats.org/officeDocument/2006/docPropsVTypes">
  <Template>Normal</Template>
  <TotalTime>1</TotalTime>
  <Pages>9</Pages>
  <Words>2275</Words>
  <Characters>12972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PDM  v Minister of Lands (HC-MD-CIV-MOT-REV-2018-00457)[2020] NAHCMD 363 (19 August 2020)</dc:title>
  <dc:subject/>
  <dc:creator>E. Kharases</dc:creator>
  <cp:keywords/>
  <dc:description/>
  <cp:lastModifiedBy>Administrator</cp:lastModifiedBy>
  <cp:revision>2</cp:revision>
  <cp:lastPrinted>2020-08-19T10:02:00Z</cp:lastPrinted>
  <dcterms:created xsi:type="dcterms:W3CDTF">2020-08-21T09:46:00Z</dcterms:created>
  <dcterms:modified xsi:type="dcterms:W3CDTF">2020-08-21T09:46:00Z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