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16" w:rsidRPr="00774D16" w:rsidRDefault="00774D16" w:rsidP="00774D16">
      <w:pPr>
        <w:jc w:val="center"/>
        <w:rPr>
          <w:rFonts w:ascii="Arial" w:hAnsi="Arial" w:cs="Arial"/>
          <w:sz w:val="24"/>
          <w:szCs w:val="24"/>
          <w:lang w:val="en-US"/>
        </w:rPr>
      </w:pPr>
      <w:bookmarkStart w:id="0" w:name="_GoBack"/>
      <w:bookmarkEnd w:id="0"/>
      <w:r w:rsidRPr="00774D16">
        <w:rPr>
          <w:lang w:val="en-US"/>
        </w:rPr>
        <w:t>“</w:t>
      </w:r>
      <w:r w:rsidRPr="00774D16">
        <w:rPr>
          <w:rFonts w:ascii="Arial" w:hAnsi="Arial" w:cs="Arial"/>
          <w:sz w:val="24"/>
          <w:szCs w:val="24"/>
          <w:lang w:val="en-US"/>
        </w:rPr>
        <w:t>ANNEXURE 11”</w:t>
      </w:r>
    </w:p>
    <w:p w:rsidR="00774D16" w:rsidRPr="00774D16" w:rsidRDefault="00774D16" w:rsidP="00774D16">
      <w:pPr>
        <w:jc w:val="center"/>
        <w:rPr>
          <w:rFonts w:ascii="Arial" w:hAnsi="Arial" w:cs="Arial"/>
          <w:sz w:val="24"/>
          <w:szCs w:val="24"/>
          <w:lang w:val="en-US"/>
        </w:rPr>
      </w:pPr>
      <w:r w:rsidRPr="00774D16">
        <w:rPr>
          <w:rFonts w:ascii="Arial" w:hAnsi="Arial" w:cs="Arial"/>
          <w:sz w:val="24"/>
          <w:szCs w:val="24"/>
          <w:lang w:val="en-US"/>
        </w:rPr>
        <w:t>Practice Direction 61</w:t>
      </w:r>
    </w:p>
    <w:p w:rsidR="00774D16" w:rsidRPr="00774D16" w:rsidRDefault="00774D16" w:rsidP="00774D16">
      <w:pPr>
        <w:jc w:val="center"/>
        <w:rPr>
          <w:rFonts w:ascii="Arial" w:hAnsi="Arial" w:cs="Arial"/>
          <w:b/>
          <w:sz w:val="24"/>
          <w:szCs w:val="24"/>
          <w:lang w:val="en-US"/>
        </w:rPr>
      </w:pPr>
      <w:r w:rsidRPr="00774D16">
        <w:rPr>
          <w:rFonts w:ascii="Arial" w:hAnsi="Arial" w:cs="Arial"/>
          <w:b/>
          <w:sz w:val="24"/>
          <w:szCs w:val="24"/>
          <w:lang w:val="en-US"/>
        </w:rPr>
        <w:t>IN THE HIGH COURT OF NAMIBIA</w:t>
      </w:r>
    </w:p>
    <w:p w:rsidR="00774D16" w:rsidRPr="00774D16" w:rsidRDefault="00774D16" w:rsidP="00774D16">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774D16" w:rsidRPr="00774D16" w:rsidTr="00515A80">
        <w:tc>
          <w:tcPr>
            <w:tcW w:w="4950" w:type="dxa"/>
            <w:vMerge w:val="restart"/>
          </w:tcPr>
          <w:p w:rsidR="00774D16" w:rsidRPr="00774D16" w:rsidRDefault="00774D16" w:rsidP="00774D16">
            <w:pPr>
              <w:spacing w:line="360" w:lineRule="auto"/>
              <w:rPr>
                <w:rFonts w:ascii="Arial" w:hAnsi="Arial" w:cs="Arial"/>
                <w:b/>
                <w:sz w:val="24"/>
                <w:szCs w:val="24"/>
                <w:lang w:val="en-US"/>
              </w:rPr>
            </w:pPr>
            <w:r w:rsidRPr="00774D16">
              <w:rPr>
                <w:rFonts w:ascii="Arial" w:hAnsi="Arial" w:cs="Arial"/>
                <w:b/>
                <w:sz w:val="24"/>
                <w:szCs w:val="24"/>
                <w:lang w:val="en-US"/>
              </w:rPr>
              <w:t>Case Title:</w:t>
            </w:r>
          </w:p>
          <w:p w:rsidR="00774D16" w:rsidRPr="00774D16" w:rsidRDefault="00774D16" w:rsidP="00774D16">
            <w:pPr>
              <w:spacing w:line="360" w:lineRule="auto"/>
              <w:rPr>
                <w:rFonts w:ascii="Arial" w:hAnsi="Arial" w:cs="Arial"/>
                <w:b/>
                <w:sz w:val="24"/>
                <w:szCs w:val="24"/>
                <w:lang w:val="en-US"/>
              </w:rPr>
            </w:pPr>
            <w:r>
              <w:rPr>
                <w:rFonts w:ascii="Arial" w:hAnsi="Arial" w:cs="Arial"/>
                <w:i/>
                <w:sz w:val="24"/>
                <w:szCs w:val="24"/>
                <w:lang w:val="en-US"/>
              </w:rPr>
              <w:t>Walvis Bay Plan</w:t>
            </w:r>
            <w:r w:rsidR="00B96931">
              <w:rPr>
                <w:rFonts w:ascii="Arial" w:hAnsi="Arial" w:cs="Arial"/>
                <w:i/>
                <w:sz w:val="24"/>
                <w:szCs w:val="24"/>
                <w:lang w:val="en-US"/>
              </w:rPr>
              <w:t>t</w:t>
            </w:r>
            <w:r>
              <w:rPr>
                <w:rFonts w:ascii="Arial" w:hAnsi="Arial" w:cs="Arial"/>
                <w:i/>
                <w:sz w:val="24"/>
                <w:szCs w:val="24"/>
                <w:lang w:val="en-US"/>
              </w:rPr>
              <w:t xml:space="preserve"> and Tool Hire Services CC v Walvis Bay Municipal Council</w:t>
            </w:r>
            <w:r w:rsidRPr="00774D16">
              <w:rPr>
                <w:rFonts w:ascii="Arial" w:hAnsi="Arial" w:cs="Arial"/>
                <w:i/>
                <w:sz w:val="24"/>
                <w:szCs w:val="24"/>
                <w:lang w:val="en-US"/>
              </w:rPr>
              <w:t xml:space="preserve">  </w:t>
            </w:r>
          </w:p>
        </w:tc>
        <w:tc>
          <w:tcPr>
            <w:tcW w:w="5130" w:type="dxa"/>
          </w:tcPr>
          <w:p w:rsidR="00774D16" w:rsidRPr="00774D16" w:rsidRDefault="00774D16" w:rsidP="00774D16">
            <w:pPr>
              <w:spacing w:line="360" w:lineRule="auto"/>
              <w:rPr>
                <w:rFonts w:ascii="Arial" w:hAnsi="Arial" w:cs="Arial"/>
                <w:b/>
                <w:sz w:val="24"/>
                <w:szCs w:val="24"/>
                <w:lang w:val="en-US"/>
              </w:rPr>
            </w:pPr>
            <w:r w:rsidRPr="00774D16">
              <w:rPr>
                <w:rFonts w:ascii="Arial" w:hAnsi="Arial" w:cs="Arial"/>
                <w:b/>
                <w:sz w:val="24"/>
                <w:szCs w:val="24"/>
                <w:lang w:val="en-US"/>
              </w:rPr>
              <w:t>Case No.:</w:t>
            </w:r>
          </w:p>
          <w:p w:rsidR="00774D16" w:rsidRPr="00774D16" w:rsidRDefault="00774D16" w:rsidP="00774D16">
            <w:pPr>
              <w:spacing w:line="360" w:lineRule="auto"/>
              <w:rPr>
                <w:rFonts w:ascii="Arial" w:hAnsi="Arial" w:cs="Arial"/>
                <w:sz w:val="24"/>
                <w:szCs w:val="24"/>
                <w:lang w:val="en-US"/>
              </w:rPr>
            </w:pPr>
            <w:r w:rsidRPr="00774D16">
              <w:rPr>
                <w:rFonts w:ascii="Arial" w:hAnsi="Arial" w:cs="Arial"/>
                <w:sz w:val="24"/>
                <w:szCs w:val="24"/>
                <w:lang w:val="en-US"/>
              </w:rPr>
              <w:t>HC-MD-CIV-ACT-</w:t>
            </w:r>
            <w:r>
              <w:rPr>
                <w:rFonts w:ascii="Arial" w:hAnsi="Arial" w:cs="Arial"/>
                <w:sz w:val="24"/>
                <w:szCs w:val="24"/>
                <w:lang w:val="en-US"/>
              </w:rPr>
              <w:t>OTH</w:t>
            </w:r>
            <w:r w:rsidRPr="00774D16">
              <w:rPr>
                <w:rFonts w:ascii="Arial" w:hAnsi="Arial" w:cs="Arial"/>
                <w:sz w:val="24"/>
                <w:szCs w:val="24"/>
                <w:lang w:val="en-US"/>
              </w:rPr>
              <w:t>-201</w:t>
            </w:r>
            <w:r>
              <w:rPr>
                <w:rFonts w:ascii="Arial" w:hAnsi="Arial" w:cs="Arial"/>
                <w:sz w:val="24"/>
                <w:szCs w:val="24"/>
                <w:lang w:val="en-US"/>
              </w:rPr>
              <w:t>7/01830</w:t>
            </w:r>
          </w:p>
        </w:tc>
      </w:tr>
      <w:tr w:rsidR="00774D16" w:rsidRPr="00774D16" w:rsidTr="00515A80">
        <w:tc>
          <w:tcPr>
            <w:tcW w:w="4950" w:type="dxa"/>
            <w:vMerge/>
          </w:tcPr>
          <w:p w:rsidR="00774D16" w:rsidRPr="00774D16" w:rsidRDefault="00774D16" w:rsidP="00774D16">
            <w:pPr>
              <w:spacing w:line="360" w:lineRule="auto"/>
              <w:rPr>
                <w:rFonts w:ascii="Arial" w:hAnsi="Arial" w:cs="Arial"/>
                <w:sz w:val="24"/>
                <w:szCs w:val="24"/>
                <w:lang w:val="en-US"/>
              </w:rPr>
            </w:pPr>
          </w:p>
        </w:tc>
        <w:tc>
          <w:tcPr>
            <w:tcW w:w="5130" w:type="dxa"/>
          </w:tcPr>
          <w:p w:rsidR="00774D16" w:rsidRPr="00774D16" w:rsidRDefault="00774D16" w:rsidP="00774D16">
            <w:pPr>
              <w:spacing w:line="360" w:lineRule="auto"/>
              <w:rPr>
                <w:rFonts w:ascii="Arial" w:hAnsi="Arial" w:cs="Arial"/>
                <w:sz w:val="24"/>
                <w:szCs w:val="24"/>
                <w:lang w:val="en-US"/>
              </w:rPr>
            </w:pPr>
            <w:r w:rsidRPr="00774D16">
              <w:rPr>
                <w:rFonts w:ascii="Arial" w:hAnsi="Arial" w:cs="Arial"/>
                <w:b/>
                <w:sz w:val="24"/>
                <w:szCs w:val="24"/>
                <w:lang w:val="en-US"/>
              </w:rPr>
              <w:t>Division of Court</w:t>
            </w:r>
            <w:r w:rsidRPr="00774D16">
              <w:rPr>
                <w:rFonts w:ascii="Arial" w:hAnsi="Arial" w:cs="Arial"/>
                <w:sz w:val="24"/>
                <w:szCs w:val="24"/>
                <w:lang w:val="en-US"/>
              </w:rPr>
              <w:t>:</w:t>
            </w:r>
          </w:p>
          <w:p w:rsidR="00774D16" w:rsidRPr="00774D16" w:rsidRDefault="00774D16" w:rsidP="00774D16">
            <w:pPr>
              <w:spacing w:line="360" w:lineRule="auto"/>
              <w:rPr>
                <w:rFonts w:ascii="Arial" w:hAnsi="Arial" w:cs="Arial"/>
                <w:sz w:val="24"/>
                <w:szCs w:val="24"/>
                <w:lang w:val="en-US"/>
              </w:rPr>
            </w:pPr>
            <w:r w:rsidRPr="00774D16">
              <w:rPr>
                <w:rFonts w:ascii="Arial" w:hAnsi="Arial" w:cs="Arial"/>
                <w:sz w:val="24"/>
                <w:szCs w:val="24"/>
                <w:lang w:val="en-US"/>
              </w:rPr>
              <w:t>High Court (Main Division)</w:t>
            </w:r>
          </w:p>
        </w:tc>
      </w:tr>
      <w:tr w:rsidR="00774D16" w:rsidRPr="00774D16" w:rsidTr="00774D16">
        <w:trPr>
          <w:trHeight w:val="962"/>
        </w:trPr>
        <w:tc>
          <w:tcPr>
            <w:tcW w:w="4950" w:type="dxa"/>
            <w:vMerge w:val="restart"/>
          </w:tcPr>
          <w:p w:rsidR="00774D16" w:rsidRPr="00774D16" w:rsidRDefault="00774D16" w:rsidP="00774D16">
            <w:pPr>
              <w:spacing w:line="360" w:lineRule="auto"/>
              <w:rPr>
                <w:rFonts w:ascii="Arial" w:hAnsi="Arial" w:cs="Arial"/>
                <w:b/>
                <w:sz w:val="24"/>
                <w:szCs w:val="24"/>
                <w:lang w:val="en-US"/>
              </w:rPr>
            </w:pPr>
            <w:r w:rsidRPr="00774D16">
              <w:rPr>
                <w:rFonts w:ascii="Arial" w:hAnsi="Arial" w:cs="Arial"/>
                <w:b/>
                <w:sz w:val="24"/>
                <w:szCs w:val="24"/>
                <w:lang w:val="en-US"/>
              </w:rPr>
              <w:t>Heard/tried before:</w:t>
            </w:r>
          </w:p>
          <w:p w:rsidR="00774D16" w:rsidRPr="00774D16" w:rsidRDefault="00774D16" w:rsidP="00774D16">
            <w:pPr>
              <w:spacing w:line="360" w:lineRule="auto"/>
              <w:rPr>
                <w:rFonts w:ascii="Arial" w:hAnsi="Arial" w:cs="Arial"/>
                <w:sz w:val="24"/>
                <w:szCs w:val="24"/>
                <w:lang w:val="en-US"/>
              </w:rPr>
            </w:pPr>
            <w:proofErr w:type="spellStart"/>
            <w:r w:rsidRPr="00774D16">
              <w:rPr>
                <w:rFonts w:ascii="Arial" w:hAnsi="Arial" w:cs="Arial"/>
                <w:sz w:val="24"/>
                <w:szCs w:val="24"/>
                <w:lang w:val="en-US"/>
              </w:rPr>
              <w:t>Honourable</w:t>
            </w:r>
            <w:proofErr w:type="spellEnd"/>
            <w:r w:rsidRPr="00774D16">
              <w:rPr>
                <w:rFonts w:ascii="Arial" w:hAnsi="Arial" w:cs="Arial"/>
                <w:sz w:val="24"/>
                <w:szCs w:val="24"/>
                <w:lang w:val="en-US"/>
              </w:rPr>
              <w:t xml:space="preserve"> </w:t>
            </w:r>
            <w:proofErr w:type="spellStart"/>
            <w:r w:rsidRPr="00774D16">
              <w:rPr>
                <w:rFonts w:ascii="Arial" w:hAnsi="Arial" w:cs="Arial"/>
                <w:sz w:val="24"/>
                <w:szCs w:val="24"/>
                <w:lang w:val="en-US"/>
              </w:rPr>
              <w:t>Mr</w:t>
            </w:r>
            <w:proofErr w:type="spellEnd"/>
            <w:r w:rsidRPr="00774D16">
              <w:rPr>
                <w:rFonts w:ascii="Arial" w:hAnsi="Arial" w:cs="Arial"/>
                <w:sz w:val="24"/>
                <w:szCs w:val="24"/>
                <w:lang w:val="en-US"/>
              </w:rPr>
              <w:t xml:space="preserve"> Justice B </w:t>
            </w:r>
            <w:proofErr w:type="spellStart"/>
            <w:r w:rsidRPr="00774D16">
              <w:rPr>
                <w:rFonts w:ascii="Arial" w:hAnsi="Arial" w:cs="Arial"/>
                <w:sz w:val="24"/>
                <w:szCs w:val="24"/>
                <w:lang w:val="en-US"/>
              </w:rPr>
              <w:t>Usiku</w:t>
            </w:r>
            <w:proofErr w:type="spellEnd"/>
            <w:r w:rsidRPr="00774D16">
              <w:rPr>
                <w:rFonts w:ascii="Arial" w:hAnsi="Arial" w:cs="Arial"/>
                <w:sz w:val="24"/>
                <w:szCs w:val="24"/>
                <w:lang w:val="en-US"/>
              </w:rPr>
              <w:t xml:space="preserve"> J</w:t>
            </w:r>
          </w:p>
        </w:tc>
        <w:tc>
          <w:tcPr>
            <w:tcW w:w="5130" w:type="dxa"/>
          </w:tcPr>
          <w:p w:rsidR="00774D16" w:rsidRPr="00774D16" w:rsidRDefault="00774D16" w:rsidP="00774D16">
            <w:pPr>
              <w:spacing w:line="360" w:lineRule="auto"/>
              <w:rPr>
                <w:rFonts w:ascii="Arial" w:hAnsi="Arial" w:cs="Arial"/>
                <w:b/>
                <w:sz w:val="24"/>
                <w:szCs w:val="24"/>
                <w:lang w:val="en-US"/>
              </w:rPr>
            </w:pPr>
            <w:r>
              <w:rPr>
                <w:rFonts w:ascii="Arial" w:hAnsi="Arial" w:cs="Arial"/>
                <w:b/>
                <w:sz w:val="24"/>
                <w:szCs w:val="24"/>
                <w:lang w:val="en-US"/>
              </w:rPr>
              <w:t>Date of hearing</w:t>
            </w:r>
            <w:r w:rsidRPr="00774D16">
              <w:rPr>
                <w:rFonts w:ascii="Arial" w:hAnsi="Arial" w:cs="Arial"/>
                <w:b/>
                <w:sz w:val="24"/>
                <w:szCs w:val="24"/>
                <w:lang w:val="en-US"/>
              </w:rPr>
              <w:t xml:space="preserve">: </w:t>
            </w:r>
          </w:p>
          <w:p w:rsidR="00774D16" w:rsidRPr="00774D16" w:rsidRDefault="00774D16" w:rsidP="00774D16">
            <w:pPr>
              <w:spacing w:line="360" w:lineRule="auto"/>
              <w:rPr>
                <w:rFonts w:ascii="Arial" w:hAnsi="Arial" w:cs="Arial"/>
                <w:sz w:val="24"/>
                <w:szCs w:val="24"/>
                <w:lang w:val="en-US"/>
              </w:rPr>
            </w:pPr>
            <w:r>
              <w:rPr>
                <w:rFonts w:ascii="Arial" w:hAnsi="Arial" w:cs="Arial"/>
                <w:sz w:val="24"/>
                <w:szCs w:val="24"/>
                <w:lang w:val="en-US"/>
              </w:rPr>
              <w:t>11 August 2020</w:t>
            </w:r>
            <w:r w:rsidRPr="00774D16">
              <w:rPr>
                <w:rFonts w:ascii="Arial" w:hAnsi="Arial" w:cs="Arial"/>
                <w:sz w:val="24"/>
                <w:szCs w:val="24"/>
                <w:lang w:val="en-US"/>
              </w:rPr>
              <w:t xml:space="preserve"> </w:t>
            </w:r>
          </w:p>
        </w:tc>
      </w:tr>
      <w:tr w:rsidR="00774D16" w:rsidRPr="00774D16" w:rsidTr="00515A80">
        <w:tc>
          <w:tcPr>
            <w:tcW w:w="4950" w:type="dxa"/>
            <w:vMerge/>
          </w:tcPr>
          <w:p w:rsidR="00774D16" w:rsidRPr="00774D16" w:rsidRDefault="00774D16" w:rsidP="00774D16">
            <w:pPr>
              <w:rPr>
                <w:rFonts w:ascii="Arial" w:hAnsi="Arial" w:cs="Arial"/>
                <w:b/>
                <w:sz w:val="24"/>
                <w:szCs w:val="24"/>
                <w:lang w:val="en-US"/>
              </w:rPr>
            </w:pPr>
          </w:p>
        </w:tc>
        <w:tc>
          <w:tcPr>
            <w:tcW w:w="5130" w:type="dxa"/>
          </w:tcPr>
          <w:p w:rsidR="00774D16" w:rsidRPr="00774D16" w:rsidRDefault="00774D16" w:rsidP="00774D16">
            <w:pPr>
              <w:spacing w:line="360" w:lineRule="auto"/>
              <w:rPr>
                <w:rFonts w:ascii="Arial" w:hAnsi="Arial" w:cs="Arial"/>
                <w:b/>
                <w:sz w:val="24"/>
                <w:szCs w:val="24"/>
                <w:lang w:val="en-US"/>
              </w:rPr>
            </w:pPr>
            <w:r w:rsidRPr="00774D16">
              <w:rPr>
                <w:rFonts w:ascii="Arial" w:hAnsi="Arial" w:cs="Arial"/>
                <w:b/>
                <w:sz w:val="24"/>
                <w:szCs w:val="24"/>
                <w:lang w:val="en-US"/>
              </w:rPr>
              <w:t>Delivered on:</w:t>
            </w:r>
          </w:p>
          <w:p w:rsidR="00774D16" w:rsidRPr="00774D16" w:rsidRDefault="00774D16" w:rsidP="00774D16">
            <w:pPr>
              <w:spacing w:line="360" w:lineRule="auto"/>
              <w:rPr>
                <w:rFonts w:ascii="Arial" w:hAnsi="Arial" w:cs="Arial"/>
                <w:sz w:val="24"/>
                <w:szCs w:val="24"/>
                <w:lang w:val="en-US"/>
              </w:rPr>
            </w:pPr>
            <w:r>
              <w:rPr>
                <w:rFonts w:ascii="Arial" w:hAnsi="Arial" w:cs="Arial"/>
                <w:sz w:val="24"/>
                <w:szCs w:val="24"/>
                <w:lang w:val="en-US"/>
              </w:rPr>
              <w:t>20</w:t>
            </w:r>
            <w:r w:rsidRPr="00774D16">
              <w:rPr>
                <w:rFonts w:ascii="Arial" w:hAnsi="Arial" w:cs="Arial"/>
                <w:sz w:val="24"/>
                <w:szCs w:val="24"/>
                <w:lang w:val="en-US"/>
              </w:rPr>
              <w:t xml:space="preserve"> August 2020</w:t>
            </w:r>
          </w:p>
          <w:p w:rsidR="00774D16" w:rsidRPr="00774D16" w:rsidRDefault="00774D16" w:rsidP="00774D16">
            <w:pPr>
              <w:spacing w:line="360" w:lineRule="auto"/>
              <w:rPr>
                <w:rFonts w:ascii="Arial" w:hAnsi="Arial" w:cs="Arial"/>
                <w:sz w:val="24"/>
                <w:szCs w:val="24"/>
                <w:lang w:val="en-US"/>
              </w:rPr>
            </w:pPr>
          </w:p>
        </w:tc>
      </w:tr>
      <w:tr w:rsidR="00774D16" w:rsidRPr="00774D16" w:rsidTr="00515A80">
        <w:tc>
          <w:tcPr>
            <w:tcW w:w="10080" w:type="dxa"/>
            <w:gridSpan w:val="2"/>
          </w:tcPr>
          <w:p w:rsidR="00774D16" w:rsidRPr="00774D16" w:rsidRDefault="00774D16" w:rsidP="00774D16">
            <w:pPr>
              <w:spacing w:line="360" w:lineRule="auto"/>
              <w:rPr>
                <w:rFonts w:ascii="Arial" w:hAnsi="Arial" w:cs="Arial"/>
                <w:sz w:val="24"/>
                <w:szCs w:val="24"/>
                <w:lang w:val="en-US"/>
              </w:rPr>
            </w:pPr>
            <w:r w:rsidRPr="00774D16">
              <w:rPr>
                <w:rFonts w:ascii="Arial" w:hAnsi="Arial" w:cs="Arial"/>
                <w:b/>
                <w:sz w:val="24"/>
                <w:szCs w:val="24"/>
                <w:lang w:val="en-US"/>
              </w:rPr>
              <w:t xml:space="preserve">Neutral citation:  </w:t>
            </w:r>
            <w:r>
              <w:rPr>
                <w:rFonts w:ascii="Arial" w:hAnsi="Arial" w:cs="Arial"/>
                <w:i/>
                <w:sz w:val="24"/>
                <w:szCs w:val="24"/>
                <w:lang w:val="en-US"/>
              </w:rPr>
              <w:t>Walvis Bay Plan</w:t>
            </w:r>
            <w:r w:rsidR="009C3A9B">
              <w:rPr>
                <w:rFonts w:ascii="Arial" w:hAnsi="Arial" w:cs="Arial"/>
                <w:i/>
                <w:sz w:val="24"/>
                <w:szCs w:val="24"/>
                <w:lang w:val="en-US"/>
              </w:rPr>
              <w:t>t</w:t>
            </w:r>
            <w:r>
              <w:rPr>
                <w:rFonts w:ascii="Arial" w:hAnsi="Arial" w:cs="Arial"/>
                <w:i/>
                <w:sz w:val="24"/>
                <w:szCs w:val="24"/>
                <w:lang w:val="en-US"/>
              </w:rPr>
              <w:t xml:space="preserve"> and Tool Hire Services CC v Walvis Bay Municipal </w:t>
            </w:r>
            <w:r w:rsidR="00ED46E7">
              <w:rPr>
                <w:rFonts w:ascii="Arial" w:hAnsi="Arial" w:cs="Arial"/>
                <w:i/>
                <w:sz w:val="24"/>
                <w:szCs w:val="24"/>
                <w:lang w:val="en-US"/>
              </w:rPr>
              <w:t>Council</w:t>
            </w:r>
            <w:r w:rsidR="00ED46E7" w:rsidRPr="00774D16">
              <w:rPr>
                <w:rFonts w:ascii="Arial" w:hAnsi="Arial" w:cs="Arial"/>
                <w:i/>
                <w:sz w:val="24"/>
                <w:szCs w:val="24"/>
                <w:lang w:val="en-US"/>
              </w:rPr>
              <w:t xml:space="preserve"> (</w:t>
            </w:r>
            <w:r w:rsidRPr="00774D16">
              <w:rPr>
                <w:rFonts w:ascii="Arial" w:hAnsi="Arial" w:cs="Arial"/>
                <w:sz w:val="24"/>
                <w:szCs w:val="24"/>
                <w:lang w:val="en-US"/>
              </w:rPr>
              <w:t>HC-MD-CIV-ACT-</w:t>
            </w:r>
            <w:r>
              <w:rPr>
                <w:rFonts w:ascii="Arial" w:hAnsi="Arial" w:cs="Arial"/>
                <w:sz w:val="24"/>
                <w:szCs w:val="24"/>
                <w:lang w:val="en-US"/>
              </w:rPr>
              <w:t>OTH-2017</w:t>
            </w:r>
            <w:r w:rsidRPr="00774D16">
              <w:rPr>
                <w:rFonts w:ascii="Arial" w:hAnsi="Arial" w:cs="Arial"/>
                <w:sz w:val="24"/>
                <w:szCs w:val="24"/>
                <w:lang w:val="en-US"/>
              </w:rPr>
              <w:t>/0</w:t>
            </w:r>
            <w:r>
              <w:rPr>
                <w:rFonts w:ascii="Arial" w:hAnsi="Arial" w:cs="Arial"/>
                <w:sz w:val="24"/>
                <w:szCs w:val="24"/>
                <w:lang w:val="en-US"/>
              </w:rPr>
              <w:t>1830</w:t>
            </w:r>
            <w:r w:rsidRPr="00774D16">
              <w:rPr>
                <w:rFonts w:ascii="Arial" w:hAnsi="Arial" w:cs="Arial"/>
                <w:sz w:val="24"/>
                <w:szCs w:val="24"/>
                <w:lang w:val="en-US"/>
              </w:rPr>
              <w:t xml:space="preserve">) [2020] NAHCMD </w:t>
            </w:r>
            <w:r w:rsidR="00713B6F">
              <w:rPr>
                <w:rFonts w:ascii="Arial" w:hAnsi="Arial" w:cs="Arial"/>
                <w:sz w:val="24"/>
                <w:szCs w:val="24"/>
                <w:lang w:val="en-US"/>
              </w:rPr>
              <w:t xml:space="preserve">364 </w:t>
            </w:r>
            <w:r w:rsidRPr="00774D16">
              <w:rPr>
                <w:rFonts w:ascii="Arial" w:hAnsi="Arial" w:cs="Arial"/>
                <w:sz w:val="24"/>
                <w:szCs w:val="24"/>
                <w:lang w:val="en-US"/>
              </w:rPr>
              <w:t>(</w:t>
            </w:r>
            <w:r>
              <w:rPr>
                <w:rFonts w:ascii="Arial" w:hAnsi="Arial" w:cs="Arial"/>
                <w:sz w:val="24"/>
                <w:szCs w:val="24"/>
                <w:lang w:val="en-US"/>
              </w:rPr>
              <w:t>20</w:t>
            </w:r>
            <w:r w:rsidRPr="00774D16">
              <w:rPr>
                <w:rFonts w:ascii="Arial" w:hAnsi="Arial" w:cs="Arial"/>
                <w:sz w:val="24"/>
                <w:szCs w:val="24"/>
                <w:lang w:val="en-US"/>
              </w:rPr>
              <w:t xml:space="preserve"> August 2020)</w:t>
            </w:r>
          </w:p>
          <w:p w:rsidR="00774D16" w:rsidRPr="00774D16" w:rsidRDefault="00774D16" w:rsidP="00774D16">
            <w:pPr>
              <w:rPr>
                <w:rFonts w:ascii="Arial" w:hAnsi="Arial" w:cs="Arial"/>
                <w:sz w:val="24"/>
                <w:szCs w:val="24"/>
                <w:lang w:val="en-US"/>
              </w:rPr>
            </w:pPr>
          </w:p>
        </w:tc>
      </w:tr>
      <w:tr w:rsidR="00774D16" w:rsidRPr="00774D16" w:rsidTr="00515A80">
        <w:tc>
          <w:tcPr>
            <w:tcW w:w="10080" w:type="dxa"/>
            <w:gridSpan w:val="2"/>
          </w:tcPr>
          <w:p w:rsidR="00774D16" w:rsidRPr="00774D16" w:rsidRDefault="00774D16" w:rsidP="00774D16">
            <w:pPr>
              <w:spacing w:line="360" w:lineRule="auto"/>
              <w:rPr>
                <w:rFonts w:ascii="Arial" w:hAnsi="Arial" w:cs="Arial"/>
                <w:b/>
                <w:sz w:val="24"/>
                <w:szCs w:val="24"/>
                <w:lang w:val="en-US"/>
              </w:rPr>
            </w:pPr>
          </w:p>
          <w:p w:rsidR="00774D16" w:rsidRPr="00774D16" w:rsidRDefault="00774D16" w:rsidP="00774D16">
            <w:pPr>
              <w:tabs>
                <w:tab w:val="left" w:pos="687"/>
              </w:tabs>
              <w:spacing w:line="360" w:lineRule="auto"/>
              <w:rPr>
                <w:rFonts w:ascii="Arial" w:hAnsi="Arial" w:cs="Arial"/>
                <w:b/>
                <w:sz w:val="24"/>
                <w:szCs w:val="24"/>
                <w:lang w:val="en-US"/>
              </w:rPr>
            </w:pPr>
            <w:r w:rsidRPr="00774D16">
              <w:rPr>
                <w:rFonts w:ascii="Arial" w:hAnsi="Arial" w:cs="Arial"/>
                <w:b/>
                <w:sz w:val="24"/>
                <w:szCs w:val="24"/>
                <w:lang w:val="en-US"/>
              </w:rPr>
              <w:t>The Order:</w:t>
            </w:r>
          </w:p>
          <w:p w:rsidR="00774D16" w:rsidRPr="00774D16" w:rsidRDefault="00774D16" w:rsidP="00774D16">
            <w:pPr>
              <w:spacing w:line="360" w:lineRule="auto"/>
              <w:rPr>
                <w:rFonts w:ascii="Arial" w:hAnsi="Arial" w:cs="Arial"/>
                <w:sz w:val="24"/>
                <w:szCs w:val="24"/>
                <w:lang w:val="en-US"/>
              </w:rPr>
            </w:pPr>
            <w:r w:rsidRPr="00774D16">
              <w:rPr>
                <w:rFonts w:ascii="Arial" w:hAnsi="Arial" w:cs="Arial"/>
                <w:sz w:val="24"/>
                <w:szCs w:val="24"/>
                <w:lang w:val="en-US"/>
              </w:rPr>
              <w:t>Having read the pleadings and documents filed of record and having considered the heads of argument filed by the parties:</w:t>
            </w:r>
          </w:p>
          <w:p w:rsidR="00774D16" w:rsidRPr="00774D16" w:rsidRDefault="00774D16" w:rsidP="00774D16">
            <w:pPr>
              <w:spacing w:line="360" w:lineRule="auto"/>
              <w:rPr>
                <w:rFonts w:ascii="Arial" w:hAnsi="Arial" w:cs="Arial"/>
                <w:sz w:val="24"/>
                <w:szCs w:val="24"/>
                <w:lang w:val="en-US"/>
              </w:rPr>
            </w:pPr>
          </w:p>
          <w:p w:rsidR="00774D16" w:rsidRPr="00774D16" w:rsidRDefault="00774D16" w:rsidP="00774D16">
            <w:pPr>
              <w:spacing w:line="360" w:lineRule="auto"/>
              <w:rPr>
                <w:rFonts w:ascii="Arial" w:hAnsi="Arial" w:cs="Arial"/>
                <w:b/>
                <w:sz w:val="24"/>
                <w:szCs w:val="24"/>
                <w:lang w:val="en-US"/>
              </w:rPr>
            </w:pPr>
            <w:r w:rsidRPr="00774D16">
              <w:rPr>
                <w:rFonts w:ascii="Arial" w:hAnsi="Arial" w:cs="Arial"/>
                <w:b/>
                <w:sz w:val="24"/>
                <w:szCs w:val="24"/>
                <w:lang w:val="en-US"/>
              </w:rPr>
              <w:t>IT IS ORDERED THAT:</w:t>
            </w:r>
          </w:p>
          <w:p w:rsidR="00774D16" w:rsidRPr="00774D16" w:rsidRDefault="00774D16" w:rsidP="00774D16">
            <w:pPr>
              <w:spacing w:line="360" w:lineRule="auto"/>
              <w:rPr>
                <w:rFonts w:ascii="Arial" w:hAnsi="Arial" w:cs="Arial"/>
                <w:b/>
                <w:sz w:val="24"/>
                <w:szCs w:val="24"/>
                <w:lang w:val="en-US"/>
              </w:rPr>
            </w:pPr>
          </w:p>
          <w:p w:rsidR="00774D16" w:rsidRDefault="00774D16" w:rsidP="00774D16">
            <w:pPr>
              <w:tabs>
                <w:tab w:val="left" w:pos="432"/>
              </w:tabs>
              <w:spacing w:line="360" w:lineRule="auto"/>
              <w:rPr>
                <w:rFonts w:ascii="Arial" w:hAnsi="Arial" w:cs="Arial"/>
                <w:sz w:val="24"/>
                <w:szCs w:val="24"/>
                <w:lang w:val="en-US"/>
              </w:rPr>
            </w:pPr>
            <w:r w:rsidRPr="00774D16">
              <w:rPr>
                <w:rFonts w:ascii="Arial" w:hAnsi="Arial" w:cs="Arial"/>
                <w:sz w:val="24"/>
                <w:szCs w:val="24"/>
                <w:lang w:val="en-US"/>
              </w:rPr>
              <w:t>1.</w:t>
            </w:r>
            <w:r w:rsidRPr="00774D16">
              <w:rPr>
                <w:rFonts w:ascii="Arial" w:hAnsi="Arial" w:cs="Arial"/>
                <w:sz w:val="24"/>
                <w:szCs w:val="24"/>
                <w:lang w:val="en-US"/>
              </w:rPr>
              <w:tab/>
            </w:r>
            <w:r>
              <w:rPr>
                <w:rFonts w:ascii="Arial" w:hAnsi="Arial" w:cs="Arial"/>
                <w:sz w:val="24"/>
                <w:szCs w:val="24"/>
                <w:lang w:val="en-US"/>
              </w:rPr>
              <w:t xml:space="preserve">The plaintiff’s point in </w:t>
            </w:r>
            <w:proofErr w:type="spellStart"/>
            <w:r>
              <w:rPr>
                <w:rFonts w:ascii="Arial" w:hAnsi="Arial" w:cs="Arial"/>
                <w:sz w:val="24"/>
                <w:szCs w:val="24"/>
                <w:lang w:val="en-US"/>
              </w:rPr>
              <w:t>limine</w:t>
            </w:r>
            <w:proofErr w:type="spellEnd"/>
            <w:r>
              <w:rPr>
                <w:rFonts w:ascii="Arial" w:hAnsi="Arial" w:cs="Arial"/>
                <w:sz w:val="24"/>
                <w:szCs w:val="24"/>
                <w:lang w:val="en-US"/>
              </w:rPr>
              <w:t xml:space="preserve"> to the effect that the defendant did not comply with </w:t>
            </w:r>
            <w:r w:rsidRPr="00774D16">
              <w:rPr>
                <w:rFonts w:ascii="Arial" w:hAnsi="Arial" w:cs="Arial"/>
                <w:i/>
                <w:sz w:val="24"/>
                <w:szCs w:val="24"/>
                <w:lang w:val="en-US"/>
              </w:rPr>
              <w:t xml:space="preserve">rule 32 (9) </w:t>
            </w:r>
            <w:r>
              <w:rPr>
                <w:rFonts w:ascii="Arial" w:hAnsi="Arial" w:cs="Arial"/>
                <w:sz w:val="24"/>
                <w:szCs w:val="24"/>
                <w:lang w:val="en-US"/>
              </w:rPr>
              <w:t xml:space="preserve">is dismissed with costs and such costs include costs of one instructing and </w:t>
            </w:r>
            <w:r w:rsidR="00195346">
              <w:rPr>
                <w:rFonts w:ascii="Arial" w:hAnsi="Arial" w:cs="Arial"/>
                <w:sz w:val="24"/>
                <w:szCs w:val="24"/>
                <w:lang w:val="en-US"/>
              </w:rPr>
              <w:t>two</w:t>
            </w:r>
            <w:r>
              <w:rPr>
                <w:rFonts w:ascii="Arial" w:hAnsi="Arial" w:cs="Arial"/>
                <w:sz w:val="24"/>
                <w:szCs w:val="24"/>
                <w:lang w:val="en-US"/>
              </w:rPr>
              <w:t xml:space="preserve"> instructed counsel.  Such costs are not to be limited by the provisions of rule 32(11).</w:t>
            </w:r>
          </w:p>
          <w:p w:rsidR="00774D16" w:rsidRDefault="00774D16" w:rsidP="00774D16">
            <w:pPr>
              <w:tabs>
                <w:tab w:val="left" w:pos="432"/>
              </w:tabs>
              <w:spacing w:line="360" w:lineRule="auto"/>
              <w:rPr>
                <w:rFonts w:ascii="Arial" w:hAnsi="Arial" w:cs="Arial"/>
                <w:sz w:val="24"/>
                <w:szCs w:val="24"/>
                <w:lang w:val="en-US"/>
              </w:rPr>
            </w:pPr>
          </w:p>
          <w:p w:rsidR="00774D16" w:rsidRDefault="00774D16" w:rsidP="00774D16">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defendant’s application for the separation of issues in terms of </w:t>
            </w:r>
            <w:r w:rsidRPr="00774D16">
              <w:rPr>
                <w:rFonts w:ascii="Arial" w:hAnsi="Arial" w:cs="Arial"/>
                <w:i/>
                <w:sz w:val="24"/>
                <w:szCs w:val="24"/>
                <w:lang w:val="en-US"/>
              </w:rPr>
              <w:t>rule 63(6)</w:t>
            </w:r>
            <w:r>
              <w:rPr>
                <w:rFonts w:ascii="Arial" w:hAnsi="Arial" w:cs="Arial"/>
                <w:sz w:val="24"/>
                <w:szCs w:val="24"/>
                <w:lang w:val="en-US"/>
              </w:rPr>
              <w:t xml:space="preserve"> and </w:t>
            </w:r>
            <w:r w:rsidRPr="00774D16">
              <w:rPr>
                <w:rFonts w:ascii="Arial" w:hAnsi="Arial" w:cs="Arial"/>
                <w:i/>
                <w:sz w:val="24"/>
                <w:szCs w:val="24"/>
                <w:lang w:val="en-US"/>
              </w:rPr>
              <w:t>(7)</w:t>
            </w:r>
            <w:r>
              <w:rPr>
                <w:rFonts w:ascii="Arial" w:hAnsi="Arial" w:cs="Arial"/>
                <w:sz w:val="24"/>
                <w:szCs w:val="24"/>
                <w:lang w:val="en-US"/>
              </w:rPr>
              <w:t xml:space="preserve"> is dismissed.</w:t>
            </w:r>
          </w:p>
          <w:p w:rsidR="00774D16" w:rsidRDefault="00774D16" w:rsidP="00774D16">
            <w:pPr>
              <w:tabs>
                <w:tab w:val="left" w:pos="432"/>
              </w:tabs>
              <w:spacing w:line="360" w:lineRule="auto"/>
              <w:rPr>
                <w:rFonts w:ascii="Arial" w:hAnsi="Arial" w:cs="Arial"/>
                <w:sz w:val="24"/>
                <w:szCs w:val="24"/>
                <w:lang w:val="en-US"/>
              </w:rPr>
            </w:pPr>
          </w:p>
          <w:p w:rsidR="00774D16" w:rsidRDefault="00774D16" w:rsidP="00774D16">
            <w:pPr>
              <w:tabs>
                <w:tab w:val="left" w:pos="432"/>
              </w:tabs>
              <w:spacing w:line="360" w:lineRule="auto"/>
              <w:rPr>
                <w:rFonts w:ascii="Arial" w:hAnsi="Arial" w:cs="Arial"/>
                <w:i/>
                <w:sz w:val="24"/>
                <w:szCs w:val="24"/>
                <w:lang w:val="en-US"/>
              </w:rPr>
            </w:pPr>
            <w:r>
              <w:rPr>
                <w:rFonts w:ascii="Arial" w:hAnsi="Arial" w:cs="Arial"/>
                <w:sz w:val="24"/>
                <w:szCs w:val="24"/>
                <w:lang w:val="en-US"/>
              </w:rPr>
              <w:lastRenderedPageBreak/>
              <w:t>3.</w:t>
            </w:r>
            <w:r>
              <w:rPr>
                <w:rFonts w:ascii="Arial" w:hAnsi="Arial" w:cs="Arial"/>
                <w:sz w:val="24"/>
                <w:szCs w:val="24"/>
                <w:lang w:val="en-US"/>
              </w:rPr>
              <w:tab/>
            </w:r>
            <w:r w:rsidR="00195346">
              <w:rPr>
                <w:rFonts w:ascii="Arial" w:hAnsi="Arial" w:cs="Arial"/>
                <w:sz w:val="24"/>
                <w:szCs w:val="24"/>
                <w:lang w:val="en-US"/>
              </w:rPr>
              <w:t xml:space="preserve">The defendant is ordered to pay the plaintiff’s costs occasioned by opposition to the application.  It is ordered that such costs include costs of one instructing and two instructed counsel.  It is further ordered that costs herein shall not be limited by the provisions of </w:t>
            </w:r>
            <w:r w:rsidR="00195346" w:rsidRPr="00195346">
              <w:rPr>
                <w:rFonts w:ascii="Arial" w:hAnsi="Arial" w:cs="Arial"/>
                <w:i/>
                <w:sz w:val="24"/>
                <w:szCs w:val="24"/>
                <w:lang w:val="en-US"/>
              </w:rPr>
              <w:t xml:space="preserve">rule </w:t>
            </w:r>
            <w:r w:rsidR="00195346" w:rsidRPr="00A02B8B">
              <w:rPr>
                <w:rFonts w:ascii="Arial" w:hAnsi="Arial" w:cs="Arial"/>
                <w:sz w:val="24"/>
                <w:szCs w:val="24"/>
                <w:lang w:val="en-US"/>
              </w:rPr>
              <w:t>32(11).</w:t>
            </w:r>
          </w:p>
          <w:p w:rsidR="00195346" w:rsidRDefault="00195346" w:rsidP="00774D16">
            <w:pPr>
              <w:tabs>
                <w:tab w:val="left" w:pos="432"/>
              </w:tabs>
              <w:spacing w:line="360" w:lineRule="auto"/>
              <w:rPr>
                <w:rFonts w:ascii="Arial" w:hAnsi="Arial" w:cs="Arial"/>
                <w:i/>
                <w:sz w:val="24"/>
                <w:szCs w:val="24"/>
                <w:lang w:val="en-US"/>
              </w:rPr>
            </w:pPr>
          </w:p>
          <w:p w:rsidR="00195346" w:rsidRDefault="00195346" w:rsidP="00774D16">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matter is postponed to 21 October 2020 at 15:15 for status hearing alternatively Pre-Trial Conference.</w:t>
            </w:r>
          </w:p>
          <w:p w:rsidR="00195346" w:rsidRDefault="00195346" w:rsidP="00774D16">
            <w:pPr>
              <w:tabs>
                <w:tab w:val="left" w:pos="432"/>
              </w:tabs>
              <w:spacing w:line="360" w:lineRule="auto"/>
              <w:rPr>
                <w:rFonts w:ascii="Arial" w:hAnsi="Arial" w:cs="Arial"/>
                <w:sz w:val="24"/>
                <w:szCs w:val="24"/>
                <w:lang w:val="en-US"/>
              </w:rPr>
            </w:pPr>
          </w:p>
          <w:p w:rsidR="00195346" w:rsidRPr="00195346" w:rsidRDefault="00195346" w:rsidP="00774D16">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parties must file a joint status report </w:t>
            </w:r>
            <w:r w:rsidR="00540FA3">
              <w:rPr>
                <w:rFonts w:ascii="Arial" w:hAnsi="Arial" w:cs="Arial"/>
                <w:sz w:val="24"/>
                <w:szCs w:val="24"/>
                <w:lang w:val="en-US"/>
              </w:rPr>
              <w:t>or joint Pre-Trial report on or before 14 October 2020.</w:t>
            </w:r>
          </w:p>
        </w:tc>
      </w:tr>
      <w:tr w:rsidR="00774D16" w:rsidRPr="00774D16" w:rsidTr="00515A80">
        <w:tc>
          <w:tcPr>
            <w:tcW w:w="10080" w:type="dxa"/>
            <w:gridSpan w:val="2"/>
          </w:tcPr>
          <w:p w:rsidR="00774D16" w:rsidRPr="00774D16" w:rsidRDefault="00774D16" w:rsidP="00774D16">
            <w:pPr>
              <w:jc w:val="center"/>
              <w:rPr>
                <w:rFonts w:ascii="Arial" w:hAnsi="Arial" w:cs="Arial"/>
                <w:b/>
                <w:sz w:val="24"/>
                <w:szCs w:val="24"/>
                <w:lang w:val="en-US"/>
              </w:rPr>
            </w:pPr>
            <w:r w:rsidRPr="00774D16">
              <w:rPr>
                <w:rFonts w:ascii="Arial" w:hAnsi="Arial" w:cs="Arial"/>
                <w:b/>
                <w:sz w:val="24"/>
                <w:szCs w:val="24"/>
                <w:lang w:val="en-US"/>
              </w:rPr>
              <w:lastRenderedPageBreak/>
              <w:t>Reasons:  Practice Direction 61(9)</w:t>
            </w:r>
          </w:p>
          <w:p w:rsidR="00774D16" w:rsidRPr="00774D16" w:rsidRDefault="00774D16" w:rsidP="00774D16">
            <w:pPr>
              <w:rPr>
                <w:rFonts w:ascii="Arial" w:hAnsi="Arial" w:cs="Arial"/>
                <w:b/>
                <w:sz w:val="24"/>
                <w:szCs w:val="24"/>
                <w:lang w:val="en-US"/>
              </w:rPr>
            </w:pPr>
          </w:p>
        </w:tc>
      </w:tr>
      <w:tr w:rsidR="00774D16" w:rsidRPr="00774D16" w:rsidTr="00515A80">
        <w:tc>
          <w:tcPr>
            <w:tcW w:w="10080" w:type="dxa"/>
            <w:gridSpan w:val="2"/>
          </w:tcPr>
          <w:p w:rsidR="00774D16" w:rsidRPr="00774D16" w:rsidRDefault="00774D16" w:rsidP="00774D16">
            <w:pPr>
              <w:spacing w:line="360" w:lineRule="auto"/>
              <w:jc w:val="both"/>
              <w:rPr>
                <w:rFonts w:ascii="Arial" w:hAnsi="Arial" w:cs="Arial"/>
                <w:sz w:val="24"/>
                <w:szCs w:val="24"/>
                <w:u w:val="single"/>
                <w:lang w:val="en-US"/>
              </w:rPr>
            </w:pPr>
          </w:p>
          <w:p w:rsidR="00774D16" w:rsidRPr="00774D16" w:rsidRDefault="00774D16" w:rsidP="00774D16">
            <w:pPr>
              <w:spacing w:line="360" w:lineRule="auto"/>
              <w:jc w:val="both"/>
              <w:rPr>
                <w:rFonts w:ascii="Arial" w:hAnsi="Arial" w:cs="Arial"/>
                <w:sz w:val="24"/>
                <w:szCs w:val="24"/>
                <w:u w:val="single"/>
                <w:lang w:val="en-US"/>
              </w:rPr>
            </w:pPr>
            <w:r w:rsidRPr="00774D16">
              <w:rPr>
                <w:rFonts w:ascii="Arial" w:hAnsi="Arial" w:cs="Arial"/>
                <w:sz w:val="24"/>
                <w:szCs w:val="24"/>
                <w:u w:val="single"/>
                <w:lang w:val="en-US"/>
              </w:rPr>
              <w:t xml:space="preserve">Introduction </w:t>
            </w:r>
          </w:p>
          <w:p w:rsidR="00774D16" w:rsidRPr="00774D16" w:rsidRDefault="00774D16" w:rsidP="00774D16">
            <w:pPr>
              <w:spacing w:line="360" w:lineRule="auto"/>
              <w:jc w:val="both"/>
              <w:rPr>
                <w:rFonts w:ascii="Arial" w:hAnsi="Arial" w:cs="Arial"/>
                <w:sz w:val="24"/>
                <w:szCs w:val="24"/>
                <w:u w:val="single"/>
                <w:lang w:val="en-US"/>
              </w:rPr>
            </w:pPr>
          </w:p>
          <w:p w:rsidR="00774D16" w:rsidRDefault="00774D16" w:rsidP="00774D16">
            <w:pPr>
              <w:tabs>
                <w:tab w:val="left" w:pos="927"/>
              </w:tabs>
              <w:spacing w:line="360" w:lineRule="auto"/>
              <w:jc w:val="both"/>
              <w:rPr>
                <w:rFonts w:ascii="Arial" w:hAnsi="Arial" w:cs="Arial"/>
                <w:sz w:val="24"/>
                <w:szCs w:val="24"/>
                <w:lang w:val="en-US"/>
              </w:rPr>
            </w:pPr>
            <w:r w:rsidRPr="00774D16">
              <w:rPr>
                <w:rFonts w:ascii="Arial" w:hAnsi="Arial" w:cs="Arial"/>
                <w:sz w:val="24"/>
                <w:szCs w:val="24"/>
                <w:lang w:val="en-US"/>
              </w:rPr>
              <w:t>[1]</w:t>
            </w:r>
            <w:r w:rsidRPr="00774D16">
              <w:rPr>
                <w:rFonts w:ascii="Arial" w:hAnsi="Arial" w:cs="Arial"/>
                <w:sz w:val="24"/>
                <w:szCs w:val="24"/>
                <w:lang w:val="en-US"/>
              </w:rPr>
              <w:tab/>
            </w:r>
            <w:r w:rsidR="00540FA3">
              <w:rPr>
                <w:rFonts w:ascii="Arial" w:hAnsi="Arial" w:cs="Arial"/>
                <w:sz w:val="24"/>
                <w:szCs w:val="24"/>
                <w:lang w:val="en-US"/>
              </w:rPr>
              <w:t xml:space="preserve">This is an application by the defendant, in terms of </w:t>
            </w:r>
            <w:r w:rsidR="00540FA3" w:rsidRPr="00540FA3">
              <w:rPr>
                <w:rFonts w:ascii="Arial" w:hAnsi="Arial" w:cs="Arial"/>
                <w:i/>
                <w:sz w:val="24"/>
                <w:szCs w:val="24"/>
                <w:lang w:val="en-US"/>
              </w:rPr>
              <w:t>rule 63(6) and (7)</w:t>
            </w:r>
            <w:r w:rsidR="00540FA3">
              <w:rPr>
                <w:rFonts w:ascii="Arial" w:hAnsi="Arial" w:cs="Arial"/>
                <w:sz w:val="24"/>
                <w:szCs w:val="24"/>
                <w:lang w:val="en-US"/>
              </w:rPr>
              <w:t>.  The defendant prays that all issues, other than the computation of damages as set out in paragraphs:</w:t>
            </w:r>
          </w:p>
          <w:p w:rsidR="00540FA3" w:rsidRDefault="00540FA3"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(a)  8 to 8.4 of the plaintiff’s particulars of claim</w:t>
            </w:r>
            <w:r w:rsidR="004D769E">
              <w:rPr>
                <w:rFonts w:ascii="Arial" w:hAnsi="Arial" w:cs="Arial"/>
                <w:sz w:val="24"/>
                <w:szCs w:val="24"/>
                <w:lang w:val="en-US"/>
              </w:rPr>
              <w:t>,</w:t>
            </w:r>
            <w:r>
              <w:rPr>
                <w:rFonts w:ascii="Arial" w:hAnsi="Arial" w:cs="Arial"/>
                <w:sz w:val="24"/>
                <w:szCs w:val="24"/>
                <w:lang w:val="en-US"/>
              </w:rPr>
              <w:t xml:space="preserve"> read with paragraph 22 of the defendant’s plea, and </w:t>
            </w:r>
          </w:p>
          <w:p w:rsidR="00540FA3" w:rsidRDefault="00540FA3"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(b)  26 of the defendant’s counterclaim, read with paragraph 12 of plaintiff’s plea thereto,</w:t>
            </w:r>
          </w:p>
          <w:p w:rsidR="00540FA3" w:rsidRDefault="00540FA3" w:rsidP="00774D16">
            <w:pPr>
              <w:tabs>
                <w:tab w:val="left" w:pos="927"/>
              </w:tabs>
              <w:spacing w:line="360" w:lineRule="auto"/>
              <w:jc w:val="both"/>
              <w:rPr>
                <w:rFonts w:ascii="Arial" w:hAnsi="Arial" w:cs="Arial"/>
                <w:sz w:val="24"/>
                <w:szCs w:val="24"/>
                <w:lang w:val="en-US"/>
              </w:rPr>
            </w:pPr>
            <w:proofErr w:type="gramStart"/>
            <w:r>
              <w:rPr>
                <w:rFonts w:ascii="Arial" w:hAnsi="Arial" w:cs="Arial"/>
                <w:sz w:val="24"/>
                <w:szCs w:val="24"/>
                <w:lang w:val="en-US"/>
              </w:rPr>
              <w:t>be</w:t>
            </w:r>
            <w:proofErr w:type="gramEnd"/>
            <w:r>
              <w:rPr>
                <w:rFonts w:ascii="Arial" w:hAnsi="Arial" w:cs="Arial"/>
                <w:sz w:val="24"/>
                <w:szCs w:val="24"/>
                <w:lang w:val="en-US"/>
              </w:rPr>
              <w:t xml:space="preserve"> heard and determined first</w:t>
            </w:r>
            <w:r w:rsidR="004D769E">
              <w:rPr>
                <w:rFonts w:ascii="Arial" w:hAnsi="Arial" w:cs="Arial"/>
                <w:sz w:val="24"/>
                <w:szCs w:val="24"/>
                <w:lang w:val="en-US"/>
              </w:rPr>
              <w:t>,</w:t>
            </w:r>
            <w:r>
              <w:rPr>
                <w:rFonts w:ascii="Arial" w:hAnsi="Arial" w:cs="Arial"/>
                <w:sz w:val="24"/>
                <w:szCs w:val="24"/>
                <w:lang w:val="en-US"/>
              </w:rPr>
              <w:t xml:space="preserve"> before the issue of the quantum of the damages allegedly suffered by either of the parties is adjudicated.</w:t>
            </w:r>
          </w:p>
          <w:p w:rsidR="00540FA3" w:rsidRDefault="00540FA3" w:rsidP="00774D16">
            <w:pPr>
              <w:tabs>
                <w:tab w:val="left" w:pos="927"/>
              </w:tabs>
              <w:spacing w:line="360" w:lineRule="auto"/>
              <w:jc w:val="both"/>
              <w:rPr>
                <w:rFonts w:ascii="Arial" w:hAnsi="Arial" w:cs="Arial"/>
                <w:sz w:val="24"/>
                <w:szCs w:val="24"/>
                <w:lang w:val="en-US"/>
              </w:rPr>
            </w:pPr>
          </w:p>
          <w:p w:rsidR="00540FA3" w:rsidRDefault="00540FA3"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plaintiff opposes the application.</w:t>
            </w:r>
          </w:p>
          <w:p w:rsidR="00540FA3" w:rsidRDefault="00540FA3" w:rsidP="00774D16">
            <w:pPr>
              <w:tabs>
                <w:tab w:val="left" w:pos="927"/>
              </w:tabs>
              <w:spacing w:line="360" w:lineRule="auto"/>
              <w:jc w:val="both"/>
              <w:rPr>
                <w:rFonts w:ascii="Arial" w:hAnsi="Arial" w:cs="Arial"/>
                <w:sz w:val="24"/>
                <w:szCs w:val="24"/>
                <w:lang w:val="en-US"/>
              </w:rPr>
            </w:pPr>
          </w:p>
          <w:p w:rsidR="00540FA3" w:rsidRPr="00302BFE" w:rsidRDefault="00E46942" w:rsidP="00774D16">
            <w:pPr>
              <w:tabs>
                <w:tab w:val="left" w:pos="927"/>
              </w:tabs>
              <w:spacing w:line="360" w:lineRule="auto"/>
              <w:jc w:val="both"/>
              <w:rPr>
                <w:rFonts w:ascii="Arial" w:hAnsi="Arial" w:cs="Arial"/>
                <w:sz w:val="24"/>
                <w:szCs w:val="24"/>
                <w:u w:val="single"/>
                <w:lang w:val="en-US"/>
              </w:rPr>
            </w:pPr>
            <w:r w:rsidRPr="00302BFE">
              <w:rPr>
                <w:rFonts w:ascii="Arial" w:hAnsi="Arial" w:cs="Arial"/>
                <w:sz w:val="24"/>
                <w:szCs w:val="24"/>
                <w:u w:val="single"/>
                <w:lang w:val="en-US"/>
              </w:rPr>
              <w:t>Background</w:t>
            </w:r>
            <w:r w:rsidR="00540FA3" w:rsidRPr="00302BFE">
              <w:rPr>
                <w:rFonts w:ascii="Arial" w:hAnsi="Arial" w:cs="Arial"/>
                <w:sz w:val="24"/>
                <w:szCs w:val="24"/>
                <w:u w:val="single"/>
                <w:lang w:val="en-US"/>
              </w:rPr>
              <w:t xml:space="preserve"> </w:t>
            </w:r>
          </w:p>
          <w:p w:rsidR="00540FA3" w:rsidRDefault="00540FA3" w:rsidP="00774D16">
            <w:pPr>
              <w:tabs>
                <w:tab w:val="left" w:pos="927"/>
              </w:tabs>
              <w:spacing w:line="360" w:lineRule="auto"/>
              <w:jc w:val="both"/>
              <w:rPr>
                <w:rFonts w:ascii="Arial" w:hAnsi="Arial" w:cs="Arial"/>
                <w:sz w:val="24"/>
                <w:szCs w:val="24"/>
                <w:lang w:val="en-US"/>
              </w:rPr>
            </w:pPr>
          </w:p>
          <w:p w:rsidR="00540FA3" w:rsidRDefault="00540FA3"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On 31 May 2017 the plaintiff instituted an action against the defendant claiming payment of certain amounts as damages that the plaintiff allegedly suffered as result of defendant’s negligence.  The action arises from </w:t>
            </w:r>
            <w:r w:rsidR="006069E1">
              <w:rPr>
                <w:rFonts w:ascii="Arial" w:hAnsi="Arial" w:cs="Arial"/>
                <w:sz w:val="24"/>
                <w:szCs w:val="24"/>
                <w:lang w:val="en-US"/>
              </w:rPr>
              <w:t xml:space="preserve">an </w:t>
            </w:r>
            <w:r>
              <w:rPr>
                <w:rFonts w:ascii="Arial" w:hAnsi="Arial" w:cs="Arial"/>
                <w:sz w:val="24"/>
                <w:szCs w:val="24"/>
                <w:lang w:val="en-US"/>
              </w:rPr>
              <w:t xml:space="preserve">incident in which the plaintiff’s mobile crane was allegedly used to dismantle a marquee tent, which had been set up in front of the </w:t>
            </w:r>
            <w:r>
              <w:rPr>
                <w:rFonts w:ascii="Arial" w:hAnsi="Arial" w:cs="Arial"/>
                <w:sz w:val="24"/>
                <w:szCs w:val="24"/>
                <w:lang w:val="en-US"/>
              </w:rPr>
              <w:lastRenderedPageBreak/>
              <w:t>defendant’s buildings.  It appears that the crane (or parts of its comp</w:t>
            </w:r>
            <w:r w:rsidR="00342F59">
              <w:rPr>
                <w:rFonts w:ascii="Arial" w:hAnsi="Arial" w:cs="Arial"/>
                <w:sz w:val="24"/>
                <w:szCs w:val="24"/>
                <w:lang w:val="en-US"/>
              </w:rPr>
              <w:t>onents) was positioned above an</w:t>
            </w:r>
            <w:r>
              <w:rPr>
                <w:rFonts w:ascii="Arial" w:hAnsi="Arial" w:cs="Arial"/>
                <w:sz w:val="24"/>
                <w:szCs w:val="24"/>
                <w:lang w:val="en-US"/>
              </w:rPr>
              <w:t xml:space="preserve"> underground water-pipe.  This pipe got damaged and </w:t>
            </w:r>
            <w:proofErr w:type="spellStart"/>
            <w:r>
              <w:rPr>
                <w:rFonts w:ascii="Arial" w:hAnsi="Arial" w:cs="Arial"/>
                <w:sz w:val="24"/>
                <w:szCs w:val="24"/>
                <w:lang w:val="en-US"/>
              </w:rPr>
              <w:t>bu</w:t>
            </w:r>
            <w:r w:rsidR="00342F59">
              <w:rPr>
                <w:rFonts w:ascii="Arial" w:hAnsi="Arial" w:cs="Arial"/>
                <w:sz w:val="24"/>
                <w:szCs w:val="24"/>
                <w:lang w:val="en-US"/>
              </w:rPr>
              <w:t>r</w:t>
            </w:r>
            <w:r>
              <w:rPr>
                <w:rFonts w:ascii="Arial" w:hAnsi="Arial" w:cs="Arial"/>
                <w:sz w:val="24"/>
                <w:szCs w:val="24"/>
                <w:lang w:val="en-US"/>
              </w:rPr>
              <w:t>sted</w:t>
            </w:r>
            <w:proofErr w:type="spellEnd"/>
            <w:r>
              <w:rPr>
                <w:rFonts w:ascii="Arial" w:hAnsi="Arial" w:cs="Arial"/>
                <w:sz w:val="24"/>
                <w:szCs w:val="24"/>
                <w:lang w:val="en-US"/>
              </w:rPr>
              <w:t>, causing the crane to topple</w:t>
            </w:r>
            <w:r w:rsidR="00342F59">
              <w:rPr>
                <w:rFonts w:ascii="Arial" w:hAnsi="Arial" w:cs="Arial"/>
                <w:sz w:val="24"/>
                <w:szCs w:val="24"/>
                <w:lang w:val="en-US"/>
              </w:rPr>
              <w:t xml:space="preserve"> over</w:t>
            </w:r>
            <w:r>
              <w:rPr>
                <w:rFonts w:ascii="Arial" w:hAnsi="Arial" w:cs="Arial"/>
                <w:sz w:val="24"/>
                <w:szCs w:val="24"/>
                <w:lang w:val="en-US"/>
              </w:rPr>
              <w:t xml:space="preserve"> and sustaining damage.</w:t>
            </w:r>
          </w:p>
          <w:p w:rsidR="00540FA3" w:rsidRDefault="00540FA3" w:rsidP="00774D16">
            <w:pPr>
              <w:tabs>
                <w:tab w:val="left" w:pos="927"/>
              </w:tabs>
              <w:spacing w:line="360" w:lineRule="auto"/>
              <w:jc w:val="both"/>
              <w:rPr>
                <w:rFonts w:ascii="Arial" w:hAnsi="Arial" w:cs="Arial"/>
                <w:sz w:val="24"/>
                <w:szCs w:val="24"/>
                <w:lang w:val="en-US"/>
              </w:rPr>
            </w:pPr>
          </w:p>
          <w:p w:rsidR="00540FA3" w:rsidRDefault="00540FA3"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plaintiff claims damages against the defendant for ‘fair and reasonable’ costs and expenses incurred to repair the crane to its pre-accident condition, as follows:</w:t>
            </w:r>
          </w:p>
          <w:p w:rsidR="00540FA3" w:rsidRDefault="00540FA3"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(a)  N$ 359,355.30, in respect of recovery costs</w:t>
            </w:r>
            <w:r w:rsidR="008B63C6">
              <w:rPr>
                <w:rFonts w:ascii="Arial" w:hAnsi="Arial" w:cs="Arial"/>
                <w:sz w:val="24"/>
                <w:szCs w:val="24"/>
                <w:lang w:val="en-US"/>
              </w:rPr>
              <w:t>;</w:t>
            </w:r>
          </w:p>
          <w:p w:rsidR="008B63C6" w:rsidRPr="00774D16" w:rsidRDefault="008B63C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(b)  €7,950 (or its Namibia Dollar equivalent) in re</w:t>
            </w:r>
            <w:r w:rsidR="003C5D1C">
              <w:rPr>
                <w:rFonts w:ascii="Arial" w:hAnsi="Arial" w:cs="Arial"/>
                <w:sz w:val="24"/>
                <w:szCs w:val="24"/>
                <w:lang w:val="en-US"/>
              </w:rPr>
              <w:t>spect of investigative costs;</w:t>
            </w:r>
          </w:p>
          <w:p w:rsidR="00774D16" w:rsidRDefault="008B63C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(c)  N$ 5,974.22, in respect of accommodation costs;</w:t>
            </w:r>
          </w:p>
          <w:p w:rsidR="008B63C6" w:rsidRDefault="008B63C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(d) € 365,772.22 (or its Namibia Dollar equivalent</w:t>
            </w:r>
            <w:r w:rsidR="003C5D1C">
              <w:rPr>
                <w:rFonts w:ascii="Arial" w:hAnsi="Arial" w:cs="Arial"/>
                <w:sz w:val="24"/>
                <w:szCs w:val="24"/>
                <w:lang w:val="en-US"/>
              </w:rPr>
              <w:t>)</w:t>
            </w:r>
            <w:r>
              <w:rPr>
                <w:rFonts w:ascii="Arial" w:hAnsi="Arial" w:cs="Arial"/>
                <w:sz w:val="24"/>
                <w:szCs w:val="24"/>
                <w:lang w:val="en-US"/>
              </w:rPr>
              <w:t xml:space="preserve"> in respect of costs of repair.</w:t>
            </w:r>
          </w:p>
          <w:p w:rsidR="008B63C6" w:rsidRDefault="008B63C6" w:rsidP="00774D16">
            <w:pPr>
              <w:tabs>
                <w:tab w:val="left" w:pos="927"/>
              </w:tabs>
              <w:spacing w:line="360" w:lineRule="auto"/>
              <w:jc w:val="both"/>
              <w:rPr>
                <w:rFonts w:ascii="Arial" w:hAnsi="Arial" w:cs="Arial"/>
                <w:sz w:val="24"/>
                <w:szCs w:val="24"/>
                <w:lang w:val="en-US"/>
              </w:rPr>
            </w:pPr>
          </w:p>
          <w:p w:rsidR="008B63C6" w:rsidRDefault="008B63C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Furthermore, the plaintiff claims for interest and costs of suit.</w:t>
            </w:r>
          </w:p>
          <w:p w:rsidR="008B63C6" w:rsidRDefault="008B63C6" w:rsidP="00774D16">
            <w:pPr>
              <w:tabs>
                <w:tab w:val="left" w:pos="927"/>
              </w:tabs>
              <w:spacing w:line="360" w:lineRule="auto"/>
              <w:jc w:val="both"/>
              <w:rPr>
                <w:rFonts w:ascii="Arial" w:hAnsi="Arial" w:cs="Arial"/>
                <w:sz w:val="24"/>
                <w:szCs w:val="24"/>
                <w:lang w:val="en-US"/>
              </w:rPr>
            </w:pPr>
          </w:p>
          <w:p w:rsidR="008B63C6" w:rsidRDefault="008B63C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defendant defends the action and launched a counterclaim.  In its counterclaim the defendant alleges </w:t>
            </w:r>
            <w:r w:rsidR="003C5D1C">
              <w:rPr>
                <w:rFonts w:ascii="Arial" w:hAnsi="Arial" w:cs="Arial"/>
                <w:sz w:val="24"/>
                <w:szCs w:val="24"/>
                <w:lang w:val="en-US"/>
              </w:rPr>
              <w:t>that the underground</w:t>
            </w:r>
            <w:r>
              <w:rPr>
                <w:rFonts w:ascii="Arial" w:hAnsi="Arial" w:cs="Arial"/>
                <w:sz w:val="24"/>
                <w:szCs w:val="24"/>
                <w:lang w:val="en-US"/>
              </w:rPr>
              <w:t xml:space="preserve"> water- pipe was damaged as a result of plaintiff’s negligence.  As a conse</w:t>
            </w:r>
            <w:r w:rsidR="003C5D1C">
              <w:rPr>
                <w:rFonts w:ascii="Arial" w:hAnsi="Arial" w:cs="Arial"/>
                <w:sz w:val="24"/>
                <w:szCs w:val="24"/>
                <w:lang w:val="en-US"/>
              </w:rPr>
              <w:t>quence</w:t>
            </w:r>
            <w:r>
              <w:rPr>
                <w:rFonts w:ascii="Arial" w:hAnsi="Arial" w:cs="Arial"/>
                <w:sz w:val="24"/>
                <w:szCs w:val="24"/>
                <w:lang w:val="en-US"/>
              </w:rPr>
              <w:t xml:space="preserve"> of the damage to the underground w</w:t>
            </w:r>
            <w:r w:rsidR="00C9219A">
              <w:rPr>
                <w:rFonts w:ascii="Arial" w:hAnsi="Arial" w:cs="Arial"/>
                <w:sz w:val="24"/>
                <w:szCs w:val="24"/>
                <w:lang w:val="en-US"/>
              </w:rPr>
              <w:t>ater-</w:t>
            </w:r>
            <w:r w:rsidR="003C5D1C">
              <w:rPr>
                <w:rFonts w:ascii="Arial" w:hAnsi="Arial" w:cs="Arial"/>
                <w:sz w:val="24"/>
                <w:szCs w:val="24"/>
                <w:lang w:val="en-US"/>
              </w:rPr>
              <w:t>pipe, the defendant alleges</w:t>
            </w:r>
            <w:r>
              <w:rPr>
                <w:rFonts w:ascii="Arial" w:hAnsi="Arial" w:cs="Arial"/>
                <w:sz w:val="24"/>
                <w:szCs w:val="24"/>
                <w:lang w:val="en-US"/>
              </w:rPr>
              <w:t xml:space="preserve"> that:</w:t>
            </w:r>
          </w:p>
          <w:p w:rsidR="008B63C6" w:rsidRDefault="008B63C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(a)  water was wasted, at defendant’s expense;</w:t>
            </w:r>
          </w:p>
          <w:p w:rsidR="008B63C6" w:rsidRDefault="008B63C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(b)  the surface of the parking area, where the accident occurred was damaged;</w:t>
            </w:r>
          </w:p>
          <w:p w:rsidR="008B63C6" w:rsidRDefault="008B63C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(c) </w:t>
            </w:r>
            <w:r w:rsidR="006E2FDD">
              <w:rPr>
                <w:rFonts w:ascii="Arial" w:hAnsi="Arial" w:cs="Arial"/>
                <w:sz w:val="24"/>
                <w:szCs w:val="24"/>
                <w:lang w:val="en-US"/>
              </w:rPr>
              <w:t xml:space="preserve"> the defendant had to dispose of spilled-water;</w:t>
            </w:r>
          </w:p>
          <w:p w:rsidR="006E2FDD" w:rsidRDefault="006E2FDD"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(d)  </w:t>
            </w:r>
            <w:proofErr w:type="gramStart"/>
            <w:r>
              <w:rPr>
                <w:rFonts w:ascii="Arial" w:hAnsi="Arial" w:cs="Arial"/>
                <w:sz w:val="24"/>
                <w:szCs w:val="24"/>
                <w:lang w:val="en-US"/>
              </w:rPr>
              <w:t>the</w:t>
            </w:r>
            <w:proofErr w:type="gramEnd"/>
            <w:r>
              <w:rPr>
                <w:rFonts w:ascii="Arial" w:hAnsi="Arial" w:cs="Arial"/>
                <w:sz w:val="24"/>
                <w:szCs w:val="24"/>
                <w:lang w:val="en-US"/>
              </w:rPr>
              <w:t xml:space="preserve"> defendant had to repair the pipe and the parking area.</w:t>
            </w:r>
          </w:p>
          <w:p w:rsidR="006E2FDD" w:rsidRDefault="006E2FDD" w:rsidP="00774D16">
            <w:pPr>
              <w:tabs>
                <w:tab w:val="left" w:pos="927"/>
              </w:tabs>
              <w:spacing w:line="360" w:lineRule="auto"/>
              <w:jc w:val="both"/>
              <w:rPr>
                <w:rFonts w:ascii="Arial" w:hAnsi="Arial" w:cs="Arial"/>
                <w:sz w:val="24"/>
                <w:szCs w:val="24"/>
                <w:lang w:val="en-US"/>
              </w:rPr>
            </w:pPr>
          </w:p>
          <w:p w:rsidR="006E2FDD" w:rsidRDefault="006E2FDD"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defendant, therefore, claims that it suffered damages in the amount of N$ 161,943.69 which the defendant claims from the plaintiff.  The defendant also claims interest and cost of suit.</w:t>
            </w:r>
          </w:p>
          <w:p w:rsidR="006E2FDD" w:rsidRDefault="006E2FDD" w:rsidP="00774D16">
            <w:pPr>
              <w:tabs>
                <w:tab w:val="left" w:pos="927"/>
              </w:tabs>
              <w:spacing w:line="360" w:lineRule="auto"/>
              <w:jc w:val="both"/>
              <w:rPr>
                <w:rFonts w:ascii="Arial" w:hAnsi="Arial" w:cs="Arial"/>
                <w:sz w:val="24"/>
                <w:szCs w:val="24"/>
                <w:lang w:val="en-US"/>
              </w:rPr>
            </w:pPr>
          </w:p>
          <w:p w:rsidR="006E2FDD" w:rsidRDefault="006E2FDD"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case management order was made on 6 July 2018.  In that order the parties were directed to file respective witness statements and expert summaries by certain dates.  The matter is now at pre-trial stage.</w:t>
            </w:r>
          </w:p>
          <w:p w:rsidR="006E2FDD" w:rsidRDefault="006E2FDD" w:rsidP="00774D16">
            <w:pPr>
              <w:tabs>
                <w:tab w:val="left" w:pos="927"/>
              </w:tabs>
              <w:spacing w:line="360" w:lineRule="auto"/>
              <w:jc w:val="both"/>
              <w:rPr>
                <w:rFonts w:ascii="Arial" w:hAnsi="Arial" w:cs="Arial"/>
                <w:sz w:val="24"/>
                <w:szCs w:val="24"/>
                <w:lang w:val="en-US"/>
              </w:rPr>
            </w:pPr>
          </w:p>
          <w:p w:rsidR="006E2FDD" w:rsidRDefault="006E2FDD"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[9]</w:t>
            </w:r>
            <w:r>
              <w:rPr>
                <w:rFonts w:ascii="Arial" w:hAnsi="Arial" w:cs="Arial"/>
                <w:sz w:val="24"/>
                <w:szCs w:val="24"/>
                <w:lang w:val="en-US"/>
              </w:rPr>
              <w:tab/>
            </w:r>
            <w:r w:rsidR="002304F0">
              <w:rPr>
                <w:rFonts w:ascii="Arial" w:hAnsi="Arial" w:cs="Arial"/>
                <w:sz w:val="24"/>
                <w:szCs w:val="24"/>
                <w:lang w:val="en-US"/>
              </w:rPr>
              <w:t>On 18 March 2020 the defendant f</w:t>
            </w:r>
            <w:r>
              <w:rPr>
                <w:rFonts w:ascii="Arial" w:hAnsi="Arial" w:cs="Arial"/>
                <w:sz w:val="24"/>
                <w:szCs w:val="24"/>
                <w:lang w:val="en-US"/>
              </w:rPr>
              <w:t>iled its present application to separate the issues of liability and quantum of damages, for separate determination.</w:t>
            </w:r>
          </w:p>
          <w:p w:rsidR="006E2FDD" w:rsidRPr="006E2FDD" w:rsidRDefault="006E2FDD" w:rsidP="00774D16">
            <w:pPr>
              <w:tabs>
                <w:tab w:val="left" w:pos="927"/>
              </w:tabs>
              <w:spacing w:line="360" w:lineRule="auto"/>
              <w:jc w:val="both"/>
              <w:rPr>
                <w:rFonts w:ascii="Arial" w:hAnsi="Arial" w:cs="Arial"/>
                <w:sz w:val="24"/>
                <w:szCs w:val="24"/>
                <w:u w:val="single"/>
                <w:lang w:val="en-US"/>
              </w:rPr>
            </w:pPr>
          </w:p>
          <w:p w:rsidR="006E2FDD" w:rsidRPr="006E2FDD" w:rsidRDefault="006E2FDD" w:rsidP="00774D16">
            <w:pPr>
              <w:tabs>
                <w:tab w:val="left" w:pos="927"/>
              </w:tabs>
              <w:spacing w:line="360" w:lineRule="auto"/>
              <w:jc w:val="both"/>
              <w:rPr>
                <w:rFonts w:ascii="Arial" w:hAnsi="Arial" w:cs="Arial"/>
                <w:sz w:val="24"/>
                <w:szCs w:val="24"/>
                <w:u w:val="single"/>
                <w:lang w:val="en-US"/>
              </w:rPr>
            </w:pPr>
            <w:r w:rsidRPr="006E2FDD">
              <w:rPr>
                <w:rFonts w:ascii="Arial" w:hAnsi="Arial" w:cs="Arial"/>
                <w:sz w:val="24"/>
                <w:szCs w:val="24"/>
                <w:u w:val="single"/>
                <w:lang w:val="en-US"/>
              </w:rPr>
              <w:t>Defendant’s application for separation of issues</w:t>
            </w:r>
          </w:p>
          <w:p w:rsidR="006E2FDD" w:rsidRDefault="006E2FDD" w:rsidP="00774D16">
            <w:pPr>
              <w:tabs>
                <w:tab w:val="left" w:pos="927"/>
              </w:tabs>
              <w:spacing w:line="360" w:lineRule="auto"/>
              <w:jc w:val="both"/>
              <w:rPr>
                <w:rFonts w:ascii="Arial" w:hAnsi="Arial" w:cs="Arial"/>
                <w:sz w:val="24"/>
                <w:szCs w:val="24"/>
                <w:lang w:val="en-US"/>
              </w:rPr>
            </w:pPr>
          </w:p>
          <w:p w:rsidR="006E2FDD" w:rsidRDefault="006E2FDD"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In its application for separation of the issues, the defendant seeks, among other things, an order directing that the issue of liability in respect of the plaintiff’s claim and in respect of the defendant’s counterclaim, be determined first and</w:t>
            </w:r>
            <w:r w:rsidR="003D3426">
              <w:rPr>
                <w:rFonts w:ascii="Arial" w:hAnsi="Arial" w:cs="Arial"/>
                <w:sz w:val="24"/>
                <w:szCs w:val="24"/>
                <w:lang w:val="en-US"/>
              </w:rPr>
              <w:t xml:space="preserve"> that the issue of the quantum o</w:t>
            </w:r>
            <w:r>
              <w:rPr>
                <w:rFonts w:ascii="Arial" w:hAnsi="Arial" w:cs="Arial"/>
                <w:sz w:val="24"/>
                <w:szCs w:val="24"/>
                <w:lang w:val="en-US"/>
              </w:rPr>
              <w:t>f damages (in either claim) be stayed for later determination.</w:t>
            </w:r>
          </w:p>
          <w:p w:rsidR="00A02B81" w:rsidRDefault="00A02B81" w:rsidP="00774D16">
            <w:pPr>
              <w:tabs>
                <w:tab w:val="left" w:pos="927"/>
              </w:tabs>
              <w:spacing w:line="360" w:lineRule="auto"/>
              <w:jc w:val="both"/>
              <w:rPr>
                <w:rFonts w:ascii="Arial" w:hAnsi="Arial" w:cs="Arial"/>
                <w:sz w:val="24"/>
                <w:szCs w:val="24"/>
                <w:lang w:val="en-US"/>
              </w:rPr>
            </w:pPr>
          </w:p>
          <w:p w:rsidR="00A02B81" w:rsidRDefault="00A02B81"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defendant submits that the plaintiff’s claim is weak, because:</w:t>
            </w:r>
          </w:p>
          <w:p w:rsidR="00A02B81" w:rsidRDefault="00A02B81"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w:t>
            </w:r>
            <w:proofErr w:type="gramStart"/>
            <w:r w:rsidR="00113B30">
              <w:rPr>
                <w:rFonts w:ascii="Arial" w:hAnsi="Arial" w:cs="Arial"/>
                <w:sz w:val="24"/>
                <w:szCs w:val="24"/>
                <w:lang w:val="en-US"/>
              </w:rPr>
              <w:t>i</w:t>
            </w:r>
            <w:r w:rsidR="00ED46E7">
              <w:rPr>
                <w:rFonts w:ascii="Arial" w:hAnsi="Arial" w:cs="Arial"/>
                <w:sz w:val="24"/>
                <w:szCs w:val="24"/>
                <w:lang w:val="en-US"/>
              </w:rPr>
              <w:t>t</w:t>
            </w:r>
            <w:proofErr w:type="gramEnd"/>
            <w:r>
              <w:rPr>
                <w:rFonts w:ascii="Arial" w:hAnsi="Arial" w:cs="Arial"/>
                <w:sz w:val="24"/>
                <w:szCs w:val="24"/>
                <w:lang w:val="en-US"/>
              </w:rPr>
              <w:t xml:space="preserve"> is, in substance, based on negligent omission causing damage to property.  A negligent omission causing damage to property is </w:t>
            </w:r>
            <w:r w:rsidRPr="00A02B81">
              <w:rPr>
                <w:rFonts w:ascii="Arial" w:hAnsi="Arial" w:cs="Arial"/>
                <w:i/>
                <w:sz w:val="24"/>
                <w:szCs w:val="24"/>
                <w:lang w:val="en-US"/>
              </w:rPr>
              <w:t>prima facie</w:t>
            </w:r>
            <w:r>
              <w:rPr>
                <w:rFonts w:ascii="Arial" w:hAnsi="Arial" w:cs="Arial"/>
                <w:sz w:val="24"/>
                <w:szCs w:val="24"/>
                <w:lang w:val="en-US"/>
              </w:rPr>
              <w:t xml:space="preserve"> lawful.  To pr</w:t>
            </w:r>
            <w:r w:rsidR="00C2179A">
              <w:rPr>
                <w:rFonts w:ascii="Arial" w:hAnsi="Arial" w:cs="Arial"/>
                <w:sz w:val="24"/>
                <w:szCs w:val="24"/>
                <w:lang w:val="en-US"/>
              </w:rPr>
              <w:t xml:space="preserve">ove the element of wrongfulness, the plaintiff would have to persuade the court that the legal convictions of the public demand extension of the application of the </w:t>
            </w:r>
            <w:proofErr w:type="spellStart"/>
            <w:r w:rsidR="00C2179A" w:rsidRPr="00C2179A">
              <w:rPr>
                <w:rFonts w:ascii="Arial" w:hAnsi="Arial" w:cs="Arial"/>
                <w:i/>
                <w:sz w:val="24"/>
                <w:szCs w:val="24"/>
                <w:lang w:val="en-US"/>
              </w:rPr>
              <w:t>legis</w:t>
            </w:r>
            <w:proofErr w:type="spellEnd"/>
            <w:r w:rsidR="00C2179A" w:rsidRPr="00C2179A">
              <w:rPr>
                <w:rFonts w:ascii="Arial" w:hAnsi="Arial" w:cs="Arial"/>
                <w:i/>
                <w:sz w:val="24"/>
                <w:szCs w:val="24"/>
                <w:lang w:val="en-US"/>
              </w:rPr>
              <w:t xml:space="preserve"> </w:t>
            </w:r>
            <w:proofErr w:type="spellStart"/>
            <w:r w:rsidR="00C2179A" w:rsidRPr="00C2179A">
              <w:rPr>
                <w:rFonts w:ascii="Arial" w:hAnsi="Arial" w:cs="Arial"/>
                <w:i/>
                <w:sz w:val="24"/>
                <w:szCs w:val="24"/>
                <w:lang w:val="en-US"/>
              </w:rPr>
              <w:t>Aquiliae</w:t>
            </w:r>
            <w:proofErr w:type="spellEnd"/>
            <w:r w:rsidR="00C2179A">
              <w:rPr>
                <w:rFonts w:ascii="Arial" w:hAnsi="Arial" w:cs="Arial"/>
                <w:sz w:val="24"/>
                <w:szCs w:val="24"/>
                <w:lang w:val="en-US"/>
              </w:rPr>
              <w:t xml:space="preserve"> to the alleged omission of the defendant.  The defendant submits that the plaintiff would battle to do so in the circumstances, and that, </w:t>
            </w:r>
          </w:p>
          <w:p w:rsidR="00C2179A" w:rsidRDefault="00113B30"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(b)  </w:t>
            </w:r>
            <w:proofErr w:type="gramStart"/>
            <w:r>
              <w:rPr>
                <w:rFonts w:ascii="Arial" w:hAnsi="Arial" w:cs="Arial"/>
                <w:sz w:val="24"/>
                <w:szCs w:val="24"/>
                <w:lang w:val="en-US"/>
              </w:rPr>
              <w:t>t</w:t>
            </w:r>
            <w:r w:rsidR="00C2179A">
              <w:rPr>
                <w:rFonts w:ascii="Arial" w:hAnsi="Arial" w:cs="Arial"/>
                <w:sz w:val="24"/>
                <w:szCs w:val="24"/>
                <w:lang w:val="en-US"/>
              </w:rPr>
              <w:t>he</w:t>
            </w:r>
            <w:proofErr w:type="gramEnd"/>
            <w:r w:rsidR="00C2179A">
              <w:rPr>
                <w:rFonts w:ascii="Arial" w:hAnsi="Arial" w:cs="Arial"/>
                <w:sz w:val="24"/>
                <w:szCs w:val="24"/>
                <w:lang w:val="en-US"/>
              </w:rPr>
              <w:t xml:space="preserve"> plaintiff has not filed expert witness statement on the duties of a crane driver.  The defendant contends that it has filed expert witness statement on the duties of a crane driver, and as such defendant’s evidence on that aspect would stand uncontradicted.  The defendant thus argue that the plaintiff’s case will probably fail on the issue of causation.</w:t>
            </w:r>
          </w:p>
          <w:p w:rsidR="00C2179A" w:rsidRDefault="00C2179A" w:rsidP="00774D16">
            <w:pPr>
              <w:tabs>
                <w:tab w:val="left" w:pos="927"/>
              </w:tabs>
              <w:spacing w:line="360" w:lineRule="auto"/>
              <w:jc w:val="both"/>
              <w:rPr>
                <w:rFonts w:ascii="Arial" w:hAnsi="Arial" w:cs="Arial"/>
                <w:sz w:val="24"/>
                <w:szCs w:val="24"/>
                <w:lang w:val="en-US"/>
              </w:rPr>
            </w:pPr>
          </w:p>
          <w:p w:rsidR="00C2179A" w:rsidRDefault="00C2179A"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 defendant submits further that the separation of the issue of liability and the issues of quantum of damages is appropriate because it would save the parties unnecessary costs.  The defendant argues that, to adjudicate the issue of quantum of damages in respect to the plaintiff’s claim, will involve:</w:t>
            </w:r>
          </w:p>
          <w:p w:rsidR="00C2179A" w:rsidRDefault="00C2179A"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(a)  defendant launching an application to compel the plaintiff to produce certain documents, which the plaintiff has so far, failed to produce to the defendant;</w:t>
            </w:r>
          </w:p>
          <w:p w:rsidR="00C2179A" w:rsidRDefault="001E0734"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(b)  employment of experts on both sides, and,</w:t>
            </w:r>
          </w:p>
          <w:p w:rsidR="001E0734" w:rsidRDefault="001E0734"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(c)  </w:t>
            </w:r>
            <w:proofErr w:type="gramStart"/>
            <w:r>
              <w:rPr>
                <w:rFonts w:ascii="Arial" w:hAnsi="Arial" w:cs="Arial"/>
                <w:sz w:val="24"/>
                <w:szCs w:val="24"/>
                <w:lang w:val="en-US"/>
              </w:rPr>
              <w:t>a</w:t>
            </w:r>
            <w:proofErr w:type="gramEnd"/>
            <w:r>
              <w:rPr>
                <w:rFonts w:ascii="Arial" w:hAnsi="Arial" w:cs="Arial"/>
                <w:sz w:val="24"/>
                <w:szCs w:val="24"/>
                <w:lang w:val="en-US"/>
              </w:rPr>
              <w:t xml:space="preserve"> hotly-contested trial on reasonable and necessary repairs to the crane and th</w:t>
            </w:r>
            <w:r w:rsidR="00113B30">
              <w:rPr>
                <w:rFonts w:ascii="Arial" w:hAnsi="Arial" w:cs="Arial"/>
                <w:sz w:val="24"/>
                <w:szCs w:val="24"/>
                <w:lang w:val="en-US"/>
              </w:rPr>
              <w:t>e reasonableness of amounts expe</w:t>
            </w:r>
            <w:r>
              <w:rPr>
                <w:rFonts w:ascii="Arial" w:hAnsi="Arial" w:cs="Arial"/>
                <w:sz w:val="24"/>
                <w:szCs w:val="24"/>
                <w:lang w:val="en-US"/>
              </w:rPr>
              <w:t>nded to repair the crane.</w:t>
            </w:r>
          </w:p>
          <w:p w:rsidR="001E0734" w:rsidRDefault="001E0734" w:rsidP="00774D16">
            <w:pPr>
              <w:tabs>
                <w:tab w:val="left" w:pos="927"/>
              </w:tabs>
              <w:spacing w:line="360" w:lineRule="auto"/>
              <w:jc w:val="both"/>
              <w:rPr>
                <w:rFonts w:ascii="Arial" w:hAnsi="Arial" w:cs="Arial"/>
                <w:sz w:val="24"/>
                <w:szCs w:val="24"/>
                <w:lang w:val="en-US"/>
              </w:rPr>
            </w:pPr>
          </w:p>
          <w:p w:rsidR="001E0734" w:rsidRDefault="001E0734"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It is the defendant’s contention that the costs relating to adjudication of the issue of quantum of damages will probably be avoided because there is a reasonable possibility that the plaintiff’s case will fail on the merits.</w:t>
            </w:r>
          </w:p>
          <w:p w:rsidR="00315989" w:rsidRDefault="00315989" w:rsidP="00774D16">
            <w:pPr>
              <w:tabs>
                <w:tab w:val="left" w:pos="927"/>
              </w:tabs>
              <w:spacing w:line="360" w:lineRule="auto"/>
              <w:jc w:val="both"/>
              <w:rPr>
                <w:rFonts w:ascii="Arial" w:hAnsi="Arial" w:cs="Arial"/>
                <w:sz w:val="24"/>
                <w:szCs w:val="24"/>
                <w:lang w:val="en-US"/>
              </w:rPr>
            </w:pPr>
          </w:p>
          <w:p w:rsidR="00315989" w:rsidRDefault="00315989"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The defendant </w:t>
            </w:r>
            <w:r w:rsidR="007E25EC">
              <w:rPr>
                <w:rFonts w:ascii="Arial" w:hAnsi="Arial" w:cs="Arial"/>
                <w:sz w:val="24"/>
                <w:szCs w:val="24"/>
                <w:lang w:val="en-US"/>
              </w:rPr>
              <w:t xml:space="preserve">further </w:t>
            </w:r>
            <w:r>
              <w:rPr>
                <w:rFonts w:ascii="Arial" w:hAnsi="Arial" w:cs="Arial"/>
                <w:sz w:val="24"/>
                <w:szCs w:val="24"/>
                <w:lang w:val="en-US"/>
              </w:rPr>
              <w:t xml:space="preserve">contends that </w:t>
            </w:r>
            <w:r w:rsidR="007E25EC">
              <w:rPr>
                <w:rFonts w:ascii="Arial" w:hAnsi="Arial" w:cs="Arial"/>
                <w:i/>
                <w:sz w:val="24"/>
                <w:szCs w:val="24"/>
                <w:lang w:val="en-US"/>
              </w:rPr>
              <w:t>rule 63</w:t>
            </w:r>
            <w:r w:rsidRPr="00315989">
              <w:rPr>
                <w:rFonts w:ascii="Arial" w:hAnsi="Arial" w:cs="Arial"/>
                <w:i/>
                <w:sz w:val="24"/>
                <w:szCs w:val="24"/>
                <w:lang w:val="en-US"/>
              </w:rPr>
              <w:t>(7)</w:t>
            </w:r>
            <w:r>
              <w:rPr>
                <w:rFonts w:ascii="Arial" w:hAnsi="Arial" w:cs="Arial"/>
                <w:sz w:val="24"/>
                <w:szCs w:val="24"/>
                <w:lang w:val="en-US"/>
              </w:rPr>
              <w:t xml:space="preserve"> creates a rebuttable presumption that it is always convenient in a case involving a claim for damages to separate the court’s decision on the question of liability and the question of quantum of damages.  The court has discretion to order the separation of issues unless the plaintiff discharges the onus of persuading the court that the order should not be granted.  The defendant argues further that the disadvantages of the separation of issues outweigh the advantage </w:t>
            </w:r>
            <w:r w:rsidR="00AF1CFF">
              <w:rPr>
                <w:rFonts w:ascii="Arial" w:hAnsi="Arial" w:cs="Arial"/>
                <w:sz w:val="24"/>
                <w:szCs w:val="24"/>
                <w:lang w:val="en-US"/>
              </w:rPr>
              <w:t>thereof.  As authorities for the aforegoing proposition</w:t>
            </w:r>
            <w:r w:rsidR="007E25EC">
              <w:rPr>
                <w:rFonts w:ascii="Arial" w:hAnsi="Arial" w:cs="Arial"/>
                <w:sz w:val="24"/>
                <w:szCs w:val="24"/>
                <w:lang w:val="en-US"/>
              </w:rPr>
              <w:t>s</w:t>
            </w:r>
            <w:r w:rsidR="00AF1CFF">
              <w:rPr>
                <w:rFonts w:ascii="Arial" w:hAnsi="Arial" w:cs="Arial"/>
                <w:sz w:val="24"/>
                <w:szCs w:val="24"/>
                <w:lang w:val="en-US"/>
              </w:rPr>
              <w:t xml:space="preserve">, the defendant cites the cases of </w:t>
            </w:r>
            <w:proofErr w:type="spellStart"/>
            <w:r w:rsidR="00AF1CFF" w:rsidRPr="00AF1CFF">
              <w:rPr>
                <w:rFonts w:ascii="Arial" w:hAnsi="Arial" w:cs="Arial"/>
                <w:i/>
                <w:sz w:val="24"/>
                <w:szCs w:val="24"/>
                <w:lang w:val="en-US"/>
              </w:rPr>
              <w:t>Lapperman</w:t>
            </w:r>
            <w:proofErr w:type="spellEnd"/>
            <w:r w:rsidR="00AF1CFF" w:rsidRPr="00AF1CFF">
              <w:rPr>
                <w:rFonts w:ascii="Arial" w:hAnsi="Arial" w:cs="Arial"/>
                <w:i/>
                <w:sz w:val="24"/>
                <w:szCs w:val="24"/>
                <w:lang w:val="en-US"/>
              </w:rPr>
              <w:t xml:space="preserve"> Diamond Cutting (Pty) Ltd v MIB Group (Pty) Ltd (No.2) 1997 (4) SA 921</w:t>
            </w:r>
            <w:r w:rsidR="007E25EC">
              <w:rPr>
                <w:rFonts w:ascii="Arial" w:hAnsi="Arial" w:cs="Arial"/>
                <w:i/>
                <w:sz w:val="24"/>
                <w:szCs w:val="24"/>
                <w:lang w:val="en-US"/>
              </w:rPr>
              <w:t xml:space="preserve"> (W) 927A-J and Maritz v </w:t>
            </w:r>
            <w:proofErr w:type="spellStart"/>
            <w:r w:rsidR="007E25EC">
              <w:rPr>
                <w:rFonts w:ascii="Arial" w:hAnsi="Arial" w:cs="Arial"/>
                <w:i/>
                <w:sz w:val="24"/>
                <w:szCs w:val="24"/>
                <w:lang w:val="en-US"/>
              </w:rPr>
              <w:t>Louw</w:t>
            </w:r>
            <w:proofErr w:type="spellEnd"/>
            <w:r w:rsidR="007E25EC">
              <w:rPr>
                <w:rFonts w:ascii="Arial" w:hAnsi="Arial" w:cs="Arial"/>
                <w:i/>
                <w:sz w:val="24"/>
                <w:szCs w:val="24"/>
                <w:lang w:val="en-US"/>
              </w:rPr>
              <w:t xml:space="preserve"> NO</w:t>
            </w:r>
            <w:r w:rsidR="00AF1CFF" w:rsidRPr="00AF1CFF">
              <w:rPr>
                <w:rFonts w:ascii="Arial" w:hAnsi="Arial" w:cs="Arial"/>
                <w:i/>
                <w:sz w:val="24"/>
                <w:szCs w:val="24"/>
                <w:lang w:val="en-US"/>
              </w:rPr>
              <w:t xml:space="preserve"> and Others 2018 (4) NR 1000 HC para [8],[9],[18],[21],[25],[28] and [29].</w:t>
            </w:r>
          </w:p>
          <w:p w:rsidR="00AF1CFF" w:rsidRDefault="00AF1CFF" w:rsidP="00774D16">
            <w:pPr>
              <w:tabs>
                <w:tab w:val="left" w:pos="927"/>
              </w:tabs>
              <w:spacing w:line="360" w:lineRule="auto"/>
              <w:jc w:val="both"/>
              <w:rPr>
                <w:rFonts w:ascii="Arial" w:hAnsi="Arial" w:cs="Arial"/>
                <w:sz w:val="24"/>
                <w:szCs w:val="24"/>
                <w:lang w:val="en-US"/>
              </w:rPr>
            </w:pPr>
          </w:p>
          <w:p w:rsidR="00C2179A" w:rsidRDefault="00AF1CFF"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The defendant submits that the plaintiff has failed to show t</w:t>
            </w:r>
            <w:r w:rsidR="007E25EC">
              <w:rPr>
                <w:rFonts w:ascii="Arial" w:hAnsi="Arial" w:cs="Arial"/>
                <w:sz w:val="24"/>
                <w:szCs w:val="24"/>
                <w:lang w:val="en-US"/>
              </w:rPr>
              <w:t>hat the disadvantages of the sepa</w:t>
            </w:r>
            <w:r>
              <w:rPr>
                <w:rFonts w:ascii="Arial" w:hAnsi="Arial" w:cs="Arial"/>
                <w:sz w:val="24"/>
                <w:szCs w:val="24"/>
                <w:lang w:val="en-US"/>
              </w:rPr>
              <w:t>ration of issues outweigh the advantages thereof.  The defendant</w:t>
            </w:r>
            <w:r w:rsidR="007E25EC">
              <w:rPr>
                <w:rFonts w:ascii="Arial" w:hAnsi="Arial" w:cs="Arial"/>
                <w:sz w:val="24"/>
                <w:szCs w:val="24"/>
                <w:lang w:val="en-US"/>
              </w:rPr>
              <w:t>,</w:t>
            </w:r>
            <w:r>
              <w:rPr>
                <w:rFonts w:ascii="Arial" w:hAnsi="Arial" w:cs="Arial"/>
                <w:sz w:val="24"/>
                <w:szCs w:val="24"/>
                <w:lang w:val="en-US"/>
              </w:rPr>
              <w:t xml:space="preserve"> therefore</w:t>
            </w:r>
            <w:r w:rsidR="007E25EC">
              <w:rPr>
                <w:rFonts w:ascii="Arial" w:hAnsi="Arial" w:cs="Arial"/>
                <w:sz w:val="24"/>
                <w:szCs w:val="24"/>
                <w:lang w:val="en-US"/>
              </w:rPr>
              <w:t>,</w:t>
            </w:r>
            <w:r>
              <w:rPr>
                <w:rFonts w:ascii="Arial" w:hAnsi="Arial" w:cs="Arial"/>
                <w:sz w:val="24"/>
                <w:szCs w:val="24"/>
                <w:lang w:val="en-US"/>
              </w:rPr>
              <w:t xml:space="preserve"> contend</w:t>
            </w:r>
            <w:r w:rsidR="007E25EC">
              <w:rPr>
                <w:rFonts w:ascii="Arial" w:hAnsi="Arial" w:cs="Arial"/>
                <w:sz w:val="24"/>
                <w:szCs w:val="24"/>
                <w:lang w:val="en-US"/>
              </w:rPr>
              <w:t>s</w:t>
            </w:r>
            <w:r>
              <w:rPr>
                <w:rFonts w:ascii="Arial" w:hAnsi="Arial" w:cs="Arial"/>
                <w:sz w:val="24"/>
                <w:szCs w:val="24"/>
                <w:lang w:val="en-US"/>
              </w:rPr>
              <w:t xml:space="preserve">  that its application be granted with costs, including costs of one instructing and two instructed counsel and the qualifying fees and disbursements of </w:t>
            </w:r>
            <w:proofErr w:type="spellStart"/>
            <w:r>
              <w:rPr>
                <w:rFonts w:ascii="Arial" w:hAnsi="Arial" w:cs="Arial"/>
                <w:sz w:val="24"/>
                <w:szCs w:val="24"/>
                <w:lang w:val="en-US"/>
              </w:rPr>
              <w:t>Mr</w:t>
            </w:r>
            <w:proofErr w:type="spellEnd"/>
            <w:r>
              <w:rPr>
                <w:rFonts w:ascii="Arial" w:hAnsi="Arial" w:cs="Arial"/>
                <w:sz w:val="24"/>
                <w:szCs w:val="24"/>
                <w:lang w:val="en-US"/>
              </w:rPr>
              <w:t xml:space="preserve"> Martin Graham</w:t>
            </w:r>
            <w:r w:rsidR="008F60CF">
              <w:rPr>
                <w:rFonts w:ascii="Arial" w:hAnsi="Arial" w:cs="Arial"/>
                <w:sz w:val="24"/>
                <w:szCs w:val="24"/>
                <w:lang w:val="en-US"/>
              </w:rPr>
              <w:t>.</w:t>
            </w:r>
            <w:r>
              <w:rPr>
                <w:rStyle w:val="FootnoteReference"/>
                <w:rFonts w:ascii="Arial" w:hAnsi="Arial" w:cs="Arial"/>
                <w:sz w:val="24"/>
                <w:szCs w:val="24"/>
                <w:lang w:val="en-US"/>
              </w:rPr>
              <w:footnoteReference w:id="1"/>
            </w:r>
          </w:p>
          <w:p w:rsidR="00E32A4A" w:rsidRDefault="00E32A4A" w:rsidP="00774D16">
            <w:pPr>
              <w:tabs>
                <w:tab w:val="left" w:pos="927"/>
              </w:tabs>
              <w:spacing w:line="360" w:lineRule="auto"/>
              <w:jc w:val="both"/>
              <w:rPr>
                <w:rFonts w:ascii="Arial" w:hAnsi="Arial" w:cs="Arial"/>
                <w:sz w:val="24"/>
                <w:szCs w:val="24"/>
                <w:lang w:val="en-US"/>
              </w:rPr>
            </w:pPr>
          </w:p>
          <w:p w:rsidR="00E32A4A" w:rsidRDefault="00E32A4A" w:rsidP="00E32A4A">
            <w:pPr>
              <w:spacing w:line="360" w:lineRule="auto"/>
              <w:jc w:val="both"/>
              <w:rPr>
                <w:rFonts w:ascii="Arial" w:hAnsi="Arial" w:cs="Arial"/>
                <w:sz w:val="24"/>
                <w:szCs w:val="24"/>
              </w:rPr>
            </w:pPr>
            <w:r w:rsidRPr="00BF7C51">
              <w:rPr>
                <w:rFonts w:ascii="Arial" w:hAnsi="Arial" w:cs="Arial"/>
                <w:sz w:val="24"/>
                <w:szCs w:val="24"/>
              </w:rPr>
              <w:t>[16]</w:t>
            </w:r>
            <w:r w:rsidRPr="00BF7C51">
              <w:rPr>
                <w:rFonts w:ascii="Arial" w:hAnsi="Arial" w:cs="Arial"/>
                <w:sz w:val="24"/>
                <w:szCs w:val="24"/>
              </w:rPr>
              <w:tab/>
            </w:r>
            <w:r>
              <w:rPr>
                <w:rFonts w:ascii="Arial" w:hAnsi="Arial" w:cs="Arial"/>
                <w:sz w:val="24"/>
                <w:szCs w:val="24"/>
              </w:rPr>
              <w:t xml:space="preserve">In opposition to the separation application, the plaintiff raised a preliminary point that that the defendant did not comply with </w:t>
            </w:r>
            <w:r w:rsidRPr="00BF7C51">
              <w:rPr>
                <w:rFonts w:ascii="Arial" w:hAnsi="Arial" w:cs="Arial"/>
                <w:i/>
                <w:sz w:val="24"/>
                <w:szCs w:val="24"/>
              </w:rPr>
              <w:t>rule 32(9)</w:t>
            </w:r>
            <w:r>
              <w:rPr>
                <w:rFonts w:ascii="Arial" w:hAnsi="Arial" w:cs="Arial"/>
                <w:i/>
                <w:sz w:val="24"/>
                <w:szCs w:val="24"/>
              </w:rPr>
              <w:t xml:space="preserve"> </w:t>
            </w:r>
            <w:r>
              <w:rPr>
                <w:rFonts w:ascii="Arial" w:hAnsi="Arial" w:cs="Arial"/>
                <w:sz w:val="24"/>
                <w:szCs w:val="24"/>
              </w:rPr>
              <w:t>prior to launching its separation application.  The plaintiff relates that the defendant se</w:t>
            </w:r>
            <w:r w:rsidR="007E25EC">
              <w:rPr>
                <w:rFonts w:ascii="Arial" w:hAnsi="Arial" w:cs="Arial"/>
                <w:sz w:val="24"/>
                <w:szCs w:val="24"/>
              </w:rPr>
              <w:t>n</w:t>
            </w:r>
            <w:r>
              <w:rPr>
                <w:rFonts w:ascii="Arial" w:hAnsi="Arial" w:cs="Arial"/>
                <w:sz w:val="24"/>
                <w:szCs w:val="24"/>
              </w:rPr>
              <w:t>t a letter to the pl</w:t>
            </w:r>
            <w:r w:rsidR="007E25EC">
              <w:rPr>
                <w:rFonts w:ascii="Arial" w:hAnsi="Arial" w:cs="Arial"/>
                <w:sz w:val="24"/>
                <w:szCs w:val="24"/>
              </w:rPr>
              <w:t>aintiff</w:t>
            </w:r>
            <w:r>
              <w:rPr>
                <w:rFonts w:ascii="Arial" w:hAnsi="Arial" w:cs="Arial"/>
                <w:sz w:val="24"/>
                <w:szCs w:val="24"/>
              </w:rPr>
              <w:t xml:space="preserve"> set</w:t>
            </w:r>
            <w:r w:rsidR="007E25EC">
              <w:rPr>
                <w:rFonts w:ascii="Arial" w:hAnsi="Arial" w:cs="Arial"/>
                <w:sz w:val="24"/>
                <w:szCs w:val="24"/>
              </w:rPr>
              <w:t>ting</w:t>
            </w:r>
            <w:r>
              <w:rPr>
                <w:rFonts w:ascii="Arial" w:hAnsi="Arial" w:cs="Arial"/>
                <w:sz w:val="24"/>
                <w:szCs w:val="24"/>
              </w:rPr>
              <w:t xml:space="preserve"> out its proposal to resolve the mat</w:t>
            </w:r>
            <w:r w:rsidR="007E25EC">
              <w:rPr>
                <w:rFonts w:ascii="Arial" w:hAnsi="Arial" w:cs="Arial"/>
                <w:sz w:val="24"/>
                <w:szCs w:val="24"/>
              </w:rPr>
              <w:t>ter amicably.  In response thereto, the plaintiff despatched a letter to the defendant, in which the plaintiff, among other things, made a counter-proposal to solve the matter amicably.  The plaintiff argues that the defendant had ignored the plaintiff’s counter-proposal.  The plaintiff thu</w:t>
            </w:r>
            <w:r>
              <w:rPr>
                <w:rFonts w:ascii="Arial" w:hAnsi="Arial" w:cs="Arial"/>
                <w:sz w:val="24"/>
                <w:szCs w:val="24"/>
              </w:rPr>
              <w:t>s contends that the defendant did not comply with rule 32(9) and that its application for the separation of issues be struck from the roll.</w:t>
            </w:r>
          </w:p>
          <w:p w:rsidR="00E32A4A" w:rsidRDefault="00E32A4A" w:rsidP="00E32A4A">
            <w:pPr>
              <w:jc w:val="both"/>
              <w:rPr>
                <w:rFonts w:ascii="Arial" w:hAnsi="Arial" w:cs="Arial"/>
                <w:sz w:val="24"/>
                <w:szCs w:val="24"/>
              </w:rPr>
            </w:pPr>
          </w:p>
          <w:p w:rsidR="00E32A4A" w:rsidRDefault="00E32A4A" w:rsidP="00E32A4A">
            <w:pPr>
              <w:spacing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The defendant responds to the preliminary point, to the effect that, the plaintiff in its replying letter did not leave room for compromise.  The defendant avers that the plaintiff had indicated that unless the defendant agreed to pay interest to the plaintiff on its damages claim in the interval between the court’s decision on the question of liability and the question of damages, the plaintiff is not prepared to consent to the separation of issues application.  In addition, the defendant argues that the court order dated 20 February 2020 prescribed the procedure the parties should follow towards compliance with rule 32(9) and the defendant had followed such procedure.</w:t>
            </w:r>
          </w:p>
          <w:p w:rsidR="00E32A4A" w:rsidRDefault="00E32A4A" w:rsidP="00E32A4A">
            <w:pPr>
              <w:jc w:val="both"/>
              <w:rPr>
                <w:rFonts w:ascii="Arial" w:hAnsi="Arial" w:cs="Arial"/>
                <w:sz w:val="24"/>
                <w:szCs w:val="24"/>
              </w:rPr>
            </w:pPr>
          </w:p>
          <w:p w:rsidR="00E32A4A" w:rsidRDefault="00E32A4A" w:rsidP="00E32A4A">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regard to the merits of the separation application, the plaintiff contends that the defendant’s perception of the merits and de-merits of the plaintiff’s claim is irrelevant in deciding the application.</w:t>
            </w:r>
          </w:p>
          <w:p w:rsidR="00E32A4A" w:rsidRDefault="00E32A4A" w:rsidP="00E32A4A">
            <w:pPr>
              <w:spacing w:line="360" w:lineRule="auto"/>
              <w:jc w:val="both"/>
              <w:rPr>
                <w:rFonts w:ascii="Arial" w:hAnsi="Arial" w:cs="Arial"/>
                <w:sz w:val="24"/>
                <w:szCs w:val="24"/>
              </w:rPr>
            </w:pPr>
          </w:p>
          <w:p w:rsidR="00E32A4A" w:rsidRPr="00BF7C51" w:rsidRDefault="00E32A4A" w:rsidP="00E32A4A">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Insofar as the issue of the costs in regard to the calling of expert witnesses to testify on the question of quantum of damages is concerned, the plaintiff argues that the costs of bringing expert witness</w:t>
            </w:r>
            <w:r w:rsidR="007E25EC">
              <w:rPr>
                <w:rFonts w:ascii="Arial" w:hAnsi="Arial" w:cs="Arial"/>
                <w:sz w:val="24"/>
                <w:szCs w:val="24"/>
              </w:rPr>
              <w:t>es</w:t>
            </w:r>
            <w:r>
              <w:rPr>
                <w:rFonts w:ascii="Arial" w:hAnsi="Arial" w:cs="Arial"/>
                <w:sz w:val="24"/>
                <w:szCs w:val="24"/>
              </w:rPr>
              <w:t xml:space="preserve"> from Germany to testify on reasonable costs of repair, will be incurred by the plaintiff.</w:t>
            </w:r>
          </w:p>
          <w:p w:rsidR="00E32A4A" w:rsidRPr="006218E6" w:rsidRDefault="00E32A4A" w:rsidP="00E32A4A">
            <w:pPr>
              <w:spacing w:line="360" w:lineRule="auto"/>
              <w:jc w:val="both"/>
              <w:rPr>
                <w:rFonts w:ascii="Arial" w:hAnsi="Arial" w:cs="Arial"/>
                <w:sz w:val="24"/>
                <w:szCs w:val="24"/>
              </w:rPr>
            </w:pPr>
          </w:p>
          <w:p w:rsidR="00E32A4A" w:rsidRPr="00A02B8B" w:rsidRDefault="006218E6" w:rsidP="00E32A4A">
            <w:pPr>
              <w:spacing w:line="360" w:lineRule="auto"/>
              <w:jc w:val="both"/>
              <w:rPr>
                <w:rFonts w:ascii="Arial" w:hAnsi="Arial" w:cs="Arial"/>
                <w:sz w:val="24"/>
                <w:szCs w:val="24"/>
              </w:rPr>
            </w:pPr>
            <w:r w:rsidRPr="006218E6">
              <w:rPr>
                <w:rFonts w:ascii="Arial" w:hAnsi="Arial" w:cs="Arial"/>
                <w:sz w:val="24"/>
                <w:szCs w:val="24"/>
              </w:rPr>
              <w:t>[</w:t>
            </w:r>
            <w:r>
              <w:rPr>
                <w:rFonts w:ascii="Arial" w:hAnsi="Arial" w:cs="Arial"/>
                <w:sz w:val="24"/>
                <w:szCs w:val="24"/>
              </w:rPr>
              <w:t>20]</w:t>
            </w:r>
            <w:r>
              <w:rPr>
                <w:rFonts w:ascii="Arial" w:hAnsi="Arial" w:cs="Arial"/>
                <w:sz w:val="24"/>
                <w:szCs w:val="24"/>
              </w:rPr>
              <w:tab/>
              <w:t xml:space="preserve">The plaintiff contends that the defendant bears the onus to show that a separation of issues is convenient.  The plaintiff submits that the defendant has failed to show that separation of issues is convenient and that the application must be dismissed with costs, including costs of one instructing and two instructed counsel and that such costs not be limited by </w:t>
            </w:r>
            <w:r w:rsidRPr="00A02B8B">
              <w:rPr>
                <w:rFonts w:ascii="Arial" w:hAnsi="Arial" w:cs="Arial"/>
                <w:sz w:val="24"/>
                <w:szCs w:val="24"/>
              </w:rPr>
              <w:t>rule 32(11).</w:t>
            </w:r>
          </w:p>
          <w:p w:rsidR="00E32A4A" w:rsidRDefault="00E32A4A" w:rsidP="00774D16">
            <w:pPr>
              <w:tabs>
                <w:tab w:val="left" w:pos="927"/>
              </w:tabs>
              <w:spacing w:line="360" w:lineRule="auto"/>
              <w:jc w:val="both"/>
              <w:rPr>
                <w:rFonts w:ascii="Arial" w:hAnsi="Arial" w:cs="Arial"/>
                <w:sz w:val="24"/>
                <w:szCs w:val="24"/>
                <w:lang w:val="en-US"/>
              </w:rPr>
            </w:pPr>
          </w:p>
          <w:p w:rsidR="006218E6" w:rsidRPr="006218E6" w:rsidRDefault="006218E6" w:rsidP="00774D16">
            <w:pPr>
              <w:tabs>
                <w:tab w:val="left" w:pos="927"/>
              </w:tabs>
              <w:spacing w:line="360" w:lineRule="auto"/>
              <w:jc w:val="both"/>
              <w:rPr>
                <w:rFonts w:ascii="Arial" w:hAnsi="Arial" w:cs="Arial"/>
                <w:sz w:val="24"/>
                <w:szCs w:val="24"/>
                <w:u w:val="single"/>
                <w:lang w:val="en-US"/>
              </w:rPr>
            </w:pPr>
            <w:r w:rsidRPr="006218E6">
              <w:rPr>
                <w:rFonts w:ascii="Arial" w:hAnsi="Arial" w:cs="Arial"/>
                <w:sz w:val="24"/>
                <w:szCs w:val="24"/>
                <w:u w:val="single"/>
                <w:lang w:val="en-US"/>
              </w:rPr>
              <w:t>Legal principles</w:t>
            </w:r>
          </w:p>
          <w:p w:rsidR="006218E6" w:rsidRDefault="006218E6" w:rsidP="00774D16">
            <w:pPr>
              <w:tabs>
                <w:tab w:val="left" w:pos="927"/>
              </w:tabs>
              <w:spacing w:line="360" w:lineRule="auto"/>
              <w:jc w:val="both"/>
              <w:rPr>
                <w:rFonts w:ascii="Arial" w:hAnsi="Arial" w:cs="Arial"/>
                <w:sz w:val="24"/>
                <w:szCs w:val="24"/>
                <w:lang w:val="en-US"/>
              </w:rPr>
            </w:pPr>
          </w:p>
          <w:p w:rsidR="006218E6" w:rsidRDefault="006218E6"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Pr="006218E6">
              <w:rPr>
                <w:rFonts w:ascii="Arial" w:hAnsi="Arial" w:cs="Arial"/>
                <w:i/>
                <w:sz w:val="24"/>
                <w:szCs w:val="24"/>
                <w:lang w:val="en-US"/>
              </w:rPr>
              <w:t>Rule 32(9)</w:t>
            </w:r>
            <w:r>
              <w:rPr>
                <w:rFonts w:ascii="Arial" w:hAnsi="Arial" w:cs="Arial"/>
                <w:sz w:val="24"/>
                <w:szCs w:val="24"/>
                <w:lang w:val="en-US"/>
              </w:rPr>
              <w:t xml:space="preserve"> read as follows:</w:t>
            </w:r>
          </w:p>
          <w:p w:rsidR="006218E6" w:rsidRPr="006218E6" w:rsidRDefault="006218E6" w:rsidP="00774D16">
            <w:pPr>
              <w:tabs>
                <w:tab w:val="left" w:pos="927"/>
              </w:tabs>
              <w:spacing w:line="360" w:lineRule="auto"/>
              <w:jc w:val="both"/>
              <w:rPr>
                <w:rFonts w:ascii="Arial" w:hAnsi="Arial" w:cs="Arial"/>
                <w:i/>
                <w:sz w:val="24"/>
                <w:szCs w:val="24"/>
                <w:lang w:val="en-US"/>
              </w:rPr>
            </w:pPr>
            <w:r>
              <w:rPr>
                <w:rFonts w:ascii="Arial" w:hAnsi="Arial" w:cs="Arial"/>
                <w:sz w:val="24"/>
                <w:szCs w:val="24"/>
                <w:lang w:val="en-US"/>
              </w:rPr>
              <w:tab/>
            </w:r>
            <w:r w:rsidR="007F4B90">
              <w:rPr>
                <w:rFonts w:ascii="Arial" w:hAnsi="Arial" w:cs="Arial"/>
                <w:i/>
                <w:sz w:val="24"/>
                <w:szCs w:val="24"/>
                <w:lang w:val="en-US"/>
              </w:rPr>
              <w:t>‘(9) I</w:t>
            </w:r>
            <w:r>
              <w:rPr>
                <w:rFonts w:ascii="Arial" w:hAnsi="Arial" w:cs="Arial"/>
                <w:i/>
                <w:sz w:val="24"/>
                <w:szCs w:val="24"/>
                <w:lang w:val="en-US"/>
              </w:rPr>
              <w:t xml:space="preserve">n relation to any proceeding referred to in this rule, a party wishing to bring such </w:t>
            </w:r>
            <w:r>
              <w:rPr>
                <w:rFonts w:ascii="Arial" w:hAnsi="Arial" w:cs="Arial"/>
                <w:i/>
                <w:sz w:val="24"/>
                <w:szCs w:val="24"/>
                <w:lang w:val="en-US"/>
              </w:rPr>
              <w:tab/>
              <w:t xml:space="preserve">proceeding must before launching it, seek an amicable resolution thereof with the </w:t>
            </w:r>
            <w:r>
              <w:rPr>
                <w:rFonts w:ascii="Arial" w:hAnsi="Arial" w:cs="Arial"/>
                <w:i/>
                <w:sz w:val="24"/>
                <w:szCs w:val="24"/>
                <w:lang w:val="en-US"/>
              </w:rPr>
              <w:tab/>
              <w:t xml:space="preserve">other party or parties and only after the parties have failed to resolve their dispute </w:t>
            </w:r>
            <w:r>
              <w:rPr>
                <w:rFonts w:ascii="Arial" w:hAnsi="Arial" w:cs="Arial"/>
                <w:i/>
                <w:sz w:val="24"/>
                <w:szCs w:val="24"/>
                <w:lang w:val="en-US"/>
              </w:rPr>
              <w:tab/>
              <w:t>may such proceeding be delivered for adjudication by court.’</w:t>
            </w:r>
          </w:p>
          <w:p w:rsidR="00774D16" w:rsidRDefault="00774D16" w:rsidP="00774D16">
            <w:pPr>
              <w:tabs>
                <w:tab w:val="left" w:pos="927"/>
              </w:tabs>
              <w:spacing w:line="360" w:lineRule="auto"/>
              <w:jc w:val="both"/>
              <w:rPr>
                <w:rFonts w:ascii="Arial" w:hAnsi="Arial" w:cs="Arial"/>
                <w:sz w:val="24"/>
                <w:szCs w:val="24"/>
                <w:lang w:val="en-US"/>
              </w:rPr>
            </w:pPr>
          </w:p>
          <w:p w:rsidR="006218E6" w:rsidRDefault="006218E6" w:rsidP="00774D16">
            <w:pPr>
              <w:tabs>
                <w:tab w:val="left" w:pos="927"/>
              </w:tabs>
              <w:spacing w:line="360" w:lineRule="auto"/>
              <w:jc w:val="both"/>
              <w:rPr>
                <w:rFonts w:ascii="Arial" w:hAnsi="Arial" w:cs="Arial"/>
                <w:i/>
                <w:sz w:val="24"/>
                <w:szCs w:val="24"/>
                <w:lang w:val="en-US"/>
              </w:rPr>
            </w:pPr>
            <w:r>
              <w:rPr>
                <w:rFonts w:ascii="Arial" w:hAnsi="Arial" w:cs="Arial"/>
                <w:sz w:val="24"/>
                <w:szCs w:val="24"/>
                <w:lang w:val="en-US"/>
              </w:rPr>
              <w:t>[22]</w:t>
            </w:r>
            <w:r>
              <w:rPr>
                <w:rFonts w:ascii="Arial" w:hAnsi="Arial" w:cs="Arial"/>
                <w:sz w:val="24"/>
                <w:szCs w:val="24"/>
                <w:lang w:val="en-US"/>
              </w:rPr>
              <w:tab/>
            </w:r>
            <w:r>
              <w:rPr>
                <w:rFonts w:ascii="Arial" w:hAnsi="Arial" w:cs="Arial"/>
                <w:i/>
                <w:sz w:val="24"/>
                <w:szCs w:val="24"/>
                <w:lang w:val="en-US"/>
              </w:rPr>
              <w:t xml:space="preserve">Rule 63(6) </w:t>
            </w:r>
            <w:r w:rsidRPr="006218E6">
              <w:rPr>
                <w:rFonts w:ascii="Arial" w:hAnsi="Arial" w:cs="Arial"/>
                <w:sz w:val="24"/>
                <w:szCs w:val="24"/>
                <w:lang w:val="en-US"/>
              </w:rPr>
              <w:t>and</w:t>
            </w:r>
            <w:r>
              <w:rPr>
                <w:rFonts w:ascii="Arial" w:hAnsi="Arial" w:cs="Arial"/>
                <w:i/>
                <w:sz w:val="24"/>
                <w:szCs w:val="24"/>
                <w:lang w:val="en-US"/>
              </w:rPr>
              <w:t xml:space="preserve"> (7</w:t>
            </w:r>
            <w:r w:rsidRPr="006218E6">
              <w:rPr>
                <w:rFonts w:ascii="Arial" w:hAnsi="Arial" w:cs="Arial"/>
                <w:sz w:val="24"/>
                <w:szCs w:val="24"/>
                <w:lang w:val="en-US"/>
              </w:rPr>
              <w:t>) read as follows</w:t>
            </w:r>
            <w:r>
              <w:rPr>
                <w:rFonts w:ascii="Arial" w:hAnsi="Arial" w:cs="Arial"/>
                <w:i/>
                <w:sz w:val="24"/>
                <w:szCs w:val="24"/>
                <w:lang w:val="en-US"/>
              </w:rPr>
              <w:t>:</w:t>
            </w:r>
          </w:p>
          <w:p w:rsidR="006218E6" w:rsidRDefault="006218E6" w:rsidP="00774D16">
            <w:pPr>
              <w:tabs>
                <w:tab w:val="left" w:pos="927"/>
              </w:tabs>
              <w:spacing w:line="360" w:lineRule="auto"/>
              <w:jc w:val="both"/>
              <w:rPr>
                <w:rFonts w:ascii="Arial" w:hAnsi="Arial" w:cs="Arial"/>
                <w:i/>
                <w:sz w:val="24"/>
                <w:szCs w:val="24"/>
                <w:lang w:val="en-US"/>
              </w:rPr>
            </w:pPr>
            <w:r>
              <w:rPr>
                <w:rFonts w:ascii="Arial" w:hAnsi="Arial" w:cs="Arial"/>
                <w:i/>
                <w:sz w:val="24"/>
                <w:szCs w:val="24"/>
                <w:lang w:val="en-US"/>
              </w:rPr>
              <w:tab/>
              <w:t xml:space="preserve">‘(6) Where it appears to the court </w:t>
            </w:r>
            <w:proofErr w:type="spellStart"/>
            <w:r>
              <w:rPr>
                <w:rFonts w:ascii="Arial" w:hAnsi="Arial" w:cs="Arial"/>
                <w:i/>
                <w:sz w:val="24"/>
                <w:szCs w:val="24"/>
                <w:lang w:val="en-US"/>
              </w:rPr>
              <w:t>mero</w:t>
            </w:r>
            <w:proofErr w:type="spellEnd"/>
            <w:r>
              <w:rPr>
                <w:rFonts w:ascii="Arial" w:hAnsi="Arial" w:cs="Arial"/>
                <w:i/>
                <w:sz w:val="24"/>
                <w:szCs w:val="24"/>
                <w:lang w:val="en-US"/>
              </w:rPr>
              <w:t xml:space="preserve"> </w:t>
            </w:r>
            <w:proofErr w:type="spellStart"/>
            <w:r>
              <w:rPr>
                <w:rFonts w:ascii="Arial" w:hAnsi="Arial" w:cs="Arial"/>
                <w:i/>
                <w:sz w:val="24"/>
                <w:szCs w:val="24"/>
                <w:lang w:val="en-US"/>
              </w:rPr>
              <w:t>motu</w:t>
            </w:r>
            <w:proofErr w:type="spellEnd"/>
            <w:r>
              <w:rPr>
                <w:rFonts w:ascii="Arial" w:hAnsi="Arial" w:cs="Arial"/>
                <w:i/>
                <w:sz w:val="24"/>
                <w:szCs w:val="24"/>
                <w:lang w:val="en-US"/>
              </w:rPr>
              <w:t xml:space="preserve"> or on the application of a party that there </w:t>
            </w:r>
            <w:r w:rsidR="00CA7CCA">
              <w:rPr>
                <w:rFonts w:ascii="Arial" w:hAnsi="Arial" w:cs="Arial"/>
                <w:i/>
                <w:sz w:val="24"/>
                <w:szCs w:val="24"/>
                <w:lang w:val="en-US"/>
              </w:rPr>
              <w:tab/>
            </w:r>
            <w:r>
              <w:rPr>
                <w:rFonts w:ascii="Arial" w:hAnsi="Arial" w:cs="Arial"/>
                <w:i/>
                <w:sz w:val="24"/>
                <w:szCs w:val="24"/>
                <w:lang w:val="en-US"/>
              </w:rPr>
              <w:t xml:space="preserve">is in any pending action a question of law or fact which may conveniently be decided </w:t>
            </w:r>
            <w:r w:rsidR="00CA7CCA">
              <w:rPr>
                <w:rFonts w:ascii="Arial" w:hAnsi="Arial" w:cs="Arial"/>
                <w:i/>
                <w:sz w:val="24"/>
                <w:szCs w:val="24"/>
                <w:lang w:val="en-US"/>
              </w:rPr>
              <w:tab/>
            </w:r>
            <w:r>
              <w:rPr>
                <w:rFonts w:ascii="Arial" w:hAnsi="Arial" w:cs="Arial"/>
                <w:i/>
                <w:sz w:val="24"/>
                <w:szCs w:val="24"/>
                <w:lang w:val="en-US"/>
              </w:rPr>
              <w:t>either before an</w:t>
            </w:r>
            <w:r w:rsidR="00CA7CCA">
              <w:rPr>
                <w:rFonts w:ascii="Arial" w:hAnsi="Arial" w:cs="Arial"/>
                <w:i/>
                <w:sz w:val="24"/>
                <w:szCs w:val="24"/>
                <w:lang w:val="en-US"/>
              </w:rPr>
              <w:t xml:space="preserve">y evidence is led or separately from any other question, the court may </w:t>
            </w:r>
            <w:r w:rsidR="00CA7CCA">
              <w:rPr>
                <w:rFonts w:ascii="Arial" w:hAnsi="Arial" w:cs="Arial"/>
                <w:i/>
                <w:sz w:val="24"/>
                <w:szCs w:val="24"/>
                <w:lang w:val="en-US"/>
              </w:rPr>
              <w:tab/>
              <w:t xml:space="preserve">make an order directing the trial of that question in such manner as it considers </w:t>
            </w:r>
            <w:r w:rsidR="00CA7CCA">
              <w:rPr>
                <w:rFonts w:ascii="Arial" w:hAnsi="Arial" w:cs="Arial"/>
                <w:i/>
                <w:sz w:val="24"/>
                <w:szCs w:val="24"/>
                <w:lang w:val="en-US"/>
              </w:rPr>
              <w:tab/>
              <w:t xml:space="preserve">appropriate and may order that all further proceedings be stayed until the question </w:t>
            </w:r>
            <w:r w:rsidR="00CA7CCA">
              <w:rPr>
                <w:rFonts w:ascii="Arial" w:hAnsi="Arial" w:cs="Arial"/>
                <w:i/>
                <w:sz w:val="24"/>
                <w:szCs w:val="24"/>
                <w:lang w:val="en-US"/>
              </w:rPr>
              <w:tab/>
              <w:t>has been disposed of.’</w:t>
            </w:r>
          </w:p>
          <w:p w:rsidR="00CA7CCA" w:rsidRDefault="00CA7CCA" w:rsidP="00774D16">
            <w:pPr>
              <w:tabs>
                <w:tab w:val="left" w:pos="927"/>
              </w:tabs>
              <w:spacing w:line="360" w:lineRule="auto"/>
              <w:jc w:val="both"/>
              <w:rPr>
                <w:rFonts w:ascii="Arial" w:hAnsi="Arial" w:cs="Arial"/>
                <w:i/>
                <w:sz w:val="24"/>
                <w:szCs w:val="24"/>
                <w:lang w:val="en-US"/>
              </w:rPr>
            </w:pPr>
          </w:p>
          <w:p w:rsidR="00CA7CCA" w:rsidRDefault="00CA7CCA" w:rsidP="00774D16">
            <w:pPr>
              <w:tabs>
                <w:tab w:val="left" w:pos="927"/>
              </w:tabs>
              <w:spacing w:line="360" w:lineRule="auto"/>
              <w:jc w:val="both"/>
              <w:rPr>
                <w:rFonts w:ascii="Arial" w:hAnsi="Arial" w:cs="Arial"/>
                <w:i/>
                <w:sz w:val="24"/>
                <w:szCs w:val="24"/>
                <w:lang w:val="en-US"/>
              </w:rPr>
            </w:pPr>
            <w:r>
              <w:rPr>
                <w:rFonts w:ascii="Arial" w:hAnsi="Arial" w:cs="Arial"/>
                <w:i/>
                <w:sz w:val="24"/>
                <w:szCs w:val="24"/>
                <w:lang w:val="en-US"/>
              </w:rPr>
              <w:tab/>
              <w:t xml:space="preserve">‘(7) If a cause or matter referred to in </w:t>
            </w:r>
            <w:proofErr w:type="spellStart"/>
            <w:r>
              <w:rPr>
                <w:rFonts w:ascii="Arial" w:hAnsi="Arial" w:cs="Arial"/>
                <w:i/>
                <w:sz w:val="24"/>
                <w:szCs w:val="24"/>
                <w:lang w:val="en-US"/>
              </w:rPr>
              <w:t>subrule</w:t>
            </w:r>
            <w:proofErr w:type="spellEnd"/>
            <w:r>
              <w:rPr>
                <w:rFonts w:ascii="Arial" w:hAnsi="Arial" w:cs="Arial"/>
                <w:i/>
                <w:sz w:val="24"/>
                <w:szCs w:val="24"/>
                <w:lang w:val="en-US"/>
              </w:rPr>
              <w:t xml:space="preserve"> (6) involves an action for damages the </w:t>
            </w:r>
            <w:r>
              <w:rPr>
                <w:rFonts w:ascii="Arial" w:hAnsi="Arial" w:cs="Arial"/>
                <w:i/>
                <w:sz w:val="24"/>
                <w:szCs w:val="24"/>
                <w:lang w:val="en-US"/>
              </w:rPr>
              <w:tab/>
              <w:t xml:space="preserve">court may on application of a party order that question of liability and the amount of </w:t>
            </w:r>
            <w:r>
              <w:rPr>
                <w:rFonts w:ascii="Arial" w:hAnsi="Arial" w:cs="Arial"/>
                <w:i/>
                <w:sz w:val="24"/>
                <w:szCs w:val="24"/>
                <w:lang w:val="en-US"/>
              </w:rPr>
              <w:tab/>
              <w:t xml:space="preserve">damages be decided separately, unless it appears to the court that the questions </w:t>
            </w:r>
            <w:r>
              <w:rPr>
                <w:rFonts w:ascii="Arial" w:hAnsi="Arial" w:cs="Arial"/>
                <w:i/>
                <w:sz w:val="24"/>
                <w:szCs w:val="24"/>
                <w:lang w:val="en-US"/>
              </w:rPr>
              <w:tab/>
              <w:t>cannot conveniently be so decided.’</w:t>
            </w:r>
          </w:p>
          <w:p w:rsidR="00CA7CCA" w:rsidRDefault="00CA7CCA" w:rsidP="00774D16">
            <w:pPr>
              <w:tabs>
                <w:tab w:val="left" w:pos="927"/>
              </w:tabs>
              <w:spacing w:line="360" w:lineRule="auto"/>
              <w:jc w:val="both"/>
              <w:rPr>
                <w:rFonts w:ascii="Arial" w:hAnsi="Arial" w:cs="Arial"/>
                <w:i/>
                <w:sz w:val="24"/>
                <w:szCs w:val="24"/>
                <w:lang w:val="en-US"/>
              </w:rPr>
            </w:pPr>
          </w:p>
          <w:p w:rsidR="00CA7CCA" w:rsidRDefault="00CA7CCA"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Rule 63(6) and (7) grant the court discretion to make an order separating the questions where an application is brought, unless the court is of the view that the questions cannot be conveniently decided separately.  An applicant for separation of the questions must satisfy the court the order should be granted.</w:t>
            </w:r>
            <w:r>
              <w:rPr>
                <w:rStyle w:val="FootnoteReference"/>
                <w:rFonts w:ascii="Arial" w:hAnsi="Arial" w:cs="Arial"/>
                <w:sz w:val="24"/>
                <w:szCs w:val="24"/>
                <w:lang w:val="en-US"/>
              </w:rPr>
              <w:footnoteReference w:id="2"/>
            </w:r>
          </w:p>
          <w:p w:rsidR="00A7508B" w:rsidRDefault="00A7508B" w:rsidP="00774D16">
            <w:pPr>
              <w:tabs>
                <w:tab w:val="left" w:pos="927"/>
              </w:tabs>
              <w:spacing w:line="360" w:lineRule="auto"/>
              <w:jc w:val="both"/>
              <w:rPr>
                <w:rFonts w:ascii="Arial" w:hAnsi="Arial" w:cs="Arial"/>
                <w:sz w:val="24"/>
                <w:szCs w:val="24"/>
                <w:lang w:val="en-US"/>
              </w:rPr>
            </w:pPr>
          </w:p>
          <w:p w:rsidR="00A7508B" w:rsidRDefault="00A7508B"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t xml:space="preserve">The </w:t>
            </w:r>
            <w:proofErr w:type="spellStart"/>
            <w:r>
              <w:rPr>
                <w:rFonts w:ascii="Arial" w:hAnsi="Arial" w:cs="Arial"/>
                <w:sz w:val="24"/>
                <w:szCs w:val="24"/>
                <w:lang w:val="en-US"/>
              </w:rPr>
              <w:t>Honourable</w:t>
            </w:r>
            <w:proofErr w:type="spellEnd"/>
            <w:r>
              <w:rPr>
                <w:rFonts w:ascii="Arial" w:hAnsi="Arial" w:cs="Arial"/>
                <w:sz w:val="24"/>
                <w:szCs w:val="24"/>
                <w:lang w:val="en-US"/>
              </w:rPr>
              <w:t xml:space="preserve"> Petrus T </w:t>
            </w:r>
            <w:proofErr w:type="spellStart"/>
            <w:r>
              <w:rPr>
                <w:rFonts w:ascii="Arial" w:hAnsi="Arial" w:cs="Arial"/>
                <w:sz w:val="24"/>
                <w:szCs w:val="24"/>
                <w:lang w:val="en-US"/>
              </w:rPr>
              <w:t>Damaseb</w:t>
            </w:r>
            <w:proofErr w:type="spellEnd"/>
            <w:r>
              <w:rPr>
                <w:rFonts w:ascii="Arial" w:hAnsi="Arial" w:cs="Arial"/>
                <w:sz w:val="24"/>
                <w:szCs w:val="24"/>
                <w:lang w:val="en-US"/>
              </w:rPr>
              <w:t xml:space="preserve"> state</w:t>
            </w:r>
            <w:r w:rsidR="00A31F74">
              <w:rPr>
                <w:rFonts w:ascii="Arial" w:hAnsi="Arial" w:cs="Arial"/>
                <w:sz w:val="24"/>
                <w:szCs w:val="24"/>
                <w:lang w:val="en-US"/>
              </w:rPr>
              <w:t>s</w:t>
            </w:r>
            <w:r>
              <w:rPr>
                <w:rFonts w:ascii="Arial" w:hAnsi="Arial" w:cs="Arial"/>
                <w:sz w:val="24"/>
                <w:szCs w:val="24"/>
                <w:lang w:val="en-US"/>
              </w:rPr>
              <w:t xml:space="preserve"> the following on the subject:</w:t>
            </w:r>
          </w:p>
          <w:p w:rsidR="00A7508B" w:rsidRPr="00A7508B" w:rsidRDefault="00A7508B" w:rsidP="00774D16">
            <w:pPr>
              <w:tabs>
                <w:tab w:val="left" w:pos="927"/>
              </w:tabs>
              <w:spacing w:line="360" w:lineRule="auto"/>
              <w:jc w:val="both"/>
              <w:rPr>
                <w:rFonts w:ascii="Arial" w:hAnsi="Arial" w:cs="Arial"/>
                <w:i/>
                <w:sz w:val="24"/>
                <w:szCs w:val="24"/>
                <w:lang w:val="en-US"/>
              </w:rPr>
            </w:pPr>
            <w:r>
              <w:rPr>
                <w:rFonts w:ascii="Arial" w:hAnsi="Arial" w:cs="Arial"/>
                <w:sz w:val="24"/>
                <w:szCs w:val="24"/>
                <w:lang w:val="en-US"/>
              </w:rPr>
              <w:tab/>
              <w:t>‘</w:t>
            </w:r>
            <w:r w:rsidR="00A31F74">
              <w:rPr>
                <w:rFonts w:ascii="Arial" w:hAnsi="Arial" w:cs="Arial"/>
                <w:i/>
                <w:sz w:val="24"/>
                <w:szCs w:val="24"/>
                <w:lang w:val="en-US"/>
              </w:rPr>
              <w:t>It</w:t>
            </w:r>
            <w:r>
              <w:rPr>
                <w:rFonts w:ascii="Arial" w:hAnsi="Arial" w:cs="Arial"/>
                <w:i/>
                <w:sz w:val="24"/>
                <w:szCs w:val="24"/>
                <w:lang w:val="en-US"/>
              </w:rPr>
              <w:t xml:space="preserve"> often happens in practice that the parties ask the court to separate merits from </w:t>
            </w:r>
            <w:r w:rsidR="008D04F2">
              <w:rPr>
                <w:rFonts w:ascii="Arial" w:hAnsi="Arial" w:cs="Arial"/>
                <w:i/>
                <w:sz w:val="24"/>
                <w:szCs w:val="24"/>
                <w:lang w:val="en-US"/>
              </w:rPr>
              <w:tab/>
            </w:r>
            <w:r>
              <w:rPr>
                <w:rFonts w:ascii="Arial" w:hAnsi="Arial" w:cs="Arial"/>
                <w:i/>
                <w:sz w:val="24"/>
                <w:szCs w:val="24"/>
                <w:lang w:val="en-US"/>
              </w:rPr>
              <w:t xml:space="preserve">quantum while quantum has not been agreed.  This approach is to be discouraged, </w:t>
            </w:r>
            <w:r w:rsidR="008D04F2">
              <w:rPr>
                <w:rFonts w:ascii="Arial" w:hAnsi="Arial" w:cs="Arial"/>
                <w:i/>
                <w:sz w:val="24"/>
                <w:szCs w:val="24"/>
                <w:lang w:val="en-US"/>
              </w:rPr>
              <w:tab/>
            </w:r>
            <w:r>
              <w:rPr>
                <w:rFonts w:ascii="Arial" w:hAnsi="Arial" w:cs="Arial"/>
                <w:i/>
                <w:sz w:val="24"/>
                <w:szCs w:val="24"/>
                <w:lang w:val="en-US"/>
              </w:rPr>
              <w:t xml:space="preserve">as it unduly prolongs proceedings and drives up costs considering that the party </w:t>
            </w:r>
            <w:r w:rsidR="008D04F2">
              <w:rPr>
                <w:rFonts w:ascii="Arial" w:hAnsi="Arial" w:cs="Arial"/>
                <w:i/>
                <w:sz w:val="24"/>
                <w:szCs w:val="24"/>
                <w:lang w:val="en-US"/>
              </w:rPr>
              <w:tab/>
            </w:r>
            <w:r>
              <w:rPr>
                <w:rFonts w:ascii="Arial" w:hAnsi="Arial" w:cs="Arial"/>
                <w:i/>
                <w:sz w:val="24"/>
                <w:szCs w:val="24"/>
                <w:lang w:val="en-US"/>
              </w:rPr>
              <w:t xml:space="preserve">aggrieved by the decision on the merits may appeal against it.  In that situation, the </w:t>
            </w:r>
            <w:r w:rsidR="008D04F2">
              <w:rPr>
                <w:rFonts w:ascii="Arial" w:hAnsi="Arial" w:cs="Arial"/>
                <w:i/>
                <w:sz w:val="24"/>
                <w:szCs w:val="24"/>
                <w:lang w:val="en-US"/>
              </w:rPr>
              <w:tab/>
            </w:r>
            <w:r>
              <w:rPr>
                <w:rFonts w:ascii="Arial" w:hAnsi="Arial" w:cs="Arial"/>
                <w:i/>
                <w:sz w:val="24"/>
                <w:szCs w:val="24"/>
                <w:lang w:val="en-US"/>
              </w:rPr>
              <w:t xml:space="preserve">parties must await the outcome of the appeal, after which only the quantum may be </w:t>
            </w:r>
            <w:r w:rsidR="008D04F2">
              <w:rPr>
                <w:rFonts w:ascii="Arial" w:hAnsi="Arial" w:cs="Arial"/>
                <w:i/>
                <w:sz w:val="24"/>
                <w:szCs w:val="24"/>
                <w:lang w:val="en-US"/>
              </w:rPr>
              <w:tab/>
            </w:r>
            <w:r>
              <w:rPr>
                <w:rFonts w:ascii="Arial" w:hAnsi="Arial" w:cs="Arial"/>
                <w:i/>
                <w:sz w:val="24"/>
                <w:szCs w:val="24"/>
                <w:lang w:val="en-US"/>
              </w:rPr>
              <w:t xml:space="preserve">adjudicated.  Managing judges must be loath to allow the separation of quantum from </w:t>
            </w:r>
            <w:r w:rsidR="008D04F2">
              <w:rPr>
                <w:rFonts w:ascii="Arial" w:hAnsi="Arial" w:cs="Arial"/>
                <w:i/>
                <w:sz w:val="24"/>
                <w:szCs w:val="24"/>
                <w:lang w:val="en-US"/>
              </w:rPr>
              <w:tab/>
            </w:r>
            <w:r>
              <w:rPr>
                <w:rFonts w:ascii="Arial" w:hAnsi="Arial" w:cs="Arial"/>
                <w:i/>
                <w:sz w:val="24"/>
                <w:szCs w:val="24"/>
                <w:lang w:val="en-US"/>
              </w:rPr>
              <w:t xml:space="preserve">the merits unless the parties are agreed on the question of quantum.  A contrary </w:t>
            </w:r>
            <w:r w:rsidR="008D04F2">
              <w:rPr>
                <w:rFonts w:ascii="Arial" w:hAnsi="Arial" w:cs="Arial"/>
                <w:i/>
                <w:sz w:val="24"/>
                <w:szCs w:val="24"/>
                <w:lang w:val="en-US"/>
              </w:rPr>
              <w:tab/>
            </w:r>
            <w:r>
              <w:rPr>
                <w:rFonts w:ascii="Arial" w:hAnsi="Arial" w:cs="Arial"/>
                <w:i/>
                <w:sz w:val="24"/>
                <w:szCs w:val="24"/>
                <w:lang w:val="en-US"/>
              </w:rPr>
              <w:t>approach seriously undermines</w:t>
            </w:r>
            <w:r w:rsidR="004415DD">
              <w:rPr>
                <w:rFonts w:ascii="Arial" w:hAnsi="Arial" w:cs="Arial"/>
                <w:i/>
                <w:sz w:val="24"/>
                <w:szCs w:val="24"/>
                <w:lang w:val="en-US"/>
              </w:rPr>
              <w:t xml:space="preserve"> the overriding objective of an expeditious disposal of </w:t>
            </w:r>
            <w:r w:rsidR="008D04F2">
              <w:rPr>
                <w:rFonts w:ascii="Arial" w:hAnsi="Arial" w:cs="Arial"/>
                <w:i/>
                <w:sz w:val="24"/>
                <w:szCs w:val="24"/>
                <w:lang w:val="en-US"/>
              </w:rPr>
              <w:tab/>
            </w:r>
            <w:r w:rsidR="00C71D7C">
              <w:rPr>
                <w:rFonts w:ascii="Arial" w:hAnsi="Arial" w:cs="Arial"/>
                <w:i/>
                <w:sz w:val="24"/>
                <w:szCs w:val="24"/>
                <w:lang w:val="en-US"/>
              </w:rPr>
              <w:t xml:space="preserve"> </w:t>
            </w:r>
            <w:r w:rsidR="004415DD">
              <w:rPr>
                <w:rFonts w:ascii="Arial" w:hAnsi="Arial" w:cs="Arial"/>
                <w:i/>
                <w:sz w:val="24"/>
                <w:szCs w:val="24"/>
                <w:lang w:val="en-US"/>
              </w:rPr>
              <w:t>a matter.’</w:t>
            </w:r>
            <w:r w:rsidR="004415DD">
              <w:rPr>
                <w:rStyle w:val="FootnoteReference"/>
                <w:rFonts w:ascii="Arial" w:hAnsi="Arial" w:cs="Arial"/>
                <w:i/>
                <w:sz w:val="24"/>
                <w:szCs w:val="24"/>
                <w:lang w:val="en-US"/>
              </w:rPr>
              <w:footnoteReference w:id="3"/>
            </w:r>
          </w:p>
          <w:p w:rsidR="00CA7CCA" w:rsidRDefault="00CA7CCA" w:rsidP="00774D16">
            <w:pPr>
              <w:tabs>
                <w:tab w:val="left" w:pos="927"/>
              </w:tabs>
              <w:spacing w:line="360" w:lineRule="auto"/>
              <w:jc w:val="both"/>
              <w:rPr>
                <w:rFonts w:ascii="Arial" w:hAnsi="Arial" w:cs="Arial"/>
                <w:sz w:val="24"/>
                <w:szCs w:val="24"/>
                <w:lang w:val="en-US"/>
              </w:rPr>
            </w:pPr>
          </w:p>
          <w:p w:rsidR="00CA7CCA" w:rsidRDefault="00041D10"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[25</w:t>
            </w:r>
            <w:r w:rsidR="00CA7CCA">
              <w:rPr>
                <w:rFonts w:ascii="Arial" w:hAnsi="Arial" w:cs="Arial"/>
                <w:sz w:val="24"/>
                <w:szCs w:val="24"/>
                <w:lang w:val="en-US"/>
              </w:rPr>
              <w:t>]</w:t>
            </w:r>
            <w:r w:rsidR="00CA7CCA">
              <w:rPr>
                <w:rFonts w:ascii="Arial" w:hAnsi="Arial" w:cs="Arial"/>
                <w:sz w:val="24"/>
                <w:szCs w:val="24"/>
                <w:lang w:val="en-US"/>
              </w:rPr>
              <w:tab/>
              <w:t>It is ordinarily desir</w:t>
            </w:r>
            <w:r w:rsidR="00E64274">
              <w:rPr>
                <w:rFonts w:ascii="Arial" w:hAnsi="Arial" w:cs="Arial"/>
                <w:sz w:val="24"/>
                <w:szCs w:val="24"/>
                <w:lang w:val="en-US"/>
              </w:rPr>
              <w:t>able in the interests of expedi</w:t>
            </w:r>
            <w:r w:rsidR="00CA7CCA">
              <w:rPr>
                <w:rFonts w:ascii="Arial" w:hAnsi="Arial" w:cs="Arial"/>
                <w:sz w:val="24"/>
                <w:szCs w:val="24"/>
                <w:lang w:val="en-US"/>
              </w:rPr>
              <w:t>tion and finality of li</w:t>
            </w:r>
            <w:r>
              <w:rPr>
                <w:rFonts w:ascii="Arial" w:hAnsi="Arial" w:cs="Arial"/>
                <w:sz w:val="24"/>
                <w:szCs w:val="24"/>
                <w:lang w:val="en-US"/>
              </w:rPr>
              <w:t>ti</w:t>
            </w:r>
            <w:r w:rsidR="00CA7CCA">
              <w:rPr>
                <w:rFonts w:ascii="Arial" w:hAnsi="Arial" w:cs="Arial"/>
                <w:sz w:val="24"/>
                <w:szCs w:val="24"/>
                <w:lang w:val="en-US"/>
              </w:rPr>
              <w:t>gation to have one hearing only at which all the issues are canvassed so that the court at the conclusion of the case may dispose of the entire matter.</w:t>
            </w:r>
            <w:r w:rsidR="00CA7CCA">
              <w:rPr>
                <w:rStyle w:val="FootnoteReference"/>
                <w:rFonts w:ascii="Arial" w:hAnsi="Arial" w:cs="Arial"/>
                <w:sz w:val="24"/>
                <w:szCs w:val="24"/>
                <w:lang w:val="en-US"/>
              </w:rPr>
              <w:footnoteReference w:id="4"/>
            </w:r>
            <w:r w:rsidR="00CA7CCA">
              <w:rPr>
                <w:rFonts w:ascii="Arial" w:hAnsi="Arial" w:cs="Arial"/>
                <w:sz w:val="24"/>
                <w:szCs w:val="24"/>
                <w:lang w:val="en-US"/>
              </w:rPr>
              <w:t xml:space="preserve">  In some instances the interests of the parties and the ends of justice are better served by disposing of a particular issue or issues before</w:t>
            </w:r>
            <w:r w:rsidR="00E64274">
              <w:rPr>
                <w:rFonts w:ascii="Arial" w:hAnsi="Arial" w:cs="Arial"/>
                <w:sz w:val="24"/>
                <w:szCs w:val="24"/>
                <w:lang w:val="en-US"/>
              </w:rPr>
              <w:t xml:space="preserve"> considering other issues which, depending on the result of the issue </w:t>
            </w:r>
            <w:r w:rsidR="00CA7CCA">
              <w:rPr>
                <w:rFonts w:ascii="Arial" w:hAnsi="Arial" w:cs="Arial"/>
                <w:sz w:val="24"/>
                <w:szCs w:val="24"/>
                <w:lang w:val="en-US"/>
              </w:rPr>
              <w:t>singled out, may fall away.</w:t>
            </w:r>
            <w:r w:rsidR="00CA7CCA">
              <w:rPr>
                <w:rStyle w:val="FootnoteReference"/>
                <w:rFonts w:ascii="Arial" w:hAnsi="Arial" w:cs="Arial"/>
                <w:sz w:val="24"/>
                <w:szCs w:val="24"/>
                <w:lang w:val="en-US"/>
              </w:rPr>
              <w:footnoteReference w:id="5"/>
            </w:r>
          </w:p>
          <w:p w:rsidR="00CA7CCA" w:rsidRDefault="00CA7CCA" w:rsidP="00774D16">
            <w:pPr>
              <w:tabs>
                <w:tab w:val="left" w:pos="927"/>
              </w:tabs>
              <w:spacing w:line="360" w:lineRule="auto"/>
              <w:jc w:val="both"/>
              <w:rPr>
                <w:rFonts w:ascii="Arial" w:hAnsi="Arial" w:cs="Arial"/>
                <w:sz w:val="24"/>
                <w:szCs w:val="24"/>
                <w:lang w:val="en-US"/>
              </w:rPr>
            </w:pPr>
          </w:p>
          <w:p w:rsidR="00CA7CCA" w:rsidRDefault="00041D10"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[26</w:t>
            </w:r>
            <w:r w:rsidR="002B18B4">
              <w:rPr>
                <w:rFonts w:ascii="Arial" w:hAnsi="Arial" w:cs="Arial"/>
                <w:sz w:val="24"/>
                <w:szCs w:val="24"/>
                <w:lang w:val="en-US"/>
              </w:rPr>
              <w:t>]</w:t>
            </w:r>
            <w:r w:rsidR="002B18B4">
              <w:rPr>
                <w:rFonts w:ascii="Arial" w:hAnsi="Arial" w:cs="Arial"/>
                <w:sz w:val="24"/>
                <w:szCs w:val="24"/>
                <w:lang w:val="en-US"/>
              </w:rPr>
              <w:tab/>
              <w:t>Piecemeal litigation</w:t>
            </w:r>
            <w:r w:rsidR="00CA7CCA">
              <w:rPr>
                <w:rFonts w:ascii="Arial" w:hAnsi="Arial" w:cs="Arial"/>
                <w:sz w:val="24"/>
                <w:szCs w:val="24"/>
                <w:lang w:val="en-US"/>
              </w:rPr>
              <w:t xml:space="preserve"> is not encouraged.</w:t>
            </w:r>
            <w:r w:rsidR="00CA7CCA">
              <w:rPr>
                <w:rStyle w:val="FootnoteReference"/>
                <w:rFonts w:ascii="Arial" w:hAnsi="Arial" w:cs="Arial"/>
                <w:sz w:val="24"/>
                <w:szCs w:val="24"/>
                <w:lang w:val="en-US"/>
              </w:rPr>
              <w:footnoteReference w:id="6"/>
            </w:r>
          </w:p>
          <w:p w:rsidR="00CA7CCA" w:rsidRDefault="00CA7CCA" w:rsidP="00774D16">
            <w:pPr>
              <w:tabs>
                <w:tab w:val="left" w:pos="927"/>
              </w:tabs>
              <w:spacing w:line="360" w:lineRule="auto"/>
              <w:jc w:val="both"/>
              <w:rPr>
                <w:rFonts w:ascii="Arial" w:hAnsi="Arial" w:cs="Arial"/>
                <w:sz w:val="24"/>
                <w:szCs w:val="24"/>
                <w:lang w:val="en-US"/>
              </w:rPr>
            </w:pPr>
          </w:p>
          <w:p w:rsidR="00CA7CCA" w:rsidRPr="00CA7CCA" w:rsidRDefault="00CA7CCA" w:rsidP="00774D16">
            <w:pPr>
              <w:tabs>
                <w:tab w:val="left" w:pos="927"/>
              </w:tabs>
              <w:spacing w:line="360" w:lineRule="auto"/>
              <w:jc w:val="both"/>
              <w:rPr>
                <w:rFonts w:ascii="Arial" w:hAnsi="Arial" w:cs="Arial"/>
                <w:sz w:val="24"/>
                <w:szCs w:val="24"/>
                <w:u w:val="single"/>
                <w:lang w:val="en-US"/>
              </w:rPr>
            </w:pPr>
            <w:r w:rsidRPr="00CA7CCA">
              <w:rPr>
                <w:rFonts w:ascii="Arial" w:hAnsi="Arial" w:cs="Arial"/>
                <w:sz w:val="24"/>
                <w:szCs w:val="24"/>
                <w:u w:val="single"/>
                <w:lang w:val="en-US"/>
              </w:rPr>
              <w:t>Analysis</w:t>
            </w:r>
          </w:p>
          <w:p w:rsidR="00CA7CCA" w:rsidRDefault="00CA7CCA" w:rsidP="00774D16">
            <w:pPr>
              <w:tabs>
                <w:tab w:val="left" w:pos="927"/>
              </w:tabs>
              <w:spacing w:line="360" w:lineRule="auto"/>
              <w:jc w:val="both"/>
              <w:rPr>
                <w:rFonts w:ascii="Arial" w:hAnsi="Arial" w:cs="Arial"/>
                <w:sz w:val="24"/>
                <w:szCs w:val="24"/>
                <w:lang w:val="en-US"/>
              </w:rPr>
            </w:pPr>
          </w:p>
          <w:p w:rsidR="00CA7CCA" w:rsidRDefault="00543155"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[27</w:t>
            </w:r>
            <w:r w:rsidR="00CA7CCA">
              <w:rPr>
                <w:rFonts w:ascii="Arial" w:hAnsi="Arial" w:cs="Arial"/>
                <w:sz w:val="24"/>
                <w:szCs w:val="24"/>
                <w:lang w:val="en-US"/>
              </w:rPr>
              <w:t>]</w:t>
            </w:r>
            <w:r w:rsidR="00CA7CCA">
              <w:rPr>
                <w:rFonts w:ascii="Arial" w:hAnsi="Arial" w:cs="Arial"/>
                <w:sz w:val="24"/>
                <w:szCs w:val="24"/>
                <w:lang w:val="en-US"/>
              </w:rPr>
              <w:tab/>
              <w:t xml:space="preserve">In regard to the preliminary point raised by the plaintiff, the parties did file separate draft orders on 19 February 2020 for consideration of the court.  Both parties proposed compliance with </w:t>
            </w:r>
            <w:r w:rsidR="00CA7CCA" w:rsidRPr="00CA7CCA">
              <w:rPr>
                <w:rFonts w:ascii="Arial" w:hAnsi="Arial" w:cs="Arial"/>
                <w:i/>
                <w:sz w:val="24"/>
                <w:szCs w:val="24"/>
                <w:lang w:val="en-US"/>
              </w:rPr>
              <w:t>rule 32(9)</w:t>
            </w:r>
            <w:r w:rsidR="00CA7CCA">
              <w:rPr>
                <w:rFonts w:ascii="Arial" w:hAnsi="Arial" w:cs="Arial"/>
                <w:sz w:val="24"/>
                <w:szCs w:val="24"/>
                <w:lang w:val="en-US"/>
              </w:rPr>
              <w:t xml:space="preserve"> </w:t>
            </w:r>
            <w:r w:rsidR="00061E98">
              <w:rPr>
                <w:rFonts w:ascii="Arial" w:hAnsi="Arial" w:cs="Arial"/>
                <w:sz w:val="24"/>
                <w:szCs w:val="24"/>
                <w:lang w:val="en-US"/>
              </w:rPr>
              <w:t>by way of exchange of letter</w:t>
            </w:r>
            <w:r w:rsidR="00C905F0">
              <w:rPr>
                <w:rFonts w:ascii="Arial" w:hAnsi="Arial" w:cs="Arial"/>
                <w:sz w:val="24"/>
                <w:szCs w:val="24"/>
                <w:lang w:val="en-US"/>
              </w:rPr>
              <w:t>s</w:t>
            </w:r>
            <w:r w:rsidR="00061E98">
              <w:rPr>
                <w:rFonts w:ascii="Arial" w:hAnsi="Arial" w:cs="Arial"/>
                <w:sz w:val="24"/>
                <w:szCs w:val="24"/>
                <w:lang w:val="en-US"/>
              </w:rPr>
              <w:t xml:space="preserve">.  This proposal was adopted and made an order of court.  In compliance with the order, the parties exchanged the letters.  The parties did not reach amicable resolution of the dispute through the exchange of their letters.  I do not find substance in the contention by the plaintiff that </w:t>
            </w:r>
            <w:r w:rsidR="00061E98" w:rsidRPr="00061E98">
              <w:rPr>
                <w:rFonts w:ascii="Arial" w:hAnsi="Arial" w:cs="Arial"/>
                <w:i/>
                <w:sz w:val="24"/>
                <w:szCs w:val="24"/>
                <w:lang w:val="en-US"/>
              </w:rPr>
              <w:t>rule 32(9)</w:t>
            </w:r>
            <w:r w:rsidR="00061E98">
              <w:rPr>
                <w:rFonts w:ascii="Arial" w:hAnsi="Arial" w:cs="Arial"/>
                <w:sz w:val="24"/>
                <w:szCs w:val="24"/>
                <w:lang w:val="en-US"/>
              </w:rPr>
              <w:t xml:space="preserve"> was not complied with.  I am of the view that the defendant did comply with the court order dated 20 February 2020 and has complied with the provisions of rule 32(9) and (10).  The plaintiff’s preliminary point, therefore, stands to be dismissed with costs.</w:t>
            </w:r>
          </w:p>
          <w:p w:rsidR="00A432EE" w:rsidRDefault="00A432EE" w:rsidP="00774D16">
            <w:pPr>
              <w:tabs>
                <w:tab w:val="left" w:pos="927"/>
              </w:tabs>
              <w:spacing w:line="360" w:lineRule="auto"/>
              <w:jc w:val="both"/>
              <w:rPr>
                <w:rFonts w:ascii="Arial" w:hAnsi="Arial" w:cs="Arial"/>
                <w:sz w:val="24"/>
                <w:szCs w:val="24"/>
                <w:lang w:val="en-US"/>
              </w:rPr>
            </w:pPr>
          </w:p>
          <w:p w:rsidR="0033346D" w:rsidRDefault="00543155"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[28</w:t>
            </w:r>
            <w:r w:rsidR="00A432EE">
              <w:rPr>
                <w:rFonts w:ascii="Arial" w:hAnsi="Arial" w:cs="Arial"/>
                <w:sz w:val="24"/>
                <w:szCs w:val="24"/>
                <w:lang w:val="en-US"/>
              </w:rPr>
              <w:t>]</w:t>
            </w:r>
            <w:r w:rsidR="00A432EE">
              <w:rPr>
                <w:rFonts w:ascii="Arial" w:hAnsi="Arial" w:cs="Arial"/>
                <w:sz w:val="24"/>
                <w:szCs w:val="24"/>
                <w:lang w:val="en-US"/>
              </w:rPr>
              <w:tab/>
              <w:t>In regard to the application for the separation of the question</w:t>
            </w:r>
            <w:r w:rsidR="00A31F74">
              <w:rPr>
                <w:rFonts w:ascii="Arial" w:hAnsi="Arial" w:cs="Arial"/>
                <w:sz w:val="24"/>
                <w:szCs w:val="24"/>
                <w:lang w:val="en-US"/>
              </w:rPr>
              <w:t>s</w:t>
            </w:r>
            <w:r w:rsidR="00A432EE">
              <w:rPr>
                <w:rFonts w:ascii="Arial" w:hAnsi="Arial" w:cs="Arial"/>
                <w:sz w:val="24"/>
                <w:szCs w:val="24"/>
                <w:lang w:val="en-US"/>
              </w:rPr>
              <w:t xml:space="preserve">, </w:t>
            </w:r>
            <w:r w:rsidR="00702F17">
              <w:rPr>
                <w:rFonts w:ascii="Arial" w:hAnsi="Arial" w:cs="Arial"/>
                <w:sz w:val="24"/>
                <w:szCs w:val="24"/>
                <w:lang w:val="en-US"/>
              </w:rPr>
              <w:t xml:space="preserve">it is common cause that the parties are not agreed on the question of quantum.  Furthermore, </w:t>
            </w:r>
            <w:r w:rsidR="00A432EE">
              <w:rPr>
                <w:rFonts w:ascii="Arial" w:hAnsi="Arial" w:cs="Arial"/>
                <w:sz w:val="24"/>
                <w:szCs w:val="24"/>
                <w:lang w:val="en-US"/>
              </w:rPr>
              <w:t>it is not the defendant’s case that, once the requested separation of issues is granted and</w:t>
            </w:r>
            <w:r w:rsidR="00C905F0">
              <w:rPr>
                <w:rFonts w:ascii="Arial" w:hAnsi="Arial" w:cs="Arial"/>
                <w:sz w:val="24"/>
                <w:szCs w:val="24"/>
                <w:lang w:val="en-US"/>
              </w:rPr>
              <w:t xml:space="preserve"> the</w:t>
            </w:r>
            <w:r w:rsidR="00A432EE">
              <w:rPr>
                <w:rFonts w:ascii="Arial" w:hAnsi="Arial" w:cs="Arial"/>
                <w:sz w:val="24"/>
                <w:szCs w:val="24"/>
                <w:lang w:val="en-US"/>
              </w:rPr>
              <w:t xml:space="preserve"> is</w:t>
            </w:r>
            <w:r w:rsidR="00C905F0">
              <w:rPr>
                <w:rFonts w:ascii="Arial" w:hAnsi="Arial" w:cs="Arial"/>
                <w:sz w:val="24"/>
                <w:szCs w:val="24"/>
                <w:lang w:val="en-US"/>
              </w:rPr>
              <w:t>sue of liability is determined</w:t>
            </w:r>
            <w:r w:rsidR="00A432EE">
              <w:rPr>
                <w:rFonts w:ascii="Arial" w:hAnsi="Arial" w:cs="Arial"/>
                <w:sz w:val="24"/>
                <w:szCs w:val="24"/>
                <w:lang w:val="en-US"/>
              </w:rPr>
              <w:t xml:space="preserve">, the issue of quantum of damages, in the whole case, will become academic or superfluous.  In other words, this is not a case where it may be argued that should </w:t>
            </w:r>
            <w:r w:rsidR="00A432EE">
              <w:rPr>
                <w:rFonts w:ascii="Arial" w:hAnsi="Arial" w:cs="Arial"/>
                <w:sz w:val="24"/>
                <w:szCs w:val="24"/>
                <w:lang w:val="en-US"/>
              </w:rPr>
              <w:lastRenderedPageBreak/>
              <w:t>either of the parties be successful on the issue of liability, the matter is over, obviating the necessity of a further trial on any other issue.</w:t>
            </w:r>
          </w:p>
          <w:p w:rsidR="0033346D" w:rsidRDefault="0033346D" w:rsidP="00774D16">
            <w:pPr>
              <w:tabs>
                <w:tab w:val="left" w:pos="927"/>
              </w:tabs>
              <w:spacing w:line="360" w:lineRule="auto"/>
              <w:jc w:val="both"/>
              <w:rPr>
                <w:rFonts w:ascii="Arial" w:hAnsi="Arial" w:cs="Arial"/>
                <w:sz w:val="24"/>
                <w:szCs w:val="24"/>
                <w:lang w:val="en-US"/>
              </w:rPr>
            </w:pPr>
          </w:p>
          <w:p w:rsidR="0033346D" w:rsidRDefault="00543155"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[29</w:t>
            </w:r>
            <w:r w:rsidR="0033346D">
              <w:rPr>
                <w:rFonts w:ascii="Arial" w:hAnsi="Arial" w:cs="Arial"/>
                <w:sz w:val="24"/>
                <w:szCs w:val="24"/>
                <w:lang w:val="en-US"/>
              </w:rPr>
              <w:t>]</w:t>
            </w:r>
            <w:r w:rsidR="0033346D">
              <w:rPr>
                <w:rFonts w:ascii="Arial" w:hAnsi="Arial" w:cs="Arial"/>
                <w:sz w:val="24"/>
                <w:szCs w:val="24"/>
                <w:lang w:val="en-US"/>
              </w:rPr>
              <w:tab/>
              <w:t>Rather, the defendant contend</w:t>
            </w:r>
            <w:r w:rsidR="00C905F0">
              <w:rPr>
                <w:rFonts w:ascii="Arial" w:hAnsi="Arial" w:cs="Arial"/>
                <w:sz w:val="24"/>
                <w:szCs w:val="24"/>
                <w:lang w:val="en-US"/>
              </w:rPr>
              <w:t>s</w:t>
            </w:r>
            <w:r w:rsidR="0033346D">
              <w:rPr>
                <w:rFonts w:ascii="Arial" w:hAnsi="Arial" w:cs="Arial"/>
                <w:sz w:val="24"/>
                <w:szCs w:val="24"/>
                <w:lang w:val="en-US"/>
              </w:rPr>
              <w:t>, among other things, that once the separation of issues is granted and should the defendant be successful on the issue of liability or its counterclaim</w:t>
            </w:r>
            <w:r w:rsidR="001815D1">
              <w:rPr>
                <w:rFonts w:ascii="Arial" w:hAnsi="Arial" w:cs="Arial"/>
                <w:sz w:val="24"/>
                <w:szCs w:val="24"/>
                <w:lang w:val="en-US"/>
              </w:rPr>
              <w:t>, then</w:t>
            </w:r>
            <w:r w:rsidR="0033346D">
              <w:rPr>
                <w:rFonts w:ascii="Arial" w:hAnsi="Arial" w:cs="Arial"/>
                <w:sz w:val="24"/>
                <w:szCs w:val="24"/>
                <w:lang w:val="en-US"/>
              </w:rPr>
              <w:t xml:space="preserve"> the second phase of the trial will be restricted to proving the quantum of the defendant’s damages.   Put differently, should the plaintiff fail to establish its case on the question of liability, the question of the quantum of the plaintiff’s damages will become superfluous, however, the court would thereafter be required to adjudicate on the quantum of damages incurred by the defendant.</w:t>
            </w:r>
          </w:p>
          <w:p w:rsidR="0033346D" w:rsidRDefault="0033346D" w:rsidP="00774D16">
            <w:pPr>
              <w:tabs>
                <w:tab w:val="left" w:pos="927"/>
              </w:tabs>
              <w:spacing w:line="360" w:lineRule="auto"/>
              <w:jc w:val="both"/>
              <w:rPr>
                <w:rFonts w:ascii="Arial" w:hAnsi="Arial" w:cs="Arial"/>
                <w:sz w:val="24"/>
                <w:szCs w:val="24"/>
                <w:lang w:val="en-US"/>
              </w:rPr>
            </w:pPr>
          </w:p>
          <w:p w:rsidR="0033346D" w:rsidRDefault="0033346D"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w:t>
            </w:r>
            <w:r w:rsidR="00543155">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t>In the circumstances of this case, I do not see how the separation of issues would materially shorten the proceedings, if, in the event of whichever part</w:t>
            </w:r>
            <w:r w:rsidR="00421778">
              <w:rPr>
                <w:rFonts w:ascii="Arial" w:hAnsi="Arial" w:cs="Arial"/>
                <w:sz w:val="24"/>
                <w:szCs w:val="24"/>
                <w:lang w:val="en-US"/>
              </w:rPr>
              <w:t>y</w:t>
            </w:r>
            <w:r>
              <w:rPr>
                <w:rFonts w:ascii="Arial" w:hAnsi="Arial" w:cs="Arial"/>
                <w:sz w:val="24"/>
                <w:szCs w:val="24"/>
                <w:lang w:val="en-US"/>
              </w:rPr>
              <w:t xml:space="preserve"> succeeds on the issue of liability, there would still be a second phase of trial to consider the quantum of damages sustained by the winning party at the first phase.</w:t>
            </w:r>
          </w:p>
          <w:p w:rsidR="0033346D" w:rsidRDefault="0033346D" w:rsidP="00774D16">
            <w:pPr>
              <w:tabs>
                <w:tab w:val="left" w:pos="927"/>
              </w:tabs>
              <w:spacing w:line="360" w:lineRule="auto"/>
              <w:jc w:val="both"/>
              <w:rPr>
                <w:rFonts w:ascii="Arial" w:hAnsi="Arial" w:cs="Arial"/>
                <w:sz w:val="24"/>
                <w:szCs w:val="24"/>
                <w:lang w:val="en-US"/>
              </w:rPr>
            </w:pPr>
          </w:p>
          <w:p w:rsidR="0033346D" w:rsidRDefault="00543155"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[31</w:t>
            </w:r>
            <w:r w:rsidR="0033346D">
              <w:rPr>
                <w:rFonts w:ascii="Arial" w:hAnsi="Arial" w:cs="Arial"/>
                <w:sz w:val="24"/>
                <w:szCs w:val="24"/>
                <w:lang w:val="en-US"/>
              </w:rPr>
              <w:t>]</w:t>
            </w:r>
            <w:r w:rsidR="0033346D">
              <w:rPr>
                <w:rFonts w:ascii="Arial" w:hAnsi="Arial" w:cs="Arial"/>
                <w:sz w:val="24"/>
                <w:szCs w:val="24"/>
                <w:lang w:val="en-US"/>
              </w:rPr>
              <w:tab/>
              <w:t xml:space="preserve">I am </w:t>
            </w:r>
            <w:r w:rsidR="00650592">
              <w:rPr>
                <w:rFonts w:ascii="Arial" w:hAnsi="Arial" w:cs="Arial"/>
                <w:sz w:val="24"/>
                <w:szCs w:val="24"/>
                <w:lang w:val="en-US"/>
              </w:rPr>
              <w:t xml:space="preserve">of the opinion </w:t>
            </w:r>
            <w:r w:rsidR="0033346D">
              <w:rPr>
                <w:rFonts w:ascii="Arial" w:hAnsi="Arial" w:cs="Arial"/>
                <w:sz w:val="24"/>
                <w:szCs w:val="24"/>
                <w:lang w:val="en-US"/>
              </w:rPr>
              <w:t>th</w:t>
            </w:r>
            <w:r w:rsidR="00796233">
              <w:rPr>
                <w:rFonts w:ascii="Arial" w:hAnsi="Arial" w:cs="Arial"/>
                <w:sz w:val="24"/>
                <w:szCs w:val="24"/>
                <w:lang w:val="en-US"/>
              </w:rPr>
              <w:t>at</w:t>
            </w:r>
            <w:r w:rsidR="00650592">
              <w:rPr>
                <w:rFonts w:ascii="Arial" w:hAnsi="Arial" w:cs="Arial"/>
                <w:sz w:val="24"/>
                <w:szCs w:val="24"/>
                <w:lang w:val="en-US"/>
              </w:rPr>
              <w:t>,</w:t>
            </w:r>
            <w:r w:rsidR="00796233">
              <w:rPr>
                <w:rFonts w:ascii="Arial" w:hAnsi="Arial" w:cs="Arial"/>
                <w:sz w:val="24"/>
                <w:szCs w:val="24"/>
                <w:lang w:val="en-US"/>
              </w:rPr>
              <w:t xml:space="preserve"> in this matter</w:t>
            </w:r>
            <w:r w:rsidR="00650592">
              <w:rPr>
                <w:rFonts w:ascii="Arial" w:hAnsi="Arial" w:cs="Arial"/>
                <w:sz w:val="24"/>
                <w:szCs w:val="24"/>
                <w:lang w:val="en-US"/>
              </w:rPr>
              <w:t>,</w:t>
            </w:r>
            <w:r w:rsidR="00796233">
              <w:rPr>
                <w:rFonts w:ascii="Arial" w:hAnsi="Arial" w:cs="Arial"/>
                <w:sz w:val="24"/>
                <w:szCs w:val="24"/>
                <w:lang w:val="en-US"/>
              </w:rPr>
              <w:t xml:space="preserve"> the expeditiou</w:t>
            </w:r>
            <w:r w:rsidR="0033346D">
              <w:rPr>
                <w:rFonts w:ascii="Arial" w:hAnsi="Arial" w:cs="Arial"/>
                <w:sz w:val="24"/>
                <w:szCs w:val="24"/>
                <w:lang w:val="en-US"/>
              </w:rPr>
              <w:t>s dispos</w:t>
            </w:r>
            <w:r w:rsidR="00796233">
              <w:rPr>
                <w:rFonts w:ascii="Arial" w:hAnsi="Arial" w:cs="Arial"/>
                <w:sz w:val="24"/>
                <w:szCs w:val="24"/>
                <w:lang w:val="en-US"/>
              </w:rPr>
              <w:t>al</w:t>
            </w:r>
            <w:r w:rsidR="0033346D">
              <w:rPr>
                <w:rFonts w:ascii="Arial" w:hAnsi="Arial" w:cs="Arial"/>
                <w:sz w:val="24"/>
                <w:szCs w:val="24"/>
                <w:lang w:val="en-US"/>
              </w:rPr>
              <w:t xml:space="preserve"> of litigation would be best served by ventilating all issues at one hearing, rather than by method of piecemeal litigation.</w:t>
            </w:r>
          </w:p>
          <w:p w:rsidR="0033346D" w:rsidRDefault="0033346D" w:rsidP="00774D16">
            <w:pPr>
              <w:tabs>
                <w:tab w:val="left" w:pos="927"/>
              </w:tabs>
              <w:spacing w:line="360" w:lineRule="auto"/>
              <w:jc w:val="both"/>
              <w:rPr>
                <w:rFonts w:ascii="Arial" w:hAnsi="Arial" w:cs="Arial"/>
                <w:sz w:val="24"/>
                <w:szCs w:val="24"/>
                <w:lang w:val="en-US"/>
              </w:rPr>
            </w:pPr>
          </w:p>
          <w:p w:rsidR="00A432EE" w:rsidRDefault="00543155"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[32</w:t>
            </w:r>
            <w:r w:rsidR="0033346D">
              <w:rPr>
                <w:rFonts w:ascii="Arial" w:hAnsi="Arial" w:cs="Arial"/>
                <w:sz w:val="24"/>
                <w:szCs w:val="24"/>
                <w:lang w:val="en-US"/>
              </w:rPr>
              <w:t>]</w:t>
            </w:r>
            <w:r w:rsidR="0033346D">
              <w:rPr>
                <w:rFonts w:ascii="Arial" w:hAnsi="Arial" w:cs="Arial"/>
                <w:sz w:val="24"/>
                <w:szCs w:val="24"/>
                <w:lang w:val="en-US"/>
              </w:rPr>
              <w:tab/>
              <w:t>I am not persuaded that the separation of issues in this matter will materially shorten the proceedings nor that the separation will be convenient.  If granted</w:t>
            </w:r>
            <w:r w:rsidR="00E041A6">
              <w:rPr>
                <w:rFonts w:ascii="Arial" w:hAnsi="Arial" w:cs="Arial"/>
                <w:sz w:val="24"/>
                <w:szCs w:val="24"/>
                <w:lang w:val="en-US"/>
              </w:rPr>
              <w:t>,</w:t>
            </w:r>
            <w:r w:rsidR="0033346D">
              <w:rPr>
                <w:rFonts w:ascii="Arial" w:hAnsi="Arial" w:cs="Arial"/>
                <w:sz w:val="24"/>
                <w:szCs w:val="24"/>
                <w:lang w:val="en-US"/>
              </w:rPr>
              <w:t xml:space="preserve"> the separation of issues will result in two phases of trial, with the first phase for the determination of the question of liability and the second </w:t>
            </w:r>
            <w:r w:rsidR="000F0323">
              <w:rPr>
                <w:rFonts w:ascii="Arial" w:hAnsi="Arial" w:cs="Arial"/>
                <w:sz w:val="24"/>
                <w:szCs w:val="24"/>
                <w:lang w:val="en-US"/>
              </w:rPr>
              <w:t>phase for determining the quantum of damages for the successful party in the first phase.  The aforesaid process amount</w:t>
            </w:r>
            <w:r w:rsidR="00E041A6">
              <w:rPr>
                <w:rFonts w:ascii="Arial" w:hAnsi="Arial" w:cs="Arial"/>
                <w:sz w:val="24"/>
                <w:szCs w:val="24"/>
                <w:lang w:val="en-US"/>
              </w:rPr>
              <w:t>s</w:t>
            </w:r>
            <w:r w:rsidR="000F0323">
              <w:rPr>
                <w:rFonts w:ascii="Arial" w:hAnsi="Arial" w:cs="Arial"/>
                <w:sz w:val="24"/>
                <w:szCs w:val="24"/>
                <w:lang w:val="en-US"/>
              </w:rPr>
              <w:t xml:space="preserve"> to a piecemeal adjudication of the case and would delay bringing the dispute between the parties to a final determination.  For the aforegoing reasons, the defendant’s application for the separation of issues, stands to be dismissed.</w:t>
            </w:r>
            <w:r w:rsidR="00A432EE">
              <w:rPr>
                <w:rFonts w:ascii="Arial" w:hAnsi="Arial" w:cs="Arial"/>
                <w:sz w:val="24"/>
                <w:szCs w:val="24"/>
                <w:lang w:val="en-US"/>
              </w:rPr>
              <w:t xml:space="preserve"> </w:t>
            </w:r>
          </w:p>
          <w:p w:rsidR="00CA7CCA" w:rsidRDefault="00CA7CCA" w:rsidP="00774D16">
            <w:pPr>
              <w:tabs>
                <w:tab w:val="left" w:pos="927"/>
              </w:tabs>
              <w:spacing w:line="360" w:lineRule="auto"/>
              <w:jc w:val="both"/>
              <w:rPr>
                <w:rFonts w:ascii="Arial" w:hAnsi="Arial" w:cs="Arial"/>
                <w:sz w:val="24"/>
                <w:szCs w:val="24"/>
                <w:lang w:val="en-US"/>
              </w:rPr>
            </w:pPr>
          </w:p>
          <w:p w:rsidR="00CA7CCA" w:rsidRDefault="00543155"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[33</w:t>
            </w:r>
            <w:r w:rsidR="00ED46E7">
              <w:rPr>
                <w:rFonts w:ascii="Arial" w:hAnsi="Arial" w:cs="Arial"/>
                <w:sz w:val="24"/>
                <w:szCs w:val="24"/>
                <w:lang w:val="en-US"/>
              </w:rPr>
              <w:t>]</w:t>
            </w:r>
            <w:r w:rsidR="00ED46E7">
              <w:rPr>
                <w:rFonts w:ascii="Arial" w:hAnsi="Arial" w:cs="Arial"/>
                <w:sz w:val="24"/>
                <w:szCs w:val="24"/>
                <w:lang w:val="en-US"/>
              </w:rPr>
              <w:tab/>
              <w:t>The court was addressed at length on the defendant’s pro</w:t>
            </w:r>
            <w:r w:rsidR="000C60D0">
              <w:rPr>
                <w:rFonts w:ascii="Arial" w:hAnsi="Arial" w:cs="Arial"/>
                <w:sz w:val="24"/>
                <w:szCs w:val="24"/>
                <w:lang w:val="en-US"/>
              </w:rPr>
              <w:t xml:space="preserve">spects of success on the question of liability.  The defendant maintained that the plaintiff has little prospects of success </w:t>
            </w:r>
            <w:r w:rsidR="000C60D0">
              <w:rPr>
                <w:rFonts w:ascii="Arial" w:hAnsi="Arial" w:cs="Arial"/>
                <w:sz w:val="24"/>
                <w:szCs w:val="24"/>
                <w:lang w:val="en-US"/>
              </w:rPr>
              <w:lastRenderedPageBreak/>
              <w:t>on the question of liability and</w:t>
            </w:r>
            <w:r w:rsidR="00796233">
              <w:rPr>
                <w:rFonts w:ascii="Arial" w:hAnsi="Arial" w:cs="Arial"/>
                <w:sz w:val="24"/>
                <w:szCs w:val="24"/>
                <w:lang w:val="en-US"/>
              </w:rPr>
              <w:t xml:space="preserve"> that</w:t>
            </w:r>
            <w:r w:rsidR="000C60D0">
              <w:rPr>
                <w:rFonts w:ascii="Arial" w:hAnsi="Arial" w:cs="Arial"/>
                <w:sz w:val="24"/>
                <w:szCs w:val="24"/>
                <w:lang w:val="en-US"/>
              </w:rPr>
              <w:t xml:space="preserve"> this factor should be considered in this application.  I cannot make such a finding in this application since there is dispute of fact on the question of liability of </w:t>
            </w:r>
            <w:r w:rsidR="00796233">
              <w:rPr>
                <w:rFonts w:ascii="Arial" w:hAnsi="Arial" w:cs="Arial"/>
                <w:sz w:val="24"/>
                <w:szCs w:val="24"/>
                <w:lang w:val="en-US"/>
              </w:rPr>
              <w:t>e</w:t>
            </w:r>
            <w:r w:rsidR="000C60D0">
              <w:rPr>
                <w:rFonts w:ascii="Arial" w:hAnsi="Arial" w:cs="Arial"/>
                <w:sz w:val="24"/>
                <w:szCs w:val="24"/>
                <w:lang w:val="en-US"/>
              </w:rPr>
              <w:t>ither party, which can only be determined after oral evidence is heard.</w:t>
            </w:r>
          </w:p>
          <w:p w:rsidR="000C60D0" w:rsidRDefault="000C60D0" w:rsidP="00774D16">
            <w:pPr>
              <w:tabs>
                <w:tab w:val="left" w:pos="927"/>
              </w:tabs>
              <w:spacing w:line="360" w:lineRule="auto"/>
              <w:jc w:val="both"/>
              <w:rPr>
                <w:rFonts w:ascii="Arial" w:hAnsi="Arial" w:cs="Arial"/>
                <w:sz w:val="24"/>
                <w:szCs w:val="24"/>
                <w:lang w:val="en-US"/>
              </w:rPr>
            </w:pPr>
          </w:p>
          <w:p w:rsidR="000C60D0" w:rsidRDefault="00543155"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[34</w:t>
            </w:r>
            <w:r w:rsidR="000C60D0">
              <w:rPr>
                <w:rFonts w:ascii="Arial" w:hAnsi="Arial" w:cs="Arial"/>
                <w:sz w:val="24"/>
                <w:szCs w:val="24"/>
                <w:lang w:val="en-US"/>
              </w:rPr>
              <w:t>]</w:t>
            </w:r>
            <w:r w:rsidR="000C60D0">
              <w:rPr>
                <w:rFonts w:ascii="Arial" w:hAnsi="Arial" w:cs="Arial"/>
                <w:sz w:val="24"/>
                <w:szCs w:val="24"/>
                <w:lang w:val="en-US"/>
              </w:rPr>
              <w:tab/>
              <w:t xml:space="preserve">As far as costs of suit are concerned, both parties have argued that the costs to be granted in this matter be costs including one instructing and two instructed counsel and that the costs be permitted to be in excess of the limit imposed by </w:t>
            </w:r>
            <w:r w:rsidR="000C60D0" w:rsidRPr="000C60D0">
              <w:rPr>
                <w:rFonts w:ascii="Arial" w:hAnsi="Arial" w:cs="Arial"/>
                <w:i/>
                <w:sz w:val="24"/>
                <w:szCs w:val="24"/>
                <w:lang w:val="en-US"/>
              </w:rPr>
              <w:t>rule 32(11)</w:t>
            </w:r>
            <w:r w:rsidR="000C60D0">
              <w:rPr>
                <w:rFonts w:ascii="Arial" w:hAnsi="Arial" w:cs="Arial"/>
                <w:sz w:val="24"/>
                <w:szCs w:val="24"/>
                <w:lang w:val="en-US"/>
              </w:rPr>
              <w:t>.  I believe a costs order in those terms is justifiable in the circumstances of this case and I shall make an order in those terms.</w:t>
            </w:r>
          </w:p>
          <w:p w:rsidR="000C60D0" w:rsidRDefault="000C60D0" w:rsidP="00774D16">
            <w:pPr>
              <w:tabs>
                <w:tab w:val="left" w:pos="927"/>
              </w:tabs>
              <w:spacing w:line="360" w:lineRule="auto"/>
              <w:jc w:val="both"/>
              <w:rPr>
                <w:rFonts w:ascii="Arial" w:hAnsi="Arial" w:cs="Arial"/>
                <w:sz w:val="24"/>
                <w:szCs w:val="24"/>
                <w:lang w:val="en-US"/>
              </w:rPr>
            </w:pPr>
          </w:p>
          <w:p w:rsidR="000C60D0" w:rsidRDefault="00543155" w:rsidP="00774D16">
            <w:pPr>
              <w:tabs>
                <w:tab w:val="left" w:pos="927"/>
              </w:tabs>
              <w:spacing w:line="360" w:lineRule="auto"/>
              <w:jc w:val="both"/>
              <w:rPr>
                <w:rFonts w:ascii="Arial" w:hAnsi="Arial" w:cs="Arial"/>
                <w:sz w:val="24"/>
                <w:szCs w:val="24"/>
                <w:lang w:val="en-US"/>
              </w:rPr>
            </w:pPr>
            <w:r>
              <w:rPr>
                <w:rFonts w:ascii="Arial" w:hAnsi="Arial" w:cs="Arial"/>
                <w:sz w:val="24"/>
                <w:szCs w:val="24"/>
                <w:lang w:val="en-US"/>
              </w:rPr>
              <w:t>[35</w:t>
            </w:r>
            <w:r w:rsidR="000C60D0">
              <w:rPr>
                <w:rFonts w:ascii="Arial" w:hAnsi="Arial" w:cs="Arial"/>
                <w:sz w:val="24"/>
                <w:szCs w:val="24"/>
                <w:lang w:val="en-US"/>
              </w:rPr>
              <w:t>]</w:t>
            </w:r>
            <w:r w:rsidR="000C60D0">
              <w:rPr>
                <w:rFonts w:ascii="Arial" w:hAnsi="Arial" w:cs="Arial"/>
                <w:sz w:val="24"/>
                <w:szCs w:val="24"/>
                <w:lang w:val="en-US"/>
              </w:rPr>
              <w:tab/>
              <w:t>In the result I make the following order:</w:t>
            </w:r>
          </w:p>
          <w:p w:rsidR="00DC760C" w:rsidRDefault="00DC760C" w:rsidP="00DC760C">
            <w:pPr>
              <w:tabs>
                <w:tab w:val="left" w:pos="432"/>
              </w:tabs>
              <w:spacing w:line="360" w:lineRule="auto"/>
              <w:rPr>
                <w:rFonts w:ascii="Arial" w:hAnsi="Arial" w:cs="Arial"/>
                <w:sz w:val="24"/>
                <w:szCs w:val="24"/>
                <w:lang w:val="en-US"/>
              </w:rPr>
            </w:pPr>
            <w:r w:rsidRPr="00774D16">
              <w:rPr>
                <w:rFonts w:ascii="Arial" w:hAnsi="Arial" w:cs="Arial"/>
                <w:sz w:val="24"/>
                <w:szCs w:val="24"/>
                <w:lang w:val="en-US"/>
              </w:rPr>
              <w:t>1.</w:t>
            </w:r>
            <w:r w:rsidRPr="00774D16">
              <w:rPr>
                <w:rFonts w:ascii="Arial" w:hAnsi="Arial" w:cs="Arial"/>
                <w:sz w:val="24"/>
                <w:szCs w:val="24"/>
                <w:lang w:val="en-US"/>
              </w:rPr>
              <w:tab/>
            </w:r>
            <w:r>
              <w:rPr>
                <w:rFonts w:ascii="Arial" w:hAnsi="Arial" w:cs="Arial"/>
                <w:sz w:val="24"/>
                <w:szCs w:val="24"/>
                <w:lang w:val="en-US"/>
              </w:rPr>
              <w:t xml:space="preserve">The plaintiff’s point in </w:t>
            </w:r>
            <w:proofErr w:type="spellStart"/>
            <w:r>
              <w:rPr>
                <w:rFonts w:ascii="Arial" w:hAnsi="Arial" w:cs="Arial"/>
                <w:sz w:val="24"/>
                <w:szCs w:val="24"/>
                <w:lang w:val="en-US"/>
              </w:rPr>
              <w:t>limine</w:t>
            </w:r>
            <w:proofErr w:type="spellEnd"/>
            <w:r>
              <w:rPr>
                <w:rFonts w:ascii="Arial" w:hAnsi="Arial" w:cs="Arial"/>
                <w:sz w:val="24"/>
                <w:szCs w:val="24"/>
                <w:lang w:val="en-US"/>
              </w:rPr>
              <w:t xml:space="preserve"> to the effect that the defendant did not comply with </w:t>
            </w:r>
            <w:r w:rsidRPr="00774D16">
              <w:rPr>
                <w:rFonts w:ascii="Arial" w:hAnsi="Arial" w:cs="Arial"/>
                <w:i/>
                <w:sz w:val="24"/>
                <w:szCs w:val="24"/>
                <w:lang w:val="en-US"/>
              </w:rPr>
              <w:t xml:space="preserve">rule 32 (9) </w:t>
            </w:r>
            <w:r>
              <w:rPr>
                <w:rFonts w:ascii="Arial" w:hAnsi="Arial" w:cs="Arial"/>
                <w:sz w:val="24"/>
                <w:szCs w:val="24"/>
                <w:lang w:val="en-US"/>
              </w:rPr>
              <w:t>is dismissed with costs and such costs include costs of one instructing and two instructed counsel.  Such costs are not to be limited by the provisions of rule 32(11).</w:t>
            </w:r>
          </w:p>
          <w:p w:rsidR="00DC760C" w:rsidRDefault="00DC760C" w:rsidP="00420198">
            <w:pPr>
              <w:tabs>
                <w:tab w:val="left" w:pos="432"/>
              </w:tabs>
              <w:rPr>
                <w:rFonts w:ascii="Arial" w:hAnsi="Arial" w:cs="Arial"/>
                <w:sz w:val="24"/>
                <w:szCs w:val="24"/>
                <w:lang w:val="en-US"/>
              </w:rPr>
            </w:pPr>
          </w:p>
          <w:p w:rsidR="00DC760C" w:rsidRDefault="00DC760C" w:rsidP="00DC760C">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defendant’s application for the separation of issues in terms of </w:t>
            </w:r>
            <w:r w:rsidRPr="00774D16">
              <w:rPr>
                <w:rFonts w:ascii="Arial" w:hAnsi="Arial" w:cs="Arial"/>
                <w:i/>
                <w:sz w:val="24"/>
                <w:szCs w:val="24"/>
                <w:lang w:val="en-US"/>
              </w:rPr>
              <w:t>rule 63(6)</w:t>
            </w:r>
            <w:r>
              <w:rPr>
                <w:rFonts w:ascii="Arial" w:hAnsi="Arial" w:cs="Arial"/>
                <w:sz w:val="24"/>
                <w:szCs w:val="24"/>
                <w:lang w:val="en-US"/>
              </w:rPr>
              <w:t xml:space="preserve"> and </w:t>
            </w:r>
            <w:r w:rsidRPr="00774D16">
              <w:rPr>
                <w:rFonts w:ascii="Arial" w:hAnsi="Arial" w:cs="Arial"/>
                <w:i/>
                <w:sz w:val="24"/>
                <w:szCs w:val="24"/>
                <w:lang w:val="en-US"/>
              </w:rPr>
              <w:t>(7)</w:t>
            </w:r>
            <w:r>
              <w:rPr>
                <w:rFonts w:ascii="Arial" w:hAnsi="Arial" w:cs="Arial"/>
                <w:sz w:val="24"/>
                <w:szCs w:val="24"/>
                <w:lang w:val="en-US"/>
              </w:rPr>
              <w:t xml:space="preserve"> is dismissed.</w:t>
            </w:r>
          </w:p>
          <w:p w:rsidR="00DC760C" w:rsidRDefault="00DC760C" w:rsidP="00DC760C">
            <w:pPr>
              <w:tabs>
                <w:tab w:val="left" w:pos="432"/>
              </w:tabs>
              <w:spacing w:line="360" w:lineRule="auto"/>
              <w:rPr>
                <w:rFonts w:ascii="Arial" w:hAnsi="Arial" w:cs="Arial"/>
                <w:sz w:val="24"/>
                <w:szCs w:val="24"/>
                <w:lang w:val="en-US"/>
              </w:rPr>
            </w:pPr>
          </w:p>
          <w:p w:rsidR="00DC760C" w:rsidRDefault="00DC760C" w:rsidP="00DC760C">
            <w:pPr>
              <w:tabs>
                <w:tab w:val="left" w:pos="432"/>
              </w:tabs>
              <w:spacing w:line="360" w:lineRule="auto"/>
              <w:rPr>
                <w:rFonts w:ascii="Arial" w:hAnsi="Arial" w:cs="Arial"/>
                <w:i/>
                <w:sz w:val="24"/>
                <w:szCs w:val="24"/>
                <w:lang w:val="en-US"/>
              </w:rPr>
            </w:pPr>
            <w:r>
              <w:rPr>
                <w:rFonts w:ascii="Arial" w:hAnsi="Arial" w:cs="Arial"/>
                <w:sz w:val="24"/>
                <w:szCs w:val="24"/>
                <w:lang w:val="en-US"/>
              </w:rPr>
              <w:t>3.</w:t>
            </w:r>
            <w:r>
              <w:rPr>
                <w:rFonts w:ascii="Arial" w:hAnsi="Arial" w:cs="Arial"/>
                <w:sz w:val="24"/>
                <w:szCs w:val="24"/>
                <w:lang w:val="en-US"/>
              </w:rPr>
              <w:tab/>
              <w:t xml:space="preserve">The defendant is ordered to pay the plaintiff’s costs occasioned by opposition to the application.  It is ordered that such costs include costs of one instructing and two instructed counsel.  It is further ordered that costs herein shall not be limited by the provisions of </w:t>
            </w:r>
            <w:r w:rsidRPr="00195346">
              <w:rPr>
                <w:rFonts w:ascii="Arial" w:hAnsi="Arial" w:cs="Arial"/>
                <w:i/>
                <w:sz w:val="24"/>
                <w:szCs w:val="24"/>
                <w:lang w:val="en-US"/>
              </w:rPr>
              <w:t>rule 32(11).</w:t>
            </w:r>
          </w:p>
          <w:p w:rsidR="00DC760C" w:rsidRDefault="00DC760C" w:rsidP="00420198">
            <w:pPr>
              <w:tabs>
                <w:tab w:val="left" w:pos="432"/>
              </w:tabs>
              <w:rPr>
                <w:rFonts w:ascii="Arial" w:hAnsi="Arial" w:cs="Arial"/>
                <w:i/>
                <w:sz w:val="24"/>
                <w:szCs w:val="24"/>
                <w:lang w:val="en-US"/>
              </w:rPr>
            </w:pPr>
          </w:p>
          <w:p w:rsidR="00DC760C" w:rsidRDefault="00DC760C" w:rsidP="00DC760C">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matter is postponed to 21 October 2020 at 15:15 for status hearing alternatively Pre-Trial Conference.</w:t>
            </w:r>
          </w:p>
          <w:p w:rsidR="00DC760C" w:rsidRDefault="00DC760C" w:rsidP="00420198">
            <w:pPr>
              <w:tabs>
                <w:tab w:val="left" w:pos="432"/>
              </w:tabs>
              <w:rPr>
                <w:rFonts w:ascii="Arial" w:hAnsi="Arial" w:cs="Arial"/>
                <w:sz w:val="24"/>
                <w:szCs w:val="24"/>
                <w:lang w:val="en-US"/>
              </w:rPr>
            </w:pPr>
          </w:p>
          <w:p w:rsidR="00DC760C" w:rsidRDefault="00DC760C" w:rsidP="00DC760C">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parties must file a joint status report or joint Pre-Trial report on or before 14 October 2020.</w:t>
            </w:r>
          </w:p>
          <w:p w:rsidR="000C60D0" w:rsidRPr="00CA7CCA" w:rsidRDefault="000C60D0" w:rsidP="00774D16">
            <w:pPr>
              <w:tabs>
                <w:tab w:val="left" w:pos="927"/>
              </w:tabs>
              <w:spacing w:line="360" w:lineRule="auto"/>
              <w:jc w:val="both"/>
              <w:rPr>
                <w:rFonts w:ascii="Arial" w:hAnsi="Arial" w:cs="Arial"/>
                <w:sz w:val="24"/>
                <w:szCs w:val="24"/>
                <w:lang w:val="en-US"/>
              </w:rPr>
            </w:pPr>
          </w:p>
        </w:tc>
      </w:tr>
      <w:tr w:rsidR="00774D16" w:rsidRPr="00774D16" w:rsidTr="00515A80">
        <w:tc>
          <w:tcPr>
            <w:tcW w:w="4950" w:type="dxa"/>
          </w:tcPr>
          <w:p w:rsidR="00774D16" w:rsidRPr="00774D16" w:rsidRDefault="00774D16" w:rsidP="00774D16">
            <w:pPr>
              <w:rPr>
                <w:rFonts w:ascii="Arial" w:hAnsi="Arial" w:cs="Arial"/>
                <w:b/>
                <w:sz w:val="24"/>
                <w:szCs w:val="24"/>
                <w:lang w:val="en-US"/>
              </w:rPr>
            </w:pPr>
            <w:r w:rsidRPr="00774D16">
              <w:rPr>
                <w:rFonts w:ascii="Arial" w:hAnsi="Arial" w:cs="Arial"/>
                <w:b/>
                <w:sz w:val="24"/>
                <w:szCs w:val="24"/>
                <w:lang w:val="en-US"/>
              </w:rPr>
              <w:lastRenderedPageBreak/>
              <w:t>Judge’s signature</w:t>
            </w:r>
          </w:p>
          <w:p w:rsidR="00774D16" w:rsidRPr="00774D16" w:rsidRDefault="00774D16" w:rsidP="00774D16">
            <w:pPr>
              <w:rPr>
                <w:rFonts w:ascii="Arial" w:hAnsi="Arial" w:cs="Arial"/>
                <w:b/>
                <w:sz w:val="24"/>
                <w:szCs w:val="24"/>
                <w:lang w:val="en-US"/>
              </w:rPr>
            </w:pPr>
          </w:p>
        </w:tc>
        <w:tc>
          <w:tcPr>
            <w:tcW w:w="5130" w:type="dxa"/>
          </w:tcPr>
          <w:p w:rsidR="00774D16" w:rsidRPr="00774D16" w:rsidRDefault="00774D16" w:rsidP="00774D16">
            <w:pPr>
              <w:rPr>
                <w:rFonts w:ascii="Arial" w:hAnsi="Arial" w:cs="Arial"/>
                <w:b/>
                <w:sz w:val="24"/>
                <w:szCs w:val="24"/>
                <w:lang w:val="en-US"/>
              </w:rPr>
            </w:pPr>
            <w:r w:rsidRPr="00774D16">
              <w:rPr>
                <w:rFonts w:ascii="Arial" w:hAnsi="Arial" w:cs="Arial"/>
                <w:b/>
                <w:sz w:val="24"/>
                <w:szCs w:val="24"/>
                <w:lang w:val="en-US"/>
              </w:rPr>
              <w:t>Note to the parties:</w:t>
            </w:r>
          </w:p>
        </w:tc>
      </w:tr>
      <w:tr w:rsidR="00774D16" w:rsidRPr="00774D16" w:rsidTr="00515A80">
        <w:tc>
          <w:tcPr>
            <w:tcW w:w="4950" w:type="dxa"/>
          </w:tcPr>
          <w:p w:rsidR="00774D16" w:rsidRPr="00774D16" w:rsidRDefault="00774D16" w:rsidP="00774D16">
            <w:pPr>
              <w:rPr>
                <w:rFonts w:ascii="Arial" w:hAnsi="Arial" w:cs="Arial"/>
                <w:sz w:val="24"/>
                <w:szCs w:val="24"/>
                <w:lang w:val="en-US"/>
              </w:rPr>
            </w:pPr>
          </w:p>
          <w:p w:rsidR="00774D16" w:rsidRPr="00774D16" w:rsidRDefault="00774D16" w:rsidP="00774D16">
            <w:pPr>
              <w:rPr>
                <w:rFonts w:ascii="Arial" w:hAnsi="Arial" w:cs="Arial"/>
                <w:sz w:val="24"/>
                <w:szCs w:val="24"/>
                <w:lang w:val="en-US"/>
              </w:rPr>
            </w:pPr>
          </w:p>
          <w:p w:rsidR="00774D16" w:rsidRPr="00774D16" w:rsidRDefault="00774D16" w:rsidP="00774D16">
            <w:pPr>
              <w:rPr>
                <w:rFonts w:ascii="Arial" w:hAnsi="Arial" w:cs="Arial"/>
                <w:sz w:val="24"/>
                <w:szCs w:val="24"/>
                <w:lang w:val="en-US"/>
              </w:rPr>
            </w:pPr>
          </w:p>
        </w:tc>
        <w:tc>
          <w:tcPr>
            <w:tcW w:w="5130" w:type="dxa"/>
          </w:tcPr>
          <w:p w:rsidR="00774D16" w:rsidRPr="00774D16" w:rsidRDefault="00774D16" w:rsidP="00774D16">
            <w:pPr>
              <w:rPr>
                <w:rFonts w:ascii="Arial" w:hAnsi="Arial" w:cs="Arial"/>
                <w:sz w:val="24"/>
                <w:szCs w:val="24"/>
                <w:lang w:val="en-US"/>
              </w:rPr>
            </w:pPr>
            <w:r w:rsidRPr="00774D16">
              <w:rPr>
                <w:rFonts w:ascii="Arial" w:hAnsi="Arial" w:cs="Arial"/>
                <w:sz w:val="24"/>
                <w:szCs w:val="24"/>
                <w:lang w:val="en-US"/>
              </w:rPr>
              <w:lastRenderedPageBreak/>
              <w:t xml:space="preserve">Not applicable </w:t>
            </w:r>
          </w:p>
        </w:tc>
      </w:tr>
      <w:tr w:rsidR="00774D16" w:rsidRPr="00774D16" w:rsidTr="00515A80">
        <w:tc>
          <w:tcPr>
            <w:tcW w:w="10080" w:type="dxa"/>
            <w:gridSpan w:val="2"/>
          </w:tcPr>
          <w:p w:rsidR="00774D16" w:rsidRPr="00774D16" w:rsidRDefault="00774D16" w:rsidP="00774D16">
            <w:pPr>
              <w:jc w:val="center"/>
              <w:rPr>
                <w:rFonts w:ascii="Arial" w:hAnsi="Arial" w:cs="Arial"/>
                <w:b/>
                <w:sz w:val="24"/>
                <w:szCs w:val="24"/>
                <w:lang w:val="en-US"/>
              </w:rPr>
            </w:pPr>
            <w:r w:rsidRPr="00774D16">
              <w:rPr>
                <w:rFonts w:ascii="Arial" w:hAnsi="Arial" w:cs="Arial"/>
                <w:b/>
                <w:sz w:val="24"/>
                <w:szCs w:val="24"/>
                <w:lang w:val="en-US"/>
              </w:rPr>
              <w:t>Counsel:</w:t>
            </w:r>
          </w:p>
        </w:tc>
      </w:tr>
      <w:tr w:rsidR="00774D16" w:rsidRPr="00774D16" w:rsidTr="00515A80">
        <w:trPr>
          <w:trHeight w:val="800"/>
        </w:trPr>
        <w:tc>
          <w:tcPr>
            <w:tcW w:w="4950" w:type="dxa"/>
          </w:tcPr>
          <w:p w:rsidR="00774D16" w:rsidRPr="00774D16" w:rsidRDefault="00774D16" w:rsidP="00774D16">
            <w:pPr>
              <w:rPr>
                <w:rFonts w:ascii="Arial" w:hAnsi="Arial" w:cs="Arial"/>
                <w:b/>
                <w:sz w:val="24"/>
                <w:szCs w:val="24"/>
                <w:lang w:val="en-US"/>
              </w:rPr>
            </w:pPr>
            <w:r w:rsidRPr="00774D16">
              <w:rPr>
                <w:rFonts w:ascii="Arial" w:hAnsi="Arial" w:cs="Arial"/>
                <w:b/>
                <w:sz w:val="24"/>
                <w:szCs w:val="24"/>
                <w:lang w:val="en-US"/>
              </w:rPr>
              <w:t>Plaintiff</w:t>
            </w:r>
          </w:p>
        </w:tc>
        <w:tc>
          <w:tcPr>
            <w:tcW w:w="5130" w:type="dxa"/>
          </w:tcPr>
          <w:p w:rsidR="00774D16" w:rsidRPr="00774D16" w:rsidRDefault="00420198" w:rsidP="00774D16">
            <w:pPr>
              <w:rPr>
                <w:rFonts w:ascii="Arial" w:hAnsi="Arial" w:cs="Arial"/>
                <w:b/>
                <w:sz w:val="24"/>
                <w:szCs w:val="24"/>
                <w:lang w:val="en-US"/>
              </w:rPr>
            </w:pPr>
            <w:r>
              <w:rPr>
                <w:rFonts w:ascii="Arial" w:hAnsi="Arial" w:cs="Arial"/>
                <w:b/>
                <w:sz w:val="24"/>
                <w:szCs w:val="24"/>
                <w:lang w:val="en-US"/>
              </w:rPr>
              <w:t>Defendant</w:t>
            </w:r>
          </w:p>
          <w:p w:rsidR="00774D16" w:rsidRPr="00774D16" w:rsidRDefault="00774D16" w:rsidP="00774D16">
            <w:pPr>
              <w:rPr>
                <w:rFonts w:ascii="Arial" w:hAnsi="Arial" w:cs="Arial"/>
                <w:sz w:val="24"/>
                <w:szCs w:val="24"/>
                <w:lang w:val="en-US"/>
              </w:rPr>
            </w:pPr>
          </w:p>
        </w:tc>
      </w:tr>
      <w:tr w:rsidR="00774D16" w:rsidRPr="00774D16" w:rsidTr="00515A80">
        <w:tc>
          <w:tcPr>
            <w:tcW w:w="4950" w:type="dxa"/>
          </w:tcPr>
          <w:p w:rsidR="00774D16" w:rsidRDefault="00E11B0D" w:rsidP="00774D16">
            <w:pPr>
              <w:rPr>
                <w:rFonts w:ascii="Arial" w:hAnsi="Arial" w:cs="Arial"/>
                <w:sz w:val="24"/>
                <w:szCs w:val="24"/>
                <w:lang w:val="en-US"/>
              </w:rPr>
            </w:pPr>
            <w:r>
              <w:rPr>
                <w:rFonts w:ascii="Arial" w:hAnsi="Arial" w:cs="Arial"/>
                <w:sz w:val="24"/>
                <w:szCs w:val="24"/>
                <w:lang w:val="en-US"/>
              </w:rPr>
              <w:t xml:space="preserve">Advocate </w:t>
            </w:r>
            <w:r w:rsidR="00D55900">
              <w:rPr>
                <w:rFonts w:ascii="Arial" w:hAnsi="Arial" w:cs="Arial"/>
                <w:sz w:val="24"/>
                <w:szCs w:val="24"/>
                <w:lang w:val="en-US"/>
              </w:rPr>
              <w:t xml:space="preserve">SJ </w:t>
            </w:r>
            <w:r>
              <w:rPr>
                <w:rFonts w:ascii="Arial" w:hAnsi="Arial" w:cs="Arial"/>
                <w:sz w:val="24"/>
                <w:szCs w:val="24"/>
                <w:lang w:val="en-US"/>
              </w:rPr>
              <w:t>Jacobs</w:t>
            </w:r>
          </w:p>
          <w:p w:rsidR="00E11B0D" w:rsidRPr="00774D16" w:rsidRDefault="00E11B0D" w:rsidP="00774D16">
            <w:pPr>
              <w:rPr>
                <w:rFonts w:ascii="Arial" w:hAnsi="Arial" w:cs="Arial"/>
                <w:sz w:val="24"/>
                <w:szCs w:val="24"/>
                <w:lang w:val="en-US"/>
              </w:rPr>
            </w:pPr>
            <w:r>
              <w:rPr>
                <w:rFonts w:ascii="Arial" w:hAnsi="Arial" w:cs="Arial"/>
                <w:sz w:val="24"/>
                <w:szCs w:val="24"/>
                <w:lang w:val="en-US"/>
              </w:rPr>
              <w:t>Instructed by Van der Merwe-</w:t>
            </w:r>
            <w:proofErr w:type="spellStart"/>
            <w:r>
              <w:rPr>
                <w:rFonts w:ascii="Arial" w:hAnsi="Arial" w:cs="Arial"/>
                <w:sz w:val="24"/>
                <w:szCs w:val="24"/>
                <w:lang w:val="en-US"/>
              </w:rPr>
              <w:t>Greef</w:t>
            </w:r>
            <w:proofErr w:type="spellEnd"/>
            <w:r>
              <w:rPr>
                <w:rFonts w:ascii="Arial" w:hAnsi="Arial" w:cs="Arial"/>
                <w:sz w:val="24"/>
                <w:szCs w:val="24"/>
                <w:lang w:val="en-US"/>
              </w:rPr>
              <w:t xml:space="preserve"> </w:t>
            </w:r>
            <w:proofErr w:type="spellStart"/>
            <w:r>
              <w:rPr>
                <w:rFonts w:ascii="Arial" w:hAnsi="Arial" w:cs="Arial"/>
                <w:sz w:val="24"/>
                <w:szCs w:val="24"/>
                <w:lang w:val="en-US"/>
              </w:rPr>
              <w:t>Andima</w:t>
            </w:r>
            <w:proofErr w:type="spellEnd"/>
            <w:r>
              <w:rPr>
                <w:rFonts w:ascii="Arial" w:hAnsi="Arial" w:cs="Arial"/>
                <w:sz w:val="24"/>
                <w:szCs w:val="24"/>
                <w:lang w:val="en-US"/>
              </w:rPr>
              <w:t xml:space="preserve"> Inc.</w:t>
            </w:r>
          </w:p>
          <w:p w:rsidR="00774D16" w:rsidRPr="00774D16" w:rsidRDefault="00774D16" w:rsidP="00774D16">
            <w:pPr>
              <w:rPr>
                <w:rFonts w:ascii="Arial" w:hAnsi="Arial" w:cs="Arial"/>
                <w:sz w:val="24"/>
                <w:szCs w:val="24"/>
                <w:lang w:val="en-US"/>
              </w:rPr>
            </w:pPr>
            <w:r w:rsidRPr="00774D16">
              <w:rPr>
                <w:rFonts w:ascii="Arial" w:hAnsi="Arial" w:cs="Arial"/>
                <w:sz w:val="24"/>
                <w:szCs w:val="24"/>
                <w:lang w:val="en-US"/>
              </w:rPr>
              <w:t>Windhoek</w:t>
            </w:r>
          </w:p>
        </w:tc>
        <w:tc>
          <w:tcPr>
            <w:tcW w:w="5130" w:type="dxa"/>
          </w:tcPr>
          <w:p w:rsidR="00774D16" w:rsidRPr="00774D16" w:rsidRDefault="00E11B0D" w:rsidP="00774D16">
            <w:pPr>
              <w:rPr>
                <w:rFonts w:ascii="Arial" w:hAnsi="Arial" w:cs="Arial"/>
                <w:sz w:val="24"/>
                <w:szCs w:val="24"/>
              </w:rPr>
            </w:pPr>
            <w:r>
              <w:rPr>
                <w:rFonts w:ascii="Arial" w:hAnsi="Arial" w:cs="Arial"/>
                <w:sz w:val="24"/>
                <w:szCs w:val="24"/>
              </w:rPr>
              <w:t xml:space="preserve">Advocate </w:t>
            </w:r>
            <w:r w:rsidR="00D55900">
              <w:rPr>
                <w:rFonts w:ascii="Arial" w:hAnsi="Arial" w:cs="Arial"/>
                <w:sz w:val="24"/>
                <w:szCs w:val="24"/>
              </w:rPr>
              <w:t xml:space="preserve">HH </w:t>
            </w:r>
            <w:r>
              <w:rPr>
                <w:rFonts w:ascii="Arial" w:hAnsi="Arial" w:cs="Arial"/>
                <w:sz w:val="24"/>
                <w:szCs w:val="24"/>
              </w:rPr>
              <w:t xml:space="preserve">Steyn assisted by Advocate </w:t>
            </w:r>
            <w:r w:rsidR="00D55900">
              <w:rPr>
                <w:rFonts w:ascii="Arial" w:hAnsi="Arial" w:cs="Arial"/>
                <w:sz w:val="24"/>
                <w:szCs w:val="24"/>
              </w:rPr>
              <w:t xml:space="preserve">LC </w:t>
            </w:r>
            <w:proofErr w:type="spellStart"/>
            <w:r>
              <w:rPr>
                <w:rFonts w:ascii="Arial" w:hAnsi="Arial" w:cs="Arial"/>
                <w:sz w:val="24"/>
                <w:szCs w:val="24"/>
              </w:rPr>
              <w:t>Botes</w:t>
            </w:r>
            <w:proofErr w:type="spellEnd"/>
            <w:r>
              <w:rPr>
                <w:rFonts w:ascii="Arial" w:hAnsi="Arial" w:cs="Arial"/>
                <w:sz w:val="24"/>
                <w:szCs w:val="24"/>
              </w:rPr>
              <w:t xml:space="preserve"> with Ms Meyer</w:t>
            </w:r>
          </w:p>
          <w:p w:rsidR="00774D16" w:rsidRPr="00774D16" w:rsidRDefault="00420198" w:rsidP="00774D16">
            <w:pPr>
              <w:rPr>
                <w:rFonts w:ascii="Arial" w:hAnsi="Arial" w:cs="Arial"/>
                <w:sz w:val="24"/>
                <w:szCs w:val="24"/>
              </w:rPr>
            </w:pPr>
            <w:r>
              <w:rPr>
                <w:rFonts w:ascii="Arial" w:hAnsi="Arial" w:cs="Arial"/>
                <w:sz w:val="24"/>
                <w:szCs w:val="24"/>
              </w:rPr>
              <w:t>Instructed by the Office of the Government Attorney</w:t>
            </w:r>
          </w:p>
          <w:p w:rsidR="00774D16" w:rsidRPr="00774D16" w:rsidRDefault="00774D16" w:rsidP="00774D16">
            <w:pPr>
              <w:rPr>
                <w:rFonts w:ascii="Arial" w:hAnsi="Arial" w:cs="Arial"/>
                <w:sz w:val="24"/>
                <w:szCs w:val="24"/>
              </w:rPr>
            </w:pPr>
            <w:r w:rsidRPr="00774D16">
              <w:rPr>
                <w:rFonts w:ascii="Arial" w:hAnsi="Arial" w:cs="Arial"/>
                <w:sz w:val="24"/>
                <w:szCs w:val="24"/>
              </w:rPr>
              <w:t>Windhoek</w:t>
            </w:r>
          </w:p>
        </w:tc>
      </w:tr>
    </w:tbl>
    <w:p w:rsidR="00923B3B" w:rsidRDefault="00923B3B" w:rsidP="00E32A4A">
      <w:pPr>
        <w:spacing w:line="360" w:lineRule="auto"/>
        <w:jc w:val="both"/>
      </w:pPr>
    </w:p>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CF" w:rsidRDefault="003114CF" w:rsidP="00774D16">
      <w:pPr>
        <w:spacing w:after="0" w:line="240" w:lineRule="auto"/>
      </w:pPr>
      <w:r>
        <w:separator/>
      </w:r>
    </w:p>
  </w:endnote>
  <w:endnote w:type="continuationSeparator" w:id="0">
    <w:p w:rsidR="003114CF" w:rsidRDefault="003114CF" w:rsidP="0077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CF" w:rsidRDefault="003114CF" w:rsidP="00774D16">
      <w:pPr>
        <w:spacing w:after="0" w:line="240" w:lineRule="auto"/>
      </w:pPr>
      <w:r>
        <w:separator/>
      </w:r>
    </w:p>
  </w:footnote>
  <w:footnote w:type="continuationSeparator" w:id="0">
    <w:p w:rsidR="003114CF" w:rsidRDefault="003114CF" w:rsidP="00774D16">
      <w:pPr>
        <w:spacing w:after="0" w:line="240" w:lineRule="auto"/>
      </w:pPr>
      <w:r>
        <w:continuationSeparator/>
      </w:r>
    </w:p>
  </w:footnote>
  <w:footnote w:id="1">
    <w:p w:rsidR="00AF1CFF" w:rsidRDefault="00AF1CFF">
      <w:pPr>
        <w:pStyle w:val="FootnoteText"/>
        <w:rPr>
          <w:rFonts w:ascii="Arial" w:hAnsi="Arial" w:cs="Arial"/>
        </w:rPr>
      </w:pPr>
      <w:r w:rsidRPr="00AF1CFF">
        <w:rPr>
          <w:rStyle w:val="FootnoteReference"/>
          <w:rFonts w:ascii="Arial" w:hAnsi="Arial" w:cs="Arial"/>
        </w:rPr>
        <w:footnoteRef/>
      </w:r>
      <w:r w:rsidRPr="00AF1CFF">
        <w:rPr>
          <w:rFonts w:ascii="Arial" w:hAnsi="Arial" w:cs="Arial"/>
        </w:rPr>
        <w:t xml:space="preserve"> </w:t>
      </w:r>
      <w:r>
        <w:rPr>
          <w:rFonts w:ascii="Arial" w:hAnsi="Arial" w:cs="Arial"/>
        </w:rPr>
        <w:t>Mr Martin Graham is the defendant’s exper</w:t>
      </w:r>
      <w:r w:rsidR="008F60CF">
        <w:rPr>
          <w:rFonts w:ascii="Arial" w:hAnsi="Arial" w:cs="Arial"/>
        </w:rPr>
        <w:t>t witness who deposed to an accompanying</w:t>
      </w:r>
      <w:r>
        <w:rPr>
          <w:rFonts w:ascii="Arial" w:hAnsi="Arial" w:cs="Arial"/>
        </w:rPr>
        <w:t xml:space="preserve"> confirmatory affidavit </w:t>
      </w:r>
    </w:p>
    <w:p w:rsidR="00AF1CFF" w:rsidRPr="00AF1CFF" w:rsidRDefault="00AF1CFF">
      <w:pPr>
        <w:pStyle w:val="FootnoteText"/>
        <w:rPr>
          <w:rFonts w:ascii="Arial" w:hAnsi="Arial" w:cs="Arial"/>
          <w:lang w:val="en-US"/>
        </w:rPr>
      </w:pPr>
    </w:p>
  </w:footnote>
  <w:footnote w:id="2">
    <w:p w:rsidR="00CA7CCA" w:rsidRPr="00CA7CCA" w:rsidRDefault="00CA7CCA">
      <w:pPr>
        <w:pStyle w:val="FootnoteText"/>
        <w:rPr>
          <w:rFonts w:ascii="Arial" w:hAnsi="Arial" w:cs="Arial"/>
          <w:lang w:val="en-US"/>
        </w:rPr>
      </w:pPr>
      <w:r w:rsidRPr="00CA7CCA">
        <w:rPr>
          <w:rStyle w:val="FootnoteReference"/>
          <w:rFonts w:ascii="Arial" w:hAnsi="Arial" w:cs="Arial"/>
        </w:rPr>
        <w:footnoteRef/>
      </w:r>
      <w:r w:rsidRPr="00CA7CCA">
        <w:rPr>
          <w:rFonts w:ascii="Arial" w:hAnsi="Arial" w:cs="Arial"/>
        </w:rPr>
        <w:t xml:space="preserve"> </w:t>
      </w:r>
      <w:r>
        <w:rPr>
          <w:rFonts w:ascii="Arial" w:hAnsi="Arial" w:cs="Arial"/>
        </w:rPr>
        <w:t>Rule 63(7)</w:t>
      </w:r>
      <w:r w:rsidR="00E64274">
        <w:rPr>
          <w:rFonts w:ascii="Arial" w:hAnsi="Arial" w:cs="Arial"/>
        </w:rPr>
        <w:t>.</w:t>
      </w:r>
    </w:p>
  </w:footnote>
  <w:footnote w:id="3">
    <w:p w:rsidR="004415DD" w:rsidRPr="004415DD" w:rsidRDefault="004415DD">
      <w:pPr>
        <w:pStyle w:val="FootnoteText"/>
        <w:rPr>
          <w:rFonts w:ascii="Arial" w:hAnsi="Arial" w:cs="Arial"/>
          <w:lang w:val="en-US"/>
        </w:rPr>
      </w:pPr>
      <w:r w:rsidRPr="004415DD">
        <w:rPr>
          <w:rStyle w:val="FootnoteReference"/>
          <w:rFonts w:ascii="Arial" w:hAnsi="Arial" w:cs="Arial"/>
        </w:rPr>
        <w:footnoteRef/>
      </w:r>
      <w:r w:rsidRPr="004415DD">
        <w:rPr>
          <w:rFonts w:ascii="Arial" w:hAnsi="Arial" w:cs="Arial"/>
        </w:rPr>
        <w:t xml:space="preserve"> </w:t>
      </w:r>
      <w:r>
        <w:rPr>
          <w:rFonts w:ascii="Arial" w:hAnsi="Arial" w:cs="Arial"/>
        </w:rPr>
        <w:t xml:space="preserve">Court Managed Civil Procedure of the High Court of Namibia, First Edition, para 9-087. </w:t>
      </w:r>
    </w:p>
  </w:footnote>
  <w:footnote w:id="4">
    <w:p w:rsidR="00CA7CCA" w:rsidRPr="00CA7CCA" w:rsidRDefault="00CA7CCA">
      <w:pPr>
        <w:pStyle w:val="FootnoteText"/>
        <w:rPr>
          <w:rFonts w:ascii="Arial" w:hAnsi="Arial" w:cs="Arial"/>
          <w:lang w:val="en-US"/>
        </w:rPr>
      </w:pPr>
      <w:r w:rsidRPr="00CA7CCA">
        <w:rPr>
          <w:rStyle w:val="FootnoteReference"/>
          <w:rFonts w:ascii="Arial" w:hAnsi="Arial" w:cs="Arial"/>
        </w:rPr>
        <w:footnoteRef/>
      </w:r>
      <w:r w:rsidRPr="00CA7CCA">
        <w:rPr>
          <w:rFonts w:ascii="Arial" w:hAnsi="Arial" w:cs="Arial"/>
        </w:rPr>
        <w:t xml:space="preserve"> </w:t>
      </w:r>
      <w:r w:rsidRPr="008F60CF">
        <w:rPr>
          <w:rFonts w:ascii="Arial" w:hAnsi="Arial" w:cs="Arial"/>
          <w:i/>
        </w:rPr>
        <w:t xml:space="preserve">African Bank v </w:t>
      </w:r>
      <w:proofErr w:type="spellStart"/>
      <w:r w:rsidRPr="008F60CF">
        <w:rPr>
          <w:rFonts w:ascii="Arial" w:hAnsi="Arial" w:cs="Arial"/>
          <w:i/>
        </w:rPr>
        <w:t>Soodhoo</w:t>
      </w:r>
      <w:proofErr w:type="spellEnd"/>
      <w:r>
        <w:rPr>
          <w:rFonts w:ascii="Arial" w:hAnsi="Arial" w:cs="Arial"/>
        </w:rPr>
        <w:t xml:space="preserve"> 2008 SA 46 D at 51 B-D.</w:t>
      </w:r>
    </w:p>
  </w:footnote>
  <w:footnote w:id="5">
    <w:p w:rsidR="00CA7CCA" w:rsidRPr="00CA7CCA" w:rsidRDefault="00CA7CCA">
      <w:pPr>
        <w:pStyle w:val="FootnoteText"/>
        <w:rPr>
          <w:rFonts w:ascii="Arial" w:hAnsi="Arial" w:cs="Arial"/>
          <w:lang w:val="en-US"/>
        </w:rPr>
      </w:pPr>
      <w:r w:rsidRPr="00CA7CCA">
        <w:rPr>
          <w:rStyle w:val="FootnoteReference"/>
          <w:rFonts w:ascii="Arial" w:hAnsi="Arial" w:cs="Arial"/>
        </w:rPr>
        <w:footnoteRef/>
      </w:r>
      <w:r w:rsidRPr="00CA7CCA">
        <w:rPr>
          <w:rFonts w:ascii="Arial" w:hAnsi="Arial" w:cs="Arial"/>
        </w:rPr>
        <w:t xml:space="preserve"> </w:t>
      </w:r>
      <w:r>
        <w:rPr>
          <w:rFonts w:ascii="Arial" w:hAnsi="Arial" w:cs="Arial"/>
        </w:rPr>
        <w:t>Ibid</w:t>
      </w:r>
      <w:r w:rsidR="00543155">
        <w:rPr>
          <w:rFonts w:ascii="Arial" w:hAnsi="Arial" w:cs="Arial"/>
        </w:rPr>
        <w:t>.</w:t>
      </w:r>
    </w:p>
  </w:footnote>
  <w:footnote w:id="6">
    <w:p w:rsidR="00CA7CCA" w:rsidRPr="00CA7CCA" w:rsidRDefault="00CA7CCA">
      <w:pPr>
        <w:pStyle w:val="FootnoteText"/>
        <w:rPr>
          <w:rFonts w:ascii="Arial" w:hAnsi="Arial" w:cs="Arial"/>
          <w:lang w:val="en-US"/>
        </w:rPr>
      </w:pPr>
      <w:r w:rsidRPr="00CA7CCA">
        <w:rPr>
          <w:rStyle w:val="FootnoteReference"/>
          <w:rFonts w:ascii="Arial" w:hAnsi="Arial" w:cs="Arial"/>
        </w:rPr>
        <w:footnoteRef/>
      </w:r>
      <w:r w:rsidRPr="00CA7CCA">
        <w:rPr>
          <w:rFonts w:ascii="Arial" w:hAnsi="Arial" w:cs="Arial"/>
        </w:rPr>
        <w:t xml:space="preserve"> </w:t>
      </w:r>
      <w:r w:rsidR="00C807E1">
        <w:rPr>
          <w:rFonts w:ascii="Arial" w:hAnsi="Arial" w:cs="Arial"/>
        </w:rPr>
        <w:t>Court Managed Civil Procedure of the High Court of Namibia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891881"/>
      <w:docPartObj>
        <w:docPartGallery w:val="Page Numbers (Top of Page)"/>
        <w:docPartUnique/>
      </w:docPartObj>
    </w:sdtPr>
    <w:sdtEndPr>
      <w:rPr>
        <w:noProof/>
      </w:rPr>
    </w:sdtEndPr>
    <w:sdtContent>
      <w:p w:rsidR="00A02B8B" w:rsidRDefault="00A02B8B">
        <w:pPr>
          <w:pStyle w:val="Header"/>
          <w:jc w:val="right"/>
        </w:pPr>
        <w:r>
          <w:fldChar w:fldCharType="begin"/>
        </w:r>
        <w:r>
          <w:instrText xml:space="preserve"> PAGE   \* MERGEFORMAT </w:instrText>
        </w:r>
        <w:r>
          <w:fldChar w:fldCharType="separate"/>
        </w:r>
        <w:r w:rsidR="00CC6FD7">
          <w:rPr>
            <w:noProof/>
          </w:rPr>
          <w:t>11</w:t>
        </w:r>
        <w:r>
          <w:rPr>
            <w:noProof/>
          </w:rPr>
          <w:fldChar w:fldCharType="end"/>
        </w:r>
      </w:p>
    </w:sdtContent>
  </w:sdt>
  <w:p w:rsidR="005D23B0" w:rsidRDefault="00311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16"/>
    <w:rsid w:val="00014CE7"/>
    <w:rsid w:val="00041D10"/>
    <w:rsid w:val="00061E98"/>
    <w:rsid w:val="000C60D0"/>
    <w:rsid w:val="000F0323"/>
    <w:rsid w:val="00107FD1"/>
    <w:rsid w:val="00113B30"/>
    <w:rsid w:val="001815D1"/>
    <w:rsid w:val="00195346"/>
    <w:rsid w:val="001E0734"/>
    <w:rsid w:val="00200893"/>
    <w:rsid w:val="002304F0"/>
    <w:rsid w:val="002B18B4"/>
    <w:rsid w:val="002C5D5A"/>
    <w:rsid w:val="00302BFE"/>
    <w:rsid w:val="003114CF"/>
    <w:rsid w:val="00315989"/>
    <w:rsid w:val="0033346D"/>
    <w:rsid w:val="00342F59"/>
    <w:rsid w:val="003C5D1C"/>
    <w:rsid w:val="003D250A"/>
    <w:rsid w:val="003D3426"/>
    <w:rsid w:val="00420198"/>
    <w:rsid w:val="00421778"/>
    <w:rsid w:val="004415DD"/>
    <w:rsid w:val="00477161"/>
    <w:rsid w:val="004D2398"/>
    <w:rsid w:val="004D769E"/>
    <w:rsid w:val="004F13DA"/>
    <w:rsid w:val="00540FA3"/>
    <w:rsid w:val="00543155"/>
    <w:rsid w:val="00593885"/>
    <w:rsid w:val="005E54E0"/>
    <w:rsid w:val="006069E1"/>
    <w:rsid w:val="006218E6"/>
    <w:rsid w:val="00650592"/>
    <w:rsid w:val="00657608"/>
    <w:rsid w:val="006E2FDD"/>
    <w:rsid w:val="00702F17"/>
    <w:rsid w:val="00713B6F"/>
    <w:rsid w:val="00774D16"/>
    <w:rsid w:val="00796233"/>
    <w:rsid w:val="007E25EC"/>
    <w:rsid w:val="007F4B90"/>
    <w:rsid w:val="007F4E56"/>
    <w:rsid w:val="008B63C6"/>
    <w:rsid w:val="008D04F2"/>
    <w:rsid w:val="008F60CF"/>
    <w:rsid w:val="00923B3B"/>
    <w:rsid w:val="009C3A9B"/>
    <w:rsid w:val="009E3F69"/>
    <w:rsid w:val="00A02B81"/>
    <w:rsid w:val="00A02B8B"/>
    <w:rsid w:val="00A31F74"/>
    <w:rsid w:val="00A432EE"/>
    <w:rsid w:val="00A7508B"/>
    <w:rsid w:val="00AF1CFF"/>
    <w:rsid w:val="00B96931"/>
    <w:rsid w:val="00BF7C51"/>
    <w:rsid w:val="00C2179A"/>
    <w:rsid w:val="00C71D7C"/>
    <w:rsid w:val="00C807E1"/>
    <w:rsid w:val="00C905F0"/>
    <w:rsid w:val="00C9219A"/>
    <w:rsid w:val="00CA7CCA"/>
    <w:rsid w:val="00CC6FD7"/>
    <w:rsid w:val="00CE1155"/>
    <w:rsid w:val="00D2576B"/>
    <w:rsid w:val="00D55900"/>
    <w:rsid w:val="00DC760C"/>
    <w:rsid w:val="00DF6286"/>
    <w:rsid w:val="00E041A6"/>
    <w:rsid w:val="00E11B0D"/>
    <w:rsid w:val="00E32A4A"/>
    <w:rsid w:val="00E4098F"/>
    <w:rsid w:val="00E4311E"/>
    <w:rsid w:val="00E46942"/>
    <w:rsid w:val="00E64274"/>
    <w:rsid w:val="00E81253"/>
    <w:rsid w:val="00ED3E11"/>
    <w:rsid w:val="00ED46E7"/>
    <w:rsid w:val="00FC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1F28-8318-4523-A925-73541CC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D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74D16"/>
  </w:style>
  <w:style w:type="paragraph" w:styleId="FootnoteText">
    <w:name w:val="footnote text"/>
    <w:basedOn w:val="Normal"/>
    <w:link w:val="FootnoteTextChar"/>
    <w:uiPriority w:val="99"/>
    <w:semiHidden/>
    <w:unhideWhenUsed/>
    <w:rsid w:val="00774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D16"/>
    <w:rPr>
      <w:sz w:val="20"/>
      <w:szCs w:val="20"/>
      <w:lang w:val="en-GB"/>
    </w:rPr>
  </w:style>
  <w:style w:type="character" w:styleId="FootnoteReference">
    <w:name w:val="footnote reference"/>
    <w:basedOn w:val="DefaultParagraphFont"/>
    <w:uiPriority w:val="99"/>
    <w:semiHidden/>
    <w:unhideWhenUsed/>
    <w:rsid w:val="00774D16"/>
    <w:rPr>
      <w:vertAlign w:val="superscript"/>
    </w:rPr>
  </w:style>
  <w:style w:type="paragraph" w:styleId="BalloonText">
    <w:name w:val="Balloon Text"/>
    <w:basedOn w:val="Normal"/>
    <w:link w:val="BalloonTextChar"/>
    <w:uiPriority w:val="99"/>
    <w:semiHidden/>
    <w:unhideWhenUsed/>
    <w:rsid w:val="00B9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31"/>
    <w:rPr>
      <w:rFonts w:ascii="Segoe UI" w:hAnsi="Segoe UI" w:cs="Segoe UI"/>
      <w:sz w:val="18"/>
      <w:szCs w:val="18"/>
      <w:lang w:val="en-GB"/>
    </w:rPr>
  </w:style>
  <w:style w:type="paragraph" w:styleId="Footer">
    <w:name w:val="footer"/>
    <w:basedOn w:val="Normal"/>
    <w:link w:val="FooterChar"/>
    <w:uiPriority w:val="99"/>
    <w:unhideWhenUsed/>
    <w:rsid w:val="00A02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2020-08-19T18:30:00+00:00</Judgment_x0020_Date>
    <Year xmlns="c1afb1bd-f2fb-40fd-9abb-aea55b4d7662">2020</Year>
  </documentManagement>
</p:properties>
</file>

<file path=customXml/itemProps1.xml><?xml version="1.0" encoding="utf-8"?>
<ds:datastoreItem xmlns:ds="http://schemas.openxmlformats.org/officeDocument/2006/customXml" ds:itemID="{55CB8F91-21B8-4E4B-A5C0-1383B0F316EA}"/>
</file>

<file path=customXml/itemProps2.xml><?xml version="1.0" encoding="utf-8"?>
<ds:datastoreItem xmlns:ds="http://schemas.openxmlformats.org/officeDocument/2006/customXml" ds:itemID="{0FFAFFEF-D242-43F9-890A-BB38FC56DC40}"/>
</file>

<file path=customXml/itemProps3.xml><?xml version="1.0" encoding="utf-8"?>
<ds:datastoreItem xmlns:ds="http://schemas.openxmlformats.org/officeDocument/2006/customXml" ds:itemID="{AB38541F-CAC9-417C-B623-5E457AFF33B6}"/>
</file>

<file path=customXml/itemProps4.xml><?xml version="1.0" encoding="utf-8"?>
<ds:datastoreItem xmlns:ds="http://schemas.openxmlformats.org/officeDocument/2006/customXml" ds:itemID="{D215D123-3EFC-4C09-AA19-C17EDDFC3D6E}"/>
</file>

<file path=docProps/app.xml><?xml version="1.0" encoding="utf-8"?>
<Properties xmlns="http://schemas.openxmlformats.org/officeDocument/2006/extended-properties" xmlns:vt="http://schemas.openxmlformats.org/officeDocument/2006/docPropsVTypes">
  <Template>Normal</Template>
  <TotalTime>3</TotalTime>
  <Pages>11</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Walvis Bay Plant-Tool Hire v Walvis Bay Municipal Council (HC-MD-CIV-ACT-OTH 2017-01830) [2020] 364 (20 August 2020)</dc:title>
  <dc:subject/>
  <dc:creator>Loide Shilongo</dc:creator>
  <cp:keywords/>
  <dc:description/>
  <cp:lastModifiedBy>Administrator</cp:lastModifiedBy>
  <cp:revision>5</cp:revision>
  <cp:lastPrinted>2020-08-17T08:28:00Z</cp:lastPrinted>
  <dcterms:created xsi:type="dcterms:W3CDTF">2020-08-21T10:12:00Z</dcterms:created>
  <dcterms:modified xsi:type="dcterms:W3CDTF">2020-08-21T10:14:00Z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