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89" w:rsidRPr="00C91089" w:rsidRDefault="00C91089" w:rsidP="00C91089">
      <w:pPr>
        <w:jc w:val="center"/>
        <w:rPr>
          <w:rFonts w:ascii="Arial" w:hAnsi="Arial" w:cs="Arial"/>
          <w:sz w:val="24"/>
          <w:szCs w:val="24"/>
          <w:lang w:val="en-US"/>
        </w:rPr>
      </w:pPr>
      <w:r w:rsidRPr="00C91089">
        <w:rPr>
          <w:lang w:val="en-US"/>
        </w:rPr>
        <w:t>“</w:t>
      </w:r>
      <w:r w:rsidRPr="00C91089">
        <w:rPr>
          <w:rFonts w:ascii="Arial" w:hAnsi="Arial" w:cs="Arial"/>
          <w:sz w:val="24"/>
          <w:szCs w:val="24"/>
          <w:lang w:val="en-US"/>
        </w:rPr>
        <w:t>ANNEXURE 11”</w:t>
      </w:r>
    </w:p>
    <w:p w:rsidR="00C91089" w:rsidRPr="00C91089" w:rsidRDefault="00C91089" w:rsidP="00C91089">
      <w:pPr>
        <w:jc w:val="center"/>
        <w:rPr>
          <w:rFonts w:ascii="Arial" w:hAnsi="Arial" w:cs="Arial"/>
          <w:sz w:val="24"/>
          <w:szCs w:val="24"/>
          <w:lang w:val="en-US"/>
        </w:rPr>
      </w:pPr>
      <w:r w:rsidRPr="00C91089">
        <w:rPr>
          <w:rFonts w:ascii="Arial" w:hAnsi="Arial" w:cs="Arial"/>
          <w:sz w:val="24"/>
          <w:szCs w:val="24"/>
          <w:lang w:val="en-US"/>
        </w:rPr>
        <w:t>Practice Direction 61</w:t>
      </w:r>
    </w:p>
    <w:p w:rsidR="00C91089" w:rsidRPr="00C91089" w:rsidRDefault="00C91089" w:rsidP="00C91089">
      <w:pPr>
        <w:jc w:val="center"/>
        <w:rPr>
          <w:rFonts w:ascii="Arial" w:hAnsi="Arial" w:cs="Arial"/>
          <w:b/>
          <w:sz w:val="24"/>
          <w:szCs w:val="24"/>
          <w:lang w:val="en-US"/>
        </w:rPr>
      </w:pPr>
      <w:r w:rsidRPr="00C91089">
        <w:rPr>
          <w:rFonts w:ascii="Arial" w:hAnsi="Arial" w:cs="Arial"/>
          <w:b/>
          <w:sz w:val="24"/>
          <w:szCs w:val="24"/>
          <w:lang w:val="en-US"/>
        </w:rPr>
        <w:t>IN THE HIGH COURT OF NAMIBIA</w:t>
      </w:r>
    </w:p>
    <w:p w:rsidR="00C91089" w:rsidRPr="00C91089" w:rsidRDefault="00C91089" w:rsidP="00C91089">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C91089" w:rsidRPr="00C91089" w:rsidTr="00447373">
        <w:tc>
          <w:tcPr>
            <w:tcW w:w="4950" w:type="dxa"/>
            <w:vMerge w:val="restart"/>
          </w:tcPr>
          <w:p w:rsidR="00C91089" w:rsidRPr="00C91089" w:rsidRDefault="00C91089" w:rsidP="00C91089">
            <w:pPr>
              <w:spacing w:line="360" w:lineRule="auto"/>
              <w:rPr>
                <w:rFonts w:ascii="Arial" w:hAnsi="Arial" w:cs="Arial"/>
                <w:b/>
                <w:sz w:val="24"/>
                <w:szCs w:val="24"/>
                <w:lang w:val="en-US"/>
              </w:rPr>
            </w:pPr>
            <w:r w:rsidRPr="00C91089">
              <w:rPr>
                <w:rFonts w:ascii="Arial" w:hAnsi="Arial" w:cs="Arial"/>
                <w:b/>
                <w:sz w:val="24"/>
                <w:szCs w:val="24"/>
                <w:lang w:val="en-US"/>
              </w:rPr>
              <w:t>Case Title:</w:t>
            </w:r>
          </w:p>
          <w:p w:rsidR="00C91089" w:rsidRPr="00C91089" w:rsidRDefault="00C91089" w:rsidP="00AB4379">
            <w:pPr>
              <w:spacing w:line="360" w:lineRule="auto"/>
              <w:rPr>
                <w:rFonts w:ascii="Arial" w:hAnsi="Arial" w:cs="Arial"/>
                <w:b/>
                <w:sz w:val="24"/>
                <w:szCs w:val="24"/>
                <w:lang w:val="en-US"/>
              </w:rPr>
            </w:pPr>
            <w:r>
              <w:rPr>
                <w:rFonts w:ascii="Arial" w:hAnsi="Arial" w:cs="Arial"/>
                <w:i/>
                <w:sz w:val="24"/>
                <w:szCs w:val="24"/>
                <w:lang w:val="en-US"/>
              </w:rPr>
              <w:t>Communication</w:t>
            </w:r>
            <w:r w:rsidR="00EE4069">
              <w:rPr>
                <w:rFonts w:ascii="Arial" w:hAnsi="Arial" w:cs="Arial"/>
                <w:i/>
                <w:sz w:val="24"/>
                <w:szCs w:val="24"/>
                <w:lang w:val="en-US"/>
              </w:rPr>
              <w:t>s</w:t>
            </w:r>
            <w:r>
              <w:rPr>
                <w:rFonts w:ascii="Arial" w:hAnsi="Arial" w:cs="Arial"/>
                <w:i/>
                <w:sz w:val="24"/>
                <w:szCs w:val="24"/>
                <w:lang w:val="en-US"/>
              </w:rPr>
              <w:t xml:space="preserve"> Reg</w:t>
            </w:r>
            <w:r w:rsidR="00323A53">
              <w:rPr>
                <w:rFonts w:ascii="Arial" w:hAnsi="Arial" w:cs="Arial"/>
                <w:i/>
                <w:sz w:val="24"/>
                <w:szCs w:val="24"/>
                <w:lang w:val="en-US"/>
              </w:rPr>
              <w:t>ulatory Authority of Namibia v</w:t>
            </w:r>
            <w:r>
              <w:rPr>
                <w:rFonts w:ascii="Arial" w:hAnsi="Arial" w:cs="Arial"/>
                <w:i/>
                <w:sz w:val="24"/>
                <w:szCs w:val="24"/>
                <w:lang w:val="en-US"/>
              </w:rPr>
              <w:t xml:space="preserve"> Mobile Telecommunication</w:t>
            </w:r>
            <w:r w:rsidR="00EE4069">
              <w:rPr>
                <w:rFonts w:ascii="Arial" w:hAnsi="Arial" w:cs="Arial"/>
                <w:i/>
                <w:sz w:val="24"/>
                <w:szCs w:val="24"/>
                <w:lang w:val="en-US"/>
              </w:rPr>
              <w:t>s</w:t>
            </w:r>
            <w:r>
              <w:rPr>
                <w:rFonts w:ascii="Arial" w:hAnsi="Arial" w:cs="Arial"/>
                <w:i/>
                <w:sz w:val="24"/>
                <w:szCs w:val="24"/>
                <w:lang w:val="en-US"/>
              </w:rPr>
              <w:t xml:space="preserve"> Company Namibia</w:t>
            </w:r>
          </w:p>
        </w:tc>
        <w:tc>
          <w:tcPr>
            <w:tcW w:w="5130" w:type="dxa"/>
          </w:tcPr>
          <w:p w:rsidR="00C91089" w:rsidRPr="00C91089" w:rsidRDefault="00C91089" w:rsidP="00C91089">
            <w:pPr>
              <w:spacing w:line="360" w:lineRule="auto"/>
              <w:rPr>
                <w:rFonts w:ascii="Arial" w:hAnsi="Arial" w:cs="Arial"/>
                <w:b/>
                <w:sz w:val="24"/>
                <w:szCs w:val="24"/>
                <w:lang w:val="en-US"/>
              </w:rPr>
            </w:pPr>
            <w:r w:rsidRPr="00C91089">
              <w:rPr>
                <w:rFonts w:ascii="Arial" w:hAnsi="Arial" w:cs="Arial"/>
                <w:b/>
                <w:sz w:val="24"/>
                <w:szCs w:val="24"/>
                <w:lang w:val="en-US"/>
              </w:rPr>
              <w:t>Case No.:</w:t>
            </w:r>
          </w:p>
          <w:p w:rsidR="00C91089" w:rsidRPr="00C91089" w:rsidRDefault="00C91089" w:rsidP="00C91089">
            <w:pPr>
              <w:spacing w:line="360" w:lineRule="auto"/>
              <w:rPr>
                <w:rFonts w:ascii="Arial" w:hAnsi="Arial" w:cs="Arial"/>
                <w:sz w:val="24"/>
                <w:szCs w:val="24"/>
                <w:lang w:val="en-US"/>
              </w:rPr>
            </w:pPr>
            <w:r w:rsidRPr="00C91089">
              <w:rPr>
                <w:rFonts w:ascii="Arial" w:hAnsi="Arial" w:cs="Arial"/>
                <w:sz w:val="24"/>
                <w:szCs w:val="24"/>
                <w:lang w:val="en-US"/>
              </w:rPr>
              <w:t>HC-MD-CIV-ACT-OTH-201</w:t>
            </w:r>
            <w:r>
              <w:rPr>
                <w:rFonts w:ascii="Arial" w:hAnsi="Arial" w:cs="Arial"/>
                <w:sz w:val="24"/>
                <w:szCs w:val="24"/>
                <w:lang w:val="en-US"/>
              </w:rPr>
              <w:t>9</w:t>
            </w:r>
            <w:r w:rsidRPr="00C91089">
              <w:rPr>
                <w:rFonts w:ascii="Arial" w:hAnsi="Arial" w:cs="Arial"/>
                <w:sz w:val="24"/>
                <w:szCs w:val="24"/>
                <w:lang w:val="en-US"/>
              </w:rPr>
              <w:t>/0</w:t>
            </w:r>
            <w:r>
              <w:rPr>
                <w:rFonts w:ascii="Arial" w:hAnsi="Arial" w:cs="Arial"/>
                <w:sz w:val="24"/>
                <w:szCs w:val="24"/>
                <w:lang w:val="en-US"/>
              </w:rPr>
              <w:t>1367</w:t>
            </w:r>
          </w:p>
        </w:tc>
      </w:tr>
      <w:tr w:rsidR="00C91089" w:rsidRPr="00C91089" w:rsidTr="00447373">
        <w:tc>
          <w:tcPr>
            <w:tcW w:w="4950" w:type="dxa"/>
            <w:vMerge/>
          </w:tcPr>
          <w:p w:rsidR="00C91089" w:rsidRPr="00C91089" w:rsidRDefault="00C91089" w:rsidP="00C91089">
            <w:pPr>
              <w:spacing w:line="360" w:lineRule="auto"/>
              <w:rPr>
                <w:rFonts w:ascii="Arial" w:hAnsi="Arial" w:cs="Arial"/>
                <w:sz w:val="24"/>
                <w:szCs w:val="24"/>
                <w:lang w:val="en-US"/>
              </w:rPr>
            </w:pPr>
          </w:p>
        </w:tc>
        <w:tc>
          <w:tcPr>
            <w:tcW w:w="5130" w:type="dxa"/>
          </w:tcPr>
          <w:p w:rsidR="00C91089" w:rsidRPr="00C91089" w:rsidRDefault="00C91089" w:rsidP="00C91089">
            <w:pPr>
              <w:spacing w:line="360" w:lineRule="auto"/>
              <w:rPr>
                <w:rFonts w:ascii="Arial" w:hAnsi="Arial" w:cs="Arial"/>
                <w:sz w:val="24"/>
                <w:szCs w:val="24"/>
                <w:lang w:val="en-US"/>
              </w:rPr>
            </w:pPr>
            <w:r w:rsidRPr="00C91089">
              <w:rPr>
                <w:rFonts w:ascii="Arial" w:hAnsi="Arial" w:cs="Arial"/>
                <w:b/>
                <w:sz w:val="24"/>
                <w:szCs w:val="24"/>
                <w:lang w:val="en-US"/>
              </w:rPr>
              <w:t>Division of Court</w:t>
            </w:r>
            <w:r w:rsidRPr="00C91089">
              <w:rPr>
                <w:rFonts w:ascii="Arial" w:hAnsi="Arial" w:cs="Arial"/>
                <w:sz w:val="24"/>
                <w:szCs w:val="24"/>
                <w:lang w:val="en-US"/>
              </w:rPr>
              <w:t>:</w:t>
            </w:r>
          </w:p>
          <w:p w:rsidR="00C91089" w:rsidRPr="00C91089" w:rsidRDefault="00C91089" w:rsidP="00C91089">
            <w:pPr>
              <w:spacing w:line="360" w:lineRule="auto"/>
              <w:rPr>
                <w:rFonts w:ascii="Arial" w:hAnsi="Arial" w:cs="Arial"/>
                <w:sz w:val="24"/>
                <w:szCs w:val="24"/>
                <w:lang w:val="en-US"/>
              </w:rPr>
            </w:pPr>
            <w:r w:rsidRPr="00C91089">
              <w:rPr>
                <w:rFonts w:ascii="Arial" w:hAnsi="Arial" w:cs="Arial"/>
                <w:sz w:val="24"/>
                <w:szCs w:val="24"/>
                <w:lang w:val="en-US"/>
              </w:rPr>
              <w:t>High Court (Main Division)</w:t>
            </w:r>
          </w:p>
        </w:tc>
      </w:tr>
      <w:tr w:rsidR="00C91089" w:rsidRPr="00C91089" w:rsidTr="00447373">
        <w:trPr>
          <w:trHeight w:val="962"/>
        </w:trPr>
        <w:tc>
          <w:tcPr>
            <w:tcW w:w="4950" w:type="dxa"/>
            <w:vMerge w:val="restart"/>
          </w:tcPr>
          <w:p w:rsidR="00C91089" w:rsidRPr="00C91089" w:rsidRDefault="00C91089" w:rsidP="00C91089">
            <w:pPr>
              <w:spacing w:line="360" w:lineRule="auto"/>
              <w:rPr>
                <w:rFonts w:ascii="Arial" w:hAnsi="Arial" w:cs="Arial"/>
                <w:b/>
                <w:sz w:val="24"/>
                <w:szCs w:val="24"/>
                <w:lang w:val="en-US"/>
              </w:rPr>
            </w:pPr>
            <w:r w:rsidRPr="00C91089">
              <w:rPr>
                <w:rFonts w:ascii="Arial" w:hAnsi="Arial" w:cs="Arial"/>
                <w:b/>
                <w:sz w:val="24"/>
                <w:szCs w:val="24"/>
                <w:lang w:val="en-US"/>
              </w:rPr>
              <w:t>Heard/tried before:</w:t>
            </w:r>
          </w:p>
          <w:p w:rsidR="00C91089" w:rsidRPr="00C91089" w:rsidRDefault="00C91089" w:rsidP="00C91089">
            <w:pPr>
              <w:spacing w:line="360" w:lineRule="auto"/>
              <w:rPr>
                <w:rFonts w:ascii="Arial" w:hAnsi="Arial" w:cs="Arial"/>
                <w:sz w:val="24"/>
                <w:szCs w:val="24"/>
                <w:lang w:val="en-US"/>
              </w:rPr>
            </w:pPr>
            <w:r w:rsidRPr="00C91089">
              <w:rPr>
                <w:rFonts w:ascii="Arial" w:hAnsi="Arial" w:cs="Arial"/>
                <w:sz w:val="24"/>
                <w:szCs w:val="24"/>
                <w:lang w:val="en-US"/>
              </w:rPr>
              <w:t>Honourable Mr Justice B Usiku J</w:t>
            </w:r>
          </w:p>
        </w:tc>
        <w:tc>
          <w:tcPr>
            <w:tcW w:w="5130" w:type="dxa"/>
          </w:tcPr>
          <w:p w:rsidR="00C91089" w:rsidRPr="00C91089" w:rsidRDefault="00C91089" w:rsidP="00C91089">
            <w:pPr>
              <w:spacing w:line="360" w:lineRule="auto"/>
              <w:rPr>
                <w:rFonts w:ascii="Arial" w:hAnsi="Arial" w:cs="Arial"/>
                <w:b/>
                <w:sz w:val="24"/>
                <w:szCs w:val="24"/>
                <w:lang w:val="en-US"/>
              </w:rPr>
            </w:pPr>
            <w:r w:rsidRPr="00C91089">
              <w:rPr>
                <w:rFonts w:ascii="Arial" w:hAnsi="Arial" w:cs="Arial"/>
                <w:b/>
                <w:sz w:val="24"/>
                <w:szCs w:val="24"/>
                <w:lang w:val="en-US"/>
              </w:rPr>
              <w:t xml:space="preserve">Date of hearing: </w:t>
            </w:r>
          </w:p>
          <w:p w:rsidR="00C91089" w:rsidRPr="00C91089" w:rsidRDefault="00C91089" w:rsidP="00C91089">
            <w:pPr>
              <w:spacing w:line="360" w:lineRule="auto"/>
              <w:rPr>
                <w:rFonts w:ascii="Arial" w:hAnsi="Arial" w:cs="Arial"/>
                <w:sz w:val="24"/>
                <w:szCs w:val="24"/>
                <w:lang w:val="en-US"/>
              </w:rPr>
            </w:pPr>
            <w:r>
              <w:rPr>
                <w:rFonts w:ascii="Arial" w:hAnsi="Arial" w:cs="Arial"/>
                <w:sz w:val="24"/>
                <w:szCs w:val="24"/>
                <w:lang w:val="en-US"/>
              </w:rPr>
              <w:t>20</w:t>
            </w:r>
            <w:r w:rsidRPr="00C91089">
              <w:rPr>
                <w:rFonts w:ascii="Arial" w:hAnsi="Arial" w:cs="Arial"/>
                <w:sz w:val="24"/>
                <w:szCs w:val="24"/>
                <w:lang w:val="en-US"/>
              </w:rPr>
              <w:t xml:space="preserve"> August 2020 </w:t>
            </w:r>
          </w:p>
        </w:tc>
      </w:tr>
      <w:tr w:rsidR="00C91089" w:rsidRPr="00C91089" w:rsidTr="00447373">
        <w:tc>
          <w:tcPr>
            <w:tcW w:w="4950" w:type="dxa"/>
            <w:vMerge/>
          </w:tcPr>
          <w:p w:rsidR="00C91089" w:rsidRPr="00C91089" w:rsidRDefault="00C91089" w:rsidP="00C91089">
            <w:pPr>
              <w:rPr>
                <w:rFonts w:ascii="Arial" w:hAnsi="Arial" w:cs="Arial"/>
                <w:b/>
                <w:sz w:val="24"/>
                <w:szCs w:val="24"/>
                <w:lang w:val="en-US"/>
              </w:rPr>
            </w:pPr>
          </w:p>
        </w:tc>
        <w:tc>
          <w:tcPr>
            <w:tcW w:w="5130" w:type="dxa"/>
          </w:tcPr>
          <w:p w:rsidR="00C91089" w:rsidRPr="00C91089" w:rsidRDefault="00C91089" w:rsidP="00C91089">
            <w:pPr>
              <w:spacing w:line="360" w:lineRule="auto"/>
              <w:rPr>
                <w:rFonts w:ascii="Arial" w:hAnsi="Arial" w:cs="Arial"/>
                <w:b/>
                <w:sz w:val="24"/>
                <w:szCs w:val="24"/>
                <w:lang w:val="en-US"/>
              </w:rPr>
            </w:pPr>
            <w:r w:rsidRPr="00C91089">
              <w:rPr>
                <w:rFonts w:ascii="Arial" w:hAnsi="Arial" w:cs="Arial"/>
                <w:b/>
                <w:sz w:val="24"/>
                <w:szCs w:val="24"/>
                <w:lang w:val="en-US"/>
              </w:rPr>
              <w:t>Delivered on:</w:t>
            </w:r>
          </w:p>
          <w:p w:rsidR="00C91089" w:rsidRPr="00C91089" w:rsidRDefault="00C91089" w:rsidP="00C91089">
            <w:pPr>
              <w:spacing w:line="360" w:lineRule="auto"/>
              <w:rPr>
                <w:rFonts w:ascii="Arial" w:hAnsi="Arial" w:cs="Arial"/>
                <w:sz w:val="24"/>
                <w:szCs w:val="24"/>
                <w:lang w:val="en-US"/>
              </w:rPr>
            </w:pPr>
            <w:r w:rsidRPr="00C91089">
              <w:rPr>
                <w:rFonts w:ascii="Arial" w:hAnsi="Arial" w:cs="Arial"/>
                <w:sz w:val="24"/>
                <w:szCs w:val="24"/>
                <w:lang w:val="en-US"/>
              </w:rPr>
              <w:t>20 August 2020</w:t>
            </w:r>
          </w:p>
          <w:p w:rsidR="00C91089" w:rsidRPr="00C91089" w:rsidRDefault="00C91089" w:rsidP="00C91089">
            <w:pPr>
              <w:spacing w:line="360" w:lineRule="auto"/>
              <w:rPr>
                <w:rFonts w:ascii="Arial" w:hAnsi="Arial" w:cs="Arial"/>
                <w:sz w:val="24"/>
                <w:szCs w:val="24"/>
                <w:lang w:val="en-US"/>
              </w:rPr>
            </w:pPr>
          </w:p>
        </w:tc>
      </w:tr>
      <w:tr w:rsidR="00C91089" w:rsidRPr="00C91089" w:rsidTr="00447373">
        <w:tc>
          <w:tcPr>
            <w:tcW w:w="10080" w:type="dxa"/>
            <w:gridSpan w:val="2"/>
          </w:tcPr>
          <w:p w:rsidR="00C91089" w:rsidRPr="00C91089" w:rsidRDefault="00C91089" w:rsidP="00C91089">
            <w:pPr>
              <w:spacing w:line="360" w:lineRule="auto"/>
              <w:rPr>
                <w:rFonts w:ascii="Arial" w:hAnsi="Arial" w:cs="Arial"/>
                <w:sz w:val="24"/>
                <w:szCs w:val="24"/>
                <w:lang w:val="en-US"/>
              </w:rPr>
            </w:pPr>
            <w:r w:rsidRPr="00C91089">
              <w:rPr>
                <w:rFonts w:ascii="Arial" w:hAnsi="Arial" w:cs="Arial"/>
                <w:b/>
                <w:sz w:val="24"/>
                <w:szCs w:val="24"/>
                <w:lang w:val="en-US"/>
              </w:rPr>
              <w:t xml:space="preserve">Neutral citation:  </w:t>
            </w:r>
            <w:r>
              <w:rPr>
                <w:rFonts w:ascii="Arial" w:hAnsi="Arial" w:cs="Arial"/>
                <w:i/>
                <w:sz w:val="24"/>
                <w:szCs w:val="24"/>
                <w:lang w:val="en-US"/>
              </w:rPr>
              <w:t>Communication</w:t>
            </w:r>
            <w:r w:rsidR="00EE4069">
              <w:rPr>
                <w:rFonts w:ascii="Arial" w:hAnsi="Arial" w:cs="Arial"/>
                <w:i/>
                <w:sz w:val="24"/>
                <w:szCs w:val="24"/>
                <w:lang w:val="en-US"/>
              </w:rPr>
              <w:t>s</w:t>
            </w:r>
            <w:r>
              <w:rPr>
                <w:rFonts w:ascii="Arial" w:hAnsi="Arial" w:cs="Arial"/>
                <w:i/>
                <w:sz w:val="24"/>
                <w:szCs w:val="24"/>
                <w:lang w:val="en-US"/>
              </w:rPr>
              <w:t xml:space="preserve"> Regulatory Authority of Namibia v Mobile Telecommunication</w:t>
            </w:r>
            <w:r w:rsidR="00EE4069">
              <w:rPr>
                <w:rFonts w:ascii="Arial" w:hAnsi="Arial" w:cs="Arial"/>
                <w:i/>
                <w:sz w:val="24"/>
                <w:szCs w:val="24"/>
                <w:lang w:val="en-US"/>
              </w:rPr>
              <w:t>s</w:t>
            </w:r>
            <w:r>
              <w:rPr>
                <w:rFonts w:ascii="Arial" w:hAnsi="Arial" w:cs="Arial"/>
                <w:i/>
                <w:sz w:val="24"/>
                <w:szCs w:val="24"/>
                <w:lang w:val="en-US"/>
              </w:rPr>
              <w:t xml:space="preserve"> Company Namibia</w:t>
            </w:r>
            <w:r w:rsidR="00580002">
              <w:rPr>
                <w:rFonts w:ascii="Arial" w:hAnsi="Arial" w:cs="Arial"/>
                <w:i/>
                <w:sz w:val="24"/>
                <w:szCs w:val="24"/>
                <w:lang w:val="en-US"/>
              </w:rPr>
              <w:t xml:space="preserve"> </w:t>
            </w:r>
            <w:r w:rsidRPr="00C91089">
              <w:rPr>
                <w:rFonts w:ascii="Arial" w:hAnsi="Arial" w:cs="Arial"/>
                <w:i/>
                <w:sz w:val="24"/>
                <w:szCs w:val="24"/>
                <w:lang w:val="en-US"/>
              </w:rPr>
              <w:t>(</w:t>
            </w:r>
            <w:r w:rsidRPr="00C91089">
              <w:rPr>
                <w:rFonts w:ascii="Arial" w:hAnsi="Arial" w:cs="Arial"/>
                <w:sz w:val="24"/>
                <w:szCs w:val="24"/>
                <w:lang w:val="en-US"/>
              </w:rPr>
              <w:t>HC-MD-CIV-ACT-OTH-201</w:t>
            </w:r>
            <w:r>
              <w:rPr>
                <w:rFonts w:ascii="Arial" w:hAnsi="Arial" w:cs="Arial"/>
                <w:sz w:val="24"/>
                <w:szCs w:val="24"/>
                <w:lang w:val="en-US"/>
              </w:rPr>
              <w:t>9</w:t>
            </w:r>
            <w:r w:rsidRPr="00C91089">
              <w:rPr>
                <w:rFonts w:ascii="Arial" w:hAnsi="Arial" w:cs="Arial"/>
                <w:sz w:val="24"/>
                <w:szCs w:val="24"/>
                <w:lang w:val="en-US"/>
              </w:rPr>
              <w:t>/0</w:t>
            </w:r>
            <w:r>
              <w:rPr>
                <w:rFonts w:ascii="Arial" w:hAnsi="Arial" w:cs="Arial"/>
                <w:sz w:val="24"/>
                <w:szCs w:val="24"/>
                <w:lang w:val="en-US"/>
              </w:rPr>
              <w:t>1367</w:t>
            </w:r>
            <w:r w:rsidR="00844D1D">
              <w:rPr>
                <w:rFonts w:ascii="Arial" w:hAnsi="Arial" w:cs="Arial"/>
                <w:sz w:val="24"/>
                <w:szCs w:val="24"/>
                <w:lang w:val="en-US"/>
              </w:rPr>
              <w:t>) [2020] NAHCMD 365</w:t>
            </w:r>
            <w:r w:rsidRPr="00C91089">
              <w:rPr>
                <w:rFonts w:ascii="Arial" w:hAnsi="Arial" w:cs="Arial"/>
                <w:sz w:val="24"/>
                <w:szCs w:val="24"/>
                <w:lang w:val="en-US"/>
              </w:rPr>
              <w:t xml:space="preserve"> (20 August 2020)</w:t>
            </w:r>
          </w:p>
          <w:p w:rsidR="00C91089" w:rsidRPr="00C91089" w:rsidRDefault="00C91089" w:rsidP="00C91089">
            <w:pPr>
              <w:rPr>
                <w:rFonts w:ascii="Arial" w:hAnsi="Arial" w:cs="Arial"/>
                <w:sz w:val="24"/>
                <w:szCs w:val="24"/>
                <w:lang w:val="en-US"/>
              </w:rPr>
            </w:pPr>
          </w:p>
        </w:tc>
      </w:tr>
      <w:tr w:rsidR="00C91089" w:rsidRPr="00C91089" w:rsidTr="00447373">
        <w:tc>
          <w:tcPr>
            <w:tcW w:w="10080" w:type="dxa"/>
            <w:gridSpan w:val="2"/>
          </w:tcPr>
          <w:p w:rsidR="00C91089" w:rsidRPr="00C91089" w:rsidRDefault="00C91089" w:rsidP="00C91089">
            <w:pPr>
              <w:spacing w:line="360" w:lineRule="auto"/>
              <w:rPr>
                <w:rFonts w:ascii="Arial" w:hAnsi="Arial" w:cs="Arial"/>
                <w:b/>
                <w:sz w:val="24"/>
                <w:szCs w:val="24"/>
                <w:lang w:val="en-US"/>
              </w:rPr>
            </w:pPr>
          </w:p>
          <w:p w:rsidR="00C91089" w:rsidRPr="00C91089" w:rsidRDefault="00C91089" w:rsidP="00C91089">
            <w:pPr>
              <w:tabs>
                <w:tab w:val="left" w:pos="687"/>
              </w:tabs>
              <w:spacing w:line="360" w:lineRule="auto"/>
              <w:rPr>
                <w:rFonts w:ascii="Arial" w:hAnsi="Arial" w:cs="Arial"/>
                <w:b/>
                <w:sz w:val="24"/>
                <w:szCs w:val="24"/>
                <w:lang w:val="en-US"/>
              </w:rPr>
            </w:pPr>
            <w:r w:rsidRPr="00C91089">
              <w:rPr>
                <w:rFonts w:ascii="Arial" w:hAnsi="Arial" w:cs="Arial"/>
                <w:b/>
                <w:sz w:val="24"/>
                <w:szCs w:val="24"/>
                <w:lang w:val="en-US"/>
              </w:rPr>
              <w:t>The Order:</w:t>
            </w:r>
          </w:p>
          <w:p w:rsidR="00C91089" w:rsidRPr="00C91089" w:rsidRDefault="00C91089" w:rsidP="00C91089">
            <w:pPr>
              <w:spacing w:line="360" w:lineRule="auto"/>
              <w:rPr>
                <w:rFonts w:ascii="Arial" w:hAnsi="Arial" w:cs="Arial"/>
                <w:sz w:val="24"/>
                <w:szCs w:val="24"/>
                <w:lang w:val="en-US"/>
              </w:rPr>
            </w:pPr>
            <w:r w:rsidRPr="00C91089">
              <w:rPr>
                <w:rFonts w:ascii="Arial" w:hAnsi="Arial" w:cs="Arial"/>
                <w:sz w:val="24"/>
                <w:szCs w:val="24"/>
                <w:lang w:val="en-US"/>
              </w:rPr>
              <w:t>Having read the pleadings and documents filed of record and having considered the heads of argument filed by the parties:</w:t>
            </w:r>
          </w:p>
          <w:p w:rsidR="00C91089" w:rsidRPr="00C91089" w:rsidRDefault="00C91089" w:rsidP="00C91089">
            <w:pPr>
              <w:spacing w:line="360" w:lineRule="auto"/>
              <w:rPr>
                <w:rFonts w:ascii="Arial" w:hAnsi="Arial" w:cs="Arial"/>
                <w:sz w:val="24"/>
                <w:szCs w:val="24"/>
                <w:lang w:val="en-US"/>
              </w:rPr>
            </w:pPr>
          </w:p>
          <w:p w:rsidR="00C91089" w:rsidRPr="00C91089" w:rsidRDefault="00C91089" w:rsidP="00C91089">
            <w:pPr>
              <w:spacing w:line="360" w:lineRule="auto"/>
              <w:rPr>
                <w:rFonts w:ascii="Arial" w:hAnsi="Arial" w:cs="Arial"/>
                <w:b/>
                <w:sz w:val="24"/>
                <w:szCs w:val="24"/>
                <w:lang w:val="en-US"/>
              </w:rPr>
            </w:pPr>
            <w:r w:rsidRPr="00C91089">
              <w:rPr>
                <w:rFonts w:ascii="Arial" w:hAnsi="Arial" w:cs="Arial"/>
                <w:b/>
                <w:sz w:val="24"/>
                <w:szCs w:val="24"/>
                <w:lang w:val="en-US"/>
              </w:rPr>
              <w:t>IT IS ORDERED THAT:</w:t>
            </w:r>
          </w:p>
          <w:p w:rsidR="00C91089" w:rsidRPr="00C91089" w:rsidRDefault="00C91089" w:rsidP="00C91089">
            <w:pPr>
              <w:spacing w:line="360" w:lineRule="auto"/>
              <w:rPr>
                <w:rFonts w:ascii="Arial" w:hAnsi="Arial" w:cs="Arial"/>
                <w:b/>
                <w:sz w:val="24"/>
                <w:szCs w:val="24"/>
                <w:lang w:val="en-US"/>
              </w:rPr>
            </w:pPr>
          </w:p>
          <w:p w:rsidR="00C91089" w:rsidRDefault="00C91089" w:rsidP="00C91089">
            <w:pPr>
              <w:tabs>
                <w:tab w:val="left" w:pos="432"/>
              </w:tabs>
              <w:spacing w:line="360" w:lineRule="auto"/>
              <w:rPr>
                <w:rFonts w:ascii="Arial" w:hAnsi="Arial" w:cs="Arial"/>
                <w:sz w:val="24"/>
                <w:szCs w:val="24"/>
                <w:lang w:val="en-US"/>
              </w:rPr>
            </w:pPr>
            <w:r w:rsidRPr="00C91089">
              <w:rPr>
                <w:rFonts w:ascii="Arial" w:hAnsi="Arial" w:cs="Arial"/>
                <w:sz w:val="24"/>
                <w:szCs w:val="24"/>
                <w:lang w:val="en-US"/>
              </w:rPr>
              <w:t>1.</w:t>
            </w:r>
            <w:r w:rsidRPr="00C91089">
              <w:rPr>
                <w:rFonts w:ascii="Arial" w:hAnsi="Arial" w:cs="Arial"/>
                <w:sz w:val="24"/>
                <w:szCs w:val="24"/>
                <w:lang w:val="en-US"/>
              </w:rPr>
              <w:tab/>
            </w:r>
            <w:r>
              <w:rPr>
                <w:rFonts w:ascii="Arial" w:hAnsi="Arial" w:cs="Arial"/>
                <w:sz w:val="24"/>
                <w:szCs w:val="24"/>
                <w:lang w:val="en-US"/>
              </w:rPr>
              <w:t>An application for leave to appeal is not an interlocutory application within the meaning of</w:t>
            </w:r>
            <w:r w:rsidRPr="00C91089">
              <w:rPr>
                <w:rFonts w:ascii="Arial" w:hAnsi="Arial" w:cs="Arial"/>
                <w:i/>
                <w:sz w:val="24"/>
                <w:szCs w:val="24"/>
                <w:lang w:val="en-US"/>
              </w:rPr>
              <w:t xml:space="preserve"> </w:t>
            </w:r>
            <w:r w:rsidRPr="003722B7">
              <w:rPr>
                <w:rFonts w:ascii="Arial" w:hAnsi="Arial" w:cs="Arial"/>
                <w:sz w:val="24"/>
                <w:szCs w:val="24"/>
                <w:lang w:val="en-US"/>
              </w:rPr>
              <w:t>rule</w:t>
            </w:r>
            <w:r>
              <w:rPr>
                <w:rFonts w:ascii="Arial" w:hAnsi="Arial" w:cs="Arial"/>
                <w:sz w:val="24"/>
                <w:szCs w:val="24"/>
                <w:lang w:val="en-US"/>
              </w:rPr>
              <w:t xml:space="preserve"> 32</w:t>
            </w:r>
            <w:r w:rsidR="00EE4069">
              <w:rPr>
                <w:rFonts w:ascii="Arial" w:hAnsi="Arial" w:cs="Arial"/>
                <w:sz w:val="24"/>
                <w:szCs w:val="24"/>
                <w:lang w:val="en-US"/>
              </w:rPr>
              <w:t xml:space="preserve">.  </w:t>
            </w:r>
            <w:r>
              <w:rPr>
                <w:rFonts w:ascii="Arial" w:hAnsi="Arial" w:cs="Arial"/>
                <w:sz w:val="24"/>
                <w:szCs w:val="24"/>
                <w:lang w:val="en-US"/>
              </w:rPr>
              <w:t>Accordingly, the defendant’s point in limine on this score, is dismissed with costs.</w:t>
            </w:r>
          </w:p>
          <w:p w:rsidR="00C91089" w:rsidRDefault="00C91089" w:rsidP="00C91089">
            <w:pPr>
              <w:tabs>
                <w:tab w:val="left" w:pos="432"/>
              </w:tabs>
              <w:spacing w:line="360" w:lineRule="auto"/>
              <w:rPr>
                <w:rFonts w:ascii="Arial" w:hAnsi="Arial" w:cs="Arial"/>
                <w:sz w:val="24"/>
                <w:szCs w:val="24"/>
                <w:lang w:val="en-US"/>
              </w:rPr>
            </w:pPr>
          </w:p>
          <w:p w:rsidR="00C91089" w:rsidRDefault="00C91089" w:rsidP="00C91089">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plaintiff’s application for condonation of the late filing of the application for leave to appeal, is dismissed.</w:t>
            </w:r>
          </w:p>
          <w:p w:rsidR="00C91089" w:rsidRDefault="00C91089" w:rsidP="00C91089">
            <w:pPr>
              <w:tabs>
                <w:tab w:val="left" w:pos="432"/>
              </w:tabs>
              <w:spacing w:line="360" w:lineRule="auto"/>
              <w:rPr>
                <w:rFonts w:ascii="Arial" w:hAnsi="Arial" w:cs="Arial"/>
                <w:sz w:val="24"/>
                <w:szCs w:val="24"/>
                <w:lang w:val="en-US"/>
              </w:rPr>
            </w:pPr>
          </w:p>
          <w:p w:rsidR="00C91089" w:rsidRDefault="00C91089" w:rsidP="00C91089">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The application for leave to appeal, having been filed out of time, is improperly before court and is, therefore, struck from the roll.</w:t>
            </w:r>
          </w:p>
          <w:p w:rsidR="00C91089" w:rsidRDefault="00C91089" w:rsidP="00C91089">
            <w:pPr>
              <w:tabs>
                <w:tab w:val="left" w:pos="432"/>
              </w:tabs>
              <w:spacing w:line="360" w:lineRule="auto"/>
              <w:rPr>
                <w:rFonts w:ascii="Arial" w:hAnsi="Arial" w:cs="Arial"/>
                <w:sz w:val="24"/>
                <w:szCs w:val="24"/>
                <w:lang w:val="en-US"/>
              </w:rPr>
            </w:pPr>
          </w:p>
          <w:p w:rsidR="00C91089" w:rsidRDefault="00C91089" w:rsidP="00C91089">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plaintiff is ordered to pay the defendant’s costs occasioned by defendant’s opposition to the plaintiff’s application for condonation and </w:t>
            </w:r>
            <w:r w:rsidR="00EE4069">
              <w:rPr>
                <w:rFonts w:ascii="Arial" w:hAnsi="Arial" w:cs="Arial"/>
                <w:sz w:val="24"/>
                <w:szCs w:val="24"/>
                <w:lang w:val="en-US"/>
              </w:rPr>
              <w:t xml:space="preserve">the </w:t>
            </w:r>
            <w:r>
              <w:rPr>
                <w:rFonts w:ascii="Arial" w:hAnsi="Arial" w:cs="Arial"/>
                <w:sz w:val="24"/>
                <w:szCs w:val="24"/>
                <w:lang w:val="en-US"/>
              </w:rPr>
              <w:t>application for leave to appeal.</w:t>
            </w:r>
          </w:p>
          <w:p w:rsidR="00C91089" w:rsidRDefault="00C91089" w:rsidP="00C91089">
            <w:pPr>
              <w:tabs>
                <w:tab w:val="left" w:pos="432"/>
              </w:tabs>
              <w:spacing w:line="360" w:lineRule="auto"/>
              <w:rPr>
                <w:rFonts w:ascii="Arial" w:hAnsi="Arial" w:cs="Arial"/>
                <w:sz w:val="24"/>
                <w:szCs w:val="24"/>
                <w:lang w:val="en-US"/>
              </w:rPr>
            </w:pPr>
          </w:p>
          <w:p w:rsidR="00C91089" w:rsidRDefault="00C91089" w:rsidP="00C91089">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matter is postponed to the 07 October 2020 at 15:15 for status hearing.</w:t>
            </w:r>
          </w:p>
          <w:p w:rsidR="00C91089" w:rsidRDefault="00C91089" w:rsidP="00C91089">
            <w:pPr>
              <w:tabs>
                <w:tab w:val="left" w:pos="432"/>
              </w:tabs>
              <w:spacing w:line="360" w:lineRule="auto"/>
              <w:rPr>
                <w:rFonts w:ascii="Arial" w:hAnsi="Arial" w:cs="Arial"/>
                <w:sz w:val="24"/>
                <w:szCs w:val="24"/>
                <w:lang w:val="en-US"/>
              </w:rPr>
            </w:pPr>
          </w:p>
          <w:p w:rsidR="00C91089" w:rsidRPr="00C91089" w:rsidRDefault="00C91089" w:rsidP="00C91089">
            <w:pPr>
              <w:tabs>
                <w:tab w:val="left" w:pos="432"/>
              </w:tabs>
              <w:spacing w:line="360" w:lineRule="auto"/>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parties are directed to file a joint status report on or before 30 September 2020.</w:t>
            </w:r>
          </w:p>
          <w:p w:rsidR="00C91089" w:rsidRPr="00C91089" w:rsidRDefault="00C91089" w:rsidP="00C91089">
            <w:pPr>
              <w:tabs>
                <w:tab w:val="left" w:pos="432"/>
              </w:tabs>
              <w:spacing w:line="360" w:lineRule="auto"/>
              <w:rPr>
                <w:rFonts w:ascii="Arial" w:hAnsi="Arial" w:cs="Arial"/>
                <w:sz w:val="24"/>
                <w:szCs w:val="24"/>
                <w:lang w:val="en-US"/>
              </w:rPr>
            </w:pPr>
          </w:p>
        </w:tc>
      </w:tr>
      <w:tr w:rsidR="00C91089" w:rsidRPr="00C91089" w:rsidTr="00447373">
        <w:tc>
          <w:tcPr>
            <w:tcW w:w="10080" w:type="dxa"/>
            <w:gridSpan w:val="2"/>
          </w:tcPr>
          <w:p w:rsidR="00C91089" w:rsidRPr="00C91089" w:rsidRDefault="00C91089" w:rsidP="00C91089">
            <w:pPr>
              <w:jc w:val="center"/>
              <w:rPr>
                <w:rFonts w:ascii="Arial" w:hAnsi="Arial" w:cs="Arial"/>
                <w:b/>
                <w:sz w:val="24"/>
                <w:szCs w:val="24"/>
                <w:lang w:val="en-US"/>
              </w:rPr>
            </w:pPr>
            <w:r w:rsidRPr="00C91089">
              <w:rPr>
                <w:rFonts w:ascii="Arial" w:hAnsi="Arial" w:cs="Arial"/>
                <w:b/>
                <w:sz w:val="24"/>
                <w:szCs w:val="24"/>
                <w:lang w:val="en-US"/>
              </w:rPr>
              <w:lastRenderedPageBreak/>
              <w:t>Reasons:  Practice Direction 61(9)</w:t>
            </w:r>
          </w:p>
          <w:p w:rsidR="00580002" w:rsidRPr="00C91089" w:rsidRDefault="00580002" w:rsidP="00C91089">
            <w:pPr>
              <w:rPr>
                <w:rFonts w:ascii="Arial" w:hAnsi="Arial" w:cs="Arial"/>
                <w:b/>
                <w:sz w:val="24"/>
                <w:szCs w:val="24"/>
                <w:lang w:val="en-US"/>
              </w:rPr>
            </w:pPr>
          </w:p>
        </w:tc>
      </w:tr>
      <w:tr w:rsidR="00580002" w:rsidRPr="00C91089" w:rsidTr="00447373">
        <w:tc>
          <w:tcPr>
            <w:tcW w:w="10080" w:type="dxa"/>
            <w:gridSpan w:val="2"/>
          </w:tcPr>
          <w:p w:rsidR="00580002" w:rsidRPr="00C91089" w:rsidRDefault="00580002" w:rsidP="00580002">
            <w:pPr>
              <w:spacing w:line="360" w:lineRule="auto"/>
              <w:jc w:val="both"/>
              <w:rPr>
                <w:rFonts w:ascii="Arial" w:hAnsi="Arial" w:cs="Arial"/>
                <w:sz w:val="24"/>
                <w:szCs w:val="24"/>
                <w:u w:val="single"/>
                <w:lang w:val="en-US"/>
              </w:rPr>
            </w:pPr>
            <w:r w:rsidRPr="00C91089">
              <w:rPr>
                <w:rFonts w:ascii="Arial" w:hAnsi="Arial" w:cs="Arial"/>
                <w:sz w:val="24"/>
                <w:szCs w:val="24"/>
                <w:u w:val="single"/>
                <w:lang w:val="en-US"/>
              </w:rPr>
              <w:t xml:space="preserve">Introduction </w:t>
            </w:r>
          </w:p>
          <w:p w:rsidR="00580002" w:rsidRPr="00C91089" w:rsidRDefault="00580002" w:rsidP="00580002">
            <w:pPr>
              <w:spacing w:line="360" w:lineRule="auto"/>
              <w:jc w:val="both"/>
              <w:rPr>
                <w:rFonts w:ascii="Arial" w:hAnsi="Arial" w:cs="Arial"/>
                <w:sz w:val="24"/>
                <w:szCs w:val="24"/>
                <w:u w:val="single"/>
                <w:lang w:val="en-US"/>
              </w:rPr>
            </w:pPr>
          </w:p>
          <w:p w:rsidR="00580002" w:rsidRDefault="00580002" w:rsidP="00580002">
            <w:pPr>
              <w:tabs>
                <w:tab w:val="left" w:pos="927"/>
              </w:tabs>
              <w:spacing w:line="360" w:lineRule="auto"/>
              <w:jc w:val="both"/>
              <w:rPr>
                <w:rFonts w:ascii="Arial" w:hAnsi="Arial" w:cs="Arial"/>
                <w:sz w:val="24"/>
                <w:szCs w:val="24"/>
                <w:lang w:val="en-US"/>
              </w:rPr>
            </w:pPr>
            <w:r w:rsidRPr="00C91089">
              <w:rPr>
                <w:rFonts w:ascii="Arial" w:hAnsi="Arial" w:cs="Arial"/>
                <w:sz w:val="24"/>
                <w:szCs w:val="24"/>
                <w:lang w:val="en-US"/>
              </w:rPr>
              <w:t>[1]</w:t>
            </w:r>
            <w:r w:rsidRPr="00C91089">
              <w:rPr>
                <w:rFonts w:ascii="Arial" w:hAnsi="Arial" w:cs="Arial"/>
                <w:sz w:val="24"/>
                <w:szCs w:val="24"/>
                <w:lang w:val="en-US"/>
              </w:rPr>
              <w:tab/>
            </w:r>
            <w:r>
              <w:rPr>
                <w:rFonts w:ascii="Arial" w:hAnsi="Arial" w:cs="Arial"/>
                <w:sz w:val="24"/>
                <w:szCs w:val="24"/>
                <w:lang w:val="en-US"/>
              </w:rPr>
              <w:t>Presently before court for determination are three applications launched by the plaintiff, namely applications for:</w:t>
            </w: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(a)  condonation of the plaintiff’s failure to make application for leave to appeal within </w:t>
            </w:r>
            <w:r>
              <w:rPr>
                <w:rFonts w:ascii="Arial" w:hAnsi="Arial" w:cs="Arial"/>
                <w:sz w:val="24"/>
                <w:szCs w:val="24"/>
                <w:lang w:val="en-US"/>
              </w:rPr>
              <w:tab/>
              <w:t>15 days after the date of the order appealed against;</w:t>
            </w: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(b)  condonation of plaintiff’s failure to comply with </w:t>
            </w:r>
            <w:r w:rsidRPr="003722B7">
              <w:rPr>
                <w:rFonts w:ascii="Arial" w:hAnsi="Arial" w:cs="Arial"/>
                <w:sz w:val="24"/>
                <w:szCs w:val="24"/>
                <w:lang w:val="en-US"/>
              </w:rPr>
              <w:t>rule</w:t>
            </w:r>
            <w:r>
              <w:rPr>
                <w:rFonts w:ascii="Arial" w:hAnsi="Arial" w:cs="Arial"/>
                <w:sz w:val="24"/>
                <w:szCs w:val="24"/>
                <w:lang w:val="en-US"/>
              </w:rPr>
              <w:t xml:space="preserve"> 32 (9) and (10) in respect of  </w:t>
            </w:r>
            <w:r>
              <w:rPr>
                <w:rFonts w:ascii="Arial" w:hAnsi="Arial" w:cs="Arial"/>
                <w:sz w:val="24"/>
                <w:szCs w:val="24"/>
                <w:lang w:val="en-US"/>
              </w:rPr>
              <w:tab/>
              <w:t xml:space="preserve">plaintiff’s application for </w:t>
            </w:r>
            <w:r w:rsidR="00BB2B6A">
              <w:rPr>
                <w:rFonts w:ascii="Arial" w:hAnsi="Arial" w:cs="Arial"/>
                <w:sz w:val="24"/>
                <w:szCs w:val="24"/>
                <w:lang w:val="en-US"/>
              </w:rPr>
              <w:t>leave to appeal</w:t>
            </w:r>
            <w:r>
              <w:rPr>
                <w:rFonts w:ascii="Arial" w:hAnsi="Arial" w:cs="Arial"/>
                <w:sz w:val="24"/>
                <w:szCs w:val="24"/>
                <w:lang w:val="en-US"/>
              </w:rPr>
              <w:t xml:space="preserve">, and, </w:t>
            </w: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(c)  </w:t>
            </w:r>
            <w:proofErr w:type="gramStart"/>
            <w:r>
              <w:rPr>
                <w:rFonts w:ascii="Arial" w:hAnsi="Arial" w:cs="Arial"/>
                <w:sz w:val="24"/>
                <w:szCs w:val="24"/>
                <w:lang w:val="en-US"/>
              </w:rPr>
              <w:t>application</w:t>
            </w:r>
            <w:proofErr w:type="gramEnd"/>
            <w:r>
              <w:rPr>
                <w:rFonts w:ascii="Arial" w:hAnsi="Arial" w:cs="Arial"/>
                <w:sz w:val="24"/>
                <w:szCs w:val="24"/>
                <w:lang w:val="en-US"/>
              </w:rPr>
              <w:t xml:space="preserve"> for leave to appeal.</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On the 15 November 2019, this court made an order in the following terms:</w:t>
            </w:r>
          </w:p>
          <w:p w:rsidR="00580002" w:rsidRDefault="00580002" w:rsidP="00580002">
            <w:pPr>
              <w:tabs>
                <w:tab w:val="left" w:pos="927"/>
              </w:tabs>
              <w:spacing w:line="360" w:lineRule="auto"/>
              <w:jc w:val="both"/>
              <w:rPr>
                <w:rFonts w:ascii="Arial" w:hAnsi="Arial" w:cs="Arial"/>
              </w:rPr>
            </w:pPr>
            <w:r w:rsidRPr="0066428F">
              <w:rPr>
                <w:rFonts w:ascii="Arial" w:hAnsi="Arial" w:cs="Arial"/>
              </w:rPr>
              <w:t>‘1</w:t>
            </w:r>
            <w:proofErr w:type="gramStart"/>
            <w:r w:rsidRPr="0066428F">
              <w:rPr>
                <w:rFonts w:ascii="Arial" w:hAnsi="Arial" w:cs="Arial"/>
              </w:rPr>
              <w:t>.  The</w:t>
            </w:r>
            <w:proofErr w:type="gramEnd"/>
            <w:r w:rsidRPr="0066428F">
              <w:rPr>
                <w:rFonts w:ascii="Arial" w:hAnsi="Arial" w:cs="Arial"/>
              </w:rPr>
              <w:t xml:space="preserve"> court declines to entertain this matter on the basis that it does not meet the requirements of a 'special case' contemplated under rule 63. </w:t>
            </w:r>
          </w:p>
          <w:p w:rsidR="00580002" w:rsidRDefault="00580002" w:rsidP="00580002">
            <w:pPr>
              <w:tabs>
                <w:tab w:val="left" w:pos="927"/>
              </w:tabs>
              <w:spacing w:line="360" w:lineRule="auto"/>
              <w:jc w:val="both"/>
              <w:rPr>
                <w:rFonts w:ascii="Arial" w:hAnsi="Arial" w:cs="Arial"/>
              </w:rPr>
            </w:pPr>
            <w:r w:rsidRPr="0066428F">
              <w:rPr>
                <w:rFonts w:ascii="Arial" w:hAnsi="Arial" w:cs="Arial"/>
              </w:rPr>
              <w:t xml:space="preserve">2 The purported 'special case' is therefore struck from the roll. </w:t>
            </w:r>
          </w:p>
          <w:p w:rsidR="00580002" w:rsidRDefault="00580002" w:rsidP="00580002">
            <w:pPr>
              <w:tabs>
                <w:tab w:val="left" w:pos="927"/>
              </w:tabs>
              <w:spacing w:line="360" w:lineRule="auto"/>
              <w:jc w:val="both"/>
              <w:rPr>
                <w:rFonts w:ascii="Arial" w:hAnsi="Arial" w:cs="Arial"/>
              </w:rPr>
            </w:pPr>
            <w:r w:rsidRPr="0066428F">
              <w:rPr>
                <w:rFonts w:ascii="Arial" w:hAnsi="Arial" w:cs="Arial"/>
              </w:rPr>
              <w:t>3 The plaintiff is ordered to pay the costs of the defendant, such costs to include costs of one instructing and two instructed legal practitioners. It is further directed that the capping which applies to interlocutory applications in terms of rule 32 (</w:t>
            </w:r>
            <w:r w:rsidR="00EE4069">
              <w:rPr>
                <w:rFonts w:ascii="Arial" w:hAnsi="Arial" w:cs="Arial"/>
              </w:rPr>
              <w:t>1</w:t>
            </w:r>
            <w:r w:rsidRPr="0066428F">
              <w:rPr>
                <w:rFonts w:ascii="Arial" w:hAnsi="Arial" w:cs="Arial"/>
              </w:rPr>
              <w:t xml:space="preserve">1) should not apply. </w:t>
            </w:r>
          </w:p>
          <w:p w:rsidR="00580002" w:rsidRDefault="00580002" w:rsidP="00580002">
            <w:pPr>
              <w:tabs>
                <w:tab w:val="left" w:pos="927"/>
              </w:tabs>
              <w:spacing w:line="360" w:lineRule="auto"/>
              <w:jc w:val="both"/>
              <w:rPr>
                <w:rFonts w:ascii="Arial" w:hAnsi="Arial" w:cs="Arial"/>
              </w:rPr>
            </w:pPr>
            <w:r w:rsidRPr="0066428F">
              <w:rPr>
                <w:rFonts w:ascii="Arial" w:hAnsi="Arial" w:cs="Arial"/>
              </w:rPr>
              <w:t xml:space="preserve">4 The case is postponed to 29/01/2020 at 15:15 for Status hearing. </w:t>
            </w:r>
          </w:p>
          <w:p w:rsidR="00580002" w:rsidRDefault="00580002" w:rsidP="00580002">
            <w:pPr>
              <w:tabs>
                <w:tab w:val="left" w:pos="927"/>
              </w:tabs>
              <w:spacing w:line="360" w:lineRule="auto"/>
              <w:jc w:val="both"/>
              <w:rPr>
                <w:rFonts w:ascii="Arial" w:hAnsi="Arial" w:cs="Arial"/>
              </w:rPr>
            </w:pPr>
            <w:r w:rsidRPr="0066428F">
              <w:rPr>
                <w:rFonts w:ascii="Arial" w:hAnsi="Arial" w:cs="Arial"/>
              </w:rPr>
              <w:t>5 The parties are directed to file a joint status report on or before 23/01/2020.’</w:t>
            </w:r>
          </w:p>
          <w:p w:rsidR="00580002" w:rsidRDefault="00580002" w:rsidP="00580002">
            <w:pPr>
              <w:tabs>
                <w:tab w:val="left" w:pos="927"/>
              </w:tabs>
              <w:spacing w:line="360" w:lineRule="auto"/>
              <w:jc w:val="both"/>
              <w:rPr>
                <w:rFonts w:ascii="Arial" w:hAnsi="Arial" w:cs="Arial"/>
              </w:rPr>
            </w:pPr>
          </w:p>
          <w:p w:rsidR="00580002" w:rsidRDefault="00580002" w:rsidP="00580002">
            <w:pPr>
              <w:tabs>
                <w:tab w:val="left" w:pos="927"/>
              </w:tabs>
              <w:spacing w:line="360" w:lineRule="auto"/>
              <w:jc w:val="both"/>
              <w:rPr>
                <w:rFonts w:ascii="Arial" w:hAnsi="Arial" w:cs="Arial"/>
                <w:sz w:val="24"/>
                <w:szCs w:val="24"/>
              </w:rPr>
            </w:pPr>
            <w:r w:rsidRPr="0066428F">
              <w:rPr>
                <w:rFonts w:ascii="Arial" w:hAnsi="Arial" w:cs="Arial"/>
                <w:sz w:val="24"/>
                <w:szCs w:val="24"/>
              </w:rPr>
              <w:t>[3]</w:t>
            </w:r>
            <w:r w:rsidRPr="0066428F">
              <w:rPr>
                <w:rFonts w:ascii="Arial" w:hAnsi="Arial" w:cs="Arial"/>
                <w:sz w:val="24"/>
                <w:szCs w:val="24"/>
              </w:rPr>
              <w:tab/>
              <w:t xml:space="preserve">Aggrieved </w:t>
            </w:r>
            <w:r>
              <w:rPr>
                <w:rFonts w:ascii="Arial" w:hAnsi="Arial" w:cs="Arial"/>
                <w:sz w:val="24"/>
                <w:szCs w:val="24"/>
              </w:rPr>
              <w:t xml:space="preserve">by the aforesaid order, the plaintiff, on the 13 December 2019, filed a notice of application for leave to appeal against the </w:t>
            </w:r>
            <w:r w:rsidRPr="0066428F">
              <w:rPr>
                <w:rFonts w:ascii="Arial" w:hAnsi="Arial" w:cs="Arial"/>
                <w:i/>
                <w:sz w:val="24"/>
                <w:szCs w:val="24"/>
              </w:rPr>
              <w:t>‘whole’</w:t>
            </w:r>
            <w:r>
              <w:rPr>
                <w:rFonts w:ascii="Arial" w:hAnsi="Arial" w:cs="Arial"/>
                <w:sz w:val="24"/>
                <w:szCs w:val="24"/>
              </w:rPr>
              <w:t xml:space="preserve"> of that order.</w:t>
            </w:r>
          </w:p>
          <w:p w:rsidR="00580002" w:rsidRDefault="00580002" w:rsidP="00580002">
            <w:pPr>
              <w:tabs>
                <w:tab w:val="left" w:pos="927"/>
              </w:tabs>
              <w:spacing w:line="360" w:lineRule="auto"/>
              <w:jc w:val="both"/>
              <w:rPr>
                <w:rFonts w:ascii="Arial" w:hAnsi="Arial" w:cs="Arial"/>
                <w:sz w:val="24"/>
                <w:szCs w:val="24"/>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In terms of </w:t>
            </w:r>
            <w:r w:rsidRPr="003722B7">
              <w:rPr>
                <w:rFonts w:ascii="Arial" w:hAnsi="Arial" w:cs="Arial"/>
                <w:sz w:val="24"/>
                <w:szCs w:val="24"/>
                <w:lang w:val="en-US"/>
              </w:rPr>
              <w:t>rule</w:t>
            </w:r>
            <w:r>
              <w:rPr>
                <w:rFonts w:ascii="Arial" w:hAnsi="Arial" w:cs="Arial"/>
                <w:sz w:val="24"/>
                <w:szCs w:val="24"/>
                <w:lang w:val="en-US"/>
              </w:rPr>
              <w:t xml:space="preserve"> 115, an application for leave to appeal must be made ‘within 15 days after the date of the order appealed against’.</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It is common cause that the plaintiff ought to have made the application for leave to appeal on or before the 9 December 2019.   The plaintiff did not do so.  The plaintiff filed its application for leave to appeal on 13 December 2019, some 3 or 4 days out of time.</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plaintiff has brought, among other things, an application for condonation of the late filing of the application for leave to appeal, on 5 March 2020.</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defendant opposes both the application for leave</w:t>
            </w:r>
            <w:r w:rsidR="00001DE6">
              <w:rPr>
                <w:rFonts w:ascii="Arial" w:hAnsi="Arial" w:cs="Arial"/>
                <w:sz w:val="24"/>
                <w:szCs w:val="24"/>
                <w:lang w:val="en-US"/>
              </w:rPr>
              <w:t xml:space="preserve"> to appeal</w:t>
            </w:r>
            <w:r>
              <w:rPr>
                <w:rFonts w:ascii="Arial" w:hAnsi="Arial" w:cs="Arial"/>
                <w:sz w:val="24"/>
                <w:szCs w:val="24"/>
                <w:lang w:val="en-US"/>
              </w:rPr>
              <w:t xml:space="preserve"> and for condonation of the late filing of the application for leave to appeal.</w:t>
            </w:r>
            <w:r w:rsidR="00001DE6">
              <w:rPr>
                <w:rFonts w:ascii="Arial" w:hAnsi="Arial" w:cs="Arial"/>
                <w:sz w:val="24"/>
                <w:szCs w:val="24"/>
                <w:lang w:val="en-US"/>
              </w:rPr>
              <w:t xml:space="preserve">  In addition, the defendant maintains that the plaintiff, having not complied with rule 32(9) and (10) before bringing the application for leave to appeal, the application for leave to appeal must be struck from the roll.</w:t>
            </w:r>
          </w:p>
          <w:p w:rsidR="00580002" w:rsidRDefault="00580002" w:rsidP="00580002">
            <w:pPr>
              <w:tabs>
                <w:tab w:val="left" w:pos="927"/>
              </w:tabs>
              <w:spacing w:line="360" w:lineRule="auto"/>
              <w:jc w:val="both"/>
              <w:rPr>
                <w:rFonts w:ascii="Arial" w:hAnsi="Arial" w:cs="Arial"/>
                <w:sz w:val="24"/>
                <w:szCs w:val="24"/>
                <w:lang w:val="en-US"/>
              </w:rPr>
            </w:pPr>
          </w:p>
          <w:p w:rsidR="00580002" w:rsidRPr="007267DA" w:rsidRDefault="00580002" w:rsidP="00580002">
            <w:pPr>
              <w:tabs>
                <w:tab w:val="left" w:pos="927"/>
              </w:tabs>
              <w:spacing w:line="360" w:lineRule="auto"/>
              <w:jc w:val="both"/>
              <w:rPr>
                <w:rFonts w:ascii="Arial" w:hAnsi="Arial" w:cs="Arial"/>
                <w:sz w:val="24"/>
                <w:szCs w:val="24"/>
                <w:u w:val="single"/>
                <w:lang w:val="en-US"/>
              </w:rPr>
            </w:pPr>
            <w:r w:rsidRPr="007267DA">
              <w:rPr>
                <w:rFonts w:ascii="Arial" w:hAnsi="Arial" w:cs="Arial"/>
                <w:sz w:val="24"/>
                <w:szCs w:val="24"/>
                <w:u w:val="single"/>
                <w:lang w:val="en-US"/>
              </w:rPr>
              <w:t>The plaintiff’s application(s)</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As regards the application for leave to appeal, the gist of the application is that the court erred in making the impugned order.</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The defendant raises a point in limine to the effect that, an application for leave to appeal is an interlocutory matter.  In terms of</w:t>
            </w:r>
            <w:r w:rsidRPr="00DE0B2C">
              <w:rPr>
                <w:rFonts w:ascii="Arial" w:hAnsi="Arial" w:cs="Arial"/>
                <w:i/>
                <w:sz w:val="24"/>
                <w:szCs w:val="24"/>
                <w:lang w:val="en-US"/>
              </w:rPr>
              <w:t xml:space="preserve"> rule </w:t>
            </w:r>
            <w:r>
              <w:rPr>
                <w:rFonts w:ascii="Arial" w:hAnsi="Arial" w:cs="Arial"/>
                <w:sz w:val="24"/>
                <w:szCs w:val="24"/>
                <w:lang w:val="en-US"/>
              </w:rPr>
              <w:t xml:space="preserve">32(9), a party wishing to bring an interlocutory proceeding, </w:t>
            </w:r>
            <w:r w:rsidR="00225EB8">
              <w:rPr>
                <w:rFonts w:ascii="Arial" w:hAnsi="Arial" w:cs="Arial"/>
                <w:sz w:val="24"/>
                <w:szCs w:val="24"/>
                <w:lang w:val="en-US"/>
              </w:rPr>
              <w:t>must, before launching it, seek</w:t>
            </w:r>
            <w:r>
              <w:rPr>
                <w:rFonts w:ascii="Arial" w:hAnsi="Arial" w:cs="Arial"/>
                <w:sz w:val="24"/>
                <w:szCs w:val="24"/>
                <w:lang w:val="en-US"/>
              </w:rPr>
              <w:t xml:space="preserve"> an amicable resolution thereof with the other party and only after the parties have failed to resolve the dispute may such proceeding be delivered to the court.  The defendant further argues that, the plaintiff was obliged in terms of </w:t>
            </w:r>
            <w:r w:rsidRPr="00DE0B2C">
              <w:rPr>
                <w:rFonts w:ascii="Arial" w:hAnsi="Arial" w:cs="Arial"/>
                <w:i/>
                <w:sz w:val="24"/>
                <w:szCs w:val="24"/>
                <w:lang w:val="en-US"/>
              </w:rPr>
              <w:t>rule</w:t>
            </w:r>
            <w:r>
              <w:rPr>
                <w:rFonts w:ascii="Arial" w:hAnsi="Arial" w:cs="Arial"/>
                <w:sz w:val="24"/>
                <w:szCs w:val="24"/>
                <w:lang w:val="en-US"/>
              </w:rPr>
              <w:t xml:space="preserve"> 32(10) to file a statement detailing the steps taken to have the matter amicably resolved, before filing the application for leave to appeal.  The defendant contends </w:t>
            </w:r>
            <w:r>
              <w:rPr>
                <w:rFonts w:ascii="Arial" w:hAnsi="Arial" w:cs="Arial"/>
                <w:sz w:val="24"/>
                <w:szCs w:val="24"/>
                <w:lang w:val="en-US"/>
              </w:rPr>
              <w:lastRenderedPageBreak/>
              <w:t xml:space="preserve">that the plaintiff did not comply with </w:t>
            </w:r>
            <w:r w:rsidRPr="003722B7">
              <w:rPr>
                <w:rFonts w:ascii="Arial" w:hAnsi="Arial" w:cs="Arial"/>
                <w:sz w:val="24"/>
                <w:szCs w:val="24"/>
                <w:lang w:val="en-US"/>
              </w:rPr>
              <w:t>rule</w:t>
            </w:r>
            <w:r>
              <w:rPr>
                <w:rFonts w:ascii="Arial" w:hAnsi="Arial" w:cs="Arial"/>
                <w:sz w:val="24"/>
                <w:szCs w:val="24"/>
                <w:lang w:val="en-US"/>
              </w:rPr>
              <w:t xml:space="preserve"> 32(9) and (10) before filing the application for leave to appeal and for that reason the application for leave to appeal be struck from the roll.</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i/>
                <w:sz w:val="24"/>
                <w:szCs w:val="24"/>
                <w:lang w:val="en-US"/>
              </w:rPr>
            </w:pPr>
            <w:r>
              <w:rPr>
                <w:rFonts w:ascii="Arial" w:hAnsi="Arial" w:cs="Arial"/>
                <w:sz w:val="24"/>
                <w:szCs w:val="24"/>
                <w:lang w:val="en-US"/>
              </w:rPr>
              <w:t>[10]</w:t>
            </w:r>
            <w:r>
              <w:rPr>
                <w:rFonts w:ascii="Arial" w:hAnsi="Arial" w:cs="Arial"/>
                <w:sz w:val="24"/>
                <w:szCs w:val="24"/>
                <w:lang w:val="en-US"/>
              </w:rPr>
              <w:tab/>
              <w:t>The defendant further attacks the application for leave to appeal on the basis that it is not on notice of mot</w:t>
            </w:r>
            <w:r w:rsidR="00AE4138">
              <w:rPr>
                <w:rFonts w:ascii="Arial" w:hAnsi="Arial" w:cs="Arial"/>
                <w:sz w:val="24"/>
                <w:szCs w:val="24"/>
                <w:lang w:val="en-US"/>
              </w:rPr>
              <w:t xml:space="preserve">ion supported by an affidavit.  The defendant submits that the plaintiff’s </w:t>
            </w:r>
            <w:r>
              <w:rPr>
                <w:rFonts w:ascii="Arial" w:hAnsi="Arial" w:cs="Arial"/>
                <w:sz w:val="24"/>
                <w:szCs w:val="24"/>
                <w:lang w:val="en-US"/>
              </w:rPr>
              <w:t xml:space="preserve">purported application for leave to appeal does not </w:t>
            </w:r>
            <w:r w:rsidR="00AE4138">
              <w:rPr>
                <w:rFonts w:ascii="Arial" w:hAnsi="Arial" w:cs="Arial"/>
                <w:sz w:val="24"/>
                <w:szCs w:val="24"/>
                <w:lang w:val="en-US"/>
              </w:rPr>
              <w:t>meet</w:t>
            </w:r>
            <w:r>
              <w:rPr>
                <w:rFonts w:ascii="Arial" w:hAnsi="Arial" w:cs="Arial"/>
                <w:sz w:val="24"/>
                <w:szCs w:val="24"/>
                <w:lang w:val="en-US"/>
              </w:rPr>
              <w:t xml:space="preserve"> the requirements of an application contemplated under the rules, and accordingly there is no application for leave to appeal before court.  The defendant cites, as authority for its proposition</w:t>
            </w:r>
            <w:r w:rsidR="00AE4138">
              <w:rPr>
                <w:rFonts w:ascii="Arial" w:hAnsi="Arial" w:cs="Arial"/>
                <w:sz w:val="24"/>
                <w:szCs w:val="24"/>
                <w:lang w:val="en-US"/>
              </w:rPr>
              <w:t>,</w:t>
            </w:r>
            <w:r>
              <w:rPr>
                <w:rFonts w:ascii="Arial" w:hAnsi="Arial" w:cs="Arial"/>
                <w:sz w:val="24"/>
                <w:szCs w:val="24"/>
                <w:lang w:val="en-US"/>
              </w:rPr>
              <w:t xml:space="preserve"> the case of </w:t>
            </w:r>
            <w:r>
              <w:rPr>
                <w:rFonts w:ascii="Arial" w:hAnsi="Arial" w:cs="Arial"/>
                <w:i/>
                <w:sz w:val="24"/>
                <w:szCs w:val="24"/>
                <w:lang w:val="en-US"/>
              </w:rPr>
              <w:t xml:space="preserve">Namibia Water Corporation Ltd v </w:t>
            </w:r>
            <w:proofErr w:type="spellStart"/>
            <w:r>
              <w:rPr>
                <w:rFonts w:ascii="Arial" w:hAnsi="Arial" w:cs="Arial"/>
                <w:i/>
                <w:sz w:val="24"/>
                <w:szCs w:val="24"/>
                <w:lang w:val="en-US"/>
              </w:rPr>
              <w:t>Tjipangandjara</w:t>
            </w:r>
            <w:proofErr w:type="spellEnd"/>
            <w:r>
              <w:rPr>
                <w:rFonts w:ascii="Arial" w:hAnsi="Arial" w:cs="Arial"/>
                <w:i/>
                <w:sz w:val="24"/>
                <w:szCs w:val="24"/>
                <w:lang w:val="en-US"/>
              </w:rPr>
              <w:t>.</w:t>
            </w:r>
            <w:r>
              <w:rPr>
                <w:rStyle w:val="FootnoteReference"/>
                <w:rFonts w:ascii="Arial" w:hAnsi="Arial" w:cs="Arial"/>
                <w:i/>
                <w:sz w:val="24"/>
                <w:szCs w:val="24"/>
                <w:lang w:val="en-US"/>
              </w:rPr>
              <w:footnoteReference w:id="1"/>
            </w:r>
          </w:p>
          <w:p w:rsidR="00580002" w:rsidRDefault="00580002" w:rsidP="00580002">
            <w:pPr>
              <w:tabs>
                <w:tab w:val="left" w:pos="927"/>
              </w:tabs>
              <w:spacing w:line="360" w:lineRule="auto"/>
              <w:jc w:val="both"/>
              <w:rPr>
                <w:rFonts w:ascii="Arial" w:hAnsi="Arial" w:cs="Arial"/>
                <w:i/>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sidRPr="003722B7">
              <w:rPr>
                <w:rFonts w:ascii="Arial" w:hAnsi="Arial" w:cs="Arial"/>
                <w:sz w:val="24"/>
                <w:szCs w:val="24"/>
                <w:lang w:val="en-US"/>
              </w:rPr>
              <w:t>[11]</w:t>
            </w:r>
            <w:r>
              <w:rPr>
                <w:rFonts w:ascii="Arial" w:hAnsi="Arial" w:cs="Arial"/>
                <w:i/>
                <w:sz w:val="24"/>
                <w:szCs w:val="24"/>
                <w:lang w:val="en-US"/>
              </w:rPr>
              <w:tab/>
            </w:r>
            <w:r w:rsidR="00881DC8">
              <w:rPr>
                <w:rFonts w:ascii="Arial" w:hAnsi="Arial" w:cs="Arial"/>
                <w:sz w:val="24"/>
                <w:szCs w:val="24"/>
                <w:lang w:val="en-US"/>
              </w:rPr>
              <w:t>In response,</w:t>
            </w:r>
            <w:r>
              <w:rPr>
                <w:rFonts w:ascii="Arial" w:hAnsi="Arial" w:cs="Arial"/>
                <w:sz w:val="24"/>
                <w:szCs w:val="24"/>
                <w:lang w:val="en-US"/>
              </w:rPr>
              <w:t xml:space="preserve"> the plaintiff contends that the provisions of </w:t>
            </w:r>
            <w:r w:rsidRPr="007267DA">
              <w:rPr>
                <w:rFonts w:ascii="Arial" w:hAnsi="Arial" w:cs="Arial"/>
                <w:i/>
                <w:sz w:val="24"/>
                <w:szCs w:val="24"/>
                <w:lang w:val="en-US"/>
              </w:rPr>
              <w:t>rule</w:t>
            </w:r>
            <w:r>
              <w:rPr>
                <w:rFonts w:ascii="Arial" w:hAnsi="Arial" w:cs="Arial"/>
                <w:sz w:val="24"/>
                <w:szCs w:val="24"/>
                <w:lang w:val="en-US"/>
              </w:rPr>
              <w:t xml:space="preserve"> 32(9) are not applicable to an application for leave to appeal.</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 xml:space="preserve">As regards whether the application in terms of </w:t>
            </w:r>
            <w:r w:rsidRPr="007267DA">
              <w:rPr>
                <w:rFonts w:ascii="Arial" w:hAnsi="Arial" w:cs="Arial"/>
                <w:i/>
                <w:sz w:val="24"/>
                <w:szCs w:val="24"/>
                <w:lang w:val="en-US"/>
              </w:rPr>
              <w:t xml:space="preserve">rule </w:t>
            </w:r>
            <w:r>
              <w:rPr>
                <w:rFonts w:ascii="Arial" w:hAnsi="Arial" w:cs="Arial"/>
                <w:sz w:val="24"/>
                <w:szCs w:val="24"/>
                <w:lang w:val="en-US"/>
              </w:rPr>
              <w:t xml:space="preserve">115 should have been brought on notice of motion accompanied by an affidavit, the plaintiff argues that the provisions of rule 115 do not lend themselves to such an interpretation.  The plaintiff therefore contends </w:t>
            </w:r>
            <w:r w:rsidR="00881DC8">
              <w:rPr>
                <w:rFonts w:ascii="Arial" w:hAnsi="Arial" w:cs="Arial"/>
                <w:sz w:val="24"/>
                <w:szCs w:val="24"/>
                <w:lang w:val="en-US"/>
              </w:rPr>
              <w:t xml:space="preserve">that </w:t>
            </w:r>
            <w:r>
              <w:rPr>
                <w:rFonts w:ascii="Arial" w:hAnsi="Arial" w:cs="Arial"/>
                <w:sz w:val="24"/>
                <w:szCs w:val="24"/>
                <w:lang w:val="en-US"/>
              </w:rPr>
              <w:t xml:space="preserve">the decision in the </w:t>
            </w:r>
            <w:r>
              <w:rPr>
                <w:rFonts w:ascii="Arial" w:hAnsi="Arial" w:cs="Arial"/>
                <w:i/>
                <w:sz w:val="24"/>
                <w:szCs w:val="24"/>
                <w:lang w:val="en-US"/>
              </w:rPr>
              <w:t xml:space="preserve">Namibia Water Corporation Ltd v </w:t>
            </w:r>
            <w:proofErr w:type="spellStart"/>
            <w:r>
              <w:rPr>
                <w:rFonts w:ascii="Arial" w:hAnsi="Arial" w:cs="Arial"/>
                <w:i/>
                <w:sz w:val="24"/>
                <w:szCs w:val="24"/>
                <w:lang w:val="en-US"/>
              </w:rPr>
              <w:t>Tjipangandjara</w:t>
            </w:r>
            <w:proofErr w:type="spellEnd"/>
            <w:r>
              <w:rPr>
                <w:rFonts w:ascii="Arial" w:hAnsi="Arial" w:cs="Arial"/>
                <w:i/>
                <w:sz w:val="24"/>
                <w:szCs w:val="24"/>
                <w:lang w:val="en-US"/>
              </w:rPr>
              <w:t xml:space="preserve"> </w:t>
            </w:r>
            <w:r>
              <w:rPr>
                <w:rFonts w:ascii="Arial" w:hAnsi="Arial" w:cs="Arial"/>
                <w:sz w:val="24"/>
                <w:szCs w:val="24"/>
                <w:lang w:val="en-US"/>
              </w:rPr>
              <w:t>is not consistent with the provisions of rule 115.</w:t>
            </w:r>
          </w:p>
          <w:p w:rsidR="00580002" w:rsidRDefault="00580002" w:rsidP="00580002">
            <w:pPr>
              <w:tabs>
                <w:tab w:val="left" w:pos="927"/>
              </w:tabs>
              <w:spacing w:line="360" w:lineRule="auto"/>
              <w:jc w:val="both"/>
              <w:rPr>
                <w:rFonts w:ascii="Arial" w:hAnsi="Arial" w:cs="Arial"/>
                <w:sz w:val="24"/>
                <w:szCs w:val="24"/>
                <w:lang w:val="en-US"/>
              </w:rPr>
            </w:pPr>
          </w:p>
          <w:p w:rsidR="00580002" w:rsidRPr="007267DA" w:rsidRDefault="00580002" w:rsidP="00580002">
            <w:pPr>
              <w:tabs>
                <w:tab w:val="left" w:pos="927"/>
              </w:tabs>
              <w:spacing w:line="360" w:lineRule="auto"/>
              <w:jc w:val="both"/>
              <w:rPr>
                <w:rFonts w:ascii="Arial" w:hAnsi="Arial" w:cs="Arial"/>
                <w:sz w:val="24"/>
                <w:szCs w:val="24"/>
                <w:u w:val="single"/>
                <w:lang w:val="en-US"/>
              </w:rPr>
            </w:pPr>
            <w:r w:rsidRPr="007267DA">
              <w:rPr>
                <w:rFonts w:ascii="Arial" w:hAnsi="Arial" w:cs="Arial"/>
                <w:sz w:val="24"/>
                <w:szCs w:val="24"/>
                <w:u w:val="single"/>
                <w:lang w:val="en-US"/>
              </w:rPr>
              <w:t xml:space="preserve">Analysis </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 xml:space="preserve">I shall first deal with the point </w:t>
            </w:r>
            <w:r w:rsidRPr="00297F1F">
              <w:rPr>
                <w:rFonts w:ascii="Arial" w:hAnsi="Arial" w:cs="Arial"/>
                <w:i/>
                <w:sz w:val="24"/>
                <w:szCs w:val="24"/>
                <w:lang w:val="en-US"/>
              </w:rPr>
              <w:t>in limine</w:t>
            </w:r>
            <w:r>
              <w:rPr>
                <w:rFonts w:ascii="Arial" w:hAnsi="Arial" w:cs="Arial"/>
                <w:sz w:val="24"/>
                <w:szCs w:val="24"/>
                <w:lang w:val="en-US"/>
              </w:rPr>
              <w:t xml:space="preserve"> raised by the defendant to the effect that the plaintiff ought to have complied with rule 32 (9) and (10) before bring his application for leave to appeal.  If those provisions are applicable and it is shown that the plaintiff did not comply with them prior to bring the application for leave to appeal, then there may be no need for the court to proceed further.</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Rule 32(9) and (10) read as follows:</w:t>
            </w:r>
          </w:p>
          <w:p w:rsidR="00580002" w:rsidRDefault="00580002" w:rsidP="00580002">
            <w:pPr>
              <w:tabs>
                <w:tab w:val="left" w:pos="927"/>
              </w:tabs>
              <w:spacing w:line="360" w:lineRule="auto"/>
              <w:jc w:val="both"/>
              <w:rPr>
                <w:rFonts w:ascii="Arial" w:hAnsi="Arial" w:cs="Arial"/>
                <w:lang w:val="en-US"/>
              </w:rPr>
            </w:pPr>
            <w:r>
              <w:rPr>
                <w:rFonts w:ascii="Arial" w:hAnsi="Arial" w:cs="Arial"/>
                <w:sz w:val="24"/>
                <w:szCs w:val="24"/>
                <w:lang w:val="en-US"/>
              </w:rPr>
              <w:lastRenderedPageBreak/>
              <w:tab/>
            </w:r>
            <w:r w:rsidR="005B754C">
              <w:rPr>
                <w:rFonts w:ascii="Arial" w:hAnsi="Arial" w:cs="Arial"/>
                <w:lang w:val="en-US"/>
              </w:rPr>
              <w:t>‘</w:t>
            </w:r>
            <w:r w:rsidRPr="007267DA">
              <w:rPr>
                <w:rFonts w:ascii="Arial" w:hAnsi="Arial" w:cs="Arial"/>
                <w:lang w:val="en-US"/>
              </w:rPr>
              <w:t xml:space="preserve">(9) </w:t>
            </w:r>
            <w:r>
              <w:rPr>
                <w:rFonts w:ascii="Arial" w:hAnsi="Arial" w:cs="Arial"/>
                <w:lang w:val="en-US"/>
              </w:rPr>
              <w:t xml:space="preserve">In relation to any proceeding referred to in this rule, a party wishing to bring such </w:t>
            </w:r>
            <w:r>
              <w:rPr>
                <w:rFonts w:ascii="Arial" w:hAnsi="Arial" w:cs="Arial"/>
                <w:lang w:val="en-US"/>
              </w:rPr>
              <w:tab/>
              <w:t xml:space="preserve">proceeding must, before launching it, seek an amicable resolution thereof with the other party </w:t>
            </w:r>
            <w:r>
              <w:rPr>
                <w:rFonts w:ascii="Arial" w:hAnsi="Arial" w:cs="Arial"/>
                <w:lang w:val="en-US"/>
              </w:rPr>
              <w:tab/>
              <w:t>or parties and only after the</w:t>
            </w:r>
            <w:r w:rsidR="00297F1F">
              <w:rPr>
                <w:rFonts w:ascii="Arial" w:hAnsi="Arial" w:cs="Arial"/>
                <w:lang w:val="en-US"/>
              </w:rPr>
              <w:t xml:space="preserve"> parties have failed to resolve</w:t>
            </w:r>
            <w:r>
              <w:rPr>
                <w:rFonts w:ascii="Arial" w:hAnsi="Arial" w:cs="Arial"/>
                <w:lang w:val="en-US"/>
              </w:rPr>
              <w:t xml:space="preserve"> their dispute may such proceeding </w:t>
            </w:r>
            <w:r>
              <w:rPr>
                <w:rFonts w:ascii="Arial" w:hAnsi="Arial" w:cs="Arial"/>
                <w:lang w:val="en-US"/>
              </w:rPr>
              <w:tab/>
              <w:t>be delivered for adjudication by the court.</w:t>
            </w:r>
          </w:p>
          <w:p w:rsidR="00580002" w:rsidRPr="007267DA" w:rsidRDefault="00580002" w:rsidP="00580002">
            <w:pPr>
              <w:tabs>
                <w:tab w:val="left" w:pos="927"/>
              </w:tabs>
              <w:spacing w:line="360" w:lineRule="auto"/>
              <w:jc w:val="both"/>
              <w:rPr>
                <w:rFonts w:ascii="Arial" w:hAnsi="Arial" w:cs="Arial"/>
                <w:lang w:val="en-US"/>
              </w:rPr>
            </w:pPr>
            <w:r>
              <w:rPr>
                <w:rFonts w:ascii="Arial" w:hAnsi="Arial" w:cs="Arial"/>
                <w:lang w:val="en-US"/>
              </w:rPr>
              <w:tab/>
              <w:t xml:space="preserve">(10)  The party bringing any proceeding contemplated in this rule must before, instituting the </w:t>
            </w:r>
            <w:r>
              <w:rPr>
                <w:rFonts w:ascii="Arial" w:hAnsi="Arial" w:cs="Arial"/>
                <w:lang w:val="en-US"/>
              </w:rPr>
              <w:tab/>
              <w:t xml:space="preserve">proceeding, file with the registrar details of the steps taken to have the matter amicably </w:t>
            </w:r>
            <w:r w:rsidR="00FC6F2B">
              <w:rPr>
                <w:rFonts w:ascii="Arial" w:hAnsi="Arial" w:cs="Arial"/>
                <w:lang w:val="en-US"/>
              </w:rPr>
              <w:tab/>
              <w:t>resolved as contemplated in</w:t>
            </w:r>
            <w:r>
              <w:rPr>
                <w:rFonts w:ascii="Arial" w:hAnsi="Arial" w:cs="Arial"/>
                <w:lang w:val="en-US"/>
              </w:rPr>
              <w:t xml:space="preserve"> </w:t>
            </w:r>
            <w:proofErr w:type="spellStart"/>
            <w:r>
              <w:rPr>
                <w:rFonts w:ascii="Arial" w:hAnsi="Arial" w:cs="Arial"/>
                <w:lang w:val="en-US"/>
              </w:rPr>
              <w:t>subrule</w:t>
            </w:r>
            <w:proofErr w:type="spellEnd"/>
            <w:r>
              <w:rPr>
                <w:rFonts w:ascii="Arial" w:hAnsi="Arial" w:cs="Arial"/>
                <w:lang w:val="en-US"/>
              </w:rPr>
              <w:t xml:space="preserve"> (9) without disclosing privileged information.’</w:t>
            </w: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ab/>
            </w: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The relevant provisions of</w:t>
            </w:r>
            <w:r w:rsidRPr="00134871">
              <w:rPr>
                <w:rFonts w:ascii="Arial" w:hAnsi="Arial" w:cs="Arial"/>
                <w:i/>
                <w:sz w:val="24"/>
                <w:szCs w:val="24"/>
                <w:lang w:val="en-US"/>
              </w:rPr>
              <w:t xml:space="preserve"> rule</w:t>
            </w:r>
            <w:r w:rsidR="00FC6F2B">
              <w:rPr>
                <w:rFonts w:ascii="Arial" w:hAnsi="Arial" w:cs="Arial"/>
                <w:sz w:val="24"/>
                <w:szCs w:val="24"/>
                <w:lang w:val="en-US"/>
              </w:rPr>
              <w:t xml:space="preserve"> 115 provide</w:t>
            </w:r>
            <w:r>
              <w:rPr>
                <w:rFonts w:ascii="Arial" w:hAnsi="Arial" w:cs="Arial"/>
                <w:sz w:val="24"/>
                <w:szCs w:val="24"/>
                <w:lang w:val="en-US"/>
              </w:rPr>
              <w:t xml:space="preserve"> as follows:</w:t>
            </w:r>
          </w:p>
          <w:p w:rsidR="00580002" w:rsidRDefault="00580002" w:rsidP="00580002">
            <w:pPr>
              <w:tabs>
                <w:tab w:val="left" w:pos="927"/>
              </w:tabs>
              <w:spacing w:line="360" w:lineRule="auto"/>
              <w:jc w:val="both"/>
              <w:rPr>
                <w:rFonts w:ascii="Arial" w:hAnsi="Arial" w:cs="Arial"/>
                <w:lang w:val="en-US"/>
              </w:rPr>
            </w:pPr>
            <w:r>
              <w:rPr>
                <w:rFonts w:ascii="Arial" w:hAnsi="Arial" w:cs="Arial"/>
                <w:sz w:val="24"/>
                <w:szCs w:val="24"/>
                <w:lang w:val="en-US"/>
              </w:rPr>
              <w:tab/>
            </w:r>
            <w:r w:rsidRPr="00134871">
              <w:rPr>
                <w:rFonts w:ascii="Arial" w:hAnsi="Arial" w:cs="Arial"/>
                <w:lang w:val="en-US"/>
              </w:rPr>
              <w:t>‘115(1</w:t>
            </w:r>
            <w:r w:rsidR="00DC2151" w:rsidRPr="00134871">
              <w:rPr>
                <w:rFonts w:ascii="Arial" w:hAnsi="Arial" w:cs="Arial"/>
                <w:lang w:val="en-US"/>
              </w:rPr>
              <w:t>) When</w:t>
            </w:r>
            <w:r w:rsidRPr="00134871">
              <w:rPr>
                <w:rFonts w:ascii="Arial" w:hAnsi="Arial" w:cs="Arial"/>
                <w:lang w:val="en-US"/>
              </w:rPr>
              <w:t xml:space="preserve"> leave to appeal from a judgment or order of the court is required the </w:t>
            </w:r>
            <w:r w:rsidRPr="00134871">
              <w:rPr>
                <w:rFonts w:ascii="Arial" w:hAnsi="Arial" w:cs="Arial"/>
                <w:lang w:val="en-US"/>
              </w:rPr>
              <w:tab/>
              <w:t>leave to appeal may, on a statement of the grounds fo</w:t>
            </w:r>
            <w:r w:rsidR="00FC6F2B">
              <w:rPr>
                <w:rFonts w:ascii="Arial" w:hAnsi="Arial" w:cs="Arial"/>
                <w:lang w:val="en-US"/>
              </w:rPr>
              <w:t xml:space="preserve">r the leave to appeal, request </w:t>
            </w:r>
            <w:r w:rsidRPr="00134871">
              <w:rPr>
                <w:rFonts w:ascii="Arial" w:hAnsi="Arial" w:cs="Arial"/>
                <w:lang w:val="en-US"/>
              </w:rPr>
              <w:t xml:space="preserve">for </w:t>
            </w:r>
            <w:r>
              <w:rPr>
                <w:rFonts w:ascii="Arial" w:hAnsi="Arial" w:cs="Arial"/>
                <w:lang w:val="en-US"/>
              </w:rPr>
              <w:tab/>
            </w:r>
            <w:r w:rsidRPr="00134871">
              <w:rPr>
                <w:rFonts w:ascii="Arial" w:hAnsi="Arial" w:cs="Arial"/>
                <w:lang w:val="en-US"/>
              </w:rPr>
              <w:t>leave to appeal at the time of the judgment or order.</w:t>
            </w:r>
          </w:p>
          <w:p w:rsidR="00580002" w:rsidRDefault="00580002" w:rsidP="00580002">
            <w:pPr>
              <w:tabs>
                <w:tab w:val="left" w:pos="927"/>
              </w:tabs>
              <w:spacing w:line="360" w:lineRule="auto"/>
              <w:jc w:val="both"/>
              <w:rPr>
                <w:rFonts w:ascii="Arial" w:hAnsi="Arial" w:cs="Arial"/>
                <w:lang w:val="en-US"/>
              </w:rPr>
            </w:pPr>
            <w:r>
              <w:rPr>
                <w:rFonts w:ascii="Arial" w:hAnsi="Arial" w:cs="Arial"/>
                <w:lang w:val="en-US"/>
              </w:rPr>
              <w:tab/>
              <w:t xml:space="preserve">(2)  When leave to appeal from a judgment or order of the court is required and it has not </w:t>
            </w:r>
            <w:r>
              <w:rPr>
                <w:rFonts w:ascii="Arial" w:hAnsi="Arial" w:cs="Arial"/>
                <w:lang w:val="en-US"/>
              </w:rPr>
              <w:tab/>
              <w:t xml:space="preserve">been requested at the time of the judgment or order, application for such leave must be made </w:t>
            </w:r>
            <w:r>
              <w:rPr>
                <w:rFonts w:ascii="Arial" w:hAnsi="Arial" w:cs="Arial"/>
                <w:lang w:val="en-US"/>
              </w:rPr>
              <w:tab/>
              <w:t xml:space="preserve">together with the grounds for the leave to appeal within 15 days after the date of order </w:t>
            </w:r>
            <w:r>
              <w:rPr>
                <w:rFonts w:ascii="Arial" w:hAnsi="Arial" w:cs="Arial"/>
                <w:lang w:val="en-US"/>
              </w:rPr>
              <w:tab/>
              <w:t xml:space="preserve">appealed </w:t>
            </w:r>
            <w:r w:rsidR="00AE15E0">
              <w:rPr>
                <w:rFonts w:ascii="Arial" w:hAnsi="Arial" w:cs="Arial"/>
                <w:lang w:val="en-US"/>
              </w:rPr>
              <w:t>against</w:t>
            </w:r>
            <w:r>
              <w:rPr>
                <w:rFonts w:ascii="Arial" w:hAnsi="Arial" w:cs="Arial"/>
                <w:lang w:val="en-US"/>
              </w:rPr>
              <w:t>.</w:t>
            </w:r>
          </w:p>
          <w:p w:rsidR="00580002" w:rsidRDefault="00580002" w:rsidP="00580002">
            <w:pPr>
              <w:tabs>
                <w:tab w:val="left" w:pos="927"/>
              </w:tabs>
              <w:spacing w:line="360" w:lineRule="auto"/>
              <w:jc w:val="both"/>
              <w:rPr>
                <w:rFonts w:ascii="Arial" w:hAnsi="Arial" w:cs="Arial"/>
                <w:lang w:val="en-US"/>
              </w:rPr>
            </w:pPr>
            <w:r>
              <w:rPr>
                <w:rFonts w:ascii="Arial" w:hAnsi="Arial" w:cs="Arial"/>
                <w:lang w:val="en-US"/>
              </w:rPr>
              <w:tab/>
              <w:t xml:space="preserve">(3)  If the reasons or the full reasons for the court’s judgment or order are given on a later </w:t>
            </w:r>
            <w:r>
              <w:rPr>
                <w:rFonts w:ascii="Arial" w:hAnsi="Arial" w:cs="Arial"/>
                <w:lang w:val="en-US"/>
              </w:rPr>
              <w:tab/>
              <w:t>date than date of the judgment or order, the application may be made within 15 days after</w:t>
            </w:r>
            <w:r w:rsidR="00FC6F2B">
              <w:rPr>
                <w:rFonts w:ascii="Arial" w:hAnsi="Arial" w:cs="Arial"/>
                <w:lang w:val="en-US"/>
              </w:rPr>
              <w:t xml:space="preserve"> </w:t>
            </w:r>
            <w:r w:rsidR="00FC6F2B">
              <w:rPr>
                <w:rFonts w:ascii="Arial" w:hAnsi="Arial" w:cs="Arial"/>
                <w:lang w:val="en-US"/>
              </w:rPr>
              <w:tab/>
              <w:t xml:space="preserve">the </w:t>
            </w:r>
            <w:r>
              <w:rPr>
                <w:rFonts w:ascii="Arial" w:hAnsi="Arial" w:cs="Arial"/>
                <w:lang w:val="en-US"/>
              </w:rPr>
              <w:t>later date and the court may, on good cause shown, extend the period of 15 days.</w:t>
            </w:r>
          </w:p>
          <w:p w:rsidR="00580002" w:rsidRDefault="00580002" w:rsidP="00580002">
            <w:pPr>
              <w:tabs>
                <w:tab w:val="left" w:pos="927"/>
              </w:tabs>
              <w:spacing w:line="360" w:lineRule="auto"/>
              <w:jc w:val="both"/>
              <w:rPr>
                <w:rFonts w:ascii="Arial" w:hAnsi="Arial" w:cs="Arial"/>
                <w:lang w:val="en-US"/>
              </w:rPr>
            </w:pPr>
            <w:r>
              <w:rPr>
                <w:rFonts w:ascii="Arial" w:hAnsi="Arial" w:cs="Arial"/>
                <w:lang w:val="en-US"/>
              </w:rPr>
              <w:tab/>
              <w:t>(4)…………………………………..</w:t>
            </w:r>
          </w:p>
          <w:p w:rsidR="00580002" w:rsidRDefault="00580002" w:rsidP="00580002">
            <w:pPr>
              <w:tabs>
                <w:tab w:val="left" w:pos="927"/>
              </w:tabs>
              <w:spacing w:before="240" w:line="360" w:lineRule="auto"/>
              <w:jc w:val="both"/>
              <w:rPr>
                <w:rFonts w:ascii="Arial" w:hAnsi="Arial" w:cs="Arial"/>
                <w:lang w:val="en-US"/>
              </w:rPr>
            </w:pPr>
            <w:r>
              <w:rPr>
                <w:rFonts w:ascii="Arial" w:hAnsi="Arial" w:cs="Arial"/>
                <w:lang w:val="en-US"/>
              </w:rPr>
              <w:tab/>
              <w:t xml:space="preserve">(5)  The application referred to in </w:t>
            </w:r>
            <w:proofErr w:type="spellStart"/>
            <w:r>
              <w:rPr>
                <w:rFonts w:ascii="Arial" w:hAnsi="Arial" w:cs="Arial"/>
                <w:lang w:val="en-US"/>
              </w:rPr>
              <w:t>subrule</w:t>
            </w:r>
            <w:proofErr w:type="spellEnd"/>
            <w:r>
              <w:rPr>
                <w:rFonts w:ascii="Arial" w:hAnsi="Arial" w:cs="Arial"/>
                <w:lang w:val="en-US"/>
              </w:rPr>
              <w:t xml:space="preserve"> (2) or (3) must be set down on a date arranged with </w:t>
            </w:r>
            <w:r>
              <w:rPr>
                <w:rFonts w:ascii="Arial" w:hAnsi="Arial" w:cs="Arial"/>
                <w:lang w:val="en-US"/>
              </w:rPr>
              <w:tab/>
              <w:t xml:space="preserve">the registrar who must give written notice of the date to the parties and the date for set down </w:t>
            </w:r>
            <w:r>
              <w:rPr>
                <w:rFonts w:ascii="Arial" w:hAnsi="Arial" w:cs="Arial"/>
                <w:lang w:val="en-US"/>
              </w:rPr>
              <w:tab/>
              <w:t xml:space="preserve">must not be less than 15 days and not more than 30 days after the expiry of the periods </w:t>
            </w:r>
            <w:r>
              <w:rPr>
                <w:rFonts w:ascii="Arial" w:hAnsi="Arial" w:cs="Arial"/>
                <w:lang w:val="en-US"/>
              </w:rPr>
              <w:tab/>
              <w:t xml:space="preserve">referred to in </w:t>
            </w:r>
            <w:proofErr w:type="spellStart"/>
            <w:r>
              <w:rPr>
                <w:rFonts w:ascii="Arial" w:hAnsi="Arial" w:cs="Arial"/>
                <w:lang w:val="en-US"/>
              </w:rPr>
              <w:t>subrule</w:t>
            </w:r>
            <w:proofErr w:type="spellEnd"/>
            <w:r>
              <w:rPr>
                <w:rFonts w:ascii="Arial" w:hAnsi="Arial" w:cs="Arial"/>
                <w:lang w:val="en-US"/>
              </w:rPr>
              <w:t xml:space="preserve"> (2) or (3).</w:t>
            </w:r>
          </w:p>
          <w:p w:rsidR="00580002" w:rsidRDefault="00580002" w:rsidP="00580002">
            <w:pPr>
              <w:tabs>
                <w:tab w:val="left" w:pos="927"/>
              </w:tabs>
              <w:spacing w:before="240" w:line="360" w:lineRule="auto"/>
              <w:jc w:val="both"/>
              <w:rPr>
                <w:rFonts w:ascii="Arial" w:hAnsi="Arial" w:cs="Arial"/>
                <w:lang w:val="en-US"/>
              </w:rPr>
            </w:pPr>
            <w:r>
              <w:rPr>
                <w:rFonts w:ascii="Arial" w:hAnsi="Arial" w:cs="Arial"/>
                <w:lang w:val="en-US"/>
              </w:rPr>
              <w:tab/>
              <w:t>(6)……………………………..</w:t>
            </w:r>
          </w:p>
          <w:p w:rsidR="00580002" w:rsidRDefault="00580002" w:rsidP="00580002">
            <w:pPr>
              <w:tabs>
                <w:tab w:val="left" w:pos="927"/>
              </w:tabs>
              <w:spacing w:line="360" w:lineRule="auto"/>
              <w:jc w:val="both"/>
              <w:rPr>
                <w:rFonts w:ascii="Arial" w:hAnsi="Arial" w:cs="Arial"/>
                <w:lang w:val="en-US"/>
              </w:rPr>
            </w:pPr>
            <w:r>
              <w:rPr>
                <w:rFonts w:ascii="Arial" w:hAnsi="Arial" w:cs="Arial"/>
                <w:lang w:val="en-US"/>
              </w:rPr>
              <w:tab/>
              <w:t>(7)…………………………......</w:t>
            </w:r>
          </w:p>
          <w:p w:rsidR="00580002" w:rsidRDefault="00580002" w:rsidP="00580002">
            <w:pPr>
              <w:tabs>
                <w:tab w:val="left" w:pos="927"/>
              </w:tabs>
              <w:spacing w:line="360" w:lineRule="auto"/>
              <w:jc w:val="both"/>
              <w:rPr>
                <w:rFonts w:ascii="Arial" w:hAnsi="Arial" w:cs="Arial"/>
                <w:lang w:val="en-US"/>
              </w:rPr>
            </w:pPr>
            <w:r>
              <w:rPr>
                <w:rFonts w:ascii="Arial" w:hAnsi="Arial" w:cs="Arial"/>
                <w:lang w:val="en-US"/>
              </w:rPr>
              <w:tab/>
              <w:t>(8)………………………………</w:t>
            </w:r>
          </w:p>
          <w:p w:rsidR="00580002" w:rsidRDefault="00580002" w:rsidP="00580002">
            <w:pPr>
              <w:tabs>
                <w:tab w:val="left" w:pos="927"/>
              </w:tabs>
              <w:spacing w:line="360" w:lineRule="auto"/>
              <w:jc w:val="both"/>
              <w:rPr>
                <w:rFonts w:ascii="Arial" w:hAnsi="Arial" w:cs="Arial"/>
                <w:lang w:val="en-US"/>
              </w:rPr>
            </w:pPr>
            <w:r>
              <w:rPr>
                <w:rFonts w:ascii="Arial" w:hAnsi="Arial" w:cs="Arial"/>
                <w:lang w:val="en-US"/>
              </w:rPr>
              <w:tab/>
              <w:t>(9)………………………………</w:t>
            </w:r>
          </w:p>
          <w:p w:rsidR="00580002" w:rsidRDefault="00580002" w:rsidP="00580002">
            <w:pPr>
              <w:tabs>
                <w:tab w:val="left" w:pos="927"/>
              </w:tabs>
              <w:spacing w:line="360" w:lineRule="auto"/>
              <w:jc w:val="both"/>
              <w:rPr>
                <w:rFonts w:ascii="Arial" w:hAnsi="Arial" w:cs="Arial"/>
                <w:lang w:val="en-US"/>
              </w:rPr>
            </w:pPr>
            <w:r>
              <w:rPr>
                <w:rFonts w:ascii="Arial" w:hAnsi="Arial" w:cs="Arial"/>
                <w:lang w:val="en-US"/>
              </w:rPr>
              <w:tab/>
              <w:t>(10)……………………………..</w:t>
            </w:r>
            <w:r w:rsidR="00EB2E76">
              <w:rPr>
                <w:rFonts w:ascii="Arial" w:hAnsi="Arial" w:cs="Arial"/>
                <w:lang w:val="en-US"/>
              </w:rPr>
              <w:t>’</w:t>
            </w:r>
          </w:p>
          <w:p w:rsidR="00580002" w:rsidRDefault="00580002" w:rsidP="00580002">
            <w:pPr>
              <w:tabs>
                <w:tab w:val="left" w:pos="927"/>
              </w:tabs>
              <w:spacing w:line="360" w:lineRule="auto"/>
              <w:jc w:val="both"/>
              <w:rPr>
                <w:rFonts w:ascii="Arial" w:hAnsi="Arial" w:cs="Arial"/>
                <w:lang w:val="en-US"/>
              </w:rPr>
            </w:pPr>
          </w:p>
          <w:p w:rsidR="00580002" w:rsidRDefault="00580002" w:rsidP="00580002">
            <w:pPr>
              <w:tabs>
                <w:tab w:val="left" w:pos="927"/>
              </w:tabs>
              <w:spacing w:line="360" w:lineRule="auto"/>
              <w:jc w:val="both"/>
              <w:rPr>
                <w:rFonts w:ascii="Arial" w:hAnsi="Arial" w:cs="Arial"/>
                <w:sz w:val="24"/>
                <w:szCs w:val="24"/>
                <w:lang w:val="en-US"/>
              </w:rPr>
            </w:pPr>
            <w:r w:rsidRPr="00A6599A">
              <w:rPr>
                <w:rFonts w:ascii="Arial" w:hAnsi="Arial" w:cs="Arial"/>
                <w:sz w:val="24"/>
                <w:szCs w:val="24"/>
                <w:lang w:val="en-US"/>
              </w:rPr>
              <w:t>[16]</w:t>
            </w:r>
            <w:r w:rsidR="00EB2E76">
              <w:rPr>
                <w:rFonts w:ascii="Arial" w:hAnsi="Arial" w:cs="Arial"/>
                <w:sz w:val="24"/>
                <w:szCs w:val="24"/>
                <w:lang w:val="en-US"/>
              </w:rPr>
              <w:tab/>
              <w:t>Practice direction</w:t>
            </w:r>
            <w:r>
              <w:rPr>
                <w:rFonts w:ascii="Arial" w:hAnsi="Arial" w:cs="Arial"/>
                <w:sz w:val="24"/>
                <w:szCs w:val="24"/>
                <w:lang w:val="en-US"/>
              </w:rPr>
              <w:t xml:space="preserve"> 36 provides:</w:t>
            </w:r>
          </w:p>
          <w:p w:rsidR="00580002" w:rsidRPr="00A6599A"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rPr>
            </w:pPr>
            <w:r>
              <w:rPr>
                <w:rFonts w:ascii="Arial" w:hAnsi="Arial" w:cs="Arial"/>
              </w:rPr>
              <w:lastRenderedPageBreak/>
              <w:tab/>
            </w:r>
            <w:r w:rsidR="00EB2E76">
              <w:rPr>
                <w:rFonts w:ascii="Arial" w:hAnsi="Arial" w:cs="Arial"/>
              </w:rPr>
              <w:t>‘</w:t>
            </w:r>
            <w:r w:rsidRPr="00437467">
              <w:rPr>
                <w:rFonts w:ascii="Arial" w:hAnsi="Arial" w:cs="Arial"/>
              </w:rPr>
              <w:t xml:space="preserve">36 (1) Unless otherwise directed by the presiding judge, the parties in an application for leave </w:t>
            </w:r>
            <w:r>
              <w:rPr>
                <w:rFonts w:ascii="Arial" w:hAnsi="Arial" w:cs="Arial"/>
              </w:rPr>
              <w:tab/>
            </w:r>
            <w:r w:rsidRPr="00437467">
              <w:rPr>
                <w:rFonts w:ascii="Arial" w:hAnsi="Arial" w:cs="Arial"/>
              </w:rPr>
              <w:t xml:space="preserve">to appeal from a judgment or order, other than a criminal judgment or order, are not required </w:t>
            </w:r>
            <w:r>
              <w:rPr>
                <w:rFonts w:ascii="Arial" w:hAnsi="Arial" w:cs="Arial"/>
              </w:rPr>
              <w:tab/>
            </w:r>
            <w:r w:rsidRPr="00437467">
              <w:rPr>
                <w:rFonts w:ascii="Arial" w:hAnsi="Arial" w:cs="Arial"/>
              </w:rPr>
              <w:t xml:space="preserve">to file heads of argument. </w:t>
            </w:r>
          </w:p>
          <w:p w:rsidR="00580002" w:rsidRDefault="00580002" w:rsidP="00580002">
            <w:pPr>
              <w:tabs>
                <w:tab w:val="left" w:pos="927"/>
              </w:tabs>
              <w:spacing w:line="360" w:lineRule="auto"/>
              <w:jc w:val="both"/>
              <w:rPr>
                <w:rFonts w:ascii="Arial" w:hAnsi="Arial" w:cs="Arial"/>
              </w:rPr>
            </w:pPr>
            <w:r>
              <w:rPr>
                <w:rFonts w:ascii="Arial" w:hAnsi="Arial" w:cs="Arial"/>
              </w:rPr>
              <w:tab/>
            </w:r>
            <w:r w:rsidRPr="00437467">
              <w:rPr>
                <w:rFonts w:ascii="Arial" w:hAnsi="Arial" w:cs="Arial"/>
              </w:rPr>
              <w:t xml:space="preserve">(2) Where leave to appeal from a judgment or order, other than a criminal judgment or order, </w:t>
            </w:r>
            <w:r>
              <w:rPr>
                <w:rFonts w:ascii="Arial" w:hAnsi="Arial" w:cs="Arial"/>
              </w:rPr>
              <w:tab/>
            </w:r>
            <w:r w:rsidRPr="00437467">
              <w:rPr>
                <w:rFonts w:ascii="Arial" w:hAnsi="Arial" w:cs="Arial"/>
              </w:rPr>
              <w:t xml:space="preserve">is required in terms of rule 115(5) of the rules, the applicant must within five days after the </w:t>
            </w:r>
            <w:r>
              <w:rPr>
                <w:rFonts w:ascii="Arial" w:hAnsi="Arial" w:cs="Arial"/>
              </w:rPr>
              <w:tab/>
            </w:r>
            <w:r w:rsidRPr="00437467">
              <w:rPr>
                <w:rFonts w:ascii="Arial" w:hAnsi="Arial" w:cs="Arial"/>
              </w:rPr>
              <w:t xml:space="preserve">expiry of the periods referred to in rule 115(2) give written notice to all the parties to meet at </w:t>
            </w:r>
            <w:r>
              <w:rPr>
                <w:rFonts w:ascii="Arial" w:hAnsi="Arial" w:cs="Arial"/>
              </w:rPr>
              <w:tab/>
            </w:r>
            <w:r w:rsidRPr="00437467">
              <w:rPr>
                <w:rFonts w:ascii="Arial" w:hAnsi="Arial" w:cs="Arial"/>
              </w:rPr>
              <w:t xml:space="preserve">the registrar’s office on a Wednesday at 9h00 in order to obtain a date for the hearing of the </w:t>
            </w:r>
            <w:r>
              <w:rPr>
                <w:rFonts w:ascii="Arial" w:hAnsi="Arial" w:cs="Arial"/>
              </w:rPr>
              <w:tab/>
            </w:r>
            <w:r w:rsidRPr="00437467">
              <w:rPr>
                <w:rFonts w:ascii="Arial" w:hAnsi="Arial" w:cs="Arial"/>
              </w:rPr>
              <w:t>application, and the notice period to meet with the registrar must be not less than three days.</w:t>
            </w:r>
          </w:p>
          <w:p w:rsidR="00580002" w:rsidRDefault="00580002" w:rsidP="00580002">
            <w:pPr>
              <w:tabs>
                <w:tab w:val="left" w:pos="927"/>
              </w:tabs>
              <w:spacing w:line="360" w:lineRule="auto"/>
              <w:jc w:val="both"/>
              <w:rPr>
                <w:rFonts w:ascii="Arial" w:hAnsi="Arial" w:cs="Arial"/>
              </w:rPr>
            </w:pPr>
            <w:r>
              <w:rPr>
                <w:rFonts w:ascii="Arial" w:hAnsi="Arial" w:cs="Arial"/>
              </w:rPr>
              <w:tab/>
            </w:r>
            <w:r w:rsidRPr="00437467">
              <w:rPr>
                <w:rFonts w:ascii="Arial" w:hAnsi="Arial" w:cs="Arial"/>
              </w:rPr>
              <w:t xml:space="preserve">(3) The registrar must, during the meeting to determine the date referred to in subparagraph </w:t>
            </w:r>
            <w:r>
              <w:rPr>
                <w:rFonts w:ascii="Arial" w:hAnsi="Arial" w:cs="Arial"/>
              </w:rPr>
              <w:tab/>
            </w:r>
            <w:r w:rsidRPr="00437467">
              <w:rPr>
                <w:rFonts w:ascii="Arial" w:hAnsi="Arial" w:cs="Arial"/>
              </w:rPr>
              <w:t xml:space="preserve">(2), provide the parties with a written notice of the date and time of set down, and file a copy </w:t>
            </w:r>
            <w:r>
              <w:rPr>
                <w:rFonts w:ascii="Arial" w:hAnsi="Arial" w:cs="Arial"/>
              </w:rPr>
              <w:tab/>
            </w:r>
            <w:r w:rsidRPr="00437467">
              <w:rPr>
                <w:rFonts w:ascii="Arial" w:hAnsi="Arial" w:cs="Arial"/>
              </w:rPr>
              <w:t>of such notice on the court file.</w:t>
            </w:r>
          </w:p>
          <w:p w:rsidR="00580002" w:rsidRDefault="00580002" w:rsidP="00580002">
            <w:pPr>
              <w:tabs>
                <w:tab w:val="left" w:pos="927"/>
              </w:tabs>
              <w:spacing w:line="360" w:lineRule="auto"/>
              <w:jc w:val="both"/>
              <w:rPr>
                <w:rFonts w:ascii="Arial" w:hAnsi="Arial" w:cs="Arial"/>
              </w:rPr>
            </w:pPr>
            <w:r>
              <w:rPr>
                <w:rFonts w:ascii="Arial" w:hAnsi="Arial" w:cs="Arial"/>
              </w:rPr>
              <w:tab/>
            </w:r>
            <w:r w:rsidRPr="00437467">
              <w:rPr>
                <w:rFonts w:ascii="Arial" w:hAnsi="Arial" w:cs="Arial"/>
              </w:rPr>
              <w:t xml:space="preserve">(4) If the parties fail to appear during the meeting referred to in subparagraph (2) the registrar </w:t>
            </w:r>
            <w:r>
              <w:rPr>
                <w:rFonts w:ascii="Arial" w:hAnsi="Arial" w:cs="Arial"/>
              </w:rPr>
              <w:tab/>
            </w:r>
            <w:r w:rsidRPr="00437467">
              <w:rPr>
                <w:rFonts w:ascii="Arial" w:hAnsi="Arial" w:cs="Arial"/>
              </w:rPr>
              <w:t xml:space="preserve">may in the absence of the parties set the application down for hearing on any date, and the </w:t>
            </w:r>
            <w:r>
              <w:rPr>
                <w:rFonts w:ascii="Arial" w:hAnsi="Arial" w:cs="Arial"/>
              </w:rPr>
              <w:tab/>
            </w:r>
            <w:r w:rsidRPr="00437467">
              <w:rPr>
                <w:rFonts w:ascii="Arial" w:hAnsi="Arial" w:cs="Arial"/>
              </w:rPr>
              <w:t>parties are bound to the set down date.</w:t>
            </w:r>
            <w:r>
              <w:rPr>
                <w:rFonts w:ascii="Arial" w:hAnsi="Arial" w:cs="Arial"/>
              </w:rPr>
              <w:t>’</w:t>
            </w:r>
          </w:p>
          <w:p w:rsidR="00580002" w:rsidRPr="00437467" w:rsidRDefault="00580002" w:rsidP="00580002">
            <w:pPr>
              <w:tabs>
                <w:tab w:val="left" w:pos="927"/>
              </w:tabs>
              <w:spacing w:line="360" w:lineRule="auto"/>
              <w:jc w:val="both"/>
              <w:rPr>
                <w:rFonts w:ascii="Arial" w:hAnsi="Arial" w:cs="Arial"/>
                <w:sz w:val="24"/>
                <w:szCs w:val="24"/>
              </w:rPr>
            </w:pPr>
          </w:p>
          <w:p w:rsidR="00580002" w:rsidRDefault="00580002" w:rsidP="00580002">
            <w:pPr>
              <w:tabs>
                <w:tab w:val="left" w:pos="927"/>
              </w:tabs>
              <w:spacing w:line="360" w:lineRule="auto"/>
              <w:jc w:val="both"/>
              <w:rPr>
                <w:rFonts w:ascii="Arial" w:hAnsi="Arial" w:cs="Arial"/>
                <w:sz w:val="24"/>
                <w:szCs w:val="24"/>
              </w:rPr>
            </w:pPr>
            <w:r w:rsidRPr="00437467">
              <w:rPr>
                <w:rFonts w:ascii="Arial" w:hAnsi="Arial" w:cs="Arial"/>
                <w:sz w:val="24"/>
                <w:szCs w:val="24"/>
              </w:rPr>
              <w:t>[17]</w:t>
            </w:r>
            <w:r w:rsidRPr="00437467">
              <w:rPr>
                <w:rFonts w:ascii="Arial" w:hAnsi="Arial" w:cs="Arial"/>
                <w:sz w:val="24"/>
                <w:szCs w:val="24"/>
              </w:rPr>
              <w:tab/>
            </w:r>
            <w:r>
              <w:rPr>
                <w:rFonts w:ascii="Arial" w:hAnsi="Arial" w:cs="Arial"/>
                <w:sz w:val="24"/>
                <w:szCs w:val="24"/>
              </w:rPr>
              <w:t xml:space="preserve">It </w:t>
            </w:r>
            <w:r w:rsidR="00EB2E76">
              <w:rPr>
                <w:rFonts w:ascii="Arial" w:hAnsi="Arial" w:cs="Arial"/>
                <w:sz w:val="24"/>
                <w:szCs w:val="24"/>
              </w:rPr>
              <w:t>is</w:t>
            </w:r>
            <w:r>
              <w:rPr>
                <w:rFonts w:ascii="Arial" w:hAnsi="Arial" w:cs="Arial"/>
                <w:sz w:val="24"/>
                <w:szCs w:val="24"/>
              </w:rPr>
              <w:t xml:space="preserve"> common cause that there is no </w:t>
            </w:r>
            <w:r w:rsidRPr="00437467">
              <w:rPr>
                <w:rFonts w:ascii="Arial" w:hAnsi="Arial" w:cs="Arial"/>
                <w:i/>
                <w:sz w:val="24"/>
                <w:szCs w:val="24"/>
              </w:rPr>
              <w:t>rule</w:t>
            </w:r>
            <w:r>
              <w:rPr>
                <w:rFonts w:ascii="Arial" w:hAnsi="Arial" w:cs="Arial"/>
                <w:sz w:val="24"/>
                <w:szCs w:val="24"/>
              </w:rPr>
              <w:t xml:space="preserve"> 32(10) statement filed by the plaintiff prior to the filing of the application for leave to appeal, setting out details of the steps taken to have the matter amica</w:t>
            </w:r>
            <w:r w:rsidR="00EB2E76">
              <w:rPr>
                <w:rFonts w:ascii="Arial" w:hAnsi="Arial" w:cs="Arial"/>
                <w:sz w:val="24"/>
                <w:szCs w:val="24"/>
              </w:rPr>
              <w:t>bly resolved.  I therefore came</w:t>
            </w:r>
            <w:r>
              <w:rPr>
                <w:rFonts w:ascii="Arial" w:hAnsi="Arial" w:cs="Arial"/>
                <w:sz w:val="24"/>
                <w:szCs w:val="24"/>
              </w:rPr>
              <w:t xml:space="preserve"> to the conclusion that </w:t>
            </w:r>
            <w:r w:rsidRPr="00437467">
              <w:rPr>
                <w:rFonts w:ascii="Arial" w:hAnsi="Arial" w:cs="Arial"/>
                <w:i/>
                <w:sz w:val="24"/>
                <w:szCs w:val="24"/>
              </w:rPr>
              <w:t>rule</w:t>
            </w:r>
            <w:r>
              <w:rPr>
                <w:rFonts w:ascii="Arial" w:hAnsi="Arial" w:cs="Arial"/>
                <w:sz w:val="24"/>
                <w:szCs w:val="24"/>
              </w:rPr>
              <w:t xml:space="preserve"> 32(9) and (10) </w:t>
            </w:r>
            <w:r w:rsidR="00EB2E76">
              <w:rPr>
                <w:rFonts w:ascii="Arial" w:hAnsi="Arial" w:cs="Arial"/>
                <w:sz w:val="24"/>
                <w:szCs w:val="24"/>
              </w:rPr>
              <w:t>was</w:t>
            </w:r>
            <w:r>
              <w:rPr>
                <w:rFonts w:ascii="Arial" w:hAnsi="Arial" w:cs="Arial"/>
                <w:sz w:val="24"/>
                <w:szCs w:val="24"/>
              </w:rPr>
              <w:t xml:space="preserve"> not complied with.</w:t>
            </w:r>
          </w:p>
          <w:p w:rsidR="00580002" w:rsidRDefault="00580002" w:rsidP="00580002">
            <w:pPr>
              <w:tabs>
                <w:tab w:val="left" w:pos="927"/>
              </w:tabs>
              <w:spacing w:line="360" w:lineRule="auto"/>
              <w:jc w:val="both"/>
              <w:rPr>
                <w:rFonts w:ascii="Arial" w:hAnsi="Arial" w:cs="Arial"/>
                <w:sz w:val="24"/>
                <w:szCs w:val="24"/>
              </w:rPr>
            </w:pP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The next question is whether the provisions of</w:t>
            </w:r>
            <w:r w:rsidRPr="00437467">
              <w:rPr>
                <w:rFonts w:ascii="Arial" w:hAnsi="Arial" w:cs="Arial"/>
                <w:i/>
                <w:sz w:val="24"/>
                <w:szCs w:val="24"/>
              </w:rPr>
              <w:t xml:space="preserve"> rule</w:t>
            </w:r>
            <w:r>
              <w:rPr>
                <w:rFonts w:ascii="Arial" w:hAnsi="Arial" w:cs="Arial"/>
                <w:sz w:val="24"/>
                <w:szCs w:val="24"/>
              </w:rPr>
              <w:t xml:space="preserve"> 32(9) and (10) are app</w:t>
            </w:r>
            <w:r w:rsidR="00EB2E76">
              <w:rPr>
                <w:rFonts w:ascii="Arial" w:hAnsi="Arial" w:cs="Arial"/>
                <w:sz w:val="24"/>
                <w:szCs w:val="24"/>
              </w:rPr>
              <w:t>licable to an application contempla</w:t>
            </w:r>
            <w:r>
              <w:rPr>
                <w:rFonts w:ascii="Arial" w:hAnsi="Arial" w:cs="Arial"/>
                <w:sz w:val="24"/>
                <w:szCs w:val="24"/>
              </w:rPr>
              <w:t xml:space="preserve">ted under </w:t>
            </w:r>
            <w:r w:rsidRPr="00437467">
              <w:rPr>
                <w:rFonts w:ascii="Arial" w:hAnsi="Arial" w:cs="Arial"/>
                <w:i/>
                <w:sz w:val="24"/>
                <w:szCs w:val="24"/>
              </w:rPr>
              <w:t>rule</w:t>
            </w:r>
            <w:r>
              <w:rPr>
                <w:rFonts w:ascii="Arial" w:hAnsi="Arial" w:cs="Arial"/>
                <w:sz w:val="24"/>
                <w:szCs w:val="24"/>
              </w:rPr>
              <w:t xml:space="preserve"> 115.</w:t>
            </w:r>
          </w:p>
          <w:p w:rsidR="00580002" w:rsidRDefault="00580002" w:rsidP="00580002">
            <w:pPr>
              <w:tabs>
                <w:tab w:val="left" w:pos="927"/>
              </w:tabs>
              <w:spacing w:line="360" w:lineRule="auto"/>
              <w:jc w:val="both"/>
              <w:rPr>
                <w:rFonts w:ascii="Arial" w:hAnsi="Arial" w:cs="Arial"/>
                <w:sz w:val="24"/>
                <w:szCs w:val="24"/>
              </w:rPr>
            </w:pP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It would appear to me that from the provisions of rule 115 read with </w:t>
            </w:r>
            <w:r w:rsidR="00EB2E76">
              <w:rPr>
                <w:rFonts w:ascii="Arial" w:hAnsi="Arial" w:cs="Arial"/>
                <w:i/>
                <w:sz w:val="24"/>
                <w:szCs w:val="24"/>
              </w:rPr>
              <w:t>practice direction</w:t>
            </w:r>
            <w:r>
              <w:rPr>
                <w:rFonts w:ascii="Arial" w:hAnsi="Arial" w:cs="Arial"/>
                <w:sz w:val="24"/>
                <w:szCs w:val="24"/>
              </w:rPr>
              <w:t xml:space="preserve"> 36, the following conclusion</w:t>
            </w:r>
            <w:r w:rsidR="00EB2E76">
              <w:rPr>
                <w:rFonts w:ascii="Arial" w:hAnsi="Arial" w:cs="Arial"/>
                <w:sz w:val="24"/>
                <w:szCs w:val="24"/>
              </w:rPr>
              <w:t>s</w:t>
            </w:r>
            <w:r>
              <w:rPr>
                <w:rFonts w:ascii="Arial" w:hAnsi="Arial" w:cs="Arial"/>
                <w:sz w:val="24"/>
                <w:szCs w:val="24"/>
              </w:rPr>
              <w:t xml:space="preserve"> can be drawn:</w:t>
            </w: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leave</w:t>
            </w:r>
            <w:proofErr w:type="gramEnd"/>
            <w:r>
              <w:rPr>
                <w:rFonts w:ascii="Arial" w:hAnsi="Arial" w:cs="Arial"/>
                <w:sz w:val="24"/>
                <w:szCs w:val="24"/>
              </w:rPr>
              <w:t xml:space="preserve"> to appeal may be requested at the time of judgment or order.  In such a case, all that is required of an applicant is a statement of the grounds for the leave to appeal;</w:t>
            </w:r>
          </w:p>
          <w:p w:rsidR="00580002" w:rsidRDefault="00580002" w:rsidP="00580002">
            <w:pPr>
              <w:tabs>
                <w:tab w:val="left" w:pos="927"/>
              </w:tabs>
              <w:spacing w:line="360" w:lineRule="auto"/>
              <w:jc w:val="both"/>
              <w:rPr>
                <w:rFonts w:ascii="Arial" w:hAnsi="Arial" w:cs="Arial"/>
                <w:i/>
                <w:sz w:val="24"/>
                <w:szCs w:val="24"/>
              </w:rPr>
            </w:pPr>
            <w:r>
              <w:rPr>
                <w:rFonts w:ascii="Arial" w:hAnsi="Arial" w:cs="Arial"/>
                <w:sz w:val="24"/>
                <w:szCs w:val="24"/>
              </w:rPr>
              <w:t xml:space="preserve">(b)  </w:t>
            </w:r>
            <w:proofErr w:type="gramStart"/>
            <w:r>
              <w:rPr>
                <w:rFonts w:ascii="Arial" w:hAnsi="Arial" w:cs="Arial"/>
                <w:sz w:val="24"/>
                <w:szCs w:val="24"/>
              </w:rPr>
              <w:t>when</w:t>
            </w:r>
            <w:proofErr w:type="gramEnd"/>
            <w:r>
              <w:rPr>
                <w:rFonts w:ascii="Arial" w:hAnsi="Arial" w:cs="Arial"/>
                <w:sz w:val="24"/>
                <w:szCs w:val="24"/>
              </w:rPr>
              <w:t xml:space="preserve"> leave to appeal has not been requested at the time of the judgment or order, the applicant</w:t>
            </w:r>
            <w:r>
              <w:rPr>
                <w:rFonts w:ascii="Arial" w:hAnsi="Arial" w:cs="Arial"/>
                <w:i/>
                <w:sz w:val="24"/>
                <w:szCs w:val="24"/>
              </w:rPr>
              <w:t xml:space="preserve"> </w:t>
            </w:r>
            <w:r w:rsidRPr="00EB2E76">
              <w:rPr>
                <w:rFonts w:ascii="Arial" w:hAnsi="Arial" w:cs="Arial"/>
                <w:i/>
                <w:sz w:val="24"/>
                <w:szCs w:val="24"/>
              </w:rPr>
              <w:t>‘must’</w:t>
            </w:r>
            <w:r>
              <w:rPr>
                <w:rFonts w:ascii="Arial" w:hAnsi="Arial" w:cs="Arial"/>
                <w:sz w:val="24"/>
                <w:szCs w:val="24"/>
              </w:rPr>
              <w:t xml:space="preserve"> make application together with the grounds for the leave to appeal </w:t>
            </w:r>
            <w:r>
              <w:rPr>
                <w:rFonts w:ascii="Arial" w:hAnsi="Arial" w:cs="Arial"/>
                <w:i/>
                <w:sz w:val="24"/>
                <w:szCs w:val="24"/>
              </w:rPr>
              <w:t>‘within 15 days after the date of the order appealed against’.</w:t>
            </w:r>
          </w:p>
          <w:p w:rsidR="00580002" w:rsidRDefault="00580002" w:rsidP="00580002">
            <w:pPr>
              <w:tabs>
                <w:tab w:val="left" w:pos="927"/>
              </w:tabs>
              <w:spacing w:line="360" w:lineRule="auto"/>
              <w:jc w:val="both"/>
              <w:rPr>
                <w:rFonts w:ascii="Arial" w:hAnsi="Arial" w:cs="Arial"/>
                <w:sz w:val="24"/>
                <w:szCs w:val="24"/>
              </w:rPr>
            </w:pPr>
            <w:r w:rsidRPr="00437467">
              <w:rPr>
                <w:rFonts w:ascii="Arial" w:hAnsi="Arial" w:cs="Arial"/>
                <w:sz w:val="24"/>
                <w:szCs w:val="24"/>
              </w:rPr>
              <w:t xml:space="preserve">(c) </w:t>
            </w:r>
            <w:r>
              <w:rPr>
                <w:rFonts w:ascii="Arial" w:hAnsi="Arial" w:cs="Arial"/>
                <w:sz w:val="24"/>
                <w:szCs w:val="24"/>
              </w:rPr>
              <w:t>the application is set down on a date arranged with the registrar; and,</w:t>
            </w: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lastRenderedPageBreak/>
              <w:t xml:space="preserve">(d) </w:t>
            </w:r>
            <w:proofErr w:type="gramStart"/>
            <w:r>
              <w:rPr>
                <w:rFonts w:ascii="Arial" w:hAnsi="Arial" w:cs="Arial"/>
                <w:sz w:val="24"/>
                <w:szCs w:val="24"/>
              </w:rPr>
              <w:t>the</w:t>
            </w:r>
            <w:proofErr w:type="gramEnd"/>
            <w:r>
              <w:rPr>
                <w:rFonts w:ascii="Arial" w:hAnsi="Arial" w:cs="Arial"/>
                <w:sz w:val="24"/>
                <w:szCs w:val="24"/>
              </w:rPr>
              <w:t xml:space="preserve"> parties to an application for leave to appeal are not required to file heads of argument, unless otherwise directed by the presiding judge.</w:t>
            </w:r>
          </w:p>
          <w:p w:rsidR="00580002" w:rsidRDefault="00580002" w:rsidP="00580002">
            <w:pPr>
              <w:tabs>
                <w:tab w:val="left" w:pos="927"/>
              </w:tabs>
              <w:spacing w:line="360" w:lineRule="auto"/>
              <w:jc w:val="both"/>
              <w:rPr>
                <w:rFonts w:ascii="Arial" w:hAnsi="Arial" w:cs="Arial"/>
                <w:sz w:val="24"/>
                <w:szCs w:val="24"/>
              </w:rPr>
            </w:pP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 import of the aforegoing provisions appears to me to be inconsistent with the requirements of </w:t>
            </w:r>
            <w:r w:rsidRPr="006D12B5">
              <w:rPr>
                <w:rFonts w:ascii="Arial" w:hAnsi="Arial" w:cs="Arial"/>
                <w:i/>
                <w:sz w:val="24"/>
                <w:szCs w:val="24"/>
              </w:rPr>
              <w:t>rule</w:t>
            </w:r>
            <w:r>
              <w:rPr>
                <w:rFonts w:ascii="Arial" w:hAnsi="Arial" w:cs="Arial"/>
                <w:sz w:val="24"/>
                <w:szCs w:val="24"/>
              </w:rPr>
              <w:t xml:space="preserve"> 32(1) to (7) which deal with interlocutory matters and application </w:t>
            </w:r>
            <w:r w:rsidR="00C67551">
              <w:rPr>
                <w:rFonts w:ascii="Arial" w:hAnsi="Arial" w:cs="Arial"/>
                <w:sz w:val="24"/>
                <w:szCs w:val="24"/>
              </w:rPr>
              <w:t>f</w:t>
            </w:r>
            <w:r>
              <w:rPr>
                <w:rFonts w:ascii="Arial" w:hAnsi="Arial" w:cs="Arial"/>
                <w:sz w:val="24"/>
                <w:szCs w:val="24"/>
              </w:rPr>
              <w:t xml:space="preserve">or directions.  To the extent that a request for leave to appeal may be made at the time of judgment or order, without a prior application for directions, appears to me to exclude the applicability of </w:t>
            </w:r>
            <w:r w:rsidRPr="009E4A33">
              <w:rPr>
                <w:rFonts w:ascii="Arial" w:hAnsi="Arial" w:cs="Arial"/>
                <w:i/>
                <w:sz w:val="24"/>
                <w:szCs w:val="24"/>
              </w:rPr>
              <w:t>rule</w:t>
            </w:r>
            <w:r>
              <w:rPr>
                <w:rFonts w:ascii="Arial" w:hAnsi="Arial" w:cs="Arial"/>
                <w:sz w:val="24"/>
                <w:szCs w:val="24"/>
              </w:rPr>
              <w:t xml:space="preserve"> 32 </w:t>
            </w:r>
            <w:r w:rsidR="00C67551">
              <w:rPr>
                <w:rFonts w:ascii="Arial" w:hAnsi="Arial" w:cs="Arial"/>
                <w:sz w:val="24"/>
                <w:szCs w:val="24"/>
              </w:rPr>
              <w:t>entirely</w:t>
            </w:r>
            <w:r>
              <w:rPr>
                <w:rFonts w:ascii="Arial" w:hAnsi="Arial" w:cs="Arial"/>
                <w:sz w:val="24"/>
                <w:szCs w:val="24"/>
              </w:rPr>
              <w:t xml:space="preserve">.  Furthermore, where leave to appeal has not been requested at the time of the judgment or order, the peremptory tone of </w:t>
            </w:r>
            <w:r w:rsidRPr="009E4A33">
              <w:rPr>
                <w:rFonts w:ascii="Arial" w:hAnsi="Arial" w:cs="Arial"/>
                <w:i/>
                <w:sz w:val="24"/>
                <w:szCs w:val="24"/>
              </w:rPr>
              <w:t>rule</w:t>
            </w:r>
            <w:r>
              <w:rPr>
                <w:rFonts w:ascii="Arial" w:hAnsi="Arial" w:cs="Arial"/>
                <w:sz w:val="24"/>
                <w:szCs w:val="24"/>
              </w:rPr>
              <w:t xml:space="preserve"> 115(2) appears to me to exclude a prior application for directions, in respect of an envisaged application for leave to appeal.  </w:t>
            </w:r>
            <w:r w:rsidR="00C67551">
              <w:rPr>
                <w:rFonts w:ascii="Arial" w:hAnsi="Arial" w:cs="Arial"/>
                <w:sz w:val="24"/>
                <w:szCs w:val="24"/>
              </w:rPr>
              <w:t xml:space="preserve">Taking into consideration the combined effect of rule 115 and practice direction 36, I am constrained to think of the type of directions that a presiding judge may make in terms of rule 32, if he/she were called upon to do so.  </w:t>
            </w:r>
            <w:r>
              <w:rPr>
                <w:rFonts w:ascii="Arial" w:hAnsi="Arial" w:cs="Arial"/>
                <w:sz w:val="24"/>
                <w:szCs w:val="24"/>
              </w:rPr>
              <w:t xml:space="preserve">I am inclined to believe that in making </w:t>
            </w:r>
            <w:r w:rsidRPr="009E4A33">
              <w:rPr>
                <w:rFonts w:ascii="Arial" w:hAnsi="Arial" w:cs="Arial"/>
                <w:i/>
                <w:sz w:val="24"/>
                <w:szCs w:val="24"/>
              </w:rPr>
              <w:t xml:space="preserve">rule </w:t>
            </w:r>
            <w:r>
              <w:rPr>
                <w:rFonts w:ascii="Arial" w:hAnsi="Arial" w:cs="Arial"/>
                <w:sz w:val="24"/>
                <w:szCs w:val="24"/>
              </w:rPr>
              <w:t xml:space="preserve">115, the rule-maker must have been aware of the provisions 32 and saw it fit to word </w:t>
            </w:r>
            <w:r w:rsidRPr="009E4A33">
              <w:rPr>
                <w:rFonts w:ascii="Arial" w:hAnsi="Arial" w:cs="Arial"/>
                <w:i/>
                <w:sz w:val="24"/>
                <w:szCs w:val="24"/>
              </w:rPr>
              <w:t>rule</w:t>
            </w:r>
            <w:r w:rsidR="006B7D2C">
              <w:rPr>
                <w:rFonts w:ascii="Arial" w:hAnsi="Arial" w:cs="Arial"/>
                <w:sz w:val="24"/>
                <w:szCs w:val="24"/>
              </w:rPr>
              <w:t xml:space="preserve"> 115 the way</w:t>
            </w:r>
            <w:r>
              <w:rPr>
                <w:rFonts w:ascii="Arial" w:hAnsi="Arial" w:cs="Arial"/>
                <w:sz w:val="24"/>
                <w:szCs w:val="24"/>
              </w:rPr>
              <w:t xml:space="preserve"> it is</w:t>
            </w:r>
            <w:r w:rsidR="006B7D2C">
              <w:rPr>
                <w:rFonts w:ascii="Arial" w:hAnsi="Arial" w:cs="Arial"/>
                <w:sz w:val="24"/>
                <w:szCs w:val="24"/>
              </w:rPr>
              <w:t>,</w:t>
            </w:r>
            <w:r>
              <w:rPr>
                <w:rFonts w:ascii="Arial" w:hAnsi="Arial" w:cs="Arial"/>
                <w:sz w:val="24"/>
                <w:szCs w:val="24"/>
              </w:rPr>
              <w:t xml:space="preserve"> to exclude the applicability of the provisions of </w:t>
            </w:r>
            <w:r w:rsidRPr="009E4A33">
              <w:rPr>
                <w:rFonts w:ascii="Arial" w:hAnsi="Arial" w:cs="Arial"/>
                <w:i/>
                <w:sz w:val="24"/>
                <w:szCs w:val="24"/>
              </w:rPr>
              <w:t>rule</w:t>
            </w:r>
            <w:r>
              <w:rPr>
                <w:rFonts w:ascii="Arial" w:hAnsi="Arial" w:cs="Arial"/>
                <w:sz w:val="24"/>
                <w:szCs w:val="24"/>
              </w:rPr>
              <w:t xml:space="preserve"> 32 to a</w:t>
            </w:r>
            <w:r w:rsidRPr="009E4A33">
              <w:rPr>
                <w:rFonts w:ascii="Arial" w:hAnsi="Arial" w:cs="Arial"/>
                <w:i/>
                <w:sz w:val="24"/>
                <w:szCs w:val="24"/>
              </w:rPr>
              <w:t xml:space="preserve"> rule </w:t>
            </w:r>
            <w:r>
              <w:rPr>
                <w:rFonts w:ascii="Arial" w:hAnsi="Arial" w:cs="Arial"/>
                <w:sz w:val="24"/>
                <w:szCs w:val="24"/>
              </w:rPr>
              <w:t>115 application.</w:t>
            </w:r>
          </w:p>
          <w:p w:rsidR="00580002" w:rsidRDefault="00580002" w:rsidP="00580002">
            <w:pPr>
              <w:tabs>
                <w:tab w:val="left" w:pos="927"/>
              </w:tabs>
              <w:spacing w:line="360" w:lineRule="auto"/>
              <w:jc w:val="both"/>
              <w:rPr>
                <w:rFonts w:ascii="Arial" w:hAnsi="Arial" w:cs="Arial"/>
                <w:sz w:val="24"/>
                <w:szCs w:val="24"/>
              </w:rPr>
            </w:pP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For the aforegoing reasons, I am of the opinion that it is not the intention of the rule-maker to make the provisions of</w:t>
            </w:r>
            <w:r w:rsidRPr="00AD6355">
              <w:rPr>
                <w:rFonts w:ascii="Arial" w:hAnsi="Arial" w:cs="Arial"/>
                <w:i/>
                <w:sz w:val="24"/>
                <w:szCs w:val="24"/>
              </w:rPr>
              <w:t xml:space="preserve"> rule</w:t>
            </w:r>
            <w:r>
              <w:rPr>
                <w:rFonts w:ascii="Arial" w:hAnsi="Arial" w:cs="Arial"/>
                <w:sz w:val="24"/>
                <w:szCs w:val="24"/>
              </w:rPr>
              <w:t xml:space="preserve"> 32 applicable to an application for leave to appeal. Therefore, an application for leave to appeal is not an interlocutory application within the meaning of</w:t>
            </w:r>
            <w:r w:rsidRPr="00AD6355">
              <w:rPr>
                <w:rFonts w:ascii="Arial" w:hAnsi="Arial" w:cs="Arial"/>
                <w:i/>
                <w:sz w:val="24"/>
                <w:szCs w:val="24"/>
              </w:rPr>
              <w:t xml:space="preserve"> rule</w:t>
            </w:r>
            <w:r>
              <w:rPr>
                <w:rFonts w:ascii="Arial" w:hAnsi="Arial" w:cs="Arial"/>
                <w:sz w:val="24"/>
                <w:szCs w:val="24"/>
              </w:rPr>
              <w:t xml:space="preserve"> 32 and</w:t>
            </w:r>
            <w:r w:rsidR="006B7D2C">
              <w:rPr>
                <w:rFonts w:ascii="Arial" w:hAnsi="Arial" w:cs="Arial"/>
                <w:sz w:val="24"/>
                <w:szCs w:val="24"/>
              </w:rPr>
              <w:t xml:space="preserve"> thus rule 32 (9)</w:t>
            </w:r>
            <w:r>
              <w:rPr>
                <w:rFonts w:ascii="Arial" w:hAnsi="Arial" w:cs="Arial"/>
                <w:sz w:val="24"/>
                <w:szCs w:val="24"/>
              </w:rPr>
              <w:t xml:space="preserve"> </w:t>
            </w:r>
            <w:r w:rsidR="006B7D2C">
              <w:rPr>
                <w:rFonts w:ascii="Arial" w:hAnsi="Arial" w:cs="Arial"/>
                <w:sz w:val="24"/>
                <w:szCs w:val="24"/>
              </w:rPr>
              <w:t xml:space="preserve">and </w:t>
            </w:r>
            <w:r>
              <w:rPr>
                <w:rFonts w:ascii="Arial" w:hAnsi="Arial" w:cs="Arial"/>
                <w:sz w:val="24"/>
                <w:szCs w:val="24"/>
              </w:rPr>
              <w:t>(10) are not applicable to an application for leave to appeal.</w:t>
            </w:r>
          </w:p>
          <w:p w:rsidR="00580002" w:rsidRDefault="00580002" w:rsidP="00580002">
            <w:pPr>
              <w:tabs>
                <w:tab w:val="left" w:pos="927"/>
              </w:tabs>
              <w:spacing w:line="360" w:lineRule="auto"/>
              <w:jc w:val="both"/>
              <w:rPr>
                <w:rFonts w:ascii="Arial" w:hAnsi="Arial" w:cs="Arial"/>
                <w:sz w:val="24"/>
                <w:szCs w:val="24"/>
              </w:rPr>
            </w:pP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I now turn to the applica</w:t>
            </w:r>
            <w:r w:rsidR="00AB4379">
              <w:rPr>
                <w:rFonts w:ascii="Arial" w:hAnsi="Arial" w:cs="Arial"/>
                <w:sz w:val="24"/>
                <w:szCs w:val="24"/>
              </w:rPr>
              <w:t>tion</w:t>
            </w:r>
            <w:r>
              <w:rPr>
                <w:rFonts w:ascii="Arial" w:hAnsi="Arial" w:cs="Arial"/>
                <w:sz w:val="24"/>
                <w:szCs w:val="24"/>
              </w:rPr>
              <w:t xml:space="preserve"> for condonation of the late filing of application for leave to appeal.</w:t>
            </w:r>
          </w:p>
          <w:p w:rsidR="00580002" w:rsidRDefault="00580002" w:rsidP="00580002">
            <w:pPr>
              <w:tabs>
                <w:tab w:val="left" w:pos="927"/>
              </w:tabs>
              <w:spacing w:line="360" w:lineRule="auto"/>
              <w:jc w:val="both"/>
              <w:rPr>
                <w:rFonts w:ascii="Arial" w:hAnsi="Arial" w:cs="Arial"/>
                <w:sz w:val="24"/>
                <w:szCs w:val="24"/>
              </w:rPr>
            </w:pP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B4379">
              <w:rPr>
                <w:rFonts w:ascii="Arial" w:hAnsi="Arial" w:cs="Arial"/>
                <w:sz w:val="24"/>
                <w:szCs w:val="24"/>
              </w:rPr>
              <w:t>It is trite law that an applicant</w:t>
            </w:r>
            <w:r>
              <w:rPr>
                <w:rFonts w:ascii="Arial" w:hAnsi="Arial" w:cs="Arial"/>
                <w:sz w:val="24"/>
                <w:szCs w:val="24"/>
              </w:rPr>
              <w:t xml:space="preserve"> for condonation is required to:</w:t>
            </w: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tab/>
              <w:t xml:space="preserve">(a)  furnish a reasonable and acceptable explanation for the default or no-compliance, </w:t>
            </w:r>
            <w:r>
              <w:rPr>
                <w:rFonts w:ascii="Arial" w:hAnsi="Arial" w:cs="Arial"/>
                <w:sz w:val="24"/>
                <w:szCs w:val="24"/>
              </w:rPr>
              <w:tab/>
              <w:t xml:space="preserve">and </w:t>
            </w:r>
          </w:p>
          <w:p w:rsidR="00580002" w:rsidRDefault="00580002" w:rsidP="00580002">
            <w:pPr>
              <w:tabs>
                <w:tab w:val="left" w:pos="927"/>
              </w:tabs>
              <w:spacing w:line="360" w:lineRule="auto"/>
              <w:jc w:val="both"/>
              <w:rPr>
                <w:rFonts w:ascii="Arial" w:hAnsi="Arial" w:cs="Arial"/>
                <w:sz w:val="24"/>
                <w:szCs w:val="24"/>
              </w:rPr>
            </w:pPr>
            <w:r>
              <w:rPr>
                <w:rFonts w:ascii="Arial" w:hAnsi="Arial" w:cs="Arial"/>
                <w:sz w:val="24"/>
                <w:szCs w:val="24"/>
              </w:rPr>
              <w:tab/>
              <w:t xml:space="preserve">(b)  </w:t>
            </w:r>
            <w:proofErr w:type="gramStart"/>
            <w:r>
              <w:rPr>
                <w:rFonts w:ascii="Arial" w:hAnsi="Arial" w:cs="Arial"/>
                <w:sz w:val="24"/>
                <w:szCs w:val="24"/>
              </w:rPr>
              <w:t>show</w:t>
            </w:r>
            <w:proofErr w:type="gramEnd"/>
            <w:r>
              <w:rPr>
                <w:rFonts w:ascii="Arial" w:hAnsi="Arial" w:cs="Arial"/>
                <w:sz w:val="24"/>
                <w:szCs w:val="24"/>
              </w:rPr>
              <w:t xml:space="preserve"> that he/she has reasonable prospects of success on the merits (of the </w:t>
            </w:r>
            <w:r>
              <w:rPr>
                <w:rFonts w:ascii="Arial" w:hAnsi="Arial" w:cs="Arial"/>
                <w:sz w:val="24"/>
                <w:szCs w:val="24"/>
              </w:rPr>
              <w:tab/>
              <w:t>application for leave to appeal in the present case).</w:t>
            </w:r>
          </w:p>
          <w:p w:rsidR="00580002" w:rsidRDefault="00580002" w:rsidP="00580002">
            <w:pPr>
              <w:tabs>
                <w:tab w:val="left" w:pos="927"/>
              </w:tabs>
              <w:spacing w:line="360" w:lineRule="auto"/>
              <w:jc w:val="both"/>
              <w:rPr>
                <w:rFonts w:ascii="Arial" w:hAnsi="Arial" w:cs="Arial"/>
                <w:sz w:val="24"/>
                <w:szCs w:val="24"/>
              </w:rPr>
            </w:pPr>
          </w:p>
          <w:p w:rsidR="00580002" w:rsidRDefault="00B80B63" w:rsidP="00580002">
            <w:pPr>
              <w:tabs>
                <w:tab w:val="left" w:pos="927"/>
              </w:tabs>
              <w:spacing w:line="36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t xml:space="preserve">Frank, </w:t>
            </w:r>
            <w:r w:rsidR="00580002">
              <w:rPr>
                <w:rFonts w:ascii="Arial" w:hAnsi="Arial" w:cs="Arial"/>
                <w:sz w:val="24"/>
                <w:szCs w:val="24"/>
              </w:rPr>
              <w:t>AJA has the following apposite remarks to make on the subject of condonation:</w:t>
            </w:r>
          </w:p>
          <w:p w:rsidR="00580002" w:rsidRPr="00FA6C93" w:rsidRDefault="00580002" w:rsidP="00580002">
            <w:pPr>
              <w:tabs>
                <w:tab w:val="left" w:pos="927"/>
              </w:tabs>
              <w:spacing w:line="360" w:lineRule="auto"/>
              <w:jc w:val="both"/>
              <w:rPr>
                <w:rFonts w:ascii="Arial" w:hAnsi="Arial" w:cs="Arial"/>
              </w:rPr>
            </w:pPr>
            <w:r>
              <w:rPr>
                <w:rFonts w:ascii="Arial" w:hAnsi="Arial" w:cs="Arial"/>
                <w:sz w:val="24"/>
                <w:szCs w:val="24"/>
              </w:rPr>
              <w:tab/>
            </w:r>
            <w:r>
              <w:rPr>
                <w:rFonts w:ascii="Arial" w:hAnsi="Arial" w:cs="Arial"/>
              </w:rPr>
              <w:t>‘There is some interplay between these two consid</w:t>
            </w:r>
            <w:r w:rsidR="00B80B63">
              <w:rPr>
                <w:rFonts w:ascii="Arial" w:hAnsi="Arial" w:cs="Arial"/>
              </w:rPr>
              <w:t>erations, e.g. good prospects of</w:t>
            </w:r>
            <w:r>
              <w:rPr>
                <w:rFonts w:ascii="Arial" w:hAnsi="Arial" w:cs="Arial"/>
              </w:rPr>
              <w:t xml:space="preserve"> success </w:t>
            </w:r>
            <w:r>
              <w:rPr>
                <w:rFonts w:ascii="Arial" w:hAnsi="Arial" w:cs="Arial"/>
              </w:rPr>
              <w:tab/>
              <w:t>may lead to the granting of a reinstatement applic</w:t>
            </w:r>
            <w:r w:rsidR="00B80B63">
              <w:rPr>
                <w:rFonts w:ascii="Arial" w:hAnsi="Arial" w:cs="Arial"/>
              </w:rPr>
              <w:t>ation even if the explanation is</w:t>
            </w:r>
            <w:r>
              <w:rPr>
                <w:rFonts w:ascii="Arial" w:hAnsi="Arial" w:cs="Arial"/>
              </w:rPr>
              <w:t xml:space="preserve"> not entirely </w:t>
            </w:r>
            <w:r>
              <w:rPr>
                <w:rFonts w:ascii="Arial" w:hAnsi="Arial" w:cs="Arial"/>
              </w:rPr>
              <w:tab/>
              <w:t xml:space="preserve">satisfactory.  Thus, in </w:t>
            </w:r>
            <w:r w:rsidRPr="00FA6C93">
              <w:rPr>
                <w:rFonts w:ascii="Arial" w:hAnsi="Arial" w:cs="Arial"/>
                <w:i/>
              </w:rPr>
              <w:t xml:space="preserve">Road Fund Administration v Scorpion Mining Company (Pty) Ltd </w:t>
            </w:r>
            <w:r>
              <w:rPr>
                <w:rFonts w:ascii="Arial" w:hAnsi="Arial" w:cs="Arial"/>
              </w:rPr>
              <w:t xml:space="preserve"> </w:t>
            </w:r>
            <w:r>
              <w:rPr>
                <w:rFonts w:ascii="Arial" w:hAnsi="Arial" w:cs="Arial"/>
              </w:rPr>
              <w:tab/>
              <w:t xml:space="preserve">overwhelming prospects of success and public importance of the issue in question led to </w:t>
            </w:r>
            <w:r>
              <w:rPr>
                <w:rFonts w:ascii="Arial" w:hAnsi="Arial" w:cs="Arial"/>
              </w:rPr>
              <w:tab/>
              <w:t xml:space="preserve">condonation application being granted despite non-compliance which bordered on being </w:t>
            </w:r>
            <w:r>
              <w:rPr>
                <w:rFonts w:ascii="Arial" w:hAnsi="Arial" w:cs="Arial"/>
              </w:rPr>
              <w:tab/>
              <w:t>glaring, flagrant and not satisfactorily explained.  Whereas the broad consideration</w:t>
            </w:r>
            <w:r w:rsidR="00B80B63">
              <w:rPr>
                <w:rFonts w:ascii="Arial" w:hAnsi="Arial" w:cs="Arial"/>
              </w:rPr>
              <w:t>s</w:t>
            </w:r>
            <w:r>
              <w:rPr>
                <w:rFonts w:ascii="Arial" w:hAnsi="Arial" w:cs="Arial"/>
              </w:rPr>
              <w:t xml:space="preserve"> are </w:t>
            </w:r>
            <w:r>
              <w:rPr>
                <w:rFonts w:ascii="Arial" w:hAnsi="Arial" w:cs="Arial"/>
              </w:rPr>
              <w:tab/>
              <w:t xml:space="preserve">generally considered conjunctively this is not always so.  Thus, when there is no acceptable </w:t>
            </w:r>
            <w:r>
              <w:rPr>
                <w:rFonts w:ascii="Arial" w:hAnsi="Arial" w:cs="Arial"/>
              </w:rPr>
              <w:tab/>
              <w:t xml:space="preserve">explanation for the glaring or flagrant non-compliance with the rules, the application may be </w:t>
            </w:r>
            <w:r>
              <w:rPr>
                <w:rFonts w:ascii="Arial" w:hAnsi="Arial" w:cs="Arial"/>
              </w:rPr>
              <w:tab/>
              <w:t xml:space="preserve">dismissed without consideration of the prospects of success on appeal.  Conversely, an </w:t>
            </w:r>
            <w:r>
              <w:rPr>
                <w:rFonts w:ascii="Arial" w:hAnsi="Arial" w:cs="Arial"/>
              </w:rPr>
              <w:tab/>
              <w:t xml:space="preserve">entirely satisfactory explanation will not save an application when there is no prospects of </w:t>
            </w:r>
            <w:r>
              <w:rPr>
                <w:rFonts w:ascii="Arial" w:hAnsi="Arial" w:cs="Arial"/>
              </w:rPr>
              <w:tab/>
              <w:t>success on appeal.’</w:t>
            </w:r>
          </w:p>
          <w:p w:rsidR="00580002" w:rsidRPr="00FA6C93" w:rsidRDefault="003221A0" w:rsidP="00580002">
            <w:pPr>
              <w:tabs>
                <w:tab w:val="left" w:pos="927"/>
              </w:tabs>
              <w:spacing w:line="360" w:lineRule="auto"/>
              <w:jc w:val="both"/>
              <w:rPr>
                <w:rFonts w:ascii="Arial" w:hAnsi="Arial" w:cs="Arial"/>
                <w:i/>
                <w:sz w:val="24"/>
                <w:szCs w:val="24"/>
              </w:rPr>
            </w:pPr>
            <w:r>
              <w:rPr>
                <w:rFonts w:ascii="Arial" w:hAnsi="Arial" w:cs="Arial"/>
                <w:i/>
                <w:sz w:val="24"/>
                <w:szCs w:val="24"/>
              </w:rPr>
              <w:t>`</w:t>
            </w: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t>The gist of the plaintiff’s explanation for the non-compliance with rule 115 (</w:t>
            </w:r>
            <w:proofErr w:type="spellStart"/>
            <w:r>
              <w:rPr>
                <w:rFonts w:ascii="Arial" w:hAnsi="Arial" w:cs="Arial"/>
                <w:sz w:val="24"/>
                <w:szCs w:val="24"/>
                <w:lang w:val="en-US"/>
              </w:rPr>
              <w:t>i.e</w:t>
            </w:r>
            <w:proofErr w:type="spellEnd"/>
            <w:r>
              <w:rPr>
                <w:rFonts w:ascii="Arial" w:hAnsi="Arial" w:cs="Arial"/>
                <w:sz w:val="24"/>
                <w:szCs w:val="24"/>
                <w:lang w:val="en-US"/>
              </w:rPr>
              <w:t xml:space="preserve"> failure to file application within 15 days) is contained in the affidavit deposed to by </w:t>
            </w:r>
            <w:proofErr w:type="spellStart"/>
            <w:r>
              <w:rPr>
                <w:rFonts w:ascii="Arial" w:hAnsi="Arial" w:cs="Arial"/>
                <w:sz w:val="24"/>
                <w:szCs w:val="24"/>
                <w:lang w:val="en-US"/>
              </w:rPr>
              <w:t>Mr</w:t>
            </w:r>
            <w:proofErr w:type="spellEnd"/>
            <w:r>
              <w:rPr>
                <w:rFonts w:ascii="Arial" w:hAnsi="Arial" w:cs="Arial"/>
                <w:sz w:val="24"/>
                <w:szCs w:val="24"/>
                <w:lang w:val="en-US"/>
              </w:rPr>
              <w:t xml:space="preserve"> Festus </w:t>
            </w:r>
            <w:proofErr w:type="spellStart"/>
            <w:proofErr w:type="gramStart"/>
            <w:r>
              <w:rPr>
                <w:rFonts w:ascii="Arial" w:hAnsi="Arial" w:cs="Arial"/>
                <w:sz w:val="24"/>
                <w:szCs w:val="24"/>
                <w:lang w:val="en-US"/>
              </w:rPr>
              <w:t>Katuna</w:t>
            </w:r>
            <w:proofErr w:type="spellEnd"/>
            <w:r>
              <w:rPr>
                <w:rFonts w:ascii="Arial" w:hAnsi="Arial" w:cs="Arial"/>
                <w:sz w:val="24"/>
                <w:szCs w:val="24"/>
                <w:lang w:val="en-US"/>
              </w:rPr>
              <w:t xml:space="preserve">  </w:t>
            </w:r>
            <w:proofErr w:type="spellStart"/>
            <w:r>
              <w:rPr>
                <w:rFonts w:ascii="Arial" w:hAnsi="Arial" w:cs="Arial"/>
                <w:sz w:val="24"/>
                <w:szCs w:val="24"/>
                <w:lang w:val="en-US"/>
              </w:rPr>
              <w:t>Mbandeka</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Mbandeka</w:t>
            </w:r>
            <w:proofErr w:type="spellEnd"/>
            <w:r>
              <w:rPr>
                <w:rFonts w:ascii="Arial" w:hAnsi="Arial" w:cs="Arial"/>
                <w:sz w:val="24"/>
                <w:szCs w:val="24"/>
                <w:lang w:val="en-US"/>
              </w:rPr>
              <w:t>’), the then Chief Executive Officer of the plaintiff, as well as in the affidavit of Mr Sisa Namandje (‘Mr Namandje’) the plaintiff’s legal representative of record.</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t xml:space="preserve">In his affidavit,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Mbandeka</w:t>
            </w:r>
            <w:proofErr w:type="spellEnd"/>
            <w:r>
              <w:rPr>
                <w:rFonts w:ascii="Arial" w:hAnsi="Arial" w:cs="Arial"/>
                <w:sz w:val="24"/>
                <w:szCs w:val="24"/>
                <w:lang w:val="en-US"/>
              </w:rPr>
              <w:t xml:space="preserve"> states that the plaintiff was wrongly advised by its legal representative, Mr Namandje, that the last day for the filing of the notice for leave to appeal was 17 December 2019.</w:t>
            </w:r>
            <w:r>
              <w:rPr>
                <w:rStyle w:val="FootnoteReference"/>
                <w:rFonts w:ascii="Arial" w:hAnsi="Arial" w:cs="Arial"/>
                <w:sz w:val="24"/>
                <w:szCs w:val="24"/>
                <w:lang w:val="en-US"/>
              </w:rPr>
              <w:footnoteReference w:id="2"/>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Mbandeka</w:t>
            </w:r>
            <w:proofErr w:type="spellEnd"/>
            <w:r>
              <w:rPr>
                <w:rFonts w:ascii="Arial" w:hAnsi="Arial" w:cs="Arial"/>
                <w:sz w:val="24"/>
                <w:szCs w:val="24"/>
                <w:lang w:val="en-US"/>
              </w:rPr>
              <w:t xml:space="preserve"> further states that he has been advised by Mr Namandje that Mr Namandje was at the material time aware of the 15 days period under </w:t>
            </w:r>
            <w:r w:rsidRPr="00BE1DAF">
              <w:rPr>
                <w:rFonts w:ascii="Arial" w:hAnsi="Arial" w:cs="Arial"/>
                <w:i/>
                <w:sz w:val="24"/>
                <w:szCs w:val="24"/>
                <w:lang w:val="en-US"/>
              </w:rPr>
              <w:t>rule</w:t>
            </w:r>
            <w:r>
              <w:rPr>
                <w:rFonts w:ascii="Arial" w:hAnsi="Arial" w:cs="Arial"/>
                <w:sz w:val="24"/>
                <w:szCs w:val="24"/>
                <w:lang w:val="en-US"/>
              </w:rPr>
              <w:t xml:space="preserve"> 115, however, he (Mr Namandje) </w:t>
            </w:r>
            <w:r w:rsidRPr="00BE1DAF">
              <w:rPr>
                <w:rFonts w:ascii="Arial" w:hAnsi="Arial" w:cs="Arial"/>
                <w:i/>
                <w:sz w:val="24"/>
                <w:szCs w:val="24"/>
                <w:lang w:val="en-US"/>
              </w:rPr>
              <w:t xml:space="preserve">mistakenly </w:t>
            </w:r>
            <w:r>
              <w:rPr>
                <w:rFonts w:ascii="Arial" w:hAnsi="Arial" w:cs="Arial"/>
                <w:sz w:val="24"/>
                <w:szCs w:val="24"/>
                <w:lang w:val="en-US"/>
              </w:rPr>
              <w:t xml:space="preserve">and </w:t>
            </w:r>
            <w:r w:rsidRPr="00BE1DAF">
              <w:rPr>
                <w:rFonts w:ascii="Arial" w:hAnsi="Arial" w:cs="Arial"/>
                <w:i/>
                <w:sz w:val="24"/>
                <w:szCs w:val="24"/>
                <w:lang w:val="en-US"/>
              </w:rPr>
              <w:t>inadvertently</w:t>
            </w:r>
            <w:r>
              <w:rPr>
                <w:rFonts w:ascii="Arial" w:hAnsi="Arial" w:cs="Arial"/>
                <w:sz w:val="24"/>
                <w:szCs w:val="24"/>
                <w:lang w:val="en-US"/>
              </w:rPr>
              <w:t xml:space="preserve"> looked at the </w:t>
            </w:r>
            <w:r w:rsidRPr="00BE1DAF">
              <w:rPr>
                <w:rFonts w:ascii="Arial" w:hAnsi="Arial" w:cs="Arial"/>
                <w:i/>
                <w:sz w:val="24"/>
                <w:szCs w:val="24"/>
                <w:lang w:val="en-US"/>
              </w:rPr>
              <w:t>Rules of the Supreme Court</w:t>
            </w:r>
            <w:r>
              <w:rPr>
                <w:rFonts w:ascii="Arial" w:hAnsi="Arial" w:cs="Arial"/>
                <w:sz w:val="24"/>
                <w:szCs w:val="24"/>
                <w:lang w:val="en-US"/>
              </w:rPr>
              <w:t xml:space="preserve"> in respect of which an appeal period of 21 days is required, calculated from the date of judgment of the High Court.</w:t>
            </w:r>
            <w:r>
              <w:rPr>
                <w:rStyle w:val="FootnoteReference"/>
                <w:rFonts w:ascii="Arial" w:hAnsi="Arial" w:cs="Arial"/>
                <w:sz w:val="24"/>
                <w:szCs w:val="24"/>
                <w:lang w:val="en-US"/>
              </w:rPr>
              <w:footnoteReference w:id="3"/>
            </w:r>
            <w:r>
              <w:rPr>
                <w:rFonts w:ascii="Arial" w:hAnsi="Arial" w:cs="Arial"/>
                <w:sz w:val="24"/>
                <w:szCs w:val="24"/>
                <w:lang w:val="en-US"/>
              </w:rPr>
              <w:t xml:space="preserve">  The plaintiff believed at the time that such information was correct.  This however, turned out to have been an error on the part of the Mr Namandje.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Mbandeka</w:t>
            </w:r>
            <w:proofErr w:type="spellEnd"/>
            <w:r>
              <w:rPr>
                <w:rFonts w:ascii="Arial" w:hAnsi="Arial" w:cs="Arial"/>
                <w:sz w:val="24"/>
                <w:szCs w:val="24"/>
                <w:lang w:val="en-US"/>
              </w:rPr>
              <w:t xml:space="preserve"> then referred the court to the confirmatory affidavit deposed to by Mr Namandje in that respect.</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[27]</w:t>
            </w:r>
            <w:r>
              <w:rPr>
                <w:rFonts w:ascii="Arial" w:hAnsi="Arial" w:cs="Arial"/>
                <w:sz w:val="24"/>
                <w:szCs w:val="24"/>
                <w:lang w:val="en-US"/>
              </w:rPr>
              <w:tab/>
              <w:t xml:space="preserve">In his confirmatory affidavit Mr Namandje relates that he somehow gave the plaintiff wrong information that the application for leave to appeal must be filed on or before 17 December 2019.  Such information was wrong.  The giving of wrong information came about an account that he </w:t>
            </w:r>
            <w:r w:rsidRPr="00BE1DAF">
              <w:rPr>
                <w:rFonts w:ascii="Arial" w:hAnsi="Arial" w:cs="Arial"/>
                <w:i/>
                <w:sz w:val="24"/>
                <w:szCs w:val="24"/>
                <w:lang w:val="en-US"/>
              </w:rPr>
              <w:t xml:space="preserve">inadvertently </w:t>
            </w:r>
            <w:r>
              <w:rPr>
                <w:rFonts w:ascii="Arial" w:hAnsi="Arial" w:cs="Arial"/>
                <w:sz w:val="24"/>
                <w:szCs w:val="24"/>
                <w:lang w:val="en-US"/>
              </w:rPr>
              <w:t>and</w:t>
            </w:r>
            <w:r w:rsidRPr="00BE1DAF">
              <w:rPr>
                <w:rFonts w:ascii="Arial" w:hAnsi="Arial" w:cs="Arial"/>
                <w:i/>
                <w:sz w:val="24"/>
                <w:szCs w:val="24"/>
                <w:lang w:val="en-US"/>
              </w:rPr>
              <w:t xml:space="preserve"> mistakenly</w:t>
            </w:r>
            <w:r>
              <w:rPr>
                <w:rFonts w:ascii="Arial" w:hAnsi="Arial" w:cs="Arial"/>
                <w:sz w:val="24"/>
                <w:szCs w:val="24"/>
                <w:lang w:val="en-US"/>
              </w:rPr>
              <w:t xml:space="preserve"> looked at Rules of the Supreme Court in respect of which a notice to appeal from a judgment or order of the High Court must be filed</w:t>
            </w:r>
            <w:r w:rsidR="005A23B1">
              <w:rPr>
                <w:rFonts w:ascii="Arial" w:hAnsi="Arial" w:cs="Arial"/>
                <w:sz w:val="24"/>
                <w:szCs w:val="24"/>
                <w:lang w:val="en-US"/>
              </w:rPr>
              <w:t xml:space="preserve"> within 21 days after the order</w:t>
            </w:r>
            <w:r>
              <w:rPr>
                <w:rFonts w:ascii="Arial" w:hAnsi="Arial" w:cs="Arial"/>
                <w:sz w:val="24"/>
                <w:szCs w:val="24"/>
                <w:lang w:val="en-US"/>
              </w:rPr>
              <w:t xml:space="preserve"> of the High Court.  This was a mistake and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Namandje</w:t>
            </w:r>
            <w:proofErr w:type="spellEnd"/>
            <w:r>
              <w:rPr>
                <w:rFonts w:ascii="Arial" w:hAnsi="Arial" w:cs="Arial"/>
                <w:sz w:val="24"/>
                <w:szCs w:val="24"/>
                <w:lang w:val="en-US"/>
              </w:rPr>
              <w:t xml:space="preserve"> only realised the mistake after 19 February 2020 when he was considering judgment in the case of </w:t>
            </w:r>
            <w:r w:rsidRPr="00BE3D40">
              <w:rPr>
                <w:rFonts w:ascii="Arial" w:hAnsi="Arial" w:cs="Arial"/>
                <w:i/>
                <w:sz w:val="24"/>
                <w:szCs w:val="24"/>
                <w:lang w:val="en-US"/>
              </w:rPr>
              <w:t xml:space="preserve">Namibia Water Corporation Ltd v </w:t>
            </w:r>
            <w:proofErr w:type="spellStart"/>
            <w:r w:rsidRPr="00BE3D40">
              <w:rPr>
                <w:rFonts w:ascii="Arial" w:hAnsi="Arial" w:cs="Arial"/>
                <w:i/>
                <w:sz w:val="24"/>
                <w:szCs w:val="24"/>
                <w:lang w:val="en-US"/>
              </w:rPr>
              <w:t>Tjipangandjara</w:t>
            </w:r>
            <w:proofErr w:type="spellEnd"/>
            <w:r>
              <w:rPr>
                <w:rFonts w:ascii="Arial" w:hAnsi="Arial" w:cs="Arial"/>
                <w:sz w:val="24"/>
                <w:szCs w:val="24"/>
                <w:lang w:val="en-US"/>
              </w:rPr>
              <w:t xml:space="preserve">. </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t>It therefore appears from the two affidavits that the core of the explanation given for non- compliance with</w:t>
            </w:r>
            <w:r w:rsidRPr="00447373">
              <w:rPr>
                <w:rFonts w:ascii="Arial" w:hAnsi="Arial" w:cs="Arial"/>
                <w:i/>
                <w:sz w:val="24"/>
                <w:szCs w:val="24"/>
                <w:lang w:val="en-US"/>
              </w:rPr>
              <w:t xml:space="preserve"> rule</w:t>
            </w:r>
            <w:r>
              <w:rPr>
                <w:rFonts w:ascii="Arial" w:hAnsi="Arial" w:cs="Arial"/>
                <w:sz w:val="24"/>
                <w:szCs w:val="24"/>
                <w:lang w:val="en-US"/>
              </w:rPr>
              <w:t xml:space="preserve"> 115</w:t>
            </w:r>
            <w:r w:rsidR="00AA4C17">
              <w:rPr>
                <w:rFonts w:ascii="Arial" w:hAnsi="Arial" w:cs="Arial"/>
                <w:sz w:val="24"/>
                <w:szCs w:val="24"/>
                <w:lang w:val="en-US"/>
              </w:rPr>
              <w:t>,</w:t>
            </w:r>
            <w:r>
              <w:rPr>
                <w:rFonts w:ascii="Arial" w:hAnsi="Arial" w:cs="Arial"/>
                <w:sz w:val="24"/>
                <w:szCs w:val="24"/>
                <w:lang w:val="en-US"/>
              </w:rPr>
              <w:t xml:space="preserve"> is the inadvertence and mistake on the part of the Mr Namandje, in having looked at the </w:t>
            </w:r>
            <w:r w:rsidRPr="00447373">
              <w:rPr>
                <w:rFonts w:ascii="Arial" w:hAnsi="Arial" w:cs="Arial"/>
                <w:i/>
                <w:sz w:val="24"/>
                <w:szCs w:val="24"/>
                <w:lang w:val="en-US"/>
              </w:rPr>
              <w:t>Rules of the Supreme Court</w:t>
            </w:r>
            <w:r>
              <w:rPr>
                <w:rFonts w:ascii="Arial" w:hAnsi="Arial" w:cs="Arial"/>
                <w:sz w:val="24"/>
                <w:szCs w:val="24"/>
                <w:lang w:val="en-US"/>
              </w:rPr>
              <w:t xml:space="preserve">, instead of the </w:t>
            </w:r>
            <w:r w:rsidRPr="00447373">
              <w:rPr>
                <w:rFonts w:ascii="Arial" w:hAnsi="Arial" w:cs="Arial"/>
                <w:i/>
                <w:sz w:val="24"/>
                <w:szCs w:val="24"/>
                <w:lang w:val="en-US"/>
              </w:rPr>
              <w:t xml:space="preserve">Rules of the High </w:t>
            </w:r>
            <w:r w:rsidR="00AA4C17">
              <w:rPr>
                <w:rFonts w:ascii="Arial" w:hAnsi="Arial" w:cs="Arial"/>
                <w:i/>
                <w:sz w:val="24"/>
                <w:szCs w:val="24"/>
                <w:lang w:val="en-US"/>
              </w:rPr>
              <w:t>C</w:t>
            </w:r>
            <w:r w:rsidRPr="00447373">
              <w:rPr>
                <w:rFonts w:ascii="Arial" w:hAnsi="Arial" w:cs="Arial"/>
                <w:i/>
                <w:sz w:val="24"/>
                <w:szCs w:val="24"/>
                <w:lang w:val="en-US"/>
              </w:rPr>
              <w:t>ourt</w:t>
            </w:r>
            <w:r>
              <w:rPr>
                <w:rFonts w:ascii="Arial" w:hAnsi="Arial" w:cs="Arial"/>
                <w:sz w:val="24"/>
                <w:szCs w:val="24"/>
                <w:lang w:val="en-US"/>
              </w:rPr>
              <w:t xml:space="preserve"> culminating in him giving inaccurate information to his client.</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t>The court is called upon to determine whether the explanation given by the plaintiff for the non-compliance is a reasonable and acceptable explanation in the circumstances.</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t xml:space="preserve">Mr Namandje has confirmed the correctness of the contents of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Mbandeka’s</w:t>
            </w:r>
            <w:proofErr w:type="spellEnd"/>
            <w:r>
              <w:rPr>
                <w:rFonts w:ascii="Arial" w:hAnsi="Arial" w:cs="Arial"/>
                <w:sz w:val="24"/>
                <w:szCs w:val="24"/>
                <w:lang w:val="en-US"/>
              </w:rPr>
              <w:t xml:space="preserve"> affidavit insofar as it relates to him.  However, neither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Mbandeka</w:t>
            </w:r>
            <w:proofErr w:type="spellEnd"/>
            <w:r>
              <w:rPr>
                <w:rFonts w:ascii="Arial" w:hAnsi="Arial" w:cs="Arial"/>
                <w:sz w:val="24"/>
                <w:szCs w:val="24"/>
                <w:lang w:val="en-US"/>
              </w:rPr>
              <w:t xml:space="preserve"> nor </w:t>
            </w:r>
            <w:proofErr w:type="spellStart"/>
            <w:r w:rsidR="00AA4C17">
              <w:rPr>
                <w:rFonts w:ascii="Arial" w:hAnsi="Arial" w:cs="Arial"/>
                <w:sz w:val="24"/>
                <w:szCs w:val="24"/>
                <w:lang w:val="en-US"/>
              </w:rPr>
              <w:t>Mr</w:t>
            </w:r>
            <w:proofErr w:type="spellEnd"/>
            <w:r w:rsidR="00AA4C17">
              <w:rPr>
                <w:rFonts w:ascii="Arial" w:hAnsi="Arial" w:cs="Arial"/>
                <w:sz w:val="24"/>
                <w:szCs w:val="24"/>
                <w:lang w:val="en-US"/>
              </w:rPr>
              <w:t xml:space="preserve"> </w:t>
            </w:r>
            <w:proofErr w:type="spellStart"/>
            <w:r>
              <w:rPr>
                <w:rFonts w:ascii="Arial" w:hAnsi="Arial" w:cs="Arial"/>
                <w:sz w:val="24"/>
                <w:szCs w:val="24"/>
                <w:lang w:val="en-US"/>
              </w:rPr>
              <w:t>Namandje</w:t>
            </w:r>
            <w:proofErr w:type="spellEnd"/>
            <w:r>
              <w:rPr>
                <w:rFonts w:ascii="Arial" w:hAnsi="Arial" w:cs="Arial"/>
                <w:sz w:val="24"/>
                <w:szCs w:val="24"/>
                <w:lang w:val="en-US"/>
              </w:rPr>
              <w:t xml:space="preserve"> does explain the context in which Mr Namandje was</w:t>
            </w:r>
            <w:r w:rsidR="00AA4C17">
              <w:rPr>
                <w:rFonts w:ascii="Arial" w:hAnsi="Arial" w:cs="Arial"/>
                <w:sz w:val="24"/>
                <w:szCs w:val="24"/>
                <w:lang w:val="en-US"/>
              </w:rPr>
              <w:t>,</w:t>
            </w:r>
            <w:r>
              <w:rPr>
                <w:rFonts w:ascii="Arial" w:hAnsi="Arial" w:cs="Arial"/>
                <w:sz w:val="24"/>
                <w:szCs w:val="24"/>
                <w:lang w:val="en-US"/>
              </w:rPr>
              <w:t xml:space="preserve"> at the material time, aware of the 15 days period under </w:t>
            </w:r>
            <w:r w:rsidRPr="00447373">
              <w:rPr>
                <w:rFonts w:ascii="Arial" w:hAnsi="Arial" w:cs="Arial"/>
                <w:i/>
                <w:sz w:val="24"/>
                <w:szCs w:val="24"/>
                <w:lang w:val="en-US"/>
              </w:rPr>
              <w:t>rule</w:t>
            </w:r>
            <w:r>
              <w:rPr>
                <w:rFonts w:ascii="Arial" w:hAnsi="Arial" w:cs="Arial"/>
                <w:sz w:val="24"/>
                <w:szCs w:val="24"/>
                <w:lang w:val="en-US"/>
              </w:rPr>
              <w:t xml:space="preserve"> 115, yet he proceeded to advise a 21 days period within which to file application for leave to appeal. Nor does Mr Namandje explain how the </w:t>
            </w:r>
            <w:r w:rsidRPr="00447373">
              <w:rPr>
                <w:rFonts w:ascii="Arial" w:hAnsi="Arial" w:cs="Arial"/>
                <w:i/>
                <w:sz w:val="24"/>
                <w:szCs w:val="24"/>
                <w:lang w:val="en-US"/>
              </w:rPr>
              <w:t xml:space="preserve">‘inadvertence’ </w:t>
            </w:r>
            <w:r>
              <w:rPr>
                <w:rFonts w:ascii="Arial" w:hAnsi="Arial" w:cs="Arial"/>
                <w:sz w:val="24"/>
                <w:szCs w:val="24"/>
                <w:lang w:val="en-US"/>
              </w:rPr>
              <w:t xml:space="preserve">and </w:t>
            </w:r>
            <w:r>
              <w:rPr>
                <w:rFonts w:ascii="Arial" w:hAnsi="Arial" w:cs="Arial"/>
                <w:i/>
                <w:sz w:val="24"/>
                <w:szCs w:val="24"/>
                <w:lang w:val="en-US"/>
              </w:rPr>
              <w:t>‘</w:t>
            </w:r>
            <w:r w:rsidRPr="00447373">
              <w:rPr>
                <w:rFonts w:ascii="Arial" w:hAnsi="Arial" w:cs="Arial"/>
                <w:i/>
                <w:sz w:val="24"/>
                <w:szCs w:val="24"/>
                <w:lang w:val="en-US"/>
              </w:rPr>
              <w:t>mistake’</w:t>
            </w:r>
            <w:r>
              <w:rPr>
                <w:rFonts w:ascii="Arial" w:hAnsi="Arial" w:cs="Arial"/>
                <w:sz w:val="24"/>
                <w:szCs w:val="24"/>
                <w:lang w:val="en-US"/>
              </w:rPr>
              <w:t xml:space="preserve"> came about.  </w:t>
            </w:r>
            <w:r w:rsidR="00AA4C17">
              <w:rPr>
                <w:rFonts w:ascii="Arial" w:hAnsi="Arial" w:cs="Arial"/>
                <w:sz w:val="24"/>
                <w:szCs w:val="24"/>
                <w:lang w:val="en-US"/>
              </w:rPr>
              <w:t>In other words, it is not explained how</w:t>
            </w:r>
            <w:r>
              <w:rPr>
                <w:rFonts w:ascii="Arial" w:hAnsi="Arial" w:cs="Arial"/>
                <w:sz w:val="24"/>
                <w:szCs w:val="24"/>
                <w:lang w:val="en-US"/>
              </w:rPr>
              <w:t xml:space="preserve"> Mr Namandje, being </w:t>
            </w:r>
            <w:r w:rsidRPr="00AA4C17">
              <w:rPr>
                <w:rFonts w:ascii="Arial" w:hAnsi="Arial" w:cs="Arial"/>
                <w:i/>
                <w:sz w:val="24"/>
                <w:szCs w:val="24"/>
                <w:lang w:val="en-US"/>
              </w:rPr>
              <w:t>aware</w:t>
            </w:r>
            <w:r>
              <w:rPr>
                <w:rFonts w:ascii="Arial" w:hAnsi="Arial" w:cs="Arial"/>
                <w:sz w:val="24"/>
                <w:szCs w:val="24"/>
                <w:lang w:val="en-US"/>
              </w:rPr>
              <w:t xml:space="preserve"> of the 15 days period under </w:t>
            </w:r>
            <w:r w:rsidRPr="00447373">
              <w:rPr>
                <w:rFonts w:ascii="Arial" w:hAnsi="Arial" w:cs="Arial"/>
                <w:i/>
                <w:sz w:val="24"/>
                <w:szCs w:val="24"/>
                <w:lang w:val="en-US"/>
              </w:rPr>
              <w:t xml:space="preserve">rule </w:t>
            </w:r>
            <w:r>
              <w:rPr>
                <w:rFonts w:ascii="Arial" w:hAnsi="Arial" w:cs="Arial"/>
                <w:sz w:val="24"/>
                <w:szCs w:val="24"/>
                <w:lang w:val="en-US"/>
              </w:rPr>
              <w:t xml:space="preserve">115 of the High Court Rules, happened to look at the </w:t>
            </w:r>
            <w:r w:rsidRPr="00447373">
              <w:rPr>
                <w:rFonts w:ascii="Arial" w:hAnsi="Arial" w:cs="Arial"/>
                <w:i/>
                <w:sz w:val="24"/>
                <w:szCs w:val="24"/>
                <w:lang w:val="en-US"/>
              </w:rPr>
              <w:t xml:space="preserve">Rules of the Supreme Court </w:t>
            </w:r>
            <w:r>
              <w:rPr>
                <w:rFonts w:ascii="Arial" w:hAnsi="Arial" w:cs="Arial"/>
                <w:sz w:val="24"/>
                <w:szCs w:val="24"/>
                <w:lang w:val="en-US"/>
              </w:rPr>
              <w:t>and singled out a pe</w:t>
            </w:r>
            <w:r w:rsidR="00AA4C17">
              <w:rPr>
                <w:rFonts w:ascii="Arial" w:hAnsi="Arial" w:cs="Arial"/>
                <w:sz w:val="24"/>
                <w:szCs w:val="24"/>
                <w:lang w:val="en-US"/>
              </w:rPr>
              <w:t>riod of time</w:t>
            </w:r>
            <w:r>
              <w:rPr>
                <w:rFonts w:ascii="Arial" w:hAnsi="Arial" w:cs="Arial"/>
                <w:sz w:val="24"/>
                <w:szCs w:val="24"/>
                <w:lang w:val="en-US"/>
              </w:rPr>
              <w:t xml:space="preserve"> which is inconsistent with the 15 days period he was aware of.</w:t>
            </w:r>
          </w:p>
          <w:p w:rsidR="00580002" w:rsidRDefault="00580002" w:rsidP="00580002">
            <w:pPr>
              <w:tabs>
                <w:tab w:val="left" w:pos="927"/>
              </w:tabs>
              <w:spacing w:line="360" w:lineRule="auto"/>
              <w:jc w:val="both"/>
              <w:rPr>
                <w:rFonts w:ascii="Arial" w:hAnsi="Arial" w:cs="Arial"/>
                <w:sz w:val="24"/>
                <w:szCs w:val="24"/>
                <w:lang w:val="en-US"/>
              </w:rPr>
            </w:pPr>
          </w:p>
          <w:p w:rsidR="00580002" w:rsidRDefault="00580002" w:rsidP="00580002">
            <w:pPr>
              <w:tabs>
                <w:tab w:val="left" w:pos="927"/>
              </w:tabs>
              <w:spacing w:line="360" w:lineRule="auto"/>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t>Confronted with a similar situation, Frank AJA, expressed the following sentiments:</w:t>
            </w:r>
          </w:p>
          <w:p w:rsidR="00580002" w:rsidRDefault="00580002" w:rsidP="00580002">
            <w:pPr>
              <w:jc w:val="both"/>
              <w:rPr>
                <w:rFonts w:ascii="Arial" w:hAnsi="Arial" w:cs="Arial"/>
                <w:lang w:val="en-US"/>
              </w:rPr>
            </w:pPr>
            <w:r>
              <w:rPr>
                <w:rFonts w:ascii="Arial" w:hAnsi="Arial" w:cs="Arial"/>
                <w:sz w:val="24"/>
                <w:szCs w:val="24"/>
                <w:lang w:val="en-US"/>
              </w:rPr>
              <w:tab/>
            </w:r>
            <w:r w:rsidRPr="00974189">
              <w:rPr>
                <w:rFonts w:ascii="Arial" w:hAnsi="Arial" w:cs="Arial"/>
                <w:lang w:val="en-US"/>
              </w:rPr>
              <w:t xml:space="preserve">‘In view of the frequent warnings of this court </w:t>
            </w:r>
            <w:r>
              <w:rPr>
                <w:rFonts w:ascii="Arial" w:hAnsi="Arial" w:cs="Arial"/>
                <w:lang w:val="en-US"/>
              </w:rPr>
              <w:t xml:space="preserve">concerning the laxity of legal </w:t>
            </w:r>
            <w:r w:rsidRPr="00974189">
              <w:rPr>
                <w:rFonts w:ascii="Arial" w:hAnsi="Arial" w:cs="Arial"/>
                <w:lang w:val="en-US"/>
              </w:rPr>
              <w:t xml:space="preserve">practitioners when </w:t>
            </w:r>
            <w:r>
              <w:rPr>
                <w:rFonts w:ascii="Arial" w:hAnsi="Arial" w:cs="Arial"/>
                <w:lang w:val="en-US"/>
              </w:rPr>
              <w:tab/>
            </w:r>
            <w:r w:rsidRPr="00974189">
              <w:rPr>
                <w:rFonts w:ascii="Arial" w:hAnsi="Arial" w:cs="Arial"/>
                <w:lang w:val="en-US"/>
              </w:rPr>
              <w:t>it comes to the rules concerning appeals, t</w:t>
            </w:r>
            <w:r w:rsidR="000A3132">
              <w:rPr>
                <w:rFonts w:ascii="Arial" w:hAnsi="Arial" w:cs="Arial"/>
                <w:lang w:val="en-US"/>
              </w:rPr>
              <w:t>he explanation for the late fil</w:t>
            </w:r>
            <w:r w:rsidRPr="00974189">
              <w:rPr>
                <w:rFonts w:ascii="Arial" w:hAnsi="Arial" w:cs="Arial"/>
                <w:lang w:val="en-US"/>
              </w:rPr>
              <w:t xml:space="preserve">ing of the record in </w:t>
            </w:r>
            <w:r>
              <w:rPr>
                <w:rFonts w:ascii="Arial" w:hAnsi="Arial" w:cs="Arial"/>
                <w:lang w:val="en-US"/>
              </w:rPr>
              <w:tab/>
            </w:r>
            <w:r w:rsidRPr="00974189">
              <w:rPr>
                <w:rFonts w:ascii="Arial" w:hAnsi="Arial" w:cs="Arial"/>
                <w:lang w:val="en-US"/>
              </w:rPr>
              <w:t>this case is not reasonable and acceptable.  It amounts to no explanation</w:t>
            </w:r>
            <w:r w:rsidR="000A3132">
              <w:rPr>
                <w:rFonts w:ascii="Arial" w:hAnsi="Arial" w:cs="Arial"/>
                <w:lang w:val="en-US"/>
              </w:rPr>
              <w:t xml:space="preserve">.  If the </w:t>
            </w:r>
            <w:r w:rsidR="000F5E0C">
              <w:rPr>
                <w:rFonts w:ascii="Arial" w:hAnsi="Arial" w:cs="Arial"/>
                <w:lang w:val="en-US"/>
              </w:rPr>
              <w:t xml:space="preserve">explanation </w:t>
            </w:r>
            <w:r w:rsidR="000F5E0C" w:rsidRPr="00974189">
              <w:rPr>
                <w:rFonts w:ascii="Arial" w:hAnsi="Arial" w:cs="Arial"/>
                <w:lang w:val="en-US"/>
              </w:rPr>
              <w:lastRenderedPageBreak/>
              <w:t>proffered</w:t>
            </w:r>
            <w:r w:rsidR="000F5E0C">
              <w:rPr>
                <w:rFonts w:ascii="Arial" w:hAnsi="Arial" w:cs="Arial"/>
                <w:lang w:val="en-US"/>
              </w:rPr>
              <w:t xml:space="preserve"> in this </w:t>
            </w:r>
            <w:r>
              <w:rPr>
                <w:rFonts w:ascii="Arial" w:hAnsi="Arial" w:cs="Arial"/>
                <w:lang w:val="en-US"/>
              </w:rPr>
              <w:t>case is accepted, the court will have to accept every other exp</w:t>
            </w:r>
            <w:r w:rsidR="000F5E0C">
              <w:rPr>
                <w:rFonts w:ascii="Arial" w:hAnsi="Arial" w:cs="Arial"/>
                <w:lang w:val="en-US"/>
              </w:rPr>
              <w:t xml:space="preserve">lanation for failing to comply </w:t>
            </w:r>
            <w:r>
              <w:rPr>
                <w:rFonts w:ascii="Arial" w:hAnsi="Arial" w:cs="Arial"/>
                <w:lang w:val="en-US"/>
              </w:rPr>
              <w:t>with the rule in question or indeed any other rule of this court.</w:t>
            </w:r>
            <w:r w:rsidR="007B63BC">
              <w:rPr>
                <w:rFonts w:ascii="Arial" w:hAnsi="Arial" w:cs="Arial"/>
                <w:lang w:val="en-US"/>
              </w:rPr>
              <w:t>’</w:t>
            </w:r>
            <w:r>
              <w:rPr>
                <w:rStyle w:val="FootnoteReference"/>
                <w:rFonts w:ascii="Arial" w:hAnsi="Arial" w:cs="Arial"/>
                <w:lang w:val="en-US"/>
              </w:rPr>
              <w:footnoteReference w:id="4"/>
            </w:r>
          </w:p>
          <w:p w:rsidR="007A77DE" w:rsidRDefault="007A77DE" w:rsidP="00580002">
            <w:pPr>
              <w:jc w:val="both"/>
              <w:rPr>
                <w:rFonts w:ascii="Arial" w:hAnsi="Arial" w:cs="Arial"/>
                <w:b/>
                <w:sz w:val="24"/>
                <w:szCs w:val="24"/>
                <w:lang w:val="en-US"/>
              </w:rPr>
            </w:pPr>
          </w:p>
          <w:p w:rsidR="00580002" w:rsidRDefault="00580002" w:rsidP="00580002">
            <w:pPr>
              <w:jc w:val="both"/>
              <w:rPr>
                <w:rFonts w:ascii="Arial" w:hAnsi="Arial" w:cs="Arial"/>
                <w:b/>
                <w:sz w:val="24"/>
                <w:szCs w:val="24"/>
                <w:lang w:val="en-US"/>
              </w:rPr>
            </w:pPr>
          </w:p>
          <w:p w:rsidR="007A77DE" w:rsidRDefault="007A77DE" w:rsidP="007A77DE">
            <w:pPr>
              <w:spacing w:line="360" w:lineRule="auto"/>
              <w:jc w:val="both"/>
              <w:rPr>
                <w:rFonts w:ascii="Arial" w:hAnsi="Arial" w:cs="Arial"/>
                <w:sz w:val="24"/>
                <w:szCs w:val="24"/>
                <w:lang w:val="en-US"/>
              </w:rPr>
            </w:pPr>
            <w:r w:rsidRPr="007A77DE">
              <w:rPr>
                <w:rFonts w:ascii="Arial" w:hAnsi="Arial" w:cs="Arial"/>
                <w:sz w:val="24"/>
                <w:szCs w:val="24"/>
                <w:lang w:val="en-US"/>
              </w:rPr>
              <w:t>[32]</w:t>
            </w:r>
            <w:r w:rsidRPr="007A77DE">
              <w:rPr>
                <w:rFonts w:ascii="Arial" w:hAnsi="Arial" w:cs="Arial"/>
                <w:sz w:val="24"/>
                <w:szCs w:val="24"/>
                <w:lang w:val="en-US"/>
              </w:rPr>
              <w:tab/>
            </w:r>
            <w:r>
              <w:rPr>
                <w:rFonts w:ascii="Arial" w:hAnsi="Arial" w:cs="Arial"/>
                <w:sz w:val="24"/>
                <w:szCs w:val="24"/>
                <w:lang w:val="en-US"/>
              </w:rPr>
              <w:t>Similarly, in the present matter, I find that the explanation given by the plaintiff for the late filing of the application for leave to appeal</w:t>
            </w:r>
            <w:r w:rsidR="005D4289">
              <w:rPr>
                <w:rFonts w:ascii="Arial" w:hAnsi="Arial" w:cs="Arial"/>
                <w:sz w:val="24"/>
                <w:szCs w:val="24"/>
                <w:lang w:val="en-US"/>
              </w:rPr>
              <w:t>,</w:t>
            </w:r>
            <w:r>
              <w:rPr>
                <w:rFonts w:ascii="Arial" w:hAnsi="Arial" w:cs="Arial"/>
                <w:sz w:val="24"/>
                <w:szCs w:val="24"/>
                <w:lang w:val="en-US"/>
              </w:rPr>
              <w:t xml:space="preserve"> is neither reasonable nor acceptable.  If accepted it would create a bad precedent in respect of failure to comply with any of the </w:t>
            </w:r>
            <w:r w:rsidRPr="007A77DE">
              <w:rPr>
                <w:rFonts w:ascii="Arial" w:hAnsi="Arial" w:cs="Arial"/>
                <w:i/>
                <w:sz w:val="24"/>
                <w:szCs w:val="24"/>
                <w:lang w:val="en-US"/>
              </w:rPr>
              <w:t>Rules of Court</w:t>
            </w:r>
            <w:r>
              <w:rPr>
                <w:rFonts w:ascii="Arial" w:hAnsi="Arial" w:cs="Arial"/>
                <w:sz w:val="24"/>
                <w:szCs w:val="24"/>
                <w:lang w:val="en-US"/>
              </w:rPr>
              <w:t>.  The fact that the non-compliance was occasioned due to the conduct of the plaintiff’s legal representative would not save the plaintiff in this matter.</w:t>
            </w:r>
          </w:p>
          <w:p w:rsidR="007A77DE" w:rsidRDefault="007A77DE" w:rsidP="007A77DE">
            <w:pPr>
              <w:spacing w:line="360" w:lineRule="auto"/>
              <w:jc w:val="both"/>
              <w:rPr>
                <w:rFonts w:ascii="Arial" w:hAnsi="Arial" w:cs="Arial"/>
                <w:sz w:val="24"/>
                <w:szCs w:val="24"/>
                <w:lang w:val="en-US"/>
              </w:rPr>
            </w:pPr>
          </w:p>
          <w:p w:rsidR="007A77DE" w:rsidRPr="007A77DE" w:rsidRDefault="007A77DE" w:rsidP="007A77DE">
            <w:pPr>
              <w:spacing w:line="360" w:lineRule="auto"/>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t>In addition to the aforegoing, I am also of the opinion that the plaintiff has not shown that it has reasonable prospects of success on appeal.  The pla</w:t>
            </w:r>
            <w:r w:rsidR="00B261F5">
              <w:rPr>
                <w:rFonts w:ascii="Arial" w:hAnsi="Arial" w:cs="Arial"/>
                <w:sz w:val="24"/>
                <w:szCs w:val="24"/>
                <w:lang w:val="en-US"/>
              </w:rPr>
              <w:t>intiff has not advanced legal or</w:t>
            </w:r>
            <w:r>
              <w:rPr>
                <w:rFonts w:ascii="Arial" w:hAnsi="Arial" w:cs="Arial"/>
                <w:sz w:val="24"/>
                <w:szCs w:val="24"/>
                <w:lang w:val="en-US"/>
              </w:rPr>
              <w:t xml:space="preserve"> factual basis for contending that the purported </w:t>
            </w:r>
            <w:r w:rsidRPr="007A77DE">
              <w:rPr>
                <w:rFonts w:ascii="Arial" w:hAnsi="Arial" w:cs="Arial"/>
                <w:i/>
                <w:sz w:val="24"/>
                <w:szCs w:val="24"/>
                <w:lang w:val="en-US"/>
              </w:rPr>
              <w:t xml:space="preserve">‘special case’ </w:t>
            </w:r>
            <w:r>
              <w:rPr>
                <w:rFonts w:ascii="Arial" w:hAnsi="Arial" w:cs="Arial"/>
                <w:sz w:val="24"/>
                <w:szCs w:val="24"/>
                <w:lang w:val="en-US"/>
              </w:rPr>
              <w:t>which was struck from the roll on 15 November 2019</w:t>
            </w:r>
            <w:r w:rsidR="00232D58">
              <w:rPr>
                <w:rFonts w:ascii="Arial" w:hAnsi="Arial" w:cs="Arial"/>
                <w:sz w:val="24"/>
                <w:szCs w:val="24"/>
                <w:lang w:val="en-US"/>
              </w:rPr>
              <w:t>,</w:t>
            </w:r>
            <w:r>
              <w:rPr>
                <w:rFonts w:ascii="Arial" w:hAnsi="Arial" w:cs="Arial"/>
                <w:sz w:val="24"/>
                <w:szCs w:val="24"/>
                <w:lang w:val="en-US"/>
              </w:rPr>
              <w:t xml:space="preserve"> did indeed meet the requirements of </w:t>
            </w:r>
            <w:r w:rsidRPr="007A77DE">
              <w:rPr>
                <w:rFonts w:ascii="Arial" w:hAnsi="Arial" w:cs="Arial"/>
                <w:i/>
                <w:sz w:val="24"/>
                <w:szCs w:val="24"/>
                <w:lang w:val="en-US"/>
              </w:rPr>
              <w:t>rule</w:t>
            </w:r>
            <w:r>
              <w:rPr>
                <w:rFonts w:ascii="Arial" w:hAnsi="Arial" w:cs="Arial"/>
                <w:sz w:val="24"/>
                <w:szCs w:val="24"/>
                <w:lang w:val="en-US"/>
              </w:rPr>
              <w:t xml:space="preserve"> 63.</w:t>
            </w:r>
          </w:p>
          <w:p w:rsidR="00580002" w:rsidRPr="007A77DE" w:rsidRDefault="00580002" w:rsidP="007A77DE">
            <w:pPr>
              <w:spacing w:line="360" w:lineRule="auto"/>
              <w:rPr>
                <w:rFonts w:ascii="Arial" w:hAnsi="Arial" w:cs="Arial"/>
                <w:sz w:val="24"/>
                <w:szCs w:val="24"/>
                <w:lang w:val="en-US"/>
              </w:rPr>
            </w:pPr>
          </w:p>
          <w:p w:rsidR="00580002" w:rsidRDefault="007A77DE" w:rsidP="007A77DE">
            <w:pPr>
              <w:spacing w:line="360" w:lineRule="auto"/>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t>For</w:t>
            </w:r>
            <w:r w:rsidR="00232D58">
              <w:rPr>
                <w:rFonts w:ascii="Arial" w:hAnsi="Arial" w:cs="Arial"/>
                <w:sz w:val="24"/>
                <w:szCs w:val="24"/>
                <w:lang w:val="en-US"/>
              </w:rPr>
              <w:t xml:space="preserve"> the</w:t>
            </w:r>
            <w:r>
              <w:rPr>
                <w:rFonts w:ascii="Arial" w:hAnsi="Arial" w:cs="Arial"/>
                <w:sz w:val="24"/>
                <w:szCs w:val="24"/>
                <w:lang w:val="en-US"/>
              </w:rPr>
              <w:t xml:space="preserve"> reasons aforegoing</w:t>
            </w:r>
            <w:r w:rsidR="00232D58">
              <w:rPr>
                <w:rFonts w:ascii="Arial" w:hAnsi="Arial" w:cs="Arial"/>
                <w:sz w:val="24"/>
                <w:szCs w:val="24"/>
                <w:lang w:val="en-US"/>
              </w:rPr>
              <w:t>,</w:t>
            </w:r>
            <w:r>
              <w:rPr>
                <w:rFonts w:ascii="Arial" w:hAnsi="Arial" w:cs="Arial"/>
                <w:sz w:val="24"/>
                <w:szCs w:val="24"/>
                <w:lang w:val="en-US"/>
              </w:rPr>
              <w:t xml:space="preserve"> it follows that the application for condonation of the late filing of application for leave to appeal stands to be dismissed</w:t>
            </w:r>
            <w:r w:rsidR="00232D58">
              <w:rPr>
                <w:rFonts w:ascii="Arial" w:hAnsi="Arial" w:cs="Arial"/>
                <w:sz w:val="24"/>
                <w:szCs w:val="24"/>
                <w:lang w:val="en-US"/>
              </w:rPr>
              <w:t>.  S</w:t>
            </w:r>
            <w:r>
              <w:rPr>
                <w:rFonts w:ascii="Arial" w:hAnsi="Arial" w:cs="Arial"/>
                <w:sz w:val="24"/>
                <w:szCs w:val="24"/>
                <w:lang w:val="en-US"/>
              </w:rPr>
              <w:t xml:space="preserve">eeing that the application for leave to appeal is improperly before court, having been filed out of time, the application </w:t>
            </w:r>
            <w:r w:rsidR="00777618">
              <w:rPr>
                <w:rFonts w:ascii="Arial" w:hAnsi="Arial" w:cs="Arial"/>
                <w:sz w:val="24"/>
                <w:szCs w:val="24"/>
                <w:lang w:val="en-US"/>
              </w:rPr>
              <w:t>for leave to appeal falls to be struck from the roll.  In view of the conclusion I have reached, I do not deem it necessary to consider other issues raised by the parties, including the issue of whether the application for leave to appeal ought to have been on notice of motion supported by affidavit.</w:t>
            </w:r>
          </w:p>
          <w:p w:rsidR="00777618" w:rsidRDefault="00777618" w:rsidP="007A77DE">
            <w:pPr>
              <w:spacing w:line="360" w:lineRule="auto"/>
              <w:jc w:val="both"/>
              <w:rPr>
                <w:rFonts w:ascii="Arial" w:hAnsi="Arial" w:cs="Arial"/>
                <w:sz w:val="24"/>
                <w:szCs w:val="24"/>
                <w:lang w:val="en-US"/>
              </w:rPr>
            </w:pPr>
          </w:p>
          <w:p w:rsidR="00777618" w:rsidRDefault="00777618" w:rsidP="007A77DE">
            <w:pPr>
              <w:spacing w:line="360" w:lineRule="auto"/>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t>Insofar as co</w:t>
            </w:r>
            <w:r w:rsidR="00232D58">
              <w:rPr>
                <w:rFonts w:ascii="Arial" w:hAnsi="Arial" w:cs="Arial"/>
                <w:sz w:val="24"/>
                <w:szCs w:val="24"/>
                <w:lang w:val="en-US"/>
              </w:rPr>
              <w:t>s</w:t>
            </w:r>
            <w:r>
              <w:rPr>
                <w:rFonts w:ascii="Arial" w:hAnsi="Arial" w:cs="Arial"/>
                <w:sz w:val="24"/>
                <w:szCs w:val="24"/>
                <w:lang w:val="en-US"/>
              </w:rPr>
              <w:t>ts are concerned, I am of the view that the general rule that costs follow the event must find application in this matter.</w:t>
            </w:r>
          </w:p>
          <w:p w:rsidR="00777618" w:rsidRDefault="00777618" w:rsidP="007A77DE">
            <w:pPr>
              <w:spacing w:line="360" w:lineRule="auto"/>
              <w:jc w:val="both"/>
              <w:rPr>
                <w:rFonts w:ascii="Arial" w:hAnsi="Arial" w:cs="Arial"/>
                <w:sz w:val="24"/>
                <w:szCs w:val="24"/>
                <w:lang w:val="en-US"/>
              </w:rPr>
            </w:pPr>
          </w:p>
          <w:p w:rsidR="00777618" w:rsidRDefault="00777618" w:rsidP="007A77DE">
            <w:pPr>
              <w:spacing w:line="360" w:lineRule="auto"/>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t>In the result, I make the following order:</w:t>
            </w:r>
          </w:p>
          <w:p w:rsidR="00777618" w:rsidRDefault="00777618" w:rsidP="007A77DE">
            <w:pPr>
              <w:spacing w:line="360" w:lineRule="auto"/>
              <w:jc w:val="both"/>
              <w:rPr>
                <w:rFonts w:ascii="Arial" w:hAnsi="Arial" w:cs="Arial"/>
                <w:sz w:val="24"/>
                <w:szCs w:val="24"/>
                <w:lang w:val="en-US"/>
              </w:rPr>
            </w:pPr>
          </w:p>
          <w:p w:rsidR="00777618" w:rsidRDefault="00777618" w:rsidP="00777618">
            <w:pPr>
              <w:tabs>
                <w:tab w:val="left" w:pos="432"/>
              </w:tabs>
              <w:spacing w:line="360" w:lineRule="auto"/>
              <w:rPr>
                <w:rFonts w:ascii="Arial" w:hAnsi="Arial" w:cs="Arial"/>
                <w:sz w:val="24"/>
                <w:szCs w:val="24"/>
                <w:lang w:val="en-US"/>
              </w:rPr>
            </w:pPr>
            <w:r w:rsidRPr="00C91089">
              <w:rPr>
                <w:rFonts w:ascii="Arial" w:hAnsi="Arial" w:cs="Arial"/>
                <w:sz w:val="24"/>
                <w:szCs w:val="24"/>
                <w:lang w:val="en-US"/>
              </w:rPr>
              <w:t>1.</w:t>
            </w:r>
            <w:r w:rsidRPr="00C91089">
              <w:rPr>
                <w:rFonts w:ascii="Arial" w:hAnsi="Arial" w:cs="Arial"/>
                <w:sz w:val="24"/>
                <w:szCs w:val="24"/>
                <w:lang w:val="en-US"/>
              </w:rPr>
              <w:tab/>
            </w:r>
            <w:r>
              <w:rPr>
                <w:rFonts w:ascii="Arial" w:hAnsi="Arial" w:cs="Arial"/>
                <w:sz w:val="24"/>
                <w:szCs w:val="24"/>
                <w:lang w:val="en-US"/>
              </w:rPr>
              <w:t>An application for leave to appeal is not an interlocutory application within the meaning of</w:t>
            </w:r>
            <w:r w:rsidRPr="00C91089">
              <w:rPr>
                <w:rFonts w:ascii="Arial" w:hAnsi="Arial" w:cs="Arial"/>
                <w:i/>
                <w:sz w:val="24"/>
                <w:szCs w:val="24"/>
                <w:lang w:val="en-US"/>
              </w:rPr>
              <w:t xml:space="preserve"> rule</w:t>
            </w:r>
            <w:r>
              <w:rPr>
                <w:rFonts w:ascii="Arial" w:hAnsi="Arial" w:cs="Arial"/>
                <w:sz w:val="24"/>
                <w:szCs w:val="24"/>
                <w:lang w:val="en-US"/>
              </w:rPr>
              <w:t xml:space="preserve"> 32</w:t>
            </w:r>
            <w:r w:rsidR="00232D58">
              <w:rPr>
                <w:rFonts w:ascii="Arial" w:hAnsi="Arial" w:cs="Arial"/>
                <w:sz w:val="24"/>
                <w:szCs w:val="24"/>
                <w:lang w:val="en-US"/>
              </w:rPr>
              <w:t xml:space="preserve">.  </w:t>
            </w:r>
            <w:r>
              <w:rPr>
                <w:rFonts w:ascii="Arial" w:hAnsi="Arial" w:cs="Arial"/>
                <w:sz w:val="24"/>
                <w:szCs w:val="24"/>
                <w:lang w:val="en-US"/>
              </w:rPr>
              <w:t>Accordingly, the defendant’s point in limine on this score, is dismissed with costs.</w:t>
            </w:r>
          </w:p>
          <w:p w:rsidR="00777618" w:rsidRDefault="00777618" w:rsidP="00777618">
            <w:pPr>
              <w:tabs>
                <w:tab w:val="left" w:pos="432"/>
              </w:tabs>
              <w:spacing w:line="360" w:lineRule="auto"/>
              <w:rPr>
                <w:rFonts w:ascii="Arial" w:hAnsi="Arial" w:cs="Arial"/>
                <w:sz w:val="24"/>
                <w:szCs w:val="24"/>
                <w:lang w:val="en-US"/>
              </w:rPr>
            </w:pPr>
          </w:p>
          <w:p w:rsidR="00777618" w:rsidRDefault="00777618" w:rsidP="00777618">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t>The plaintiff’s application for condonation of the late filing of the application for leave to appeal, is dismissed.</w:t>
            </w:r>
          </w:p>
          <w:p w:rsidR="00777618" w:rsidRDefault="00777618" w:rsidP="00777618">
            <w:pPr>
              <w:tabs>
                <w:tab w:val="left" w:pos="432"/>
              </w:tabs>
              <w:spacing w:line="360" w:lineRule="auto"/>
              <w:rPr>
                <w:rFonts w:ascii="Arial" w:hAnsi="Arial" w:cs="Arial"/>
                <w:sz w:val="24"/>
                <w:szCs w:val="24"/>
                <w:lang w:val="en-US"/>
              </w:rPr>
            </w:pPr>
          </w:p>
          <w:p w:rsidR="00777618" w:rsidRDefault="00777618" w:rsidP="00777618">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application for leave to appeal, having been filed out of time, is improperly before court and is, therefore, struck from the roll.</w:t>
            </w:r>
          </w:p>
          <w:p w:rsidR="00777618" w:rsidRDefault="00777618" w:rsidP="00777618">
            <w:pPr>
              <w:tabs>
                <w:tab w:val="left" w:pos="432"/>
              </w:tabs>
              <w:spacing w:line="360" w:lineRule="auto"/>
              <w:rPr>
                <w:rFonts w:ascii="Arial" w:hAnsi="Arial" w:cs="Arial"/>
                <w:sz w:val="24"/>
                <w:szCs w:val="24"/>
                <w:lang w:val="en-US"/>
              </w:rPr>
            </w:pPr>
          </w:p>
          <w:p w:rsidR="00777618" w:rsidRDefault="00777618" w:rsidP="00777618">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plaintiff is ordered to pay the defendant’s costs occasioned by defendant’s opposition to the plaintiff’s application for condonation and </w:t>
            </w:r>
            <w:r w:rsidR="00F53659">
              <w:rPr>
                <w:rFonts w:ascii="Arial" w:hAnsi="Arial" w:cs="Arial"/>
                <w:sz w:val="24"/>
                <w:szCs w:val="24"/>
                <w:lang w:val="en-US"/>
              </w:rPr>
              <w:t xml:space="preserve">the </w:t>
            </w:r>
            <w:r>
              <w:rPr>
                <w:rFonts w:ascii="Arial" w:hAnsi="Arial" w:cs="Arial"/>
                <w:sz w:val="24"/>
                <w:szCs w:val="24"/>
                <w:lang w:val="en-US"/>
              </w:rPr>
              <w:t>application for leave to appeal.</w:t>
            </w:r>
          </w:p>
          <w:p w:rsidR="00777618" w:rsidRDefault="00777618" w:rsidP="00777618">
            <w:pPr>
              <w:tabs>
                <w:tab w:val="left" w:pos="432"/>
              </w:tabs>
              <w:spacing w:line="360" w:lineRule="auto"/>
              <w:rPr>
                <w:rFonts w:ascii="Arial" w:hAnsi="Arial" w:cs="Arial"/>
                <w:sz w:val="24"/>
                <w:szCs w:val="24"/>
                <w:lang w:val="en-US"/>
              </w:rPr>
            </w:pPr>
          </w:p>
          <w:p w:rsidR="00777618" w:rsidRDefault="00777618" w:rsidP="00777618">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matter is postponed to the 07 October 2020 at 15:15 for status hearing.</w:t>
            </w:r>
          </w:p>
          <w:p w:rsidR="00777618" w:rsidRDefault="00777618" w:rsidP="00777618">
            <w:pPr>
              <w:tabs>
                <w:tab w:val="left" w:pos="432"/>
              </w:tabs>
              <w:spacing w:line="360" w:lineRule="auto"/>
              <w:rPr>
                <w:rFonts w:ascii="Arial" w:hAnsi="Arial" w:cs="Arial"/>
                <w:sz w:val="24"/>
                <w:szCs w:val="24"/>
                <w:lang w:val="en-US"/>
              </w:rPr>
            </w:pPr>
          </w:p>
          <w:p w:rsidR="00580002" w:rsidRPr="007A77DE" w:rsidRDefault="00777618" w:rsidP="00777618">
            <w:pPr>
              <w:tabs>
                <w:tab w:val="left" w:pos="432"/>
              </w:tabs>
              <w:spacing w:line="360" w:lineRule="auto"/>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parties are directed to file a joint status report on or before 30 September 2020.</w:t>
            </w:r>
          </w:p>
          <w:p w:rsidR="00580002" w:rsidRPr="00C91089" w:rsidRDefault="00580002" w:rsidP="00C91089">
            <w:pPr>
              <w:jc w:val="center"/>
              <w:rPr>
                <w:rFonts w:ascii="Arial" w:hAnsi="Arial" w:cs="Arial"/>
                <w:b/>
                <w:sz w:val="24"/>
                <w:szCs w:val="24"/>
                <w:lang w:val="en-US"/>
              </w:rPr>
            </w:pPr>
          </w:p>
        </w:tc>
      </w:tr>
      <w:tr w:rsidR="00C91089" w:rsidRPr="00C91089" w:rsidTr="00447373">
        <w:tc>
          <w:tcPr>
            <w:tcW w:w="4950" w:type="dxa"/>
          </w:tcPr>
          <w:p w:rsidR="00C91089" w:rsidRPr="00C91089" w:rsidRDefault="00C91089" w:rsidP="00C91089">
            <w:pPr>
              <w:rPr>
                <w:rFonts w:ascii="Arial" w:hAnsi="Arial" w:cs="Arial"/>
                <w:b/>
                <w:sz w:val="24"/>
                <w:szCs w:val="24"/>
                <w:lang w:val="en-US"/>
              </w:rPr>
            </w:pPr>
            <w:r w:rsidRPr="00C91089">
              <w:rPr>
                <w:rFonts w:ascii="Arial" w:hAnsi="Arial" w:cs="Arial"/>
                <w:b/>
                <w:sz w:val="24"/>
                <w:szCs w:val="24"/>
                <w:lang w:val="en-US"/>
              </w:rPr>
              <w:lastRenderedPageBreak/>
              <w:t>Judge’s signature</w:t>
            </w:r>
          </w:p>
          <w:p w:rsidR="00C91089" w:rsidRPr="00C91089" w:rsidRDefault="00C91089" w:rsidP="00C91089">
            <w:pPr>
              <w:rPr>
                <w:rFonts w:ascii="Arial" w:hAnsi="Arial" w:cs="Arial"/>
                <w:b/>
                <w:sz w:val="24"/>
                <w:szCs w:val="24"/>
                <w:lang w:val="en-US"/>
              </w:rPr>
            </w:pPr>
          </w:p>
        </w:tc>
        <w:tc>
          <w:tcPr>
            <w:tcW w:w="5130" w:type="dxa"/>
          </w:tcPr>
          <w:p w:rsidR="00C91089" w:rsidRPr="00C91089" w:rsidRDefault="00C91089" w:rsidP="00C91089">
            <w:pPr>
              <w:rPr>
                <w:rFonts w:ascii="Arial" w:hAnsi="Arial" w:cs="Arial"/>
                <w:b/>
                <w:sz w:val="24"/>
                <w:szCs w:val="24"/>
                <w:lang w:val="en-US"/>
              </w:rPr>
            </w:pPr>
            <w:r w:rsidRPr="00C91089">
              <w:rPr>
                <w:rFonts w:ascii="Arial" w:hAnsi="Arial" w:cs="Arial"/>
                <w:b/>
                <w:sz w:val="24"/>
                <w:szCs w:val="24"/>
                <w:lang w:val="en-US"/>
              </w:rPr>
              <w:t>Note to the parties:</w:t>
            </w:r>
          </w:p>
        </w:tc>
      </w:tr>
      <w:tr w:rsidR="00C91089" w:rsidRPr="00C91089" w:rsidTr="00447373">
        <w:tc>
          <w:tcPr>
            <w:tcW w:w="4950" w:type="dxa"/>
          </w:tcPr>
          <w:p w:rsidR="00C91089" w:rsidRPr="00C91089" w:rsidRDefault="00C91089" w:rsidP="00C91089">
            <w:pPr>
              <w:rPr>
                <w:rFonts w:ascii="Arial" w:hAnsi="Arial" w:cs="Arial"/>
                <w:sz w:val="24"/>
                <w:szCs w:val="24"/>
                <w:lang w:val="en-US"/>
              </w:rPr>
            </w:pPr>
          </w:p>
          <w:p w:rsidR="00C91089" w:rsidRPr="00C91089" w:rsidRDefault="00C91089" w:rsidP="00C91089">
            <w:pPr>
              <w:rPr>
                <w:rFonts w:ascii="Arial" w:hAnsi="Arial" w:cs="Arial"/>
                <w:sz w:val="24"/>
                <w:szCs w:val="24"/>
                <w:lang w:val="en-US"/>
              </w:rPr>
            </w:pPr>
          </w:p>
          <w:p w:rsidR="00C91089" w:rsidRPr="00C91089" w:rsidRDefault="00C91089" w:rsidP="00C91089">
            <w:pPr>
              <w:rPr>
                <w:rFonts w:ascii="Arial" w:hAnsi="Arial" w:cs="Arial"/>
                <w:sz w:val="24"/>
                <w:szCs w:val="24"/>
                <w:lang w:val="en-US"/>
              </w:rPr>
            </w:pPr>
          </w:p>
        </w:tc>
        <w:tc>
          <w:tcPr>
            <w:tcW w:w="5130" w:type="dxa"/>
          </w:tcPr>
          <w:p w:rsidR="00C91089" w:rsidRPr="00C91089" w:rsidRDefault="00C91089" w:rsidP="00C91089">
            <w:pPr>
              <w:rPr>
                <w:rFonts w:ascii="Arial" w:hAnsi="Arial" w:cs="Arial"/>
                <w:sz w:val="24"/>
                <w:szCs w:val="24"/>
                <w:lang w:val="en-US"/>
              </w:rPr>
            </w:pPr>
            <w:r w:rsidRPr="00C91089">
              <w:rPr>
                <w:rFonts w:ascii="Arial" w:hAnsi="Arial" w:cs="Arial"/>
                <w:sz w:val="24"/>
                <w:szCs w:val="24"/>
                <w:lang w:val="en-US"/>
              </w:rPr>
              <w:t xml:space="preserve">Not applicable </w:t>
            </w:r>
          </w:p>
        </w:tc>
      </w:tr>
      <w:tr w:rsidR="00C91089" w:rsidRPr="00C91089" w:rsidTr="00447373">
        <w:tc>
          <w:tcPr>
            <w:tcW w:w="10080" w:type="dxa"/>
            <w:gridSpan w:val="2"/>
          </w:tcPr>
          <w:p w:rsidR="00C91089" w:rsidRPr="00C91089" w:rsidRDefault="00C91089" w:rsidP="00C91089">
            <w:pPr>
              <w:jc w:val="center"/>
              <w:rPr>
                <w:rFonts w:ascii="Arial" w:hAnsi="Arial" w:cs="Arial"/>
                <w:b/>
                <w:sz w:val="24"/>
                <w:szCs w:val="24"/>
                <w:lang w:val="en-US"/>
              </w:rPr>
            </w:pPr>
            <w:r w:rsidRPr="00C91089">
              <w:rPr>
                <w:rFonts w:ascii="Arial" w:hAnsi="Arial" w:cs="Arial"/>
                <w:b/>
                <w:sz w:val="24"/>
                <w:szCs w:val="24"/>
                <w:lang w:val="en-US"/>
              </w:rPr>
              <w:t>Counsel:</w:t>
            </w:r>
          </w:p>
        </w:tc>
      </w:tr>
      <w:tr w:rsidR="00C91089" w:rsidRPr="00C91089" w:rsidTr="00447373">
        <w:trPr>
          <w:trHeight w:val="800"/>
        </w:trPr>
        <w:tc>
          <w:tcPr>
            <w:tcW w:w="4950" w:type="dxa"/>
          </w:tcPr>
          <w:p w:rsidR="00C91089" w:rsidRPr="00C91089" w:rsidRDefault="00C91089" w:rsidP="00C91089">
            <w:pPr>
              <w:rPr>
                <w:rFonts w:ascii="Arial" w:hAnsi="Arial" w:cs="Arial"/>
                <w:b/>
                <w:sz w:val="24"/>
                <w:szCs w:val="24"/>
                <w:lang w:val="en-US"/>
              </w:rPr>
            </w:pPr>
            <w:r w:rsidRPr="00C91089">
              <w:rPr>
                <w:rFonts w:ascii="Arial" w:hAnsi="Arial" w:cs="Arial"/>
                <w:b/>
                <w:sz w:val="24"/>
                <w:szCs w:val="24"/>
                <w:lang w:val="en-US"/>
              </w:rPr>
              <w:t>Plaintiff</w:t>
            </w:r>
          </w:p>
        </w:tc>
        <w:tc>
          <w:tcPr>
            <w:tcW w:w="5130" w:type="dxa"/>
          </w:tcPr>
          <w:p w:rsidR="00C91089" w:rsidRPr="00777618" w:rsidRDefault="00C91089" w:rsidP="00C91089">
            <w:pPr>
              <w:rPr>
                <w:rFonts w:ascii="Arial" w:hAnsi="Arial" w:cs="Arial"/>
                <w:b/>
                <w:sz w:val="24"/>
                <w:szCs w:val="24"/>
                <w:lang w:val="en-US"/>
              </w:rPr>
            </w:pPr>
            <w:r w:rsidRPr="00C91089">
              <w:rPr>
                <w:rFonts w:ascii="Arial" w:hAnsi="Arial" w:cs="Arial"/>
                <w:b/>
                <w:sz w:val="24"/>
                <w:szCs w:val="24"/>
                <w:lang w:val="en-US"/>
              </w:rPr>
              <w:t>Defendant</w:t>
            </w:r>
          </w:p>
        </w:tc>
      </w:tr>
      <w:tr w:rsidR="00C91089" w:rsidRPr="00C91089" w:rsidTr="00447373">
        <w:tc>
          <w:tcPr>
            <w:tcW w:w="4950" w:type="dxa"/>
          </w:tcPr>
          <w:p w:rsidR="00C91089" w:rsidRDefault="00777618" w:rsidP="00C91089">
            <w:pPr>
              <w:rPr>
                <w:rFonts w:ascii="Arial" w:hAnsi="Arial" w:cs="Arial"/>
                <w:sz w:val="24"/>
                <w:szCs w:val="24"/>
                <w:lang w:val="en-US"/>
              </w:rPr>
            </w:pPr>
            <w:r>
              <w:rPr>
                <w:rFonts w:ascii="Arial" w:hAnsi="Arial" w:cs="Arial"/>
                <w:sz w:val="24"/>
                <w:szCs w:val="24"/>
                <w:lang w:val="en-US"/>
              </w:rPr>
              <w:t xml:space="preserve">S Namandje </w:t>
            </w:r>
          </w:p>
          <w:p w:rsidR="00777618" w:rsidRDefault="00777618" w:rsidP="00C91089">
            <w:pPr>
              <w:rPr>
                <w:rFonts w:ascii="Arial" w:hAnsi="Arial" w:cs="Arial"/>
                <w:sz w:val="24"/>
                <w:szCs w:val="24"/>
                <w:lang w:val="en-US"/>
              </w:rPr>
            </w:pPr>
            <w:r>
              <w:rPr>
                <w:rFonts w:ascii="Arial" w:hAnsi="Arial" w:cs="Arial"/>
                <w:sz w:val="24"/>
                <w:szCs w:val="24"/>
                <w:lang w:val="en-US"/>
              </w:rPr>
              <w:t>Of Sisa Namandje &amp; Co Inc</w:t>
            </w:r>
          </w:p>
          <w:p w:rsidR="00777618" w:rsidRPr="00C91089" w:rsidRDefault="00777618" w:rsidP="00C91089">
            <w:pPr>
              <w:rPr>
                <w:rFonts w:ascii="Arial" w:hAnsi="Arial" w:cs="Arial"/>
                <w:sz w:val="24"/>
                <w:szCs w:val="24"/>
                <w:lang w:val="en-US"/>
              </w:rPr>
            </w:pPr>
            <w:r>
              <w:rPr>
                <w:rFonts w:ascii="Arial" w:hAnsi="Arial" w:cs="Arial"/>
                <w:sz w:val="24"/>
                <w:szCs w:val="24"/>
                <w:lang w:val="en-US"/>
              </w:rPr>
              <w:t>Windhoek</w:t>
            </w:r>
          </w:p>
        </w:tc>
        <w:tc>
          <w:tcPr>
            <w:tcW w:w="5130" w:type="dxa"/>
          </w:tcPr>
          <w:p w:rsidR="00C91089" w:rsidRDefault="00777618" w:rsidP="00C91089">
            <w:pPr>
              <w:rPr>
                <w:rFonts w:ascii="Arial" w:hAnsi="Arial" w:cs="Arial"/>
                <w:sz w:val="24"/>
                <w:szCs w:val="24"/>
              </w:rPr>
            </w:pPr>
            <w:r>
              <w:rPr>
                <w:rFonts w:ascii="Arial" w:hAnsi="Arial" w:cs="Arial"/>
                <w:sz w:val="24"/>
                <w:szCs w:val="24"/>
              </w:rPr>
              <w:t>N. Tjombe</w:t>
            </w:r>
          </w:p>
          <w:p w:rsidR="00777618" w:rsidRDefault="00777618" w:rsidP="00C91089">
            <w:pPr>
              <w:rPr>
                <w:rFonts w:ascii="Arial" w:hAnsi="Arial" w:cs="Arial"/>
                <w:sz w:val="24"/>
                <w:szCs w:val="24"/>
              </w:rPr>
            </w:pPr>
            <w:r>
              <w:rPr>
                <w:rFonts w:ascii="Arial" w:hAnsi="Arial" w:cs="Arial"/>
                <w:sz w:val="24"/>
                <w:szCs w:val="24"/>
              </w:rPr>
              <w:t>Of Tjombe – Elago Inc</w:t>
            </w:r>
          </w:p>
          <w:p w:rsidR="00777618" w:rsidRDefault="00777618" w:rsidP="00C91089">
            <w:pPr>
              <w:rPr>
                <w:rFonts w:ascii="Arial" w:hAnsi="Arial" w:cs="Arial"/>
                <w:sz w:val="24"/>
                <w:szCs w:val="24"/>
              </w:rPr>
            </w:pPr>
            <w:r>
              <w:rPr>
                <w:rFonts w:ascii="Arial" w:hAnsi="Arial" w:cs="Arial"/>
                <w:sz w:val="24"/>
                <w:szCs w:val="24"/>
              </w:rPr>
              <w:t xml:space="preserve">Windhoek </w:t>
            </w:r>
          </w:p>
          <w:p w:rsidR="00777618" w:rsidRPr="00C91089" w:rsidRDefault="00777618" w:rsidP="00C91089">
            <w:pPr>
              <w:rPr>
                <w:rFonts w:ascii="Arial" w:hAnsi="Arial" w:cs="Arial"/>
                <w:sz w:val="24"/>
                <w:szCs w:val="24"/>
              </w:rPr>
            </w:pPr>
          </w:p>
        </w:tc>
      </w:tr>
    </w:tbl>
    <w:p w:rsidR="00C91089" w:rsidRPr="00C91089" w:rsidRDefault="00C91089" w:rsidP="00C91089">
      <w:pPr>
        <w:spacing w:line="360" w:lineRule="auto"/>
        <w:jc w:val="both"/>
      </w:pPr>
    </w:p>
    <w:p w:rsidR="00923B3B" w:rsidRDefault="00923B3B"/>
    <w:sectPr w:rsidR="00923B3B" w:rsidSect="00447373">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07" w:rsidRDefault="009E2307" w:rsidP="00C91089">
      <w:pPr>
        <w:spacing w:after="0" w:line="240" w:lineRule="auto"/>
      </w:pPr>
      <w:r>
        <w:separator/>
      </w:r>
    </w:p>
  </w:endnote>
  <w:endnote w:type="continuationSeparator" w:id="0">
    <w:p w:rsidR="009E2307" w:rsidRDefault="009E2307" w:rsidP="00C9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07" w:rsidRDefault="009E2307" w:rsidP="00C91089">
      <w:pPr>
        <w:spacing w:after="0" w:line="240" w:lineRule="auto"/>
      </w:pPr>
      <w:r>
        <w:separator/>
      </w:r>
    </w:p>
  </w:footnote>
  <w:footnote w:type="continuationSeparator" w:id="0">
    <w:p w:rsidR="009E2307" w:rsidRDefault="009E2307" w:rsidP="00C91089">
      <w:pPr>
        <w:spacing w:after="0" w:line="240" w:lineRule="auto"/>
      </w:pPr>
      <w:r>
        <w:continuationSeparator/>
      </w:r>
    </w:p>
  </w:footnote>
  <w:footnote w:id="1">
    <w:p w:rsidR="00580002" w:rsidRPr="003722B7" w:rsidRDefault="00580002" w:rsidP="00580002">
      <w:pPr>
        <w:pStyle w:val="FootnoteText"/>
        <w:rPr>
          <w:rFonts w:ascii="Arial" w:hAnsi="Arial" w:cs="Arial"/>
          <w:lang w:val="en-US"/>
        </w:rPr>
      </w:pPr>
      <w:r w:rsidRPr="007267DA">
        <w:rPr>
          <w:rStyle w:val="FootnoteReference"/>
          <w:rFonts w:ascii="Arial" w:hAnsi="Arial" w:cs="Arial"/>
        </w:rPr>
        <w:footnoteRef/>
      </w:r>
      <w:r w:rsidRPr="007267DA">
        <w:rPr>
          <w:rFonts w:ascii="Arial" w:hAnsi="Arial" w:cs="Arial"/>
        </w:rPr>
        <w:t xml:space="preserve"> </w:t>
      </w:r>
      <w:r w:rsidRPr="007267DA">
        <w:rPr>
          <w:rFonts w:ascii="Arial" w:hAnsi="Arial" w:cs="Arial"/>
          <w:i/>
          <w:lang w:val="en-US"/>
        </w:rPr>
        <w:t xml:space="preserve">Namibia Water Corporation Ltd v </w:t>
      </w:r>
      <w:proofErr w:type="spellStart"/>
      <w:r w:rsidRPr="007267DA">
        <w:rPr>
          <w:rFonts w:ascii="Arial" w:hAnsi="Arial" w:cs="Arial"/>
          <w:i/>
          <w:lang w:val="en-US"/>
        </w:rPr>
        <w:t>Tjipangandjara</w:t>
      </w:r>
      <w:proofErr w:type="spellEnd"/>
      <w:r>
        <w:rPr>
          <w:rFonts w:ascii="Arial" w:hAnsi="Arial" w:cs="Arial"/>
          <w:i/>
          <w:lang w:val="en-US"/>
        </w:rPr>
        <w:t xml:space="preserve"> </w:t>
      </w:r>
      <w:r w:rsidRPr="003722B7">
        <w:rPr>
          <w:rFonts w:ascii="Arial" w:hAnsi="Arial" w:cs="Arial"/>
          <w:lang w:val="en-US"/>
        </w:rPr>
        <w:t>(LCA 16&amp;17/2017) 2019 NAHCMD 33 (21 November 2019)</w:t>
      </w:r>
      <w:r w:rsidR="003722B7" w:rsidRPr="003722B7">
        <w:rPr>
          <w:rFonts w:ascii="Arial" w:hAnsi="Arial" w:cs="Arial"/>
          <w:lang w:val="en-US"/>
        </w:rPr>
        <w:t xml:space="preserve">. </w:t>
      </w:r>
      <w:bookmarkStart w:id="0" w:name="_GoBack"/>
      <w:bookmarkEnd w:id="0"/>
    </w:p>
  </w:footnote>
  <w:footnote w:id="2">
    <w:p w:rsidR="00580002" w:rsidRPr="00BE1DAF" w:rsidRDefault="00580002" w:rsidP="00580002">
      <w:pPr>
        <w:pStyle w:val="FootnoteText"/>
        <w:rPr>
          <w:rFonts w:ascii="Arial" w:hAnsi="Arial" w:cs="Arial"/>
          <w:lang w:val="en-US"/>
        </w:rPr>
      </w:pPr>
      <w:r w:rsidRPr="00BE1DAF">
        <w:rPr>
          <w:rStyle w:val="FootnoteReference"/>
          <w:rFonts w:ascii="Arial" w:hAnsi="Arial" w:cs="Arial"/>
        </w:rPr>
        <w:footnoteRef/>
      </w:r>
      <w:r w:rsidRPr="00BE1DAF">
        <w:rPr>
          <w:rFonts w:ascii="Arial" w:hAnsi="Arial" w:cs="Arial"/>
        </w:rPr>
        <w:t xml:space="preserve"> Para 15(1) of Mr </w:t>
      </w:r>
      <w:proofErr w:type="spellStart"/>
      <w:r w:rsidRPr="00BE1DAF">
        <w:rPr>
          <w:rFonts w:ascii="Arial" w:hAnsi="Arial" w:cs="Arial"/>
        </w:rPr>
        <w:t>Mbandeka’s</w:t>
      </w:r>
      <w:proofErr w:type="spellEnd"/>
      <w:r w:rsidRPr="00BE1DAF">
        <w:rPr>
          <w:rFonts w:ascii="Arial" w:hAnsi="Arial" w:cs="Arial"/>
        </w:rPr>
        <w:t xml:space="preserve"> affidavit.</w:t>
      </w:r>
    </w:p>
  </w:footnote>
  <w:footnote w:id="3">
    <w:p w:rsidR="00580002" w:rsidRPr="00BE1DAF" w:rsidRDefault="00580002" w:rsidP="00580002">
      <w:pPr>
        <w:pStyle w:val="FootnoteText"/>
        <w:rPr>
          <w:lang w:val="en-US"/>
        </w:rPr>
      </w:pPr>
      <w:r>
        <w:rPr>
          <w:rStyle w:val="FootnoteReference"/>
        </w:rPr>
        <w:footnoteRef/>
      </w:r>
      <w:r w:rsidR="003221A0">
        <w:t xml:space="preserve"> I</w:t>
      </w:r>
      <w:r>
        <w:t>bid</w:t>
      </w:r>
      <w:r w:rsidR="003221A0">
        <w:t>.</w:t>
      </w:r>
    </w:p>
  </w:footnote>
  <w:footnote w:id="4">
    <w:p w:rsidR="00580002" w:rsidRPr="00974189" w:rsidRDefault="00580002" w:rsidP="00580002">
      <w:pPr>
        <w:pStyle w:val="FootnoteText"/>
        <w:rPr>
          <w:rFonts w:ascii="Arial" w:hAnsi="Arial" w:cs="Arial"/>
          <w:lang w:val="en-US"/>
        </w:rPr>
      </w:pPr>
      <w:r w:rsidRPr="00974189">
        <w:rPr>
          <w:rStyle w:val="FootnoteReference"/>
          <w:rFonts w:ascii="Arial" w:hAnsi="Arial" w:cs="Arial"/>
        </w:rPr>
        <w:footnoteRef/>
      </w:r>
      <w:r w:rsidRPr="00974189">
        <w:rPr>
          <w:rFonts w:ascii="Arial" w:hAnsi="Arial" w:cs="Arial"/>
        </w:rPr>
        <w:t xml:space="preserve"> Sun Square Hotel (Pty) Ltd v Southern Sun Africa and Another (supra)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447373" w:rsidRDefault="00447373">
        <w:pPr>
          <w:pStyle w:val="Header"/>
          <w:jc w:val="center"/>
        </w:pPr>
        <w:r>
          <w:fldChar w:fldCharType="begin"/>
        </w:r>
        <w:r>
          <w:instrText xml:space="preserve"> PAGE   \* MERGEFORMAT </w:instrText>
        </w:r>
        <w:r>
          <w:fldChar w:fldCharType="separate"/>
        </w:r>
        <w:r w:rsidR="003722B7">
          <w:rPr>
            <w:noProof/>
          </w:rPr>
          <w:t>11</w:t>
        </w:r>
        <w:r>
          <w:rPr>
            <w:noProof/>
          </w:rPr>
          <w:fldChar w:fldCharType="end"/>
        </w:r>
      </w:p>
    </w:sdtContent>
  </w:sdt>
  <w:p w:rsidR="00447373" w:rsidRDefault="00447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9"/>
    <w:rsid w:val="00001DE6"/>
    <w:rsid w:val="000A3132"/>
    <w:rsid w:val="000B2526"/>
    <w:rsid w:val="000F5E0C"/>
    <w:rsid w:val="001059F3"/>
    <w:rsid w:val="0013079C"/>
    <w:rsid w:val="00134871"/>
    <w:rsid w:val="00225EB8"/>
    <w:rsid w:val="00232D58"/>
    <w:rsid w:val="00297F1F"/>
    <w:rsid w:val="003221A0"/>
    <w:rsid w:val="00323A53"/>
    <w:rsid w:val="0035338C"/>
    <w:rsid w:val="003722B7"/>
    <w:rsid w:val="003A6B0F"/>
    <w:rsid w:val="00437467"/>
    <w:rsid w:val="00447373"/>
    <w:rsid w:val="00494E4E"/>
    <w:rsid w:val="004C17F5"/>
    <w:rsid w:val="00580002"/>
    <w:rsid w:val="005A23B1"/>
    <w:rsid w:val="005B754C"/>
    <w:rsid w:val="005D4289"/>
    <w:rsid w:val="0066428F"/>
    <w:rsid w:val="006B7D2C"/>
    <w:rsid w:val="006D12B5"/>
    <w:rsid w:val="007267DA"/>
    <w:rsid w:val="00766C20"/>
    <w:rsid w:val="00777618"/>
    <w:rsid w:val="007A77DE"/>
    <w:rsid w:val="007B63BC"/>
    <w:rsid w:val="00844D1D"/>
    <w:rsid w:val="00881DC8"/>
    <w:rsid w:val="00923B3B"/>
    <w:rsid w:val="00960F3A"/>
    <w:rsid w:val="00974189"/>
    <w:rsid w:val="00996D1F"/>
    <w:rsid w:val="009E2307"/>
    <w:rsid w:val="009E4A33"/>
    <w:rsid w:val="00A3636A"/>
    <w:rsid w:val="00A6599A"/>
    <w:rsid w:val="00AA4C17"/>
    <w:rsid w:val="00AB4379"/>
    <w:rsid w:val="00AD6355"/>
    <w:rsid w:val="00AE15E0"/>
    <w:rsid w:val="00AE4138"/>
    <w:rsid w:val="00B261F5"/>
    <w:rsid w:val="00B80B63"/>
    <w:rsid w:val="00BB2B6A"/>
    <w:rsid w:val="00BE1DAF"/>
    <w:rsid w:val="00BE3D40"/>
    <w:rsid w:val="00C11D83"/>
    <w:rsid w:val="00C67551"/>
    <w:rsid w:val="00C91089"/>
    <w:rsid w:val="00DC2151"/>
    <w:rsid w:val="00DE0B2C"/>
    <w:rsid w:val="00E24659"/>
    <w:rsid w:val="00EB2E76"/>
    <w:rsid w:val="00EE4069"/>
    <w:rsid w:val="00F53659"/>
    <w:rsid w:val="00FA6C93"/>
    <w:rsid w:val="00FC6F2B"/>
    <w:rsid w:val="00FD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CCB8E-A715-4712-9F4C-AE072706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08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91089"/>
  </w:style>
  <w:style w:type="paragraph" w:styleId="FootnoteText">
    <w:name w:val="footnote text"/>
    <w:basedOn w:val="Normal"/>
    <w:link w:val="FootnoteTextChar"/>
    <w:uiPriority w:val="99"/>
    <w:semiHidden/>
    <w:unhideWhenUsed/>
    <w:rsid w:val="00C91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089"/>
    <w:rPr>
      <w:sz w:val="20"/>
      <w:szCs w:val="20"/>
      <w:lang w:val="en-GB"/>
    </w:rPr>
  </w:style>
  <w:style w:type="character" w:styleId="FootnoteReference">
    <w:name w:val="footnote reference"/>
    <w:basedOn w:val="DefaultParagraphFont"/>
    <w:uiPriority w:val="99"/>
    <w:semiHidden/>
    <w:unhideWhenUsed/>
    <w:rsid w:val="00C91089"/>
    <w:rPr>
      <w:vertAlign w:val="superscript"/>
    </w:rPr>
  </w:style>
  <w:style w:type="paragraph" w:styleId="BalloonText">
    <w:name w:val="Balloon Text"/>
    <w:basedOn w:val="Normal"/>
    <w:link w:val="BalloonTextChar"/>
    <w:uiPriority w:val="99"/>
    <w:semiHidden/>
    <w:unhideWhenUsed/>
    <w:rsid w:val="00EE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6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2020-08-19T18:30:00+00:00</Judgment_x0020_Date>
    <Year xmlns="c1afb1bd-f2fb-40fd-9abb-aea55b4d7662">2020</Year>
  </documentManagement>
</p:properties>
</file>

<file path=customXml/itemProps1.xml><?xml version="1.0" encoding="utf-8"?>
<ds:datastoreItem xmlns:ds="http://schemas.openxmlformats.org/officeDocument/2006/customXml" ds:itemID="{8B9A2F1E-48C2-436E-ADA1-9C39ABD40E31}"/>
</file>

<file path=customXml/itemProps2.xml><?xml version="1.0" encoding="utf-8"?>
<ds:datastoreItem xmlns:ds="http://schemas.openxmlformats.org/officeDocument/2006/customXml" ds:itemID="{8520825A-DD0E-4726-81F0-5C7279BB16B3}"/>
</file>

<file path=customXml/itemProps3.xml><?xml version="1.0" encoding="utf-8"?>
<ds:datastoreItem xmlns:ds="http://schemas.openxmlformats.org/officeDocument/2006/customXml" ds:itemID="{D7CFEA74-63E1-4DB8-ACED-1ED523E2E8EA}"/>
</file>

<file path=customXml/itemProps4.xml><?xml version="1.0" encoding="utf-8"?>
<ds:datastoreItem xmlns:ds="http://schemas.openxmlformats.org/officeDocument/2006/customXml" ds:itemID="{0857E06C-9B0C-4FE1-8D08-30CFFC063C04}"/>
</file>

<file path=docProps/app.xml><?xml version="1.0" encoding="utf-8"?>
<Properties xmlns="http://schemas.openxmlformats.org/officeDocument/2006/extended-properties" xmlns:vt="http://schemas.openxmlformats.org/officeDocument/2006/docPropsVTypes">
  <Template>Normal</Template>
  <TotalTime>1</TotalTime>
  <Pages>11</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Regulatory Authority v MTC (HC-MD-CIV-ACT-OTH 2019-01367) [2020] NAHCMD 365 (20 August 2020)</dc:title>
  <dc:subject/>
  <dc:creator>Loide Shilongo</dc:creator>
  <cp:keywords/>
  <dc:description/>
  <cp:lastModifiedBy>Administrator</cp:lastModifiedBy>
  <cp:revision>2</cp:revision>
  <cp:lastPrinted>2020-08-20T11:10:00Z</cp:lastPrinted>
  <dcterms:created xsi:type="dcterms:W3CDTF">2020-08-21T10:18:00Z</dcterms:created>
  <dcterms:modified xsi:type="dcterms:W3CDTF">2020-08-21T10:18:00Z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