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FF" w:rsidRPr="006E026B" w:rsidRDefault="00382BFF" w:rsidP="00382BF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F782E" w:rsidRPr="00264016" w:rsidRDefault="009F782E" w:rsidP="00AF7A80">
                            <w:pPr>
                              <w:jc w:val="right"/>
                              <w:rPr>
                                <w:rFonts w:ascii="Arial" w:hAnsi="Arial" w:cs="Arial"/>
                              </w:rPr>
                            </w:pPr>
                            <w:r w:rsidRPr="00264016">
                              <w:rPr>
                                <w:rFonts w:ascii="Arial" w:hAnsi="Arial" w:cs="Arial"/>
                              </w:rPr>
                              <w:t>N</w:t>
                            </w:r>
                            <w:r w:rsidR="003135B8">
                              <w:rPr>
                                <w:rFonts w:ascii="Arial" w:hAnsi="Arial" w:cs="Arial"/>
                              </w:rPr>
                              <w:t>ot</w:t>
                            </w:r>
                            <w:r w:rsidRPr="00264016">
                              <w:rPr>
                                <w:rFonts w:ascii="Arial" w:hAnsi="Arial" w:cs="Arial"/>
                              </w:rPr>
                              <w:t xml:space="preserve"> R</w:t>
                            </w:r>
                            <w:r w:rsidR="003135B8">
                              <w:rPr>
                                <w:rFonts w:ascii="Arial" w:hAnsi="Arial" w:cs="Arial"/>
                              </w:rPr>
                              <w:t>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WN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D6U3WNJAIAAFAEAAAOAAAAAAAAAAAAAAAAAC4CAABkcnMvZTJvRG9j&#10;LnhtbFBLAQItABQABgAIAAAAIQBPpHKx3wAAAAkBAAAPAAAAAAAAAAAAAAAAAH4EAABkcnMvZG93&#10;bnJldi54bWxQSwUGAAAAAAQABADzAAAAigUAAAAA&#10;" strokecolor="white">
                <v:textbox>
                  <w:txbxContent>
                    <w:p w:rsidR="009F782E" w:rsidRPr="00264016" w:rsidRDefault="009F782E" w:rsidP="00AF7A80">
                      <w:pPr>
                        <w:jc w:val="right"/>
                        <w:rPr>
                          <w:rFonts w:ascii="Arial" w:hAnsi="Arial" w:cs="Arial"/>
                        </w:rPr>
                      </w:pPr>
                      <w:r w:rsidRPr="00264016">
                        <w:rPr>
                          <w:rFonts w:ascii="Arial" w:hAnsi="Arial" w:cs="Arial"/>
                        </w:rPr>
                        <w:t>N</w:t>
                      </w:r>
                      <w:r w:rsidR="003135B8">
                        <w:rPr>
                          <w:rFonts w:ascii="Arial" w:hAnsi="Arial" w:cs="Arial"/>
                        </w:rPr>
                        <w:t>ot</w:t>
                      </w:r>
                      <w:r w:rsidRPr="00264016">
                        <w:rPr>
                          <w:rFonts w:ascii="Arial" w:hAnsi="Arial" w:cs="Arial"/>
                        </w:rPr>
                        <w:t xml:space="preserve"> R</w:t>
                      </w:r>
                      <w:r w:rsidR="003135B8">
                        <w:rPr>
                          <w:rFonts w:ascii="Arial" w:hAnsi="Arial" w:cs="Arial"/>
                        </w:rPr>
                        <w:t>eportable</w:t>
                      </w:r>
                    </w:p>
                  </w:txbxContent>
                </v:textbox>
              </v:shape>
            </w:pict>
          </mc:Fallback>
        </mc:AlternateContent>
      </w:r>
      <w:r w:rsidRPr="006E026B">
        <w:rPr>
          <w:rFonts w:ascii="Arial" w:hAnsi="Arial" w:cs="Arial"/>
          <w:b/>
          <w:sz w:val="24"/>
          <w:szCs w:val="24"/>
        </w:rPr>
        <w:t>REPUBLIC OF NAMIBIA</w:t>
      </w:r>
    </w:p>
    <w:p w:rsidR="00382BFF" w:rsidRPr="008B0AFC" w:rsidRDefault="00382BFF" w:rsidP="00382BFF">
      <w:pPr>
        <w:spacing w:after="0" w:line="360" w:lineRule="auto"/>
        <w:jc w:val="center"/>
        <w:rPr>
          <w:rFonts w:ascii="Arial" w:hAnsi="Arial" w:cs="Arial"/>
          <w:sz w:val="20"/>
          <w:szCs w:val="20"/>
        </w:rPr>
      </w:pPr>
      <w:r w:rsidRPr="00552306">
        <w:rPr>
          <w:b/>
          <w:noProof/>
          <w:sz w:val="32"/>
          <w:szCs w:val="32"/>
        </w:rPr>
        <w:drawing>
          <wp:inline distT="0" distB="0" distL="0" distR="0">
            <wp:extent cx="1265555" cy="1331595"/>
            <wp:effectExtent l="0" t="0" r="0" b="190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1331595"/>
                    </a:xfrm>
                    <a:prstGeom prst="rect">
                      <a:avLst/>
                    </a:prstGeom>
                    <a:noFill/>
                    <a:ln>
                      <a:noFill/>
                    </a:ln>
                  </pic:spPr>
                </pic:pic>
              </a:graphicData>
            </a:graphic>
          </wp:inline>
        </w:drawing>
      </w:r>
    </w:p>
    <w:p w:rsidR="00382BFF" w:rsidRPr="006E026B" w:rsidRDefault="00382BFF" w:rsidP="00382BF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382BFF" w:rsidRPr="00D54521" w:rsidRDefault="00382BFF" w:rsidP="00382BFF">
      <w:pPr>
        <w:spacing w:after="0" w:line="360" w:lineRule="auto"/>
        <w:jc w:val="center"/>
        <w:rPr>
          <w:rFonts w:ascii="Arial" w:hAnsi="Arial" w:cs="Arial"/>
          <w:b/>
          <w:sz w:val="16"/>
          <w:szCs w:val="16"/>
        </w:rPr>
      </w:pPr>
    </w:p>
    <w:p w:rsidR="00382BFF" w:rsidRDefault="003F33E0" w:rsidP="003F33E0">
      <w:pPr>
        <w:tabs>
          <w:tab w:val="center" w:pos="4680"/>
          <w:tab w:val="left" w:pos="7672"/>
        </w:tabs>
        <w:spacing w:after="0" w:line="360" w:lineRule="auto"/>
        <w:rPr>
          <w:rFonts w:ascii="Arial" w:hAnsi="Arial" w:cs="Arial"/>
          <w:b/>
          <w:sz w:val="24"/>
          <w:szCs w:val="24"/>
        </w:rPr>
      </w:pPr>
      <w:r>
        <w:rPr>
          <w:rFonts w:ascii="Arial" w:hAnsi="Arial" w:cs="Arial"/>
          <w:b/>
          <w:sz w:val="24"/>
          <w:szCs w:val="24"/>
        </w:rPr>
        <w:tab/>
      </w:r>
      <w:r w:rsidR="00382BFF">
        <w:rPr>
          <w:rFonts w:ascii="Arial" w:hAnsi="Arial" w:cs="Arial"/>
          <w:b/>
          <w:sz w:val="24"/>
          <w:szCs w:val="24"/>
        </w:rPr>
        <w:t>JUDGMENT</w:t>
      </w:r>
      <w:r>
        <w:rPr>
          <w:rFonts w:ascii="Arial" w:hAnsi="Arial" w:cs="Arial"/>
          <w:b/>
          <w:sz w:val="24"/>
          <w:szCs w:val="24"/>
        </w:rPr>
        <w:tab/>
      </w:r>
    </w:p>
    <w:p w:rsidR="00F465EF" w:rsidRDefault="00F465EF" w:rsidP="008B0AFC">
      <w:pPr>
        <w:tabs>
          <w:tab w:val="right" w:pos="9000"/>
        </w:tabs>
        <w:spacing w:after="0" w:line="360" w:lineRule="auto"/>
        <w:jc w:val="both"/>
        <w:rPr>
          <w:rFonts w:ascii="Arial" w:hAnsi="Arial" w:cs="Arial"/>
          <w:sz w:val="24"/>
          <w:szCs w:val="24"/>
        </w:rPr>
      </w:pPr>
    </w:p>
    <w:p w:rsidR="00F465EF" w:rsidRDefault="0008434D" w:rsidP="00382BFF">
      <w:pPr>
        <w:tabs>
          <w:tab w:val="right" w:pos="9356"/>
        </w:tabs>
        <w:spacing w:after="0" w:line="360" w:lineRule="auto"/>
        <w:jc w:val="right"/>
        <w:rPr>
          <w:rFonts w:ascii="Arial" w:hAnsi="Arial" w:cs="Arial"/>
          <w:sz w:val="24"/>
          <w:szCs w:val="24"/>
        </w:rPr>
      </w:pPr>
      <w:r>
        <w:rPr>
          <w:rFonts w:ascii="Arial" w:hAnsi="Arial" w:cs="Arial"/>
          <w:sz w:val="24"/>
          <w:szCs w:val="24"/>
        </w:rPr>
        <w:t xml:space="preserve">Case </w:t>
      </w:r>
      <w:r w:rsidR="001C5779">
        <w:rPr>
          <w:rFonts w:ascii="Arial" w:hAnsi="Arial" w:cs="Arial"/>
          <w:sz w:val="24"/>
          <w:szCs w:val="24"/>
        </w:rPr>
        <w:t>no: HC-MD-CIV-ACT-OTH-2017/03312</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F465EF">
      <w:pPr>
        <w:spacing w:after="0" w:line="360" w:lineRule="auto"/>
        <w:jc w:val="both"/>
        <w:rPr>
          <w:rFonts w:ascii="Arial" w:hAnsi="Arial" w:cs="Arial"/>
          <w:sz w:val="24"/>
          <w:szCs w:val="24"/>
        </w:rPr>
      </w:pPr>
    </w:p>
    <w:p w:rsidR="00F465EF" w:rsidRDefault="001C5779" w:rsidP="00E042EC">
      <w:pPr>
        <w:tabs>
          <w:tab w:val="right" w:pos="9356"/>
        </w:tabs>
        <w:spacing w:after="0" w:line="360" w:lineRule="auto"/>
        <w:rPr>
          <w:rFonts w:ascii="Arial" w:hAnsi="Arial" w:cs="Arial"/>
          <w:b/>
          <w:sz w:val="24"/>
          <w:szCs w:val="24"/>
          <w:lang w:val="en-GB"/>
        </w:rPr>
      </w:pPr>
      <w:r>
        <w:rPr>
          <w:rFonts w:ascii="Arial" w:hAnsi="Arial" w:cs="Arial"/>
          <w:b/>
          <w:sz w:val="24"/>
          <w:szCs w:val="24"/>
          <w:lang w:val="en-GB"/>
        </w:rPr>
        <w:t>LUCIA PANDULENI HAMUTENYA</w:t>
      </w:r>
      <w:r w:rsidR="003135B8">
        <w:rPr>
          <w:rFonts w:ascii="Arial" w:hAnsi="Arial" w:cs="Arial"/>
          <w:b/>
          <w:sz w:val="24"/>
          <w:szCs w:val="24"/>
          <w:lang w:val="en-GB"/>
        </w:rPr>
        <w:tab/>
      </w:r>
      <w:r>
        <w:rPr>
          <w:rFonts w:ascii="Arial" w:hAnsi="Arial" w:cs="Arial"/>
          <w:b/>
          <w:sz w:val="24"/>
          <w:szCs w:val="24"/>
          <w:lang w:val="en-GB"/>
        </w:rPr>
        <w:t>PLAINTIFF</w:t>
      </w:r>
    </w:p>
    <w:p w:rsidR="00382BFF" w:rsidRPr="007B41CE" w:rsidRDefault="00382BFF" w:rsidP="00E042EC">
      <w:pPr>
        <w:spacing w:after="0" w:line="360" w:lineRule="auto"/>
        <w:jc w:val="both"/>
        <w:rPr>
          <w:rFonts w:ascii="Arial" w:hAnsi="Arial" w:cs="Arial"/>
        </w:rPr>
      </w:pPr>
    </w:p>
    <w:p w:rsidR="00382BFF" w:rsidRPr="00264016" w:rsidRDefault="00382BFF" w:rsidP="00E042EC">
      <w:pPr>
        <w:spacing w:after="0" w:line="360" w:lineRule="auto"/>
        <w:jc w:val="both"/>
        <w:rPr>
          <w:rFonts w:ascii="Arial" w:hAnsi="Arial" w:cs="Arial"/>
          <w:sz w:val="24"/>
          <w:szCs w:val="24"/>
        </w:rPr>
      </w:pPr>
      <w:proofErr w:type="gramStart"/>
      <w:r w:rsidRPr="00264016">
        <w:rPr>
          <w:rFonts w:ascii="Arial" w:hAnsi="Arial" w:cs="Arial"/>
          <w:sz w:val="24"/>
          <w:szCs w:val="24"/>
        </w:rPr>
        <w:t>and</w:t>
      </w:r>
      <w:proofErr w:type="gramEnd"/>
    </w:p>
    <w:p w:rsidR="00382BFF" w:rsidRPr="007B41CE" w:rsidRDefault="00382BFF" w:rsidP="00E042EC">
      <w:pPr>
        <w:spacing w:after="0" w:line="360" w:lineRule="auto"/>
        <w:jc w:val="both"/>
        <w:rPr>
          <w:rFonts w:ascii="Arial" w:hAnsi="Arial" w:cs="Arial"/>
        </w:rPr>
      </w:pPr>
    </w:p>
    <w:p w:rsidR="0008434D" w:rsidRDefault="001C5779" w:rsidP="001C5779">
      <w:pPr>
        <w:tabs>
          <w:tab w:val="right" w:pos="9356"/>
        </w:tabs>
        <w:spacing w:after="0" w:line="360" w:lineRule="auto"/>
        <w:jc w:val="both"/>
        <w:rPr>
          <w:rFonts w:ascii="Arial" w:hAnsi="Arial" w:cs="Arial"/>
          <w:b/>
          <w:sz w:val="24"/>
          <w:szCs w:val="24"/>
        </w:rPr>
      </w:pPr>
      <w:r>
        <w:rPr>
          <w:rFonts w:ascii="Arial" w:hAnsi="Arial" w:cs="Arial"/>
          <w:b/>
          <w:sz w:val="24"/>
          <w:szCs w:val="24"/>
        </w:rPr>
        <w:t>NAMBOER DORDABIS AUCTION</w:t>
      </w:r>
      <w:r w:rsidR="003135B8">
        <w:rPr>
          <w:rFonts w:ascii="Arial" w:hAnsi="Arial" w:cs="Arial"/>
          <w:b/>
          <w:sz w:val="24"/>
          <w:szCs w:val="24"/>
        </w:rPr>
        <w:t>EERS CC</w:t>
      </w:r>
      <w:r w:rsidR="003135B8">
        <w:rPr>
          <w:rFonts w:ascii="Arial" w:hAnsi="Arial" w:cs="Arial"/>
          <w:b/>
          <w:sz w:val="24"/>
          <w:szCs w:val="24"/>
        </w:rPr>
        <w:tab/>
      </w:r>
      <w:r>
        <w:rPr>
          <w:rFonts w:ascii="Arial" w:hAnsi="Arial" w:cs="Arial"/>
          <w:b/>
          <w:sz w:val="24"/>
          <w:szCs w:val="24"/>
        </w:rPr>
        <w:t>FIRST DEFENDANT</w:t>
      </w:r>
    </w:p>
    <w:p w:rsidR="001C5779" w:rsidRDefault="003135B8" w:rsidP="001C5779">
      <w:pPr>
        <w:tabs>
          <w:tab w:val="right" w:pos="9356"/>
        </w:tabs>
        <w:spacing w:after="0" w:line="360" w:lineRule="auto"/>
        <w:jc w:val="both"/>
        <w:rPr>
          <w:rFonts w:ascii="Arial" w:hAnsi="Arial" w:cs="Arial"/>
          <w:b/>
          <w:sz w:val="24"/>
          <w:szCs w:val="24"/>
        </w:rPr>
      </w:pPr>
      <w:r>
        <w:rPr>
          <w:rFonts w:ascii="Arial" w:hAnsi="Arial" w:cs="Arial"/>
          <w:b/>
          <w:sz w:val="24"/>
          <w:szCs w:val="24"/>
        </w:rPr>
        <w:t>PIET COETZEE</w:t>
      </w:r>
      <w:r>
        <w:rPr>
          <w:rFonts w:ascii="Arial" w:hAnsi="Arial" w:cs="Arial"/>
          <w:b/>
          <w:sz w:val="24"/>
          <w:szCs w:val="24"/>
        </w:rPr>
        <w:tab/>
      </w:r>
      <w:r w:rsidR="001C5779">
        <w:rPr>
          <w:rFonts w:ascii="Arial" w:hAnsi="Arial" w:cs="Arial"/>
          <w:b/>
          <w:sz w:val="24"/>
          <w:szCs w:val="24"/>
        </w:rPr>
        <w:t>SECOND DEFENDANT</w:t>
      </w:r>
    </w:p>
    <w:p w:rsidR="001C5779" w:rsidRDefault="003135B8" w:rsidP="001C5779">
      <w:pPr>
        <w:tabs>
          <w:tab w:val="right" w:pos="9356"/>
        </w:tabs>
        <w:spacing w:after="0" w:line="360" w:lineRule="auto"/>
        <w:jc w:val="both"/>
        <w:rPr>
          <w:rFonts w:ascii="Arial" w:hAnsi="Arial" w:cs="Arial"/>
          <w:b/>
          <w:sz w:val="24"/>
          <w:szCs w:val="24"/>
        </w:rPr>
      </w:pPr>
      <w:r>
        <w:rPr>
          <w:rFonts w:ascii="Arial" w:hAnsi="Arial" w:cs="Arial"/>
          <w:b/>
          <w:sz w:val="24"/>
          <w:szCs w:val="24"/>
        </w:rPr>
        <w:t>ALEX MCDONALD</w:t>
      </w:r>
      <w:r>
        <w:rPr>
          <w:rFonts w:ascii="Arial" w:hAnsi="Arial" w:cs="Arial"/>
          <w:b/>
          <w:sz w:val="24"/>
          <w:szCs w:val="24"/>
        </w:rPr>
        <w:tab/>
      </w:r>
      <w:r w:rsidR="001C5779">
        <w:rPr>
          <w:rFonts w:ascii="Arial" w:hAnsi="Arial" w:cs="Arial"/>
          <w:b/>
          <w:sz w:val="24"/>
          <w:szCs w:val="24"/>
        </w:rPr>
        <w:t>THIRD DEFENDANT</w:t>
      </w:r>
    </w:p>
    <w:p w:rsidR="00F465EF" w:rsidRDefault="00F465EF" w:rsidP="00F465EF">
      <w:pPr>
        <w:spacing w:after="0" w:line="360" w:lineRule="auto"/>
        <w:ind w:left="2160" w:hanging="2160"/>
        <w:jc w:val="both"/>
        <w:rPr>
          <w:rFonts w:ascii="Arial" w:hAnsi="Arial" w:cs="Arial"/>
          <w:sz w:val="24"/>
          <w:szCs w:val="24"/>
        </w:rPr>
      </w:pPr>
    </w:p>
    <w:p w:rsidR="00F465EF" w:rsidRDefault="003B7F05" w:rsidP="003135B8">
      <w:pPr>
        <w:tabs>
          <w:tab w:val="left" w:pos="2127"/>
          <w:tab w:val="right" w:pos="9356"/>
        </w:tabs>
        <w:spacing w:after="0" w:line="360" w:lineRule="auto"/>
        <w:ind w:left="2127" w:hanging="2127"/>
        <w:jc w:val="both"/>
        <w:rPr>
          <w:rFonts w:ascii="Arial" w:hAnsi="Arial" w:cs="Arial"/>
          <w:sz w:val="24"/>
          <w:szCs w:val="24"/>
        </w:rPr>
      </w:pPr>
      <w:r>
        <w:rPr>
          <w:rFonts w:ascii="Arial" w:hAnsi="Arial" w:cs="Arial"/>
          <w:b/>
          <w:sz w:val="24"/>
          <w:szCs w:val="24"/>
        </w:rPr>
        <w:t>Neutral citation:</w:t>
      </w:r>
      <w:r w:rsidR="003135B8">
        <w:rPr>
          <w:rFonts w:ascii="Arial" w:hAnsi="Arial" w:cs="Arial"/>
          <w:sz w:val="24"/>
          <w:szCs w:val="24"/>
        </w:rPr>
        <w:tab/>
      </w:r>
      <w:proofErr w:type="spellStart"/>
      <w:r w:rsidR="001C5779">
        <w:rPr>
          <w:rFonts w:ascii="Arial" w:hAnsi="Arial" w:cs="Arial"/>
          <w:i/>
          <w:sz w:val="24"/>
          <w:szCs w:val="24"/>
        </w:rPr>
        <w:t>Hamutenya</w:t>
      </w:r>
      <w:proofErr w:type="spellEnd"/>
      <w:r w:rsidR="0008434D">
        <w:rPr>
          <w:rFonts w:ascii="Arial" w:hAnsi="Arial" w:cs="Arial"/>
          <w:i/>
          <w:sz w:val="24"/>
          <w:szCs w:val="24"/>
        </w:rPr>
        <w:t xml:space="preserve"> v </w:t>
      </w:r>
      <w:proofErr w:type="spellStart"/>
      <w:r w:rsidR="001C5779">
        <w:rPr>
          <w:rFonts w:ascii="Arial" w:hAnsi="Arial" w:cs="Arial"/>
          <w:i/>
          <w:sz w:val="24"/>
          <w:szCs w:val="24"/>
        </w:rPr>
        <w:t>Namboer</w:t>
      </w:r>
      <w:proofErr w:type="spellEnd"/>
      <w:r w:rsidR="001C5779">
        <w:rPr>
          <w:rFonts w:ascii="Arial" w:hAnsi="Arial" w:cs="Arial"/>
          <w:i/>
          <w:sz w:val="24"/>
          <w:szCs w:val="24"/>
        </w:rPr>
        <w:t xml:space="preserve"> </w:t>
      </w:r>
      <w:proofErr w:type="spellStart"/>
      <w:r w:rsidR="001C5779">
        <w:rPr>
          <w:rFonts w:ascii="Arial" w:hAnsi="Arial" w:cs="Arial"/>
          <w:i/>
          <w:sz w:val="24"/>
          <w:szCs w:val="24"/>
        </w:rPr>
        <w:t>Dordabis</w:t>
      </w:r>
      <w:proofErr w:type="spellEnd"/>
      <w:r w:rsidR="001C5779">
        <w:rPr>
          <w:rFonts w:ascii="Arial" w:hAnsi="Arial" w:cs="Arial"/>
          <w:i/>
          <w:sz w:val="24"/>
          <w:szCs w:val="24"/>
        </w:rPr>
        <w:t xml:space="preserve"> Auctioneers CC</w:t>
      </w:r>
      <w:r w:rsidR="000A24BB">
        <w:rPr>
          <w:rFonts w:ascii="Arial" w:hAnsi="Arial" w:cs="Arial"/>
          <w:i/>
          <w:sz w:val="24"/>
          <w:szCs w:val="24"/>
        </w:rPr>
        <w:t xml:space="preserve"> </w:t>
      </w:r>
      <w:r w:rsidR="00F465EF">
        <w:rPr>
          <w:rFonts w:ascii="Arial" w:hAnsi="Arial" w:cs="Arial"/>
          <w:sz w:val="24"/>
          <w:szCs w:val="24"/>
        </w:rPr>
        <w:t>(</w:t>
      </w:r>
      <w:r w:rsidR="001C5779">
        <w:rPr>
          <w:rFonts w:ascii="Arial" w:hAnsi="Arial" w:cs="Arial"/>
          <w:sz w:val="24"/>
          <w:szCs w:val="24"/>
        </w:rPr>
        <w:t>HC-MD-CIV-AC</w:t>
      </w:r>
      <w:r>
        <w:rPr>
          <w:rFonts w:ascii="Arial" w:hAnsi="Arial" w:cs="Arial"/>
          <w:sz w:val="24"/>
          <w:szCs w:val="24"/>
        </w:rPr>
        <w:t>T-</w:t>
      </w:r>
      <w:r w:rsidR="001C5779">
        <w:rPr>
          <w:rFonts w:ascii="Arial" w:hAnsi="Arial" w:cs="Arial"/>
          <w:sz w:val="24"/>
          <w:szCs w:val="24"/>
        </w:rPr>
        <w:t>OTH-2017/03312</w:t>
      </w:r>
      <w:r w:rsidR="002C1CC2">
        <w:rPr>
          <w:rFonts w:ascii="Arial" w:hAnsi="Arial" w:cs="Arial"/>
          <w:sz w:val="24"/>
          <w:szCs w:val="24"/>
        </w:rPr>
        <w:t xml:space="preserve">) </w:t>
      </w:r>
      <w:r w:rsidR="00F35E9F">
        <w:rPr>
          <w:rFonts w:ascii="Arial" w:hAnsi="Arial" w:cs="Arial"/>
          <w:sz w:val="24"/>
          <w:szCs w:val="24"/>
        </w:rPr>
        <w:t>[2020</w:t>
      </w:r>
      <w:r w:rsidR="00044D46">
        <w:rPr>
          <w:rFonts w:ascii="Arial" w:hAnsi="Arial" w:cs="Arial"/>
          <w:sz w:val="24"/>
          <w:szCs w:val="24"/>
        </w:rPr>
        <w:t>] NA</w:t>
      </w:r>
      <w:r w:rsidR="008E0E1B">
        <w:rPr>
          <w:rFonts w:ascii="Arial" w:hAnsi="Arial" w:cs="Arial"/>
          <w:sz w:val="24"/>
          <w:szCs w:val="24"/>
        </w:rPr>
        <w:t>H</w:t>
      </w:r>
      <w:r w:rsidR="00C042B4">
        <w:rPr>
          <w:rFonts w:ascii="Arial" w:hAnsi="Arial" w:cs="Arial"/>
          <w:sz w:val="24"/>
          <w:szCs w:val="24"/>
        </w:rPr>
        <w:t xml:space="preserve">CMD 366 </w:t>
      </w:r>
      <w:r w:rsidR="00F465EF">
        <w:rPr>
          <w:rFonts w:ascii="Arial" w:hAnsi="Arial" w:cs="Arial"/>
          <w:sz w:val="24"/>
          <w:szCs w:val="24"/>
        </w:rPr>
        <w:t>(</w:t>
      </w:r>
      <w:r w:rsidR="001C5779">
        <w:rPr>
          <w:rFonts w:ascii="Arial" w:hAnsi="Arial" w:cs="Arial"/>
          <w:sz w:val="24"/>
          <w:szCs w:val="24"/>
        </w:rPr>
        <w:t>21 August</w:t>
      </w:r>
      <w:r w:rsidR="00F35E9F">
        <w:rPr>
          <w:rFonts w:ascii="Arial" w:hAnsi="Arial" w:cs="Arial"/>
          <w:sz w:val="24"/>
          <w:szCs w:val="24"/>
        </w:rPr>
        <w:t xml:space="preserve"> 2020</w:t>
      </w:r>
      <w:r w:rsidR="00F465EF">
        <w:rPr>
          <w:rFonts w:ascii="Arial" w:hAnsi="Arial" w:cs="Arial"/>
          <w:sz w:val="24"/>
          <w:szCs w:val="24"/>
        </w:rPr>
        <w:t>)</w:t>
      </w:r>
    </w:p>
    <w:p w:rsidR="00B55909" w:rsidRDefault="00B55909" w:rsidP="003135B8">
      <w:pPr>
        <w:spacing w:after="0" w:line="360" w:lineRule="auto"/>
        <w:ind w:left="2160" w:hanging="2160"/>
        <w:jc w:val="both"/>
        <w:rPr>
          <w:rFonts w:ascii="Arial" w:hAnsi="Arial" w:cs="Arial"/>
          <w:sz w:val="24"/>
          <w:szCs w:val="24"/>
        </w:rPr>
      </w:pPr>
    </w:p>
    <w:p w:rsidR="00F465EF" w:rsidRPr="00E12A43" w:rsidRDefault="00F465EF" w:rsidP="003135B8">
      <w:pPr>
        <w:spacing w:after="0" w:line="360" w:lineRule="auto"/>
        <w:ind w:left="1440" w:hanging="1440"/>
        <w:jc w:val="both"/>
        <w:rPr>
          <w:rFonts w:ascii="Arial" w:hAnsi="Arial" w:cs="Arial"/>
          <w:sz w:val="24"/>
          <w:szCs w:val="24"/>
        </w:rPr>
      </w:pPr>
      <w:r>
        <w:rPr>
          <w:rFonts w:ascii="Arial" w:hAnsi="Arial" w:cs="Arial"/>
          <w:b/>
          <w:sz w:val="24"/>
          <w:szCs w:val="24"/>
        </w:rPr>
        <w:t>Coram:</w:t>
      </w:r>
      <w:r w:rsidR="00523202">
        <w:rPr>
          <w:rFonts w:ascii="Arial" w:hAnsi="Arial" w:cs="Arial"/>
          <w:sz w:val="24"/>
          <w:szCs w:val="24"/>
        </w:rPr>
        <w:tab/>
      </w:r>
      <w:r w:rsidR="00523202" w:rsidRPr="00E12A43">
        <w:rPr>
          <w:rFonts w:ascii="Arial" w:hAnsi="Arial" w:cs="Arial"/>
          <w:sz w:val="24"/>
          <w:szCs w:val="24"/>
        </w:rPr>
        <w:t>MILLER</w:t>
      </w:r>
      <w:r w:rsidRPr="00E12A43">
        <w:rPr>
          <w:rFonts w:ascii="Arial" w:hAnsi="Arial" w:cs="Arial"/>
          <w:sz w:val="24"/>
          <w:szCs w:val="24"/>
        </w:rPr>
        <w:t xml:space="preserve"> AJ</w:t>
      </w:r>
    </w:p>
    <w:p w:rsidR="00F465EF" w:rsidRPr="003135B8" w:rsidRDefault="00F465EF" w:rsidP="003135B8">
      <w:pPr>
        <w:spacing w:after="0" w:line="360" w:lineRule="auto"/>
        <w:ind w:left="1440" w:hanging="1440"/>
        <w:jc w:val="both"/>
        <w:rPr>
          <w:rFonts w:ascii="Arial" w:hAnsi="Arial" w:cs="Arial"/>
          <w:b/>
          <w:sz w:val="24"/>
          <w:szCs w:val="24"/>
        </w:rPr>
      </w:pPr>
      <w:r w:rsidRPr="003135B8">
        <w:rPr>
          <w:rFonts w:ascii="Arial" w:hAnsi="Arial" w:cs="Arial"/>
          <w:b/>
          <w:bCs/>
          <w:sz w:val="24"/>
          <w:szCs w:val="24"/>
        </w:rPr>
        <w:t>Heard</w:t>
      </w:r>
      <w:r w:rsidRPr="003135B8">
        <w:rPr>
          <w:rFonts w:ascii="Arial" w:hAnsi="Arial" w:cs="Arial"/>
          <w:b/>
          <w:sz w:val="24"/>
          <w:szCs w:val="24"/>
        </w:rPr>
        <w:t>:</w:t>
      </w:r>
      <w:r w:rsidRPr="003135B8">
        <w:rPr>
          <w:rFonts w:ascii="Arial" w:hAnsi="Arial" w:cs="Arial"/>
          <w:b/>
          <w:sz w:val="24"/>
          <w:szCs w:val="24"/>
        </w:rPr>
        <w:tab/>
      </w:r>
      <w:r w:rsidR="003135B8">
        <w:rPr>
          <w:rFonts w:ascii="Arial" w:hAnsi="Arial" w:cs="Arial"/>
          <w:b/>
          <w:sz w:val="24"/>
          <w:szCs w:val="24"/>
        </w:rPr>
        <w:t>20 –</w:t>
      </w:r>
      <w:r w:rsidR="004821B3" w:rsidRPr="003135B8">
        <w:rPr>
          <w:rFonts w:ascii="Arial" w:hAnsi="Arial" w:cs="Arial"/>
          <w:b/>
          <w:sz w:val="24"/>
          <w:szCs w:val="24"/>
        </w:rPr>
        <w:t xml:space="preserve"> 23 J</w:t>
      </w:r>
      <w:r w:rsidR="003135B8">
        <w:rPr>
          <w:rFonts w:ascii="Arial" w:hAnsi="Arial" w:cs="Arial"/>
          <w:b/>
          <w:sz w:val="24"/>
          <w:szCs w:val="24"/>
        </w:rPr>
        <w:t>uly</w:t>
      </w:r>
      <w:r w:rsidR="004821B3" w:rsidRPr="003135B8">
        <w:rPr>
          <w:rFonts w:ascii="Arial" w:hAnsi="Arial" w:cs="Arial"/>
          <w:b/>
          <w:sz w:val="24"/>
          <w:szCs w:val="24"/>
        </w:rPr>
        <w:t xml:space="preserve"> 2020</w:t>
      </w:r>
    </w:p>
    <w:p w:rsidR="00F465EF" w:rsidRPr="003135B8" w:rsidRDefault="00F465EF" w:rsidP="003135B8">
      <w:pPr>
        <w:spacing w:after="0" w:line="360" w:lineRule="auto"/>
        <w:jc w:val="both"/>
        <w:rPr>
          <w:rFonts w:ascii="Arial" w:hAnsi="Arial" w:cs="Arial"/>
          <w:b/>
          <w:sz w:val="24"/>
          <w:szCs w:val="24"/>
        </w:rPr>
      </w:pPr>
      <w:r w:rsidRPr="003135B8">
        <w:rPr>
          <w:rFonts w:ascii="Arial" w:hAnsi="Arial" w:cs="Arial"/>
          <w:b/>
          <w:bCs/>
          <w:sz w:val="24"/>
          <w:szCs w:val="24"/>
        </w:rPr>
        <w:t>Delivered</w:t>
      </w:r>
      <w:r w:rsidRPr="003135B8">
        <w:rPr>
          <w:rFonts w:ascii="Arial" w:hAnsi="Arial" w:cs="Arial"/>
          <w:b/>
          <w:sz w:val="24"/>
          <w:szCs w:val="24"/>
        </w:rPr>
        <w:t>:</w:t>
      </w:r>
      <w:r w:rsidRPr="003135B8">
        <w:rPr>
          <w:rFonts w:ascii="Arial" w:hAnsi="Arial" w:cs="Arial"/>
          <w:b/>
          <w:sz w:val="24"/>
          <w:szCs w:val="24"/>
        </w:rPr>
        <w:tab/>
      </w:r>
      <w:r w:rsidR="001C5779" w:rsidRPr="003135B8">
        <w:rPr>
          <w:rFonts w:ascii="Arial" w:hAnsi="Arial" w:cs="Arial"/>
          <w:b/>
          <w:sz w:val="24"/>
          <w:szCs w:val="24"/>
        </w:rPr>
        <w:t>21 August 2020</w:t>
      </w:r>
    </w:p>
    <w:p w:rsidR="00F35E9F" w:rsidRDefault="00F35E9F" w:rsidP="003135B8">
      <w:pPr>
        <w:spacing w:after="0" w:line="360" w:lineRule="auto"/>
        <w:jc w:val="both"/>
        <w:rPr>
          <w:rFonts w:ascii="Arial" w:hAnsi="Arial" w:cs="Arial"/>
          <w:sz w:val="24"/>
          <w:szCs w:val="24"/>
        </w:rPr>
      </w:pPr>
    </w:p>
    <w:p w:rsidR="00AE02D9" w:rsidRDefault="00F465EF" w:rsidP="00555FD1">
      <w:pPr>
        <w:spacing w:after="0" w:line="360" w:lineRule="auto"/>
        <w:jc w:val="both"/>
        <w:rPr>
          <w:rFonts w:ascii="Arial" w:hAnsi="Arial" w:cs="Arial"/>
          <w:bCs/>
          <w:sz w:val="24"/>
          <w:szCs w:val="24"/>
        </w:rPr>
      </w:pPr>
      <w:proofErr w:type="spellStart"/>
      <w:r>
        <w:rPr>
          <w:rFonts w:ascii="Arial" w:hAnsi="Arial" w:cs="Arial"/>
          <w:b/>
          <w:bCs/>
          <w:sz w:val="24"/>
          <w:szCs w:val="24"/>
        </w:rPr>
        <w:t>Flynote</w:t>
      </w:r>
      <w:proofErr w:type="spellEnd"/>
      <w:r>
        <w:rPr>
          <w:rFonts w:ascii="Arial" w:hAnsi="Arial" w:cs="Arial"/>
          <w:b/>
          <w:bCs/>
          <w:sz w:val="24"/>
          <w:szCs w:val="24"/>
        </w:rPr>
        <w:t>:</w:t>
      </w:r>
      <w:r>
        <w:rPr>
          <w:rFonts w:ascii="Arial" w:hAnsi="Arial" w:cs="Arial"/>
          <w:b/>
          <w:bCs/>
          <w:sz w:val="24"/>
          <w:szCs w:val="24"/>
        </w:rPr>
        <w:tab/>
      </w:r>
      <w:r w:rsidR="00555FD1">
        <w:rPr>
          <w:rFonts w:ascii="Arial" w:hAnsi="Arial" w:cs="Arial"/>
          <w:bCs/>
          <w:sz w:val="24"/>
          <w:szCs w:val="24"/>
        </w:rPr>
        <w:t xml:space="preserve">Law of contract </w:t>
      </w:r>
      <w:r w:rsidR="003135B8">
        <w:rPr>
          <w:rFonts w:ascii="Arial" w:hAnsi="Arial" w:cs="Arial"/>
          <w:bCs/>
          <w:sz w:val="24"/>
          <w:szCs w:val="24"/>
        </w:rPr>
        <w:t>– M</w:t>
      </w:r>
      <w:r w:rsidR="00555FD1">
        <w:rPr>
          <w:rFonts w:ascii="Arial" w:hAnsi="Arial" w:cs="Arial"/>
          <w:bCs/>
          <w:sz w:val="24"/>
          <w:szCs w:val="24"/>
        </w:rPr>
        <w:t>emorandum of</w:t>
      </w:r>
      <w:r w:rsidR="00AE02D9" w:rsidRPr="00AE02D9">
        <w:rPr>
          <w:rFonts w:ascii="Arial" w:hAnsi="Arial" w:cs="Arial"/>
          <w:bCs/>
          <w:sz w:val="24"/>
          <w:szCs w:val="24"/>
        </w:rPr>
        <w:t xml:space="preserve"> agreement</w:t>
      </w:r>
      <w:r w:rsidR="00555FD1">
        <w:rPr>
          <w:rFonts w:ascii="Arial" w:hAnsi="Arial" w:cs="Arial"/>
          <w:bCs/>
          <w:sz w:val="24"/>
          <w:szCs w:val="24"/>
        </w:rPr>
        <w:t xml:space="preserve"> (deed of sale)</w:t>
      </w:r>
      <w:r w:rsidR="00AE02D9" w:rsidRPr="00AE02D9">
        <w:rPr>
          <w:rFonts w:ascii="Arial" w:hAnsi="Arial" w:cs="Arial"/>
          <w:bCs/>
          <w:sz w:val="24"/>
          <w:szCs w:val="24"/>
        </w:rPr>
        <w:t xml:space="preserve"> concluded </w:t>
      </w:r>
      <w:r w:rsidR="00555FD1">
        <w:rPr>
          <w:rFonts w:ascii="Arial" w:hAnsi="Arial" w:cs="Arial"/>
          <w:bCs/>
          <w:sz w:val="24"/>
          <w:szCs w:val="24"/>
        </w:rPr>
        <w:t>by the plaintiff and the first defendant</w:t>
      </w:r>
      <w:r w:rsidR="00BB436F">
        <w:rPr>
          <w:rFonts w:ascii="Arial" w:hAnsi="Arial" w:cs="Arial"/>
          <w:bCs/>
          <w:sz w:val="24"/>
          <w:szCs w:val="24"/>
        </w:rPr>
        <w:t xml:space="preserve"> </w:t>
      </w:r>
      <w:r w:rsidR="00AE02D9" w:rsidRPr="00AE02D9">
        <w:rPr>
          <w:rFonts w:ascii="Arial" w:hAnsi="Arial" w:cs="Arial"/>
          <w:bCs/>
          <w:sz w:val="24"/>
          <w:szCs w:val="24"/>
        </w:rPr>
        <w:t>–</w:t>
      </w:r>
      <w:r w:rsidR="003135B8">
        <w:rPr>
          <w:rFonts w:ascii="Arial" w:hAnsi="Arial" w:cs="Arial"/>
          <w:bCs/>
          <w:sz w:val="24"/>
          <w:szCs w:val="24"/>
        </w:rPr>
        <w:t xml:space="preserve"> </w:t>
      </w:r>
      <w:r w:rsidR="00AE02D9" w:rsidRPr="00AE02D9">
        <w:rPr>
          <w:rFonts w:ascii="Arial" w:hAnsi="Arial" w:cs="Arial"/>
          <w:bCs/>
          <w:sz w:val="24"/>
          <w:szCs w:val="24"/>
        </w:rPr>
        <w:t xml:space="preserve">Court asked to determine whether a further agreement </w:t>
      </w:r>
      <w:r w:rsidR="00AE02D9">
        <w:rPr>
          <w:rFonts w:ascii="Arial" w:hAnsi="Arial" w:cs="Arial"/>
          <w:bCs/>
          <w:sz w:val="24"/>
          <w:szCs w:val="24"/>
        </w:rPr>
        <w:t>(</w:t>
      </w:r>
      <w:r w:rsidR="00AE02D9" w:rsidRPr="00AE02D9">
        <w:rPr>
          <w:rFonts w:ascii="Arial" w:hAnsi="Arial" w:cs="Arial"/>
          <w:bCs/>
          <w:sz w:val="24"/>
          <w:szCs w:val="24"/>
        </w:rPr>
        <w:t>addendum</w:t>
      </w:r>
      <w:r w:rsidR="00AE02D9">
        <w:rPr>
          <w:rFonts w:ascii="Arial" w:hAnsi="Arial" w:cs="Arial"/>
          <w:bCs/>
          <w:sz w:val="24"/>
          <w:szCs w:val="24"/>
        </w:rPr>
        <w:t>)</w:t>
      </w:r>
      <w:r w:rsidR="00AE02D9" w:rsidRPr="00AE02D9">
        <w:rPr>
          <w:rFonts w:ascii="Arial" w:hAnsi="Arial" w:cs="Arial"/>
          <w:bCs/>
          <w:sz w:val="24"/>
          <w:szCs w:val="24"/>
        </w:rPr>
        <w:t xml:space="preserve"> to the or</w:t>
      </w:r>
      <w:r w:rsidR="00555FD1">
        <w:rPr>
          <w:rFonts w:ascii="Arial" w:hAnsi="Arial" w:cs="Arial"/>
          <w:bCs/>
          <w:sz w:val="24"/>
          <w:szCs w:val="24"/>
        </w:rPr>
        <w:t>iginal memorandum</w:t>
      </w:r>
      <w:r w:rsidR="00AE02D9" w:rsidRPr="00AE02D9">
        <w:rPr>
          <w:rFonts w:ascii="Arial" w:hAnsi="Arial" w:cs="Arial"/>
          <w:bCs/>
          <w:sz w:val="24"/>
          <w:szCs w:val="24"/>
        </w:rPr>
        <w:t xml:space="preserve"> </w:t>
      </w:r>
      <w:r w:rsidR="00B527D4">
        <w:rPr>
          <w:rFonts w:ascii="Arial" w:hAnsi="Arial" w:cs="Arial"/>
          <w:bCs/>
          <w:sz w:val="24"/>
          <w:szCs w:val="24"/>
        </w:rPr>
        <w:t xml:space="preserve">of </w:t>
      </w:r>
      <w:r w:rsidR="00AE02D9" w:rsidRPr="00AE02D9">
        <w:rPr>
          <w:rFonts w:ascii="Arial" w:hAnsi="Arial" w:cs="Arial"/>
          <w:bCs/>
          <w:sz w:val="24"/>
          <w:szCs w:val="24"/>
        </w:rPr>
        <w:t xml:space="preserve">agreement was </w:t>
      </w:r>
      <w:r w:rsidR="00555FD1">
        <w:rPr>
          <w:rFonts w:ascii="Arial" w:hAnsi="Arial" w:cs="Arial"/>
          <w:bCs/>
          <w:sz w:val="24"/>
          <w:szCs w:val="24"/>
        </w:rPr>
        <w:t xml:space="preserve">indeed </w:t>
      </w:r>
      <w:r w:rsidR="00AE02D9" w:rsidRPr="00AE02D9">
        <w:rPr>
          <w:rFonts w:ascii="Arial" w:hAnsi="Arial" w:cs="Arial"/>
          <w:bCs/>
          <w:sz w:val="24"/>
          <w:szCs w:val="24"/>
        </w:rPr>
        <w:t>conclude</w:t>
      </w:r>
      <w:r w:rsidR="00AE02D9">
        <w:rPr>
          <w:rFonts w:ascii="Arial" w:hAnsi="Arial" w:cs="Arial"/>
          <w:bCs/>
          <w:sz w:val="24"/>
          <w:szCs w:val="24"/>
        </w:rPr>
        <w:t>d</w:t>
      </w:r>
      <w:r w:rsidR="00555FD1">
        <w:rPr>
          <w:rFonts w:ascii="Arial" w:hAnsi="Arial" w:cs="Arial"/>
          <w:bCs/>
          <w:sz w:val="24"/>
          <w:szCs w:val="24"/>
        </w:rPr>
        <w:t xml:space="preserve"> between the parties</w:t>
      </w:r>
      <w:r w:rsidR="00AE02D9">
        <w:rPr>
          <w:rFonts w:ascii="Arial" w:hAnsi="Arial" w:cs="Arial"/>
          <w:bCs/>
          <w:sz w:val="24"/>
          <w:szCs w:val="24"/>
        </w:rPr>
        <w:t>.</w:t>
      </w:r>
    </w:p>
    <w:p w:rsidR="00555FD1" w:rsidRPr="00AE02D9" w:rsidRDefault="00555FD1" w:rsidP="00555FD1">
      <w:pPr>
        <w:spacing w:after="0" w:line="360" w:lineRule="auto"/>
        <w:jc w:val="both"/>
        <w:rPr>
          <w:rFonts w:ascii="Arial" w:hAnsi="Arial" w:cs="Arial"/>
          <w:bCs/>
          <w:sz w:val="24"/>
          <w:szCs w:val="24"/>
        </w:rPr>
      </w:pPr>
    </w:p>
    <w:p w:rsidR="00B01C43" w:rsidRDefault="00E1600A" w:rsidP="00555FD1">
      <w:pPr>
        <w:spacing w:after="0" w:line="360" w:lineRule="auto"/>
        <w:jc w:val="both"/>
        <w:rPr>
          <w:rFonts w:ascii="Arial" w:hAnsi="Arial" w:cs="Arial"/>
          <w:iCs/>
          <w:sz w:val="24"/>
          <w:szCs w:val="24"/>
        </w:rPr>
      </w:pPr>
      <w:r w:rsidRPr="00E1600A">
        <w:rPr>
          <w:rFonts w:ascii="Arial" w:hAnsi="Arial" w:cs="Arial"/>
          <w:bCs/>
          <w:sz w:val="24"/>
          <w:szCs w:val="24"/>
        </w:rPr>
        <w:t xml:space="preserve">Law of Evidence </w:t>
      </w:r>
      <w:r>
        <w:rPr>
          <w:rFonts w:ascii="Arial" w:hAnsi="Arial" w:cs="Arial"/>
          <w:bCs/>
          <w:sz w:val="24"/>
          <w:szCs w:val="24"/>
        </w:rPr>
        <w:t>–</w:t>
      </w:r>
      <w:r w:rsidR="003135B8">
        <w:rPr>
          <w:rFonts w:ascii="Arial" w:hAnsi="Arial" w:cs="Arial"/>
          <w:bCs/>
          <w:sz w:val="24"/>
          <w:szCs w:val="24"/>
        </w:rPr>
        <w:t xml:space="preserve"> </w:t>
      </w:r>
      <w:r w:rsidR="006508E0">
        <w:rPr>
          <w:rFonts w:ascii="Arial" w:hAnsi="Arial" w:cs="Arial"/>
          <w:bCs/>
          <w:sz w:val="24"/>
          <w:szCs w:val="24"/>
        </w:rPr>
        <w:t>Factual disputes –</w:t>
      </w:r>
      <w:r w:rsidR="003135B8">
        <w:rPr>
          <w:rFonts w:ascii="Arial" w:hAnsi="Arial" w:cs="Arial"/>
          <w:bCs/>
          <w:sz w:val="24"/>
          <w:szCs w:val="24"/>
        </w:rPr>
        <w:t xml:space="preserve"> </w:t>
      </w:r>
      <w:r w:rsidR="006508E0">
        <w:rPr>
          <w:rFonts w:ascii="Arial" w:hAnsi="Arial" w:cs="Arial"/>
          <w:bCs/>
          <w:sz w:val="24"/>
          <w:szCs w:val="24"/>
        </w:rPr>
        <w:t xml:space="preserve">Approach </w:t>
      </w:r>
      <w:r>
        <w:rPr>
          <w:rFonts w:ascii="Arial" w:hAnsi="Arial" w:cs="Arial"/>
          <w:bCs/>
          <w:sz w:val="24"/>
          <w:szCs w:val="24"/>
        </w:rPr>
        <w:t>to determination –</w:t>
      </w:r>
      <w:r w:rsidR="003135B8">
        <w:rPr>
          <w:rFonts w:ascii="Arial" w:hAnsi="Arial" w:cs="Arial"/>
          <w:bCs/>
          <w:sz w:val="24"/>
          <w:szCs w:val="24"/>
        </w:rPr>
        <w:t xml:space="preserve"> </w:t>
      </w:r>
      <w:r>
        <w:rPr>
          <w:rFonts w:ascii="Arial" w:hAnsi="Arial" w:cs="Arial"/>
          <w:bCs/>
          <w:sz w:val="24"/>
          <w:szCs w:val="24"/>
        </w:rPr>
        <w:t>Where court is confronted with two mutually destructive versions –</w:t>
      </w:r>
      <w:r w:rsidR="003135B8">
        <w:rPr>
          <w:rFonts w:ascii="Arial" w:hAnsi="Arial" w:cs="Arial"/>
          <w:bCs/>
          <w:sz w:val="24"/>
          <w:szCs w:val="24"/>
        </w:rPr>
        <w:t xml:space="preserve"> </w:t>
      </w:r>
      <w:r w:rsidR="00B527D4">
        <w:rPr>
          <w:rFonts w:ascii="Arial" w:hAnsi="Arial" w:cs="Arial"/>
          <w:bCs/>
          <w:sz w:val="24"/>
          <w:szCs w:val="24"/>
        </w:rPr>
        <w:t>Court adopted the dictum formulated in</w:t>
      </w:r>
      <w:r w:rsidR="00C5236C">
        <w:rPr>
          <w:rFonts w:ascii="Arial" w:hAnsi="Arial" w:cs="Arial"/>
          <w:bCs/>
          <w:sz w:val="24"/>
          <w:szCs w:val="24"/>
        </w:rPr>
        <w:t xml:space="preserve"> </w:t>
      </w:r>
      <w:r w:rsidR="00C5236C" w:rsidRPr="00C5236C">
        <w:rPr>
          <w:rFonts w:ascii="Arial" w:hAnsi="Arial" w:cs="Arial"/>
          <w:bCs/>
          <w:i/>
          <w:sz w:val="24"/>
          <w:szCs w:val="24"/>
        </w:rPr>
        <w:t xml:space="preserve">Stellenbosch Farmers’ Winery Group Ltd and Another v Martell et </w:t>
      </w:r>
      <w:proofErr w:type="spellStart"/>
      <w:r w:rsidR="00C5236C" w:rsidRPr="00C5236C">
        <w:rPr>
          <w:rFonts w:ascii="Arial" w:hAnsi="Arial" w:cs="Arial"/>
          <w:bCs/>
          <w:i/>
          <w:sz w:val="24"/>
          <w:szCs w:val="24"/>
        </w:rPr>
        <w:t>Cie</w:t>
      </w:r>
      <w:proofErr w:type="spellEnd"/>
      <w:r w:rsidR="00C5236C" w:rsidRPr="00C5236C">
        <w:rPr>
          <w:rFonts w:ascii="Arial" w:hAnsi="Arial" w:cs="Arial"/>
          <w:bCs/>
          <w:i/>
          <w:sz w:val="24"/>
          <w:szCs w:val="24"/>
        </w:rPr>
        <w:t xml:space="preserve"> and Others</w:t>
      </w:r>
      <w:r w:rsidR="00C5236C">
        <w:rPr>
          <w:rFonts w:ascii="Arial" w:hAnsi="Arial" w:cs="Arial"/>
          <w:bCs/>
          <w:sz w:val="24"/>
          <w:szCs w:val="24"/>
        </w:rPr>
        <w:t xml:space="preserve"> 2003 (1) 11 (SCA) at 14I-15D para 5 </w:t>
      </w:r>
      <w:r w:rsidR="007A013D">
        <w:rPr>
          <w:rFonts w:ascii="Arial" w:hAnsi="Arial" w:cs="Arial"/>
          <w:bCs/>
          <w:sz w:val="24"/>
          <w:szCs w:val="24"/>
        </w:rPr>
        <w:t>–</w:t>
      </w:r>
      <w:r w:rsidR="003135B8">
        <w:rPr>
          <w:rFonts w:ascii="Arial" w:hAnsi="Arial" w:cs="Arial"/>
          <w:bCs/>
          <w:sz w:val="24"/>
          <w:szCs w:val="24"/>
        </w:rPr>
        <w:t xml:space="preserve"> </w:t>
      </w:r>
      <w:r w:rsidR="007A013D">
        <w:rPr>
          <w:rFonts w:ascii="Arial" w:hAnsi="Arial" w:cs="Arial"/>
          <w:bCs/>
          <w:sz w:val="24"/>
          <w:szCs w:val="24"/>
        </w:rPr>
        <w:t xml:space="preserve">Court </w:t>
      </w:r>
      <w:r>
        <w:rPr>
          <w:rFonts w:ascii="Arial" w:hAnsi="Arial" w:cs="Arial"/>
          <w:bCs/>
          <w:sz w:val="24"/>
          <w:szCs w:val="24"/>
        </w:rPr>
        <w:t xml:space="preserve">to make findings on </w:t>
      </w:r>
      <w:r w:rsidR="00C5236C" w:rsidRPr="00C5236C">
        <w:rPr>
          <w:rFonts w:ascii="Arial" w:hAnsi="Arial" w:cs="Arial"/>
          <w:iCs/>
          <w:sz w:val="24"/>
          <w:szCs w:val="24"/>
        </w:rPr>
        <w:t>(a) the credibility of the various factual witnesses; (b) their reliability; and</w:t>
      </w:r>
      <w:r w:rsidR="00C5236C" w:rsidRPr="00C5236C">
        <w:rPr>
          <w:rFonts w:ascii="Arial" w:hAnsi="Arial" w:cs="Arial"/>
          <w:sz w:val="24"/>
          <w:szCs w:val="24"/>
        </w:rPr>
        <w:t xml:space="preserve"> </w:t>
      </w:r>
      <w:r w:rsidR="00C5236C" w:rsidRPr="00C5236C">
        <w:rPr>
          <w:rFonts w:ascii="Arial" w:hAnsi="Arial" w:cs="Arial"/>
          <w:iCs/>
          <w:sz w:val="24"/>
          <w:szCs w:val="24"/>
        </w:rPr>
        <w:t>(c) the probabiliti</w:t>
      </w:r>
      <w:r w:rsidR="00C5236C">
        <w:rPr>
          <w:rFonts w:ascii="Arial" w:hAnsi="Arial" w:cs="Arial"/>
          <w:iCs/>
          <w:sz w:val="24"/>
          <w:szCs w:val="24"/>
        </w:rPr>
        <w:t>es –</w:t>
      </w:r>
      <w:r w:rsidR="003135B8">
        <w:rPr>
          <w:rFonts w:ascii="Arial" w:hAnsi="Arial" w:cs="Arial"/>
          <w:iCs/>
          <w:sz w:val="24"/>
          <w:szCs w:val="24"/>
        </w:rPr>
        <w:t xml:space="preserve"> </w:t>
      </w:r>
      <w:r w:rsidR="00C5236C">
        <w:rPr>
          <w:rFonts w:ascii="Arial" w:hAnsi="Arial" w:cs="Arial"/>
          <w:iCs/>
          <w:sz w:val="24"/>
          <w:szCs w:val="24"/>
        </w:rPr>
        <w:t>Court applied that te</w:t>
      </w:r>
      <w:r w:rsidR="00BB436F">
        <w:rPr>
          <w:rFonts w:ascii="Arial" w:hAnsi="Arial" w:cs="Arial"/>
          <w:iCs/>
          <w:sz w:val="24"/>
          <w:szCs w:val="24"/>
        </w:rPr>
        <w:t>st –</w:t>
      </w:r>
      <w:r w:rsidR="003135B8">
        <w:rPr>
          <w:rFonts w:ascii="Arial" w:hAnsi="Arial" w:cs="Arial"/>
          <w:iCs/>
          <w:sz w:val="24"/>
          <w:szCs w:val="24"/>
        </w:rPr>
        <w:t xml:space="preserve"> </w:t>
      </w:r>
      <w:r w:rsidR="00BB436F">
        <w:rPr>
          <w:rFonts w:ascii="Arial" w:hAnsi="Arial" w:cs="Arial"/>
          <w:iCs/>
          <w:sz w:val="24"/>
          <w:szCs w:val="24"/>
        </w:rPr>
        <w:t>Consequently</w:t>
      </w:r>
      <w:r w:rsidR="003135B8">
        <w:rPr>
          <w:rFonts w:ascii="Arial" w:hAnsi="Arial" w:cs="Arial"/>
          <w:iCs/>
          <w:sz w:val="24"/>
          <w:szCs w:val="24"/>
        </w:rPr>
        <w:t>,</w:t>
      </w:r>
      <w:r w:rsidR="00BB436F">
        <w:rPr>
          <w:rFonts w:ascii="Arial" w:hAnsi="Arial" w:cs="Arial"/>
          <w:iCs/>
          <w:sz w:val="24"/>
          <w:szCs w:val="24"/>
        </w:rPr>
        <w:t xml:space="preserve"> </w:t>
      </w:r>
      <w:r w:rsidR="005C31AC">
        <w:rPr>
          <w:rFonts w:ascii="Arial" w:hAnsi="Arial" w:cs="Arial"/>
          <w:iCs/>
          <w:sz w:val="24"/>
          <w:szCs w:val="24"/>
        </w:rPr>
        <w:t xml:space="preserve">the </w:t>
      </w:r>
      <w:r w:rsidR="00BB436F">
        <w:rPr>
          <w:rFonts w:ascii="Arial" w:hAnsi="Arial" w:cs="Arial"/>
          <w:iCs/>
          <w:sz w:val="24"/>
          <w:szCs w:val="24"/>
        </w:rPr>
        <w:t xml:space="preserve">court found the plaintiff’s </w:t>
      </w:r>
      <w:r w:rsidR="005C31AC">
        <w:rPr>
          <w:rFonts w:ascii="Arial" w:hAnsi="Arial" w:cs="Arial"/>
          <w:iCs/>
          <w:sz w:val="24"/>
          <w:szCs w:val="24"/>
        </w:rPr>
        <w:t xml:space="preserve">version </w:t>
      </w:r>
      <w:r w:rsidR="00BB436F">
        <w:rPr>
          <w:rFonts w:ascii="Arial" w:hAnsi="Arial" w:cs="Arial"/>
          <w:iCs/>
          <w:sz w:val="24"/>
          <w:szCs w:val="24"/>
        </w:rPr>
        <w:t>impr</w:t>
      </w:r>
      <w:r w:rsidR="005C31AC">
        <w:rPr>
          <w:rFonts w:ascii="Arial" w:hAnsi="Arial" w:cs="Arial"/>
          <w:iCs/>
          <w:sz w:val="24"/>
          <w:szCs w:val="24"/>
        </w:rPr>
        <w:t>o</w:t>
      </w:r>
      <w:r w:rsidR="00BB436F">
        <w:rPr>
          <w:rFonts w:ascii="Arial" w:hAnsi="Arial" w:cs="Arial"/>
          <w:iCs/>
          <w:sz w:val="24"/>
          <w:szCs w:val="24"/>
        </w:rPr>
        <w:t>bable –</w:t>
      </w:r>
      <w:r w:rsidR="003135B8">
        <w:rPr>
          <w:rFonts w:ascii="Arial" w:hAnsi="Arial" w:cs="Arial"/>
          <w:iCs/>
          <w:sz w:val="24"/>
          <w:szCs w:val="24"/>
        </w:rPr>
        <w:t xml:space="preserve"> </w:t>
      </w:r>
      <w:r w:rsidR="00BB436F">
        <w:rPr>
          <w:rFonts w:ascii="Arial" w:hAnsi="Arial" w:cs="Arial"/>
          <w:iCs/>
          <w:sz w:val="24"/>
          <w:szCs w:val="24"/>
        </w:rPr>
        <w:t>Court found the defendants’ evidence</w:t>
      </w:r>
      <w:r w:rsidR="005C31AC">
        <w:rPr>
          <w:rFonts w:ascii="Arial" w:hAnsi="Arial" w:cs="Arial"/>
          <w:iCs/>
          <w:sz w:val="24"/>
          <w:szCs w:val="24"/>
        </w:rPr>
        <w:t xml:space="preserve"> credible</w:t>
      </w:r>
      <w:r w:rsidR="00C5236C">
        <w:rPr>
          <w:rFonts w:ascii="Arial" w:hAnsi="Arial" w:cs="Arial"/>
          <w:iCs/>
          <w:sz w:val="24"/>
          <w:szCs w:val="24"/>
        </w:rPr>
        <w:t xml:space="preserve"> –</w:t>
      </w:r>
      <w:r w:rsidR="003135B8">
        <w:rPr>
          <w:rFonts w:ascii="Arial" w:hAnsi="Arial" w:cs="Arial"/>
          <w:iCs/>
          <w:sz w:val="24"/>
          <w:szCs w:val="24"/>
        </w:rPr>
        <w:t xml:space="preserve"> </w:t>
      </w:r>
      <w:r w:rsidR="00C5236C">
        <w:rPr>
          <w:rFonts w:ascii="Arial" w:hAnsi="Arial" w:cs="Arial"/>
          <w:iCs/>
          <w:sz w:val="24"/>
          <w:szCs w:val="24"/>
        </w:rPr>
        <w:t>Court found that an addendum to the original agreement was concluded</w:t>
      </w:r>
      <w:r w:rsidR="006508E0">
        <w:rPr>
          <w:rFonts w:ascii="Arial" w:hAnsi="Arial" w:cs="Arial"/>
          <w:iCs/>
          <w:sz w:val="24"/>
          <w:szCs w:val="24"/>
        </w:rPr>
        <w:t>.</w:t>
      </w:r>
    </w:p>
    <w:p w:rsidR="00C5236C" w:rsidRPr="00C5236C" w:rsidRDefault="00C5236C" w:rsidP="00555FD1">
      <w:pPr>
        <w:spacing w:after="0" w:line="360" w:lineRule="auto"/>
        <w:jc w:val="both"/>
        <w:rPr>
          <w:rFonts w:ascii="Arial" w:hAnsi="Arial" w:cs="Arial"/>
          <w:bCs/>
          <w:sz w:val="24"/>
          <w:szCs w:val="24"/>
        </w:rPr>
      </w:pPr>
    </w:p>
    <w:p w:rsidR="001C5779" w:rsidRDefault="00F465EF" w:rsidP="00555FD1">
      <w:pPr>
        <w:pStyle w:val="ListParagraph"/>
        <w:tabs>
          <w:tab w:val="left" w:pos="851"/>
        </w:tabs>
        <w:spacing w:after="0" w:line="360" w:lineRule="auto"/>
        <w:ind w:left="0"/>
        <w:jc w:val="both"/>
        <w:rPr>
          <w:rFonts w:ascii="Arial" w:hAnsi="Arial" w:cs="Arial"/>
          <w:sz w:val="24"/>
          <w:szCs w:val="24"/>
        </w:rPr>
      </w:pPr>
      <w:r>
        <w:rPr>
          <w:rFonts w:ascii="Arial" w:hAnsi="Arial" w:cs="Arial"/>
          <w:b/>
          <w:bCs/>
          <w:sz w:val="24"/>
          <w:szCs w:val="24"/>
        </w:rPr>
        <w:t>Summary:</w:t>
      </w:r>
      <w:r w:rsidR="008B0AFC">
        <w:rPr>
          <w:rFonts w:ascii="Arial" w:hAnsi="Arial" w:cs="Arial"/>
          <w:bCs/>
          <w:sz w:val="24"/>
          <w:szCs w:val="24"/>
        </w:rPr>
        <w:tab/>
      </w:r>
      <w:r w:rsidR="001F7A98">
        <w:rPr>
          <w:rFonts w:ascii="Arial" w:hAnsi="Arial" w:cs="Arial"/>
          <w:bCs/>
          <w:sz w:val="24"/>
          <w:szCs w:val="24"/>
        </w:rPr>
        <w:t>The plaintiff and the first defendant represented by the second defendant entered into a memorandum of agreement for the sale of land by the plaintiff to the first defendant in February 2013, subject to</w:t>
      </w:r>
      <w:r w:rsidR="009F782E">
        <w:rPr>
          <w:rFonts w:ascii="Arial" w:hAnsi="Arial" w:cs="Arial"/>
          <w:bCs/>
          <w:sz w:val="24"/>
          <w:szCs w:val="24"/>
        </w:rPr>
        <w:t xml:space="preserve"> the fulfillment of a number of </w:t>
      </w:r>
      <w:r w:rsidR="00B61412">
        <w:rPr>
          <w:rFonts w:ascii="Arial" w:hAnsi="Arial" w:cs="Arial"/>
          <w:bCs/>
          <w:sz w:val="24"/>
          <w:szCs w:val="24"/>
        </w:rPr>
        <w:t>suspensive conditions –</w:t>
      </w:r>
      <w:r w:rsidR="001F7A98">
        <w:rPr>
          <w:rFonts w:ascii="Arial" w:hAnsi="Arial" w:cs="Arial"/>
          <w:bCs/>
          <w:sz w:val="24"/>
          <w:szCs w:val="24"/>
        </w:rPr>
        <w:t xml:space="preserve"> The defendants’ case is that a further agreement was entered into in May 2013, which is an addendum to the original agreement, while the plaintiff denied</w:t>
      </w:r>
      <w:r w:rsidR="00101895">
        <w:rPr>
          <w:rFonts w:ascii="Arial" w:hAnsi="Arial" w:cs="Arial"/>
          <w:bCs/>
          <w:sz w:val="24"/>
          <w:szCs w:val="24"/>
        </w:rPr>
        <w:t xml:space="preserve"> signing</w:t>
      </w:r>
      <w:r w:rsidR="001F7A98">
        <w:rPr>
          <w:rFonts w:ascii="Arial" w:hAnsi="Arial" w:cs="Arial"/>
          <w:bCs/>
          <w:sz w:val="24"/>
          <w:szCs w:val="24"/>
        </w:rPr>
        <w:t xml:space="preserve"> the addendum</w:t>
      </w:r>
      <w:r w:rsidR="00101895">
        <w:rPr>
          <w:rFonts w:ascii="Arial" w:hAnsi="Arial" w:cs="Arial"/>
          <w:bCs/>
          <w:sz w:val="24"/>
          <w:szCs w:val="24"/>
        </w:rPr>
        <w:t xml:space="preserve"> and stated that she only became aware of that addendum during the present litigation</w:t>
      </w:r>
      <w:r w:rsidR="00B61412">
        <w:rPr>
          <w:rFonts w:ascii="Arial" w:hAnsi="Arial" w:cs="Arial"/>
          <w:bCs/>
          <w:sz w:val="24"/>
          <w:szCs w:val="24"/>
        </w:rPr>
        <w:t xml:space="preserve"> –</w:t>
      </w:r>
      <w:r w:rsidR="009F782E" w:rsidRPr="009F782E">
        <w:rPr>
          <w:rFonts w:ascii="Arial" w:hAnsi="Arial" w:cs="Arial"/>
        </w:rPr>
        <w:t xml:space="preserve"> </w:t>
      </w:r>
      <w:r w:rsidR="009F782E" w:rsidRPr="00634DF4">
        <w:rPr>
          <w:rFonts w:ascii="Arial" w:hAnsi="Arial" w:cs="Arial"/>
          <w:sz w:val="24"/>
          <w:szCs w:val="24"/>
        </w:rPr>
        <w:t>The main difference between the original agreement and the addendum concerned th</w:t>
      </w:r>
      <w:r w:rsidR="00B61412">
        <w:rPr>
          <w:rFonts w:ascii="Arial" w:hAnsi="Arial" w:cs="Arial"/>
          <w:sz w:val="24"/>
          <w:szCs w:val="24"/>
        </w:rPr>
        <w:t>e payment of the purchase price –</w:t>
      </w:r>
      <w:r w:rsidR="009F782E" w:rsidRPr="00634DF4">
        <w:rPr>
          <w:rFonts w:ascii="Arial" w:hAnsi="Arial" w:cs="Arial"/>
          <w:sz w:val="24"/>
          <w:szCs w:val="24"/>
        </w:rPr>
        <w:t xml:space="preserve"> The purchase price of </w:t>
      </w:r>
      <w:r w:rsidR="00B61412">
        <w:rPr>
          <w:rFonts w:ascii="Arial" w:hAnsi="Arial" w:cs="Arial"/>
          <w:sz w:val="24"/>
          <w:szCs w:val="24"/>
        </w:rPr>
        <w:t xml:space="preserve">      N$</w:t>
      </w:r>
      <w:r w:rsidR="009F782E" w:rsidRPr="00634DF4">
        <w:rPr>
          <w:rFonts w:ascii="Arial" w:hAnsi="Arial" w:cs="Arial"/>
          <w:sz w:val="24"/>
          <w:szCs w:val="24"/>
        </w:rPr>
        <w:t xml:space="preserve">100 000 in terms of the addendum became payable upon signature of the agreement, and </w:t>
      </w:r>
      <w:r w:rsidR="00BB436F">
        <w:rPr>
          <w:rFonts w:ascii="Arial" w:hAnsi="Arial" w:cs="Arial"/>
          <w:sz w:val="24"/>
          <w:szCs w:val="24"/>
        </w:rPr>
        <w:t xml:space="preserve">not </w:t>
      </w:r>
      <w:r w:rsidR="009F782E" w:rsidRPr="00634DF4">
        <w:rPr>
          <w:rFonts w:ascii="Arial" w:hAnsi="Arial" w:cs="Arial"/>
          <w:sz w:val="24"/>
          <w:szCs w:val="24"/>
        </w:rPr>
        <w:t>upon registration of the transfer as originally foresha</w:t>
      </w:r>
      <w:r w:rsidR="00B61412">
        <w:rPr>
          <w:rFonts w:ascii="Arial" w:hAnsi="Arial" w:cs="Arial"/>
          <w:sz w:val="24"/>
          <w:szCs w:val="24"/>
        </w:rPr>
        <w:t>dowed in the original agreement –</w:t>
      </w:r>
      <w:r w:rsidR="009F782E" w:rsidRPr="00634DF4">
        <w:rPr>
          <w:rFonts w:ascii="Arial" w:hAnsi="Arial" w:cs="Arial"/>
          <w:sz w:val="24"/>
          <w:szCs w:val="24"/>
        </w:rPr>
        <w:t xml:space="preserve"> It is common cause that the </w:t>
      </w:r>
      <w:r w:rsidR="009F782E">
        <w:rPr>
          <w:rFonts w:ascii="Arial" w:hAnsi="Arial" w:cs="Arial"/>
          <w:sz w:val="24"/>
          <w:szCs w:val="24"/>
        </w:rPr>
        <w:t>purchase pr</w:t>
      </w:r>
      <w:r w:rsidR="00800EA2">
        <w:rPr>
          <w:rFonts w:ascii="Arial" w:hAnsi="Arial" w:cs="Arial"/>
          <w:sz w:val="24"/>
          <w:szCs w:val="24"/>
        </w:rPr>
        <w:t xml:space="preserve">ice was indeed paid; a </w:t>
      </w:r>
      <w:proofErr w:type="spellStart"/>
      <w:r w:rsidR="00800EA2">
        <w:rPr>
          <w:rFonts w:ascii="Arial" w:hAnsi="Arial" w:cs="Arial"/>
          <w:sz w:val="24"/>
          <w:szCs w:val="24"/>
        </w:rPr>
        <w:t>cheque</w:t>
      </w:r>
      <w:proofErr w:type="spellEnd"/>
      <w:r w:rsidR="00800EA2">
        <w:rPr>
          <w:rFonts w:ascii="Arial" w:hAnsi="Arial" w:cs="Arial"/>
          <w:sz w:val="24"/>
          <w:szCs w:val="24"/>
        </w:rPr>
        <w:t xml:space="preserve"> for</w:t>
      </w:r>
      <w:r w:rsidR="009F782E">
        <w:rPr>
          <w:rFonts w:ascii="Arial" w:hAnsi="Arial" w:cs="Arial"/>
          <w:sz w:val="24"/>
          <w:szCs w:val="24"/>
        </w:rPr>
        <w:t xml:space="preserve"> that</w:t>
      </w:r>
      <w:r w:rsidR="009F782E" w:rsidRPr="00634DF4">
        <w:rPr>
          <w:rFonts w:ascii="Arial" w:hAnsi="Arial" w:cs="Arial"/>
          <w:sz w:val="24"/>
          <w:szCs w:val="24"/>
        </w:rPr>
        <w:t xml:space="preserve"> amount was received by the plaintiff and banked by her</w:t>
      </w:r>
      <w:r w:rsidR="00B61412">
        <w:rPr>
          <w:rFonts w:ascii="Arial" w:hAnsi="Arial" w:cs="Arial"/>
          <w:sz w:val="24"/>
          <w:szCs w:val="24"/>
        </w:rPr>
        <w:t xml:space="preserve"> into her bank account –</w:t>
      </w:r>
      <w:r w:rsidR="009F782E">
        <w:rPr>
          <w:rFonts w:ascii="Arial" w:hAnsi="Arial" w:cs="Arial"/>
          <w:sz w:val="24"/>
          <w:szCs w:val="24"/>
        </w:rPr>
        <w:t xml:space="preserve"> </w:t>
      </w:r>
      <w:r w:rsidR="001F7A98" w:rsidRPr="009F782E">
        <w:rPr>
          <w:rFonts w:ascii="Arial" w:hAnsi="Arial" w:cs="Arial"/>
          <w:bCs/>
          <w:sz w:val="24"/>
          <w:szCs w:val="24"/>
        </w:rPr>
        <w:t xml:space="preserve">The court was asked to determine whether the addendum to the original agreement </w:t>
      </w:r>
      <w:r w:rsidR="00345D17" w:rsidRPr="009F782E">
        <w:rPr>
          <w:rFonts w:ascii="Arial" w:hAnsi="Arial" w:cs="Arial"/>
          <w:bCs/>
          <w:sz w:val="24"/>
          <w:szCs w:val="24"/>
        </w:rPr>
        <w:t>was indeed entered into</w:t>
      </w:r>
      <w:r w:rsidR="00B61412">
        <w:rPr>
          <w:rFonts w:ascii="Arial" w:hAnsi="Arial" w:cs="Arial"/>
          <w:bCs/>
          <w:sz w:val="24"/>
          <w:szCs w:val="24"/>
        </w:rPr>
        <w:t xml:space="preserve"> –</w:t>
      </w:r>
      <w:r w:rsidR="001F7A98" w:rsidRPr="009F782E">
        <w:rPr>
          <w:rFonts w:ascii="Arial" w:hAnsi="Arial" w:cs="Arial"/>
          <w:bCs/>
          <w:sz w:val="24"/>
          <w:szCs w:val="24"/>
        </w:rPr>
        <w:t xml:space="preserve"> </w:t>
      </w:r>
      <w:r w:rsidR="00101895" w:rsidRPr="009F782E">
        <w:rPr>
          <w:rFonts w:ascii="Arial" w:hAnsi="Arial" w:cs="Arial"/>
          <w:bCs/>
          <w:sz w:val="24"/>
          <w:szCs w:val="24"/>
        </w:rPr>
        <w:t xml:space="preserve">The court heard the </w:t>
      </w:r>
      <w:r w:rsidR="00101895" w:rsidRPr="009F782E">
        <w:rPr>
          <w:rFonts w:ascii="Arial" w:hAnsi="Arial" w:cs="Arial"/>
          <w:sz w:val="24"/>
          <w:szCs w:val="24"/>
        </w:rPr>
        <w:t>evidence of t</w:t>
      </w:r>
      <w:r w:rsidR="00BB436F">
        <w:rPr>
          <w:rFonts w:ascii="Arial" w:hAnsi="Arial" w:cs="Arial"/>
          <w:sz w:val="24"/>
          <w:szCs w:val="24"/>
        </w:rPr>
        <w:t>he plaintiff and the witness of</w:t>
      </w:r>
      <w:r w:rsidR="00B61412">
        <w:rPr>
          <w:rFonts w:ascii="Arial" w:hAnsi="Arial" w:cs="Arial"/>
          <w:sz w:val="24"/>
          <w:szCs w:val="24"/>
        </w:rPr>
        <w:t xml:space="preserve"> the defendants, </w:t>
      </w:r>
      <w:proofErr w:type="spellStart"/>
      <w:r w:rsidR="00B61412">
        <w:rPr>
          <w:rFonts w:ascii="Arial" w:hAnsi="Arial" w:cs="Arial"/>
          <w:sz w:val="24"/>
          <w:szCs w:val="24"/>
        </w:rPr>
        <w:t>Ms</w:t>
      </w:r>
      <w:proofErr w:type="spellEnd"/>
      <w:r w:rsidR="00B61412">
        <w:rPr>
          <w:rFonts w:ascii="Arial" w:hAnsi="Arial" w:cs="Arial"/>
          <w:sz w:val="24"/>
          <w:szCs w:val="24"/>
        </w:rPr>
        <w:t xml:space="preserve"> Sharon Jansen v</w:t>
      </w:r>
      <w:r w:rsidR="00101895" w:rsidRPr="009F782E">
        <w:rPr>
          <w:rFonts w:ascii="Arial" w:hAnsi="Arial" w:cs="Arial"/>
          <w:sz w:val="24"/>
          <w:szCs w:val="24"/>
        </w:rPr>
        <w:t xml:space="preserve">an </w:t>
      </w:r>
      <w:proofErr w:type="spellStart"/>
      <w:r w:rsidR="00101895" w:rsidRPr="009F782E">
        <w:rPr>
          <w:rFonts w:ascii="Arial" w:hAnsi="Arial" w:cs="Arial"/>
          <w:sz w:val="24"/>
          <w:szCs w:val="24"/>
        </w:rPr>
        <w:t>Rensburg</w:t>
      </w:r>
      <w:proofErr w:type="spellEnd"/>
      <w:r w:rsidR="00101895" w:rsidRPr="009F782E">
        <w:rPr>
          <w:rFonts w:ascii="Arial" w:hAnsi="Arial" w:cs="Arial"/>
          <w:sz w:val="24"/>
          <w:szCs w:val="24"/>
        </w:rPr>
        <w:t xml:space="preserve"> who</w:t>
      </w:r>
      <w:r w:rsidR="00345D17" w:rsidRPr="009F782E">
        <w:rPr>
          <w:rFonts w:ascii="Arial" w:hAnsi="Arial" w:cs="Arial"/>
          <w:sz w:val="24"/>
          <w:szCs w:val="24"/>
        </w:rPr>
        <w:t xml:space="preserve"> both</w:t>
      </w:r>
      <w:r w:rsidR="00101895" w:rsidRPr="009F782E">
        <w:rPr>
          <w:rFonts w:ascii="Arial" w:hAnsi="Arial" w:cs="Arial"/>
          <w:sz w:val="24"/>
          <w:szCs w:val="24"/>
        </w:rPr>
        <w:t xml:space="preserve"> presented conflicting versions to an extent</w:t>
      </w:r>
      <w:r w:rsidR="00B61412">
        <w:rPr>
          <w:rFonts w:ascii="Arial" w:hAnsi="Arial" w:cs="Arial"/>
          <w:sz w:val="24"/>
          <w:szCs w:val="24"/>
        </w:rPr>
        <w:t xml:space="preserve"> –</w:t>
      </w:r>
      <w:r w:rsidR="00101895" w:rsidRPr="009F782E">
        <w:rPr>
          <w:rFonts w:ascii="Arial" w:hAnsi="Arial" w:cs="Arial"/>
          <w:sz w:val="24"/>
          <w:szCs w:val="24"/>
        </w:rPr>
        <w:t xml:space="preserve"> </w:t>
      </w:r>
      <w:r w:rsidR="00345D17" w:rsidRPr="009F782E">
        <w:rPr>
          <w:rFonts w:ascii="Arial" w:hAnsi="Arial" w:cs="Arial"/>
          <w:sz w:val="24"/>
          <w:szCs w:val="24"/>
        </w:rPr>
        <w:t xml:space="preserve">The court </w:t>
      </w:r>
      <w:r w:rsidR="00345D17" w:rsidRPr="009F782E">
        <w:rPr>
          <w:rFonts w:ascii="Arial" w:hAnsi="Arial" w:cs="Arial"/>
          <w:bCs/>
          <w:sz w:val="24"/>
          <w:szCs w:val="24"/>
        </w:rPr>
        <w:t xml:space="preserve">adopted the dictum from </w:t>
      </w:r>
      <w:r w:rsidR="00345D17" w:rsidRPr="009F782E">
        <w:rPr>
          <w:rFonts w:ascii="Arial" w:hAnsi="Arial" w:cs="Arial"/>
          <w:bCs/>
          <w:i/>
          <w:sz w:val="24"/>
          <w:szCs w:val="24"/>
        </w:rPr>
        <w:t xml:space="preserve">Stellenbosch Farmers’ Winery Group Ltd and Another v Martell et </w:t>
      </w:r>
      <w:proofErr w:type="spellStart"/>
      <w:r w:rsidR="00345D17" w:rsidRPr="009F782E">
        <w:rPr>
          <w:rFonts w:ascii="Arial" w:hAnsi="Arial" w:cs="Arial"/>
          <w:bCs/>
          <w:i/>
          <w:sz w:val="24"/>
          <w:szCs w:val="24"/>
        </w:rPr>
        <w:t>Cie</w:t>
      </w:r>
      <w:proofErr w:type="spellEnd"/>
      <w:r w:rsidR="00345D17" w:rsidRPr="009F782E">
        <w:rPr>
          <w:rFonts w:ascii="Arial" w:hAnsi="Arial" w:cs="Arial"/>
          <w:bCs/>
          <w:i/>
          <w:sz w:val="24"/>
          <w:szCs w:val="24"/>
        </w:rPr>
        <w:t xml:space="preserve"> and Others</w:t>
      </w:r>
      <w:r w:rsidR="00345D17" w:rsidRPr="009F782E">
        <w:rPr>
          <w:rFonts w:ascii="Arial" w:hAnsi="Arial" w:cs="Arial"/>
          <w:bCs/>
          <w:sz w:val="24"/>
          <w:szCs w:val="24"/>
        </w:rPr>
        <w:t xml:space="preserve"> 2003 (1) 11 (SCA) at 14I-15D para 5, where it was held that when the court is to resolve a factual dispute and it is confronted with mutually destructive versions, the court has to make findings on </w:t>
      </w:r>
      <w:r w:rsidR="00345D17" w:rsidRPr="009F782E">
        <w:rPr>
          <w:rFonts w:ascii="Arial" w:hAnsi="Arial" w:cs="Arial"/>
          <w:iCs/>
          <w:sz w:val="24"/>
          <w:szCs w:val="24"/>
        </w:rPr>
        <w:t>(a) the credibility of the various factual witnesses; (b) their reliability; and</w:t>
      </w:r>
      <w:r w:rsidR="00345D17" w:rsidRPr="009F782E">
        <w:rPr>
          <w:rFonts w:ascii="Arial" w:hAnsi="Arial" w:cs="Arial"/>
          <w:sz w:val="24"/>
          <w:szCs w:val="24"/>
        </w:rPr>
        <w:t xml:space="preserve"> </w:t>
      </w:r>
      <w:r w:rsidR="00345D17" w:rsidRPr="009F782E">
        <w:rPr>
          <w:rFonts w:ascii="Arial" w:hAnsi="Arial" w:cs="Arial"/>
          <w:iCs/>
          <w:sz w:val="24"/>
          <w:szCs w:val="24"/>
        </w:rPr>
        <w:t xml:space="preserve">(c) the </w:t>
      </w:r>
      <w:r w:rsidR="00B61412">
        <w:rPr>
          <w:rFonts w:ascii="Arial" w:hAnsi="Arial" w:cs="Arial"/>
          <w:iCs/>
          <w:sz w:val="24"/>
          <w:szCs w:val="24"/>
        </w:rPr>
        <w:t>probabilities –</w:t>
      </w:r>
      <w:r w:rsidR="009F782E" w:rsidRPr="009F782E">
        <w:rPr>
          <w:rFonts w:ascii="Arial" w:hAnsi="Arial" w:cs="Arial"/>
          <w:iCs/>
          <w:sz w:val="24"/>
          <w:szCs w:val="24"/>
        </w:rPr>
        <w:t xml:space="preserve"> </w:t>
      </w:r>
      <w:r w:rsidR="009F782E" w:rsidRPr="009F782E">
        <w:rPr>
          <w:rFonts w:ascii="Arial" w:hAnsi="Arial" w:cs="Arial"/>
          <w:sz w:val="24"/>
          <w:szCs w:val="24"/>
        </w:rPr>
        <w:t xml:space="preserve">The court found the evidence of </w:t>
      </w:r>
      <w:proofErr w:type="spellStart"/>
      <w:r w:rsidR="009F782E" w:rsidRPr="009F782E">
        <w:rPr>
          <w:rFonts w:ascii="Arial" w:hAnsi="Arial" w:cs="Arial"/>
          <w:sz w:val="24"/>
          <w:szCs w:val="24"/>
        </w:rPr>
        <w:t>Ms</w:t>
      </w:r>
      <w:proofErr w:type="spellEnd"/>
      <w:r w:rsidR="00B61412">
        <w:rPr>
          <w:rFonts w:ascii="Arial" w:hAnsi="Arial" w:cs="Arial"/>
          <w:sz w:val="24"/>
          <w:szCs w:val="24"/>
        </w:rPr>
        <w:t xml:space="preserve"> Sharon Jansen v</w:t>
      </w:r>
      <w:r w:rsidR="009F782E" w:rsidRPr="009F782E">
        <w:rPr>
          <w:rFonts w:ascii="Arial" w:hAnsi="Arial" w:cs="Arial"/>
          <w:sz w:val="24"/>
          <w:szCs w:val="24"/>
        </w:rPr>
        <w:t xml:space="preserve">an </w:t>
      </w:r>
      <w:proofErr w:type="spellStart"/>
      <w:r w:rsidR="009F782E" w:rsidRPr="009F782E">
        <w:rPr>
          <w:rFonts w:ascii="Arial" w:hAnsi="Arial" w:cs="Arial"/>
          <w:sz w:val="24"/>
          <w:szCs w:val="24"/>
        </w:rPr>
        <w:t>Rensburg</w:t>
      </w:r>
      <w:proofErr w:type="spellEnd"/>
      <w:r w:rsidR="009F782E" w:rsidRPr="009F782E">
        <w:rPr>
          <w:rFonts w:ascii="Arial" w:hAnsi="Arial" w:cs="Arial"/>
          <w:sz w:val="24"/>
          <w:szCs w:val="24"/>
        </w:rPr>
        <w:t xml:space="preserve"> to be credible, and found the evidence </w:t>
      </w:r>
      <w:r w:rsidR="009F782E" w:rsidRPr="009F782E">
        <w:rPr>
          <w:rFonts w:ascii="Arial" w:hAnsi="Arial" w:cs="Arial"/>
          <w:sz w:val="24"/>
          <w:szCs w:val="24"/>
        </w:rPr>
        <w:lastRenderedPageBreak/>
        <w:t>of the plaintiff inherently improbable</w:t>
      </w:r>
      <w:r w:rsidR="00B61412">
        <w:rPr>
          <w:rFonts w:ascii="Arial" w:hAnsi="Arial" w:cs="Arial"/>
          <w:sz w:val="24"/>
          <w:szCs w:val="24"/>
        </w:rPr>
        <w:t xml:space="preserve"> –</w:t>
      </w:r>
      <w:r w:rsidR="009F782E" w:rsidRPr="009F782E">
        <w:rPr>
          <w:rFonts w:ascii="Arial" w:hAnsi="Arial" w:cs="Arial"/>
          <w:sz w:val="24"/>
          <w:szCs w:val="24"/>
        </w:rPr>
        <w:t xml:space="preserve"> Consequently, the court concluded that the plaintiff and the first defendant did indeed conclude the addendum to the original agreement.</w:t>
      </w:r>
    </w:p>
    <w:p w:rsidR="00555FD1" w:rsidRPr="009F782E" w:rsidRDefault="00555FD1" w:rsidP="00555FD1">
      <w:pPr>
        <w:pStyle w:val="ListParagraph"/>
        <w:tabs>
          <w:tab w:val="left" w:pos="851"/>
        </w:tabs>
        <w:spacing w:after="0" w:line="360" w:lineRule="auto"/>
        <w:ind w:left="0"/>
        <w:jc w:val="both"/>
        <w:rPr>
          <w:rFonts w:ascii="Arial" w:hAnsi="Arial" w:cs="Arial"/>
          <w:sz w:val="24"/>
          <w:szCs w:val="24"/>
        </w:rPr>
      </w:pPr>
    </w:p>
    <w:p w:rsidR="00F465EF" w:rsidRDefault="00926059" w:rsidP="00555FD1">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465EF" w:rsidRPr="001C5779" w:rsidRDefault="00F465EF" w:rsidP="00555FD1">
      <w:pPr>
        <w:spacing w:after="0" w:line="360" w:lineRule="auto"/>
        <w:jc w:val="center"/>
        <w:rPr>
          <w:rFonts w:ascii="Arial" w:hAnsi="Arial" w:cs="Arial"/>
          <w:b/>
          <w:bCs/>
          <w:sz w:val="24"/>
          <w:szCs w:val="24"/>
        </w:rPr>
      </w:pPr>
      <w:r w:rsidRPr="001C5779">
        <w:rPr>
          <w:rFonts w:ascii="Arial" w:hAnsi="Arial" w:cs="Arial"/>
          <w:b/>
          <w:bCs/>
          <w:sz w:val="24"/>
          <w:szCs w:val="24"/>
        </w:rPr>
        <w:t>ORDER</w:t>
      </w:r>
    </w:p>
    <w:p w:rsidR="00F465EF" w:rsidRPr="001C5779" w:rsidRDefault="00926059" w:rsidP="00555FD1">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8B0AFC" w:rsidRPr="001C5779" w:rsidRDefault="008B0AFC" w:rsidP="00555FD1">
      <w:pPr>
        <w:spacing w:after="0" w:line="360" w:lineRule="auto"/>
        <w:jc w:val="both"/>
        <w:rPr>
          <w:rFonts w:ascii="Arial" w:hAnsi="Arial" w:cs="Arial"/>
          <w:sz w:val="24"/>
          <w:szCs w:val="24"/>
        </w:rPr>
      </w:pPr>
    </w:p>
    <w:p w:rsidR="001C5779" w:rsidRPr="001C5779" w:rsidRDefault="001C5779" w:rsidP="00B61412">
      <w:pPr>
        <w:pStyle w:val="BodyText"/>
        <w:widowControl w:val="0"/>
        <w:numPr>
          <w:ilvl w:val="0"/>
          <w:numId w:val="25"/>
        </w:numPr>
        <w:kinsoku w:val="0"/>
        <w:overflowPunct w:val="0"/>
        <w:autoSpaceDE w:val="0"/>
        <w:autoSpaceDN w:val="0"/>
        <w:adjustRightInd w:val="0"/>
        <w:spacing w:line="360" w:lineRule="auto"/>
        <w:ind w:left="426" w:hanging="426"/>
        <w:jc w:val="both"/>
        <w:rPr>
          <w:rFonts w:ascii="Arial" w:hAnsi="Arial" w:cs="Arial"/>
        </w:rPr>
      </w:pPr>
      <w:r w:rsidRPr="001C5779">
        <w:rPr>
          <w:rFonts w:ascii="Arial" w:hAnsi="Arial" w:cs="Arial"/>
        </w:rPr>
        <w:t>The plaintiff and the first defendant concluded the addendum to the Deed of Sale.</w:t>
      </w:r>
    </w:p>
    <w:p w:rsidR="00B61412" w:rsidRDefault="00B61412" w:rsidP="00B61412">
      <w:pPr>
        <w:pStyle w:val="BodyText"/>
        <w:widowControl w:val="0"/>
        <w:kinsoku w:val="0"/>
        <w:overflowPunct w:val="0"/>
        <w:autoSpaceDE w:val="0"/>
        <w:autoSpaceDN w:val="0"/>
        <w:adjustRightInd w:val="0"/>
        <w:spacing w:line="360" w:lineRule="auto"/>
        <w:ind w:left="426" w:hanging="426"/>
        <w:jc w:val="both"/>
        <w:rPr>
          <w:rFonts w:ascii="Arial" w:hAnsi="Arial" w:cs="Arial"/>
        </w:rPr>
      </w:pPr>
    </w:p>
    <w:p w:rsidR="001C5779" w:rsidRPr="001C5779" w:rsidRDefault="001C5779" w:rsidP="00B61412">
      <w:pPr>
        <w:pStyle w:val="BodyText"/>
        <w:widowControl w:val="0"/>
        <w:numPr>
          <w:ilvl w:val="0"/>
          <w:numId w:val="25"/>
        </w:numPr>
        <w:kinsoku w:val="0"/>
        <w:overflowPunct w:val="0"/>
        <w:autoSpaceDE w:val="0"/>
        <w:autoSpaceDN w:val="0"/>
        <w:adjustRightInd w:val="0"/>
        <w:spacing w:line="360" w:lineRule="auto"/>
        <w:ind w:left="426" w:hanging="426"/>
        <w:jc w:val="both"/>
        <w:rPr>
          <w:rFonts w:ascii="Arial" w:hAnsi="Arial" w:cs="Arial"/>
        </w:rPr>
      </w:pPr>
      <w:r w:rsidRPr="001C5779">
        <w:rPr>
          <w:rFonts w:ascii="Arial" w:hAnsi="Arial" w:cs="Arial"/>
        </w:rPr>
        <w:t>The plaintiff is ordered to pay the costs, including the costs consequent upon the amendments.</w:t>
      </w:r>
    </w:p>
    <w:p w:rsidR="00B61412" w:rsidRDefault="00B61412" w:rsidP="00B61412">
      <w:pPr>
        <w:pStyle w:val="BodyText"/>
        <w:widowControl w:val="0"/>
        <w:kinsoku w:val="0"/>
        <w:overflowPunct w:val="0"/>
        <w:autoSpaceDE w:val="0"/>
        <w:autoSpaceDN w:val="0"/>
        <w:adjustRightInd w:val="0"/>
        <w:spacing w:line="360" w:lineRule="auto"/>
        <w:ind w:left="426" w:hanging="426"/>
        <w:jc w:val="both"/>
        <w:rPr>
          <w:rFonts w:ascii="Arial" w:hAnsi="Arial" w:cs="Arial"/>
        </w:rPr>
      </w:pPr>
    </w:p>
    <w:p w:rsidR="00693379" w:rsidRDefault="001C5779" w:rsidP="00B61412">
      <w:pPr>
        <w:pStyle w:val="BodyText"/>
        <w:widowControl w:val="0"/>
        <w:numPr>
          <w:ilvl w:val="0"/>
          <w:numId w:val="25"/>
        </w:numPr>
        <w:kinsoku w:val="0"/>
        <w:overflowPunct w:val="0"/>
        <w:autoSpaceDE w:val="0"/>
        <w:autoSpaceDN w:val="0"/>
        <w:adjustRightInd w:val="0"/>
        <w:spacing w:line="360" w:lineRule="auto"/>
        <w:ind w:left="426" w:hanging="426"/>
        <w:jc w:val="both"/>
        <w:rPr>
          <w:rFonts w:ascii="Arial" w:hAnsi="Arial" w:cs="Arial"/>
        </w:rPr>
      </w:pPr>
      <w:r w:rsidRPr="001C5779">
        <w:rPr>
          <w:rFonts w:ascii="Arial" w:hAnsi="Arial" w:cs="Arial"/>
        </w:rPr>
        <w:t>The costs consequent upon t</w:t>
      </w:r>
      <w:r w:rsidR="00B61412">
        <w:rPr>
          <w:rFonts w:ascii="Arial" w:hAnsi="Arial" w:cs="Arial"/>
        </w:rPr>
        <w:t>he amendments are limited to N$</w:t>
      </w:r>
      <w:r w:rsidRPr="001C5779">
        <w:rPr>
          <w:rFonts w:ascii="Arial" w:hAnsi="Arial" w:cs="Arial"/>
        </w:rPr>
        <w:t>20 000.</w:t>
      </w:r>
    </w:p>
    <w:p w:rsidR="004815D3" w:rsidRPr="001C5779" w:rsidRDefault="004815D3" w:rsidP="00B61412">
      <w:pPr>
        <w:pStyle w:val="BodyText"/>
        <w:widowControl w:val="0"/>
        <w:kinsoku w:val="0"/>
        <w:overflowPunct w:val="0"/>
        <w:autoSpaceDE w:val="0"/>
        <w:autoSpaceDN w:val="0"/>
        <w:adjustRightInd w:val="0"/>
        <w:spacing w:line="360" w:lineRule="auto"/>
        <w:jc w:val="both"/>
        <w:rPr>
          <w:rFonts w:ascii="Arial" w:hAnsi="Arial" w:cs="Arial"/>
        </w:rPr>
      </w:pPr>
    </w:p>
    <w:p w:rsidR="00F465EF" w:rsidRPr="001C5779" w:rsidRDefault="00926059" w:rsidP="00555FD1">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Pr="001C5779" w:rsidRDefault="00F465EF" w:rsidP="00555FD1">
      <w:pPr>
        <w:spacing w:after="0" w:line="360" w:lineRule="auto"/>
        <w:jc w:val="center"/>
        <w:rPr>
          <w:rFonts w:ascii="Arial" w:hAnsi="Arial" w:cs="Arial"/>
          <w:b/>
          <w:sz w:val="24"/>
          <w:szCs w:val="24"/>
        </w:rPr>
      </w:pPr>
      <w:r w:rsidRPr="001C5779">
        <w:rPr>
          <w:rFonts w:ascii="Arial" w:hAnsi="Arial" w:cs="Arial"/>
          <w:b/>
          <w:sz w:val="24"/>
          <w:szCs w:val="24"/>
        </w:rPr>
        <w:t>JUDGMENT</w:t>
      </w:r>
    </w:p>
    <w:p w:rsidR="00F465EF" w:rsidRPr="001C5779" w:rsidRDefault="00926059" w:rsidP="00555FD1">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B55909" w:rsidRDefault="00B55909" w:rsidP="00555FD1">
      <w:pPr>
        <w:spacing w:after="0" w:line="360" w:lineRule="auto"/>
        <w:jc w:val="both"/>
        <w:rPr>
          <w:rFonts w:ascii="Arial" w:hAnsi="Arial" w:cs="Arial"/>
          <w:sz w:val="24"/>
          <w:szCs w:val="24"/>
        </w:rPr>
      </w:pPr>
    </w:p>
    <w:p w:rsidR="00F465EF" w:rsidRPr="00B61412" w:rsidRDefault="005C4CF1" w:rsidP="00555FD1">
      <w:pPr>
        <w:spacing w:after="0" w:line="360" w:lineRule="auto"/>
        <w:jc w:val="both"/>
        <w:rPr>
          <w:rFonts w:ascii="Arial" w:hAnsi="Arial" w:cs="Arial"/>
          <w:sz w:val="24"/>
          <w:szCs w:val="24"/>
        </w:rPr>
      </w:pPr>
      <w:r w:rsidRPr="00B61412">
        <w:rPr>
          <w:rFonts w:ascii="Arial" w:hAnsi="Arial" w:cs="Arial"/>
          <w:sz w:val="24"/>
          <w:szCs w:val="24"/>
        </w:rPr>
        <w:t>MILLER</w:t>
      </w:r>
      <w:r w:rsidR="004716AE" w:rsidRPr="00B61412">
        <w:rPr>
          <w:rFonts w:ascii="Arial" w:hAnsi="Arial" w:cs="Arial"/>
          <w:sz w:val="24"/>
          <w:szCs w:val="24"/>
        </w:rPr>
        <w:t xml:space="preserve"> AJ</w:t>
      </w:r>
      <w:r w:rsidR="007A0EC5" w:rsidRPr="00B61412">
        <w:rPr>
          <w:rFonts w:ascii="Arial" w:hAnsi="Arial" w:cs="Arial"/>
          <w:sz w:val="24"/>
          <w:szCs w:val="24"/>
        </w:rPr>
        <w:t>:</w:t>
      </w:r>
    </w:p>
    <w:p w:rsidR="00C6699A" w:rsidRDefault="00C6699A" w:rsidP="00555FD1">
      <w:pPr>
        <w:spacing w:after="0" w:line="360" w:lineRule="auto"/>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 xml:space="preserve">This dispute is about a certain piece of land, owned by the plaintiff and occupied by the first defendant. The plaintiff seeks the eviction of the defendants from the land. The defendants resist the claim and allege that they are in fact entitled to </w:t>
      </w:r>
      <w:r w:rsidR="00505CF8">
        <w:rPr>
          <w:rFonts w:ascii="Arial" w:hAnsi="Arial" w:cs="Arial"/>
          <w:sz w:val="24"/>
          <w:szCs w:val="24"/>
        </w:rPr>
        <w:t xml:space="preserve">lawfully </w:t>
      </w:r>
      <w:r w:rsidRPr="00634DF4">
        <w:rPr>
          <w:rFonts w:ascii="Arial" w:hAnsi="Arial" w:cs="Arial"/>
          <w:sz w:val="24"/>
          <w:szCs w:val="24"/>
        </w:rPr>
        <w:t>occupy the land.</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Before I get to the resolution of the dispute, it is necessary to clarify an issue that arose when the land was transferred unto the name of the plaintiff some years ago. When the land was transferred to the plaintiff, the relevant tit</w:t>
      </w:r>
      <w:r w:rsidR="0048026C">
        <w:rPr>
          <w:rFonts w:ascii="Arial" w:hAnsi="Arial" w:cs="Arial"/>
          <w:sz w:val="24"/>
          <w:szCs w:val="24"/>
        </w:rPr>
        <w:t>le</w:t>
      </w:r>
      <w:r w:rsidRPr="00634DF4">
        <w:rPr>
          <w:rFonts w:ascii="Arial" w:hAnsi="Arial" w:cs="Arial"/>
          <w:sz w:val="24"/>
          <w:szCs w:val="24"/>
        </w:rPr>
        <w:t xml:space="preserve"> deed errone</w:t>
      </w:r>
      <w:r w:rsidR="0048026C">
        <w:rPr>
          <w:rFonts w:ascii="Arial" w:hAnsi="Arial" w:cs="Arial"/>
          <w:sz w:val="24"/>
          <w:szCs w:val="24"/>
        </w:rPr>
        <w:t>ously described the land as ‘P</w:t>
      </w:r>
      <w:r w:rsidR="004815D3">
        <w:rPr>
          <w:rFonts w:ascii="Arial" w:hAnsi="Arial" w:cs="Arial"/>
          <w:sz w:val="24"/>
          <w:szCs w:val="24"/>
        </w:rPr>
        <w:t>ortion</w:t>
      </w:r>
      <w:r w:rsidRPr="00634DF4">
        <w:rPr>
          <w:rFonts w:ascii="Arial" w:hAnsi="Arial" w:cs="Arial"/>
          <w:sz w:val="24"/>
          <w:szCs w:val="24"/>
        </w:rPr>
        <w:t xml:space="preserve"> 27 of </w:t>
      </w:r>
      <w:r w:rsidR="004815D3">
        <w:rPr>
          <w:rFonts w:ascii="Arial" w:hAnsi="Arial" w:cs="Arial"/>
          <w:sz w:val="24"/>
          <w:szCs w:val="24"/>
        </w:rPr>
        <w:t>portion 26 of F</w:t>
      </w:r>
      <w:r w:rsidR="006508E0">
        <w:rPr>
          <w:rFonts w:ascii="Arial" w:hAnsi="Arial" w:cs="Arial"/>
          <w:sz w:val="24"/>
          <w:szCs w:val="24"/>
        </w:rPr>
        <w:t xml:space="preserve">arm </w:t>
      </w:r>
      <w:proofErr w:type="spellStart"/>
      <w:r w:rsidR="006508E0">
        <w:rPr>
          <w:rFonts w:ascii="Arial" w:hAnsi="Arial" w:cs="Arial"/>
          <w:sz w:val="24"/>
          <w:szCs w:val="24"/>
        </w:rPr>
        <w:t>Dord</w:t>
      </w:r>
      <w:r w:rsidR="004815D3">
        <w:rPr>
          <w:rFonts w:ascii="Arial" w:hAnsi="Arial" w:cs="Arial"/>
          <w:sz w:val="24"/>
          <w:szCs w:val="24"/>
        </w:rPr>
        <w:t>abis</w:t>
      </w:r>
      <w:proofErr w:type="spellEnd"/>
      <w:r w:rsidR="004815D3">
        <w:rPr>
          <w:rFonts w:ascii="Arial" w:hAnsi="Arial" w:cs="Arial"/>
          <w:sz w:val="24"/>
          <w:szCs w:val="24"/>
        </w:rPr>
        <w:t xml:space="preserve"> No</w:t>
      </w:r>
      <w:r w:rsidR="000B5EA1">
        <w:rPr>
          <w:rFonts w:ascii="Arial" w:hAnsi="Arial" w:cs="Arial"/>
          <w:sz w:val="24"/>
          <w:szCs w:val="24"/>
        </w:rPr>
        <w:t>.</w:t>
      </w:r>
      <w:r w:rsidRPr="00634DF4">
        <w:rPr>
          <w:rFonts w:ascii="Arial" w:hAnsi="Arial" w:cs="Arial"/>
          <w:sz w:val="24"/>
          <w:szCs w:val="24"/>
        </w:rPr>
        <w:t xml:space="preserve"> 98, </w:t>
      </w:r>
      <w:proofErr w:type="spellStart"/>
      <w:r w:rsidRPr="00634DF4">
        <w:rPr>
          <w:rFonts w:ascii="Arial" w:hAnsi="Arial" w:cs="Arial"/>
          <w:sz w:val="24"/>
          <w:szCs w:val="24"/>
        </w:rPr>
        <w:t>Khomas</w:t>
      </w:r>
      <w:proofErr w:type="spellEnd"/>
      <w:r w:rsidRPr="00634DF4">
        <w:rPr>
          <w:rFonts w:ascii="Arial" w:hAnsi="Arial" w:cs="Arial"/>
          <w:sz w:val="24"/>
          <w:szCs w:val="24"/>
        </w:rPr>
        <w:t xml:space="preserve"> Region, Windhoek, </w:t>
      </w:r>
      <w:proofErr w:type="gramStart"/>
      <w:r w:rsidR="0048026C">
        <w:rPr>
          <w:rFonts w:ascii="Arial" w:hAnsi="Arial" w:cs="Arial"/>
          <w:sz w:val="24"/>
          <w:szCs w:val="24"/>
        </w:rPr>
        <w:t>Republic</w:t>
      </w:r>
      <w:proofErr w:type="gramEnd"/>
      <w:r w:rsidR="0048026C">
        <w:rPr>
          <w:rFonts w:ascii="Arial" w:hAnsi="Arial" w:cs="Arial"/>
          <w:sz w:val="24"/>
          <w:szCs w:val="24"/>
        </w:rPr>
        <w:t xml:space="preserve"> of Namibia</w:t>
      </w:r>
      <w:r w:rsidRPr="00634DF4">
        <w:rPr>
          <w:rFonts w:ascii="Arial" w:hAnsi="Arial" w:cs="Arial"/>
          <w:sz w:val="24"/>
          <w:szCs w:val="24"/>
        </w:rPr>
        <w:t>’</w:t>
      </w:r>
      <w:r w:rsidR="0048026C">
        <w:rPr>
          <w:rFonts w:ascii="Arial" w:hAnsi="Arial" w:cs="Arial"/>
          <w:sz w:val="24"/>
          <w:szCs w:val="24"/>
        </w:rPr>
        <w:t>.</w:t>
      </w:r>
      <w:r w:rsidRPr="00634DF4">
        <w:rPr>
          <w:rFonts w:ascii="Arial" w:hAnsi="Arial" w:cs="Arial"/>
          <w:sz w:val="24"/>
          <w:szCs w:val="24"/>
        </w:rPr>
        <w:t xml:space="preserve"> This error, which has since been rectified, filtered through to the agreement concluded or allegedly concluded between the parties,</w:t>
      </w:r>
      <w:r w:rsidR="00505CF8">
        <w:rPr>
          <w:rFonts w:ascii="Arial" w:hAnsi="Arial" w:cs="Arial"/>
          <w:sz w:val="24"/>
          <w:szCs w:val="24"/>
        </w:rPr>
        <w:t xml:space="preserve"> the pleadings and the pre-trial</w:t>
      </w:r>
      <w:r w:rsidRPr="00634DF4">
        <w:rPr>
          <w:rFonts w:ascii="Arial" w:hAnsi="Arial" w:cs="Arial"/>
          <w:sz w:val="24"/>
          <w:szCs w:val="24"/>
        </w:rPr>
        <w:t xml:space="preserve"> order.</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It is now common cause that the title descriptio</w:t>
      </w:r>
      <w:r w:rsidR="000B5EA1">
        <w:rPr>
          <w:rFonts w:ascii="Arial" w:hAnsi="Arial" w:cs="Arial"/>
          <w:sz w:val="24"/>
          <w:szCs w:val="24"/>
        </w:rPr>
        <w:t xml:space="preserve">n of the land is ‘Remainder of Portion 26 of Farm </w:t>
      </w:r>
      <w:proofErr w:type="spellStart"/>
      <w:r w:rsidR="000B5EA1">
        <w:rPr>
          <w:rFonts w:ascii="Arial" w:hAnsi="Arial" w:cs="Arial"/>
          <w:sz w:val="24"/>
          <w:szCs w:val="24"/>
        </w:rPr>
        <w:t>Dordabis</w:t>
      </w:r>
      <w:proofErr w:type="spellEnd"/>
      <w:r w:rsidR="000B5EA1">
        <w:rPr>
          <w:rFonts w:ascii="Arial" w:hAnsi="Arial" w:cs="Arial"/>
          <w:sz w:val="24"/>
          <w:szCs w:val="24"/>
        </w:rPr>
        <w:t xml:space="preserve"> No.</w:t>
      </w:r>
      <w:r w:rsidRPr="00634DF4">
        <w:rPr>
          <w:rFonts w:ascii="Arial" w:hAnsi="Arial" w:cs="Arial"/>
          <w:sz w:val="24"/>
          <w:szCs w:val="24"/>
        </w:rPr>
        <w:t xml:space="preserve"> 98’</w:t>
      </w:r>
      <w:r w:rsidR="0048026C">
        <w:rPr>
          <w:rFonts w:ascii="Arial" w:hAnsi="Arial" w:cs="Arial"/>
          <w:sz w:val="24"/>
          <w:szCs w:val="24"/>
        </w:rPr>
        <w:t>.</w:t>
      </w:r>
      <w:r w:rsidRPr="00634DF4">
        <w:rPr>
          <w:rFonts w:ascii="Arial" w:hAnsi="Arial" w:cs="Arial"/>
          <w:sz w:val="24"/>
          <w:szCs w:val="24"/>
        </w:rPr>
        <w:t xml:space="preserve"> This of course necessitated the required amendments to the documents, the pleadings and the pre-trial order.</w:t>
      </w:r>
    </w:p>
    <w:p w:rsidR="006508E0" w:rsidRDefault="006508E0"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I can now safely accept that the dispute concerns the occupation of that piece of land by the defendants.</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6037DB" w:rsidRPr="00DF0A6B" w:rsidRDefault="001C5779" w:rsidP="00DF0A6B">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 xml:space="preserve">It </w:t>
      </w:r>
      <w:r w:rsidR="00236D95">
        <w:rPr>
          <w:rFonts w:ascii="Arial" w:hAnsi="Arial" w:cs="Arial"/>
          <w:sz w:val="24"/>
          <w:szCs w:val="24"/>
        </w:rPr>
        <w:t>is likewise common cause that in</w:t>
      </w:r>
      <w:r w:rsidRPr="00634DF4">
        <w:rPr>
          <w:rFonts w:ascii="Arial" w:hAnsi="Arial" w:cs="Arial"/>
          <w:sz w:val="24"/>
          <w:szCs w:val="24"/>
        </w:rPr>
        <w:t xml:space="preserve"> </w:t>
      </w:r>
      <w:r w:rsidRPr="00AC005E">
        <w:rPr>
          <w:rFonts w:ascii="Arial" w:hAnsi="Arial" w:cs="Arial"/>
          <w:sz w:val="24"/>
          <w:szCs w:val="24"/>
        </w:rPr>
        <w:t>February 2013</w:t>
      </w:r>
      <w:r w:rsidRPr="00634DF4">
        <w:rPr>
          <w:rFonts w:ascii="Arial" w:hAnsi="Arial" w:cs="Arial"/>
          <w:sz w:val="24"/>
          <w:szCs w:val="24"/>
        </w:rPr>
        <w:t xml:space="preserve"> the plaintiff and the first defendant concluded a Deed of Sale in terms whereof the </w:t>
      </w:r>
      <w:r w:rsidR="002557E5" w:rsidRPr="00634DF4">
        <w:rPr>
          <w:rFonts w:ascii="Arial" w:hAnsi="Arial" w:cs="Arial"/>
          <w:sz w:val="24"/>
          <w:szCs w:val="24"/>
        </w:rPr>
        <w:t>plaintiff</w:t>
      </w:r>
      <w:r w:rsidRPr="00634DF4">
        <w:rPr>
          <w:rFonts w:ascii="Arial" w:hAnsi="Arial" w:cs="Arial"/>
          <w:sz w:val="24"/>
          <w:szCs w:val="24"/>
        </w:rPr>
        <w:t xml:space="preserve"> so</w:t>
      </w:r>
      <w:r w:rsidR="0048026C">
        <w:rPr>
          <w:rFonts w:ascii="Arial" w:hAnsi="Arial" w:cs="Arial"/>
          <w:sz w:val="24"/>
          <w:szCs w:val="24"/>
        </w:rPr>
        <w:t>ld the land for an amount of N$</w:t>
      </w:r>
      <w:r w:rsidRPr="00634DF4">
        <w:rPr>
          <w:rFonts w:ascii="Arial" w:hAnsi="Arial" w:cs="Arial"/>
          <w:sz w:val="24"/>
          <w:szCs w:val="24"/>
        </w:rPr>
        <w:t xml:space="preserve">100 000. The sale was subject to the fulfillment of a number of suspensive conditions. It was agreed that </w:t>
      </w:r>
      <w:r w:rsidR="006508E0">
        <w:rPr>
          <w:rFonts w:ascii="Arial" w:hAnsi="Arial" w:cs="Arial"/>
          <w:sz w:val="24"/>
          <w:szCs w:val="24"/>
        </w:rPr>
        <w:t xml:space="preserve">the </w:t>
      </w:r>
      <w:r w:rsidRPr="00634DF4">
        <w:rPr>
          <w:rFonts w:ascii="Arial" w:hAnsi="Arial" w:cs="Arial"/>
          <w:sz w:val="24"/>
          <w:szCs w:val="24"/>
        </w:rPr>
        <w:t xml:space="preserve">registration of transfer into the name of the first defendant would take place upon the </w:t>
      </w:r>
      <w:r w:rsidR="002557E5" w:rsidRPr="00634DF4">
        <w:rPr>
          <w:rFonts w:ascii="Arial" w:hAnsi="Arial" w:cs="Arial"/>
          <w:sz w:val="24"/>
          <w:szCs w:val="24"/>
        </w:rPr>
        <w:t>fulfillment</w:t>
      </w:r>
      <w:r w:rsidRPr="00634DF4">
        <w:rPr>
          <w:rFonts w:ascii="Arial" w:hAnsi="Arial" w:cs="Arial"/>
          <w:sz w:val="24"/>
          <w:szCs w:val="24"/>
        </w:rPr>
        <w:t xml:space="preserve"> of the suspensive conditions and that the payment of the purchase price would be made upon the registration of the transfer to </w:t>
      </w:r>
      <w:r w:rsidR="0018399F">
        <w:rPr>
          <w:rFonts w:ascii="Arial" w:hAnsi="Arial" w:cs="Arial"/>
          <w:sz w:val="24"/>
          <w:szCs w:val="24"/>
        </w:rPr>
        <w:t>the first defendant. A firm of legal p</w:t>
      </w:r>
      <w:r w:rsidRPr="00634DF4">
        <w:rPr>
          <w:rFonts w:ascii="Arial" w:hAnsi="Arial" w:cs="Arial"/>
          <w:sz w:val="24"/>
          <w:szCs w:val="24"/>
        </w:rPr>
        <w:t xml:space="preserve">ractitioners, </w:t>
      </w:r>
      <w:proofErr w:type="spellStart"/>
      <w:r w:rsidRPr="00634DF4">
        <w:rPr>
          <w:rFonts w:ascii="Arial" w:hAnsi="Arial" w:cs="Arial"/>
          <w:sz w:val="24"/>
          <w:szCs w:val="24"/>
        </w:rPr>
        <w:t>Diekman</w:t>
      </w:r>
      <w:r w:rsidR="008332A7">
        <w:rPr>
          <w:rFonts w:ascii="Arial" w:hAnsi="Arial" w:cs="Arial"/>
          <w:sz w:val="24"/>
          <w:szCs w:val="24"/>
        </w:rPr>
        <w:t>n</w:t>
      </w:r>
      <w:proofErr w:type="spellEnd"/>
      <w:r w:rsidR="00236D95">
        <w:rPr>
          <w:rFonts w:ascii="Arial" w:hAnsi="Arial" w:cs="Arial"/>
          <w:sz w:val="24"/>
          <w:szCs w:val="24"/>
        </w:rPr>
        <w:t xml:space="preserve"> &amp;</w:t>
      </w:r>
      <w:r w:rsidR="008332A7">
        <w:rPr>
          <w:rFonts w:ascii="Arial" w:hAnsi="Arial" w:cs="Arial"/>
          <w:sz w:val="24"/>
          <w:szCs w:val="24"/>
        </w:rPr>
        <w:t xml:space="preserve"> </w:t>
      </w:r>
      <w:r w:rsidRPr="00634DF4">
        <w:rPr>
          <w:rFonts w:ascii="Arial" w:hAnsi="Arial" w:cs="Arial"/>
          <w:sz w:val="24"/>
          <w:szCs w:val="24"/>
        </w:rPr>
        <w:t>Associates was tasked to attend to the anticipated transfer in terms</w:t>
      </w:r>
      <w:r w:rsidR="0018399F">
        <w:rPr>
          <w:rFonts w:ascii="Arial" w:hAnsi="Arial" w:cs="Arial"/>
          <w:sz w:val="24"/>
          <w:szCs w:val="24"/>
        </w:rPr>
        <w:t xml:space="preserve"> of the agreement. A certain </w:t>
      </w:r>
      <w:proofErr w:type="spellStart"/>
      <w:r w:rsidR="0018399F">
        <w:rPr>
          <w:rFonts w:ascii="Arial" w:hAnsi="Arial" w:cs="Arial"/>
          <w:sz w:val="24"/>
          <w:szCs w:val="24"/>
        </w:rPr>
        <w:t>Ms</w:t>
      </w:r>
      <w:proofErr w:type="spellEnd"/>
      <w:r w:rsidRPr="00634DF4">
        <w:rPr>
          <w:rFonts w:ascii="Arial" w:hAnsi="Arial" w:cs="Arial"/>
          <w:sz w:val="24"/>
          <w:szCs w:val="24"/>
        </w:rPr>
        <w:t xml:space="preserve"> Sha</w:t>
      </w:r>
      <w:r w:rsidR="00CA01E4">
        <w:rPr>
          <w:rFonts w:ascii="Arial" w:hAnsi="Arial" w:cs="Arial"/>
          <w:sz w:val="24"/>
          <w:szCs w:val="24"/>
        </w:rPr>
        <w:t>r</w:t>
      </w:r>
      <w:r w:rsidRPr="00634DF4">
        <w:rPr>
          <w:rFonts w:ascii="Arial" w:hAnsi="Arial" w:cs="Arial"/>
          <w:sz w:val="24"/>
          <w:szCs w:val="24"/>
        </w:rPr>
        <w:t>on Janse</w:t>
      </w:r>
      <w:r w:rsidR="0018399F">
        <w:rPr>
          <w:rFonts w:ascii="Arial" w:hAnsi="Arial" w:cs="Arial"/>
          <w:sz w:val="24"/>
          <w:szCs w:val="24"/>
        </w:rPr>
        <w:t>n v</w:t>
      </w:r>
      <w:r w:rsidRPr="00634DF4">
        <w:rPr>
          <w:rFonts w:ascii="Arial" w:hAnsi="Arial" w:cs="Arial"/>
          <w:sz w:val="24"/>
          <w:szCs w:val="24"/>
        </w:rPr>
        <w:t xml:space="preserve">an </w:t>
      </w:r>
      <w:proofErr w:type="spellStart"/>
      <w:r w:rsidRPr="00634DF4">
        <w:rPr>
          <w:rFonts w:ascii="Arial" w:hAnsi="Arial" w:cs="Arial"/>
          <w:sz w:val="24"/>
          <w:szCs w:val="24"/>
        </w:rPr>
        <w:t>Rensburg</w:t>
      </w:r>
      <w:proofErr w:type="spellEnd"/>
      <w:r w:rsidRPr="00634DF4">
        <w:rPr>
          <w:rFonts w:ascii="Arial" w:hAnsi="Arial" w:cs="Arial"/>
          <w:sz w:val="24"/>
          <w:szCs w:val="24"/>
        </w:rPr>
        <w:t xml:space="preserve">, a legal secretary in the employ of </w:t>
      </w:r>
      <w:proofErr w:type="spellStart"/>
      <w:r w:rsidRPr="00634DF4">
        <w:rPr>
          <w:rFonts w:ascii="Arial" w:hAnsi="Arial" w:cs="Arial"/>
          <w:sz w:val="24"/>
          <w:szCs w:val="24"/>
        </w:rPr>
        <w:t>Diekman</w:t>
      </w:r>
      <w:r w:rsidR="008332A7">
        <w:rPr>
          <w:rFonts w:ascii="Arial" w:hAnsi="Arial" w:cs="Arial"/>
          <w:sz w:val="24"/>
          <w:szCs w:val="24"/>
        </w:rPr>
        <w:t>n</w:t>
      </w:r>
      <w:proofErr w:type="spellEnd"/>
      <w:r w:rsidR="008332A7">
        <w:rPr>
          <w:rFonts w:ascii="Arial" w:hAnsi="Arial" w:cs="Arial"/>
          <w:sz w:val="24"/>
          <w:szCs w:val="24"/>
        </w:rPr>
        <w:t xml:space="preserve"> </w:t>
      </w:r>
      <w:r w:rsidR="00236D95">
        <w:rPr>
          <w:rFonts w:ascii="Arial" w:hAnsi="Arial" w:cs="Arial"/>
          <w:sz w:val="24"/>
          <w:szCs w:val="24"/>
        </w:rPr>
        <w:t xml:space="preserve">&amp; </w:t>
      </w:r>
      <w:r w:rsidRPr="00634DF4">
        <w:rPr>
          <w:rFonts w:ascii="Arial" w:hAnsi="Arial" w:cs="Arial"/>
          <w:sz w:val="24"/>
          <w:szCs w:val="24"/>
        </w:rPr>
        <w:t xml:space="preserve">Associates attended to the transaction and the dealings between the parties in </w:t>
      </w:r>
      <w:r w:rsidR="002557E5" w:rsidRPr="00634DF4">
        <w:rPr>
          <w:rFonts w:ascii="Arial" w:hAnsi="Arial" w:cs="Arial"/>
          <w:sz w:val="24"/>
          <w:szCs w:val="24"/>
        </w:rPr>
        <w:t>fulfillment</w:t>
      </w:r>
      <w:r w:rsidRPr="00634DF4">
        <w:rPr>
          <w:rFonts w:ascii="Arial" w:hAnsi="Arial" w:cs="Arial"/>
          <w:sz w:val="24"/>
          <w:szCs w:val="24"/>
        </w:rPr>
        <w:t xml:space="preserve"> of the mandate given to </w:t>
      </w:r>
      <w:proofErr w:type="spellStart"/>
      <w:r w:rsidRPr="00634DF4">
        <w:rPr>
          <w:rFonts w:ascii="Arial" w:hAnsi="Arial" w:cs="Arial"/>
          <w:sz w:val="24"/>
          <w:szCs w:val="24"/>
        </w:rPr>
        <w:t>Diekman</w:t>
      </w:r>
      <w:r w:rsidR="008332A7">
        <w:rPr>
          <w:rFonts w:ascii="Arial" w:hAnsi="Arial" w:cs="Arial"/>
          <w:sz w:val="24"/>
          <w:szCs w:val="24"/>
        </w:rPr>
        <w:t>n</w:t>
      </w:r>
      <w:proofErr w:type="spellEnd"/>
      <w:r w:rsidR="008332A7">
        <w:rPr>
          <w:rFonts w:ascii="Arial" w:hAnsi="Arial" w:cs="Arial"/>
          <w:sz w:val="24"/>
          <w:szCs w:val="24"/>
        </w:rPr>
        <w:t xml:space="preserve"> </w:t>
      </w:r>
      <w:r w:rsidR="00236D95">
        <w:rPr>
          <w:rFonts w:ascii="Arial" w:hAnsi="Arial" w:cs="Arial"/>
          <w:sz w:val="24"/>
          <w:szCs w:val="24"/>
        </w:rPr>
        <w:t xml:space="preserve">&amp; </w:t>
      </w:r>
      <w:r w:rsidRPr="00634DF4">
        <w:rPr>
          <w:rFonts w:ascii="Arial" w:hAnsi="Arial" w:cs="Arial"/>
          <w:sz w:val="24"/>
          <w:szCs w:val="24"/>
        </w:rPr>
        <w:t>Associates.</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 xml:space="preserve">It is the case of the defendant that on </w:t>
      </w:r>
      <w:r w:rsidRPr="00AC005E">
        <w:rPr>
          <w:rFonts w:ascii="Arial" w:hAnsi="Arial" w:cs="Arial"/>
          <w:sz w:val="24"/>
          <w:szCs w:val="24"/>
        </w:rPr>
        <w:t>17 May 201</w:t>
      </w:r>
      <w:r w:rsidRPr="00015A83">
        <w:rPr>
          <w:rFonts w:ascii="Arial" w:hAnsi="Arial" w:cs="Arial"/>
          <w:sz w:val="24"/>
          <w:szCs w:val="24"/>
        </w:rPr>
        <w:t xml:space="preserve">3 </w:t>
      </w:r>
      <w:r w:rsidRPr="00634DF4">
        <w:rPr>
          <w:rFonts w:ascii="Arial" w:hAnsi="Arial" w:cs="Arial"/>
          <w:sz w:val="24"/>
          <w:szCs w:val="24"/>
        </w:rPr>
        <w:t xml:space="preserve">the parties concluded a further agreement as an addendum to the original agreement. The main difference between the original agreement and the addendum concerned the payment of the purchase </w:t>
      </w:r>
      <w:r w:rsidR="0018399F">
        <w:rPr>
          <w:rFonts w:ascii="Arial" w:hAnsi="Arial" w:cs="Arial"/>
          <w:sz w:val="24"/>
          <w:szCs w:val="24"/>
        </w:rPr>
        <w:t>price. The purchase price of N$</w:t>
      </w:r>
      <w:r w:rsidRPr="00634DF4">
        <w:rPr>
          <w:rFonts w:ascii="Arial" w:hAnsi="Arial" w:cs="Arial"/>
          <w:sz w:val="24"/>
          <w:szCs w:val="24"/>
        </w:rPr>
        <w:t xml:space="preserve">100 000 in terms of the addendum became payable upon signature of the agreement, and </w:t>
      </w:r>
      <w:r w:rsidR="00505CF8">
        <w:rPr>
          <w:rFonts w:ascii="Arial" w:hAnsi="Arial" w:cs="Arial"/>
          <w:sz w:val="24"/>
          <w:szCs w:val="24"/>
        </w:rPr>
        <w:t xml:space="preserve">not </w:t>
      </w:r>
      <w:r w:rsidRPr="00634DF4">
        <w:rPr>
          <w:rFonts w:ascii="Arial" w:hAnsi="Arial" w:cs="Arial"/>
          <w:sz w:val="24"/>
          <w:szCs w:val="24"/>
        </w:rPr>
        <w:t>upon registration of the transfer as originally foreshadowed in the original agreement. It is common cause that the purchase price was indeed</w:t>
      </w:r>
      <w:r w:rsidR="006466C5">
        <w:rPr>
          <w:rFonts w:ascii="Arial" w:hAnsi="Arial" w:cs="Arial"/>
          <w:sz w:val="24"/>
          <w:szCs w:val="24"/>
        </w:rPr>
        <w:t xml:space="preserve"> paid; a </w:t>
      </w:r>
      <w:proofErr w:type="spellStart"/>
      <w:r w:rsidR="006466C5">
        <w:rPr>
          <w:rFonts w:ascii="Arial" w:hAnsi="Arial" w:cs="Arial"/>
          <w:sz w:val="24"/>
          <w:szCs w:val="24"/>
        </w:rPr>
        <w:t>cheque</w:t>
      </w:r>
      <w:proofErr w:type="spellEnd"/>
      <w:r w:rsidR="006466C5">
        <w:rPr>
          <w:rFonts w:ascii="Arial" w:hAnsi="Arial" w:cs="Arial"/>
          <w:sz w:val="24"/>
          <w:szCs w:val="24"/>
        </w:rPr>
        <w:t xml:space="preserve"> for</w:t>
      </w:r>
      <w:r w:rsidR="00555FD1">
        <w:rPr>
          <w:rFonts w:ascii="Arial" w:hAnsi="Arial" w:cs="Arial"/>
          <w:sz w:val="24"/>
          <w:szCs w:val="24"/>
        </w:rPr>
        <w:t xml:space="preserve"> that</w:t>
      </w:r>
      <w:r w:rsidRPr="00634DF4">
        <w:rPr>
          <w:rFonts w:ascii="Arial" w:hAnsi="Arial" w:cs="Arial"/>
          <w:sz w:val="24"/>
          <w:szCs w:val="24"/>
        </w:rPr>
        <w:t xml:space="preserve"> amount was received by the plaintiff and banked by he</w:t>
      </w:r>
      <w:r w:rsidR="002557E5" w:rsidRPr="00634DF4">
        <w:rPr>
          <w:rFonts w:ascii="Arial" w:hAnsi="Arial" w:cs="Arial"/>
          <w:sz w:val="24"/>
          <w:szCs w:val="24"/>
        </w:rPr>
        <w:t>r</w:t>
      </w:r>
      <w:r w:rsidR="0018399F">
        <w:rPr>
          <w:rFonts w:ascii="Arial" w:hAnsi="Arial" w:cs="Arial"/>
          <w:sz w:val="24"/>
          <w:szCs w:val="24"/>
        </w:rPr>
        <w:t xml:space="preserve"> into her bank account.</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The plaintiff denies th</w:t>
      </w:r>
      <w:r w:rsidR="006508E0">
        <w:rPr>
          <w:rFonts w:ascii="Arial" w:hAnsi="Arial" w:cs="Arial"/>
          <w:sz w:val="24"/>
          <w:szCs w:val="24"/>
        </w:rPr>
        <w:t>at she signed the addendum and s</w:t>
      </w:r>
      <w:r w:rsidRPr="00634DF4">
        <w:rPr>
          <w:rFonts w:ascii="Arial" w:hAnsi="Arial" w:cs="Arial"/>
          <w:sz w:val="24"/>
          <w:szCs w:val="24"/>
        </w:rPr>
        <w:t>tates that she first came to learn of it after the present litigation had commenced.</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lastRenderedPageBreak/>
        <w:t>The defendant clearly bears the onus to prove that the parties concluded the addendum. During the course of the hearing, I was requested to determine only that issue, and I will do so.</w:t>
      </w:r>
    </w:p>
    <w:p w:rsidR="009F782E" w:rsidRDefault="009F782E" w:rsidP="00555FD1">
      <w:pPr>
        <w:pStyle w:val="ListParagraph"/>
        <w:tabs>
          <w:tab w:val="left" w:pos="851"/>
        </w:tabs>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spacing w:after="0" w:line="360" w:lineRule="auto"/>
        <w:ind w:left="0" w:hanging="11"/>
        <w:jc w:val="both"/>
        <w:rPr>
          <w:rFonts w:ascii="Arial" w:hAnsi="Arial" w:cs="Arial"/>
          <w:sz w:val="24"/>
          <w:szCs w:val="24"/>
        </w:rPr>
      </w:pPr>
      <w:r w:rsidRPr="00634DF4">
        <w:rPr>
          <w:rFonts w:ascii="Arial" w:hAnsi="Arial" w:cs="Arial"/>
          <w:sz w:val="24"/>
          <w:szCs w:val="24"/>
        </w:rPr>
        <w:t xml:space="preserve">I heard the evidence of the plaintiff and </w:t>
      </w:r>
      <w:proofErr w:type="spellStart"/>
      <w:r w:rsidRPr="00634DF4">
        <w:rPr>
          <w:rFonts w:ascii="Arial" w:hAnsi="Arial" w:cs="Arial"/>
          <w:sz w:val="24"/>
          <w:szCs w:val="24"/>
        </w:rPr>
        <w:t>Ms</w:t>
      </w:r>
      <w:proofErr w:type="spellEnd"/>
      <w:r w:rsidR="00CA01E4">
        <w:rPr>
          <w:rFonts w:ascii="Arial" w:hAnsi="Arial" w:cs="Arial"/>
          <w:sz w:val="24"/>
          <w:szCs w:val="24"/>
        </w:rPr>
        <w:t xml:space="preserve"> Sharon</w:t>
      </w:r>
      <w:r w:rsidRPr="00634DF4">
        <w:rPr>
          <w:rFonts w:ascii="Arial" w:hAnsi="Arial" w:cs="Arial"/>
          <w:sz w:val="24"/>
          <w:szCs w:val="24"/>
        </w:rPr>
        <w:t xml:space="preserve"> Janse</w:t>
      </w:r>
      <w:r w:rsidR="005E102B">
        <w:rPr>
          <w:rFonts w:ascii="Arial" w:hAnsi="Arial" w:cs="Arial"/>
          <w:sz w:val="24"/>
          <w:szCs w:val="24"/>
        </w:rPr>
        <w:t>n v</w:t>
      </w:r>
      <w:r w:rsidRPr="00634DF4">
        <w:rPr>
          <w:rFonts w:ascii="Arial" w:hAnsi="Arial" w:cs="Arial"/>
          <w:sz w:val="24"/>
          <w:szCs w:val="24"/>
        </w:rPr>
        <w:t xml:space="preserve">an </w:t>
      </w:r>
      <w:proofErr w:type="spellStart"/>
      <w:r w:rsidRPr="00634DF4">
        <w:rPr>
          <w:rFonts w:ascii="Arial" w:hAnsi="Arial" w:cs="Arial"/>
          <w:sz w:val="24"/>
          <w:szCs w:val="24"/>
        </w:rPr>
        <w:t>Rensburg</w:t>
      </w:r>
      <w:proofErr w:type="spellEnd"/>
      <w:r w:rsidRPr="00634DF4">
        <w:rPr>
          <w:rFonts w:ascii="Arial" w:hAnsi="Arial" w:cs="Arial"/>
          <w:sz w:val="24"/>
          <w:szCs w:val="24"/>
        </w:rPr>
        <w:t xml:space="preserve">. They were the only witnesses and to an extent they present conflicting versions as to the issue. Whilst the plaintiff denies any knowledge of the addendum or that she has signed it, the evidence of </w:t>
      </w:r>
      <w:proofErr w:type="spellStart"/>
      <w:r w:rsidRPr="00634DF4">
        <w:rPr>
          <w:rFonts w:ascii="Arial" w:hAnsi="Arial" w:cs="Arial"/>
          <w:sz w:val="24"/>
          <w:szCs w:val="24"/>
        </w:rPr>
        <w:t>Ms</w:t>
      </w:r>
      <w:proofErr w:type="spellEnd"/>
      <w:r w:rsidR="005E102B">
        <w:rPr>
          <w:rFonts w:ascii="Arial" w:hAnsi="Arial" w:cs="Arial"/>
          <w:sz w:val="24"/>
          <w:szCs w:val="24"/>
        </w:rPr>
        <w:t xml:space="preserve"> Sharon Jansen v</w:t>
      </w:r>
      <w:r w:rsidR="00CA01E4">
        <w:rPr>
          <w:rFonts w:ascii="Arial" w:hAnsi="Arial" w:cs="Arial"/>
          <w:sz w:val="24"/>
          <w:szCs w:val="24"/>
        </w:rPr>
        <w:t xml:space="preserve">an </w:t>
      </w:r>
      <w:proofErr w:type="spellStart"/>
      <w:r w:rsidR="00CA01E4">
        <w:rPr>
          <w:rFonts w:ascii="Arial" w:hAnsi="Arial" w:cs="Arial"/>
          <w:sz w:val="24"/>
          <w:szCs w:val="24"/>
        </w:rPr>
        <w:t>Rensburg</w:t>
      </w:r>
      <w:proofErr w:type="spellEnd"/>
      <w:r w:rsidR="00CA01E4">
        <w:rPr>
          <w:rFonts w:ascii="Arial" w:hAnsi="Arial" w:cs="Arial"/>
          <w:sz w:val="24"/>
          <w:szCs w:val="24"/>
        </w:rPr>
        <w:t xml:space="preserve"> is that </w:t>
      </w:r>
      <w:proofErr w:type="spellStart"/>
      <w:r w:rsidR="00CA01E4">
        <w:rPr>
          <w:rFonts w:ascii="Arial" w:hAnsi="Arial" w:cs="Arial"/>
          <w:sz w:val="24"/>
          <w:szCs w:val="24"/>
        </w:rPr>
        <w:t>Diekmann</w:t>
      </w:r>
      <w:proofErr w:type="spellEnd"/>
      <w:r w:rsidR="00CA01E4">
        <w:rPr>
          <w:rFonts w:ascii="Arial" w:hAnsi="Arial" w:cs="Arial"/>
          <w:sz w:val="24"/>
          <w:szCs w:val="24"/>
        </w:rPr>
        <w:t xml:space="preserve"> </w:t>
      </w:r>
      <w:r w:rsidR="00236D95">
        <w:rPr>
          <w:rFonts w:ascii="Arial" w:hAnsi="Arial" w:cs="Arial"/>
          <w:sz w:val="24"/>
          <w:szCs w:val="24"/>
        </w:rPr>
        <w:t xml:space="preserve">&amp; </w:t>
      </w:r>
      <w:r w:rsidRPr="00634DF4">
        <w:rPr>
          <w:rFonts w:ascii="Arial" w:hAnsi="Arial" w:cs="Arial"/>
          <w:sz w:val="24"/>
          <w:szCs w:val="24"/>
        </w:rPr>
        <w:t>Associates received instruction to prepare the addendum. Having done so, she forwarded the draft to the parties and made a contemporaneous note on the file that she had forwarded the draft to the plaintiff by email. She recalls receiving the purchase price</w:t>
      </w:r>
      <w:r w:rsidR="00505CF8">
        <w:rPr>
          <w:rFonts w:ascii="Arial" w:hAnsi="Arial" w:cs="Arial"/>
          <w:sz w:val="24"/>
          <w:szCs w:val="24"/>
        </w:rPr>
        <w:t xml:space="preserve"> and handing a</w:t>
      </w:r>
      <w:r w:rsidRPr="00634DF4">
        <w:rPr>
          <w:rFonts w:ascii="Arial" w:hAnsi="Arial" w:cs="Arial"/>
          <w:sz w:val="24"/>
          <w:szCs w:val="24"/>
        </w:rPr>
        <w:t xml:space="preserve"> </w:t>
      </w:r>
      <w:proofErr w:type="spellStart"/>
      <w:r w:rsidRPr="00634DF4">
        <w:rPr>
          <w:rFonts w:ascii="Arial" w:hAnsi="Arial" w:cs="Arial"/>
          <w:sz w:val="24"/>
          <w:szCs w:val="24"/>
        </w:rPr>
        <w:t>cheque</w:t>
      </w:r>
      <w:proofErr w:type="spellEnd"/>
      <w:r w:rsidRPr="00634DF4">
        <w:rPr>
          <w:rFonts w:ascii="Arial" w:hAnsi="Arial" w:cs="Arial"/>
          <w:sz w:val="24"/>
          <w:szCs w:val="24"/>
        </w:rPr>
        <w:t xml:space="preserve"> to either the plaintiff or somebody associated with the plaintiff</w:t>
      </w:r>
      <w:r w:rsidR="000B5EA1">
        <w:rPr>
          <w:rFonts w:ascii="Arial" w:hAnsi="Arial" w:cs="Arial"/>
          <w:sz w:val="24"/>
          <w:szCs w:val="24"/>
        </w:rPr>
        <w:t>,</w:t>
      </w:r>
      <w:r w:rsidRPr="00634DF4">
        <w:rPr>
          <w:rFonts w:ascii="Arial" w:hAnsi="Arial" w:cs="Arial"/>
          <w:sz w:val="24"/>
          <w:szCs w:val="24"/>
        </w:rPr>
        <w:t xml:space="preserve"> subsequent to the addendum being signed. It is apparent from the evidence of </w:t>
      </w:r>
      <w:proofErr w:type="spellStart"/>
      <w:r w:rsidRPr="00634DF4">
        <w:rPr>
          <w:rFonts w:ascii="Arial" w:hAnsi="Arial" w:cs="Arial"/>
          <w:sz w:val="24"/>
          <w:szCs w:val="24"/>
        </w:rPr>
        <w:t>Ms</w:t>
      </w:r>
      <w:proofErr w:type="spellEnd"/>
      <w:r w:rsidR="00CA01E4">
        <w:rPr>
          <w:rFonts w:ascii="Arial" w:hAnsi="Arial" w:cs="Arial"/>
          <w:sz w:val="24"/>
          <w:szCs w:val="24"/>
        </w:rPr>
        <w:t xml:space="preserve"> Sharon</w:t>
      </w:r>
      <w:r w:rsidRPr="00634DF4">
        <w:rPr>
          <w:rFonts w:ascii="Arial" w:hAnsi="Arial" w:cs="Arial"/>
          <w:sz w:val="24"/>
          <w:szCs w:val="24"/>
        </w:rPr>
        <w:t xml:space="preserve"> Janse</w:t>
      </w:r>
      <w:r w:rsidR="00BD76BC">
        <w:rPr>
          <w:rFonts w:ascii="Arial" w:hAnsi="Arial" w:cs="Arial"/>
          <w:sz w:val="24"/>
          <w:szCs w:val="24"/>
        </w:rPr>
        <w:t>n v</w:t>
      </w:r>
      <w:r w:rsidRPr="00634DF4">
        <w:rPr>
          <w:rFonts w:ascii="Arial" w:hAnsi="Arial" w:cs="Arial"/>
          <w:sz w:val="24"/>
          <w:szCs w:val="24"/>
        </w:rPr>
        <w:t xml:space="preserve">an </w:t>
      </w:r>
      <w:proofErr w:type="spellStart"/>
      <w:r w:rsidRPr="00634DF4">
        <w:rPr>
          <w:rFonts w:ascii="Arial" w:hAnsi="Arial" w:cs="Arial"/>
          <w:sz w:val="24"/>
          <w:szCs w:val="24"/>
        </w:rPr>
        <w:t>Rensburg</w:t>
      </w:r>
      <w:proofErr w:type="spellEnd"/>
      <w:r w:rsidRPr="00634DF4">
        <w:rPr>
          <w:rFonts w:ascii="Arial" w:hAnsi="Arial" w:cs="Arial"/>
          <w:sz w:val="24"/>
          <w:szCs w:val="24"/>
        </w:rPr>
        <w:t xml:space="preserve"> that she had assumed that the addendum had been signed by both parties, following which she proceeded in terms of the agreement. She cannot </w:t>
      </w:r>
      <w:r w:rsidR="002557E5" w:rsidRPr="00634DF4">
        <w:rPr>
          <w:rFonts w:ascii="Arial" w:hAnsi="Arial" w:cs="Arial"/>
          <w:sz w:val="24"/>
          <w:szCs w:val="24"/>
        </w:rPr>
        <w:t>definitely</w:t>
      </w:r>
      <w:r w:rsidRPr="00634DF4">
        <w:rPr>
          <w:rFonts w:ascii="Arial" w:hAnsi="Arial" w:cs="Arial"/>
          <w:sz w:val="24"/>
          <w:szCs w:val="24"/>
        </w:rPr>
        <w:t xml:space="preserve"> admit or deny the version of the plaintiff as to her signing or not signing the agreement but the totality of the evidence points to that being the case.</w:t>
      </w:r>
    </w:p>
    <w:p w:rsidR="006037DB" w:rsidRDefault="006037DB" w:rsidP="00555FD1">
      <w:pPr>
        <w:pStyle w:val="ListParagraph"/>
        <w:tabs>
          <w:tab w:val="left" w:pos="851"/>
        </w:tabs>
        <w:spacing w:after="0" w:line="360" w:lineRule="auto"/>
        <w:ind w:left="0"/>
        <w:jc w:val="both"/>
        <w:rPr>
          <w:rFonts w:ascii="Arial" w:hAnsi="Arial" w:cs="Arial"/>
          <w:sz w:val="24"/>
          <w:szCs w:val="24"/>
        </w:rPr>
      </w:pPr>
    </w:p>
    <w:p w:rsidR="001C5779" w:rsidRDefault="001C5779" w:rsidP="00555FD1">
      <w:pPr>
        <w:pStyle w:val="ListParagraph"/>
        <w:numPr>
          <w:ilvl w:val="0"/>
          <w:numId w:val="22"/>
        </w:numPr>
        <w:tabs>
          <w:tab w:val="left" w:pos="851"/>
        </w:tabs>
        <w:spacing w:after="0" w:line="360" w:lineRule="auto"/>
        <w:ind w:left="0" w:hanging="11"/>
        <w:jc w:val="both"/>
        <w:rPr>
          <w:rStyle w:val="st"/>
          <w:rFonts w:ascii="Arial" w:hAnsi="Arial" w:cs="Arial"/>
          <w:sz w:val="24"/>
          <w:szCs w:val="24"/>
        </w:rPr>
      </w:pPr>
      <w:r w:rsidRPr="00634DF4">
        <w:rPr>
          <w:rFonts w:ascii="Arial" w:hAnsi="Arial" w:cs="Arial"/>
          <w:sz w:val="24"/>
          <w:szCs w:val="24"/>
        </w:rPr>
        <w:t>The approach to resolving issues of fact when there are mutually destructive versions was dealt w</w:t>
      </w:r>
      <w:r w:rsidR="00505CF8">
        <w:rPr>
          <w:rFonts w:ascii="Arial" w:hAnsi="Arial" w:cs="Arial"/>
          <w:sz w:val="24"/>
          <w:szCs w:val="24"/>
        </w:rPr>
        <w:t>ith by the Namibian Court</w:t>
      </w:r>
      <w:r w:rsidR="000B5EA1">
        <w:rPr>
          <w:rFonts w:ascii="Arial" w:hAnsi="Arial" w:cs="Arial"/>
          <w:sz w:val="24"/>
          <w:szCs w:val="24"/>
        </w:rPr>
        <w:t>s</w:t>
      </w:r>
      <w:r w:rsidR="00505CF8">
        <w:rPr>
          <w:rFonts w:ascii="Arial" w:hAnsi="Arial" w:cs="Arial"/>
          <w:sz w:val="24"/>
          <w:szCs w:val="24"/>
        </w:rPr>
        <w:t xml:space="preserve"> in ado</w:t>
      </w:r>
      <w:r w:rsidRPr="00634DF4">
        <w:rPr>
          <w:rFonts w:ascii="Arial" w:hAnsi="Arial" w:cs="Arial"/>
          <w:sz w:val="24"/>
          <w:szCs w:val="24"/>
        </w:rPr>
        <w:t xml:space="preserve">pting the approach formulated in </w:t>
      </w:r>
      <w:r w:rsidRPr="00634DF4">
        <w:rPr>
          <w:rStyle w:val="Emphasis"/>
          <w:rFonts w:ascii="Arial" w:hAnsi="Arial" w:cs="Arial"/>
          <w:sz w:val="24"/>
          <w:szCs w:val="24"/>
        </w:rPr>
        <w:t>Stellenbosch Farmers</w:t>
      </w:r>
      <w:r w:rsidRPr="00634DF4">
        <w:rPr>
          <w:rStyle w:val="st"/>
          <w:rFonts w:ascii="Arial" w:hAnsi="Arial" w:cs="Arial"/>
          <w:sz w:val="24"/>
          <w:szCs w:val="24"/>
        </w:rPr>
        <w:t xml:space="preserve">' </w:t>
      </w:r>
      <w:r w:rsidRPr="00634DF4">
        <w:rPr>
          <w:rStyle w:val="Emphasis"/>
          <w:rFonts w:ascii="Arial" w:hAnsi="Arial" w:cs="Arial"/>
          <w:sz w:val="24"/>
          <w:szCs w:val="24"/>
        </w:rPr>
        <w:t>Winery Group Ltd v</w:t>
      </w:r>
      <w:r w:rsidRPr="00634DF4">
        <w:rPr>
          <w:rStyle w:val="st"/>
          <w:rFonts w:ascii="Arial" w:hAnsi="Arial" w:cs="Arial"/>
          <w:sz w:val="24"/>
          <w:szCs w:val="24"/>
        </w:rPr>
        <w:t xml:space="preserve"> </w:t>
      </w:r>
      <w:r w:rsidRPr="00BD76BC">
        <w:rPr>
          <w:rStyle w:val="st"/>
          <w:rFonts w:ascii="Arial" w:hAnsi="Arial" w:cs="Arial"/>
          <w:i/>
          <w:sz w:val="24"/>
          <w:szCs w:val="24"/>
        </w:rPr>
        <w:t xml:space="preserve">Martel </w:t>
      </w:r>
      <w:proofErr w:type="gramStart"/>
      <w:r w:rsidRPr="00BD76BC">
        <w:rPr>
          <w:rStyle w:val="Emphasis"/>
          <w:rFonts w:ascii="Arial" w:hAnsi="Arial" w:cs="Arial"/>
          <w:sz w:val="24"/>
          <w:szCs w:val="24"/>
        </w:rPr>
        <w:t>et</w:t>
      </w:r>
      <w:proofErr w:type="gramEnd"/>
      <w:r w:rsidRPr="00BD76BC">
        <w:rPr>
          <w:rStyle w:val="st"/>
          <w:rFonts w:ascii="Arial" w:hAnsi="Arial" w:cs="Arial"/>
          <w:i/>
          <w:sz w:val="24"/>
          <w:szCs w:val="24"/>
        </w:rPr>
        <w:t xml:space="preserve"> </w:t>
      </w:r>
      <w:proofErr w:type="spellStart"/>
      <w:r w:rsidRPr="00BD76BC">
        <w:rPr>
          <w:rStyle w:val="st"/>
          <w:rFonts w:ascii="Arial" w:hAnsi="Arial" w:cs="Arial"/>
          <w:i/>
          <w:sz w:val="24"/>
          <w:szCs w:val="24"/>
        </w:rPr>
        <w:t>Cie</w:t>
      </w:r>
      <w:proofErr w:type="spellEnd"/>
      <w:r w:rsidRPr="00BD76BC">
        <w:rPr>
          <w:rStyle w:val="st"/>
          <w:rFonts w:ascii="Arial" w:hAnsi="Arial" w:cs="Arial"/>
          <w:i/>
          <w:sz w:val="24"/>
          <w:szCs w:val="24"/>
        </w:rPr>
        <w:t xml:space="preserve"> &amp; Others</w:t>
      </w:r>
      <w:r w:rsidR="00C657D4">
        <w:rPr>
          <w:rStyle w:val="st"/>
          <w:rFonts w:ascii="Arial" w:hAnsi="Arial" w:cs="Arial"/>
          <w:i/>
          <w:sz w:val="24"/>
          <w:szCs w:val="24"/>
        </w:rPr>
        <w:t>.</w:t>
      </w:r>
      <w:r w:rsidRPr="001C5779">
        <w:rPr>
          <w:rStyle w:val="FootnoteReference"/>
          <w:rFonts w:ascii="Arial" w:hAnsi="Arial" w:cs="Arial"/>
          <w:sz w:val="24"/>
          <w:szCs w:val="24"/>
        </w:rPr>
        <w:footnoteReference w:id="1"/>
      </w:r>
      <w:r w:rsidRPr="00634DF4">
        <w:rPr>
          <w:rStyle w:val="st"/>
          <w:rFonts w:ascii="Arial" w:hAnsi="Arial" w:cs="Arial"/>
          <w:sz w:val="24"/>
          <w:szCs w:val="24"/>
        </w:rPr>
        <w:t xml:space="preserve"> The relevant passage reads as follows:</w:t>
      </w:r>
    </w:p>
    <w:p w:rsidR="00BD76BC" w:rsidRPr="00634DF4" w:rsidRDefault="00BD76BC" w:rsidP="00BD76BC">
      <w:pPr>
        <w:pStyle w:val="ListParagraph"/>
        <w:tabs>
          <w:tab w:val="left" w:pos="851"/>
        </w:tabs>
        <w:spacing w:after="0" w:line="360" w:lineRule="auto"/>
        <w:ind w:left="0"/>
        <w:jc w:val="both"/>
        <w:rPr>
          <w:rStyle w:val="st"/>
          <w:rFonts w:ascii="Arial" w:hAnsi="Arial" w:cs="Arial"/>
          <w:sz w:val="24"/>
          <w:szCs w:val="24"/>
        </w:rPr>
      </w:pPr>
    </w:p>
    <w:p w:rsidR="00634DF4" w:rsidRPr="004360EC" w:rsidRDefault="00BD76BC" w:rsidP="00BD76BC">
      <w:pPr>
        <w:pStyle w:val="BodyText"/>
        <w:kinsoku w:val="0"/>
        <w:overflowPunct w:val="0"/>
        <w:spacing w:line="360" w:lineRule="auto"/>
        <w:ind w:firstLine="720"/>
        <w:jc w:val="both"/>
        <w:rPr>
          <w:rFonts w:ascii="Arial" w:hAnsi="Arial" w:cs="Arial"/>
          <w:sz w:val="22"/>
          <w:szCs w:val="22"/>
          <w:u w:val="single"/>
        </w:rPr>
      </w:pPr>
      <w:r>
        <w:rPr>
          <w:rFonts w:ascii="Arial" w:hAnsi="Arial" w:cs="Arial"/>
          <w:iCs/>
          <w:sz w:val="22"/>
          <w:szCs w:val="22"/>
        </w:rPr>
        <w:t>‘[5]</w:t>
      </w:r>
      <w:r>
        <w:rPr>
          <w:rFonts w:ascii="Arial" w:hAnsi="Arial" w:cs="Arial"/>
          <w:iCs/>
          <w:sz w:val="22"/>
          <w:szCs w:val="22"/>
        </w:rPr>
        <w:tab/>
      </w:r>
      <w:r w:rsidR="001C5779" w:rsidRPr="00BD76BC">
        <w:rPr>
          <w:rFonts w:ascii="Arial" w:hAnsi="Arial" w:cs="Arial"/>
          <w:iCs/>
          <w:sz w:val="22"/>
          <w:szCs w:val="22"/>
        </w:rPr>
        <w:t xml:space="preserve">On the central issue, as to what the parties actually decided, there are two irreconcilable versions. So too on a number of peripheral areas of dispute which may have </w:t>
      </w:r>
      <w:r w:rsidR="001C5779" w:rsidRPr="00BD76BC">
        <w:rPr>
          <w:rFonts w:ascii="Arial" w:hAnsi="Arial" w:cs="Arial"/>
          <w:sz w:val="22"/>
          <w:szCs w:val="22"/>
        </w:rPr>
        <w:t xml:space="preserve">a </w:t>
      </w:r>
      <w:r w:rsidR="001C5779" w:rsidRPr="00BD76BC">
        <w:rPr>
          <w:rFonts w:ascii="Arial" w:hAnsi="Arial" w:cs="Arial"/>
          <w:iCs/>
          <w:sz w:val="22"/>
          <w:szCs w:val="22"/>
        </w:rPr>
        <w:t xml:space="preserve">bearing on the probabilities. The technique generally employed by courts in resolving factual disputes of this nature may conveniently be summarised as follows. To come to </w:t>
      </w:r>
      <w:r w:rsidR="001C5779" w:rsidRPr="00BD76BC">
        <w:rPr>
          <w:rFonts w:ascii="Arial" w:hAnsi="Arial" w:cs="Arial"/>
          <w:sz w:val="22"/>
          <w:szCs w:val="22"/>
        </w:rPr>
        <w:t xml:space="preserve">a </w:t>
      </w:r>
      <w:r w:rsidR="001C5779" w:rsidRPr="00BD76BC">
        <w:rPr>
          <w:rFonts w:ascii="Arial" w:hAnsi="Arial" w:cs="Arial"/>
          <w:iCs/>
          <w:sz w:val="22"/>
          <w:szCs w:val="22"/>
        </w:rPr>
        <w:t>conclusion on the disputed issues a court must make findings on (a) the credibility of the various factual witnesses; (b) their reliability; and</w:t>
      </w:r>
      <w:r w:rsidR="001C5779" w:rsidRPr="00BD76BC">
        <w:rPr>
          <w:rFonts w:ascii="Arial" w:hAnsi="Arial" w:cs="Arial"/>
          <w:sz w:val="22"/>
          <w:szCs w:val="22"/>
        </w:rPr>
        <w:t xml:space="preserve"> </w:t>
      </w:r>
      <w:r w:rsidR="001C5779" w:rsidRPr="00BD76BC">
        <w:rPr>
          <w:rFonts w:ascii="Arial" w:hAnsi="Arial" w:cs="Arial"/>
          <w:iCs/>
          <w:sz w:val="22"/>
          <w:szCs w:val="22"/>
        </w:rPr>
        <w:t xml:space="preserve">(c) the probabilities. </w:t>
      </w:r>
      <w:r w:rsidR="001C5779" w:rsidRPr="00BD76BC">
        <w:rPr>
          <w:rFonts w:ascii="Arial" w:hAnsi="Arial" w:cs="Arial"/>
          <w:sz w:val="22"/>
          <w:szCs w:val="22"/>
        </w:rPr>
        <w:t xml:space="preserve">As </w:t>
      </w:r>
      <w:r w:rsidR="001C5779" w:rsidRPr="00BD76BC">
        <w:rPr>
          <w:rFonts w:ascii="Arial" w:hAnsi="Arial" w:cs="Arial"/>
          <w:iCs/>
          <w:sz w:val="22"/>
          <w:szCs w:val="22"/>
        </w:rPr>
        <w:t xml:space="preserve">to (a), the court's finding on the credibility of </w:t>
      </w:r>
      <w:r w:rsidR="001C5779" w:rsidRPr="00BD76BC">
        <w:rPr>
          <w:rFonts w:ascii="Arial" w:hAnsi="Arial" w:cs="Arial"/>
          <w:sz w:val="22"/>
          <w:szCs w:val="22"/>
        </w:rPr>
        <w:t xml:space="preserve">a </w:t>
      </w:r>
      <w:r w:rsidR="001C5779" w:rsidRPr="00BD76BC">
        <w:rPr>
          <w:rFonts w:ascii="Arial" w:hAnsi="Arial" w:cs="Arial"/>
          <w:iCs/>
          <w:sz w:val="22"/>
          <w:szCs w:val="22"/>
        </w:rPr>
        <w:t>particular witness will depend on its impression about the vera</w:t>
      </w:r>
      <w:r w:rsidR="00505CF8" w:rsidRPr="00BD76BC">
        <w:rPr>
          <w:rFonts w:ascii="Arial" w:hAnsi="Arial" w:cs="Arial"/>
          <w:iCs/>
          <w:sz w:val="22"/>
          <w:szCs w:val="22"/>
        </w:rPr>
        <w:t>city of the witness. That in turn</w:t>
      </w:r>
      <w:r w:rsidR="001C5779" w:rsidRPr="00BD76BC">
        <w:rPr>
          <w:rFonts w:ascii="Arial" w:hAnsi="Arial" w:cs="Arial"/>
          <w:iCs/>
          <w:sz w:val="22"/>
          <w:szCs w:val="22"/>
        </w:rPr>
        <w:t xml:space="preserve"> will depend on </w:t>
      </w:r>
      <w:r w:rsidR="001C5779" w:rsidRPr="00BD76BC">
        <w:rPr>
          <w:rFonts w:ascii="Arial" w:hAnsi="Arial" w:cs="Arial"/>
          <w:sz w:val="22"/>
          <w:szCs w:val="22"/>
        </w:rPr>
        <w:t xml:space="preserve">a </w:t>
      </w:r>
      <w:r w:rsidR="001C5779" w:rsidRPr="00BD76BC">
        <w:rPr>
          <w:rFonts w:ascii="Arial" w:hAnsi="Arial" w:cs="Arial"/>
          <w:iCs/>
          <w:sz w:val="22"/>
          <w:szCs w:val="22"/>
        </w:rPr>
        <w:t>variety of subsidiary factors, not necessarily in order of importance, such as (i) the witness's</w:t>
      </w:r>
      <w:r w:rsidR="001C5779" w:rsidRPr="00BD76BC">
        <w:rPr>
          <w:rFonts w:ascii="Arial" w:hAnsi="Arial" w:cs="Arial"/>
          <w:sz w:val="22"/>
          <w:szCs w:val="22"/>
        </w:rPr>
        <w:t xml:space="preserve"> </w:t>
      </w:r>
      <w:r w:rsidR="001C5779" w:rsidRPr="00BD76BC">
        <w:rPr>
          <w:rFonts w:ascii="Arial" w:hAnsi="Arial" w:cs="Arial"/>
          <w:iCs/>
          <w:sz w:val="22"/>
          <w:szCs w:val="22"/>
        </w:rPr>
        <w:t xml:space="preserve">candour and demeanour in the witness-box, (ii) his bias, latent and </w:t>
      </w:r>
      <w:r w:rsidR="001C5779" w:rsidRPr="00BD76BC">
        <w:rPr>
          <w:rFonts w:ascii="Arial" w:hAnsi="Arial" w:cs="Arial"/>
          <w:iCs/>
          <w:sz w:val="22"/>
          <w:szCs w:val="22"/>
        </w:rPr>
        <w:lastRenderedPageBreak/>
        <w:t xml:space="preserve">blatant, (iii) internal contradictions in his evidence, (iv) external contradictions with what was pleaded or put on his behalf, or with established fact or with his own </w:t>
      </w:r>
      <w:r w:rsidRPr="00BD76BC">
        <w:rPr>
          <w:rFonts w:ascii="Arial" w:hAnsi="Arial" w:cs="Arial"/>
          <w:iCs/>
          <w:sz w:val="22"/>
          <w:szCs w:val="22"/>
        </w:rPr>
        <w:t>extra curial</w:t>
      </w:r>
      <w:r w:rsidR="001C5779" w:rsidRPr="00BD76BC">
        <w:rPr>
          <w:rFonts w:ascii="Arial" w:hAnsi="Arial" w:cs="Arial"/>
          <w:iCs/>
          <w:sz w:val="22"/>
          <w:szCs w:val="22"/>
        </w:rPr>
        <w:t xml:space="preserve"> statements or actions, (v) the probability or improbability of particular aspects of his version, (vi) the calibre and cogency of his performance compared to that of other</w:t>
      </w:r>
      <w:r w:rsidR="001C5779" w:rsidRPr="00BD76BC">
        <w:rPr>
          <w:rFonts w:ascii="Arial" w:hAnsi="Arial" w:cs="Arial"/>
          <w:sz w:val="22"/>
          <w:szCs w:val="22"/>
        </w:rPr>
        <w:t xml:space="preserve"> </w:t>
      </w:r>
      <w:r w:rsidR="001C5779" w:rsidRPr="00BD76BC">
        <w:rPr>
          <w:rFonts w:ascii="Arial" w:hAnsi="Arial" w:cs="Arial"/>
          <w:iCs/>
          <w:sz w:val="22"/>
          <w:szCs w:val="22"/>
        </w:rPr>
        <w:t>witnesses testifying about the same incident or events. As to (b), a witness's reliability will depend, apart from the factors mentioned under (a</w:t>
      </w:r>
      <w:proofErr w:type="gramStart"/>
      <w:r w:rsidR="001C5779" w:rsidRPr="00BD76BC">
        <w:rPr>
          <w:rFonts w:ascii="Arial" w:hAnsi="Arial" w:cs="Arial"/>
          <w:iCs/>
          <w:sz w:val="22"/>
          <w:szCs w:val="22"/>
        </w:rPr>
        <w:t>)(</w:t>
      </w:r>
      <w:proofErr w:type="gramEnd"/>
      <w:r w:rsidR="001C5779" w:rsidRPr="00BD76BC">
        <w:rPr>
          <w:rFonts w:ascii="Arial" w:hAnsi="Arial" w:cs="Arial"/>
          <w:iCs/>
          <w:sz w:val="22"/>
          <w:szCs w:val="22"/>
        </w:rPr>
        <w:t xml:space="preserve">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w:t>
      </w:r>
      <w:r w:rsidR="006037DB" w:rsidRPr="00BD76BC">
        <w:rPr>
          <w:rFonts w:ascii="Arial" w:hAnsi="Arial" w:cs="Arial"/>
          <w:iCs/>
          <w:sz w:val="22"/>
          <w:szCs w:val="22"/>
        </w:rPr>
        <w:t>(b) and (c)</w:t>
      </w:r>
      <w:r w:rsidR="000B5EA1" w:rsidRPr="00BD76BC">
        <w:rPr>
          <w:rFonts w:ascii="Arial" w:hAnsi="Arial" w:cs="Arial"/>
          <w:iCs/>
          <w:sz w:val="22"/>
          <w:szCs w:val="22"/>
        </w:rPr>
        <w:t>,</w:t>
      </w:r>
      <w:r w:rsidR="006037DB" w:rsidRPr="00BD76BC">
        <w:rPr>
          <w:rFonts w:ascii="Arial" w:hAnsi="Arial" w:cs="Arial"/>
          <w:iCs/>
          <w:sz w:val="22"/>
          <w:szCs w:val="22"/>
        </w:rPr>
        <w:t xml:space="preserve"> the</w:t>
      </w:r>
      <w:r w:rsidR="000B5EA1" w:rsidRPr="00BD76BC">
        <w:rPr>
          <w:rFonts w:ascii="Arial" w:hAnsi="Arial" w:cs="Arial"/>
          <w:iCs/>
          <w:sz w:val="22"/>
          <w:szCs w:val="22"/>
        </w:rPr>
        <w:t xml:space="preserve"> </w:t>
      </w:r>
      <w:r w:rsidR="001C5779" w:rsidRPr="00BD76BC">
        <w:rPr>
          <w:rFonts w:ascii="Arial" w:hAnsi="Arial" w:cs="Arial"/>
          <w:iCs/>
          <w:sz w:val="22"/>
          <w:szCs w:val="22"/>
        </w:rPr>
        <w:t xml:space="preserve">court will then, as </w:t>
      </w:r>
      <w:r w:rsidR="001C5779" w:rsidRPr="00BD76BC">
        <w:rPr>
          <w:rFonts w:ascii="Arial" w:hAnsi="Arial" w:cs="Arial"/>
          <w:sz w:val="22"/>
          <w:szCs w:val="22"/>
        </w:rPr>
        <w:t xml:space="preserve">a </w:t>
      </w:r>
      <w:r w:rsidR="001C5779" w:rsidRPr="00BD76BC">
        <w:rPr>
          <w:rFonts w:ascii="Arial" w:hAnsi="Arial" w:cs="Arial"/>
          <w:iCs/>
          <w:sz w:val="22"/>
          <w:szCs w:val="22"/>
        </w:rPr>
        <w:t>final step, determine whether the party burdened with the onus of proof has</w:t>
      </w:r>
      <w:r w:rsidR="001C5779" w:rsidRPr="00BD76BC">
        <w:rPr>
          <w:rFonts w:ascii="Arial" w:hAnsi="Arial" w:cs="Arial"/>
          <w:sz w:val="22"/>
          <w:szCs w:val="22"/>
        </w:rPr>
        <w:t xml:space="preserve"> </w:t>
      </w:r>
      <w:r w:rsidR="001C5779" w:rsidRPr="00BD76BC">
        <w:rPr>
          <w:rFonts w:ascii="Arial" w:hAnsi="Arial" w:cs="Arial"/>
          <w:iCs/>
          <w:sz w:val="22"/>
          <w:szCs w:val="22"/>
        </w:rPr>
        <w:t xml:space="preserve">succeeded in discharging it. The hard case, which will doubtless be the rare one, occurs when </w:t>
      </w:r>
      <w:r w:rsidR="001C5779" w:rsidRPr="00BD76BC">
        <w:rPr>
          <w:rFonts w:ascii="Arial" w:hAnsi="Arial" w:cs="Arial"/>
          <w:sz w:val="22"/>
          <w:szCs w:val="22"/>
        </w:rPr>
        <w:t xml:space="preserve">a </w:t>
      </w:r>
      <w:r w:rsidR="001C5779" w:rsidRPr="00BD76BC">
        <w:rPr>
          <w:rFonts w:ascii="Arial" w:hAnsi="Arial" w:cs="Arial"/>
          <w:iCs/>
          <w:sz w:val="22"/>
          <w:szCs w:val="22"/>
        </w:rPr>
        <w:t>court's credibility findings compel it in one direction and its evaluation of the general probabilities in another. The more convincing the former, the less convincing will be the latter. But</w:t>
      </w:r>
      <w:r w:rsidR="001C5779" w:rsidRPr="00BD76BC">
        <w:rPr>
          <w:rFonts w:ascii="Arial" w:hAnsi="Arial" w:cs="Arial"/>
          <w:sz w:val="22"/>
          <w:szCs w:val="22"/>
        </w:rPr>
        <w:t xml:space="preserve"> </w:t>
      </w:r>
      <w:r w:rsidR="001C5779" w:rsidRPr="00BD76BC">
        <w:rPr>
          <w:rFonts w:ascii="Arial" w:hAnsi="Arial" w:cs="Arial"/>
          <w:iCs/>
          <w:sz w:val="22"/>
          <w:szCs w:val="22"/>
        </w:rPr>
        <w:t>when all factors are e</w:t>
      </w:r>
      <w:r w:rsidR="004360EC">
        <w:rPr>
          <w:rFonts w:ascii="Arial" w:hAnsi="Arial" w:cs="Arial"/>
          <w:iCs/>
          <w:sz w:val="22"/>
          <w:szCs w:val="22"/>
        </w:rPr>
        <w:t>quipoised probabilities prevail</w:t>
      </w:r>
      <w:r w:rsidR="001C5779" w:rsidRPr="00BD76BC">
        <w:rPr>
          <w:rFonts w:ascii="Arial" w:hAnsi="Arial" w:cs="Arial"/>
          <w:iCs/>
          <w:sz w:val="22"/>
          <w:szCs w:val="22"/>
        </w:rPr>
        <w:t>’</w:t>
      </w:r>
      <w:r w:rsidR="004360EC">
        <w:rPr>
          <w:rFonts w:ascii="Arial" w:hAnsi="Arial" w:cs="Arial"/>
          <w:iCs/>
          <w:sz w:val="22"/>
          <w:szCs w:val="22"/>
        </w:rPr>
        <w:t>.</w:t>
      </w:r>
      <w:r w:rsidR="001C5779" w:rsidRPr="00BD76BC">
        <w:rPr>
          <w:rFonts w:ascii="Arial" w:hAnsi="Arial" w:cs="Arial"/>
          <w:iCs/>
          <w:sz w:val="22"/>
          <w:szCs w:val="22"/>
        </w:rPr>
        <w:t xml:space="preserve"> </w:t>
      </w:r>
      <w:r w:rsidR="001C5779" w:rsidRPr="00BD76BC">
        <w:rPr>
          <w:rFonts w:ascii="Arial" w:hAnsi="Arial" w:cs="Arial"/>
          <w:i/>
          <w:iCs/>
          <w:sz w:val="22"/>
          <w:szCs w:val="22"/>
        </w:rPr>
        <w:t>(</w:t>
      </w:r>
      <w:r w:rsidR="001C5779" w:rsidRPr="004360EC">
        <w:rPr>
          <w:rFonts w:ascii="Arial" w:hAnsi="Arial" w:cs="Arial"/>
          <w:iCs/>
          <w:sz w:val="22"/>
          <w:szCs w:val="22"/>
        </w:rPr>
        <w:t>See</w:t>
      </w:r>
      <w:r w:rsidR="001C5779" w:rsidRPr="00BD76BC">
        <w:rPr>
          <w:rFonts w:ascii="Arial" w:hAnsi="Arial" w:cs="Arial"/>
          <w:i/>
          <w:iCs/>
          <w:sz w:val="22"/>
          <w:szCs w:val="22"/>
        </w:rPr>
        <w:t xml:space="preserve"> U v Minister of Education, Sports and Culture and Another </w:t>
      </w:r>
      <w:r w:rsidR="00C8361C" w:rsidRPr="004360EC">
        <w:rPr>
          <w:rFonts w:ascii="Arial" w:hAnsi="Arial" w:cs="Arial"/>
          <w:iCs/>
          <w:sz w:val="22"/>
          <w:szCs w:val="22"/>
        </w:rPr>
        <w:t>2006 (1) NR 168 (HC);</w:t>
      </w:r>
      <w:r w:rsidR="00C8361C" w:rsidRPr="00BD76BC">
        <w:rPr>
          <w:rFonts w:ascii="Arial" w:hAnsi="Arial" w:cs="Arial"/>
          <w:i/>
          <w:iCs/>
          <w:sz w:val="22"/>
          <w:szCs w:val="22"/>
        </w:rPr>
        <w:t xml:space="preserve"> </w:t>
      </w:r>
      <w:proofErr w:type="spellStart"/>
      <w:r w:rsidR="00C8361C" w:rsidRPr="00BD76BC">
        <w:rPr>
          <w:rFonts w:ascii="Arial" w:hAnsi="Arial" w:cs="Arial"/>
          <w:i/>
          <w:iCs/>
          <w:sz w:val="22"/>
          <w:szCs w:val="22"/>
        </w:rPr>
        <w:t>Sakusheka</w:t>
      </w:r>
      <w:proofErr w:type="spellEnd"/>
      <w:r w:rsidR="00C8361C" w:rsidRPr="00BD76BC">
        <w:rPr>
          <w:rFonts w:ascii="Arial" w:hAnsi="Arial" w:cs="Arial"/>
          <w:i/>
          <w:iCs/>
          <w:sz w:val="22"/>
          <w:szCs w:val="22"/>
        </w:rPr>
        <w:t xml:space="preserve"> and </w:t>
      </w:r>
      <w:proofErr w:type="gramStart"/>
      <w:r w:rsidR="00C8361C" w:rsidRPr="00BD76BC">
        <w:rPr>
          <w:rFonts w:ascii="Arial" w:hAnsi="Arial" w:cs="Arial"/>
          <w:i/>
          <w:iCs/>
          <w:sz w:val="22"/>
          <w:szCs w:val="22"/>
        </w:rPr>
        <w:t>Another</w:t>
      </w:r>
      <w:proofErr w:type="gramEnd"/>
      <w:r w:rsidR="001C5779" w:rsidRPr="00BD76BC">
        <w:rPr>
          <w:rFonts w:ascii="Arial" w:hAnsi="Arial" w:cs="Arial"/>
          <w:i/>
          <w:iCs/>
          <w:sz w:val="22"/>
          <w:szCs w:val="22"/>
        </w:rPr>
        <w:t xml:space="preserve"> v Minister of Home Affairs </w:t>
      </w:r>
      <w:r w:rsidR="001C5779" w:rsidRPr="004360EC">
        <w:rPr>
          <w:rFonts w:ascii="Arial" w:hAnsi="Arial" w:cs="Arial"/>
          <w:iCs/>
          <w:sz w:val="22"/>
          <w:szCs w:val="22"/>
        </w:rPr>
        <w:t>2009 (2) N</w:t>
      </w:r>
      <w:r w:rsidR="00C8361C" w:rsidRPr="004360EC">
        <w:rPr>
          <w:rFonts w:ascii="Arial" w:hAnsi="Arial" w:cs="Arial"/>
          <w:iCs/>
          <w:sz w:val="22"/>
          <w:szCs w:val="22"/>
        </w:rPr>
        <w:t>R 524 (HC)).</w:t>
      </w:r>
    </w:p>
    <w:p w:rsidR="00634DF4" w:rsidRPr="00BD76BC" w:rsidRDefault="00634DF4" w:rsidP="00555FD1">
      <w:pPr>
        <w:pStyle w:val="BodyText"/>
        <w:kinsoku w:val="0"/>
        <w:overflowPunct w:val="0"/>
        <w:spacing w:line="360" w:lineRule="auto"/>
        <w:jc w:val="both"/>
        <w:rPr>
          <w:rFonts w:ascii="Arial" w:hAnsi="Arial" w:cs="Arial"/>
          <w:u w:val="single"/>
        </w:rPr>
      </w:pPr>
    </w:p>
    <w:p w:rsidR="00634DF4" w:rsidRDefault="001C5779" w:rsidP="00555FD1">
      <w:pPr>
        <w:pStyle w:val="ListParagraph"/>
        <w:numPr>
          <w:ilvl w:val="0"/>
          <w:numId w:val="22"/>
        </w:numPr>
        <w:tabs>
          <w:tab w:val="left" w:pos="851"/>
        </w:tabs>
        <w:kinsoku w:val="0"/>
        <w:overflowPunct w:val="0"/>
        <w:spacing w:after="0" w:line="360" w:lineRule="auto"/>
        <w:ind w:left="0" w:hanging="11"/>
        <w:jc w:val="both"/>
        <w:rPr>
          <w:rFonts w:ascii="Arial" w:hAnsi="Arial" w:cs="Arial"/>
          <w:sz w:val="24"/>
          <w:szCs w:val="24"/>
        </w:rPr>
      </w:pPr>
      <w:r w:rsidRPr="006037DB">
        <w:rPr>
          <w:rFonts w:ascii="Arial" w:hAnsi="Arial" w:cs="Arial"/>
          <w:sz w:val="24"/>
          <w:szCs w:val="24"/>
        </w:rPr>
        <w:t>In cases where the probabilities are even, the party bearing the onus must fail. (</w:t>
      </w:r>
      <w:r w:rsidRPr="006037DB">
        <w:rPr>
          <w:rFonts w:ascii="Arial" w:hAnsi="Arial" w:cs="Arial"/>
          <w:i/>
          <w:sz w:val="24"/>
          <w:szCs w:val="24"/>
        </w:rPr>
        <w:t>Ostrich Namibia (Pty) Ltd v African Black Ostriches (Pty) Ltd</w:t>
      </w:r>
      <w:r w:rsidRPr="006037DB">
        <w:rPr>
          <w:rFonts w:ascii="Arial" w:hAnsi="Arial" w:cs="Arial"/>
          <w:sz w:val="24"/>
          <w:szCs w:val="24"/>
        </w:rPr>
        <w:t xml:space="preserve"> 1996 NR 139 (HC)).</w:t>
      </w:r>
    </w:p>
    <w:p w:rsidR="006037DB" w:rsidRPr="006037DB" w:rsidRDefault="006037DB" w:rsidP="00555FD1">
      <w:pPr>
        <w:pStyle w:val="ListParagraph"/>
        <w:tabs>
          <w:tab w:val="left" w:pos="851"/>
        </w:tabs>
        <w:kinsoku w:val="0"/>
        <w:overflowPunct w:val="0"/>
        <w:spacing w:after="0" w:line="360" w:lineRule="auto"/>
        <w:ind w:left="0"/>
        <w:jc w:val="both"/>
        <w:rPr>
          <w:rFonts w:ascii="Arial" w:hAnsi="Arial" w:cs="Arial"/>
          <w:sz w:val="24"/>
          <w:szCs w:val="24"/>
        </w:rPr>
      </w:pPr>
    </w:p>
    <w:p w:rsidR="009F782E" w:rsidRPr="00DF0A6B" w:rsidRDefault="001C5779" w:rsidP="00DF0A6B">
      <w:pPr>
        <w:pStyle w:val="ListParagraph"/>
        <w:numPr>
          <w:ilvl w:val="0"/>
          <w:numId w:val="22"/>
        </w:numPr>
        <w:tabs>
          <w:tab w:val="left" w:pos="851"/>
        </w:tabs>
        <w:kinsoku w:val="0"/>
        <w:overflowPunct w:val="0"/>
        <w:spacing w:after="0" w:line="360" w:lineRule="auto"/>
        <w:ind w:left="0" w:hanging="11"/>
        <w:jc w:val="both"/>
        <w:rPr>
          <w:rFonts w:ascii="Arial" w:hAnsi="Arial" w:cs="Arial"/>
          <w:sz w:val="24"/>
          <w:szCs w:val="24"/>
        </w:rPr>
      </w:pPr>
      <w:r w:rsidRPr="006037DB">
        <w:rPr>
          <w:rFonts w:ascii="Arial" w:hAnsi="Arial" w:cs="Arial"/>
          <w:sz w:val="24"/>
          <w:szCs w:val="24"/>
        </w:rPr>
        <w:t xml:space="preserve">The evidence of </w:t>
      </w:r>
      <w:proofErr w:type="spellStart"/>
      <w:r w:rsidRPr="006037DB">
        <w:rPr>
          <w:rFonts w:ascii="Arial" w:hAnsi="Arial" w:cs="Arial"/>
          <w:sz w:val="24"/>
          <w:szCs w:val="24"/>
        </w:rPr>
        <w:t>Ms</w:t>
      </w:r>
      <w:proofErr w:type="spellEnd"/>
      <w:r w:rsidR="00CA01E4">
        <w:rPr>
          <w:rFonts w:ascii="Arial" w:hAnsi="Arial" w:cs="Arial"/>
          <w:sz w:val="24"/>
          <w:szCs w:val="24"/>
        </w:rPr>
        <w:t xml:space="preserve"> Sharon</w:t>
      </w:r>
      <w:r w:rsidRPr="006037DB">
        <w:rPr>
          <w:rFonts w:ascii="Arial" w:hAnsi="Arial" w:cs="Arial"/>
          <w:sz w:val="24"/>
          <w:szCs w:val="24"/>
        </w:rPr>
        <w:t xml:space="preserve"> Janse</w:t>
      </w:r>
      <w:r w:rsidR="004360EC">
        <w:rPr>
          <w:rFonts w:ascii="Arial" w:hAnsi="Arial" w:cs="Arial"/>
          <w:sz w:val="24"/>
          <w:szCs w:val="24"/>
        </w:rPr>
        <w:t>n v</w:t>
      </w:r>
      <w:r w:rsidR="00CA01E4">
        <w:rPr>
          <w:rFonts w:ascii="Arial" w:hAnsi="Arial" w:cs="Arial"/>
          <w:sz w:val="24"/>
          <w:szCs w:val="24"/>
        </w:rPr>
        <w:t xml:space="preserve">an </w:t>
      </w:r>
      <w:proofErr w:type="spellStart"/>
      <w:r w:rsidR="00CA01E4">
        <w:rPr>
          <w:rFonts w:ascii="Arial" w:hAnsi="Arial" w:cs="Arial"/>
          <w:sz w:val="24"/>
          <w:szCs w:val="24"/>
        </w:rPr>
        <w:t>Rensbu</w:t>
      </w:r>
      <w:r w:rsidRPr="006037DB">
        <w:rPr>
          <w:rFonts w:ascii="Arial" w:hAnsi="Arial" w:cs="Arial"/>
          <w:sz w:val="24"/>
          <w:szCs w:val="24"/>
        </w:rPr>
        <w:t>rg</w:t>
      </w:r>
      <w:proofErr w:type="spellEnd"/>
      <w:r w:rsidRPr="006037DB">
        <w:rPr>
          <w:rFonts w:ascii="Arial" w:hAnsi="Arial" w:cs="Arial"/>
          <w:sz w:val="24"/>
          <w:szCs w:val="24"/>
        </w:rPr>
        <w:t xml:space="preserve"> strikes me as credible. She clearly has no personal interest in the matter. Her version is an objective account of </w:t>
      </w:r>
      <w:r w:rsidR="00505CF8">
        <w:rPr>
          <w:rFonts w:ascii="Arial" w:hAnsi="Arial" w:cs="Arial"/>
          <w:sz w:val="24"/>
          <w:szCs w:val="24"/>
        </w:rPr>
        <w:t>what she can recall</w:t>
      </w:r>
      <w:r w:rsidRPr="006037DB">
        <w:rPr>
          <w:rFonts w:ascii="Arial" w:hAnsi="Arial" w:cs="Arial"/>
          <w:sz w:val="24"/>
          <w:szCs w:val="24"/>
        </w:rPr>
        <w:t>. She cannot recall specific detail</w:t>
      </w:r>
      <w:r w:rsidR="00C71E85">
        <w:rPr>
          <w:rFonts w:ascii="Arial" w:hAnsi="Arial" w:cs="Arial"/>
          <w:sz w:val="24"/>
          <w:szCs w:val="24"/>
        </w:rPr>
        <w:t>s</w:t>
      </w:r>
      <w:r w:rsidRPr="006037DB">
        <w:rPr>
          <w:rFonts w:ascii="Arial" w:hAnsi="Arial" w:cs="Arial"/>
          <w:sz w:val="24"/>
          <w:szCs w:val="24"/>
        </w:rPr>
        <w:t xml:space="preserve"> for instance as to who gave which specific instruction at any given time. There are no inherent or external improbabilities in her evidence and as a </w:t>
      </w:r>
      <w:r w:rsidR="00216838" w:rsidRPr="006037DB">
        <w:rPr>
          <w:rFonts w:ascii="Arial" w:hAnsi="Arial" w:cs="Arial"/>
          <w:sz w:val="24"/>
          <w:szCs w:val="24"/>
        </w:rPr>
        <w:t>whole</w:t>
      </w:r>
      <w:r w:rsidRPr="006037DB">
        <w:rPr>
          <w:rFonts w:ascii="Arial" w:hAnsi="Arial" w:cs="Arial"/>
          <w:sz w:val="24"/>
          <w:szCs w:val="24"/>
        </w:rPr>
        <w:t xml:space="preserve"> her evidence is consistent with the remainder of the facts.</w:t>
      </w:r>
    </w:p>
    <w:p w:rsidR="009F782E" w:rsidRPr="006037DB" w:rsidRDefault="009F782E" w:rsidP="00555FD1">
      <w:pPr>
        <w:pStyle w:val="ListParagraph"/>
        <w:tabs>
          <w:tab w:val="left" w:pos="851"/>
        </w:tabs>
        <w:kinsoku w:val="0"/>
        <w:overflowPunct w:val="0"/>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kinsoku w:val="0"/>
        <w:overflowPunct w:val="0"/>
        <w:spacing w:after="0" w:line="360" w:lineRule="auto"/>
        <w:ind w:left="0" w:hanging="11"/>
        <w:jc w:val="both"/>
        <w:rPr>
          <w:rFonts w:ascii="Arial" w:hAnsi="Arial" w:cs="Arial"/>
          <w:sz w:val="24"/>
          <w:szCs w:val="24"/>
        </w:rPr>
      </w:pPr>
      <w:r w:rsidRPr="006037DB">
        <w:rPr>
          <w:rFonts w:ascii="Arial" w:hAnsi="Arial" w:cs="Arial"/>
          <w:sz w:val="24"/>
          <w:szCs w:val="24"/>
        </w:rPr>
        <w:t xml:space="preserve">The evidence of the </w:t>
      </w:r>
      <w:r w:rsidR="00505CF8">
        <w:rPr>
          <w:rFonts w:ascii="Arial" w:hAnsi="Arial" w:cs="Arial"/>
          <w:sz w:val="24"/>
          <w:szCs w:val="24"/>
        </w:rPr>
        <w:t>plaintiff, apart from her say</w:t>
      </w:r>
      <w:r w:rsidRPr="006037DB">
        <w:rPr>
          <w:rFonts w:ascii="Arial" w:hAnsi="Arial" w:cs="Arial"/>
          <w:sz w:val="24"/>
          <w:szCs w:val="24"/>
        </w:rPr>
        <w:t xml:space="preserve"> so, is in some aspects thereof, inconsistent with common cause facts and likewise inherently improbable. The main concern regarding her evidence is her conduct and action around the payment of the purchase price at the time it was made and her acceptance thereof without more. The plaintiff is a qualified legal practitioner who at some stage practiced as an advocate. She would have been aware that the purchase price would be payable only upon registration of the property of transfer. She acknowledges that </w:t>
      </w:r>
      <w:r w:rsidR="00216838">
        <w:rPr>
          <w:rFonts w:ascii="Arial" w:hAnsi="Arial" w:cs="Arial"/>
          <w:sz w:val="24"/>
          <w:szCs w:val="24"/>
        </w:rPr>
        <w:t xml:space="preserve">the </w:t>
      </w:r>
      <w:r w:rsidRPr="006037DB">
        <w:rPr>
          <w:rFonts w:ascii="Arial" w:hAnsi="Arial" w:cs="Arial"/>
          <w:sz w:val="24"/>
          <w:szCs w:val="24"/>
        </w:rPr>
        <w:t>purchase price was paid long before registration took place. I would ha</w:t>
      </w:r>
      <w:r w:rsidR="006E3270" w:rsidRPr="006037DB">
        <w:rPr>
          <w:rFonts w:ascii="Arial" w:hAnsi="Arial" w:cs="Arial"/>
          <w:sz w:val="24"/>
          <w:szCs w:val="24"/>
        </w:rPr>
        <w:t xml:space="preserve">ve expected of a person of her </w:t>
      </w:r>
      <w:r w:rsidRPr="006037DB">
        <w:rPr>
          <w:rFonts w:ascii="Arial" w:hAnsi="Arial" w:cs="Arial"/>
          <w:sz w:val="24"/>
          <w:szCs w:val="24"/>
        </w:rPr>
        <w:t xml:space="preserve">standing and </w:t>
      </w:r>
      <w:r w:rsidRPr="006037DB">
        <w:rPr>
          <w:rFonts w:ascii="Arial" w:hAnsi="Arial" w:cs="Arial"/>
          <w:sz w:val="24"/>
          <w:szCs w:val="24"/>
        </w:rPr>
        <w:lastRenderedPageBreak/>
        <w:t>knowledge to have questioned or at least enquired about this sudden change of events. On her own evidence she simply accepted the payment and banked the proceeds. Logic suggests that she would have been aware of the fact that the date for payment was advanced, so to speak, because of some intervening cause. These facts have the result that the plaintiff’s say so rings hollow.</w:t>
      </w:r>
    </w:p>
    <w:p w:rsidR="006037DB" w:rsidRPr="006037DB" w:rsidRDefault="006037DB" w:rsidP="00555FD1">
      <w:pPr>
        <w:pStyle w:val="ListParagraph"/>
        <w:tabs>
          <w:tab w:val="left" w:pos="851"/>
        </w:tabs>
        <w:kinsoku w:val="0"/>
        <w:overflowPunct w:val="0"/>
        <w:spacing w:after="0" w:line="360" w:lineRule="auto"/>
        <w:ind w:left="0"/>
        <w:jc w:val="both"/>
        <w:rPr>
          <w:rFonts w:ascii="Arial" w:hAnsi="Arial" w:cs="Arial"/>
          <w:sz w:val="24"/>
          <w:szCs w:val="24"/>
        </w:rPr>
      </w:pPr>
    </w:p>
    <w:p w:rsidR="006037DB" w:rsidRPr="009F782E" w:rsidRDefault="001C5779" w:rsidP="00555FD1">
      <w:pPr>
        <w:pStyle w:val="ListParagraph"/>
        <w:numPr>
          <w:ilvl w:val="0"/>
          <w:numId w:val="22"/>
        </w:numPr>
        <w:tabs>
          <w:tab w:val="left" w:pos="851"/>
        </w:tabs>
        <w:kinsoku w:val="0"/>
        <w:overflowPunct w:val="0"/>
        <w:spacing w:after="0" w:line="360" w:lineRule="auto"/>
        <w:ind w:left="0" w:hanging="11"/>
        <w:jc w:val="both"/>
        <w:rPr>
          <w:rFonts w:ascii="Arial" w:hAnsi="Arial" w:cs="Arial"/>
          <w:sz w:val="24"/>
          <w:szCs w:val="24"/>
        </w:rPr>
      </w:pPr>
      <w:r w:rsidRPr="006037DB">
        <w:rPr>
          <w:rFonts w:ascii="Arial" w:hAnsi="Arial" w:cs="Arial"/>
          <w:sz w:val="24"/>
          <w:szCs w:val="24"/>
        </w:rPr>
        <w:t xml:space="preserve">The probabilities </w:t>
      </w:r>
      <w:r w:rsidR="00800EA2">
        <w:rPr>
          <w:rFonts w:ascii="Arial" w:hAnsi="Arial" w:cs="Arial"/>
          <w:sz w:val="24"/>
          <w:szCs w:val="24"/>
        </w:rPr>
        <w:t>ultimately prevail</w:t>
      </w:r>
      <w:r w:rsidRPr="006037DB">
        <w:rPr>
          <w:rFonts w:ascii="Arial" w:hAnsi="Arial" w:cs="Arial"/>
          <w:sz w:val="24"/>
          <w:szCs w:val="24"/>
        </w:rPr>
        <w:t xml:space="preserve"> with the result that I conclude that the plaintiff and the first defendant did indeed conclude the addendum to the agreement.</w:t>
      </w:r>
    </w:p>
    <w:p w:rsidR="006037DB" w:rsidRPr="006037DB" w:rsidRDefault="006037DB" w:rsidP="00555FD1">
      <w:pPr>
        <w:pStyle w:val="ListParagraph"/>
        <w:tabs>
          <w:tab w:val="left" w:pos="851"/>
        </w:tabs>
        <w:kinsoku w:val="0"/>
        <w:overflowPunct w:val="0"/>
        <w:spacing w:after="0" w:line="360" w:lineRule="auto"/>
        <w:ind w:left="0"/>
        <w:jc w:val="both"/>
        <w:rPr>
          <w:rFonts w:ascii="Arial" w:hAnsi="Arial" w:cs="Arial"/>
          <w:sz w:val="24"/>
          <w:szCs w:val="24"/>
        </w:rPr>
      </w:pPr>
    </w:p>
    <w:p w:rsidR="00634DF4" w:rsidRDefault="001C5779" w:rsidP="00555FD1">
      <w:pPr>
        <w:pStyle w:val="ListParagraph"/>
        <w:numPr>
          <w:ilvl w:val="0"/>
          <w:numId w:val="22"/>
        </w:numPr>
        <w:tabs>
          <w:tab w:val="left" w:pos="851"/>
        </w:tabs>
        <w:kinsoku w:val="0"/>
        <w:overflowPunct w:val="0"/>
        <w:spacing w:after="0" w:line="360" w:lineRule="auto"/>
        <w:ind w:left="0" w:hanging="11"/>
        <w:jc w:val="both"/>
        <w:rPr>
          <w:rFonts w:ascii="Arial" w:hAnsi="Arial" w:cs="Arial"/>
          <w:sz w:val="24"/>
          <w:szCs w:val="24"/>
        </w:rPr>
      </w:pPr>
      <w:r w:rsidRPr="006037DB">
        <w:rPr>
          <w:rFonts w:ascii="Arial" w:hAnsi="Arial" w:cs="Arial"/>
          <w:sz w:val="24"/>
          <w:szCs w:val="24"/>
        </w:rPr>
        <w:t>As to costs, they will follow the result, including the costs occasioned by the amendment of the pleadings and the pre-trial order.</w:t>
      </w:r>
    </w:p>
    <w:p w:rsidR="00B55909" w:rsidRPr="006037DB" w:rsidRDefault="00B55909" w:rsidP="00555FD1">
      <w:pPr>
        <w:pStyle w:val="ListParagraph"/>
        <w:tabs>
          <w:tab w:val="left" w:pos="851"/>
        </w:tabs>
        <w:kinsoku w:val="0"/>
        <w:overflowPunct w:val="0"/>
        <w:spacing w:after="0" w:line="360" w:lineRule="auto"/>
        <w:ind w:left="0"/>
        <w:jc w:val="both"/>
        <w:rPr>
          <w:rFonts w:ascii="Arial" w:hAnsi="Arial" w:cs="Arial"/>
          <w:sz w:val="24"/>
          <w:szCs w:val="24"/>
        </w:rPr>
      </w:pPr>
    </w:p>
    <w:p w:rsidR="001C5779" w:rsidRDefault="001C5779" w:rsidP="00555FD1">
      <w:pPr>
        <w:pStyle w:val="ListParagraph"/>
        <w:numPr>
          <w:ilvl w:val="0"/>
          <w:numId w:val="22"/>
        </w:numPr>
        <w:tabs>
          <w:tab w:val="left" w:pos="851"/>
        </w:tabs>
        <w:kinsoku w:val="0"/>
        <w:overflowPunct w:val="0"/>
        <w:spacing w:after="0" w:line="360" w:lineRule="auto"/>
        <w:ind w:left="0" w:hanging="11"/>
        <w:jc w:val="both"/>
        <w:rPr>
          <w:rFonts w:ascii="Arial" w:hAnsi="Arial" w:cs="Arial"/>
          <w:sz w:val="24"/>
          <w:szCs w:val="24"/>
        </w:rPr>
      </w:pPr>
      <w:r w:rsidRPr="006037DB">
        <w:rPr>
          <w:rFonts w:ascii="Arial" w:hAnsi="Arial" w:cs="Arial"/>
          <w:sz w:val="24"/>
          <w:szCs w:val="24"/>
        </w:rPr>
        <w:t>I therefore make the following order:</w:t>
      </w:r>
    </w:p>
    <w:p w:rsidR="00DD60DE" w:rsidRPr="006037DB" w:rsidRDefault="00DD60DE" w:rsidP="00DD60DE">
      <w:pPr>
        <w:pStyle w:val="ListParagraph"/>
        <w:tabs>
          <w:tab w:val="left" w:pos="851"/>
        </w:tabs>
        <w:kinsoku w:val="0"/>
        <w:overflowPunct w:val="0"/>
        <w:spacing w:after="0" w:line="360" w:lineRule="auto"/>
        <w:ind w:left="0"/>
        <w:jc w:val="both"/>
        <w:rPr>
          <w:rFonts w:ascii="Arial" w:hAnsi="Arial" w:cs="Arial"/>
          <w:sz w:val="24"/>
          <w:szCs w:val="24"/>
        </w:rPr>
      </w:pPr>
    </w:p>
    <w:p w:rsidR="001C5779" w:rsidRDefault="001C5779" w:rsidP="00DD60DE">
      <w:pPr>
        <w:pStyle w:val="BodyText"/>
        <w:widowControl w:val="0"/>
        <w:numPr>
          <w:ilvl w:val="3"/>
          <w:numId w:val="22"/>
        </w:numPr>
        <w:kinsoku w:val="0"/>
        <w:overflowPunct w:val="0"/>
        <w:autoSpaceDE w:val="0"/>
        <w:autoSpaceDN w:val="0"/>
        <w:adjustRightInd w:val="0"/>
        <w:spacing w:line="360" w:lineRule="auto"/>
        <w:ind w:left="1276" w:hanging="425"/>
        <w:jc w:val="both"/>
        <w:rPr>
          <w:rFonts w:ascii="Arial" w:hAnsi="Arial" w:cs="Arial"/>
        </w:rPr>
      </w:pPr>
      <w:r w:rsidRPr="006037DB">
        <w:rPr>
          <w:rFonts w:ascii="Arial" w:hAnsi="Arial" w:cs="Arial"/>
        </w:rPr>
        <w:t>The plaintiff and the first defendant concluded the addendum to the Deed of Sale.</w:t>
      </w:r>
    </w:p>
    <w:p w:rsidR="00DD60DE" w:rsidRPr="006037DB" w:rsidRDefault="00DD60DE" w:rsidP="00DD60DE">
      <w:pPr>
        <w:pStyle w:val="BodyText"/>
        <w:widowControl w:val="0"/>
        <w:kinsoku w:val="0"/>
        <w:overflowPunct w:val="0"/>
        <w:autoSpaceDE w:val="0"/>
        <w:autoSpaceDN w:val="0"/>
        <w:adjustRightInd w:val="0"/>
        <w:spacing w:line="360" w:lineRule="auto"/>
        <w:ind w:left="1276" w:hanging="425"/>
        <w:jc w:val="both"/>
        <w:rPr>
          <w:rFonts w:ascii="Arial" w:hAnsi="Arial" w:cs="Arial"/>
        </w:rPr>
      </w:pPr>
    </w:p>
    <w:p w:rsidR="001C5779" w:rsidRDefault="001C5779" w:rsidP="00DD60DE">
      <w:pPr>
        <w:pStyle w:val="BodyText"/>
        <w:widowControl w:val="0"/>
        <w:numPr>
          <w:ilvl w:val="3"/>
          <w:numId w:val="22"/>
        </w:numPr>
        <w:kinsoku w:val="0"/>
        <w:overflowPunct w:val="0"/>
        <w:autoSpaceDE w:val="0"/>
        <w:autoSpaceDN w:val="0"/>
        <w:adjustRightInd w:val="0"/>
        <w:spacing w:line="360" w:lineRule="auto"/>
        <w:ind w:left="1276" w:hanging="425"/>
        <w:jc w:val="both"/>
        <w:rPr>
          <w:rFonts w:ascii="Arial" w:hAnsi="Arial" w:cs="Arial"/>
        </w:rPr>
      </w:pPr>
      <w:r w:rsidRPr="006037DB">
        <w:rPr>
          <w:rFonts w:ascii="Arial" w:hAnsi="Arial" w:cs="Arial"/>
        </w:rPr>
        <w:t>The plaintiff is ordered to pay the costs, including the costs consequent upon the amendments.</w:t>
      </w:r>
    </w:p>
    <w:p w:rsidR="00DD60DE" w:rsidRPr="006037DB" w:rsidRDefault="00DD60DE" w:rsidP="00DD60DE">
      <w:pPr>
        <w:pStyle w:val="BodyText"/>
        <w:widowControl w:val="0"/>
        <w:kinsoku w:val="0"/>
        <w:overflowPunct w:val="0"/>
        <w:autoSpaceDE w:val="0"/>
        <w:autoSpaceDN w:val="0"/>
        <w:adjustRightInd w:val="0"/>
        <w:spacing w:line="360" w:lineRule="auto"/>
        <w:ind w:left="1276" w:hanging="425"/>
        <w:jc w:val="both"/>
        <w:rPr>
          <w:rFonts w:ascii="Arial" w:hAnsi="Arial" w:cs="Arial"/>
        </w:rPr>
      </w:pPr>
    </w:p>
    <w:p w:rsidR="001C5779" w:rsidRPr="006037DB" w:rsidRDefault="001C5779" w:rsidP="00DD60DE">
      <w:pPr>
        <w:pStyle w:val="BodyText"/>
        <w:widowControl w:val="0"/>
        <w:numPr>
          <w:ilvl w:val="3"/>
          <w:numId w:val="22"/>
        </w:numPr>
        <w:kinsoku w:val="0"/>
        <w:overflowPunct w:val="0"/>
        <w:autoSpaceDE w:val="0"/>
        <w:autoSpaceDN w:val="0"/>
        <w:adjustRightInd w:val="0"/>
        <w:spacing w:line="360" w:lineRule="auto"/>
        <w:ind w:left="1276" w:hanging="425"/>
        <w:jc w:val="both"/>
        <w:rPr>
          <w:rFonts w:ascii="Arial" w:hAnsi="Arial" w:cs="Arial"/>
        </w:rPr>
      </w:pPr>
      <w:r w:rsidRPr="006037DB">
        <w:rPr>
          <w:rFonts w:ascii="Arial" w:hAnsi="Arial" w:cs="Arial"/>
        </w:rPr>
        <w:t>The costs consequent upon t</w:t>
      </w:r>
      <w:r w:rsidR="00DD60DE">
        <w:rPr>
          <w:rFonts w:ascii="Arial" w:hAnsi="Arial" w:cs="Arial"/>
        </w:rPr>
        <w:t>he amendments are limited to N$</w:t>
      </w:r>
      <w:r w:rsidRPr="006037DB">
        <w:rPr>
          <w:rFonts w:ascii="Arial" w:hAnsi="Arial" w:cs="Arial"/>
        </w:rPr>
        <w:t>20 000.</w:t>
      </w:r>
    </w:p>
    <w:p w:rsidR="004716AE" w:rsidRPr="006037DB" w:rsidRDefault="004716AE" w:rsidP="00555FD1">
      <w:pPr>
        <w:tabs>
          <w:tab w:val="left" w:pos="7430"/>
        </w:tabs>
        <w:spacing w:after="0" w:line="360" w:lineRule="auto"/>
        <w:jc w:val="both"/>
        <w:rPr>
          <w:rFonts w:ascii="Arial" w:hAnsi="Arial" w:cs="Arial"/>
          <w:sz w:val="24"/>
          <w:szCs w:val="24"/>
        </w:rPr>
      </w:pPr>
    </w:p>
    <w:p w:rsidR="00216838" w:rsidRDefault="00216838" w:rsidP="00555FD1">
      <w:pPr>
        <w:spacing w:after="0" w:line="360" w:lineRule="auto"/>
        <w:jc w:val="both"/>
        <w:rPr>
          <w:rFonts w:ascii="Arial" w:hAnsi="Arial" w:cs="Arial"/>
          <w:sz w:val="24"/>
          <w:szCs w:val="24"/>
        </w:rPr>
      </w:pPr>
    </w:p>
    <w:p w:rsidR="00216838" w:rsidRPr="006037DB" w:rsidRDefault="00216838" w:rsidP="00555FD1">
      <w:pPr>
        <w:spacing w:after="0" w:line="360" w:lineRule="auto"/>
        <w:jc w:val="both"/>
        <w:rPr>
          <w:rFonts w:ascii="Arial" w:hAnsi="Arial" w:cs="Arial"/>
          <w:sz w:val="24"/>
          <w:szCs w:val="24"/>
        </w:rPr>
      </w:pPr>
    </w:p>
    <w:p w:rsidR="000C31F1" w:rsidRPr="006037DB" w:rsidRDefault="000C31F1" w:rsidP="00DD60DE">
      <w:pPr>
        <w:pStyle w:val="BodyText"/>
        <w:tabs>
          <w:tab w:val="left" w:pos="540"/>
        </w:tabs>
        <w:spacing w:line="360" w:lineRule="auto"/>
        <w:ind w:left="540" w:hanging="540"/>
        <w:jc w:val="right"/>
        <w:rPr>
          <w:rFonts w:ascii="Arial" w:hAnsi="Arial" w:cs="Arial"/>
          <w:lang w:val="en-US"/>
        </w:rPr>
      </w:pPr>
      <w:r w:rsidRPr="006037DB">
        <w:rPr>
          <w:rFonts w:ascii="Arial" w:hAnsi="Arial" w:cs="Arial"/>
          <w:lang w:val="en-US"/>
        </w:rPr>
        <w:t>_________________</w:t>
      </w:r>
    </w:p>
    <w:p w:rsidR="000C31F1" w:rsidRPr="006037DB" w:rsidRDefault="000C31F1" w:rsidP="00DD60DE">
      <w:pPr>
        <w:pStyle w:val="BodyText"/>
        <w:tabs>
          <w:tab w:val="left" w:pos="540"/>
        </w:tabs>
        <w:spacing w:line="360" w:lineRule="auto"/>
        <w:ind w:left="540" w:hanging="540"/>
        <w:jc w:val="right"/>
        <w:rPr>
          <w:rFonts w:ascii="Arial" w:hAnsi="Arial" w:cs="Arial"/>
          <w:lang w:val="en-US"/>
        </w:rPr>
      </w:pPr>
      <w:r w:rsidRPr="006037DB">
        <w:rPr>
          <w:rFonts w:ascii="Arial" w:hAnsi="Arial" w:cs="Arial"/>
          <w:lang w:val="en-US"/>
        </w:rPr>
        <w:t>K Miller</w:t>
      </w:r>
    </w:p>
    <w:p w:rsidR="00370A82" w:rsidRDefault="00AC005E" w:rsidP="00DD60DE">
      <w:pPr>
        <w:pStyle w:val="BodyText"/>
        <w:tabs>
          <w:tab w:val="left" w:pos="540"/>
        </w:tabs>
        <w:spacing w:line="360" w:lineRule="auto"/>
        <w:ind w:left="540" w:hanging="540"/>
        <w:jc w:val="right"/>
        <w:rPr>
          <w:rFonts w:ascii="Arial" w:hAnsi="Arial" w:cs="Arial"/>
          <w:lang w:val="en-US"/>
        </w:rPr>
      </w:pPr>
      <w:r>
        <w:rPr>
          <w:rFonts w:ascii="Arial" w:hAnsi="Arial" w:cs="Arial"/>
          <w:lang w:val="en-US"/>
        </w:rPr>
        <w:t>Acting Judge</w:t>
      </w:r>
    </w:p>
    <w:p w:rsidR="00DD60DE" w:rsidRDefault="00DD60DE" w:rsidP="00DD60DE">
      <w:pPr>
        <w:pStyle w:val="BodyText"/>
        <w:tabs>
          <w:tab w:val="left" w:pos="540"/>
        </w:tabs>
        <w:spacing w:line="360" w:lineRule="auto"/>
        <w:ind w:left="540" w:hanging="540"/>
        <w:jc w:val="left"/>
        <w:rPr>
          <w:rFonts w:ascii="Arial" w:hAnsi="Arial" w:cs="Arial"/>
          <w:lang w:val="en-US"/>
        </w:rPr>
      </w:pPr>
    </w:p>
    <w:p w:rsidR="00DD60DE" w:rsidRDefault="00DD60DE" w:rsidP="00DD60DE">
      <w:pPr>
        <w:pStyle w:val="BodyText"/>
        <w:tabs>
          <w:tab w:val="left" w:pos="540"/>
        </w:tabs>
        <w:spacing w:line="360" w:lineRule="auto"/>
        <w:ind w:left="540" w:hanging="540"/>
        <w:jc w:val="left"/>
        <w:rPr>
          <w:rFonts w:ascii="Arial" w:hAnsi="Arial" w:cs="Arial"/>
          <w:lang w:val="en-US"/>
        </w:rPr>
      </w:pPr>
    </w:p>
    <w:p w:rsidR="00DD60DE" w:rsidRPr="006037DB" w:rsidRDefault="00DD60DE" w:rsidP="00DD60DE">
      <w:pPr>
        <w:pStyle w:val="BodyText"/>
        <w:tabs>
          <w:tab w:val="left" w:pos="540"/>
        </w:tabs>
        <w:spacing w:line="360" w:lineRule="auto"/>
        <w:ind w:left="540" w:hanging="540"/>
        <w:rPr>
          <w:rFonts w:ascii="Arial" w:hAnsi="Arial" w:cs="Arial"/>
          <w:lang w:val="en-US"/>
        </w:rPr>
        <w:sectPr w:rsidR="00DD60DE" w:rsidRPr="006037DB" w:rsidSect="003135B8">
          <w:headerReference w:type="default" r:id="rId12"/>
          <w:pgSz w:w="12240" w:h="15840"/>
          <w:pgMar w:top="1134" w:right="1440" w:bottom="1134" w:left="1440" w:header="720" w:footer="720" w:gutter="0"/>
          <w:cols w:space="720"/>
          <w:titlePg/>
          <w:docGrid w:linePitch="360"/>
        </w:sectPr>
      </w:pPr>
    </w:p>
    <w:p w:rsidR="00370A82" w:rsidRPr="000C31F1" w:rsidRDefault="00370A82" w:rsidP="000C31F1">
      <w:pPr>
        <w:pStyle w:val="BodyText"/>
        <w:tabs>
          <w:tab w:val="left" w:pos="540"/>
        </w:tabs>
        <w:spacing w:line="360" w:lineRule="auto"/>
        <w:jc w:val="left"/>
        <w:rPr>
          <w:rFonts w:ascii="Arial" w:hAnsi="Arial" w:cs="Arial"/>
          <w:lang w:val="en-US"/>
        </w:rPr>
      </w:pPr>
    </w:p>
    <w:p w:rsidR="00F465EF" w:rsidRPr="00C657D4" w:rsidRDefault="00F465EF" w:rsidP="000C31F1">
      <w:pPr>
        <w:spacing w:after="0" w:line="360" w:lineRule="auto"/>
        <w:jc w:val="both"/>
        <w:rPr>
          <w:rFonts w:ascii="Arial" w:hAnsi="Arial" w:cs="Arial"/>
          <w:sz w:val="24"/>
          <w:szCs w:val="24"/>
        </w:rPr>
      </w:pPr>
      <w:r w:rsidRPr="00C657D4">
        <w:rPr>
          <w:rFonts w:ascii="Arial" w:hAnsi="Arial" w:cs="Arial"/>
          <w:sz w:val="24"/>
          <w:szCs w:val="24"/>
        </w:rPr>
        <w:t>APPEARANCES:</w:t>
      </w:r>
    </w:p>
    <w:p w:rsidR="00F465EF" w:rsidRPr="00C657D4" w:rsidRDefault="00F465EF" w:rsidP="000C31F1">
      <w:pPr>
        <w:pStyle w:val="BodyText"/>
        <w:autoSpaceDE w:val="0"/>
        <w:autoSpaceDN w:val="0"/>
        <w:adjustRightInd w:val="0"/>
        <w:spacing w:line="360" w:lineRule="auto"/>
        <w:jc w:val="both"/>
        <w:rPr>
          <w:rFonts w:ascii="Arial" w:hAnsi="Arial" w:cs="Arial"/>
        </w:rPr>
      </w:pPr>
    </w:p>
    <w:p w:rsidR="004716AE" w:rsidRPr="000C31F1" w:rsidRDefault="004716AE" w:rsidP="000C31F1">
      <w:pPr>
        <w:pStyle w:val="BodyText"/>
        <w:autoSpaceDE w:val="0"/>
        <w:autoSpaceDN w:val="0"/>
        <w:adjustRightInd w:val="0"/>
        <w:spacing w:line="360" w:lineRule="auto"/>
        <w:jc w:val="both"/>
        <w:rPr>
          <w:rFonts w:ascii="Arial" w:hAnsi="Arial" w:cs="Arial"/>
        </w:rPr>
      </w:pPr>
    </w:p>
    <w:p w:rsidR="00500423" w:rsidRPr="00C32B07" w:rsidRDefault="001C5779" w:rsidP="00DD60DE">
      <w:pPr>
        <w:tabs>
          <w:tab w:val="left" w:pos="2977"/>
        </w:tabs>
        <w:autoSpaceDE w:val="0"/>
        <w:autoSpaceDN w:val="0"/>
        <w:adjustRightInd w:val="0"/>
        <w:spacing w:after="0" w:line="360" w:lineRule="auto"/>
        <w:rPr>
          <w:rFonts w:ascii="Arial" w:eastAsiaTheme="minorHAnsi" w:hAnsi="Arial" w:cs="Arial"/>
          <w:sz w:val="24"/>
          <w:szCs w:val="24"/>
        </w:rPr>
      </w:pPr>
      <w:r>
        <w:rPr>
          <w:rFonts w:ascii="Arial" w:hAnsi="Arial" w:cs="Arial"/>
          <w:sz w:val="24"/>
          <w:szCs w:val="24"/>
        </w:rPr>
        <w:t>PLAINTIFF</w:t>
      </w:r>
      <w:r w:rsidR="00521F7C" w:rsidRPr="00C32B07">
        <w:rPr>
          <w:rFonts w:ascii="Arial" w:hAnsi="Arial" w:cs="Arial"/>
          <w:sz w:val="24"/>
          <w:szCs w:val="24"/>
        </w:rPr>
        <w:t>:</w:t>
      </w:r>
      <w:r w:rsidR="00DD60DE">
        <w:rPr>
          <w:rFonts w:ascii="Arial" w:hAnsi="Arial" w:cs="Arial"/>
          <w:sz w:val="24"/>
          <w:szCs w:val="24"/>
        </w:rPr>
        <w:tab/>
      </w:r>
      <w:r w:rsidR="004821B3">
        <w:rPr>
          <w:rFonts w:ascii="Arial" w:eastAsiaTheme="minorHAnsi" w:hAnsi="Arial" w:cs="Arial"/>
          <w:sz w:val="24"/>
          <w:szCs w:val="24"/>
        </w:rPr>
        <w:t>U KATJIPUKA-SIBOLILE</w:t>
      </w:r>
    </w:p>
    <w:p w:rsidR="00F465EF" w:rsidRPr="00C32B07" w:rsidRDefault="004821B3" w:rsidP="000C31F1">
      <w:pPr>
        <w:tabs>
          <w:tab w:val="left" w:pos="1394"/>
          <w:tab w:val="left" w:pos="2528"/>
          <w:tab w:val="left" w:pos="2970"/>
        </w:tabs>
        <w:spacing w:after="0" w:line="360" w:lineRule="auto"/>
        <w:jc w:val="both"/>
        <w:rPr>
          <w:rFonts w:ascii="Arial" w:hAnsi="Arial" w:cs="Arial"/>
          <w:sz w:val="24"/>
          <w:szCs w:val="24"/>
        </w:rPr>
      </w:pPr>
      <w:r>
        <w:rPr>
          <w:rFonts w:ascii="ArialUnicodeMS" w:eastAsiaTheme="minorHAnsi" w:hAnsi="ArialUnicodeMS" w:cs="ArialUnicodeMS"/>
          <w:sz w:val="24"/>
          <w:szCs w:val="24"/>
        </w:rPr>
        <w:tab/>
      </w:r>
      <w:r>
        <w:rPr>
          <w:rFonts w:ascii="ArialUnicodeMS" w:eastAsiaTheme="minorHAnsi" w:hAnsi="ArialUnicodeMS" w:cs="ArialUnicodeMS"/>
          <w:sz w:val="24"/>
          <w:szCs w:val="24"/>
        </w:rPr>
        <w:tab/>
      </w:r>
      <w:r>
        <w:rPr>
          <w:rFonts w:ascii="ArialUnicodeMS" w:eastAsiaTheme="minorHAnsi" w:hAnsi="ArialUnicodeMS" w:cs="ArialUnicodeMS"/>
          <w:sz w:val="24"/>
          <w:szCs w:val="24"/>
        </w:rPr>
        <w:tab/>
      </w:r>
      <w:r w:rsidR="00DD60DE">
        <w:rPr>
          <w:rFonts w:ascii="ArialUnicodeMS" w:eastAsiaTheme="minorHAnsi" w:hAnsi="ArialUnicodeMS" w:cs="ArialUnicodeMS"/>
          <w:sz w:val="24"/>
          <w:szCs w:val="24"/>
        </w:rPr>
        <w:t xml:space="preserve">Of </w:t>
      </w:r>
      <w:r>
        <w:rPr>
          <w:rFonts w:ascii="ArialUnicodeMS" w:eastAsiaTheme="minorHAnsi" w:hAnsi="ArialUnicodeMS" w:cs="ArialUnicodeMS"/>
          <w:sz w:val="24"/>
          <w:szCs w:val="24"/>
        </w:rPr>
        <w:t>Nixon Marcus Public La</w:t>
      </w:r>
      <w:bookmarkStart w:id="0" w:name="_GoBack"/>
      <w:bookmarkEnd w:id="0"/>
      <w:r>
        <w:rPr>
          <w:rFonts w:ascii="ArialUnicodeMS" w:eastAsiaTheme="minorHAnsi" w:hAnsi="ArialUnicodeMS" w:cs="ArialUnicodeMS"/>
          <w:sz w:val="24"/>
          <w:szCs w:val="24"/>
        </w:rPr>
        <w:t>w Office</w:t>
      </w:r>
      <w:r w:rsidR="00DD60DE">
        <w:rPr>
          <w:rFonts w:ascii="ArialUnicodeMS" w:eastAsiaTheme="minorHAnsi" w:hAnsi="ArialUnicodeMS" w:cs="ArialUnicodeMS"/>
          <w:sz w:val="24"/>
          <w:szCs w:val="24"/>
        </w:rPr>
        <w:t>, Windhoek</w:t>
      </w:r>
    </w:p>
    <w:p w:rsidR="00370A82" w:rsidRDefault="00370A82" w:rsidP="000C31F1">
      <w:pPr>
        <w:tabs>
          <w:tab w:val="left" w:pos="1394"/>
          <w:tab w:val="left" w:pos="2528"/>
          <w:tab w:val="left" w:pos="2970"/>
        </w:tabs>
        <w:spacing w:after="0" w:line="360" w:lineRule="auto"/>
        <w:jc w:val="both"/>
        <w:rPr>
          <w:rFonts w:ascii="Arial" w:hAnsi="Arial" w:cs="Arial"/>
          <w:sz w:val="24"/>
          <w:szCs w:val="24"/>
        </w:rPr>
      </w:pPr>
    </w:p>
    <w:p w:rsidR="00DD60DE" w:rsidRPr="00C32B07" w:rsidRDefault="00DD60DE" w:rsidP="000C31F1">
      <w:pPr>
        <w:tabs>
          <w:tab w:val="left" w:pos="1394"/>
          <w:tab w:val="left" w:pos="2528"/>
          <w:tab w:val="left" w:pos="2970"/>
        </w:tabs>
        <w:spacing w:after="0" w:line="360" w:lineRule="auto"/>
        <w:jc w:val="both"/>
        <w:rPr>
          <w:rFonts w:ascii="Arial" w:hAnsi="Arial" w:cs="Arial"/>
          <w:sz w:val="24"/>
          <w:szCs w:val="24"/>
        </w:rPr>
      </w:pPr>
    </w:p>
    <w:p w:rsidR="00DD60DE" w:rsidRDefault="00DD60DE" w:rsidP="000C31F1">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FIRST</w:t>
      </w:r>
      <w:r w:rsidR="009F782E">
        <w:rPr>
          <w:rFonts w:ascii="Arial" w:hAnsi="Arial" w:cs="Arial"/>
          <w:sz w:val="24"/>
          <w:szCs w:val="24"/>
        </w:rPr>
        <w:t xml:space="preserve"> AND </w:t>
      </w:r>
      <w:r>
        <w:rPr>
          <w:rFonts w:ascii="Arial" w:hAnsi="Arial" w:cs="Arial"/>
          <w:sz w:val="24"/>
          <w:szCs w:val="24"/>
        </w:rPr>
        <w:t>SECOND</w:t>
      </w:r>
    </w:p>
    <w:p w:rsidR="00DD60DE" w:rsidRDefault="009F782E" w:rsidP="00B07594">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DEFENDANT</w:t>
      </w:r>
      <w:r w:rsidR="00DD60DE">
        <w:rPr>
          <w:rFonts w:ascii="Arial" w:hAnsi="Arial" w:cs="Arial"/>
          <w:sz w:val="24"/>
          <w:szCs w:val="24"/>
        </w:rPr>
        <w:t>S:</w:t>
      </w:r>
      <w:r w:rsidR="00DD60DE">
        <w:rPr>
          <w:rFonts w:ascii="Arial" w:hAnsi="Arial" w:cs="Arial"/>
          <w:sz w:val="24"/>
          <w:szCs w:val="24"/>
        </w:rPr>
        <w:tab/>
      </w:r>
      <w:r w:rsidR="00DD60DE">
        <w:rPr>
          <w:rFonts w:ascii="Arial" w:hAnsi="Arial" w:cs="Arial"/>
          <w:sz w:val="24"/>
          <w:szCs w:val="24"/>
        </w:rPr>
        <w:tab/>
        <w:t>F ERASMUS</w:t>
      </w:r>
    </w:p>
    <w:p w:rsidR="00370A82" w:rsidRDefault="00DD60DE" w:rsidP="000C31F1">
      <w:pPr>
        <w:tabs>
          <w:tab w:val="left" w:pos="1394"/>
          <w:tab w:val="left" w:pos="2528"/>
          <w:tab w:val="left" w:pos="2970"/>
        </w:tabs>
        <w:spacing w:after="0" w:line="360" w:lineRule="auto"/>
        <w:jc w:val="both"/>
        <w:rPr>
          <w:rFonts w:ascii="ArialUnicodeMS" w:eastAsiaTheme="minorHAnsi" w:hAnsi="ArialUnicodeMS" w:cs="ArialUnicodeMS"/>
          <w:sz w:val="24"/>
          <w:szCs w:val="24"/>
        </w:rPr>
      </w:pPr>
      <w:r>
        <w:rPr>
          <w:rFonts w:ascii="ArialUnicodeMS" w:eastAsiaTheme="minorHAnsi" w:hAnsi="ArialUnicodeMS" w:cs="ArialUnicodeMS"/>
          <w:sz w:val="24"/>
          <w:szCs w:val="24"/>
        </w:rPr>
        <w:tab/>
      </w:r>
      <w:r>
        <w:rPr>
          <w:rFonts w:ascii="ArialUnicodeMS" w:eastAsiaTheme="minorHAnsi" w:hAnsi="ArialUnicodeMS" w:cs="ArialUnicodeMS"/>
          <w:sz w:val="24"/>
          <w:szCs w:val="24"/>
        </w:rPr>
        <w:tab/>
      </w:r>
      <w:r>
        <w:rPr>
          <w:rFonts w:ascii="ArialUnicodeMS" w:eastAsiaTheme="minorHAnsi" w:hAnsi="ArialUnicodeMS" w:cs="ArialUnicodeMS"/>
          <w:sz w:val="24"/>
          <w:szCs w:val="24"/>
        </w:rPr>
        <w:tab/>
        <w:t xml:space="preserve">Of </w:t>
      </w:r>
      <w:r w:rsidR="004821B3">
        <w:rPr>
          <w:rFonts w:ascii="ArialUnicodeMS" w:eastAsiaTheme="minorHAnsi" w:hAnsi="ArialUnicodeMS" w:cs="ArialUnicodeMS"/>
          <w:sz w:val="24"/>
          <w:szCs w:val="24"/>
        </w:rPr>
        <w:t>Francois Erasmus &amp; Partners</w:t>
      </w:r>
      <w:r>
        <w:rPr>
          <w:rFonts w:ascii="ArialUnicodeMS" w:eastAsiaTheme="minorHAnsi" w:hAnsi="ArialUnicodeMS" w:cs="ArialUnicodeMS"/>
          <w:sz w:val="24"/>
          <w:szCs w:val="24"/>
        </w:rPr>
        <w:t>, Windhoek</w:t>
      </w:r>
    </w:p>
    <w:p w:rsidR="00DD60DE" w:rsidRDefault="00DD60DE" w:rsidP="000C31F1">
      <w:pPr>
        <w:tabs>
          <w:tab w:val="left" w:pos="1394"/>
          <w:tab w:val="left" w:pos="2528"/>
          <w:tab w:val="left" w:pos="2970"/>
        </w:tabs>
        <w:spacing w:after="0" w:line="360" w:lineRule="auto"/>
        <w:jc w:val="both"/>
        <w:rPr>
          <w:rFonts w:ascii="ArialUnicodeMS" w:eastAsiaTheme="minorHAnsi" w:hAnsi="ArialUnicodeMS" w:cs="ArialUnicodeMS"/>
          <w:sz w:val="24"/>
          <w:szCs w:val="24"/>
        </w:rPr>
      </w:pPr>
    </w:p>
    <w:p w:rsidR="00DD60DE" w:rsidRDefault="00DD60DE" w:rsidP="000C31F1">
      <w:pPr>
        <w:tabs>
          <w:tab w:val="left" w:pos="1394"/>
          <w:tab w:val="left" w:pos="2528"/>
          <w:tab w:val="left" w:pos="2970"/>
        </w:tabs>
        <w:spacing w:after="0" w:line="360" w:lineRule="auto"/>
        <w:jc w:val="both"/>
        <w:rPr>
          <w:rFonts w:ascii="ArialUnicodeMS" w:eastAsiaTheme="minorHAnsi" w:hAnsi="ArialUnicodeMS" w:cs="ArialUnicodeMS"/>
          <w:sz w:val="24"/>
          <w:szCs w:val="24"/>
        </w:rPr>
      </w:pPr>
    </w:p>
    <w:p w:rsidR="00DD60DE" w:rsidRPr="00C32B07" w:rsidRDefault="00DD60DE" w:rsidP="000C31F1">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THIRD DEFENDANT:</w:t>
      </w:r>
      <w:r>
        <w:rPr>
          <w:rFonts w:ascii="Arial" w:hAnsi="Arial" w:cs="Arial"/>
          <w:sz w:val="24"/>
          <w:szCs w:val="24"/>
        </w:rPr>
        <w:tab/>
      </w:r>
      <w:r>
        <w:rPr>
          <w:rFonts w:ascii="Arial" w:hAnsi="Arial" w:cs="Arial"/>
          <w:sz w:val="24"/>
          <w:szCs w:val="24"/>
        </w:rPr>
        <w:tab/>
        <w:t>No appearance</w:t>
      </w:r>
    </w:p>
    <w:p w:rsidR="004716AE" w:rsidRPr="000C31F1" w:rsidRDefault="004716AE" w:rsidP="000C31F1">
      <w:pPr>
        <w:tabs>
          <w:tab w:val="left" w:pos="1394"/>
          <w:tab w:val="left" w:pos="2528"/>
          <w:tab w:val="left" w:pos="3780"/>
        </w:tabs>
        <w:spacing w:after="0" w:line="360" w:lineRule="auto"/>
        <w:ind w:left="3780" w:hanging="3780"/>
        <w:jc w:val="both"/>
        <w:rPr>
          <w:rFonts w:ascii="Arial" w:hAnsi="Arial" w:cs="Arial"/>
          <w:sz w:val="24"/>
          <w:szCs w:val="24"/>
        </w:rPr>
      </w:pPr>
    </w:p>
    <w:sectPr w:rsidR="004716AE" w:rsidRPr="000C31F1" w:rsidSect="008B0AFC">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59" w:rsidRDefault="00926059" w:rsidP="006243B6">
      <w:pPr>
        <w:spacing w:after="0" w:line="240" w:lineRule="auto"/>
      </w:pPr>
      <w:r>
        <w:separator/>
      </w:r>
    </w:p>
  </w:endnote>
  <w:endnote w:type="continuationSeparator" w:id="0">
    <w:p w:rsidR="00926059" w:rsidRDefault="00926059"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59" w:rsidRDefault="00926059" w:rsidP="006243B6">
      <w:pPr>
        <w:spacing w:after="0" w:line="240" w:lineRule="auto"/>
      </w:pPr>
      <w:r>
        <w:separator/>
      </w:r>
    </w:p>
  </w:footnote>
  <w:footnote w:type="continuationSeparator" w:id="0">
    <w:p w:rsidR="00926059" w:rsidRDefault="00926059" w:rsidP="006243B6">
      <w:pPr>
        <w:spacing w:after="0" w:line="240" w:lineRule="auto"/>
      </w:pPr>
      <w:r>
        <w:continuationSeparator/>
      </w:r>
    </w:p>
  </w:footnote>
  <w:footnote w:id="1">
    <w:p w:rsidR="009F782E" w:rsidRPr="00BD76BC" w:rsidRDefault="009F782E" w:rsidP="001C5779">
      <w:pPr>
        <w:pStyle w:val="FootnoteText"/>
        <w:rPr>
          <w:rFonts w:ascii="Arial" w:hAnsi="Arial" w:cs="Arial"/>
          <w:i/>
        </w:rPr>
      </w:pPr>
      <w:r w:rsidRPr="00BD76BC">
        <w:rPr>
          <w:rStyle w:val="FootnoteReference"/>
          <w:rFonts w:ascii="Arial" w:hAnsi="Arial" w:cs="Arial"/>
          <w:i/>
        </w:rPr>
        <w:footnoteRef/>
      </w:r>
      <w:r w:rsidRPr="00BD76BC">
        <w:rPr>
          <w:rFonts w:ascii="Arial" w:hAnsi="Arial" w:cs="Arial"/>
          <w:i/>
        </w:rPr>
        <w:t xml:space="preserve"> </w:t>
      </w:r>
      <w:r w:rsidRPr="00BD76BC">
        <w:rPr>
          <w:rStyle w:val="Emphasis"/>
          <w:rFonts w:ascii="Arial" w:hAnsi="Arial" w:cs="Arial"/>
        </w:rPr>
        <w:t>Stellenbosch Farmers</w:t>
      </w:r>
      <w:r w:rsidRPr="00BD76BC">
        <w:rPr>
          <w:rStyle w:val="st"/>
          <w:rFonts w:ascii="Arial" w:hAnsi="Arial" w:cs="Arial"/>
        </w:rPr>
        <w:t xml:space="preserve">' </w:t>
      </w:r>
      <w:r w:rsidRPr="00BD76BC">
        <w:rPr>
          <w:rStyle w:val="Emphasis"/>
          <w:rFonts w:ascii="Arial" w:hAnsi="Arial" w:cs="Arial"/>
        </w:rPr>
        <w:t>Winery Group Ltd v</w:t>
      </w:r>
      <w:r w:rsidRPr="00BD76BC">
        <w:rPr>
          <w:rStyle w:val="st"/>
          <w:rFonts w:ascii="Arial" w:hAnsi="Arial" w:cs="Arial"/>
        </w:rPr>
        <w:t xml:space="preserve"> </w:t>
      </w:r>
      <w:r w:rsidRPr="00BD76BC">
        <w:rPr>
          <w:rStyle w:val="st"/>
          <w:rFonts w:ascii="Arial" w:hAnsi="Arial" w:cs="Arial"/>
          <w:i/>
        </w:rPr>
        <w:t>Martel</w:t>
      </w:r>
      <w:r w:rsidRPr="00BD76BC">
        <w:rPr>
          <w:rStyle w:val="st"/>
          <w:rFonts w:ascii="Arial" w:hAnsi="Arial" w:cs="Arial"/>
        </w:rPr>
        <w:t xml:space="preserve"> </w:t>
      </w:r>
      <w:proofErr w:type="gramStart"/>
      <w:r w:rsidRPr="00BD76BC">
        <w:rPr>
          <w:rStyle w:val="Emphasis"/>
          <w:rFonts w:ascii="Arial" w:hAnsi="Arial" w:cs="Arial"/>
        </w:rPr>
        <w:t>et</w:t>
      </w:r>
      <w:proofErr w:type="gramEnd"/>
      <w:r w:rsidRPr="00BD76BC">
        <w:rPr>
          <w:rStyle w:val="st"/>
          <w:rFonts w:ascii="Arial" w:hAnsi="Arial" w:cs="Arial"/>
        </w:rPr>
        <w:t xml:space="preserve"> </w:t>
      </w:r>
      <w:proofErr w:type="spellStart"/>
      <w:r w:rsidRPr="00BD76BC">
        <w:rPr>
          <w:rStyle w:val="st"/>
          <w:rFonts w:ascii="Arial" w:hAnsi="Arial" w:cs="Arial"/>
          <w:i/>
        </w:rPr>
        <w:t>Cie</w:t>
      </w:r>
      <w:proofErr w:type="spellEnd"/>
      <w:r w:rsidRPr="00BD76BC">
        <w:rPr>
          <w:rStyle w:val="st"/>
          <w:rFonts w:ascii="Arial" w:hAnsi="Arial" w:cs="Arial"/>
          <w:i/>
        </w:rPr>
        <w:t xml:space="preserve"> </w:t>
      </w:r>
      <w:r w:rsidRPr="00BD76BC">
        <w:rPr>
          <w:rStyle w:val="Emphasis"/>
          <w:rFonts w:ascii="Arial" w:hAnsi="Arial" w:cs="Arial"/>
          <w:i w:val="0"/>
        </w:rPr>
        <w:t>2003</w:t>
      </w:r>
      <w:r w:rsidRPr="00BD76BC">
        <w:rPr>
          <w:rStyle w:val="st"/>
          <w:rFonts w:ascii="Arial" w:hAnsi="Arial" w:cs="Arial"/>
        </w:rPr>
        <w:t xml:space="preserve"> (1)</w:t>
      </w:r>
      <w:r w:rsidRPr="00BD76BC">
        <w:rPr>
          <w:rStyle w:val="st"/>
          <w:rFonts w:ascii="Arial" w:hAnsi="Arial" w:cs="Arial"/>
          <w:i/>
        </w:rPr>
        <w:t xml:space="preserve"> </w:t>
      </w:r>
      <w:r w:rsidRPr="00BD76BC">
        <w:rPr>
          <w:rStyle w:val="Emphasis"/>
          <w:rFonts w:ascii="Arial" w:hAnsi="Arial" w:cs="Arial"/>
          <w:i w:val="0"/>
        </w:rPr>
        <w:t>SA 11</w:t>
      </w:r>
      <w:r w:rsidRPr="00BD76BC">
        <w:rPr>
          <w:rStyle w:val="st"/>
          <w:rFonts w:ascii="Arial" w:hAnsi="Arial" w:cs="Arial"/>
          <w:i/>
        </w:rPr>
        <w:t xml:space="preserve"> (</w:t>
      </w:r>
      <w:r w:rsidRPr="00BD76BC">
        <w:rPr>
          <w:rStyle w:val="Emphasis"/>
          <w:rFonts w:ascii="Arial" w:hAnsi="Arial" w:cs="Arial"/>
          <w:i w:val="0"/>
        </w:rPr>
        <w:t>SCA</w:t>
      </w:r>
      <w:r w:rsidRPr="00BD76BC">
        <w:rPr>
          <w:rStyle w:val="st"/>
          <w:rFonts w:ascii="Arial" w:hAnsi="Arial" w:cs="Arial"/>
          <w:i/>
        </w:rPr>
        <w:t>)</w:t>
      </w:r>
      <w:r w:rsidR="00BD76BC" w:rsidRPr="00BD76BC">
        <w:rPr>
          <w:rStyle w:val="st"/>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120207"/>
      <w:docPartObj>
        <w:docPartGallery w:val="Page Numbers (Top of Page)"/>
        <w:docPartUnique/>
      </w:docPartObj>
    </w:sdtPr>
    <w:sdtEndPr>
      <w:rPr>
        <w:noProof/>
      </w:rPr>
    </w:sdtEndPr>
    <w:sdtContent>
      <w:p w:rsidR="009F782E" w:rsidRDefault="009F782E">
        <w:pPr>
          <w:pStyle w:val="Header"/>
          <w:jc w:val="right"/>
        </w:pPr>
        <w:r>
          <w:fldChar w:fldCharType="begin"/>
        </w:r>
        <w:r>
          <w:instrText xml:space="preserve"> PAGE   \* MERGEFORMAT </w:instrText>
        </w:r>
        <w:r>
          <w:fldChar w:fldCharType="separate"/>
        </w:r>
        <w:r w:rsidR="00C657D4">
          <w:rPr>
            <w:noProof/>
          </w:rPr>
          <w:t>7</w:t>
        </w:r>
        <w:r>
          <w:rPr>
            <w:noProof/>
          </w:rPr>
          <w:fldChar w:fldCharType="end"/>
        </w:r>
      </w:p>
    </w:sdtContent>
  </w:sdt>
  <w:p w:rsidR="009F782E" w:rsidRDefault="009F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57557"/>
    <w:multiLevelType w:val="hybridMultilevel"/>
    <w:tmpl w:val="567E8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4E2B"/>
    <w:multiLevelType w:val="hybridMultilevel"/>
    <w:tmpl w:val="40FECA10"/>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7" w15:restartNumberingAfterBreak="0">
    <w:nsid w:val="2A1D64E2"/>
    <w:multiLevelType w:val="hybridMultilevel"/>
    <w:tmpl w:val="F258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ED317E"/>
    <w:multiLevelType w:val="hybridMultilevel"/>
    <w:tmpl w:val="D17A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04C90"/>
    <w:multiLevelType w:val="hybridMultilevel"/>
    <w:tmpl w:val="7F7E9C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753377"/>
    <w:multiLevelType w:val="hybridMultilevel"/>
    <w:tmpl w:val="437A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033C88"/>
    <w:multiLevelType w:val="hybridMultilevel"/>
    <w:tmpl w:val="EEF85A4A"/>
    <w:lvl w:ilvl="0" w:tplc="FED86080">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5575D"/>
    <w:multiLevelType w:val="hybridMultilevel"/>
    <w:tmpl w:val="98A4466A"/>
    <w:lvl w:ilvl="0" w:tplc="FED86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A05503"/>
    <w:multiLevelType w:val="hybridMultilevel"/>
    <w:tmpl w:val="48A8A380"/>
    <w:lvl w:ilvl="0" w:tplc="B9D49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F301952"/>
    <w:multiLevelType w:val="hybridMultilevel"/>
    <w:tmpl w:val="C10C6294"/>
    <w:lvl w:ilvl="0" w:tplc="79202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17"/>
  </w:num>
  <w:num w:numId="8">
    <w:abstractNumId w:val="5"/>
  </w:num>
  <w:num w:numId="9">
    <w:abstractNumId w:val="20"/>
  </w:num>
  <w:num w:numId="10">
    <w:abstractNumId w:val="2"/>
  </w:num>
  <w:num w:numId="11">
    <w:abstractNumId w:val="21"/>
  </w:num>
  <w:num w:numId="12">
    <w:abstractNumId w:val="12"/>
  </w:num>
  <w:num w:numId="13">
    <w:abstractNumId w:val="8"/>
  </w:num>
  <w:num w:numId="14">
    <w:abstractNumId w:val="15"/>
  </w:num>
  <w:num w:numId="15">
    <w:abstractNumId w:val="18"/>
  </w:num>
  <w:num w:numId="16">
    <w:abstractNumId w:val="10"/>
  </w:num>
  <w:num w:numId="17">
    <w:abstractNumId w:val="13"/>
  </w:num>
  <w:num w:numId="18">
    <w:abstractNumId w:val="11"/>
  </w:num>
  <w:num w:numId="19">
    <w:abstractNumId w:val="14"/>
  </w:num>
  <w:num w:numId="20">
    <w:abstractNumId w:val="22"/>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4B52"/>
    <w:rsid w:val="00005423"/>
    <w:rsid w:val="0000632F"/>
    <w:rsid w:val="000134D9"/>
    <w:rsid w:val="00013F36"/>
    <w:rsid w:val="00015A83"/>
    <w:rsid w:val="00016F99"/>
    <w:rsid w:val="00026F3F"/>
    <w:rsid w:val="00026FC2"/>
    <w:rsid w:val="00030D11"/>
    <w:rsid w:val="0003252C"/>
    <w:rsid w:val="00042218"/>
    <w:rsid w:val="000430CE"/>
    <w:rsid w:val="00044D46"/>
    <w:rsid w:val="00054885"/>
    <w:rsid w:val="00054C72"/>
    <w:rsid w:val="00056B12"/>
    <w:rsid w:val="00061065"/>
    <w:rsid w:val="000629A8"/>
    <w:rsid w:val="00064808"/>
    <w:rsid w:val="000651B1"/>
    <w:rsid w:val="000661DF"/>
    <w:rsid w:val="00070427"/>
    <w:rsid w:val="0008434D"/>
    <w:rsid w:val="00091BDD"/>
    <w:rsid w:val="0009268B"/>
    <w:rsid w:val="000A24BB"/>
    <w:rsid w:val="000A78ED"/>
    <w:rsid w:val="000B5EA1"/>
    <w:rsid w:val="000C31F1"/>
    <w:rsid w:val="000C3B81"/>
    <w:rsid w:val="000C7F63"/>
    <w:rsid w:val="000D0342"/>
    <w:rsid w:val="000D0F40"/>
    <w:rsid w:val="000D698B"/>
    <w:rsid w:val="000E0123"/>
    <w:rsid w:val="000F2F3C"/>
    <w:rsid w:val="000F3C6D"/>
    <w:rsid w:val="00101895"/>
    <w:rsid w:val="001018CF"/>
    <w:rsid w:val="001033C4"/>
    <w:rsid w:val="0010343D"/>
    <w:rsid w:val="00104500"/>
    <w:rsid w:val="00106CF4"/>
    <w:rsid w:val="00110D4A"/>
    <w:rsid w:val="00111A0E"/>
    <w:rsid w:val="00120068"/>
    <w:rsid w:val="001427A1"/>
    <w:rsid w:val="00146E4D"/>
    <w:rsid w:val="0015037E"/>
    <w:rsid w:val="00154741"/>
    <w:rsid w:val="00154CA1"/>
    <w:rsid w:val="00162163"/>
    <w:rsid w:val="00162F8A"/>
    <w:rsid w:val="00166A1F"/>
    <w:rsid w:val="0018399F"/>
    <w:rsid w:val="001A6583"/>
    <w:rsid w:val="001C5779"/>
    <w:rsid w:val="001D175C"/>
    <w:rsid w:val="001D6A1C"/>
    <w:rsid w:val="001E3474"/>
    <w:rsid w:val="001E593F"/>
    <w:rsid w:val="001F0EB0"/>
    <w:rsid w:val="001F5177"/>
    <w:rsid w:val="001F6BAB"/>
    <w:rsid w:val="001F7095"/>
    <w:rsid w:val="001F7A98"/>
    <w:rsid w:val="002014B3"/>
    <w:rsid w:val="00201AFD"/>
    <w:rsid w:val="00216838"/>
    <w:rsid w:val="00225179"/>
    <w:rsid w:val="00233A44"/>
    <w:rsid w:val="00236D95"/>
    <w:rsid w:val="0023780C"/>
    <w:rsid w:val="002557E5"/>
    <w:rsid w:val="00262BB9"/>
    <w:rsid w:val="002654E2"/>
    <w:rsid w:val="00283E89"/>
    <w:rsid w:val="00284EEB"/>
    <w:rsid w:val="00290137"/>
    <w:rsid w:val="00291CBA"/>
    <w:rsid w:val="00297CD9"/>
    <w:rsid w:val="002A2F71"/>
    <w:rsid w:val="002A60BD"/>
    <w:rsid w:val="002A7206"/>
    <w:rsid w:val="002B0865"/>
    <w:rsid w:val="002B4FAA"/>
    <w:rsid w:val="002C1CC2"/>
    <w:rsid w:val="002C6EB2"/>
    <w:rsid w:val="002C7EDE"/>
    <w:rsid w:val="002D3645"/>
    <w:rsid w:val="002D6DA6"/>
    <w:rsid w:val="002E4375"/>
    <w:rsid w:val="002E4C06"/>
    <w:rsid w:val="002F3098"/>
    <w:rsid w:val="00303A0B"/>
    <w:rsid w:val="00311CBC"/>
    <w:rsid w:val="003135B8"/>
    <w:rsid w:val="00323A40"/>
    <w:rsid w:val="00325374"/>
    <w:rsid w:val="00335950"/>
    <w:rsid w:val="003447FA"/>
    <w:rsid w:val="00345D17"/>
    <w:rsid w:val="00346C94"/>
    <w:rsid w:val="00355487"/>
    <w:rsid w:val="00370A82"/>
    <w:rsid w:val="003743FF"/>
    <w:rsid w:val="00382BFF"/>
    <w:rsid w:val="0039778E"/>
    <w:rsid w:val="003A1DE5"/>
    <w:rsid w:val="003A1E28"/>
    <w:rsid w:val="003B1A72"/>
    <w:rsid w:val="003B7564"/>
    <w:rsid w:val="003B7F05"/>
    <w:rsid w:val="003C0659"/>
    <w:rsid w:val="003C0CF3"/>
    <w:rsid w:val="003C217A"/>
    <w:rsid w:val="003C4678"/>
    <w:rsid w:val="003D05E4"/>
    <w:rsid w:val="003D70E2"/>
    <w:rsid w:val="003E1279"/>
    <w:rsid w:val="003E611C"/>
    <w:rsid w:val="003F33E0"/>
    <w:rsid w:val="003F4802"/>
    <w:rsid w:val="003F71C6"/>
    <w:rsid w:val="00400F0E"/>
    <w:rsid w:val="00405DE2"/>
    <w:rsid w:val="00410D07"/>
    <w:rsid w:val="004175E5"/>
    <w:rsid w:val="0042163A"/>
    <w:rsid w:val="004217A1"/>
    <w:rsid w:val="0043444D"/>
    <w:rsid w:val="004360EC"/>
    <w:rsid w:val="00442C82"/>
    <w:rsid w:val="00445448"/>
    <w:rsid w:val="004517CD"/>
    <w:rsid w:val="00460FC6"/>
    <w:rsid w:val="00461289"/>
    <w:rsid w:val="00464B51"/>
    <w:rsid w:val="004716AE"/>
    <w:rsid w:val="0048026C"/>
    <w:rsid w:val="004815D3"/>
    <w:rsid w:val="004821B3"/>
    <w:rsid w:val="00483C1D"/>
    <w:rsid w:val="00487A54"/>
    <w:rsid w:val="004901C4"/>
    <w:rsid w:val="00492925"/>
    <w:rsid w:val="004934DB"/>
    <w:rsid w:val="004A1DD6"/>
    <w:rsid w:val="004C3B3D"/>
    <w:rsid w:val="004C680A"/>
    <w:rsid w:val="004D1F07"/>
    <w:rsid w:val="004D23B4"/>
    <w:rsid w:val="004D770A"/>
    <w:rsid w:val="004E4F09"/>
    <w:rsid w:val="004E5836"/>
    <w:rsid w:val="004F4014"/>
    <w:rsid w:val="004F5FB2"/>
    <w:rsid w:val="00500423"/>
    <w:rsid w:val="00503BF4"/>
    <w:rsid w:val="00505CF8"/>
    <w:rsid w:val="00512F83"/>
    <w:rsid w:val="005137E3"/>
    <w:rsid w:val="00515F2A"/>
    <w:rsid w:val="00521F7C"/>
    <w:rsid w:val="00523202"/>
    <w:rsid w:val="00530534"/>
    <w:rsid w:val="0053538B"/>
    <w:rsid w:val="00536564"/>
    <w:rsid w:val="00546E76"/>
    <w:rsid w:val="00550F63"/>
    <w:rsid w:val="00555FD1"/>
    <w:rsid w:val="00561A0D"/>
    <w:rsid w:val="005912FA"/>
    <w:rsid w:val="00591BCF"/>
    <w:rsid w:val="005920E9"/>
    <w:rsid w:val="00592A8C"/>
    <w:rsid w:val="0059681E"/>
    <w:rsid w:val="005A0BF7"/>
    <w:rsid w:val="005A5A9B"/>
    <w:rsid w:val="005A70CC"/>
    <w:rsid w:val="005A7638"/>
    <w:rsid w:val="005B58F1"/>
    <w:rsid w:val="005B7CA1"/>
    <w:rsid w:val="005C2B25"/>
    <w:rsid w:val="005C31AC"/>
    <w:rsid w:val="005C4CF1"/>
    <w:rsid w:val="005C6E8B"/>
    <w:rsid w:val="005D5B78"/>
    <w:rsid w:val="005D66C7"/>
    <w:rsid w:val="005E0A57"/>
    <w:rsid w:val="005E102B"/>
    <w:rsid w:val="005E150F"/>
    <w:rsid w:val="00603328"/>
    <w:rsid w:val="006037DB"/>
    <w:rsid w:val="00616C12"/>
    <w:rsid w:val="006243B6"/>
    <w:rsid w:val="006340A5"/>
    <w:rsid w:val="00634DF4"/>
    <w:rsid w:val="0063573B"/>
    <w:rsid w:val="00644AAE"/>
    <w:rsid w:val="006466C5"/>
    <w:rsid w:val="006508E0"/>
    <w:rsid w:val="00651B81"/>
    <w:rsid w:val="006528B9"/>
    <w:rsid w:val="0065744A"/>
    <w:rsid w:val="00657689"/>
    <w:rsid w:val="0067252D"/>
    <w:rsid w:val="00673D0F"/>
    <w:rsid w:val="006759E0"/>
    <w:rsid w:val="00680CBE"/>
    <w:rsid w:val="00690407"/>
    <w:rsid w:val="0069159A"/>
    <w:rsid w:val="00693379"/>
    <w:rsid w:val="00696789"/>
    <w:rsid w:val="006976E5"/>
    <w:rsid w:val="006A6B08"/>
    <w:rsid w:val="006B3AD0"/>
    <w:rsid w:val="006B44BA"/>
    <w:rsid w:val="006B4516"/>
    <w:rsid w:val="006B4A1C"/>
    <w:rsid w:val="006B6F2E"/>
    <w:rsid w:val="006C03EC"/>
    <w:rsid w:val="006C7E9D"/>
    <w:rsid w:val="006D171D"/>
    <w:rsid w:val="006E2BD3"/>
    <w:rsid w:val="006E3270"/>
    <w:rsid w:val="006F7754"/>
    <w:rsid w:val="00705BD5"/>
    <w:rsid w:val="007263F2"/>
    <w:rsid w:val="007276D8"/>
    <w:rsid w:val="00733412"/>
    <w:rsid w:val="00735959"/>
    <w:rsid w:val="00743043"/>
    <w:rsid w:val="0075099D"/>
    <w:rsid w:val="00750E19"/>
    <w:rsid w:val="007563DE"/>
    <w:rsid w:val="0076039A"/>
    <w:rsid w:val="00762780"/>
    <w:rsid w:val="00770FA1"/>
    <w:rsid w:val="00772A29"/>
    <w:rsid w:val="00772E5E"/>
    <w:rsid w:val="00774C3B"/>
    <w:rsid w:val="00780AF8"/>
    <w:rsid w:val="00781FD5"/>
    <w:rsid w:val="00782C3E"/>
    <w:rsid w:val="007854A7"/>
    <w:rsid w:val="00794EAE"/>
    <w:rsid w:val="007A013D"/>
    <w:rsid w:val="007A0EC5"/>
    <w:rsid w:val="007A4E59"/>
    <w:rsid w:val="007B34DE"/>
    <w:rsid w:val="007B4A95"/>
    <w:rsid w:val="007B4B39"/>
    <w:rsid w:val="007C3012"/>
    <w:rsid w:val="007C36F8"/>
    <w:rsid w:val="007C4616"/>
    <w:rsid w:val="007D17D7"/>
    <w:rsid w:val="007D28AD"/>
    <w:rsid w:val="007D3A61"/>
    <w:rsid w:val="007E0A9D"/>
    <w:rsid w:val="007E2112"/>
    <w:rsid w:val="007F2DA4"/>
    <w:rsid w:val="007F3326"/>
    <w:rsid w:val="00800EA2"/>
    <w:rsid w:val="008119A2"/>
    <w:rsid w:val="00811C5D"/>
    <w:rsid w:val="00813B0D"/>
    <w:rsid w:val="00814037"/>
    <w:rsid w:val="00821DC2"/>
    <w:rsid w:val="00823945"/>
    <w:rsid w:val="0082487D"/>
    <w:rsid w:val="008258E2"/>
    <w:rsid w:val="008332A7"/>
    <w:rsid w:val="00837499"/>
    <w:rsid w:val="00841F85"/>
    <w:rsid w:val="008424B0"/>
    <w:rsid w:val="008436CE"/>
    <w:rsid w:val="008574B3"/>
    <w:rsid w:val="00862B43"/>
    <w:rsid w:val="0088502F"/>
    <w:rsid w:val="00887C7A"/>
    <w:rsid w:val="008920B0"/>
    <w:rsid w:val="008B0AFC"/>
    <w:rsid w:val="008B7774"/>
    <w:rsid w:val="008E0E1B"/>
    <w:rsid w:val="008E2E6E"/>
    <w:rsid w:val="008E6349"/>
    <w:rsid w:val="008F155A"/>
    <w:rsid w:val="008F2582"/>
    <w:rsid w:val="008F599F"/>
    <w:rsid w:val="0090343F"/>
    <w:rsid w:val="00926059"/>
    <w:rsid w:val="00930781"/>
    <w:rsid w:val="00940EDD"/>
    <w:rsid w:val="009616C4"/>
    <w:rsid w:val="009617F1"/>
    <w:rsid w:val="00962E9D"/>
    <w:rsid w:val="00965295"/>
    <w:rsid w:val="009811A3"/>
    <w:rsid w:val="00994246"/>
    <w:rsid w:val="00995AD2"/>
    <w:rsid w:val="00996169"/>
    <w:rsid w:val="009A294D"/>
    <w:rsid w:val="009A590C"/>
    <w:rsid w:val="009B1A0E"/>
    <w:rsid w:val="009B4DD9"/>
    <w:rsid w:val="009B76C1"/>
    <w:rsid w:val="009C46C3"/>
    <w:rsid w:val="009F2CCE"/>
    <w:rsid w:val="009F782E"/>
    <w:rsid w:val="00A00F1E"/>
    <w:rsid w:val="00A06796"/>
    <w:rsid w:val="00A17839"/>
    <w:rsid w:val="00A20336"/>
    <w:rsid w:val="00A2066B"/>
    <w:rsid w:val="00A31EA7"/>
    <w:rsid w:val="00A327BF"/>
    <w:rsid w:val="00A436E7"/>
    <w:rsid w:val="00A44BF8"/>
    <w:rsid w:val="00A45EF5"/>
    <w:rsid w:val="00A540E8"/>
    <w:rsid w:val="00A557DB"/>
    <w:rsid w:val="00A61D46"/>
    <w:rsid w:val="00A67947"/>
    <w:rsid w:val="00A71AEA"/>
    <w:rsid w:val="00A82241"/>
    <w:rsid w:val="00A8451C"/>
    <w:rsid w:val="00A95FCB"/>
    <w:rsid w:val="00AA304E"/>
    <w:rsid w:val="00AA5569"/>
    <w:rsid w:val="00AA6822"/>
    <w:rsid w:val="00AA6B05"/>
    <w:rsid w:val="00AB2901"/>
    <w:rsid w:val="00AC005E"/>
    <w:rsid w:val="00AC3F29"/>
    <w:rsid w:val="00AC5352"/>
    <w:rsid w:val="00AE02D9"/>
    <w:rsid w:val="00AE2824"/>
    <w:rsid w:val="00AE4AE5"/>
    <w:rsid w:val="00AE55FF"/>
    <w:rsid w:val="00AF7A80"/>
    <w:rsid w:val="00B01C43"/>
    <w:rsid w:val="00B07594"/>
    <w:rsid w:val="00B10E7D"/>
    <w:rsid w:val="00B207DE"/>
    <w:rsid w:val="00B22303"/>
    <w:rsid w:val="00B22D75"/>
    <w:rsid w:val="00B27E14"/>
    <w:rsid w:val="00B339FC"/>
    <w:rsid w:val="00B37966"/>
    <w:rsid w:val="00B40675"/>
    <w:rsid w:val="00B41876"/>
    <w:rsid w:val="00B43870"/>
    <w:rsid w:val="00B52171"/>
    <w:rsid w:val="00B527D4"/>
    <w:rsid w:val="00B55909"/>
    <w:rsid w:val="00B61412"/>
    <w:rsid w:val="00B71687"/>
    <w:rsid w:val="00B731B4"/>
    <w:rsid w:val="00B82F09"/>
    <w:rsid w:val="00B844BF"/>
    <w:rsid w:val="00B845D2"/>
    <w:rsid w:val="00B845ED"/>
    <w:rsid w:val="00B96E30"/>
    <w:rsid w:val="00B97AE7"/>
    <w:rsid w:val="00BA41EC"/>
    <w:rsid w:val="00BB436F"/>
    <w:rsid w:val="00BD00DB"/>
    <w:rsid w:val="00BD76BC"/>
    <w:rsid w:val="00BE3CEF"/>
    <w:rsid w:val="00BE44DE"/>
    <w:rsid w:val="00BE541F"/>
    <w:rsid w:val="00C01D8B"/>
    <w:rsid w:val="00C042B4"/>
    <w:rsid w:val="00C27B39"/>
    <w:rsid w:val="00C32B07"/>
    <w:rsid w:val="00C35E4D"/>
    <w:rsid w:val="00C517ED"/>
    <w:rsid w:val="00C5236C"/>
    <w:rsid w:val="00C54FE9"/>
    <w:rsid w:val="00C557CA"/>
    <w:rsid w:val="00C6340E"/>
    <w:rsid w:val="00C657D4"/>
    <w:rsid w:val="00C6699A"/>
    <w:rsid w:val="00C67E0C"/>
    <w:rsid w:val="00C71E85"/>
    <w:rsid w:val="00C815DC"/>
    <w:rsid w:val="00C8361C"/>
    <w:rsid w:val="00C87349"/>
    <w:rsid w:val="00C979FF"/>
    <w:rsid w:val="00CA01E4"/>
    <w:rsid w:val="00CA1955"/>
    <w:rsid w:val="00CA4DFA"/>
    <w:rsid w:val="00CB00E9"/>
    <w:rsid w:val="00CC34FF"/>
    <w:rsid w:val="00CC41DB"/>
    <w:rsid w:val="00CC5147"/>
    <w:rsid w:val="00CC5D43"/>
    <w:rsid w:val="00CE11A7"/>
    <w:rsid w:val="00CE6FE1"/>
    <w:rsid w:val="00CF4F79"/>
    <w:rsid w:val="00D06DB1"/>
    <w:rsid w:val="00D1289B"/>
    <w:rsid w:val="00D14456"/>
    <w:rsid w:val="00D21138"/>
    <w:rsid w:val="00D234DE"/>
    <w:rsid w:val="00D31249"/>
    <w:rsid w:val="00D3261B"/>
    <w:rsid w:val="00D32919"/>
    <w:rsid w:val="00D34A2C"/>
    <w:rsid w:val="00D6265C"/>
    <w:rsid w:val="00D64BCA"/>
    <w:rsid w:val="00D75641"/>
    <w:rsid w:val="00D75EED"/>
    <w:rsid w:val="00D762F0"/>
    <w:rsid w:val="00D85CF9"/>
    <w:rsid w:val="00D93F36"/>
    <w:rsid w:val="00DA01CF"/>
    <w:rsid w:val="00DA748A"/>
    <w:rsid w:val="00DB197C"/>
    <w:rsid w:val="00DB6B57"/>
    <w:rsid w:val="00DD20D6"/>
    <w:rsid w:val="00DD44DB"/>
    <w:rsid w:val="00DD60DE"/>
    <w:rsid w:val="00DE4842"/>
    <w:rsid w:val="00DE58FA"/>
    <w:rsid w:val="00DE6AE9"/>
    <w:rsid w:val="00DF0A6B"/>
    <w:rsid w:val="00DF53B5"/>
    <w:rsid w:val="00E042EC"/>
    <w:rsid w:val="00E108DB"/>
    <w:rsid w:val="00E12A43"/>
    <w:rsid w:val="00E1600A"/>
    <w:rsid w:val="00E43FCF"/>
    <w:rsid w:val="00E517CE"/>
    <w:rsid w:val="00E55598"/>
    <w:rsid w:val="00E722E4"/>
    <w:rsid w:val="00E77589"/>
    <w:rsid w:val="00E85C9F"/>
    <w:rsid w:val="00E969C1"/>
    <w:rsid w:val="00EA4843"/>
    <w:rsid w:val="00EB0C50"/>
    <w:rsid w:val="00EC1881"/>
    <w:rsid w:val="00EC1B39"/>
    <w:rsid w:val="00ED2FFC"/>
    <w:rsid w:val="00ED4074"/>
    <w:rsid w:val="00EF1923"/>
    <w:rsid w:val="00F0125B"/>
    <w:rsid w:val="00F05D7E"/>
    <w:rsid w:val="00F15D1C"/>
    <w:rsid w:val="00F26FC7"/>
    <w:rsid w:val="00F3044D"/>
    <w:rsid w:val="00F35E9F"/>
    <w:rsid w:val="00F41C75"/>
    <w:rsid w:val="00F465EF"/>
    <w:rsid w:val="00F512C1"/>
    <w:rsid w:val="00F538E1"/>
    <w:rsid w:val="00F62645"/>
    <w:rsid w:val="00F6433A"/>
    <w:rsid w:val="00F64530"/>
    <w:rsid w:val="00F650AA"/>
    <w:rsid w:val="00F810CC"/>
    <w:rsid w:val="00F86656"/>
    <w:rsid w:val="00FA0715"/>
    <w:rsid w:val="00FA2B67"/>
    <w:rsid w:val="00FB2384"/>
    <w:rsid w:val="00FB43F7"/>
    <w:rsid w:val="00FC094A"/>
    <w:rsid w:val="00FD6381"/>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FCACE-61A7-44E2-88FE-876B0E86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030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D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30D11"/>
    <w:rPr>
      <w:vertAlign w:val="superscript"/>
    </w:rPr>
  </w:style>
  <w:style w:type="paragraph" w:customStyle="1" w:styleId="Default">
    <w:name w:val="Default"/>
    <w:rsid w:val="009942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rsid w:val="001C5779"/>
  </w:style>
  <w:style w:type="character" w:styleId="Emphasis">
    <w:name w:val="Emphasis"/>
    <w:uiPriority w:val="20"/>
    <w:qFormat/>
    <w:rsid w:val="001C5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2020-08-20T18:30:00+00:00</Judgment_x0020_Date>
    <Year xmlns="c1afb1bd-f2fb-40fd-9abb-aea55b4d7662">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6113-0D1D-455F-9D37-A12511EE4E00}"/>
</file>

<file path=customXml/itemProps2.xml><?xml version="1.0" encoding="utf-8"?>
<ds:datastoreItem xmlns:ds="http://schemas.openxmlformats.org/officeDocument/2006/customXml" ds:itemID="{F26F203C-72FE-46D2-A3D6-E15317526089}"/>
</file>

<file path=customXml/itemProps3.xml><?xml version="1.0" encoding="utf-8"?>
<ds:datastoreItem xmlns:ds="http://schemas.openxmlformats.org/officeDocument/2006/customXml" ds:itemID="{8770A48C-74B4-4008-BC94-8ECCB7BCE143}"/>
</file>

<file path=customXml/itemProps4.xml><?xml version="1.0" encoding="utf-8"?>
<ds:datastoreItem xmlns:ds="http://schemas.openxmlformats.org/officeDocument/2006/customXml" ds:itemID="{6A63340E-DBE6-4F88-8DAF-3AAF4FA44AF4}"/>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Hamutenya v Namboer Dordabis Auctioneers (HC-MD-CIV-ACT-OTH-2017-03312) [2020] NAHCMD 366 (21 August 2020)</dc:title>
  <dc:creator>Victoria Sem</dc:creator>
  <cp:lastModifiedBy>Administrator</cp:lastModifiedBy>
  <cp:revision>2</cp:revision>
  <cp:lastPrinted>2020-08-21T08:19:00Z</cp:lastPrinted>
  <dcterms:created xsi:type="dcterms:W3CDTF">2020-08-25T08:09:00Z</dcterms:created>
  <dcterms:modified xsi:type="dcterms:W3CDTF">2020-08-25T08:09:00Z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