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1B0FDD" w:rsidTr="00120511">
        <w:trPr>
          <w:trHeight w:val="744"/>
        </w:trPr>
        <w:tc>
          <w:tcPr>
            <w:tcW w:w="5397" w:type="dxa"/>
            <w:gridSpan w:val="2"/>
          </w:tcPr>
          <w:p w:rsidR="00D35047" w:rsidRPr="00D13760" w:rsidRDefault="00D35047" w:rsidP="00120511">
            <w:pPr>
              <w:spacing w:line="360" w:lineRule="auto"/>
              <w:jc w:val="both"/>
              <w:rPr>
                <w:rFonts w:ascii="Arial Narrow" w:hAnsi="Arial Narrow" w:cs="Arial"/>
                <w:color w:val="171717" w:themeColor="background2" w:themeShade="1A"/>
                <w:sz w:val="24"/>
                <w:szCs w:val="24"/>
              </w:rPr>
            </w:pPr>
            <w:r w:rsidRPr="00D13760">
              <w:rPr>
                <w:rFonts w:ascii="Arial Narrow" w:hAnsi="Arial Narrow" w:cs="Arial"/>
                <w:b/>
                <w:color w:val="171717" w:themeColor="background2" w:themeShade="1A"/>
                <w:sz w:val="24"/>
                <w:szCs w:val="24"/>
              </w:rPr>
              <w:t>Case Title:</w:t>
            </w:r>
          </w:p>
          <w:p w:rsidR="00D35047" w:rsidRPr="00D13760" w:rsidRDefault="00B833EC" w:rsidP="000F050E">
            <w:pPr>
              <w:spacing w:line="360" w:lineRule="auto"/>
              <w:jc w:val="both"/>
              <w:rPr>
                <w:rFonts w:ascii="Arial Narrow" w:hAnsi="Arial Narrow" w:cs="Arial"/>
                <w:i/>
                <w:color w:val="171717" w:themeColor="background2" w:themeShade="1A"/>
                <w:sz w:val="24"/>
                <w:szCs w:val="24"/>
              </w:rPr>
            </w:pPr>
            <w:r>
              <w:rPr>
                <w:rFonts w:ascii="Arial Narrow" w:hAnsi="Arial Narrow" w:cs="Arial"/>
                <w:i/>
                <w:color w:val="171717" w:themeColor="background2" w:themeShade="1A"/>
                <w:sz w:val="24"/>
                <w:szCs w:val="24"/>
              </w:rPr>
              <w:t xml:space="preserve">The State v Romano Botha </w:t>
            </w:r>
          </w:p>
        </w:tc>
        <w:tc>
          <w:tcPr>
            <w:tcW w:w="4323" w:type="dxa"/>
          </w:tcPr>
          <w:p w:rsidR="00D35047" w:rsidRPr="00D13760" w:rsidRDefault="00D35047" w:rsidP="00120511">
            <w:pPr>
              <w:spacing w:line="360" w:lineRule="auto"/>
              <w:jc w:val="both"/>
              <w:rPr>
                <w:rFonts w:ascii="Arial Narrow" w:hAnsi="Arial Narrow" w:cs="Arial"/>
                <w:b/>
                <w:color w:val="171717" w:themeColor="background2" w:themeShade="1A"/>
                <w:sz w:val="24"/>
                <w:szCs w:val="24"/>
              </w:rPr>
            </w:pPr>
            <w:r w:rsidRPr="00D13760">
              <w:rPr>
                <w:rFonts w:ascii="Arial Narrow" w:hAnsi="Arial Narrow" w:cs="Arial"/>
                <w:b/>
                <w:color w:val="171717" w:themeColor="background2" w:themeShade="1A"/>
                <w:sz w:val="24"/>
                <w:szCs w:val="24"/>
              </w:rPr>
              <w:t>Case No:</w:t>
            </w:r>
          </w:p>
          <w:p w:rsidR="00D35047" w:rsidRPr="00D13760" w:rsidRDefault="00B13BE8" w:rsidP="00120511">
            <w:pPr>
              <w:spacing w:line="360" w:lineRule="auto"/>
              <w:jc w:val="both"/>
              <w:rPr>
                <w:rFonts w:ascii="Arial Narrow" w:hAnsi="Arial Narrow" w:cs="Arial"/>
                <w:color w:val="171717" w:themeColor="background2" w:themeShade="1A"/>
                <w:sz w:val="24"/>
                <w:szCs w:val="24"/>
              </w:rPr>
            </w:pPr>
            <w:r w:rsidRPr="00D13760">
              <w:rPr>
                <w:rFonts w:ascii="Arial Narrow" w:hAnsi="Arial Narrow" w:cs="Arial"/>
                <w:color w:val="171717" w:themeColor="background2" w:themeShade="1A"/>
                <w:sz w:val="24"/>
                <w:szCs w:val="24"/>
              </w:rPr>
              <w:t xml:space="preserve">CR </w:t>
            </w:r>
            <w:r w:rsidR="00324DF4">
              <w:rPr>
                <w:rFonts w:ascii="Arial Narrow" w:hAnsi="Arial Narrow" w:cs="Arial"/>
                <w:color w:val="171717" w:themeColor="background2" w:themeShade="1A"/>
                <w:sz w:val="24"/>
                <w:szCs w:val="24"/>
              </w:rPr>
              <w:t>8/2020</w:t>
            </w:r>
          </w:p>
        </w:tc>
      </w:tr>
      <w:tr w:rsidR="00D35047" w:rsidRPr="001B0FDD" w:rsidTr="00120511">
        <w:trPr>
          <w:trHeight w:val="844"/>
        </w:trPr>
        <w:tc>
          <w:tcPr>
            <w:tcW w:w="5397" w:type="dxa"/>
            <w:gridSpan w:val="2"/>
          </w:tcPr>
          <w:p w:rsidR="00D35047" w:rsidRDefault="00B13BE8" w:rsidP="00B13BE8">
            <w:pPr>
              <w:spacing w:line="360" w:lineRule="auto"/>
              <w:jc w:val="both"/>
              <w:rPr>
                <w:rFonts w:ascii="Arial Narrow" w:hAnsi="Arial Narrow" w:cs="Arial"/>
                <w:b/>
                <w:sz w:val="24"/>
                <w:szCs w:val="24"/>
              </w:rPr>
            </w:pPr>
            <w:r w:rsidRPr="00B13BE8">
              <w:rPr>
                <w:rFonts w:ascii="Arial Narrow" w:hAnsi="Arial Narrow" w:cs="Arial"/>
                <w:b/>
                <w:sz w:val="24"/>
                <w:szCs w:val="24"/>
              </w:rPr>
              <w:t>High Court MD Review No:</w:t>
            </w:r>
          </w:p>
          <w:p w:rsidR="00B13BE8" w:rsidRPr="00B13BE8" w:rsidRDefault="00934785" w:rsidP="00934785">
            <w:pPr>
              <w:spacing w:line="360" w:lineRule="auto"/>
              <w:jc w:val="both"/>
              <w:rPr>
                <w:rFonts w:ascii="Arial Narrow" w:hAnsi="Arial Narrow" w:cs="Arial"/>
                <w:sz w:val="24"/>
                <w:szCs w:val="24"/>
              </w:rPr>
            </w:pPr>
            <w:r>
              <w:rPr>
                <w:rFonts w:ascii="Arial Narrow" w:hAnsi="Arial Narrow" w:cs="Arial"/>
                <w:sz w:val="24"/>
                <w:szCs w:val="24"/>
              </w:rPr>
              <w:t>2169/2</w:t>
            </w:r>
            <w:r w:rsidR="00A52DB4">
              <w:rPr>
                <w:rFonts w:ascii="Arial Narrow" w:hAnsi="Arial Narrow" w:cs="Arial"/>
                <w:sz w:val="24"/>
                <w:szCs w:val="24"/>
              </w:rPr>
              <w:t>01</w:t>
            </w:r>
            <w:r>
              <w:rPr>
                <w:rFonts w:ascii="Arial Narrow" w:hAnsi="Arial Narrow" w:cs="Arial"/>
                <w:sz w:val="24"/>
                <w:szCs w:val="24"/>
              </w:rPr>
              <w:t>9</w:t>
            </w:r>
          </w:p>
        </w:tc>
        <w:tc>
          <w:tcPr>
            <w:tcW w:w="4323" w:type="dxa"/>
          </w:tcPr>
          <w:p w:rsidR="00D35047" w:rsidRPr="001B0FDD" w:rsidRDefault="00D35047" w:rsidP="00120511">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D35047" w:rsidRPr="001B0FDD" w:rsidRDefault="00D35047" w:rsidP="00120511">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D35047" w:rsidRPr="001B0FDD" w:rsidTr="00120511">
        <w:trPr>
          <w:trHeight w:val="1662"/>
        </w:trPr>
        <w:tc>
          <w:tcPr>
            <w:tcW w:w="5397" w:type="dxa"/>
            <w:gridSpan w:val="2"/>
          </w:tcPr>
          <w:p w:rsidR="00AE3012" w:rsidRDefault="00D35047" w:rsidP="00120511">
            <w:pPr>
              <w:spacing w:line="360" w:lineRule="auto"/>
              <w:jc w:val="both"/>
              <w:rPr>
                <w:rFonts w:ascii="Arial Narrow" w:hAnsi="Arial Narrow" w:cs="Arial"/>
                <w:b/>
                <w:sz w:val="24"/>
                <w:szCs w:val="24"/>
              </w:rPr>
            </w:pPr>
            <w:r w:rsidRPr="001B0FDD">
              <w:rPr>
                <w:rFonts w:ascii="Arial Narrow" w:hAnsi="Arial Narrow" w:cs="Arial"/>
                <w:b/>
                <w:sz w:val="24"/>
                <w:szCs w:val="24"/>
              </w:rPr>
              <w:t>Heard before:</w:t>
            </w:r>
          </w:p>
          <w:p w:rsidR="00A93F14" w:rsidRPr="0042139F" w:rsidRDefault="00A93F14" w:rsidP="00A93F14">
            <w:pPr>
              <w:spacing w:line="360" w:lineRule="auto"/>
              <w:jc w:val="both"/>
              <w:rPr>
                <w:rFonts w:ascii="Arial Narrow" w:hAnsi="Arial Narrow" w:cs="Arial"/>
                <w:i/>
                <w:color w:val="262626" w:themeColor="text1" w:themeTint="D9"/>
                <w:sz w:val="24"/>
                <w:szCs w:val="24"/>
              </w:rPr>
            </w:pPr>
            <w:r w:rsidRPr="00147EDD">
              <w:rPr>
                <w:rFonts w:ascii="Arial Narrow" w:hAnsi="Arial Narrow" w:cs="Arial"/>
                <w:color w:val="262626" w:themeColor="text1" w:themeTint="D9"/>
                <w:sz w:val="24"/>
                <w:szCs w:val="24"/>
              </w:rPr>
              <w:t>Ms</w:t>
            </w:r>
            <w:r>
              <w:rPr>
                <w:rFonts w:ascii="Arial Narrow" w:hAnsi="Arial Narrow" w:cs="Arial"/>
                <w:b/>
                <w:color w:val="262626" w:themeColor="text1" w:themeTint="D9"/>
                <w:sz w:val="24"/>
                <w:szCs w:val="24"/>
              </w:rPr>
              <w:t xml:space="preserve"> </w:t>
            </w:r>
            <w:r>
              <w:rPr>
                <w:rFonts w:ascii="Arial Narrow" w:hAnsi="Arial Narrow" w:cs="Arial"/>
                <w:sz w:val="24"/>
                <w:szCs w:val="24"/>
              </w:rPr>
              <w:t xml:space="preserve">Justice C </w:t>
            </w:r>
            <w:proofErr w:type="spellStart"/>
            <w:r>
              <w:rPr>
                <w:rFonts w:ascii="Arial Narrow" w:hAnsi="Arial Narrow" w:cs="Arial"/>
                <w:color w:val="262626" w:themeColor="text1" w:themeTint="D9"/>
                <w:sz w:val="24"/>
                <w:szCs w:val="24"/>
              </w:rPr>
              <w:t>Claasen</w:t>
            </w:r>
            <w:proofErr w:type="spellEnd"/>
            <w:r>
              <w:rPr>
                <w:rFonts w:ascii="Arial Narrow" w:hAnsi="Arial Narrow" w:cs="Arial"/>
                <w:color w:val="262626" w:themeColor="text1" w:themeTint="D9"/>
                <w:sz w:val="24"/>
                <w:szCs w:val="24"/>
              </w:rPr>
              <w:t xml:space="preserve"> </w:t>
            </w:r>
            <w:r w:rsidRPr="000C2CCC">
              <w:rPr>
                <w:rFonts w:ascii="Arial Narrow" w:hAnsi="Arial Narrow" w:cs="Arial"/>
                <w:color w:val="262626" w:themeColor="text1" w:themeTint="D9"/>
                <w:sz w:val="24"/>
                <w:szCs w:val="24"/>
              </w:rPr>
              <w:t>J</w:t>
            </w:r>
            <w:r>
              <w:rPr>
                <w:rFonts w:ascii="Arial Narrow" w:hAnsi="Arial Narrow" w:cs="Arial"/>
                <w:color w:val="262626" w:themeColor="text1" w:themeTint="D9"/>
                <w:sz w:val="24"/>
                <w:szCs w:val="24"/>
              </w:rPr>
              <w:t xml:space="preserve"> </w:t>
            </w:r>
            <w:r w:rsidRPr="0042139F">
              <w:rPr>
                <w:rFonts w:ascii="Arial Narrow" w:hAnsi="Arial Narrow" w:cs="Arial"/>
                <w:i/>
                <w:color w:val="262626" w:themeColor="text1" w:themeTint="D9"/>
                <w:sz w:val="24"/>
                <w:szCs w:val="24"/>
              </w:rPr>
              <w:t>et</w:t>
            </w:r>
          </w:p>
          <w:p w:rsidR="00D35047" w:rsidRPr="00AE3012" w:rsidRDefault="00A93F14" w:rsidP="00A93F14">
            <w:pPr>
              <w:spacing w:line="360" w:lineRule="auto"/>
              <w:jc w:val="both"/>
              <w:rPr>
                <w:rFonts w:ascii="Arial Narrow" w:hAnsi="Arial Narrow" w:cs="Arial"/>
                <w:b/>
                <w:sz w:val="24"/>
                <w:szCs w:val="24"/>
              </w:rPr>
            </w:pPr>
            <w:r>
              <w:rPr>
                <w:rFonts w:ascii="Arial Narrow" w:hAnsi="Arial Narrow" w:cs="Arial"/>
                <w:sz w:val="24"/>
                <w:szCs w:val="24"/>
              </w:rPr>
              <w:t xml:space="preserve">Ms Justice E </w:t>
            </w:r>
            <w:proofErr w:type="spellStart"/>
            <w:r>
              <w:rPr>
                <w:rFonts w:ascii="Arial Narrow" w:hAnsi="Arial Narrow" w:cs="Arial"/>
                <w:sz w:val="24"/>
                <w:szCs w:val="24"/>
              </w:rPr>
              <w:t>Rakow</w:t>
            </w:r>
            <w:proofErr w:type="spellEnd"/>
            <w:r>
              <w:rPr>
                <w:rFonts w:ascii="Arial Narrow" w:hAnsi="Arial Narrow" w:cs="Arial"/>
                <w:sz w:val="24"/>
                <w:szCs w:val="24"/>
              </w:rPr>
              <w:t xml:space="preserve"> AJ</w:t>
            </w:r>
          </w:p>
        </w:tc>
        <w:tc>
          <w:tcPr>
            <w:tcW w:w="4323" w:type="dxa"/>
          </w:tcPr>
          <w:p w:rsidR="00D35047" w:rsidRPr="001B0FDD" w:rsidRDefault="00D35047" w:rsidP="00120511">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D35047" w:rsidRPr="001B0FDD" w:rsidRDefault="00B13BE8" w:rsidP="004D7CCA">
            <w:pPr>
              <w:spacing w:line="360" w:lineRule="auto"/>
              <w:jc w:val="both"/>
              <w:rPr>
                <w:rFonts w:ascii="Arial Narrow" w:hAnsi="Arial Narrow" w:cs="Arial"/>
                <w:sz w:val="24"/>
                <w:szCs w:val="24"/>
              </w:rPr>
            </w:pPr>
            <w:r>
              <w:rPr>
                <w:rFonts w:ascii="Arial Narrow" w:hAnsi="Arial Narrow" w:cs="Arial"/>
                <w:sz w:val="24"/>
                <w:szCs w:val="24"/>
              </w:rPr>
              <w:t xml:space="preserve"> </w:t>
            </w:r>
            <w:r w:rsidR="009C725E">
              <w:rPr>
                <w:rFonts w:ascii="Arial Narrow" w:hAnsi="Arial Narrow" w:cs="Arial"/>
                <w:sz w:val="24"/>
                <w:szCs w:val="24"/>
              </w:rPr>
              <w:t>0</w:t>
            </w:r>
            <w:r w:rsidR="004D7CCA">
              <w:rPr>
                <w:rFonts w:ascii="Arial Narrow" w:hAnsi="Arial Narrow" w:cs="Arial"/>
                <w:sz w:val="24"/>
                <w:szCs w:val="24"/>
              </w:rPr>
              <w:t>5</w:t>
            </w:r>
            <w:r w:rsidR="009C725E">
              <w:rPr>
                <w:rFonts w:ascii="Arial Narrow" w:hAnsi="Arial Narrow" w:cs="Arial"/>
                <w:sz w:val="24"/>
                <w:szCs w:val="24"/>
              </w:rPr>
              <w:t xml:space="preserve"> February 2020</w:t>
            </w:r>
          </w:p>
        </w:tc>
      </w:tr>
      <w:tr w:rsidR="00D35047" w:rsidRPr="001B0FDD" w:rsidTr="00120511">
        <w:tc>
          <w:tcPr>
            <w:tcW w:w="9720" w:type="dxa"/>
            <w:gridSpan w:val="3"/>
          </w:tcPr>
          <w:p w:rsidR="00D35047" w:rsidRPr="00D13760" w:rsidRDefault="00D35047" w:rsidP="00120511">
            <w:pPr>
              <w:spacing w:line="360" w:lineRule="auto"/>
              <w:jc w:val="both"/>
              <w:rPr>
                <w:rFonts w:ascii="Arial Narrow" w:hAnsi="Arial Narrow" w:cs="Arial"/>
                <w:color w:val="0D0D0D" w:themeColor="text1" w:themeTint="F2"/>
                <w:sz w:val="24"/>
                <w:szCs w:val="24"/>
              </w:rPr>
            </w:pPr>
            <w:r w:rsidRPr="00D13760">
              <w:rPr>
                <w:rFonts w:ascii="Arial Narrow" w:hAnsi="Arial Narrow" w:cs="Arial"/>
                <w:b/>
                <w:color w:val="0D0D0D" w:themeColor="text1" w:themeTint="F2"/>
                <w:sz w:val="24"/>
                <w:szCs w:val="24"/>
              </w:rPr>
              <w:t xml:space="preserve">Neutral citation: </w:t>
            </w:r>
            <w:r w:rsidRPr="00D13760">
              <w:rPr>
                <w:rFonts w:ascii="Arial Narrow" w:hAnsi="Arial Narrow" w:cs="Arial"/>
                <w:i/>
                <w:color w:val="0D0D0D" w:themeColor="text1" w:themeTint="F2"/>
                <w:sz w:val="24"/>
                <w:szCs w:val="24"/>
              </w:rPr>
              <w:t xml:space="preserve">S v </w:t>
            </w:r>
            <w:r w:rsidR="00B833EC">
              <w:rPr>
                <w:rFonts w:ascii="Arial Narrow" w:hAnsi="Arial Narrow" w:cs="Arial"/>
                <w:i/>
                <w:color w:val="0D0D0D" w:themeColor="text1" w:themeTint="F2"/>
                <w:sz w:val="24"/>
                <w:szCs w:val="24"/>
              </w:rPr>
              <w:t>Romano Botha</w:t>
            </w:r>
            <w:r w:rsidR="009C725E">
              <w:rPr>
                <w:rFonts w:ascii="Arial Narrow" w:hAnsi="Arial Narrow" w:cs="Arial"/>
                <w:i/>
                <w:color w:val="0D0D0D" w:themeColor="text1" w:themeTint="F2"/>
                <w:sz w:val="24"/>
                <w:szCs w:val="24"/>
              </w:rPr>
              <w:t xml:space="preserve"> </w:t>
            </w:r>
            <w:r w:rsidRPr="00D13760">
              <w:rPr>
                <w:rFonts w:ascii="Arial Narrow" w:hAnsi="Arial Narrow" w:cs="Arial"/>
                <w:color w:val="0D0D0D" w:themeColor="text1" w:themeTint="F2"/>
                <w:sz w:val="24"/>
                <w:szCs w:val="24"/>
              </w:rPr>
              <w:t>(</w:t>
            </w:r>
            <w:r w:rsidR="00EC6886" w:rsidRPr="00D13760">
              <w:rPr>
                <w:rFonts w:ascii="Arial Narrow" w:hAnsi="Arial Narrow" w:cs="Arial"/>
                <w:color w:val="0D0D0D" w:themeColor="text1" w:themeTint="F2"/>
                <w:sz w:val="24"/>
                <w:szCs w:val="24"/>
              </w:rPr>
              <w:t>CR</w:t>
            </w:r>
            <w:r w:rsidR="00B13BE8" w:rsidRPr="00D13760">
              <w:rPr>
                <w:rFonts w:ascii="Arial Narrow" w:hAnsi="Arial Narrow" w:cs="Arial"/>
                <w:color w:val="0D0D0D" w:themeColor="text1" w:themeTint="F2"/>
                <w:sz w:val="24"/>
                <w:szCs w:val="24"/>
              </w:rPr>
              <w:t xml:space="preserve"> </w:t>
            </w:r>
            <w:r w:rsidRPr="00D13760">
              <w:rPr>
                <w:rFonts w:ascii="Arial Narrow" w:hAnsi="Arial Narrow" w:cs="Arial"/>
                <w:color w:val="0D0D0D" w:themeColor="text1" w:themeTint="F2"/>
                <w:sz w:val="24"/>
                <w:szCs w:val="24"/>
              </w:rPr>
              <w:t xml:space="preserve"> </w:t>
            </w:r>
            <w:r w:rsidR="00324DF4">
              <w:rPr>
                <w:rFonts w:ascii="Arial Narrow" w:hAnsi="Arial Narrow" w:cs="Arial"/>
                <w:color w:val="0D0D0D" w:themeColor="text1" w:themeTint="F2"/>
                <w:sz w:val="24"/>
                <w:szCs w:val="24"/>
              </w:rPr>
              <w:t>8/</w:t>
            </w:r>
            <w:r w:rsidR="009C725E">
              <w:rPr>
                <w:rFonts w:ascii="Arial Narrow" w:hAnsi="Arial Narrow" w:cs="Arial"/>
                <w:color w:val="0D0D0D" w:themeColor="text1" w:themeTint="F2"/>
                <w:sz w:val="24"/>
                <w:szCs w:val="24"/>
              </w:rPr>
              <w:t>2020</w:t>
            </w:r>
            <w:r w:rsidR="00B13BE8" w:rsidRPr="00D13760">
              <w:rPr>
                <w:rFonts w:ascii="Arial Narrow" w:hAnsi="Arial Narrow" w:cs="Arial"/>
                <w:color w:val="0D0D0D" w:themeColor="text1" w:themeTint="F2"/>
                <w:sz w:val="24"/>
                <w:szCs w:val="24"/>
              </w:rPr>
              <w:t>) [20</w:t>
            </w:r>
            <w:r w:rsidR="009C725E">
              <w:rPr>
                <w:rFonts w:ascii="Arial Narrow" w:hAnsi="Arial Narrow" w:cs="Arial"/>
                <w:color w:val="0D0D0D" w:themeColor="text1" w:themeTint="F2"/>
                <w:sz w:val="24"/>
                <w:szCs w:val="24"/>
              </w:rPr>
              <w:t>20</w:t>
            </w:r>
            <w:r w:rsidR="00B13BE8" w:rsidRPr="00D13760">
              <w:rPr>
                <w:rFonts w:ascii="Arial Narrow" w:hAnsi="Arial Narrow" w:cs="Arial"/>
                <w:color w:val="0D0D0D" w:themeColor="text1" w:themeTint="F2"/>
                <w:sz w:val="24"/>
                <w:szCs w:val="24"/>
              </w:rPr>
              <w:t xml:space="preserve">] NAHCMD </w:t>
            </w:r>
            <w:r w:rsidR="00324DF4">
              <w:rPr>
                <w:rFonts w:ascii="Arial Narrow" w:hAnsi="Arial Narrow" w:cs="Arial"/>
                <w:color w:val="0D0D0D" w:themeColor="text1" w:themeTint="F2"/>
                <w:sz w:val="24"/>
                <w:szCs w:val="24"/>
              </w:rPr>
              <w:t>38</w:t>
            </w:r>
            <w:r w:rsidR="00D13760">
              <w:rPr>
                <w:rFonts w:ascii="Arial Narrow" w:hAnsi="Arial Narrow" w:cs="Arial"/>
                <w:color w:val="0D0D0D" w:themeColor="text1" w:themeTint="F2"/>
                <w:sz w:val="24"/>
                <w:szCs w:val="24"/>
              </w:rPr>
              <w:t xml:space="preserve"> </w:t>
            </w:r>
            <w:r w:rsidR="00A52C8D" w:rsidRPr="00D13760">
              <w:rPr>
                <w:rFonts w:ascii="Arial Narrow" w:hAnsi="Arial Narrow" w:cs="Arial"/>
                <w:color w:val="0D0D0D" w:themeColor="text1" w:themeTint="F2"/>
                <w:sz w:val="24"/>
                <w:szCs w:val="24"/>
              </w:rPr>
              <w:t xml:space="preserve"> </w:t>
            </w:r>
            <w:r w:rsidRPr="00D13760">
              <w:rPr>
                <w:rFonts w:ascii="Arial Narrow" w:hAnsi="Arial Narrow" w:cs="Arial"/>
                <w:color w:val="0D0D0D" w:themeColor="text1" w:themeTint="F2"/>
                <w:sz w:val="24"/>
                <w:szCs w:val="24"/>
              </w:rPr>
              <w:t>(</w:t>
            </w:r>
            <w:r w:rsidR="009C725E">
              <w:rPr>
                <w:rFonts w:ascii="Arial Narrow" w:hAnsi="Arial Narrow" w:cs="Arial"/>
                <w:color w:val="0D0D0D" w:themeColor="text1" w:themeTint="F2"/>
                <w:sz w:val="24"/>
                <w:szCs w:val="24"/>
              </w:rPr>
              <w:t>0</w:t>
            </w:r>
            <w:r w:rsidR="004D7CCA">
              <w:rPr>
                <w:rFonts w:ascii="Arial Narrow" w:hAnsi="Arial Narrow" w:cs="Arial"/>
                <w:color w:val="0D0D0D" w:themeColor="text1" w:themeTint="F2"/>
                <w:sz w:val="24"/>
                <w:szCs w:val="24"/>
              </w:rPr>
              <w:t>5</w:t>
            </w:r>
            <w:r w:rsidR="009C725E">
              <w:rPr>
                <w:rFonts w:ascii="Arial Narrow" w:hAnsi="Arial Narrow" w:cs="Arial"/>
                <w:color w:val="0D0D0D" w:themeColor="text1" w:themeTint="F2"/>
                <w:sz w:val="24"/>
                <w:szCs w:val="24"/>
              </w:rPr>
              <w:t xml:space="preserve"> February 2020</w:t>
            </w:r>
            <w:r w:rsidRPr="00D13760">
              <w:rPr>
                <w:rFonts w:ascii="Arial Narrow" w:hAnsi="Arial Narrow" w:cs="Arial"/>
                <w:color w:val="0D0D0D" w:themeColor="text1" w:themeTint="F2"/>
                <w:sz w:val="24"/>
                <w:szCs w:val="24"/>
              </w:rPr>
              <w:t>)</w:t>
            </w:r>
          </w:p>
          <w:p w:rsidR="00D35047" w:rsidRPr="001B0FDD" w:rsidRDefault="00D35047" w:rsidP="00120511">
            <w:pPr>
              <w:spacing w:line="360" w:lineRule="auto"/>
              <w:jc w:val="both"/>
              <w:rPr>
                <w:rFonts w:ascii="Arial Narrow" w:hAnsi="Arial Narrow" w:cs="Arial"/>
                <w:b/>
                <w:sz w:val="24"/>
                <w:szCs w:val="24"/>
              </w:rPr>
            </w:pPr>
          </w:p>
        </w:tc>
      </w:tr>
      <w:tr w:rsidR="00D35047" w:rsidRPr="00ED330E" w:rsidTr="00120511">
        <w:tc>
          <w:tcPr>
            <w:tcW w:w="9720" w:type="dxa"/>
            <w:gridSpan w:val="3"/>
          </w:tcPr>
          <w:p w:rsidR="00421539" w:rsidRDefault="00D35047" w:rsidP="00A52DB4">
            <w:pPr>
              <w:spacing w:line="360" w:lineRule="auto"/>
              <w:jc w:val="both"/>
              <w:rPr>
                <w:rFonts w:ascii="Arial Narrow" w:hAnsi="Arial Narrow" w:cs="Arial"/>
                <w:b/>
                <w:sz w:val="24"/>
                <w:szCs w:val="24"/>
              </w:rPr>
            </w:pPr>
            <w:r w:rsidRPr="001B0FDD">
              <w:rPr>
                <w:rFonts w:ascii="Arial Narrow" w:hAnsi="Arial Narrow" w:cs="Arial"/>
                <w:b/>
                <w:sz w:val="24"/>
                <w:szCs w:val="24"/>
              </w:rPr>
              <w:t>The order:</w:t>
            </w:r>
          </w:p>
          <w:p w:rsidR="001846BA" w:rsidRDefault="00934785" w:rsidP="000D26E4">
            <w:pPr>
              <w:spacing w:line="360" w:lineRule="auto"/>
              <w:jc w:val="both"/>
              <w:rPr>
                <w:rFonts w:ascii="Arial Narrow" w:hAnsi="Arial Narrow" w:cs="Arial"/>
                <w:sz w:val="24"/>
                <w:szCs w:val="24"/>
                <w:lang w:val="en-US"/>
              </w:rPr>
            </w:pPr>
            <w:r>
              <w:rPr>
                <w:rFonts w:ascii="Arial Narrow" w:hAnsi="Arial Narrow" w:cs="Arial"/>
                <w:b/>
                <w:sz w:val="24"/>
                <w:szCs w:val="24"/>
              </w:rPr>
              <w:t xml:space="preserve">        </w:t>
            </w:r>
          </w:p>
          <w:p w:rsidR="00A10058" w:rsidRDefault="00A10058" w:rsidP="00A10058">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The conviction and sentence is set aside.</w:t>
            </w:r>
          </w:p>
          <w:p w:rsidR="00A10058" w:rsidRDefault="00A10058" w:rsidP="00A10058">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 xml:space="preserve">The matter is remitted to the trial court to explain to the right to cross-examination at the end of the evidence in chief of the state witness who testified. </w:t>
            </w:r>
          </w:p>
          <w:p w:rsidR="00A10058" w:rsidRDefault="00A10058" w:rsidP="00A10058">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At the end of the State’s case the Magistrate is to comprehensively explain the right at the end of the State’s case to the unrepresented accused and bring the proceedings to its natural conclusion.</w:t>
            </w:r>
          </w:p>
          <w:p w:rsidR="00A10058" w:rsidRDefault="00A10058" w:rsidP="00A10058">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 xml:space="preserve">In the event of a conviction the </w:t>
            </w:r>
            <w:r w:rsidR="0024493C">
              <w:rPr>
                <w:rFonts w:ascii="Arial Narrow" w:hAnsi="Arial Narrow" w:cs="Arial"/>
                <w:sz w:val="24"/>
                <w:szCs w:val="24"/>
                <w:lang w:val="en-US"/>
              </w:rPr>
              <w:t>court</w:t>
            </w:r>
            <w:r>
              <w:rPr>
                <w:rFonts w:ascii="Arial Narrow" w:hAnsi="Arial Narrow" w:cs="Arial"/>
                <w:sz w:val="24"/>
                <w:szCs w:val="24"/>
                <w:lang w:val="en-US"/>
              </w:rPr>
              <w:t xml:space="preserve"> in sentencing must have regard to any sentence already served.</w:t>
            </w:r>
          </w:p>
          <w:p w:rsidR="00D35047" w:rsidRPr="00B833EC" w:rsidRDefault="00D35047" w:rsidP="00A10058">
            <w:pPr>
              <w:pStyle w:val="ListParagraph"/>
              <w:spacing w:line="360" w:lineRule="auto"/>
              <w:ind w:left="1080"/>
              <w:jc w:val="both"/>
              <w:rPr>
                <w:rFonts w:ascii="Arial Narrow" w:hAnsi="Arial Narrow" w:cs="Arial"/>
                <w:sz w:val="24"/>
                <w:szCs w:val="24"/>
                <w:lang w:val="en-US"/>
              </w:rPr>
            </w:pPr>
          </w:p>
        </w:tc>
      </w:tr>
      <w:tr w:rsidR="00D35047" w:rsidRPr="001B0FDD" w:rsidTr="00120511">
        <w:tc>
          <w:tcPr>
            <w:tcW w:w="9720" w:type="dxa"/>
            <w:gridSpan w:val="3"/>
          </w:tcPr>
          <w:p w:rsidR="00D35047" w:rsidRPr="001B0FDD" w:rsidRDefault="00D35047" w:rsidP="00120511">
            <w:pPr>
              <w:spacing w:line="360" w:lineRule="auto"/>
              <w:jc w:val="both"/>
              <w:rPr>
                <w:rFonts w:ascii="Arial Narrow" w:hAnsi="Arial Narrow" w:cs="Arial"/>
                <w:b/>
                <w:sz w:val="24"/>
                <w:szCs w:val="24"/>
              </w:rPr>
            </w:pPr>
            <w:r w:rsidRPr="001B0FDD">
              <w:rPr>
                <w:rFonts w:ascii="Arial Narrow" w:hAnsi="Arial Narrow" w:cs="Arial"/>
                <w:b/>
                <w:sz w:val="24"/>
                <w:szCs w:val="24"/>
              </w:rPr>
              <w:t>Reasons for order:</w:t>
            </w:r>
          </w:p>
        </w:tc>
      </w:tr>
      <w:tr w:rsidR="00D35047" w:rsidRPr="00FE65E1" w:rsidTr="00120511">
        <w:tc>
          <w:tcPr>
            <w:tcW w:w="9720" w:type="dxa"/>
            <w:gridSpan w:val="3"/>
          </w:tcPr>
          <w:p w:rsidR="00D35047" w:rsidRPr="001B0FDD" w:rsidRDefault="009C725E" w:rsidP="00120511">
            <w:pPr>
              <w:spacing w:line="360" w:lineRule="auto"/>
              <w:jc w:val="both"/>
              <w:rPr>
                <w:rFonts w:ascii="Arial Narrow" w:hAnsi="Arial Narrow" w:cs="Arial"/>
                <w:sz w:val="24"/>
                <w:szCs w:val="24"/>
              </w:rPr>
            </w:pPr>
            <w:proofErr w:type="spellStart"/>
            <w:r>
              <w:rPr>
                <w:rFonts w:ascii="Arial Narrow" w:hAnsi="Arial Narrow" w:cs="Arial"/>
                <w:sz w:val="24"/>
                <w:szCs w:val="24"/>
              </w:rPr>
              <w:t>Claasen</w:t>
            </w:r>
            <w:proofErr w:type="spellEnd"/>
            <w:r>
              <w:rPr>
                <w:rFonts w:ascii="Arial Narrow" w:hAnsi="Arial Narrow" w:cs="Arial"/>
                <w:sz w:val="24"/>
                <w:szCs w:val="24"/>
              </w:rPr>
              <w:t xml:space="preserve"> </w:t>
            </w:r>
            <w:r w:rsidR="00AE3012">
              <w:rPr>
                <w:rFonts w:ascii="Arial Narrow" w:hAnsi="Arial Narrow" w:cs="Arial"/>
                <w:sz w:val="24"/>
                <w:szCs w:val="24"/>
              </w:rPr>
              <w:t>J (</w:t>
            </w:r>
            <w:proofErr w:type="spellStart"/>
            <w:r w:rsidR="0024493C">
              <w:rPr>
                <w:rFonts w:ascii="Arial Narrow" w:hAnsi="Arial Narrow" w:cs="Arial"/>
                <w:sz w:val="24"/>
                <w:szCs w:val="24"/>
              </w:rPr>
              <w:t>Rakow</w:t>
            </w:r>
            <w:proofErr w:type="spellEnd"/>
            <w:r w:rsidR="0024493C">
              <w:rPr>
                <w:rFonts w:ascii="Arial Narrow" w:hAnsi="Arial Narrow" w:cs="Arial"/>
                <w:sz w:val="24"/>
                <w:szCs w:val="24"/>
              </w:rPr>
              <w:t xml:space="preserve"> AJ</w:t>
            </w:r>
            <w:r w:rsidR="00233DDB">
              <w:rPr>
                <w:rFonts w:ascii="Arial Narrow" w:hAnsi="Arial Narrow" w:cs="Arial"/>
                <w:sz w:val="24"/>
                <w:szCs w:val="24"/>
              </w:rPr>
              <w:t xml:space="preserve"> concuring</w:t>
            </w:r>
            <w:bookmarkStart w:id="0" w:name="_GoBack"/>
            <w:bookmarkEnd w:id="0"/>
            <w:r w:rsidR="0024493C">
              <w:rPr>
                <w:rFonts w:ascii="Arial Narrow" w:hAnsi="Arial Narrow" w:cs="Arial"/>
                <w:sz w:val="24"/>
                <w:szCs w:val="24"/>
              </w:rPr>
              <w:t>)</w:t>
            </w:r>
          </w:p>
          <w:p w:rsidR="00D35047" w:rsidRPr="001B0FDD" w:rsidRDefault="00D35047" w:rsidP="00120511">
            <w:pPr>
              <w:spacing w:line="360" w:lineRule="auto"/>
              <w:jc w:val="both"/>
              <w:rPr>
                <w:rFonts w:ascii="Arial Narrow" w:hAnsi="Arial Narrow" w:cs="Arial"/>
                <w:sz w:val="24"/>
                <w:szCs w:val="24"/>
              </w:rPr>
            </w:pPr>
          </w:p>
          <w:p w:rsidR="00D35047" w:rsidRPr="005345F6" w:rsidRDefault="00B833EC" w:rsidP="009A44E0">
            <w:pPr>
              <w:pStyle w:val="ListParagraph"/>
              <w:numPr>
                <w:ilvl w:val="0"/>
                <w:numId w:val="1"/>
              </w:numPr>
              <w:spacing w:line="360" w:lineRule="auto"/>
              <w:jc w:val="both"/>
              <w:rPr>
                <w:rFonts w:ascii="Arial Narrow" w:hAnsi="Arial Narrow" w:cs="Arial"/>
                <w:sz w:val="24"/>
                <w:szCs w:val="24"/>
                <w:lang w:val="en-GB"/>
              </w:rPr>
            </w:pPr>
            <w:r>
              <w:rPr>
                <w:rFonts w:ascii="Arial Narrow" w:hAnsi="Arial Narrow" w:cs="Arial"/>
                <w:sz w:val="24"/>
                <w:szCs w:val="24"/>
                <w:lang w:val="en-GB"/>
              </w:rPr>
              <w:t>The matter came before court on automatic review</w:t>
            </w:r>
            <w:r w:rsidR="00F8544D">
              <w:rPr>
                <w:rFonts w:ascii="Arial Narrow" w:hAnsi="Arial Narrow" w:cs="Arial"/>
                <w:sz w:val="24"/>
                <w:szCs w:val="24"/>
                <w:lang w:val="en-GB"/>
              </w:rPr>
              <w:t xml:space="preserve"> in terms of s</w:t>
            </w:r>
            <w:r w:rsidR="00B13BE8">
              <w:rPr>
                <w:rFonts w:ascii="Arial Narrow" w:hAnsi="Arial Narrow" w:cs="Arial"/>
                <w:sz w:val="24"/>
                <w:szCs w:val="24"/>
                <w:lang w:val="en-GB"/>
              </w:rPr>
              <w:t>ection</w:t>
            </w:r>
            <w:r w:rsidR="00EC6886">
              <w:rPr>
                <w:rFonts w:ascii="Arial Narrow" w:hAnsi="Arial Narrow" w:cs="Arial"/>
                <w:sz w:val="24"/>
                <w:szCs w:val="24"/>
                <w:lang w:val="en-GB"/>
              </w:rPr>
              <w:t xml:space="preserve"> 30</w:t>
            </w:r>
            <w:r w:rsidR="00E34F91">
              <w:rPr>
                <w:rFonts w:ascii="Arial Narrow" w:hAnsi="Arial Narrow" w:cs="Arial"/>
                <w:sz w:val="24"/>
                <w:szCs w:val="24"/>
                <w:lang w:val="en-GB"/>
              </w:rPr>
              <w:t>2(1</w:t>
            </w:r>
            <w:r w:rsidR="00324DF4">
              <w:rPr>
                <w:rFonts w:ascii="Arial Narrow" w:hAnsi="Arial Narrow" w:cs="Arial"/>
                <w:sz w:val="24"/>
                <w:szCs w:val="24"/>
                <w:lang w:val="en-GB"/>
              </w:rPr>
              <w:t>) of</w:t>
            </w:r>
            <w:r w:rsidR="00D35047" w:rsidRPr="005345F6">
              <w:rPr>
                <w:rFonts w:ascii="Arial Narrow" w:hAnsi="Arial Narrow" w:cs="Arial"/>
                <w:sz w:val="24"/>
                <w:szCs w:val="24"/>
                <w:lang w:val="en-GB"/>
              </w:rPr>
              <w:t xml:space="preserve"> the Criminal Procedure Act 51 of 1977</w:t>
            </w:r>
            <w:r w:rsidR="00A3633A">
              <w:rPr>
                <w:rFonts w:ascii="Arial Narrow" w:hAnsi="Arial Narrow" w:cs="Arial"/>
                <w:sz w:val="24"/>
                <w:szCs w:val="24"/>
                <w:lang w:val="en-GB"/>
              </w:rPr>
              <w:t xml:space="preserve"> (the CPA)</w:t>
            </w:r>
            <w:r w:rsidR="00D92DB9">
              <w:rPr>
                <w:rFonts w:ascii="Arial Narrow" w:hAnsi="Arial Narrow" w:cs="Arial"/>
                <w:sz w:val="24"/>
                <w:szCs w:val="24"/>
                <w:lang w:val="en-GB"/>
              </w:rPr>
              <w:t xml:space="preserve"> </w:t>
            </w:r>
            <w:r w:rsidR="00A31EDA">
              <w:rPr>
                <w:rFonts w:ascii="Arial Narrow" w:hAnsi="Arial Narrow" w:cs="Arial"/>
                <w:sz w:val="24"/>
                <w:szCs w:val="24"/>
                <w:lang w:val="en-GB"/>
              </w:rPr>
              <w:t xml:space="preserve">as amended, </w:t>
            </w:r>
            <w:r w:rsidR="00324DF4">
              <w:rPr>
                <w:rFonts w:ascii="Arial Narrow" w:hAnsi="Arial Narrow" w:cs="Arial"/>
                <w:sz w:val="24"/>
                <w:szCs w:val="24"/>
                <w:lang w:val="en-GB"/>
              </w:rPr>
              <w:t>(hereinafter</w:t>
            </w:r>
            <w:r w:rsidR="0024493C">
              <w:rPr>
                <w:rFonts w:ascii="Arial Narrow" w:hAnsi="Arial Narrow" w:cs="Arial"/>
                <w:sz w:val="24"/>
                <w:szCs w:val="24"/>
                <w:lang w:val="en-GB"/>
              </w:rPr>
              <w:t xml:space="preserve"> referred to as the CPA</w:t>
            </w:r>
            <w:r w:rsidR="004B093C">
              <w:rPr>
                <w:rFonts w:ascii="Arial Narrow" w:hAnsi="Arial Narrow" w:cs="Arial"/>
                <w:sz w:val="24"/>
                <w:szCs w:val="24"/>
                <w:lang w:val="en-GB"/>
              </w:rPr>
              <w:t>)</w:t>
            </w:r>
            <w:r w:rsidR="001051DB">
              <w:rPr>
                <w:rFonts w:ascii="Arial Narrow" w:hAnsi="Arial Narrow" w:cs="Arial"/>
                <w:sz w:val="24"/>
                <w:szCs w:val="24"/>
                <w:lang w:val="en-GB"/>
              </w:rPr>
              <w:t xml:space="preserve">. For the reasons set out below I have come to the conclusion that this is an instance where the convicted person may be prejudiced if the record of proceedings is not forthwith placed before the court and where the court may dispense with the obtaining of a statement of the magistrate who presided at the trial. </w:t>
            </w:r>
            <w:r w:rsidR="00324DF4">
              <w:rPr>
                <w:rFonts w:ascii="Arial Narrow" w:hAnsi="Arial Narrow" w:cs="Arial"/>
                <w:sz w:val="24"/>
                <w:szCs w:val="24"/>
                <w:lang w:val="en-GB"/>
              </w:rPr>
              <w:t>(</w:t>
            </w:r>
            <w:proofErr w:type="gramStart"/>
            <w:r w:rsidR="00324DF4">
              <w:rPr>
                <w:rFonts w:ascii="Arial Narrow" w:hAnsi="Arial Narrow" w:cs="Arial"/>
                <w:sz w:val="24"/>
                <w:szCs w:val="24"/>
                <w:lang w:val="en-GB"/>
              </w:rPr>
              <w:t>section</w:t>
            </w:r>
            <w:proofErr w:type="gramEnd"/>
            <w:r w:rsidR="001051DB">
              <w:rPr>
                <w:rFonts w:ascii="Arial Narrow" w:hAnsi="Arial Narrow" w:cs="Arial"/>
                <w:sz w:val="24"/>
                <w:szCs w:val="24"/>
                <w:lang w:val="en-GB"/>
              </w:rPr>
              <w:t xml:space="preserve"> 304(2)(a) of the CPA)</w:t>
            </w:r>
            <w:r w:rsidR="00A93F14">
              <w:rPr>
                <w:rFonts w:ascii="Arial Narrow" w:hAnsi="Arial Narrow" w:cs="Arial"/>
                <w:sz w:val="24"/>
                <w:szCs w:val="24"/>
                <w:lang w:val="en-GB"/>
              </w:rPr>
              <w:t>.</w:t>
            </w:r>
          </w:p>
          <w:p w:rsidR="00D35047" w:rsidRPr="005345F6" w:rsidRDefault="00D35047" w:rsidP="00120511">
            <w:pPr>
              <w:spacing w:line="360" w:lineRule="auto"/>
              <w:jc w:val="both"/>
              <w:rPr>
                <w:rFonts w:ascii="Arial Narrow" w:hAnsi="Arial Narrow" w:cs="Arial"/>
                <w:sz w:val="24"/>
                <w:szCs w:val="24"/>
                <w:lang w:val="en-GB"/>
              </w:rPr>
            </w:pPr>
            <w:r w:rsidRPr="005345F6">
              <w:rPr>
                <w:rFonts w:ascii="Arial Narrow" w:hAnsi="Arial Narrow" w:cs="Arial"/>
                <w:sz w:val="24"/>
                <w:szCs w:val="24"/>
                <w:lang w:val="en-GB"/>
              </w:rPr>
              <w:t xml:space="preserve"> </w:t>
            </w:r>
          </w:p>
          <w:p w:rsidR="00191F22" w:rsidRDefault="00A52DB4" w:rsidP="00143CCE">
            <w:pPr>
              <w:pStyle w:val="ListParagraph"/>
              <w:numPr>
                <w:ilvl w:val="0"/>
                <w:numId w:val="1"/>
              </w:numPr>
              <w:spacing w:line="360" w:lineRule="auto"/>
              <w:jc w:val="both"/>
              <w:rPr>
                <w:rFonts w:ascii="Arial Narrow" w:hAnsi="Arial Narrow" w:cs="Arial"/>
                <w:sz w:val="24"/>
                <w:szCs w:val="24"/>
                <w:lang w:val="en-US"/>
              </w:rPr>
            </w:pPr>
            <w:r w:rsidRPr="00B833EC">
              <w:rPr>
                <w:rFonts w:ascii="Arial Narrow" w:hAnsi="Arial Narrow" w:cs="Arial"/>
                <w:sz w:val="24"/>
                <w:szCs w:val="24"/>
                <w:lang w:val="en-US"/>
              </w:rPr>
              <w:lastRenderedPageBreak/>
              <w:t>The accused</w:t>
            </w:r>
            <w:r w:rsidR="00F8544D">
              <w:rPr>
                <w:rFonts w:ascii="Arial Narrow" w:hAnsi="Arial Narrow" w:cs="Arial"/>
                <w:sz w:val="24"/>
                <w:szCs w:val="24"/>
                <w:lang w:val="en-US"/>
              </w:rPr>
              <w:t xml:space="preserve"> was charged with housebreaking with the intent to steal and theft. The accused was questioned in terms of section 112(1</w:t>
            </w:r>
            <w:proofErr w:type="gramStart"/>
            <w:r w:rsidR="00F8544D">
              <w:rPr>
                <w:rFonts w:ascii="Arial Narrow" w:hAnsi="Arial Narrow" w:cs="Arial"/>
                <w:sz w:val="24"/>
                <w:szCs w:val="24"/>
                <w:lang w:val="en-US"/>
              </w:rPr>
              <w:t>)(</w:t>
            </w:r>
            <w:proofErr w:type="gramEnd"/>
            <w:r w:rsidR="00F8544D">
              <w:rPr>
                <w:rFonts w:ascii="Arial Narrow" w:hAnsi="Arial Narrow" w:cs="Arial"/>
                <w:sz w:val="24"/>
                <w:szCs w:val="24"/>
                <w:lang w:val="en-US"/>
              </w:rPr>
              <w:t xml:space="preserve">b) of the CPA. The court was not satisfied that all the elements of the offense were admitted and changed the plea to not guilty in terms of section 113 of the CPA. Subsequent thereto a trial commenced and a state witness testified. The state closed its case and the accused called no witness. Mitigation and aggravation followed and a sentence of </w:t>
            </w:r>
            <w:r w:rsidR="001051DB">
              <w:rPr>
                <w:rFonts w:ascii="Arial Narrow" w:hAnsi="Arial Narrow" w:cs="Arial"/>
                <w:sz w:val="24"/>
                <w:szCs w:val="24"/>
                <w:lang w:val="en-US"/>
              </w:rPr>
              <w:t xml:space="preserve">a fine of </w:t>
            </w:r>
            <w:r w:rsidR="00F8544D">
              <w:rPr>
                <w:rFonts w:ascii="Arial Narrow" w:hAnsi="Arial Narrow" w:cs="Arial"/>
                <w:sz w:val="24"/>
                <w:szCs w:val="24"/>
                <w:lang w:val="en-US"/>
              </w:rPr>
              <w:t xml:space="preserve">N$ 4000.00 or 4 months imprisonment was imposed.  </w:t>
            </w:r>
          </w:p>
          <w:p w:rsidR="00B833EC" w:rsidRPr="00B833EC" w:rsidRDefault="00B833EC" w:rsidP="00B833EC">
            <w:pPr>
              <w:pStyle w:val="ListParagraph"/>
              <w:rPr>
                <w:rFonts w:ascii="Arial Narrow" w:hAnsi="Arial Narrow" w:cs="Arial"/>
                <w:sz w:val="24"/>
                <w:szCs w:val="24"/>
                <w:lang w:val="en-US"/>
              </w:rPr>
            </w:pPr>
          </w:p>
          <w:p w:rsidR="001051DB" w:rsidRDefault="00F8544D" w:rsidP="00071094">
            <w:pPr>
              <w:pStyle w:val="ListParagraph"/>
              <w:numPr>
                <w:ilvl w:val="0"/>
                <w:numId w:val="1"/>
              </w:numPr>
              <w:spacing w:line="360" w:lineRule="auto"/>
              <w:jc w:val="both"/>
              <w:rPr>
                <w:rFonts w:ascii="Arial Narrow" w:hAnsi="Arial Narrow" w:cs="Arial"/>
                <w:sz w:val="24"/>
                <w:szCs w:val="24"/>
                <w:lang w:val="en-US"/>
              </w:rPr>
            </w:pPr>
            <w:r w:rsidRPr="002641B1">
              <w:rPr>
                <w:rFonts w:ascii="Arial Narrow" w:hAnsi="Arial Narrow" w:cs="Arial"/>
                <w:sz w:val="24"/>
                <w:szCs w:val="24"/>
                <w:lang w:val="en-US"/>
              </w:rPr>
              <w:t>The qualms that the cou</w:t>
            </w:r>
            <w:r w:rsidR="002641B1" w:rsidRPr="002641B1">
              <w:rPr>
                <w:rFonts w:ascii="Arial Narrow" w:hAnsi="Arial Narrow" w:cs="Arial"/>
                <w:sz w:val="24"/>
                <w:szCs w:val="24"/>
                <w:lang w:val="en-US"/>
              </w:rPr>
              <w:t xml:space="preserve">rt has with the trial is that </w:t>
            </w:r>
            <w:r w:rsidR="00521343">
              <w:rPr>
                <w:rFonts w:ascii="Arial Narrow" w:hAnsi="Arial Narrow" w:cs="Arial"/>
                <w:sz w:val="24"/>
                <w:szCs w:val="24"/>
                <w:lang w:val="en-US"/>
              </w:rPr>
              <w:t>the right to cross-examination was not explained and the right at the end of the S</w:t>
            </w:r>
            <w:r w:rsidR="002641B1" w:rsidRPr="002641B1">
              <w:rPr>
                <w:rFonts w:ascii="Arial Narrow" w:hAnsi="Arial Narrow" w:cs="Arial"/>
                <w:sz w:val="24"/>
                <w:szCs w:val="24"/>
                <w:lang w:val="en-US"/>
              </w:rPr>
              <w:t xml:space="preserve">tate’s case were not </w:t>
            </w:r>
            <w:r w:rsidR="00521343">
              <w:rPr>
                <w:rFonts w:ascii="Arial Narrow" w:hAnsi="Arial Narrow" w:cs="Arial"/>
                <w:sz w:val="24"/>
                <w:szCs w:val="24"/>
                <w:lang w:val="en-US"/>
              </w:rPr>
              <w:t xml:space="preserve">adequately </w:t>
            </w:r>
            <w:r w:rsidR="002641B1" w:rsidRPr="002641B1">
              <w:rPr>
                <w:rFonts w:ascii="Arial Narrow" w:hAnsi="Arial Narrow" w:cs="Arial"/>
                <w:sz w:val="24"/>
                <w:szCs w:val="24"/>
                <w:lang w:val="en-US"/>
              </w:rPr>
              <w:t>explained</w:t>
            </w:r>
            <w:r w:rsidR="00521343">
              <w:rPr>
                <w:rFonts w:ascii="Arial Narrow" w:hAnsi="Arial Narrow" w:cs="Arial"/>
                <w:sz w:val="24"/>
                <w:szCs w:val="24"/>
                <w:lang w:val="en-US"/>
              </w:rPr>
              <w:t>.</w:t>
            </w:r>
          </w:p>
          <w:p w:rsidR="001051DB" w:rsidRPr="001051DB" w:rsidRDefault="001051DB" w:rsidP="001051DB">
            <w:pPr>
              <w:pStyle w:val="ListParagraph"/>
              <w:rPr>
                <w:rFonts w:ascii="Arial Narrow" w:hAnsi="Arial Narrow" w:cs="Arial"/>
                <w:sz w:val="24"/>
                <w:szCs w:val="24"/>
                <w:lang w:val="en-US"/>
              </w:rPr>
            </w:pPr>
          </w:p>
          <w:p w:rsidR="009C3F31" w:rsidRPr="00797C84" w:rsidRDefault="001051DB" w:rsidP="00797C84">
            <w:pPr>
              <w:pStyle w:val="ListParagraph"/>
              <w:numPr>
                <w:ilvl w:val="0"/>
                <w:numId w:val="1"/>
              </w:numPr>
              <w:spacing w:line="360" w:lineRule="auto"/>
              <w:jc w:val="both"/>
              <w:rPr>
                <w:rFonts w:ascii="Arial Narrow" w:hAnsi="Arial Narrow" w:cs="Arial"/>
                <w:sz w:val="24"/>
                <w:szCs w:val="24"/>
                <w:lang w:val="en-US"/>
              </w:rPr>
            </w:pPr>
            <w:r w:rsidRPr="00797C84">
              <w:rPr>
                <w:rFonts w:ascii="Arial Narrow" w:hAnsi="Arial Narrow" w:cs="Arial"/>
                <w:sz w:val="24"/>
                <w:szCs w:val="24"/>
                <w:lang w:val="en-US"/>
              </w:rPr>
              <w:t xml:space="preserve">As far as cross-examination was concerned, the </w:t>
            </w:r>
            <w:r w:rsidR="002641B1" w:rsidRPr="00797C84">
              <w:rPr>
                <w:rFonts w:ascii="Arial Narrow" w:hAnsi="Arial Narrow" w:cs="Arial"/>
                <w:sz w:val="24"/>
                <w:szCs w:val="24"/>
                <w:lang w:val="en-US"/>
              </w:rPr>
              <w:t>record merely states “Cross examination</w:t>
            </w:r>
            <w:r w:rsidR="00387786">
              <w:rPr>
                <w:rFonts w:ascii="Arial Narrow" w:hAnsi="Arial Narrow" w:cs="Arial"/>
                <w:sz w:val="24"/>
                <w:szCs w:val="24"/>
                <w:lang w:val="en-US"/>
              </w:rPr>
              <w:t>.” There is no explanation at all, nor was there an indication the accused comprehended what cross-examination entails.</w:t>
            </w:r>
          </w:p>
          <w:p w:rsidR="002641B1" w:rsidRPr="002641B1" w:rsidRDefault="002641B1" w:rsidP="002641B1">
            <w:pPr>
              <w:pStyle w:val="ListParagraph"/>
              <w:rPr>
                <w:rFonts w:ascii="Arial Narrow" w:hAnsi="Arial Narrow" w:cs="Arial"/>
                <w:sz w:val="24"/>
                <w:szCs w:val="24"/>
                <w:lang w:val="en-US"/>
              </w:rPr>
            </w:pPr>
          </w:p>
          <w:p w:rsidR="006E6D28" w:rsidRDefault="002641B1" w:rsidP="00521343">
            <w:pPr>
              <w:pStyle w:val="ListParagraph"/>
              <w:numPr>
                <w:ilvl w:val="0"/>
                <w:numId w:val="1"/>
              </w:numPr>
              <w:spacing w:line="360" w:lineRule="auto"/>
              <w:jc w:val="both"/>
              <w:rPr>
                <w:rFonts w:ascii="Arial Narrow" w:hAnsi="Arial Narrow" w:cs="Arial"/>
                <w:sz w:val="24"/>
                <w:szCs w:val="24"/>
                <w:lang w:val="en-US"/>
              </w:rPr>
            </w:pPr>
            <w:r w:rsidRPr="006E6D28">
              <w:rPr>
                <w:rFonts w:ascii="Arial Narrow" w:hAnsi="Arial Narrow" w:cs="Arial"/>
                <w:sz w:val="24"/>
                <w:szCs w:val="24"/>
                <w:lang w:val="en-US"/>
              </w:rPr>
              <w:t xml:space="preserve">At the end of the State’s case, the record contains a single sentence that states </w:t>
            </w:r>
            <w:proofErr w:type="gramStart"/>
            <w:r w:rsidRPr="006E6D28">
              <w:rPr>
                <w:rFonts w:ascii="Arial Narrow" w:hAnsi="Arial Narrow" w:cs="Arial"/>
                <w:sz w:val="24"/>
                <w:szCs w:val="24"/>
                <w:lang w:val="en-US"/>
              </w:rPr>
              <w:t>“ It</w:t>
            </w:r>
            <w:proofErr w:type="gramEnd"/>
            <w:r w:rsidRPr="006E6D28">
              <w:rPr>
                <w:rFonts w:ascii="Arial Narrow" w:hAnsi="Arial Narrow" w:cs="Arial"/>
                <w:sz w:val="24"/>
                <w:szCs w:val="24"/>
                <w:lang w:val="en-US"/>
              </w:rPr>
              <w:t xml:space="preserve"> is now your opportunity to testify </w:t>
            </w:r>
            <w:r w:rsidR="002D57F3" w:rsidRPr="006E6D28">
              <w:rPr>
                <w:rFonts w:ascii="Arial Narrow" w:hAnsi="Arial Narrow" w:cs="Arial"/>
                <w:sz w:val="24"/>
                <w:szCs w:val="24"/>
                <w:lang w:val="en-US"/>
              </w:rPr>
              <w:t>and/or call wi</w:t>
            </w:r>
            <w:r w:rsidR="006E6D28" w:rsidRPr="006E6D28">
              <w:rPr>
                <w:rFonts w:ascii="Arial Narrow" w:hAnsi="Arial Narrow" w:cs="Arial"/>
                <w:sz w:val="24"/>
                <w:szCs w:val="24"/>
                <w:lang w:val="en-US"/>
              </w:rPr>
              <w:t>tnes</w:t>
            </w:r>
            <w:r w:rsidR="00D60643">
              <w:rPr>
                <w:rFonts w:ascii="Arial Narrow" w:hAnsi="Arial Narrow" w:cs="Arial"/>
                <w:sz w:val="24"/>
                <w:szCs w:val="24"/>
                <w:lang w:val="en-US"/>
              </w:rPr>
              <w:t xml:space="preserve">s, which is rather  insufficient. </w:t>
            </w:r>
            <w:r w:rsidR="006E6D28" w:rsidRPr="006E6D28">
              <w:rPr>
                <w:rFonts w:ascii="Arial Narrow" w:hAnsi="Arial Narrow" w:cs="Arial"/>
                <w:sz w:val="24"/>
                <w:szCs w:val="24"/>
                <w:lang w:val="en-US"/>
              </w:rPr>
              <w:t xml:space="preserve"> </w:t>
            </w:r>
          </w:p>
          <w:p w:rsidR="006E6D28" w:rsidRPr="006E6D28" w:rsidRDefault="006E6D28" w:rsidP="006E6D28">
            <w:pPr>
              <w:pStyle w:val="ListParagraph"/>
              <w:rPr>
                <w:rFonts w:ascii="Arial Narrow" w:hAnsi="Arial Narrow" w:cs="Arial"/>
                <w:sz w:val="24"/>
                <w:szCs w:val="24"/>
                <w:lang w:val="en-US"/>
              </w:rPr>
            </w:pPr>
          </w:p>
          <w:p w:rsidR="005014E0" w:rsidRDefault="00521343" w:rsidP="00521343">
            <w:pPr>
              <w:pStyle w:val="ListParagraph"/>
              <w:numPr>
                <w:ilvl w:val="0"/>
                <w:numId w:val="1"/>
              </w:numPr>
              <w:spacing w:line="360" w:lineRule="auto"/>
              <w:jc w:val="both"/>
              <w:rPr>
                <w:rFonts w:ascii="Arial Narrow" w:hAnsi="Arial Narrow" w:cs="Arial"/>
                <w:sz w:val="24"/>
                <w:szCs w:val="24"/>
                <w:lang w:val="en-US"/>
              </w:rPr>
            </w:pPr>
            <w:r w:rsidRPr="005014E0">
              <w:rPr>
                <w:rFonts w:ascii="Arial Narrow" w:hAnsi="Arial Narrow" w:cs="Arial"/>
                <w:sz w:val="24"/>
                <w:szCs w:val="24"/>
                <w:lang w:val="en-US"/>
              </w:rPr>
              <w:t>I</w:t>
            </w:r>
            <w:r w:rsidR="00D60643">
              <w:rPr>
                <w:rFonts w:ascii="Arial Narrow" w:hAnsi="Arial Narrow" w:cs="Arial"/>
                <w:sz w:val="24"/>
                <w:szCs w:val="24"/>
                <w:lang w:val="en-US"/>
              </w:rPr>
              <w:t>t is a firmly entrenched principle of a fair trial that an undefended accused should be informed of the basic procedural rights. Therefor a presiding officer is</w:t>
            </w:r>
            <w:r w:rsidR="00B53B5E">
              <w:rPr>
                <w:rFonts w:ascii="Arial Narrow" w:hAnsi="Arial Narrow" w:cs="Arial"/>
                <w:sz w:val="24"/>
                <w:szCs w:val="24"/>
                <w:lang w:val="en-US"/>
              </w:rPr>
              <w:t xml:space="preserve"> duty bound</w:t>
            </w:r>
            <w:r w:rsidR="00D60643">
              <w:rPr>
                <w:rFonts w:ascii="Arial Narrow" w:hAnsi="Arial Narrow" w:cs="Arial"/>
                <w:sz w:val="24"/>
                <w:szCs w:val="24"/>
                <w:lang w:val="en-US"/>
              </w:rPr>
              <w:t xml:space="preserve"> t</w:t>
            </w:r>
            <w:r w:rsidR="006E6D28" w:rsidRPr="005014E0">
              <w:rPr>
                <w:rFonts w:ascii="Arial Narrow" w:hAnsi="Arial Narrow" w:cs="Arial"/>
                <w:sz w:val="24"/>
                <w:szCs w:val="24"/>
                <w:lang w:val="en-US"/>
              </w:rPr>
              <w:t xml:space="preserve">o </w:t>
            </w:r>
            <w:r w:rsidRPr="005014E0">
              <w:rPr>
                <w:rFonts w:ascii="Arial Narrow" w:hAnsi="Arial Narrow" w:cs="Arial"/>
                <w:sz w:val="24"/>
                <w:szCs w:val="24"/>
                <w:lang w:val="en-US"/>
              </w:rPr>
              <w:t xml:space="preserve">explain </w:t>
            </w:r>
            <w:r w:rsidR="00D60643">
              <w:rPr>
                <w:rFonts w:ascii="Arial Narrow" w:hAnsi="Arial Narrow" w:cs="Arial"/>
                <w:sz w:val="24"/>
                <w:szCs w:val="24"/>
                <w:lang w:val="en-US"/>
              </w:rPr>
              <w:t xml:space="preserve">these </w:t>
            </w:r>
            <w:r w:rsidRPr="005014E0">
              <w:rPr>
                <w:rFonts w:ascii="Arial Narrow" w:hAnsi="Arial Narrow" w:cs="Arial"/>
                <w:sz w:val="24"/>
                <w:szCs w:val="24"/>
                <w:lang w:val="en-US"/>
              </w:rPr>
              <w:t>procedural rights to an undefended acc</w:t>
            </w:r>
            <w:r w:rsidR="005014E0" w:rsidRPr="005014E0">
              <w:rPr>
                <w:rFonts w:ascii="Arial Narrow" w:hAnsi="Arial Narrow" w:cs="Arial"/>
                <w:sz w:val="24"/>
                <w:szCs w:val="24"/>
                <w:lang w:val="en-US"/>
              </w:rPr>
              <w:t>used at the appropriate stages with sufficient particularity to enable a judgment to b</w:t>
            </w:r>
            <w:r w:rsidR="005014E0">
              <w:rPr>
                <w:rFonts w:ascii="Arial Narrow" w:hAnsi="Arial Narrow" w:cs="Arial"/>
                <w:sz w:val="24"/>
                <w:szCs w:val="24"/>
                <w:lang w:val="en-US"/>
              </w:rPr>
              <w:t>e made on the adequacy thereof.</w:t>
            </w:r>
            <w:r w:rsidR="005014E0">
              <w:rPr>
                <w:rStyle w:val="FootnoteReference"/>
                <w:rFonts w:ascii="Arial Narrow" w:hAnsi="Arial Narrow" w:cs="Arial"/>
                <w:sz w:val="24"/>
                <w:szCs w:val="24"/>
                <w:lang w:val="en-US"/>
              </w:rPr>
              <w:footnoteReference w:id="1"/>
            </w:r>
            <w:r w:rsidR="00387786">
              <w:rPr>
                <w:rFonts w:ascii="Arial Narrow" w:hAnsi="Arial Narrow" w:cs="Arial"/>
                <w:sz w:val="24"/>
                <w:szCs w:val="24"/>
                <w:lang w:val="en-US"/>
              </w:rPr>
              <w:t xml:space="preserve"> </w:t>
            </w:r>
          </w:p>
          <w:p w:rsidR="005014E0" w:rsidRPr="005014E0" w:rsidRDefault="005014E0" w:rsidP="005014E0">
            <w:pPr>
              <w:pStyle w:val="ListParagraph"/>
              <w:rPr>
                <w:rFonts w:ascii="Arial Narrow" w:hAnsi="Arial Narrow" w:cs="Arial"/>
                <w:sz w:val="24"/>
                <w:szCs w:val="24"/>
                <w:lang w:val="en-US"/>
              </w:rPr>
            </w:pPr>
          </w:p>
          <w:p w:rsidR="00521343" w:rsidRDefault="005014E0" w:rsidP="00521343">
            <w:pPr>
              <w:pStyle w:val="ListParagraph"/>
              <w:numPr>
                <w:ilvl w:val="0"/>
                <w:numId w:val="1"/>
              </w:numPr>
              <w:spacing w:line="360" w:lineRule="auto"/>
              <w:jc w:val="both"/>
              <w:rPr>
                <w:rFonts w:ascii="Arial Narrow" w:hAnsi="Arial Narrow" w:cs="Arial"/>
                <w:sz w:val="24"/>
                <w:szCs w:val="24"/>
                <w:lang w:val="en-US"/>
              </w:rPr>
            </w:pPr>
            <w:r w:rsidRPr="005014E0">
              <w:rPr>
                <w:rFonts w:ascii="Arial Narrow" w:hAnsi="Arial Narrow" w:cs="Arial"/>
                <w:sz w:val="24"/>
                <w:szCs w:val="24"/>
                <w:lang w:val="en-US"/>
              </w:rPr>
              <w:t xml:space="preserve"> </w:t>
            </w:r>
            <w:r w:rsidR="00B53B5E">
              <w:rPr>
                <w:rFonts w:ascii="Arial Narrow" w:hAnsi="Arial Narrow" w:cs="Arial"/>
                <w:sz w:val="24"/>
                <w:szCs w:val="24"/>
                <w:lang w:val="en-US"/>
              </w:rPr>
              <w:t xml:space="preserve">Implicit herein is the requirement a magistrate must keep proper record of what transpires in the court. In the absence of the court record reflecting that an explanation was given, the reviewing court in unable to conclude that it was </w:t>
            </w:r>
            <w:r w:rsidR="00797C84">
              <w:rPr>
                <w:rFonts w:ascii="Arial Narrow" w:hAnsi="Arial Narrow" w:cs="Arial"/>
                <w:sz w:val="24"/>
                <w:szCs w:val="24"/>
                <w:lang w:val="en-US"/>
              </w:rPr>
              <w:t xml:space="preserve">indeed </w:t>
            </w:r>
            <w:r w:rsidR="00B53B5E">
              <w:rPr>
                <w:rFonts w:ascii="Arial Narrow" w:hAnsi="Arial Narrow" w:cs="Arial"/>
                <w:sz w:val="24"/>
                <w:szCs w:val="24"/>
                <w:lang w:val="en-US"/>
              </w:rPr>
              <w:t xml:space="preserve">done.  </w:t>
            </w:r>
            <w:r>
              <w:rPr>
                <w:rFonts w:ascii="Arial Narrow" w:hAnsi="Arial Narrow" w:cs="Arial"/>
                <w:sz w:val="24"/>
                <w:szCs w:val="24"/>
                <w:lang w:val="en-US"/>
              </w:rPr>
              <w:t xml:space="preserve">The Namibian Supreme endorsed this principle in </w:t>
            </w:r>
            <w:r w:rsidR="00521343" w:rsidRPr="005014E0">
              <w:rPr>
                <w:rFonts w:ascii="Arial Narrow" w:hAnsi="Arial Narrow" w:cs="Arial"/>
                <w:sz w:val="24"/>
                <w:szCs w:val="24"/>
                <w:lang w:val="en-US"/>
              </w:rPr>
              <w:t xml:space="preserve">S v </w:t>
            </w:r>
            <w:proofErr w:type="spellStart"/>
            <w:r w:rsidR="00521343" w:rsidRPr="005014E0">
              <w:rPr>
                <w:rFonts w:ascii="Arial Narrow" w:hAnsi="Arial Narrow" w:cs="Arial"/>
                <w:sz w:val="24"/>
                <w:szCs w:val="24"/>
                <w:lang w:val="en-US"/>
              </w:rPr>
              <w:t>Kau</w:t>
            </w:r>
            <w:proofErr w:type="spellEnd"/>
            <w:r w:rsidR="00521343" w:rsidRPr="005014E0">
              <w:rPr>
                <w:rFonts w:ascii="Arial Narrow" w:hAnsi="Arial Narrow" w:cs="Arial"/>
                <w:sz w:val="24"/>
                <w:szCs w:val="24"/>
                <w:lang w:val="en-US"/>
              </w:rPr>
              <w:t xml:space="preserve"> and others</w:t>
            </w:r>
            <w:r>
              <w:rPr>
                <w:rStyle w:val="FootnoteReference"/>
                <w:rFonts w:ascii="Arial Narrow" w:hAnsi="Arial Narrow" w:cs="Arial"/>
                <w:sz w:val="24"/>
                <w:szCs w:val="24"/>
                <w:lang w:val="en-US"/>
              </w:rPr>
              <w:footnoteReference w:id="2"/>
            </w:r>
            <w:r>
              <w:rPr>
                <w:rFonts w:ascii="Arial Narrow" w:hAnsi="Arial Narrow" w:cs="Arial"/>
                <w:sz w:val="24"/>
                <w:szCs w:val="24"/>
                <w:lang w:val="en-US"/>
              </w:rPr>
              <w:t xml:space="preserve"> and stated that the magistrate should have recorded the nature of the explanations that were given to the accused persons.</w:t>
            </w:r>
          </w:p>
          <w:p w:rsidR="005754F1" w:rsidRPr="005754F1" w:rsidRDefault="005754F1" w:rsidP="005754F1">
            <w:pPr>
              <w:pStyle w:val="ListParagraph"/>
              <w:rPr>
                <w:rFonts w:ascii="Arial Narrow" w:hAnsi="Arial Narrow" w:cs="Arial"/>
                <w:sz w:val="24"/>
                <w:szCs w:val="24"/>
                <w:lang w:val="en-US"/>
              </w:rPr>
            </w:pPr>
          </w:p>
          <w:p w:rsidR="005754F1" w:rsidRDefault="005754F1" w:rsidP="00B833EC">
            <w:pPr>
              <w:pStyle w:val="ListParagraph"/>
              <w:numPr>
                <w:ilvl w:val="0"/>
                <w:numId w:val="1"/>
              </w:numPr>
              <w:spacing w:line="360" w:lineRule="auto"/>
              <w:jc w:val="both"/>
              <w:rPr>
                <w:rFonts w:ascii="Arial Narrow" w:hAnsi="Arial Narrow" w:cs="Arial"/>
                <w:sz w:val="24"/>
                <w:szCs w:val="24"/>
                <w:lang w:val="en-US"/>
              </w:rPr>
            </w:pPr>
            <w:r w:rsidRPr="005754F1">
              <w:rPr>
                <w:rFonts w:ascii="Arial Narrow" w:hAnsi="Arial Narrow" w:cs="Arial"/>
                <w:sz w:val="24"/>
                <w:szCs w:val="24"/>
                <w:lang w:val="en-US"/>
              </w:rPr>
              <w:t>The irregularities that is evident from the court record are of serious nature and vitiate the p</w:t>
            </w:r>
            <w:r w:rsidR="00797C84">
              <w:rPr>
                <w:rFonts w:ascii="Arial Narrow" w:hAnsi="Arial Narrow" w:cs="Arial"/>
                <w:sz w:val="24"/>
                <w:szCs w:val="24"/>
                <w:lang w:val="en-US"/>
              </w:rPr>
              <w:t>roceedings</w:t>
            </w:r>
            <w:r w:rsidR="0024493C">
              <w:rPr>
                <w:rFonts w:ascii="Arial Narrow" w:hAnsi="Arial Narrow" w:cs="Arial"/>
                <w:sz w:val="24"/>
                <w:szCs w:val="24"/>
                <w:lang w:val="en-US"/>
              </w:rPr>
              <w:t>.</w:t>
            </w:r>
            <w:r w:rsidR="00797C84">
              <w:rPr>
                <w:rFonts w:ascii="Arial Narrow" w:hAnsi="Arial Narrow" w:cs="Arial"/>
                <w:sz w:val="24"/>
                <w:szCs w:val="24"/>
                <w:lang w:val="en-US"/>
              </w:rPr>
              <w:t xml:space="preserve"> </w:t>
            </w:r>
            <w:r w:rsidR="0024493C">
              <w:rPr>
                <w:rFonts w:ascii="Arial Narrow" w:hAnsi="Arial Narrow" w:cs="Arial"/>
                <w:sz w:val="24"/>
                <w:szCs w:val="24"/>
                <w:lang w:val="en-US"/>
              </w:rPr>
              <w:t>T</w:t>
            </w:r>
            <w:r w:rsidR="00797C84">
              <w:rPr>
                <w:rFonts w:ascii="Arial Narrow" w:hAnsi="Arial Narrow" w:cs="Arial"/>
                <w:sz w:val="24"/>
                <w:szCs w:val="24"/>
                <w:lang w:val="en-US"/>
              </w:rPr>
              <w:t>herefore the conviction and sentence cannot stand.</w:t>
            </w:r>
            <w:r w:rsidRPr="005754F1">
              <w:rPr>
                <w:rFonts w:ascii="Arial Narrow" w:hAnsi="Arial Narrow" w:cs="Arial"/>
                <w:sz w:val="24"/>
                <w:szCs w:val="24"/>
                <w:lang w:val="en-US"/>
              </w:rPr>
              <w:t xml:space="preserve"> </w:t>
            </w:r>
          </w:p>
          <w:p w:rsidR="005754F1" w:rsidRDefault="005754F1" w:rsidP="005754F1">
            <w:pPr>
              <w:pStyle w:val="ListParagraph"/>
              <w:rPr>
                <w:rFonts w:ascii="Arial Narrow" w:hAnsi="Arial Narrow" w:cs="Arial"/>
                <w:sz w:val="24"/>
                <w:szCs w:val="24"/>
              </w:rPr>
            </w:pPr>
          </w:p>
          <w:p w:rsidR="00797C84" w:rsidRDefault="00CD2D0E" w:rsidP="00797C84">
            <w:pPr>
              <w:pStyle w:val="ListParagraph"/>
              <w:numPr>
                <w:ilvl w:val="0"/>
                <w:numId w:val="1"/>
              </w:numPr>
              <w:spacing w:line="360" w:lineRule="auto"/>
              <w:jc w:val="both"/>
              <w:rPr>
                <w:rFonts w:ascii="Arial Narrow" w:hAnsi="Arial Narrow" w:cs="Arial"/>
                <w:sz w:val="24"/>
                <w:szCs w:val="24"/>
                <w:lang w:val="en-US"/>
              </w:rPr>
            </w:pPr>
            <w:r w:rsidRPr="005754F1">
              <w:rPr>
                <w:rFonts w:ascii="Arial Narrow" w:hAnsi="Arial Narrow" w:cs="Arial"/>
                <w:sz w:val="24"/>
                <w:szCs w:val="24"/>
              </w:rPr>
              <w:lastRenderedPageBreak/>
              <w:t>I</w:t>
            </w:r>
            <w:r w:rsidR="00B45CEA" w:rsidRPr="005754F1">
              <w:rPr>
                <w:rFonts w:ascii="Arial Narrow" w:hAnsi="Arial Narrow" w:cs="Arial"/>
                <w:sz w:val="24"/>
                <w:szCs w:val="24"/>
                <w:lang w:val="en-US"/>
              </w:rPr>
              <w:t>n th</w:t>
            </w:r>
            <w:r w:rsidR="000F050E" w:rsidRPr="005754F1">
              <w:rPr>
                <w:rFonts w:ascii="Arial Narrow" w:hAnsi="Arial Narrow" w:cs="Arial"/>
                <w:sz w:val="24"/>
                <w:szCs w:val="24"/>
                <w:lang w:val="en-US"/>
              </w:rPr>
              <w:t xml:space="preserve">e result, </w:t>
            </w:r>
            <w:r w:rsidR="007D766F" w:rsidRPr="005754F1">
              <w:rPr>
                <w:rFonts w:ascii="Arial Narrow" w:hAnsi="Arial Narrow" w:cs="Arial"/>
                <w:sz w:val="24"/>
                <w:szCs w:val="24"/>
                <w:lang w:val="en-US"/>
              </w:rPr>
              <w:t>it is ordered that:</w:t>
            </w:r>
          </w:p>
          <w:p w:rsidR="00797C84" w:rsidRDefault="00797C84" w:rsidP="00A4564C">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The conviction and sentence is set aside.</w:t>
            </w:r>
          </w:p>
          <w:p w:rsidR="00797C84" w:rsidRDefault="00797C84" w:rsidP="00A4564C">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The matter is</w:t>
            </w:r>
            <w:r w:rsidR="00A4564C">
              <w:rPr>
                <w:rFonts w:ascii="Arial Narrow" w:hAnsi="Arial Narrow" w:cs="Arial"/>
                <w:sz w:val="24"/>
                <w:szCs w:val="24"/>
                <w:lang w:val="en-US"/>
              </w:rPr>
              <w:t xml:space="preserve"> remitted to the trial court to</w:t>
            </w:r>
            <w:r>
              <w:rPr>
                <w:rFonts w:ascii="Arial Narrow" w:hAnsi="Arial Narrow" w:cs="Arial"/>
                <w:sz w:val="24"/>
                <w:szCs w:val="24"/>
                <w:lang w:val="en-US"/>
              </w:rPr>
              <w:t xml:space="preserve"> explain to the right to cross-examination at the end of the evidence in chief of the state witness who testified. </w:t>
            </w:r>
          </w:p>
          <w:p w:rsidR="00797C84" w:rsidRDefault="00797C84" w:rsidP="00A4564C">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At the end of the State’s case the Magistr</w:t>
            </w:r>
            <w:r w:rsidR="00A4564C">
              <w:rPr>
                <w:rFonts w:ascii="Arial Narrow" w:hAnsi="Arial Narrow" w:cs="Arial"/>
                <w:sz w:val="24"/>
                <w:szCs w:val="24"/>
                <w:lang w:val="en-US"/>
              </w:rPr>
              <w:t xml:space="preserve">ate is to comprehensively explain the </w:t>
            </w:r>
            <w:r>
              <w:rPr>
                <w:rFonts w:ascii="Arial Narrow" w:hAnsi="Arial Narrow" w:cs="Arial"/>
                <w:sz w:val="24"/>
                <w:szCs w:val="24"/>
                <w:lang w:val="en-US"/>
              </w:rPr>
              <w:t>right at the end of the State’s case to the unrepresented accused</w:t>
            </w:r>
            <w:r w:rsidR="00A4564C">
              <w:rPr>
                <w:rFonts w:ascii="Arial Narrow" w:hAnsi="Arial Narrow" w:cs="Arial"/>
                <w:sz w:val="24"/>
                <w:szCs w:val="24"/>
                <w:lang w:val="en-US"/>
              </w:rPr>
              <w:t xml:space="preserve"> and bring the proceedings to its natural conclusion.</w:t>
            </w:r>
          </w:p>
          <w:p w:rsidR="0007693F" w:rsidRPr="00E66EFC" w:rsidRDefault="00A4564C" w:rsidP="00E66EFC">
            <w:pPr>
              <w:pStyle w:val="ListParagraph"/>
              <w:numPr>
                <w:ilvl w:val="0"/>
                <w:numId w:val="13"/>
              </w:numPr>
              <w:spacing w:line="360" w:lineRule="auto"/>
              <w:rPr>
                <w:rFonts w:ascii="Arial Narrow" w:hAnsi="Arial Narrow" w:cs="Arial"/>
                <w:sz w:val="24"/>
                <w:szCs w:val="24"/>
                <w:lang w:val="en-US"/>
              </w:rPr>
            </w:pPr>
            <w:r>
              <w:rPr>
                <w:rFonts w:ascii="Arial Narrow" w:hAnsi="Arial Narrow" w:cs="Arial"/>
                <w:sz w:val="24"/>
                <w:szCs w:val="24"/>
                <w:lang w:val="en-US"/>
              </w:rPr>
              <w:t xml:space="preserve">In </w:t>
            </w:r>
            <w:r w:rsidR="0024493C">
              <w:rPr>
                <w:rFonts w:ascii="Arial Narrow" w:hAnsi="Arial Narrow" w:cs="Arial"/>
                <w:sz w:val="24"/>
                <w:szCs w:val="24"/>
                <w:lang w:val="en-US"/>
              </w:rPr>
              <w:t>the event of a conviction the cou</w:t>
            </w:r>
            <w:r>
              <w:rPr>
                <w:rFonts w:ascii="Arial Narrow" w:hAnsi="Arial Narrow" w:cs="Arial"/>
                <w:sz w:val="24"/>
                <w:szCs w:val="24"/>
                <w:lang w:val="en-US"/>
              </w:rPr>
              <w:t xml:space="preserve">rt in sentencing must have regard to any sentence already </w:t>
            </w:r>
            <w:r w:rsidR="00E66EFC">
              <w:rPr>
                <w:rFonts w:ascii="Arial Narrow" w:hAnsi="Arial Narrow" w:cs="Arial"/>
                <w:sz w:val="24"/>
                <w:szCs w:val="24"/>
                <w:lang w:val="en-US"/>
              </w:rPr>
              <w:t>served.</w:t>
            </w:r>
          </w:p>
        </w:tc>
      </w:tr>
      <w:tr w:rsidR="00D35047" w:rsidRPr="001B0FDD" w:rsidTr="00120511">
        <w:tc>
          <w:tcPr>
            <w:tcW w:w="4770" w:type="dxa"/>
          </w:tcPr>
          <w:p w:rsidR="00D35047" w:rsidRPr="001B0FDD" w:rsidRDefault="00D35047" w:rsidP="00120511">
            <w:pPr>
              <w:spacing w:line="360" w:lineRule="auto"/>
              <w:jc w:val="center"/>
              <w:rPr>
                <w:rFonts w:ascii="Arial Narrow" w:hAnsi="Arial Narrow" w:cs="Arial"/>
                <w:b/>
                <w:sz w:val="24"/>
                <w:szCs w:val="24"/>
              </w:rPr>
            </w:pPr>
          </w:p>
        </w:tc>
        <w:tc>
          <w:tcPr>
            <w:tcW w:w="4950" w:type="dxa"/>
            <w:gridSpan w:val="2"/>
          </w:tcPr>
          <w:p w:rsidR="00D35047" w:rsidRPr="001B0FDD" w:rsidRDefault="00D35047" w:rsidP="00120511">
            <w:pPr>
              <w:spacing w:line="360" w:lineRule="auto"/>
              <w:jc w:val="center"/>
              <w:rPr>
                <w:rFonts w:ascii="Arial Narrow" w:hAnsi="Arial Narrow" w:cs="Arial"/>
                <w:b/>
                <w:sz w:val="24"/>
                <w:szCs w:val="24"/>
              </w:rPr>
            </w:pPr>
          </w:p>
          <w:p w:rsidR="00D35047" w:rsidRPr="001B0FDD" w:rsidRDefault="00D35047" w:rsidP="00D92DB9">
            <w:pPr>
              <w:spacing w:line="360" w:lineRule="auto"/>
              <w:rPr>
                <w:rFonts w:ascii="Arial Narrow" w:hAnsi="Arial Narrow" w:cs="Arial"/>
                <w:b/>
                <w:sz w:val="24"/>
                <w:szCs w:val="24"/>
              </w:rPr>
            </w:pPr>
          </w:p>
        </w:tc>
      </w:tr>
      <w:tr w:rsidR="00D35047" w:rsidRPr="001B0FDD" w:rsidTr="00120511">
        <w:trPr>
          <w:trHeight w:val="827"/>
        </w:trPr>
        <w:tc>
          <w:tcPr>
            <w:tcW w:w="4770" w:type="dxa"/>
          </w:tcPr>
          <w:p w:rsidR="00D35047" w:rsidRPr="001B0FDD" w:rsidRDefault="006A0310" w:rsidP="00120511">
            <w:pPr>
              <w:spacing w:line="360" w:lineRule="auto"/>
              <w:jc w:val="center"/>
              <w:rPr>
                <w:rFonts w:ascii="Arial Narrow" w:hAnsi="Arial Narrow" w:cs="Arial"/>
                <w:b/>
                <w:sz w:val="24"/>
                <w:szCs w:val="24"/>
              </w:rPr>
            </w:pPr>
            <w:r>
              <w:rPr>
                <w:rFonts w:ascii="Arial Narrow" w:hAnsi="Arial Narrow" w:cs="Arial"/>
                <w:b/>
                <w:sz w:val="24"/>
                <w:szCs w:val="24"/>
              </w:rPr>
              <w:t>C CLAASEN</w:t>
            </w:r>
          </w:p>
          <w:p w:rsidR="00D35047" w:rsidRPr="001B0FDD" w:rsidRDefault="00D35047" w:rsidP="00120511">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D35047" w:rsidRPr="001B0FDD" w:rsidRDefault="00A93F14" w:rsidP="00120511">
            <w:pPr>
              <w:spacing w:line="360" w:lineRule="auto"/>
              <w:jc w:val="center"/>
              <w:rPr>
                <w:rFonts w:ascii="Arial Narrow" w:hAnsi="Arial Narrow" w:cs="Arial"/>
                <w:b/>
                <w:sz w:val="24"/>
                <w:szCs w:val="24"/>
              </w:rPr>
            </w:pPr>
            <w:r>
              <w:rPr>
                <w:rFonts w:ascii="Arial Narrow" w:hAnsi="Arial Narrow" w:cs="Arial"/>
                <w:b/>
                <w:sz w:val="24"/>
                <w:szCs w:val="24"/>
              </w:rPr>
              <w:t>E RAKOW</w:t>
            </w:r>
          </w:p>
          <w:p w:rsidR="00D35047" w:rsidRPr="001B0FDD" w:rsidRDefault="00CD2D0E" w:rsidP="00120511">
            <w:pPr>
              <w:spacing w:line="360" w:lineRule="auto"/>
              <w:jc w:val="center"/>
              <w:rPr>
                <w:rFonts w:ascii="Arial Narrow" w:hAnsi="Arial Narrow" w:cs="Arial"/>
                <w:sz w:val="24"/>
                <w:szCs w:val="24"/>
              </w:rPr>
            </w:pPr>
            <w:r>
              <w:rPr>
                <w:rFonts w:ascii="Arial Narrow" w:hAnsi="Arial Narrow" w:cs="Arial"/>
                <w:b/>
                <w:sz w:val="24"/>
                <w:szCs w:val="24"/>
              </w:rPr>
              <w:t xml:space="preserve">ACTING </w:t>
            </w:r>
            <w:r w:rsidR="00D35047" w:rsidRPr="001B0FDD">
              <w:rPr>
                <w:rFonts w:ascii="Arial Narrow" w:hAnsi="Arial Narrow" w:cs="Arial"/>
                <w:b/>
                <w:sz w:val="24"/>
                <w:szCs w:val="24"/>
              </w:rPr>
              <w:t>JUDGE</w:t>
            </w:r>
          </w:p>
        </w:tc>
      </w:tr>
    </w:tbl>
    <w:p w:rsidR="00B97A95" w:rsidRDefault="00B97A95" w:rsidP="00D92DB9"/>
    <w:sectPr w:rsidR="00B97A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A2" w:rsidRDefault="008A3AA2" w:rsidP="00436FB0">
      <w:pPr>
        <w:spacing w:after="0" w:line="240" w:lineRule="auto"/>
      </w:pPr>
      <w:r>
        <w:separator/>
      </w:r>
    </w:p>
  </w:endnote>
  <w:endnote w:type="continuationSeparator" w:id="0">
    <w:p w:rsidR="008A3AA2" w:rsidRDefault="008A3AA2"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70756"/>
      <w:docPartObj>
        <w:docPartGallery w:val="Page Numbers (Bottom of Page)"/>
        <w:docPartUnique/>
      </w:docPartObj>
    </w:sdtPr>
    <w:sdtEndPr>
      <w:rPr>
        <w:noProof/>
      </w:rPr>
    </w:sdtEndPr>
    <w:sdtContent>
      <w:p w:rsidR="00E66EFC" w:rsidRDefault="00E66EFC">
        <w:pPr>
          <w:pStyle w:val="Footer"/>
          <w:jc w:val="center"/>
        </w:pPr>
        <w:r>
          <w:fldChar w:fldCharType="begin"/>
        </w:r>
        <w:r>
          <w:instrText xml:space="preserve"> PAGE   \* MERGEFORMAT </w:instrText>
        </w:r>
        <w:r>
          <w:fldChar w:fldCharType="separate"/>
        </w:r>
        <w:r w:rsidR="00233DDB">
          <w:rPr>
            <w:noProof/>
          </w:rPr>
          <w:t>3</w:t>
        </w:r>
        <w:r>
          <w:rPr>
            <w:noProof/>
          </w:rPr>
          <w:fldChar w:fldCharType="end"/>
        </w:r>
      </w:p>
    </w:sdtContent>
  </w:sdt>
  <w:p w:rsidR="00E66EFC" w:rsidRDefault="00E66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A2" w:rsidRDefault="008A3AA2" w:rsidP="00436FB0">
      <w:pPr>
        <w:spacing w:after="0" w:line="240" w:lineRule="auto"/>
      </w:pPr>
      <w:r>
        <w:separator/>
      </w:r>
    </w:p>
  </w:footnote>
  <w:footnote w:type="continuationSeparator" w:id="0">
    <w:p w:rsidR="008A3AA2" w:rsidRDefault="008A3AA2" w:rsidP="00436FB0">
      <w:pPr>
        <w:spacing w:after="0" w:line="240" w:lineRule="auto"/>
      </w:pPr>
      <w:r>
        <w:continuationSeparator/>
      </w:r>
    </w:p>
  </w:footnote>
  <w:footnote w:id="1">
    <w:p w:rsidR="005014E0" w:rsidRPr="005014E0" w:rsidRDefault="005014E0">
      <w:pPr>
        <w:pStyle w:val="FootnoteText"/>
        <w:rPr>
          <w:sz w:val="22"/>
          <w:szCs w:val="22"/>
        </w:rPr>
      </w:pPr>
      <w:r>
        <w:rPr>
          <w:rStyle w:val="FootnoteReference"/>
        </w:rPr>
        <w:footnoteRef/>
      </w:r>
      <w:r>
        <w:t xml:space="preserve"> </w:t>
      </w:r>
      <w:r w:rsidRPr="005014E0">
        <w:rPr>
          <w:sz w:val="22"/>
          <w:szCs w:val="22"/>
        </w:rPr>
        <w:t xml:space="preserve">See </w:t>
      </w:r>
      <w:r w:rsidRPr="005014E0">
        <w:rPr>
          <w:rFonts w:ascii="Arial Narrow" w:hAnsi="Arial Narrow" w:cs="Arial"/>
          <w:sz w:val="22"/>
          <w:szCs w:val="22"/>
        </w:rPr>
        <w:t>S v Daniels 1983 (3) SA 275( A)</w:t>
      </w:r>
    </w:p>
  </w:footnote>
  <w:footnote w:id="2">
    <w:p w:rsidR="005014E0" w:rsidRDefault="005014E0">
      <w:pPr>
        <w:pStyle w:val="FootnoteText"/>
      </w:pPr>
      <w:r w:rsidRPr="005014E0">
        <w:rPr>
          <w:rStyle w:val="FootnoteReference"/>
          <w:sz w:val="22"/>
          <w:szCs w:val="22"/>
        </w:rPr>
        <w:footnoteRef/>
      </w:r>
      <w:r w:rsidRPr="005014E0">
        <w:rPr>
          <w:sz w:val="22"/>
          <w:szCs w:val="22"/>
        </w:rPr>
        <w:t xml:space="preserve"> </w:t>
      </w:r>
      <w:r w:rsidRPr="005014E0">
        <w:rPr>
          <w:rFonts w:ascii="Arial Narrow" w:hAnsi="Arial Narrow" w:cs="Arial"/>
          <w:sz w:val="22"/>
          <w:szCs w:val="22"/>
        </w:rPr>
        <w:t xml:space="preserve"> 1995 NR 1 (SC)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5AE"/>
    <w:multiLevelType w:val="hybridMultilevel"/>
    <w:tmpl w:val="9648E84C"/>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11F28"/>
    <w:multiLevelType w:val="hybridMultilevel"/>
    <w:tmpl w:val="C898EA48"/>
    <w:lvl w:ilvl="0" w:tplc="A6D82946">
      <w:start w:val="1"/>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22E44"/>
    <w:multiLevelType w:val="hybridMultilevel"/>
    <w:tmpl w:val="18F26B50"/>
    <w:lvl w:ilvl="0" w:tplc="EFAC4D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2855693"/>
    <w:multiLevelType w:val="hybridMultilevel"/>
    <w:tmpl w:val="E064DC86"/>
    <w:lvl w:ilvl="0" w:tplc="8760F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0059D"/>
    <w:multiLevelType w:val="hybridMultilevel"/>
    <w:tmpl w:val="9A926906"/>
    <w:lvl w:ilvl="0" w:tplc="613A4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948D7"/>
    <w:multiLevelType w:val="hybridMultilevel"/>
    <w:tmpl w:val="EB8CE300"/>
    <w:lvl w:ilvl="0" w:tplc="A4BEB8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12A1BC2"/>
    <w:multiLevelType w:val="hybridMultilevel"/>
    <w:tmpl w:val="594C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54239"/>
    <w:multiLevelType w:val="hybridMultilevel"/>
    <w:tmpl w:val="C2B64688"/>
    <w:lvl w:ilvl="0" w:tplc="3B942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623A1"/>
    <w:multiLevelType w:val="hybridMultilevel"/>
    <w:tmpl w:val="C93EE568"/>
    <w:lvl w:ilvl="0" w:tplc="85602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9347EB"/>
    <w:multiLevelType w:val="hybridMultilevel"/>
    <w:tmpl w:val="EBAE32F6"/>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9"/>
  </w:num>
  <w:num w:numId="5">
    <w:abstractNumId w:val="0"/>
  </w:num>
  <w:num w:numId="6">
    <w:abstractNumId w:val="12"/>
  </w:num>
  <w:num w:numId="7">
    <w:abstractNumId w:val="10"/>
  </w:num>
  <w:num w:numId="8">
    <w:abstractNumId w:val="11"/>
  </w:num>
  <w:num w:numId="9">
    <w:abstractNumId w:val="6"/>
  </w:num>
  <w:num w:numId="10">
    <w:abstractNumId w:val="5"/>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081E"/>
    <w:rsid w:val="000141CC"/>
    <w:rsid w:val="00074206"/>
    <w:rsid w:val="0007693F"/>
    <w:rsid w:val="000C0A00"/>
    <w:rsid w:val="000D26E4"/>
    <w:rsid w:val="000F050E"/>
    <w:rsid w:val="001051DB"/>
    <w:rsid w:val="00120C66"/>
    <w:rsid w:val="001608C0"/>
    <w:rsid w:val="001846BA"/>
    <w:rsid w:val="00191F22"/>
    <w:rsid w:val="001951AF"/>
    <w:rsid w:val="00205C62"/>
    <w:rsid w:val="00210372"/>
    <w:rsid w:val="00223FBB"/>
    <w:rsid w:val="00233DDB"/>
    <w:rsid w:val="0024493C"/>
    <w:rsid w:val="002641B1"/>
    <w:rsid w:val="00270FF6"/>
    <w:rsid w:val="002745F1"/>
    <w:rsid w:val="002A1619"/>
    <w:rsid w:val="002D57F3"/>
    <w:rsid w:val="002D6150"/>
    <w:rsid w:val="002F38F1"/>
    <w:rsid w:val="0031055E"/>
    <w:rsid w:val="00311158"/>
    <w:rsid w:val="00324DF4"/>
    <w:rsid w:val="00387786"/>
    <w:rsid w:val="00420ACF"/>
    <w:rsid w:val="00421539"/>
    <w:rsid w:val="00436FB0"/>
    <w:rsid w:val="00454273"/>
    <w:rsid w:val="00474D86"/>
    <w:rsid w:val="00484D89"/>
    <w:rsid w:val="004A2AF1"/>
    <w:rsid w:val="004A62D2"/>
    <w:rsid w:val="004B093C"/>
    <w:rsid w:val="004C48F7"/>
    <w:rsid w:val="004D6B52"/>
    <w:rsid w:val="004D7CCA"/>
    <w:rsid w:val="004E6BFF"/>
    <w:rsid w:val="005014E0"/>
    <w:rsid w:val="0050248C"/>
    <w:rsid w:val="00521343"/>
    <w:rsid w:val="005754F1"/>
    <w:rsid w:val="00597018"/>
    <w:rsid w:val="005A557E"/>
    <w:rsid w:val="005A61F6"/>
    <w:rsid w:val="005D7CD3"/>
    <w:rsid w:val="006A0310"/>
    <w:rsid w:val="006B3BE6"/>
    <w:rsid w:val="006C2E28"/>
    <w:rsid w:val="006E6D28"/>
    <w:rsid w:val="006F1BE0"/>
    <w:rsid w:val="00704199"/>
    <w:rsid w:val="007543FF"/>
    <w:rsid w:val="00775181"/>
    <w:rsid w:val="00797C84"/>
    <w:rsid w:val="007D766F"/>
    <w:rsid w:val="00830143"/>
    <w:rsid w:val="00856CE9"/>
    <w:rsid w:val="008A3AA2"/>
    <w:rsid w:val="008A481D"/>
    <w:rsid w:val="008E2519"/>
    <w:rsid w:val="008F5770"/>
    <w:rsid w:val="00932F9F"/>
    <w:rsid w:val="00934785"/>
    <w:rsid w:val="00952736"/>
    <w:rsid w:val="009A44E0"/>
    <w:rsid w:val="009B6E07"/>
    <w:rsid w:val="009C3F31"/>
    <w:rsid w:val="009C725E"/>
    <w:rsid w:val="00A10058"/>
    <w:rsid w:val="00A15D4D"/>
    <w:rsid w:val="00A31EDA"/>
    <w:rsid w:val="00A3633A"/>
    <w:rsid w:val="00A4564C"/>
    <w:rsid w:val="00A52C8D"/>
    <w:rsid w:val="00A52DB4"/>
    <w:rsid w:val="00A605CF"/>
    <w:rsid w:val="00A93F14"/>
    <w:rsid w:val="00AD7A92"/>
    <w:rsid w:val="00AE3012"/>
    <w:rsid w:val="00B13BE8"/>
    <w:rsid w:val="00B45CEA"/>
    <w:rsid w:val="00B53B5E"/>
    <w:rsid w:val="00B833EC"/>
    <w:rsid w:val="00B93A83"/>
    <w:rsid w:val="00B97A95"/>
    <w:rsid w:val="00BB45A5"/>
    <w:rsid w:val="00BC0005"/>
    <w:rsid w:val="00BE21EF"/>
    <w:rsid w:val="00BF6FF3"/>
    <w:rsid w:val="00C53729"/>
    <w:rsid w:val="00CA341C"/>
    <w:rsid w:val="00CA70E5"/>
    <w:rsid w:val="00CD2D0E"/>
    <w:rsid w:val="00D13760"/>
    <w:rsid w:val="00D35047"/>
    <w:rsid w:val="00D54EB1"/>
    <w:rsid w:val="00D60643"/>
    <w:rsid w:val="00D92DB9"/>
    <w:rsid w:val="00D9375F"/>
    <w:rsid w:val="00DA1118"/>
    <w:rsid w:val="00DB2848"/>
    <w:rsid w:val="00DC360F"/>
    <w:rsid w:val="00E168A5"/>
    <w:rsid w:val="00E34F91"/>
    <w:rsid w:val="00E36A13"/>
    <w:rsid w:val="00E63192"/>
    <w:rsid w:val="00E66EFC"/>
    <w:rsid w:val="00E724A6"/>
    <w:rsid w:val="00E87BEE"/>
    <w:rsid w:val="00EC6886"/>
    <w:rsid w:val="00F066A7"/>
    <w:rsid w:val="00F8544D"/>
    <w:rsid w:val="00F8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paragraph" w:styleId="BalloonText">
    <w:name w:val="Balloon Text"/>
    <w:basedOn w:val="Normal"/>
    <w:link w:val="BalloonTextChar"/>
    <w:uiPriority w:val="99"/>
    <w:semiHidden/>
    <w:unhideWhenUsed/>
    <w:rsid w:val="00F8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BC"/>
    <w:rPr>
      <w:rFonts w:ascii="Segoe UI" w:hAnsi="Segoe UI" w:cs="Segoe UI"/>
      <w:sz w:val="18"/>
      <w:szCs w:val="18"/>
    </w:rPr>
  </w:style>
  <w:style w:type="paragraph" w:styleId="Subtitle">
    <w:name w:val="Subtitle"/>
    <w:basedOn w:val="Normal"/>
    <w:next w:val="Normal"/>
    <w:link w:val="SubtitleChar"/>
    <w:uiPriority w:val="11"/>
    <w:qFormat/>
    <w:rsid w:val="00D606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0643"/>
    <w:rPr>
      <w:rFonts w:eastAsiaTheme="minorEastAsia"/>
      <w:color w:val="5A5A5A" w:themeColor="text1" w:themeTint="A5"/>
      <w:spacing w:val="15"/>
    </w:rPr>
  </w:style>
  <w:style w:type="paragraph" w:styleId="Header">
    <w:name w:val="header"/>
    <w:basedOn w:val="Normal"/>
    <w:link w:val="HeaderChar"/>
    <w:uiPriority w:val="99"/>
    <w:unhideWhenUsed/>
    <w:rsid w:val="00E66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FC"/>
  </w:style>
  <w:style w:type="paragraph" w:styleId="Footer">
    <w:name w:val="footer"/>
    <w:basedOn w:val="Normal"/>
    <w:link w:val="FooterChar"/>
    <w:uiPriority w:val="99"/>
    <w:unhideWhenUsed/>
    <w:rsid w:val="00E66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2020-02-04T18:30:00+00:00</Judgment_x0020_Date>
  </documentManagement>
</p:properties>
</file>

<file path=customXml/itemProps1.xml><?xml version="1.0" encoding="utf-8"?>
<ds:datastoreItem xmlns:ds="http://schemas.openxmlformats.org/officeDocument/2006/customXml" ds:itemID="{1101ED7B-BCD4-43CB-A375-A724D9078354}"/>
</file>

<file path=customXml/itemProps2.xml><?xml version="1.0" encoding="utf-8"?>
<ds:datastoreItem xmlns:ds="http://schemas.openxmlformats.org/officeDocument/2006/customXml" ds:itemID="{59D0D80C-50DE-4153-A803-7659885483D6}"/>
</file>

<file path=customXml/itemProps3.xml><?xml version="1.0" encoding="utf-8"?>
<ds:datastoreItem xmlns:ds="http://schemas.openxmlformats.org/officeDocument/2006/customXml" ds:itemID="{45881CB7-55E4-4AB4-9AF0-84881433A40C}"/>
</file>

<file path=customXml/itemProps4.xml><?xml version="1.0" encoding="utf-8"?>
<ds:datastoreItem xmlns:ds="http://schemas.openxmlformats.org/officeDocument/2006/customXml" ds:itemID="{A6EF040C-9E0E-4963-B047-BEB3E5F649F6}"/>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3</cp:revision>
  <cp:lastPrinted>2020-02-04T13:22:00Z</cp:lastPrinted>
  <dcterms:created xsi:type="dcterms:W3CDTF">2020-02-04T14:55:00Z</dcterms:created>
  <dcterms:modified xsi:type="dcterms:W3CDTF">2020-02-12T15:33:00Z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