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9F" w:rsidRPr="00AC4E2C" w:rsidRDefault="00AC4E2C" w:rsidP="000D0A9F">
      <w:pPr>
        <w:jc w:val="center"/>
        <w:rPr>
          <w:rFonts w:ascii="Arial" w:hAnsi="Arial" w:cs="Arial"/>
          <w:sz w:val="24"/>
          <w:szCs w:val="24"/>
        </w:rPr>
      </w:pPr>
      <w:r w:rsidRPr="00AC4E2C">
        <w:rPr>
          <w:rFonts w:ascii="Arial" w:hAnsi="Arial" w:cs="Arial"/>
          <w:sz w:val="24"/>
          <w:szCs w:val="24"/>
        </w:rPr>
        <w:t>“ANNEXURE 11”</w:t>
      </w:r>
      <w:bookmarkStart w:id="0" w:name="_GoBack"/>
      <w:bookmarkEnd w:id="0"/>
    </w:p>
    <w:p w:rsidR="00AC4E2C" w:rsidRPr="00AC4E2C" w:rsidRDefault="00AC4E2C" w:rsidP="00AC4E2C">
      <w:pPr>
        <w:jc w:val="center"/>
        <w:rPr>
          <w:rFonts w:ascii="Arial" w:hAnsi="Arial" w:cs="Arial"/>
          <w:b/>
          <w:sz w:val="24"/>
          <w:szCs w:val="24"/>
        </w:rPr>
      </w:pPr>
      <w:r w:rsidRPr="00AC4E2C">
        <w:rPr>
          <w:rFonts w:ascii="Arial" w:hAnsi="Arial" w:cs="Arial"/>
          <w:b/>
          <w:sz w:val="24"/>
          <w:szCs w:val="24"/>
        </w:rPr>
        <w:t>IN THE HIGH COURT OF NAMIBIA</w:t>
      </w:r>
    </w:p>
    <w:p w:rsidR="00AC4E2C" w:rsidRDefault="00AC4E2C" w:rsidP="00AC4E2C">
      <w:pPr>
        <w:spacing w:after="0" w:line="360" w:lineRule="auto"/>
        <w:jc w:val="center"/>
        <w:rPr>
          <w:rFonts w:ascii="Arial" w:hAnsi="Arial" w:cs="Arial"/>
          <w:b/>
          <w:sz w:val="24"/>
          <w:szCs w:val="24"/>
        </w:rPr>
      </w:pPr>
      <w:r w:rsidRPr="00AC4E2C">
        <w:rPr>
          <w:rFonts w:ascii="Arial" w:hAnsi="Arial" w:cs="Arial"/>
          <w:b/>
          <w:sz w:val="24"/>
          <w:szCs w:val="24"/>
        </w:rPr>
        <w:t>(TO THE SUPREME COURT OF NAMIBIA)</w:t>
      </w:r>
    </w:p>
    <w:p w:rsidR="00AC4E2C" w:rsidRPr="00AC4E2C" w:rsidRDefault="00AC4E2C" w:rsidP="00AC4E2C">
      <w:pPr>
        <w:jc w:val="center"/>
        <w:rPr>
          <w:rFonts w:ascii="Arial" w:hAnsi="Arial" w:cs="Arial"/>
          <w:b/>
          <w:sz w:val="24"/>
          <w:szCs w:val="24"/>
        </w:rPr>
      </w:pPr>
    </w:p>
    <w:tbl>
      <w:tblPr>
        <w:tblStyle w:val="TableGrid1"/>
        <w:tblW w:w="10051" w:type="dxa"/>
        <w:tblInd w:w="-275" w:type="dxa"/>
        <w:tblLook w:val="04A0" w:firstRow="1" w:lastRow="0" w:firstColumn="1" w:lastColumn="0" w:noHBand="0" w:noVBand="1"/>
      </w:tblPr>
      <w:tblGrid>
        <w:gridCol w:w="4770"/>
        <w:gridCol w:w="627"/>
        <w:gridCol w:w="4654"/>
      </w:tblGrid>
      <w:tr w:rsidR="00F77B24" w:rsidRPr="00F77B24" w:rsidTr="004A4441">
        <w:trPr>
          <w:trHeight w:val="744"/>
        </w:trPr>
        <w:tc>
          <w:tcPr>
            <w:tcW w:w="5397" w:type="dxa"/>
            <w:gridSpan w:val="2"/>
          </w:tcPr>
          <w:p w:rsidR="00F77B24" w:rsidRPr="00F77B24" w:rsidRDefault="00F77B24" w:rsidP="00F77B24">
            <w:pPr>
              <w:spacing w:line="360" w:lineRule="auto"/>
              <w:jc w:val="both"/>
              <w:rPr>
                <w:rFonts w:ascii="Arial" w:hAnsi="Arial" w:cs="Arial"/>
                <w:sz w:val="24"/>
                <w:szCs w:val="24"/>
              </w:rPr>
            </w:pPr>
            <w:r w:rsidRPr="00F77B24">
              <w:rPr>
                <w:rFonts w:ascii="Arial" w:hAnsi="Arial" w:cs="Arial"/>
                <w:b/>
                <w:sz w:val="24"/>
                <w:szCs w:val="24"/>
              </w:rPr>
              <w:t>Case Title:</w:t>
            </w:r>
          </w:p>
          <w:p w:rsidR="00F77B24" w:rsidRPr="00F77B24" w:rsidRDefault="00F77B24" w:rsidP="00F77B24">
            <w:pPr>
              <w:spacing w:line="360" w:lineRule="auto"/>
              <w:jc w:val="both"/>
              <w:rPr>
                <w:rFonts w:ascii="Arial" w:hAnsi="Arial" w:cs="Arial"/>
                <w:i/>
                <w:sz w:val="24"/>
                <w:szCs w:val="24"/>
              </w:rPr>
            </w:pPr>
            <w:r w:rsidRPr="00F77B24">
              <w:rPr>
                <w:rFonts w:ascii="Arial" w:hAnsi="Arial" w:cs="Arial"/>
                <w:i/>
                <w:sz w:val="24"/>
                <w:szCs w:val="24"/>
              </w:rPr>
              <w:t xml:space="preserve">The State v Jack </w:t>
            </w:r>
            <w:proofErr w:type="spellStart"/>
            <w:r w:rsidRPr="00F77B24">
              <w:rPr>
                <w:rFonts w:ascii="Arial" w:hAnsi="Arial" w:cs="Arial"/>
                <w:i/>
                <w:sz w:val="24"/>
                <w:szCs w:val="24"/>
              </w:rPr>
              <w:t>Smetley</w:t>
            </w:r>
            <w:proofErr w:type="spellEnd"/>
          </w:p>
        </w:tc>
        <w:tc>
          <w:tcPr>
            <w:tcW w:w="4654" w:type="dxa"/>
          </w:tcPr>
          <w:p w:rsidR="00F77B24" w:rsidRPr="00F77B24" w:rsidRDefault="00F77B24" w:rsidP="00F77B24">
            <w:pPr>
              <w:spacing w:line="360" w:lineRule="auto"/>
              <w:jc w:val="both"/>
              <w:rPr>
                <w:rFonts w:ascii="Arial" w:hAnsi="Arial" w:cs="Arial"/>
                <w:b/>
                <w:sz w:val="24"/>
                <w:szCs w:val="24"/>
              </w:rPr>
            </w:pPr>
            <w:r w:rsidRPr="00F77B24">
              <w:rPr>
                <w:rFonts w:ascii="Arial" w:hAnsi="Arial" w:cs="Arial"/>
                <w:b/>
                <w:sz w:val="24"/>
                <w:szCs w:val="24"/>
              </w:rPr>
              <w:t>Case No:</w:t>
            </w:r>
          </w:p>
          <w:p w:rsidR="00F77B24" w:rsidRPr="00F77B24" w:rsidRDefault="00F77B24" w:rsidP="00F77B24">
            <w:pPr>
              <w:spacing w:line="360" w:lineRule="auto"/>
              <w:jc w:val="both"/>
              <w:rPr>
                <w:rFonts w:ascii="Arial" w:hAnsi="Arial" w:cs="Arial"/>
                <w:sz w:val="24"/>
                <w:szCs w:val="24"/>
              </w:rPr>
            </w:pPr>
            <w:r w:rsidRPr="00F77B24">
              <w:rPr>
                <w:rFonts w:ascii="Arial" w:hAnsi="Arial" w:cs="Arial"/>
                <w:sz w:val="24"/>
                <w:szCs w:val="24"/>
              </w:rPr>
              <w:t>CR 62/2020</w:t>
            </w:r>
          </w:p>
        </w:tc>
      </w:tr>
      <w:tr w:rsidR="00F77B24" w:rsidRPr="00F77B24" w:rsidTr="004A4441">
        <w:trPr>
          <w:trHeight w:val="844"/>
        </w:trPr>
        <w:tc>
          <w:tcPr>
            <w:tcW w:w="5397" w:type="dxa"/>
            <w:gridSpan w:val="2"/>
          </w:tcPr>
          <w:p w:rsidR="00F77B24" w:rsidRPr="00F77B24" w:rsidRDefault="00F77B24" w:rsidP="00F77B24">
            <w:pPr>
              <w:spacing w:line="360" w:lineRule="auto"/>
              <w:jc w:val="both"/>
              <w:rPr>
                <w:rFonts w:ascii="Arial" w:hAnsi="Arial" w:cs="Arial"/>
                <w:b/>
                <w:sz w:val="24"/>
                <w:szCs w:val="24"/>
              </w:rPr>
            </w:pPr>
            <w:r w:rsidRPr="00F77B24">
              <w:rPr>
                <w:rFonts w:ascii="Arial" w:hAnsi="Arial" w:cs="Arial"/>
                <w:b/>
                <w:sz w:val="24"/>
                <w:szCs w:val="24"/>
              </w:rPr>
              <w:t>High Court MD Review No:</w:t>
            </w:r>
          </w:p>
          <w:p w:rsidR="00F77B24" w:rsidRPr="00F77B24" w:rsidRDefault="00F77B24" w:rsidP="00F77B24">
            <w:pPr>
              <w:spacing w:line="360" w:lineRule="auto"/>
              <w:jc w:val="both"/>
              <w:rPr>
                <w:rFonts w:ascii="Arial" w:hAnsi="Arial" w:cs="Arial"/>
                <w:sz w:val="24"/>
                <w:szCs w:val="24"/>
              </w:rPr>
            </w:pPr>
            <w:r w:rsidRPr="00F77B24">
              <w:rPr>
                <w:rFonts w:ascii="Arial" w:hAnsi="Arial" w:cs="Arial"/>
                <w:sz w:val="24"/>
                <w:szCs w:val="24"/>
              </w:rPr>
              <w:t>1017/2020</w:t>
            </w:r>
          </w:p>
        </w:tc>
        <w:tc>
          <w:tcPr>
            <w:tcW w:w="4654" w:type="dxa"/>
          </w:tcPr>
          <w:p w:rsidR="00F77B24" w:rsidRPr="00F77B24" w:rsidRDefault="00F77B24" w:rsidP="00F77B24">
            <w:pPr>
              <w:spacing w:line="360" w:lineRule="auto"/>
              <w:jc w:val="both"/>
              <w:rPr>
                <w:rFonts w:ascii="Arial" w:hAnsi="Arial" w:cs="Arial"/>
                <w:sz w:val="24"/>
                <w:szCs w:val="24"/>
              </w:rPr>
            </w:pPr>
            <w:r w:rsidRPr="00F77B24">
              <w:rPr>
                <w:rFonts w:ascii="Arial" w:hAnsi="Arial" w:cs="Arial"/>
                <w:b/>
                <w:sz w:val="24"/>
                <w:szCs w:val="24"/>
              </w:rPr>
              <w:t>Division of Court:</w:t>
            </w:r>
          </w:p>
          <w:p w:rsidR="00F77B24" w:rsidRPr="00F77B24" w:rsidRDefault="00F77B24" w:rsidP="00F77B24">
            <w:pPr>
              <w:spacing w:line="360" w:lineRule="auto"/>
              <w:jc w:val="both"/>
              <w:rPr>
                <w:rFonts w:ascii="Arial" w:hAnsi="Arial" w:cs="Arial"/>
                <w:sz w:val="24"/>
                <w:szCs w:val="24"/>
              </w:rPr>
            </w:pPr>
            <w:r w:rsidRPr="00F77B24">
              <w:rPr>
                <w:rFonts w:ascii="Arial" w:hAnsi="Arial" w:cs="Arial"/>
                <w:sz w:val="24"/>
                <w:szCs w:val="24"/>
              </w:rPr>
              <w:t>Main Division</w:t>
            </w:r>
          </w:p>
        </w:tc>
      </w:tr>
      <w:tr w:rsidR="00F77B24" w:rsidRPr="00F77B24" w:rsidTr="004A4441">
        <w:trPr>
          <w:trHeight w:val="1662"/>
        </w:trPr>
        <w:tc>
          <w:tcPr>
            <w:tcW w:w="5397" w:type="dxa"/>
            <w:gridSpan w:val="2"/>
          </w:tcPr>
          <w:p w:rsidR="00F77B24" w:rsidRPr="00F77B24" w:rsidRDefault="00F77B24" w:rsidP="00F77B24">
            <w:pPr>
              <w:spacing w:line="360" w:lineRule="auto"/>
              <w:jc w:val="both"/>
              <w:rPr>
                <w:rFonts w:ascii="Arial" w:hAnsi="Arial" w:cs="Arial"/>
                <w:b/>
                <w:sz w:val="24"/>
                <w:szCs w:val="24"/>
              </w:rPr>
            </w:pPr>
            <w:r w:rsidRPr="00F77B24">
              <w:rPr>
                <w:rFonts w:ascii="Arial" w:hAnsi="Arial" w:cs="Arial"/>
                <w:b/>
                <w:sz w:val="24"/>
                <w:szCs w:val="24"/>
              </w:rPr>
              <w:t>Heard before:</w:t>
            </w:r>
          </w:p>
          <w:p w:rsidR="00F77B24" w:rsidRPr="00F77B24" w:rsidRDefault="00F77B24" w:rsidP="00F77B24">
            <w:pPr>
              <w:spacing w:line="360" w:lineRule="auto"/>
              <w:jc w:val="both"/>
              <w:rPr>
                <w:rFonts w:ascii="Arial" w:hAnsi="Arial" w:cs="Arial"/>
                <w:i/>
                <w:sz w:val="24"/>
                <w:szCs w:val="24"/>
              </w:rPr>
            </w:pPr>
            <w:r w:rsidRPr="00F77B24">
              <w:rPr>
                <w:rFonts w:ascii="Arial" w:hAnsi="Arial" w:cs="Arial"/>
                <w:sz w:val="24"/>
                <w:szCs w:val="24"/>
              </w:rPr>
              <w:t xml:space="preserve">Mr Justice Liebenberg </w:t>
            </w:r>
            <w:r w:rsidRPr="00F77B24">
              <w:rPr>
                <w:rFonts w:ascii="Arial" w:hAnsi="Arial" w:cs="Arial"/>
                <w:i/>
                <w:sz w:val="24"/>
                <w:szCs w:val="24"/>
              </w:rPr>
              <w:t>et</w:t>
            </w:r>
          </w:p>
          <w:p w:rsidR="00F77B24" w:rsidRPr="00F77B24" w:rsidRDefault="000D0A9F" w:rsidP="00F77B24">
            <w:pPr>
              <w:spacing w:line="360" w:lineRule="auto"/>
              <w:rPr>
                <w:rFonts w:ascii="Arial" w:hAnsi="Arial" w:cs="Arial"/>
                <w:sz w:val="24"/>
                <w:szCs w:val="24"/>
              </w:rPr>
            </w:pPr>
            <w:r>
              <w:rPr>
                <w:rFonts w:ascii="Arial" w:hAnsi="Arial" w:cs="Arial"/>
                <w:sz w:val="24"/>
                <w:szCs w:val="24"/>
              </w:rPr>
              <w:t>Mr Justice Miller (Acting)</w:t>
            </w:r>
          </w:p>
        </w:tc>
        <w:tc>
          <w:tcPr>
            <w:tcW w:w="4654" w:type="dxa"/>
          </w:tcPr>
          <w:p w:rsidR="00F77B24" w:rsidRPr="00F77B24" w:rsidRDefault="00F77B24" w:rsidP="00F77B24">
            <w:pPr>
              <w:spacing w:line="360" w:lineRule="auto"/>
              <w:jc w:val="both"/>
              <w:rPr>
                <w:rFonts w:ascii="Arial" w:hAnsi="Arial" w:cs="Arial"/>
                <w:b/>
                <w:sz w:val="24"/>
                <w:szCs w:val="24"/>
              </w:rPr>
            </w:pPr>
            <w:r w:rsidRPr="00F77B24">
              <w:rPr>
                <w:rFonts w:ascii="Arial" w:hAnsi="Arial" w:cs="Arial"/>
                <w:b/>
                <w:sz w:val="24"/>
                <w:szCs w:val="24"/>
              </w:rPr>
              <w:t>Delivered on:</w:t>
            </w:r>
          </w:p>
          <w:p w:rsidR="00F77B24" w:rsidRPr="00F77B24" w:rsidRDefault="00F77B24" w:rsidP="00F77B24">
            <w:pPr>
              <w:spacing w:line="360" w:lineRule="auto"/>
              <w:jc w:val="both"/>
              <w:rPr>
                <w:rFonts w:ascii="Arial" w:hAnsi="Arial" w:cs="Arial"/>
                <w:sz w:val="24"/>
                <w:szCs w:val="24"/>
              </w:rPr>
            </w:pPr>
            <w:r w:rsidRPr="00F77B24">
              <w:rPr>
                <w:rFonts w:ascii="Arial" w:hAnsi="Arial" w:cs="Arial"/>
                <w:sz w:val="24"/>
                <w:szCs w:val="24"/>
              </w:rPr>
              <w:t xml:space="preserve">31 August 2020 </w:t>
            </w:r>
          </w:p>
        </w:tc>
      </w:tr>
      <w:tr w:rsidR="00F77B24" w:rsidRPr="00F77B24" w:rsidTr="004A4441">
        <w:tc>
          <w:tcPr>
            <w:tcW w:w="10051" w:type="dxa"/>
            <w:gridSpan w:val="3"/>
          </w:tcPr>
          <w:p w:rsidR="00F77B24" w:rsidRPr="00F77B24" w:rsidRDefault="00F77B24" w:rsidP="00F77B24">
            <w:pPr>
              <w:spacing w:line="360" w:lineRule="auto"/>
              <w:jc w:val="both"/>
              <w:rPr>
                <w:rFonts w:ascii="Arial" w:hAnsi="Arial" w:cs="Arial"/>
                <w:b/>
                <w:sz w:val="24"/>
                <w:szCs w:val="24"/>
              </w:rPr>
            </w:pPr>
          </w:p>
          <w:p w:rsidR="00F77B24" w:rsidRPr="00F77B24" w:rsidRDefault="00F77B24" w:rsidP="00F77B24">
            <w:pPr>
              <w:spacing w:line="360" w:lineRule="auto"/>
              <w:jc w:val="both"/>
              <w:rPr>
                <w:rFonts w:ascii="Arial" w:hAnsi="Arial" w:cs="Arial"/>
                <w:sz w:val="24"/>
                <w:szCs w:val="24"/>
              </w:rPr>
            </w:pPr>
            <w:r w:rsidRPr="00F77B24">
              <w:rPr>
                <w:rFonts w:ascii="Arial" w:hAnsi="Arial" w:cs="Arial"/>
                <w:b/>
                <w:sz w:val="24"/>
                <w:szCs w:val="24"/>
              </w:rPr>
              <w:t xml:space="preserve">Neutral citation: </w:t>
            </w:r>
            <w:r w:rsidR="00C879FF">
              <w:rPr>
                <w:rFonts w:ascii="Arial" w:hAnsi="Arial" w:cs="Arial"/>
                <w:i/>
                <w:sz w:val="24"/>
                <w:szCs w:val="24"/>
              </w:rPr>
              <w:t xml:space="preserve">S v </w:t>
            </w:r>
            <w:proofErr w:type="spellStart"/>
            <w:r w:rsidR="00C879FF">
              <w:rPr>
                <w:rFonts w:ascii="Arial" w:hAnsi="Arial" w:cs="Arial"/>
                <w:i/>
                <w:sz w:val="24"/>
                <w:szCs w:val="24"/>
              </w:rPr>
              <w:t>Smetley</w:t>
            </w:r>
            <w:proofErr w:type="spellEnd"/>
            <w:r w:rsidR="00C879FF">
              <w:rPr>
                <w:rFonts w:ascii="Arial" w:hAnsi="Arial" w:cs="Arial"/>
                <w:i/>
                <w:sz w:val="24"/>
                <w:szCs w:val="24"/>
              </w:rPr>
              <w:t xml:space="preserve"> </w:t>
            </w:r>
            <w:r w:rsidR="00C879FF">
              <w:rPr>
                <w:rFonts w:ascii="Arial" w:hAnsi="Arial" w:cs="Arial"/>
                <w:sz w:val="24"/>
                <w:szCs w:val="24"/>
              </w:rPr>
              <w:t xml:space="preserve">(CR </w:t>
            </w:r>
            <w:r w:rsidRPr="00F77B24">
              <w:rPr>
                <w:rFonts w:ascii="Arial" w:hAnsi="Arial" w:cs="Arial"/>
                <w:sz w:val="24"/>
                <w:szCs w:val="24"/>
              </w:rPr>
              <w:t>62/2020) [2020] NAHCMD 382 (31 August 2020)</w:t>
            </w:r>
          </w:p>
          <w:p w:rsidR="00F77B24" w:rsidRPr="00F77B24" w:rsidRDefault="00F77B24" w:rsidP="00F77B24">
            <w:pPr>
              <w:spacing w:line="360" w:lineRule="auto"/>
              <w:jc w:val="both"/>
              <w:rPr>
                <w:rFonts w:ascii="Arial" w:hAnsi="Arial" w:cs="Arial"/>
                <w:sz w:val="24"/>
                <w:szCs w:val="24"/>
              </w:rPr>
            </w:pPr>
          </w:p>
        </w:tc>
      </w:tr>
      <w:tr w:rsidR="00F77B24" w:rsidRPr="00F77B24" w:rsidTr="004A4441">
        <w:tc>
          <w:tcPr>
            <w:tcW w:w="10051" w:type="dxa"/>
            <w:gridSpan w:val="3"/>
          </w:tcPr>
          <w:p w:rsidR="00F77B24" w:rsidRPr="00F77B24" w:rsidRDefault="00F77B24" w:rsidP="00F77B24">
            <w:pPr>
              <w:spacing w:line="360" w:lineRule="auto"/>
              <w:jc w:val="both"/>
              <w:rPr>
                <w:rFonts w:ascii="Arial" w:hAnsi="Arial" w:cs="Arial"/>
                <w:b/>
                <w:sz w:val="24"/>
                <w:szCs w:val="24"/>
              </w:rPr>
            </w:pPr>
          </w:p>
          <w:p w:rsidR="00F77B24" w:rsidRPr="00F77B24" w:rsidRDefault="00F77B24" w:rsidP="00F77B24">
            <w:pPr>
              <w:spacing w:line="360" w:lineRule="auto"/>
              <w:jc w:val="both"/>
              <w:rPr>
                <w:rFonts w:ascii="Arial" w:hAnsi="Arial" w:cs="Arial"/>
                <w:b/>
                <w:sz w:val="24"/>
                <w:szCs w:val="24"/>
              </w:rPr>
            </w:pPr>
            <w:r w:rsidRPr="00F77B24">
              <w:rPr>
                <w:rFonts w:ascii="Arial" w:hAnsi="Arial" w:cs="Arial"/>
                <w:b/>
                <w:sz w:val="24"/>
                <w:szCs w:val="24"/>
              </w:rPr>
              <w:t>The order:</w:t>
            </w:r>
          </w:p>
          <w:p w:rsidR="00F77B24" w:rsidRPr="00F77B24" w:rsidRDefault="00F77B24" w:rsidP="00F77B24">
            <w:pPr>
              <w:spacing w:line="360" w:lineRule="auto"/>
              <w:jc w:val="both"/>
              <w:rPr>
                <w:rFonts w:ascii="Arial" w:hAnsi="Arial" w:cs="Arial"/>
                <w:b/>
                <w:sz w:val="24"/>
                <w:szCs w:val="24"/>
              </w:rPr>
            </w:pPr>
          </w:p>
          <w:p w:rsidR="00F77B24" w:rsidRPr="00F77B24" w:rsidRDefault="00F77B24" w:rsidP="00F77B24">
            <w:pPr>
              <w:numPr>
                <w:ilvl w:val="0"/>
                <w:numId w:val="21"/>
              </w:numPr>
              <w:spacing w:line="360" w:lineRule="auto"/>
              <w:ind w:right="317"/>
              <w:contextualSpacing/>
              <w:jc w:val="both"/>
              <w:rPr>
                <w:rFonts w:ascii="Arial" w:hAnsi="Arial" w:cs="Arial"/>
                <w:sz w:val="24"/>
                <w:szCs w:val="24"/>
              </w:rPr>
            </w:pPr>
            <w:r w:rsidRPr="00F77B24">
              <w:rPr>
                <w:rFonts w:ascii="Arial" w:hAnsi="Arial" w:cs="Arial"/>
                <w:sz w:val="24"/>
                <w:szCs w:val="24"/>
              </w:rPr>
              <w:t>The conviction and sentence are set aside.</w:t>
            </w:r>
          </w:p>
          <w:p w:rsidR="00F77B24" w:rsidRPr="00F77B24" w:rsidRDefault="00F77B24" w:rsidP="00F77B24">
            <w:pPr>
              <w:spacing w:line="360" w:lineRule="auto"/>
              <w:ind w:left="1440" w:right="317"/>
              <w:contextualSpacing/>
              <w:jc w:val="both"/>
              <w:rPr>
                <w:rFonts w:ascii="Arial" w:hAnsi="Arial" w:cs="Arial"/>
                <w:sz w:val="24"/>
                <w:szCs w:val="24"/>
              </w:rPr>
            </w:pPr>
          </w:p>
          <w:p w:rsidR="00F77B24" w:rsidRPr="00F77B24" w:rsidRDefault="00F77B24" w:rsidP="00F77B24">
            <w:pPr>
              <w:numPr>
                <w:ilvl w:val="0"/>
                <w:numId w:val="21"/>
              </w:numPr>
              <w:spacing w:line="360" w:lineRule="auto"/>
              <w:ind w:right="317"/>
              <w:contextualSpacing/>
              <w:jc w:val="both"/>
              <w:rPr>
                <w:rFonts w:ascii="Arial" w:hAnsi="Arial" w:cs="Arial"/>
                <w:sz w:val="24"/>
                <w:szCs w:val="24"/>
              </w:rPr>
            </w:pPr>
            <w:r w:rsidRPr="00F77B24">
              <w:rPr>
                <w:rFonts w:ascii="Arial" w:hAnsi="Arial" w:cs="Arial"/>
                <w:sz w:val="24"/>
                <w:szCs w:val="24"/>
              </w:rPr>
              <w:t>The matter is remitted to the same court in terms of s 312 (1) of the Criminal Procedure Act 51 of 1977 with the direction to further question the accused in terms of s 112 (1)</w:t>
            </w:r>
            <w:r w:rsidRPr="00F77B24">
              <w:rPr>
                <w:rFonts w:ascii="Arial" w:hAnsi="Arial" w:cs="Arial"/>
                <w:i/>
                <w:sz w:val="24"/>
                <w:szCs w:val="24"/>
              </w:rPr>
              <w:t xml:space="preserve">(b) </w:t>
            </w:r>
            <w:r w:rsidRPr="00F77B24">
              <w:rPr>
                <w:rFonts w:ascii="Arial" w:hAnsi="Arial" w:cs="Arial"/>
                <w:sz w:val="24"/>
                <w:szCs w:val="24"/>
              </w:rPr>
              <w:t>of the Act.</w:t>
            </w:r>
          </w:p>
          <w:p w:rsidR="00F77B24" w:rsidRPr="00F77B24" w:rsidRDefault="00F77B24" w:rsidP="007775F0">
            <w:pPr>
              <w:spacing w:line="360" w:lineRule="auto"/>
              <w:ind w:right="317"/>
              <w:contextualSpacing/>
              <w:jc w:val="both"/>
              <w:rPr>
                <w:rFonts w:ascii="Arial" w:hAnsi="Arial" w:cs="Arial"/>
                <w:sz w:val="24"/>
                <w:szCs w:val="24"/>
              </w:rPr>
            </w:pPr>
          </w:p>
          <w:p w:rsidR="00F77B24" w:rsidRPr="00F77B24" w:rsidRDefault="00F77B24" w:rsidP="00F77B24">
            <w:pPr>
              <w:numPr>
                <w:ilvl w:val="0"/>
                <w:numId w:val="21"/>
              </w:numPr>
              <w:spacing w:line="360" w:lineRule="auto"/>
              <w:ind w:right="317"/>
              <w:contextualSpacing/>
              <w:jc w:val="both"/>
              <w:rPr>
                <w:rFonts w:ascii="Arial" w:hAnsi="Arial" w:cs="Arial"/>
                <w:sz w:val="24"/>
                <w:szCs w:val="24"/>
              </w:rPr>
            </w:pPr>
            <w:r w:rsidRPr="00F77B24">
              <w:rPr>
                <w:rFonts w:ascii="Arial" w:hAnsi="Arial" w:cs="Arial"/>
                <w:sz w:val="24"/>
                <w:szCs w:val="24"/>
              </w:rPr>
              <w:t>In the event of a conviction, the court, in sentencing, must have regard to the sentence already served by the accused.</w:t>
            </w:r>
          </w:p>
          <w:p w:rsidR="00F77B24" w:rsidRPr="00F77B24" w:rsidRDefault="00F77B24" w:rsidP="000D0A9F">
            <w:pPr>
              <w:spacing w:line="360" w:lineRule="auto"/>
              <w:contextualSpacing/>
              <w:jc w:val="both"/>
              <w:rPr>
                <w:rFonts w:ascii="Arial" w:hAnsi="Arial" w:cs="Arial"/>
                <w:sz w:val="24"/>
                <w:szCs w:val="24"/>
              </w:rPr>
            </w:pPr>
          </w:p>
        </w:tc>
      </w:tr>
      <w:tr w:rsidR="00F77B24" w:rsidRPr="00F77B24" w:rsidTr="004A4441">
        <w:tc>
          <w:tcPr>
            <w:tcW w:w="10051" w:type="dxa"/>
            <w:gridSpan w:val="3"/>
          </w:tcPr>
          <w:p w:rsidR="00F77B24" w:rsidRPr="00F77B24" w:rsidRDefault="00F77B24" w:rsidP="00F77B24">
            <w:pPr>
              <w:jc w:val="both"/>
              <w:rPr>
                <w:rFonts w:ascii="Arial" w:hAnsi="Arial" w:cs="Arial"/>
                <w:b/>
                <w:sz w:val="24"/>
                <w:szCs w:val="24"/>
              </w:rPr>
            </w:pPr>
          </w:p>
          <w:p w:rsidR="00F77B24" w:rsidRPr="00F77B24" w:rsidRDefault="00F77B24" w:rsidP="00F77B24">
            <w:pPr>
              <w:jc w:val="both"/>
              <w:rPr>
                <w:rFonts w:ascii="Arial" w:hAnsi="Arial" w:cs="Arial"/>
                <w:b/>
                <w:sz w:val="24"/>
                <w:szCs w:val="24"/>
              </w:rPr>
            </w:pPr>
            <w:r w:rsidRPr="00F77B24">
              <w:rPr>
                <w:rFonts w:ascii="Arial" w:hAnsi="Arial" w:cs="Arial"/>
                <w:b/>
                <w:sz w:val="24"/>
                <w:szCs w:val="24"/>
              </w:rPr>
              <w:t>Reasons for order:</w:t>
            </w:r>
          </w:p>
          <w:p w:rsidR="00F77B24" w:rsidRPr="00F77B24" w:rsidRDefault="00F77B24" w:rsidP="00F77B24">
            <w:pPr>
              <w:jc w:val="both"/>
              <w:rPr>
                <w:rFonts w:ascii="Arial" w:hAnsi="Arial" w:cs="Arial"/>
                <w:b/>
                <w:sz w:val="24"/>
                <w:szCs w:val="24"/>
              </w:rPr>
            </w:pPr>
          </w:p>
        </w:tc>
      </w:tr>
      <w:tr w:rsidR="00F77B24" w:rsidRPr="00F77B24" w:rsidTr="004A4441">
        <w:tc>
          <w:tcPr>
            <w:tcW w:w="10051" w:type="dxa"/>
            <w:gridSpan w:val="3"/>
          </w:tcPr>
          <w:p w:rsidR="00F77B24" w:rsidRPr="00F77B24" w:rsidRDefault="00F77B24" w:rsidP="00F77B24">
            <w:pPr>
              <w:spacing w:line="360" w:lineRule="auto"/>
              <w:jc w:val="both"/>
              <w:rPr>
                <w:rFonts w:ascii="Arial" w:hAnsi="Arial" w:cs="Arial"/>
                <w:sz w:val="24"/>
                <w:szCs w:val="24"/>
              </w:rPr>
            </w:pPr>
          </w:p>
          <w:p w:rsidR="00F77B24" w:rsidRPr="00F77B24" w:rsidRDefault="00F77B24" w:rsidP="00F77B24">
            <w:pPr>
              <w:spacing w:line="360" w:lineRule="auto"/>
              <w:jc w:val="both"/>
              <w:rPr>
                <w:rFonts w:ascii="Arial" w:hAnsi="Arial" w:cs="Arial"/>
                <w:sz w:val="24"/>
                <w:szCs w:val="24"/>
              </w:rPr>
            </w:pPr>
            <w:r w:rsidRPr="00F77B24">
              <w:rPr>
                <w:rFonts w:ascii="Arial" w:hAnsi="Arial" w:cs="Arial"/>
                <w:sz w:val="24"/>
                <w:szCs w:val="24"/>
              </w:rPr>
              <w:lastRenderedPageBreak/>
              <w:t>LIEBENBERG J (concurring MILLER AJ)</w:t>
            </w:r>
          </w:p>
          <w:p w:rsidR="00F77B24" w:rsidRPr="00F77B24" w:rsidRDefault="00F77B24" w:rsidP="007775F0">
            <w:pPr>
              <w:suppressAutoHyphens/>
              <w:autoSpaceDE w:val="0"/>
              <w:autoSpaceDN w:val="0"/>
              <w:adjustRightInd w:val="0"/>
              <w:spacing w:line="360" w:lineRule="auto"/>
              <w:ind w:right="459"/>
              <w:jc w:val="both"/>
              <w:rPr>
                <w:rFonts w:ascii="Arial" w:hAnsi="Arial" w:cs="Arial"/>
                <w:noProof/>
                <w:sz w:val="24"/>
                <w:szCs w:val="24"/>
                <w:lang w:eastAsia="en-GB"/>
              </w:rPr>
            </w:pPr>
          </w:p>
          <w:p w:rsidR="00F77B24" w:rsidRPr="00F77B24" w:rsidRDefault="00F77B24" w:rsidP="00F77B24">
            <w:pPr>
              <w:spacing w:line="360" w:lineRule="auto"/>
              <w:ind w:right="317"/>
              <w:jc w:val="both"/>
              <w:rPr>
                <w:rFonts w:ascii="Arial" w:hAnsi="Arial" w:cs="Arial"/>
                <w:sz w:val="24"/>
                <w:szCs w:val="24"/>
              </w:rPr>
            </w:pPr>
            <w:r w:rsidRPr="00F77B24">
              <w:rPr>
                <w:rFonts w:ascii="Arial" w:hAnsi="Arial" w:cs="Arial"/>
                <w:sz w:val="24"/>
                <w:szCs w:val="24"/>
              </w:rPr>
              <w:t>[1]    The accused was convicted on his plea of guilty to a charge of Housebreaking with intent to steal and theft, and sentenced to 12 months’ imprisonment of which 6 months imprisonment is suspended for a period of four years on condition the accused is not convicted of the offence of housebreaking with intent to steal and theft during the period of suspension.</w:t>
            </w:r>
          </w:p>
          <w:p w:rsidR="00F77B24" w:rsidRPr="00F77B24" w:rsidRDefault="00F77B24" w:rsidP="00F77B24">
            <w:pPr>
              <w:spacing w:line="360" w:lineRule="auto"/>
              <w:ind w:right="317"/>
              <w:rPr>
                <w:rFonts w:ascii="Arial" w:hAnsi="Arial" w:cs="Arial"/>
                <w:sz w:val="24"/>
                <w:szCs w:val="24"/>
              </w:rPr>
            </w:pPr>
          </w:p>
          <w:p w:rsidR="00F77B24" w:rsidRPr="00F77B24" w:rsidRDefault="00F77B24" w:rsidP="00F77B24">
            <w:pPr>
              <w:spacing w:line="360" w:lineRule="auto"/>
              <w:ind w:right="317"/>
              <w:jc w:val="both"/>
              <w:rPr>
                <w:rFonts w:ascii="Arial" w:hAnsi="Arial" w:cs="Arial"/>
                <w:sz w:val="24"/>
                <w:szCs w:val="24"/>
              </w:rPr>
            </w:pPr>
            <w:r w:rsidRPr="00F77B24">
              <w:rPr>
                <w:rFonts w:ascii="Arial" w:hAnsi="Arial" w:cs="Arial"/>
                <w:sz w:val="24"/>
                <w:szCs w:val="24"/>
              </w:rPr>
              <w:t>[2]   On review a query was directed to the presiding magistrate, enquiring whether the conviction was proper in view of the court, during its questioning of the accused in terms of s 112 (1)</w:t>
            </w:r>
            <w:r w:rsidRPr="00F77B24">
              <w:rPr>
                <w:rFonts w:ascii="Arial" w:hAnsi="Arial" w:cs="Arial"/>
                <w:i/>
                <w:sz w:val="24"/>
                <w:szCs w:val="24"/>
              </w:rPr>
              <w:t xml:space="preserve"> (b)</w:t>
            </w:r>
            <w:r w:rsidRPr="00F77B24">
              <w:rPr>
                <w:rFonts w:ascii="Arial" w:hAnsi="Arial" w:cs="Arial"/>
                <w:sz w:val="24"/>
                <w:szCs w:val="24"/>
              </w:rPr>
              <w:t xml:space="preserve"> of the Criminal Procedure Act, 51 of 1977 (hereafter referred to as the CPA), having omitted to determine what the accused’s intentions were at the time of the breaking and entering of the complainant’s premises.</w:t>
            </w:r>
          </w:p>
          <w:p w:rsidR="00F77B24" w:rsidRPr="00F77B24" w:rsidRDefault="00F77B24" w:rsidP="00F77B24">
            <w:pPr>
              <w:spacing w:line="360" w:lineRule="auto"/>
              <w:ind w:right="317"/>
              <w:rPr>
                <w:rFonts w:ascii="Arial" w:hAnsi="Arial" w:cs="Arial"/>
                <w:sz w:val="24"/>
                <w:szCs w:val="24"/>
              </w:rPr>
            </w:pPr>
          </w:p>
          <w:p w:rsidR="00F77B24" w:rsidRPr="00F77B24" w:rsidRDefault="00F77B24" w:rsidP="00F77B24">
            <w:pPr>
              <w:spacing w:line="360" w:lineRule="auto"/>
              <w:ind w:right="317"/>
              <w:jc w:val="both"/>
              <w:rPr>
                <w:rFonts w:ascii="Arial" w:hAnsi="Arial" w:cs="Arial"/>
                <w:sz w:val="24"/>
                <w:szCs w:val="24"/>
              </w:rPr>
            </w:pPr>
            <w:r w:rsidRPr="00F77B24">
              <w:rPr>
                <w:rFonts w:ascii="Arial" w:hAnsi="Arial" w:cs="Arial"/>
                <w:sz w:val="24"/>
                <w:szCs w:val="24"/>
              </w:rPr>
              <w:t>[3]   In the magistrate’s reply it was submitted that the accused indicated that ‘he stole and hid items’, his ‘deliberate act of breaking a window and entering is a clear indication of the accused’s intention on the one hand and secondly, the entering and taking of the items from the shop and hiding the said items as he indicated to the court’. The learned magistrate further submitted that ‘his intention was complete in that he had no permission to break and enter complainant’s place, secondly he had stolen items that he hid’.</w:t>
            </w:r>
          </w:p>
          <w:p w:rsidR="00F77B24" w:rsidRPr="00F77B24" w:rsidRDefault="00F77B24" w:rsidP="00F77B24">
            <w:pPr>
              <w:spacing w:line="360" w:lineRule="auto"/>
              <w:ind w:right="317"/>
              <w:jc w:val="both"/>
              <w:rPr>
                <w:rFonts w:ascii="Arial" w:hAnsi="Arial" w:cs="Arial"/>
                <w:sz w:val="24"/>
                <w:szCs w:val="24"/>
              </w:rPr>
            </w:pPr>
          </w:p>
          <w:p w:rsidR="00F77B24" w:rsidRPr="00F77B24" w:rsidRDefault="00F77B24" w:rsidP="00F77B24">
            <w:pPr>
              <w:spacing w:line="360" w:lineRule="auto"/>
              <w:ind w:right="317"/>
              <w:jc w:val="both"/>
              <w:rPr>
                <w:rFonts w:ascii="Arial" w:hAnsi="Arial" w:cs="Arial"/>
                <w:sz w:val="24"/>
                <w:szCs w:val="24"/>
              </w:rPr>
            </w:pPr>
            <w:r w:rsidRPr="00F77B24">
              <w:rPr>
                <w:rFonts w:ascii="Arial" w:hAnsi="Arial" w:cs="Arial"/>
                <w:sz w:val="24"/>
                <w:szCs w:val="24"/>
              </w:rPr>
              <w:t xml:space="preserve">[4]   From the reasoning advanced, it is clear that the magistrate made inferences during the s 112 (1) </w:t>
            </w:r>
            <w:r w:rsidRPr="00F77B24">
              <w:rPr>
                <w:rFonts w:ascii="Arial" w:hAnsi="Arial" w:cs="Arial"/>
                <w:i/>
                <w:sz w:val="24"/>
                <w:szCs w:val="24"/>
              </w:rPr>
              <w:t>(b)</w:t>
            </w:r>
            <w:r w:rsidRPr="00F77B24">
              <w:rPr>
                <w:rFonts w:ascii="Arial" w:hAnsi="Arial" w:cs="Arial"/>
                <w:sz w:val="24"/>
                <w:szCs w:val="24"/>
              </w:rPr>
              <w:t xml:space="preserve"> questioning. With deference, this approach is entirely amiss as it is now settled law that the court is not entitled to draw inferences from the answers given by the accused during the court’s questioning in terms of the said section of the CPA.</w:t>
            </w:r>
            <w:r w:rsidRPr="00F77B24">
              <w:rPr>
                <w:vertAlign w:val="superscript"/>
              </w:rPr>
              <w:footnoteReference w:id="1"/>
            </w:r>
          </w:p>
          <w:p w:rsidR="00F77B24" w:rsidRPr="00F77B24" w:rsidRDefault="00F77B24" w:rsidP="00F77B24">
            <w:pPr>
              <w:spacing w:line="360" w:lineRule="auto"/>
              <w:ind w:right="317"/>
              <w:jc w:val="both"/>
              <w:rPr>
                <w:rFonts w:ascii="Arial" w:hAnsi="Arial" w:cs="Arial"/>
                <w:sz w:val="24"/>
                <w:szCs w:val="24"/>
              </w:rPr>
            </w:pPr>
          </w:p>
          <w:p w:rsidR="007775F0" w:rsidRDefault="00F77B24" w:rsidP="00F77B24">
            <w:pPr>
              <w:spacing w:line="360" w:lineRule="auto"/>
              <w:ind w:right="317"/>
              <w:jc w:val="both"/>
              <w:rPr>
                <w:rFonts w:ascii="Arial" w:hAnsi="Arial" w:cs="Arial"/>
                <w:sz w:val="24"/>
                <w:szCs w:val="24"/>
              </w:rPr>
            </w:pPr>
            <w:r w:rsidRPr="00F77B24">
              <w:rPr>
                <w:rFonts w:ascii="Arial" w:hAnsi="Arial" w:cs="Arial"/>
                <w:sz w:val="24"/>
                <w:szCs w:val="24"/>
              </w:rPr>
              <w:t xml:space="preserve">[5]   Crucial to the s 112 (1) </w:t>
            </w:r>
            <w:r w:rsidRPr="00F77B24">
              <w:rPr>
                <w:rFonts w:ascii="Arial" w:hAnsi="Arial" w:cs="Arial"/>
                <w:i/>
                <w:sz w:val="24"/>
                <w:szCs w:val="24"/>
              </w:rPr>
              <w:t>(b)</w:t>
            </w:r>
            <w:r w:rsidRPr="00F77B24">
              <w:rPr>
                <w:rFonts w:ascii="Arial" w:hAnsi="Arial" w:cs="Arial"/>
                <w:sz w:val="24"/>
                <w:szCs w:val="24"/>
              </w:rPr>
              <w:t xml:space="preserve"> questioning is that the court establish what the intention of the accused was at the time of the breaking and entering as the accused must already </w:t>
            </w:r>
          </w:p>
          <w:p w:rsidR="007775F0" w:rsidRDefault="007775F0" w:rsidP="00F77B24">
            <w:pPr>
              <w:spacing w:line="360" w:lineRule="auto"/>
              <w:ind w:right="317"/>
              <w:jc w:val="both"/>
              <w:rPr>
                <w:rFonts w:ascii="Arial" w:hAnsi="Arial" w:cs="Arial"/>
                <w:sz w:val="24"/>
                <w:szCs w:val="24"/>
              </w:rPr>
            </w:pPr>
          </w:p>
          <w:p w:rsidR="00F77B24" w:rsidRPr="00F77B24" w:rsidRDefault="00F77B24" w:rsidP="00F77B24">
            <w:pPr>
              <w:spacing w:line="360" w:lineRule="auto"/>
              <w:ind w:right="317"/>
              <w:jc w:val="both"/>
              <w:rPr>
                <w:rFonts w:ascii="Arial" w:hAnsi="Arial" w:cs="Arial"/>
                <w:sz w:val="24"/>
                <w:szCs w:val="24"/>
              </w:rPr>
            </w:pPr>
            <w:proofErr w:type="gramStart"/>
            <w:r w:rsidRPr="00F77B24">
              <w:rPr>
                <w:rFonts w:ascii="Arial" w:hAnsi="Arial" w:cs="Arial"/>
                <w:sz w:val="24"/>
                <w:szCs w:val="24"/>
              </w:rPr>
              <w:lastRenderedPageBreak/>
              <w:t>have</w:t>
            </w:r>
            <w:proofErr w:type="gramEnd"/>
            <w:r w:rsidRPr="00F77B24">
              <w:rPr>
                <w:rFonts w:ascii="Arial" w:hAnsi="Arial" w:cs="Arial"/>
                <w:sz w:val="24"/>
                <w:szCs w:val="24"/>
              </w:rPr>
              <w:t xml:space="preserve"> formed the intention to commit some other crime once inside the house. The offence of ‘housebreaking’ with the absence of an intention to commit another crime is </w:t>
            </w:r>
            <w:r w:rsidRPr="00F77B24">
              <w:rPr>
                <w:rFonts w:ascii="Arial" w:hAnsi="Arial" w:cs="Arial"/>
                <w:i/>
                <w:sz w:val="24"/>
                <w:szCs w:val="24"/>
              </w:rPr>
              <w:t>per se</w:t>
            </w:r>
            <w:r w:rsidRPr="00F77B24">
              <w:rPr>
                <w:rFonts w:ascii="Arial" w:hAnsi="Arial" w:cs="Arial"/>
                <w:sz w:val="24"/>
                <w:szCs w:val="24"/>
              </w:rPr>
              <w:t xml:space="preserve"> no offence.</w:t>
            </w:r>
            <w:r w:rsidRPr="00F77B24">
              <w:rPr>
                <w:rFonts w:ascii="Arial" w:hAnsi="Arial" w:cs="Arial"/>
                <w:i/>
                <w:sz w:val="24"/>
                <w:szCs w:val="24"/>
                <w:vertAlign w:val="superscript"/>
              </w:rPr>
              <w:footnoteReference w:id="2"/>
            </w:r>
            <w:r w:rsidRPr="00F77B24">
              <w:rPr>
                <w:rFonts w:ascii="Arial" w:hAnsi="Arial" w:cs="Arial"/>
                <w:sz w:val="24"/>
                <w:szCs w:val="24"/>
              </w:rPr>
              <w:t xml:space="preserve"> Moreover, if the accused breaks into someone’s house for reasons other than to steal, and forms the intention to steal only after being inside the house, the offence of housebreaking with intent to steal is not committed. This does not mean that the accused goes unpunished for his actions as he may either be convicted for, malicious damage to property and/or theft or both, depending on the facts before the court. </w:t>
            </w:r>
          </w:p>
          <w:p w:rsidR="00F77B24" w:rsidRPr="00F77B24" w:rsidRDefault="00F77B24" w:rsidP="00F77B24">
            <w:pPr>
              <w:spacing w:line="360" w:lineRule="auto"/>
              <w:jc w:val="both"/>
              <w:rPr>
                <w:rFonts w:ascii="Arial" w:hAnsi="Arial" w:cs="Arial"/>
                <w:sz w:val="24"/>
                <w:szCs w:val="24"/>
              </w:rPr>
            </w:pPr>
          </w:p>
          <w:p w:rsidR="00F77B24" w:rsidRPr="00F77B24" w:rsidRDefault="00F77B24" w:rsidP="00F77B24">
            <w:pPr>
              <w:spacing w:line="360" w:lineRule="auto"/>
              <w:ind w:right="317"/>
              <w:jc w:val="both"/>
              <w:rPr>
                <w:rFonts w:ascii="Arial" w:hAnsi="Arial" w:cs="Arial"/>
                <w:sz w:val="24"/>
                <w:szCs w:val="24"/>
              </w:rPr>
            </w:pPr>
            <w:r w:rsidRPr="00F77B24">
              <w:rPr>
                <w:rFonts w:ascii="Arial" w:hAnsi="Arial" w:cs="Arial"/>
                <w:sz w:val="24"/>
                <w:szCs w:val="24"/>
              </w:rPr>
              <w:t>[6]   It is clear that the learned magistrate did not heed to the element of intention during his questioning. The court was further not entitled to draw inferences from the answers of the accused. To this end the court misdirected itself and the conviction falls to be set aside.</w:t>
            </w:r>
          </w:p>
          <w:p w:rsidR="00F77B24" w:rsidRPr="00F77B24" w:rsidRDefault="00F77B24" w:rsidP="00F77B24">
            <w:pPr>
              <w:spacing w:line="360" w:lineRule="auto"/>
              <w:jc w:val="both"/>
              <w:rPr>
                <w:rFonts w:ascii="Arial" w:hAnsi="Arial" w:cs="Arial"/>
                <w:sz w:val="24"/>
                <w:szCs w:val="24"/>
              </w:rPr>
            </w:pPr>
          </w:p>
          <w:p w:rsidR="00F77B24" w:rsidRPr="00F77B24" w:rsidRDefault="00F77B24" w:rsidP="00F77B24">
            <w:pPr>
              <w:spacing w:line="360" w:lineRule="auto"/>
              <w:jc w:val="both"/>
              <w:rPr>
                <w:rFonts w:ascii="Arial" w:hAnsi="Arial" w:cs="Arial"/>
                <w:sz w:val="24"/>
                <w:szCs w:val="24"/>
              </w:rPr>
            </w:pPr>
            <w:r w:rsidRPr="00F77B24">
              <w:rPr>
                <w:rFonts w:ascii="Arial" w:hAnsi="Arial" w:cs="Arial"/>
                <w:sz w:val="24"/>
                <w:szCs w:val="24"/>
              </w:rPr>
              <w:t>[7]   In the result, it is ordered:</w:t>
            </w:r>
          </w:p>
          <w:p w:rsidR="00F77B24" w:rsidRPr="00F77B24" w:rsidRDefault="00F77B24" w:rsidP="00F77B24">
            <w:pPr>
              <w:spacing w:line="360" w:lineRule="auto"/>
              <w:jc w:val="both"/>
              <w:rPr>
                <w:rFonts w:ascii="Arial" w:hAnsi="Arial" w:cs="Arial"/>
                <w:sz w:val="24"/>
                <w:szCs w:val="24"/>
              </w:rPr>
            </w:pPr>
          </w:p>
          <w:p w:rsidR="00F77B24" w:rsidRPr="00F77B24" w:rsidRDefault="00F77B24" w:rsidP="00F77B24">
            <w:pPr>
              <w:numPr>
                <w:ilvl w:val="0"/>
                <w:numId w:val="20"/>
              </w:numPr>
              <w:spacing w:line="360" w:lineRule="auto"/>
              <w:ind w:right="317"/>
              <w:contextualSpacing/>
              <w:jc w:val="both"/>
              <w:rPr>
                <w:rFonts w:ascii="Arial" w:hAnsi="Arial" w:cs="Arial"/>
                <w:sz w:val="24"/>
                <w:szCs w:val="24"/>
              </w:rPr>
            </w:pPr>
            <w:r w:rsidRPr="00F77B24">
              <w:rPr>
                <w:rFonts w:ascii="Arial" w:hAnsi="Arial" w:cs="Arial"/>
                <w:sz w:val="24"/>
                <w:szCs w:val="24"/>
              </w:rPr>
              <w:t>The conviction and sentence are set aside.</w:t>
            </w:r>
          </w:p>
          <w:p w:rsidR="00F77B24" w:rsidRPr="00F77B24" w:rsidRDefault="00F77B24" w:rsidP="00F77B24">
            <w:pPr>
              <w:numPr>
                <w:ilvl w:val="0"/>
                <w:numId w:val="20"/>
              </w:numPr>
              <w:spacing w:line="360" w:lineRule="auto"/>
              <w:ind w:right="317"/>
              <w:contextualSpacing/>
              <w:jc w:val="both"/>
              <w:rPr>
                <w:rFonts w:ascii="Arial" w:hAnsi="Arial" w:cs="Arial"/>
                <w:sz w:val="24"/>
                <w:szCs w:val="24"/>
              </w:rPr>
            </w:pPr>
            <w:r w:rsidRPr="00F77B24">
              <w:rPr>
                <w:rFonts w:ascii="Arial" w:hAnsi="Arial" w:cs="Arial"/>
                <w:sz w:val="24"/>
                <w:szCs w:val="24"/>
              </w:rPr>
              <w:t>The matter is remitted to the same court in terms of s 312 (1) of Act 51 of 1977 with the direction to further question the accused in terms of s 112 (1)</w:t>
            </w:r>
            <w:r w:rsidRPr="00F77B24">
              <w:rPr>
                <w:rFonts w:ascii="Arial" w:hAnsi="Arial" w:cs="Arial"/>
                <w:i/>
                <w:sz w:val="24"/>
                <w:szCs w:val="24"/>
              </w:rPr>
              <w:t xml:space="preserve">(b) </w:t>
            </w:r>
            <w:r w:rsidRPr="00F77B24">
              <w:rPr>
                <w:rFonts w:ascii="Arial" w:hAnsi="Arial" w:cs="Arial"/>
                <w:sz w:val="24"/>
                <w:szCs w:val="24"/>
              </w:rPr>
              <w:t>of the Act.</w:t>
            </w:r>
          </w:p>
          <w:p w:rsidR="00F77B24" w:rsidRPr="00F77B24" w:rsidRDefault="00F77B24" w:rsidP="007775F0">
            <w:pPr>
              <w:numPr>
                <w:ilvl w:val="0"/>
                <w:numId w:val="20"/>
              </w:numPr>
              <w:spacing w:line="360" w:lineRule="auto"/>
              <w:ind w:right="317"/>
              <w:contextualSpacing/>
              <w:jc w:val="both"/>
              <w:rPr>
                <w:rFonts w:ascii="Arial" w:hAnsi="Arial" w:cs="Arial"/>
                <w:sz w:val="24"/>
                <w:szCs w:val="24"/>
              </w:rPr>
            </w:pPr>
            <w:r w:rsidRPr="00F77B24">
              <w:rPr>
                <w:rFonts w:ascii="Arial" w:hAnsi="Arial" w:cs="Arial"/>
                <w:sz w:val="24"/>
                <w:szCs w:val="24"/>
              </w:rPr>
              <w:t>In the event of a conviction, the court, in sentencing, must have regard to the sentence already served by the accused.</w:t>
            </w:r>
          </w:p>
          <w:p w:rsidR="00F77B24" w:rsidRPr="00F77B24" w:rsidRDefault="00F77B24" w:rsidP="00F77B24">
            <w:pPr>
              <w:spacing w:line="360" w:lineRule="auto"/>
              <w:ind w:left="1080"/>
              <w:contextualSpacing/>
              <w:jc w:val="both"/>
              <w:rPr>
                <w:rFonts w:ascii="Arial" w:hAnsi="Arial" w:cs="Arial"/>
              </w:rPr>
            </w:pPr>
          </w:p>
        </w:tc>
      </w:tr>
      <w:tr w:rsidR="00F77B24" w:rsidRPr="00F77B24" w:rsidTr="004A4441">
        <w:tc>
          <w:tcPr>
            <w:tcW w:w="4770" w:type="dxa"/>
          </w:tcPr>
          <w:p w:rsidR="00F77B24" w:rsidRPr="00F77B24" w:rsidRDefault="00F77B24" w:rsidP="00F77B24">
            <w:pPr>
              <w:spacing w:line="360" w:lineRule="auto"/>
              <w:jc w:val="center"/>
              <w:rPr>
                <w:rFonts w:ascii="Arial" w:hAnsi="Arial" w:cs="Arial"/>
                <w:b/>
                <w:sz w:val="24"/>
                <w:szCs w:val="24"/>
              </w:rPr>
            </w:pPr>
          </w:p>
          <w:p w:rsidR="00F77B24" w:rsidRPr="00F77B24" w:rsidRDefault="00F77B24" w:rsidP="00F77B24">
            <w:pPr>
              <w:spacing w:line="360" w:lineRule="auto"/>
              <w:jc w:val="center"/>
              <w:rPr>
                <w:rFonts w:ascii="Arial" w:hAnsi="Arial" w:cs="Arial"/>
                <w:b/>
                <w:sz w:val="24"/>
                <w:szCs w:val="24"/>
              </w:rPr>
            </w:pPr>
          </w:p>
          <w:p w:rsidR="00F77B24" w:rsidRPr="00F77B24" w:rsidRDefault="00F77B24" w:rsidP="00F77B24">
            <w:pPr>
              <w:spacing w:line="360" w:lineRule="auto"/>
              <w:jc w:val="center"/>
              <w:rPr>
                <w:rFonts w:ascii="Arial" w:hAnsi="Arial" w:cs="Arial"/>
                <w:b/>
                <w:sz w:val="24"/>
                <w:szCs w:val="24"/>
              </w:rPr>
            </w:pPr>
          </w:p>
          <w:p w:rsidR="00F77B24" w:rsidRPr="00F77B24" w:rsidRDefault="00F77B24" w:rsidP="00F77B24">
            <w:pPr>
              <w:spacing w:line="360" w:lineRule="auto"/>
              <w:rPr>
                <w:rFonts w:ascii="Arial" w:hAnsi="Arial" w:cs="Arial"/>
                <w:b/>
                <w:sz w:val="24"/>
                <w:szCs w:val="24"/>
              </w:rPr>
            </w:pPr>
          </w:p>
        </w:tc>
        <w:tc>
          <w:tcPr>
            <w:tcW w:w="5281" w:type="dxa"/>
            <w:gridSpan w:val="2"/>
          </w:tcPr>
          <w:p w:rsidR="00F77B24" w:rsidRPr="00F77B24" w:rsidRDefault="00F77B24" w:rsidP="00F77B24">
            <w:pPr>
              <w:spacing w:line="360" w:lineRule="auto"/>
              <w:jc w:val="center"/>
              <w:rPr>
                <w:rFonts w:ascii="Arial" w:hAnsi="Arial" w:cs="Arial"/>
                <w:b/>
                <w:sz w:val="24"/>
                <w:szCs w:val="24"/>
              </w:rPr>
            </w:pPr>
          </w:p>
          <w:p w:rsidR="00F77B24" w:rsidRPr="00F77B24" w:rsidRDefault="00F77B24" w:rsidP="00F77B24">
            <w:pPr>
              <w:spacing w:line="360" w:lineRule="auto"/>
              <w:rPr>
                <w:rFonts w:ascii="Arial" w:hAnsi="Arial" w:cs="Arial"/>
                <w:b/>
                <w:sz w:val="24"/>
                <w:szCs w:val="24"/>
              </w:rPr>
            </w:pPr>
          </w:p>
        </w:tc>
      </w:tr>
      <w:tr w:rsidR="00F77B24" w:rsidRPr="00F77B24" w:rsidTr="004A4441">
        <w:trPr>
          <w:trHeight w:val="827"/>
        </w:trPr>
        <w:tc>
          <w:tcPr>
            <w:tcW w:w="4770" w:type="dxa"/>
          </w:tcPr>
          <w:p w:rsidR="00F77B24" w:rsidRPr="00F77B24" w:rsidRDefault="00F77B24" w:rsidP="00F77B24">
            <w:pPr>
              <w:spacing w:line="360" w:lineRule="auto"/>
              <w:jc w:val="center"/>
              <w:rPr>
                <w:rFonts w:ascii="Arial" w:hAnsi="Arial" w:cs="Arial"/>
                <w:b/>
                <w:sz w:val="24"/>
                <w:szCs w:val="24"/>
              </w:rPr>
            </w:pPr>
            <w:r w:rsidRPr="00F77B24">
              <w:rPr>
                <w:rFonts w:ascii="Arial" w:hAnsi="Arial" w:cs="Arial"/>
                <w:b/>
                <w:sz w:val="24"/>
                <w:szCs w:val="24"/>
              </w:rPr>
              <w:t>J C LIEBENBERG</w:t>
            </w:r>
          </w:p>
          <w:p w:rsidR="00F77B24" w:rsidRPr="00F77B24" w:rsidRDefault="00F77B24" w:rsidP="00F77B24">
            <w:pPr>
              <w:spacing w:line="360" w:lineRule="auto"/>
              <w:jc w:val="center"/>
              <w:rPr>
                <w:rFonts w:ascii="Arial" w:hAnsi="Arial" w:cs="Arial"/>
                <w:b/>
                <w:sz w:val="24"/>
                <w:szCs w:val="24"/>
              </w:rPr>
            </w:pPr>
            <w:r w:rsidRPr="00F77B24">
              <w:rPr>
                <w:rFonts w:ascii="Arial" w:hAnsi="Arial" w:cs="Arial"/>
                <w:b/>
                <w:sz w:val="24"/>
                <w:szCs w:val="24"/>
              </w:rPr>
              <w:t>JUDGE</w:t>
            </w:r>
          </w:p>
        </w:tc>
        <w:tc>
          <w:tcPr>
            <w:tcW w:w="5281" w:type="dxa"/>
            <w:gridSpan w:val="2"/>
          </w:tcPr>
          <w:p w:rsidR="00F77B24" w:rsidRPr="00F77B24" w:rsidRDefault="00F77B24" w:rsidP="00F77B24">
            <w:pPr>
              <w:spacing w:line="360" w:lineRule="auto"/>
              <w:jc w:val="center"/>
              <w:rPr>
                <w:rFonts w:ascii="Arial" w:hAnsi="Arial" w:cs="Arial"/>
                <w:b/>
                <w:sz w:val="24"/>
                <w:szCs w:val="24"/>
              </w:rPr>
            </w:pPr>
            <w:r w:rsidRPr="00F77B24">
              <w:rPr>
                <w:rFonts w:ascii="Arial" w:hAnsi="Arial" w:cs="Arial"/>
                <w:b/>
                <w:sz w:val="24"/>
                <w:szCs w:val="24"/>
              </w:rPr>
              <w:t>K MILLER</w:t>
            </w:r>
          </w:p>
          <w:p w:rsidR="00F77B24" w:rsidRPr="00F77B24" w:rsidRDefault="00F77B24" w:rsidP="00F77B24">
            <w:pPr>
              <w:spacing w:line="360" w:lineRule="auto"/>
              <w:jc w:val="center"/>
              <w:rPr>
                <w:rFonts w:ascii="Arial" w:hAnsi="Arial" w:cs="Arial"/>
                <w:sz w:val="24"/>
                <w:szCs w:val="24"/>
              </w:rPr>
            </w:pPr>
            <w:r w:rsidRPr="00F77B24">
              <w:rPr>
                <w:rFonts w:ascii="Arial" w:hAnsi="Arial" w:cs="Arial"/>
                <w:b/>
                <w:sz w:val="24"/>
                <w:szCs w:val="24"/>
              </w:rPr>
              <w:t>ACTING JUDGE</w:t>
            </w:r>
          </w:p>
        </w:tc>
      </w:tr>
    </w:tbl>
    <w:p w:rsidR="00B97A95" w:rsidRDefault="00B97A95" w:rsidP="00D92DB9"/>
    <w:sectPr w:rsidR="00B97A95" w:rsidSect="00FA7548">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DCA" w:rsidRDefault="00A82DCA" w:rsidP="00436FB0">
      <w:pPr>
        <w:spacing w:after="0" w:line="240" w:lineRule="auto"/>
      </w:pPr>
      <w:r>
        <w:separator/>
      </w:r>
    </w:p>
  </w:endnote>
  <w:endnote w:type="continuationSeparator" w:id="0">
    <w:p w:rsidR="00A82DCA" w:rsidRDefault="00A82DCA"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DCA" w:rsidRDefault="00A82DCA" w:rsidP="00436FB0">
      <w:pPr>
        <w:spacing w:after="0" w:line="240" w:lineRule="auto"/>
      </w:pPr>
      <w:r>
        <w:separator/>
      </w:r>
    </w:p>
  </w:footnote>
  <w:footnote w:type="continuationSeparator" w:id="0">
    <w:p w:rsidR="00A82DCA" w:rsidRDefault="00A82DCA" w:rsidP="00436FB0">
      <w:pPr>
        <w:spacing w:after="0" w:line="240" w:lineRule="auto"/>
      </w:pPr>
      <w:r>
        <w:continuationSeparator/>
      </w:r>
    </w:p>
  </w:footnote>
  <w:footnote w:id="1">
    <w:p w:rsidR="00F77B24" w:rsidRPr="00151C53" w:rsidRDefault="00F77B24" w:rsidP="00F77B24">
      <w:pPr>
        <w:pStyle w:val="FootnoteText"/>
        <w:rPr>
          <w:rFonts w:ascii="Arial" w:hAnsi="Arial" w:cs="Arial"/>
        </w:rPr>
      </w:pPr>
      <w:r w:rsidRPr="00151C53">
        <w:rPr>
          <w:rStyle w:val="FootnoteReference"/>
          <w:rFonts w:ascii="Arial" w:hAnsi="Arial" w:cs="Arial"/>
        </w:rPr>
        <w:footnoteRef/>
      </w:r>
      <w:r w:rsidRPr="00151C53">
        <w:rPr>
          <w:rFonts w:ascii="Arial" w:hAnsi="Arial" w:cs="Arial"/>
        </w:rPr>
        <w:t xml:space="preserve"> </w:t>
      </w:r>
      <w:r w:rsidRPr="003C2DB8">
        <w:rPr>
          <w:rFonts w:ascii="Arial" w:hAnsi="Arial" w:cs="Arial"/>
          <w:i/>
          <w:lang w:val="en-ZA"/>
        </w:rPr>
        <w:t xml:space="preserve">S v </w:t>
      </w:r>
      <w:proofErr w:type="spellStart"/>
      <w:r w:rsidRPr="003C2DB8">
        <w:rPr>
          <w:rFonts w:ascii="Arial" w:hAnsi="Arial" w:cs="Arial"/>
          <w:i/>
          <w:lang w:val="en-ZA"/>
        </w:rPr>
        <w:t>Nashapi</w:t>
      </w:r>
      <w:proofErr w:type="spellEnd"/>
      <w:r>
        <w:rPr>
          <w:rFonts w:ascii="Arial" w:hAnsi="Arial" w:cs="Arial"/>
        </w:rPr>
        <w:t xml:space="preserve"> 2009 (2) NR 793 (HC);</w:t>
      </w:r>
      <w:r w:rsidRPr="00151C53">
        <w:rPr>
          <w:rFonts w:ascii="Arial" w:hAnsi="Arial" w:cs="Arial"/>
        </w:rPr>
        <w:t xml:space="preserve"> </w:t>
      </w:r>
      <w:r w:rsidRPr="003C2DB8">
        <w:rPr>
          <w:rFonts w:ascii="Arial" w:hAnsi="Arial" w:cs="Arial"/>
          <w:i/>
          <w:lang w:val="en-ZA"/>
        </w:rPr>
        <w:t xml:space="preserve">S v </w:t>
      </w:r>
      <w:proofErr w:type="spellStart"/>
      <w:r w:rsidRPr="003C2DB8">
        <w:rPr>
          <w:rFonts w:ascii="Arial" w:hAnsi="Arial" w:cs="Arial"/>
          <w:i/>
          <w:lang w:val="en-ZA"/>
        </w:rPr>
        <w:t>Kaevarua</w:t>
      </w:r>
      <w:proofErr w:type="spellEnd"/>
      <w:r w:rsidRPr="00151C53">
        <w:rPr>
          <w:rFonts w:ascii="Arial" w:hAnsi="Arial" w:cs="Arial"/>
        </w:rPr>
        <w:t xml:space="preserve"> 2004 NR 144 (HC)</w:t>
      </w:r>
      <w:r>
        <w:rPr>
          <w:rFonts w:ascii="Arial" w:hAnsi="Arial" w:cs="Arial"/>
        </w:rPr>
        <w:t>.</w:t>
      </w:r>
    </w:p>
  </w:footnote>
  <w:footnote w:id="2">
    <w:p w:rsidR="00F77B24" w:rsidRPr="00F229CC" w:rsidRDefault="00F77B24" w:rsidP="00F77B24">
      <w:pPr>
        <w:pStyle w:val="FootnoteText"/>
        <w:ind w:left="142" w:hanging="142"/>
        <w:rPr>
          <w:rFonts w:ascii="Arial" w:hAnsi="Arial" w:cs="Arial"/>
        </w:rPr>
      </w:pPr>
      <w:r w:rsidRPr="00151C53">
        <w:rPr>
          <w:rStyle w:val="FootnoteReference"/>
          <w:rFonts w:ascii="Arial" w:hAnsi="Arial" w:cs="Arial"/>
        </w:rPr>
        <w:footnoteRef/>
      </w:r>
      <w:r w:rsidRPr="00151C53">
        <w:rPr>
          <w:rFonts w:ascii="Arial" w:hAnsi="Arial" w:cs="Arial"/>
        </w:rPr>
        <w:t xml:space="preserve"> </w:t>
      </w:r>
      <w:r w:rsidRPr="003C2DB8">
        <w:rPr>
          <w:rFonts w:ascii="Arial" w:hAnsi="Arial" w:cs="Arial"/>
          <w:i/>
          <w:lang w:val="en-ZA"/>
        </w:rPr>
        <w:t>S v Maseko and Another</w:t>
      </w:r>
      <w:r w:rsidRPr="00151C53">
        <w:rPr>
          <w:rFonts w:ascii="Arial" w:hAnsi="Arial" w:cs="Arial"/>
        </w:rPr>
        <w:t xml:space="preserve"> 2004 (1) SACR 22 (TPD) at 22h-</w:t>
      </w:r>
      <w:r>
        <w:rPr>
          <w:rFonts w:ascii="Arial" w:hAnsi="Arial" w:cs="Arial"/>
        </w:rPr>
        <w:t xml:space="preserve">I, </w:t>
      </w:r>
      <w:r w:rsidRPr="003C2DB8">
        <w:rPr>
          <w:rFonts w:ascii="Arial" w:hAnsi="Arial" w:cs="Arial"/>
          <w:i/>
          <w:lang w:val="en-ZA"/>
        </w:rPr>
        <w:t xml:space="preserve">State v Gideon </w:t>
      </w:r>
      <w:proofErr w:type="spellStart"/>
      <w:r w:rsidRPr="003C2DB8">
        <w:rPr>
          <w:rFonts w:ascii="Arial" w:hAnsi="Arial" w:cs="Arial"/>
          <w:i/>
          <w:lang w:val="en-ZA"/>
        </w:rPr>
        <w:t>Shuuveni</w:t>
      </w:r>
      <w:proofErr w:type="spellEnd"/>
      <w:r w:rsidRPr="00151C53">
        <w:rPr>
          <w:rFonts w:ascii="Arial" w:hAnsi="Arial" w:cs="Arial"/>
        </w:rPr>
        <w:t xml:space="preserve"> (CR 10/2014)</w:t>
      </w:r>
      <w:r>
        <w:rPr>
          <w:rFonts w:ascii="Arial" w:hAnsi="Arial" w:cs="Arial"/>
        </w:rPr>
        <w:t>.</w:t>
      </w:r>
      <w:r w:rsidRPr="00151C53">
        <w:rPr>
          <w:rFonts w:ascii="Arial" w:hAnsi="Arial" w:cs="Arial"/>
        </w:rPr>
        <w:t xml:space="preserve"> [2014] NAHCNLD 21 (20 March 2014)</w:t>
      </w:r>
      <w:r>
        <w:rPr>
          <w:rFonts w:ascii="Arial" w:hAnsi="Arial" w:cs="Arial"/>
        </w:rPr>
        <w:t>.</w:t>
      </w:r>
    </w:p>
    <w:p w:rsidR="00F77B24" w:rsidRPr="00151C53" w:rsidRDefault="00F77B24" w:rsidP="00F77B24">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02223"/>
      <w:docPartObj>
        <w:docPartGallery w:val="Page Numbers (Top of Page)"/>
        <w:docPartUnique/>
      </w:docPartObj>
    </w:sdtPr>
    <w:sdtEndPr>
      <w:rPr>
        <w:noProof/>
      </w:rPr>
    </w:sdtEndPr>
    <w:sdtContent>
      <w:p w:rsidR="00FA7548" w:rsidRDefault="00FA7548">
        <w:pPr>
          <w:pStyle w:val="Header"/>
          <w:jc w:val="right"/>
        </w:pPr>
        <w:r>
          <w:fldChar w:fldCharType="begin"/>
        </w:r>
        <w:r>
          <w:instrText xml:space="preserve"> PAGE   \* MERGEFORMAT </w:instrText>
        </w:r>
        <w:r>
          <w:fldChar w:fldCharType="separate"/>
        </w:r>
        <w:r w:rsidR="000D0A9F">
          <w:rPr>
            <w:noProof/>
          </w:rPr>
          <w:t>3</w:t>
        </w:r>
        <w:r>
          <w:rPr>
            <w:noProof/>
          </w:rPr>
          <w:fldChar w:fldCharType="end"/>
        </w:r>
      </w:p>
    </w:sdtContent>
  </w:sdt>
  <w:p w:rsidR="00FA7548" w:rsidRDefault="00FA7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F41" w:rsidRDefault="0034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BC"/>
    <w:multiLevelType w:val="hybridMultilevel"/>
    <w:tmpl w:val="C062201A"/>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26F05"/>
    <w:multiLevelType w:val="hybridMultilevel"/>
    <w:tmpl w:val="E79E5766"/>
    <w:lvl w:ilvl="0" w:tplc="0B6481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F5A60"/>
    <w:multiLevelType w:val="hybridMultilevel"/>
    <w:tmpl w:val="CA84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F45D6"/>
    <w:multiLevelType w:val="hybridMultilevel"/>
    <w:tmpl w:val="87647530"/>
    <w:lvl w:ilvl="0" w:tplc="87D80282">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16B43386"/>
    <w:multiLevelType w:val="hybridMultilevel"/>
    <w:tmpl w:val="D638C5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D0BE7"/>
    <w:multiLevelType w:val="hybridMultilevel"/>
    <w:tmpl w:val="6884FE12"/>
    <w:lvl w:ilvl="0" w:tplc="92C0509A">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C6164"/>
    <w:multiLevelType w:val="hybridMultilevel"/>
    <w:tmpl w:val="EE8C0F78"/>
    <w:lvl w:ilvl="0" w:tplc="E7F64F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B68C2"/>
    <w:multiLevelType w:val="hybridMultilevel"/>
    <w:tmpl w:val="418E4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66419"/>
    <w:multiLevelType w:val="hybridMultilevel"/>
    <w:tmpl w:val="96CEE4FA"/>
    <w:lvl w:ilvl="0" w:tplc="303C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C108AD"/>
    <w:multiLevelType w:val="hybridMultilevel"/>
    <w:tmpl w:val="E9088AE2"/>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5676A"/>
    <w:multiLevelType w:val="hybridMultilevel"/>
    <w:tmpl w:val="831A248A"/>
    <w:lvl w:ilvl="0" w:tplc="1808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A1BC2"/>
    <w:multiLevelType w:val="hybridMultilevel"/>
    <w:tmpl w:val="6EC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D73D5"/>
    <w:multiLevelType w:val="hybridMultilevel"/>
    <w:tmpl w:val="2D4E9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475E84"/>
    <w:multiLevelType w:val="hybridMultilevel"/>
    <w:tmpl w:val="7D8A9F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446D24"/>
    <w:multiLevelType w:val="hybridMultilevel"/>
    <w:tmpl w:val="A226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C09A1"/>
    <w:multiLevelType w:val="hybridMultilevel"/>
    <w:tmpl w:val="0F4EA6C6"/>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0136AF"/>
    <w:multiLevelType w:val="hybridMultilevel"/>
    <w:tmpl w:val="B7D2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618C0"/>
    <w:multiLevelType w:val="hybridMultilevel"/>
    <w:tmpl w:val="CBD676A6"/>
    <w:lvl w:ilvl="0" w:tplc="F5624F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2"/>
  </w:num>
  <w:num w:numId="3">
    <w:abstractNumId w:val="7"/>
  </w:num>
  <w:num w:numId="4">
    <w:abstractNumId w:val="18"/>
  </w:num>
  <w:num w:numId="5">
    <w:abstractNumId w:val="10"/>
  </w:num>
  <w:num w:numId="6">
    <w:abstractNumId w:val="0"/>
  </w:num>
  <w:num w:numId="7">
    <w:abstractNumId w:val="11"/>
  </w:num>
  <w:num w:numId="8">
    <w:abstractNumId w:val="6"/>
  </w:num>
  <w:num w:numId="9">
    <w:abstractNumId w:val="15"/>
  </w:num>
  <w:num w:numId="10">
    <w:abstractNumId w:val="12"/>
  </w:num>
  <w:num w:numId="11">
    <w:abstractNumId w:val="16"/>
  </w:num>
  <w:num w:numId="12">
    <w:abstractNumId w:val="17"/>
  </w:num>
  <w:num w:numId="13">
    <w:abstractNumId w:val="20"/>
  </w:num>
  <w:num w:numId="14">
    <w:abstractNumId w:val="1"/>
  </w:num>
  <w:num w:numId="15">
    <w:abstractNumId w:val="3"/>
  </w:num>
  <w:num w:numId="16">
    <w:abstractNumId w:val="5"/>
  </w:num>
  <w:num w:numId="17">
    <w:abstractNumId w:val="8"/>
  </w:num>
  <w:num w:numId="18">
    <w:abstractNumId w:val="19"/>
  </w:num>
  <w:num w:numId="19">
    <w:abstractNumId w:val="4"/>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244F"/>
    <w:rsid w:val="00002972"/>
    <w:rsid w:val="00003AF0"/>
    <w:rsid w:val="00005DC5"/>
    <w:rsid w:val="000141CC"/>
    <w:rsid w:val="00015F3A"/>
    <w:rsid w:val="00026264"/>
    <w:rsid w:val="00034919"/>
    <w:rsid w:val="0004226E"/>
    <w:rsid w:val="00060560"/>
    <w:rsid w:val="000634A9"/>
    <w:rsid w:val="0007292C"/>
    <w:rsid w:val="00075F90"/>
    <w:rsid w:val="0007693F"/>
    <w:rsid w:val="000B1388"/>
    <w:rsid w:val="000C14C3"/>
    <w:rsid w:val="000C4569"/>
    <w:rsid w:val="000D0A9F"/>
    <w:rsid w:val="000D3FC6"/>
    <w:rsid w:val="000E5A47"/>
    <w:rsid w:val="00102738"/>
    <w:rsid w:val="00115B1D"/>
    <w:rsid w:val="00133D0D"/>
    <w:rsid w:val="001406E8"/>
    <w:rsid w:val="001445E8"/>
    <w:rsid w:val="001846BA"/>
    <w:rsid w:val="001913E9"/>
    <w:rsid w:val="001A5091"/>
    <w:rsid w:val="001B5294"/>
    <w:rsid w:val="001C0AAB"/>
    <w:rsid w:val="001E0FA0"/>
    <w:rsid w:val="001F4D98"/>
    <w:rsid w:val="001F62ED"/>
    <w:rsid w:val="00210372"/>
    <w:rsid w:val="00222F92"/>
    <w:rsid w:val="00223FBB"/>
    <w:rsid w:val="00233A67"/>
    <w:rsid w:val="00247CF9"/>
    <w:rsid w:val="00247E6B"/>
    <w:rsid w:val="00252073"/>
    <w:rsid w:val="00252955"/>
    <w:rsid w:val="00252DCB"/>
    <w:rsid w:val="00261686"/>
    <w:rsid w:val="00272214"/>
    <w:rsid w:val="002745F1"/>
    <w:rsid w:val="00290365"/>
    <w:rsid w:val="002A401E"/>
    <w:rsid w:val="002C1966"/>
    <w:rsid w:val="002F6508"/>
    <w:rsid w:val="00303003"/>
    <w:rsid w:val="0031055E"/>
    <w:rsid w:val="0031127C"/>
    <w:rsid w:val="00344F41"/>
    <w:rsid w:val="00346F23"/>
    <w:rsid w:val="003523F7"/>
    <w:rsid w:val="00357928"/>
    <w:rsid w:val="00361D40"/>
    <w:rsid w:val="00370E0F"/>
    <w:rsid w:val="00373553"/>
    <w:rsid w:val="00383BA9"/>
    <w:rsid w:val="00387CB1"/>
    <w:rsid w:val="003B0E93"/>
    <w:rsid w:val="003C012D"/>
    <w:rsid w:val="003C070D"/>
    <w:rsid w:val="003C1BA2"/>
    <w:rsid w:val="003D4293"/>
    <w:rsid w:val="003E412D"/>
    <w:rsid w:val="003F2177"/>
    <w:rsid w:val="003F312F"/>
    <w:rsid w:val="0040332F"/>
    <w:rsid w:val="00415D8F"/>
    <w:rsid w:val="00421539"/>
    <w:rsid w:val="00436FB0"/>
    <w:rsid w:val="004429FE"/>
    <w:rsid w:val="00456DFE"/>
    <w:rsid w:val="00457CBB"/>
    <w:rsid w:val="0046167B"/>
    <w:rsid w:val="00470F56"/>
    <w:rsid w:val="004723EF"/>
    <w:rsid w:val="004855BF"/>
    <w:rsid w:val="004A7167"/>
    <w:rsid w:val="004B6940"/>
    <w:rsid w:val="004F225B"/>
    <w:rsid w:val="0050248C"/>
    <w:rsid w:val="005521AC"/>
    <w:rsid w:val="00565353"/>
    <w:rsid w:val="005857BA"/>
    <w:rsid w:val="00585FD6"/>
    <w:rsid w:val="005A3949"/>
    <w:rsid w:val="005A4F43"/>
    <w:rsid w:val="005B0DE4"/>
    <w:rsid w:val="005B229D"/>
    <w:rsid w:val="005C5CB0"/>
    <w:rsid w:val="005D5006"/>
    <w:rsid w:val="005D7CD3"/>
    <w:rsid w:val="005F2AC6"/>
    <w:rsid w:val="00600057"/>
    <w:rsid w:val="00601886"/>
    <w:rsid w:val="00611E21"/>
    <w:rsid w:val="00637AA2"/>
    <w:rsid w:val="006524D6"/>
    <w:rsid w:val="0066258A"/>
    <w:rsid w:val="00677987"/>
    <w:rsid w:val="006874A6"/>
    <w:rsid w:val="006A22A1"/>
    <w:rsid w:val="006A5B17"/>
    <w:rsid w:val="006B359A"/>
    <w:rsid w:val="006B6373"/>
    <w:rsid w:val="006C501A"/>
    <w:rsid w:val="006D43D3"/>
    <w:rsid w:val="006D444F"/>
    <w:rsid w:val="006D5E9B"/>
    <w:rsid w:val="006E0F94"/>
    <w:rsid w:val="006F1BE0"/>
    <w:rsid w:val="00700524"/>
    <w:rsid w:val="00707C01"/>
    <w:rsid w:val="007106DC"/>
    <w:rsid w:val="00710E02"/>
    <w:rsid w:val="007339D2"/>
    <w:rsid w:val="00742EEB"/>
    <w:rsid w:val="00752D65"/>
    <w:rsid w:val="007775F0"/>
    <w:rsid w:val="007823C8"/>
    <w:rsid w:val="00790443"/>
    <w:rsid w:val="00793526"/>
    <w:rsid w:val="00794AA7"/>
    <w:rsid w:val="007B3316"/>
    <w:rsid w:val="007E4555"/>
    <w:rsid w:val="007F0AAC"/>
    <w:rsid w:val="008139A7"/>
    <w:rsid w:val="00814046"/>
    <w:rsid w:val="00817483"/>
    <w:rsid w:val="0082025B"/>
    <w:rsid w:val="008350D4"/>
    <w:rsid w:val="00846B8A"/>
    <w:rsid w:val="00847ABC"/>
    <w:rsid w:val="00872684"/>
    <w:rsid w:val="008B0460"/>
    <w:rsid w:val="00910736"/>
    <w:rsid w:val="00923612"/>
    <w:rsid w:val="009465C5"/>
    <w:rsid w:val="00976788"/>
    <w:rsid w:val="00981AC4"/>
    <w:rsid w:val="009850EE"/>
    <w:rsid w:val="009A0F10"/>
    <w:rsid w:val="009A133E"/>
    <w:rsid w:val="009C28C1"/>
    <w:rsid w:val="009C7483"/>
    <w:rsid w:val="009E3C38"/>
    <w:rsid w:val="00A15ECD"/>
    <w:rsid w:val="00A311AA"/>
    <w:rsid w:val="00A32185"/>
    <w:rsid w:val="00A35CE9"/>
    <w:rsid w:val="00A37543"/>
    <w:rsid w:val="00A52DB4"/>
    <w:rsid w:val="00A675EE"/>
    <w:rsid w:val="00A76DBA"/>
    <w:rsid w:val="00A774D4"/>
    <w:rsid w:val="00A82DCA"/>
    <w:rsid w:val="00A83807"/>
    <w:rsid w:val="00A9191F"/>
    <w:rsid w:val="00A9197C"/>
    <w:rsid w:val="00AA0B82"/>
    <w:rsid w:val="00AA10C7"/>
    <w:rsid w:val="00AA3631"/>
    <w:rsid w:val="00AA546E"/>
    <w:rsid w:val="00AA7F1D"/>
    <w:rsid w:val="00AB7E02"/>
    <w:rsid w:val="00AC1645"/>
    <w:rsid w:val="00AC4E2C"/>
    <w:rsid w:val="00B13BE8"/>
    <w:rsid w:val="00B305FE"/>
    <w:rsid w:val="00B45CEA"/>
    <w:rsid w:val="00B557C3"/>
    <w:rsid w:val="00B8111E"/>
    <w:rsid w:val="00B8321C"/>
    <w:rsid w:val="00B97A95"/>
    <w:rsid w:val="00BA2E02"/>
    <w:rsid w:val="00BB37FC"/>
    <w:rsid w:val="00BE21EF"/>
    <w:rsid w:val="00BE5172"/>
    <w:rsid w:val="00BF6D42"/>
    <w:rsid w:val="00BF6FF3"/>
    <w:rsid w:val="00C17F88"/>
    <w:rsid w:val="00C23FE5"/>
    <w:rsid w:val="00C328E8"/>
    <w:rsid w:val="00C43979"/>
    <w:rsid w:val="00C53729"/>
    <w:rsid w:val="00C77991"/>
    <w:rsid w:val="00C8006D"/>
    <w:rsid w:val="00C879FF"/>
    <w:rsid w:val="00CA0311"/>
    <w:rsid w:val="00CA70E5"/>
    <w:rsid w:val="00CB007B"/>
    <w:rsid w:val="00CC5B0A"/>
    <w:rsid w:val="00CE768D"/>
    <w:rsid w:val="00CF3570"/>
    <w:rsid w:val="00D05CED"/>
    <w:rsid w:val="00D35047"/>
    <w:rsid w:val="00D37E2C"/>
    <w:rsid w:val="00D725D6"/>
    <w:rsid w:val="00D90A31"/>
    <w:rsid w:val="00D92DB9"/>
    <w:rsid w:val="00D9375F"/>
    <w:rsid w:val="00DD7854"/>
    <w:rsid w:val="00E0069C"/>
    <w:rsid w:val="00E0209D"/>
    <w:rsid w:val="00E04CC7"/>
    <w:rsid w:val="00E20720"/>
    <w:rsid w:val="00E31170"/>
    <w:rsid w:val="00E35B3A"/>
    <w:rsid w:val="00E445D2"/>
    <w:rsid w:val="00E607E6"/>
    <w:rsid w:val="00E63192"/>
    <w:rsid w:val="00E730C5"/>
    <w:rsid w:val="00E85EF2"/>
    <w:rsid w:val="00EB7DA5"/>
    <w:rsid w:val="00EC6886"/>
    <w:rsid w:val="00ED6055"/>
    <w:rsid w:val="00F0013C"/>
    <w:rsid w:val="00F06035"/>
    <w:rsid w:val="00F066D0"/>
    <w:rsid w:val="00F44320"/>
    <w:rsid w:val="00F50E38"/>
    <w:rsid w:val="00F510D3"/>
    <w:rsid w:val="00F63846"/>
    <w:rsid w:val="00F74C8E"/>
    <w:rsid w:val="00F77B24"/>
    <w:rsid w:val="00FA7548"/>
    <w:rsid w:val="00FA77E7"/>
    <w:rsid w:val="00FC4FE0"/>
    <w:rsid w:val="00FD23D2"/>
    <w:rsid w:val="00FD5943"/>
    <w:rsid w:val="00FD651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455B0-5246-4840-9655-C10192CC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character" w:styleId="Emphasis">
    <w:name w:val="Emphasis"/>
    <w:basedOn w:val="DefaultParagraphFont"/>
    <w:uiPriority w:val="20"/>
    <w:qFormat/>
    <w:rsid w:val="005A3949"/>
    <w:rPr>
      <w:i/>
      <w:iCs/>
    </w:rPr>
  </w:style>
  <w:style w:type="paragraph" w:customStyle="1" w:styleId="western">
    <w:name w:val="western"/>
    <w:basedOn w:val="Normal"/>
    <w:rsid w:val="000422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04226E"/>
    <w:rPr>
      <w:color w:val="0000FF"/>
      <w:u w:val="single"/>
    </w:rPr>
  </w:style>
  <w:style w:type="paragraph" w:styleId="BalloonText">
    <w:name w:val="Balloon Text"/>
    <w:basedOn w:val="Normal"/>
    <w:link w:val="BalloonTextChar"/>
    <w:uiPriority w:val="99"/>
    <w:semiHidden/>
    <w:unhideWhenUsed/>
    <w:rsid w:val="006A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A1"/>
    <w:rPr>
      <w:rFonts w:ascii="Segoe UI" w:hAnsi="Segoe UI" w:cs="Segoe UI"/>
      <w:sz w:val="18"/>
      <w:szCs w:val="18"/>
    </w:rPr>
  </w:style>
  <w:style w:type="paragraph" w:styleId="Header">
    <w:name w:val="header"/>
    <w:basedOn w:val="Normal"/>
    <w:link w:val="HeaderChar"/>
    <w:uiPriority w:val="99"/>
    <w:unhideWhenUsed/>
    <w:rsid w:val="00FA7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48"/>
  </w:style>
  <w:style w:type="paragraph" w:styleId="Footer">
    <w:name w:val="footer"/>
    <w:basedOn w:val="Normal"/>
    <w:link w:val="FooterChar"/>
    <w:uiPriority w:val="99"/>
    <w:unhideWhenUsed/>
    <w:rsid w:val="00FA7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48"/>
  </w:style>
  <w:style w:type="table" w:customStyle="1" w:styleId="TableGrid1">
    <w:name w:val="Table Grid1"/>
    <w:basedOn w:val="TableNormal"/>
    <w:next w:val="TableGrid"/>
    <w:uiPriority w:val="39"/>
    <w:rsid w:val="00F77B2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7223">
      <w:bodyDiv w:val="1"/>
      <w:marLeft w:val="0"/>
      <w:marRight w:val="0"/>
      <w:marTop w:val="0"/>
      <w:marBottom w:val="0"/>
      <w:divBdr>
        <w:top w:val="none" w:sz="0" w:space="0" w:color="auto"/>
        <w:left w:val="none" w:sz="0" w:space="0" w:color="auto"/>
        <w:bottom w:val="none" w:sz="0" w:space="0" w:color="auto"/>
        <w:right w:val="none" w:sz="0" w:space="0" w:color="auto"/>
      </w:divBdr>
    </w:div>
    <w:div w:id="14070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2020-08-30T18:30:00+00:00</Judgment_x0020_Date>
  </documentManagement>
</p:properties>
</file>

<file path=customXml/itemProps1.xml><?xml version="1.0" encoding="utf-8"?>
<ds:datastoreItem xmlns:ds="http://schemas.openxmlformats.org/officeDocument/2006/customXml" ds:itemID="{3D774332-8CBE-4BB7-BA69-AD22BB3D6CAB}"/>
</file>

<file path=customXml/itemProps2.xml><?xml version="1.0" encoding="utf-8"?>
<ds:datastoreItem xmlns:ds="http://schemas.openxmlformats.org/officeDocument/2006/customXml" ds:itemID="{722D5A52-D4FC-43E2-98B9-5584DCF1335A}"/>
</file>

<file path=customXml/itemProps3.xml><?xml version="1.0" encoding="utf-8"?>
<ds:datastoreItem xmlns:ds="http://schemas.openxmlformats.org/officeDocument/2006/customXml" ds:itemID="{AF3E6053-0B89-430E-BF10-474EF31E1EE6}"/>
</file>

<file path=customXml/itemProps4.xml><?xml version="1.0" encoding="utf-8"?>
<ds:datastoreItem xmlns:ds="http://schemas.openxmlformats.org/officeDocument/2006/customXml" ds:itemID="{DF024F97-53EB-4231-9818-1CEEA91A11A3}"/>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Smetley (CR 62-2020) [2020] NAHCMD 382 (31 August 2020)</dc:title>
  <dc:subject/>
  <dc:creator>Thomas Kasita</dc:creator>
  <cp:keywords/>
  <dc:description/>
  <cp:lastModifiedBy>Administrator</cp:lastModifiedBy>
  <cp:revision>2</cp:revision>
  <cp:lastPrinted>2020-08-28T08:39:00Z</cp:lastPrinted>
  <dcterms:created xsi:type="dcterms:W3CDTF">2020-08-31T09:04:00Z</dcterms:created>
  <dcterms:modified xsi:type="dcterms:W3CDTF">2020-08-31T09:04:00Z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